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A16D62" w:rsidRDefault="00610677" w:rsidP="00627C9F">
      <w:pPr>
        <w:jc w:val="both"/>
        <w:rPr>
          <w:rFonts w:asciiTheme="majorHAnsi" w:hAnsiTheme="majorHAnsi" w:cs="Univers"/>
          <w:b/>
          <w:bCs/>
          <w:sz w:val="22"/>
          <w:szCs w:val="22"/>
          <w:lang w:val="es-ES"/>
        </w:rPr>
      </w:pPr>
      <w:r>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771C63AC" wp14:editId="1728C4F5">
                <wp:simplePos x="0" y="0"/>
                <wp:positionH relativeFrom="column">
                  <wp:posOffset>-577215</wp:posOffset>
                </wp:positionH>
                <wp:positionV relativeFrom="paragraph">
                  <wp:posOffset>-429895</wp:posOffset>
                </wp:positionV>
                <wp:extent cx="1543050" cy="90963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45pt;margin-top:-33.85pt;width:121.5pt;height:7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" fillcolor="#4a7194" stroked="f" strokeweight="2pt">
                <v:path arrowok="t"/>
              </v:rect>
            </w:pict>
          </mc:Fallback>
        </mc:AlternateContent>
      </w:r>
      <w:r w:rsidR="00B31EBE" w:rsidRPr="00A16D6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18AE11" wp14:editId="57DA8B7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F87" w:rsidRDefault="008B3F87">
                            <w:r>
                              <w:rPr>
                                <w:noProof/>
                              </w:rPr>
                              <w:drawing>
                                <wp:inline distT="0" distB="0" distL="0" distR="0" wp14:anchorId="4EE6A42B" wp14:editId="0134E349">
                                  <wp:extent cx="2647666" cy="509676"/>
                                  <wp:effectExtent l="0" t="0" r="635" b="508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8B3F87" w:rsidRDefault="008B3F87">
                      <w:r>
                        <w:rPr>
                          <w:noProof/>
                        </w:rPr>
                        <w:drawing>
                          <wp:inline distT="0" distB="0" distL="0" distR="0" wp14:anchorId="4EE6A42B" wp14:editId="0134E349">
                            <wp:extent cx="2647666" cy="509676"/>
                            <wp:effectExtent l="0" t="0" r="635" b="508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A16D62" w:rsidRDefault="00040C3A" w:rsidP="00040C3A">
      <w:pPr>
        <w:tabs>
          <w:tab w:val="center" w:pos="5400"/>
        </w:tabs>
        <w:suppressAutoHyphens/>
        <w:jc w:val="both"/>
        <w:rPr>
          <w:rFonts w:asciiTheme="majorHAnsi" w:hAnsiTheme="majorHAnsi"/>
          <w:sz w:val="22"/>
          <w:szCs w:val="22"/>
          <w:lang w:val="es-ES"/>
        </w:rPr>
      </w:pPr>
    </w:p>
    <w:p w:rsidR="00040C3A" w:rsidRPr="00A16D62" w:rsidRDefault="00040C3A" w:rsidP="00040C3A">
      <w:pPr>
        <w:tabs>
          <w:tab w:val="center" w:pos="5400"/>
        </w:tabs>
        <w:suppressAutoHyphens/>
        <w:jc w:val="both"/>
        <w:rPr>
          <w:rFonts w:asciiTheme="majorHAnsi" w:hAnsiTheme="majorHAnsi"/>
          <w:sz w:val="22"/>
          <w:szCs w:val="22"/>
          <w:lang w:val="es-ES"/>
        </w:rPr>
      </w:pPr>
    </w:p>
    <w:p w:rsidR="005128E4" w:rsidRPr="00A16D62" w:rsidRDefault="005128E4" w:rsidP="00040C3A">
      <w:pPr>
        <w:tabs>
          <w:tab w:val="center" w:pos="5400"/>
        </w:tabs>
        <w:suppressAutoHyphens/>
        <w:rPr>
          <w:rFonts w:asciiTheme="majorHAnsi" w:hAnsiTheme="majorHAnsi"/>
          <w:sz w:val="22"/>
          <w:szCs w:val="22"/>
          <w:lang w:val="es-ES"/>
        </w:rPr>
      </w:pPr>
    </w:p>
    <w:p w:rsidR="005128E4" w:rsidRPr="00A16D62" w:rsidRDefault="005128E4" w:rsidP="00040C3A">
      <w:pPr>
        <w:tabs>
          <w:tab w:val="center" w:pos="5400"/>
        </w:tabs>
        <w:suppressAutoHyphens/>
        <w:rPr>
          <w:rFonts w:asciiTheme="majorHAnsi" w:hAnsiTheme="majorHAnsi"/>
          <w:sz w:val="22"/>
          <w:szCs w:val="22"/>
          <w:lang w:val="es-ES"/>
        </w:rPr>
      </w:pPr>
    </w:p>
    <w:p w:rsidR="005128E4" w:rsidRPr="00A16D62" w:rsidRDefault="005128E4" w:rsidP="00040C3A">
      <w:pPr>
        <w:tabs>
          <w:tab w:val="center" w:pos="5400"/>
        </w:tabs>
        <w:suppressAutoHyphens/>
        <w:rPr>
          <w:rFonts w:asciiTheme="majorHAnsi" w:hAnsiTheme="majorHAnsi"/>
          <w:sz w:val="22"/>
          <w:szCs w:val="22"/>
          <w:lang w:val="es-ES"/>
        </w:rPr>
      </w:pPr>
    </w:p>
    <w:p w:rsidR="005B52B0" w:rsidRPr="00712E83" w:rsidRDefault="005B52B0" w:rsidP="005128E4">
      <w:pPr>
        <w:tabs>
          <w:tab w:val="center" w:pos="5400"/>
        </w:tabs>
        <w:suppressAutoHyphens/>
        <w:jc w:val="center"/>
        <w:rPr>
          <w:rFonts w:asciiTheme="majorHAnsi" w:hAnsiTheme="majorHAnsi"/>
          <w:sz w:val="22"/>
          <w:szCs w:val="22"/>
          <w:lang w:val="es-PE"/>
        </w:rPr>
      </w:pPr>
    </w:p>
    <w:p w:rsidR="005B52B0" w:rsidRPr="00712E83" w:rsidRDefault="005B52B0" w:rsidP="005128E4">
      <w:pPr>
        <w:tabs>
          <w:tab w:val="center" w:pos="5400"/>
        </w:tabs>
        <w:suppressAutoHyphens/>
        <w:jc w:val="center"/>
        <w:rPr>
          <w:rFonts w:asciiTheme="majorHAnsi" w:hAnsiTheme="majorHAnsi"/>
          <w:sz w:val="22"/>
          <w:szCs w:val="22"/>
          <w:lang w:val="es-PE"/>
        </w:rPr>
      </w:pPr>
    </w:p>
    <w:p w:rsidR="005B52B0" w:rsidRPr="00712E83" w:rsidRDefault="005B52B0" w:rsidP="005128E4">
      <w:pPr>
        <w:tabs>
          <w:tab w:val="center" w:pos="5400"/>
        </w:tabs>
        <w:suppressAutoHyphens/>
        <w:jc w:val="center"/>
        <w:rPr>
          <w:rFonts w:asciiTheme="majorHAnsi" w:hAnsiTheme="majorHAnsi"/>
          <w:sz w:val="22"/>
          <w:szCs w:val="22"/>
          <w:lang w:val="es-PE"/>
        </w:rPr>
      </w:pPr>
    </w:p>
    <w:p w:rsidR="00040C3A" w:rsidRPr="00712E83" w:rsidRDefault="00040C3A" w:rsidP="00040C3A">
      <w:pPr>
        <w:tabs>
          <w:tab w:val="center" w:pos="5400"/>
        </w:tabs>
        <w:suppressAutoHyphens/>
        <w:jc w:val="center"/>
        <w:rPr>
          <w:rFonts w:asciiTheme="majorHAnsi" w:hAnsiTheme="majorHAnsi"/>
          <w:sz w:val="22"/>
          <w:szCs w:val="22"/>
          <w:lang w:val="es-PE"/>
        </w:rPr>
      </w:pPr>
    </w:p>
    <w:p w:rsidR="00040C3A" w:rsidRPr="00712E83" w:rsidRDefault="00040C3A" w:rsidP="00040C3A">
      <w:pPr>
        <w:tabs>
          <w:tab w:val="center" w:pos="5400"/>
        </w:tabs>
        <w:suppressAutoHyphens/>
        <w:jc w:val="center"/>
        <w:rPr>
          <w:rFonts w:asciiTheme="majorHAnsi" w:hAnsiTheme="majorHAnsi"/>
          <w:sz w:val="22"/>
          <w:szCs w:val="22"/>
          <w:lang w:val="es-PE"/>
        </w:rPr>
      </w:pPr>
    </w:p>
    <w:p w:rsidR="00040C3A" w:rsidRPr="00712E83" w:rsidRDefault="00040C3A" w:rsidP="00040C3A">
      <w:pPr>
        <w:tabs>
          <w:tab w:val="center" w:pos="5400"/>
        </w:tabs>
        <w:suppressAutoHyphens/>
        <w:jc w:val="center"/>
        <w:rPr>
          <w:rFonts w:asciiTheme="majorHAnsi" w:hAnsiTheme="majorHAnsi"/>
          <w:sz w:val="22"/>
          <w:szCs w:val="22"/>
          <w:lang w:val="es-PE"/>
        </w:rPr>
      </w:pPr>
    </w:p>
    <w:p w:rsidR="00040C3A" w:rsidRPr="00712E83" w:rsidRDefault="00E533FF" w:rsidP="00040C3A">
      <w:pPr>
        <w:tabs>
          <w:tab w:val="center" w:pos="5400"/>
        </w:tabs>
        <w:suppressAutoHyphens/>
        <w:jc w:val="center"/>
        <w:rPr>
          <w:rFonts w:asciiTheme="majorHAnsi" w:hAnsiTheme="majorHAnsi"/>
          <w:sz w:val="22"/>
          <w:szCs w:val="22"/>
          <w:lang w:val="es-PE"/>
        </w:rPr>
      </w:pPr>
      <w:r w:rsidRPr="00A16D6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624D3B4" wp14:editId="7DDA962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F87" w:rsidRPr="00C038BF" w:rsidRDefault="008B3F87" w:rsidP="004B7EB6">
                            <w:pPr>
                              <w:spacing w:line="276" w:lineRule="auto"/>
                              <w:rPr>
                                <w:rFonts w:asciiTheme="majorHAnsi" w:hAnsiTheme="majorHAnsi" w:cs="Arial"/>
                                <w:b/>
                                <w:bCs/>
                                <w:color w:val="0D0D0D" w:themeColor="text1" w:themeTint="F2"/>
                                <w:sz w:val="36"/>
                                <w:szCs w:val="40"/>
                                <w:lang w:val="es-ES"/>
                              </w:rPr>
                            </w:pPr>
                            <w:r w:rsidRPr="00C038BF">
                              <w:rPr>
                                <w:rFonts w:asciiTheme="majorHAnsi" w:hAnsiTheme="majorHAnsi" w:cs="Arial"/>
                                <w:b/>
                                <w:bCs/>
                                <w:color w:val="0D0D0D" w:themeColor="text1" w:themeTint="F2"/>
                                <w:sz w:val="36"/>
                                <w:szCs w:val="40"/>
                                <w:lang w:val="es-ES"/>
                              </w:rPr>
                              <w:t xml:space="preserve">INFORME No. </w:t>
                            </w:r>
                            <w:r w:rsidR="004F03D1">
                              <w:rPr>
                                <w:rFonts w:asciiTheme="majorHAnsi" w:hAnsiTheme="majorHAnsi" w:cs="Arial"/>
                                <w:b/>
                                <w:bCs/>
                                <w:color w:val="0D0D0D" w:themeColor="text1" w:themeTint="F2"/>
                                <w:sz w:val="36"/>
                                <w:szCs w:val="40"/>
                                <w:lang w:val="es-ES"/>
                              </w:rPr>
                              <w:t>50</w:t>
                            </w:r>
                            <w:r w:rsidRPr="00C038BF">
                              <w:rPr>
                                <w:rFonts w:asciiTheme="majorHAnsi" w:hAnsiTheme="majorHAnsi" w:cs="Arial"/>
                                <w:b/>
                                <w:bCs/>
                                <w:color w:val="0D0D0D" w:themeColor="text1" w:themeTint="F2"/>
                                <w:sz w:val="36"/>
                                <w:szCs w:val="40"/>
                                <w:lang w:val="es-ES"/>
                              </w:rPr>
                              <w:t>/</w:t>
                            </w:r>
                            <w:r>
                              <w:rPr>
                                <w:rFonts w:asciiTheme="majorHAnsi" w:hAnsiTheme="majorHAnsi" w:cs="Arial"/>
                                <w:b/>
                                <w:bCs/>
                                <w:color w:val="0D0D0D" w:themeColor="text1" w:themeTint="F2"/>
                                <w:sz w:val="36"/>
                                <w:szCs w:val="40"/>
                                <w:lang w:val="es-ES"/>
                              </w:rPr>
                              <w:t>16</w:t>
                            </w:r>
                          </w:p>
                          <w:p w:rsidR="008B3F87" w:rsidRPr="00C038BF" w:rsidRDefault="008B3F87" w:rsidP="004B7EB6">
                            <w:pPr>
                              <w:spacing w:line="276" w:lineRule="auto"/>
                              <w:rPr>
                                <w:rFonts w:asciiTheme="majorHAnsi" w:hAnsiTheme="majorHAnsi" w:cs="Arial"/>
                                <w:b/>
                                <w:bCs/>
                                <w:color w:val="0D0D0D" w:themeColor="text1" w:themeTint="F2"/>
                                <w:sz w:val="36"/>
                                <w:szCs w:val="40"/>
                                <w:lang w:val="es-ES"/>
                              </w:rPr>
                            </w:pPr>
                            <w:r w:rsidRPr="00C038BF">
                              <w:rPr>
                                <w:rFonts w:asciiTheme="majorHAnsi" w:hAnsiTheme="majorHAnsi" w:cs="Arial"/>
                                <w:b/>
                                <w:bCs/>
                                <w:color w:val="0D0D0D" w:themeColor="text1" w:themeTint="F2"/>
                                <w:sz w:val="36"/>
                                <w:szCs w:val="40"/>
                                <w:lang w:val="es-ES"/>
                              </w:rPr>
                              <w:t>CASO 12.834</w:t>
                            </w:r>
                          </w:p>
                          <w:p w:rsidR="008B3F87" w:rsidRPr="00C038BF" w:rsidRDefault="008B3F87" w:rsidP="004B7EB6">
                            <w:pPr>
                              <w:spacing w:line="276" w:lineRule="auto"/>
                              <w:rPr>
                                <w:rFonts w:asciiTheme="majorHAnsi" w:hAnsiTheme="majorHAnsi" w:cs="Arial"/>
                                <w:color w:val="0D0D0D" w:themeColor="text1" w:themeTint="F2"/>
                                <w:szCs w:val="22"/>
                                <w:lang w:val="es-ES"/>
                              </w:rPr>
                            </w:pPr>
                            <w:r w:rsidRPr="00C038BF">
                              <w:rPr>
                                <w:rFonts w:asciiTheme="majorHAnsi" w:hAnsiTheme="majorHAnsi" w:cs="Arial"/>
                                <w:color w:val="0D0D0D" w:themeColor="text1" w:themeTint="F2"/>
                                <w:szCs w:val="22"/>
                                <w:lang w:val="es-ES"/>
                              </w:rPr>
                              <w:t xml:space="preserve">INFORME DE FONDO </w:t>
                            </w:r>
                            <w:r>
                              <w:rPr>
                                <w:rFonts w:asciiTheme="majorHAnsi" w:hAnsiTheme="majorHAnsi" w:cs="Arial"/>
                                <w:color w:val="0D0D0D" w:themeColor="text1" w:themeTint="F2"/>
                                <w:szCs w:val="22"/>
                                <w:lang w:val="es-ES"/>
                              </w:rPr>
                              <w:t>(PUBLICACIÓN)</w:t>
                            </w:r>
                          </w:p>
                          <w:p w:rsidR="008B3F87" w:rsidRPr="00C038BF" w:rsidRDefault="008B3F87" w:rsidP="004B7EB6">
                            <w:pPr>
                              <w:spacing w:line="276" w:lineRule="auto"/>
                              <w:rPr>
                                <w:rFonts w:asciiTheme="majorHAnsi" w:hAnsiTheme="majorHAnsi" w:cs="Arial"/>
                                <w:color w:val="0D0D0D" w:themeColor="text1" w:themeTint="F2"/>
                                <w:szCs w:val="22"/>
                                <w:lang w:val="es-ES"/>
                              </w:rPr>
                            </w:pPr>
                          </w:p>
                          <w:p w:rsidR="008B3F87" w:rsidRPr="00C038BF" w:rsidRDefault="008B3F87" w:rsidP="004B7EB6">
                            <w:pPr>
                              <w:spacing w:line="276" w:lineRule="auto"/>
                              <w:rPr>
                                <w:rFonts w:asciiTheme="majorHAnsi" w:hAnsiTheme="majorHAnsi" w:cs="Arial"/>
                                <w:color w:val="0D0D0D" w:themeColor="text1" w:themeTint="F2"/>
                                <w:szCs w:val="22"/>
                                <w:lang w:val="es-ES"/>
                              </w:rPr>
                            </w:pPr>
                            <w:r w:rsidRPr="00C038BF">
                              <w:rPr>
                                <w:rFonts w:asciiTheme="majorHAnsi" w:hAnsiTheme="majorHAnsi" w:cs="Arial"/>
                                <w:color w:val="0D0D0D" w:themeColor="text1" w:themeTint="F2"/>
                                <w:szCs w:val="22"/>
                                <w:lang w:val="es-ES"/>
                              </w:rPr>
                              <w:t>TRABAJADORES INDOCUMENTADOS</w:t>
                            </w:r>
                          </w:p>
                          <w:p w:rsidR="008B3F87" w:rsidRPr="00C038BF" w:rsidRDefault="008B3F87" w:rsidP="004B7EB6">
                            <w:pPr>
                              <w:spacing w:line="276" w:lineRule="auto"/>
                              <w:rPr>
                                <w:rFonts w:asciiTheme="majorHAnsi" w:hAnsiTheme="majorHAnsi"/>
                                <w:color w:val="0D0D0D" w:themeColor="text1" w:themeTint="F2"/>
                                <w:lang w:val="es-ES"/>
                              </w:rPr>
                            </w:pPr>
                            <w:r w:rsidRPr="00C038BF">
                              <w:rPr>
                                <w:rFonts w:asciiTheme="majorHAnsi" w:hAnsiTheme="majorHAnsi" w:cs="Arial"/>
                                <w:color w:val="0D0D0D" w:themeColor="text1" w:themeTint="F2"/>
                                <w:szCs w:val="22"/>
                                <w:lang w:val="es-ES"/>
                              </w:rPr>
                              <w:t xml:space="preserve">ESTADOS UNIDOS DE AMÉRICA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B3F87" w:rsidRPr="00C038BF" w:rsidRDefault="008B3F87" w:rsidP="004B7EB6">
                      <w:pPr>
                        <w:spacing w:line="276" w:lineRule="auto"/>
                        <w:rPr>
                          <w:rFonts w:asciiTheme="majorHAnsi" w:hAnsiTheme="majorHAnsi" w:cs="Arial"/>
                          <w:b/>
                          <w:bCs/>
                          <w:color w:val="0D0D0D" w:themeColor="text1" w:themeTint="F2"/>
                          <w:sz w:val="36"/>
                          <w:szCs w:val="40"/>
                          <w:lang w:val="es-ES"/>
                        </w:rPr>
                      </w:pPr>
                      <w:r w:rsidRPr="00C038BF">
                        <w:rPr>
                          <w:rFonts w:asciiTheme="majorHAnsi" w:hAnsiTheme="majorHAnsi" w:cs="Arial"/>
                          <w:b/>
                          <w:bCs/>
                          <w:color w:val="0D0D0D" w:themeColor="text1" w:themeTint="F2"/>
                          <w:sz w:val="36"/>
                          <w:szCs w:val="40"/>
                          <w:lang w:val="es-ES"/>
                        </w:rPr>
                        <w:t xml:space="preserve">INFORME No. </w:t>
                      </w:r>
                      <w:r w:rsidR="004F03D1">
                        <w:rPr>
                          <w:rFonts w:asciiTheme="majorHAnsi" w:hAnsiTheme="majorHAnsi" w:cs="Arial"/>
                          <w:b/>
                          <w:bCs/>
                          <w:color w:val="0D0D0D" w:themeColor="text1" w:themeTint="F2"/>
                          <w:sz w:val="36"/>
                          <w:szCs w:val="40"/>
                          <w:lang w:val="es-ES"/>
                        </w:rPr>
                        <w:t>50</w:t>
                      </w:r>
                      <w:r w:rsidRPr="00C038BF">
                        <w:rPr>
                          <w:rFonts w:asciiTheme="majorHAnsi" w:hAnsiTheme="majorHAnsi" w:cs="Arial"/>
                          <w:b/>
                          <w:bCs/>
                          <w:color w:val="0D0D0D" w:themeColor="text1" w:themeTint="F2"/>
                          <w:sz w:val="36"/>
                          <w:szCs w:val="40"/>
                          <w:lang w:val="es-ES"/>
                        </w:rPr>
                        <w:t>/</w:t>
                      </w:r>
                      <w:r>
                        <w:rPr>
                          <w:rFonts w:asciiTheme="majorHAnsi" w:hAnsiTheme="majorHAnsi" w:cs="Arial"/>
                          <w:b/>
                          <w:bCs/>
                          <w:color w:val="0D0D0D" w:themeColor="text1" w:themeTint="F2"/>
                          <w:sz w:val="36"/>
                          <w:szCs w:val="40"/>
                          <w:lang w:val="es-ES"/>
                        </w:rPr>
                        <w:t>16</w:t>
                      </w:r>
                    </w:p>
                    <w:p w:rsidR="008B3F87" w:rsidRPr="00C038BF" w:rsidRDefault="008B3F87" w:rsidP="004B7EB6">
                      <w:pPr>
                        <w:spacing w:line="276" w:lineRule="auto"/>
                        <w:rPr>
                          <w:rFonts w:asciiTheme="majorHAnsi" w:hAnsiTheme="majorHAnsi" w:cs="Arial"/>
                          <w:b/>
                          <w:bCs/>
                          <w:color w:val="0D0D0D" w:themeColor="text1" w:themeTint="F2"/>
                          <w:sz w:val="36"/>
                          <w:szCs w:val="40"/>
                          <w:lang w:val="es-ES"/>
                        </w:rPr>
                      </w:pPr>
                      <w:r w:rsidRPr="00C038BF">
                        <w:rPr>
                          <w:rFonts w:asciiTheme="majorHAnsi" w:hAnsiTheme="majorHAnsi" w:cs="Arial"/>
                          <w:b/>
                          <w:bCs/>
                          <w:color w:val="0D0D0D" w:themeColor="text1" w:themeTint="F2"/>
                          <w:sz w:val="36"/>
                          <w:szCs w:val="40"/>
                          <w:lang w:val="es-ES"/>
                        </w:rPr>
                        <w:t>CASO 12.834</w:t>
                      </w:r>
                    </w:p>
                    <w:p w:rsidR="008B3F87" w:rsidRPr="00C038BF" w:rsidRDefault="008B3F87" w:rsidP="004B7EB6">
                      <w:pPr>
                        <w:spacing w:line="276" w:lineRule="auto"/>
                        <w:rPr>
                          <w:rFonts w:asciiTheme="majorHAnsi" w:hAnsiTheme="majorHAnsi" w:cs="Arial"/>
                          <w:color w:val="0D0D0D" w:themeColor="text1" w:themeTint="F2"/>
                          <w:szCs w:val="22"/>
                          <w:lang w:val="es-ES"/>
                        </w:rPr>
                      </w:pPr>
                      <w:r w:rsidRPr="00C038BF">
                        <w:rPr>
                          <w:rFonts w:asciiTheme="majorHAnsi" w:hAnsiTheme="majorHAnsi" w:cs="Arial"/>
                          <w:color w:val="0D0D0D" w:themeColor="text1" w:themeTint="F2"/>
                          <w:szCs w:val="22"/>
                          <w:lang w:val="es-ES"/>
                        </w:rPr>
                        <w:t xml:space="preserve">INFORME DE FONDO </w:t>
                      </w:r>
                      <w:r>
                        <w:rPr>
                          <w:rFonts w:asciiTheme="majorHAnsi" w:hAnsiTheme="majorHAnsi" w:cs="Arial"/>
                          <w:color w:val="0D0D0D" w:themeColor="text1" w:themeTint="F2"/>
                          <w:szCs w:val="22"/>
                          <w:lang w:val="es-ES"/>
                        </w:rPr>
                        <w:t>(PUBLICACIÓN)</w:t>
                      </w:r>
                    </w:p>
                    <w:p w:rsidR="008B3F87" w:rsidRPr="00C038BF" w:rsidRDefault="008B3F87" w:rsidP="004B7EB6">
                      <w:pPr>
                        <w:spacing w:line="276" w:lineRule="auto"/>
                        <w:rPr>
                          <w:rFonts w:asciiTheme="majorHAnsi" w:hAnsiTheme="majorHAnsi" w:cs="Arial"/>
                          <w:color w:val="0D0D0D" w:themeColor="text1" w:themeTint="F2"/>
                          <w:szCs w:val="22"/>
                          <w:lang w:val="es-ES"/>
                        </w:rPr>
                      </w:pPr>
                    </w:p>
                    <w:p w:rsidR="008B3F87" w:rsidRPr="00C038BF" w:rsidRDefault="008B3F87" w:rsidP="004B7EB6">
                      <w:pPr>
                        <w:spacing w:line="276" w:lineRule="auto"/>
                        <w:rPr>
                          <w:rFonts w:asciiTheme="majorHAnsi" w:hAnsiTheme="majorHAnsi" w:cs="Arial"/>
                          <w:color w:val="0D0D0D" w:themeColor="text1" w:themeTint="F2"/>
                          <w:szCs w:val="22"/>
                          <w:lang w:val="es-ES"/>
                        </w:rPr>
                      </w:pPr>
                      <w:r w:rsidRPr="00C038BF">
                        <w:rPr>
                          <w:rFonts w:asciiTheme="majorHAnsi" w:hAnsiTheme="majorHAnsi" w:cs="Arial"/>
                          <w:color w:val="0D0D0D" w:themeColor="text1" w:themeTint="F2"/>
                          <w:szCs w:val="22"/>
                          <w:lang w:val="es-ES"/>
                        </w:rPr>
                        <w:t>TRABAJADORES INDOCUMENTADOS</w:t>
                      </w:r>
                    </w:p>
                    <w:p w:rsidR="008B3F87" w:rsidRPr="00C038BF" w:rsidRDefault="008B3F87" w:rsidP="004B7EB6">
                      <w:pPr>
                        <w:spacing w:line="276" w:lineRule="auto"/>
                        <w:rPr>
                          <w:rFonts w:asciiTheme="majorHAnsi" w:hAnsiTheme="majorHAnsi"/>
                          <w:color w:val="0D0D0D" w:themeColor="text1" w:themeTint="F2"/>
                          <w:lang w:val="es-ES"/>
                        </w:rPr>
                      </w:pPr>
                      <w:r w:rsidRPr="00C038BF">
                        <w:rPr>
                          <w:rFonts w:asciiTheme="majorHAnsi" w:hAnsiTheme="majorHAnsi" w:cs="Arial"/>
                          <w:color w:val="0D0D0D" w:themeColor="text1" w:themeTint="F2"/>
                          <w:szCs w:val="22"/>
                          <w:lang w:val="es-ES"/>
                        </w:rPr>
                        <w:t xml:space="preserve">ESTADOS UNIDOS DE AMÉRICA </w:t>
                      </w:r>
                    </w:p>
                  </w:txbxContent>
                </v:textbox>
              </v:shape>
            </w:pict>
          </mc:Fallback>
        </mc:AlternateContent>
      </w:r>
      <w:r w:rsidR="004B7EB6" w:rsidRPr="00A16D6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5C02ADE" wp14:editId="78395D7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F87" w:rsidRPr="00256A88" w:rsidRDefault="008B3F87" w:rsidP="002C1641">
                            <w:pPr>
                              <w:jc w:val="right"/>
                              <w:rPr>
                                <w:rFonts w:asciiTheme="minorHAnsi" w:hAnsiTheme="minorHAnsi"/>
                                <w:color w:val="FFFFFF" w:themeColor="background1"/>
                                <w:sz w:val="22"/>
                                <w:lang w:val="pt-BR"/>
                              </w:rPr>
                            </w:pPr>
                            <w:r w:rsidRPr="00256A88">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159</w:t>
                            </w:r>
                          </w:p>
                          <w:p w:rsidR="008B3F87" w:rsidRPr="00256A88" w:rsidRDefault="008B3F87" w:rsidP="002C1641">
                            <w:pPr>
                              <w:jc w:val="right"/>
                              <w:rPr>
                                <w:rFonts w:asciiTheme="minorHAnsi" w:hAnsiTheme="minorHAnsi"/>
                                <w:color w:val="FFFFFF" w:themeColor="background1"/>
                                <w:sz w:val="22"/>
                                <w:lang w:val="pt-BR"/>
                              </w:rPr>
                            </w:pPr>
                            <w:r w:rsidRPr="00256A88">
                              <w:rPr>
                                <w:rFonts w:asciiTheme="minorHAnsi" w:hAnsiTheme="minorHAnsi"/>
                                <w:color w:val="FFFFFF" w:themeColor="background1"/>
                                <w:sz w:val="22"/>
                                <w:lang w:val="pt-BR"/>
                              </w:rPr>
                              <w:t>Doc.</w:t>
                            </w:r>
                            <w:r>
                              <w:rPr>
                                <w:rFonts w:asciiTheme="minorHAnsi" w:hAnsiTheme="minorHAnsi"/>
                                <w:color w:val="FFFFFF" w:themeColor="background1"/>
                                <w:sz w:val="22"/>
                                <w:lang w:val="pt-BR"/>
                              </w:rPr>
                              <w:t>xx</w:t>
                            </w:r>
                          </w:p>
                          <w:p w:rsidR="008B3F87" w:rsidRPr="00445DF8" w:rsidRDefault="008B3F87" w:rsidP="002C1641">
                            <w:pPr>
                              <w:jc w:val="right"/>
                              <w:rPr>
                                <w:rFonts w:asciiTheme="minorHAnsi" w:hAnsiTheme="minorHAnsi"/>
                                <w:color w:val="FFFFFF" w:themeColor="background1"/>
                                <w:sz w:val="22"/>
                                <w:lang w:val="pt-BR"/>
                              </w:rPr>
                            </w:pPr>
                            <w:r w:rsidRPr="00445DF8">
                              <w:rPr>
                                <w:rFonts w:asciiTheme="minorHAnsi" w:hAnsiTheme="minorHAnsi"/>
                                <w:color w:val="FFFFFF" w:themeColor="background1"/>
                                <w:sz w:val="22"/>
                                <w:lang w:val="pt-BR"/>
                              </w:rPr>
                              <w:t xml:space="preserve">xx </w:t>
                            </w:r>
                          </w:p>
                          <w:p w:rsidR="008B3F87" w:rsidRPr="00C038BF" w:rsidRDefault="008B3F87" w:rsidP="002C1641">
                            <w:pPr>
                              <w:jc w:val="right"/>
                              <w:rPr>
                                <w:rFonts w:asciiTheme="minorHAnsi" w:hAnsiTheme="minorHAnsi"/>
                                <w:color w:val="FFFFFF" w:themeColor="background1"/>
                                <w:sz w:val="22"/>
                                <w:lang w:val="es-ES"/>
                              </w:rPr>
                            </w:pPr>
                            <w:r w:rsidRPr="00C038BF">
                              <w:rPr>
                                <w:rFonts w:asciiTheme="minorHAnsi" w:hAnsiTheme="minorHAns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8B3F87" w:rsidRPr="00256A88" w:rsidRDefault="008B3F87" w:rsidP="002C1641">
                      <w:pPr>
                        <w:jc w:val="right"/>
                        <w:rPr>
                          <w:rFonts w:asciiTheme="minorHAnsi" w:hAnsiTheme="minorHAnsi"/>
                          <w:color w:val="FFFFFF" w:themeColor="background1"/>
                          <w:sz w:val="22"/>
                          <w:lang w:val="pt-BR"/>
                        </w:rPr>
                      </w:pPr>
                      <w:r w:rsidRPr="00256A88">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159</w:t>
                      </w:r>
                    </w:p>
                    <w:p w:rsidR="008B3F87" w:rsidRPr="00256A88" w:rsidRDefault="008B3F87" w:rsidP="002C1641">
                      <w:pPr>
                        <w:jc w:val="right"/>
                        <w:rPr>
                          <w:rFonts w:asciiTheme="minorHAnsi" w:hAnsiTheme="minorHAnsi"/>
                          <w:color w:val="FFFFFF" w:themeColor="background1"/>
                          <w:sz w:val="22"/>
                          <w:lang w:val="pt-BR"/>
                        </w:rPr>
                      </w:pPr>
                      <w:r w:rsidRPr="00256A88">
                        <w:rPr>
                          <w:rFonts w:asciiTheme="minorHAnsi" w:hAnsiTheme="minorHAnsi"/>
                          <w:color w:val="FFFFFF" w:themeColor="background1"/>
                          <w:sz w:val="22"/>
                          <w:lang w:val="pt-BR"/>
                        </w:rPr>
                        <w:t>Doc.</w:t>
                      </w:r>
                      <w:r>
                        <w:rPr>
                          <w:rFonts w:asciiTheme="minorHAnsi" w:hAnsiTheme="minorHAnsi"/>
                          <w:color w:val="FFFFFF" w:themeColor="background1"/>
                          <w:sz w:val="22"/>
                          <w:lang w:val="pt-BR"/>
                        </w:rPr>
                        <w:t>xx</w:t>
                      </w:r>
                    </w:p>
                    <w:p w:rsidR="008B3F87" w:rsidRPr="00445DF8" w:rsidRDefault="008B3F87" w:rsidP="002C1641">
                      <w:pPr>
                        <w:jc w:val="right"/>
                        <w:rPr>
                          <w:rFonts w:asciiTheme="minorHAnsi" w:hAnsiTheme="minorHAnsi"/>
                          <w:color w:val="FFFFFF" w:themeColor="background1"/>
                          <w:sz w:val="22"/>
                          <w:lang w:val="pt-BR"/>
                        </w:rPr>
                      </w:pPr>
                      <w:r w:rsidRPr="00445DF8">
                        <w:rPr>
                          <w:rFonts w:asciiTheme="minorHAnsi" w:hAnsiTheme="minorHAnsi"/>
                          <w:color w:val="FFFFFF" w:themeColor="background1"/>
                          <w:sz w:val="22"/>
                          <w:lang w:val="pt-BR"/>
                        </w:rPr>
                        <w:t xml:space="preserve">xx </w:t>
                      </w:r>
                    </w:p>
                    <w:p w:rsidR="008B3F87" w:rsidRPr="00C038BF" w:rsidRDefault="008B3F87" w:rsidP="002C1641">
                      <w:pPr>
                        <w:jc w:val="right"/>
                        <w:rPr>
                          <w:rFonts w:asciiTheme="minorHAnsi" w:hAnsiTheme="minorHAnsi"/>
                          <w:color w:val="FFFFFF" w:themeColor="background1"/>
                          <w:sz w:val="22"/>
                          <w:lang w:val="es-ES"/>
                        </w:rPr>
                      </w:pPr>
                      <w:r w:rsidRPr="00C038BF">
                        <w:rPr>
                          <w:rFonts w:asciiTheme="minorHAnsi" w:hAnsiTheme="minorHAnsi"/>
                          <w:color w:val="FFFFFF" w:themeColor="background1"/>
                          <w:sz w:val="22"/>
                          <w:lang w:val="es-ES"/>
                        </w:rPr>
                        <w:t>Original: inglés</w:t>
                      </w:r>
                    </w:p>
                  </w:txbxContent>
                </v:textbox>
              </v:shape>
            </w:pict>
          </mc:Fallback>
        </mc:AlternateContent>
      </w:r>
    </w:p>
    <w:p w:rsidR="00040C3A" w:rsidRPr="00712E83" w:rsidRDefault="00040C3A" w:rsidP="00040C3A">
      <w:pPr>
        <w:tabs>
          <w:tab w:val="center" w:pos="5400"/>
        </w:tabs>
        <w:suppressAutoHyphens/>
        <w:jc w:val="center"/>
        <w:rPr>
          <w:rFonts w:asciiTheme="majorHAnsi" w:hAnsiTheme="majorHAnsi"/>
          <w:sz w:val="22"/>
          <w:szCs w:val="22"/>
          <w:lang w:val="es-PE"/>
        </w:rPr>
      </w:pPr>
    </w:p>
    <w:p w:rsidR="00040C3A" w:rsidRPr="00712E83" w:rsidRDefault="008B3F87" w:rsidP="00040C3A">
      <w:pPr>
        <w:tabs>
          <w:tab w:val="center" w:pos="5400"/>
        </w:tabs>
        <w:suppressAutoHyphens/>
        <w:jc w:val="center"/>
        <w:rPr>
          <w:rFonts w:asciiTheme="majorHAnsi" w:hAnsiTheme="majorHAnsi" w:cs="Arial"/>
          <w:sz w:val="22"/>
          <w:szCs w:val="22"/>
          <w:lang w:val="es-PE"/>
        </w:rPr>
      </w:pPr>
      <w:r w:rsidRPr="003C32BC">
        <w:rPr>
          <w:rFonts w:asciiTheme="majorHAnsi" w:hAnsiTheme="majorHAnsi"/>
          <w:noProof/>
          <w:sz w:val="22"/>
          <w:szCs w:val="22"/>
        </w:rPr>
        <mc:AlternateContent>
          <mc:Choice Requires="wps">
            <w:drawing>
              <wp:anchor distT="0" distB="0" distL="114300" distR="114300" simplePos="0" relativeHeight="251689984" behindDoc="0" locked="0" layoutInCell="1" allowOverlap="1" wp14:anchorId="73BCB7C1" wp14:editId="29E2588E">
                <wp:simplePos x="0" y="0"/>
                <wp:positionH relativeFrom="column">
                  <wp:posOffset>-723900</wp:posOffset>
                </wp:positionH>
                <wp:positionV relativeFrom="paragraph">
                  <wp:posOffset>12065</wp:posOffset>
                </wp:positionV>
                <wp:extent cx="1724025" cy="137731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2402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F87" w:rsidRPr="00BA051B" w:rsidRDefault="008B3F87" w:rsidP="008B3F87">
                            <w:pPr>
                              <w:jc w:val="right"/>
                              <w:rPr>
                                <w:rFonts w:asciiTheme="minorHAnsi" w:hAnsiTheme="minorHAnsi"/>
                                <w:color w:val="FFFFFF" w:themeColor="background1"/>
                                <w:sz w:val="22"/>
                                <w:lang w:val="pt-BR"/>
                              </w:rPr>
                            </w:pPr>
                            <w:r w:rsidRPr="00BA051B">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159</w:t>
                            </w:r>
                          </w:p>
                          <w:p w:rsidR="008B3F87" w:rsidRPr="00BA051B" w:rsidRDefault="008B3F87" w:rsidP="008B3F87">
                            <w:pPr>
                              <w:jc w:val="right"/>
                              <w:rPr>
                                <w:rFonts w:asciiTheme="minorHAnsi" w:hAnsiTheme="minorHAnsi"/>
                                <w:color w:val="FFFFFF" w:themeColor="background1"/>
                                <w:sz w:val="22"/>
                                <w:lang w:val="pt-BR"/>
                              </w:rPr>
                            </w:pPr>
                            <w:r w:rsidRPr="00BA051B">
                              <w:rPr>
                                <w:rFonts w:asciiTheme="minorHAnsi" w:hAnsiTheme="minorHAnsi"/>
                                <w:color w:val="FFFFFF" w:themeColor="background1"/>
                                <w:sz w:val="22"/>
                                <w:lang w:val="pt-BR"/>
                              </w:rPr>
                              <w:t xml:space="preserve">Doc. </w:t>
                            </w:r>
                            <w:r w:rsidR="004F03D1">
                              <w:rPr>
                                <w:rFonts w:asciiTheme="minorHAnsi" w:hAnsiTheme="minorHAnsi"/>
                                <w:color w:val="FFFFFF" w:themeColor="background1"/>
                                <w:sz w:val="22"/>
                                <w:lang w:val="pt-BR"/>
                              </w:rPr>
                              <w:t>59</w:t>
                            </w:r>
                          </w:p>
                          <w:p w:rsidR="008B3F87" w:rsidRPr="004B7EB6" w:rsidRDefault="004F03D1" w:rsidP="008B3F87">
                            <w:pPr>
                              <w:jc w:val="right"/>
                              <w:rPr>
                                <w:rFonts w:asciiTheme="minorHAnsi" w:hAnsiTheme="minorHAnsi"/>
                                <w:color w:val="FFFFFF" w:themeColor="background1"/>
                                <w:sz w:val="22"/>
                              </w:rPr>
                            </w:pPr>
                            <w:r>
                              <w:rPr>
                                <w:rFonts w:asciiTheme="minorHAnsi" w:hAnsiTheme="minorHAnsi"/>
                                <w:color w:val="FFFFFF" w:themeColor="background1"/>
                                <w:sz w:val="22"/>
                              </w:rPr>
                              <w:t xml:space="preserve">30 noviembre </w:t>
                            </w:r>
                            <w:r w:rsidR="008B3F87">
                              <w:rPr>
                                <w:rFonts w:asciiTheme="minorHAnsi" w:hAnsiTheme="minorHAnsi"/>
                                <w:color w:val="FFFFFF" w:themeColor="background1"/>
                                <w:sz w:val="22"/>
                              </w:rPr>
                              <w:t>2016</w:t>
                            </w:r>
                          </w:p>
                          <w:p w:rsidR="008B3F87" w:rsidRPr="004B7EB6" w:rsidRDefault="008B3F87" w:rsidP="008B3F87">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4F03D1">
                              <w:rPr>
                                <w:rFonts w:asciiTheme="minorHAnsi" w:hAnsiTheme="minorHAnsi"/>
                                <w:color w:val="FFFFFF" w:themeColor="background1"/>
                                <w:sz w:val="22"/>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57pt;margin-top:.95pt;width:135.75pt;height:10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" filled="f" stroked="f" strokeweight=".5pt">
                <v:textbox>
                  <w:txbxContent>
                    <w:p w:rsidR="008B3F87" w:rsidRPr="00BA051B" w:rsidRDefault="008B3F87" w:rsidP="008B3F87">
                      <w:pPr>
                        <w:jc w:val="right"/>
                        <w:rPr>
                          <w:rFonts w:asciiTheme="minorHAnsi" w:hAnsiTheme="minorHAnsi"/>
                          <w:color w:val="FFFFFF" w:themeColor="background1"/>
                          <w:sz w:val="22"/>
                          <w:lang w:val="pt-BR"/>
                        </w:rPr>
                      </w:pPr>
                      <w:r w:rsidRPr="00BA051B">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159</w:t>
                      </w:r>
                    </w:p>
                    <w:p w:rsidR="008B3F87" w:rsidRPr="00BA051B" w:rsidRDefault="008B3F87" w:rsidP="008B3F87">
                      <w:pPr>
                        <w:jc w:val="right"/>
                        <w:rPr>
                          <w:rFonts w:asciiTheme="minorHAnsi" w:hAnsiTheme="minorHAnsi"/>
                          <w:color w:val="FFFFFF" w:themeColor="background1"/>
                          <w:sz w:val="22"/>
                          <w:lang w:val="pt-BR"/>
                        </w:rPr>
                      </w:pPr>
                      <w:r w:rsidRPr="00BA051B">
                        <w:rPr>
                          <w:rFonts w:asciiTheme="minorHAnsi" w:hAnsiTheme="minorHAnsi"/>
                          <w:color w:val="FFFFFF" w:themeColor="background1"/>
                          <w:sz w:val="22"/>
                          <w:lang w:val="pt-BR"/>
                        </w:rPr>
                        <w:t xml:space="preserve">Doc. </w:t>
                      </w:r>
                      <w:r w:rsidR="004F03D1">
                        <w:rPr>
                          <w:rFonts w:asciiTheme="minorHAnsi" w:hAnsiTheme="minorHAnsi"/>
                          <w:color w:val="FFFFFF" w:themeColor="background1"/>
                          <w:sz w:val="22"/>
                          <w:lang w:val="pt-BR"/>
                        </w:rPr>
                        <w:t>59</w:t>
                      </w:r>
                    </w:p>
                    <w:p w:rsidR="008B3F87" w:rsidRPr="004B7EB6" w:rsidRDefault="004F03D1" w:rsidP="008B3F87">
                      <w:pPr>
                        <w:jc w:val="right"/>
                        <w:rPr>
                          <w:rFonts w:asciiTheme="minorHAnsi" w:hAnsiTheme="minorHAnsi"/>
                          <w:color w:val="FFFFFF" w:themeColor="background1"/>
                          <w:sz w:val="22"/>
                        </w:rPr>
                      </w:pPr>
                      <w:r>
                        <w:rPr>
                          <w:rFonts w:asciiTheme="minorHAnsi" w:hAnsiTheme="minorHAnsi"/>
                          <w:color w:val="FFFFFF" w:themeColor="background1"/>
                          <w:sz w:val="22"/>
                        </w:rPr>
                        <w:t xml:space="preserve">30 noviembre </w:t>
                      </w:r>
                      <w:r w:rsidR="008B3F87">
                        <w:rPr>
                          <w:rFonts w:asciiTheme="minorHAnsi" w:hAnsiTheme="minorHAnsi"/>
                          <w:color w:val="FFFFFF" w:themeColor="background1"/>
                          <w:sz w:val="22"/>
                        </w:rPr>
                        <w:t>2016</w:t>
                      </w:r>
                    </w:p>
                    <w:p w:rsidR="008B3F87" w:rsidRPr="004B7EB6" w:rsidRDefault="008B3F87" w:rsidP="008B3F87">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4F03D1">
                        <w:rPr>
                          <w:rFonts w:asciiTheme="minorHAnsi" w:hAnsiTheme="minorHAnsi"/>
                          <w:color w:val="FFFFFF" w:themeColor="background1"/>
                          <w:sz w:val="22"/>
                        </w:rPr>
                        <w:t>Inglés</w:t>
                      </w:r>
                    </w:p>
                  </w:txbxContent>
                </v:textbox>
              </v:shape>
            </w:pict>
          </mc:Fallback>
        </mc:AlternateContent>
      </w:r>
    </w:p>
    <w:p w:rsidR="00040C3A" w:rsidRPr="00712E83" w:rsidRDefault="00040C3A" w:rsidP="00040C3A">
      <w:pPr>
        <w:tabs>
          <w:tab w:val="center" w:pos="5400"/>
        </w:tabs>
        <w:suppressAutoHyphens/>
        <w:jc w:val="center"/>
        <w:rPr>
          <w:rFonts w:asciiTheme="majorHAnsi" w:hAnsiTheme="majorHAnsi"/>
          <w:sz w:val="22"/>
          <w:szCs w:val="22"/>
          <w:lang w:val="es-PE"/>
        </w:rPr>
      </w:pPr>
    </w:p>
    <w:p w:rsidR="00040C3A" w:rsidRPr="00712E83" w:rsidRDefault="00040C3A" w:rsidP="00040C3A">
      <w:pPr>
        <w:tabs>
          <w:tab w:val="center" w:pos="5400"/>
        </w:tabs>
        <w:suppressAutoHyphens/>
        <w:jc w:val="center"/>
        <w:rPr>
          <w:rFonts w:asciiTheme="majorHAnsi" w:hAnsiTheme="majorHAnsi"/>
          <w:sz w:val="22"/>
          <w:szCs w:val="22"/>
          <w:lang w:val="es-PE"/>
        </w:rPr>
      </w:pPr>
    </w:p>
    <w:p w:rsidR="00040C3A" w:rsidRPr="00712E83" w:rsidRDefault="00040C3A" w:rsidP="00040C3A">
      <w:pPr>
        <w:tabs>
          <w:tab w:val="center" w:pos="5400"/>
        </w:tabs>
        <w:suppressAutoHyphens/>
        <w:jc w:val="center"/>
        <w:rPr>
          <w:rFonts w:asciiTheme="majorHAnsi" w:hAnsiTheme="majorHAnsi"/>
          <w:sz w:val="22"/>
          <w:szCs w:val="22"/>
          <w:lang w:val="es-PE"/>
        </w:rPr>
      </w:pPr>
    </w:p>
    <w:p w:rsidR="00040C3A" w:rsidRPr="00712E83" w:rsidRDefault="00040C3A" w:rsidP="00040C3A">
      <w:pPr>
        <w:tabs>
          <w:tab w:val="center" w:pos="5400"/>
        </w:tabs>
        <w:suppressAutoHyphens/>
        <w:jc w:val="center"/>
        <w:rPr>
          <w:rFonts w:asciiTheme="majorHAnsi" w:hAnsiTheme="majorHAnsi"/>
          <w:sz w:val="22"/>
          <w:szCs w:val="22"/>
          <w:lang w:val="es-PE"/>
        </w:rPr>
      </w:pPr>
    </w:p>
    <w:p w:rsidR="005128E4" w:rsidRPr="00712E83" w:rsidRDefault="005128E4" w:rsidP="00040C3A">
      <w:pPr>
        <w:tabs>
          <w:tab w:val="center" w:pos="5400"/>
        </w:tabs>
        <w:suppressAutoHyphens/>
        <w:jc w:val="center"/>
        <w:rPr>
          <w:rFonts w:asciiTheme="majorHAnsi" w:hAnsiTheme="majorHAnsi"/>
          <w:sz w:val="22"/>
          <w:szCs w:val="22"/>
          <w:lang w:val="es-PE"/>
        </w:rPr>
      </w:pPr>
    </w:p>
    <w:p w:rsidR="00040C3A" w:rsidRPr="00712E83" w:rsidRDefault="00040C3A" w:rsidP="00040C3A">
      <w:pPr>
        <w:tabs>
          <w:tab w:val="center" w:pos="5400"/>
        </w:tabs>
        <w:suppressAutoHyphens/>
        <w:jc w:val="center"/>
        <w:rPr>
          <w:rFonts w:asciiTheme="majorHAnsi" w:hAnsiTheme="majorHAnsi"/>
          <w:sz w:val="22"/>
          <w:szCs w:val="22"/>
          <w:lang w:val="es-PE"/>
        </w:rPr>
      </w:pPr>
    </w:p>
    <w:p w:rsidR="005128E4" w:rsidRPr="00712E83" w:rsidRDefault="005128E4" w:rsidP="00040C3A">
      <w:pPr>
        <w:tabs>
          <w:tab w:val="center" w:pos="5400"/>
        </w:tabs>
        <w:suppressAutoHyphens/>
        <w:jc w:val="center"/>
        <w:rPr>
          <w:rFonts w:asciiTheme="majorHAnsi" w:hAnsiTheme="majorHAnsi"/>
          <w:sz w:val="22"/>
          <w:szCs w:val="22"/>
          <w:lang w:val="es-PE"/>
        </w:rPr>
      </w:pPr>
    </w:p>
    <w:p w:rsidR="005128E4" w:rsidRPr="00712E83" w:rsidRDefault="005128E4" w:rsidP="00040C3A">
      <w:pPr>
        <w:tabs>
          <w:tab w:val="center" w:pos="5400"/>
        </w:tabs>
        <w:suppressAutoHyphens/>
        <w:jc w:val="center"/>
        <w:rPr>
          <w:rFonts w:asciiTheme="majorHAnsi" w:hAnsiTheme="majorHAnsi"/>
          <w:sz w:val="22"/>
          <w:szCs w:val="22"/>
          <w:lang w:val="es-PE"/>
        </w:rPr>
      </w:pPr>
    </w:p>
    <w:p w:rsidR="005128E4" w:rsidRPr="00712E83" w:rsidRDefault="005128E4" w:rsidP="00040C3A">
      <w:pPr>
        <w:tabs>
          <w:tab w:val="center" w:pos="5400"/>
        </w:tabs>
        <w:suppressAutoHyphens/>
        <w:jc w:val="center"/>
        <w:rPr>
          <w:rFonts w:asciiTheme="majorHAnsi" w:hAnsiTheme="majorHAnsi"/>
          <w:sz w:val="22"/>
          <w:szCs w:val="22"/>
          <w:lang w:val="es-PE"/>
        </w:rPr>
      </w:pPr>
    </w:p>
    <w:p w:rsidR="00040C3A" w:rsidRPr="00712E83" w:rsidRDefault="00040C3A" w:rsidP="00040C3A">
      <w:pPr>
        <w:tabs>
          <w:tab w:val="center" w:pos="5400"/>
        </w:tabs>
        <w:suppressAutoHyphens/>
        <w:jc w:val="center"/>
        <w:rPr>
          <w:rFonts w:asciiTheme="majorHAnsi" w:hAnsiTheme="majorHAnsi"/>
          <w:sz w:val="22"/>
          <w:szCs w:val="22"/>
          <w:lang w:val="es-PE"/>
        </w:rPr>
      </w:pPr>
    </w:p>
    <w:p w:rsidR="00040C3A" w:rsidRPr="00712E83" w:rsidRDefault="00040C3A" w:rsidP="00040C3A">
      <w:pPr>
        <w:tabs>
          <w:tab w:val="center" w:pos="5400"/>
        </w:tabs>
        <w:suppressAutoHyphens/>
        <w:jc w:val="center"/>
        <w:rPr>
          <w:rFonts w:asciiTheme="majorHAnsi" w:hAnsiTheme="majorHAnsi"/>
          <w:sz w:val="22"/>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3C32BC" w:rsidP="00040C3A">
      <w:pPr>
        <w:tabs>
          <w:tab w:val="center" w:pos="5400"/>
        </w:tabs>
        <w:suppressAutoHyphens/>
        <w:jc w:val="center"/>
        <w:rPr>
          <w:rFonts w:asciiTheme="majorHAnsi" w:hAnsiTheme="majorHAnsi"/>
          <w:sz w:val="18"/>
          <w:szCs w:val="22"/>
          <w:lang w:val="es-PE"/>
        </w:rPr>
      </w:pPr>
      <w:r w:rsidRPr="00A16D6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6F7A1BB" wp14:editId="1504796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F87" w:rsidRDefault="008B3F87" w:rsidP="004165C2">
                            <w:pPr>
                              <w:tabs>
                                <w:tab w:val="center" w:pos="5400"/>
                              </w:tabs>
                              <w:suppressAutoHyphens/>
                              <w:spacing w:before="60"/>
                              <w:rPr>
                                <w:rFonts w:asciiTheme="majorHAnsi" w:hAnsiTheme="majorHAnsi"/>
                                <w:color w:val="0D0D0D" w:themeColor="text1" w:themeTint="F2"/>
                                <w:sz w:val="18"/>
                                <w:szCs w:val="22"/>
                                <w:lang w:val="es-US"/>
                              </w:rPr>
                            </w:pPr>
                            <w:r w:rsidRPr="00890650">
                              <w:rPr>
                                <w:rFonts w:asciiTheme="majorHAnsi" w:hAnsiTheme="majorHAnsi"/>
                                <w:color w:val="0D0D0D" w:themeColor="text1" w:themeTint="F2"/>
                                <w:sz w:val="18"/>
                                <w:szCs w:val="20"/>
                                <w:lang w:val="es-ES"/>
                              </w:rPr>
                              <w:t>Aprobado por la Comisión</w:t>
                            </w:r>
                            <w:r w:rsidR="006B6EDB">
                              <w:rPr>
                                <w:rFonts w:asciiTheme="majorHAnsi" w:hAnsiTheme="majorHAnsi"/>
                                <w:color w:val="0D0D0D" w:themeColor="text1" w:themeTint="F2"/>
                                <w:sz w:val="18"/>
                                <w:szCs w:val="20"/>
                                <w:lang w:val="es-ES"/>
                              </w:rPr>
                              <w:t xml:space="preserve"> en su sesión</w:t>
                            </w:r>
                            <w:r w:rsidR="00A67D54">
                              <w:rPr>
                                <w:rFonts w:asciiTheme="majorHAnsi" w:hAnsiTheme="majorHAnsi"/>
                                <w:color w:val="0D0D0D" w:themeColor="text1" w:themeTint="F2"/>
                                <w:sz w:val="18"/>
                                <w:szCs w:val="20"/>
                                <w:lang w:val="es-ES"/>
                              </w:rPr>
                              <w:t xml:space="preserve"> No.</w:t>
                            </w:r>
                            <w:r w:rsidR="006B6EDB">
                              <w:rPr>
                                <w:rFonts w:asciiTheme="majorHAnsi" w:hAnsiTheme="majorHAnsi"/>
                                <w:color w:val="0D0D0D" w:themeColor="text1" w:themeTint="F2"/>
                                <w:sz w:val="18"/>
                                <w:szCs w:val="20"/>
                                <w:lang w:val="es-ES"/>
                              </w:rPr>
                              <w:t xml:space="preserve"> 2069 celebrada</w:t>
                            </w:r>
                            <w:r w:rsidRPr="00890650">
                              <w:rPr>
                                <w:rFonts w:asciiTheme="majorHAnsi" w:hAnsiTheme="majorHAnsi"/>
                                <w:color w:val="0D0D0D" w:themeColor="text1" w:themeTint="F2"/>
                                <w:sz w:val="18"/>
                                <w:szCs w:val="20"/>
                                <w:lang w:val="es-ES"/>
                              </w:rPr>
                              <w:t xml:space="preserve"> el</w:t>
                            </w:r>
                            <w:r>
                              <w:rPr>
                                <w:rFonts w:asciiTheme="majorHAnsi" w:hAnsiTheme="majorHAnsi"/>
                                <w:color w:val="0D0D0D" w:themeColor="text1" w:themeTint="F2"/>
                                <w:sz w:val="18"/>
                                <w:szCs w:val="22"/>
                                <w:lang w:val="es-US"/>
                              </w:rPr>
                              <w:t xml:space="preserve"> </w:t>
                            </w:r>
                            <w:r w:rsidR="004F03D1">
                              <w:rPr>
                                <w:rFonts w:asciiTheme="majorHAnsi" w:hAnsiTheme="majorHAnsi"/>
                                <w:color w:val="0D0D0D" w:themeColor="text1" w:themeTint="F2"/>
                                <w:sz w:val="18"/>
                                <w:szCs w:val="22"/>
                                <w:lang w:val="es-US"/>
                              </w:rPr>
                              <w:t>30 de noviembre de 2016</w:t>
                            </w:r>
                            <w:r w:rsidR="006B6EDB">
                              <w:rPr>
                                <w:rFonts w:asciiTheme="majorHAnsi" w:hAnsiTheme="majorHAnsi"/>
                                <w:color w:val="0D0D0D" w:themeColor="text1" w:themeTint="F2"/>
                                <w:sz w:val="18"/>
                                <w:szCs w:val="22"/>
                                <w:lang w:val="es-US"/>
                              </w:rPr>
                              <w:t>.</w:t>
                            </w:r>
                          </w:p>
                          <w:p w:rsidR="004F03D1" w:rsidRPr="00256A88" w:rsidRDefault="004F03D1" w:rsidP="004165C2">
                            <w:pPr>
                              <w:tabs>
                                <w:tab w:val="center" w:pos="5400"/>
                              </w:tabs>
                              <w:suppressAutoHyphens/>
                              <w:spacing w:before="60"/>
                              <w:rPr>
                                <w:rFonts w:asciiTheme="majorHAnsi" w:hAnsiTheme="majorHAnsi"/>
                                <w:color w:val="0D0D0D" w:themeColor="text1" w:themeTint="F2"/>
                                <w:sz w:val="18"/>
                                <w:szCs w:val="22"/>
                                <w:lang w:val="es-US"/>
                              </w:rPr>
                            </w:pPr>
                            <w:r>
                              <w:rPr>
                                <w:rFonts w:asciiTheme="majorHAnsi" w:hAnsiTheme="majorHAnsi"/>
                                <w:color w:val="0D0D0D" w:themeColor="text1" w:themeTint="F2"/>
                                <w:sz w:val="18"/>
                                <w:szCs w:val="22"/>
                                <w:lang w:val="es-US"/>
                              </w:rPr>
                              <w:t>159</w:t>
                            </w:r>
                            <w:r w:rsidR="006B6EDB">
                              <w:rPr>
                                <w:rFonts w:asciiTheme="majorHAnsi" w:hAnsiTheme="majorHAnsi"/>
                                <w:color w:val="0D0D0D" w:themeColor="text1" w:themeTint="F2"/>
                                <w:sz w:val="18"/>
                                <w:szCs w:val="22"/>
                                <w:lang w:val="es-US"/>
                              </w:rPr>
                              <w:t>º p</w:t>
                            </w:r>
                            <w:r>
                              <w:rPr>
                                <w:rFonts w:asciiTheme="majorHAnsi" w:hAnsiTheme="majorHAnsi"/>
                                <w:color w:val="0D0D0D" w:themeColor="text1" w:themeTint="F2"/>
                                <w:sz w:val="18"/>
                                <w:szCs w:val="22"/>
                                <w:lang w:val="es-US"/>
                              </w:rPr>
                              <w:t xml:space="preserve">eríodo </w:t>
                            </w:r>
                            <w:r w:rsidR="006B6EDB">
                              <w:rPr>
                                <w:rFonts w:asciiTheme="majorHAnsi" w:hAnsiTheme="majorHAnsi"/>
                                <w:color w:val="0D0D0D" w:themeColor="text1" w:themeTint="F2"/>
                                <w:sz w:val="18"/>
                                <w:szCs w:val="22"/>
                                <w:lang w:val="es-US"/>
                              </w:rPr>
                              <w:t>o</w:t>
                            </w:r>
                            <w:r>
                              <w:rPr>
                                <w:rFonts w:asciiTheme="majorHAnsi" w:hAnsiTheme="majorHAnsi"/>
                                <w:color w:val="0D0D0D" w:themeColor="text1" w:themeTint="F2"/>
                                <w:sz w:val="18"/>
                                <w:szCs w:val="22"/>
                                <w:lang w:val="es-US"/>
                              </w:rPr>
                              <w:t xml:space="preserve">rdinario de </w:t>
                            </w:r>
                            <w:r w:rsidR="006B6EDB">
                              <w:rPr>
                                <w:rFonts w:asciiTheme="majorHAnsi" w:hAnsiTheme="majorHAnsi"/>
                                <w:color w:val="0D0D0D" w:themeColor="text1" w:themeTint="F2"/>
                                <w:sz w:val="18"/>
                                <w:szCs w:val="22"/>
                                <w:lang w:val="es-US"/>
                              </w:rPr>
                              <w:t>s</w:t>
                            </w:r>
                            <w:r>
                              <w:rPr>
                                <w:rFonts w:asciiTheme="majorHAnsi" w:hAnsiTheme="majorHAnsi"/>
                                <w:color w:val="0D0D0D" w:themeColor="text1" w:themeTint="F2"/>
                                <w:sz w:val="18"/>
                                <w:szCs w:val="22"/>
                                <w:lang w:val="es-US"/>
                              </w:rPr>
                              <w:t>esiones</w:t>
                            </w:r>
                            <w:r w:rsidR="006B6EDB">
                              <w:rPr>
                                <w:rFonts w:asciiTheme="majorHAnsi" w:hAnsiTheme="majorHAnsi"/>
                                <w:color w:val="0D0D0D" w:themeColor="text1" w:themeTint="F2"/>
                                <w:sz w:val="18"/>
                                <w:szCs w:val="22"/>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8B3F87" w:rsidRDefault="008B3F87" w:rsidP="004165C2">
                      <w:pPr>
                        <w:tabs>
                          <w:tab w:val="center" w:pos="5400"/>
                        </w:tabs>
                        <w:suppressAutoHyphens/>
                        <w:spacing w:before="60"/>
                        <w:rPr>
                          <w:rFonts w:asciiTheme="majorHAnsi" w:hAnsiTheme="majorHAnsi"/>
                          <w:color w:val="0D0D0D" w:themeColor="text1" w:themeTint="F2"/>
                          <w:sz w:val="18"/>
                          <w:szCs w:val="22"/>
                          <w:lang w:val="es-US"/>
                        </w:rPr>
                      </w:pPr>
                      <w:r w:rsidRPr="00890650">
                        <w:rPr>
                          <w:rFonts w:asciiTheme="majorHAnsi" w:hAnsiTheme="majorHAnsi"/>
                          <w:color w:val="0D0D0D" w:themeColor="text1" w:themeTint="F2"/>
                          <w:sz w:val="18"/>
                          <w:szCs w:val="20"/>
                          <w:lang w:val="es-ES"/>
                        </w:rPr>
                        <w:t>Aprobado por la Comisión</w:t>
                      </w:r>
                      <w:r w:rsidR="006B6EDB">
                        <w:rPr>
                          <w:rFonts w:asciiTheme="majorHAnsi" w:hAnsiTheme="majorHAnsi"/>
                          <w:color w:val="0D0D0D" w:themeColor="text1" w:themeTint="F2"/>
                          <w:sz w:val="18"/>
                          <w:szCs w:val="20"/>
                          <w:lang w:val="es-ES"/>
                        </w:rPr>
                        <w:t xml:space="preserve"> en su sesión</w:t>
                      </w:r>
                      <w:r w:rsidR="00A67D54">
                        <w:rPr>
                          <w:rFonts w:asciiTheme="majorHAnsi" w:hAnsiTheme="majorHAnsi"/>
                          <w:color w:val="0D0D0D" w:themeColor="text1" w:themeTint="F2"/>
                          <w:sz w:val="18"/>
                          <w:szCs w:val="20"/>
                          <w:lang w:val="es-ES"/>
                        </w:rPr>
                        <w:t xml:space="preserve"> No.</w:t>
                      </w:r>
                      <w:r w:rsidR="006B6EDB">
                        <w:rPr>
                          <w:rFonts w:asciiTheme="majorHAnsi" w:hAnsiTheme="majorHAnsi"/>
                          <w:color w:val="0D0D0D" w:themeColor="text1" w:themeTint="F2"/>
                          <w:sz w:val="18"/>
                          <w:szCs w:val="20"/>
                          <w:lang w:val="es-ES"/>
                        </w:rPr>
                        <w:t xml:space="preserve"> 2069 celebrada</w:t>
                      </w:r>
                      <w:r w:rsidRPr="00890650">
                        <w:rPr>
                          <w:rFonts w:asciiTheme="majorHAnsi" w:hAnsiTheme="majorHAnsi"/>
                          <w:color w:val="0D0D0D" w:themeColor="text1" w:themeTint="F2"/>
                          <w:sz w:val="18"/>
                          <w:szCs w:val="20"/>
                          <w:lang w:val="es-ES"/>
                        </w:rPr>
                        <w:t xml:space="preserve"> el</w:t>
                      </w:r>
                      <w:r>
                        <w:rPr>
                          <w:rFonts w:asciiTheme="majorHAnsi" w:hAnsiTheme="majorHAnsi"/>
                          <w:color w:val="0D0D0D" w:themeColor="text1" w:themeTint="F2"/>
                          <w:sz w:val="18"/>
                          <w:szCs w:val="22"/>
                          <w:lang w:val="es-US"/>
                        </w:rPr>
                        <w:t xml:space="preserve"> </w:t>
                      </w:r>
                      <w:r w:rsidR="004F03D1">
                        <w:rPr>
                          <w:rFonts w:asciiTheme="majorHAnsi" w:hAnsiTheme="majorHAnsi"/>
                          <w:color w:val="0D0D0D" w:themeColor="text1" w:themeTint="F2"/>
                          <w:sz w:val="18"/>
                          <w:szCs w:val="22"/>
                          <w:lang w:val="es-US"/>
                        </w:rPr>
                        <w:t>30 de noviembre de 2016</w:t>
                      </w:r>
                      <w:r w:rsidR="006B6EDB">
                        <w:rPr>
                          <w:rFonts w:asciiTheme="majorHAnsi" w:hAnsiTheme="majorHAnsi"/>
                          <w:color w:val="0D0D0D" w:themeColor="text1" w:themeTint="F2"/>
                          <w:sz w:val="18"/>
                          <w:szCs w:val="22"/>
                          <w:lang w:val="es-US"/>
                        </w:rPr>
                        <w:t>.</w:t>
                      </w:r>
                    </w:p>
                    <w:p w:rsidR="004F03D1" w:rsidRPr="00256A88" w:rsidRDefault="004F03D1" w:rsidP="004165C2">
                      <w:pPr>
                        <w:tabs>
                          <w:tab w:val="center" w:pos="5400"/>
                        </w:tabs>
                        <w:suppressAutoHyphens/>
                        <w:spacing w:before="60"/>
                        <w:rPr>
                          <w:rFonts w:asciiTheme="majorHAnsi" w:hAnsiTheme="majorHAnsi"/>
                          <w:color w:val="0D0D0D" w:themeColor="text1" w:themeTint="F2"/>
                          <w:sz w:val="18"/>
                          <w:szCs w:val="22"/>
                          <w:lang w:val="es-US"/>
                        </w:rPr>
                      </w:pPr>
                      <w:r>
                        <w:rPr>
                          <w:rFonts w:asciiTheme="majorHAnsi" w:hAnsiTheme="majorHAnsi"/>
                          <w:color w:val="0D0D0D" w:themeColor="text1" w:themeTint="F2"/>
                          <w:sz w:val="18"/>
                          <w:szCs w:val="22"/>
                          <w:lang w:val="es-US"/>
                        </w:rPr>
                        <w:t>159</w:t>
                      </w:r>
                      <w:r w:rsidR="006B6EDB">
                        <w:rPr>
                          <w:rFonts w:asciiTheme="majorHAnsi" w:hAnsiTheme="majorHAnsi"/>
                          <w:color w:val="0D0D0D" w:themeColor="text1" w:themeTint="F2"/>
                          <w:sz w:val="18"/>
                          <w:szCs w:val="22"/>
                          <w:lang w:val="es-US"/>
                        </w:rPr>
                        <w:t>º p</w:t>
                      </w:r>
                      <w:r>
                        <w:rPr>
                          <w:rFonts w:asciiTheme="majorHAnsi" w:hAnsiTheme="majorHAnsi"/>
                          <w:color w:val="0D0D0D" w:themeColor="text1" w:themeTint="F2"/>
                          <w:sz w:val="18"/>
                          <w:szCs w:val="22"/>
                          <w:lang w:val="es-US"/>
                        </w:rPr>
                        <w:t xml:space="preserve">eríodo </w:t>
                      </w:r>
                      <w:r w:rsidR="006B6EDB">
                        <w:rPr>
                          <w:rFonts w:asciiTheme="majorHAnsi" w:hAnsiTheme="majorHAnsi"/>
                          <w:color w:val="0D0D0D" w:themeColor="text1" w:themeTint="F2"/>
                          <w:sz w:val="18"/>
                          <w:szCs w:val="22"/>
                          <w:lang w:val="es-US"/>
                        </w:rPr>
                        <w:t>o</w:t>
                      </w:r>
                      <w:r>
                        <w:rPr>
                          <w:rFonts w:asciiTheme="majorHAnsi" w:hAnsiTheme="majorHAnsi"/>
                          <w:color w:val="0D0D0D" w:themeColor="text1" w:themeTint="F2"/>
                          <w:sz w:val="18"/>
                          <w:szCs w:val="22"/>
                          <w:lang w:val="es-US"/>
                        </w:rPr>
                        <w:t xml:space="preserve">rdinario de </w:t>
                      </w:r>
                      <w:r w:rsidR="006B6EDB">
                        <w:rPr>
                          <w:rFonts w:asciiTheme="majorHAnsi" w:hAnsiTheme="majorHAnsi"/>
                          <w:color w:val="0D0D0D" w:themeColor="text1" w:themeTint="F2"/>
                          <w:sz w:val="18"/>
                          <w:szCs w:val="22"/>
                          <w:lang w:val="es-US"/>
                        </w:rPr>
                        <w:t>s</w:t>
                      </w:r>
                      <w:r>
                        <w:rPr>
                          <w:rFonts w:asciiTheme="majorHAnsi" w:hAnsiTheme="majorHAnsi"/>
                          <w:color w:val="0D0D0D" w:themeColor="text1" w:themeTint="F2"/>
                          <w:sz w:val="18"/>
                          <w:szCs w:val="22"/>
                          <w:lang w:val="es-US"/>
                        </w:rPr>
                        <w:t>esiones</w:t>
                      </w:r>
                      <w:r w:rsidR="006B6EDB">
                        <w:rPr>
                          <w:rFonts w:asciiTheme="majorHAnsi" w:hAnsiTheme="majorHAnsi"/>
                          <w:color w:val="0D0D0D" w:themeColor="text1" w:themeTint="F2"/>
                          <w:sz w:val="18"/>
                          <w:szCs w:val="22"/>
                          <w:lang w:val="es-US"/>
                        </w:rPr>
                        <w:t>.</w:t>
                      </w:r>
                    </w:p>
                  </w:txbxContent>
                </v:textbox>
              </v:shape>
            </w:pict>
          </mc:Fallback>
        </mc:AlternateContent>
      </w: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3C32BC" w:rsidP="00040C3A">
      <w:pPr>
        <w:tabs>
          <w:tab w:val="center" w:pos="5400"/>
        </w:tabs>
        <w:suppressAutoHyphens/>
        <w:jc w:val="center"/>
        <w:rPr>
          <w:rFonts w:asciiTheme="majorHAnsi" w:hAnsiTheme="majorHAnsi"/>
          <w:sz w:val="18"/>
          <w:szCs w:val="22"/>
          <w:lang w:val="es-PE"/>
        </w:rPr>
      </w:pPr>
      <w:r w:rsidRPr="00A16D6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7B1F846" wp14:editId="318E747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F87" w:rsidRPr="00C038BF" w:rsidRDefault="008B3F87" w:rsidP="00445DF8">
                            <w:pPr>
                              <w:spacing w:line="276" w:lineRule="auto"/>
                              <w:jc w:val="both"/>
                              <w:rPr>
                                <w:rFonts w:asciiTheme="majorHAnsi" w:hAnsiTheme="majorHAnsi"/>
                                <w:color w:val="595959" w:themeColor="text1" w:themeTint="A6"/>
                                <w:sz w:val="18"/>
                                <w:lang w:val="es-ES"/>
                              </w:rPr>
                            </w:pPr>
                            <w:r w:rsidRPr="00445DF8">
                              <w:rPr>
                                <w:rFonts w:asciiTheme="majorHAnsi" w:hAnsiTheme="majorHAnsi"/>
                                <w:b/>
                                <w:color w:val="595959" w:themeColor="text1" w:themeTint="A6"/>
                                <w:sz w:val="18"/>
                                <w:lang w:val="es-ES"/>
                              </w:rPr>
                              <w:t>Citar como:</w:t>
                            </w:r>
                            <w:r w:rsidRPr="00445DF8">
                              <w:rPr>
                                <w:rFonts w:asciiTheme="majorHAnsi" w:hAnsiTheme="majorHAnsi"/>
                                <w:color w:val="595959" w:themeColor="text1" w:themeTint="A6"/>
                                <w:sz w:val="18"/>
                                <w:lang w:val="es-ES"/>
                              </w:rPr>
                              <w:t xml:space="preserve"> CIDH, Informe No. </w:t>
                            </w:r>
                            <w:r w:rsidR="004F03D1">
                              <w:rPr>
                                <w:rFonts w:asciiTheme="majorHAnsi" w:hAnsiTheme="majorHAnsi"/>
                                <w:color w:val="595959" w:themeColor="text1" w:themeTint="A6"/>
                                <w:sz w:val="18"/>
                                <w:lang w:val="es-ES"/>
                              </w:rPr>
                              <w:t>50</w:t>
                            </w:r>
                            <w:r w:rsidRPr="00445DF8">
                              <w:rPr>
                                <w:rFonts w:asciiTheme="majorHAnsi" w:hAnsiTheme="majorHAnsi"/>
                                <w:color w:val="595959" w:themeColor="text1" w:themeTint="A6"/>
                                <w:sz w:val="18"/>
                                <w:lang w:val="es-ES"/>
                              </w:rPr>
                              <w:t xml:space="preserve">/16, Caso 12.834, </w:t>
                            </w:r>
                            <w:r>
                              <w:rPr>
                                <w:rFonts w:asciiTheme="majorHAnsi" w:hAnsiTheme="majorHAnsi"/>
                                <w:color w:val="595959" w:themeColor="text1" w:themeTint="A6"/>
                                <w:sz w:val="18"/>
                                <w:lang w:val="es-ES"/>
                              </w:rPr>
                              <w:t>Fondo (Publicación), Trabajadores indocumentados,</w:t>
                            </w:r>
                            <w:r w:rsidRPr="00C038BF">
                              <w:rPr>
                                <w:rFonts w:asciiTheme="majorHAnsi" w:hAnsiTheme="majorHAnsi"/>
                                <w:color w:val="595959" w:themeColor="text1" w:themeTint="A6"/>
                                <w:sz w:val="18"/>
                                <w:lang w:val="es-ES"/>
                              </w:rPr>
                              <w:t xml:space="preserve"> Estados Unidos de América</w:t>
                            </w:r>
                            <w:r>
                              <w:rPr>
                                <w:rFonts w:asciiTheme="majorHAnsi" w:hAnsiTheme="majorHAnsi"/>
                                <w:color w:val="595959" w:themeColor="text1" w:themeTint="A6"/>
                                <w:sz w:val="18"/>
                                <w:lang w:val="es-ES"/>
                              </w:rPr>
                              <w:t>,</w:t>
                            </w:r>
                            <w:r w:rsidRPr="00C038BF">
                              <w:rPr>
                                <w:rFonts w:asciiTheme="majorHAnsi" w:hAnsiTheme="majorHAnsi"/>
                                <w:color w:val="595959" w:themeColor="text1" w:themeTint="A6"/>
                                <w:sz w:val="18"/>
                                <w:lang w:val="es-ES"/>
                              </w:rPr>
                              <w:t xml:space="preserve"> </w:t>
                            </w:r>
                            <w:r w:rsidR="004F03D1">
                              <w:rPr>
                                <w:rFonts w:asciiTheme="majorHAnsi" w:hAnsiTheme="majorHAnsi"/>
                                <w:color w:val="595959" w:themeColor="text1" w:themeTint="A6"/>
                                <w:sz w:val="18"/>
                                <w:lang w:val="es-ES"/>
                              </w:rPr>
                              <w:t>30 de noviembre de 2016</w:t>
                            </w:r>
                            <w:r w:rsidRPr="00C038BF">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8B3F87" w:rsidRPr="00C038BF" w:rsidRDefault="008B3F87" w:rsidP="00445DF8">
                      <w:pPr>
                        <w:spacing w:line="276" w:lineRule="auto"/>
                        <w:jc w:val="both"/>
                        <w:rPr>
                          <w:rFonts w:asciiTheme="majorHAnsi" w:hAnsiTheme="majorHAnsi"/>
                          <w:color w:val="595959" w:themeColor="text1" w:themeTint="A6"/>
                          <w:sz w:val="18"/>
                          <w:lang w:val="es-ES"/>
                        </w:rPr>
                      </w:pPr>
                      <w:r w:rsidRPr="00445DF8">
                        <w:rPr>
                          <w:rFonts w:asciiTheme="majorHAnsi" w:hAnsiTheme="majorHAnsi"/>
                          <w:b/>
                          <w:color w:val="595959" w:themeColor="text1" w:themeTint="A6"/>
                          <w:sz w:val="18"/>
                          <w:lang w:val="es-ES"/>
                        </w:rPr>
                        <w:t>Citar como:</w:t>
                      </w:r>
                      <w:r w:rsidRPr="00445DF8">
                        <w:rPr>
                          <w:rFonts w:asciiTheme="majorHAnsi" w:hAnsiTheme="majorHAnsi"/>
                          <w:color w:val="595959" w:themeColor="text1" w:themeTint="A6"/>
                          <w:sz w:val="18"/>
                          <w:lang w:val="es-ES"/>
                        </w:rPr>
                        <w:t xml:space="preserve"> CIDH, Informe No. </w:t>
                      </w:r>
                      <w:r w:rsidR="004F03D1">
                        <w:rPr>
                          <w:rFonts w:asciiTheme="majorHAnsi" w:hAnsiTheme="majorHAnsi"/>
                          <w:color w:val="595959" w:themeColor="text1" w:themeTint="A6"/>
                          <w:sz w:val="18"/>
                          <w:lang w:val="es-ES"/>
                        </w:rPr>
                        <w:t>50</w:t>
                      </w:r>
                      <w:r w:rsidRPr="00445DF8">
                        <w:rPr>
                          <w:rFonts w:asciiTheme="majorHAnsi" w:hAnsiTheme="majorHAnsi"/>
                          <w:color w:val="595959" w:themeColor="text1" w:themeTint="A6"/>
                          <w:sz w:val="18"/>
                          <w:lang w:val="es-ES"/>
                        </w:rPr>
                        <w:t xml:space="preserve">/16, Caso 12.834, </w:t>
                      </w:r>
                      <w:r>
                        <w:rPr>
                          <w:rFonts w:asciiTheme="majorHAnsi" w:hAnsiTheme="majorHAnsi"/>
                          <w:color w:val="595959" w:themeColor="text1" w:themeTint="A6"/>
                          <w:sz w:val="18"/>
                          <w:lang w:val="es-ES"/>
                        </w:rPr>
                        <w:t>Fondo (Publicación), Trabajadores indocumentados,</w:t>
                      </w:r>
                      <w:r w:rsidRPr="00C038BF">
                        <w:rPr>
                          <w:rFonts w:asciiTheme="majorHAnsi" w:hAnsiTheme="majorHAnsi"/>
                          <w:color w:val="595959" w:themeColor="text1" w:themeTint="A6"/>
                          <w:sz w:val="18"/>
                          <w:lang w:val="es-ES"/>
                        </w:rPr>
                        <w:t xml:space="preserve"> Estados Unidos de América</w:t>
                      </w:r>
                      <w:r>
                        <w:rPr>
                          <w:rFonts w:asciiTheme="majorHAnsi" w:hAnsiTheme="majorHAnsi"/>
                          <w:color w:val="595959" w:themeColor="text1" w:themeTint="A6"/>
                          <w:sz w:val="18"/>
                          <w:lang w:val="es-ES"/>
                        </w:rPr>
                        <w:t>,</w:t>
                      </w:r>
                      <w:r w:rsidRPr="00C038BF">
                        <w:rPr>
                          <w:rFonts w:asciiTheme="majorHAnsi" w:hAnsiTheme="majorHAnsi"/>
                          <w:color w:val="595959" w:themeColor="text1" w:themeTint="A6"/>
                          <w:sz w:val="18"/>
                          <w:lang w:val="es-ES"/>
                        </w:rPr>
                        <w:t xml:space="preserve"> </w:t>
                      </w:r>
                      <w:r w:rsidR="004F03D1">
                        <w:rPr>
                          <w:rFonts w:asciiTheme="majorHAnsi" w:hAnsiTheme="majorHAnsi"/>
                          <w:color w:val="595959" w:themeColor="text1" w:themeTint="A6"/>
                          <w:sz w:val="18"/>
                          <w:lang w:val="es-ES"/>
                        </w:rPr>
                        <w:t>30 de noviembre de 2016</w:t>
                      </w:r>
                      <w:r w:rsidRPr="00C038BF">
                        <w:rPr>
                          <w:rFonts w:asciiTheme="majorHAnsi" w:hAnsiTheme="majorHAnsi"/>
                          <w:color w:val="595959" w:themeColor="text1" w:themeTint="A6"/>
                          <w:sz w:val="18"/>
                          <w:lang w:val="es-ES"/>
                        </w:rPr>
                        <w:t>.</w:t>
                      </w:r>
                    </w:p>
                  </w:txbxContent>
                </v:textbox>
              </v:shape>
            </w:pict>
          </mc:Fallback>
        </mc:AlternateContent>
      </w:r>
    </w:p>
    <w:p w:rsidR="002C1641" w:rsidRPr="00712E83" w:rsidRDefault="002C1641" w:rsidP="00040C3A">
      <w:pPr>
        <w:tabs>
          <w:tab w:val="center" w:pos="5400"/>
        </w:tabs>
        <w:suppressAutoHyphens/>
        <w:jc w:val="center"/>
        <w:rPr>
          <w:rFonts w:asciiTheme="majorHAnsi" w:hAnsiTheme="majorHAnsi"/>
          <w:sz w:val="18"/>
          <w:szCs w:val="22"/>
          <w:lang w:val="es-PE"/>
        </w:rPr>
      </w:pPr>
    </w:p>
    <w:p w:rsidR="002C1641" w:rsidRPr="00712E83" w:rsidRDefault="002C1641" w:rsidP="00040C3A">
      <w:pPr>
        <w:tabs>
          <w:tab w:val="center" w:pos="5400"/>
        </w:tabs>
        <w:suppressAutoHyphens/>
        <w:jc w:val="center"/>
        <w:rPr>
          <w:rFonts w:asciiTheme="majorHAnsi" w:hAnsiTheme="majorHAnsi"/>
          <w:sz w:val="18"/>
          <w:szCs w:val="22"/>
          <w:lang w:val="es-PE"/>
        </w:rPr>
      </w:pPr>
    </w:p>
    <w:p w:rsidR="003C32BC" w:rsidRPr="00712E83" w:rsidRDefault="003C32BC" w:rsidP="003C32BC">
      <w:pPr>
        <w:tabs>
          <w:tab w:val="center" w:pos="5400"/>
        </w:tabs>
        <w:suppressAutoHyphens/>
        <w:jc w:val="center"/>
        <w:rPr>
          <w:rFonts w:asciiTheme="majorHAnsi" w:hAnsiTheme="majorHAnsi"/>
          <w:sz w:val="18"/>
          <w:szCs w:val="22"/>
          <w:lang w:val="es-PE"/>
        </w:rPr>
      </w:pPr>
    </w:p>
    <w:p w:rsidR="003C32BC" w:rsidRPr="00712E83" w:rsidRDefault="006311DA" w:rsidP="003C32BC">
      <w:pPr>
        <w:tabs>
          <w:tab w:val="center" w:pos="5400"/>
        </w:tabs>
        <w:suppressAutoHyphens/>
        <w:jc w:val="center"/>
        <w:rPr>
          <w:rFonts w:asciiTheme="majorHAnsi" w:hAnsiTheme="majorHAnsi"/>
          <w:sz w:val="18"/>
          <w:szCs w:val="22"/>
          <w:lang w:val="es-PE"/>
        </w:rPr>
      </w:pPr>
      <w:r w:rsidRPr="00A16D6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115D2D1" wp14:editId="7D45658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F87" w:rsidRPr="004B7EB6" w:rsidRDefault="008B3F8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8B3F87" w:rsidRPr="004B7EB6" w:rsidRDefault="008B3F8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16D6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A53EDF0" wp14:editId="30DBF591">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F87" w:rsidRDefault="008B3F87">
                            <w:r w:rsidRPr="00D72DC6">
                              <w:rPr>
                                <w:noProof/>
                                <w:color w:val="FFFFFF" w:themeColor="background1"/>
                                <w14:textFill>
                                  <w14:noFill/>
                                </w14:textFill>
                              </w:rPr>
                              <w:drawing>
                                <wp:inline distT="0" distB="0" distL="0" distR="0" wp14:anchorId="50A760DA" wp14:editId="403B6423">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8B3F87" w:rsidRDefault="008B3F87">
                      <w:r w:rsidRPr="00D72DC6">
                        <w:rPr>
                          <w:noProof/>
                          <w:color w:val="FFFFFF" w:themeColor="background1"/>
                          <w14:textFill>
                            <w14:noFill/>
                          </w14:textFill>
                        </w:rPr>
                        <w:drawing>
                          <wp:inline distT="0" distB="0" distL="0" distR="0" wp14:anchorId="50A760DA" wp14:editId="403B6423">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p>
    <w:p w:rsidR="007607C4" w:rsidRPr="00712E83" w:rsidRDefault="007607C4" w:rsidP="003C32BC">
      <w:pPr>
        <w:tabs>
          <w:tab w:val="center" w:pos="5400"/>
        </w:tabs>
        <w:suppressAutoHyphens/>
        <w:jc w:val="center"/>
        <w:rPr>
          <w:rFonts w:asciiTheme="majorHAnsi" w:hAnsiTheme="majorHAnsi"/>
          <w:sz w:val="18"/>
          <w:szCs w:val="22"/>
          <w:lang w:val="es-PE"/>
        </w:rPr>
        <w:sectPr w:rsidR="007607C4" w:rsidRPr="00712E83"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6311DA" w:rsidRPr="00445DF8" w:rsidRDefault="00180125" w:rsidP="00145EDC">
      <w:pPr>
        <w:tabs>
          <w:tab w:val="center" w:pos="5400"/>
        </w:tabs>
        <w:suppressAutoHyphens/>
        <w:spacing w:line="276" w:lineRule="auto"/>
        <w:jc w:val="center"/>
        <w:rPr>
          <w:rFonts w:asciiTheme="majorHAnsi" w:hAnsiTheme="majorHAnsi"/>
          <w:b/>
          <w:sz w:val="18"/>
          <w:szCs w:val="20"/>
          <w:lang w:val="es-ES"/>
        </w:rPr>
      </w:pPr>
      <w:r w:rsidRPr="00445DF8">
        <w:rPr>
          <w:rFonts w:asciiTheme="majorHAnsi" w:hAnsiTheme="majorHAnsi"/>
          <w:b/>
          <w:sz w:val="18"/>
          <w:szCs w:val="20"/>
          <w:lang w:val="es-ES"/>
        </w:rPr>
        <w:lastRenderedPageBreak/>
        <w:t xml:space="preserve">INFORME </w:t>
      </w:r>
      <w:r w:rsidR="00BF457B" w:rsidRPr="00445DF8">
        <w:rPr>
          <w:rFonts w:asciiTheme="majorHAnsi" w:hAnsiTheme="majorHAnsi"/>
          <w:b/>
          <w:sz w:val="18"/>
          <w:szCs w:val="20"/>
          <w:lang w:val="es-ES"/>
        </w:rPr>
        <w:t>No.</w:t>
      </w:r>
      <w:r w:rsidR="000804B8" w:rsidRPr="00445DF8">
        <w:rPr>
          <w:rFonts w:asciiTheme="majorHAnsi" w:hAnsiTheme="majorHAnsi"/>
          <w:b/>
          <w:sz w:val="18"/>
          <w:szCs w:val="20"/>
          <w:lang w:val="es-ES"/>
        </w:rPr>
        <w:t xml:space="preserve"> </w:t>
      </w:r>
      <w:r w:rsidR="004F03D1">
        <w:rPr>
          <w:rFonts w:asciiTheme="majorHAnsi" w:hAnsiTheme="majorHAnsi"/>
          <w:b/>
          <w:sz w:val="18"/>
          <w:szCs w:val="20"/>
          <w:lang w:val="es-ES"/>
        </w:rPr>
        <w:t>50</w:t>
      </w:r>
      <w:r w:rsidR="00BF457B" w:rsidRPr="00445DF8">
        <w:rPr>
          <w:rFonts w:asciiTheme="majorHAnsi" w:hAnsiTheme="majorHAnsi"/>
          <w:b/>
          <w:sz w:val="18"/>
          <w:szCs w:val="20"/>
          <w:lang w:val="es-ES"/>
        </w:rPr>
        <w:t>/1</w:t>
      </w:r>
      <w:r w:rsidR="00445DF8" w:rsidRPr="00445DF8">
        <w:rPr>
          <w:rFonts w:asciiTheme="majorHAnsi" w:hAnsiTheme="majorHAnsi"/>
          <w:b/>
          <w:sz w:val="18"/>
          <w:szCs w:val="20"/>
          <w:lang w:val="es-ES"/>
        </w:rPr>
        <w:t>6</w:t>
      </w:r>
    </w:p>
    <w:p w:rsidR="006311DA" w:rsidRPr="00445DF8" w:rsidRDefault="006311DA" w:rsidP="00145EDC">
      <w:pPr>
        <w:tabs>
          <w:tab w:val="center" w:pos="5400"/>
        </w:tabs>
        <w:suppressAutoHyphens/>
        <w:spacing w:line="276" w:lineRule="auto"/>
        <w:jc w:val="center"/>
        <w:rPr>
          <w:rFonts w:asciiTheme="majorHAnsi" w:hAnsiTheme="majorHAnsi"/>
          <w:b/>
          <w:sz w:val="18"/>
          <w:szCs w:val="20"/>
          <w:lang w:val="es-ES"/>
        </w:rPr>
      </w:pPr>
      <w:r w:rsidRPr="00445DF8">
        <w:rPr>
          <w:rFonts w:asciiTheme="majorHAnsi" w:hAnsiTheme="majorHAnsi"/>
          <w:b/>
          <w:sz w:val="18"/>
          <w:szCs w:val="20"/>
          <w:lang w:val="es-ES"/>
        </w:rPr>
        <w:t>CAS</w:t>
      </w:r>
      <w:r w:rsidR="00180125" w:rsidRPr="00445DF8">
        <w:rPr>
          <w:rFonts w:asciiTheme="majorHAnsi" w:hAnsiTheme="majorHAnsi"/>
          <w:b/>
          <w:sz w:val="18"/>
          <w:szCs w:val="20"/>
          <w:lang w:val="es-ES"/>
        </w:rPr>
        <w:t>O</w:t>
      </w:r>
      <w:r w:rsidRPr="00445DF8">
        <w:rPr>
          <w:rFonts w:asciiTheme="majorHAnsi" w:hAnsiTheme="majorHAnsi"/>
          <w:b/>
          <w:sz w:val="18"/>
          <w:szCs w:val="20"/>
          <w:lang w:val="es-ES"/>
        </w:rPr>
        <w:t xml:space="preserve"> </w:t>
      </w:r>
      <w:r w:rsidR="0014296A" w:rsidRPr="00445DF8">
        <w:rPr>
          <w:rFonts w:asciiTheme="majorHAnsi" w:hAnsiTheme="majorHAnsi"/>
          <w:b/>
          <w:sz w:val="18"/>
          <w:szCs w:val="20"/>
          <w:lang w:val="es-ES"/>
        </w:rPr>
        <w:t>12.834</w:t>
      </w:r>
    </w:p>
    <w:p w:rsidR="006311DA" w:rsidRPr="00445DF8" w:rsidRDefault="00180125" w:rsidP="00145EDC">
      <w:pPr>
        <w:tabs>
          <w:tab w:val="center" w:pos="5400"/>
        </w:tabs>
        <w:suppressAutoHyphens/>
        <w:spacing w:line="276" w:lineRule="auto"/>
        <w:jc w:val="center"/>
        <w:rPr>
          <w:rFonts w:asciiTheme="majorHAnsi" w:hAnsiTheme="majorHAnsi"/>
          <w:sz w:val="18"/>
          <w:szCs w:val="20"/>
          <w:lang w:val="es-ES"/>
        </w:rPr>
      </w:pPr>
      <w:r w:rsidRPr="00445DF8">
        <w:rPr>
          <w:rFonts w:asciiTheme="majorHAnsi" w:hAnsiTheme="majorHAnsi"/>
          <w:sz w:val="18"/>
          <w:szCs w:val="20"/>
          <w:lang w:val="es-ES"/>
        </w:rPr>
        <w:t>FONDO</w:t>
      </w:r>
      <w:r w:rsidR="00445DF8" w:rsidRPr="00445DF8">
        <w:rPr>
          <w:rFonts w:asciiTheme="majorHAnsi" w:hAnsiTheme="majorHAnsi"/>
          <w:sz w:val="18"/>
          <w:szCs w:val="20"/>
          <w:lang w:val="es-ES"/>
        </w:rPr>
        <w:t xml:space="preserve"> (PUBLICACIÓN)</w:t>
      </w:r>
    </w:p>
    <w:p w:rsidR="006311DA" w:rsidRPr="00445DF8" w:rsidRDefault="00C038BF" w:rsidP="00145EDC">
      <w:pPr>
        <w:tabs>
          <w:tab w:val="center" w:pos="5400"/>
        </w:tabs>
        <w:suppressAutoHyphens/>
        <w:spacing w:line="276" w:lineRule="auto"/>
        <w:jc w:val="center"/>
        <w:rPr>
          <w:rFonts w:asciiTheme="majorHAnsi" w:hAnsiTheme="majorHAnsi"/>
          <w:sz w:val="18"/>
          <w:szCs w:val="20"/>
          <w:lang w:val="es-ES"/>
        </w:rPr>
      </w:pPr>
      <w:r w:rsidRPr="00445DF8">
        <w:rPr>
          <w:rFonts w:asciiTheme="majorHAnsi" w:hAnsiTheme="majorHAnsi"/>
          <w:sz w:val="18"/>
          <w:szCs w:val="20"/>
          <w:lang w:val="es-ES"/>
        </w:rPr>
        <w:t>TRABAJADORES INDOCUMENTADOS</w:t>
      </w:r>
    </w:p>
    <w:p w:rsidR="003C32BC" w:rsidRPr="00445DF8" w:rsidRDefault="00180125" w:rsidP="00145EDC">
      <w:pPr>
        <w:tabs>
          <w:tab w:val="center" w:pos="5400"/>
        </w:tabs>
        <w:suppressAutoHyphens/>
        <w:spacing w:line="276" w:lineRule="auto"/>
        <w:jc w:val="center"/>
        <w:rPr>
          <w:rFonts w:asciiTheme="majorHAnsi" w:hAnsiTheme="majorHAnsi"/>
          <w:sz w:val="18"/>
          <w:szCs w:val="20"/>
          <w:lang w:val="es-ES"/>
        </w:rPr>
      </w:pPr>
      <w:r w:rsidRPr="00445DF8">
        <w:rPr>
          <w:rFonts w:asciiTheme="majorHAnsi" w:hAnsiTheme="majorHAnsi"/>
          <w:sz w:val="18"/>
          <w:szCs w:val="20"/>
          <w:lang w:val="es-ES"/>
        </w:rPr>
        <w:t>ESTADOS UNIDOS</w:t>
      </w:r>
      <w:r w:rsidR="00927179" w:rsidRPr="00445DF8">
        <w:rPr>
          <w:rFonts w:asciiTheme="majorHAnsi" w:eastAsia="Times New Roman" w:hAnsiTheme="majorHAnsi"/>
          <w:sz w:val="18"/>
          <w:szCs w:val="18"/>
          <w:bdr w:val="none" w:sz="0" w:space="0" w:color="auto"/>
          <w:vertAlign w:val="superscript"/>
          <w:lang w:val="es-ES"/>
        </w:rPr>
        <w:footnoteReference w:customMarkFollows="1" w:id="2"/>
        <w:sym w:font="Symbol" w:char="F02A"/>
      </w:r>
      <w:r w:rsidR="0014296A" w:rsidRPr="00445DF8">
        <w:rPr>
          <w:rFonts w:asciiTheme="majorHAnsi" w:hAnsiTheme="majorHAnsi"/>
          <w:sz w:val="18"/>
          <w:szCs w:val="20"/>
          <w:lang w:val="es-ES"/>
        </w:rPr>
        <w:t xml:space="preserve"> </w:t>
      </w:r>
      <w:r w:rsidR="003414AC" w:rsidRPr="00445DF8">
        <w:rPr>
          <w:rFonts w:asciiTheme="majorHAnsi" w:hAnsiTheme="majorHAnsi"/>
          <w:sz w:val="18"/>
          <w:szCs w:val="20"/>
          <w:lang w:val="es-ES"/>
        </w:rPr>
        <w:br/>
      </w:r>
      <w:r w:rsidR="004F03D1">
        <w:rPr>
          <w:rFonts w:asciiTheme="majorHAnsi" w:hAnsiTheme="majorHAnsi"/>
          <w:sz w:val="18"/>
          <w:szCs w:val="20"/>
          <w:lang w:val="es-ES"/>
        </w:rPr>
        <w:t>30 DE NOVIEMBRE DE 2016</w:t>
      </w:r>
    </w:p>
    <w:p w:rsidR="007607C4" w:rsidRPr="00A16D62" w:rsidRDefault="007607C4" w:rsidP="00145EDC">
      <w:pPr>
        <w:tabs>
          <w:tab w:val="center" w:pos="5400"/>
        </w:tabs>
        <w:suppressAutoHyphens/>
        <w:spacing w:line="276" w:lineRule="auto"/>
        <w:rPr>
          <w:rFonts w:asciiTheme="majorHAnsi" w:hAnsiTheme="majorHAnsi"/>
          <w:sz w:val="20"/>
          <w:szCs w:val="20"/>
          <w:lang w:val="es-ES"/>
        </w:rPr>
      </w:pPr>
    </w:p>
    <w:p w:rsidR="00FC3EB4" w:rsidRPr="00A67D54" w:rsidRDefault="00180125" w:rsidP="00FC3EB4">
      <w:pPr>
        <w:tabs>
          <w:tab w:val="center" w:pos="5400"/>
        </w:tabs>
        <w:suppressAutoHyphens/>
        <w:spacing w:line="276" w:lineRule="auto"/>
        <w:jc w:val="center"/>
        <w:rPr>
          <w:rFonts w:asciiTheme="majorHAnsi" w:hAnsiTheme="majorHAnsi"/>
          <w:b/>
          <w:szCs w:val="20"/>
          <w:lang w:val="es-ES"/>
        </w:rPr>
      </w:pPr>
      <w:r w:rsidRPr="00A67D54">
        <w:rPr>
          <w:rFonts w:asciiTheme="majorHAnsi" w:hAnsiTheme="majorHAnsi"/>
          <w:b/>
          <w:szCs w:val="20"/>
          <w:lang w:val="es-ES"/>
        </w:rPr>
        <w:t>Í</w:t>
      </w:r>
      <w:r w:rsidR="00FC3EB4" w:rsidRPr="00A67D54">
        <w:rPr>
          <w:rFonts w:asciiTheme="majorHAnsi" w:hAnsiTheme="majorHAnsi"/>
          <w:b/>
          <w:szCs w:val="20"/>
          <w:lang w:val="es-ES"/>
        </w:rPr>
        <w:t>ND</w:t>
      </w:r>
      <w:r w:rsidRPr="00A67D54">
        <w:rPr>
          <w:rFonts w:asciiTheme="majorHAnsi" w:hAnsiTheme="majorHAnsi"/>
          <w:b/>
          <w:szCs w:val="20"/>
          <w:lang w:val="es-ES"/>
        </w:rPr>
        <w:t>ICE</w:t>
      </w:r>
    </w:p>
    <w:p w:rsidR="007607C4" w:rsidRPr="00A16D62" w:rsidRDefault="007607C4" w:rsidP="00145EDC">
      <w:pPr>
        <w:tabs>
          <w:tab w:val="center" w:pos="5400"/>
        </w:tabs>
        <w:suppressAutoHyphens/>
        <w:spacing w:line="276" w:lineRule="auto"/>
        <w:rPr>
          <w:rFonts w:asciiTheme="majorHAnsi" w:hAnsiTheme="majorHAnsi"/>
          <w:sz w:val="20"/>
          <w:szCs w:val="20"/>
          <w:lang w:val="es-ES"/>
        </w:rPr>
      </w:pPr>
    </w:p>
    <w:p w:rsidR="00C16D36" w:rsidRPr="00C531D9" w:rsidRDefault="00EE7B94" w:rsidP="00A67D54">
      <w:pPr>
        <w:pStyle w:val="TOC1"/>
        <w:tabs>
          <w:tab w:val="left" w:pos="720"/>
          <w:tab w:val="left" w:pos="1440"/>
          <w:tab w:val="right" w:leader="dot" w:pos="9350"/>
        </w:tabs>
        <w:rPr>
          <w:rFonts w:asciiTheme="majorHAnsi" w:eastAsiaTheme="minorEastAsia" w:hAnsiTheme="majorHAnsi" w:cstheme="minorBidi"/>
          <w:b w:val="0"/>
          <w:bCs w:val="0"/>
          <w:caps w:val="0"/>
          <w:noProof/>
          <w:bdr w:val="none" w:sz="0" w:space="0" w:color="auto"/>
        </w:rPr>
      </w:pPr>
      <w:r w:rsidRPr="00C531D9">
        <w:rPr>
          <w:rFonts w:asciiTheme="majorHAnsi" w:hAnsiTheme="majorHAnsi"/>
          <w:lang w:val="es-ES"/>
        </w:rPr>
        <w:fldChar w:fldCharType="begin"/>
      </w:r>
      <w:r w:rsidRPr="00C531D9">
        <w:rPr>
          <w:rFonts w:asciiTheme="majorHAnsi" w:hAnsiTheme="majorHAnsi"/>
          <w:lang w:val="es-ES"/>
        </w:rPr>
        <w:instrText xml:space="preserve"> TOC \o "1-3" \h \z \u </w:instrText>
      </w:r>
      <w:r w:rsidRPr="00C531D9">
        <w:rPr>
          <w:rFonts w:asciiTheme="majorHAnsi" w:hAnsiTheme="majorHAnsi"/>
          <w:lang w:val="es-ES"/>
        </w:rPr>
        <w:fldChar w:fldCharType="separate"/>
      </w:r>
      <w:hyperlink w:anchor="_Toc467138434" w:history="1">
        <w:r w:rsidR="00C16D36" w:rsidRPr="00C531D9">
          <w:rPr>
            <w:rStyle w:val="Hyperlink"/>
            <w:rFonts w:asciiTheme="majorHAnsi" w:hAnsiTheme="majorHAnsi"/>
            <w:noProof/>
            <w:lang w:val="es-ES"/>
          </w:rPr>
          <w:t>I.</w:t>
        </w:r>
        <w:r w:rsidR="00C16D36" w:rsidRPr="00C531D9">
          <w:rPr>
            <w:rFonts w:asciiTheme="majorHAnsi" w:eastAsiaTheme="minorEastAsia" w:hAnsiTheme="majorHAnsi" w:cstheme="minorBidi"/>
            <w:b w:val="0"/>
            <w:bCs w:val="0"/>
            <w:caps w:val="0"/>
            <w:noProof/>
            <w:bdr w:val="none" w:sz="0" w:space="0" w:color="auto"/>
          </w:rPr>
          <w:tab/>
        </w:r>
        <w:r w:rsidR="00C16D36" w:rsidRPr="00C531D9">
          <w:rPr>
            <w:rStyle w:val="Hyperlink"/>
            <w:rFonts w:asciiTheme="majorHAnsi" w:hAnsiTheme="majorHAnsi"/>
            <w:noProof/>
            <w:lang w:val="es-ES"/>
          </w:rPr>
          <w:t>RESUMEN</w:t>
        </w:r>
        <w:bookmarkStart w:id="0" w:name="_GoBack"/>
        <w:bookmarkEnd w:id="0"/>
        <w:r w:rsidR="00C16D36" w:rsidRPr="00C531D9">
          <w:rPr>
            <w:rFonts w:asciiTheme="majorHAnsi" w:hAnsiTheme="majorHAnsi"/>
            <w:noProof/>
            <w:webHidden/>
          </w:rPr>
          <w:tab/>
        </w:r>
        <w:r w:rsidR="00C16D36" w:rsidRPr="00C531D9">
          <w:rPr>
            <w:rFonts w:asciiTheme="majorHAnsi" w:hAnsiTheme="majorHAnsi"/>
            <w:noProof/>
            <w:webHidden/>
          </w:rPr>
          <w:fldChar w:fldCharType="begin"/>
        </w:r>
        <w:r w:rsidR="00C16D36" w:rsidRPr="00C531D9">
          <w:rPr>
            <w:rFonts w:asciiTheme="majorHAnsi" w:hAnsiTheme="majorHAnsi"/>
            <w:noProof/>
            <w:webHidden/>
          </w:rPr>
          <w:instrText xml:space="preserve"> PAGEREF _Toc467138434 \h </w:instrText>
        </w:r>
        <w:r w:rsidR="00C16D36" w:rsidRPr="00C531D9">
          <w:rPr>
            <w:rFonts w:asciiTheme="majorHAnsi" w:hAnsiTheme="majorHAnsi"/>
            <w:noProof/>
            <w:webHidden/>
          </w:rPr>
        </w:r>
        <w:r w:rsidR="00C16D36" w:rsidRPr="00C531D9">
          <w:rPr>
            <w:rFonts w:asciiTheme="majorHAnsi" w:hAnsiTheme="majorHAnsi"/>
            <w:noProof/>
            <w:webHidden/>
          </w:rPr>
          <w:fldChar w:fldCharType="separate"/>
        </w:r>
        <w:r w:rsidR="005837AA">
          <w:rPr>
            <w:rFonts w:asciiTheme="majorHAnsi" w:hAnsiTheme="majorHAnsi"/>
            <w:noProof/>
            <w:webHidden/>
          </w:rPr>
          <w:t>1</w:t>
        </w:r>
        <w:r w:rsidR="00C16D36" w:rsidRPr="00C531D9">
          <w:rPr>
            <w:rFonts w:asciiTheme="majorHAnsi" w:hAnsiTheme="majorHAnsi"/>
            <w:noProof/>
            <w:webHidden/>
          </w:rPr>
          <w:fldChar w:fldCharType="end"/>
        </w:r>
      </w:hyperlink>
    </w:p>
    <w:p w:rsidR="00C16D36" w:rsidRPr="00C531D9" w:rsidRDefault="00B91D59" w:rsidP="00A67D54">
      <w:pPr>
        <w:pStyle w:val="TOC1"/>
        <w:tabs>
          <w:tab w:val="left" w:pos="720"/>
          <w:tab w:val="left" w:pos="1440"/>
          <w:tab w:val="right" w:leader="dot" w:pos="9350"/>
        </w:tabs>
        <w:rPr>
          <w:rFonts w:asciiTheme="majorHAnsi" w:eastAsiaTheme="minorEastAsia" w:hAnsiTheme="majorHAnsi" w:cstheme="minorBidi"/>
          <w:b w:val="0"/>
          <w:bCs w:val="0"/>
          <w:caps w:val="0"/>
          <w:noProof/>
          <w:bdr w:val="none" w:sz="0" w:space="0" w:color="auto"/>
        </w:rPr>
      </w:pPr>
      <w:hyperlink w:anchor="_Toc467138435" w:history="1">
        <w:r w:rsidR="00C16D36" w:rsidRPr="00C531D9">
          <w:rPr>
            <w:rStyle w:val="Hyperlink"/>
            <w:rFonts w:asciiTheme="majorHAnsi" w:hAnsiTheme="majorHAnsi"/>
            <w:noProof/>
            <w:lang w:val="es-ES"/>
          </w:rPr>
          <w:t xml:space="preserve">II. </w:t>
        </w:r>
        <w:r w:rsidR="00C16D36" w:rsidRPr="00C531D9">
          <w:rPr>
            <w:rFonts w:asciiTheme="majorHAnsi" w:eastAsiaTheme="minorEastAsia" w:hAnsiTheme="majorHAnsi" w:cstheme="minorBidi"/>
            <w:b w:val="0"/>
            <w:bCs w:val="0"/>
            <w:caps w:val="0"/>
            <w:noProof/>
            <w:bdr w:val="none" w:sz="0" w:space="0" w:color="auto"/>
          </w:rPr>
          <w:tab/>
        </w:r>
        <w:r w:rsidR="00C16D36" w:rsidRPr="00C531D9">
          <w:rPr>
            <w:rStyle w:val="Hyperlink"/>
            <w:rFonts w:asciiTheme="majorHAnsi" w:hAnsiTheme="majorHAnsi"/>
            <w:noProof/>
            <w:lang w:val="es-ES"/>
          </w:rPr>
          <w:t>TRÁMITES ANTE LA CIDH POSTERIORES AL INFORME DE ADMISIBILIDAD</w:t>
        </w:r>
        <w:r w:rsidR="00C16D36" w:rsidRPr="00C531D9">
          <w:rPr>
            <w:rFonts w:asciiTheme="majorHAnsi" w:hAnsiTheme="majorHAnsi"/>
            <w:noProof/>
            <w:webHidden/>
          </w:rPr>
          <w:tab/>
        </w:r>
        <w:r w:rsidR="00C16D36" w:rsidRPr="00C531D9">
          <w:rPr>
            <w:rFonts w:asciiTheme="majorHAnsi" w:hAnsiTheme="majorHAnsi"/>
            <w:noProof/>
            <w:webHidden/>
          </w:rPr>
          <w:fldChar w:fldCharType="begin"/>
        </w:r>
        <w:r w:rsidR="00C16D36" w:rsidRPr="00C531D9">
          <w:rPr>
            <w:rFonts w:asciiTheme="majorHAnsi" w:hAnsiTheme="majorHAnsi"/>
            <w:noProof/>
            <w:webHidden/>
          </w:rPr>
          <w:instrText xml:space="preserve"> PAGEREF _Toc467138435 \h </w:instrText>
        </w:r>
        <w:r w:rsidR="00C16D36" w:rsidRPr="00C531D9">
          <w:rPr>
            <w:rFonts w:asciiTheme="majorHAnsi" w:hAnsiTheme="majorHAnsi"/>
            <w:noProof/>
            <w:webHidden/>
          </w:rPr>
        </w:r>
        <w:r w:rsidR="00C16D36" w:rsidRPr="00C531D9">
          <w:rPr>
            <w:rFonts w:asciiTheme="majorHAnsi" w:hAnsiTheme="majorHAnsi"/>
            <w:noProof/>
            <w:webHidden/>
          </w:rPr>
          <w:fldChar w:fldCharType="separate"/>
        </w:r>
        <w:r w:rsidR="005837AA">
          <w:rPr>
            <w:rFonts w:asciiTheme="majorHAnsi" w:hAnsiTheme="majorHAnsi"/>
            <w:noProof/>
            <w:webHidden/>
          </w:rPr>
          <w:t>2</w:t>
        </w:r>
        <w:r w:rsidR="00C16D36" w:rsidRPr="00C531D9">
          <w:rPr>
            <w:rFonts w:asciiTheme="majorHAnsi" w:hAnsiTheme="majorHAnsi"/>
            <w:noProof/>
            <w:webHidden/>
          </w:rPr>
          <w:fldChar w:fldCharType="end"/>
        </w:r>
      </w:hyperlink>
    </w:p>
    <w:p w:rsidR="00C16D36" w:rsidRPr="00C531D9" w:rsidRDefault="00B91D59" w:rsidP="00A67D54">
      <w:pPr>
        <w:pStyle w:val="TOC1"/>
        <w:tabs>
          <w:tab w:val="left" w:pos="720"/>
          <w:tab w:val="left" w:pos="1440"/>
          <w:tab w:val="right" w:leader="dot" w:pos="9350"/>
        </w:tabs>
        <w:rPr>
          <w:rFonts w:asciiTheme="majorHAnsi" w:eastAsiaTheme="minorEastAsia" w:hAnsiTheme="majorHAnsi" w:cstheme="minorBidi"/>
          <w:b w:val="0"/>
          <w:bCs w:val="0"/>
          <w:caps w:val="0"/>
          <w:noProof/>
          <w:bdr w:val="none" w:sz="0" w:space="0" w:color="auto"/>
        </w:rPr>
      </w:pPr>
      <w:hyperlink w:anchor="_Toc467138436" w:history="1">
        <w:r w:rsidR="00C16D36" w:rsidRPr="00C531D9">
          <w:rPr>
            <w:rStyle w:val="Hyperlink"/>
            <w:rFonts w:asciiTheme="majorHAnsi" w:hAnsiTheme="majorHAnsi"/>
            <w:noProof/>
            <w:lang w:val="es-ES"/>
          </w:rPr>
          <w:t xml:space="preserve">III. </w:t>
        </w:r>
        <w:r w:rsidR="00C16D36" w:rsidRPr="00C531D9">
          <w:rPr>
            <w:rFonts w:asciiTheme="majorHAnsi" w:eastAsiaTheme="minorEastAsia" w:hAnsiTheme="majorHAnsi" w:cstheme="minorBidi"/>
            <w:b w:val="0"/>
            <w:bCs w:val="0"/>
            <w:caps w:val="0"/>
            <w:noProof/>
            <w:bdr w:val="none" w:sz="0" w:space="0" w:color="auto"/>
          </w:rPr>
          <w:tab/>
        </w:r>
        <w:r w:rsidR="00C16D36" w:rsidRPr="00C531D9">
          <w:rPr>
            <w:rStyle w:val="Hyperlink"/>
            <w:rFonts w:asciiTheme="majorHAnsi" w:hAnsiTheme="majorHAnsi"/>
            <w:noProof/>
            <w:lang w:val="es-ES"/>
          </w:rPr>
          <w:t>POSICIÓN DE LAS PARTES</w:t>
        </w:r>
        <w:r w:rsidR="00C16D36" w:rsidRPr="00C531D9">
          <w:rPr>
            <w:rFonts w:asciiTheme="majorHAnsi" w:hAnsiTheme="majorHAnsi"/>
            <w:noProof/>
            <w:webHidden/>
          </w:rPr>
          <w:tab/>
        </w:r>
        <w:r w:rsidR="00C16D36" w:rsidRPr="00C531D9">
          <w:rPr>
            <w:rFonts w:asciiTheme="majorHAnsi" w:hAnsiTheme="majorHAnsi"/>
            <w:noProof/>
            <w:webHidden/>
          </w:rPr>
          <w:fldChar w:fldCharType="begin"/>
        </w:r>
        <w:r w:rsidR="00C16D36" w:rsidRPr="00C531D9">
          <w:rPr>
            <w:rFonts w:asciiTheme="majorHAnsi" w:hAnsiTheme="majorHAnsi"/>
            <w:noProof/>
            <w:webHidden/>
          </w:rPr>
          <w:instrText xml:space="preserve"> PAGEREF _Toc467138436 \h </w:instrText>
        </w:r>
        <w:r w:rsidR="00C16D36" w:rsidRPr="00C531D9">
          <w:rPr>
            <w:rFonts w:asciiTheme="majorHAnsi" w:hAnsiTheme="majorHAnsi"/>
            <w:noProof/>
            <w:webHidden/>
          </w:rPr>
        </w:r>
        <w:r w:rsidR="00C16D36" w:rsidRPr="00C531D9">
          <w:rPr>
            <w:rFonts w:asciiTheme="majorHAnsi" w:hAnsiTheme="majorHAnsi"/>
            <w:noProof/>
            <w:webHidden/>
          </w:rPr>
          <w:fldChar w:fldCharType="separate"/>
        </w:r>
        <w:r w:rsidR="005837AA">
          <w:rPr>
            <w:rFonts w:asciiTheme="majorHAnsi" w:hAnsiTheme="majorHAnsi"/>
            <w:noProof/>
            <w:webHidden/>
          </w:rPr>
          <w:t>3</w:t>
        </w:r>
        <w:r w:rsidR="00C16D36" w:rsidRPr="00C531D9">
          <w:rPr>
            <w:rFonts w:asciiTheme="majorHAnsi" w:hAnsiTheme="majorHAnsi"/>
            <w:noProof/>
            <w:webHidden/>
          </w:rPr>
          <w:fldChar w:fldCharType="end"/>
        </w:r>
      </w:hyperlink>
    </w:p>
    <w:p w:rsidR="00C16D36" w:rsidRPr="00C531D9" w:rsidRDefault="00B91D59" w:rsidP="00A67D54">
      <w:pPr>
        <w:pStyle w:val="TOC2"/>
        <w:rPr>
          <w:rFonts w:eastAsiaTheme="minorEastAsia" w:cstheme="minorBidi"/>
          <w:noProof/>
          <w:bdr w:val="none" w:sz="0" w:space="0" w:color="auto"/>
        </w:rPr>
      </w:pPr>
      <w:hyperlink w:anchor="_Toc467138437" w:history="1">
        <w:r w:rsidR="00C16D36" w:rsidRPr="00C531D9">
          <w:rPr>
            <w:rStyle w:val="Hyperlink"/>
            <w:rFonts w:asciiTheme="majorHAnsi" w:hAnsiTheme="majorHAnsi"/>
            <w:noProof/>
            <w:lang w:val="es-ES"/>
          </w:rPr>
          <w:t>A.</w:t>
        </w:r>
        <w:r w:rsidR="00C16D36" w:rsidRPr="00C531D9">
          <w:rPr>
            <w:rFonts w:eastAsiaTheme="minorEastAsia" w:cstheme="minorBidi"/>
            <w:noProof/>
            <w:bdr w:val="none" w:sz="0" w:space="0" w:color="auto"/>
          </w:rPr>
          <w:tab/>
        </w:r>
        <w:r w:rsidR="00C16D36" w:rsidRPr="00C531D9">
          <w:rPr>
            <w:rStyle w:val="Hyperlink"/>
            <w:rFonts w:asciiTheme="majorHAnsi" w:hAnsiTheme="majorHAnsi"/>
            <w:noProof/>
            <w:lang w:val="es-ES"/>
          </w:rPr>
          <w:t>Los peticionarios</w:t>
        </w:r>
        <w:r w:rsidR="00C16D36" w:rsidRPr="00C531D9">
          <w:rPr>
            <w:noProof/>
            <w:webHidden/>
          </w:rPr>
          <w:tab/>
        </w:r>
        <w:r w:rsidR="00C16D36" w:rsidRPr="00C531D9">
          <w:rPr>
            <w:noProof/>
            <w:webHidden/>
          </w:rPr>
          <w:fldChar w:fldCharType="begin"/>
        </w:r>
        <w:r w:rsidR="00C16D36" w:rsidRPr="00C531D9">
          <w:rPr>
            <w:noProof/>
            <w:webHidden/>
          </w:rPr>
          <w:instrText xml:space="preserve"> PAGEREF _Toc467138437 \h </w:instrText>
        </w:r>
        <w:r w:rsidR="00C16D36" w:rsidRPr="00C531D9">
          <w:rPr>
            <w:noProof/>
            <w:webHidden/>
          </w:rPr>
        </w:r>
        <w:r w:rsidR="00C16D36" w:rsidRPr="00C531D9">
          <w:rPr>
            <w:noProof/>
            <w:webHidden/>
          </w:rPr>
          <w:fldChar w:fldCharType="separate"/>
        </w:r>
        <w:r w:rsidR="005837AA">
          <w:rPr>
            <w:noProof/>
            <w:webHidden/>
          </w:rPr>
          <w:t>3</w:t>
        </w:r>
        <w:r w:rsidR="00C16D36" w:rsidRPr="00C531D9">
          <w:rPr>
            <w:noProof/>
            <w:webHidden/>
          </w:rPr>
          <w:fldChar w:fldCharType="end"/>
        </w:r>
      </w:hyperlink>
    </w:p>
    <w:p w:rsidR="00C16D36" w:rsidRPr="00C531D9" w:rsidRDefault="00B91D59" w:rsidP="00A67D54">
      <w:pPr>
        <w:pStyle w:val="TOC3"/>
        <w:tabs>
          <w:tab w:val="clear" w:pos="960"/>
          <w:tab w:val="left" w:pos="1440"/>
          <w:tab w:val="left" w:pos="2160"/>
        </w:tabs>
        <w:ind w:left="2160" w:hanging="720"/>
        <w:rPr>
          <w:rFonts w:asciiTheme="majorHAnsi" w:eastAsiaTheme="minorEastAsia" w:hAnsiTheme="majorHAnsi" w:cstheme="minorBidi"/>
          <w:i w:val="0"/>
          <w:iCs w:val="0"/>
          <w:noProof/>
          <w:bdr w:val="none" w:sz="0" w:space="0" w:color="auto"/>
        </w:rPr>
      </w:pPr>
      <w:hyperlink w:anchor="_Toc467138438" w:history="1">
        <w:r w:rsidR="00C16D36" w:rsidRPr="00C531D9">
          <w:rPr>
            <w:rStyle w:val="Hyperlink"/>
            <w:rFonts w:asciiTheme="majorHAnsi" w:hAnsiTheme="majorHAnsi"/>
            <w:i w:val="0"/>
            <w:noProof/>
            <w:lang w:val="es-ES"/>
          </w:rPr>
          <w:t>1.</w:t>
        </w:r>
        <w:r w:rsidR="00C16D36" w:rsidRPr="00C531D9">
          <w:rPr>
            <w:rFonts w:asciiTheme="majorHAnsi" w:eastAsiaTheme="minorEastAsia" w:hAnsiTheme="majorHAnsi" w:cstheme="minorBidi"/>
            <w:i w:val="0"/>
            <w:iCs w:val="0"/>
            <w:noProof/>
            <w:bdr w:val="none" w:sz="0" w:space="0" w:color="auto"/>
          </w:rPr>
          <w:tab/>
        </w:r>
        <w:r w:rsidR="00C16D36" w:rsidRPr="00C531D9">
          <w:rPr>
            <w:rStyle w:val="Hyperlink"/>
            <w:rFonts w:asciiTheme="majorHAnsi" w:hAnsiTheme="majorHAnsi"/>
            <w:i w:val="0"/>
            <w:noProof/>
            <w:lang w:val="es-ES"/>
          </w:rPr>
          <w:t>Presuntas víctimas</w:t>
        </w:r>
        <w:r w:rsidR="00C16D36" w:rsidRPr="00C531D9">
          <w:rPr>
            <w:rFonts w:asciiTheme="majorHAnsi" w:hAnsiTheme="majorHAnsi"/>
            <w:i w:val="0"/>
            <w:noProof/>
            <w:webHidden/>
          </w:rPr>
          <w:tab/>
        </w:r>
        <w:r w:rsidR="00C16D36" w:rsidRPr="00C531D9">
          <w:rPr>
            <w:rFonts w:asciiTheme="majorHAnsi" w:hAnsiTheme="majorHAnsi"/>
            <w:i w:val="0"/>
            <w:noProof/>
            <w:webHidden/>
          </w:rPr>
          <w:fldChar w:fldCharType="begin"/>
        </w:r>
        <w:r w:rsidR="00C16D36" w:rsidRPr="00C531D9">
          <w:rPr>
            <w:rFonts w:asciiTheme="majorHAnsi" w:hAnsiTheme="majorHAnsi"/>
            <w:i w:val="0"/>
            <w:noProof/>
            <w:webHidden/>
          </w:rPr>
          <w:instrText xml:space="preserve"> PAGEREF _Toc467138438 \h </w:instrText>
        </w:r>
        <w:r w:rsidR="00C16D36" w:rsidRPr="00C531D9">
          <w:rPr>
            <w:rFonts w:asciiTheme="majorHAnsi" w:hAnsiTheme="majorHAnsi"/>
            <w:i w:val="0"/>
            <w:noProof/>
            <w:webHidden/>
          </w:rPr>
        </w:r>
        <w:r w:rsidR="00C16D36" w:rsidRPr="00C531D9">
          <w:rPr>
            <w:rFonts w:asciiTheme="majorHAnsi" w:hAnsiTheme="majorHAnsi"/>
            <w:i w:val="0"/>
            <w:noProof/>
            <w:webHidden/>
          </w:rPr>
          <w:fldChar w:fldCharType="separate"/>
        </w:r>
        <w:r w:rsidR="005837AA">
          <w:rPr>
            <w:rFonts w:asciiTheme="majorHAnsi" w:hAnsiTheme="majorHAnsi"/>
            <w:i w:val="0"/>
            <w:noProof/>
            <w:webHidden/>
          </w:rPr>
          <w:t>4</w:t>
        </w:r>
        <w:r w:rsidR="00C16D36" w:rsidRPr="00C531D9">
          <w:rPr>
            <w:rFonts w:asciiTheme="majorHAnsi" w:hAnsiTheme="majorHAnsi"/>
            <w:i w:val="0"/>
            <w:noProof/>
            <w:webHidden/>
          </w:rPr>
          <w:fldChar w:fldCharType="end"/>
        </w:r>
      </w:hyperlink>
    </w:p>
    <w:p w:rsidR="00C16D36" w:rsidRPr="00C531D9" w:rsidRDefault="00B91D59" w:rsidP="00A67D54">
      <w:pPr>
        <w:pStyle w:val="TOC3"/>
        <w:tabs>
          <w:tab w:val="clear" w:pos="960"/>
          <w:tab w:val="left" w:pos="1440"/>
          <w:tab w:val="left" w:pos="2160"/>
        </w:tabs>
        <w:ind w:left="2160" w:hanging="720"/>
        <w:rPr>
          <w:rFonts w:asciiTheme="majorHAnsi" w:eastAsiaTheme="minorEastAsia" w:hAnsiTheme="majorHAnsi" w:cstheme="minorBidi"/>
          <w:i w:val="0"/>
          <w:iCs w:val="0"/>
          <w:noProof/>
          <w:bdr w:val="none" w:sz="0" w:space="0" w:color="auto"/>
        </w:rPr>
      </w:pPr>
      <w:hyperlink w:anchor="_Toc467138439" w:history="1">
        <w:r w:rsidR="00C16D36" w:rsidRPr="00C531D9">
          <w:rPr>
            <w:rStyle w:val="Hyperlink"/>
            <w:rFonts w:asciiTheme="majorHAnsi" w:hAnsiTheme="majorHAnsi"/>
            <w:i w:val="0"/>
            <w:noProof/>
            <w:lang w:val="es-ES"/>
          </w:rPr>
          <w:t>2.</w:t>
        </w:r>
        <w:r w:rsidR="00C16D36" w:rsidRPr="00C531D9">
          <w:rPr>
            <w:rFonts w:asciiTheme="majorHAnsi" w:eastAsiaTheme="minorEastAsia" w:hAnsiTheme="majorHAnsi" w:cstheme="minorBidi"/>
            <w:i w:val="0"/>
            <w:iCs w:val="0"/>
            <w:noProof/>
            <w:bdr w:val="none" w:sz="0" w:space="0" w:color="auto"/>
          </w:rPr>
          <w:tab/>
        </w:r>
        <w:r w:rsidR="00C16D36" w:rsidRPr="00C531D9">
          <w:rPr>
            <w:rStyle w:val="Hyperlink"/>
            <w:rFonts w:asciiTheme="majorHAnsi" w:hAnsiTheme="majorHAnsi"/>
            <w:i w:val="0"/>
            <w:noProof/>
            <w:lang w:val="es-ES"/>
          </w:rPr>
          <w:t>Consideraciones de derecho: derecho de igualdad ante la Ley, derecho de reconocimiento de la personalidad jurídica y de los derechos civiles, y derecho de justicia (artículos II, XVII y XVIII de la Declaración Americana)</w:t>
        </w:r>
        <w:r w:rsidR="00C16D36" w:rsidRPr="00C531D9">
          <w:rPr>
            <w:rFonts w:asciiTheme="majorHAnsi" w:hAnsiTheme="majorHAnsi"/>
            <w:i w:val="0"/>
            <w:noProof/>
            <w:webHidden/>
          </w:rPr>
          <w:tab/>
        </w:r>
        <w:r w:rsidR="00C16D36" w:rsidRPr="00C531D9">
          <w:rPr>
            <w:rFonts w:asciiTheme="majorHAnsi" w:hAnsiTheme="majorHAnsi"/>
            <w:i w:val="0"/>
            <w:noProof/>
            <w:webHidden/>
          </w:rPr>
          <w:fldChar w:fldCharType="begin"/>
        </w:r>
        <w:r w:rsidR="00C16D36" w:rsidRPr="00C531D9">
          <w:rPr>
            <w:rFonts w:asciiTheme="majorHAnsi" w:hAnsiTheme="majorHAnsi"/>
            <w:i w:val="0"/>
            <w:noProof/>
            <w:webHidden/>
          </w:rPr>
          <w:instrText xml:space="preserve"> PAGEREF _Toc467138439 \h </w:instrText>
        </w:r>
        <w:r w:rsidR="00C16D36" w:rsidRPr="00C531D9">
          <w:rPr>
            <w:rFonts w:asciiTheme="majorHAnsi" w:hAnsiTheme="majorHAnsi"/>
            <w:i w:val="0"/>
            <w:noProof/>
            <w:webHidden/>
          </w:rPr>
        </w:r>
        <w:r w:rsidR="00C16D36" w:rsidRPr="00C531D9">
          <w:rPr>
            <w:rFonts w:asciiTheme="majorHAnsi" w:hAnsiTheme="majorHAnsi"/>
            <w:i w:val="0"/>
            <w:noProof/>
            <w:webHidden/>
          </w:rPr>
          <w:fldChar w:fldCharType="separate"/>
        </w:r>
        <w:r w:rsidR="005837AA">
          <w:rPr>
            <w:rFonts w:asciiTheme="majorHAnsi" w:hAnsiTheme="majorHAnsi"/>
            <w:i w:val="0"/>
            <w:noProof/>
            <w:webHidden/>
          </w:rPr>
          <w:t>5</w:t>
        </w:r>
        <w:r w:rsidR="00C16D36" w:rsidRPr="00C531D9">
          <w:rPr>
            <w:rFonts w:asciiTheme="majorHAnsi" w:hAnsiTheme="majorHAnsi"/>
            <w:i w:val="0"/>
            <w:noProof/>
            <w:webHidden/>
          </w:rPr>
          <w:fldChar w:fldCharType="end"/>
        </w:r>
      </w:hyperlink>
    </w:p>
    <w:p w:rsidR="00C16D36" w:rsidRPr="00C531D9" w:rsidRDefault="00B91D59" w:rsidP="00A67D54">
      <w:pPr>
        <w:pStyle w:val="TOC2"/>
        <w:rPr>
          <w:rFonts w:eastAsiaTheme="minorEastAsia" w:cstheme="minorBidi"/>
          <w:noProof/>
          <w:bdr w:val="none" w:sz="0" w:space="0" w:color="auto"/>
        </w:rPr>
      </w:pPr>
      <w:hyperlink w:anchor="_Toc467138440" w:history="1">
        <w:r w:rsidR="00C16D36" w:rsidRPr="00C531D9">
          <w:rPr>
            <w:rStyle w:val="Hyperlink"/>
            <w:rFonts w:asciiTheme="majorHAnsi" w:hAnsiTheme="majorHAnsi"/>
            <w:noProof/>
            <w:lang w:val="es-ES"/>
          </w:rPr>
          <w:t>B.</w:t>
        </w:r>
        <w:r w:rsidR="00C16D36" w:rsidRPr="00C531D9">
          <w:rPr>
            <w:rFonts w:eastAsiaTheme="minorEastAsia" w:cstheme="minorBidi"/>
            <w:noProof/>
            <w:bdr w:val="none" w:sz="0" w:space="0" w:color="auto"/>
          </w:rPr>
          <w:tab/>
        </w:r>
        <w:r w:rsidR="00C16D36" w:rsidRPr="00C531D9">
          <w:rPr>
            <w:rStyle w:val="Hyperlink"/>
            <w:rFonts w:asciiTheme="majorHAnsi" w:hAnsiTheme="majorHAnsi"/>
            <w:noProof/>
            <w:lang w:val="es-ES"/>
          </w:rPr>
          <w:t>El Estado</w:t>
        </w:r>
        <w:r w:rsidR="00C16D36" w:rsidRPr="00C531D9">
          <w:rPr>
            <w:noProof/>
            <w:webHidden/>
          </w:rPr>
          <w:tab/>
        </w:r>
        <w:r w:rsidR="00C16D36" w:rsidRPr="00C531D9">
          <w:rPr>
            <w:noProof/>
            <w:webHidden/>
          </w:rPr>
          <w:fldChar w:fldCharType="begin"/>
        </w:r>
        <w:r w:rsidR="00C16D36" w:rsidRPr="00C531D9">
          <w:rPr>
            <w:noProof/>
            <w:webHidden/>
          </w:rPr>
          <w:instrText xml:space="preserve"> PAGEREF _Toc467138440 \h </w:instrText>
        </w:r>
        <w:r w:rsidR="00C16D36" w:rsidRPr="00C531D9">
          <w:rPr>
            <w:noProof/>
            <w:webHidden/>
          </w:rPr>
        </w:r>
        <w:r w:rsidR="00C16D36" w:rsidRPr="00C531D9">
          <w:rPr>
            <w:noProof/>
            <w:webHidden/>
          </w:rPr>
          <w:fldChar w:fldCharType="separate"/>
        </w:r>
        <w:r w:rsidR="005837AA">
          <w:rPr>
            <w:noProof/>
            <w:webHidden/>
          </w:rPr>
          <w:t>7</w:t>
        </w:r>
        <w:r w:rsidR="00C16D36" w:rsidRPr="00C531D9">
          <w:rPr>
            <w:noProof/>
            <w:webHidden/>
          </w:rPr>
          <w:fldChar w:fldCharType="end"/>
        </w:r>
      </w:hyperlink>
    </w:p>
    <w:p w:rsidR="00C16D36" w:rsidRPr="00C531D9" w:rsidRDefault="00B91D59" w:rsidP="00A67D54">
      <w:pPr>
        <w:pStyle w:val="TOC3"/>
        <w:tabs>
          <w:tab w:val="left" w:pos="1440"/>
        </w:tabs>
        <w:ind w:left="2160" w:hanging="720"/>
        <w:rPr>
          <w:rFonts w:asciiTheme="majorHAnsi" w:eastAsiaTheme="minorEastAsia" w:hAnsiTheme="majorHAnsi" w:cstheme="minorBidi"/>
          <w:i w:val="0"/>
          <w:iCs w:val="0"/>
          <w:noProof/>
          <w:bdr w:val="none" w:sz="0" w:space="0" w:color="auto"/>
        </w:rPr>
      </w:pPr>
      <w:hyperlink w:anchor="_Toc467138441" w:history="1">
        <w:r w:rsidR="00C16D36" w:rsidRPr="00C531D9">
          <w:rPr>
            <w:rStyle w:val="Hyperlink"/>
            <w:rFonts w:asciiTheme="majorHAnsi" w:hAnsiTheme="majorHAnsi"/>
            <w:i w:val="0"/>
            <w:noProof/>
            <w:lang w:val="es-ES"/>
          </w:rPr>
          <w:t>1.</w:t>
        </w:r>
        <w:r w:rsidR="00C16D36" w:rsidRPr="00C531D9">
          <w:rPr>
            <w:rFonts w:asciiTheme="majorHAnsi" w:eastAsiaTheme="minorEastAsia" w:hAnsiTheme="majorHAnsi" w:cstheme="minorBidi"/>
            <w:i w:val="0"/>
            <w:iCs w:val="0"/>
            <w:noProof/>
            <w:bdr w:val="none" w:sz="0" w:space="0" w:color="auto"/>
          </w:rPr>
          <w:tab/>
        </w:r>
        <w:r w:rsidR="00C16D36" w:rsidRPr="00C531D9">
          <w:rPr>
            <w:rStyle w:val="Hyperlink"/>
            <w:rFonts w:asciiTheme="majorHAnsi" w:hAnsiTheme="majorHAnsi"/>
            <w:i w:val="0"/>
            <w:noProof/>
            <w:lang w:val="es-ES"/>
          </w:rPr>
          <w:t>Medidas de protección de los trabajadores</w:t>
        </w:r>
        <w:r w:rsidR="00C16D36" w:rsidRPr="00C531D9">
          <w:rPr>
            <w:rFonts w:asciiTheme="majorHAnsi" w:hAnsiTheme="majorHAnsi"/>
            <w:i w:val="0"/>
            <w:noProof/>
            <w:webHidden/>
          </w:rPr>
          <w:tab/>
        </w:r>
        <w:r w:rsidR="00C16D36" w:rsidRPr="00C531D9">
          <w:rPr>
            <w:rFonts w:asciiTheme="majorHAnsi" w:hAnsiTheme="majorHAnsi"/>
            <w:i w:val="0"/>
            <w:noProof/>
            <w:webHidden/>
          </w:rPr>
          <w:fldChar w:fldCharType="begin"/>
        </w:r>
        <w:r w:rsidR="00C16D36" w:rsidRPr="00C531D9">
          <w:rPr>
            <w:rFonts w:asciiTheme="majorHAnsi" w:hAnsiTheme="majorHAnsi"/>
            <w:i w:val="0"/>
            <w:noProof/>
            <w:webHidden/>
          </w:rPr>
          <w:instrText xml:space="preserve"> PAGEREF _Toc467138441 \h </w:instrText>
        </w:r>
        <w:r w:rsidR="00C16D36" w:rsidRPr="00C531D9">
          <w:rPr>
            <w:rFonts w:asciiTheme="majorHAnsi" w:hAnsiTheme="majorHAnsi"/>
            <w:i w:val="0"/>
            <w:noProof/>
            <w:webHidden/>
          </w:rPr>
        </w:r>
        <w:r w:rsidR="00C16D36" w:rsidRPr="00C531D9">
          <w:rPr>
            <w:rFonts w:asciiTheme="majorHAnsi" w:hAnsiTheme="majorHAnsi"/>
            <w:i w:val="0"/>
            <w:noProof/>
            <w:webHidden/>
          </w:rPr>
          <w:fldChar w:fldCharType="separate"/>
        </w:r>
        <w:r w:rsidR="005837AA">
          <w:rPr>
            <w:rFonts w:asciiTheme="majorHAnsi" w:hAnsiTheme="majorHAnsi"/>
            <w:i w:val="0"/>
            <w:noProof/>
            <w:webHidden/>
          </w:rPr>
          <w:t>8</w:t>
        </w:r>
        <w:r w:rsidR="00C16D36" w:rsidRPr="00C531D9">
          <w:rPr>
            <w:rFonts w:asciiTheme="majorHAnsi" w:hAnsiTheme="majorHAnsi"/>
            <w:i w:val="0"/>
            <w:noProof/>
            <w:webHidden/>
          </w:rPr>
          <w:fldChar w:fldCharType="end"/>
        </w:r>
      </w:hyperlink>
    </w:p>
    <w:p w:rsidR="00C16D36" w:rsidRPr="00C531D9" w:rsidRDefault="00B91D59" w:rsidP="00A67D54">
      <w:pPr>
        <w:pStyle w:val="TOC3"/>
        <w:tabs>
          <w:tab w:val="left" w:pos="1440"/>
        </w:tabs>
        <w:ind w:left="2160" w:hanging="720"/>
        <w:rPr>
          <w:rFonts w:asciiTheme="majorHAnsi" w:eastAsiaTheme="minorEastAsia" w:hAnsiTheme="majorHAnsi" w:cstheme="minorBidi"/>
          <w:i w:val="0"/>
          <w:iCs w:val="0"/>
          <w:noProof/>
          <w:bdr w:val="none" w:sz="0" w:space="0" w:color="auto"/>
        </w:rPr>
      </w:pPr>
      <w:hyperlink w:anchor="_Toc467138442" w:history="1">
        <w:r w:rsidR="00C16D36" w:rsidRPr="00C531D9">
          <w:rPr>
            <w:rStyle w:val="Hyperlink"/>
            <w:rFonts w:asciiTheme="majorHAnsi" w:hAnsiTheme="majorHAnsi"/>
            <w:i w:val="0"/>
            <w:noProof/>
            <w:lang w:val="es-ES"/>
          </w:rPr>
          <w:t>2.</w:t>
        </w:r>
        <w:r w:rsidR="00C16D36" w:rsidRPr="00C531D9">
          <w:rPr>
            <w:rFonts w:asciiTheme="majorHAnsi" w:eastAsiaTheme="minorEastAsia" w:hAnsiTheme="majorHAnsi" w:cstheme="minorBidi"/>
            <w:i w:val="0"/>
            <w:iCs w:val="0"/>
            <w:noProof/>
            <w:bdr w:val="none" w:sz="0" w:space="0" w:color="auto"/>
          </w:rPr>
          <w:tab/>
        </w:r>
        <w:r w:rsidR="00C16D36" w:rsidRPr="00C531D9">
          <w:rPr>
            <w:rStyle w:val="Hyperlink"/>
            <w:rFonts w:asciiTheme="majorHAnsi" w:hAnsiTheme="majorHAnsi"/>
            <w:i w:val="0"/>
            <w:noProof/>
            <w:lang w:val="es-ES"/>
          </w:rPr>
          <w:t>Consideraciones de derecho: derecho de igualdad ante la Ley, derecho de reconocimiento de la personalidad jurídica y de los derechos civiles, y derecho de justicia (artículos II, XVII y XVIII de la Declaración Americana)</w:t>
        </w:r>
        <w:r w:rsidR="00C16D36" w:rsidRPr="00C531D9">
          <w:rPr>
            <w:rFonts w:asciiTheme="majorHAnsi" w:hAnsiTheme="majorHAnsi"/>
            <w:i w:val="0"/>
            <w:noProof/>
            <w:webHidden/>
          </w:rPr>
          <w:tab/>
        </w:r>
        <w:r w:rsidR="00C16D36" w:rsidRPr="00C531D9">
          <w:rPr>
            <w:rFonts w:asciiTheme="majorHAnsi" w:hAnsiTheme="majorHAnsi"/>
            <w:i w:val="0"/>
            <w:noProof/>
            <w:webHidden/>
          </w:rPr>
          <w:fldChar w:fldCharType="begin"/>
        </w:r>
        <w:r w:rsidR="00C16D36" w:rsidRPr="00C531D9">
          <w:rPr>
            <w:rFonts w:asciiTheme="majorHAnsi" w:hAnsiTheme="majorHAnsi"/>
            <w:i w:val="0"/>
            <w:noProof/>
            <w:webHidden/>
          </w:rPr>
          <w:instrText xml:space="preserve"> PAGEREF _Toc467138442 \h </w:instrText>
        </w:r>
        <w:r w:rsidR="00C16D36" w:rsidRPr="00C531D9">
          <w:rPr>
            <w:rFonts w:asciiTheme="majorHAnsi" w:hAnsiTheme="majorHAnsi"/>
            <w:i w:val="0"/>
            <w:noProof/>
            <w:webHidden/>
          </w:rPr>
        </w:r>
        <w:r w:rsidR="00C16D36" w:rsidRPr="00C531D9">
          <w:rPr>
            <w:rFonts w:asciiTheme="majorHAnsi" w:hAnsiTheme="majorHAnsi"/>
            <w:i w:val="0"/>
            <w:noProof/>
            <w:webHidden/>
          </w:rPr>
          <w:fldChar w:fldCharType="separate"/>
        </w:r>
        <w:r w:rsidR="005837AA">
          <w:rPr>
            <w:rFonts w:asciiTheme="majorHAnsi" w:hAnsiTheme="majorHAnsi"/>
            <w:i w:val="0"/>
            <w:noProof/>
            <w:webHidden/>
          </w:rPr>
          <w:t>9</w:t>
        </w:r>
        <w:r w:rsidR="00C16D36" w:rsidRPr="00C531D9">
          <w:rPr>
            <w:rFonts w:asciiTheme="majorHAnsi" w:hAnsiTheme="majorHAnsi"/>
            <w:i w:val="0"/>
            <w:noProof/>
            <w:webHidden/>
          </w:rPr>
          <w:fldChar w:fldCharType="end"/>
        </w:r>
      </w:hyperlink>
    </w:p>
    <w:p w:rsidR="00C16D36" w:rsidRPr="00C531D9" w:rsidRDefault="00B91D59" w:rsidP="00A67D54">
      <w:pPr>
        <w:pStyle w:val="TOC1"/>
        <w:tabs>
          <w:tab w:val="left" w:pos="720"/>
          <w:tab w:val="left" w:pos="1440"/>
          <w:tab w:val="right" w:leader="dot" w:pos="9350"/>
        </w:tabs>
        <w:rPr>
          <w:rFonts w:asciiTheme="majorHAnsi" w:eastAsiaTheme="minorEastAsia" w:hAnsiTheme="majorHAnsi" w:cstheme="minorBidi"/>
          <w:b w:val="0"/>
          <w:bCs w:val="0"/>
          <w:caps w:val="0"/>
          <w:noProof/>
          <w:bdr w:val="none" w:sz="0" w:space="0" w:color="auto"/>
        </w:rPr>
      </w:pPr>
      <w:hyperlink w:anchor="_Toc467138443" w:history="1">
        <w:r w:rsidR="00C16D36" w:rsidRPr="00C531D9">
          <w:rPr>
            <w:rStyle w:val="Hyperlink"/>
            <w:rFonts w:asciiTheme="majorHAnsi" w:hAnsiTheme="majorHAnsi"/>
            <w:noProof/>
            <w:lang w:val="es-ES"/>
          </w:rPr>
          <w:t xml:space="preserve">IV. </w:t>
        </w:r>
        <w:r w:rsidR="00C16D36" w:rsidRPr="00C531D9">
          <w:rPr>
            <w:rFonts w:asciiTheme="majorHAnsi" w:eastAsiaTheme="minorEastAsia" w:hAnsiTheme="majorHAnsi" w:cstheme="minorBidi"/>
            <w:b w:val="0"/>
            <w:bCs w:val="0"/>
            <w:caps w:val="0"/>
            <w:noProof/>
            <w:bdr w:val="none" w:sz="0" w:space="0" w:color="auto"/>
          </w:rPr>
          <w:tab/>
        </w:r>
        <w:r w:rsidR="00C16D36" w:rsidRPr="00C531D9">
          <w:rPr>
            <w:rStyle w:val="Hyperlink"/>
            <w:rFonts w:asciiTheme="majorHAnsi" w:hAnsiTheme="majorHAnsi"/>
            <w:noProof/>
            <w:lang w:val="es-ES"/>
          </w:rPr>
          <w:t>HECHOS PROBADOS</w:t>
        </w:r>
        <w:r w:rsidR="00C16D36" w:rsidRPr="00C531D9">
          <w:rPr>
            <w:rFonts w:asciiTheme="majorHAnsi" w:hAnsiTheme="majorHAnsi"/>
            <w:noProof/>
            <w:webHidden/>
          </w:rPr>
          <w:tab/>
        </w:r>
        <w:r w:rsidR="00C16D36" w:rsidRPr="00C531D9">
          <w:rPr>
            <w:rFonts w:asciiTheme="majorHAnsi" w:hAnsiTheme="majorHAnsi"/>
            <w:noProof/>
            <w:webHidden/>
          </w:rPr>
          <w:fldChar w:fldCharType="begin"/>
        </w:r>
        <w:r w:rsidR="00C16D36" w:rsidRPr="00C531D9">
          <w:rPr>
            <w:rFonts w:asciiTheme="majorHAnsi" w:hAnsiTheme="majorHAnsi"/>
            <w:noProof/>
            <w:webHidden/>
          </w:rPr>
          <w:instrText xml:space="preserve"> PAGEREF _Toc467138443 \h </w:instrText>
        </w:r>
        <w:r w:rsidR="00C16D36" w:rsidRPr="00C531D9">
          <w:rPr>
            <w:rFonts w:asciiTheme="majorHAnsi" w:hAnsiTheme="majorHAnsi"/>
            <w:noProof/>
            <w:webHidden/>
          </w:rPr>
        </w:r>
        <w:r w:rsidR="00C16D36" w:rsidRPr="00C531D9">
          <w:rPr>
            <w:rFonts w:asciiTheme="majorHAnsi" w:hAnsiTheme="majorHAnsi"/>
            <w:noProof/>
            <w:webHidden/>
          </w:rPr>
          <w:fldChar w:fldCharType="separate"/>
        </w:r>
        <w:r w:rsidR="005837AA">
          <w:rPr>
            <w:rFonts w:asciiTheme="majorHAnsi" w:hAnsiTheme="majorHAnsi"/>
            <w:noProof/>
            <w:webHidden/>
          </w:rPr>
          <w:t>11</w:t>
        </w:r>
        <w:r w:rsidR="00C16D36" w:rsidRPr="00C531D9">
          <w:rPr>
            <w:rFonts w:asciiTheme="majorHAnsi" w:hAnsiTheme="majorHAnsi"/>
            <w:noProof/>
            <w:webHidden/>
          </w:rPr>
          <w:fldChar w:fldCharType="end"/>
        </w:r>
      </w:hyperlink>
    </w:p>
    <w:p w:rsidR="00C16D36" w:rsidRPr="00C531D9" w:rsidRDefault="00B91D59" w:rsidP="00A67D54">
      <w:pPr>
        <w:pStyle w:val="TOC2"/>
        <w:rPr>
          <w:rFonts w:eastAsiaTheme="minorEastAsia" w:cstheme="minorBidi"/>
          <w:noProof/>
          <w:bdr w:val="none" w:sz="0" w:space="0" w:color="auto"/>
        </w:rPr>
      </w:pPr>
      <w:hyperlink w:anchor="_Toc467138444" w:history="1">
        <w:r w:rsidR="00C16D36" w:rsidRPr="00C531D9">
          <w:rPr>
            <w:rStyle w:val="Hyperlink"/>
            <w:rFonts w:asciiTheme="majorHAnsi" w:hAnsiTheme="majorHAnsi"/>
            <w:noProof/>
            <w:lang w:val="es-ES"/>
          </w:rPr>
          <w:t>A.</w:t>
        </w:r>
        <w:r w:rsidR="00C16D36" w:rsidRPr="00C531D9">
          <w:rPr>
            <w:rFonts w:eastAsiaTheme="minorEastAsia" w:cstheme="minorBidi"/>
            <w:noProof/>
            <w:bdr w:val="none" w:sz="0" w:space="0" w:color="auto"/>
          </w:rPr>
          <w:tab/>
        </w:r>
        <w:r w:rsidR="00C16D36" w:rsidRPr="00C531D9">
          <w:rPr>
            <w:rStyle w:val="Hyperlink"/>
            <w:rFonts w:asciiTheme="majorHAnsi" w:hAnsiTheme="majorHAnsi"/>
            <w:noProof/>
            <w:lang w:val="es-ES"/>
          </w:rPr>
          <w:t>Presuntas víctimas</w:t>
        </w:r>
        <w:r w:rsidR="00C16D36" w:rsidRPr="00C531D9">
          <w:rPr>
            <w:noProof/>
            <w:webHidden/>
          </w:rPr>
          <w:tab/>
        </w:r>
        <w:r w:rsidR="00C16D36" w:rsidRPr="00C531D9">
          <w:rPr>
            <w:noProof/>
            <w:webHidden/>
          </w:rPr>
          <w:fldChar w:fldCharType="begin"/>
        </w:r>
        <w:r w:rsidR="00C16D36" w:rsidRPr="00C531D9">
          <w:rPr>
            <w:noProof/>
            <w:webHidden/>
          </w:rPr>
          <w:instrText xml:space="preserve"> PAGEREF _Toc467138444 \h </w:instrText>
        </w:r>
        <w:r w:rsidR="00C16D36" w:rsidRPr="00C531D9">
          <w:rPr>
            <w:noProof/>
            <w:webHidden/>
          </w:rPr>
        </w:r>
        <w:r w:rsidR="00C16D36" w:rsidRPr="00C531D9">
          <w:rPr>
            <w:noProof/>
            <w:webHidden/>
          </w:rPr>
          <w:fldChar w:fldCharType="separate"/>
        </w:r>
        <w:r w:rsidR="005837AA">
          <w:rPr>
            <w:noProof/>
            <w:webHidden/>
          </w:rPr>
          <w:t>11</w:t>
        </w:r>
        <w:r w:rsidR="00C16D36" w:rsidRPr="00C531D9">
          <w:rPr>
            <w:noProof/>
            <w:webHidden/>
          </w:rPr>
          <w:fldChar w:fldCharType="end"/>
        </w:r>
      </w:hyperlink>
    </w:p>
    <w:p w:rsidR="00C16D36" w:rsidRPr="00C531D9" w:rsidRDefault="00B91D59" w:rsidP="00A67D54">
      <w:pPr>
        <w:pStyle w:val="TOC2"/>
        <w:rPr>
          <w:rFonts w:eastAsiaTheme="minorEastAsia" w:cstheme="minorBidi"/>
          <w:noProof/>
          <w:bdr w:val="none" w:sz="0" w:space="0" w:color="auto"/>
        </w:rPr>
      </w:pPr>
      <w:hyperlink w:anchor="_Toc467138445" w:history="1">
        <w:r w:rsidR="00C16D36" w:rsidRPr="00C531D9">
          <w:rPr>
            <w:rStyle w:val="Hyperlink"/>
            <w:rFonts w:asciiTheme="majorHAnsi" w:hAnsiTheme="majorHAnsi"/>
            <w:noProof/>
            <w:lang w:val="es-ES"/>
          </w:rPr>
          <w:t>B.</w:t>
        </w:r>
        <w:r w:rsidR="00C16D36" w:rsidRPr="00C531D9">
          <w:rPr>
            <w:rFonts w:eastAsiaTheme="minorEastAsia" w:cstheme="minorBidi"/>
            <w:noProof/>
            <w:bdr w:val="none" w:sz="0" w:space="0" w:color="auto"/>
          </w:rPr>
          <w:tab/>
        </w:r>
        <w:r w:rsidR="00C16D36" w:rsidRPr="00C531D9">
          <w:rPr>
            <w:rStyle w:val="Hyperlink"/>
            <w:rFonts w:asciiTheme="majorHAnsi" w:hAnsiTheme="majorHAnsi"/>
            <w:noProof/>
            <w:lang w:val="es-ES"/>
          </w:rPr>
          <w:t xml:space="preserve">Hoffman Plastic Compounds, Inc. c. </w:t>
        </w:r>
        <w:r w:rsidR="00C16D36" w:rsidRPr="00C531D9">
          <w:rPr>
            <w:rStyle w:val="Hyperlink"/>
            <w:rFonts w:asciiTheme="majorHAnsi" w:hAnsiTheme="majorHAnsi"/>
            <w:noProof/>
            <w:bdr w:val="none" w:sz="0" w:space="0" w:color="auto" w:frame="1"/>
            <w:lang w:val="es-ES"/>
          </w:rPr>
          <w:t>Junta Nacional de Relaciones Laborales</w:t>
        </w:r>
        <w:r w:rsidR="00C16D36" w:rsidRPr="00C531D9">
          <w:rPr>
            <w:noProof/>
            <w:webHidden/>
          </w:rPr>
          <w:tab/>
        </w:r>
        <w:r w:rsidR="00C16D36" w:rsidRPr="00C531D9">
          <w:rPr>
            <w:noProof/>
            <w:webHidden/>
          </w:rPr>
          <w:fldChar w:fldCharType="begin"/>
        </w:r>
        <w:r w:rsidR="00C16D36" w:rsidRPr="00C531D9">
          <w:rPr>
            <w:noProof/>
            <w:webHidden/>
          </w:rPr>
          <w:instrText xml:space="preserve"> PAGEREF _Toc467138445 \h </w:instrText>
        </w:r>
        <w:r w:rsidR="00C16D36" w:rsidRPr="00C531D9">
          <w:rPr>
            <w:noProof/>
            <w:webHidden/>
          </w:rPr>
        </w:r>
        <w:r w:rsidR="00C16D36" w:rsidRPr="00C531D9">
          <w:rPr>
            <w:noProof/>
            <w:webHidden/>
          </w:rPr>
          <w:fldChar w:fldCharType="separate"/>
        </w:r>
        <w:r w:rsidR="005837AA">
          <w:rPr>
            <w:noProof/>
            <w:webHidden/>
          </w:rPr>
          <w:t>12</w:t>
        </w:r>
        <w:r w:rsidR="00C16D36" w:rsidRPr="00C531D9">
          <w:rPr>
            <w:noProof/>
            <w:webHidden/>
          </w:rPr>
          <w:fldChar w:fldCharType="end"/>
        </w:r>
      </w:hyperlink>
    </w:p>
    <w:p w:rsidR="00C16D36" w:rsidRPr="00C531D9" w:rsidRDefault="00B91D59" w:rsidP="00A67D54">
      <w:pPr>
        <w:pStyle w:val="TOC2"/>
        <w:rPr>
          <w:rFonts w:eastAsiaTheme="minorEastAsia" w:cstheme="minorBidi"/>
          <w:noProof/>
          <w:bdr w:val="none" w:sz="0" w:space="0" w:color="auto"/>
        </w:rPr>
      </w:pPr>
      <w:hyperlink w:anchor="_Toc467138446" w:history="1">
        <w:r w:rsidR="00C16D36" w:rsidRPr="00C531D9">
          <w:rPr>
            <w:rStyle w:val="Hyperlink"/>
            <w:rFonts w:asciiTheme="majorHAnsi" w:hAnsiTheme="majorHAnsi"/>
            <w:noProof/>
            <w:lang w:val="es-ES"/>
          </w:rPr>
          <w:t>C.</w:t>
        </w:r>
        <w:r w:rsidR="00C16D36" w:rsidRPr="00C531D9">
          <w:rPr>
            <w:rFonts w:eastAsiaTheme="minorEastAsia" w:cstheme="minorBidi"/>
            <w:noProof/>
            <w:bdr w:val="none" w:sz="0" w:space="0" w:color="auto"/>
          </w:rPr>
          <w:tab/>
        </w:r>
        <w:r w:rsidR="00C16D36" w:rsidRPr="00C531D9">
          <w:rPr>
            <w:rStyle w:val="Hyperlink"/>
            <w:rFonts w:asciiTheme="majorHAnsi" w:hAnsiTheme="majorHAnsi"/>
            <w:noProof/>
            <w:lang w:val="es-ES"/>
          </w:rPr>
          <w:t>Situación de los trabajadores indocumentados en Estados Unidos</w:t>
        </w:r>
        <w:r w:rsidR="00C16D36" w:rsidRPr="00C531D9">
          <w:rPr>
            <w:noProof/>
            <w:webHidden/>
          </w:rPr>
          <w:tab/>
        </w:r>
        <w:r w:rsidR="00C16D36" w:rsidRPr="00C531D9">
          <w:rPr>
            <w:noProof/>
            <w:webHidden/>
          </w:rPr>
          <w:fldChar w:fldCharType="begin"/>
        </w:r>
        <w:r w:rsidR="00C16D36" w:rsidRPr="00C531D9">
          <w:rPr>
            <w:noProof/>
            <w:webHidden/>
          </w:rPr>
          <w:instrText xml:space="preserve"> PAGEREF _Toc467138446 \h </w:instrText>
        </w:r>
        <w:r w:rsidR="00C16D36" w:rsidRPr="00C531D9">
          <w:rPr>
            <w:noProof/>
            <w:webHidden/>
          </w:rPr>
        </w:r>
        <w:r w:rsidR="00C16D36" w:rsidRPr="00C531D9">
          <w:rPr>
            <w:noProof/>
            <w:webHidden/>
          </w:rPr>
          <w:fldChar w:fldCharType="separate"/>
        </w:r>
        <w:r w:rsidR="005837AA">
          <w:rPr>
            <w:noProof/>
            <w:webHidden/>
          </w:rPr>
          <w:t>15</w:t>
        </w:r>
        <w:r w:rsidR="00C16D36" w:rsidRPr="00C531D9">
          <w:rPr>
            <w:noProof/>
            <w:webHidden/>
          </w:rPr>
          <w:fldChar w:fldCharType="end"/>
        </w:r>
      </w:hyperlink>
    </w:p>
    <w:p w:rsidR="00C16D36" w:rsidRPr="00C531D9" w:rsidRDefault="00B91D59" w:rsidP="00A67D54">
      <w:pPr>
        <w:pStyle w:val="TOC1"/>
        <w:tabs>
          <w:tab w:val="left" w:pos="720"/>
          <w:tab w:val="left" w:pos="1440"/>
          <w:tab w:val="right" w:leader="dot" w:pos="9350"/>
        </w:tabs>
        <w:rPr>
          <w:rFonts w:asciiTheme="majorHAnsi" w:eastAsiaTheme="minorEastAsia" w:hAnsiTheme="majorHAnsi" w:cstheme="minorBidi"/>
          <w:b w:val="0"/>
          <w:bCs w:val="0"/>
          <w:caps w:val="0"/>
          <w:noProof/>
          <w:bdr w:val="none" w:sz="0" w:space="0" w:color="auto"/>
        </w:rPr>
      </w:pPr>
      <w:hyperlink w:anchor="_Toc467138447" w:history="1">
        <w:r w:rsidR="00C16D36" w:rsidRPr="00C531D9">
          <w:rPr>
            <w:rStyle w:val="Hyperlink"/>
            <w:rFonts w:asciiTheme="majorHAnsi" w:hAnsiTheme="majorHAnsi"/>
            <w:noProof/>
            <w:lang w:val="es-ES"/>
          </w:rPr>
          <w:t xml:space="preserve">V. </w:t>
        </w:r>
        <w:r w:rsidR="00C16D36" w:rsidRPr="00C531D9">
          <w:rPr>
            <w:rFonts w:asciiTheme="majorHAnsi" w:eastAsiaTheme="minorEastAsia" w:hAnsiTheme="majorHAnsi" w:cstheme="minorBidi"/>
            <w:b w:val="0"/>
            <w:bCs w:val="0"/>
            <w:caps w:val="0"/>
            <w:noProof/>
            <w:bdr w:val="none" w:sz="0" w:space="0" w:color="auto"/>
          </w:rPr>
          <w:tab/>
        </w:r>
        <w:r w:rsidR="00C16D36" w:rsidRPr="00C531D9">
          <w:rPr>
            <w:rStyle w:val="Hyperlink"/>
            <w:rFonts w:asciiTheme="majorHAnsi" w:hAnsiTheme="majorHAnsi"/>
            <w:noProof/>
            <w:lang w:val="es-ES"/>
          </w:rPr>
          <w:t>ANÁLISIS JURÍDICO</w:t>
        </w:r>
        <w:r w:rsidR="00C16D36" w:rsidRPr="00C531D9">
          <w:rPr>
            <w:rFonts w:asciiTheme="majorHAnsi" w:hAnsiTheme="majorHAnsi"/>
            <w:noProof/>
            <w:webHidden/>
          </w:rPr>
          <w:tab/>
        </w:r>
        <w:r w:rsidR="00C16D36" w:rsidRPr="00C531D9">
          <w:rPr>
            <w:rFonts w:asciiTheme="majorHAnsi" w:hAnsiTheme="majorHAnsi"/>
            <w:noProof/>
            <w:webHidden/>
          </w:rPr>
          <w:fldChar w:fldCharType="begin"/>
        </w:r>
        <w:r w:rsidR="00C16D36" w:rsidRPr="00C531D9">
          <w:rPr>
            <w:rFonts w:asciiTheme="majorHAnsi" w:hAnsiTheme="majorHAnsi"/>
            <w:noProof/>
            <w:webHidden/>
          </w:rPr>
          <w:instrText xml:space="preserve"> PAGEREF _Toc467138447 \h </w:instrText>
        </w:r>
        <w:r w:rsidR="00C16D36" w:rsidRPr="00C531D9">
          <w:rPr>
            <w:rFonts w:asciiTheme="majorHAnsi" w:hAnsiTheme="majorHAnsi"/>
            <w:noProof/>
            <w:webHidden/>
          </w:rPr>
        </w:r>
        <w:r w:rsidR="00C16D36" w:rsidRPr="00C531D9">
          <w:rPr>
            <w:rFonts w:asciiTheme="majorHAnsi" w:hAnsiTheme="majorHAnsi"/>
            <w:noProof/>
            <w:webHidden/>
          </w:rPr>
          <w:fldChar w:fldCharType="separate"/>
        </w:r>
        <w:r w:rsidR="005837AA">
          <w:rPr>
            <w:rFonts w:asciiTheme="majorHAnsi" w:hAnsiTheme="majorHAnsi"/>
            <w:noProof/>
            <w:webHidden/>
          </w:rPr>
          <w:t>18</w:t>
        </w:r>
        <w:r w:rsidR="00C16D36" w:rsidRPr="00C531D9">
          <w:rPr>
            <w:rFonts w:asciiTheme="majorHAnsi" w:hAnsiTheme="majorHAnsi"/>
            <w:noProof/>
            <w:webHidden/>
          </w:rPr>
          <w:fldChar w:fldCharType="end"/>
        </w:r>
      </w:hyperlink>
    </w:p>
    <w:p w:rsidR="00C16D36" w:rsidRPr="00C531D9" w:rsidRDefault="00B91D59" w:rsidP="00A67D54">
      <w:pPr>
        <w:pStyle w:val="TOC2"/>
        <w:rPr>
          <w:rFonts w:eastAsiaTheme="minorEastAsia" w:cstheme="minorBidi"/>
          <w:noProof/>
          <w:bdr w:val="none" w:sz="0" w:space="0" w:color="auto"/>
        </w:rPr>
      </w:pPr>
      <w:hyperlink w:anchor="_Toc467138448" w:history="1">
        <w:r w:rsidR="00C16D36" w:rsidRPr="00C531D9">
          <w:rPr>
            <w:rStyle w:val="Hyperlink"/>
            <w:rFonts w:asciiTheme="majorHAnsi" w:hAnsiTheme="majorHAnsi"/>
            <w:noProof/>
            <w:lang w:val="es-ES"/>
          </w:rPr>
          <w:t>A.</w:t>
        </w:r>
        <w:r w:rsidR="00C16D36" w:rsidRPr="00C531D9">
          <w:rPr>
            <w:rFonts w:eastAsiaTheme="minorEastAsia" w:cstheme="minorBidi"/>
            <w:noProof/>
            <w:bdr w:val="none" w:sz="0" w:space="0" w:color="auto"/>
          </w:rPr>
          <w:tab/>
        </w:r>
        <w:r w:rsidR="00C16D36" w:rsidRPr="00C531D9">
          <w:rPr>
            <w:rStyle w:val="Hyperlink"/>
            <w:rFonts w:asciiTheme="majorHAnsi" w:hAnsiTheme="majorHAnsi"/>
            <w:noProof/>
            <w:lang w:val="es-ES"/>
          </w:rPr>
          <w:t>Derecho de igualdad ante la ley (artículo II de la Declaración Americana)</w:t>
        </w:r>
        <w:r w:rsidR="00C16D36" w:rsidRPr="00C531D9">
          <w:rPr>
            <w:noProof/>
            <w:webHidden/>
          </w:rPr>
          <w:tab/>
        </w:r>
        <w:r w:rsidR="00C16D36" w:rsidRPr="00C531D9">
          <w:rPr>
            <w:noProof/>
            <w:webHidden/>
          </w:rPr>
          <w:fldChar w:fldCharType="begin"/>
        </w:r>
        <w:r w:rsidR="00C16D36" w:rsidRPr="00C531D9">
          <w:rPr>
            <w:noProof/>
            <w:webHidden/>
          </w:rPr>
          <w:instrText xml:space="preserve"> PAGEREF _Toc467138448 \h </w:instrText>
        </w:r>
        <w:r w:rsidR="00C16D36" w:rsidRPr="00C531D9">
          <w:rPr>
            <w:noProof/>
            <w:webHidden/>
          </w:rPr>
        </w:r>
        <w:r w:rsidR="00C16D36" w:rsidRPr="00C531D9">
          <w:rPr>
            <w:noProof/>
            <w:webHidden/>
          </w:rPr>
          <w:fldChar w:fldCharType="separate"/>
        </w:r>
        <w:r w:rsidR="005837AA">
          <w:rPr>
            <w:noProof/>
            <w:webHidden/>
          </w:rPr>
          <w:t>19</w:t>
        </w:r>
        <w:r w:rsidR="00C16D36" w:rsidRPr="00C531D9">
          <w:rPr>
            <w:noProof/>
            <w:webHidden/>
          </w:rPr>
          <w:fldChar w:fldCharType="end"/>
        </w:r>
      </w:hyperlink>
    </w:p>
    <w:p w:rsidR="00C16D36" w:rsidRPr="00C531D9" w:rsidRDefault="00B91D59" w:rsidP="00A67D54">
      <w:pPr>
        <w:pStyle w:val="TOC2"/>
        <w:rPr>
          <w:rFonts w:eastAsiaTheme="minorEastAsia" w:cstheme="minorBidi"/>
          <w:noProof/>
          <w:bdr w:val="none" w:sz="0" w:space="0" w:color="auto"/>
        </w:rPr>
      </w:pPr>
      <w:hyperlink w:anchor="_Toc467138449" w:history="1">
        <w:r w:rsidR="00C16D36" w:rsidRPr="00C531D9">
          <w:rPr>
            <w:rStyle w:val="Hyperlink"/>
            <w:rFonts w:asciiTheme="majorHAnsi" w:hAnsiTheme="majorHAnsi"/>
            <w:noProof/>
            <w:lang w:val="es-ES"/>
          </w:rPr>
          <w:t>B.</w:t>
        </w:r>
        <w:r w:rsidR="00C16D36" w:rsidRPr="00C531D9">
          <w:rPr>
            <w:rFonts w:eastAsiaTheme="minorEastAsia" w:cstheme="minorBidi"/>
            <w:noProof/>
            <w:bdr w:val="none" w:sz="0" w:space="0" w:color="auto"/>
          </w:rPr>
          <w:tab/>
        </w:r>
        <w:r w:rsidR="00C16D36" w:rsidRPr="00C531D9">
          <w:rPr>
            <w:rStyle w:val="Hyperlink"/>
            <w:rFonts w:asciiTheme="majorHAnsi" w:hAnsiTheme="majorHAnsi"/>
            <w:noProof/>
            <w:lang w:val="es-ES"/>
          </w:rPr>
          <w:t>Derecho de reconocimiento de la personalidad jurídica y de los derechos civiles y derecho de justicia (artículos XVII y XVIII de la Declaración Americana)</w:t>
        </w:r>
        <w:r w:rsidR="00C16D36" w:rsidRPr="00C531D9">
          <w:rPr>
            <w:noProof/>
            <w:webHidden/>
          </w:rPr>
          <w:tab/>
        </w:r>
        <w:r w:rsidR="00C16D36" w:rsidRPr="00C531D9">
          <w:rPr>
            <w:noProof/>
            <w:webHidden/>
          </w:rPr>
          <w:fldChar w:fldCharType="begin"/>
        </w:r>
        <w:r w:rsidR="00C16D36" w:rsidRPr="00C531D9">
          <w:rPr>
            <w:noProof/>
            <w:webHidden/>
          </w:rPr>
          <w:instrText xml:space="preserve"> PAGEREF _Toc467138449 \h </w:instrText>
        </w:r>
        <w:r w:rsidR="00C16D36" w:rsidRPr="00C531D9">
          <w:rPr>
            <w:noProof/>
            <w:webHidden/>
          </w:rPr>
        </w:r>
        <w:r w:rsidR="00C16D36" w:rsidRPr="00C531D9">
          <w:rPr>
            <w:noProof/>
            <w:webHidden/>
          </w:rPr>
          <w:fldChar w:fldCharType="separate"/>
        </w:r>
        <w:r w:rsidR="005837AA">
          <w:rPr>
            <w:noProof/>
            <w:webHidden/>
          </w:rPr>
          <w:t>25</w:t>
        </w:r>
        <w:r w:rsidR="00C16D36" w:rsidRPr="00C531D9">
          <w:rPr>
            <w:noProof/>
            <w:webHidden/>
          </w:rPr>
          <w:fldChar w:fldCharType="end"/>
        </w:r>
      </w:hyperlink>
    </w:p>
    <w:p w:rsidR="00C16D36" w:rsidRPr="00C531D9" w:rsidRDefault="00B91D59" w:rsidP="00A67D54">
      <w:pPr>
        <w:pStyle w:val="TOC2"/>
        <w:rPr>
          <w:rFonts w:eastAsiaTheme="minorEastAsia" w:cstheme="minorBidi"/>
          <w:noProof/>
          <w:bdr w:val="none" w:sz="0" w:space="0" w:color="auto"/>
        </w:rPr>
      </w:pPr>
      <w:hyperlink w:anchor="_Toc467138450" w:history="1">
        <w:r w:rsidR="00C16D36" w:rsidRPr="00C531D9">
          <w:rPr>
            <w:rStyle w:val="Hyperlink"/>
            <w:rFonts w:asciiTheme="majorHAnsi" w:hAnsiTheme="majorHAnsi"/>
            <w:noProof/>
            <w:lang w:val="es-ES"/>
          </w:rPr>
          <w:t>C.</w:t>
        </w:r>
        <w:r w:rsidR="00C16D36" w:rsidRPr="00C531D9">
          <w:rPr>
            <w:rFonts w:eastAsiaTheme="minorEastAsia" w:cstheme="minorBidi"/>
            <w:noProof/>
            <w:bdr w:val="none" w:sz="0" w:space="0" w:color="auto"/>
          </w:rPr>
          <w:tab/>
        </w:r>
        <w:r w:rsidR="00C16D36" w:rsidRPr="00C531D9">
          <w:rPr>
            <w:rStyle w:val="Hyperlink"/>
            <w:rFonts w:asciiTheme="majorHAnsi" w:hAnsiTheme="majorHAnsi"/>
            <w:noProof/>
            <w:lang w:val="es-ES"/>
          </w:rPr>
          <w:t>Derecho a la seguridad social (artículo XVI de la Declaración Americana)</w:t>
        </w:r>
        <w:r w:rsidR="00C16D36" w:rsidRPr="00C531D9">
          <w:rPr>
            <w:noProof/>
            <w:webHidden/>
          </w:rPr>
          <w:tab/>
        </w:r>
        <w:r w:rsidR="00C16D36" w:rsidRPr="00C531D9">
          <w:rPr>
            <w:noProof/>
            <w:webHidden/>
          </w:rPr>
          <w:fldChar w:fldCharType="begin"/>
        </w:r>
        <w:r w:rsidR="00C16D36" w:rsidRPr="00C531D9">
          <w:rPr>
            <w:noProof/>
            <w:webHidden/>
          </w:rPr>
          <w:instrText xml:space="preserve"> PAGEREF _Toc467138450 \h </w:instrText>
        </w:r>
        <w:r w:rsidR="00C16D36" w:rsidRPr="00C531D9">
          <w:rPr>
            <w:noProof/>
            <w:webHidden/>
          </w:rPr>
        </w:r>
        <w:r w:rsidR="00C16D36" w:rsidRPr="00C531D9">
          <w:rPr>
            <w:noProof/>
            <w:webHidden/>
          </w:rPr>
          <w:fldChar w:fldCharType="separate"/>
        </w:r>
        <w:r w:rsidR="005837AA">
          <w:rPr>
            <w:noProof/>
            <w:webHidden/>
          </w:rPr>
          <w:t>30</w:t>
        </w:r>
        <w:r w:rsidR="00C16D36" w:rsidRPr="00C531D9">
          <w:rPr>
            <w:noProof/>
            <w:webHidden/>
          </w:rPr>
          <w:fldChar w:fldCharType="end"/>
        </w:r>
      </w:hyperlink>
    </w:p>
    <w:p w:rsidR="00C16D36" w:rsidRPr="00C531D9" w:rsidRDefault="00B91D59" w:rsidP="00A67D54">
      <w:pPr>
        <w:pStyle w:val="TOC1"/>
        <w:tabs>
          <w:tab w:val="left" w:pos="720"/>
          <w:tab w:val="left" w:pos="1440"/>
          <w:tab w:val="right" w:leader="dot" w:pos="9350"/>
        </w:tabs>
        <w:rPr>
          <w:rFonts w:asciiTheme="majorHAnsi" w:eastAsiaTheme="minorEastAsia" w:hAnsiTheme="majorHAnsi" w:cstheme="minorBidi"/>
          <w:b w:val="0"/>
          <w:bCs w:val="0"/>
          <w:caps w:val="0"/>
          <w:noProof/>
          <w:bdr w:val="none" w:sz="0" w:space="0" w:color="auto"/>
        </w:rPr>
      </w:pPr>
      <w:hyperlink w:anchor="_Toc467138451" w:history="1">
        <w:r w:rsidR="00C16D36" w:rsidRPr="00C531D9">
          <w:rPr>
            <w:rStyle w:val="Hyperlink"/>
            <w:rFonts w:asciiTheme="majorHAnsi" w:hAnsiTheme="majorHAnsi"/>
            <w:noProof/>
            <w:lang w:val="es-ES"/>
          </w:rPr>
          <w:t xml:space="preserve">VII. </w:t>
        </w:r>
        <w:r w:rsidR="00C16D36" w:rsidRPr="00C531D9">
          <w:rPr>
            <w:rFonts w:asciiTheme="majorHAnsi" w:eastAsiaTheme="minorEastAsia" w:hAnsiTheme="majorHAnsi" w:cstheme="minorBidi"/>
            <w:b w:val="0"/>
            <w:bCs w:val="0"/>
            <w:caps w:val="0"/>
            <w:noProof/>
            <w:bdr w:val="none" w:sz="0" w:space="0" w:color="auto"/>
          </w:rPr>
          <w:tab/>
        </w:r>
        <w:r w:rsidR="00C16D36" w:rsidRPr="00C531D9">
          <w:rPr>
            <w:rStyle w:val="Hyperlink"/>
            <w:rFonts w:asciiTheme="majorHAnsi" w:hAnsiTheme="majorHAnsi"/>
            <w:noProof/>
            <w:lang w:val="es-ES"/>
          </w:rPr>
          <w:t>MEDIDAS SUBSIGUIENTES AL INFORME No. 83/15</w:t>
        </w:r>
        <w:r w:rsidR="00C16D36" w:rsidRPr="00C531D9">
          <w:rPr>
            <w:rFonts w:asciiTheme="majorHAnsi" w:hAnsiTheme="majorHAnsi"/>
            <w:noProof/>
            <w:webHidden/>
          </w:rPr>
          <w:tab/>
        </w:r>
        <w:r w:rsidR="00C16D36" w:rsidRPr="00C531D9">
          <w:rPr>
            <w:rFonts w:asciiTheme="majorHAnsi" w:hAnsiTheme="majorHAnsi"/>
            <w:noProof/>
            <w:webHidden/>
          </w:rPr>
          <w:fldChar w:fldCharType="begin"/>
        </w:r>
        <w:r w:rsidR="00C16D36" w:rsidRPr="00C531D9">
          <w:rPr>
            <w:rFonts w:asciiTheme="majorHAnsi" w:hAnsiTheme="majorHAnsi"/>
            <w:noProof/>
            <w:webHidden/>
          </w:rPr>
          <w:instrText xml:space="preserve"> PAGEREF _Toc467138451 \h </w:instrText>
        </w:r>
        <w:r w:rsidR="00C16D36" w:rsidRPr="00C531D9">
          <w:rPr>
            <w:rFonts w:asciiTheme="majorHAnsi" w:hAnsiTheme="majorHAnsi"/>
            <w:noProof/>
            <w:webHidden/>
          </w:rPr>
        </w:r>
        <w:r w:rsidR="00C16D36" w:rsidRPr="00C531D9">
          <w:rPr>
            <w:rFonts w:asciiTheme="majorHAnsi" w:hAnsiTheme="majorHAnsi"/>
            <w:noProof/>
            <w:webHidden/>
          </w:rPr>
          <w:fldChar w:fldCharType="separate"/>
        </w:r>
        <w:r w:rsidR="005837AA">
          <w:rPr>
            <w:rFonts w:asciiTheme="majorHAnsi" w:hAnsiTheme="majorHAnsi"/>
            <w:noProof/>
            <w:webHidden/>
          </w:rPr>
          <w:t>32</w:t>
        </w:r>
        <w:r w:rsidR="00C16D36" w:rsidRPr="00C531D9">
          <w:rPr>
            <w:rFonts w:asciiTheme="majorHAnsi" w:hAnsiTheme="majorHAnsi"/>
            <w:noProof/>
            <w:webHidden/>
          </w:rPr>
          <w:fldChar w:fldCharType="end"/>
        </w:r>
      </w:hyperlink>
    </w:p>
    <w:p w:rsidR="00C16D36" w:rsidRPr="00C531D9" w:rsidRDefault="00B91D59" w:rsidP="00A67D54">
      <w:pPr>
        <w:pStyle w:val="TOC1"/>
        <w:tabs>
          <w:tab w:val="left" w:pos="720"/>
          <w:tab w:val="left" w:pos="1440"/>
          <w:tab w:val="right" w:leader="dot" w:pos="9350"/>
        </w:tabs>
        <w:rPr>
          <w:rFonts w:asciiTheme="majorHAnsi" w:eastAsiaTheme="minorEastAsia" w:hAnsiTheme="majorHAnsi" w:cstheme="minorBidi"/>
          <w:b w:val="0"/>
          <w:bCs w:val="0"/>
          <w:caps w:val="0"/>
          <w:noProof/>
          <w:bdr w:val="none" w:sz="0" w:space="0" w:color="auto"/>
        </w:rPr>
      </w:pPr>
      <w:hyperlink w:anchor="_Toc467138452" w:history="1">
        <w:r w:rsidR="00C16D36" w:rsidRPr="00C531D9">
          <w:rPr>
            <w:rStyle w:val="Hyperlink"/>
            <w:rFonts w:asciiTheme="majorHAnsi" w:hAnsiTheme="majorHAnsi"/>
            <w:noProof/>
            <w:lang w:val="es-ES"/>
          </w:rPr>
          <w:t>VII.</w:t>
        </w:r>
        <w:r w:rsidR="00C16D36" w:rsidRPr="00C531D9">
          <w:rPr>
            <w:rFonts w:asciiTheme="majorHAnsi" w:eastAsiaTheme="minorEastAsia" w:hAnsiTheme="majorHAnsi" w:cstheme="minorBidi"/>
            <w:b w:val="0"/>
            <w:bCs w:val="0"/>
            <w:caps w:val="0"/>
            <w:noProof/>
            <w:bdr w:val="none" w:sz="0" w:space="0" w:color="auto"/>
          </w:rPr>
          <w:tab/>
        </w:r>
        <w:r w:rsidR="00C16D36" w:rsidRPr="00C531D9">
          <w:rPr>
            <w:rStyle w:val="Hyperlink"/>
            <w:rFonts w:asciiTheme="majorHAnsi" w:hAnsiTheme="majorHAnsi"/>
            <w:noProof/>
            <w:lang w:val="es-ES"/>
          </w:rPr>
          <w:t>CONCLUSIONES FINALES Y RECOMENDACIONES</w:t>
        </w:r>
        <w:r w:rsidR="00C16D36" w:rsidRPr="00C531D9">
          <w:rPr>
            <w:rFonts w:asciiTheme="majorHAnsi" w:hAnsiTheme="majorHAnsi"/>
            <w:noProof/>
            <w:webHidden/>
          </w:rPr>
          <w:tab/>
        </w:r>
        <w:r w:rsidR="00C16D36" w:rsidRPr="00C531D9">
          <w:rPr>
            <w:rFonts w:asciiTheme="majorHAnsi" w:hAnsiTheme="majorHAnsi"/>
            <w:noProof/>
            <w:webHidden/>
          </w:rPr>
          <w:fldChar w:fldCharType="begin"/>
        </w:r>
        <w:r w:rsidR="00C16D36" w:rsidRPr="00C531D9">
          <w:rPr>
            <w:rFonts w:asciiTheme="majorHAnsi" w:hAnsiTheme="majorHAnsi"/>
            <w:noProof/>
            <w:webHidden/>
          </w:rPr>
          <w:instrText xml:space="preserve"> PAGEREF _Toc467138452 \h </w:instrText>
        </w:r>
        <w:r w:rsidR="00C16D36" w:rsidRPr="00C531D9">
          <w:rPr>
            <w:rFonts w:asciiTheme="majorHAnsi" w:hAnsiTheme="majorHAnsi"/>
            <w:noProof/>
            <w:webHidden/>
          </w:rPr>
        </w:r>
        <w:r w:rsidR="00C16D36" w:rsidRPr="00C531D9">
          <w:rPr>
            <w:rFonts w:asciiTheme="majorHAnsi" w:hAnsiTheme="majorHAnsi"/>
            <w:noProof/>
            <w:webHidden/>
          </w:rPr>
          <w:fldChar w:fldCharType="separate"/>
        </w:r>
        <w:r w:rsidR="005837AA">
          <w:rPr>
            <w:rFonts w:asciiTheme="majorHAnsi" w:hAnsiTheme="majorHAnsi"/>
            <w:noProof/>
            <w:webHidden/>
          </w:rPr>
          <w:t>34</w:t>
        </w:r>
        <w:r w:rsidR="00C16D36" w:rsidRPr="00C531D9">
          <w:rPr>
            <w:rFonts w:asciiTheme="majorHAnsi" w:hAnsiTheme="majorHAnsi"/>
            <w:noProof/>
            <w:webHidden/>
          </w:rPr>
          <w:fldChar w:fldCharType="end"/>
        </w:r>
      </w:hyperlink>
    </w:p>
    <w:p w:rsidR="00C16D36" w:rsidRPr="00C531D9" w:rsidRDefault="00B91D59" w:rsidP="00A67D54">
      <w:pPr>
        <w:pStyle w:val="TOC1"/>
        <w:tabs>
          <w:tab w:val="left" w:pos="720"/>
          <w:tab w:val="left" w:pos="1440"/>
          <w:tab w:val="right" w:leader="dot" w:pos="9350"/>
        </w:tabs>
        <w:rPr>
          <w:rFonts w:asciiTheme="majorHAnsi" w:eastAsiaTheme="minorEastAsia" w:hAnsiTheme="majorHAnsi" w:cstheme="minorBidi"/>
          <w:b w:val="0"/>
          <w:bCs w:val="0"/>
          <w:caps w:val="0"/>
          <w:noProof/>
          <w:bdr w:val="none" w:sz="0" w:space="0" w:color="auto"/>
        </w:rPr>
      </w:pPr>
      <w:hyperlink w:anchor="_Toc467138453" w:history="1">
        <w:r w:rsidR="00C16D36" w:rsidRPr="00C531D9">
          <w:rPr>
            <w:rStyle w:val="Hyperlink"/>
            <w:rFonts w:asciiTheme="majorHAnsi" w:hAnsiTheme="majorHAnsi"/>
            <w:noProof/>
            <w:lang w:val="es-ES"/>
          </w:rPr>
          <w:t>VIII.</w:t>
        </w:r>
        <w:r w:rsidR="00C16D36" w:rsidRPr="00C531D9">
          <w:rPr>
            <w:rFonts w:asciiTheme="majorHAnsi" w:eastAsiaTheme="minorEastAsia" w:hAnsiTheme="majorHAnsi" w:cstheme="minorBidi"/>
            <w:b w:val="0"/>
            <w:bCs w:val="0"/>
            <w:caps w:val="0"/>
            <w:noProof/>
            <w:bdr w:val="none" w:sz="0" w:space="0" w:color="auto"/>
          </w:rPr>
          <w:tab/>
        </w:r>
        <w:r w:rsidR="00C16D36" w:rsidRPr="00C531D9">
          <w:rPr>
            <w:rStyle w:val="Hyperlink"/>
            <w:rFonts w:asciiTheme="majorHAnsi" w:hAnsiTheme="majorHAnsi"/>
            <w:noProof/>
            <w:lang w:val="es-ES"/>
          </w:rPr>
          <w:t>PUBLICACIÓN</w:t>
        </w:r>
        <w:r w:rsidR="00C16D36" w:rsidRPr="00C531D9">
          <w:rPr>
            <w:rFonts w:asciiTheme="majorHAnsi" w:hAnsiTheme="majorHAnsi"/>
            <w:noProof/>
            <w:webHidden/>
          </w:rPr>
          <w:tab/>
        </w:r>
        <w:r w:rsidR="00C16D36" w:rsidRPr="00C531D9">
          <w:rPr>
            <w:rFonts w:asciiTheme="majorHAnsi" w:hAnsiTheme="majorHAnsi"/>
            <w:noProof/>
            <w:webHidden/>
          </w:rPr>
          <w:fldChar w:fldCharType="begin"/>
        </w:r>
        <w:r w:rsidR="00C16D36" w:rsidRPr="00C531D9">
          <w:rPr>
            <w:rFonts w:asciiTheme="majorHAnsi" w:hAnsiTheme="majorHAnsi"/>
            <w:noProof/>
            <w:webHidden/>
          </w:rPr>
          <w:instrText xml:space="preserve"> PAGEREF _Toc467138453 \h </w:instrText>
        </w:r>
        <w:r w:rsidR="00C16D36" w:rsidRPr="00C531D9">
          <w:rPr>
            <w:rFonts w:asciiTheme="majorHAnsi" w:hAnsiTheme="majorHAnsi"/>
            <w:noProof/>
            <w:webHidden/>
          </w:rPr>
        </w:r>
        <w:r w:rsidR="00C16D36" w:rsidRPr="00C531D9">
          <w:rPr>
            <w:rFonts w:asciiTheme="majorHAnsi" w:hAnsiTheme="majorHAnsi"/>
            <w:noProof/>
            <w:webHidden/>
          </w:rPr>
          <w:fldChar w:fldCharType="separate"/>
        </w:r>
        <w:r w:rsidR="005837AA">
          <w:rPr>
            <w:rFonts w:asciiTheme="majorHAnsi" w:hAnsiTheme="majorHAnsi"/>
            <w:noProof/>
            <w:webHidden/>
          </w:rPr>
          <w:t>34</w:t>
        </w:r>
        <w:r w:rsidR="00C16D36" w:rsidRPr="00C531D9">
          <w:rPr>
            <w:rFonts w:asciiTheme="majorHAnsi" w:hAnsiTheme="majorHAnsi"/>
            <w:noProof/>
            <w:webHidden/>
          </w:rPr>
          <w:fldChar w:fldCharType="end"/>
        </w:r>
      </w:hyperlink>
    </w:p>
    <w:p w:rsidR="007607C4" w:rsidRPr="00C531D9" w:rsidRDefault="00EE7B94" w:rsidP="00A67D54">
      <w:pPr>
        <w:tabs>
          <w:tab w:val="left" w:pos="1440"/>
          <w:tab w:val="center" w:pos="5400"/>
        </w:tabs>
        <w:suppressAutoHyphens/>
        <w:spacing w:line="276" w:lineRule="auto"/>
        <w:rPr>
          <w:rFonts w:asciiTheme="majorHAnsi" w:hAnsiTheme="majorHAnsi"/>
          <w:sz w:val="20"/>
          <w:szCs w:val="20"/>
          <w:lang w:val="es-ES"/>
        </w:rPr>
      </w:pPr>
      <w:r w:rsidRPr="00C531D9">
        <w:rPr>
          <w:rFonts w:asciiTheme="majorHAnsi" w:hAnsiTheme="majorHAnsi"/>
          <w:sz w:val="20"/>
          <w:szCs w:val="20"/>
          <w:lang w:val="es-ES"/>
        </w:rPr>
        <w:fldChar w:fldCharType="end"/>
      </w:r>
    </w:p>
    <w:p w:rsidR="007607C4" w:rsidRPr="00C531D9" w:rsidRDefault="007607C4" w:rsidP="00145EDC">
      <w:pPr>
        <w:tabs>
          <w:tab w:val="center" w:pos="5400"/>
        </w:tabs>
        <w:suppressAutoHyphens/>
        <w:spacing w:line="276" w:lineRule="auto"/>
        <w:rPr>
          <w:rFonts w:asciiTheme="majorHAnsi" w:hAnsiTheme="majorHAnsi"/>
          <w:sz w:val="20"/>
          <w:szCs w:val="20"/>
          <w:lang w:val="es-ES"/>
        </w:rPr>
      </w:pPr>
    </w:p>
    <w:p w:rsidR="007607C4" w:rsidRPr="00C531D9" w:rsidRDefault="007607C4" w:rsidP="00EE7B94">
      <w:pPr>
        <w:rPr>
          <w:rFonts w:asciiTheme="majorHAnsi" w:hAnsiTheme="majorHAnsi"/>
          <w:sz w:val="20"/>
          <w:szCs w:val="20"/>
          <w:lang w:val="es-ES"/>
        </w:rPr>
      </w:pPr>
    </w:p>
    <w:p w:rsidR="007607C4" w:rsidRPr="00A16D62" w:rsidRDefault="007607C4" w:rsidP="00145EDC">
      <w:pPr>
        <w:tabs>
          <w:tab w:val="center" w:pos="5400"/>
        </w:tabs>
        <w:suppressAutoHyphens/>
        <w:spacing w:line="276" w:lineRule="auto"/>
        <w:rPr>
          <w:rFonts w:asciiTheme="majorHAnsi" w:hAnsiTheme="majorHAnsi"/>
          <w:sz w:val="20"/>
          <w:szCs w:val="20"/>
          <w:lang w:val="es-ES"/>
        </w:rPr>
      </w:pPr>
    </w:p>
    <w:p w:rsidR="007607C4" w:rsidRPr="00A16D62" w:rsidRDefault="007607C4" w:rsidP="00145EDC">
      <w:pPr>
        <w:tabs>
          <w:tab w:val="center" w:pos="5400"/>
        </w:tabs>
        <w:suppressAutoHyphens/>
        <w:spacing w:line="276" w:lineRule="auto"/>
        <w:rPr>
          <w:rFonts w:asciiTheme="majorHAnsi" w:hAnsiTheme="majorHAnsi"/>
          <w:sz w:val="20"/>
          <w:szCs w:val="20"/>
          <w:lang w:val="es-ES"/>
        </w:rPr>
      </w:pPr>
    </w:p>
    <w:p w:rsidR="002751C6" w:rsidRDefault="002751C6" w:rsidP="00445DF8">
      <w:pPr>
        <w:tabs>
          <w:tab w:val="center" w:pos="5400"/>
        </w:tabs>
        <w:suppressAutoHyphens/>
        <w:spacing w:line="276" w:lineRule="auto"/>
        <w:jc w:val="center"/>
        <w:rPr>
          <w:rFonts w:asciiTheme="majorHAnsi" w:hAnsiTheme="majorHAnsi"/>
          <w:b/>
          <w:sz w:val="18"/>
          <w:szCs w:val="20"/>
          <w:lang w:val="es-ES"/>
        </w:rPr>
        <w:sectPr w:rsidR="002751C6" w:rsidSect="006311DA">
          <w:footerReference w:type="first" r:id="rId17"/>
          <w:pgSz w:w="12240" w:h="15840"/>
          <w:pgMar w:top="1440" w:right="1440" w:bottom="1440" w:left="1440" w:header="720" w:footer="720" w:gutter="0"/>
          <w:pgNumType w:start="1"/>
          <w:cols w:space="720"/>
          <w:docGrid w:linePitch="326"/>
        </w:sectPr>
      </w:pPr>
    </w:p>
    <w:p w:rsidR="00445DF8" w:rsidRPr="00A16D62" w:rsidRDefault="00445DF8" w:rsidP="00445DF8">
      <w:pPr>
        <w:tabs>
          <w:tab w:val="center" w:pos="5400"/>
        </w:tabs>
        <w:suppressAutoHyphens/>
        <w:spacing w:line="276" w:lineRule="auto"/>
        <w:jc w:val="center"/>
        <w:rPr>
          <w:rFonts w:asciiTheme="majorHAnsi" w:hAnsiTheme="majorHAnsi"/>
          <w:b/>
          <w:sz w:val="18"/>
          <w:szCs w:val="20"/>
          <w:lang w:val="es-ES"/>
        </w:rPr>
      </w:pPr>
      <w:r w:rsidRPr="00A16D62">
        <w:rPr>
          <w:rFonts w:asciiTheme="majorHAnsi" w:hAnsiTheme="majorHAnsi"/>
          <w:b/>
          <w:sz w:val="18"/>
          <w:szCs w:val="20"/>
          <w:lang w:val="es-ES"/>
        </w:rPr>
        <w:lastRenderedPageBreak/>
        <w:t xml:space="preserve">INFORME No. </w:t>
      </w:r>
      <w:r w:rsidR="004F03D1">
        <w:rPr>
          <w:rFonts w:asciiTheme="majorHAnsi" w:hAnsiTheme="majorHAnsi"/>
          <w:b/>
          <w:sz w:val="18"/>
          <w:szCs w:val="20"/>
          <w:lang w:val="es-ES"/>
        </w:rPr>
        <w:t>50</w:t>
      </w:r>
      <w:r w:rsidRPr="00A16D62">
        <w:rPr>
          <w:rFonts w:asciiTheme="majorHAnsi" w:hAnsiTheme="majorHAnsi"/>
          <w:b/>
          <w:sz w:val="18"/>
          <w:szCs w:val="20"/>
          <w:lang w:val="es-ES"/>
        </w:rPr>
        <w:t>/1</w:t>
      </w:r>
      <w:r>
        <w:rPr>
          <w:rFonts w:asciiTheme="majorHAnsi" w:hAnsiTheme="majorHAnsi"/>
          <w:b/>
          <w:sz w:val="18"/>
          <w:szCs w:val="20"/>
          <w:lang w:val="es-ES"/>
        </w:rPr>
        <w:t>6</w:t>
      </w:r>
    </w:p>
    <w:p w:rsidR="00445DF8" w:rsidRPr="00A16D62" w:rsidRDefault="00445DF8" w:rsidP="00445DF8">
      <w:pPr>
        <w:tabs>
          <w:tab w:val="center" w:pos="5400"/>
        </w:tabs>
        <w:suppressAutoHyphens/>
        <w:spacing w:line="276" w:lineRule="auto"/>
        <w:jc w:val="center"/>
        <w:rPr>
          <w:rFonts w:asciiTheme="majorHAnsi" w:hAnsiTheme="majorHAnsi"/>
          <w:b/>
          <w:sz w:val="18"/>
          <w:szCs w:val="20"/>
          <w:lang w:val="es-ES"/>
        </w:rPr>
      </w:pPr>
      <w:r w:rsidRPr="00A16D62">
        <w:rPr>
          <w:rFonts w:asciiTheme="majorHAnsi" w:hAnsiTheme="majorHAnsi"/>
          <w:b/>
          <w:sz w:val="18"/>
          <w:szCs w:val="20"/>
          <w:lang w:val="es-ES"/>
        </w:rPr>
        <w:t>CASO 12.834</w:t>
      </w:r>
    </w:p>
    <w:p w:rsidR="00445DF8" w:rsidRPr="00A16D62" w:rsidRDefault="00445DF8" w:rsidP="00445DF8">
      <w:pPr>
        <w:tabs>
          <w:tab w:val="center" w:pos="5400"/>
        </w:tabs>
        <w:suppressAutoHyphens/>
        <w:spacing w:line="276" w:lineRule="auto"/>
        <w:jc w:val="center"/>
        <w:rPr>
          <w:rFonts w:asciiTheme="majorHAnsi" w:hAnsiTheme="majorHAnsi"/>
          <w:sz w:val="18"/>
          <w:szCs w:val="20"/>
          <w:lang w:val="es-ES"/>
        </w:rPr>
      </w:pPr>
      <w:r w:rsidRPr="00A16D62">
        <w:rPr>
          <w:rFonts w:asciiTheme="majorHAnsi" w:hAnsiTheme="majorHAnsi"/>
          <w:sz w:val="18"/>
          <w:szCs w:val="20"/>
          <w:lang w:val="es-ES"/>
        </w:rPr>
        <w:t>FONDO</w:t>
      </w:r>
      <w:r>
        <w:rPr>
          <w:rFonts w:asciiTheme="majorHAnsi" w:hAnsiTheme="majorHAnsi"/>
          <w:sz w:val="18"/>
          <w:szCs w:val="20"/>
          <w:lang w:val="es-ES"/>
        </w:rPr>
        <w:t xml:space="preserve"> (PUBLICACIÓN)</w:t>
      </w:r>
    </w:p>
    <w:p w:rsidR="00445DF8" w:rsidRPr="00A16D62" w:rsidRDefault="00445DF8" w:rsidP="00445DF8">
      <w:pPr>
        <w:tabs>
          <w:tab w:val="center" w:pos="5400"/>
        </w:tabs>
        <w:suppressAutoHyphens/>
        <w:spacing w:line="276" w:lineRule="auto"/>
        <w:jc w:val="center"/>
        <w:rPr>
          <w:rFonts w:asciiTheme="majorHAnsi" w:hAnsiTheme="majorHAnsi"/>
          <w:sz w:val="18"/>
          <w:szCs w:val="20"/>
          <w:lang w:val="es-ES"/>
        </w:rPr>
      </w:pPr>
      <w:r w:rsidRPr="00A16D62">
        <w:rPr>
          <w:rFonts w:asciiTheme="majorHAnsi" w:hAnsiTheme="majorHAnsi"/>
          <w:sz w:val="18"/>
          <w:szCs w:val="20"/>
          <w:lang w:val="es-ES"/>
        </w:rPr>
        <w:t>TRABAJADORES INDOCUMENTADOS</w:t>
      </w:r>
    </w:p>
    <w:p w:rsidR="00445DF8" w:rsidRPr="00A16D62" w:rsidRDefault="00445DF8" w:rsidP="00445DF8">
      <w:pPr>
        <w:tabs>
          <w:tab w:val="center" w:pos="5400"/>
        </w:tabs>
        <w:suppressAutoHyphens/>
        <w:spacing w:line="276" w:lineRule="auto"/>
        <w:jc w:val="center"/>
        <w:rPr>
          <w:rFonts w:asciiTheme="majorHAnsi" w:hAnsiTheme="majorHAnsi"/>
          <w:sz w:val="18"/>
          <w:szCs w:val="20"/>
          <w:lang w:val="es-ES"/>
        </w:rPr>
      </w:pPr>
      <w:r w:rsidRPr="00A16D62">
        <w:rPr>
          <w:rFonts w:asciiTheme="majorHAnsi" w:hAnsiTheme="majorHAnsi"/>
          <w:sz w:val="18"/>
          <w:szCs w:val="20"/>
          <w:lang w:val="es-ES"/>
        </w:rPr>
        <w:t xml:space="preserve">ESTADOS UNIDOS </w:t>
      </w:r>
      <w:r w:rsidRPr="00A16D62">
        <w:rPr>
          <w:rFonts w:asciiTheme="majorHAnsi" w:hAnsiTheme="majorHAnsi"/>
          <w:sz w:val="18"/>
          <w:szCs w:val="20"/>
          <w:lang w:val="es-ES"/>
        </w:rPr>
        <w:br/>
      </w:r>
      <w:r w:rsidR="004F03D1">
        <w:rPr>
          <w:rFonts w:asciiTheme="majorHAnsi" w:hAnsiTheme="majorHAnsi"/>
          <w:sz w:val="18"/>
          <w:szCs w:val="20"/>
          <w:lang w:val="es-ES"/>
        </w:rPr>
        <w:t>30 DE NOVIEMBRE DE 2016</w:t>
      </w:r>
    </w:p>
    <w:p w:rsidR="007607C4" w:rsidRDefault="007607C4" w:rsidP="00145EDC">
      <w:pPr>
        <w:tabs>
          <w:tab w:val="center" w:pos="5400"/>
        </w:tabs>
        <w:suppressAutoHyphens/>
        <w:spacing w:line="276" w:lineRule="auto"/>
        <w:rPr>
          <w:rFonts w:asciiTheme="majorHAnsi" w:hAnsiTheme="majorHAnsi"/>
          <w:sz w:val="20"/>
          <w:szCs w:val="20"/>
          <w:lang w:val="es-ES"/>
        </w:rPr>
      </w:pPr>
    </w:p>
    <w:p w:rsidR="00A67D54" w:rsidRPr="00A16D62" w:rsidRDefault="00A67D54" w:rsidP="00145EDC">
      <w:pPr>
        <w:tabs>
          <w:tab w:val="center" w:pos="5400"/>
        </w:tabs>
        <w:suppressAutoHyphens/>
        <w:spacing w:line="276" w:lineRule="auto"/>
        <w:rPr>
          <w:rFonts w:asciiTheme="majorHAnsi" w:hAnsiTheme="majorHAnsi"/>
          <w:sz w:val="20"/>
          <w:szCs w:val="20"/>
          <w:lang w:val="es-ES"/>
        </w:rPr>
      </w:pPr>
    </w:p>
    <w:p w:rsidR="00927179" w:rsidRPr="00A16D62" w:rsidRDefault="00927179" w:rsidP="002751C6">
      <w:pPr>
        <w:pStyle w:val="Heading1"/>
        <w:ind w:firstLine="720"/>
        <w:rPr>
          <w:lang w:val="es-ES"/>
        </w:rPr>
      </w:pPr>
      <w:bookmarkStart w:id="1" w:name="_Toc345666383"/>
      <w:bookmarkStart w:id="2" w:name="_Toc359416774"/>
      <w:bookmarkStart w:id="3" w:name="_Toc389918216"/>
      <w:bookmarkStart w:id="4" w:name="_Toc391461180"/>
      <w:bookmarkStart w:id="5" w:name="_Toc391461297"/>
      <w:bookmarkStart w:id="6" w:name="_Toc467138434"/>
      <w:r w:rsidRPr="00A16D62">
        <w:rPr>
          <w:lang w:val="es-ES"/>
        </w:rPr>
        <w:t>I.</w:t>
      </w:r>
      <w:r w:rsidRPr="00A16D62">
        <w:rPr>
          <w:lang w:val="es-ES"/>
        </w:rPr>
        <w:tab/>
      </w:r>
      <w:r w:rsidR="00180125" w:rsidRPr="00A16D62">
        <w:rPr>
          <w:lang w:val="es-ES"/>
        </w:rPr>
        <w:t>RESUMEN</w:t>
      </w:r>
      <w:bookmarkEnd w:id="1"/>
      <w:bookmarkEnd w:id="2"/>
      <w:bookmarkEnd w:id="3"/>
      <w:bookmarkEnd w:id="4"/>
      <w:bookmarkEnd w:id="5"/>
      <w:bookmarkEnd w:id="6"/>
    </w:p>
    <w:p w:rsidR="00927179" w:rsidRPr="00A16D62" w:rsidRDefault="00927179" w:rsidP="009271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p>
    <w:p w:rsidR="0057597B" w:rsidRPr="00A16D62" w:rsidRDefault="00C70C3A"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A16D62">
        <w:rPr>
          <w:rFonts w:ascii="Cambria" w:eastAsia="Times New Roman" w:hAnsi="Cambria"/>
          <w:sz w:val="20"/>
          <w:szCs w:val="20"/>
          <w:bdr w:val="none" w:sz="0" w:space="0" w:color="auto"/>
          <w:lang w:val="es-ES"/>
        </w:rPr>
        <w:t xml:space="preserve">El </w:t>
      </w:r>
      <w:r w:rsidR="0057597B" w:rsidRPr="00A16D62">
        <w:rPr>
          <w:rFonts w:ascii="Cambria" w:eastAsia="Times New Roman" w:hAnsi="Cambria"/>
          <w:sz w:val="20"/>
          <w:szCs w:val="20"/>
          <w:bdr w:val="none" w:sz="0" w:space="0" w:color="auto"/>
          <w:lang w:val="es-ES"/>
        </w:rPr>
        <w:t>1</w:t>
      </w:r>
      <w:r w:rsidRPr="00A16D62">
        <w:rPr>
          <w:rFonts w:ascii="Cambria" w:eastAsia="Times New Roman" w:hAnsi="Cambria"/>
          <w:sz w:val="20"/>
          <w:szCs w:val="20"/>
          <w:bdr w:val="none" w:sz="0" w:space="0" w:color="auto"/>
          <w:lang w:val="es-ES"/>
        </w:rPr>
        <w:t xml:space="preserve"> de noviembre de</w:t>
      </w:r>
      <w:r w:rsidR="0057597B" w:rsidRPr="00A16D62">
        <w:rPr>
          <w:rFonts w:ascii="Cambria" w:eastAsia="Times New Roman" w:hAnsi="Cambria"/>
          <w:sz w:val="20"/>
          <w:szCs w:val="20"/>
          <w:bdr w:val="none" w:sz="0" w:space="0" w:color="auto"/>
          <w:lang w:val="es-ES"/>
        </w:rPr>
        <w:t xml:space="preserve"> 2006, </w:t>
      </w:r>
      <w:r w:rsidR="00180125" w:rsidRPr="00A16D62">
        <w:rPr>
          <w:rFonts w:ascii="Cambria" w:eastAsia="Times New Roman" w:hAnsi="Cambria"/>
          <w:sz w:val="20"/>
          <w:szCs w:val="20"/>
          <w:bdr w:val="none" w:sz="0" w:space="0" w:color="auto"/>
          <w:lang w:val="es-ES"/>
        </w:rPr>
        <w:t>la Comisión Interamericana de Derechos Humanos</w:t>
      </w:r>
      <w:r w:rsidR="0057597B" w:rsidRPr="00A16D62">
        <w:rPr>
          <w:rFonts w:ascii="Cambria" w:eastAsia="Times New Roman" w:hAnsi="Cambria"/>
          <w:sz w:val="20"/>
          <w:szCs w:val="20"/>
          <w:bdr w:val="none" w:sz="0" w:space="0" w:color="auto"/>
          <w:lang w:val="es-ES"/>
        </w:rPr>
        <w:t xml:space="preserve"> (</w:t>
      </w:r>
      <w:r w:rsidRPr="00A16D62">
        <w:rPr>
          <w:rFonts w:ascii="Cambria" w:eastAsia="Times New Roman" w:hAnsi="Cambria"/>
          <w:sz w:val="20"/>
          <w:szCs w:val="20"/>
          <w:bdr w:val="none" w:sz="0" w:space="0" w:color="auto"/>
          <w:lang w:val="es-ES"/>
        </w:rPr>
        <w:t xml:space="preserve">la </w:t>
      </w:r>
      <w:r w:rsidR="0057597B" w:rsidRPr="00A16D62">
        <w:rPr>
          <w:rFonts w:ascii="Cambria" w:eastAsia="Times New Roman" w:hAnsi="Cambria"/>
          <w:sz w:val="20"/>
          <w:szCs w:val="20"/>
          <w:bdr w:val="none" w:sz="0" w:space="0" w:color="auto"/>
          <w:lang w:val="es-ES"/>
        </w:rPr>
        <w:t>“</w:t>
      </w:r>
      <w:r w:rsidR="00180125" w:rsidRPr="00A16D62">
        <w:rPr>
          <w:rFonts w:ascii="Cambria" w:eastAsia="Times New Roman" w:hAnsi="Cambria"/>
          <w:sz w:val="20"/>
          <w:szCs w:val="20"/>
          <w:bdr w:val="none" w:sz="0" w:space="0" w:color="auto"/>
          <w:lang w:val="es-ES"/>
        </w:rPr>
        <w:t>Comisión Interamericana</w:t>
      </w:r>
      <w:r w:rsidR="0057597B" w:rsidRPr="00A16D62">
        <w:rPr>
          <w:rFonts w:ascii="Cambria" w:eastAsia="Times New Roman" w:hAnsi="Cambria"/>
          <w:sz w:val="20"/>
          <w:szCs w:val="20"/>
          <w:bdr w:val="none" w:sz="0" w:space="0" w:color="auto"/>
          <w:lang w:val="es-ES"/>
        </w:rPr>
        <w:t>” o</w:t>
      </w:r>
      <w:r w:rsidRPr="00A16D62">
        <w:rPr>
          <w:rFonts w:ascii="Cambria" w:eastAsia="Times New Roman" w:hAnsi="Cambria"/>
          <w:sz w:val="20"/>
          <w:szCs w:val="20"/>
          <w:bdr w:val="none" w:sz="0" w:space="0" w:color="auto"/>
          <w:lang w:val="es-ES"/>
        </w:rPr>
        <w:t xml:space="preserve"> la </w:t>
      </w:r>
      <w:r w:rsidR="0057597B" w:rsidRPr="00A16D62">
        <w:rPr>
          <w:rFonts w:ascii="Cambria" w:eastAsia="Times New Roman" w:hAnsi="Cambria"/>
          <w:sz w:val="20"/>
          <w:szCs w:val="20"/>
          <w:bdr w:val="none" w:sz="0" w:space="0" w:color="auto"/>
          <w:lang w:val="es-ES"/>
        </w:rPr>
        <w:t>“</w:t>
      </w:r>
      <w:r w:rsidR="00180125" w:rsidRPr="00A16D62">
        <w:rPr>
          <w:rFonts w:ascii="Cambria" w:eastAsia="Times New Roman" w:hAnsi="Cambria"/>
          <w:sz w:val="20"/>
          <w:szCs w:val="20"/>
          <w:bdr w:val="none" w:sz="0" w:space="0" w:color="auto"/>
          <w:lang w:val="es-ES"/>
        </w:rPr>
        <w:t>CIDH</w:t>
      </w:r>
      <w:r w:rsidR="0057597B" w:rsidRPr="00A16D62">
        <w:rPr>
          <w:rFonts w:ascii="Cambria" w:eastAsia="Times New Roman" w:hAnsi="Cambria"/>
          <w:sz w:val="20"/>
          <w:szCs w:val="20"/>
          <w:bdr w:val="none" w:sz="0" w:space="0" w:color="auto"/>
          <w:lang w:val="es-ES"/>
        </w:rPr>
        <w:t>”) rec</w:t>
      </w:r>
      <w:r w:rsidR="00180125" w:rsidRPr="00A16D62">
        <w:rPr>
          <w:rFonts w:ascii="Cambria" w:eastAsia="Times New Roman" w:hAnsi="Cambria"/>
          <w:sz w:val="20"/>
          <w:szCs w:val="20"/>
          <w:bdr w:val="none" w:sz="0" w:space="0" w:color="auto"/>
          <w:lang w:val="es-ES"/>
        </w:rPr>
        <w:t xml:space="preserve">ibió una petición de la Facultad de Derecho de la Universidad de Pensilvania, </w:t>
      </w:r>
      <w:r w:rsidRPr="00A16D62">
        <w:rPr>
          <w:rFonts w:ascii="Cambria" w:eastAsia="Times New Roman" w:hAnsi="Cambria"/>
          <w:sz w:val="20"/>
          <w:szCs w:val="20"/>
          <w:bdr w:val="none" w:sz="0" w:space="0" w:color="auto"/>
          <w:lang w:val="es-ES"/>
        </w:rPr>
        <w:t>la Fundación de la</w:t>
      </w:r>
      <w:r w:rsidR="0057597B" w:rsidRPr="00A16D62">
        <w:rPr>
          <w:rFonts w:ascii="Cambria" w:eastAsia="Times New Roman" w:hAnsi="Cambria"/>
          <w:sz w:val="20"/>
          <w:szCs w:val="20"/>
          <w:bdr w:val="none" w:sz="0" w:space="0" w:color="auto"/>
          <w:lang w:val="es-ES"/>
        </w:rPr>
        <w:t xml:space="preserve"> </w:t>
      </w:r>
      <w:r w:rsidRPr="00A16D62">
        <w:rPr>
          <w:rFonts w:ascii="Cambria" w:eastAsia="Times New Roman" w:hAnsi="Cambria"/>
          <w:sz w:val="20"/>
          <w:szCs w:val="20"/>
          <w:bdr w:val="none" w:sz="0" w:space="0" w:color="auto"/>
          <w:lang w:val="es-ES"/>
        </w:rPr>
        <w:t>Unión Estadounidense por las Libertades Civiles</w:t>
      </w:r>
      <w:r w:rsidR="0057597B" w:rsidRPr="00A16D62">
        <w:rPr>
          <w:rFonts w:ascii="Cambria" w:eastAsia="Times New Roman" w:hAnsi="Cambria"/>
          <w:sz w:val="20"/>
          <w:szCs w:val="20"/>
          <w:bdr w:val="none" w:sz="0" w:space="0" w:color="auto"/>
          <w:lang w:val="es-ES"/>
        </w:rPr>
        <w:t xml:space="preserve"> </w:t>
      </w:r>
      <w:r w:rsidRPr="00A16D62">
        <w:rPr>
          <w:rFonts w:ascii="Cambria" w:eastAsia="Times New Roman" w:hAnsi="Cambria"/>
          <w:sz w:val="20"/>
          <w:szCs w:val="20"/>
          <w:bdr w:val="none" w:sz="0" w:space="0" w:color="auto"/>
          <w:lang w:val="es-ES"/>
        </w:rPr>
        <w:t xml:space="preserve">y el Proyecto Nacional de Leyes del Empleo </w:t>
      </w:r>
      <w:r w:rsidR="0057597B" w:rsidRPr="00A16D62">
        <w:rPr>
          <w:rFonts w:ascii="Cambria" w:eastAsia="Times New Roman" w:hAnsi="Cambria"/>
          <w:sz w:val="20"/>
          <w:szCs w:val="20"/>
          <w:bdr w:val="none" w:sz="0" w:space="0" w:color="auto"/>
          <w:lang w:val="es-ES"/>
        </w:rPr>
        <w:t>(</w:t>
      </w:r>
      <w:r w:rsidRPr="00A16D62">
        <w:rPr>
          <w:rFonts w:ascii="Cambria" w:eastAsia="Times New Roman" w:hAnsi="Cambria"/>
          <w:sz w:val="20"/>
          <w:szCs w:val="20"/>
          <w:bdr w:val="none" w:sz="0" w:space="0" w:color="auto"/>
          <w:lang w:val="es-ES"/>
        </w:rPr>
        <w:t>los</w:t>
      </w:r>
      <w:r w:rsidR="0057597B" w:rsidRPr="00A16D62">
        <w:rPr>
          <w:rFonts w:ascii="Cambria" w:eastAsia="Times New Roman" w:hAnsi="Cambria"/>
          <w:sz w:val="20"/>
          <w:szCs w:val="20"/>
          <w:bdr w:val="none" w:sz="0" w:space="0" w:color="auto"/>
          <w:lang w:val="es-ES"/>
        </w:rPr>
        <w:t xml:space="preserve"> “</w:t>
      </w:r>
      <w:r w:rsidR="009A5408" w:rsidRPr="00A16D62">
        <w:rPr>
          <w:rFonts w:ascii="Cambria" w:eastAsia="Times New Roman" w:hAnsi="Cambria"/>
          <w:sz w:val="20"/>
          <w:szCs w:val="20"/>
          <w:bdr w:val="none" w:sz="0" w:space="0" w:color="auto"/>
          <w:lang w:val="es-ES"/>
        </w:rPr>
        <w:t>peticionarios</w:t>
      </w:r>
      <w:r w:rsidR="0057597B" w:rsidRPr="00A16D62">
        <w:rPr>
          <w:rFonts w:ascii="Cambria" w:eastAsia="Times New Roman" w:hAnsi="Cambria"/>
          <w:sz w:val="20"/>
          <w:szCs w:val="20"/>
          <w:bdr w:val="none" w:sz="0" w:space="0" w:color="auto"/>
          <w:lang w:val="es-ES"/>
        </w:rPr>
        <w:t xml:space="preserve">”) </w:t>
      </w:r>
      <w:r w:rsidRPr="00A16D62">
        <w:rPr>
          <w:rFonts w:ascii="Cambria" w:eastAsia="Times New Roman" w:hAnsi="Cambria"/>
          <w:sz w:val="20"/>
          <w:szCs w:val="20"/>
          <w:bdr w:val="none" w:sz="0" w:space="0" w:color="auto"/>
          <w:lang w:val="es-ES"/>
        </w:rPr>
        <w:t xml:space="preserve">contra </w:t>
      </w:r>
      <w:r w:rsidR="007E4498" w:rsidRPr="00A16D62">
        <w:rPr>
          <w:rFonts w:ascii="Cambria" w:eastAsia="Times New Roman" w:hAnsi="Cambria"/>
          <w:sz w:val="20"/>
          <w:szCs w:val="20"/>
          <w:bdr w:val="none" w:sz="0" w:space="0" w:color="auto"/>
          <w:lang w:val="es-ES"/>
        </w:rPr>
        <w:t>Estados Unidos</w:t>
      </w:r>
      <w:r w:rsidR="00C038BF" w:rsidRPr="00A16D62">
        <w:rPr>
          <w:rFonts w:ascii="Cambria" w:eastAsia="Times New Roman" w:hAnsi="Cambria"/>
          <w:sz w:val="20"/>
          <w:szCs w:val="20"/>
          <w:bdr w:val="none" w:sz="0" w:space="0" w:color="auto"/>
          <w:lang w:val="es-ES"/>
        </w:rPr>
        <w:t xml:space="preserve"> de América</w:t>
      </w:r>
      <w:r w:rsidR="0057597B" w:rsidRPr="00A16D62">
        <w:rPr>
          <w:rFonts w:ascii="Cambria" w:eastAsia="Times New Roman" w:hAnsi="Cambria"/>
          <w:sz w:val="20"/>
          <w:szCs w:val="20"/>
          <w:bdr w:val="none" w:sz="0" w:space="0" w:color="auto"/>
          <w:lang w:val="es-ES"/>
        </w:rPr>
        <w:t xml:space="preserve"> (</w:t>
      </w:r>
      <w:r w:rsidRPr="00A16D62">
        <w:rPr>
          <w:rFonts w:ascii="Cambria" w:eastAsia="Times New Roman" w:hAnsi="Cambria"/>
          <w:sz w:val="20"/>
          <w:szCs w:val="20"/>
          <w:bdr w:val="none" w:sz="0" w:space="0" w:color="auto"/>
          <w:lang w:val="es-ES"/>
        </w:rPr>
        <w:t xml:space="preserve">el </w:t>
      </w:r>
      <w:r w:rsidR="0057597B" w:rsidRPr="00A16D62">
        <w:rPr>
          <w:rFonts w:ascii="Cambria" w:eastAsia="Times New Roman" w:hAnsi="Cambria"/>
          <w:sz w:val="20"/>
          <w:szCs w:val="20"/>
          <w:bdr w:val="none" w:sz="0" w:space="0" w:color="auto"/>
          <w:lang w:val="es-ES"/>
        </w:rPr>
        <w:t>“</w:t>
      </w:r>
      <w:r w:rsidR="00180125" w:rsidRPr="00A16D62">
        <w:rPr>
          <w:rFonts w:ascii="Cambria" w:eastAsia="Times New Roman" w:hAnsi="Cambria"/>
          <w:sz w:val="20"/>
          <w:szCs w:val="20"/>
          <w:bdr w:val="none" w:sz="0" w:space="0" w:color="auto"/>
          <w:lang w:val="es-ES"/>
        </w:rPr>
        <w:t>Estado</w:t>
      </w:r>
      <w:r w:rsidR="0057597B" w:rsidRPr="00A16D62">
        <w:rPr>
          <w:rFonts w:ascii="Cambria" w:eastAsia="Times New Roman" w:hAnsi="Cambria"/>
          <w:sz w:val="20"/>
          <w:szCs w:val="20"/>
          <w:bdr w:val="none" w:sz="0" w:space="0" w:color="auto"/>
          <w:lang w:val="es-ES"/>
        </w:rPr>
        <w:t>” o “</w:t>
      </w:r>
      <w:r w:rsidR="00180125" w:rsidRPr="00A16D62">
        <w:rPr>
          <w:rFonts w:ascii="Cambria" w:eastAsia="Times New Roman" w:hAnsi="Cambria"/>
          <w:sz w:val="20"/>
          <w:szCs w:val="20"/>
          <w:bdr w:val="none" w:sz="0" w:space="0" w:color="auto"/>
          <w:lang w:val="es-ES"/>
        </w:rPr>
        <w:t>Estados Unidos</w:t>
      </w:r>
      <w:r w:rsidR="0057597B" w:rsidRPr="00A16D62">
        <w:rPr>
          <w:rFonts w:ascii="Cambria" w:eastAsia="Times New Roman" w:hAnsi="Cambria"/>
          <w:sz w:val="20"/>
          <w:szCs w:val="20"/>
          <w:bdr w:val="none" w:sz="0" w:space="0" w:color="auto"/>
          <w:lang w:val="es-ES"/>
        </w:rPr>
        <w:t xml:space="preserve">”), </w:t>
      </w:r>
      <w:r w:rsidRPr="00A16D62">
        <w:rPr>
          <w:rFonts w:ascii="Cambria" w:eastAsia="Times New Roman" w:hAnsi="Cambria"/>
          <w:sz w:val="20"/>
          <w:szCs w:val="20"/>
          <w:bdr w:val="none" w:sz="0" w:space="0" w:color="auto"/>
          <w:lang w:val="es-ES"/>
        </w:rPr>
        <w:t xml:space="preserve">en nombre de </w:t>
      </w:r>
      <w:r w:rsidR="0057597B" w:rsidRPr="00A16D62">
        <w:rPr>
          <w:rFonts w:ascii="Cambria" w:eastAsia="Times New Roman" w:hAnsi="Cambria"/>
          <w:sz w:val="20"/>
          <w:szCs w:val="20"/>
          <w:bdr w:val="none" w:sz="0" w:space="0" w:color="auto"/>
          <w:lang w:val="es-ES"/>
        </w:rPr>
        <w:t xml:space="preserve">Leopoldo Zumaya </w:t>
      </w:r>
      <w:r w:rsidRPr="00A16D62">
        <w:rPr>
          <w:rFonts w:ascii="Cambria" w:eastAsia="Times New Roman" w:hAnsi="Cambria"/>
          <w:sz w:val="20"/>
          <w:szCs w:val="20"/>
          <w:bdr w:val="none" w:sz="0" w:space="0" w:color="auto"/>
          <w:lang w:val="es-ES"/>
        </w:rPr>
        <w:t>y</w:t>
      </w:r>
      <w:r w:rsidR="0057597B" w:rsidRPr="00A16D62">
        <w:rPr>
          <w:rFonts w:ascii="Cambria" w:eastAsia="Times New Roman" w:hAnsi="Cambria"/>
          <w:sz w:val="20"/>
          <w:szCs w:val="20"/>
          <w:bdr w:val="none" w:sz="0" w:space="0" w:color="auto"/>
          <w:lang w:val="es-ES"/>
        </w:rPr>
        <w:t xml:space="preserve"> Francisco Berumen Lizalde, </w:t>
      </w:r>
      <w:r w:rsidR="00180125" w:rsidRPr="00A16D62">
        <w:rPr>
          <w:rFonts w:ascii="Cambria" w:eastAsia="Times New Roman" w:hAnsi="Cambria"/>
          <w:sz w:val="20"/>
          <w:szCs w:val="20"/>
          <w:bdr w:val="none" w:sz="0" w:space="0" w:color="auto"/>
          <w:lang w:val="es-ES"/>
        </w:rPr>
        <w:t>trabajadores extranjeros indocumentados</w:t>
      </w:r>
      <w:r w:rsidR="0057597B" w:rsidRPr="00A16D62">
        <w:rPr>
          <w:rFonts w:ascii="Cambria" w:eastAsia="Times New Roman" w:hAnsi="Cambria"/>
          <w:sz w:val="20"/>
          <w:szCs w:val="20"/>
          <w:bdr w:val="none" w:sz="0" w:space="0" w:color="auto"/>
          <w:lang w:val="es-ES"/>
        </w:rPr>
        <w:t xml:space="preserve"> </w:t>
      </w:r>
      <w:r w:rsidRPr="00A16D62">
        <w:rPr>
          <w:rFonts w:ascii="Cambria" w:eastAsia="Times New Roman" w:hAnsi="Cambria"/>
          <w:sz w:val="20"/>
          <w:szCs w:val="20"/>
          <w:bdr w:val="none" w:sz="0" w:space="0" w:color="auto"/>
          <w:lang w:val="es-ES"/>
        </w:rPr>
        <w:t xml:space="preserve">que habían residido en </w:t>
      </w:r>
      <w:r w:rsidR="007E4498" w:rsidRPr="00A16D62">
        <w:rPr>
          <w:rFonts w:ascii="Cambria" w:eastAsia="Times New Roman" w:hAnsi="Cambria"/>
          <w:sz w:val="20"/>
          <w:szCs w:val="20"/>
          <w:bdr w:val="none" w:sz="0" w:space="0" w:color="auto"/>
          <w:lang w:val="es-ES"/>
        </w:rPr>
        <w:t>Estados Unidos</w:t>
      </w:r>
      <w:r w:rsidRPr="00A16D62">
        <w:rPr>
          <w:rFonts w:ascii="Cambria" w:eastAsia="Times New Roman" w:hAnsi="Cambria"/>
          <w:sz w:val="20"/>
          <w:szCs w:val="20"/>
          <w:bdr w:val="none" w:sz="0" w:space="0" w:color="auto"/>
          <w:lang w:val="es-ES"/>
        </w:rPr>
        <w:t>, entre otros</w:t>
      </w:r>
      <w:r w:rsidR="0057597B" w:rsidRPr="00A16D62">
        <w:rPr>
          <w:rFonts w:ascii="Cambria" w:eastAsia="Times New Roman" w:hAnsi="Cambria"/>
          <w:sz w:val="20"/>
          <w:szCs w:val="20"/>
          <w:bdr w:val="none" w:sz="0" w:space="0" w:color="auto"/>
          <w:vertAlign w:val="superscript"/>
          <w:lang w:val="es-ES"/>
        </w:rPr>
        <w:footnoteReference w:id="3"/>
      </w:r>
      <w:r w:rsidRPr="00A16D62">
        <w:rPr>
          <w:rFonts w:ascii="Cambria" w:eastAsia="Times New Roman" w:hAnsi="Cambria"/>
          <w:sz w:val="20"/>
          <w:szCs w:val="20"/>
          <w:bdr w:val="none" w:sz="0" w:space="0" w:color="auto"/>
          <w:lang w:val="es-ES"/>
        </w:rPr>
        <w:t>.</w:t>
      </w:r>
    </w:p>
    <w:p w:rsidR="00927179" w:rsidRPr="00A16D62" w:rsidRDefault="00927179" w:rsidP="009271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p>
    <w:p w:rsidR="008A1CE6" w:rsidRPr="00A16D62" w:rsidRDefault="0018012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
          <w:bCs/>
          <w:sz w:val="20"/>
          <w:szCs w:val="20"/>
          <w:bdr w:val="none" w:sz="0" w:space="0" w:color="auto"/>
          <w:lang w:val="es-ES"/>
        </w:rPr>
      </w:pPr>
      <w:r w:rsidRPr="00A16D62">
        <w:rPr>
          <w:rFonts w:ascii="Cambria" w:eastAsia="Times New Roman" w:hAnsi="Cambria"/>
          <w:bCs/>
          <w:sz w:val="20"/>
          <w:szCs w:val="20"/>
          <w:bdr w:val="none" w:sz="0" w:space="0" w:color="auto"/>
          <w:lang w:val="es-ES"/>
        </w:rPr>
        <w:t>Los peticionarios</w:t>
      </w:r>
      <w:r w:rsidR="008A1CE6" w:rsidRPr="00A16D62">
        <w:rPr>
          <w:rFonts w:ascii="Cambria" w:eastAsia="Times New Roman" w:hAnsi="Cambria"/>
          <w:bCs/>
          <w:sz w:val="20"/>
          <w:szCs w:val="20"/>
          <w:bdr w:val="none" w:sz="0" w:space="0" w:color="auto"/>
          <w:lang w:val="es-ES"/>
        </w:rPr>
        <w:t xml:space="preserve"> </w:t>
      </w:r>
      <w:r w:rsidR="00C70C3A" w:rsidRPr="00A16D62">
        <w:rPr>
          <w:rFonts w:ascii="Cambria" w:eastAsia="Times New Roman" w:hAnsi="Cambria"/>
          <w:bCs/>
          <w:sz w:val="20"/>
          <w:szCs w:val="20"/>
          <w:bdr w:val="none" w:sz="0" w:space="0" w:color="auto"/>
          <w:lang w:val="es-ES"/>
        </w:rPr>
        <w:t xml:space="preserve">afirman que a las </w:t>
      </w:r>
      <w:r w:rsidR="009A5408" w:rsidRPr="00A16D62">
        <w:rPr>
          <w:rFonts w:ascii="Cambria" w:eastAsia="Times New Roman" w:hAnsi="Cambria"/>
          <w:bCs/>
          <w:sz w:val="20"/>
          <w:szCs w:val="20"/>
          <w:bdr w:val="none" w:sz="0" w:space="0" w:color="auto"/>
          <w:lang w:val="es-ES"/>
        </w:rPr>
        <w:t>presuntas víctimas</w:t>
      </w:r>
      <w:r w:rsidR="008A1CE6" w:rsidRPr="00A16D62">
        <w:rPr>
          <w:rFonts w:ascii="Cambria" w:eastAsia="Times New Roman" w:hAnsi="Cambria"/>
          <w:bCs/>
          <w:sz w:val="20"/>
          <w:szCs w:val="20"/>
          <w:bdr w:val="none" w:sz="0" w:space="0" w:color="auto"/>
          <w:lang w:val="es-ES"/>
        </w:rPr>
        <w:t xml:space="preserve"> </w:t>
      </w:r>
      <w:r w:rsidR="00C70C3A" w:rsidRPr="00A16D62">
        <w:rPr>
          <w:rFonts w:ascii="Cambria" w:eastAsia="Times New Roman" w:hAnsi="Cambria"/>
          <w:bCs/>
          <w:sz w:val="20"/>
          <w:szCs w:val="20"/>
          <w:bdr w:val="none" w:sz="0" w:space="0" w:color="auto"/>
          <w:lang w:val="es-ES"/>
        </w:rPr>
        <w:t>se les negaron los derechos y recursos propios del empleo que están al alcance de sus homólogos documentados</w:t>
      </w:r>
      <w:r w:rsidR="008A1CE6" w:rsidRPr="00A16D62">
        <w:rPr>
          <w:rFonts w:ascii="Cambria" w:eastAsia="Times New Roman" w:hAnsi="Cambria"/>
          <w:bCs/>
          <w:sz w:val="20"/>
          <w:szCs w:val="20"/>
          <w:bdr w:val="none" w:sz="0" w:space="0" w:color="auto"/>
          <w:lang w:val="es-ES"/>
        </w:rPr>
        <w:t xml:space="preserve">. </w:t>
      </w:r>
      <w:r w:rsidR="00C70C3A" w:rsidRPr="00A16D62">
        <w:rPr>
          <w:rFonts w:ascii="Cambria" w:eastAsia="Times New Roman" w:hAnsi="Cambria"/>
          <w:bCs/>
          <w:sz w:val="20"/>
          <w:szCs w:val="20"/>
          <w:bdr w:val="none" w:sz="0" w:space="0" w:color="auto"/>
          <w:lang w:val="es-ES"/>
        </w:rPr>
        <w:t xml:space="preserve">Supuestamente, las </w:t>
      </w:r>
      <w:r w:rsidR="009A5408" w:rsidRPr="00A16D62">
        <w:rPr>
          <w:rFonts w:ascii="Cambria" w:eastAsia="Times New Roman" w:hAnsi="Cambria"/>
          <w:bCs/>
          <w:sz w:val="20"/>
          <w:szCs w:val="20"/>
          <w:bdr w:val="none" w:sz="0" w:space="0" w:color="auto"/>
          <w:lang w:val="es-ES"/>
        </w:rPr>
        <w:t>presuntas víctimas</w:t>
      </w:r>
      <w:r w:rsidR="008A1CE6" w:rsidRPr="00A16D62">
        <w:rPr>
          <w:rFonts w:ascii="Cambria" w:eastAsia="Times New Roman" w:hAnsi="Cambria"/>
          <w:bCs/>
          <w:sz w:val="20"/>
          <w:szCs w:val="20"/>
          <w:bdr w:val="none" w:sz="0" w:space="0" w:color="auto"/>
          <w:lang w:val="es-ES"/>
        </w:rPr>
        <w:t xml:space="preserve"> </w:t>
      </w:r>
      <w:r w:rsidR="00521A6A" w:rsidRPr="00A16D62">
        <w:rPr>
          <w:rFonts w:ascii="Cambria" w:eastAsia="Times New Roman" w:hAnsi="Cambria"/>
          <w:bCs/>
          <w:sz w:val="20"/>
          <w:szCs w:val="20"/>
          <w:bdr w:val="none" w:sz="0" w:space="0" w:color="auto"/>
          <w:lang w:val="es-ES"/>
        </w:rPr>
        <w:t>fueron afectadas de manera directa por la denegación por</w:t>
      </w:r>
      <w:r w:rsidR="008A1CE6" w:rsidRPr="00A16D62">
        <w:rPr>
          <w:rFonts w:ascii="Cambria" w:eastAsia="Times New Roman" w:hAnsi="Cambria"/>
          <w:bCs/>
          <w:sz w:val="20"/>
          <w:szCs w:val="20"/>
          <w:bdr w:val="none" w:sz="0" w:space="0" w:color="auto"/>
          <w:lang w:val="es-ES"/>
        </w:rPr>
        <w:t xml:space="preserve"> </w:t>
      </w:r>
      <w:r w:rsidR="007E4498" w:rsidRPr="00A16D62">
        <w:rPr>
          <w:rFonts w:ascii="Cambria" w:eastAsia="Times New Roman" w:hAnsi="Cambria"/>
          <w:bCs/>
          <w:sz w:val="20"/>
          <w:szCs w:val="20"/>
          <w:bdr w:val="none" w:sz="0" w:space="0" w:color="auto"/>
          <w:lang w:val="es-ES"/>
        </w:rPr>
        <w:t>Estados Unidos</w:t>
      </w:r>
      <w:r w:rsidR="00521A6A" w:rsidRPr="00A16D62">
        <w:rPr>
          <w:rFonts w:ascii="Cambria" w:eastAsia="Times New Roman" w:hAnsi="Cambria"/>
          <w:bCs/>
          <w:sz w:val="20"/>
          <w:szCs w:val="20"/>
          <w:bdr w:val="none" w:sz="0" w:space="0" w:color="auto"/>
          <w:lang w:val="es-ES"/>
        </w:rPr>
        <w:t xml:space="preserve"> de la igualdad de derechos debido a su situación migratoria</w:t>
      </w:r>
      <w:r w:rsidR="008A1CE6" w:rsidRPr="00A16D62">
        <w:rPr>
          <w:rFonts w:ascii="Cambria" w:eastAsia="Times New Roman" w:hAnsi="Cambria"/>
          <w:bCs/>
          <w:sz w:val="20"/>
          <w:szCs w:val="20"/>
          <w:bdr w:val="none" w:sz="0" w:space="0" w:color="auto"/>
          <w:lang w:val="es-ES"/>
        </w:rPr>
        <w:t xml:space="preserve"> </w:t>
      </w:r>
      <w:r w:rsidR="00521A6A" w:rsidRPr="00A16D62">
        <w:rPr>
          <w:rFonts w:ascii="Cambria" w:eastAsia="Times New Roman" w:hAnsi="Cambria"/>
          <w:bCs/>
          <w:sz w:val="20"/>
          <w:szCs w:val="20"/>
          <w:bdr w:val="none" w:sz="0" w:space="0" w:color="auto"/>
          <w:lang w:val="es-ES"/>
        </w:rPr>
        <w:t xml:space="preserve">en sus intentos de hacer valer sus derechos de empleo y laborales. </w:t>
      </w:r>
      <w:r w:rsidRPr="00A16D62">
        <w:rPr>
          <w:rFonts w:ascii="Cambria" w:eastAsia="Times New Roman" w:hAnsi="Cambria"/>
          <w:bCs/>
          <w:sz w:val="20"/>
          <w:szCs w:val="20"/>
          <w:bdr w:val="none" w:sz="0" w:space="0" w:color="auto"/>
          <w:lang w:val="es-ES"/>
        </w:rPr>
        <w:t>Los peticionarios</w:t>
      </w:r>
      <w:r w:rsidR="008A1CE6" w:rsidRPr="00A16D62">
        <w:rPr>
          <w:rFonts w:ascii="Cambria" w:eastAsia="Times New Roman" w:hAnsi="Cambria"/>
          <w:bCs/>
          <w:sz w:val="20"/>
          <w:szCs w:val="20"/>
          <w:bdr w:val="none" w:sz="0" w:space="0" w:color="auto"/>
          <w:lang w:val="es-ES"/>
        </w:rPr>
        <w:t xml:space="preserve"> </w:t>
      </w:r>
      <w:r w:rsidR="00B36ED8" w:rsidRPr="00A16D62">
        <w:rPr>
          <w:rFonts w:ascii="Cambria" w:eastAsia="Times New Roman" w:hAnsi="Cambria"/>
          <w:bCs/>
          <w:sz w:val="20"/>
          <w:szCs w:val="20"/>
          <w:bdr w:val="none" w:sz="0" w:space="0" w:color="auto"/>
          <w:lang w:val="es-ES"/>
        </w:rPr>
        <w:t>agregan que</w:t>
      </w:r>
      <w:r w:rsidR="00A246DE" w:rsidRPr="00A16D62">
        <w:rPr>
          <w:rFonts w:ascii="Cambria" w:eastAsia="Times New Roman" w:hAnsi="Cambria"/>
          <w:bCs/>
          <w:sz w:val="20"/>
          <w:szCs w:val="20"/>
          <w:bdr w:val="none" w:sz="0" w:space="0" w:color="auto"/>
          <w:lang w:val="es-ES"/>
        </w:rPr>
        <w:t xml:space="preserve">, con la </w:t>
      </w:r>
      <w:r w:rsidR="00B36ED8" w:rsidRPr="00A16D62">
        <w:rPr>
          <w:rFonts w:ascii="Cambria" w:eastAsia="Times New Roman" w:hAnsi="Cambria"/>
          <w:bCs/>
          <w:sz w:val="20"/>
          <w:szCs w:val="20"/>
          <w:bdr w:val="none" w:sz="0" w:space="0" w:color="auto"/>
          <w:lang w:val="es-ES"/>
        </w:rPr>
        <w:t xml:space="preserve">decisión de </w:t>
      </w:r>
      <w:r w:rsidRPr="00A16D62">
        <w:rPr>
          <w:rFonts w:ascii="Cambria" w:eastAsia="Times New Roman" w:hAnsi="Cambria"/>
          <w:bCs/>
          <w:sz w:val="20"/>
          <w:szCs w:val="20"/>
          <w:bdr w:val="none" w:sz="0" w:space="0" w:color="auto"/>
          <w:lang w:val="es-ES"/>
        </w:rPr>
        <w:t>la Corte Suprema de Estados Unidos</w:t>
      </w:r>
      <w:r w:rsidR="00A246DE" w:rsidRPr="00A16D62">
        <w:rPr>
          <w:rFonts w:ascii="Cambria" w:eastAsia="Times New Roman" w:hAnsi="Cambria"/>
          <w:bCs/>
          <w:sz w:val="20"/>
          <w:szCs w:val="20"/>
          <w:bdr w:val="none" w:sz="0" w:space="0" w:color="auto"/>
          <w:lang w:val="es-ES"/>
        </w:rPr>
        <w:t xml:space="preserve"> en el caso</w:t>
      </w:r>
      <w:r w:rsidR="008A1CE6" w:rsidRPr="00A16D62">
        <w:rPr>
          <w:rFonts w:ascii="Cambria" w:eastAsia="Times New Roman" w:hAnsi="Cambria"/>
          <w:bCs/>
          <w:sz w:val="20"/>
          <w:szCs w:val="20"/>
          <w:bdr w:val="none" w:sz="0" w:space="0" w:color="auto"/>
          <w:lang w:val="es-ES"/>
        </w:rPr>
        <w:t xml:space="preserve"> </w:t>
      </w:r>
      <w:r w:rsidR="008A1CE6" w:rsidRPr="00A16D62">
        <w:rPr>
          <w:rFonts w:ascii="Cambria" w:eastAsia="Times New Roman" w:hAnsi="Cambria"/>
          <w:bCs/>
          <w:i/>
          <w:sz w:val="20"/>
          <w:szCs w:val="20"/>
          <w:bdr w:val="none" w:sz="0" w:space="0" w:color="auto"/>
          <w:lang w:val="es-ES"/>
        </w:rPr>
        <w:t xml:space="preserve">Hoffman Plastic Compounds, Inc. </w:t>
      </w:r>
      <w:r w:rsidR="00521A6A" w:rsidRPr="00A16D62">
        <w:rPr>
          <w:rFonts w:ascii="Cambria" w:eastAsia="Times New Roman" w:hAnsi="Cambria"/>
          <w:bCs/>
          <w:i/>
          <w:sz w:val="20"/>
          <w:szCs w:val="20"/>
          <w:bdr w:val="none" w:sz="0" w:space="0" w:color="auto"/>
          <w:lang w:val="es-ES"/>
        </w:rPr>
        <w:t>c.</w:t>
      </w:r>
      <w:r w:rsidR="008A1CE6" w:rsidRPr="00A16D62">
        <w:rPr>
          <w:rFonts w:ascii="Cambria" w:eastAsia="Times New Roman" w:hAnsi="Cambria"/>
          <w:bCs/>
          <w:i/>
          <w:sz w:val="20"/>
          <w:szCs w:val="20"/>
          <w:bdr w:val="none" w:sz="0" w:space="0" w:color="auto"/>
          <w:lang w:val="es-ES"/>
        </w:rPr>
        <w:t xml:space="preserve"> </w:t>
      </w:r>
      <w:r w:rsidR="003C54E2" w:rsidRPr="00A16D62">
        <w:rPr>
          <w:rFonts w:ascii="Cambria" w:eastAsia="Times New Roman" w:hAnsi="Cambria"/>
          <w:bCs/>
          <w:i/>
          <w:sz w:val="20"/>
          <w:szCs w:val="20"/>
          <w:bdr w:val="none" w:sz="0" w:space="0" w:color="auto"/>
          <w:lang w:val="es-ES"/>
        </w:rPr>
        <w:t>Junta Nacional de Relaciones Laborales</w:t>
      </w:r>
      <w:r w:rsidR="008A1CE6" w:rsidRPr="00A16D62">
        <w:rPr>
          <w:rFonts w:ascii="Cambria" w:eastAsia="Times New Roman" w:hAnsi="Cambria"/>
          <w:bCs/>
          <w:sz w:val="20"/>
          <w:szCs w:val="20"/>
          <w:bdr w:val="none" w:sz="0" w:space="0" w:color="auto"/>
          <w:lang w:val="es-ES"/>
        </w:rPr>
        <w:t>, 535 U.S. 137 (2002) (“</w:t>
      </w:r>
      <w:r w:rsidR="008A1CE6" w:rsidRPr="00A16D62">
        <w:rPr>
          <w:rFonts w:ascii="Cambria" w:eastAsia="Times New Roman" w:hAnsi="Cambria"/>
          <w:bCs/>
          <w:i/>
          <w:sz w:val="20"/>
          <w:szCs w:val="20"/>
          <w:bdr w:val="none" w:sz="0" w:space="0" w:color="auto"/>
          <w:lang w:val="es-ES"/>
        </w:rPr>
        <w:t>Hoffman</w:t>
      </w:r>
      <w:r w:rsidR="008A1CE6" w:rsidRPr="00A16D62">
        <w:rPr>
          <w:rFonts w:ascii="Cambria" w:eastAsia="Times New Roman" w:hAnsi="Cambria"/>
          <w:bCs/>
          <w:sz w:val="20"/>
          <w:szCs w:val="20"/>
          <w:bdr w:val="none" w:sz="0" w:space="0" w:color="auto"/>
          <w:lang w:val="es-ES"/>
        </w:rPr>
        <w:t xml:space="preserve">”), </w:t>
      </w:r>
      <w:r w:rsidR="00A246DE" w:rsidRPr="00A16D62">
        <w:rPr>
          <w:rFonts w:ascii="Cambria" w:eastAsia="Times New Roman" w:hAnsi="Cambria"/>
          <w:bCs/>
          <w:sz w:val="20"/>
          <w:szCs w:val="20"/>
          <w:bdr w:val="none" w:sz="0" w:space="0" w:color="auto"/>
          <w:lang w:val="es-ES"/>
        </w:rPr>
        <w:t xml:space="preserve">el tema de la </w:t>
      </w:r>
      <w:r w:rsidR="00521A6A" w:rsidRPr="00A16D62">
        <w:rPr>
          <w:rFonts w:ascii="Cambria" w:eastAsia="Times New Roman" w:hAnsi="Cambria"/>
          <w:bCs/>
          <w:sz w:val="20"/>
          <w:szCs w:val="20"/>
          <w:bdr w:val="none" w:sz="0" w:space="0" w:color="auto"/>
          <w:lang w:val="es-ES"/>
        </w:rPr>
        <w:t>situación migratoria</w:t>
      </w:r>
      <w:r w:rsidR="008A1CE6" w:rsidRPr="00A16D62">
        <w:rPr>
          <w:rFonts w:ascii="Cambria" w:eastAsia="Times New Roman" w:hAnsi="Cambria"/>
          <w:bCs/>
          <w:sz w:val="20"/>
          <w:szCs w:val="20"/>
          <w:bdr w:val="none" w:sz="0" w:space="0" w:color="auto"/>
          <w:lang w:val="es-ES"/>
        </w:rPr>
        <w:t xml:space="preserve"> </w:t>
      </w:r>
      <w:r w:rsidR="00A246DE" w:rsidRPr="00A16D62">
        <w:rPr>
          <w:rFonts w:ascii="Cambria" w:eastAsia="Times New Roman" w:hAnsi="Cambria"/>
          <w:bCs/>
          <w:sz w:val="20"/>
          <w:szCs w:val="20"/>
          <w:bdr w:val="none" w:sz="0" w:space="0" w:color="auto"/>
          <w:lang w:val="es-ES"/>
        </w:rPr>
        <w:t xml:space="preserve">adquirió pertinencia para los </w:t>
      </w:r>
      <w:r w:rsidR="00B36ED8" w:rsidRPr="00A16D62">
        <w:rPr>
          <w:rFonts w:ascii="Cambria" w:eastAsia="Times New Roman" w:hAnsi="Cambria"/>
          <w:bCs/>
          <w:sz w:val="20"/>
          <w:szCs w:val="20"/>
          <w:bdr w:val="none" w:sz="0" w:space="0" w:color="auto"/>
          <w:lang w:val="es-ES"/>
        </w:rPr>
        <w:t>derechos en el lugar de trabajo</w:t>
      </w:r>
      <w:r w:rsidR="008A1CE6" w:rsidRPr="00A16D62">
        <w:rPr>
          <w:rFonts w:ascii="Cambria" w:eastAsia="Times New Roman" w:hAnsi="Cambria"/>
          <w:bCs/>
          <w:sz w:val="20"/>
          <w:szCs w:val="20"/>
          <w:bdr w:val="none" w:sz="0" w:space="0" w:color="auto"/>
          <w:lang w:val="es-ES"/>
        </w:rPr>
        <w:t xml:space="preserve"> </w:t>
      </w:r>
      <w:r w:rsidR="00A246DE" w:rsidRPr="00A16D62">
        <w:rPr>
          <w:rFonts w:ascii="Cambria" w:eastAsia="Times New Roman" w:hAnsi="Cambria"/>
          <w:bCs/>
          <w:sz w:val="20"/>
          <w:szCs w:val="20"/>
          <w:bdr w:val="none" w:sz="0" w:space="0" w:color="auto"/>
          <w:lang w:val="es-ES"/>
        </w:rPr>
        <w:t xml:space="preserve">y los </w:t>
      </w:r>
      <w:r w:rsidR="000F4EF8" w:rsidRPr="00A16D62">
        <w:rPr>
          <w:rFonts w:ascii="Cambria" w:eastAsia="Times New Roman" w:hAnsi="Cambria"/>
          <w:bCs/>
          <w:sz w:val="20"/>
          <w:szCs w:val="20"/>
          <w:bdr w:val="none" w:sz="0" w:space="0" w:color="auto"/>
          <w:lang w:val="es-ES"/>
        </w:rPr>
        <w:t>empleadores</w:t>
      </w:r>
      <w:r w:rsidR="008A1CE6" w:rsidRPr="00A16D62">
        <w:rPr>
          <w:rFonts w:ascii="Cambria" w:eastAsia="Times New Roman" w:hAnsi="Cambria"/>
          <w:bCs/>
          <w:sz w:val="20"/>
          <w:szCs w:val="20"/>
          <w:bdr w:val="none" w:sz="0" w:space="0" w:color="auto"/>
          <w:lang w:val="es-ES"/>
        </w:rPr>
        <w:t xml:space="preserve"> </w:t>
      </w:r>
      <w:r w:rsidR="00A246DE" w:rsidRPr="00A16D62">
        <w:rPr>
          <w:rFonts w:ascii="Cambria" w:eastAsia="Times New Roman" w:hAnsi="Cambria"/>
          <w:bCs/>
          <w:sz w:val="20"/>
          <w:szCs w:val="20"/>
          <w:bdr w:val="none" w:sz="0" w:space="0" w:color="auto"/>
          <w:lang w:val="es-ES"/>
        </w:rPr>
        <w:t xml:space="preserve">se animaron a afirmar que los </w:t>
      </w:r>
      <w:r w:rsidR="00082EEC" w:rsidRPr="00A16D62">
        <w:rPr>
          <w:rFonts w:ascii="Cambria" w:eastAsia="Times New Roman" w:hAnsi="Cambria"/>
          <w:bCs/>
          <w:sz w:val="20"/>
          <w:szCs w:val="20"/>
          <w:bdr w:val="none" w:sz="0" w:space="0" w:color="auto"/>
          <w:lang w:val="es-ES"/>
        </w:rPr>
        <w:t>trabajadores inmigrantes indocumentados</w:t>
      </w:r>
      <w:r w:rsidR="008A1CE6" w:rsidRPr="00A16D62">
        <w:rPr>
          <w:rFonts w:ascii="Cambria" w:eastAsia="Times New Roman" w:hAnsi="Cambria"/>
          <w:bCs/>
          <w:sz w:val="20"/>
          <w:szCs w:val="20"/>
          <w:bdr w:val="none" w:sz="0" w:space="0" w:color="auto"/>
          <w:lang w:val="es-ES"/>
        </w:rPr>
        <w:t xml:space="preserve"> </w:t>
      </w:r>
      <w:r w:rsidR="00A246DE" w:rsidRPr="00A16D62">
        <w:rPr>
          <w:rFonts w:ascii="Cambria" w:eastAsia="Times New Roman" w:hAnsi="Cambria"/>
          <w:bCs/>
          <w:sz w:val="20"/>
          <w:szCs w:val="20"/>
          <w:bdr w:val="none" w:sz="0" w:space="0" w:color="auto"/>
          <w:lang w:val="es-ES"/>
        </w:rPr>
        <w:t>carecen de derechos jurídicos</w:t>
      </w:r>
      <w:r w:rsidR="008A1CE6" w:rsidRPr="00A16D62">
        <w:rPr>
          <w:rFonts w:ascii="Cambria" w:eastAsia="Times New Roman" w:hAnsi="Cambria"/>
          <w:bCs/>
          <w:sz w:val="20"/>
          <w:szCs w:val="20"/>
          <w:bdr w:val="none" w:sz="0" w:space="0" w:color="auto"/>
          <w:lang w:val="es-ES"/>
        </w:rPr>
        <w:t xml:space="preserve"> </w:t>
      </w:r>
      <w:r w:rsidR="00A246DE" w:rsidRPr="00A16D62">
        <w:rPr>
          <w:rFonts w:ascii="Cambria" w:eastAsia="Times New Roman" w:hAnsi="Cambria"/>
          <w:bCs/>
          <w:sz w:val="20"/>
          <w:szCs w:val="20"/>
          <w:bdr w:val="none" w:sz="0" w:space="0" w:color="auto"/>
          <w:lang w:val="es-ES"/>
        </w:rPr>
        <w:t>e</w:t>
      </w:r>
      <w:r w:rsidR="008A1CE6" w:rsidRPr="00A16D62">
        <w:rPr>
          <w:rFonts w:ascii="Cambria" w:eastAsia="Times New Roman" w:hAnsi="Cambria"/>
          <w:bCs/>
          <w:sz w:val="20"/>
          <w:szCs w:val="20"/>
          <w:bdr w:val="none" w:sz="0" w:space="0" w:color="auto"/>
          <w:lang w:val="es-ES"/>
        </w:rPr>
        <w:t xml:space="preserve">n </w:t>
      </w:r>
      <w:r w:rsidR="00A246DE" w:rsidRPr="00A16D62">
        <w:rPr>
          <w:rFonts w:ascii="Cambria" w:eastAsia="Times New Roman" w:hAnsi="Cambria"/>
          <w:bCs/>
          <w:sz w:val="20"/>
          <w:szCs w:val="20"/>
          <w:bdr w:val="none" w:sz="0" w:space="0" w:color="auto"/>
          <w:lang w:val="es-ES"/>
        </w:rPr>
        <w:t>contextos</w:t>
      </w:r>
      <w:r w:rsidR="008A1CE6" w:rsidRPr="00A16D62">
        <w:rPr>
          <w:rFonts w:ascii="Cambria" w:eastAsia="Times New Roman" w:hAnsi="Cambria"/>
          <w:bCs/>
          <w:sz w:val="20"/>
          <w:szCs w:val="20"/>
          <w:bdr w:val="none" w:sz="0" w:space="0" w:color="auto"/>
          <w:lang w:val="es-ES"/>
        </w:rPr>
        <w:t xml:space="preserve"> </w:t>
      </w:r>
      <w:r w:rsidR="00A246DE" w:rsidRPr="00A16D62">
        <w:rPr>
          <w:rFonts w:ascii="Cambria" w:eastAsia="Times New Roman" w:hAnsi="Cambria"/>
          <w:bCs/>
          <w:sz w:val="20"/>
          <w:szCs w:val="20"/>
          <w:bdr w:val="none" w:sz="0" w:space="0" w:color="auto"/>
          <w:lang w:val="es-ES"/>
        </w:rPr>
        <w:t xml:space="preserve">fuera de los abordados en </w:t>
      </w:r>
      <w:r w:rsidR="008A1CE6" w:rsidRPr="00A16D62">
        <w:rPr>
          <w:rFonts w:ascii="Cambria" w:eastAsia="Times New Roman" w:hAnsi="Cambria"/>
          <w:bCs/>
          <w:i/>
          <w:sz w:val="20"/>
          <w:szCs w:val="20"/>
          <w:bdr w:val="none" w:sz="0" w:space="0" w:color="auto"/>
          <w:lang w:val="es-ES"/>
        </w:rPr>
        <w:t>Hoffman</w:t>
      </w:r>
      <w:r w:rsidR="008A1CE6" w:rsidRPr="00A16D62">
        <w:rPr>
          <w:rFonts w:ascii="Cambria" w:eastAsia="Times New Roman" w:hAnsi="Cambria"/>
          <w:bCs/>
          <w:sz w:val="20"/>
          <w:szCs w:val="20"/>
          <w:bdr w:val="none" w:sz="0" w:space="0" w:color="auto"/>
          <w:lang w:val="es-ES"/>
        </w:rPr>
        <w:t xml:space="preserve">, </w:t>
      </w:r>
      <w:r w:rsidR="00A246DE" w:rsidRPr="00A16D62">
        <w:rPr>
          <w:rFonts w:ascii="Cambria" w:eastAsia="Times New Roman" w:hAnsi="Cambria"/>
          <w:bCs/>
          <w:sz w:val="20"/>
          <w:szCs w:val="20"/>
          <w:bdr w:val="none" w:sz="0" w:space="0" w:color="auto"/>
          <w:lang w:val="es-ES"/>
        </w:rPr>
        <w:t xml:space="preserve">que se relacionaban con la </w:t>
      </w:r>
      <w:r w:rsidR="00082EEC" w:rsidRPr="00A16D62">
        <w:rPr>
          <w:rFonts w:ascii="Cambria" w:eastAsia="Times New Roman" w:hAnsi="Cambria"/>
          <w:bCs/>
          <w:sz w:val="20"/>
          <w:szCs w:val="20"/>
          <w:bdr w:val="none" w:sz="0" w:space="0" w:color="auto"/>
          <w:lang w:val="es-ES"/>
        </w:rPr>
        <w:t>libertad de asociación</w:t>
      </w:r>
      <w:r w:rsidR="008A1CE6" w:rsidRPr="00A16D62">
        <w:rPr>
          <w:rFonts w:ascii="Cambria" w:eastAsia="Times New Roman" w:hAnsi="Cambria"/>
          <w:bCs/>
          <w:sz w:val="20"/>
          <w:szCs w:val="20"/>
          <w:bdr w:val="none" w:sz="0" w:space="0" w:color="auto"/>
          <w:lang w:val="es-ES"/>
        </w:rPr>
        <w:t xml:space="preserve"> </w:t>
      </w:r>
      <w:r w:rsidR="000F4EF8" w:rsidRPr="00A16D62">
        <w:rPr>
          <w:rFonts w:ascii="Cambria" w:eastAsia="Times New Roman" w:hAnsi="Cambria"/>
          <w:bCs/>
          <w:sz w:val="20"/>
          <w:szCs w:val="20"/>
          <w:bdr w:val="none" w:sz="0" w:space="0" w:color="auto"/>
          <w:lang w:val="es-ES"/>
        </w:rPr>
        <w:t>de los</w:t>
      </w:r>
      <w:r w:rsidR="008A1CE6"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8A1CE6" w:rsidRPr="00A16D62">
        <w:rPr>
          <w:rFonts w:ascii="Cambria" w:eastAsia="Times New Roman" w:hAnsi="Cambria"/>
          <w:bCs/>
          <w:sz w:val="20"/>
          <w:szCs w:val="20"/>
          <w:bdr w:val="none" w:sz="0" w:space="0" w:color="auto"/>
          <w:lang w:val="es-ES"/>
        </w:rPr>
        <w:t xml:space="preserve">. </w:t>
      </w:r>
      <w:r w:rsidR="00A246DE" w:rsidRPr="00A16D62">
        <w:rPr>
          <w:rFonts w:ascii="Cambria" w:eastAsia="Times New Roman" w:hAnsi="Cambria"/>
          <w:bCs/>
          <w:sz w:val="20"/>
          <w:szCs w:val="20"/>
          <w:bdr w:val="none" w:sz="0" w:space="0" w:color="auto"/>
          <w:lang w:val="es-ES"/>
        </w:rPr>
        <w:t xml:space="preserve">Según los peticionarios, estos otros contextos son el acceso a </w:t>
      </w:r>
      <w:r w:rsidR="007B4310" w:rsidRPr="00A16D62">
        <w:rPr>
          <w:rFonts w:ascii="Cambria" w:eastAsia="Times New Roman" w:hAnsi="Cambria"/>
          <w:bCs/>
          <w:sz w:val="20"/>
          <w:szCs w:val="20"/>
          <w:bdr w:val="none" w:sz="0" w:space="0" w:color="auto"/>
          <w:lang w:val="es-ES"/>
        </w:rPr>
        <w:t>indemnización por accidentes de trabajo</w:t>
      </w:r>
      <w:r w:rsidR="008A1CE6"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 xml:space="preserve">la ausencia de </w:t>
      </w:r>
      <w:r w:rsidR="000F4EF8" w:rsidRPr="00A16D62">
        <w:rPr>
          <w:rFonts w:ascii="Cambria" w:eastAsia="Times New Roman" w:hAnsi="Cambria"/>
          <w:bCs/>
          <w:sz w:val="20"/>
          <w:szCs w:val="20"/>
          <w:bdr w:val="none" w:sz="0" w:space="0" w:color="auto"/>
          <w:lang w:val="es-ES"/>
        </w:rPr>
        <w:t>discriminación en el lugar de trabajo</w:t>
      </w:r>
      <w:r w:rsidR="00593BF9" w:rsidRPr="00A16D62">
        <w:rPr>
          <w:rFonts w:ascii="Cambria" w:eastAsia="Times New Roman" w:hAnsi="Cambria"/>
          <w:bCs/>
          <w:sz w:val="20"/>
          <w:szCs w:val="20"/>
          <w:bdr w:val="none" w:sz="0" w:space="0" w:color="auto"/>
          <w:lang w:val="es-ES"/>
        </w:rPr>
        <w:t xml:space="preserve"> y el derecho a exigir que un empleador asuma la responsabilidad por un</w:t>
      </w:r>
      <w:r w:rsidR="00C8715D"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accidente de trabajo</w:t>
      </w:r>
      <w:r w:rsidR="008A1CE6"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 xml:space="preserve">Afirman que, en estos </w:t>
      </w:r>
      <w:r w:rsidR="00A246DE" w:rsidRPr="00A16D62">
        <w:rPr>
          <w:rFonts w:ascii="Cambria" w:eastAsia="Times New Roman" w:hAnsi="Cambria"/>
          <w:bCs/>
          <w:sz w:val="20"/>
          <w:szCs w:val="20"/>
          <w:bdr w:val="none" w:sz="0" w:space="0" w:color="auto"/>
          <w:lang w:val="es-ES"/>
        </w:rPr>
        <w:t>contextos</w:t>
      </w:r>
      <w:r w:rsidR="000F5D27"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 xml:space="preserve">a las </w:t>
      </w:r>
      <w:r w:rsidR="009A5408" w:rsidRPr="00A16D62">
        <w:rPr>
          <w:rFonts w:ascii="Cambria" w:eastAsia="Times New Roman" w:hAnsi="Cambria"/>
          <w:bCs/>
          <w:sz w:val="20"/>
          <w:szCs w:val="20"/>
          <w:bdr w:val="none" w:sz="0" w:space="0" w:color="auto"/>
          <w:lang w:val="es-ES"/>
        </w:rPr>
        <w:t>presuntas víctimas</w:t>
      </w:r>
      <w:r w:rsidR="000F5D27"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se les negó la plena protección de sus derechos laborales</w:t>
      </w:r>
      <w:r w:rsidR="000F5D27"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y el debido proceso</w:t>
      </w:r>
      <w:r w:rsidR="000F5D27" w:rsidRPr="00A16D62">
        <w:rPr>
          <w:rFonts w:ascii="Cambria" w:eastAsia="Times New Roman" w:hAnsi="Cambria"/>
          <w:bCs/>
          <w:sz w:val="20"/>
          <w:szCs w:val="20"/>
          <w:bdr w:val="none" w:sz="0" w:space="0" w:color="auto"/>
          <w:lang w:val="es-ES"/>
        </w:rPr>
        <w:t xml:space="preserve">. </w:t>
      </w:r>
    </w:p>
    <w:p w:rsidR="008A1CE6" w:rsidRPr="00A16D62" w:rsidRDefault="008A1CE6" w:rsidP="008A1CE6">
      <w:pPr>
        <w:pStyle w:val="ListParagraph"/>
        <w:rPr>
          <w:rFonts w:eastAsia="Times New Roman"/>
          <w:sz w:val="20"/>
          <w:szCs w:val="20"/>
          <w:bdr w:val="none" w:sz="0" w:space="0" w:color="auto"/>
          <w:lang w:val="es-ES"/>
        </w:rPr>
      </w:pPr>
    </w:p>
    <w:p w:rsidR="00C8715D" w:rsidRPr="00A16D62" w:rsidRDefault="0018012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
          <w:bCs/>
          <w:sz w:val="20"/>
          <w:szCs w:val="20"/>
          <w:bdr w:val="none" w:sz="0" w:space="0" w:color="auto"/>
          <w:lang w:val="es-ES"/>
        </w:rPr>
      </w:pPr>
      <w:r w:rsidRPr="00A16D62">
        <w:rPr>
          <w:rFonts w:ascii="Cambria" w:eastAsia="Times New Roman" w:hAnsi="Cambria"/>
          <w:bCs/>
          <w:sz w:val="20"/>
          <w:szCs w:val="20"/>
          <w:bdr w:val="none" w:sz="0" w:space="0" w:color="auto"/>
          <w:lang w:val="es-ES"/>
        </w:rPr>
        <w:t>El Estado</w:t>
      </w:r>
      <w:r w:rsidR="00C8715D"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sostiene que</w:t>
      </w:r>
      <w:r w:rsidR="00C8715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los peticionarios</w:t>
      </w:r>
      <w:r w:rsidR="002E4DA7"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no han agotado los</w:t>
      </w:r>
      <w:r w:rsidR="002E4DA7"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recursos internos</w:t>
      </w:r>
      <w:r w:rsidR="001D3553"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 xml:space="preserve">observando que existen recursos en los tribunales estatales y, por consiguiente, se debería desestimar el caso. De modo subsidiario, </w:t>
      </w:r>
      <w:r w:rsidRPr="00A16D62">
        <w:rPr>
          <w:rFonts w:ascii="Cambria" w:eastAsia="Times New Roman" w:hAnsi="Cambria"/>
          <w:bCs/>
          <w:sz w:val="20"/>
          <w:szCs w:val="20"/>
          <w:bdr w:val="none" w:sz="0" w:space="0" w:color="auto"/>
          <w:lang w:val="es-ES"/>
        </w:rPr>
        <w:t>el Estado</w:t>
      </w:r>
      <w:r w:rsidR="001D3553"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 xml:space="preserve">afirma que tiene el derecho soberano de negar el permiso de trabajo a aquellos que estén </w:t>
      </w:r>
      <w:r w:rsidR="00791116" w:rsidRPr="00A16D62">
        <w:rPr>
          <w:rFonts w:ascii="Cambria" w:eastAsia="Times New Roman" w:hAnsi="Cambria"/>
          <w:bCs/>
          <w:sz w:val="20"/>
          <w:szCs w:val="20"/>
          <w:bdr w:val="none" w:sz="0" w:space="0" w:color="auto"/>
          <w:lang w:val="es-ES"/>
        </w:rPr>
        <w:t>“</w:t>
      </w:r>
      <w:r w:rsidR="00593BF9" w:rsidRPr="00A16D62">
        <w:rPr>
          <w:rFonts w:ascii="Cambria" w:eastAsia="Times New Roman" w:hAnsi="Cambria"/>
          <w:bCs/>
          <w:sz w:val="20"/>
          <w:szCs w:val="20"/>
          <w:bdr w:val="none" w:sz="0" w:space="0" w:color="auto"/>
          <w:lang w:val="es-ES"/>
        </w:rPr>
        <w:t>presentes ilegalmente</w:t>
      </w:r>
      <w:r w:rsidR="00791116"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 xml:space="preserve">en el país o a aquellos que no hayan obtenido autorización para trabajar. Por consiguiente, </w:t>
      </w:r>
      <w:r w:rsidRPr="00A16D62">
        <w:rPr>
          <w:rFonts w:ascii="Cambria" w:eastAsia="Times New Roman" w:hAnsi="Cambria"/>
          <w:bCs/>
          <w:sz w:val="20"/>
          <w:szCs w:val="20"/>
          <w:bdr w:val="none" w:sz="0" w:space="0" w:color="auto"/>
          <w:lang w:val="es-ES"/>
        </w:rPr>
        <w:t>el Estado</w:t>
      </w:r>
      <w:r w:rsidR="00791116"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 xml:space="preserve">señala que las leyes </w:t>
      </w:r>
      <w:r w:rsidR="00791116" w:rsidRPr="00A16D62">
        <w:rPr>
          <w:rFonts w:ascii="Cambria" w:eastAsia="Times New Roman" w:hAnsi="Cambria"/>
          <w:bCs/>
          <w:sz w:val="20"/>
          <w:szCs w:val="20"/>
          <w:bdr w:val="none" w:sz="0" w:space="0" w:color="auto"/>
          <w:lang w:val="es-ES"/>
        </w:rPr>
        <w:t>federal</w:t>
      </w:r>
      <w:r w:rsidR="00593BF9" w:rsidRPr="00A16D62">
        <w:rPr>
          <w:rFonts w:ascii="Cambria" w:eastAsia="Times New Roman" w:hAnsi="Cambria"/>
          <w:bCs/>
          <w:sz w:val="20"/>
          <w:szCs w:val="20"/>
          <w:bdr w:val="none" w:sz="0" w:space="0" w:color="auto"/>
          <w:lang w:val="es-ES"/>
        </w:rPr>
        <w:t>es y estatales reconocen la dificultad para pagar retroactivamente un trabajo que no fue hecho cuando no podría haber sido hecho legalmente. Asimismo</w:t>
      </w:r>
      <w:r w:rsidR="00791116"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el Estado</w:t>
      </w:r>
      <w:r w:rsidR="00791116"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 xml:space="preserve">afirma que </w:t>
      </w:r>
      <w:r w:rsidRPr="00A16D62">
        <w:rPr>
          <w:rFonts w:ascii="Cambria" w:eastAsia="Times New Roman" w:hAnsi="Cambria"/>
          <w:bCs/>
          <w:sz w:val="20"/>
          <w:szCs w:val="20"/>
          <w:bdr w:val="none" w:sz="0" w:space="0" w:color="auto"/>
          <w:lang w:val="es-ES"/>
        </w:rPr>
        <w:t>los peticionarios</w:t>
      </w:r>
      <w:r w:rsidR="00791116" w:rsidRPr="00A16D62">
        <w:rPr>
          <w:rFonts w:ascii="Cambria" w:eastAsia="Times New Roman" w:hAnsi="Cambria"/>
          <w:bCs/>
          <w:sz w:val="20"/>
          <w:szCs w:val="20"/>
          <w:bdr w:val="none" w:sz="0" w:space="0" w:color="auto"/>
          <w:lang w:val="es-ES"/>
        </w:rPr>
        <w:t xml:space="preserve"> ha</w:t>
      </w:r>
      <w:r w:rsidR="00593BF9" w:rsidRPr="00A16D62">
        <w:rPr>
          <w:rFonts w:ascii="Cambria" w:eastAsia="Times New Roman" w:hAnsi="Cambria"/>
          <w:bCs/>
          <w:sz w:val="20"/>
          <w:szCs w:val="20"/>
          <w:bdr w:val="none" w:sz="0" w:space="0" w:color="auto"/>
          <w:lang w:val="es-ES"/>
        </w:rPr>
        <w:t>n</w:t>
      </w:r>
      <w:r w:rsidR="00791116"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exagerado</w:t>
      </w:r>
      <w:r w:rsidR="00791116"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el efecto del caso</w:t>
      </w:r>
      <w:r w:rsidR="00791116" w:rsidRPr="00A16D62">
        <w:rPr>
          <w:rFonts w:ascii="Cambria" w:eastAsia="Times New Roman" w:hAnsi="Cambria"/>
          <w:bCs/>
          <w:sz w:val="20"/>
          <w:szCs w:val="20"/>
          <w:bdr w:val="none" w:sz="0" w:space="0" w:color="auto"/>
          <w:lang w:val="es-ES"/>
        </w:rPr>
        <w:t xml:space="preserve"> </w:t>
      </w:r>
      <w:r w:rsidR="00791116" w:rsidRPr="00A16D62">
        <w:rPr>
          <w:rFonts w:ascii="Cambria" w:eastAsia="Times New Roman" w:hAnsi="Cambria"/>
          <w:bCs/>
          <w:i/>
          <w:sz w:val="20"/>
          <w:szCs w:val="20"/>
          <w:bdr w:val="none" w:sz="0" w:space="0" w:color="auto"/>
          <w:lang w:val="es-ES"/>
        </w:rPr>
        <w:t>Hoffman</w:t>
      </w:r>
      <w:r w:rsidR="00791116"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y que los</w:t>
      </w:r>
      <w:r w:rsidR="00791116"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791116"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 xml:space="preserve">siguen estando amparados por la </w:t>
      </w:r>
      <w:r w:rsidR="00256794" w:rsidRPr="00A16D62">
        <w:rPr>
          <w:rFonts w:ascii="Cambria" w:eastAsia="Times New Roman" w:hAnsi="Cambria"/>
          <w:bCs/>
          <w:sz w:val="20"/>
          <w:szCs w:val="20"/>
          <w:bdr w:val="none" w:sz="0" w:space="0" w:color="auto"/>
          <w:lang w:val="es-ES"/>
        </w:rPr>
        <w:t>Ley Nacional de Relaciones Laborales</w:t>
      </w:r>
      <w:r w:rsidR="00791116" w:rsidRPr="00A16D62">
        <w:rPr>
          <w:rFonts w:ascii="Cambria" w:eastAsia="Times New Roman" w:hAnsi="Cambria"/>
          <w:bCs/>
          <w:sz w:val="20"/>
          <w:szCs w:val="20"/>
          <w:bdr w:val="none" w:sz="0" w:space="0" w:color="auto"/>
          <w:lang w:val="es-ES"/>
        </w:rPr>
        <w:t xml:space="preserve"> (“NLRA”)</w:t>
      </w:r>
      <w:r w:rsidR="00791116" w:rsidRPr="00A16D62">
        <w:rPr>
          <w:rStyle w:val="FootnoteReference"/>
          <w:rFonts w:ascii="Cambria" w:eastAsia="Times New Roman" w:hAnsi="Cambria"/>
          <w:bCs/>
          <w:sz w:val="20"/>
          <w:szCs w:val="20"/>
          <w:bdr w:val="none" w:sz="0" w:space="0" w:color="auto"/>
          <w:lang w:val="es-ES"/>
        </w:rPr>
        <w:footnoteReference w:id="4"/>
      </w:r>
      <w:r w:rsidR="00256794" w:rsidRPr="00A16D62">
        <w:rPr>
          <w:rFonts w:ascii="Cambria" w:eastAsia="Times New Roman" w:hAnsi="Cambria"/>
          <w:bCs/>
          <w:sz w:val="20"/>
          <w:szCs w:val="20"/>
          <w:bdr w:val="none" w:sz="0" w:space="0" w:color="auto"/>
          <w:lang w:val="es-ES"/>
        </w:rPr>
        <w:t>,</w:t>
      </w:r>
      <w:r w:rsidR="007F1AAB" w:rsidRPr="00A16D62">
        <w:rPr>
          <w:rFonts w:ascii="Cambria" w:eastAsia="Times New Roman" w:hAnsi="Cambria"/>
          <w:bCs/>
          <w:sz w:val="20"/>
          <w:szCs w:val="20"/>
          <w:bdr w:val="none" w:sz="0" w:space="0" w:color="auto"/>
          <w:lang w:val="es-ES"/>
        </w:rPr>
        <w:t xml:space="preserve"> inclu</w:t>
      </w:r>
      <w:r w:rsidR="00256794" w:rsidRPr="00A16D62">
        <w:rPr>
          <w:rFonts w:ascii="Cambria" w:eastAsia="Times New Roman" w:hAnsi="Cambria"/>
          <w:bCs/>
          <w:sz w:val="20"/>
          <w:szCs w:val="20"/>
          <w:bdr w:val="none" w:sz="0" w:space="0" w:color="auto"/>
          <w:lang w:val="es-ES"/>
        </w:rPr>
        <w:t xml:space="preserve">so </w:t>
      </w:r>
      <w:r w:rsidR="00256794" w:rsidRPr="00A16D62">
        <w:rPr>
          <w:rFonts w:ascii="Cambria" w:eastAsia="Times New Roman" w:hAnsi="Cambria"/>
          <w:bCs/>
          <w:sz w:val="20"/>
          <w:szCs w:val="20"/>
          <w:bdr w:val="none" w:sz="0" w:space="0" w:color="auto"/>
          <w:lang w:val="es-ES"/>
        </w:rPr>
        <w:lastRenderedPageBreak/>
        <w:t>en lo que se refiere a los salarios y las prestaciones médicas</w:t>
      </w:r>
      <w:r w:rsidR="007F1AA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El Estado</w:t>
      </w:r>
      <w:r w:rsidR="00791116" w:rsidRPr="00A16D62">
        <w:rPr>
          <w:rFonts w:ascii="Cambria" w:eastAsia="Times New Roman" w:hAnsi="Cambria"/>
          <w:bCs/>
          <w:sz w:val="20"/>
          <w:szCs w:val="20"/>
          <w:bdr w:val="none" w:sz="0" w:space="0" w:color="auto"/>
          <w:lang w:val="es-ES"/>
        </w:rPr>
        <w:t xml:space="preserve"> </w:t>
      </w:r>
      <w:r w:rsidR="003659D7" w:rsidRPr="00A16D62">
        <w:rPr>
          <w:rFonts w:ascii="Cambria" w:eastAsia="Times New Roman" w:hAnsi="Cambria"/>
          <w:bCs/>
          <w:sz w:val="20"/>
          <w:szCs w:val="20"/>
          <w:bdr w:val="none" w:sz="0" w:space="0" w:color="auto"/>
          <w:lang w:val="es-ES"/>
        </w:rPr>
        <w:t xml:space="preserve">afirma su compromiso de proteger a todos los </w:t>
      </w:r>
      <w:r w:rsidR="007B4310" w:rsidRPr="00A16D62">
        <w:rPr>
          <w:rFonts w:ascii="Cambria" w:eastAsia="Times New Roman" w:hAnsi="Cambria"/>
          <w:bCs/>
          <w:sz w:val="20"/>
          <w:szCs w:val="20"/>
          <w:bdr w:val="none" w:sz="0" w:space="0" w:color="auto"/>
          <w:lang w:val="es-ES"/>
        </w:rPr>
        <w:t>trabajadores</w:t>
      </w:r>
      <w:r w:rsidR="00791116" w:rsidRPr="00A16D62">
        <w:rPr>
          <w:rFonts w:ascii="Cambria" w:eastAsia="Times New Roman" w:hAnsi="Cambria"/>
          <w:bCs/>
          <w:sz w:val="20"/>
          <w:szCs w:val="20"/>
          <w:bdr w:val="none" w:sz="0" w:space="0" w:color="auto"/>
          <w:lang w:val="es-ES"/>
        </w:rPr>
        <w:t xml:space="preserve"> </w:t>
      </w:r>
      <w:r w:rsidR="003659D7" w:rsidRPr="00A16D62">
        <w:rPr>
          <w:rFonts w:ascii="Cambria" w:eastAsia="Times New Roman" w:hAnsi="Cambria"/>
          <w:bCs/>
          <w:sz w:val="20"/>
          <w:szCs w:val="20"/>
          <w:bdr w:val="none" w:sz="0" w:space="0" w:color="auto"/>
          <w:lang w:val="es-ES"/>
        </w:rPr>
        <w:t>contra infracciones del empleo y del trabajo, estén o no autorizados para trabajar.</w:t>
      </w:r>
    </w:p>
    <w:p w:rsidR="007F1AAB" w:rsidRPr="00A16D62" w:rsidRDefault="007F1AAB" w:rsidP="007F1AAB">
      <w:pPr>
        <w:pStyle w:val="ListParagraph"/>
        <w:rPr>
          <w:rFonts w:eastAsia="Times New Roman"/>
          <w:b/>
          <w:bCs/>
          <w:sz w:val="20"/>
          <w:szCs w:val="20"/>
          <w:bdr w:val="none" w:sz="0" w:space="0" w:color="auto"/>
          <w:lang w:val="es-ES"/>
        </w:rPr>
      </w:pPr>
    </w:p>
    <w:p w:rsidR="00510BFE" w:rsidRPr="00A16D62" w:rsidRDefault="003659D7"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En el </w:t>
      </w:r>
      <w:r w:rsidR="00FD38E3" w:rsidRPr="00A16D62">
        <w:rPr>
          <w:rFonts w:ascii="Cambria" w:eastAsia="Times New Roman" w:hAnsi="Cambria"/>
          <w:bCs/>
          <w:sz w:val="20"/>
          <w:szCs w:val="20"/>
          <w:bdr w:val="none" w:sz="0" w:space="0" w:color="auto"/>
          <w:lang w:val="es-ES"/>
        </w:rPr>
        <w:t>Informe</w:t>
      </w:r>
      <w:r w:rsidR="009515CA" w:rsidRPr="00A16D62">
        <w:rPr>
          <w:rFonts w:ascii="Cambria" w:eastAsia="Times New Roman" w:hAnsi="Cambria"/>
          <w:bCs/>
          <w:sz w:val="20"/>
          <w:szCs w:val="20"/>
          <w:bdr w:val="none" w:sz="0" w:space="0" w:color="auto"/>
          <w:lang w:val="es-ES"/>
        </w:rPr>
        <w:t xml:space="preserve"> No. 134/11, a</w:t>
      </w:r>
      <w:r w:rsidRPr="00A16D62">
        <w:rPr>
          <w:rFonts w:ascii="Cambria" w:eastAsia="Times New Roman" w:hAnsi="Cambria"/>
          <w:bCs/>
          <w:sz w:val="20"/>
          <w:szCs w:val="20"/>
          <w:bdr w:val="none" w:sz="0" w:space="0" w:color="auto"/>
          <w:lang w:val="es-ES"/>
        </w:rPr>
        <w:t xml:space="preserve">probado por la </w:t>
      </w:r>
      <w:r w:rsidR="00180125" w:rsidRPr="00A16D62">
        <w:rPr>
          <w:rFonts w:ascii="Cambria" w:eastAsia="Times New Roman" w:hAnsi="Cambria"/>
          <w:bCs/>
          <w:sz w:val="20"/>
          <w:szCs w:val="20"/>
          <w:bdr w:val="none" w:sz="0" w:space="0" w:color="auto"/>
          <w:lang w:val="es-ES"/>
        </w:rPr>
        <w:t>CIDH</w:t>
      </w:r>
      <w:r w:rsidR="009515C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el</w:t>
      </w:r>
      <w:r w:rsidR="009515C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20 de marzo de 2011</w:t>
      </w:r>
      <w:r w:rsidR="009515CA" w:rsidRPr="00A16D62">
        <w:rPr>
          <w:rFonts w:ascii="Cambria" w:eastAsia="Times New Roman" w:hAnsi="Cambria"/>
          <w:bCs/>
          <w:sz w:val="20"/>
          <w:szCs w:val="20"/>
          <w:bdr w:val="none" w:sz="0" w:space="0" w:color="auto"/>
          <w:lang w:val="es-ES"/>
        </w:rPr>
        <w:t xml:space="preserve"> dur</w:t>
      </w:r>
      <w:r w:rsidRPr="00A16D62">
        <w:rPr>
          <w:rFonts w:ascii="Cambria" w:eastAsia="Times New Roman" w:hAnsi="Cambria"/>
          <w:bCs/>
          <w:sz w:val="20"/>
          <w:szCs w:val="20"/>
          <w:bdr w:val="none" w:sz="0" w:space="0" w:color="auto"/>
          <w:lang w:val="es-ES"/>
        </w:rPr>
        <w:t>ante su</w:t>
      </w:r>
      <w:r w:rsidR="009515CA" w:rsidRPr="00A16D62">
        <w:rPr>
          <w:rFonts w:ascii="Cambria" w:eastAsia="Times New Roman" w:hAnsi="Cambria"/>
          <w:bCs/>
          <w:sz w:val="20"/>
          <w:szCs w:val="20"/>
          <w:bdr w:val="none" w:sz="0" w:space="0" w:color="auto"/>
          <w:lang w:val="es-ES"/>
        </w:rPr>
        <w:t xml:space="preserve"> 141 </w:t>
      </w:r>
      <w:r w:rsidRPr="00A16D62">
        <w:rPr>
          <w:rFonts w:ascii="Cambria" w:eastAsia="Times New Roman" w:hAnsi="Cambria"/>
          <w:bCs/>
          <w:sz w:val="20"/>
          <w:szCs w:val="20"/>
          <w:bdr w:val="none" w:sz="0" w:space="0" w:color="auto"/>
          <w:lang w:val="es-ES"/>
        </w:rPr>
        <w:t>Período de Sesiones</w:t>
      </w:r>
      <w:r w:rsidR="009515CA"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9515CA" w:rsidRPr="00A16D62">
        <w:rPr>
          <w:rFonts w:ascii="Cambria" w:eastAsia="Times New Roman" w:hAnsi="Cambria"/>
          <w:bCs/>
          <w:sz w:val="20"/>
          <w:szCs w:val="20"/>
          <w:bdr w:val="none" w:sz="0" w:space="0" w:color="auto"/>
          <w:lang w:val="es-ES"/>
        </w:rPr>
        <w:t xml:space="preserve"> declar</w:t>
      </w:r>
      <w:r w:rsidRPr="00A16D62">
        <w:rPr>
          <w:rFonts w:ascii="Cambria" w:eastAsia="Times New Roman" w:hAnsi="Cambria"/>
          <w:bCs/>
          <w:sz w:val="20"/>
          <w:szCs w:val="20"/>
          <w:bdr w:val="none" w:sz="0" w:space="0" w:color="auto"/>
          <w:lang w:val="es-ES"/>
        </w:rPr>
        <w:t xml:space="preserve">ó </w:t>
      </w:r>
      <w:r w:rsidR="00B60248" w:rsidRPr="00A16D62">
        <w:rPr>
          <w:rFonts w:ascii="Cambria" w:eastAsia="Times New Roman" w:hAnsi="Cambria"/>
          <w:bCs/>
          <w:sz w:val="20"/>
          <w:szCs w:val="20"/>
          <w:bdr w:val="none" w:sz="0" w:space="0" w:color="auto"/>
          <w:lang w:val="es-ES"/>
        </w:rPr>
        <w:t xml:space="preserve">que </w:t>
      </w:r>
      <w:r w:rsidRPr="00A16D62">
        <w:rPr>
          <w:rFonts w:ascii="Cambria" w:eastAsia="Times New Roman" w:hAnsi="Cambria"/>
          <w:bCs/>
          <w:sz w:val="20"/>
          <w:szCs w:val="20"/>
          <w:bdr w:val="none" w:sz="0" w:space="0" w:color="auto"/>
          <w:lang w:val="es-ES"/>
        </w:rPr>
        <w:t>la petición</w:t>
      </w:r>
      <w:r w:rsidR="009515CA" w:rsidRPr="00A16D62">
        <w:rPr>
          <w:rFonts w:ascii="Cambria" w:eastAsia="Times New Roman" w:hAnsi="Cambria"/>
          <w:bCs/>
          <w:sz w:val="20"/>
          <w:szCs w:val="20"/>
          <w:bdr w:val="none" w:sz="0" w:space="0" w:color="auto"/>
          <w:lang w:val="es-ES"/>
        </w:rPr>
        <w:t xml:space="preserve"> 1190-06</w:t>
      </w:r>
      <w:r w:rsidR="00B60248" w:rsidRPr="00A16D62">
        <w:rPr>
          <w:rFonts w:ascii="Cambria" w:eastAsia="Times New Roman" w:hAnsi="Cambria"/>
          <w:bCs/>
          <w:sz w:val="20"/>
          <w:szCs w:val="20"/>
          <w:bdr w:val="none" w:sz="0" w:space="0" w:color="auto"/>
          <w:lang w:val="es-ES"/>
        </w:rPr>
        <w:t xml:space="preserve"> era admisible</w:t>
      </w:r>
      <w:r w:rsidR="00510BFE"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sin prejuzgar el fondo del asunto</w:t>
      </w:r>
      <w:r w:rsidR="00510BFE" w:rsidRPr="00A16D62">
        <w:rPr>
          <w:rFonts w:ascii="Cambria" w:eastAsia="Times New Roman" w:hAnsi="Cambria"/>
          <w:bCs/>
          <w:sz w:val="20"/>
          <w:szCs w:val="20"/>
          <w:bdr w:val="none" w:sz="0" w:space="0" w:color="auto"/>
          <w:lang w:val="es-ES"/>
        </w:rPr>
        <w:t xml:space="preserve">, </w:t>
      </w:r>
      <w:r w:rsidR="00B60248" w:rsidRPr="00A16D62">
        <w:rPr>
          <w:rFonts w:ascii="Cambria" w:eastAsia="Times New Roman" w:hAnsi="Cambria"/>
          <w:bCs/>
          <w:sz w:val="20"/>
          <w:szCs w:val="20"/>
          <w:bdr w:val="none" w:sz="0" w:space="0" w:color="auto"/>
          <w:lang w:val="es-ES"/>
        </w:rPr>
        <w:t>con respecto a los</w:t>
      </w:r>
      <w:r w:rsidR="00510BFE" w:rsidRPr="00A16D62">
        <w:rPr>
          <w:rFonts w:ascii="Cambria" w:eastAsia="Times New Roman" w:hAnsi="Cambria"/>
          <w:bCs/>
          <w:sz w:val="20"/>
          <w:szCs w:val="20"/>
          <w:bdr w:val="none" w:sz="0" w:space="0" w:color="auto"/>
          <w:lang w:val="es-ES"/>
        </w:rPr>
        <w:t xml:space="preserve"> </w:t>
      </w:r>
      <w:r w:rsidR="00811F92" w:rsidRPr="00A16D62">
        <w:rPr>
          <w:rFonts w:ascii="Cambria" w:eastAsia="Times New Roman" w:hAnsi="Cambria"/>
          <w:bCs/>
          <w:sz w:val="20"/>
          <w:szCs w:val="20"/>
          <w:bdr w:val="none" w:sz="0" w:space="0" w:color="auto"/>
          <w:lang w:val="es-ES"/>
        </w:rPr>
        <w:t>artículo</w:t>
      </w:r>
      <w:r w:rsidR="00510BFE" w:rsidRPr="00A16D62">
        <w:rPr>
          <w:rFonts w:ascii="Cambria" w:eastAsia="Times New Roman" w:hAnsi="Cambria"/>
          <w:bCs/>
          <w:sz w:val="20"/>
          <w:szCs w:val="20"/>
          <w:bdr w:val="none" w:sz="0" w:space="0" w:color="auto"/>
          <w:lang w:val="es-ES"/>
        </w:rPr>
        <w:t>s II (</w:t>
      </w:r>
      <w:r w:rsidR="009A5408" w:rsidRPr="00A16D62">
        <w:rPr>
          <w:rFonts w:ascii="Cambria" w:eastAsia="Times New Roman" w:hAnsi="Cambria"/>
          <w:bCs/>
          <w:sz w:val="20"/>
          <w:szCs w:val="20"/>
          <w:bdr w:val="none" w:sz="0" w:space="0" w:color="auto"/>
          <w:lang w:val="es-ES"/>
        </w:rPr>
        <w:t>Derecho de igualdad ante la ley</w:t>
      </w:r>
      <w:r w:rsidR="00510BFE" w:rsidRPr="00A16D62">
        <w:rPr>
          <w:rFonts w:ascii="Cambria" w:eastAsia="Times New Roman" w:hAnsi="Cambria"/>
          <w:bCs/>
          <w:sz w:val="20"/>
          <w:szCs w:val="20"/>
          <w:bdr w:val="none" w:sz="0" w:space="0" w:color="auto"/>
          <w:lang w:val="es-ES"/>
        </w:rPr>
        <w:t>), XVI (</w:t>
      </w:r>
      <w:r w:rsidR="007E4498" w:rsidRPr="00A16D62">
        <w:rPr>
          <w:rFonts w:ascii="Cambria" w:eastAsia="Times New Roman" w:hAnsi="Cambria"/>
          <w:bCs/>
          <w:sz w:val="20"/>
          <w:szCs w:val="20"/>
          <w:bdr w:val="none" w:sz="0" w:space="0" w:color="auto"/>
          <w:lang w:val="es-ES"/>
        </w:rPr>
        <w:t>Derecho a la seguridad social</w:t>
      </w:r>
      <w:r w:rsidR="00510BFE" w:rsidRPr="00A16D62">
        <w:rPr>
          <w:rFonts w:ascii="Cambria" w:eastAsia="Times New Roman" w:hAnsi="Cambria"/>
          <w:bCs/>
          <w:sz w:val="20"/>
          <w:szCs w:val="20"/>
          <w:bdr w:val="none" w:sz="0" w:space="0" w:color="auto"/>
          <w:lang w:val="es-ES"/>
        </w:rPr>
        <w:t>), XVII (</w:t>
      </w:r>
      <w:r w:rsidR="00B60248" w:rsidRPr="00A16D62">
        <w:rPr>
          <w:rFonts w:ascii="Cambria" w:eastAsia="Times New Roman" w:hAnsi="Cambria"/>
          <w:bCs/>
          <w:sz w:val="20"/>
          <w:szCs w:val="20"/>
          <w:bdr w:val="none" w:sz="0" w:space="0" w:color="auto"/>
          <w:lang w:val="es-ES"/>
        </w:rPr>
        <w:t>Derecho de reconocimiento de la personalidad jurídica y de los derechos civiles</w:t>
      </w:r>
      <w:r w:rsidR="00510BFE" w:rsidRPr="00A16D62">
        <w:rPr>
          <w:rFonts w:ascii="Cambria" w:eastAsia="Times New Roman" w:hAnsi="Cambria"/>
          <w:bCs/>
          <w:sz w:val="20"/>
          <w:szCs w:val="20"/>
          <w:bdr w:val="none" w:sz="0" w:space="0" w:color="auto"/>
          <w:lang w:val="es-ES"/>
        </w:rPr>
        <w:t>)</w:t>
      </w:r>
      <w:r w:rsidR="00B60248" w:rsidRPr="00A16D62">
        <w:rPr>
          <w:rFonts w:ascii="Cambria" w:eastAsia="Times New Roman" w:hAnsi="Cambria"/>
          <w:bCs/>
          <w:sz w:val="20"/>
          <w:szCs w:val="20"/>
          <w:bdr w:val="none" w:sz="0" w:space="0" w:color="auto"/>
          <w:lang w:val="es-ES"/>
        </w:rPr>
        <w:t xml:space="preserve"> y </w:t>
      </w:r>
      <w:r w:rsidR="00510BFE" w:rsidRPr="00A16D62">
        <w:rPr>
          <w:rFonts w:ascii="Cambria" w:eastAsia="Times New Roman" w:hAnsi="Cambria"/>
          <w:bCs/>
          <w:sz w:val="20"/>
          <w:szCs w:val="20"/>
          <w:bdr w:val="none" w:sz="0" w:space="0" w:color="auto"/>
          <w:lang w:val="es-ES"/>
        </w:rPr>
        <w:t>XVIII (</w:t>
      </w:r>
      <w:r w:rsidR="00B60248" w:rsidRPr="00A16D62">
        <w:rPr>
          <w:rFonts w:ascii="Cambria" w:eastAsia="Times New Roman" w:hAnsi="Cambria"/>
          <w:bCs/>
          <w:sz w:val="20"/>
          <w:szCs w:val="20"/>
          <w:bdr w:val="none" w:sz="0" w:space="0" w:color="auto"/>
          <w:lang w:val="es-ES"/>
        </w:rPr>
        <w:t>Derecho de justicia</w:t>
      </w:r>
      <w:r w:rsidR="00510BFE" w:rsidRPr="00A16D62">
        <w:rPr>
          <w:rFonts w:ascii="Cambria" w:eastAsia="Times New Roman" w:hAnsi="Cambria"/>
          <w:bCs/>
          <w:sz w:val="20"/>
          <w:szCs w:val="20"/>
          <w:bdr w:val="none" w:sz="0" w:space="0" w:color="auto"/>
          <w:lang w:val="es-ES"/>
        </w:rPr>
        <w:t xml:space="preserve">) </w:t>
      </w:r>
      <w:r w:rsidR="00B60248"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0F5D27" w:rsidRPr="00A16D62">
        <w:rPr>
          <w:rFonts w:ascii="Cambria" w:eastAsia="Times New Roman" w:hAnsi="Cambria"/>
          <w:bCs/>
          <w:sz w:val="20"/>
          <w:szCs w:val="20"/>
          <w:bdr w:val="none" w:sz="0" w:space="0" w:color="auto"/>
          <w:lang w:val="es-ES"/>
        </w:rPr>
        <w:t xml:space="preserve"> </w:t>
      </w:r>
      <w:r w:rsidR="00B60248" w:rsidRPr="00A16D62">
        <w:rPr>
          <w:rFonts w:ascii="Cambria" w:eastAsia="Times New Roman" w:hAnsi="Cambria"/>
          <w:bCs/>
          <w:sz w:val="20"/>
          <w:szCs w:val="20"/>
          <w:bdr w:val="none" w:sz="0" w:space="0" w:color="auto"/>
          <w:lang w:val="es-ES"/>
        </w:rPr>
        <w:t>de los Derechos y Deberes del Hombre</w:t>
      </w:r>
      <w:r w:rsidR="000F5D27" w:rsidRPr="00A16D62">
        <w:rPr>
          <w:rFonts w:ascii="Cambria" w:eastAsia="Times New Roman" w:hAnsi="Cambria"/>
          <w:bCs/>
          <w:sz w:val="20"/>
          <w:szCs w:val="20"/>
          <w:bdr w:val="none" w:sz="0" w:space="0" w:color="auto"/>
          <w:lang w:val="es-ES"/>
        </w:rPr>
        <w:t xml:space="preserve"> (“</w:t>
      </w:r>
      <w:r w:rsidR="00811F92" w:rsidRPr="00A16D62">
        <w:rPr>
          <w:rFonts w:ascii="Cambria" w:eastAsia="Times New Roman" w:hAnsi="Cambria"/>
          <w:bCs/>
          <w:sz w:val="20"/>
          <w:szCs w:val="20"/>
          <w:bdr w:val="none" w:sz="0" w:space="0" w:color="auto"/>
          <w:lang w:val="es-ES"/>
        </w:rPr>
        <w:t>Declaración Americana</w:t>
      </w:r>
      <w:r w:rsidR="000F5D27" w:rsidRPr="00A16D62">
        <w:rPr>
          <w:rFonts w:ascii="Cambria" w:eastAsia="Times New Roman" w:hAnsi="Cambria"/>
          <w:bCs/>
          <w:sz w:val="20"/>
          <w:szCs w:val="20"/>
          <w:bdr w:val="none" w:sz="0" w:space="0" w:color="auto"/>
          <w:lang w:val="es-ES"/>
        </w:rPr>
        <w:t>”)</w:t>
      </w:r>
      <w:r w:rsidR="00B60248" w:rsidRPr="00A16D62">
        <w:rPr>
          <w:rFonts w:ascii="Cambria" w:eastAsia="Times New Roman" w:hAnsi="Cambria"/>
          <w:bCs/>
          <w:sz w:val="20"/>
          <w:szCs w:val="20"/>
          <w:bdr w:val="none" w:sz="0" w:space="0" w:color="auto"/>
          <w:lang w:val="es-ES"/>
        </w:rPr>
        <w:t xml:space="preserve">, en relación con </w:t>
      </w:r>
      <w:r w:rsidR="00510BFE" w:rsidRPr="00A16D62">
        <w:rPr>
          <w:rFonts w:ascii="Cambria" w:eastAsia="Times New Roman" w:hAnsi="Cambria"/>
          <w:bCs/>
          <w:sz w:val="20"/>
          <w:szCs w:val="20"/>
          <w:bdr w:val="none" w:sz="0" w:space="0" w:color="auto"/>
          <w:lang w:val="es-ES"/>
        </w:rPr>
        <w:t xml:space="preserve">Leopoldo Zumaya </w:t>
      </w:r>
      <w:r w:rsidR="00B60248" w:rsidRPr="00A16D62">
        <w:rPr>
          <w:rFonts w:ascii="Cambria" w:eastAsia="Times New Roman" w:hAnsi="Cambria"/>
          <w:bCs/>
          <w:sz w:val="20"/>
          <w:szCs w:val="20"/>
          <w:bdr w:val="none" w:sz="0" w:space="0" w:color="auto"/>
          <w:lang w:val="es-ES"/>
        </w:rPr>
        <w:t>y</w:t>
      </w:r>
      <w:r w:rsidR="00510BFE" w:rsidRPr="00A16D62">
        <w:rPr>
          <w:rFonts w:ascii="Cambria" w:eastAsia="Times New Roman" w:hAnsi="Cambria"/>
          <w:bCs/>
          <w:sz w:val="20"/>
          <w:szCs w:val="20"/>
          <w:bdr w:val="none" w:sz="0" w:space="0" w:color="auto"/>
          <w:lang w:val="es-ES"/>
        </w:rPr>
        <w:t xml:space="preserve"> Francisco Berumen Lizalde</w:t>
      </w:r>
      <w:r w:rsidR="00153A38" w:rsidRPr="00A16D62">
        <w:rPr>
          <w:rStyle w:val="FootnoteReference"/>
          <w:rFonts w:ascii="Cambria" w:eastAsia="Times New Roman" w:hAnsi="Cambria"/>
          <w:bCs/>
          <w:sz w:val="20"/>
          <w:szCs w:val="20"/>
          <w:bdr w:val="none" w:sz="0" w:space="0" w:color="auto"/>
          <w:lang w:val="es-ES"/>
        </w:rPr>
        <w:footnoteReference w:id="5"/>
      </w:r>
      <w:r w:rsidR="00B60248" w:rsidRPr="00A16D62">
        <w:rPr>
          <w:rFonts w:ascii="Cambria" w:eastAsia="Times New Roman" w:hAnsi="Cambria"/>
          <w:bCs/>
          <w:sz w:val="20"/>
          <w:szCs w:val="20"/>
          <w:bdr w:val="none" w:sz="0" w:space="0" w:color="auto"/>
          <w:lang w:val="es-ES"/>
        </w:rPr>
        <w:t>. La Comisión publicó dicho informe y lo incluyó en su Informe Anual</w:t>
      </w:r>
      <w:r w:rsidR="00510BFE" w:rsidRPr="00A16D62">
        <w:rPr>
          <w:rFonts w:ascii="Cambria" w:eastAsia="Times New Roman" w:hAnsi="Cambria"/>
          <w:bCs/>
          <w:sz w:val="20"/>
          <w:szCs w:val="20"/>
          <w:bdr w:val="none" w:sz="0" w:space="0" w:color="auto"/>
          <w:lang w:val="es-ES"/>
        </w:rPr>
        <w:t xml:space="preserve"> </w:t>
      </w:r>
      <w:r w:rsidR="00B60248" w:rsidRPr="00A16D62">
        <w:rPr>
          <w:rFonts w:ascii="Cambria" w:eastAsia="Times New Roman" w:hAnsi="Cambria"/>
          <w:bCs/>
          <w:sz w:val="20"/>
          <w:szCs w:val="20"/>
          <w:bdr w:val="none" w:sz="0" w:space="0" w:color="auto"/>
          <w:lang w:val="es-ES"/>
        </w:rPr>
        <w:t>a la Asamblea General de la Organización de los Estados Americanos</w:t>
      </w:r>
      <w:r w:rsidR="00510BFE" w:rsidRPr="00A16D62">
        <w:rPr>
          <w:rFonts w:ascii="Cambria" w:eastAsia="Times New Roman" w:hAnsi="Cambria"/>
          <w:bCs/>
          <w:sz w:val="20"/>
          <w:szCs w:val="20"/>
          <w:bdr w:val="none" w:sz="0" w:space="0" w:color="auto"/>
          <w:lang w:val="es-ES"/>
        </w:rPr>
        <w:t xml:space="preserve">. </w:t>
      </w:r>
      <w:r w:rsidR="00256794" w:rsidRPr="00A16D62">
        <w:rPr>
          <w:rFonts w:ascii="Cambria" w:eastAsia="Times New Roman" w:hAnsi="Cambria"/>
          <w:bCs/>
          <w:sz w:val="20"/>
          <w:szCs w:val="20"/>
          <w:bdr w:val="none" w:sz="0" w:space="0" w:color="auto"/>
          <w:lang w:val="es-ES"/>
        </w:rPr>
        <w:t>La petición</w:t>
      </w:r>
      <w:r w:rsidR="00510BFE" w:rsidRPr="00A16D62">
        <w:rPr>
          <w:rFonts w:ascii="Cambria" w:eastAsia="Times New Roman" w:hAnsi="Cambria"/>
          <w:bCs/>
          <w:sz w:val="20"/>
          <w:szCs w:val="20"/>
          <w:bdr w:val="none" w:sz="0" w:space="0" w:color="auto"/>
          <w:lang w:val="es-ES"/>
        </w:rPr>
        <w:t xml:space="preserve"> </w:t>
      </w:r>
      <w:r w:rsidR="00B60248" w:rsidRPr="00A16D62">
        <w:rPr>
          <w:rFonts w:ascii="Cambria" w:eastAsia="Times New Roman" w:hAnsi="Cambria"/>
          <w:bCs/>
          <w:sz w:val="20"/>
          <w:szCs w:val="20"/>
          <w:bdr w:val="none" w:sz="0" w:space="0" w:color="auto"/>
          <w:lang w:val="es-ES"/>
        </w:rPr>
        <w:t>fue inscrita como Caso</w:t>
      </w:r>
      <w:r w:rsidR="00510BFE" w:rsidRPr="00A16D62">
        <w:rPr>
          <w:rFonts w:ascii="Cambria" w:eastAsia="Times New Roman" w:hAnsi="Cambria"/>
          <w:bCs/>
          <w:sz w:val="20"/>
          <w:szCs w:val="20"/>
          <w:bdr w:val="none" w:sz="0" w:space="0" w:color="auto"/>
          <w:lang w:val="es-ES"/>
        </w:rPr>
        <w:t xml:space="preserve"> No. 12.834. </w:t>
      </w:r>
    </w:p>
    <w:p w:rsidR="00942264" w:rsidRPr="00A16D62" w:rsidRDefault="00942264" w:rsidP="00942264">
      <w:pPr>
        <w:pStyle w:val="ListParagraph"/>
        <w:rPr>
          <w:rFonts w:eastAsia="Times New Roman"/>
          <w:b/>
          <w:bCs/>
          <w:sz w:val="20"/>
          <w:szCs w:val="20"/>
          <w:bdr w:val="none" w:sz="0" w:space="0" w:color="auto"/>
          <w:lang w:val="es-ES"/>
        </w:rPr>
      </w:pPr>
    </w:p>
    <w:p w:rsidR="00C8715D" w:rsidRPr="00A16D62" w:rsidRDefault="00256794" w:rsidP="0094226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b/>
          <w:bCs/>
          <w:sz w:val="20"/>
          <w:szCs w:val="20"/>
          <w:bdr w:val="none" w:sz="0" w:space="0" w:color="auto"/>
          <w:lang w:val="es-ES"/>
        </w:rPr>
      </w:pPr>
      <w:r w:rsidRPr="00A16D62">
        <w:rPr>
          <w:rFonts w:asciiTheme="majorHAnsi" w:eastAsia="Times New Roman" w:hAnsiTheme="majorHAnsi"/>
          <w:bCs/>
          <w:sz w:val="20"/>
          <w:szCs w:val="20"/>
          <w:bdr w:val="none" w:sz="0" w:space="0" w:color="auto"/>
          <w:lang w:val="es-ES"/>
        </w:rPr>
        <w:t>En el informe de autos</w:t>
      </w:r>
      <w:r w:rsidR="00510BFE" w:rsidRPr="00A16D62">
        <w:rPr>
          <w:rFonts w:asciiTheme="majorHAnsi" w:eastAsia="Times New Roman" w:hAnsiTheme="majorHAnsi"/>
          <w:sz w:val="20"/>
          <w:szCs w:val="20"/>
          <w:bdr w:val="none" w:sz="0" w:space="0" w:color="auto"/>
          <w:lang w:val="es-ES"/>
        </w:rPr>
        <w:t xml:space="preserve">, </w:t>
      </w:r>
      <w:r w:rsidR="00B82822" w:rsidRPr="00A16D62">
        <w:rPr>
          <w:rFonts w:asciiTheme="majorHAnsi" w:eastAsia="Times New Roman" w:hAnsiTheme="majorHAnsi"/>
          <w:sz w:val="20"/>
          <w:szCs w:val="20"/>
          <w:bdr w:val="none" w:sz="0" w:space="0" w:color="auto"/>
          <w:lang w:val="es-ES"/>
        </w:rPr>
        <w:t xml:space="preserve">después de analizar la posición de </w:t>
      </w:r>
      <w:r w:rsidR="00180125" w:rsidRPr="00A16D62">
        <w:rPr>
          <w:rFonts w:asciiTheme="majorHAnsi" w:eastAsia="Times New Roman" w:hAnsiTheme="majorHAnsi"/>
          <w:sz w:val="20"/>
          <w:szCs w:val="20"/>
          <w:bdr w:val="none" w:sz="0" w:space="0" w:color="auto"/>
          <w:lang w:val="es-ES"/>
        </w:rPr>
        <w:t>los peticionarios</w:t>
      </w:r>
      <w:r w:rsidR="00510BFE" w:rsidRPr="00A16D62">
        <w:rPr>
          <w:rFonts w:asciiTheme="majorHAnsi" w:eastAsia="Times New Roman" w:hAnsiTheme="majorHAnsi"/>
          <w:sz w:val="20"/>
          <w:szCs w:val="20"/>
          <w:bdr w:val="none" w:sz="0" w:space="0" w:color="auto"/>
          <w:lang w:val="es-ES"/>
        </w:rPr>
        <w:t xml:space="preserve"> </w:t>
      </w:r>
      <w:r w:rsidR="00B82822" w:rsidRPr="00A16D62">
        <w:rPr>
          <w:rFonts w:asciiTheme="majorHAnsi" w:eastAsia="Times New Roman" w:hAnsiTheme="majorHAnsi"/>
          <w:sz w:val="20"/>
          <w:szCs w:val="20"/>
          <w:bdr w:val="none" w:sz="0" w:space="0" w:color="auto"/>
          <w:lang w:val="es-ES"/>
        </w:rPr>
        <w:t xml:space="preserve">y </w:t>
      </w:r>
      <w:r w:rsidR="00180125" w:rsidRPr="00A16D62">
        <w:rPr>
          <w:rFonts w:asciiTheme="majorHAnsi" w:eastAsia="Times New Roman" w:hAnsiTheme="majorHAnsi"/>
          <w:sz w:val="20"/>
          <w:szCs w:val="20"/>
          <w:bdr w:val="none" w:sz="0" w:space="0" w:color="auto"/>
          <w:lang w:val="es-ES"/>
        </w:rPr>
        <w:t>el Estado</w:t>
      </w:r>
      <w:r w:rsidR="00510BFE" w:rsidRPr="00A16D62">
        <w:rPr>
          <w:rFonts w:asciiTheme="majorHAnsi" w:eastAsia="Times New Roman" w:hAnsiTheme="majorHAnsi"/>
          <w:sz w:val="20"/>
          <w:szCs w:val="20"/>
          <w:bdr w:val="none" w:sz="0" w:space="0" w:color="auto"/>
          <w:lang w:val="es-ES"/>
        </w:rPr>
        <w:t xml:space="preserve">, </w:t>
      </w:r>
      <w:r w:rsidR="00B82822" w:rsidRPr="00A16D62">
        <w:rPr>
          <w:rFonts w:asciiTheme="majorHAnsi" w:eastAsia="Times New Roman" w:hAnsiTheme="majorHAnsi"/>
          <w:sz w:val="20"/>
          <w:szCs w:val="20"/>
          <w:bdr w:val="none" w:sz="0" w:space="0" w:color="auto"/>
          <w:lang w:val="es-ES"/>
        </w:rPr>
        <w:t>así como la información disponible</w:t>
      </w:r>
      <w:r w:rsidR="00510BFE" w:rsidRPr="00A16D62">
        <w:rPr>
          <w:rFonts w:asciiTheme="majorHAnsi" w:eastAsia="Times New Roman" w:hAnsiTheme="majorHAnsi"/>
          <w:sz w:val="20"/>
          <w:szCs w:val="20"/>
          <w:bdr w:val="none" w:sz="0" w:space="0" w:color="auto"/>
          <w:lang w:val="es-ES"/>
        </w:rPr>
        <w:t xml:space="preserve">, </w:t>
      </w:r>
      <w:r w:rsidR="00180125" w:rsidRPr="00A16D62">
        <w:rPr>
          <w:rFonts w:asciiTheme="majorHAnsi" w:eastAsia="Times New Roman" w:hAnsiTheme="majorHAnsi"/>
          <w:sz w:val="20"/>
          <w:szCs w:val="20"/>
          <w:bdr w:val="none" w:sz="0" w:space="0" w:color="auto"/>
          <w:lang w:val="es-ES"/>
        </w:rPr>
        <w:t>la Comisión Interamericana</w:t>
      </w:r>
      <w:r w:rsidR="00510BFE" w:rsidRPr="00A16D62">
        <w:rPr>
          <w:rFonts w:asciiTheme="majorHAnsi" w:eastAsia="Times New Roman" w:hAnsiTheme="majorHAnsi"/>
          <w:sz w:val="20"/>
          <w:szCs w:val="20"/>
          <w:bdr w:val="none" w:sz="0" w:space="0" w:color="auto"/>
          <w:lang w:val="es-ES"/>
        </w:rPr>
        <w:t xml:space="preserve"> conclu</w:t>
      </w:r>
      <w:r w:rsidR="00B82822" w:rsidRPr="00A16D62">
        <w:rPr>
          <w:rFonts w:asciiTheme="majorHAnsi" w:eastAsia="Times New Roman" w:hAnsiTheme="majorHAnsi"/>
          <w:sz w:val="20"/>
          <w:szCs w:val="20"/>
          <w:bdr w:val="none" w:sz="0" w:space="0" w:color="auto"/>
          <w:lang w:val="es-ES"/>
        </w:rPr>
        <w:t xml:space="preserve">ye que </w:t>
      </w:r>
      <w:r w:rsidR="007E4498" w:rsidRPr="00A16D62">
        <w:rPr>
          <w:rFonts w:asciiTheme="majorHAnsi" w:eastAsia="Times New Roman" w:hAnsiTheme="majorHAnsi"/>
          <w:sz w:val="20"/>
          <w:szCs w:val="20"/>
          <w:bdr w:val="none" w:sz="0" w:space="0" w:color="auto"/>
          <w:lang w:val="es-ES"/>
        </w:rPr>
        <w:t>Estados Unidos</w:t>
      </w:r>
      <w:r w:rsidR="00510BFE" w:rsidRPr="00A16D62">
        <w:rPr>
          <w:rFonts w:asciiTheme="majorHAnsi" w:eastAsia="Times New Roman" w:hAnsiTheme="majorHAnsi"/>
          <w:sz w:val="20"/>
          <w:szCs w:val="20"/>
          <w:bdr w:val="none" w:sz="0" w:space="0" w:color="auto"/>
          <w:lang w:val="es-ES"/>
        </w:rPr>
        <w:t xml:space="preserve"> </w:t>
      </w:r>
      <w:r w:rsidR="00B82822" w:rsidRPr="00A16D62">
        <w:rPr>
          <w:rFonts w:asciiTheme="majorHAnsi" w:eastAsia="Times New Roman" w:hAnsiTheme="majorHAnsi"/>
          <w:sz w:val="20"/>
          <w:szCs w:val="20"/>
          <w:bdr w:val="none" w:sz="0" w:space="0" w:color="auto"/>
          <w:lang w:val="es-ES"/>
        </w:rPr>
        <w:t xml:space="preserve">violó los </w:t>
      </w:r>
      <w:r w:rsidR="00811F92" w:rsidRPr="00A16D62">
        <w:rPr>
          <w:rFonts w:asciiTheme="majorHAnsi" w:eastAsia="Times New Roman" w:hAnsiTheme="majorHAnsi"/>
          <w:sz w:val="20"/>
          <w:szCs w:val="20"/>
          <w:bdr w:val="none" w:sz="0" w:space="0" w:color="auto"/>
          <w:lang w:val="es-ES"/>
        </w:rPr>
        <w:t>artículo</w:t>
      </w:r>
      <w:r w:rsidR="003D5DE1" w:rsidRPr="00A16D62">
        <w:rPr>
          <w:rFonts w:asciiTheme="majorHAnsi" w:eastAsia="Times New Roman" w:hAnsiTheme="majorHAnsi"/>
          <w:sz w:val="20"/>
          <w:szCs w:val="20"/>
          <w:bdr w:val="none" w:sz="0" w:space="0" w:color="auto"/>
          <w:lang w:val="es-ES"/>
        </w:rPr>
        <w:t xml:space="preserve">s II </w:t>
      </w:r>
      <w:r w:rsidR="00B82822" w:rsidRPr="00A16D62">
        <w:rPr>
          <w:rFonts w:asciiTheme="majorHAnsi" w:eastAsia="Times New Roman" w:hAnsiTheme="majorHAnsi"/>
          <w:sz w:val="20"/>
          <w:szCs w:val="20"/>
          <w:bdr w:val="none" w:sz="0" w:space="0" w:color="auto"/>
          <w:lang w:val="es-ES"/>
        </w:rPr>
        <w:t>y</w:t>
      </w:r>
      <w:r w:rsidR="003D5DE1" w:rsidRPr="00A16D62">
        <w:rPr>
          <w:rFonts w:asciiTheme="majorHAnsi" w:eastAsia="Times New Roman" w:hAnsiTheme="majorHAnsi"/>
          <w:sz w:val="20"/>
          <w:szCs w:val="20"/>
          <w:bdr w:val="none" w:sz="0" w:space="0" w:color="auto"/>
          <w:lang w:val="es-ES"/>
        </w:rPr>
        <w:t xml:space="preserve"> XVI</w:t>
      </w:r>
      <w:r w:rsidR="00510BFE" w:rsidRPr="00A16D62">
        <w:rPr>
          <w:rFonts w:asciiTheme="majorHAnsi" w:eastAsia="Times New Roman" w:hAnsiTheme="majorHAnsi"/>
          <w:sz w:val="20"/>
          <w:szCs w:val="20"/>
          <w:bdr w:val="none" w:sz="0" w:space="0" w:color="auto"/>
          <w:lang w:val="es-ES"/>
        </w:rPr>
        <w:t xml:space="preserve"> </w:t>
      </w:r>
      <w:r w:rsidR="00B82822" w:rsidRPr="00A16D62">
        <w:rPr>
          <w:rFonts w:asciiTheme="majorHAnsi" w:eastAsia="Times New Roman" w:hAnsiTheme="majorHAnsi"/>
          <w:sz w:val="20"/>
          <w:szCs w:val="20"/>
          <w:bdr w:val="none" w:sz="0" w:space="0" w:color="auto"/>
          <w:lang w:val="es-ES"/>
        </w:rPr>
        <w:t xml:space="preserve">de la </w:t>
      </w:r>
      <w:r w:rsidR="00811F92" w:rsidRPr="00A16D62">
        <w:rPr>
          <w:rFonts w:asciiTheme="majorHAnsi" w:eastAsia="Times New Roman" w:hAnsiTheme="majorHAnsi"/>
          <w:sz w:val="20"/>
          <w:szCs w:val="20"/>
          <w:bdr w:val="none" w:sz="0" w:space="0" w:color="auto"/>
          <w:lang w:val="es-ES"/>
        </w:rPr>
        <w:t>Declaración Americana</w:t>
      </w:r>
      <w:r w:rsidR="00510BFE" w:rsidRPr="00A16D62">
        <w:rPr>
          <w:rFonts w:asciiTheme="majorHAnsi" w:eastAsia="Times New Roman" w:hAnsiTheme="majorHAnsi"/>
          <w:sz w:val="20"/>
          <w:szCs w:val="20"/>
          <w:bdr w:val="none" w:sz="0" w:space="0" w:color="auto"/>
          <w:lang w:val="es-ES"/>
        </w:rPr>
        <w:t xml:space="preserve"> </w:t>
      </w:r>
      <w:r w:rsidR="00B82822" w:rsidRPr="00A16D62">
        <w:rPr>
          <w:rFonts w:asciiTheme="majorHAnsi" w:eastAsia="Times New Roman" w:hAnsiTheme="majorHAnsi"/>
          <w:sz w:val="20"/>
          <w:szCs w:val="20"/>
          <w:bdr w:val="none" w:sz="0" w:space="0" w:color="auto"/>
          <w:lang w:val="es-ES"/>
        </w:rPr>
        <w:t>en lo que respecta a</w:t>
      </w:r>
      <w:r w:rsidR="00510BFE" w:rsidRPr="00A16D62">
        <w:rPr>
          <w:rFonts w:asciiTheme="majorHAnsi" w:eastAsia="Times New Roman" w:hAnsiTheme="majorHAnsi"/>
          <w:sz w:val="20"/>
          <w:szCs w:val="20"/>
          <w:bdr w:val="none" w:sz="0" w:space="0" w:color="auto"/>
          <w:lang w:val="es-ES"/>
        </w:rPr>
        <w:t xml:space="preserve"> </w:t>
      </w:r>
      <w:r w:rsidR="00510BFE" w:rsidRPr="00A16D62">
        <w:rPr>
          <w:rFonts w:asciiTheme="majorHAnsi" w:eastAsia="Times New Roman" w:hAnsiTheme="majorHAnsi"/>
          <w:bCs/>
          <w:sz w:val="20"/>
          <w:szCs w:val="20"/>
          <w:bdr w:val="none" w:sz="0" w:space="0" w:color="auto"/>
          <w:lang w:val="es-ES"/>
        </w:rPr>
        <w:t xml:space="preserve">Leopoldo Zumaya </w:t>
      </w:r>
      <w:r w:rsidR="00B82822" w:rsidRPr="00A16D62">
        <w:rPr>
          <w:rFonts w:asciiTheme="majorHAnsi" w:eastAsia="Times New Roman" w:hAnsiTheme="majorHAnsi"/>
          <w:bCs/>
          <w:sz w:val="20"/>
          <w:szCs w:val="20"/>
          <w:bdr w:val="none" w:sz="0" w:space="0" w:color="auto"/>
          <w:lang w:val="es-ES"/>
        </w:rPr>
        <w:t>y</w:t>
      </w:r>
      <w:r w:rsidR="00510BFE" w:rsidRPr="00A16D62">
        <w:rPr>
          <w:rFonts w:asciiTheme="majorHAnsi" w:eastAsia="Times New Roman" w:hAnsiTheme="majorHAnsi"/>
          <w:bCs/>
          <w:sz w:val="20"/>
          <w:szCs w:val="20"/>
          <w:bdr w:val="none" w:sz="0" w:space="0" w:color="auto"/>
          <w:lang w:val="es-ES"/>
        </w:rPr>
        <w:t xml:space="preserve"> Francisco Berumen Lizalde</w:t>
      </w:r>
      <w:r w:rsidR="00B82822" w:rsidRPr="00A16D62">
        <w:rPr>
          <w:rFonts w:asciiTheme="majorHAnsi" w:eastAsia="Times New Roman" w:hAnsiTheme="majorHAnsi"/>
          <w:bCs/>
          <w:sz w:val="20"/>
          <w:szCs w:val="20"/>
          <w:bdr w:val="none" w:sz="0" w:space="0" w:color="auto"/>
          <w:lang w:val="es-ES"/>
        </w:rPr>
        <w:t xml:space="preserve">, así como los derechos del señor </w:t>
      </w:r>
      <w:r w:rsidR="003D5DE1" w:rsidRPr="00A16D62">
        <w:rPr>
          <w:rFonts w:asciiTheme="majorHAnsi" w:eastAsia="Times New Roman" w:hAnsiTheme="majorHAnsi"/>
          <w:bCs/>
          <w:sz w:val="20"/>
          <w:szCs w:val="20"/>
          <w:bdr w:val="none" w:sz="0" w:space="0" w:color="auto"/>
          <w:lang w:val="es-ES"/>
        </w:rPr>
        <w:t>Lizalde</w:t>
      </w:r>
      <w:r w:rsidR="00B82822" w:rsidRPr="00A16D62">
        <w:rPr>
          <w:rFonts w:asciiTheme="majorHAnsi" w:eastAsia="Times New Roman" w:hAnsiTheme="majorHAnsi"/>
          <w:bCs/>
          <w:sz w:val="20"/>
          <w:szCs w:val="20"/>
          <w:bdr w:val="none" w:sz="0" w:space="0" w:color="auto"/>
          <w:lang w:val="es-ES"/>
        </w:rPr>
        <w:t xml:space="preserve"> amparados por los </w:t>
      </w:r>
      <w:r w:rsidR="00811F92" w:rsidRPr="00A16D62">
        <w:rPr>
          <w:rFonts w:asciiTheme="majorHAnsi" w:eastAsia="Times New Roman" w:hAnsiTheme="majorHAnsi"/>
          <w:bCs/>
          <w:sz w:val="20"/>
          <w:szCs w:val="20"/>
          <w:bdr w:val="none" w:sz="0" w:space="0" w:color="auto"/>
          <w:lang w:val="es-ES"/>
        </w:rPr>
        <w:t>artículo</w:t>
      </w:r>
      <w:r w:rsidR="003D5DE1" w:rsidRPr="00A16D62">
        <w:rPr>
          <w:rFonts w:asciiTheme="majorHAnsi" w:eastAsia="Times New Roman" w:hAnsiTheme="majorHAnsi"/>
          <w:bCs/>
          <w:sz w:val="20"/>
          <w:szCs w:val="20"/>
          <w:bdr w:val="none" w:sz="0" w:space="0" w:color="auto"/>
          <w:lang w:val="es-ES"/>
        </w:rPr>
        <w:t>s</w:t>
      </w:r>
      <w:r w:rsidR="003D5DE1" w:rsidRPr="00A16D62">
        <w:rPr>
          <w:rFonts w:asciiTheme="majorHAnsi" w:eastAsia="Times New Roman" w:hAnsiTheme="majorHAnsi"/>
          <w:sz w:val="20"/>
          <w:szCs w:val="20"/>
          <w:bdr w:val="none" w:sz="0" w:space="0" w:color="auto"/>
          <w:lang w:val="es-ES"/>
        </w:rPr>
        <w:t xml:space="preserve"> XVII and XVIII</w:t>
      </w:r>
      <w:r w:rsidR="003D5DE1" w:rsidRPr="00A16D62">
        <w:rPr>
          <w:rFonts w:asciiTheme="majorHAnsi" w:eastAsia="Times New Roman" w:hAnsiTheme="majorHAnsi"/>
          <w:bCs/>
          <w:sz w:val="20"/>
          <w:szCs w:val="20"/>
          <w:bdr w:val="none" w:sz="0" w:space="0" w:color="auto"/>
          <w:lang w:val="es-ES"/>
        </w:rPr>
        <w:t xml:space="preserve">. </w:t>
      </w:r>
      <w:r w:rsidR="00B82822" w:rsidRPr="00A16D62">
        <w:rPr>
          <w:rFonts w:asciiTheme="majorHAnsi" w:eastAsia="Times New Roman" w:hAnsiTheme="majorHAnsi"/>
          <w:bCs/>
          <w:sz w:val="20"/>
          <w:szCs w:val="20"/>
          <w:bdr w:val="none" w:sz="0" w:space="0" w:color="auto"/>
          <w:lang w:val="es-ES"/>
        </w:rPr>
        <w:t xml:space="preserve">Por consiguiente, recomienda </w:t>
      </w:r>
      <w:r w:rsidR="005526DF" w:rsidRPr="00A16D62">
        <w:rPr>
          <w:rFonts w:asciiTheme="majorHAnsi" w:eastAsia="Times New Roman" w:hAnsiTheme="majorHAnsi"/>
          <w:bCs/>
          <w:sz w:val="20"/>
          <w:szCs w:val="20"/>
          <w:bdr w:val="none" w:sz="0" w:space="0" w:color="auto"/>
          <w:lang w:val="es-ES"/>
        </w:rPr>
        <w:t>a</w:t>
      </w:r>
      <w:r w:rsidR="00180125" w:rsidRPr="00A16D62">
        <w:rPr>
          <w:rFonts w:asciiTheme="majorHAnsi" w:eastAsia="Times New Roman" w:hAnsiTheme="majorHAnsi"/>
          <w:bCs/>
          <w:sz w:val="20"/>
          <w:szCs w:val="20"/>
          <w:bdr w:val="none" w:sz="0" w:space="0" w:color="auto"/>
          <w:lang w:val="es-ES"/>
        </w:rPr>
        <w:t>l Estado</w:t>
      </w:r>
      <w:r w:rsidR="00B82822" w:rsidRPr="00A16D62">
        <w:rPr>
          <w:rFonts w:asciiTheme="majorHAnsi" w:eastAsia="Times New Roman" w:hAnsiTheme="majorHAnsi"/>
          <w:bCs/>
          <w:sz w:val="20"/>
          <w:szCs w:val="20"/>
          <w:bdr w:val="none" w:sz="0" w:space="0" w:color="auto"/>
          <w:lang w:val="es-ES"/>
        </w:rPr>
        <w:t xml:space="preserve"> </w:t>
      </w:r>
      <w:r w:rsidR="005526DF" w:rsidRPr="00A16D62">
        <w:rPr>
          <w:rFonts w:asciiTheme="majorHAnsi" w:eastAsia="Times New Roman" w:hAnsiTheme="majorHAnsi"/>
          <w:bCs/>
          <w:sz w:val="20"/>
          <w:szCs w:val="20"/>
          <w:bdr w:val="none" w:sz="0" w:space="0" w:color="auto"/>
          <w:lang w:val="es-ES"/>
        </w:rPr>
        <w:t xml:space="preserve">que </w:t>
      </w:r>
      <w:r w:rsidR="001069EB" w:rsidRPr="00A16D62">
        <w:rPr>
          <w:rFonts w:asciiTheme="majorHAnsi" w:eastAsia="Times New Roman" w:hAnsiTheme="majorHAnsi"/>
          <w:bCs/>
          <w:sz w:val="20"/>
          <w:szCs w:val="20"/>
          <w:bdr w:val="none" w:sz="0" w:space="0" w:color="auto"/>
          <w:lang w:val="es-ES"/>
        </w:rPr>
        <w:t>otorgue</w:t>
      </w:r>
      <w:r w:rsidR="00B82822" w:rsidRPr="00A16D62">
        <w:rPr>
          <w:rFonts w:asciiTheme="majorHAnsi" w:eastAsia="Times New Roman" w:hAnsiTheme="majorHAnsi"/>
          <w:bCs/>
          <w:sz w:val="20"/>
          <w:szCs w:val="20"/>
          <w:bdr w:val="none" w:sz="0" w:space="0" w:color="auto"/>
          <w:lang w:val="es-ES"/>
        </w:rPr>
        <w:t xml:space="preserve"> a los señores </w:t>
      </w:r>
      <w:r w:rsidR="00942264" w:rsidRPr="00A16D62">
        <w:rPr>
          <w:rFonts w:asciiTheme="majorHAnsi" w:eastAsia="Times New Roman" w:hAnsiTheme="majorHAnsi"/>
          <w:bCs/>
          <w:sz w:val="20"/>
          <w:szCs w:val="20"/>
          <w:bdr w:val="none" w:sz="0" w:space="0" w:color="auto"/>
          <w:lang w:val="es-ES"/>
        </w:rPr>
        <w:t xml:space="preserve">Zumaya </w:t>
      </w:r>
      <w:r w:rsidR="00B82822" w:rsidRPr="00A16D62">
        <w:rPr>
          <w:rFonts w:asciiTheme="majorHAnsi" w:eastAsia="Times New Roman" w:hAnsiTheme="majorHAnsi"/>
          <w:bCs/>
          <w:sz w:val="20"/>
          <w:szCs w:val="20"/>
          <w:bdr w:val="none" w:sz="0" w:space="0" w:color="auto"/>
          <w:lang w:val="es-ES"/>
        </w:rPr>
        <w:t>y</w:t>
      </w:r>
      <w:r w:rsidR="00942264" w:rsidRPr="00A16D62">
        <w:rPr>
          <w:rFonts w:asciiTheme="majorHAnsi" w:eastAsia="Times New Roman" w:hAnsiTheme="majorHAnsi"/>
          <w:bCs/>
          <w:sz w:val="20"/>
          <w:szCs w:val="20"/>
          <w:bdr w:val="none" w:sz="0" w:space="0" w:color="auto"/>
          <w:lang w:val="es-ES"/>
        </w:rPr>
        <w:t xml:space="preserve"> Lizalde </w:t>
      </w:r>
      <w:r w:rsidR="00B82822" w:rsidRPr="00A16D62">
        <w:rPr>
          <w:rFonts w:asciiTheme="majorHAnsi" w:eastAsia="Times New Roman" w:hAnsiTheme="majorHAnsi"/>
          <w:bCs/>
          <w:sz w:val="20"/>
          <w:szCs w:val="20"/>
          <w:bdr w:val="none" w:sz="0" w:space="0" w:color="auto"/>
          <w:lang w:val="es-ES"/>
        </w:rPr>
        <w:t xml:space="preserve">una compensación pecuniaria adecuada para reparar las violaciones que se confirman en el presente </w:t>
      </w:r>
      <w:r w:rsidR="00FD38E3" w:rsidRPr="00A16D62">
        <w:rPr>
          <w:rFonts w:asciiTheme="majorHAnsi" w:eastAsia="Times New Roman" w:hAnsiTheme="majorHAnsi"/>
          <w:bCs/>
          <w:sz w:val="20"/>
          <w:szCs w:val="20"/>
          <w:bdr w:val="none" w:sz="0" w:space="0" w:color="auto"/>
          <w:lang w:val="es-ES"/>
        </w:rPr>
        <w:t>informe</w:t>
      </w:r>
      <w:r w:rsidR="00942264" w:rsidRPr="00A16D62">
        <w:rPr>
          <w:rFonts w:asciiTheme="majorHAnsi" w:eastAsia="Times New Roman" w:hAnsiTheme="majorHAnsi"/>
          <w:bCs/>
          <w:sz w:val="20"/>
          <w:szCs w:val="20"/>
          <w:bdr w:val="none" w:sz="0" w:space="0" w:color="auto"/>
          <w:lang w:val="es-ES"/>
        </w:rPr>
        <w:t xml:space="preserve">; </w:t>
      </w:r>
      <w:r w:rsidR="005526DF" w:rsidRPr="00A16D62">
        <w:rPr>
          <w:rFonts w:asciiTheme="majorHAnsi" w:eastAsia="Times New Roman" w:hAnsiTheme="majorHAnsi"/>
          <w:bCs/>
          <w:sz w:val="20"/>
          <w:szCs w:val="20"/>
          <w:bdr w:val="none" w:sz="0" w:space="0" w:color="auto"/>
          <w:lang w:val="es-ES"/>
        </w:rPr>
        <w:t xml:space="preserve">que </w:t>
      </w:r>
      <w:r w:rsidR="00B82822" w:rsidRPr="00A16D62">
        <w:rPr>
          <w:rFonts w:asciiTheme="majorHAnsi" w:eastAsia="Times New Roman" w:hAnsiTheme="majorHAnsi"/>
          <w:bCs/>
          <w:sz w:val="20"/>
          <w:szCs w:val="20"/>
          <w:bdr w:val="none" w:sz="0" w:space="0" w:color="auto"/>
          <w:lang w:val="es-ES"/>
        </w:rPr>
        <w:t xml:space="preserve">asegure que todas las leyes y políticas </w:t>
      </w:r>
      <w:r w:rsidR="00BF457B" w:rsidRPr="00A16D62">
        <w:rPr>
          <w:rFonts w:asciiTheme="majorHAnsi" w:eastAsia="Calibri" w:hAnsiTheme="majorHAnsi"/>
          <w:sz w:val="20"/>
          <w:szCs w:val="22"/>
          <w:bdr w:val="none" w:sz="0" w:space="0" w:color="auto"/>
          <w:lang w:val="es-ES"/>
        </w:rPr>
        <w:t>federal</w:t>
      </w:r>
      <w:r w:rsidR="00B82822" w:rsidRPr="00A16D62">
        <w:rPr>
          <w:rFonts w:asciiTheme="majorHAnsi" w:eastAsia="Calibri" w:hAnsiTheme="majorHAnsi"/>
          <w:sz w:val="20"/>
          <w:szCs w:val="22"/>
          <w:bdr w:val="none" w:sz="0" w:space="0" w:color="auto"/>
          <w:lang w:val="es-ES"/>
        </w:rPr>
        <w:t xml:space="preserve">es y estatales, </w:t>
      </w:r>
      <w:r w:rsidR="00762C69" w:rsidRPr="00A16D62">
        <w:rPr>
          <w:rFonts w:asciiTheme="majorHAnsi" w:eastAsia="Calibri" w:hAnsiTheme="majorHAnsi"/>
          <w:sz w:val="20"/>
          <w:szCs w:val="22"/>
          <w:bdr w:val="none" w:sz="0" w:space="0" w:color="auto"/>
          <w:lang w:val="es-ES"/>
        </w:rPr>
        <w:t xml:space="preserve">en sí mismas </w:t>
      </w:r>
      <w:r w:rsidR="00460666" w:rsidRPr="00A16D62">
        <w:rPr>
          <w:rFonts w:asciiTheme="majorHAnsi" w:eastAsia="Calibri" w:hAnsiTheme="majorHAnsi"/>
          <w:sz w:val="20"/>
          <w:szCs w:val="22"/>
          <w:bdr w:val="none" w:sz="0" w:space="0" w:color="auto"/>
          <w:lang w:val="es-ES"/>
        </w:rPr>
        <w:t xml:space="preserve">y en la práctica, prohíban toda distinción en el empleo y los </w:t>
      </w:r>
      <w:r w:rsidR="00593BF9" w:rsidRPr="00A16D62">
        <w:rPr>
          <w:rFonts w:asciiTheme="majorHAnsi" w:eastAsia="Calibri" w:hAnsiTheme="majorHAnsi"/>
          <w:sz w:val="20"/>
          <w:szCs w:val="22"/>
          <w:bdr w:val="none" w:sz="0" w:space="0" w:color="auto"/>
          <w:lang w:val="es-ES"/>
        </w:rPr>
        <w:t>derechos laborales</w:t>
      </w:r>
      <w:r w:rsidR="00BF457B" w:rsidRPr="00A16D62">
        <w:rPr>
          <w:rFonts w:asciiTheme="majorHAnsi" w:eastAsia="Calibri" w:hAnsiTheme="majorHAnsi"/>
          <w:sz w:val="20"/>
          <w:szCs w:val="22"/>
          <w:bdr w:val="none" w:sz="0" w:space="0" w:color="auto"/>
          <w:lang w:val="es-ES"/>
        </w:rPr>
        <w:t xml:space="preserve"> bas</w:t>
      </w:r>
      <w:r w:rsidR="00460666" w:rsidRPr="00A16D62">
        <w:rPr>
          <w:rFonts w:asciiTheme="majorHAnsi" w:eastAsia="Calibri" w:hAnsiTheme="majorHAnsi"/>
          <w:sz w:val="20"/>
          <w:szCs w:val="22"/>
          <w:bdr w:val="none" w:sz="0" w:space="0" w:color="auto"/>
          <w:lang w:val="es-ES"/>
        </w:rPr>
        <w:t>ada en la</w:t>
      </w:r>
      <w:r w:rsidR="00BF457B" w:rsidRPr="00A16D62">
        <w:rPr>
          <w:rFonts w:asciiTheme="majorHAnsi" w:eastAsia="Calibri" w:hAnsiTheme="majorHAnsi"/>
          <w:sz w:val="20"/>
          <w:szCs w:val="22"/>
          <w:bdr w:val="none" w:sz="0" w:space="0" w:color="auto"/>
          <w:lang w:val="es-ES"/>
        </w:rPr>
        <w:t xml:space="preserve"> </w:t>
      </w:r>
      <w:r w:rsidR="00521A6A" w:rsidRPr="00A16D62">
        <w:rPr>
          <w:rFonts w:asciiTheme="majorHAnsi" w:eastAsia="Calibri" w:hAnsiTheme="majorHAnsi"/>
          <w:sz w:val="20"/>
          <w:szCs w:val="22"/>
          <w:bdr w:val="none" w:sz="0" w:space="0" w:color="auto"/>
          <w:lang w:val="es-ES"/>
        </w:rPr>
        <w:t>situación migratoria</w:t>
      </w:r>
      <w:r w:rsidR="00C46BFB" w:rsidRPr="00A16D62">
        <w:rPr>
          <w:rFonts w:asciiTheme="majorHAnsi" w:eastAsia="Calibri" w:hAnsiTheme="majorHAnsi"/>
          <w:sz w:val="20"/>
          <w:szCs w:val="22"/>
          <w:bdr w:val="none" w:sz="0" w:space="0" w:color="auto"/>
          <w:lang w:val="es-ES"/>
        </w:rPr>
        <w:t xml:space="preserve"> </w:t>
      </w:r>
      <w:r w:rsidR="00460666" w:rsidRPr="00A16D62">
        <w:rPr>
          <w:rFonts w:asciiTheme="majorHAnsi" w:eastAsia="Calibri" w:hAnsiTheme="majorHAnsi"/>
          <w:sz w:val="20"/>
          <w:szCs w:val="22"/>
          <w:bdr w:val="none" w:sz="0" w:space="0" w:color="auto"/>
          <w:lang w:val="es-ES"/>
        </w:rPr>
        <w:t xml:space="preserve">y la </w:t>
      </w:r>
      <w:r w:rsidR="00B82822" w:rsidRPr="00A16D62">
        <w:rPr>
          <w:rFonts w:asciiTheme="majorHAnsi" w:eastAsia="Calibri" w:hAnsiTheme="majorHAnsi"/>
          <w:sz w:val="20"/>
          <w:szCs w:val="22"/>
          <w:bdr w:val="none" w:sz="0" w:space="0" w:color="auto"/>
          <w:lang w:val="es-ES"/>
        </w:rPr>
        <w:t>autorización para trabajar</w:t>
      </w:r>
      <w:r w:rsidR="00460666" w:rsidRPr="00A16D62">
        <w:rPr>
          <w:rFonts w:asciiTheme="majorHAnsi" w:eastAsia="Calibri" w:hAnsiTheme="majorHAnsi"/>
          <w:sz w:val="20"/>
          <w:szCs w:val="22"/>
          <w:bdr w:val="none" w:sz="0" w:space="0" w:color="auto"/>
          <w:lang w:val="es-ES"/>
        </w:rPr>
        <w:t xml:space="preserve"> después que una persona comienza a trabajar como empleado</w:t>
      </w:r>
      <w:r w:rsidR="00BF457B" w:rsidRPr="00A16D62">
        <w:rPr>
          <w:rFonts w:asciiTheme="majorHAnsi" w:eastAsia="Calibri" w:hAnsiTheme="majorHAnsi"/>
          <w:sz w:val="20"/>
          <w:szCs w:val="22"/>
          <w:bdr w:val="none" w:sz="0" w:space="0" w:color="auto"/>
          <w:lang w:val="es-ES"/>
        </w:rPr>
        <w:t xml:space="preserve">; </w:t>
      </w:r>
      <w:r w:rsidR="005526DF" w:rsidRPr="00A16D62">
        <w:rPr>
          <w:rFonts w:asciiTheme="majorHAnsi" w:eastAsia="Calibri" w:hAnsiTheme="majorHAnsi"/>
          <w:sz w:val="20"/>
          <w:szCs w:val="22"/>
          <w:bdr w:val="none" w:sz="0" w:space="0" w:color="auto"/>
          <w:lang w:val="es-ES"/>
        </w:rPr>
        <w:t xml:space="preserve">que </w:t>
      </w:r>
      <w:r w:rsidR="00BF457B" w:rsidRPr="00A16D62">
        <w:rPr>
          <w:rFonts w:asciiTheme="majorHAnsi" w:eastAsia="Times New Roman" w:hAnsiTheme="majorHAnsi"/>
          <w:bCs/>
          <w:sz w:val="20"/>
          <w:szCs w:val="20"/>
          <w:bdr w:val="none" w:sz="0" w:space="0" w:color="auto"/>
          <w:lang w:val="es-ES"/>
        </w:rPr>
        <w:t>proh</w:t>
      </w:r>
      <w:r w:rsidR="00460666" w:rsidRPr="00A16D62">
        <w:rPr>
          <w:rFonts w:asciiTheme="majorHAnsi" w:eastAsia="Times New Roman" w:hAnsiTheme="majorHAnsi"/>
          <w:bCs/>
          <w:sz w:val="20"/>
          <w:szCs w:val="20"/>
          <w:bdr w:val="none" w:sz="0" w:space="0" w:color="auto"/>
          <w:lang w:val="es-ES"/>
        </w:rPr>
        <w:t xml:space="preserve">íba que el empleador haga averiguaciones sobre la </w:t>
      </w:r>
      <w:r w:rsidR="00521A6A" w:rsidRPr="00A16D62">
        <w:rPr>
          <w:rFonts w:asciiTheme="majorHAnsi" w:eastAsia="Times New Roman" w:hAnsiTheme="majorHAnsi"/>
          <w:bCs/>
          <w:sz w:val="20"/>
          <w:szCs w:val="20"/>
          <w:bdr w:val="none" w:sz="0" w:space="0" w:color="auto"/>
          <w:lang w:val="es-ES"/>
        </w:rPr>
        <w:t>situación migratoria</w:t>
      </w:r>
      <w:r w:rsidR="00BF457B" w:rsidRPr="00A16D62">
        <w:rPr>
          <w:rFonts w:asciiTheme="majorHAnsi" w:eastAsia="Times New Roman" w:hAnsiTheme="majorHAnsi"/>
          <w:bCs/>
          <w:sz w:val="20"/>
          <w:szCs w:val="20"/>
          <w:bdr w:val="none" w:sz="0" w:space="0" w:color="auto"/>
          <w:lang w:val="es-ES"/>
        </w:rPr>
        <w:t xml:space="preserve"> </w:t>
      </w:r>
      <w:r w:rsidR="00460666" w:rsidRPr="00A16D62">
        <w:rPr>
          <w:rFonts w:asciiTheme="majorHAnsi" w:eastAsia="Times New Roman" w:hAnsiTheme="majorHAnsi"/>
          <w:bCs/>
          <w:sz w:val="20"/>
          <w:szCs w:val="20"/>
          <w:bdr w:val="none" w:sz="0" w:space="0" w:color="auto"/>
          <w:lang w:val="es-ES"/>
        </w:rPr>
        <w:t xml:space="preserve">de un trabajador que esté haciendo valer sus derechos de empleo y sus </w:t>
      </w:r>
      <w:r w:rsidR="00593BF9" w:rsidRPr="00A16D62">
        <w:rPr>
          <w:rFonts w:asciiTheme="majorHAnsi" w:eastAsia="Times New Roman" w:hAnsiTheme="majorHAnsi"/>
          <w:bCs/>
          <w:sz w:val="20"/>
          <w:szCs w:val="20"/>
          <w:bdr w:val="none" w:sz="0" w:space="0" w:color="auto"/>
          <w:lang w:val="es-ES"/>
        </w:rPr>
        <w:t>derechos laborales</w:t>
      </w:r>
      <w:r w:rsidR="00BF457B" w:rsidRPr="00A16D62">
        <w:rPr>
          <w:rFonts w:asciiTheme="majorHAnsi" w:eastAsia="Times New Roman" w:hAnsiTheme="majorHAnsi"/>
          <w:bCs/>
          <w:sz w:val="20"/>
          <w:szCs w:val="20"/>
          <w:bdr w:val="none" w:sz="0" w:space="0" w:color="auto"/>
          <w:lang w:val="es-ES"/>
        </w:rPr>
        <w:t xml:space="preserve"> </w:t>
      </w:r>
      <w:r w:rsidR="00460666" w:rsidRPr="00A16D62">
        <w:rPr>
          <w:rFonts w:asciiTheme="majorHAnsi" w:eastAsia="Times New Roman" w:hAnsiTheme="majorHAnsi"/>
          <w:bCs/>
          <w:sz w:val="20"/>
          <w:szCs w:val="20"/>
          <w:bdr w:val="none" w:sz="0" w:space="0" w:color="auto"/>
          <w:lang w:val="es-ES"/>
        </w:rPr>
        <w:t>en un litigio o en reclamo</w:t>
      </w:r>
      <w:r w:rsidR="005526DF" w:rsidRPr="00A16D62">
        <w:rPr>
          <w:rFonts w:asciiTheme="majorHAnsi" w:eastAsia="Times New Roman" w:hAnsiTheme="majorHAnsi"/>
          <w:bCs/>
          <w:sz w:val="20"/>
          <w:szCs w:val="20"/>
          <w:bdr w:val="none" w:sz="0" w:space="0" w:color="auto"/>
          <w:lang w:val="es-ES"/>
        </w:rPr>
        <w:t>s</w:t>
      </w:r>
      <w:r w:rsidR="00460666" w:rsidRPr="00A16D62">
        <w:rPr>
          <w:rFonts w:asciiTheme="majorHAnsi" w:eastAsia="Times New Roman" w:hAnsiTheme="majorHAnsi"/>
          <w:bCs/>
          <w:sz w:val="20"/>
          <w:szCs w:val="20"/>
          <w:bdr w:val="none" w:sz="0" w:space="0" w:color="auto"/>
          <w:lang w:val="es-ES"/>
        </w:rPr>
        <w:t xml:space="preserve"> administrativo</w:t>
      </w:r>
      <w:r w:rsidR="005526DF" w:rsidRPr="00A16D62">
        <w:rPr>
          <w:rFonts w:asciiTheme="majorHAnsi" w:eastAsia="Times New Roman" w:hAnsiTheme="majorHAnsi"/>
          <w:bCs/>
          <w:sz w:val="20"/>
          <w:szCs w:val="20"/>
          <w:bdr w:val="none" w:sz="0" w:space="0" w:color="auto"/>
          <w:lang w:val="es-ES"/>
        </w:rPr>
        <w:t>s</w:t>
      </w:r>
      <w:r w:rsidR="00460666" w:rsidRPr="00A16D62">
        <w:rPr>
          <w:rFonts w:asciiTheme="majorHAnsi" w:eastAsia="Times New Roman" w:hAnsiTheme="majorHAnsi"/>
          <w:bCs/>
          <w:sz w:val="20"/>
          <w:szCs w:val="20"/>
          <w:bdr w:val="none" w:sz="0" w:space="0" w:color="auto"/>
          <w:lang w:val="es-ES"/>
        </w:rPr>
        <w:t xml:space="preserve">; </w:t>
      </w:r>
      <w:r w:rsidR="005526DF" w:rsidRPr="00A16D62">
        <w:rPr>
          <w:rFonts w:asciiTheme="majorHAnsi" w:eastAsia="Times New Roman" w:hAnsiTheme="majorHAnsi"/>
          <w:bCs/>
          <w:sz w:val="20"/>
          <w:szCs w:val="20"/>
          <w:bdr w:val="none" w:sz="0" w:space="0" w:color="auto"/>
          <w:lang w:val="es-ES"/>
        </w:rPr>
        <w:t xml:space="preserve">que asegure que a los </w:t>
      </w:r>
      <w:r w:rsidR="00C038BF" w:rsidRPr="00A16D62">
        <w:rPr>
          <w:rFonts w:asciiTheme="majorHAnsi" w:eastAsia="Times New Roman" w:hAnsiTheme="majorHAnsi"/>
          <w:bCs/>
          <w:sz w:val="20"/>
          <w:szCs w:val="20"/>
          <w:bdr w:val="none" w:sz="0" w:space="0" w:color="auto"/>
          <w:lang w:val="es-ES"/>
        </w:rPr>
        <w:t>trabajadores indocumentados</w:t>
      </w:r>
      <w:r w:rsidR="00BF457B" w:rsidRPr="00A16D62">
        <w:rPr>
          <w:rFonts w:asciiTheme="majorHAnsi" w:eastAsia="Times New Roman" w:hAnsiTheme="majorHAnsi"/>
          <w:bCs/>
          <w:sz w:val="20"/>
          <w:szCs w:val="20"/>
          <w:bdr w:val="none" w:sz="0" w:space="0" w:color="auto"/>
          <w:lang w:val="es-ES"/>
        </w:rPr>
        <w:t xml:space="preserve"> </w:t>
      </w:r>
      <w:r w:rsidR="005526DF" w:rsidRPr="00A16D62">
        <w:rPr>
          <w:rFonts w:asciiTheme="majorHAnsi" w:eastAsia="Times New Roman" w:hAnsiTheme="majorHAnsi"/>
          <w:bCs/>
          <w:sz w:val="20"/>
          <w:szCs w:val="20"/>
          <w:bdr w:val="none" w:sz="0" w:space="0" w:color="auto"/>
          <w:lang w:val="es-ES"/>
        </w:rPr>
        <w:t>se les otorgue</w:t>
      </w:r>
      <w:r w:rsidR="004876B9">
        <w:rPr>
          <w:rFonts w:asciiTheme="majorHAnsi" w:eastAsia="Times New Roman" w:hAnsiTheme="majorHAnsi"/>
          <w:bCs/>
          <w:sz w:val="20"/>
          <w:szCs w:val="20"/>
          <w:bdr w:val="none" w:sz="0" w:space="0" w:color="auto"/>
          <w:lang w:val="es-ES"/>
        </w:rPr>
        <w:t>n</w:t>
      </w:r>
      <w:r w:rsidR="005526DF" w:rsidRPr="00A16D62">
        <w:rPr>
          <w:rFonts w:asciiTheme="majorHAnsi" w:eastAsia="Times New Roman" w:hAnsiTheme="majorHAnsi"/>
          <w:bCs/>
          <w:sz w:val="20"/>
          <w:szCs w:val="20"/>
          <w:bdr w:val="none" w:sz="0" w:space="0" w:color="auto"/>
          <w:lang w:val="es-ES"/>
        </w:rPr>
        <w:t xml:space="preserve"> los mismos derechos y recursos que a los trabajadores documentados frente a violaciones de sus derechos en el lugar de trabajo; que establezca un procedimiento para que los </w:t>
      </w:r>
      <w:r w:rsidR="00C038BF" w:rsidRPr="00A16D62">
        <w:rPr>
          <w:rFonts w:asciiTheme="majorHAnsi" w:eastAsia="Times New Roman" w:hAnsiTheme="majorHAnsi"/>
          <w:bCs/>
          <w:sz w:val="20"/>
          <w:szCs w:val="20"/>
          <w:bdr w:val="none" w:sz="0" w:space="0" w:color="auto"/>
          <w:lang w:val="es-ES"/>
        </w:rPr>
        <w:t>trabajadores indocumentados</w:t>
      </w:r>
      <w:r w:rsidR="00530D2A" w:rsidRPr="00A16D62">
        <w:rPr>
          <w:rFonts w:asciiTheme="majorHAnsi" w:eastAsia="Times New Roman" w:hAnsiTheme="majorHAnsi"/>
          <w:bCs/>
          <w:sz w:val="20"/>
          <w:szCs w:val="20"/>
          <w:bdr w:val="none" w:sz="0" w:space="0" w:color="auto"/>
          <w:lang w:val="es-ES"/>
        </w:rPr>
        <w:t xml:space="preserve"> </w:t>
      </w:r>
      <w:r w:rsidR="005526DF" w:rsidRPr="00A16D62">
        <w:rPr>
          <w:rFonts w:asciiTheme="majorHAnsi" w:eastAsia="Times New Roman" w:hAnsiTheme="majorHAnsi"/>
          <w:bCs/>
          <w:sz w:val="20"/>
          <w:szCs w:val="20"/>
          <w:bdr w:val="none" w:sz="0" w:space="0" w:color="auto"/>
          <w:lang w:val="es-ES"/>
        </w:rPr>
        <w:t xml:space="preserve">que participen en procedimientos para pedir </w:t>
      </w:r>
      <w:r w:rsidR="007B4310" w:rsidRPr="00A16D62">
        <w:rPr>
          <w:rFonts w:asciiTheme="majorHAnsi" w:eastAsia="Times New Roman" w:hAnsiTheme="majorHAnsi"/>
          <w:bCs/>
          <w:sz w:val="20"/>
          <w:szCs w:val="20"/>
          <w:bdr w:val="none" w:sz="0" w:space="0" w:color="auto"/>
          <w:lang w:val="es-ES"/>
        </w:rPr>
        <w:t>indemnización por accidentes de trabajo</w:t>
      </w:r>
      <w:r w:rsidR="005526DF" w:rsidRPr="00A16D62">
        <w:rPr>
          <w:rFonts w:asciiTheme="majorHAnsi" w:eastAsia="Times New Roman" w:hAnsiTheme="majorHAnsi"/>
          <w:bCs/>
          <w:sz w:val="20"/>
          <w:szCs w:val="20"/>
          <w:bdr w:val="none" w:sz="0" w:space="0" w:color="auto"/>
          <w:lang w:val="es-ES"/>
        </w:rPr>
        <w:t>,</w:t>
      </w:r>
      <w:r w:rsidR="00530D2A" w:rsidRPr="00A16D62">
        <w:rPr>
          <w:rFonts w:asciiTheme="majorHAnsi" w:eastAsia="Times New Roman" w:hAnsiTheme="majorHAnsi"/>
          <w:bCs/>
          <w:sz w:val="20"/>
          <w:szCs w:val="20"/>
          <w:bdr w:val="none" w:sz="0" w:space="0" w:color="auto"/>
          <w:lang w:val="es-ES"/>
        </w:rPr>
        <w:t xml:space="preserve"> </w:t>
      </w:r>
      <w:r w:rsidR="005526DF" w:rsidRPr="00A16D62">
        <w:rPr>
          <w:rFonts w:asciiTheme="majorHAnsi" w:eastAsia="Times New Roman" w:hAnsiTheme="majorHAnsi"/>
          <w:bCs/>
          <w:sz w:val="20"/>
          <w:szCs w:val="20"/>
          <w:bdr w:val="none" w:sz="0" w:space="0" w:color="auto"/>
          <w:lang w:val="es-ES"/>
        </w:rPr>
        <w:t xml:space="preserve">o sus representantes, puedan solicitar la suspensión de su deportación hasta que se resuelva el procedimiento y los </w:t>
      </w:r>
      <w:r w:rsidR="007B4310" w:rsidRPr="00A16D62">
        <w:rPr>
          <w:rFonts w:asciiTheme="majorHAnsi" w:eastAsia="Times New Roman" w:hAnsiTheme="majorHAnsi"/>
          <w:bCs/>
          <w:sz w:val="20"/>
          <w:szCs w:val="20"/>
          <w:bdr w:val="none" w:sz="0" w:space="0" w:color="auto"/>
          <w:lang w:val="es-ES"/>
        </w:rPr>
        <w:t>trabajadores</w:t>
      </w:r>
      <w:r w:rsidR="00530D2A" w:rsidRPr="00A16D62">
        <w:rPr>
          <w:rFonts w:asciiTheme="majorHAnsi" w:eastAsia="Times New Roman" w:hAnsiTheme="majorHAnsi"/>
          <w:bCs/>
          <w:sz w:val="20"/>
          <w:szCs w:val="20"/>
          <w:bdr w:val="none" w:sz="0" w:space="0" w:color="auto"/>
          <w:lang w:val="es-ES"/>
        </w:rPr>
        <w:t xml:space="preserve"> ha</w:t>
      </w:r>
      <w:r w:rsidR="005526DF" w:rsidRPr="00A16D62">
        <w:rPr>
          <w:rFonts w:asciiTheme="majorHAnsi" w:eastAsia="Times New Roman" w:hAnsiTheme="majorHAnsi"/>
          <w:bCs/>
          <w:sz w:val="20"/>
          <w:szCs w:val="20"/>
          <w:bdr w:val="none" w:sz="0" w:space="0" w:color="auto"/>
          <w:lang w:val="es-ES"/>
        </w:rPr>
        <w:t xml:space="preserve">yan recibido el tratamiento médico apropiado ordenado por los </w:t>
      </w:r>
      <w:r w:rsidR="005402E3" w:rsidRPr="00A16D62">
        <w:rPr>
          <w:rFonts w:asciiTheme="majorHAnsi" w:eastAsia="Times New Roman" w:hAnsiTheme="majorHAnsi"/>
          <w:bCs/>
          <w:sz w:val="20"/>
          <w:szCs w:val="20"/>
          <w:bdr w:val="none" w:sz="0" w:space="0" w:color="auto"/>
          <w:lang w:val="es-ES"/>
        </w:rPr>
        <w:t>jueces ante los cuales tramiten los casos</w:t>
      </w:r>
      <w:r w:rsidR="005526DF" w:rsidRPr="00A16D62">
        <w:rPr>
          <w:rFonts w:asciiTheme="majorHAnsi" w:eastAsia="Times New Roman" w:hAnsiTheme="majorHAnsi"/>
          <w:bCs/>
          <w:sz w:val="20"/>
          <w:szCs w:val="20"/>
          <w:bdr w:val="none" w:sz="0" w:space="0" w:color="auto"/>
          <w:lang w:val="es-ES"/>
        </w:rPr>
        <w:t xml:space="preserve">; y que mejore y refuerce la detección de </w:t>
      </w:r>
      <w:r w:rsidR="000F4EF8" w:rsidRPr="00A16D62">
        <w:rPr>
          <w:rFonts w:asciiTheme="majorHAnsi" w:eastAsia="Times New Roman" w:hAnsiTheme="majorHAnsi"/>
          <w:bCs/>
          <w:sz w:val="20"/>
          <w:szCs w:val="20"/>
          <w:bdr w:val="none" w:sz="0" w:space="0" w:color="auto"/>
          <w:lang w:val="es-ES"/>
        </w:rPr>
        <w:t>empleadores</w:t>
      </w:r>
      <w:r w:rsidR="00BF457B" w:rsidRPr="00A16D62">
        <w:rPr>
          <w:rFonts w:asciiTheme="majorHAnsi" w:eastAsia="Times New Roman" w:hAnsiTheme="majorHAnsi"/>
          <w:bCs/>
          <w:sz w:val="20"/>
          <w:szCs w:val="20"/>
          <w:bdr w:val="none" w:sz="0" w:space="0" w:color="auto"/>
          <w:lang w:val="es-ES"/>
        </w:rPr>
        <w:t xml:space="preserve"> </w:t>
      </w:r>
      <w:r w:rsidR="005526DF" w:rsidRPr="00A16D62">
        <w:rPr>
          <w:rFonts w:asciiTheme="majorHAnsi" w:eastAsia="Times New Roman" w:hAnsiTheme="majorHAnsi"/>
          <w:bCs/>
          <w:sz w:val="20"/>
          <w:szCs w:val="20"/>
          <w:bdr w:val="none" w:sz="0" w:space="0" w:color="auto"/>
          <w:lang w:val="es-ES"/>
        </w:rPr>
        <w:t xml:space="preserve">que exploten a los </w:t>
      </w:r>
      <w:r w:rsidR="00C038BF" w:rsidRPr="00A16D62">
        <w:rPr>
          <w:rFonts w:asciiTheme="majorHAnsi" w:eastAsia="Times New Roman" w:hAnsiTheme="majorHAnsi"/>
          <w:bCs/>
          <w:sz w:val="20"/>
          <w:szCs w:val="20"/>
          <w:bdr w:val="none" w:sz="0" w:space="0" w:color="auto"/>
          <w:lang w:val="es-ES"/>
        </w:rPr>
        <w:t>trabajadores indocumentados</w:t>
      </w:r>
      <w:r w:rsidR="00BF457B" w:rsidRPr="00A16D62">
        <w:rPr>
          <w:rFonts w:asciiTheme="majorHAnsi" w:eastAsia="Times New Roman" w:hAnsiTheme="majorHAnsi"/>
          <w:bCs/>
          <w:sz w:val="20"/>
          <w:szCs w:val="20"/>
          <w:bdr w:val="none" w:sz="0" w:space="0" w:color="auto"/>
          <w:lang w:val="es-ES"/>
        </w:rPr>
        <w:t xml:space="preserve"> </w:t>
      </w:r>
      <w:r w:rsidR="005526DF" w:rsidRPr="00A16D62">
        <w:rPr>
          <w:rFonts w:asciiTheme="majorHAnsi" w:eastAsia="Times New Roman" w:hAnsiTheme="majorHAnsi"/>
          <w:bCs/>
          <w:sz w:val="20"/>
          <w:szCs w:val="20"/>
          <w:bdr w:val="none" w:sz="0" w:space="0" w:color="auto"/>
          <w:lang w:val="es-ES"/>
        </w:rPr>
        <w:t>y violen sus derechos laborales y les imponga sanciones adecuadas</w:t>
      </w:r>
      <w:r w:rsidR="00BF457B" w:rsidRPr="00A16D62">
        <w:rPr>
          <w:rFonts w:asciiTheme="majorHAnsi" w:eastAsia="Times New Roman" w:hAnsiTheme="majorHAnsi"/>
          <w:bCs/>
          <w:sz w:val="20"/>
          <w:szCs w:val="20"/>
          <w:bdr w:val="none" w:sz="0" w:space="0" w:color="auto"/>
          <w:lang w:val="es-ES"/>
        </w:rPr>
        <w:t xml:space="preserve">. </w:t>
      </w:r>
    </w:p>
    <w:p w:rsidR="00C8715D" w:rsidRPr="00A16D62" w:rsidRDefault="00C8715D" w:rsidP="00145EDC">
      <w:pPr>
        <w:tabs>
          <w:tab w:val="center" w:pos="5400"/>
        </w:tabs>
        <w:suppressAutoHyphens/>
        <w:spacing w:line="276" w:lineRule="auto"/>
        <w:rPr>
          <w:rFonts w:asciiTheme="majorHAnsi" w:hAnsiTheme="majorHAnsi"/>
          <w:color w:val="A6A6A6" w:themeColor="background1" w:themeShade="A6"/>
          <w:sz w:val="20"/>
          <w:szCs w:val="20"/>
          <w:lang w:val="es-ES"/>
        </w:rPr>
      </w:pPr>
    </w:p>
    <w:p w:rsidR="00804ADC" w:rsidRPr="00A16D62" w:rsidRDefault="00804ADC" w:rsidP="00A76BB1">
      <w:pPr>
        <w:pStyle w:val="Heading1"/>
        <w:keepNext/>
        <w:ind w:firstLine="720"/>
        <w:rPr>
          <w:lang w:val="es-ES"/>
        </w:rPr>
      </w:pPr>
      <w:bookmarkStart w:id="7" w:name="_Toc467138435"/>
      <w:r w:rsidRPr="00A16D62">
        <w:rPr>
          <w:lang w:val="es-ES"/>
        </w:rPr>
        <w:t xml:space="preserve">II. </w:t>
      </w:r>
      <w:r w:rsidRPr="00A16D62">
        <w:rPr>
          <w:lang w:val="es-ES"/>
        </w:rPr>
        <w:tab/>
      </w:r>
      <w:bookmarkStart w:id="8" w:name="_Toc433904562"/>
      <w:r w:rsidR="00180125" w:rsidRPr="00A16D62">
        <w:rPr>
          <w:lang w:val="es-ES"/>
        </w:rPr>
        <w:t>TR</w:t>
      </w:r>
      <w:r w:rsidR="00FB7CBF" w:rsidRPr="00A16D62">
        <w:rPr>
          <w:lang w:val="es-ES"/>
        </w:rPr>
        <w:t>Á</w:t>
      </w:r>
      <w:r w:rsidR="00180125" w:rsidRPr="00A16D62">
        <w:rPr>
          <w:lang w:val="es-ES"/>
        </w:rPr>
        <w:t>MITES ANTE LA CIDH</w:t>
      </w:r>
      <w:bookmarkEnd w:id="8"/>
      <w:r w:rsidRPr="00A16D62">
        <w:rPr>
          <w:lang w:val="es-ES"/>
        </w:rPr>
        <w:t xml:space="preserve"> </w:t>
      </w:r>
      <w:r w:rsidR="00180125" w:rsidRPr="00A16D62">
        <w:rPr>
          <w:lang w:val="es-ES"/>
        </w:rPr>
        <w:t>POSTERIORES AL INFORME DE ADMISIBILIDAD</w:t>
      </w:r>
      <w:bookmarkEnd w:id="7"/>
    </w:p>
    <w:p w:rsidR="00F36794" w:rsidRPr="00A16D62" w:rsidRDefault="00F36794" w:rsidP="003B4AA3">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B024D2" w:rsidRPr="00A16D62" w:rsidRDefault="00180125" w:rsidP="003B4AA3">
      <w:pPr>
        <w:keepNex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Mediante comunicaciones del</w:t>
      </w:r>
      <w:r w:rsidR="00B024D2" w:rsidRPr="00A16D62">
        <w:rPr>
          <w:rFonts w:ascii="Cambria" w:eastAsia="Times New Roman" w:hAnsi="Cambria"/>
          <w:bCs/>
          <w:sz w:val="20"/>
          <w:szCs w:val="20"/>
          <w:bdr w:val="none" w:sz="0" w:space="0" w:color="auto"/>
          <w:lang w:val="es-ES"/>
        </w:rPr>
        <w:t xml:space="preserve"> 21</w:t>
      </w:r>
      <w:r w:rsidR="00BC0B1F" w:rsidRPr="00A16D62">
        <w:rPr>
          <w:rFonts w:ascii="Cambria" w:eastAsia="Times New Roman" w:hAnsi="Cambria"/>
          <w:bCs/>
          <w:sz w:val="20"/>
          <w:szCs w:val="20"/>
          <w:bdr w:val="none" w:sz="0" w:space="0" w:color="auto"/>
          <w:lang w:val="es-ES"/>
        </w:rPr>
        <w:t xml:space="preserve"> de diciembre de</w:t>
      </w:r>
      <w:r w:rsidR="00B024D2" w:rsidRPr="00A16D62">
        <w:rPr>
          <w:rFonts w:ascii="Cambria" w:eastAsia="Times New Roman" w:hAnsi="Cambria"/>
          <w:bCs/>
          <w:sz w:val="20"/>
          <w:szCs w:val="20"/>
          <w:bdr w:val="none" w:sz="0" w:space="0" w:color="auto"/>
          <w:lang w:val="es-ES"/>
        </w:rPr>
        <w:t xml:space="preserve"> 2011, </w:t>
      </w:r>
      <w:r w:rsidRPr="00A16D62">
        <w:rPr>
          <w:rFonts w:ascii="Cambria" w:eastAsia="Times New Roman" w:hAnsi="Cambria"/>
          <w:bCs/>
          <w:sz w:val="20"/>
          <w:szCs w:val="20"/>
          <w:bdr w:val="none" w:sz="0" w:space="0" w:color="auto"/>
          <w:lang w:val="es-ES"/>
        </w:rPr>
        <w:t>la Comisión Interamericana</w:t>
      </w:r>
      <w:r w:rsidR="00D20725" w:rsidRPr="00A16D62">
        <w:rPr>
          <w:rFonts w:ascii="Cambria" w:eastAsia="Times New Roman" w:hAnsi="Cambria"/>
          <w:bCs/>
          <w:sz w:val="20"/>
          <w:szCs w:val="20"/>
          <w:bdr w:val="none" w:sz="0" w:space="0" w:color="auto"/>
          <w:lang w:val="es-ES"/>
        </w:rPr>
        <w:t xml:space="preserve"> </w:t>
      </w:r>
      <w:r w:rsidR="009A5408" w:rsidRPr="00A16D62">
        <w:rPr>
          <w:rFonts w:ascii="Cambria" w:eastAsia="Times New Roman" w:hAnsi="Cambria"/>
          <w:bCs/>
          <w:sz w:val="20"/>
          <w:szCs w:val="20"/>
          <w:bdr w:val="none" w:sz="0" w:space="0" w:color="auto"/>
          <w:lang w:val="es-ES"/>
        </w:rPr>
        <w:t>remitió a las partes el informe de admisibilidad y, conforme al Reglamento</w:t>
      </w:r>
      <w:r w:rsidR="00D20725" w:rsidRPr="00A16D62">
        <w:rPr>
          <w:rFonts w:ascii="Cambria" w:eastAsia="Times New Roman" w:hAnsi="Cambria"/>
          <w:bCs/>
          <w:sz w:val="20"/>
          <w:szCs w:val="20"/>
          <w:bdr w:val="none" w:sz="0" w:space="0" w:color="auto"/>
          <w:lang w:val="es-ES"/>
        </w:rPr>
        <w:t xml:space="preserve"> </w:t>
      </w:r>
      <w:r w:rsidR="00BC0B1F" w:rsidRPr="00A16D62">
        <w:rPr>
          <w:rFonts w:ascii="Cambria" w:eastAsia="Times New Roman" w:hAnsi="Cambria"/>
          <w:bCs/>
          <w:sz w:val="20"/>
          <w:szCs w:val="20"/>
          <w:bdr w:val="none" w:sz="0" w:space="0" w:color="auto"/>
          <w:lang w:val="es-ES"/>
        </w:rPr>
        <w:t>que estaba en vigor en ese momento</w:t>
      </w:r>
      <w:r w:rsidR="00D20725" w:rsidRPr="00A16D62">
        <w:rPr>
          <w:rFonts w:ascii="Cambria" w:eastAsia="Times New Roman" w:hAnsi="Cambria"/>
          <w:bCs/>
          <w:sz w:val="20"/>
          <w:szCs w:val="20"/>
          <w:bdr w:val="none" w:sz="0" w:space="0" w:color="auto"/>
          <w:lang w:val="es-ES"/>
        </w:rPr>
        <w:t xml:space="preserve">, </w:t>
      </w:r>
      <w:r w:rsidR="00BC0B1F" w:rsidRPr="00A16D62">
        <w:rPr>
          <w:rFonts w:ascii="Cambria" w:eastAsia="Times New Roman" w:hAnsi="Cambria"/>
          <w:bCs/>
          <w:sz w:val="20"/>
          <w:szCs w:val="20"/>
          <w:bdr w:val="none" w:sz="0" w:space="0" w:color="auto"/>
          <w:lang w:val="es-ES"/>
        </w:rPr>
        <w:t xml:space="preserve">estableció un plazo de tres meses para que </w:t>
      </w:r>
      <w:r w:rsidRPr="00A16D62">
        <w:rPr>
          <w:rFonts w:ascii="Cambria" w:eastAsia="Times New Roman" w:hAnsi="Cambria"/>
          <w:bCs/>
          <w:sz w:val="20"/>
          <w:szCs w:val="20"/>
          <w:bdr w:val="none" w:sz="0" w:space="0" w:color="auto"/>
          <w:lang w:val="es-ES"/>
        </w:rPr>
        <w:t>los peticionarios</w:t>
      </w:r>
      <w:r w:rsidR="00D20725" w:rsidRPr="00A16D62">
        <w:rPr>
          <w:rFonts w:ascii="Cambria" w:eastAsia="Times New Roman" w:hAnsi="Cambria"/>
          <w:bCs/>
          <w:sz w:val="20"/>
          <w:szCs w:val="20"/>
          <w:bdr w:val="none" w:sz="0" w:space="0" w:color="auto"/>
          <w:lang w:val="es-ES"/>
        </w:rPr>
        <w:t xml:space="preserve"> </w:t>
      </w:r>
      <w:r w:rsidR="00BC0B1F" w:rsidRPr="00A16D62">
        <w:rPr>
          <w:rFonts w:ascii="Cambria" w:eastAsia="Times New Roman" w:hAnsi="Cambria"/>
          <w:bCs/>
          <w:sz w:val="20"/>
          <w:szCs w:val="20"/>
          <w:bdr w:val="none" w:sz="0" w:space="0" w:color="auto"/>
          <w:lang w:val="es-ES"/>
        </w:rPr>
        <w:t>formularan observaciones adicionales</w:t>
      </w:r>
      <w:r w:rsidR="00D20725" w:rsidRPr="00A16D62">
        <w:rPr>
          <w:rFonts w:ascii="Cambria" w:eastAsia="Times New Roman" w:hAnsi="Cambria"/>
          <w:bCs/>
          <w:sz w:val="20"/>
          <w:szCs w:val="20"/>
          <w:bdr w:val="none" w:sz="0" w:space="0" w:color="auto"/>
          <w:lang w:val="es-ES"/>
        </w:rPr>
        <w:t xml:space="preserve"> </w:t>
      </w:r>
      <w:r w:rsidR="009A5408" w:rsidRPr="00A16D62">
        <w:rPr>
          <w:rFonts w:ascii="Cambria" w:eastAsia="Times New Roman" w:hAnsi="Cambria"/>
          <w:bCs/>
          <w:sz w:val="20"/>
          <w:szCs w:val="20"/>
          <w:bdr w:val="none" w:sz="0" w:space="0" w:color="auto"/>
          <w:lang w:val="es-ES"/>
        </w:rPr>
        <w:t>sobre el fondo</w:t>
      </w:r>
      <w:r w:rsidR="00BC0B1F" w:rsidRPr="00A16D62">
        <w:rPr>
          <w:rFonts w:ascii="Cambria" w:eastAsia="Times New Roman" w:hAnsi="Cambria"/>
          <w:bCs/>
          <w:sz w:val="20"/>
          <w:szCs w:val="20"/>
          <w:bdr w:val="none" w:sz="0" w:space="0" w:color="auto"/>
          <w:lang w:val="es-ES"/>
        </w:rPr>
        <w:t xml:space="preserve">. Al mismo tiempo, </w:t>
      </w:r>
      <w:r w:rsidR="009A5408" w:rsidRPr="00A16D62">
        <w:rPr>
          <w:rFonts w:ascii="Cambria" w:hAnsi="Cambria" w:cs="Cambria"/>
          <w:sz w:val="20"/>
          <w:szCs w:val="20"/>
          <w:lang w:val="es-ES"/>
        </w:rPr>
        <w:t>se puso a disposición de las partes con miras a lograr una solución amistosa</w:t>
      </w:r>
      <w:r w:rsidR="00D20725" w:rsidRPr="00A16D62">
        <w:rPr>
          <w:rFonts w:ascii="Cambria" w:eastAsia="Times New Roman" w:hAnsi="Cambria"/>
          <w:bCs/>
          <w:sz w:val="20"/>
          <w:szCs w:val="20"/>
          <w:bdr w:val="none" w:sz="0" w:space="0" w:color="auto"/>
          <w:lang w:val="es-ES"/>
        </w:rPr>
        <w:t xml:space="preserve">. </w:t>
      </w:r>
    </w:p>
    <w:p w:rsidR="00D20725" w:rsidRPr="00A16D62" w:rsidRDefault="00D20725" w:rsidP="00D2072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5A127B" w:rsidRPr="00A16D62" w:rsidRDefault="00356027"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El </w:t>
      </w:r>
      <w:r w:rsidR="00BD2F29" w:rsidRPr="00A16D62">
        <w:rPr>
          <w:rFonts w:ascii="Cambria" w:eastAsia="Times New Roman" w:hAnsi="Cambria"/>
          <w:bCs/>
          <w:sz w:val="20"/>
          <w:szCs w:val="20"/>
          <w:bdr w:val="none" w:sz="0" w:space="0" w:color="auto"/>
          <w:lang w:val="es-ES"/>
        </w:rPr>
        <w:t>31</w:t>
      </w:r>
      <w:r w:rsidRPr="00A16D62">
        <w:rPr>
          <w:rFonts w:ascii="Cambria" w:eastAsia="Times New Roman" w:hAnsi="Cambria"/>
          <w:bCs/>
          <w:sz w:val="20"/>
          <w:szCs w:val="20"/>
          <w:bdr w:val="none" w:sz="0" w:space="0" w:color="auto"/>
          <w:lang w:val="es-ES"/>
        </w:rPr>
        <w:t xml:space="preserve"> de julio de</w:t>
      </w:r>
      <w:r w:rsidR="00BD2F29" w:rsidRPr="00A16D62">
        <w:rPr>
          <w:rFonts w:ascii="Cambria" w:eastAsia="Times New Roman" w:hAnsi="Cambria"/>
          <w:bCs/>
          <w:sz w:val="20"/>
          <w:szCs w:val="20"/>
          <w:bdr w:val="none" w:sz="0" w:space="0" w:color="auto"/>
          <w:lang w:val="es-ES"/>
        </w:rPr>
        <w:t xml:space="preserve"> 2013, </w:t>
      </w:r>
      <w:r w:rsidR="00180125" w:rsidRPr="00A16D62">
        <w:rPr>
          <w:rFonts w:ascii="Cambria" w:eastAsia="Times New Roman" w:hAnsi="Cambria"/>
          <w:bCs/>
          <w:sz w:val="20"/>
          <w:szCs w:val="20"/>
          <w:bdr w:val="none" w:sz="0" w:space="0" w:color="auto"/>
          <w:lang w:val="es-ES"/>
        </w:rPr>
        <w:t>los peticionarios</w:t>
      </w:r>
      <w:r w:rsidR="00BD2F29"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presentaron información adicional s</w:t>
      </w:r>
      <w:r w:rsidR="009A5408" w:rsidRPr="00A16D62">
        <w:rPr>
          <w:rFonts w:ascii="Cambria" w:eastAsia="Times New Roman" w:hAnsi="Cambria"/>
          <w:bCs/>
          <w:sz w:val="20"/>
          <w:szCs w:val="20"/>
          <w:bdr w:val="none" w:sz="0" w:space="0" w:color="auto"/>
          <w:lang w:val="es-ES"/>
        </w:rPr>
        <w:t>obre el fondo</w:t>
      </w:r>
      <w:r w:rsidR="00BD2F29"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cuyas partes pertinentes fueron transmitidas debidamente al </w:t>
      </w:r>
      <w:r w:rsidR="00180125" w:rsidRPr="00A16D62">
        <w:rPr>
          <w:rFonts w:ascii="Cambria" w:eastAsia="Times New Roman" w:hAnsi="Cambria"/>
          <w:bCs/>
          <w:sz w:val="20"/>
          <w:szCs w:val="20"/>
          <w:bdr w:val="none" w:sz="0" w:space="0" w:color="auto"/>
          <w:lang w:val="es-ES"/>
        </w:rPr>
        <w:t>Estado</w:t>
      </w:r>
      <w:r w:rsidR="00BD2F29"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mediante nota del </w:t>
      </w:r>
      <w:r w:rsidR="008F7788" w:rsidRPr="00A16D62">
        <w:rPr>
          <w:rFonts w:ascii="Cambria" w:eastAsia="Times New Roman" w:hAnsi="Cambria"/>
          <w:bCs/>
          <w:sz w:val="20"/>
          <w:szCs w:val="20"/>
          <w:bdr w:val="none" w:sz="0" w:space="0" w:color="auto"/>
          <w:lang w:val="es-ES"/>
        </w:rPr>
        <w:t>6</w:t>
      </w:r>
      <w:r w:rsidRPr="00A16D62">
        <w:rPr>
          <w:rFonts w:ascii="Cambria" w:eastAsia="Times New Roman" w:hAnsi="Cambria"/>
          <w:bCs/>
          <w:sz w:val="20"/>
          <w:szCs w:val="20"/>
          <w:bdr w:val="none" w:sz="0" w:space="0" w:color="auto"/>
          <w:lang w:val="es-ES"/>
        </w:rPr>
        <w:t xml:space="preserve"> de septiembre de</w:t>
      </w:r>
      <w:r w:rsidR="008F7788" w:rsidRPr="00A16D62">
        <w:rPr>
          <w:rFonts w:ascii="Cambria" w:eastAsia="Times New Roman" w:hAnsi="Cambria"/>
          <w:bCs/>
          <w:sz w:val="20"/>
          <w:szCs w:val="20"/>
          <w:bdr w:val="none" w:sz="0" w:space="0" w:color="auto"/>
          <w:lang w:val="es-ES"/>
        </w:rPr>
        <w:t xml:space="preserve"> 2013. </w:t>
      </w:r>
      <w:r w:rsidR="00180125" w:rsidRPr="00A16D62">
        <w:rPr>
          <w:rFonts w:ascii="Cambria" w:eastAsia="Times New Roman" w:hAnsi="Cambria"/>
          <w:bCs/>
          <w:sz w:val="20"/>
          <w:szCs w:val="20"/>
          <w:bdr w:val="none" w:sz="0" w:space="0" w:color="auto"/>
          <w:lang w:val="es-ES"/>
        </w:rPr>
        <w:t>La Comisión Interamericana</w:t>
      </w:r>
      <w:r w:rsidR="00BD2F29"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estableció un plazo de cuatro meses para que </w:t>
      </w:r>
      <w:r w:rsidR="00180125" w:rsidRPr="00A16D62">
        <w:rPr>
          <w:rFonts w:ascii="Cambria" w:eastAsia="Times New Roman" w:hAnsi="Cambria"/>
          <w:bCs/>
          <w:sz w:val="20"/>
          <w:szCs w:val="20"/>
          <w:bdr w:val="none" w:sz="0" w:space="0" w:color="auto"/>
          <w:lang w:val="es-ES"/>
        </w:rPr>
        <w:t>el Estado</w:t>
      </w:r>
      <w:r w:rsidR="00BD2F29"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presentara sus observaciones. El </w:t>
      </w:r>
      <w:r w:rsidR="00BD2F29" w:rsidRPr="00A16D62">
        <w:rPr>
          <w:rFonts w:ascii="Cambria" w:eastAsia="Times New Roman" w:hAnsi="Cambria"/>
          <w:bCs/>
          <w:sz w:val="20"/>
          <w:szCs w:val="20"/>
          <w:bdr w:val="none" w:sz="0" w:space="0" w:color="auto"/>
          <w:lang w:val="es-ES"/>
        </w:rPr>
        <w:t>24</w:t>
      </w:r>
      <w:r w:rsidRPr="00A16D62">
        <w:rPr>
          <w:rFonts w:ascii="Cambria" w:eastAsia="Times New Roman" w:hAnsi="Cambria"/>
          <w:bCs/>
          <w:sz w:val="20"/>
          <w:szCs w:val="20"/>
          <w:bdr w:val="none" w:sz="0" w:space="0" w:color="auto"/>
          <w:lang w:val="es-ES"/>
        </w:rPr>
        <w:t xml:space="preserve"> de abril de</w:t>
      </w:r>
      <w:r w:rsidR="00BD2F29" w:rsidRPr="00A16D62">
        <w:rPr>
          <w:rFonts w:ascii="Cambria" w:eastAsia="Times New Roman" w:hAnsi="Cambria"/>
          <w:bCs/>
          <w:sz w:val="20"/>
          <w:szCs w:val="20"/>
          <w:bdr w:val="none" w:sz="0" w:space="0" w:color="auto"/>
          <w:lang w:val="es-ES"/>
        </w:rPr>
        <w:t xml:space="preserve"> 2014, </w:t>
      </w:r>
      <w:r w:rsidRPr="00A16D62">
        <w:rPr>
          <w:rFonts w:ascii="Cambria" w:eastAsia="Times New Roman" w:hAnsi="Cambria"/>
          <w:bCs/>
          <w:sz w:val="20"/>
          <w:szCs w:val="20"/>
          <w:bdr w:val="none" w:sz="0" w:space="0" w:color="auto"/>
          <w:lang w:val="es-ES"/>
        </w:rPr>
        <w:t xml:space="preserve">la </w:t>
      </w:r>
      <w:r w:rsidR="00180125" w:rsidRPr="00A16D62">
        <w:rPr>
          <w:rFonts w:ascii="Cambria" w:eastAsia="Times New Roman" w:hAnsi="Cambria"/>
          <w:bCs/>
          <w:sz w:val="20"/>
          <w:szCs w:val="20"/>
          <w:bdr w:val="none" w:sz="0" w:space="0" w:color="auto"/>
          <w:lang w:val="es-ES"/>
        </w:rPr>
        <w:t>CIDH</w:t>
      </w:r>
      <w:r w:rsidR="00BD2F29" w:rsidRPr="00A16D62">
        <w:rPr>
          <w:rFonts w:ascii="Cambria" w:eastAsia="Times New Roman" w:hAnsi="Cambria"/>
          <w:bCs/>
          <w:sz w:val="20"/>
          <w:szCs w:val="20"/>
          <w:bdr w:val="none" w:sz="0" w:space="0" w:color="auto"/>
          <w:lang w:val="es-ES"/>
        </w:rPr>
        <w:t xml:space="preserve"> transmit</w:t>
      </w:r>
      <w:r w:rsidRPr="00A16D62">
        <w:rPr>
          <w:rFonts w:ascii="Cambria" w:eastAsia="Times New Roman" w:hAnsi="Cambria"/>
          <w:bCs/>
          <w:sz w:val="20"/>
          <w:szCs w:val="20"/>
          <w:bdr w:val="none" w:sz="0" w:space="0" w:color="auto"/>
          <w:lang w:val="es-ES"/>
        </w:rPr>
        <w:t>ió una nota a</w:t>
      </w:r>
      <w:r w:rsidR="00180125" w:rsidRPr="00A16D62">
        <w:rPr>
          <w:rFonts w:ascii="Cambria" w:eastAsia="Times New Roman" w:hAnsi="Cambria"/>
          <w:bCs/>
          <w:sz w:val="20"/>
          <w:szCs w:val="20"/>
          <w:bdr w:val="none" w:sz="0" w:space="0" w:color="auto"/>
          <w:lang w:val="es-ES"/>
        </w:rPr>
        <w:t>l Estado</w:t>
      </w:r>
      <w:r w:rsidRPr="00A16D62">
        <w:rPr>
          <w:rFonts w:ascii="Cambria" w:eastAsia="Times New Roman" w:hAnsi="Cambria"/>
          <w:bCs/>
          <w:sz w:val="20"/>
          <w:szCs w:val="20"/>
          <w:bdr w:val="none" w:sz="0" w:space="0" w:color="auto"/>
          <w:lang w:val="es-ES"/>
        </w:rPr>
        <w:t xml:space="preserve"> en la cual reiteró la solicitud de información sobre </w:t>
      </w:r>
      <w:r w:rsidR="009A5408" w:rsidRPr="00A16D62">
        <w:rPr>
          <w:rFonts w:ascii="Cambria" w:eastAsia="Times New Roman" w:hAnsi="Cambria"/>
          <w:bCs/>
          <w:sz w:val="20"/>
          <w:szCs w:val="20"/>
          <w:bdr w:val="none" w:sz="0" w:space="0" w:color="auto"/>
          <w:lang w:val="es-ES"/>
        </w:rPr>
        <w:t>el fondo</w:t>
      </w:r>
      <w:r w:rsidR="005F4D83" w:rsidRPr="00A16D62">
        <w:rPr>
          <w:rFonts w:ascii="Cambria" w:eastAsia="Times New Roman" w:hAnsi="Cambria"/>
          <w:bCs/>
          <w:sz w:val="20"/>
          <w:szCs w:val="20"/>
          <w:bdr w:val="none" w:sz="0" w:space="0" w:color="auto"/>
          <w:lang w:val="es-ES"/>
        </w:rPr>
        <w:t>.</w:t>
      </w:r>
      <w:r w:rsidR="00BD2F29" w:rsidRPr="00A16D62">
        <w:rPr>
          <w:rFonts w:ascii="Cambria" w:eastAsia="Times New Roman" w:hAnsi="Cambria"/>
          <w:bCs/>
          <w:sz w:val="20"/>
          <w:szCs w:val="20"/>
          <w:bdr w:val="none" w:sz="0" w:space="0" w:color="auto"/>
          <w:lang w:val="es-ES"/>
        </w:rPr>
        <w:t xml:space="preserve"> </w:t>
      </w:r>
    </w:p>
    <w:p w:rsidR="005A127B" w:rsidRPr="00A16D62" w:rsidRDefault="005A127B" w:rsidP="005A127B">
      <w:pPr>
        <w:pStyle w:val="ListParagraph"/>
        <w:rPr>
          <w:rFonts w:eastAsia="Times New Roman"/>
          <w:bCs/>
          <w:sz w:val="20"/>
          <w:szCs w:val="20"/>
          <w:bdr w:val="none" w:sz="0" w:space="0" w:color="auto"/>
          <w:lang w:val="es-ES"/>
        </w:rPr>
      </w:pPr>
    </w:p>
    <w:p w:rsidR="00D20725" w:rsidRPr="00A16D62" w:rsidRDefault="001C1F5D"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El </w:t>
      </w:r>
      <w:r w:rsidR="005F4D83" w:rsidRPr="00A16D62">
        <w:rPr>
          <w:rFonts w:ascii="Cambria" w:eastAsia="Times New Roman" w:hAnsi="Cambria"/>
          <w:bCs/>
          <w:sz w:val="20"/>
          <w:szCs w:val="20"/>
          <w:bdr w:val="none" w:sz="0" w:space="0" w:color="auto"/>
          <w:lang w:val="es-ES"/>
        </w:rPr>
        <w:t>27</w:t>
      </w:r>
      <w:r w:rsidRPr="00A16D62">
        <w:rPr>
          <w:rFonts w:ascii="Cambria" w:eastAsia="Times New Roman" w:hAnsi="Cambria"/>
          <w:bCs/>
          <w:sz w:val="20"/>
          <w:szCs w:val="20"/>
          <w:bdr w:val="none" w:sz="0" w:space="0" w:color="auto"/>
          <w:lang w:val="es-ES"/>
        </w:rPr>
        <w:t xml:space="preserve"> de junio de </w:t>
      </w:r>
      <w:r w:rsidR="005F4D83" w:rsidRPr="00A16D62">
        <w:rPr>
          <w:rFonts w:ascii="Cambria" w:eastAsia="Times New Roman" w:hAnsi="Cambria"/>
          <w:bCs/>
          <w:sz w:val="20"/>
          <w:szCs w:val="20"/>
          <w:bdr w:val="none" w:sz="0" w:space="0" w:color="auto"/>
          <w:lang w:val="es-ES"/>
        </w:rPr>
        <w:t xml:space="preserve">2014, </w:t>
      </w:r>
      <w:r w:rsidRPr="00A16D62">
        <w:rPr>
          <w:rFonts w:ascii="Cambria" w:eastAsia="Times New Roman" w:hAnsi="Cambria"/>
          <w:bCs/>
          <w:sz w:val="20"/>
          <w:szCs w:val="20"/>
          <w:bdr w:val="none" w:sz="0" w:space="0" w:color="auto"/>
          <w:lang w:val="es-ES"/>
        </w:rPr>
        <w:t>la CIDH</w:t>
      </w:r>
      <w:r w:rsidR="005F4D83" w:rsidRPr="00A16D62">
        <w:rPr>
          <w:rFonts w:ascii="Cambria" w:eastAsia="Times New Roman" w:hAnsi="Cambria"/>
          <w:bCs/>
          <w:sz w:val="20"/>
          <w:szCs w:val="20"/>
          <w:bdr w:val="none" w:sz="0" w:space="0" w:color="auto"/>
          <w:lang w:val="es-ES"/>
        </w:rPr>
        <w:t xml:space="preserve"> rec</w:t>
      </w:r>
      <w:r w:rsidRPr="00A16D62">
        <w:rPr>
          <w:rFonts w:ascii="Cambria" w:eastAsia="Times New Roman" w:hAnsi="Cambria"/>
          <w:bCs/>
          <w:sz w:val="20"/>
          <w:szCs w:val="20"/>
          <w:bdr w:val="none" w:sz="0" w:space="0" w:color="auto"/>
          <w:lang w:val="es-ES"/>
        </w:rPr>
        <w:t xml:space="preserve">ibió la respuesta de </w:t>
      </w:r>
      <w:r w:rsidR="007E4498" w:rsidRPr="00A16D62">
        <w:rPr>
          <w:rFonts w:ascii="Cambria" w:eastAsia="Times New Roman" w:hAnsi="Cambria"/>
          <w:bCs/>
          <w:sz w:val="20"/>
          <w:szCs w:val="20"/>
          <w:bdr w:val="none" w:sz="0" w:space="0" w:color="auto"/>
          <w:lang w:val="es-ES"/>
        </w:rPr>
        <w:t>Estados Unidos</w:t>
      </w:r>
      <w:r w:rsidRPr="00A16D62">
        <w:rPr>
          <w:rFonts w:ascii="Cambria" w:eastAsia="Times New Roman" w:hAnsi="Cambria"/>
          <w:bCs/>
          <w:sz w:val="20"/>
          <w:szCs w:val="20"/>
          <w:bdr w:val="none" w:sz="0" w:space="0" w:color="auto"/>
          <w:lang w:val="es-ES"/>
        </w:rPr>
        <w:t xml:space="preserve"> </w:t>
      </w:r>
      <w:r w:rsidR="009A5408" w:rsidRPr="00A16D62">
        <w:rPr>
          <w:rFonts w:ascii="Cambria" w:eastAsia="Times New Roman" w:hAnsi="Cambria"/>
          <w:bCs/>
          <w:sz w:val="20"/>
          <w:szCs w:val="20"/>
          <w:bdr w:val="none" w:sz="0" w:space="0" w:color="auto"/>
          <w:lang w:val="es-ES"/>
        </w:rPr>
        <w:t>sobre el fondo</w:t>
      </w:r>
      <w:r w:rsidR="005A127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cuyas partes pertinentes fueron transmitidas debidamente a </w:t>
      </w:r>
      <w:r w:rsidR="00180125" w:rsidRPr="00A16D62">
        <w:rPr>
          <w:rFonts w:ascii="Cambria" w:eastAsia="Times New Roman" w:hAnsi="Cambria"/>
          <w:bCs/>
          <w:sz w:val="20"/>
          <w:szCs w:val="20"/>
          <w:bdr w:val="none" w:sz="0" w:space="0" w:color="auto"/>
          <w:lang w:val="es-ES"/>
        </w:rPr>
        <w:t>los peticionarios</w:t>
      </w:r>
      <w:r w:rsidR="005A127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el </w:t>
      </w:r>
      <w:r w:rsidR="005A127B" w:rsidRPr="00A16D62">
        <w:rPr>
          <w:rFonts w:ascii="Cambria" w:eastAsia="Times New Roman" w:hAnsi="Cambria"/>
          <w:bCs/>
          <w:sz w:val="20"/>
          <w:szCs w:val="20"/>
          <w:bdr w:val="none" w:sz="0" w:space="0" w:color="auto"/>
          <w:lang w:val="es-ES"/>
        </w:rPr>
        <w:t>5</w:t>
      </w:r>
      <w:r w:rsidRPr="00A16D62">
        <w:rPr>
          <w:rFonts w:ascii="Cambria" w:eastAsia="Times New Roman" w:hAnsi="Cambria"/>
          <w:bCs/>
          <w:sz w:val="20"/>
          <w:szCs w:val="20"/>
          <w:bdr w:val="none" w:sz="0" w:space="0" w:color="auto"/>
          <w:lang w:val="es-ES"/>
        </w:rPr>
        <w:t xml:space="preserve"> de septiembre de</w:t>
      </w:r>
      <w:r w:rsidR="005A127B" w:rsidRPr="00A16D62">
        <w:rPr>
          <w:rFonts w:ascii="Cambria" w:eastAsia="Times New Roman" w:hAnsi="Cambria"/>
          <w:bCs/>
          <w:sz w:val="20"/>
          <w:szCs w:val="20"/>
          <w:bdr w:val="none" w:sz="0" w:space="0" w:color="auto"/>
          <w:lang w:val="es-ES"/>
        </w:rPr>
        <w:t xml:space="preserve"> 2014. </w:t>
      </w:r>
    </w:p>
    <w:p w:rsidR="004347D8" w:rsidRPr="00A16D62" w:rsidRDefault="004347D8" w:rsidP="004347D8">
      <w:pPr>
        <w:pStyle w:val="ListParagraph"/>
        <w:rPr>
          <w:rFonts w:eastAsia="Times New Roman"/>
          <w:bCs/>
          <w:sz w:val="20"/>
          <w:szCs w:val="20"/>
          <w:bdr w:val="none" w:sz="0" w:space="0" w:color="auto"/>
          <w:lang w:val="es-ES"/>
        </w:rPr>
      </w:pPr>
    </w:p>
    <w:p w:rsidR="004347D8" w:rsidRPr="00A16D62" w:rsidRDefault="001C1F5D"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Entretanto, </w:t>
      </w:r>
      <w:r w:rsidR="00180125" w:rsidRPr="00A16D62">
        <w:rPr>
          <w:rFonts w:ascii="Cambria" w:eastAsia="Times New Roman" w:hAnsi="Cambria"/>
          <w:bCs/>
          <w:sz w:val="20"/>
          <w:szCs w:val="20"/>
          <w:bdr w:val="none" w:sz="0" w:space="0" w:color="auto"/>
          <w:lang w:val="es-ES"/>
        </w:rPr>
        <w:t>los peticionarios</w:t>
      </w:r>
      <w:r w:rsidR="004347D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solicitaron una audiencia </w:t>
      </w:r>
      <w:r w:rsidR="009A5408" w:rsidRPr="00A16D62">
        <w:rPr>
          <w:rFonts w:ascii="Cambria" w:eastAsia="Times New Roman" w:hAnsi="Cambria"/>
          <w:bCs/>
          <w:sz w:val="20"/>
          <w:szCs w:val="20"/>
          <w:bdr w:val="none" w:sz="0" w:space="0" w:color="auto"/>
          <w:lang w:val="es-ES"/>
        </w:rPr>
        <w:t>sobre el fondo</w:t>
      </w:r>
      <w:r w:rsidR="004347D8" w:rsidRPr="00A16D62">
        <w:rPr>
          <w:rFonts w:ascii="Cambria" w:eastAsia="Times New Roman" w:hAnsi="Cambria"/>
          <w:bCs/>
          <w:sz w:val="20"/>
          <w:szCs w:val="20"/>
          <w:bdr w:val="none" w:sz="0" w:space="0" w:color="auto"/>
          <w:lang w:val="es-ES"/>
        </w:rPr>
        <w:t xml:space="preserve"> dur</w:t>
      </w:r>
      <w:r w:rsidRPr="00A16D62">
        <w:rPr>
          <w:rFonts w:ascii="Cambria" w:eastAsia="Times New Roman" w:hAnsi="Cambria"/>
          <w:bCs/>
          <w:sz w:val="20"/>
          <w:szCs w:val="20"/>
          <w:bdr w:val="none" w:sz="0" w:space="0" w:color="auto"/>
          <w:lang w:val="es-ES"/>
        </w:rPr>
        <w:t xml:space="preserve">ante el </w:t>
      </w:r>
      <w:r w:rsidR="004347D8" w:rsidRPr="00A16D62">
        <w:rPr>
          <w:rFonts w:ascii="Cambria" w:eastAsia="Times New Roman" w:hAnsi="Cambria"/>
          <w:bCs/>
          <w:sz w:val="20"/>
          <w:szCs w:val="20"/>
          <w:bdr w:val="none" w:sz="0" w:space="0" w:color="auto"/>
          <w:lang w:val="es-ES"/>
        </w:rPr>
        <w:t xml:space="preserve">147 </w:t>
      </w:r>
      <w:r w:rsidR="003659D7" w:rsidRPr="00A16D62">
        <w:rPr>
          <w:rFonts w:ascii="Cambria" w:eastAsia="Times New Roman" w:hAnsi="Cambria"/>
          <w:bCs/>
          <w:sz w:val="20"/>
          <w:szCs w:val="20"/>
          <w:bdr w:val="none" w:sz="0" w:space="0" w:color="auto"/>
          <w:lang w:val="es-ES"/>
        </w:rPr>
        <w:t>Período de Sesiones</w:t>
      </w:r>
      <w:r w:rsidR="004347D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que tuvo lugar del </w:t>
      </w:r>
      <w:r w:rsidR="004347D8" w:rsidRPr="00A16D62">
        <w:rPr>
          <w:rFonts w:ascii="Cambria" w:eastAsia="Times New Roman" w:hAnsi="Cambria"/>
          <w:bCs/>
          <w:sz w:val="20"/>
          <w:szCs w:val="20"/>
          <w:bdr w:val="none" w:sz="0" w:space="0" w:color="auto"/>
          <w:lang w:val="es-ES"/>
        </w:rPr>
        <w:t>7</w:t>
      </w:r>
      <w:r w:rsidRPr="00A16D62">
        <w:rPr>
          <w:rFonts w:ascii="Cambria" w:eastAsia="Times New Roman" w:hAnsi="Cambria"/>
          <w:bCs/>
          <w:sz w:val="20"/>
          <w:szCs w:val="20"/>
          <w:bdr w:val="none" w:sz="0" w:space="0" w:color="auto"/>
          <w:lang w:val="es-ES"/>
        </w:rPr>
        <w:t xml:space="preserve"> al </w:t>
      </w:r>
      <w:r w:rsidR="004347D8" w:rsidRPr="00A16D62">
        <w:rPr>
          <w:rFonts w:ascii="Cambria" w:eastAsia="Times New Roman" w:hAnsi="Cambria"/>
          <w:bCs/>
          <w:sz w:val="20"/>
          <w:szCs w:val="20"/>
          <w:bdr w:val="none" w:sz="0" w:space="0" w:color="auto"/>
          <w:lang w:val="es-ES"/>
        </w:rPr>
        <w:t>22</w:t>
      </w:r>
      <w:r w:rsidRPr="00A16D62">
        <w:rPr>
          <w:rFonts w:ascii="Cambria" w:eastAsia="Times New Roman" w:hAnsi="Cambria"/>
          <w:bCs/>
          <w:sz w:val="20"/>
          <w:szCs w:val="20"/>
          <w:bdr w:val="none" w:sz="0" w:space="0" w:color="auto"/>
          <w:lang w:val="es-ES"/>
        </w:rPr>
        <w:t xml:space="preserve"> de marzo de </w:t>
      </w:r>
      <w:r w:rsidR="004347D8" w:rsidRPr="00A16D62">
        <w:rPr>
          <w:rFonts w:ascii="Cambria" w:eastAsia="Times New Roman" w:hAnsi="Cambria"/>
          <w:bCs/>
          <w:sz w:val="20"/>
          <w:szCs w:val="20"/>
          <w:bdr w:val="none" w:sz="0" w:space="0" w:color="auto"/>
          <w:lang w:val="es-ES"/>
        </w:rPr>
        <w:t>2013</w:t>
      </w:r>
      <w:r w:rsidR="008F7788" w:rsidRPr="00A16D62">
        <w:rPr>
          <w:rFonts w:ascii="Cambria" w:eastAsia="Times New Roman" w:hAnsi="Cambria"/>
          <w:bCs/>
          <w:sz w:val="20"/>
          <w:szCs w:val="20"/>
          <w:bdr w:val="none" w:sz="0" w:space="0" w:color="auto"/>
          <w:lang w:val="es-ES"/>
        </w:rPr>
        <w:t>,</w:t>
      </w:r>
      <w:r w:rsidR="00817956"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y otra vez durante el 1</w:t>
      </w:r>
      <w:r w:rsidR="004347D8" w:rsidRPr="00A16D62">
        <w:rPr>
          <w:rFonts w:ascii="Cambria" w:eastAsia="Times New Roman" w:hAnsi="Cambria"/>
          <w:bCs/>
          <w:sz w:val="20"/>
          <w:szCs w:val="20"/>
          <w:bdr w:val="none" w:sz="0" w:space="0" w:color="auto"/>
          <w:lang w:val="es-ES"/>
        </w:rPr>
        <w:t xml:space="preserve">53 </w:t>
      </w:r>
      <w:r w:rsidR="003659D7" w:rsidRPr="00A16D62">
        <w:rPr>
          <w:rFonts w:ascii="Cambria" w:eastAsia="Times New Roman" w:hAnsi="Cambria"/>
          <w:bCs/>
          <w:sz w:val="20"/>
          <w:szCs w:val="20"/>
          <w:bdr w:val="none" w:sz="0" w:space="0" w:color="auto"/>
          <w:lang w:val="es-ES"/>
        </w:rPr>
        <w:t>Período de Sesiones</w:t>
      </w:r>
      <w:r w:rsidR="004347D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del </w:t>
      </w:r>
      <w:r w:rsidR="004347D8" w:rsidRPr="00A16D62">
        <w:rPr>
          <w:rFonts w:ascii="Cambria" w:eastAsia="Times New Roman" w:hAnsi="Cambria"/>
          <w:bCs/>
          <w:sz w:val="20"/>
          <w:szCs w:val="20"/>
          <w:bdr w:val="none" w:sz="0" w:space="0" w:color="auto"/>
          <w:lang w:val="es-ES"/>
        </w:rPr>
        <w:t>23</w:t>
      </w:r>
      <w:r w:rsidRPr="00A16D62">
        <w:rPr>
          <w:rFonts w:ascii="Cambria" w:eastAsia="Times New Roman" w:hAnsi="Cambria"/>
          <w:bCs/>
          <w:sz w:val="20"/>
          <w:szCs w:val="20"/>
          <w:bdr w:val="none" w:sz="0" w:space="0" w:color="auto"/>
          <w:lang w:val="es-ES"/>
        </w:rPr>
        <w:t xml:space="preserve"> de octubre al </w:t>
      </w:r>
      <w:r w:rsidR="004347D8" w:rsidRPr="00A16D62">
        <w:rPr>
          <w:rFonts w:ascii="Cambria" w:eastAsia="Times New Roman" w:hAnsi="Cambria"/>
          <w:bCs/>
          <w:sz w:val="20"/>
          <w:szCs w:val="20"/>
          <w:bdr w:val="none" w:sz="0" w:space="0" w:color="auto"/>
          <w:lang w:val="es-ES"/>
        </w:rPr>
        <w:t>7</w:t>
      </w:r>
      <w:r w:rsidRPr="00A16D62">
        <w:rPr>
          <w:rFonts w:ascii="Cambria" w:eastAsia="Times New Roman" w:hAnsi="Cambria"/>
          <w:bCs/>
          <w:sz w:val="20"/>
          <w:szCs w:val="20"/>
          <w:bdr w:val="none" w:sz="0" w:space="0" w:color="auto"/>
          <w:lang w:val="es-ES"/>
        </w:rPr>
        <w:t xml:space="preserve"> de noviembre de</w:t>
      </w:r>
      <w:r w:rsidR="004347D8" w:rsidRPr="00A16D62">
        <w:rPr>
          <w:rFonts w:ascii="Cambria" w:eastAsia="Times New Roman" w:hAnsi="Cambria"/>
          <w:bCs/>
          <w:sz w:val="20"/>
          <w:szCs w:val="20"/>
          <w:bdr w:val="none" w:sz="0" w:space="0" w:color="auto"/>
          <w:lang w:val="es-ES"/>
        </w:rPr>
        <w:t xml:space="preserve"> 2014</w:t>
      </w:r>
      <w:r w:rsidRPr="00A16D62">
        <w:rPr>
          <w:rFonts w:ascii="Cambria" w:eastAsia="Times New Roman" w:hAnsi="Cambria"/>
          <w:bCs/>
          <w:sz w:val="20"/>
          <w:szCs w:val="20"/>
          <w:bdr w:val="none" w:sz="0" w:space="0" w:color="auto"/>
          <w:lang w:val="es-ES"/>
        </w:rPr>
        <w:t xml:space="preserve">. Estas audiencias no fueron otorgadas debido al gran número de solicitudes recibidas. </w:t>
      </w:r>
      <w:r w:rsidR="00180125" w:rsidRPr="00A16D62">
        <w:rPr>
          <w:rFonts w:ascii="Cambria" w:eastAsia="Times New Roman" w:hAnsi="Cambria"/>
          <w:bCs/>
          <w:sz w:val="20"/>
          <w:szCs w:val="20"/>
          <w:bdr w:val="none" w:sz="0" w:space="0" w:color="auto"/>
          <w:lang w:val="es-ES"/>
        </w:rPr>
        <w:t>La Comisión</w:t>
      </w:r>
      <w:r w:rsidR="004347D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atendió el pedido de </w:t>
      </w:r>
      <w:r w:rsidR="00180125" w:rsidRPr="00A16D62">
        <w:rPr>
          <w:rFonts w:ascii="Cambria" w:eastAsia="Times New Roman" w:hAnsi="Cambria"/>
          <w:bCs/>
          <w:sz w:val="20"/>
          <w:szCs w:val="20"/>
          <w:bdr w:val="none" w:sz="0" w:space="0" w:color="auto"/>
          <w:lang w:val="es-ES"/>
        </w:rPr>
        <w:t>los peticionarios</w:t>
      </w:r>
      <w:r w:rsidRPr="00A16D62">
        <w:rPr>
          <w:rFonts w:ascii="Cambria" w:eastAsia="Times New Roman" w:hAnsi="Cambria"/>
          <w:bCs/>
          <w:sz w:val="20"/>
          <w:szCs w:val="20"/>
          <w:bdr w:val="none" w:sz="0" w:space="0" w:color="auto"/>
          <w:lang w:val="es-ES"/>
        </w:rPr>
        <w:t xml:space="preserve"> y les otorgó una audiencia</w:t>
      </w:r>
      <w:r w:rsidR="00114DA7" w:rsidRPr="00A16D62">
        <w:rPr>
          <w:rFonts w:ascii="Cambria" w:eastAsia="Times New Roman" w:hAnsi="Cambria"/>
          <w:bCs/>
          <w:sz w:val="20"/>
          <w:szCs w:val="20"/>
          <w:bdr w:val="none" w:sz="0" w:space="0" w:color="auto"/>
          <w:lang w:val="es-ES"/>
        </w:rPr>
        <w:t xml:space="preserve"> sobre el fondo del caso el 16 de marzo de 2015,</w:t>
      </w:r>
      <w:r w:rsidRPr="00A16D62">
        <w:rPr>
          <w:rFonts w:ascii="Cambria" w:eastAsia="Times New Roman" w:hAnsi="Cambria"/>
          <w:bCs/>
          <w:sz w:val="20"/>
          <w:szCs w:val="20"/>
          <w:bdr w:val="none" w:sz="0" w:space="0" w:color="auto"/>
          <w:lang w:val="es-ES"/>
        </w:rPr>
        <w:t xml:space="preserve"> durante el </w:t>
      </w:r>
      <w:r w:rsidR="004347D8" w:rsidRPr="00A16D62">
        <w:rPr>
          <w:rFonts w:ascii="Cambria" w:eastAsia="Times New Roman" w:hAnsi="Cambria"/>
          <w:bCs/>
          <w:sz w:val="20"/>
          <w:szCs w:val="20"/>
          <w:bdr w:val="none" w:sz="0" w:space="0" w:color="auto"/>
          <w:lang w:val="es-ES"/>
        </w:rPr>
        <w:t xml:space="preserve">154 </w:t>
      </w:r>
      <w:r w:rsidR="003659D7" w:rsidRPr="00A16D62">
        <w:rPr>
          <w:rFonts w:ascii="Cambria" w:eastAsia="Times New Roman" w:hAnsi="Cambria"/>
          <w:bCs/>
          <w:sz w:val="20"/>
          <w:szCs w:val="20"/>
          <w:bdr w:val="none" w:sz="0" w:space="0" w:color="auto"/>
          <w:lang w:val="es-ES"/>
        </w:rPr>
        <w:t>Período de Sesiones</w:t>
      </w:r>
      <w:r w:rsidR="00817956" w:rsidRPr="00A16D62">
        <w:rPr>
          <w:rStyle w:val="FootnoteReference"/>
          <w:rFonts w:ascii="Cambria" w:eastAsia="Times New Roman" w:hAnsi="Cambria"/>
          <w:bCs/>
          <w:sz w:val="20"/>
          <w:szCs w:val="20"/>
          <w:bdr w:val="none" w:sz="0" w:space="0" w:color="auto"/>
          <w:lang w:val="es-ES"/>
        </w:rPr>
        <w:footnoteReference w:id="6"/>
      </w:r>
      <w:r w:rsidR="00114DA7" w:rsidRPr="00A16D62">
        <w:rPr>
          <w:rFonts w:ascii="Cambria" w:eastAsia="Times New Roman" w:hAnsi="Cambria"/>
          <w:bCs/>
          <w:sz w:val="20"/>
          <w:szCs w:val="20"/>
          <w:bdr w:val="none" w:sz="0" w:space="0" w:color="auto"/>
          <w:lang w:val="es-ES"/>
        </w:rPr>
        <w:t>.</w:t>
      </w:r>
    </w:p>
    <w:p w:rsidR="00804ADC" w:rsidRPr="00A16D62" w:rsidRDefault="00CC3419" w:rsidP="00B024D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r>
        <w:rPr>
          <w:lang w:val="es-ES"/>
        </w:rPr>
        <w:t xml:space="preserve"> </w:t>
      </w:r>
    </w:p>
    <w:p w:rsidR="004347D8" w:rsidRPr="00A16D62" w:rsidRDefault="004347D8" w:rsidP="00A76BB1">
      <w:pPr>
        <w:pStyle w:val="Heading1"/>
        <w:ind w:firstLine="720"/>
        <w:rPr>
          <w:lang w:val="es-ES"/>
        </w:rPr>
      </w:pPr>
      <w:bookmarkStart w:id="9" w:name="_Toc467138436"/>
      <w:r w:rsidRPr="00A16D62">
        <w:rPr>
          <w:lang w:val="es-ES"/>
        </w:rPr>
        <w:t xml:space="preserve">III. </w:t>
      </w:r>
      <w:r w:rsidRPr="00A16D62">
        <w:rPr>
          <w:lang w:val="es-ES"/>
        </w:rPr>
        <w:tab/>
      </w:r>
      <w:bookmarkStart w:id="10" w:name="_Toc401405586"/>
      <w:bookmarkStart w:id="11" w:name="_Toc433904564"/>
      <w:r w:rsidR="009A5408" w:rsidRPr="00A16D62">
        <w:rPr>
          <w:lang w:val="es-ES"/>
        </w:rPr>
        <w:t>POSICI</w:t>
      </w:r>
      <w:r w:rsidR="004952E6" w:rsidRPr="00A16D62">
        <w:rPr>
          <w:lang w:val="es-ES"/>
        </w:rPr>
        <w:t>Ó</w:t>
      </w:r>
      <w:r w:rsidR="009A5408" w:rsidRPr="00A16D62">
        <w:rPr>
          <w:lang w:val="es-ES"/>
        </w:rPr>
        <w:t>N DE LAS PARTES</w:t>
      </w:r>
      <w:bookmarkEnd w:id="9"/>
      <w:bookmarkEnd w:id="10"/>
      <w:bookmarkEnd w:id="11"/>
      <w:r w:rsidRPr="00A16D62">
        <w:rPr>
          <w:lang w:val="es-ES"/>
        </w:rPr>
        <w:t xml:space="preserve"> </w:t>
      </w:r>
    </w:p>
    <w:p w:rsidR="00804ADC" w:rsidRPr="00A16D62" w:rsidRDefault="00804ADC" w:rsidP="00D2072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C55560" w:rsidRPr="00A16D62" w:rsidRDefault="00180125" w:rsidP="00B164EF">
      <w:pPr>
        <w:pStyle w:val="Heading2"/>
        <w:ind w:left="1440" w:hanging="720"/>
        <w:rPr>
          <w:lang w:val="es-ES"/>
        </w:rPr>
      </w:pPr>
      <w:bookmarkStart w:id="12" w:name="_Toc467138437"/>
      <w:r w:rsidRPr="00A16D62">
        <w:rPr>
          <w:lang w:val="es-ES"/>
        </w:rPr>
        <w:t>Los peticionarios</w:t>
      </w:r>
      <w:bookmarkEnd w:id="12"/>
      <w:r w:rsidR="004347D8" w:rsidRPr="00A16D62">
        <w:rPr>
          <w:lang w:val="es-ES"/>
        </w:rPr>
        <w:t xml:space="preserve"> </w:t>
      </w:r>
    </w:p>
    <w:p w:rsidR="004347D8" w:rsidRPr="00A16D62" w:rsidRDefault="004347D8" w:rsidP="004347D8">
      <w:pPr>
        <w:rPr>
          <w:lang w:val="es-ES"/>
        </w:rPr>
      </w:pPr>
    </w:p>
    <w:p w:rsidR="004347D8" w:rsidRPr="00A16D62" w:rsidRDefault="0018012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Los peticionarios</w:t>
      </w:r>
      <w:r w:rsidR="00496C38" w:rsidRPr="00A16D62">
        <w:rPr>
          <w:rFonts w:ascii="Cambria" w:eastAsia="Times New Roman" w:hAnsi="Cambria"/>
          <w:bCs/>
          <w:sz w:val="20"/>
          <w:szCs w:val="20"/>
          <w:bdr w:val="none" w:sz="0" w:space="0" w:color="auto"/>
          <w:lang w:val="es-ES"/>
        </w:rPr>
        <w:t xml:space="preserve"> indica</w:t>
      </w:r>
      <w:r w:rsidR="00B8732F" w:rsidRPr="00A16D62">
        <w:rPr>
          <w:rFonts w:ascii="Cambria" w:eastAsia="Times New Roman" w:hAnsi="Cambria"/>
          <w:bCs/>
          <w:sz w:val="20"/>
          <w:szCs w:val="20"/>
          <w:bdr w:val="none" w:sz="0" w:space="0" w:color="auto"/>
          <w:lang w:val="es-ES"/>
        </w:rPr>
        <w:t xml:space="preserve">n que la presente demanda </w:t>
      </w:r>
      <w:r w:rsidR="003E2C91" w:rsidRPr="00A16D62">
        <w:rPr>
          <w:rFonts w:ascii="Cambria" w:eastAsia="Times New Roman" w:hAnsi="Cambria"/>
          <w:bCs/>
          <w:sz w:val="20"/>
          <w:szCs w:val="20"/>
          <w:bdr w:val="none" w:sz="0" w:space="0" w:color="auto"/>
          <w:lang w:val="es-ES"/>
        </w:rPr>
        <w:t>pone en tela de juicio</w:t>
      </w:r>
      <w:r w:rsidR="00B8732F" w:rsidRPr="00A16D62">
        <w:rPr>
          <w:rFonts w:ascii="Cambria" w:eastAsia="Times New Roman" w:hAnsi="Cambria"/>
          <w:bCs/>
          <w:sz w:val="20"/>
          <w:szCs w:val="20"/>
          <w:bdr w:val="none" w:sz="0" w:space="0" w:color="auto"/>
          <w:lang w:val="es-ES"/>
        </w:rPr>
        <w:t xml:space="preserve"> la discriminación </w:t>
      </w:r>
      <w:r w:rsidR="003E2C91" w:rsidRPr="00A16D62">
        <w:rPr>
          <w:rFonts w:ascii="Cambria" w:eastAsia="Times New Roman" w:hAnsi="Cambria"/>
          <w:bCs/>
          <w:sz w:val="20"/>
          <w:szCs w:val="20"/>
          <w:bdr w:val="none" w:sz="0" w:space="0" w:color="auto"/>
          <w:lang w:val="es-ES"/>
        </w:rPr>
        <w:t>tolerada por el Estado contra los</w:t>
      </w:r>
      <w:r w:rsidR="00496C38" w:rsidRPr="00A16D62">
        <w:rPr>
          <w:rFonts w:ascii="Cambria" w:eastAsia="Times New Roman" w:hAnsi="Cambria"/>
          <w:bCs/>
          <w:sz w:val="20"/>
          <w:szCs w:val="20"/>
          <w:bdr w:val="none" w:sz="0" w:space="0" w:color="auto"/>
          <w:lang w:val="es-ES"/>
        </w:rPr>
        <w:t xml:space="preserve"> </w:t>
      </w:r>
      <w:r w:rsidR="00082EEC" w:rsidRPr="00A16D62">
        <w:rPr>
          <w:rFonts w:ascii="Cambria" w:eastAsia="Times New Roman" w:hAnsi="Cambria"/>
          <w:bCs/>
          <w:sz w:val="20"/>
          <w:szCs w:val="20"/>
          <w:bdr w:val="none" w:sz="0" w:space="0" w:color="auto"/>
          <w:lang w:val="es-ES"/>
        </w:rPr>
        <w:t>trabajadores inmigrantes indocumentados</w:t>
      </w:r>
      <w:r w:rsidR="004873E3" w:rsidRPr="00A16D62">
        <w:rPr>
          <w:rStyle w:val="FootnoteReference"/>
          <w:rFonts w:ascii="Cambria" w:eastAsia="Times New Roman" w:hAnsi="Cambria"/>
          <w:bCs/>
          <w:sz w:val="20"/>
          <w:szCs w:val="20"/>
          <w:bdr w:val="none" w:sz="0" w:space="0" w:color="auto"/>
          <w:lang w:val="es-ES"/>
        </w:rPr>
        <w:footnoteReference w:id="7"/>
      </w:r>
      <w:r w:rsidR="00496C38" w:rsidRPr="00A16D62">
        <w:rPr>
          <w:rFonts w:ascii="Cambria" w:eastAsia="Times New Roman" w:hAnsi="Cambria"/>
          <w:bCs/>
          <w:sz w:val="20"/>
          <w:szCs w:val="20"/>
          <w:bdr w:val="none" w:sz="0" w:space="0" w:color="auto"/>
          <w:lang w:val="es-ES"/>
        </w:rPr>
        <w:t xml:space="preserve"> </w:t>
      </w:r>
      <w:r w:rsidR="003E2C91" w:rsidRPr="00A16D62">
        <w:rPr>
          <w:rFonts w:ascii="Cambria" w:eastAsia="Times New Roman" w:hAnsi="Cambria"/>
          <w:bCs/>
          <w:sz w:val="20"/>
          <w:szCs w:val="20"/>
          <w:bdr w:val="none" w:sz="0" w:space="0" w:color="auto"/>
          <w:lang w:val="es-ES"/>
        </w:rPr>
        <w:t>e</w:t>
      </w:r>
      <w:r w:rsidR="00496C38" w:rsidRPr="00A16D62">
        <w:rPr>
          <w:rFonts w:ascii="Cambria" w:eastAsia="Times New Roman" w:hAnsi="Cambria"/>
          <w:bCs/>
          <w:sz w:val="20"/>
          <w:szCs w:val="20"/>
          <w:bdr w:val="none" w:sz="0" w:space="0" w:color="auto"/>
          <w:lang w:val="es-ES"/>
        </w:rPr>
        <w:t xml:space="preserve">n </w:t>
      </w:r>
      <w:r w:rsidR="007E4498" w:rsidRPr="00A16D62">
        <w:rPr>
          <w:rFonts w:ascii="Cambria" w:eastAsia="Times New Roman" w:hAnsi="Cambria"/>
          <w:bCs/>
          <w:sz w:val="20"/>
          <w:szCs w:val="20"/>
          <w:bdr w:val="none" w:sz="0" w:space="0" w:color="auto"/>
          <w:lang w:val="es-ES"/>
        </w:rPr>
        <w:t>Estados Unidos</w:t>
      </w:r>
      <w:r w:rsidR="00496C38" w:rsidRPr="00A16D62">
        <w:rPr>
          <w:rFonts w:ascii="Cambria" w:eastAsia="Times New Roman" w:hAnsi="Cambria"/>
          <w:bCs/>
          <w:sz w:val="20"/>
          <w:szCs w:val="20"/>
          <w:bdr w:val="none" w:sz="0" w:space="0" w:color="auto"/>
          <w:lang w:val="es-ES"/>
        </w:rPr>
        <w:t>.</w:t>
      </w:r>
      <w:r w:rsidR="007A304C" w:rsidRPr="00A16D62">
        <w:rPr>
          <w:rFonts w:ascii="Cambria" w:eastAsia="Times New Roman" w:hAnsi="Cambria"/>
          <w:bCs/>
          <w:sz w:val="20"/>
          <w:szCs w:val="20"/>
          <w:bdr w:val="none" w:sz="0" w:space="0" w:color="auto"/>
          <w:lang w:val="es-ES"/>
        </w:rPr>
        <w:t xml:space="preserve"> </w:t>
      </w:r>
      <w:r w:rsidR="009A5408" w:rsidRPr="00A16D62">
        <w:rPr>
          <w:rFonts w:ascii="Cambria" w:eastAsia="Times New Roman" w:hAnsi="Cambria"/>
          <w:bCs/>
          <w:sz w:val="20"/>
          <w:szCs w:val="20"/>
          <w:bdr w:val="none" w:sz="0" w:space="0" w:color="auto"/>
          <w:lang w:val="es-ES"/>
        </w:rPr>
        <w:t>Los peticionarios</w:t>
      </w:r>
      <w:r w:rsidR="007A304C" w:rsidRPr="00A16D62">
        <w:rPr>
          <w:rFonts w:ascii="Cambria" w:eastAsia="Times New Roman" w:hAnsi="Cambria"/>
          <w:bCs/>
          <w:sz w:val="20"/>
          <w:szCs w:val="20"/>
          <w:bdr w:val="none" w:sz="0" w:space="0" w:color="auto"/>
          <w:lang w:val="es-ES"/>
        </w:rPr>
        <w:t xml:space="preserve"> represent</w:t>
      </w:r>
      <w:r w:rsidR="003E2C91" w:rsidRPr="00A16D62">
        <w:rPr>
          <w:rFonts w:ascii="Cambria" w:eastAsia="Times New Roman" w:hAnsi="Cambria"/>
          <w:bCs/>
          <w:sz w:val="20"/>
          <w:szCs w:val="20"/>
          <w:bdr w:val="none" w:sz="0" w:space="0" w:color="auto"/>
          <w:lang w:val="es-ES"/>
        </w:rPr>
        <w:t xml:space="preserve">an a dos </w:t>
      </w:r>
      <w:r w:rsidR="00C038BF" w:rsidRPr="00A16D62">
        <w:rPr>
          <w:rFonts w:ascii="Cambria" w:eastAsia="Times New Roman" w:hAnsi="Cambria"/>
          <w:bCs/>
          <w:sz w:val="20"/>
          <w:szCs w:val="20"/>
          <w:bdr w:val="none" w:sz="0" w:space="0" w:color="auto"/>
          <w:lang w:val="es-ES"/>
        </w:rPr>
        <w:t>trabajadores indocumentados</w:t>
      </w:r>
      <w:r w:rsidR="007A304C" w:rsidRPr="00A16D62">
        <w:rPr>
          <w:rFonts w:ascii="Cambria" w:eastAsia="Times New Roman" w:hAnsi="Cambria"/>
          <w:bCs/>
          <w:sz w:val="20"/>
          <w:szCs w:val="20"/>
          <w:bdr w:val="none" w:sz="0" w:space="0" w:color="auto"/>
          <w:lang w:val="es-ES"/>
        </w:rPr>
        <w:t xml:space="preserve"> </w:t>
      </w:r>
      <w:r w:rsidR="003E2C91" w:rsidRPr="00A16D62">
        <w:rPr>
          <w:rFonts w:ascii="Cambria" w:eastAsia="Times New Roman" w:hAnsi="Cambria"/>
          <w:bCs/>
          <w:sz w:val="20"/>
          <w:szCs w:val="20"/>
          <w:bdr w:val="none" w:sz="0" w:space="0" w:color="auto"/>
          <w:lang w:val="es-ES"/>
        </w:rPr>
        <w:t>que sufrieron lesiones en el trabajo en Pensilvania</w:t>
      </w:r>
      <w:r w:rsidR="00A32BEC" w:rsidRPr="00A16D62">
        <w:rPr>
          <w:rFonts w:ascii="Cambria" w:eastAsia="Times New Roman" w:hAnsi="Cambria"/>
          <w:bCs/>
          <w:sz w:val="20"/>
          <w:szCs w:val="20"/>
          <w:bdr w:val="none" w:sz="0" w:space="0" w:color="auto"/>
          <w:lang w:val="es-ES"/>
        </w:rPr>
        <w:t xml:space="preserve"> </w:t>
      </w:r>
      <w:r w:rsidR="003E2C91" w:rsidRPr="00A16D62">
        <w:rPr>
          <w:rFonts w:ascii="Cambria" w:eastAsia="Times New Roman" w:hAnsi="Cambria"/>
          <w:bCs/>
          <w:sz w:val="20"/>
          <w:szCs w:val="20"/>
          <w:bdr w:val="none" w:sz="0" w:space="0" w:color="auto"/>
          <w:lang w:val="es-ES"/>
        </w:rPr>
        <w:t>y en</w:t>
      </w:r>
      <w:r w:rsidR="00A32BEC" w:rsidRPr="00A16D62">
        <w:rPr>
          <w:rFonts w:ascii="Cambria" w:eastAsia="Times New Roman" w:hAnsi="Cambria"/>
          <w:bCs/>
          <w:sz w:val="20"/>
          <w:szCs w:val="20"/>
          <w:bdr w:val="none" w:sz="0" w:space="0" w:color="auto"/>
          <w:lang w:val="es-ES"/>
        </w:rPr>
        <w:t xml:space="preserve"> Kansas</w:t>
      </w:r>
      <w:r w:rsidR="00817956" w:rsidRPr="00A16D62">
        <w:rPr>
          <w:rFonts w:ascii="Cambria" w:eastAsia="Times New Roman" w:hAnsi="Cambria"/>
          <w:bCs/>
          <w:sz w:val="20"/>
          <w:szCs w:val="20"/>
          <w:bdr w:val="none" w:sz="0" w:space="0" w:color="auto"/>
          <w:lang w:val="es-ES"/>
        </w:rPr>
        <w:t>, respectiv</w:t>
      </w:r>
      <w:r w:rsidR="003E2C91" w:rsidRPr="00A16D62">
        <w:rPr>
          <w:rFonts w:ascii="Cambria" w:eastAsia="Times New Roman" w:hAnsi="Cambria"/>
          <w:bCs/>
          <w:sz w:val="20"/>
          <w:szCs w:val="20"/>
          <w:bdr w:val="none" w:sz="0" w:space="0" w:color="auto"/>
          <w:lang w:val="es-ES"/>
        </w:rPr>
        <w:t>amente, a quienes supuestamente se les negaron los derechos de empleo y los recursos que estaban al alcance de sus homólogos documentados</w:t>
      </w:r>
      <w:r w:rsidR="007A304C" w:rsidRPr="00A16D62">
        <w:rPr>
          <w:rFonts w:ascii="Cambria" w:eastAsia="Times New Roman" w:hAnsi="Cambria"/>
          <w:bCs/>
          <w:sz w:val="20"/>
          <w:szCs w:val="20"/>
          <w:bdr w:val="none" w:sz="0" w:space="0" w:color="auto"/>
          <w:lang w:val="es-ES"/>
        </w:rPr>
        <w:t>.</w:t>
      </w:r>
      <w:r w:rsidR="00496C38" w:rsidRPr="00A16D62">
        <w:rPr>
          <w:rFonts w:ascii="Cambria" w:eastAsia="Times New Roman" w:hAnsi="Cambria"/>
          <w:bCs/>
          <w:sz w:val="20"/>
          <w:szCs w:val="20"/>
          <w:bdr w:val="none" w:sz="0" w:space="0" w:color="auto"/>
          <w:lang w:val="es-ES"/>
        </w:rPr>
        <w:t xml:space="preserve"> </w:t>
      </w:r>
      <w:r w:rsidR="003E2C91" w:rsidRPr="00A16D62">
        <w:rPr>
          <w:rFonts w:ascii="Cambria" w:eastAsia="Times New Roman" w:hAnsi="Cambria"/>
          <w:bCs/>
          <w:sz w:val="20"/>
          <w:szCs w:val="20"/>
          <w:bdr w:val="none" w:sz="0" w:space="0" w:color="auto"/>
          <w:lang w:val="es-ES"/>
        </w:rPr>
        <w:t xml:space="preserve">Afirman que esta </w:t>
      </w:r>
      <w:r w:rsidR="00B8732F" w:rsidRPr="00A16D62">
        <w:rPr>
          <w:rFonts w:ascii="Cambria" w:eastAsia="Times New Roman" w:hAnsi="Cambria"/>
          <w:bCs/>
          <w:sz w:val="20"/>
          <w:szCs w:val="20"/>
          <w:bdr w:val="none" w:sz="0" w:space="0" w:color="auto"/>
          <w:lang w:val="es-ES"/>
        </w:rPr>
        <w:t>discriminación</w:t>
      </w:r>
      <w:r w:rsidR="00496C38" w:rsidRPr="00A16D62">
        <w:rPr>
          <w:rFonts w:ascii="Cambria" w:eastAsia="Times New Roman" w:hAnsi="Cambria"/>
          <w:bCs/>
          <w:sz w:val="20"/>
          <w:szCs w:val="20"/>
          <w:bdr w:val="none" w:sz="0" w:space="0" w:color="auto"/>
          <w:lang w:val="es-ES"/>
        </w:rPr>
        <w:t xml:space="preserve"> </w:t>
      </w:r>
      <w:r w:rsidR="003E2C91" w:rsidRPr="00A16D62">
        <w:rPr>
          <w:rFonts w:ascii="Cambria" w:eastAsia="Times New Roman" w:hAnsi="Cambria"/>
          <w:bCs/>
          <w:sz w:val="20"/>
          <w:szCs w:val="20"/>
          <w:bdr w:val="none" w:sz="0" w:space="0" w:color="auto"/>
          <w:lang w:val="es-ES"/>
        </w:rPr>
        <w:t>emana de la decisión de la</w:t>
      </w:r>
      <w:r w:rsidR="00496C38" w:rsidRPr="00A16D62">
        <w:rPr>
          <w:rFonts w:ascii="Cambria" w:eastAsia="Times New Roman" w:hAnsi="Cambria"/>
          <w:bCs/>
          <w:sz w:val="20"/>
          <w:szCs w:val="20"/>
          <w:bdr w:val="none" w:sz="0" w:space="0" w:color="auto"/>
          <w:lang w:val="es-ES"/>
        </w:rPr>
        <w:t xml:space="preserve"> </w:t>
      </w:r>
      <w:r w:rsidR="003E2C91" w:rsidRPr="00A16D62">
        <w:rPr>
          <w:rFonts w:ascii="Cambria" w:eastAsia="Times New Roman" w:hAnsi="Cambria"/>
          <w:bCs/>
          <w:sz w:val="20"/>
          <w:szCs w:val="20"/>
          <w:bdr w:val="none" w:sz="0" w:space="0" w:color="auto"/>
          <w:lang w:val="es-ES"/>
        </w:rPr>
        <w:t>Corte Suprema de Estados Unidos en</w:t>
      </w:r>
      <w:r w:rsidR="003B17E4">
        <w:rPr>
          <w:rFonts w:ascii="Cambria" w:eastAsia="Times New Roman" w:hAnsi="Cambria"/>
          <w:bCs/>
          <w:sz w:val="20"/>
          <w:szCs w:val="20"/>
          <w:bdr w:val="none" w:sz="0" w:space="0" w:color="auto"/>
          <w:lang w:val="es-ES"/>
        </w:rPr>
        <w:t xml:space="preserve"> el caso</w:t>
      </w:r>
      <w:r w:rsidR="003E2C91" w:rsidRPr="00A16D62">
        <w:rPr>
          <w:rFonts w:ascii="Cambria" w:eastAsia="Times New Roman" w:hAnsi="Cambria"/>
          <w:bCs/>
          <w:sz w:val="20"/>
          <w:szCs w:val="20"/>
          <w:bdr w:val="none" w:sz="0" w:space="0" w:color="auto"/>
          <w:lang w:val="es-ES"/>
        </w:rPr>
        <w:t xml:space="preserve"> </w:t>
      </w:r>
      <w:r w:rsidR="00496C38" w:rsidRPr="00A16D62">
        <w:rPr>
          <w:rFonts w:ascii="Cambria" w:eastAsia="Times New Roman" w:hAnsi="Cambria"/>
          <w:bCs/>
          <w:i/>
          <w:sz w:val="20"/>
          <w:szCs w:val="20"/>
          <w:bdr w:val="none" w:sz="0" w:space="0" w:color="auto"/>
          <w:lang w:val="es-ES"/>
        </w:rPr>
        <w:t xml:space="preserve">Hoffman Plastic Compounds, Inc. </w:t>
      </w:r>
      <w:r w:rsidR="00521A6A" w:rsidRPr="00A16D62">
        <w:rPr>
          <w:rFonts w:ascii="Cambria" w:eastAsia="Times New Roman" w:hAnsi="Cambria"/>
          <w:bCs/>
          <w:i/>
          <w:sz w:val="20"/>
          <w:szCs w:val="20"/>
          <w:bdr w:val="none" w:sz="0" w:space="0" w:color="auto"/>
          <w:lang w:val="es-ES"/>
        </w:rPr>
        <w:t>c.</w:t>
      </w:r>
      <w:r w:rsidR="00496C38" w:rsidRPr="00A16D62">
        <w:rPr>
          <w:rFonts w:ascii="Cambria" w:eastAsia="Times New Roman" w:hAnsi="Cambria"/>
          <w:bCs/>
          <w:i/>
          <w:sz w:val="20"/>
          <w:szCs w:val="20"/>
          <w:bdr w:val="none" w:sz="0" w:space="0" w:color="auto"/>
          <w:lang w:val="es-ES"/>
        </w:rPr>
        <w:t xml:space="preserve"> </w:t>
      </w:r>
      <w:r w:rsidR="003C54E2" w:rsidRPr="00A16D62">
        <w:rPr>
          <w:rFonts w:ascii="Cambria" w:eastAsia="Times New Roman" w:hAnsi="Cambria"/>
          <w:bCs/>
          <w:i/>
          <w:sz w:val="20"/>
          <w:szCs w:val="20"/>
          <w:bdr w:val="none" w:sz="0" w:space="0" w:color="auto"/>
          <w:lang w:val="es-ES"/>
        </w:rPr>
        <w:t>Junta Nacional de Relaciones Laborales</w:t>
      </w:r>
      <w:r w:rsidR="00707FAE" w:rsidRPr="00A16D62">
        <w:rPr>
          <w:rStyle w:val="FootnoteReference"/>
          <w:rFonts w:ascii="Cambria" w:eastAsia="Times New Roman" w:hAnsi="Cambria"/>
          <w:bCs/>
          <w:i/>
          <w:sz w:val="20"/>
          <w:szCs w:val="20"/>
          <w:bdr w:val="none" w:sz="0" w:space="0" w:color="auto"/>
          <w:lang w:val="es-ES"/>
        </w:rPr>
        <w:footnoteReference w:id="8"/>
      </w:r>
      <w:r w:rsidR="00707FAE" w:rsidRPr="00A16D62">
        <w:rPr>
          <w:rFonts w:ascii="Cambria" w:eastAsia="Times New Roman" w:hAnsi="Cambria"/>
          <w:bCs/>
          <w:sz w:val="20"/>
          <w:szCs w:val="20"/>
          <w:bdr w:val="none" w:sz="0" w:space="0" w:color="auto"/>
          <w:lang w:val="es-ES"/>
        </w:rPr>
        <w:t xml:space="preserve">. </w:t>
      </w:r>
      <w:r w:rsidR="00B44A26" w:rsidRPr="00A16D62">
        <w:rPr>
          <w:rFonts w:ascii="Cambria" w:eastAsia="Times New Roman" w:hAnsi="Cambria"/>
          <w:bCs/>
          <w:sz w:val="20"/>
          <w:szCs w:val="20"/>
          <w:bdr w:val="none" w:sz="0" w:space="0" w:color="auto"/>
          <w:lang w:val="es-ES"/>
        </w:rPr>
        <w:t>L</w:t>
      </w:r>
      <w:r w:rsidR="009A5408" w:rsidRPr="00A16D62">
        <w:rPr>
          <w:rFonts w:ascii="Cambria" w:eastAsia="Times New Roman" w:hAnsi="Cambria"/>
          <w:bCs/>
          <w:sz w:val="20"/>
          <w:szCs w:val="20"/>
          <w:bdr w:val="none" w:sz="0" w:space="0" w:color="auto"/>
          <w:lang w:val="es-ES"/>
        </w:rPr>
        <w:t>os peticionarios</w:t>
      </w:r>
      <w:r w:rsidR="00496C38" w:rsidRPr="00A16D62">
        <w:rPr>
          <w:rFonts w:ascii="Cambria" w:eastAsia="Times New Roman" w:hAnsi="Cambria"/>
          <w:bCs/>
          <w:sz w:val="20"/>
          <w:szCs w:val="20"/>
          <w:bdr w:val="none" w:sz="0" w:space="0" w:color="auto"/>
          <w:lang w:val="es-ES"/>
        </w:rPr>
        <w:t xml:space="preserve"> </w:t>
      </w:r>
      <w:r w:rsidR="00B44A26" w:rsidRPr="00A16D62">
        <w:rPr>
          <w:rFonts w:ascii="Cambria" w:eastAsia="Times New Roman" w:hAnsi="Cambria"/>
          <w:bCs/>
          <w:sz w:val="20"/>
          <w:szCs w:val="20"/>
          <w:bdr w:val="none" w:sz="0" w:space="0" w:color="auto"/>
          <w:lang w:val="es-ES"/>
        </w:rPr>
        <w:t>señalan que, en ese caso, se cercenó el derecho de los</w:t>
      </w:r>
      <w:r w:rsidR="00496C38"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B44A26" w:rsidRPr="00A16D62">
        <w:rPr>
          <w:rFonts w:ascii="Cambria" w:eastAsia="Times New Roman" w:hAnsi="Cambria"/>
          <w:bCs/>
          <w:sz w:val="20"/>
          <w:szCs w:val="20"/>
          <w:bdr w:val="none" w:sz="0" w:space="0" w:color="auto"/>
          <w:lang w:val="es-ES"/>
        </w:rPr>
        <w:t xml:space="preserve"> a un recurso eficaz frente a la violación de su </w:t>
      </w:r>
      <w:r w:rsidR="00082EEC" w:rsidRPr="00A16D62">
        <w:rPr>
          <w:rFonts w:ascii="Cambria" w:eastAsia="Times New Roman" w:hAnsi="Cambria"/>
          <w:bCs/>
          <w:sz w:val="20"/>
          <w:szCs w:val="20"/>
          <w:bdr w:val="none" w:sz="0" w:space="0" w:color="auto"/>
          <w:lang w:val="es-ES"/>
        </w:rPr>
        <w:t>libertad de asociación</w:t>
      </w:r>
      <w:r w:rsidR="004873E3" w:rsidRPr="00A16D62">
        <w:rPr>
          <w:rFonts w:ascii="Cambria" w:eastAsia="Times New Roman" w:hAnsi="Cambria"/>
          <w:bCs/>
          <w:sz w:val="20"/>
          <w:szCs w:val="20"/>
          <w:bdr w:val="none" w:sz="0" w:space="0" w:color="auto"/>
          <w:lang w:val="es-ES"/>
        </w:rPr>
        <w:t xml:space="preserve">: </w:t>
      </w:r>
      <w:r w:rsidR="00B44A26" w:rsidRPr="00A16D62">
        <w:rPr>
          <w:rFonts w:ascii="Cambria" w:eastAsia="Times New Roman" w:hAnsi="Cambria"/>
          <w:bCs/>
          <w:sz w:val="20"/>
          <w:szCs w:val="20"/>
          <w:bdr w:val="none" w:sz="0" w:space="0" w:color="auto"/>
          <w:lang w:val="es-ES"/>
        </w:rPr>
        <w:t xml:space="preserve">a partir de la decisión en el caso </w:t>
      </w:r>
      <w:r w:rsidR="004873E3" w:rsidRPr="00A16D62">
        <w:rPr>
          <w:rFonts w:ascii="Cambria" w:eastAsia="Times New Roman" w:hAnsi="Cambria"/>
          <w:bCs/>
          <w:i/>
          <w:sz w:val="20"/>
          <w:szCs w:val="20"/>
          <w:bdr w:val="none" w:sz="0" w:space="0" w:color="auto"/>
          <w:lang w:val="es-ES"/>
        </w:rPr>
        <w:t>Hoffman</w:t>
      </w:r>
      <w:r w:rsidR="004873E3" w:rsidRPr="00A16D62">
        <w:rPr>
          <w:rFonts w:ascii="Cambria" w:eastAsia="Times New Roman" w:hAnsi="Cambria"/>
          <w:bCs/>
          <w:sz w:val="20"/>
          <w:szCs w:val="20"/>
          <w:bdr w:val="none" w:sz="0" w:space="0" w:color="auto"/>
          <w:lang w:val="es-ES"/>
        </w:rPr>
        <w:t xml:space="preserve">, </w:t>
      </w:r>
      <w:r w:rsidR="00B44A26" w:rsidRPr="00A16D62">
        <w:rPr>
          <w:rFonts w:ascii="Cambria" w:eastAsia="Times New Roman" w:hAnsi="Cambria"/>
          <w:bCs/>
          <w:sz w:val="20"/>
          <w:szCs w:val="20"/>
          <w:bdr w:val="none" w:sz="0" w:space="0" w:color="auto"/>
          <w:lang w:val="es-ES"/>
        </w:rPr>
        <w:t xml:space="preserve">los </w:t>
      </w:r>
      <w:r w:rsidR="00C038BF" w:rsidRPr="00A16D62">
        <w:rPr>
          <w:rFonts w:ascii="Cambria" w:eastAsia="Times New Roman" w:hAnsi="Cambria"/>
          <w:bCs/>
          <w:sz w:val="20"/>
          <w:szCs w:val="20"/>
          <w:bdr w:val="none" w:sz="0" w:space="0" w:color="auto"/>
          <w:lang w:val="es-ES"/>
        </w:rPr>
        <w:t>trabajadores indocumentados</w:t>
      </w:r>
      <w:r w:rsidR="00496C38" w:rsidRPr="00A16D62">
        <w:rPr>
          <w:rFonts w:ascii="Cambria" w:eastAsia="Times New Roman" w:hAnsi="Cambria"/>
          <w:bCs/>
          <w:sz w:val="20"/>
          <w:szCs w:val="20"/>
          <w:bdr w:val="none" w:sz="0" w:space="0" w:color="auto"/>
          <w:lang w:val="es-ES"/>
        </w:rPr>
        <w:t xml:space="preserve"> </w:t>
      </w:r>
      <w:r w:rsidR="00B44A26" w:rsidRPr="00A16D62">
        <w:rPr>
          <w:rFonts w:ascii="Cambria" w:eastAsia="Times New Roman" w:hAnsi="Cambria"/>
          <w:bCs/>
          <w:sz w:val="20"/>
          <w:szCs w:val="20"/>
          <w:bdr w:val="none" w:sz="0" w:space="0" w:color="auto"/>
          <w:lang w:val="es-ES"/>
        </w:rPr>
        <w:t>despedidos ilegalmente como represalia por ejercer este derecho ya no tienen acceso al recursos de</w:t>
      </w:r>
      <w:r w:rsidR="00E5771D" w:rsidRPr="00A16D62">
        <w:rPr>
          <w:rFonts w:ascii="Cambria" w:eastAsia="Times New Roman" w:hAnsi="Cambria"/>
          <w:bCs/>
          <w:sz w:val="20"/>
          <w:szCs w:val="20"/>
          <w:bdr w:val="none" w:sz="0" w:space="0" w:color="auto"/>
          <w:lang w:val="es-ES"/>
        </w:rPr>
        <w:t xml:space="preserve"> los salarios caídos</w:t>
      </w:r>
      <w:r w:rsidR="004873E3" w:rsidRPr="00A16D62">
        <w:rPr>
          <w:rFonts w:ascii="Cambria" w:eastAsia="Times New Roman" w:hAnsi="Cambria"/>
          <w:bCs/>
          <w:sz w:val="20"/>
          <w:szCs w:val="20"/>
          <w:bdr w:val="none" w:sz="0" w:space="0" w:color="auto"/>
          <w:lang w:val="es-ES"/>
        </w:rPr>
        <w:t xml:space="preserve"> </w:t>
      </w:r>
      <w:r w:rsidR="00E5771D" w:rsidRPr="00A16D62">
        <w:rPr>
          <w:rFonts w:ascii="Cambria" w:eastAsia="Times New Roman" w:hAnsi="Cambria"/>
          <w:bCs/>
          <w:sz w:val="20"/>
          <w:szCs w:val="20"/>
          <w:bdr w:val="none" w:sz="0" w:space="0" w:color="auto"/>
          <w:lang w:val="es-ES"/>
        </w:rPr>
        <w:t>de acuerdo con la Ley Nacional de Relaciones Laborales</w:t>
      </w:r>
      <w:r w:rsidR="004873E3" w:rsidRPr="00A16D62">
        <w:rPr>
          <w:rFonts w:ascii="Cambria" w:eastAsia="Times New Roman" w:hAnsi="Cambria"/>
          <w:bCs/>
          <w:sz w:val="20"/>
          <w:szCs w:val="20"/>
          <w:bdr w:val="none" w:sz="0" w:space="0" w:color="auto"/>
          <w:lang w:val="es-ES"/>
        </w:rPr>
        <w:t xml:space="preserve">. </w:t>
      </w:r>
    </w:p>
    <w:p w:rsidR="00496C38" w:rsidRPr="00A16D62" w:rsidRDefault="00496C38" w:rsidP="00496C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66759F" w:rsidRPr="00A16D62" w:rsidRDefault="009A5408"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Los peticionarios</w:t>
      </w:r>
      <w:r w:rsidR="00557002" w:rsidRPr="00A16D62">
        <w:rPr>
          <w:rFonts w:ascii="Cambria" w:eastAsia="Times New Roman" w:hAnsi="Cambria"/>
          <w:bCs/>
          <w:sz w:val="20"/>
          <w:szCs w:val="20"/>
          <w:bdr w:val="none" w:sz="0" w:space="0" w:color="auto"/>
          <w:lang w:val="es-ES"/>
        </w:rPr>
        <w:t xml:space="preserve"> </w:t>
      </w:r>
      <w:r w:rsidR="00B8732F" w:rsidRPr="00A16D62">
        <w:rPr>
          <w:rFonts w:ascii="Cambria" w:eastAsia="Times New Roman" w:hAnsi="Cambria"/>
          <w:bCs/>
          <w:sz w:val="20"/>
          <w:szCs w:val="20"/>
          <w:bdr w:val="none" w:sz="0" w:space="0" w:color="auto"/>
          <w:lang w:val="es-ES"/>
        </w:rPr>
        <w:t>sostienen</w:t>
      </w:r>
      <w:r w:rsidR="00557002" w:rsidRPr="00A16D62">
        <w:rPr>
          <w:rFonts w:ascii="Cambria" w:eastAsia="Times New Roman" w:hAnsi="Cambria"/>
          <w:bCs/>
          <w:sz w:val="20"/>
          <w:szCs w:val="20"/>
          <w:bdr w:val="none" w:sz="0" w:space="0" w:color="auto"/>
          <w:lang w:val="es-ES"/>
        </w:rPr>
        <w:t xml:space="preserve"> </w:t>
      </w:r>
      <w:r w:rsidR="00E5771D" w:rsidRPr="00A16D62">
        <w:rPr>
          <w:rFonts w:ascii="Cambria" w:eastAsia="Times New Roman" w:hAnsi="Cambria"/>
          <w:bCs/>
          <w:sz w:val="20"/>
          <w:szCs w:val="20"/>
          <w:bdr w:val="none" w:sz="0" w:space="0" w:color="auto"/>
          <w:lang w:val="es-ES"/>
        </w:rPr>
        <w:t xml:space="preserve">que las repercusiones de la decisión en el caso </w:t>
      </w:r>
      <w:r w:rsidR="00557002" w:rsidRPr="00A16D62">
        <w:rPr>
          <w:rFonts w:ascii="Cambria" w:eastAsia="Times New Roman" w:hAnsi="Cambria"/>
          <w:bCs/>
          <w:i/>
          <w:sz w:val="20"/>
          <w:szCs w:val="20"/>
          <w:bdr w:val="none" w:sz="0" w:space="0" w:color="auto"/>
          <w:lang w:val="es-ES"/>
        </w:rPr>
        <w:t>Hoffman</w:t>
      </w:r>
      <w:r w:rsidR="00557002" w:rsidRPr="00A16D62">
        <w:rPr>
          <w:rFonts w:ascii="Cambria" w:eastAsia="Times New Roman" w:hAnsi="Cambria"/>
          <w:bCs/>
          <w:sz w:val="20"/>
          <w:szCs w:val="20"/>
          <w:bdr w:val="none" w:sz="0" w:space="0" w:color="auto"/>
          <w:lang w:val="es-ES"/>
        </w:rPr>
        <w:t xml:space="preserve"> </w:t>
      </w:r>
      <w:r w:rsidR="00E5771D" w:rsidRPr="00A16D62">
        <w:rPr>
          <w:rFonts w:ascii="Cambria" w:eastAsia="Times New Roman" w:hAnsi="Cambria"/>
          <w:bCs/>
          <w:sz w:val="20"/>
          <w:szCs w:val="20"/>
          <w:bdr w:val="none" w:sz="0" w:space="0" w:color="auto"/>
          <w:lang w:val="es-ES"/>
        </w:rPr>
        <w:t xml:space="preserve">han rebasado la denegación de la </w:t>
      </w:r>
      <w:r w:rsidR="00082EEC" w:rsidRPr="00A16D62">
        <w:rPr>
          <w:rFonts w:ascii="Cambria" w:eastAsia="Times New Roman" w:hAnsi="Cambria"/>
          <w:bCs/>
          <w:sz w:val="20"/>
          <w:szCs w:val="20"/>
          <w:bdr w:val="none" w:sz="0" w:space="0" w:color="auto"/>
          <w:lang w:val="es-ES"/>
        </w:rPr>
        <w:t>libertad de asociación</w:t>
      </w:r>
      <w:r w:rsidR="00557002" w:rsidRPr="00A16D62">
        <w:rPr>
          <w:rFonts w:ascii="Cambria" w:eastAsia="Times New Roman" w:hAnsi="Cambria"/>
          <w:bCs/>
          <w:sz w:val="20"/>
          <w:szCs w:val="20"/>
          <w:bdr w:val="none" w:sz="0" w:space="0" w:color="auto"/>
          <w:lang w:val="es-ES"/>
        </w:rPr>
        <w:t xml:space="preserve"> </w:t>
      </w:r>
      <w:r w:rsidR="00E5771D" w:rsidRPr="00A16D62">
        <w:rPr>
          <w:rFonts w:ascii="Cambria" w:eastAsia="Times New Roman" w:hAnsi="Cambria"/>
          <w:bCs/>
          <w:sz w:val="20"/>
          <w:szCs w:val="20"/>
          <w:bdr w:val="none" w:sz="0" w:space="0" w:color="auto"/>
          <w:lang w:val="es-ES"/>
        </w:rPr>
        <w:t>a los</w:t>
      </w:r>
      <w:r w:rsidR="00557002"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F9746C" w:rsidRPr="00A16D62">
        <w:rPr>
          <w:rFonts w:ascii="Cambria" w:eastAsia="Times New Roman" w:hAnsi="Cambria"/>
          <w:bCs/>
          <w:sz w:val="20"/>
          <w:szCs w:val="20"/>
          <w:bdr w:val="none" w:sz="0" w:space="0" w:color="auto"/>
          <w:lang w:val="es-ES"/>
        </w:rPr>
        <w:t xml:space="preserve"> </w:t>
      </w:r>
      <w:r w:rsidR="009564CA" w:rsidRPr="00A16D62">
        <w:rPr>
          <w:rFonts w:ascii="Cambria" w:eastAsia="Times New Roman" w:hAnsi="Cambria"/>
          <w:bCs/>
          <w:sz w:val="20"/>
          <w:szCs w:val="20"/>
          <w:bdr w:val="none" w:sz="0" w:space="0" w:color="auto"/>
          <w:lang w:val="es-ES"/>
        </w:rPr>
        <w:t xml:space="preserve">y que se ha alentado a los </w:t>
      </w:r>
      <w:r w:rsidR="000F4EF8" w:rsidRPr="00A16D62">
        <w:rPr>
          <w:rFonts w:ascii="Cambria" w:eastAsia="Times New Roman" w:hAnsi="Cambria"/>
          <w:bCs/>
          <w:sz w:val="20"/>
          <w:szCs w:val="20"/>
          <w:bdr w:val="none" w:sz="0" w:space="0" w:color="auto"/>
          <w:lang w:val="es-ES"/>
        </w:rPr>
        <w:t>empleadores</w:t>
      </w:r>
      <w:r w:rsidR="00F9746C" w:rsidRPr="00A16D62">
        <w:rPr>
          <w:rFonts w:ascii="Cambria" w:eastAsia="Times New Roman" w:hAnsi="Cambria"/>
          <w:bCs/>
          <w:sz w:val="20"/>
          <w:szCs w:val="20"/>
          <w:bdr w:val="none" w:sz="0" w:space="0" w:color="auto"/>
          <w:lang w:val="es-ES"/>
        </w:rPr>
        <w:t xml:space="preserve"> </w:t>
      </w:r>
      <w:r w:rsidR="009564CA" w:rsidRPr="00A16D62">
        <w:rPr>
          <w:rFonts w:ascii="Cambria" w:eastAsia="Times New Roman" w:hAnsi="Cambria"/>
          <w:bCs/>
          <w:sz w:val="20"/>
          <w:szCs w:val="20"/>
          <w:bdr w:val="none" w:sz="0" w:space="0" w:color="auto"/>
          <w:lang w:val="es-ES"/>
        </w:rPr>
        <w:t xml:space="preserve">a afirmar que los </w:t>
      </w:r>
      <w:r w:rsidR="00082EEC" w:rsidRPr="00A16D62">
        <w:rPr>
          <w:rFonts w:ascii="Cambria" w:eastAsia="Times New Roman" w:hAnsi="Cambria"/>
          <w:bCs/>
          <w:sz w:val="20"/>
          <w:szCs w:val="20"/>
          <w:bdr w:val="none" w:sz="0" w:space="0" w:color="auto"/>
          <w:lang w:val="es-ES"/>
        </w:rPr>
        <w:t>trabajadores inmigrantes indocumentados</w:t>
      </w:r>
      <w:r w:rsidR="00F9746C" w:rsidRPr="00A16D62">
        <w:rPr>
          <w:rFonts w:ascii="Cambria" w:eastAsia="Times New Roman" w:hAnsi="Cambria"/>
          <w:bCs/>
          <w:sz w:val="20"/>
          <w:szCs w:val="20"/>
          <w:bdr w:val="none" w:sz="0" w:space="0" w:color="auto"/>
          <w:lang w:val="es-ES"/>
        </w:rPr>
        <w:t xml:space="preserve"> </w:t>
      </w:r>
      <w:r w:rsidR="009564CA" w:rsidRPr="00A16D62">
        <w:rPr>
          <w:rFonts w:ascii="Cambria" w:eastAsia="Times New Roman" w:hAnsi="Cambria"/>
          <w:bCs/>
          <w:sz w:val="20"/>
          <w:szCs w:val="20"/>
          <w:bdr w:val="none" w:sz="0" w:space="0" w:color="auto"/>
          <w:lang w:val="es-ES"/>
        </w:rPr>
        <w:t>carecen de d</w:t>
      </w:r>
      <w:r w:rsidR="00A246DE" w:rsidRPr="00A16D62">
        <w:rPr>
          <w:rFonts w:ascii="Cambria" w:eastAsia="Times New Roman" w:hAnsi="Cambria"/>
          <w:bCs/>
          <w:sz w:val="20"/>
          <w:szCs w:val="20"/>
          <w:bdr w:val="none" w:sz="0" w:space="0" w:color="auto"/>
          <w:lang w:val="es-ES"/>
        </w:rPr>
        <w:t>erechos jurídicos</w:t>
      </w:r>
      <w:r w:rsidR="00F9746C" w:rsidRPr="00A16D62">
        <w:rPr>
          <w:rFonts w:ascii="Cambria" w:eastAsia="Times New Roman" w:hAnsi="Cambria"/>
          <w:bCs/>
          <w:sz w:val="20"/>
          <w:szCs w:val="20"/>
          <w:bdr w:val="none" w:sz="0" w:space="0" w:color="auto"/>
          <w:lang w:val="es-ES"/>
        </w:rPr>
        <w:t xml:space="preserve"> </w:t>
      </w:r>
      <w:r w:rsidR="009564CA" w:rsidRPr="00A16D62">
        <w:rPr>
          <w:rFonts w:ascii="Cambria" w:eastAsia="Times New Roman" w:hAnsi="Cambria"/>
          <w:bCs/>
          <w:sz w:val="20"/>
          <w:szCs w:val="20"/>
          <w:bdr w:val="none" w:sz="0" w:space="0" w:color="auto"/>
          <w:lang w:val="es-ES"/>
        </w:rPr>
        <w:t xml:space="preserve">en otros </w:t>
      </w:r>
      <w:r w:rsidR="00A246DE" w:rsidRPr="00A16D62">
        <w:rPr>
          <w:rFonts w:ascii="Cambria" w:eastAsia="Times New Roman" w:hAnsi="Cambria"/>
          <w:bCs/>
          <w:sz w:val="20"/>
          <w:szCs w:val="20"/>
          <w:bdr w:val="none" w:sz="0" w:space="0" w:color="auto"/>
          <w:lang w:val="es-ES"/>
        </w:rPr>
        <w:t>contextos</w:t>
      </w:r>
      <w:r w:rsidR="00902E06" w:rsidRPr="00A16D62">
        <w:rPr>
          <w:rFonts w:ascii="Cambria" w:eastAsia="Times New Roman" w:hAnsi="Cambria"/>
          <w:bCs/>
          <w:sz w:val="20"/>
          <w:szCs w:val="20"/>
          <w:bdr w:val="none" w:sz="0" w:space="0" w:color="auto"/>
          <w:lang w:val="es-ES"/>
        </w:rPr>
        <w:t>, inclu</w:t>
      </w:r>
      <w:r w:rsidR="009564CA" w:rsidRPr="00A16D62">
        <w:rPr>
          <w:rFonts w:ascii="Cambria" w:eastAsia="Times New Roman" w:hAnsi="Cambria"/>
          <w:bCs/>
          <w:sz w:val="20"/>
          <w:szCs w:val="20"/>
          <w:bdr w:val="none" w:sz="0" w:space="0" w:color="auto"/>
          <w:lang w:val="es-ES"/>
        </w:rPr>
        <w:t xml:space="preserve">idos los que son objeto de controversia en el caso de autos. Aunque las leyes federales de Estados Unidos protegen el derecho de los trabajadores a no sufrir </w:t>
      </w:r>
      <w:r w:rsidR="00B8732F" w:rsidRPr="00A16D62">
        <w:rPr>
          <w:rFonts w:ascii="Cambria" w:eastAsia="Times New Roman" w:hAnsi="Cambria"/>
          <w:bCs/>
          <w:sz w:val="20"/>
          <w:szCs w:val="20"/>
          <w:bdr w:val="none" w:sz="0" w:space="0" w:color="auto"/>
          <w:lang w:val="es-ES"/>
        </w:rPr>
        <w:t>discriminación</w:t>
      </w:r>
      <w:r w:rsidR="00A2535D" w:rsidRPr="00A16D62">
        <w:rPr>
          <w:rFonts w:ascii="Cambria" w:eastAsia="Times New Roman" w:hAnsi="Cambria"/>
          <w:bCs/>
          <w:sz w:val="20"/>
          <w:szCs w:val="20"/>
          <w:bdr w:val="none" w:sz="0" w:space="0" w:color="auto"/>
          <w:lang w:val="es-ES"/>
        </w:rPr>
        <w:t xml:space="preserve"> </w:t>
      </w:r>
      <w:r w:rsidR="009564CA" w:rsidRPr="00A16D62">
        <w:rPr>
          <w:rFonts w:ascii="Cambria" w:eastAsia="Times New Roman" w:hAnsi="Cambria"/>
          <w:bCs/>
          <w:sz w:val="20"/>
          <w:szCs w:val="20"/>
          <w:bdr w:val="none" w:sz="0" w:space="0" w:color="auto"/>
          <w:lang w:val="es-ES"/>
        </w:rPr>
        <w:t xml:space="preserve">por razones de </w:t>
      </w:r>
      <w:r w:rsidR="00A2535D" w:rsidRPr="00A16D62">
        <w:rPr>
          <w:rFonts w:ascii="Cambria" w:eastAsia="Times New Roman" w:hAnsi="Cambria"/>
          <w:bCs/>
          <w:sz w:val="20"/>
          <w:szCs w:val="20"/>
          <w:bdr w:val="none" w:sz="0" w:space="0" w:color="auto"/>
          <w:lang w:val="es-ES"/>
        </w:rPr>
        <w:t>sex</w:t>
      </w:r>
      <w:r w:rsidR="009564CA" w:rsidRPr="00A16D62">
        <w:rPr>
          <w:rFonts w:ascii="Cambria" w:eastAsia="Times New Roman" w:hAnsi="Cambria"/>
          <w:bCs/>
          <w:sz w:val="20"/>
          <w:szCs w:val="20"/>
          <w:bdr w:val="none" w:sz="0" w:space="0" w:color="auto"/>
          <w:lang w:val="es-ES"/>
        </w:rPr>
        <w:t>o</w:t>
      </w:r>
      <w:r w:rsidR="00A2535D" w:rsidRPr="00A16D62">
        <w:rPr>
          <w:rFonts w:ascii="Cambria" w:eastAsia="Times New Roman" w:hAnsi="Cambria"/>
          <w:bCs/>
          <w:sz w:val="20"/>
          <w:szCs w:val="20"/>
          <w:bdr w:val="none" w:sz="0" w:space="0" w:color="auto"/>
          <w:lang w:val="es-ES"/>
        </w:rPr>
        <w:t xml:space="preserve">, </w:t>
      </w:r>
      <w:r w:rsidR="009564CA" w:rsidRPr="00A16D62">
        <w:rPr>
          <w:rFonts w:ascii="Cambria" w:eastAsia="Times New Roman" w:hAnsi="Cambria"/>
          <w:bCs/>
          <w:sz w:val="20"/>
          <w:szCs w:val="20"/>
          <w:bdr w:val="none" w:sz="0" w:space="0" w:color="auto"/>
          <w:lang w:val="es-ES"/>
        </w:rPr>
        <w:t xml:space="preserve">raza, </w:t>
      </w:r>
      <w:r w:rsidR="00B60770" w:rsidRPr="00A16D62">
        <w:rPr>
          <w:rFonts w:ascii="Cambria" w:eastAsia="Times New Roman" w:hAnsi="Cambria"/>
          <w:bCs/>
          <w:sz w:val="20"/>
          <w:szCs w:val="20"/>
          <w:bdr w:val="none" w:sz="0" w:space="0" w:color="auto"/>
          <w:lang w:val="es-ES"/>
        </w:rPr>
        <w:t xml:space="preserve">color, </w:t>
      </w:r>
      <w:r w:rsidR="009564CA" w:rsidRPr="00A16D62">
        <w:rPr>
          <w:rFonts w:ascii="Cambria" w:eastAsia="Times New Roman" w:hAnsi="Cambria"/>
          <w:bCs/>
          <w:sz w:val="20"/>
          <w:szCs w:val="20"/>
          <w:bdr w:val="none" w:sz="0" w:space="0" w:color="auto"/>
          <w:lang w:val="es-ES"/>
        </w:rPr>
        <w:t>religión u origen nacional</w:t>
      </w:r>
      <w:r w:rsidR="00BB3430" w:rsidRPr="00A16D62">
        <w:rPr>
          <w:rStyle w:val="FootnoteReference"/>
          <w:rFonts w:ascii="Cambria" w:eastAsia="Times New Roman" w:hAnsi="Cambria"/>
          <w:bCs/>
          <w:sz w:val="20"/>
          <w:szCs w:val="20"/>
          <w:bdr w:val="none" w:sz="0" w:space="0" w:color="auto"/>
          <w:lang w:val="es-ES"/>
        </w:rPr>
        <w:t xml:space="preserve"> </w:t>
      </w:r>
      <w:r w:rsidR="00BB3430" w:rsidRPr="00A16D62">
        <w:rPr>
          <w:rStyle w:val="FootnoteReference"/>
          <w:rFonts w:ascii="Cambria" w:eastAsia="Times New Roman" w:hAnsi="Cambria"/>
          <w:bCs/>
          <w:sz w:val="20"/>
          <w:szCs w:val="20"/>
          <w:bdr w:val="none" w:sz="0" w:space="0" w:color="auto"/>
          <w:lang w:val="es-ES"/>
        </w:rPr>
        <w:footnoteReference w:id="9"/>
      </w:r>
      <w:r w:rsidR="009564CA"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los peticionarios</w:t>
      </w:r>
      <w:r w:rsidR="00A32BEC" w:rsidRPr="00A16D62">
        <w:rPr>
          <w:rFonts w:ascii="Cambria" w:eastAsia="Times New Roman" w:hAnsi="Cambria"/>
          <w:bCs/>
          <w:sz w:val="20"/>
          <w:szCs w:val="20"/>
          <w:bdr w:val="none" w:sz="0" w:space="0" w:color="auto"/>
          <w:lang w:val="es-ES"/>
        </w:rPr>
        <w:t xml:space="preserve"> </w:t>
      </w:r>
      <w:r w:rsidR="00F9746C" w:rsidRPr="00A16D62">
        <w:rPr>
          <w:rFonts w:ascii="Cambria" w:eastAsia="Times New Roman" w:hAnsi="Cambria"/>
          <w:bCs/>
          <w:sz w:val="20"/>
          <w:szCs w:val="20"/>
          <w:bdr w:val="none" w:sz="0" w:space="0" w:color="auto"/>
          <w:lang w:val="es-ES"/>
        </w:rPr>
        <w:t>argu</w:t>
      </w:r>
      <w:r w:rsidR="009564CA" w:rsidRPr="00A16D62">
        <w:rPr>
          <w:rFonts w:ascii="Cambria" w:eastAsia="Times New Roman" w:hAnsi="Cambria"/>
          <w:bCs/>
          <w:sz w:val="20"/>
          <w:szCs w:val="20"/>
          <w:bdr w:val="none" w:sz="0" w:space="0" w:color="auto"/>
          <w:lang w:val="es-ES"/>
        </w:rPr>
        <w:t xml:space="preserve">mentan que, después de la decisión en el caso </w:t>
      </w:r>
      <w:r w:rsidR="00F9746C" w:rsidRPr="00A16D62">
        <w:rPr>
          <w:rFonts w:ascii="Cambria" w:eastAsia="Times New Roman" w:hAnsi="Cambria"/>
          <w:bCs/>
          <w:i/>
          <w:sz w:val="20"/>
          <w:szCs w:val="20"/>
          <w:bdr w:val="none" w:sz="0" w:space="0" w:color="auto"/>
          <w:lang w:val="es-ES"/>
        </w:rPr>
        <w:t>Hoffman</w:t>
      </w:r>
      <w:r w:rsidR="00F9746C" w:rsidRPr="00A16D62">
        <w:rPr>
          <w:rFonts w:ascii="Cambria" w:eastAsia="Times New Roman" w:hAnsi="Cambria"/>
          <w:bCs/>
          <w:sz w:val="20"/>
          <w:szCs w:val="20"/>
          <w:bdr w:val="none" w:sz="0" w:space="0" w:color="auto"/>
          <w:lang w:val="es-ES"/>
        </w:rPr>
        <w:t xml:space="preserve"> </w:t>
      </w:r>
      <w:r w:rsidR="009564CA" w:rsidRPr="00A16D62">
        <w:rPr>
          <w:rFonts w:ascii="Cambria" w:eastAsia="Times New Roman" w:hAnsi="Cambria"/>
          <w:bCs/>
          <w:sz w:val="20"/>
          <w:szCs w:val="20"/>
          <w:bdr w:val="none" w:sz="0" w:space="0" w:color="auto"/>
          <w:lang w:val="es-ES"/>
        </w:rPr>
        <w:t xml:space="preserve">varios tribunales estatales han eliminado o restringido drásticamente las protecciones de los </w:t>
      </w:r>
      <w:r w:rsidR="00C038BF" w:rsidRPr="00A16D62">
        <w:rPr>
          <w:rFonts w:ascii="Cambria" w:eastAsia="Times New Roman" w:hAnsi="Cambria"/>
          <w:bCs/>
          <w:sz w:val="20"/>
          <w:szCs w:val="20"/>
          <w:bdr w:val="none" w:sz="0" w:space="0" w:color="auto"/>
          <w:lang w:val="es-ES"/>
        </w:rPr>
        <w:t>trabajadores indocumentados</w:t>
      </w:r>
      <w:r w:rsidR="009564CA" w:rsidRPr="00A16D62">
        <w:rPr>
          <w:rFonts w:ascii="Cambria" w:eastAsia="Times New Roman" w:hAnsi="Cambria"/>
          <w:bCs/>
          <w:sz w:val="20"/>
          <w:szCs w:val="20"/>
          <w:bdr w:val="none" w:sz="0" w:space="0" w:color="auto"/>
          <w:lang w:val="es-ES"/>
        </w:rPr>
        <w:t xml:space="preserve"> en el lugar de trabajo</w:t>
      </w:r>
      <w:r w:rsidR="0066759F"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Los peticionarios</w:t>
      </w:r>
      <w:r w:rsidR="00BB3430" w:rsidRPr="00A16D62">
        <w:rPr>
          <w:rFonts w:ascii="Cambria" w:eastAsia="Times New Roman" w:hAnsi="Cambria"/>
          <w:bCs/>
          <w:sz w:val="20"/>
          <w:szCs w:val="20"/>
          <w:bdr w:val="none" w:sz="0" w:space="0" w:color="auto"/>
          <w:lang w:val="es-ES"/>
        </w:rPr>
        <w:t xml:space="preserve"> indica</w:t>
      </w:r>
      <w:r w:rsidR="009564CA" w:rsidRPr="00A16D62">
        <w:rPr>
          <w:rFonts w:ascii="Cambria" w:eastAsia="Times New Roman" w:hAnsi="Cambria"/>
          <w:bCs/>
          <w:sz w:val="20"/>
          <w:szCs w:val="20"/>
          <w:bdr w:val="none" w:sz="0" w:space="0" w:color="auto"/>
          <w:lang w:val="es-ES"/>
        </w:rPr>
        <w:t xml:space="preserve">n que estos derechos y recursos suelen ser otorgados exclusivamente por las leyes de los estados e incluyen el acceso a </w:t>
      </w:r>
      <w:r w:rsidR="007B4310" w:rsidRPr="00A16D62">
        <w:rPr>
          <w:rFonts w:ascii="Cambria" w:eastAsia="Times New Roman" w:hAnsi="Cambria"/>
          <w:bCs/>
          <w:sz w:val="20"/>
          <w:szCs w:val="20"/>
          <w:bdr w:val="none" w:sz="0" w:space="0" w:color="auto"/>
          <w:lang w:val="es-ES"/>
        </w:rPr>
        <w:t>indemnización por accidentes de trabajo</w:t>
      </w:r>
      <w:r w:rsidR="00C30A2B" w:rsidRPr="00A16D62">
        <w:rPr>
          <w:rStyle w:val="FootnoteReference"/>
          <w:rFonts w:ascii="Cambria" w:eastAsia="Times New Roman" w:hAnsi="Cambria"/>
          <w:bCs/>
          <w:sz w:val="20"/>
          <w:szCs w:val="20"/>
          <w:bdr w:val="none" w:sz="0" w:space="0" w:color="auto"/>
          <w:lang w:val="es-ES"/>
        </w:rPr>
        <w:footnoteReference w:id="10"/>
      </w:r>
      <w:r w:rsidR="0066759F" w:rsidRPr="00A16D62">
        <w:rPr>
          <w:rFonts w:ascii="Cambria" w:eastAsia="Times New Roman" w:hAnsi="Cambria"/>
          <w:bCs/>
          <w:sz w:val="20"/>
          <w:szCs w:val="20"/>
          <w:bdr w:val="none" w:sz="0" w:space="0" w:color="auto"/>
          <w:lang w:val="es-ES"/>
        </w:rPr>
        <w:t xml:space="preserve">, </w:t>
      </w:r>
      <w:r w:rsidR="001E52C2" w:rsidRPr="00A16D62">
        <w:rPr>
          <w:rFonts w:ascii="Cambria" w:eastAsia="Times New Roman" w:hAnsi="Cambria"/>
          <w:bCs/>
          <w:sz w:val="20"/>
          <w:szCs w:val="20"/>
          <w:bdr w:val="none" w:sz="0" w:space="0" w:color="auto"/>
          <w:lang w:val="es-ES"/>
        </w:rPr>
        <w:t>la ausencia de</w:t>
      </w:r>
      <w:r w:rsidR="0066759F" w:rsidRPr="00A16D62">
        <w:rPr>
          <w:rFonts w:ascii="Cambria" w:eastAsia="Times New Roman" w:hAnsi="Cambria"/>
          <w:bCs/>
          <w:sz w:val="20"/>
          <w:szCs w:val="20"/>
          <w:bdr w:val="none" w:sz="0" w:space="0" w:color="auto"/>
          <w:lang w:val="es-ES"/>
        </w:rPr>
        <w:t xml:space="preserve"> </w:t>
      </w:r>
      <w:r w:rsidR="000F4EF8" w:rsidRPr="00A16D62">
        <w:rPr>
          <w:rFonts w:ascii="Cambria" w:eastAsia="Times New Roman" w:hAnsi="Cambria"/>
          <w:bCs/>
          <w:sz w:val="20"/>
          <w:szCs w:val="20"/>
          <w:bdr w:val="none" w:sz="0" w:space="0" w:color="auto"/>
          <w:lang w:val="es-ES"/>
        </w:rPr>
        <w:t>discriminación en el lugar de trabajo</w:t>
      </w:r>
      <w:r w:rsidR="001E52C2" w:rsidRPr="00A16D62">
        <w:rPr>
          <w:rFonts w:ascii="Cambria" w:eastAsia="Times New Roman" w:hAnsi="Cambria"/>
          <w:bCs/>
          <w:sz w:val="20"/>
          <w:szCs w:val="20"/>
          <w:bdr w:val="none" w:sz="0" w:space="0" w:color="auto"/>
          <w:lang w:val="es-ES"/>
        </w:rPr>
        <w:t xml:space="preserve"> y el derecho a hacer responsable al </w:t>
      </w:r>
      <w:r w:rsidR="001E52C2" w:rsidRPr="00A16D62">
        <w:rPr>
          <w:rFonts w:ascii="Cambria" w:eastAsia="Times New Roman" w:hAnsi="Cambria"/>
          <w:bCs/>
          <w:sz w:val="20"/>
          <w:szCs w:val="20"/>
          <w:bdr w:val="none" w:sz="0" w:space="0" w:color="auto"/>
          <w:lang w:val="es-ES"/>
        </w:rPr>
        <w:lastRenderedPageBreak/>
        <w:t xml:space="preserve">empleado por los </w:t>
      </w:r>
      <w:r w:rsidR="00593BF9" w:rsidRPr="00A16D62">
        <w:rPr>
          <w:rFonts w:ascii="Cambria" w:eastAsia="Times New Roman" w:hAnsi="Cambria"/>
          <w:bCs/>
          <w:sz w:val="20"/>
          <w:szCs w:val="20"/>
          <w:bdr w:val="none" w:sz="0" w:space="0" w:color="auto"/>
          <w:lang w:val="es-ES"/>
        </w:rPr>
        <w:t>accidente</w:t>
      </w:r>
      <w:r w:rsidR="001E52C2" w:rsidRPr="00A16D62">
        <w:rPr>
          <w:rFonts w:ascii="Cambria" w:eastAsia="Times New Roman" w:hAnsi="Cambria"/>
          <w:bCs/>
          <w:sz w:val="20"/>
          <w:szCs w:val="20"/>
          <w:bdr w:val="none" w:sz="0" w:space="0" w:color="auto"/>
          <w:lang w:val="es-ES"/>
        </w:rPr>
        <w:t>s</w:t>
      </w:r>
      <w:r w:rsidR="00593BF9" w:rsidRPr="00A16D62">
        <w:rPr>
          <w:rFonts w:ascii="Cambria" w:eastAsia="Times New Roman" w:hAnsi="Cambria"/>
          <w:bCs/>
          <w:sz w:val="20"/>
          <w:szCs w:val="20"/>
          <w:bdr w:val="none" w:sz="0" w:space="0" w:color="auto"/>
          <w:lang w:val="es-ES"/>
        </w:rPr>
        <w:t xml:space="preserve"> de trabajo</w:t>
      </w:r>
      <w:r w:rsidR="0066759F" w:rsidRPr="00A16D62">
        <w:rPr>
          <w:rFonts w:ascii="Cambria" w:eastAsia="Times New Roman" w:hAnsi="Cambria"/>
          <w:bCs/>
          <w:sz w:val="20"/>
          <w:szCs w:val="20"/>
          <w:bdr w:val="none" w:sz="0" w:space="0" w:color="auto"/>
          <w:lang w:val="es-ES"/>
        </w:rPr>
        <w:t xml:space="preserve">. </w:t>
      </w:r>
      <w:r w:rsidR="0065481B" w:rsidRPr="00A16D62">
        <w:rPr>
          <w:rFonts w:ascii="Cambria" w:eastAsia="Times New Roman" w:hAnsi="Cambria"/>
          <w:bCs/>
          <w:sz w:val="20"/>
          <w:szCs w:val="20"/>
          <w:bdr w:val="none" w:sz="0" w:space="0" w:color="auto"/>
          <w:lang w:val="es-ES"/>
        </w:rPr>
        <w:t>Asimismo,</w:t>
      </w:r>
      <w:r w:rsidR="00A2535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los peticionarios</w:t>
      </w:r>
      <w:r w:rsidR="00A2535D" w:rsidRPr="00A16D62">
        <w:rPr>
          <w:rFonts w:ascii="Cambria" w:eastAsia="Times New Roman" w:hAnsi="Cambria"/>
          <w:bCs/>
          <w:sz w:val="20"/>
          <w:szCs w:val="20"/>
          <w:bdr w:val="none" w:sz="0" w:space="0" w:color="auto"/>
          <w:lang w:val="es-ES"/>
        </w:rPr>
        <w:t xml:space="preserve"> </w:t>
      </w:r>
      <w:r w:rsidR="0065481B" w:rsidRPr="00A16D62">
        <w:rPr>
          <w:rFonts w:ascii="Cambria" w:eastAsia="Times New Roman" w:hAnsi="Cambria"/>
          <w:bCs/>
          <w:sz w:val="20"/>
          <w:szCs w:val="20"/>
          <w:bdr w:val="none" w:sz="0" w:space="0" w:color="auto"/>
          <w:lang w:val="es-ES"/>
        </w:rPr>
        <w:t xml:space="preserve">alegan que, en algunos estados donde una persona puede interponer una demanda por responsabilidad civil por lesiones o </w:t>
      </w:r>
      <w:r w:rsidR="00F425B1" w:rsidRPr="00A16D62">
        <w:rPr>
          <w:rFonts w:ascii="Cambria" w:eastAsia="Times New Roman" w:hAnsi="Cambria"/>
          <w:bCs/>
          <w:sz w:val="20"/>
          <w:szCs w:val="20"/>
          <w:bdr w:val="none" w:sz="0" w:space="0" w:color="auto"/>
          <w:lang w:val="es-ES"/>
        </w:rPr>
        <w:t xml:space="preserve">muerte por negligencia, la indemnización también se ha limitado, incluso en </w:t>
      </w:r>
      <w:r w:rsidR="003E2C91" w:rsidRPr="00A16D62">
        <w:rPr>
          <w:rFonts w:ascii="Cambria" w:eastAsia="Times New Roman" w:hAnsi="Cambria"/>
          <w:bCs/>
          <w:sz w:val="20"/>
          <w:szCs w:val="20"/>
          <w:bdr w:val="none" w:sz="0" w:space="0" w:color="auto"/>
          <w:lang w:val="es-ES"/>
        </w:rPr>
        <w:t>Pensilvania</w:t>
      </w:r>
      <w:r w:rsidR="00A2535D" w:rsidRPr="00A16D62">
        <w:rPr>
          <w:rFonts w:ascii="Cambria" w:eastAsia="Times New Roman" w:hAnsi="Cambria"/>
          <w:bCs/>
          <w:sz w:val="20"/>
          <w:szCs w:val="20"/>
          <w:bdr w:val="none" w:sz="0" w:space="0" w:color="auto"/>
          <w:lang w:val="es-ES"/>
        </w:rPr>
        <w:t xml:space="preserve"> </w:t>
      </w:r>
      <w:r w:rsidR="00F425B1" w:rsidRPr="00A16D62">
        <w:rPr>
          <w:rFonts w:ascii="Cambria" w:eastAsia="Times New Roman" w:hAnsi="Cambria"/>
          <w:bCs/>
          <w:sz w:val="20"/>
          <w:szCs w:val="20"/>
          <w:bdr w:val="none" w:sz="0" w:space="0" w:color="auto"/>
          <w:lang w:val="es-ES"/>
        </w:rPr>
        <w:t>y en</w:t>
      </w:r>
      <w:r w:rsidR="00A2535D" w:rsidRPr="00A16D62">
        <w:rPr>
          <w:rFonts w:ascii="Cambria" w:eastAsia="Times New Roman" w:hAnsi="Cambria"/>
          <w:bCs/>
          <w:sz w:val="20"/>
          <w:szCs w:val="20"/>
          <w:bdr w:val="none" w:sz="0" w:space="0" w:color="auto"/>
          <w:lang w:val="es-ES"/>
        </w:rPr>
        <w:t xml:space="preserve"> Kansas.</w:t>
      </w:r>
    </w:p>
    <w:p w:rsidR="0066759F" w:rsidRPr="00A16D62" w:rsidRDefault="0066759F" w:rsidP="0066759F">
      <w:pPr>
        <w:pStyle w:val="ListParagraph"/>
        <w:rPr>
          <w:rFonts w:eastAsia="Times New Roman"/>
          <w:bCs/>
          <w:sz w:val="20"/>
          <w:szCs w:val="20"/>
          <w:bdr w:val="none" w:sz="0" w:space="0" w:color="auto"/>
          <w:lang w:val="es-ES"/>
        </w:rPr>
      </w:pPr>
    </w:p>
    <w:p w:rsidR="00F9746C" w:rsidRPr="00A16D62" w:rsidRDefault="00A2535D"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Los peticionarios</w:t>
      </w:r>
      <w:r w:rsidRPr="00A16D62">
        <w:rPr>
          <w:rFonts w:ascii="Cambria" w:eastAsia="Times New Roman" w:hAnsi="Cambria"/>
          <w:bCs/>
          <w:sz w:val="20"/>
          <w:szCs w:val="20"/>
          <w:bdr w:val="none" w:sz="0" w:space="0" w:color="auto"/>
          <w:lang w:val="es-ES"/>
        </w:rPr>
        <w:t xml:space="preserve"> </w:t>
      </w:r>
      <w:r w:rsidR="00F425B1" w:rsidRPr="00A16D62">
        <w:rPr>
          <w:rFonts w:ascii="Cambria" w:eastAsia="Times New Roman" w:hAnsi="Cambria"/>
          <w:bCs/>
          <w:sz w:val="20"/>
          <w:szCs w:val="20"/>
          <w:bdr w:val="none" w:sz="0" w:space="0" w:color="auto"/>
          <w:lang w:val="es-ES"/>
        </w:rPr>
        <w:t xml:space="preserve">también alegan que otra consecuencia de la decisión en el caso </w:t>
      </w:r>
      <w:r w:rsidR="00F425B1" w:rsidRPr="00A16D62">
        <w:rPr>
          <w:rFonts w:ascii="Cambria" w:eastAsia="Times New Roman" w:hAnsi="Cambria"/>
          <w:bCs/>
          <w:i/>
          <w:sz w:val="20"/>
          <w:szCs w:val="20"/>
          <w:bdr w:val="none" w:sz="0" w:space="0" w:color="auto"/>
          <w:lang w:val="es-ES"/>
        </w:rPr>
        <w:t>Hoffman</w:t>
      </w:r>
      <w:r w:rsidR="00F425B1" w:rsidRPr="00A16D62">
        <w:rPr>
          <w:rFonts w:ascii="Cambria" w:eastAsia="Times New Roman" w:hAnsi="Cambria"/>
          <w:bCs/>
          <w:sz w:val="20"/>
          <w:szCs w:val="20"/>
          <w:bdr w:val="none" w:sz="0" w:space="0" w:color="auto"/>
          <w:lang w:val="es-ES"/>
        </w:rPr>
        <w:t>, además de la limitación o eliminación de los derechos de los trabajadores indocumentados en el lugar de trabajo</w:t>
      </w:r>
      <w:r w:rsidRPr="00A16D62">
        <w:rPr>
          <w:rFonts w:ascii="Cambria" w:eastAsia="Times New Roman" w:hAnsi="Cambria"/>
          <w:bCs/>
          <w:sz w:val="20"/>
          <w:szCs w:val="20"/>
          <w:bdr w:val="none" w:sz="0" w:space="0" w:color="auto"/>
          <w:lang w:val="es-ES"/>
        </w:rPr>
        <w:t>, ha</w:t>
      </w:r>
      <w:r w:rsidR="00F425B1" w:rsidRPr="00A16D62">
        <w:rPr>
          <w:rFonts w:ascii="Cambria" w:eastAsia="Times New Roman" w:hAnsi="Cambria"/>
          <w:bCs/>
          <w:sz w:val="20"/>
          <w:szCs w:val="20"/>
          <w:bdr w:val="none" w:sz="0" w:space="0" w:color="auto"/>
          <w:lang w:val="es-ES"/>
        </w:rPr>
        <w:t xml:space="preserve"> sido la intimidación de los </w:t>
      </w:r>
      <w:r w:rsidR="00C038BF" w:rsidRPr="00A16D62">
        <w:rPr>
          <w:rFonts w:ascii="Cambria" w:eastAsia="Times New Roman" w:hAnsi="Cambria"/>
          <w:bCs/>
          <w:sz w:val="20"/>
          <w:szCs w:val="20"/>
          <w:bdr w:val="none" w:sz="0" w:space="0" w:color="auto"/>
          <w:lang w:val="es-ES"/>
        </w:rPr>
        <w:t>trabajadores indocumentados</w:t>
      </w:r>
      <w:r w:rsidRPr="00A16D62">
        <w:rPr>
          <w:rFonts w:ascii="Cambria" w:eastAsia="Times New Roman" w:hAnsi="Cambria"/>
          <w:bCs/>
          <w:sz w:val="20"/>
          <w:szCs w:val="20"/>
          <w:bdr w:val="none" w:sz="0" w:space="0" w:color="auto"/>
          <w:lang w:val="es-ES"/>
        </w:rPr>
        <w:t xml:space="preserve"> </w:t>
      </w:r>
      <w:r w:rsidR="00F425B1" w:rsidRPr="00A16D62">
        <w:rPr>
          <w:rFonts w:ascii="Cambria" w:eastAsia="Times New Roman" w:hAnsi="Cambria"/>
          <w:bCs/>
          <w:sz w:val="20"/>
          <w:szCs w:val="20"/>
          <w:bdr w:val="none" w:sz="0" w:space="0" w:color="auto"/>
          <w:lang w:val="es-ES"/>
        </w:rPr>
        <w:t xml:space="preserve">para que no hagan valer sus derechos por </w:t>
      </w:r>
      <w:r w:rsidR="00657AE3">
        <w:rPr>
          <w:rFonts w:ascii="Cambria" w:eastAsia="Times New Roman" w:hAnsi="Cambria"/>
          <w:bCs/>
          <w:sz w:val="20"/>
          <w:szCs w:val="20"/>
          <w:bdr w:val="none" w:sz="0" w:space="0" w:color="auto"/>
          <w:lang w:val="es-ES"/>
        </w:rPr>
        <w:t xml:space="preserve">la </w:t>
      </w:r>
      <w:r w:rsidR="00F425B1" w:rsidRPr="00A16D62">
        <w:rPr>
          <w:rFonts w:ascii="Cambria" w:eastAsia="Times New Roman" w:hAnsi="Cambria"/>
          <w:bCs/>
          <w:sz w:val="20"/>
          <w:szCs w:val="20"/>
          <w:bdr w:val="none" w:sz="0" w:space="0" w:color="auto"/>
          <w:lang w:val="es-ES"/>
        </w:rPr>
        <w:t xml:space="preserve">vía judicial. Más concretamente, </w:t>
      </w:r>
      <w:r w:rsidR="00180125" w:rsidRPr="00A16D62">
        <w:rPr>
          <w:rFonts w:ascii="Cambria" w:eastAsia="Times New Roman" w:hAnsi="Cambria"/>
          <w:bCs/>
          <w:sz w:val="20"/>
          <w:szCs w:val="20"/>
          <w:bdr w:val="none" w:sz="0" w:space="0" w:color="auto"/>
          <w:lang w:val="es-ES"/>
        </w:rPr>
        <w:t>los peticionarios</w:t>
      </w:r>
      <w:r w:rsidRPr="00A16D62">
        <w:rPr>
          <w:rFonts w:ascii="Cambria" w:eastAsia="Times New Roman" w:hAnsi="Cambria"/>
          <w:bCs/>
          <w:sz w:val="20"/>
          <w:szCs w:val="20"/>
          <w:bdr w:val="none" w:sz="0" w:space="0" w:color="auto"/>
          <w:lang w:val="es-ES"/>
        </w:rPr>
        <w:t xml:space="preserve"> </w:t>
      </w:r>
      <w:r w:rsidR="00B8732F" w:rsidRPr="00A16D62">
        <w:rPr>
          <w:rFonts w:ascii="Cambria" w:eastAsia="Times New Roman" w:hAnsi="Cambria"/>
          <w:bCs/>
          <w:sz w:val="20"/>
          <w:szCs w:val="20"/>
          <w:bdr w:val="none" w:sz="0" w:space="0" w:color="auto"/>
          <w:lang w:val="es-ES"/>
        </w:rPr>
        <w:t>sostienen</w:t>
      </w:r>
      <w:r w:rsidRPr="00A16D62">
        <w:rPr>
          <w:rFonts w:ascii="Cambria" w:eastAsia="Times New Roman" w:hAnsi="Cambria"/>
          <w:bCs/>
          <w:sz w:val="20"/>
          <w:szCs w:val="20"/>
          <w:bdr w:val="none" w:sz="0" w:space="0" w:color="auto"/>
          <w:lang w:val="es-ES"/>
        </w:rPr>
        <w:t xml:space="preserve"> </w:t>
      </w:r>
      <w:r w:rsidR="00F425B1" w:rsidRPr="00A16D62">
        <w:rPr>
          <w:rFonts w:ascii="Cambria" w:eastAsia="Times New Roman" w:hAnsi="Cambria"/>
          <w:bCs/>
          <w:sz w:val="20"/>
          <w:szCs w:val="20"/>
          <w:bdr w:val="none" w:sz="0" w:space="0" w:color="auto"/>
          <w:lang w:val="es-ES"/>
        </w:rPr>
        <w:t>que, debido a que la decisión en el caso</w:t>
      </w:r>
      <w:r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i/>
          <w:sz w:val="20"/>
          <w:szCs w:val="20"/>
          <w:bdr w:val="none" w:sz="0" w:space="0" w:color="auto"/>
          <w:lang w:val="es-ES"/>
        </w:rPr>
        <w:t>Hoffman</w:t>
      </w:r>
      <w:r w:rsidRPr="00A16D62">
        <w:rPr>
          <w:rFonts w:ascii="Cambria" w:eastAsia="Times New Roman" w:hAnsi="Cambria"/>
          <w:bCs/>
          <w:sz w:val="20"/>
          <w:szCs w:val="20"/>
          <w:bdr w:val="none" w:sz="0" w:space="0" w:color="auto"/>
          <w:lang w:val="es-ES"/>
        </w:rPr>
        <w:t xml:space="preserve"> </w:t>
      </w:r>
      <w:r w:rsidR="00F425B1" w:rsidRPr="00A16D62">
        <w:rPr>
          <w:rFonts w:ascii="Cambria" w:eastAsia="Times New Roman" w:hAnsi="Cambria"/>
          <w:bCs/>
          <w:sz w:val="20"/>
          <w:szCs w:val="20"/>
          <w:bdr w:val="none" w:sz="0" w:space="0" w:color="auto"/>
          <w:lang w:val="es-ES"/>
        </w:rPr>
        <w:t xml:space="preserve">tuvo el efecto de que convertir la </w:t>
      </w:r>
      <w:r w:rsidR="00521A6A" w:rsidRPr="00A16D62">
        <w:rPr>
          <w:rFonts w:ascii="Cambria" w:eastAsia="Times New Roman" w:hAnsi="Cambria"/>
          <w:bCs/>
          <w:sz w:val="20"/>
          <w:szCs w:val="20"/>
          <w:bdr w:val="none" w:sz="0" w:space="0" w:color="auto"/>
          <w:lang w:val="es-ES"/>
        </w:rPr>
        <w:t>situación migratoria</w:t>
      </w:r>
      <w:r w:rsidRPr="00A16D62">
        <w:rPr>
          <w:rFonts w:ascii="Cambria" w:eastAsia="Times New Roman" w:hAnsi="Cambria"/>
          <w:bCs/>
          <w:sz w:val="20"/>
          <w:szCs w:val="20"/>
          <w:bdr w:val="none" w:sz="0" w:space="0" w:color="auto"/>
          <w:lang w:val="es-ES"/>
        </w:rPr>
        <w:t xml:space="preserve"> </w:t>
      </w:r>
      <w:r w:rsidR="00F425B1" w:rsidRPr="00A16D62">
        <w:rPr>
          <w:rFonts w:ascii="Cambria" w:eastAsia="Times New Roman" w:hAnsi="Cambria"/>
          <w:bCs/>
          <w:sz w:val="20"/>
          <w:szCs w:val="20"/>
          <w:bdr w:val="none" w:sz="0" w:space="0" w:color="auto"/>
          <w:lang w:val="es-ES"/>
        </w:rPr>
        <w:t xml:space="preserve">en un elemento pertinente para los </w:t>
      </w:r>
      <w:r w:rsidR="00B36ED8" w:rsidRPr="00A16D62">
        <w:rPr>
          <w:rFonts w:ascii="Cambria" w:eastAsia="Times New Roman" w:hAnsi="Cambria"/>
          <w:bCs/>
          <w:sz w:val="20"/>
          <w:szCs w:val="20"/>
          <w:bdr w:val="none" w:sz="0" w:space="0" w:color="auto"/>
          <w:lang w:val="es-ES"/>
        </w:rPr>
        <w:t>derechos en el lugar de trabajo</w:t>
      </w:r>
      <w:r w:rsidRPr="00A16D62">
        <w:rPr>
          <w:rFonts w:ascii="Cambria" w:eastAsia="Times New Roman" w:hAnsi="Cambria"/>
          <w:bCs/>
          <w:sz w:val="20"/>
          <w:szCs w:val="20"/>
          <w:bdr w:val="none" w:sz="0" w:space="0" w:color="auto"/>
          <w:lang w:val="es-ES"/>
        </w:rPr>
        <w:t xml:space="preserve">, </w:t>
      </w:r>
      <w:r w:rsidR="00F425B1" w:rsidRPr="00A16D62">
        <w:rPr>
          <w:rFonts w:ascii="Cambria" w:eastAsia="Times New Roman" w:hAnsi="Cambria"/>
          <w:bCs/>
          <w:sz w:val="20"/>
          <w:szCs w:val="20"/>
          <w:bdr w:val="none" w:sz="0" w:space="0" w:color="auto"/>
          <w:lang w:val="es-ES"/>
        </w:rPr>
        <w:t xml:space="preserve">los empleadores demandados suelen pedir que se revele la </w:t>
      </w:r>
      <w:r w:rsidR="00521A6A" w:rsidRPr="00A16D62">
        <w:rPr>
          <w:rFonts w:ascii="Cambria" w:eastAsia="Times New Roman" w:hAnsi="Cambria"/>
          <w:bCs/>
          <w:sz w:val="20"/>
          <w:szCs w:val="20"/>
          <w:bdr w:val="none" w:sz="0" w:space="0" w:color="auto"/>
          <w:lang w:val="es-ES"/>
        </w:rPr>
        <w:t>situación migratoria</w:t>
      </w:r>
      <w:r w:rsidR="00F425B1" w:rsidRPr="00A16D62">
        <w:rPr>
          <w:rFonts w:ascii="Cambria" w:eastAsia="Times New Roman" w:hAnsi="Cambria"/>
          <w:bCs/>
          <w:sz w:val="20"/>
          <w:szCs w:val="20"/>
          <w:bdr w:val="none" w:sz="0" w:space="0" w:color="auto"/>
          <w:lang w:val="es-ES"/>
        </w:rPr>
        <w:t xml:space="preserve"> de los trabajadores inmigrantes demandantes</w:t>
      </w:r>
      <w:r w:rsidRPr="00A16D62">
        <w:rPr>
          <w:rFonts w:ascii="Cambria" w:eastAsia="Times New Roman" w:hAnsi="Cambria"/>
          <w:bCs/>
          <w:sz w:val="20"/>
          <w:szCs w:val="20"/>
          <w:bdr w:val="none" w:sz="0" w:space="0" w:color="auto"/>
          <w:lang w:val="es-ES"/>
        </w:rPr>
        <w:t xml:space="preserve">, </w:t>
      </w:r>
      <w:r w:rsidR="00F425B1" w:rsidRPr="00A16D62">
        <w:rPr>
          <w:rFonts w:ascii="Cambria" w:eastAsia="Times New Roman" w:hAnsi="Cambria"/>
          <w:bCs/>
          <w:sz w:val="20"/>
          <w:szCs w:val="20"/>
          <w:bdr w:val="none" w:sz="0" w:space="0" w:color="auto"/>
          <w:lang w:val="es-ES"/>
        </w:rPr>
        <w:t xml:space="preserve">medida </w:t>
      </w:r>
      <w:r w:rsidR="008A6495" w:rsidRPr="00A16D62">
        <w:rPr>
          <w:rFonts w:ascii="Cambria" w:eastAsia="Times New Roman" w:hAnsi="Cambria"/>
          <w:bCs/>
          <w:sz w:val="20"/>
          <w:szCs w:val="20"/>
          <w:bdr w:val="none" w:sz="0" w:space="0" w:color="auto"/>
          <w:lang w:val="es-ES"/>
        </w:rPr>
        <w:t>que</w:t>
      </w:r>
      <w:r w:rsidR="00657AE3">
        <w:rPr>
          <w:rFonts w:ascii="Cambria" w:eastAsia="Times New Roman" w:hAnsi="Cambria"/>
          <w:bCs/>
          <w:sz w:val="20"/>
          <w:szCs w:val="20"/>
          <w:bdr w:val="none" w:sz="0" w:space="0" w:color="auto"/>
          <w:lang w:val="es-ES"/>
        </w:rPr>
        <w:t xml:space="preserve"> inhibe la disposición de</w:t>
      </w:r>
      <w:r w:rsidR="008A6495" w:rsidRPr="00A16D62">
        <w:rPr>
          <w:rFonts w:ascii="Cambria" w:eastAsia="Times New Roman" w:hAnsi="Cambria"/>
          <w:bCs/>
          <w:sz w:val="20"/>
          <w:szCs w:val="20"/>
          <w:bdr w:val="none" w:sz="0" w:space="0" w:color="auto"/>
          <w:lang w:val="es-ES"/>
        </w:rPr>
        <w:t xml:space="preserve"> los </w:t>
      </w:r>
      <w:r w:rsidRPr="00A16D62">
        <w:rPr>
          <w:rFonts w:ascii="Cambria" w:eastAsia="Times New Roman" w:hAnsi="Cambria"/>
          <w:bCs/>
          <w:sz w:val="20"/>
          <w:szCs w:val="20"/>
          <w:bdr w:val="none" w:sz="0" w:space="0" w:color="auto"/>
          <w:lang w:val="es-ES"/>
        </w:rPr>
        <w:t>i</w:t>
      </w:r>
      <w:r w:rsidR="008A6495" w:rsidRPr="00A16D62">
        <w:rPr>
          <w:rFonts w:ascii="Cambria" w:eastAsia="Times New Roman" w:hAnsi="Cambria"/>
          <w:bCs/>
          <w:sz w:val="20"/>
          <w:szCs w:val="20"/>
          <w:bdr w:val="none" w:sz="0" w:space="0" w:color="auto"/>
          <w:lang w:val="es-ES"/>
        </w:rPr>
        <w:t>n</w:t>
      </w:r>
      <w:r w:rsidRPr="00A16D62">
        <w:rPr>
          <w:rFonts w:ascii="Cambria" w:eastAsia="Times New Roman" w:hAnsi="Cambria"/>
          <w:bCs/>
          <w:sz w:val="20"/>
          <w:szCs w:val="20"/>
          <w:bdr w:val="none" w:sz="0" w:space="0" w:color="auto"/>
          <w:lang w:val="es-ES"/>
        </w:rPr>
        <w:t>migrant</w:t>
      </w:r>
      <w:r w:rsidR="008A6495" w:rsidRPr="00A16D62">
        <w:rPr>
          <w:rFonts w:ascii="Cambria" w:eastAsia="Times New Roman" w:hAnsi="Cambria"/>
          <w:bCs/>
          <w:sz w:val="20"/>
          <w:szCs w:val="20"/>
          <w:bdr w:val="none" w:sz="0" w:space="0" w:color="auto"/>
          <w:lang w:val="es-ES"/>
        </w:rPr>
        <w:t>e</w:t>
      </w:r>
      <w:r w:rsidRPr="00A16D62">
        <w:rPr>
          <w:rFonts w:ascii="Cambria" w:eastAsia="Times New Roman" w:hAnsi="Cambria"/>
          <w:bCs/>
          <w:sz w:val="20"/>
          <w:szCs w:val="20"/>
          <w:bdr w:val="none" w:sz="0" w:space="0" w:color="auto"/>
          <w:lang w:val="es-ES"/>
        </w:rPr>
        <w:t>s</w:t>
      </w:r>
      <w:r w:rsidR="008A6495" w:rsidRPr="00A16D62">
        <w:rPr>
          <w:rFonts w:ascii="Cambria" w:eastAsia="Times New Roman" w:hAnsi="Cambria"/>
          <w:bCs/>
          <w:sz w:val="20"/>
          <w:szCs w:val="20"/>
          <w:bdr w:val="none" w:sz="0" w:space="0" w:color="auto"/>
          <w:lang w:val="es-ES"/>
        </w:rPr>
        <w:t xml:space="preserve"> para hacer valer sus </w:t>
      </w:r>
      <w:r w:rsidR="00B36ED8" w:rsidRPr="00A16D62">
        <w:rPr>
          <w:rFonts w:ascii="Cambria" w:eastAsia="Times New Roman" w:hAnsi="Cambria"/>
          <w:bCs/>
          <w:sz w:val="20"/>
          <w:szCs w:val="20"/>
          <w:bdr w:val="none" w:sz="0" w:space="0" w:color="auto"/>
          <w:lang w:val="es-ES"/>
        </w:rPr>
        <w:t>derechos en el lugar de trabajo</w:t>
      </w:r>
      <w:r w:rsidRPr="00A16D62">
        <w:rPr>
          <w:rFonts w:ascii="Cambria" w:eastAsia="Times New Roman" w:hAnsi="Cambria"/>
          <w:bCs/>
          <w:sz w:val="20"/>
          <w:szCs w:val="20"/>
          <w:bdr w:val="none" w:sz="0" w:space="0" w:color="auto"/>
          <w:lang w:val="es-ES"/>
        </w:rPr>
        <w:t xml:space="preserve">. </w:t>
      </w:r>
      <w:r w:rsidR="008A6495" w:rsidRPr="00A16D62">
        <w:rPr>
          <w:rFonts w:ascii="Cambria" w:eastAsia="Times New Roman" w:hAnsi="Cambria"/>
          <w:bCs/>
          <w:sz w:val="20"/>
          <w:szCs w:val="20"/>
          <w:bdr w:val="none" w:sz="0" w:space="0" w:color="auto"/>
          <w:lang w:val="es-ES"/>
        </w:rPr>
        <w:t xml:space="preserve">Según </w:t>
      </w:r>
      <w:r w:rsidR="00180125" w:rsidRPr="00A16D62">
        <w:rPr>
          <w:rFonts w:ascii="Cambria" w:eastAsia="Times New Roman" w:hAnsi="Cambria"/>
          <w:bCs/>
          <w:sz w:val="20"/>
          <w:szCs w:val="20"/>
          <w:bdr w:val="none" w:sz="0" w:space="0" w:color="auto"/>
          <w:lang w:val="es-ES"/>
        </w:rPr>
        <w:t>los peticionarios</w:t>
      </w:r>
      <w:r w:rsidR="00C458A1" w:rsidRPr="00A16D62">
        <w:rPr>
          <w:rFonts w:ascii="Cambria" w:eastAsia="Times New Roman" w:hAnsi="Cambria"/>
          <w:bCs/>
          <w:sz w:val="20"/>
          <w:szCs w:val="20"/>
          <w:bdr w:val="none" w:sz="0" w:space="0" w:color="auto"/>
          <w:lang w:val="es-ES"/>
        </w:rPr>
        <w:t xml:space="preserve">, </w:t>
      </w:r>
      <w:r w:rsidR="008A6495" w:rsidRPr="00A16D62">
        <w:rPr>
          <w:rFonts w:ascii="Cambria" w:eastAsia="Times New Roman" w:hAnsi="Cambria"/>
          <w:bCs/>
          <w:sz w:val="20"/>
          <w:szCs w:val="20"/>
          <w:bdr w:val="none" w:sz="0" w:space="0" w:color="auto"/>
          <w:lang w:val="es-ES"/>
        </w:rPr>
        <w:t xml:space="preserve">permitir tal revelación conduce a la condonación tácita por </w:t>
      </w:r>
      <w:r w:rsidR="00180125" w:rsidRPr="00A16D62">
        <w:rPr>
          <w:rFonts w:ascii="Cambria" w:eastAsia="Times New Roman" w:hAnsi="Cambria"/>
          <w:bCs/>
          <w:sz w:val="20"/>
          <w:szCs w:val="20"/>
          <w:bdr w:val="none" w:sz="0" w:space="0" w:color="auto"/>
          <w:lang w:val="es-ES"/>
        </w:rPr>
        <w:t>el Estado</w:t>
      </w:r>
      <w:r w:rsidR="008A6495" w:rsidRPr="00A16D62">
        <w:rPr>
          <w:rFonts w:ascii="Cambria" w:eastAsia="Times New Roman" w:hAnsi="Cambria"/>
          <w:bCs/>
          <w:sz w:val="20"/>
          <w:szCs w:val="20"/>
          <w:bdr w:val="none" w:sz="0" w:space="0" w:color="auto"/>
          <w:lang w:val="es-ES"/>
        </w:rPr>
        <w:t xml:space="preserve"> de esta intimidación y explotación de los </w:t>
      </w:r>
      <w:r w:rsidR="007B4310" w:rsidRPr="00A16D62">
        <w:rPr>
          <w:rFonts w:ascii="Cambria" w:eastAsia="Times New Roman" w:hAnsi="Cambria"/>
          <w:bCs/>
          <w:sz w:val="20"/>
          <w:szCs w:val="20"/>
          <w:bdr w:val="none" w:sz="0" w:space="0" w:color="auto"/>
          <w:lang w:val="es-ES"/>
        </w:rPr>
        <w:t>trabajadores inmigrantes</w:t>
      </w:r>
      <w:r w:rsidR="00C458A1" w:rsidRPr="00A16D62">
        <w:rPr>
          <w:rFonts w:ascii="Cambria" w:eastAsia="Times New Roman" w:hAnsi="Cambria"/>
          <w:bCs/>
          <w:sz w:val="20"/>
          <w:szCs w:val="20"/>
          <w:bdr w:val="none" w:sz="0" w:space="0" w:color="auto"/>
          <w:lang w:val="es-ES"/>
        </w:rPr>
        <w:t xml:space="preserve">. </w:t>
      </w:r>
    </w:p>
    <w:p w:rsidR="00354259" w:rsidRPr="00A16D62" w:rsidRDefault="00354259" w:rsidP="00354259">
      <w:pPr>
        <w:rPr>
          <w:rFonts w:eastAsia="Times New Roman"/>
          <w:bCs/>
          <w:sz w:val="20"/>
          <w:szCs w:val="20"/>
          <w:bdr w:val="none" w:sz="0" w:space="0" w:color="auto"/>
          <w:lang w:val="es-ES"/>
        </w:rPr>
      </w:pPr>
    </w:p>
    <w:p w:rsidR="00A32BEC" w:rsidRPr="00A16D62" w:rsidRDefault="009A5408" w:rsidP="00A76BB1">
      <w:pPr>
        <w:pStyle w:val="Heading3"/>
        <w:keepNext/>
        <w:ind w:left="720" w:firstLine="0"/>
        <w:rPr>
          <w:lang w:val="es-ES"/>
        </w:rPr>
      </w:pPr>
      <w:bookmarkStart w:id="13" w:name="_Toc467138438"/>
      <w:r w:rsidRPr="00A16D62">
        <w:rPr>
          <w:lang w:val="es-ES"/>
        </w:rPr>
        <w:t>Presuntas víctimas</w:t>
      </w:r>
      <w:bookmarkEnd w:id="13"/>
    </w:p>
    <w:p w:rsidR="00A32BEC" w:rsidRPr="00A16D62" w:rsidRDefault="00A32BEC" w:rsidP="00A76BB1">
      <w:pPr>
        <w:keepNext/>
        <w:ind w:left="720"/>
        <w:rPr>
          <w:lang w:val="es-ES" w:eastAsia="es-ES"/>
        </w:rPr>
      </w:pPr>
    </w:p>
    <w:p w:rsidR="00A32BEC" w:rsidRPr="00A16D62" w:rsidRDefault="00A32BEC" w:rsidP="00A76BB1">
      <w:pPr>
        <w:pStyle w:val="Heading4"/>
        <w:keepLines w:val="0"/>
        <w:ind w:left="720" w:firstLine="0"/>
        <w:rPr>
          <w:lang w:val="es-ES" w:eastAsia="es-ES"/>
        </w:rPr>
      </w:pPr>
      <w:r w:rsidRPr="00A16D62">
        <w:rPr>
          <w:lang w:val="es-ES"/>
        </w:rPr>
        <w:t>Leopoldo Zumaya</w:t>
      </w:r>
    </w:p>
    <w:p w:rsidR="00A32BEC" w:rsidRPr="00A16D62" w:rsidRDefault="00A32BEC" w:rsidP="003B4AA3">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3010AB" w:rsidRPr="00A16D62" w:rsidRDefault="009A5408" w:rsidP="003B4AA3">
      <w:pPr>
        <w:keepNex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3B4AA3">
        <w:rPr>
          <w:rFonts w:ascii="Cambria" w:eastAsia="Times New Roman" w:hAnsi="Cambria"/>
          <w:bCs/>
          <w:sz w:val="20"/>
          <w:szCs w:val="20"/>
          <w:bdr w:val="none" w:sz="0" w:space="0" w:color="auto"/>
          <w:lang w:val="es-ES"/>
        </w:rPr>
        <w:t>Los peticionarios</w:t>
      </w:r>
      <w:r w:rsidR="00BB3430" w:rsidRPr="003B4AA3">
        <w:rPr>
          <w:rFonts w:ascii="Cambria" w:eastAsia="Times New Roman" w:hAnsi="Cambria"/>
          <w:bCs/>
          <w:sz w:val="20"/>
          <w:szCs w:val="20"/>
          <w:bdr w:val="none" w:sz="0" w:space="0" w:color="auto"/>
          <w:lang w:val="es-ES"/>
        </w:rPr>
        <w:t xml:space="preserve"> indica</w:t>
      </w:r>
      <w:r w:rsidR="008A6495" w:rsidRPr="003B4AA3">
        <w:rPr>
          <w:rFonts w:ascii="Cambria" w:eastAsia="Times New Roman" w:hAnsi="Cambria"/>
          <w:bCs/>
          <w:sz w:val="20"/>
          <w:szCs w:val="20"/>
          <w:bdr w:val="none" w:sz="0" w:space="0" w:color="auto"/>
          <w:lang w:val="es-ES"/>
        </w:rPr>
        <w:t xml:space="preserve">n que </w:t>
      </w:r>
      <w:r w:rsidR="001A2F57" w:rsidRPr="003B4AA3">
        <w:rPr>
          <w:rFonts w:ascii="Cambria" w:eastAsia="Times New Roman" w:hAnsi="Cambria"/>
          <w:bCs/>
          <w:sz w:val="20"/>
          <w:szCs w:val="20"/>
          <w:bdr w:val="none" w:sz="0" w:space="0" w:color="auto"/>
          <w:lang w:val="es-ES"/>
        </w:rPr>
        <w:t xml:space="preserve">Leopoldo Zumaya, </w:t>
      </w:r>
      <w:r w:rsidR="008A6495" w:rsidRPr="003B4AA3">
        <w:rPr>
          <w:rFonts w:ascii="Cambria" w:eastAsia="Times New Roman" w:hAnsi="Cambria"/>
          <w:bCs/>
          <w:sz w:val="20"/>
          <w:szCs w:val="20"/>
          <w:bdr w:val="none" w:sz="0" w:space="0" w:color="auto"/>
          <w:lang w:val="es-ES"/>
        </w:rPr>
        <w:t>de n</w:t>
      </w:r>
      <w:r w:rsidR="008A6495" w:rsidRPr="00A16D62">
        <w:rPr>
          <w:rFonts w:ascii="Cambria" w:eastAsia="Times New Roman" w:hAnsi="Cambria"/>
          <w:bCs/>
          <w:sz w:val="20"/>
          <w:szCs w:val="20"/>
          <w:bdr w:val="none" w:sz="0" w:space="0" w:color="auto"/>
          <w:lang w:val="es-ES"/>
        </w:rPr>
        <w:t>acionalidad mexicana</w:t>
      </w:r>
      <w:r w:rsidR="001A2F57" w:rsidRPr="00A16D62">
        <w:rPr>
          <w:rFonts w:ascii="Cambria" w:eastAsia="Times New Roman" w:hAnsi="Cambria"/>
          <w:bCs/>
          <w:sz w:val="20"/>
          <w:szCs w:val="20"/>
          <w:bdr w:val="none" w:sz="0" w:space="0" w:color="auto"/>
          <w:lang w:val="es-ES"/>
        </w:rPr>
        <w:t xml:space="preserve">, </w:t>
      </w:r>
      <w:r w:rsidR="008A6495" w:rsidRPr="00A16D62">
        <w:rPr>
          <w:rFonts w:ascii="Cambria" w:eastAsia="Times New Roman" w:hAnsi="Cambria"/>
          <w:bCs/>
          <w:sz w:val="20"/>
          <w:szCs w:val="20"/>
          <w:bdr w:val="none" w:sz="0" w:space="0" w:color="auto"/>
          <w:lang w:val="es-ES"/>
        </w:rPr>
        <w:t xml:space="preserve">trabajó en una finca en </w:t>
      </w:r>
      <w:r w:rsidR="003E2C91" w:rsidRPr="00A16D62">
        <w:rPr>
          <w:rFonts w:ascii="Cambria" w:eastAsia="Times New Roman" w:hAnsi="Cambria"/>
          <w:bCs/>
          <w:sz w:val="20"/>
          <w:szCs w:val="20"/>
          <w:bdr w:val="none" w:sz="0" w:space="0" w:color="auto"/>
          <w:lang w:val="es-ES"/>
        </w:rPr>
        <w:t>Pensilvania</w:t>
      </w:r>
      <w:r w:rsidR="001A2F57" w:rsidRPr="00A16D62">
        <w:rPr>
          <w:rFonts w:ascii="Cambria" w:eastAsia="Times New Roman" w:hAnsi="Cambria"/>
          <w:bCs/>
          <w:sz w:val="20"/>
          <w:szCs w:val="20"/>
          <w:bdr w:val="none" w:sz="0" w:space="0" w:color="auto"/>
          <w:lang w:val="es-ES"/>
        </w:rPr>
        <w:t xml:space="preserve"> </w:t>
      </w:r>
      <w:r w:rsidR="008A6495" w:rsidRPr="00A16D62">
        <w:rPr>
          <w:rFonts w:ascii="Cambria" w:eastAsia="Times New Roman" w:hAnsi="Cambria"/>
          <w:bCs/>
          <w:sz w:val="20"/>
          <w:szCs w:val="20"/>
          <w:bdr w:val="none" w:sz="0" w:space="0" w:color="auto"/>
          <w:lang w:val="es-ES"/>
        </w:rPr>
        <w:t xml:space="preserve">recolectando manzanas durante </w:t>
      </w:r>
      <w:r w:rsidR="001A2F57" w:rsidRPr="00A16D62">
        <w:rPr>
          <w:rFonts w:ascii="Cambria" w:eastAsia="Times New Roman" w:hAnsi="Cambria"/>
          <w:bCs/>
          <w:sz w:val="20"/>
          <w:szCs w:val="20"/>
          <w:bdr w:val="none" w:sz="0" w:space="0" w:color="auto"/>
          <w:lang w:val="es-ES"/>
        </w:rPr>
        <w:t>14 m</w:t>
      </w:r>
      <w:r w:rsidR="008A6495" w:rsidRPr="00A16D62">
        <w:rPr>
          <w:rFonts w:ascii="Cambria" w:eastAsia="Times New Roman" w:hAnsi="Cambria"/>
          <w:bCs/>
          <w:sz w:val="20"/>
          <w:szCs w:val="20"/>
          <w:bdr w:val="none" w:sz="0" w:space="0" w:color="auto"/>
          <w:lang w:val="es-ES"/>
        </w:rPr>
        <w:t xml:space="preserve">eses, de septiembre de </w:t>
      </w:r>
      <w:r w:rsidR="001A2F57" w:rsidRPr="00A16D62">
        <w:rPr>
          <w:rFonts w:ascii="Cambria" w:eastAsia="Times New Roman" w:hAnsi="Cambria"/>
          <w:bCs/>
          <w:sz w:val="20"/>
          <w:szCs w:val="20"/>
          <w:bdr w:val="none" w:sz="0" w:space="0" w:color="auto"/>
          <w:lang w:val="es-ES"/>
        </w:rPr>
        <w:t xml:space="preserve">2003 </w:t>
      </w:r>
      <w:r w:rsidR="008A6495" w:rsidRPr="00A16D62">
        <w:rPr>
          <w:rFonts w:ascii="Cambria" w:eastAsia="Times New Roman" w:hAnsi="Cambria"/>
          <w:bCs/>
          <w:sz w:val="20"/>
          <w:szCs w:val="20"/>
          <w:bdr w:val="none" w:sz="0" w:space="0" w:color="auto"/>
          <w:lang w:val="es-ES"/>
        </w:rPr>
        <w:t>a noviembre de</w:t>
      </w:r>
      <w:r w:rsidR="00CC3419">
        <w:rPr>
          <w:rFonts w:ascii="Cambria" w:eastAsia="Times New Roman" w:hAnsi="Cambria"/>
          <w:bCs/>
          <w:sz w:val="20"/>
          <w:szCs w:val="20"/>
          <w:bdr w:val="none" w:sz="0" w:space="0" w:color="auto"/>
          <w:lang w:val="es-ES"/>
        </w:rPr>
        <w:t xml:space="preserve"> </w:t>
      </w:r>
      <w:r w:rsidR="001A2F57" w:rsidRPr="00A16D62">
        <w:rPr>
          <w:rFonts w:ascii="Cambria" w:eastAsia="Times New Roman" w:hAnsi="Cambria"/>
          <w:bCs/>
          <w:sz w:val="20"/>
          <w:szCs w:val="20"/>
          <w:bdr w:val="none" w:sz="0" w:space="0" w:color="auto"/>
          <w:lang w:val="es-ES"/>
        </w:rPr>
        <w:t xml:space="preserve">2004. </w:t>
      </w:r>
      <w:r w:rsidR="007F4530" w:rsidRPr="00A16D62">
        <w:rPr>
          <w:rFonts w:ascii="Cambria" w:eastAsia="Times New Roman" w:hAnsi="Cambria"/>
          <w:bCs/>
          <w:sz w:val="20"/>
          <w:szCs w:val="20"/>
          <w:bdr w:val="none" w:sz="0" w:space="0" w:color="auto"/>
          <w:lang w:val="es-ES"/>
        </w:rPr>
        <w:t>En su declaración</w:t>
      </w:r>
      <w:r w:rsidR="003010AB"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el señor</w:t>
      </w:r>
      <w:r w:rsidR="003010AB" w:rsidRPr="00A16D62">
        <w:rPr>
          <w:rFonts w:ascii="Cambria" w:eastAsia="Times New Roman" w:hAnsi="Cambria"/>
          <w:bCs/>
          <w:sz w:val="20"/>
          <w:szCs w:val="20"/>
          <w:bdr w:val="none" w:sz="0" w:space="0" w:color="auto"/>
          <w:lang w:val="es-ES"/>
        </w:rPr>
        <w:t xml:space="preserve"> Zumaya </w:t>
      </w:r>
      <w:r w:rsidR="007F4530" w:rsidRPr="00A16D62">
        <w:rPr>
          <w:rFonts w:ascii="Cambria" w:eastAsia="Times New Roman" w:hAnsi="Cambria"/>
          <w:bCs/>
          <w:sz w:val="20"/>
          <w:szCs w:val="20"/>
          <w:bdr w:val="none" w:sz="0" w:space="0" w:color="auto"/>
          <w:lang w:val="es-ES"/>
        </w:rPr>
        <w:t xml:space="preserve">dijo: </w:t>
      </w:r>
      <w:r w:rsidR="003010AB" w:rsidRPr="00A16D62">
        <w:rPr>
          <w:rFonts w:ascii="Cambria" w:eastAsia="Times New Roman" w:hAnsi="Cambria"/>
          <w:bCs/>
          <w:sz w:val="20"/>
          <w:szCs w:val="20"/>
          <w:bdr w:val="none" w:sz="0" w:space="0" w:color="auto"/>
          <w:lang w:val="es-ES"/>
        </w:rPr>
        <w:t>“</w:t>
      </w:r>
      <w:r w:rsidR="007F4530" w:rsidRPr="00A16D62">
        <w:rPr>
          <w:rFonts w:ascii="Cambria" w:eastAsia="Times New Roman" w:hAnsi="Cambria"/>
          <w:bCs/>
          <w:sz w:val="20"/>
          <w:szCs w:val="20"/>
          <w:bdr w:val="none" w:sz="0" w:space="0" w:color="auto"/>
          <w:lang w:val="es-ES"/>
        </w:rPr>
        <w:t>Era bien sabido que mi empleador</w:t>
      </w:r>
      <w:r w:rsidR="003010AB"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 xml:space="preserve">aceptaba documentos falsos a sabiendas. Cuando yo estaba trabajando allí, había unos quince </w:t>
      </w:r>
      <w:r w:rsidR="00C038BF" w:rsidRPr="00A16D62">
        <w:rPr>
          <w:rFonts w:ascii="Cambria" w:eastAsia="Times New Roman" w:hAnsi="Cambria"/>
          <w:bCs/>
          <w:sz w:val="20"/>
          <w:szCs w:val="20"/>
          <w:bdr w:val="none" w:sz="0" w:space="0" w:color="auto"/>
          <w:lang w:val="es-ES"/>
        </w:rPr>
        <w:t>trabajadores indocumentados</w:t>
      </w:r>
      <w:r w:rsidR="003010AB" w:rsidRPr="00A16D62">
        <w:rPr>
          <w:rFonts w:ascii="Cambria" w:eastAsia="Times New Roman" w:hAnsi="Cambria"/>
          <w:bCs/>
          <w:sz w:val="20"/>
          <w:szCs w:val="20"/>
          <w:bdr w:val="none" w:sz="0" w:space="0" w:color="auto"/>
          <w:lang w:val="es-ES"/>
        </w:rPr>
        <w:t>. M</w:t>
      </w:r>
      <w:r w:rsidR="007F4530" w:rsidRPr="00A16D62">
        <w:rPr>
          <w:rFonts w:ascii="Cambria" w:eastAsia="Times New Roman" w:hAnsi="Cambria"/>
          <w:bCs/>
          <w:sz w:val="20"/>
          <w:szCs w:val="20"/>
          <w:bdr w:val="none" w:sz="0" w:space="0" w:color="auto"/>
          <w:lang w:val="es-ES"/>
        </w:rPr>
        <w:t>i</w:t>
      </w:r>
      <w:r w:rsidR="003010AB"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empleador</w:t>
      </w:r>
      <w:r w:rsidR="003010AB"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me aceptó los documentos</w:t>
      </w:r>
      <w:r w:rsidR="003010AB" w:rsidRPr="00A16D62">
        <w:rPr>
          <w:rFonts w:ascii="Cambria" w:eastAsia="Times New Roman" w:hAnsi="Cambria"/>
          <w:bCs/>
          <w:sz w:val="20"/>
          <w:szCs w:val="20"/>
          <w:bdr w:val="none" w:sz="0" w:space="0" w:color="auto"/>
          <w:lang w:val="es-ES"/>
        </w:rPr>
        <w:t xml:space="preserve"> </w:t>
      </w:r>
      <w:r w:rsidR="00C72947" w:rsidRPr="00A16D62">
        <w:rPr>
          <w:rFonts w:ascii="Cambria" w:eastAsia="Times New Roman" w:hAnsi="Cambria"/>
          <w:bCs/>
          <w:sz w:val="20"/>
          <w:szCs w:val="20"/>
          <w:bdr w:val="none" w:sz="0" w:space="0" w:color="auto"/>
          <w:lang w:val="es-ES"/>
        </w:rPr>
        <w:t>[</w:t>
      </w:r>
      <w:r w:rsidR="007F4530" w:rsidRPr="00A16D62">
        <w:rPr>
          <w:rFonts w:ascii="Cambria" w:eastAsia="Times New Roman" w:hAnsi="Cambria"/>
          <w:bCs/>
          <w:sz w:val="20"/>
          <w:szCs w:val="20"/>
          <w:bdr w:val="none" w:sz="0" w:space="0" w:color="auto"/>
          <w:lang w:val="es-ES"/>
        </w:rPr>
        <w:t>cuando me contrató</w:t>
      </w:r>
      <w:r w:rsidR="00C72947"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y sabía que yo era indocumentado”.</w:t>
      </w:r>
    </w:p>
    <w:p w:rsidR="003010AB" w:rsidRPr="00A16D62" w:rsidRDefault="003010AB" w:rsidP="003010A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3010AB" w:rsidRPr="00A16D62" w:rsidRDefault="007F4530" w:rsidP="003010A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noviembre de</w:t>
      </w:r>
      <w:r w:rsidR="001A2F57" w:rsidRPr="00A16D62">
        <w:rPr>
          <w:rFonts w:ascii="Cambria" w:eastAsia="Times New Roman" w:hAnsi="Cambria"/>
          <w:bCs/>
          <w:sz w:val="20"/>
          <w:szCs w:val="20"/>
          <w:bdr w:val="none" w:sz="0" w:space="0" w:color="auto"/>
          <w:lang w:val="es-ES"/>
        </w:rPr>
        <w:t xml:space="preserve"> 2004, </w:t>
      </w:r>
      <w:r w:rsidRPr="00A16D62">
        <w:rPr>
          <w:rFonts w:ascii="Cambria" w:eastAsia="Times New Roman" w:hAnsi="Cambria"/>
          <w:bCs/>
          <w:sz w:val="20"/>
          <w:szCs w:val="20"/>
          <w:bdr w:val="none" w:sz="0" w:space="0" w:color="auto"/>
          <w:lang w:val="es-ES"/>
        </w:rPr>
        <w:t>el señor</w:t>
      </w:r>
      <w:r w:rsidR="001A2F57" w:rsidRPr="00A16D62">
        <w:rPr>
          <w:rFonts w:ascii="Cambria" w:eastAsia="Times New Roman" w:hAnsi="Cambria"/>
          <w:bCs/>
          <w:sz w:val="20"/>
          <w:szCs w:val="20"/>
          <w:bdr w:val="none" w:sz="0" w:space="0" w:color="auto"/>
          <w:lang w:val="es-ES"/>
        </w:rPr>
        <w:t xml:space="preserve"> Zumaya </w:t>
      </w:r>
      <w:r w:rsidRPr="00A16D62">
        <w:rPr>
          <w:rFonts w:ascii="Cambria" w:eastAsia="Times New Roman" w:hAnsi="Cambria"/>
          <w:bCs/>
          <w:sz w:val="20"/>
          <w:szCs w:val="20"/>
          <w:bdr w:val="none" w:sz="0" w:space="0" w:color="auto"/>
          <w:lang w:val="es-ES"/>
        </w:rPr>
        <w:t xml:space="preserve">se cayó de un árbol y sufrió una fractura grave en la pierna izquierda. Tuvo que someterse a tres intervenciones quirúrgicas, en las cuales los médicos le colocaron una placa de </w:t>
      </w:r>
      <w:r w:rsidR="001A2F57" w:rsidRPr="00A16D62">
        <w:rPr>
          <w:rFonts w:ascii="Cambria" w:eastAsia="Times New Roman" w:hAnsi="Cambria"/>
          <w:bCs/>
          <w:sz w:val="20"/>
          <w:szCs w:val="20"/>
          <w:bdr w:val="none" w:sz="0" w:space="0" w:color="auto"/>
          <w:lang w:val="es-ES"/>
        </w:rPr>
        <w:t xml:space="preserve">metal </w:t>
      </w:r>
      <w:r w:rsidRPr="00A16D62">
        <w:rPr>
          <w:rFonts w:ascii="Cambria" w:eastAsia="Times New Roman" w:hAnsi="Cambria"/>
          <w:bCs/>
          <w:sz w:val="20"/>
          <w:szCs w:val="20"/>
          <w:bdr w:val="none" w:sz="0" w:space="0" w:color="auto"/>
          <w:lang w:val="es-ES"/>
        </w:rPr>
        <w:t xml:space="preserve">y seis tornillos en el tobillo y en la pierna y trataron de reparar </w:t>
      </w:r>
      <w:r w:rsidR="001A2F57" w:rsidRPr="00A16D62">
        <w:rPr>
          <w:rFonts w:ascii="Cambria" w:eastAsia="Times New Roman" w:hAnsi="Cambria"/>
          <w:bCs/>
          <w:sz w:val="20"/>
          <w:szCs w:val="20"/>
          <w:bdr w:val="none" w:sz="0" w:space="0" w:color="auto"/>
          <w:lang w:val="es-ES"/>
        </w:rPr>
        <w:t>ligament</w:t>
      </w:r>
      <w:r w:rsidRPr="00A16D62">
        <w:rPr>
          <w:rFonts w:ascii="Cambria" w:eastAsia="Times New Roman" w:hAnsi="Cambria"/>
          <w:bCs/>
          <w:sz w:val="20"/>
          <w:szCs w:val="20"/>
          <w:bdr w:val="none" w:sz="0" w:space="0" w:color="auto"/>
          <w:lang w:val="es-ES"/>
        </w:rPr>
        <w:t>o</w:t>
      </w:r>
      <w:r w:rsidR="001A2F57" w:rsidRPr="00A16D62">
        <w:rPr>
          <w:rFonts w:ascii="Cambria" w:eastAsia="Times New Roman" w:hAnsi="Cambria"/>
          <w:bCs/>
          <w:sz w:val="20"/>
          <w:szCs w:val="20"/>
          <w:bdr w:val="none" w:sz="0" w:space="0" w:color="auto"/>
          <w:lang w:val="es-ES"/>
        </w:rPr>
        <w:t>s</w:t>
      </w:r>
      <w:r w:rsidRPr="00A16D62">
        <w:rPr>
          <w:rFonts w:ascii="Cambria" w:eastAsia="Times New Roman" w:hAnsi="Cambria"/>
          <w:bCs/>
          <w:sz w:val="20"/>
          <w:szCs w:val="20"/>
          <w:bdr w:val="none" w:sz="0" w:space="0" w:color="auto"/>
          <w:lang w:val="es-ES"/>
        </w:rPr>
        <w:t xml:space="preserve"> desgarrados</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Al principio, el empleador del señor</w:t>
      </w:r>
      <w:r w:rsidR="001A2F57" w:rsidRPr="00A16D62">
        <w:rPr>
          <w:rFonts w:ascii="Cambria" w:eastAsia="Times New Roman" w:hAnsi="Cambria"/>
          <w:bCs/>
          <w:sz w:val="20"/>
          <w:szCs w:val="20"/>
          <w:bdr w:val="none" w:sz="0" w:space="0" w:color="auto"/>
          <w:lang w:val="es-ES"/>
        </w:rPr>
        <w:t xml:space="preserve"> Zumaya</w:t>
      </w:r>
      <w:r w:rsidRPr="00A16D62">
        <w:rPr>
          <w:rFonts w:ascii="Cambria" w:eastAsia="Times New Roman" w:hAnsi="Cambria"/>
          <w:bCs/>
          <w:sz w:val="20"/>
          <w:szCs w:val="20"/>
          <w:bdr w:val="none" w:sz="0" w:space="0" w:color="auto"/>
          <w:lang w:val="es-ES"/>
        </w:rPr>
        <w:t xml:space="preserve"> le pagó las </w:t>
      </w:r>
      <w:r w:rsidR="00256794" w:rsidRPr="00A16D62">
        <w:rPr>
          <w:rFonts w:ascii="Cambria" w:eastAsia="Times New Roman" w:hAnsi="Cambria"/>
          <w:bCs/>
          <w:sz w:val="20"/>
          <w:szCs w:val="20"/>
          <w:bdr w:val="none" w:sz="0" w:space="0" w:color="auto"/>
          <w:lang w:val="es-ES"/>
        </w:rPr>
        <w:t>prestaciones médicas</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pero cuando resultó evidente que no volvería a trabajar pronto, el empleador</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le dijo que dejaría de pagarle las prestaciones. Se consideraba que estaba físicamente en condiciones de reincorporarse a un trabajo sedentario; sin embargo, debido a sus limitaciones físicas, no pudo encontrar trabajo</w:t>
      </w:r>
      <w:r w:rsidR="001A2F57" w:rsidRPr="00A16D62">
        <w:rPr>
          <w:rFonts w:ascii="Cambria" w:eastAsia="Times New Roman" w:hAnsi="Cambria"/>
          <w:bCs/>
          <w:sz w:val="20"/>
          <w:szCs w:val="20"/>
          <w:bdr w:val="none" w:sz="0" w:space="0" w:color="auto"/>
          <w:lang w:val="es-ES"/>
        </w:rPr>
        <w:t xml:space="preserve">. </w:t>
      </w:r>
    </w:p>
    <w:p w:rsidR="003010AB" w:rsidRPr="00A16D62" w:rsidRDefault="003010AB" w:rsidP="003010AB">
      <w:pPr>
        <w:pStyle w:val="ListParagraph"/>
        <w:rPr>
          <w:rFonts w:eastAsia="Times New Roman"/>
          <w:bCs/>
          <w:sz w:val="20"/>
          <w:szCs w:val="20"/>
          <w:bdr w:val="none" w:sz="0" w:space="0" w:color="auto"/>
          <w:lang w:val="es-ES"/>
        </w:rPr>
      </w:pPr>
    </w:p>
    <w:p w:rsidR="001A2F57" w:rsidRPr="00A16D62" w:rsidRDefault="00902D36" w:rsidP="003010A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Por consiguiente, </w:t>
      </w:r>
      <w:r w:rsidR="007F4530" w:rsidRPr="00A16D62">
        <w:rPr>
          <w:rFonts w:ascii="Cambria" w:eastAsia="Times New Roman" w:hAnsi="Cambria"/>
          <w:bCs/>
          <w:sz w:val="20"/>
          <w:szCs w:val="20"/>
          <w:bdr w:val="none" w:sz="0" w:space="0" w:color="auto"/>
          <w:lang w:val="es-ES"/>
        </w:rPr>
        <w:t>el señor</w:t>
      </w:r>
      <w:r w:rsidR="001A2F57" w:rsidRPr="00A16D62">
        <w:rPr>
          <w:rFonts w:ascii="Cambria" w:eastAsia="Times New Roman" w:hAnsi="Cambria"/>
          <w:bCs/>
          <w:sz w:val="20"/>
          <w:szCs w:val="20"/>
          <w:bdr w:val="none" w:sz="0" w:space="0" w:color="auto"/>
          <w:lang w:val="es-ES"/>
        </w:rPr>
        <w:t xml:space="preserve"> Zumaya </w:t>
      </w:r>
      <w:r w:rsidRPr="00A16D62">
        <w:rPr>
          <w:rFonts w:ascii="Cambria" w:eastAsia="Times New Roman" w:hAnsi="Cambria"/>
          <w:bCs/>
          <w:sz w:val="20"/>
          <w:szCs w:val="20"/>
          <w:bdr w:val="none" w:sz="0" w:space="0" w:color="auto"/>
          <w:lang w:val="es-ES"/>
        </w:rPr>
        <w:t xml:space="preserve">contrató a un abogado para que lo representara en una demanda de </w:t>
      </w:r>
      <w:r w:rsidR="007B4310" w:rsidRPr="00A16D62">
        <w:rPr>
          <w:rFonts w:ascii="Cambria" w:eastAsia="Times New Roman" w:hAnsi="Cambria"/>
          <w:bCs/>
          <w:sz w:val="20"/>
          <w:szCs w:val="20"/>
          <w:bdr w:val="none" w:sz="0" w:space="0" w:color="auto"/>
          <w:lang w:val="es-ES"/>
        </w:rPr>
        <w:t>indemnización por accidentes de trabajo</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contra su ex </w:t>
      </w:r>
      <w:r w:rsidR="007F4530" w:rsidRPr="00A16D62">
        <w:rPr>
          <w:rFonts w:ascii="Cambria" w:eastAsia="Times New Roman" w:hAnsi="Cambria"/>
          <w:bCs/>
          <w:sz w:val="20"/>
          <w:szCs w:val="20"/>
          <w:bdr w:val="none" w:sz="0" w:space="0" w:color="auto"/>
          <w:lang w:val="es-ES"/>
        </w:rPr>
        <w:t>empleador</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Le aconsejaron que llegara a un arreglo con su </w:t>
      </w:r>
      <w:r w:rsidR="007F4530" w:rsidRPr="00A16D62">
        <w:rPr>
          <w:rFonts w:ascii="Cambria" w:eastAsia="Times New Roman" w:hAnsi="Cambria"/>
          <w:bCs/>
          <w:sz w:val="20"/>
          <w:szCs w:val="20"/>
          <w:bdr w:val="none" w:sz="0" w:space="0" w:color="auto"/>
          <w:lang w:val="es-ES"/>
        </w:rPr>
        <w:t>empleador</w:t>
      </w:r>
      <w:r w:rsidR="00C7294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así lo hizo por la suma de </w:t>
      </w:r>
      <w:r w:rsidR="005712CE" w:rsidRPr="00A16D62">
        <w:rPr>
          <w:rFonts w:ascii="Cambria" w:eastAsia="Times New Roman" w:hAnsi="Cambria"/>
          <w:bCs/>
          <w:sz w:val="20"/>
          <w:szCs w:val="20"/>
          <w:bdr w:val="none" w:sz="0" w:space="0" w:color="auto"/>
          <w:lang w:val="es-ES"/>
        </w:rPr>
        <w:t>US</w:t>
      </w:r>
      <w:r w:rsidR="001A2F57" w:rsidRPr="00A16D62">
        <w:rPr>
          <w:rFonts w:ascii="Cambria" w:eastAsia="Times New Roman" w:hAnsi="Cambria"/>
          <w:bCs/>
          <w:sz w:val="20"/>
          <w:szCs w:val="20"/>
          <w:bdr w:val="none" w:sz="0" w:space="0" w:color="auto"/>
          <w:lang w:val="es-ES"/>
        </w:rPr>
        <w:t>$35</w:t>
      </w:r>
      <w:r w:rsidRPr="00A16D62">
        <w:rPr>
          <w:rFonts w:ascii="Cambria" w:eastAsia="Times New Roman" w:hAnsi="Cambria"/>
          <w:bCs/>
          <w:sz w:val="20"/>
          <w:szCs w:val="20"/>
          <w:bdr w:val="none" w:sz="0" w:space="0" w:color="auto"/>
          <w:lang w:val="es-ES"/>
        </w:rPr>
        <w:t>.</w:t>
      </w:r>
      <w:r w:rsidR="001A2F57" w:rsidRPr="00A16D62">
        <w:rPr>
          <w:rFonts w:ascii="Cambria" w:eastAsia="Times New Roman" w:hAnsi="Cambria"/>
          <w:bCs/>
          <w:sz w:val="20"/>
          <w:szCs w:val="20"/>
          <w:bdr w:val="none" w:sz="0" w:space="0" w:color="auto"/>
          <w:lang w:val="es-ES"/>
        </w:rPr>
        <w:t xml:space="preserve">000. </w:t>
      </w:r>
      <w:r w:rsidRPr="00A16D62">
        <w:rPr>
          <w:rFonts w:ascii="Cambria" w:eastAsia="Times New Roman" w:hAnsi="Cambria"/>
          <w:bCs/>
          <w:sz w:val="20"/>
          <w:szCs w:val="20"/>
          <w:bdr w:val="none" w:sz="0" w:space="0" w:color="auto"/>
          <w:lang w:val="es-ES"/>
        </w:rPr>
        <w:t>Según</w:t>
      </w:r>
      <w:r w:rsidR="001A2F57"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los peticionarios</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si e</w:t>
      </w:r>
      <w:r w:rsidR="007F4530" w:rsidRPr="00A16D62">
        <w:rPr>
          <w:rFonts w:ascii="Cambria" w:eastAsia="Times New Roman" w:hAnsi="Cambria"/>
          <w:bCs/>
          <w:sz w:val="20"/>
          <w:szCs w:val="20"/>
          <w:bdr w:val="none" w:sz="0" w:space="0" w:color="auto"/>
          <w:lang w:val="es-ES"/>
        </w:rPr>
        <w:t>l señor</w:t>
      </w:r>
      <w:r w:rsidR="001A2F57" w:rsidRPr="00A16D62">
        <w:rPr>
          <w:rFonts w:ascii="Cambria" w:eastAsia="Times New Roman" w:hAnsi="Cambria"/>
          <w:bCs/>
          <w:sz w:val="20"/>
          <w:szCs w:val="20"/>
          <w:bdr w:val="none" w:sz="0" w:space="0" w:color="auto"/>
          <w:lang w:val="es-ES"/>
        </w:rPr>
        <w:t xml:space="preserve"> Zumaya </w:t>
      </w:r>
      <w:r w:rsidRPr="00A16D62">
        <w:rPr>
          <w:rFonts w:ascii="Cambria" w:eastAsia="Times New Roman" w:hAnsi="Cambria"/>
          <w:bCs/>
          <w:sz w:val="20"/>
          <w:szCs w:val="20"/>
          <w:bdr w:val="none" w:sz="0" w:space="0" w:color="auto"/>
          <w:lang w:val="es-ES"/>
        </w:rPr>
        <w:t xml:space="preserve">hubiera sido ciudadano estadounidense, habría tenido derecho a recibir </w:t>
      </w:r>
      <w:r w:rsidR="005712CE" w:rsidRPr="00A16D62">
        <w:rPr>
          <w:rFonts w:ascii="Cambria" w:eastAsia="Times New Roman" w:hAnsi="Cambria"/>
          <w:bCs/>
          <w:sz w:val="20"/>
          <w:szCs w:val="20"/>
          <w:bdr w:val="none" w:sz="0" w:space="0" w:color="auto"/>
          <w:lang w:val="es-ES"/>
        </w:rPr>
        <w:t xml:space="preserve">una liquidación de </w:t>
      </w:r>
      <w:r w:rsidR="001A2F57" w:rsidRPr="00A16D62">
        <w:rPr>
          <w:rFonts w:ascii="Cambria" w:eastAsia="Times New Roman" w:hAnsi="Cambria"/>
          <w:bCs/>
          <w:sz w:val="20"/>
          <w:szCs w:val="20"/>
          <w:bdr w:val="none" w:sz="0" w:space="0" w:color="auto"/>
          <w:lang w:val="es-ES"/>
        </w:rPr>
        <w:t>US$85</w:t>
      </w:r>
      <w:r w:rsidR="005712CE" w:rsidRPr="00A16D62">
        <w:rPr>
          <w:rFonts w:ascii="Cambria" w:eastAsia="Times New Roman" w:hAnsi="Cambria"/>
          <w:bCs/>
          <w:sz w:val="20"/>
          <w:szCs w:val="20"/>
          <w:bdr w:val="none" w:sz="0" w:space="0" w:color="auto"/>
          <w:lang w:val="es-ES"/>
        </w:rPr>
        <w:t>.</w:t>
      </w:r>
      <w:r w:rsidR="001A2F57" w:rsidRPr="00A16D62">
        <w:rPr>
          <w:rFonts w:ascii="Cambria" w:eastAsia="Times New Roman" w:hAnsi="Cambria"/>
          <w:bCs/>
          <w:sz w:val="20"/>
          <w:szCs w:val="20"/>
          <w:bdr w:val="none" w:sz="0" w:space="0" w:color="auto"/>
          <w:lang w:val="es-ES"/>
        </w:rPr>
        <w:t xml:space="preserve">000 </w:t>
      </w:r>
      <w:r w:rsidR="005712CE" w:rsidRPr="00A16D62">
        <w:rPr>
          <w:rFonts w:ascii="Cambria" w:eastAsia="Times New Roman" w:hAnsi="Cambria"/>
          <w:bCs/>
          <w:sz w:val="20"/>
          <w:szCs w:val="20"/>
          <w:bdr w:val="none" w:sz="0" w:space="0" w:color="auto"/>
          <w:lang w:val="es-ES"/>
        </w:rPr>
        <w:t>a US$</w:t>
      </w:r>
      <w:r w:rsidR="001A2F57" w:rsidRPr="00A16D62">
        <w:rPr>
          <w:rFonts w:ascii="Cambria" w:eastAsia="Times New Roman" w:hAnsi="Cambria"/>
          <w:bCs/>
          <w:sz w:val="20"/>
          <w:szCs w:val="20"/>
          <w:bdr w:val="none" w:sz="0" w:space="0" w:color="auto"/>
          <w:lang w:val="es-ES"/>
        </w:rPr>
        <w:t>100</w:t>
      </w:r>
      <w:r w:rsidR="005712CE" w:rsidRPr="00A16D62">
        <w:rPr>
          <w:rFonts w:ascii="Cambria" w:eastAsia="Times New Roman" w:hAnsi="Cambria"/>
          <w:bCs/>
          <w:sz w:val="20"/>
          <w:szCs w:val="20"/>
          <w:bdr w:val="none" w:sz="0" w:space="0" w:color="auto"/>
          <w:lang w:val="es-ES"/>
        </w:rPr>
        <w:t>.</w:t>
      </w:r>
      <w:r w:rsidR="001A2F57" w:rsidRPr="00A16D62">
        <w:rPr>
          <w:rFonts w:ascii="Cambria" w:eastAsia="Times New Roman" w:hAnsi="Cambria"/>
          <w:bCs/>
          <w:sz w:val="20"/>
          <w:szCs w:val="20"/>
          <w:bdr w:val="none" w:sz="0" w:space="0" w:color="auto"/>
          <w:lang w:val="es-ES"/>
        </w:rPr>
        <w:t xml:space="preserve">000 </w:t>
      </w:r>
      <w:r w:rsidR="005712CE" w:rsidRPr="00A16D62">
        <w:rPr>
          <w:rFonts w:ascii="Cambria" w:eastAsia="Times New Roman" w:hAnsi="Cambria"/>
          <w:bCs/>
          <w:sz w:val="20"/>
          <w:szCs w:val="20"/>
          <w:bdr w:val="none" w:sz="0" w:space="0" w:color="auto"/>
          <w:lang w:val="es-ES"/>
        </w:rPr>
        <w:t xml:space="preserve">en concepto de </w:t>
      </w:r>
      <w:r w:rsidR="007B4310" w:rsidRPr="00A16D62">
        <w:rPr>
          <w:rFonts w:ascii="Cambria" w:eastAsia="Times New Roman" w:hAnsi="Cambria"/>
          <w:bCs/>
          <w:sz w:val="20"/>
          <w:szCs w:val="20"/>
          <w:bdr w:val="none" w:sz="0" w:space="0" w:color="auto"/>
          <w:lang w:val="es-ES"/>
        </w:rPr>
        <w:t>indemnización por accidente de trabajo</w:t>
      </w:r>
      <w:r w:rsidR="001A2F57" w:rsidRPr="00A16D62">
        <w:rPr>
          <w:rStyle w:val="FootnoteReference"/>
          <w:rFonts w:ascii="Cambria" w:eastAsia="Times New Roman" w:hAnsi="Cambria"/>
          <w:bCs/>
          <w:sz w:val="20"/>
          <w:szCs w:val="20"/>
          <w:bdr w:val="none" w:sz="0" w:space="0" w:color="auto"/>
          <w:lang w:val="es-ES"/>
        </w:rPr>
        <w:footnoteReference w:id="11"/>
      </w:r>
      <w:r w:rsidR="005712CE" w:rsidRPr="00A16D62">
        <w:rPr>
          <w:rFonts w:ascii="Cambria" w:eastAsia="Times New Roman" w:hAnsi="Cambria"/>
          <w:bCs/>
          <w:sz w:val="20"/>
          <w:szCs w:val="20"/>
          <w:bdr w:val="none" w:sz="0" w:space="0" w:color="auto"/>
          <w:lang w:val="es-ES"/>
        </w:rPr>
        <w:t>.</w:t>
      </w:r>
    </w:p>
    <w:p w:rsidR="001A2F57" w:rsidRPr="00A16D62" w:rsidRDefault="001A2F57" w:rsidP="009A5408">
      <w:pPr>
        <w:pStyle w:val="ListParagraph"/>
        <w:rPr>
          <w:rFonts w:eastAsia="Times New Roman"/>
          <w:bCs/>
          <w:sz w:val="20"/>
          <w:szCs w:val="20"/>
          <w:bdr w:val="none" w:sz="0" w:space="0" w:color="auto"/>
          <w:lang w:val="es-ES"/>
        </w:rPr>
      </w:pPr>
    </w:p>
    <w:p w:rsidR="001A2F57" w:rsidRPr="00A16D62" w:rsidRDefault="005712CE"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Antes de la publicación del </w:t>
      </w:r>
      <w:r w:rsidR="00256794" w:rsidRPr="00A16D62">
        <w:rPr>
          <w:rFonts w:ascii="Cambria" w:eastAsia="Times New Roman" w:hAnsi="Cambria"/>
          <w:bCs/>
          <w:sz w:val="20"/>
          <w:szCs w:val="20"/>
          <w:bdr w:val="none" w:sz="0" w:space="0" w:color="auto"/>
          <w:lang w:val="es-ES"/>
        </w:rPr>
        <w:t>informe de admisibilidad</w:t>
      </w:r>
      <w:r w:rsidR="001A2F57"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el señor</w:t>
      </w:r>
      <w:r w:rsidR="001A2F57" w:rsidRPr="00A16D62">
        <w:rPr>
          <w:rFonts w:ascii="Cambria" w:eastAsia="Times New Roman" w:hAnsi="Cambria"/>
          <w:bCs/>
          <w:sz w:val="20"/>
          <w:szCs w:val="20"/>
          <w:bdr w:val="none" w:sz="0" w:space="0" w:color="auto"/>
          <w:lang w:val="es-ES"/>
        </w:rPr>
        <w:t xml:space="preserve"> Zumaya re</w:t>
      </w:r>
      <w:r w:rsidRPr="00A16D62">
        <w:rPr>
          <w:rFonts w:ascii="Cambria" w:eastAsia="Times New Roman" w:hAnsi="Cambria"/>
          <w:bCs/>
          <w:sz w:val="20"/>
          <w:szCs w:val="20"/>
          <w:bdr w:val="none" w:sz="0" w:space="0" w:color="auto"/>
          <w:lang w:val="es-ES"/>
        </w:rPr>
        <w:t xml:space="preserve">gresó a </w:t>
      </w:r>
      <w:r w:rsidR="001A2F57" w:rsidRPr="00A16D62">
        <w:rPr>
          <w:rFonts w:ascii="Cambria" w:eastAsia="Times New Roman" w:hAnsi="Cambria"/>
          <w:bCs/>
          <w:sz w:val="20"/>
          <w:szCs w:val="20"/>
          <w:bdr w:val="none" w:sz="0" w:space="0" w:color="auto"/>
          <w:lang w:val="es-ES"/>
        </w:rPr>
        <w:t>M</w:t>
      </w:r>
      <w:r w:rsidRPr="00A16D62">
        <w:rPr>
          <w:rFonts w:ascii="Cambria" w:eastAsia="Times New Roman" w:hAnsi="Cambria"/>
          <w:bCs/>
          <w:sz w:val="20"/>
          <w:szCs w:val="20"/>
          <w:bdr w:val="none" w:sz="0" w:space="0" w:color="auto"/>
          <w:lang w:val="es-ES"/>
        </w:rPr>
        <w:t>é</w:t>
      </w:r>
      <w:r w:rsidR="001A2F57" w:rsidRPr="00A16D62">
        <w:rPr>
          <w:rFonts w:ascii="Cambria" w:eastAsia="Times New Roman" w:hAnsi="Cambria"/>
          <w:bCs/>
          <w:sz w:val="20"/>
          <w:szCs w:val="20"/>
          <w:bdr w:val="none" w:sz="0" w:space="0" w:color="auto"/>
          <w:lang w:val="es-ES"/>
        </w:rPr>
        <w:t>xico.</w:t>
      </w:r>
      <w:r w:rsidR="00CC3419">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Los peticionarios</w:t>
      </w:r>
      <w:r w:rsidR="001A2F57" w:rsidRPr="00A16D62">
        <w:rPr>
          <w:rFonts w:ascii="Cambria" w:eastAsia="Times New Roman" w:hAnsi="Cambria"/>
          <w:bCs/>
          <w:sz w:val="20"/>
          <w:szCs w:val="20"/>
          <w:bdr w:val="none" w:sz="0" w:space="0" w:color="auto"/>
          <w:lang w:val="es-ES"/>
        </w:rPr>
        <w:t xml:space="preserve"> </w:t>
      </w:r>
      <w:r w:rsidR="00FD38E3" w:rsidRPr="00A16D62">
        <w:rPr>
          <w:rFonts w:ascii="Cambria" w:eastAsia="Times New Roman" w:hAnsi="Cambria"/>
          <w:bCs/>
          <w:sz w:val="20"/>
          <w:szCs w:val="20"/>
          <w:bdr w:val="none" w:sz="0" w:space="0" w:color="auto"/>
          <w:lang w:val="es-ES"/>
        </w:rPr>
        <w:t>inform</w:t>
      </w:r>
      <w:r w:rsidRPr="00A16D62">
        <w:rPr>
          <w:rFonts w:ascii="Cambria" w:eastAsia="Times New Roman" w:hAnsi="Cambria"/>
          <w:bCs/>
          <w:sz w:val="20"/>
          <w:szCs w:val="20"/>
          <w:bdr w:val="none" w:sz="0" w:space="0" w:color="auto"/>
          <w:lang w:val="es-ES"/>
        </w:rPr>
        <w:t xml:space="preserve">an que </w:t>
      </w:r>
      <w:r w:rsidR="00CC798B" w:rsidRPr="00A16D62">
        <w:rPr>
          <w:rFonts w:ascii="Cambria" w:eastAsia="Times New Roman" w:hAnsi="Cambria"/>
          <w:bCs/>
          <w:sz w:val="20"/>
          <w:szCs w:val="20"/>
          <w:bdr w:val="none" w:sz="0" w:space="0" w:color="auto"/>
          <w:lang w:val="es-ES"/>
        </w:rPr>
        <w:t xml:space="preserve">padece </w:t>
      </w:r>
      <w:r w:rsidR="007D36B7" w:rsidRPr="00A16D62">
        <w:rPr>
          <w:rFonts w:ascii="Cambria" w:eastAsia="Times New Roman" w:hAnsi="Cambria"/>
          <w:bCs/>
          <w:sz w:val="20"/>
          <w:szCs w:val="20"/>
          <w:bdr w:val="none" w:sz="0" w:space="0" w:color="auto"/>
          <w:lang w:val="es-ES"/>
        </w:rPr>
        <w:t xml:space="preserve">un trastorno de dolor </w:t>
      </w:r>
      <w:r w:rsidR="001A2F57" w:rsidRPr="00A16D62">
        <w:rPr>
          <w:rFonts w:ascii="Cambria" w:eastAsia="Times New Roman" w:hAnsi="Cambria"/>
          <w:bCs/>
          <w:sz w:val="20"/>
          <w:szCs w:val="20"/>
          <w:bdr w:val="none" w:sz="0" w:space="0" w:color="auto"/>
          <w:lang w:val="es-ES"/>
        </w:rPr>
        <w:t xml:space="preserve">regional </w:t>
      </w:r>
      <w:r w:rsidR="007D36B7" w:rsidRPr="00A16D62">
        <w:rPr>
          <w:rFonts w:ascii="Cambria" w:eastAsia="Times New Roman" w:hAnsi="Cambria"/>
          <w:bCs/>
          <w:sz w:val="20"/>
          <w:szCs w:val="20"/>
          <w:bdr w:val="none" w:sz="0" w:space="0" w:color="auto"/>
          <w:lang w:val="es-ES"/>
        </w:rPr>
        <w:t>crónico</w:t>
      </w:r>
      <w:r w:rsidR="00EE6296" w:rsidRPr="00A16D62">
        <w:rPr>
          <w:rFonts w:ascii="Cambria" w:eastAsia="Times New Roman" w:hAnsi="Cambria"/>
          <w:bCs/>
          <w:sz w:val="20"/>
          <w:szCs w:val="20"/>
          <w:bdr w:val="none" w:sz="0" w:space="0" w:color="auto"/>
          <w:lang w:val="es-ES"/>
        </w:rPr>
        <w:t>, con daño permanente de un nervio</w:t>
      </w:r>
      <w:r w:rsidR="007D36B7" w:rsidRPr="00A16D62">
        <w:rPr>
          <w:rFonts w:ascii="Cambria" w:eastAsia="Times New Roman" w:hAnsi="Cambria"/>
          <w:bCs/>
          <w:sz w:val="20"/>
          <w:szCs w:val="20"/>
          <w:bdr w:val="none" w:sz="0" w:space="0" w:color="auto"/>
          <w:lang w:val="es-ES"/>
        </w:rPr>
        <w:t>, lo cual continúa afectándolo</w:t>
      </w:r>
      <w:r w:rsidR="001A2F57" w:rsidRPr="00A16D62">
        <w:rPr>
          <w:rFonts w:ascii="Cambria" w:eastAsia="Times New Roman" w:hAnsi="Cambria"/>
          <w:bCs/>
          <w:sz w:val="20"/>
          <w:szCs w:val="20"/>
          <w:bdr w:val="none" w:sz="0" w:space="0" w:color="auto"/>
          <w:lang w:val="es-ES"/>
        </w:rPr>
        <w:t xml:space="preserve">. </w:t>
      </w:r>
    </w:p>
    <w:p w:rsidR="00A32BEC" w:rsidRPr="00A16D62" w:rsidRDefault="00A32BEC" w:rsidP="00354259">
      <w:pPr>
        <w:rPr>
          <w:rFonts w:eastAsia="Times New Roman"/>
          <w:bCs/>
          <w:sz w:val="20"/>
          <w:szCs w:val="20"/>
          <w:bdr w:val="none" w:sz="0" w:space="0" w:color="auto"/>
          <w:lang w:val="es-ES"/>
        </w:rPr>
      </w:pPr>
    </w:p>
    <w:p w:rsidR="001A2F57" w:rsidRPr="00A16D62" w:rsidRDefault="001A2F57" w:rsidP="00A76BB1">
      <w:pPr>
        <w:pStyle w:val="Heading4"/>
        <w:ind w:left="720" w:firstLine="0"/>
        <w:rPr>
          <w:rFonts w:eastAsia="Times New Roman"/>
          <w:bdr w:val="none" w:sz="0" w:space="0" w:color="auto"/>
          <w:lang w:val="es-ES"/>
        </w:rPr>
      </w:pPr>
      <w:r w:rsidRPr="00A16D62">
        <w:rPr>
          <w:rFonts w:eastAsia="Times New Roman"/>
          <w:bdr w:val="none" w:sz="0" w:space="0" w:color="auto"/>
          <w:lang w:val="es-ES"/>
        </w:rPr>
        <w:t xml:space="preserve">Francisco Berumen Lizalde </w:t>
      </w:r>
    </w:p>
    <w:p w:rsidR="001A2F57" w:rsidRPr="00A16D62" w:rsidRDefault="001A2F57" w:rsidP="001A2F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1A2F57" w:rsidRPr="00A16D62" w:rsidRDefault="009A5408"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Los peticionarios</w:t>
      </w:r>
      <w:r w:rsidR="004B0CE7" w:rsidRPr="00A16D62">
        <w:rPr>
          <w:rFonts w:ascii="Cambria" w:eastAsia="Times New Roman" w:hAnsi="Cambria"/>
          <w:bCs/>
          <w:sz w:val="20"/>
          <w:szCs w:val="20"/>
          <w:bdr w:val="none" w:sz="0" w:space="0" w:color="auto"/>
          <w:lang w:val="es-ES"/>
        </w:rPr>
        <w:t xml:space="preserve"> af</w:t>
      </w:r>
      <w:r w:rsidR="007D36B7" w:rsidRPr="00A16D62">
        <w:rPr>
          <w:rFonts w:ascii="Cambria" w:eastAsia="Times New Roman" w:hAnsi="Cambria"/>
          <w:bCs/>
          <w:sz w:val="20"/>
          <w:szCs w:val="20"/>
          <w:bdr w:val="none" w:sz="0" w:space="0" w:color="auto"/>
          <w:lang w:val="es-ES"/>
        </w:rPr>
        <w:t xml:space="preserve">irman que </w:t>
      </w:r>
      <w:r w:rsidR="001A2F57" w:rsidRPr="00A16D62">
        <w:rPr>
          <w:rFonts w:ascii="Cambria" w:eastAsia="Times New Roman" w:hAnsi="Cambria"/>
          <w:bCs/>
          <w:sz w:val="20"/>
          <w:szCs w:val="20"/>
          <w:bdr w:val="none" w:sz="0" w:space="0" w:color="auto"/>
          <w:lang w:val="es-ES"/>
        </w:rPr>
        <w:t xml:space="preserve">Francisco Berumen Lizalde, </w:t>
      </w:r>
      <w:r w:rsidR="007D36B7" w:rsidRPr="00A16D62">
        <w:rPr>
          <w:rFonts w:ascii="Cambria" w:eastAsia="Times New Roman" w:hAnsi="Cambria"/>
          <w:bCs/>
          <w:sz w:val="20"/>
          <w:szCs w:val="20"/>
          <w:bdr w:val="none" w:sz="0" w:space="0" w:color="auto"/>
          <w:lang w:val="es-ES"/>
        </w:rPr>
        <w:t>también de nacionalidad mexicana</w:t>
      </w:r>
      <w:r w:rsidR="001A2F57" w:rsidRPr="00A16D62">
        <w:rPr>
          <w:rFonts w:ascii="Cambria" w:eastAsia="Times New Roman" w:hAnsi="Cambria"/>
          <w:bCs/>
          <w:sz w:val="20"/>
          <w:szCs w:val="20"/>
          <w:bdr w:val="none" w:sz="0" w:space="0" w:color="auto"/>
          <w:lang w:val="es-ES"/>
        </w:rPr>
        <w:t xml:space="preserve">, </w:t>
      </w:r>
      <w:r w:rsidR="007D36B7" w:rsidRPr="00A16D62">
        <w:rPr>
          <w:rFonts w:ascii="Cambria" w:eastAsia="Times New Roman" w:hAnsi="Cambria"/>
          <w:bCs/>
          <w:sz w:val="20"/>
          <w:szCs w:val="20"/>
          <w:bdr w:val="none" w:sz="0" w:space="0" w:color="auto"/>
          <w:lang w:val="es-ES"/>
        </w:rPr>
        <w:t xml:space="preserve">trabajó como pintor en </w:t>
      </w:r>
      <w:r w:rsidR="001A2F57" w:rsidRPr="00A16D62">
        <w:rPr>
          <w:rFonts w:ascii="Cambria" w:eastAsia="Times New Roman" w:hAnsi="Cambria"/>
          <w:bCs/>
          <w:sz w:val="20"/>
          <w:szCs w:val="20"/>
          <w:bdr w:val="none" w:sz="0" w:space="0" w:color="auto"/>
          <w:lang w:val="es-ES"/>
        </w:rPr>
        <w:t xml:space="preserve">Kansas </w:t>
      </w:r>
      <w:r w:rsidR="007D36B7" w:rsidRPr="00A16D62">
        <w:rPr>
          <w:rFonts w:ascii="Cambria" w:eastAsia="Times New Roman" w:hAnsi="Cambria"/>
          <w:bCs/>
          <w:sz w:val="20"/>
          <w:szCs w:val="20"/>
          <w:bdr w:val="none" w:sz="0" w:space="0" w:color="auto"/>
          <w:lang w:val="es-ES"/>
        </w:rPr>
        <w:t xml:space="preserve">durante ocho meses, de marzo a noviembre de </w:t>
      </w:r>
      <w:r w:rsidR="001A2F57" w:rsidRPr="00A16D62">
        <w:rPr>
          <w:rFonts w:ascii="Cambria" w:eastAsia="Times New Roman" w:hAnsi="Cambria"/>
          <w:bCs/>
          <w:sz w:val="20"/>
          <w:szCs w:val="20"/>
          <w:bdr w:val="none" w:sz="0" w:space="0" w:color="auto"/>
          <w:lang w:val="es-ES"/>
        </w:rPr>
        <w:t xml:space="preserve">2005. </w:t>
      </w:r>
      <w:r w:rsidR="007D36B7" w:rsidRPr="00A16D62">
        <w:rPr>
          <w:rFonts w:ascii="Cambria" w:eastAsia="Times New Roman" w:hAnsi="Cambria"/>
          <w:bCs/>
          <w:sz w:val="20"/>
          <w:szCs w:val="20"/>
          <w:bdr w:val="none" w:sz="0" w:space="0" w:color="auto"/>
          <w:lang w:val="es-ES"/>
        </w:rPr>
        <w:t>En noviembre de</w:t>
      </w:r>
      <w:r w:rsidR="001A2F57" w:rsidRPr="00A16D62">
        <w:rPr>
          <w:rFonts w:ascii="Cambria" w:eastAsia="Times New Roman" w:hAnsi="Cambria"/>
          <w:bCs/>
          <w:sz w:val="20"/>
          <w:szCs w:val="20"/>
          <w:bdr w:val="none" w:sz="0" w:space="0" w:color="auto"/>
          <w:lang w:val="es-ES"/>
        </w:rPr>
        <w:t xml:space="preserve"> 2005, </w:t>
      </w:r>
      <w:r w:rsidR="007D36B7" w:rsidRPr="00A16D62">
        <w:rPr>
          <w:rFonts w:ascii="Cambria" w:eastAsia="Times New Roman" w:hAnsi="Cambria"/>
          <w:bCs/>
          <w:sz w:val="20"/>
          <w:szCs w:val="20"/>
          <w:bdr w:val="none" w:sz="0" w:space="0" w:color="auto"/>
          <w:lang w:val="es-ES"/>
        </w:rPr>
        <w:t xml:space="preserve">se cayó de los andamios y se fracturó la mano, </w:t>
      </w:r>
      <w:r w:rsidR="00C24420" w:rsidRPr="00A16D62">
        <w:rPr>
          <w:rFonts w:ascii="Cambria" w:eastAsia="Times New Roman" w:hAnsi="Cambria"/>
          <w:bCs/>
          <w:sz w:val="20"/>
          <w:szCs w:val="20"/>
          <w:bdr w:val="none" w:sz="0" w:space="0" w:color="auto"/>
          <w:lang w:val="es-ES"/>
        </w:rPr>
        <w:t>quedando imposibilitado para trabajar. E</w:t>
      </w:r>
      <w:r w:rsidR="007F4530" w:rsidRPr="00A16D62">
        <w:rPr>
          <w:rFonts w:ascii="Cambria" w:eastAsia="Times New Roman" w:hAnsi="Cambria"/>
          <w:bCs/>
          <w:sz w:val="20"/>
          <w:szCs w:val="20"/>
          <w:bdr w:val="none" w:sz="0" w:space="0" w:color="auto"/>
          <w:lang w:val="es-ES"/>
        </w:rPr>
        <w:t>l señor</w:t>
      </w:r>
      <w:r w:rsidR="001A2F57" w:rsidRPr="00A16D62">
        <w:rPr>
          <w:rFonts w:ascii="Cambria" w:eastAsia="Times New Roman" w:hAnsi="Cambria"/>
          <w:bCs/>
          <w:sz w:val="20"/>
          <w:szCs w:val="20"/>
          <w:bdr w:val="none" w:sz="0" w:space="0" w:color="auto"/>
          <w:lang w:val="es-ES"/>
        </w:rPr>
        <w:t xml:space="preserve"> Lizalde rec</w:t>
      </w:r>
      <w:r w:rsidR="00C24420" w:rsidRPr="00A16D62">
        <w:rPr>
          <w:rFonts w:ascii="Cambria" w:eastAsia="Times New Roman" w:hAnsi="Cambria"/>
          <w:bCs/>
          <w:sz w:val="20"/>
          <w:szCs w:val="20"/>
          <w:bdr w:val="none" w:sz="0" w:space="0" w:color="auto"/>
          <w:lang w:val="es-ES"/>
        </w:rPr>
        <w:t>ibió atención médica para sus lesiones</w:t>
      </w:r>
      <w:r w:rsidR="00001DB6" w:rsidRPr="00A16D62">
        <w:rPr>
          <w:rFonts w:ascii="Cambria" w:eastAsia="Times New Roman" w:hAnsi="Cambria"/>
          <w:bCs/>
          <w:sz w:val="20"/>
          <w:szCs w:val="20"/>
          <w:bdr w:val="none" w:sz="0" w:space="0" w:color="auto"/>
          <w:lang w:val="es-ES"/>
        </w:rPr>
        <w:t>:</w:t>
      </w:r>
      <w:r w:rsidR="001A2F57" w:rsidRPr="00A16D62">
        <w:rPr>
          <w:rFonts w:ascii="Cambria" w:eastAsia="Times New Roman" w:hAnsi="Cambria"/>
          <w:bCs/>
          <w:sz w:val="20"/>
          <w:szCs w:val="20"/>
          <w:bdr w:val="none" w:sz="0" w:space="0" w:color="auto"/>
          <w:lang w:val="es-ES"/>
        </w:rPr>
        <w:t xml:space="preserve"> </w:t>
      </w:r>
      <w:r w:rsidR="00001DB6" w:rsidRPr="00A16D62">
        <w:rPr>
          <w:rFonts w:ascii="Cambria" w:eastAsia="Times New Roman" w:hAnsi="Cambria"/>
          <w:bCs/>
          <w:sz w:val="20"/>
          <w:szCs w:val="20"/>
          <w:bdr w:val="none" w:sz="0" w:space="0" w:color="auto"/>
          <w:lang w:val="es-ES"/>
        </w:rPr>
        <w:t xml:space="preserve">lo operaron y le enyesaron la mano. Recibió cuatro cheques de la compañía de seguros del </w:t>
      </w:r>
      <w:r w:rsidR="007F4530" w:rsidRPr="00A16D62">
        <w:rPr>
          <w:rFonts w:ascii="Cambria" w:eastAsia="Times New Roman" w:hAnsi="Cambria"/>
          <w:bCs/>
          <w:sz w:val="20"/>
          <w:szCs w:val="20"/>
          <w:bdr w:val="none" w:sz="0" w:space="0" w:color="auto"/>
          <w:lang w:val="es-ES"/>
        </w:rPr>
        <w:t>empleador</w:t>
      </w:r>
      <w:r w:rsidR="00001DB6" w:rsidRPr="00A16D62">
        <w:rPr>
          <w:rFonts w:ascii="Cambria" w:eastAsia="Times New Roman" w:hAnsi="Cambria"/>
          <w:bCs/>
          <w:sz w:val="20"/>
          <w:szCs w:val="20"/>
          <w:bdr w:val="none" w:sz="0" w:space="0" w:color="auto"/>
          <w:lang w:val="es-ES"/>
        </w:rPr>
        <w:t xml:space="preserve"> para sufragar los gastos de atención médica.</w:t>
      </w:r>
    </w:p>
    <w:p w:rsidR="001A2F57" w:rsidRPr="00A16D62" w:rsidRDefault="001A2F57" w:rsidP="001A2F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1A2F57" w:rsidRPr="00A16D62" w:rsidRDefault="00001DB6"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Poco después de que</w:t>
      </w:r>
      <w:r w:rsidR="001A2F57"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el señor</w:t>
      </w:r>
      <w:r w:rsidR="001A2F57" w:rsidRPr="00A16D62">
        <w:rPr>
          <w:rFonts w:ascii="Cambria" w:eastAsia="Times New Roman" w:hAnsi="Cambria"/>
          <w:bCs/>
          <w:sz w:val="20"/>
          <w:szCs w:val="20"/>
          <w:bdr w:val="none" w:sz="0" w:space="0" w:color="auto"/>
          <w:lang w:val="es-ES"/>
        </w:rPr>
        <w:t xml:space="preserve"> Lizalde </w:t>
      </w:r>
      <w:r w:rsidRPr="00A16D62">
        <w:rPr>
          <w:rFonts w:ascii="Cambria" w:eastAsia="Times New Roman" w:hAnsi="Cambria"/>
          <w:bCs/>
          <w:sz w:val="20"/>
          <w:szCs w:val="20"/>
          <w:bdr w:val="none" w:sz="0" w:space="0" w:color="auto"/>
          <w:lang w:val="es-ES"/>
        </w:rPr>
        <w:t xml:space="preserve">interpusiera una demanda de </w:t>
      </w:r>
      <w:r w:rsidR="007B4310" w:rsidRPr="00A16D62">
        <w:rPr>
          <w:rFonts w:ascii="Cambria" w:eastAsia="Times New Roman" w:hAnsi="Cambria"/>
          <w:bCs/>
          <w:sz w:val="20"/>
          <w:szCs w:val="20"/>
          <w:bdr w:val="none" w:sz="0" w:space="0" w:color="auto"/>
          <w:lang w:val="es-ES"/>
        </w:rPr>
        <w:t>indemnización por accidente de trabajo</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antes de que lo pudiera examinar un médico para determinar </w:t>
      </w:r>
      <w:r w:rsidR="00D563D8">
        <w:rPr>
          <w:rFonts w:ascii="Cambria" w:eastAsia="Times New Roman" w:hAnsi="Cambria"/>
          <w:bCs/>
          <w:sz w:val="20"/>
          <w:szCs w:val="20"/>
          <w:bdr w:val="none" w:sz="0" w:space="0" w:color="auto"/>
          <w:lang w:val="es-ES"/>
        </w:rPr>
        <w:t xml:space="preserve">el alcance </w:t>
      </w:r>
      <w:r w:rsidRPr="00A16D62">
        <w:rPr>
          <w:rFonts w:ascii="Cambria" w:eastAsia="Times New Roman" w:hAnsi="Cambria"/>
          <w:bCs/>
          <w:sz w:val="20"/>
          <w:szCs w:val="20"/>
          <w:bdr w:val="none" w:sz="0" w:space="0" w:color="auto"/>
          <w:lang w:val="es-ES"/>
        </w:rPr>
        <w:t xml:space="preserve">de su discapacidad, lo arrestaron y lo acusaron de </w:t>
      </w:r>
      <w:r w:rsidR="001A2F57"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fraude documental</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porque había usado un número de seguro </w:t>
      </w:r>
      <w:r w:rsidR="001A2F57" w:rsidRPr="00A16D62">
        <w:rPr>
          <w:rFonts w:ascii="Cambria" w:eastAsia="Times New Roman" w:hAnsi="Cambria"/>
          <w:bCs/>
          <w:sz w:val="20"/>
          <w:szCs w:val="20"/>
          <w:bdr w:val="none" w:sz="0" w:space="0" w:color="auto"/>
          <w:lang w:val="es-ES"/>
        </w:rPr>
        <w:t xml:space="preserve">social </w:t>
      </w:r>
      <w:r w:rsidRPr="00A16D62">
        <w:rPr>
          <w:rFonts w:ascii="Cambria" w:eastAsia="Times New Roman" w:hAnsi="Cambria"/>
          <w:bCs/>
          <w:sz w:val="20"/>
          <w:szCs w:val="20"/>
          <w:bdr w:val="none" w:sz="0" w:space="0" w:color="auto"/>
          <w:lang w:val="es-ES"/>
        </w:rPr>
        <w:t xml:space="preserve">falso para conseguir trabajo. Posteriormente fue encarcelado durante un mes, fue declarado culpable de este delito (que se considera como delito mayor en la legislación estadounidense) y fue deportado a México en febrero de </w:t>
      </w:r>
      <w:r w:rsidR="001A2F57" w:rsidRPr="00A16D62">
        <w:rPr>
          <w:rFonts w:ascii="Cambria" w:eastAsia="Times New Roman" w:hAnsi="Cambria"/>
          <w:bCs/>
          <w:sz w:val="20"/>
          <w:szCs w:val="20"/>
          <w:bdr w:val="none" w:sz="0" w:space="0" w:color="auto"/>
          <w:lang w:val="es-ES"/>
        </w:rPr>
        <w:t>2006. Dur</w:t>
      </w:r>
      <w:r w:rsidRPr="00A16D62">
        <w:rPr>
          <w:rFonts w:ascii="Cambria" w:eastAsia="Times New Roman" w:hAnsi="Cambria"/>
          <w:bCs/>
          <w:sz w:val="20"/>
          <w:szCs w:val="20"/>
          <w:bdr w:val="none" w:sz="0" w:space="0" w:color="auto"/>
          <w:lang w:val="es-ES"/>
        </w:rPr>
        <w:t>ante su permanencia en la cárcel</w:t>
      </w:r>
      <w:r w:rsidR="001A2F57"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el señor</w:t>
      </w:r>
      <w:r w:rsidR="001A2F57" w:rsidRPr="00A16D62">
        <w:rPr>
          <w:rFonts w:ascii="Cambria" w:eastAsia="Times New Roman" w:hAnsi="Cambria"/>
          <w:bCs/>
          <w:sz w:val="20"/>
          <w:szCs w:val="20"/>
          <w:bdr w:val="none" w:sz="0" w:space="0" w:color="auto"/>
          <w:lang w:val="es-ES"/>
        </w:rPr>
        <w:t xml:space="preserve"> Lizalde </w:t>
      </w:r>
      <w:r w:rsidRPr="00A16D62">
        <w:rPr>
          <w:rFonts w:ascii="Cambria" w:eastAsia="Times New Roman" w:hAnsi="Cambria"/>
          <w:bCs/>
          <w:sz w:val="20"/>
          <w:szCs w:val="20"/>
          <w:bdr w:val="none" w:sz="0" w:space="0" w:color="auto"/>
          <w:lang w:val="es-ES"/>
        </w:rPr>
        <w:t>no pudo consultar a un médico y, por lo tanto, no pudo quitarse el yeso hasta que regresó a México</w:t>
      </w:r>
      <w:r w:rsidR="001A2F57" w:rsidRPr="00A16D62">
        <w:rPr>
          <w:rFonts w:ascii="Cambria" w:eastAsia="Times New Roman" w:hAnsi="Cambria"/>
          <w:bCs/>
          <w:sz w:val="20"/>
          <w:szCs w:val="20"/>
          <w:bdr w:val="none" w:sz="0" w:space="0" w:color="auto"/>
          <w:lang w:val="es-ES"/>
        </w:rPr>
        <w:t xml:space="preserve">. </w:t>
      </w:r>
    </w:p>
    <w:p w:rsidR="001A2F57" w:rsidRPr="00A16D62" w:rsidRDefault="001A2F57" w:rsidP="001A2F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1A2F57" w:rsidRPr="00A16D62" w:rsidRDefault="00F27E43"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El señor Lizalde informa que, tras su retorno a</w:t>
      </w:r>
      <w:r w:rsidR="001A2F57" w:rsidRPr="00A16D62">
        <w:rPr>
          <w:rFonts w:ascii="Cambria" w:eastAsia="Times New Roman" w:hAnsi="Cambria"/>
          <w:bCs/>
          <w:sz w:val="20"/>
          <w:szCs w:val="20"/>
          <w:bdr w:val="none" w:sz="0" w:space="0" w:color="auto"/>
          <w:lang w:val="es-ES"/>
        </w:rPr>
        <w:t xml:space="preserve"> </w:t>
      </w:r>
      <w:r w:rsidR="00001DB6" w:rsidRPr="00A16D62">
        <w:rPr>
          <w:rFonts w:ascii="Cambria" w:eastAsia="Times New Roman" w:hAnsi="Cambria"/>
          <w:bCs/>
          <w:sz w:val="20"/>
          <w:szCs w:val="20"/>
          <w:bdr w:val="none" w:sz="0" w:space="0" w:color="auto"/>
          <w:lang w:val="es-ES"/>
        </w:rPr>
        <w:t>México</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todavía no ha recuperado </w:t>
      </w:r>
      <w:r w:rsidR="00D563D8">
        <w:rPr>
          <w:rFonts w:ascii="Cambria" w:eastAsia="Times New Roman" w:hAnsi="Cambria"/>
          <w:bCs/>
          <w:sz w:val="20"/>
          <w:szCs w:val="20"/>
          <w:bdr w:val="none" w:sz="0" w:space="0" w:color="auto"/>
          <w:lang w:val="es-ES"/>
        </w:rPr>
        <w:t>por completo</w:t>
      </w:r>
      <w:r w:rsidRPr="00A16D62">
        <w:rPr>
          <w:rFonts w:ascii="Cambria" w:eastAsia="Times New Roman" w:hAnsi="Cambria"/>
          <w:bCs/>
          <w:sz w:val="20"/>
          <w:szCs w:val="20"/>
          <w:bdr w:val="none" w:sz="0" w:space="0" w:color="auto"/>
          <w:lang w:val="es-ES"/>
        </w:rPr>
        <w:t xml:space="preserve"> </w:t>
      </w:r>
      <w:r w:rsidR="00D563D8">
        <w:rPr>
          <w:rFonts w:ascii="Cambria" w:eastAsia="Times New Roman" w:hAnsi="Cambria"/>
          <w:bCs/>
          <w:sz w:val="20"/>
          <w:szCs w:val="20"/>
          <w:bdr w:val="none" w:sz="0" w:space="0" w:color="auto"/>
          <w:lang w:val="es-ES"/>
        </w:rPr>
        <w:t xml:space="preserve">el </w:t>
      </w:r>
      <w:r w:rsidRPr="00A16D62">
        <w:rPr>
          <w:rFonts w:ascii="Cambria" w:eastAsia="Times New Roman" w:hAnsi="Cambria"/>
          <w:bCs/>
          <w:sz w:val="20"/>
          <w:szCs w:val="20"/>
          <w:bdr w:val="none" w:sz="0" w:space="0" w:color="auto"/>
          <w:lang w:val="es-ES"/>
        </w:rPr>
        <w:t>movimiento o la fuerza de la mano</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Se ha sometido a fisioterapia de la mano en </w:t>
      </w:r>
      <w:r w:rsidR="00001DB6" w:rsidRPr="00A16D62">
        <w:rPr>
          <w:rFonts w:ascii="Cambria" w:eastAsia="Times New Roman" w:hAnsi="Cambria"/>
          <w:bCs/>
          <w:sz w:val="20"/>
          <w:szCs w:val="20"/>
          <w:bdr w:val="none" w:sz="0" w:space="0" w:color="auto"/>
          <w:lang w:val="es-ES"/>
        </w:rPr>
        <w:t>México</w:t>
      </w:r>
      <w:r w:rsidR="001A2F5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y está pagando el costo del tratamiento en su totalidad</w:t>
      </w:r>
      <w:r w:rsidR="001A2F57" w:rsidRPr="00A16D62">
        <w:rPr>
          <w:rFonts w:ascii="Cambria" w:eastAsia="Times New Roman" w:hAnsi="Cambria"/>
          <w:bCs/>
          <w:sz w:val="20"/>
          <w:szCs w:val="20"/>
          <w:bdr w:val="none" w:sz="0" w:space="0" w:color="auto"/>
          <w:lang w:val="es-ES"/>
        </w:rPr>
        <w:t xml:space="preserve">. </w:t>
      </w:r>
    </w:p>
    <w:p w:rsidR="001A2F57" w:rsidRPr="00A16D62" w:rsidRDefault="001A2F57" w:rsidP="001A2F57">
      <w:pPr>
        <w:rPr>
          <w:lang w:val="es-ES"/>
        </w:rPr>
      </w:pPr>
    </w:p>
    <w:p w:rsidR="001A2F57" w:rsidRPr="00A16D62" w:rsidRDefault="00177D23" w:rsidP="00B164EF">
      <w:pPr>
        <w:pStyle w:val="Heading3"/>
        <w:ind w:left="1440" w:hanging="720"/>
        <w:jc w:val="both"/>
        <w:rPr>
          <w:lang w:val="es-ES"/>
        </w:rPr>
      </w:pPr>
      <w:bookmarkStart w:id="14" w:name="_Toc467138439"/>
      <w:r w:rsidRPr="00A16D62">
        <w:rPr>
          <w:lang w:val="es-ES"/>
        </w:rPr>
        <w:t>Consideraciones de derecho</w:t>
      </w:r>
      <w:r w:rsidR="002F1485" w:rsidRPr="00A16D62">
        <w:rPr>
          <w:lang w:val="es-ES"/>
        </w:rPr>
        <w:t xml:space="preserve">: </w:t>
      </w:r>
      <w:r w:rsidR="004B00B0" w:rsidRPr="00A16D62">
        <w:rPr>
          <w:lang w:val="es-ES"/>
        </w:rPr>
        <w:t>derecho de igualdad ante la Ley</w:t>
      </w:r>
      <w:r w:rsidR="00CC337C" w:rsidRPr="00A16D62">
        <w:rPr>
          <w:lang w:val="es-ES"/>
        </w:rPr>
        <w:t>,</w:t>
      </w:r>
      <w:r w:rsidR="002F1485" w:rsidRPr="00A16D62">
        <w:rPr>
          <w:lang w:val="es-ES"/>
        </w:rPr>
        <w:t xml:space="preserve"> </w:t>
      </w:r>
      <w:r w:rsidR="004B00B0" w:rsidRPr="00A16D62">
        <w:rPr>
          <w:lang w:val="es-ES"/>
        </w:rPr>
        <w:t>derecho de reconocimiento de la personalidad jurídica y de los derechos civiles</w:t>
      </w:r>
      <w:r w:rsidR="00CC337C" w:rsidRPr="00A16D62">
        <w:rPr>
          <w:lang w:val="es-ES"/>
        </w:rPr>
        <w:t xml:space="preserve">, </w:t>
      </w:r>
      <w:r w:rsidR="004B00B0" w:rsidRPr="00A16D62">
        <w:rPr>
          <w:lang w:val="es-ES"/>
        </w:rPr>
        <w:t xml:space="preserve">y </w:t>
      </w:r>
      <w:r w:rsidR="007E4498" w:rsidRPr="00A16D62">
        <w:rPr>
          <w:lang w:val="es-ES"/>
        </w:rPr>
        <w:t>derecho de justicia</w:t>
      </w:r>
      <w:r w:rsidR="00CC337C" w:rsidRPr="00A16D62">
        <w:rPr>
          <w:lang w:val="es-ES"/>
        </w:rPr>
        <w:t xml:space="preserve"> (</w:t>
      </w:r>
      <w:r w:rsidR="00811F92" w:rsidRPr="00A16D62">
        <w:rPr>
          <w:lang w:val="es-ES"/>
        </w:rPr>
        <w:t>artículo</w:t>
      </w:r>
      <w:r w:rsidR="00CC337C" w:rsidRPr="00A16D62">
        <w:rPr>
          <w:lang w:val="es-ES"/>
        </w:rPr>
        <w:t xml:space="preserve">s II, </w:t>
      </w:r>
      <w:r w:rsidR="002F1485" w:rsidRPr="00A16D62">
        <w:rPr>
          <w:lang w:val="es-ES"/>
        </w:rPr>
        <w:t>XVII</w:t>
      </w:r>
      <w:r w:rsidR="004B00B0" w:rsidRPr="00A16D62">
        <w:rPr>
          <w:lang w:val="es-ES"/>
        </w:rPr>
        <w:t xml:space="preserve"> y </w:t>
      </w:r>
      <w:r w:rsidR="00CC337C" w:rsidRPr="00A16D62">
        <w:rPr>
          <w:lang w:val="es-ES"/>
        </w:rPr>
        <w:t>XVIII</w:t>
      </w:r>
      <w:r w:rsidR="002F1485" w:rsidRPr="00A16D62">
        <w:rPr>
          <w:lang w:val="es-ES"/>
        </w:rPr>
        <w:t xml:space="preserve"> </w:t>
      </w:r>
      <w:r w:rsidR="004B00B0" w:rsidRPr="00A16D62">
        <w:rPr>
          <w:lang w:val="es-ES"/>
        </w:rPr>
        <w:t xml:space="preserve">de la </w:t>
      </w:r>
      <w:r w:rsidR="00811F92" w:rsidRPr="00A16D62">
        <w:rPr>
          <w:lang w:val="es-ES"/>
        </w:rPr>
        <w:t>Declaración Americana</w:t>
      </w:r>
      <w:r w:rsidR="002F1485" w:rsidRPr="00A16D62">
        <w:rPr>
          <w:lang w:val="es-ES"/>
        </w:rPr>
        <w:t>)</w:t>
      </w:r>
      <w:bookmarkEnd w:id="14"/>
      <w:r w:rsidR="002F1485" w:rsidRPr="00A16D62">
        <w:rPr>
          <w:lang w:val="es-ES"/>
        </w:rPr>
        <w:t xml:space="preserve"> </w:t>
      </w:r>
    </w:p>
    <w:p w:rsidR="008B5B53" w:rsidRPr="00A16D62" w:rsidRDefault="008B5B53" w:rsidP="00B5774C">
      <w:pPr>
        <w:rPr>
          <w:lang w:val="es-ES" w:eastAsia="es-ES"/>
        </w:rPr>
      </w:pPr>
    </w:p>
    <w:p w:rsidR="007E069E" w:rsidRPr="00A16D62" w:rsidRDefault="0018012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Los peticionarios</w:t>
      </w:r>
      <w:r w:rsidR="005C77C4" w:rsidRPr="00A16D62">
        <w:rPr>
          <w:rFonts w:ascii="Cambria" w:eastAsia="Times New Roman" w:hAnsi="Cambria"/>
          <w:bCs/>
          <w:sz w:val="20"/>
          <w:szCs w:val="20"/>
          <w:bdr w:val="none" w:sz="0" w:space="0" w:color="auto"/>
          <w:lang w:val="es-ES"/>
        </w:rPr>
        <w:t xml:space="preserve"> </w:t>
      </w:r>
      <w:r w:rsidR="00E403FE" w:rsidRPr="00A16D62">
        <w:rPr>
          <w:rFonts w:ascii="Cambria" w:eastAsia="Times New Roman" w:hAnsi="Cambria"/>
          <w:bCs/>
          <w:sz w:val="20"/>
          <w:szCs w:val="20"/>
          <w:bdr w:val="none" w:sz="0" w:space="0" w:color="auto"/>
          <w:lang w:val="es-ES"/>
        </w:rPr>
        <w:t>sostienen que</w:t>
      </w:r>
      <w:r w:rsidR="006F4DC1" w:rsidRPr="00A16D62">
        <w:rPr>
          <w:rFonts w:ascii="Cambria" w:eastAsia="Times New Roman" w:hAnsi="Cambria"/>
          <w:bCs/>
          <w:sz w:val="20"/>
          <w:szCs w:val="20"/>
          <w:bdr w:val="none" w:sz="0" w:space="0" w:color="auto"/>
          <w:lang w:val="es-ES"/>
        </w:rPr>
        <w:t xml:space="preserve">, al no asegurar </w:t>
      </w:r>
      <w:r w:rsidR="00E403FE" w:rsidRPr="00A16D62">
        <w:rPr>
          <w:rFonts w:ascii="Cambria" w:eastAsia="Times New Roman" w:hAnsi="Cambria"/>
          <w:bCs/>
          <w:sz w:val="20"/>
          <w:szCs w:val="20"/>
          <w:bdr w:val="none" w:sz="0" w:space="0" w:color="auto"/>
          <w:lang w:val="es-ES"/>
        </w:rPr>
        <w:t xml:space="preserve">la </w:t>
      </w:r>
      <w:r w:rsidR="006F4DC1" w:rsidRPr="00A16D62">
        <w:rPr>
          <w:rFonts w:ascii="Cambria" w:eastAsia="Times New Roman" w:hAnsi="Cambria"/>
          <w:bCs/>
          <w:sz w:val="20"/>
          <w:szCs w:val="20"/>
          <w:bdr w:val="none" w:sz="0" w:space="0" w:color="auto"/>
          <w:lang w:val="es-ES"/>
        </w:rPr>
        <w:t xml:space="preserve">reparación y el acceso igualitario a la justicia por infracciones de sus leyes laborales y de empleo ni la protección de los </w:t>
      </w:r>
      <w:r w:rsidR="00C038BF" w:rsidRPr="00A16D62">
        <w:rPr>
          <w:rFonts w:ascii="Cambria" w:eastAsia="Times New Roman" w:hAnsi="Cambria"/>
          <w:bCs/>
          <w:sz w:val="20"/>
          <w:szCs w:val="20"/>
          <w:bdr w:val="none" w:sz="0" w:space="0" w:color="auto"/>
          <w:lang w:val="es-ES"/>
        </w:rPr>
        <w:t>trabajadores indocumentados</w:t>
      </w:r>
      <w:r w:rsidR="005C77C4" w:rsidRPr="00A16D62">
        <w:rPr>
          <w:rFonts w:ascii="Cambria" w:eastAsia="Times New Roman" w:hAnsi="Cambria"/>
          <w:bCs/>
          <w:sz w:val="20"/>
          <w:szCs w:val="20"/>
          <w:bdr w:val="none" w:sz="0" w:space="0" w:color="auto"/>
          <w:lang w:val="es-ES"/>
        </w:rPr>
        <w:t xml:space="preserve"> </w:t>
      </w:r>
      <w:r w:rsidR="006F4DC1" w:rsidRPr="00A16D62">
        <w:rPr>
          <w:rFonts w:ascii="Cambria" w:eastAsia="Times New Roman" w:hAnsi="Cambria"/>
          <w:bCs/>
          <w:sz w:val="20"/>
          <w:szCs w:val="20"/>
          <w:bdr w:val="none" w:sz="0" w:space="0" w:color="auto"/>
          <w:lang w:val="es-ES"/>
        </w:rPr>
        <w:t>de la</w:t>
      </w:r>
      <w:r w:rsidR="005C77C4" w:rsidRPr="00A16D62">
        <w:rPr>
          <w:rFonts w:ascii="Cambria" w:eastAsia="Times New Roman" w:hAnsi="Cambria"/>
          <w:bCs/>
          <w:sz w:val="20"/>
          <w:szCs w:val="20"/>
          <w:bdr w:val="none" w:sz="0" w:space="0" w:color="auto"/>
          <w:lang w:val="es-ES"/>
        </w:rPr>
        <w:t xml:space="preserve"> </w:t>
      </w:r>
      <w:r w:rsidR="00B8732F" w:rsidRPr="00A16D62">
        <w:rPr>
          <w:rFonts w:ascii="Cambria" w:eastAsia="Times New Roman" w:hAnsi="Cambria"/>
          <w:bCs/>
          <w:sz w:val="20"/>
          <w:szCs w:val="20"/>
          <w:bdr w:val="none" w:sz="0" w:space="0" w:color="auto"/>
          <w:lang w:val="es-ES"/>
        </w:rPr>
        <w:t>discriminación</w:t>
      </w:r>
      <w:r w:rsidR="005C77C4" w:rsidRPr="00A16D62">
        <w:rPr>
          <w:rFonts w:ascii="Cambria" w:eastAsia="Times New Roman" w:hAnsi="Cambria"/>
          <w:bCs/>
          <w:sz w:val="20"/>
          <w:szCs w:val="20"/>
          <w:bdr w:val="none" w:sz="0" w:space="0" w:color="auto"/>
          <w:lang w:val="es-ES"/>
        </w:rPr>
        <w:t xml:space="preserve"> </w:t>
      </w:r>
      <w:r w:rsidR="006F4DC1" w:rsidRPr="00A16D62">
        <w:rPr>
          <w:rFonts w:ascii="Cambria" w:eastAsia="Times New Roman" w:hAnsi="Cambria"/>
          <w:bCs/>
          <w:sz w:val="20"/>
          <w:szCs w:val="20"/>
          <w:bdr w:val="none" w:sz="0" w:space="0" w:color="auto"/>
          <w:lang w:val="es-ES"/>
        </w:rPr>
        <w:t xml:space="preserve">por agentes no estatales, Estados Unidos no cumple sus obligaciones de acuerdo con los </w:t>
      </w:r>
      <w:r w:rsidR="00811F92" w:rsidRPr="00A16D62">
        <w:rPr>
          <w:rFonts w:ascii="Cambria" w:eastAsia="Times New Roman" w:hAnsi="Cambria"/>
          <w:bCs/>
          <w:sz w:val="20"/>
          <w:szCs w:val="20"/>
          <w:bdr w:val="none" w:sz="0" w:space="0" w:color="auto"/>
          <w:lang w:val="es-ES"/>
        </w:rPr>
        <w:t>artículo</w:t>
      </w:r>
      <w:r w:rsidR="00AD44B9" w:rsidRPr="00A16D62">
        <w:rPr>
          <w:rFonts w:ascii="Cambria" w:eastAsia="Times New Roman" w:hAnsi="Cambria"/>
          <w:bCs/>
          <w:sz w:val="20"/>
          <w:szCs w:val="20"/>
          <w:bdr w:val="none" w:sz="0" w:space="0" w:color="auto"/>
          <w:lang w:val="es-ES"/>
        </w:rPr>
        <w:t>s II</w:t>
      </w:r>
      <w:r w:rsidR="00CC337C" w:rsidRPr="00A16D62">
        <w:rPr>
          <w:rFonts w:ascii="Cambria" w:eastAsia="Times New Roman" w:hAnsi="Cambria"/>
          <w:bCs/>
          <w:sz w:val="20"/>
          <w:szCs w:val="20"/>
          <w:bdr w:val="none" w:sz="0" w:space="0" w:color="auto"/>
          <w:lang w:val="es-ES"/>
        </w:rPr>
        <w:t>, XVII</w:t>
      </w:r>
      <w:r w:rsidR="006F4DC1" w:rsidRPr="00A16D62">
        <w:rPr>
          <w:rFonts w:ascii="Cambria" w:eastAsia="Times New Roman" w:hAnsi="Cambria"/>
          <w:bCs/>
          <w:sz w:val="20"/>
          <w:szCs w:val="20"/>
          <w:bdr w:val="none" w:sz="0" w:space="0" w:color="auto"/>
          <w:lang w:val="es-ES"/>
        </w:rPr>
        <w:t xml:space="preserve"> y </w:t>
      </w:r>
      <w:r w:rsidR="00CC337C" w:rsidRPr="00A16D62">
        <w:rPr>
          <w:rFonts w:ascii="Cambria" w:eastAsia="Times New Roman" w:hAnsi="Cambria"/>
          <w:bCs/>
          <w:sz w:val="20"/>
          <w:szCs w:val="20"/>
          <w:bdr w:val="none" w:sz="0" w:space="0" w:color="auto"/>
          <w:lang w:val="es-ES"/>
        </w:rPr>
        <w:t>XVIII</w:t>
      </w:r>
      <w:r w:rsidR="00AD44B9" w:rsidRPr="00A16D62">
        <w:rPr>
          <w:rFonts w:ascii="Cambria" w:eastAsia="Times New Roman" w:hAnsi="Cambria"/>
          <w:bCs/>
          <w:sz w:val="20"/>
          <w:szCs w:val="20"/>
          <w:bdr w:val="none" w:sz="0" w:space="0" w:color="auto"/>
          <w:lang w:val="es-ES"/>
        </w:rPr>
        <w:t xml:space="preserve"> </w:t>
      </w:r>
      <w:r w:rsidR="006F4DC1"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6F4DC1" w:rsidRPr="00A16D62">
        <w:rPr>
          <w:rFonts w:ascii="Cambria" w:eastAsia="Times New Roman" w:hAnsi="Cambria"/>
          <w:bCs/>
          <w:sz w:val="20"/>
          <w:szCs w:val="20"/>
          <w:bdr w:val="none" w:sz="0" w:space="0" w:color="auto"/>
          <w:lang w:val="es-ES"/>
        </w:rPr>
        <w:t xml:space="preserve">, en detrimento de dos </w:t>
      </w:r>
      <w:r w:rsidR="009A5408" w:rsidRPr="00A16D62">
        <w:rPr>
          <w:rFonts w:ascii="Cambria" w:eastAsia="Times New Roman" w:hAnsi="Cambria"/>
          <w:bCs/>
          <w:sz w:val="20"/>
          <w:szCs w:val="20"/>
          <w:bdr w:val="none" w:sz="0" w:space="0" w:color="auto"/>
          <w:lang w:val="es-ES"/>
        </w:rPr>
        <w:t>presuntas víctimas</w:t>
      </w:r>
      <w:r w:rsidR="006F4DC1" w:rsidRPr="00A16D62">
        <w:rPr>
          <w:rFonts w:ascii="Cambria" w:eastAsia="Times New Roman" w:hAnsi="Cambria"/>
          <w:bCs/>
          <w:sz w:val="20"/>
          <w:szCs w:val="20"/>
          <w:bdr w:val="none" w:sz="0" w:space="0" w:color="auto"/>
          <w:lang w:val="es-ES"/>
        </w:rPr>
        <w:t>:</w:t>
      </w:r>
      <w:r w:rsidR="005C77C4" w:rsidRPr="00A16D62">
        <w:rPr>
          <w:rFonts w:ascii="Cambria" w:eastAsia="Times New Roman" w:hAnsi="Cambria"/>
          <w:bCs/>
          <w:sz w:val="20"/>
          <w:szCs w:val="20"/>
          <w:bdr w:val="none" w:sz="0" w:space="0" w:color="auto"/>
          <w:lang w:val="es-ES"/>
        </w:rPr>
        <w:t xml:space="preserve"> </w:t>
      </w:r>
      <w:r w:rsidR="006F4DC1" w:rsidRPr="00A16D62">
        <w:rPr>
          <w:rFonts w:ascii="Cambria" w:eastAsia="Times New Roman" w:hAnsi="Cambria"/>
          <w:bCs/>
          <w:sz w:val="20"/>
          <w:szCs w:val="20"/>
          <w:bdr w:val="none" w:sz="0" w:space="0" w:color="auto"/>
          <w:lang w:val="es-ES"/>
        </w:rPr>
        <w:t>los</w:t>
      </w:r>
      <w:r w:rsidR="007F4530" w:rsidRPr="00A16D62">
        <w:rPr>
          <w:rFonts w:ascii="Cambria" w:eastAsia="Times New Roman" w:hAnsi="Cambria"/>
          <w:bCs/>
          <w:sz w:val="20"/>
          <w:szCs w:val="20"/>
          <w:bdr w:val="none" w:sz="0" w:space="0" w:color="auto"/>
          <w:lang w:val="es-ES"/>
        </w:rPr>
        <w:t xml:space="preserve"> señor</w:t>
      </w:r>
      <w:r w:rsidR="006F4DC1" w:rsidRPr="00A16D62">
        <w:rPr>
          <w:rFonts w:ascii="Cambria" w:eastAsia="Times New Roman" w:hAnsi="Cambria"/>
          <w:bCs/>
          <w:sz w:val="20"/>
          <w:szCs w:val="20"/>
          <w:bdr w:val="none" w:sz="0" w:space="0" w:color="auto"/>
          <w:lang w:val="es-ES"/>
        </w:rPr>
        <w:t>es</w:t>
      </w:r>
      <w:r w:rsidR="005C77C4" w:rsidRPr="00A16D62">
        <w:rPr>
          <w:rFonts w:ascii="Cambria" w:eastAsia="Times New Roman" w:hAnsi="Cambria"/>
          <w:bCs/>
          <w:sz w:val="20"/>
          <w:szCs w:val="20"/>
          <w:bdr w:val="none" w:sz="0" w:space="0" w:color="auto"/>
          <w:lang w:val="es-ES"/>
        </w:rPr>
        <w:t xml:space="preserve"> Zumaya </w:t>
      </w:r>
      <w:r w:rsidR="006F4DC1" w:rsidRPr="00A16D62">
        <w:rPr>
          <w:rFonts w:ascii="Cambria" w:eastAsia="Times New Roman" w:hAnsi="Cambria"/>
          <w:bCs/>
          <w:sz w:val="20"/>
          <w:szCs w:val="20"/>
          <w:bdr w:val="none" w:sz="0" w:space="0" w:color="auto"/>
          <w:lang w:val="es-ES"/>
        </w:rPr>
        <w:t xml:space="preserve">y </w:t>
      </w:r>
      <w:r w:rsidR="005C77C4" w:rsidRPr="00A16D62">
        <w:rPr>
          <w:rFonts w:ascii="Cambria" w:eastAsia="Times New Roman" w:hAnsi="Cambria"/>
          <w:bCs/>
          <w:sz w:val="20"/>
          <w:szCs w:val="20"/>
          <w:bdr w:val="none" w:sz="0" w:space="0" w:color="auto"/>
          <w:lang w:val="es-ES"/>
        </w:rPr>
        <w:t xml:space="preserve">Lizalde. </w:t>
      </w:r>
      <w:r w:rsidR="009A5408" w:rsidRPr="00A16D62">
        <w:rPr>
          <w:rFonts w:ascii="Cambria" w:eastAsia="Times New Roman" w:hAnsi="Cambria"/>
          <w:bCs/>
          <w:sz w:val="20"/>
          <w:szCs w:val="20"/>
          <w:bdr w:val="none" w:sz="0" w:space="0" w:color="auto"/>
          <w:lang w:val="es-ES"/>
        </w:rPr>
        <w:t>Los peticionarios</w:t>
      </w:r>
      <w:r w:rsidR="005C77C4" w:rsidRPr="00A16D62">
        <w:rPr>
          <w:rFonts w:ascii="Cambria" w:eastAsia="Times New Roman" w:hAnsi="Cambria"/>
          <w:bCs/>
          <w:sz w:val="20"/>
          <w:szCs w:val="20"/>
          <w:bdr w:val="none" w:sz="0" w:space="0" w:color="auto"/>
          <w:lang w:val="es-ES"/>
        </w:rPr>
        <w:t xml:space="preserve"> </w:t>
      </w:r>
      <w:r w:rsidR="006F4DC1" w:rsidRPr="00A16D62">
        <w:rPr>
          <w:rFonts w:ascii="Cambria" w:eastAsia="Times New Roman" w:hAnsi="Cambria"/>
          <w:bCs/>
          <w:sz w:val="20"/>
          <w:szCs w:val="20"/>
          <w:bdr w:val="none" w:sz="0" w:space="0" w:color="auto"/>
          <w:lang w:val="es-ES"/>
        </w:rPr>
        <w:t xml:space="preserve">reconocen que la indemnización por </w:t>
      </w:r>
      <w:r w:rsidR="00593BF9" w:rsidRPr="00A16D62">
        <w:rPr>
          <w:rFonts w:ascii="Cambria" w:eastAsia="Times New Roman" w:hAnsi="Cambria"/>
          <w:bCs/>
          <w:sz w:val="20"/>
          <w:szCs w:val="20"/>
          <w:bdr w:val="none" w:sz="0" w:space="0" w:color="auto"/>
          <w:lang w:val="es-ES"/>
        </w:rPr>
        <w:t>accidente</w:t>
      </w:r>
      <w:r w:rsidR="00CA1E9D">
        <w:rPr>
          <w:rFonts w:ascii="Cambria" w:eastAsia="Times New Roman" w:hAnsi="Cambria"/>
          <w:bCs/>
          <w:sz w:val="20"/>
          <w:szCs w:val="20"/>
          <w:bdr w:val="none" w:sz="0" w:space="0" w:color="auto"/>
          <w:lang w:val="es-ES"/>
        </w:rPr>
        <w:t>s</w:t>
      </w:r>
      <w:r w:rsidR="00593BF9" w:rsidRPr="00A16D62">
        <w:rPr>
          <w:rFonts w:ascii="Cambria" w:eastAsia="Times New Roman" w:hAnsi="Cambria"/>
          <w:bCs/>
          <w:sz w:val="20"/>
          <w:szCs w:val="20"/>
          <w:bdr w:val="none" w:sz="0" w:space="0" w:color="auto"/>
          <w:lang w:val="es-ES"/>
        </w:rPr>
        <w:t xml:space="preserve"> de trabajo</w:t>
      </w:r>
      <w:r w:rsidR="005C77C4" w:rsidRPr="00A16D62">
        <w:rPr>
          <w:rFonts w:ascii="Cambria" w:eastAsia="Times New Roman" w:hAnsi="Cambria"/>
          <w:bCs/>
          <w:sz w:val="20"/>
          <w:szCs w:val="20"/>
          <w:bdr w:val="none" w:sz="0" w:space="0" w:color="auto"/>
          <w:lang w:val="es-ES"/>
        </w:rPr>
        <w:t xml:space="preserve"> </w:t>
      </w:r>
      <w:r w:rsidR="006F4DC1" w:rsidRPr="00A16D62">
        <w:rPr>
          <w:rFonts w:ascii="Cambria" w:eastAsia="Times New Roman" w:hAnsi="Cambria"/>
          <w:bCs/>
          <w:sz w:val="20"/>
          <w:szCs w:val="20"/>
          <w:bdr w:val="none" w:sz="0" w:space="0" w:color="auto"/>
          <w:lang w:val="es-ES"/>
        </w:rPr>
        <w:t xml:space="preserve">se rige por leyes estatales y no </w:t>
      </w:r>
      <w:r w:rsidR="00CA1E9D">
        <w:rPr>
          <w:rFonts w:ascii="Cambria" w:eastAsia="Times New Roman" w:hAnsi="Cambria"/>
          <w:bCs/>
          <w:sz w:val="20"/>
          <w:szCs w:val="20"/>
          <w:bdr w:val="none" w:sz="0" w:space="0" w:color="auto"/>
          <w:lang w:val="es-ES"/>
        </w:rPr>
        <w:t xml:space="preserve">por leyes </w:t>
      </w:r>
      <w:r w:rsidR="007E069E" w:rsidRPr="00A16D62">
        <w:rPr>
          <w:rFonts w:ascii="Cambria" w:eastAsia="Times New Roman" w:hAnsi="Cambria"/>
          <w:bCs/>
          <w:sz w:val="20"/>
          <w:szCs w:val="20"/>
          <w:bdr w:val="none" w:sz="0" w:space="0" w:color="auto"/>
          <w:lang w:val="es-ES"/>
        </w:rPr>
        <w:t>federal</w:t>
      </w:r>
      <w:r w:rsidR="006F4DC1" w:rsidRPr="00A16D62">
        <w:rPr>
          <w:rFonts w:ascii="Cambria" w:eastAsia="Times New Roman" w:hAnsi="Cambria"/>
          <w:bCs/>
          <w:sz w:val="20"/>
          <w:szCs w:val="20"/>
          <w:bdr w:val="none" w:sz="0" w:space="0" w:color="auto"/>
          <w:lang w:val="es-ES"/>
        </w:rPr>
        <w:t>es</w:t>
      </w:r>
      <w:r w:rsidR="007E069E" w:rsidRPr="00A16D62">
        <w:rPr>
          <w:rFonts w:ascii="Cambria" w:eastAsia="Times New Roman" w:hAnsi="Cambria"/>
          <w:bCs/>
          <w:sz w:val="20"/>
          <w:szCs w:val="20"/>
          <w:bdr w:val="none" w:sz="0" w:space="0" w:color="auto"/>
          <w:lang w:val="es-ES"/>
        </w:rPr>
        <w:t xml:space="preserve">; </w:t>
      </w:r>
      <w:r w:rsidR="006F4DC1" w:rsidRPr="00A16D62">
        <w:rPr>
          <w:rFonts w:ascii="Cambria" w:eastAsia="Times New Roman" w:hAnsi="Cambria"/>
          <w:bCs/>
          <w:sz w:val="20"/>
          <w:szCs w:val="20"/>
          <w:bdr w:val="none" w:sz="0" w:space="0" w:color="auto"/>
          <w:lang w:val="es-ES"/>
        </w:rPr>
        <w:t xml:space="preserve">sin embargo, afirman que la </w:t>
      </w:r>
      <w:r w:rsidR="00811F92" w:rsidRPr="00A16D62">
        <w:rPr>
          <w:rFonts w:ascii="Cambria" w:eastAsia="Times New Roman" w:hAnsi="Cambria"/>
          <w:bCs/>
          <w:sz w:val="20"/>
          <w:szCs w:val="20"/>
          <w:bdr w:val="none" w:sz="0" w:space="0" w:color="auto"/>
          <w:lang w:val="es-ES"/>
        </w:rPr>
        <w:t>Declaración Americana</w:t>
      </w:r>
      <w:r w:rsidR="007E069E" w:rsidRPr="00A16D62">
        <w:rPr>
          <w:rFonts w:ascii="Cambria" w:eastAsia="Times New Roman" w:hAnsi="Cambria"/>
          <w:bCs/>
          <w:sz w:val="20"/>
          <w:szCs w:val="20"/>
          <w:bdr w:val="none" w:sz="0" w:space="0" w:color="auto"/>
          <w:lang w:val="es-ES"/>
        </w:rPr>
        <w:t xml:space="preserve"> impo</w:t>
      </w:r>
      <w:r w:rsidR="006F4DC1" w:rsidRPr="00A16D62">
        <w:rPr>
          <w:rFonts w:ascii="Cambria" w:eastAsia="Times New Roman" w:hAnsi="Cambria"/>
          <w:bCs/>
          <w:sz w:val="20"/>
          <w:szCs w:val="20"/>
          <w:bdr w:val="none" w:sz="0" w:space="0" w:color="auto"/>
          <w:lang w:val="es-ES"/>
        </w:rPr>
        <w:t xml:space="preserve">ne al gobierno </w:t>
      </w:r>
      <w:r w:rsidR="007E069E" w:rsidRPr="00A16D62">
        <w:rPr>
          <w:rFonts w:ascii="Cambria" w:eastAsia="Times New Roman" w:hAnsi="Cambria"/>
          <w:bCs/>
          <w:sz w:val="20"/>
          <w:szCs w:val="20"/>
          <w:bdr w:val="none" w:sz="0" w:space="0" w:color="auto"/>
          <w:lang w:val="es-ES"/>
        </w:rPr>
        <w:t xml:space="preserve">federal </w:t>
      </w:r>
      <w:r w:rsidR="006F4DC1" w:rsidRPr="00A16D62">
        <w:rPr>
          <w:rFonts w:ascii="Cambria" w:eastAsia="Times New Roman" w:hAnsi="Cambria"/>
          <w:bCs/>
          <w:sz w:val="20"/>
          <w:szCs w:val="20"/>
          <w:bdr w:val="none" w:sz="0" w:space="0" w:color="auto"/>
          <w:lang w:val="es-ES"/>
        </w:rPr>
        <w:t xml:space="preserve">la obligación de garantizar </w:t>
      </w:r>
      <w:r w:rsidR="00FB2729" w:rsidRPr="00A16D62">
        <w:rPr>
          <w:rFonts w:ascii="Cambria" w:eastAsia="Times New Roman" w:hAnsi="Cambria"/>
          <w:bCs/>
          <w:sz w:val="20"/>
          <w:szCs w:val="20"/>
          <w:bdr w:val="none" w:sz="0" w:space="0" w:color="auto"/>
          <w:lang w:val="es-ES"/>
        </w:rPr>
        <w:t xml:space="preserve">los </w:t>
      </w:r>
      <w:r w:rsidR="006F4DC1" w:rsidRPr="00A16D62">
        <w:rPr>
          <w:rFonts w:ascii="Cambria" w:eastAsia="Times New Roman" w:hAnsi="Cambria"/>
          <w:bCs/>
          <w:sz w:val="20"/>
          <w:szCs w:val="20"/>
          <w:bdr w:val="none" w:sz="0" w:space="0" w:color="auto"/>
          <w:lang w:val="es-ES"/>
        </w:rPr>
        <w:t>derechos humanos fundamentales</w:t>
      </w:r>
      <w:r w:rsidR="007E069E" w:rsidRPr="00A16D62">
        <w:rPr>
          <w:rFonts w:ascii="Cambria" w:eastAsia="Times New Roman" w:hAnsi="Cambria"/>
          <w:bCs/>
          <w:sz w:val="20"/>
          <w:szCs w:val="20"/>
          <w:bdr w:val="none" w:sz="0" w:space="0" w:color="auto"/>
          <w:lang w:val="es-ES"/>
        </w:rPr>
        <w:t xml:space="preserve"> a</w:t>
      </w:r>
      <w:r w:rsidR="00FB2729" w:rsidRPr="00A16D62">
        <w:rPr>
          <w:rFonts w:ascii="Cambria" w:eastAsia="Times New Roman" w:hAnsi="Cambria"/>
          <w:bCs/>
          <w:sz w:val="20"/>
          <w:szCs w:val="20"/>
          <w:bdr w:val="none" w:sz="0" w:space="0" w:color="auto"/>
          <w:lang w:val="es-ES"/>
        </w:rPr>
        <w:t xml:space="preserve"> nivel tanto nacional como </w:t>
      </w:r>
      <w:r w:rsidR="007E069E" w:rsidRPr="00A16D62">
        <w:rPr>
          <w:rFonts w:ascii="Cambria" w:eastAsia="Times New Roman" w:hAnsi="Cambria"/>
          <w:bCs/>
          <w:sz w:val="20"/>
          <w:szCs w:val="20"/>
          <w:bdr w:val="none" w:sz="0" w:space="0" w:color="auto"/>
          <w:lang w:val="es-ES"/>
        </w:rPr>
        <w:t>local</w:t>
      </w:r>
      <w:r w:rsidR="00FB2729" w:rsidRPr="00A16D62">
        <w:rPr>
          <w:rFonts w:ascii="Cambria" w:eastAsia="Times New Roman" w:hAnsi="Cambria"/>
          <w:bCs/>
          <w:sz w:val="20"/>
          <w:szCs w:val="20"/>
          <w:bdr w:val="none" w:sz="0" w:space="0" w:color="auto"/>
          <w:lang w:val="es-ES"/>
        </w:rPr>
        <w:t xml:space="preserve">. Agregan asimismo que las leyes estatales implicadas en el caso de autos se están interpretando de una manera discriminatoria debido al análisis y el precedente sentado por la </w:t>
      </w:r>
      <w:r w:rsidR="003E2C91" w:rsidRPr="00A16D62">
        <w:rPr>
          <w:rFonts w:ascii="Cambria" w:eastAsia="Times New Roman" w:hAnsi="Cambria"/>
          <w:bCs/>
          <w:sz w:val="20"/>
          <w:szCs w:val="20"/>
          <w:bdr w:val="none" w:sz="0" w:space="0" w:color="auto"/>
          <w:lang w:val="es-ES"/>
        </w:rPr>
        <w:t>Corte Suprema de Estados Unidos</w:t>
      </w:r>
      <w:r w:rsidR="007E069E" w:rsidRPr="00A16D62">
        <w:rPr>
          <w:rFonts w:ascii="Cambria" w:eastAsia="Times New Roman" w:hAnsi="Cambria"/>
          <w:bCs/>
          <w:sz w:val="20"/>
          <w:szCs w:val="20"/>
          <w:bdr w:val="none" w:sz="0" w:space="0" w:color="auto"/>
          <w:lang w:val="es-ES"/>
        </w:rPr>
        <w:t xml:space="preserve"> </w:t>
      </w:r>
      <w:r w:rsidR="00FB2729" w:rsidRPr="00A16D62">
        <w:rPr>
          <w:rFonts w:ascii="Cambria" w:eastAsia="Times New Roman" w:hAnsi="Cambria"/>
          <w:bCs/>
          <w:sz w:val="20"/>
          <w:szCs w:val="20"/>
          <w:bdr w:val="none" w:sz="0" w:space="0" w:color="auto"/>
          <w:lang w:val="es-ES"/>
        </w:rPr>
        <w:t xml:space="preserve">en el caso </w:t>
      </w:r>
      <w:r w:rsidR="007E069E" w:rsidRPr="00A16D62">
        <w:rPr>
          <w:rFonts w:ascii="Cambria" w:eastAsia="Times New Roman" w:hAnsi="Cambria"/>
          <w:bCs/>
          <w:i/>
          <w:sz w:val="20"/>
          <w:szCs w:val="20"/>
          <w:bdr w:val="none" w:sz="0" w:space="0" w:color="auto"/>
          <w:lang w:val="es-ES"/>
        </w:rPr>
        <w:t>Hoffman</w:t>
      </w:r>
      <w:r w:rsidR="00CC337C" w:rsidRPr="00A16D62">
        <w:rPr>
          <w:rFonts w:ascii="Cambria" w:eastAsia="Times New Roman" w:hAnsi="Cambria"/>
          <w:bCs/>
          <w:sz w:val="20"/>
          <w:szCs w:val="20"/>
          <w:bdr w:val="none" w:sz="0" w:space="0" w:color="auto"/>
          <w:lang w:val="es-ES"/>
        </w:rPr>
        <w:t xml:space="preserve"> </w:t>
      </w:r>
      <w:r w:rsidR="00FB2729" w:rsidRPr="00A16D62">
        <w:rPr>
          <w:rFonts w:ascii="Cambria" w:eastAsia="Times New Roman" w:hAnsi="Cambria"/>
          <w:bCs/>
          <w:sz w:val="20"/>
          <w:szCs w:val="20"/>
          <w:bdr w:val="none" w:sz="0" w:space="0" w:color="auto"/>
          <w:lang w:val="es-ES"/>
        </w:rPr>
        <w:t xml:space="preserve">y a que las prácticas actuales inhiben el acceso de los </w:t>
      </w:r>
      <w:r w:rsidR="00C038BF" w:rsidRPr="00A16D62">
        <w:rPr>
          <w:rFonts w:ascii="Cambria" w:eastAsia="Times New Roman" w:hAnsi="Cambria"/>
          <w:bCs/>
          <w:sz w:val="20"/>
          <w:szCs w:val="20"/>
          <w:bdr w:val="none" w:sz="0" w:space="0" w:color="auto"/>
          <w:lang w:val="es-ES"/>
        </w:rPr>
        <w:t>trabajadores indocumentados</w:t>
      </w:r>
      <w:r w:rsidR="00FB2729" w:rsidRPr="00A16D62">
        <w:rPr>
          <w:rFonts w:ascii="Cambria" w:eastAsia="Times New Roman" w:hAnsi="Cambria"/>
          <w:bCs/>
          <w:sz w:val="20"/>
          <w:szCs w:val="20"/>
          <w:bdr w:val="none" w:sz="0" w:space="0" w:color="auto"/>
          <w:lang w:val="es-ES"/>
        </w:rPr>
        <w:t xml:space="preserve"> a la justicia.</w:t>
      </w:r>
    </w:p>
    <w:p w:rsidR="007E069E" w:rsidRPr="00A16D62" w:rsidRDefault="007E069E" w:rsidP="007E069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7E069E" w:rsidRPr="00A16D62" w:rsidRDefault="00902D36"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Según</w:t>
      </w:r>
      <w:r w:rsidR="007E069E"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los peticionarios</w:t>
      </w:r>
      <w:r w:rsidR="007E069E" w:rsidRPr="00A16D62">
        <w:rPr>
          <w:rFonts w:ascii="Cambria" w:eastAsia="Times New Roman" w:hAnsi="Cambria"/>
          <w:bCs/>
          <w:sz w:val="20"/>
          <w:szCs w:val="20"/>
          <w:bdr w:val="none" w:sz="0" w:space="0" w:color="auto"/>
          <w:lang w:val="es-ES"/>
        </w:rPr>
        <w:t xml:space="preserve">, </w:t>
      </w:r>
      <w:r w:rsidR="00EC718E" w:rsidRPr="00A16D62">
        <w:rPr>
          <w:rFonts w:ascii="Cambria" w:eastAsia="Times New Roman" w:hAnsi="Cambria"/>
          <w:bCs/>
          <w:sz w:val="20"/>
          <w:szCs w:val="20"/>
          <w:bdr w:val="none" w:sz="0" w:space="0" w:color="auto"/>
          <w:lang w:val="es-ES"/>
        </w:rPr>
        <w:t>al s</w:t>
      </w:r>
      <w:r w:rsidR="007F4530" w:rsidRPr="00A16D62">
        <w:rPr>
          <w:rFonts w:ascii="Cambria" w:eastAsia="Times New Roman" w:hAnsi="Cambria"/>
          <w:bCs/>
          <w:sz w:val="20"/>
          <w:szCs w:val="20"/>
          <w:bdr w:val="none" w:sz="0" w:space="0" w:color="auto"/>
          <w:lang w:val="es-ES"/>
        </w:rPr>
        <w:t>eñor</w:t>
      </w:r>
      <w:r w:rsidR="00BA7E36" w:rsidRPr="00A16D62">
        <w:rPr>
          <w:rFonts w:ascii="Cambria" w:eastAsia="Times New Roman" w:hAnsi="Cambria"/>
          <w:bCs/>
          <w:sz w:val="20"/>
          <w:szCs w:val="20"/>
          <w:bdr w:val="none" w:sz="0" w:space="0" w:color="auto"/>
          <w:lang w:val="es-ES"/>
        </w:rPr>
        <w:t xml:space="preserve"> Zumaya </w:t>
      </w:r>
      <w:r w:rsidR="00EC718E" w:rsidRPr="00A16D62">
        <w:rPr>
          <w:rFonts w:ascii="Cambria" w:eastAsia="Times New Roman" w:hAnsi="Cambria"/>
          <w:bCs/>
          <w:sz w:val="20"/>
          <w:szCs w:val="20"/>
          <w:bdr w:val="none" w:sz="0" w:space="0" w:color="auto"/>
          <w:lang w:val="es-ES"/>
        </w:rPr>
        <w:t xml:space="preserve">le limitaron prematuramente el derecho a percibir salarios caídos, de acuerdo con lo dispuesto en el sistema de </w:t>
      </w:r>
      <w:r w:rsidR="007B4310" w:rsidRPr="00A16D62">
        <w:rPr>
          <w:rFonts w:ascii="Cambria" w:eastAsia="Times New Roman" w:hAnsi="Cambria"/>
          <w:bCs/>
          <w:sz w:val="20"/>
          <w:szCs w:val="20"/>
          <w:bdr w:val="none" w:sz="0" w:space="0" w:color="auto"/>
          <w:lang w:val="es-ES"/>
        </w:rPr>
        <w:t>indemnización por accidentes de trabajo</w:t>
      </w:r>
      <w:r w:rsidR="00EC718E" w:rsidRPr="00A16D62">
        <w:rPr>
          <w:rFonts w:ascii="Cambria" w:eastAsia="Times New Roman" w:hAnsi="Cambria"/>
          <w:bCs/>
          <w:sz w:val="20"/>
          <w:szCs w:val="20"/>
          <w:bdr w:val="none" w:sz="0" w:space="0" w:color="auto"/>
          <w:lang w:val="es-ES"/>
        </w:rPr>
        <w:t>, porque no tenía autorización para trabajar en ese momento, a pesar de que ya se encontraba plenamente en una relación de empleo cuando sufrió la lesión</w:t>
      </w:r>
      <w:r w:rsidR="00BA7E36"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Los peticionarios</w:t>
      </w:r>
      <w:r w:rsidR="00BA7E36" w:rsidRPr="00A16D62">
        <w:rPr>
          <w:rFonts w:ascii="Cambria" w:eastAsia="Times New Roman" w:hAnsi="Cambria"/>
          <w:bCs/>
          <w:sz w:val="20"/>
          <w:szCs w:val="20"/>
          <w:bdr w:val="none" w:sz="0" w:space="0" w:color="auto"/>
          <w:lang w:val="es-ES"/>
        </w:rPr>
        <w:t xml:space="preserve"> </w:t>
      </w:r>
      <w:r w:rsidR="00EC718E" w:rsidRPr="00A16D62">
        <w:rPr>
          <w:rFonts w:ascii="Cambria" w:eastAsia="Times New Roman" w:hAnsi="Cambria"/>
          <w:bCs/>
          <w:sz w:val="20"/>
          <w:szCs w:val="20"/>
          <w:bdr w:val="none" w:sz="0" w:space="0" w:color="auto"/>
          <w:lang w:val="es-ES"/>
        </w:rPr>
        <w:t>afirman que e</w:t>
      </w:r>
      <w:r w:rsidR="007F4530" w:rsidRPr="00A16D62">
        <w:rPr>
          <w:rFonts w:ascii="Cambria" w:eastAsia="Times New Roman" w:hAnsi="Cambria"/>
          <w:bCs/>
          <w:sz w:val="20"/>
          <w:szCs w:val="20"/>
          <w:bdr w:val="none" w:sz="0" w:space="0" w:color="auto"/>
          <w:lang w:val="es-ES"/>
        </w:rPr>
        <w:t>l señor</w:t>
      </w:r>
      <w:r w:rsidR="00BA7E36" w:rsidRPr="00A16D62">
        <w:rPr>
          <w:rFonts w:ascii="Cambria" w:eastAsia="Times New Roman" w:hAnsi="Cambria"/>
          <w:bCs/>
          <w:sz w:val="20"/>
          <w:szCs w:val="20"/>
          <w:bdr w:val="none" w:sz="0" w:space="0" w:color="auto"/>
          <w:lang w:val="es-ES"/>
        </w:rPr>
        <w:t xml:space="preserve"> Zumaya </w:t>
      </w:r>
      <w:r w:rsidR="00EC718E" w:rsidRPr="00A16D62">
        <w:rPr>
          <w:rFonts w:ascii="Cambria" w:eastAsia="Times New Roman" w:hAnsi="Cambria"/>
          <w:bCs/>
          <w:sz w:val="20"/>
          <w:szCs w:val="20"/>
          <w:bdr w:val="none" w:sz="0" w:space="0" w:color="auto"/>
          <w:lang w:val="es-ES"/>
        </w:rPr>
        <w:t xml:space="preserve">se vio obligado a aceptar una arreglo que ascendió a una fracción de lo que reclamaba debido a </w:t>
      </w:r>
      <w:r w:rsidR="00CA1E9D">
        <w:rPr>
          <w:rFonts w:ascii="Cambria" w:eastAsia="Times New Roman" w:hAnsi="Cambria"/>
          <w:bCs/>
          <w:sz w:val="20"/>
          <w:szCs w:val="20"/>
          <w:bdr w:val="none" w:sz="0" w:space="0" w:color="auto"/>
          <w:lang w:val="es-ES"/>
        </w:rPr>
        <w:t>l</w:t>
      </w:r>
      <w:r w:rsidR="00EC718E" w:rsidRPr="00A16D62">
        <w:rPr>
          <w:rFonts w:ascii="Cambria" w:eastAsia="Times New Roman" w:hAnsi="Cambria"/>
          <w:bCs/>
          <w:sz w:val="20"/>
          <w:szCs w:val="20"/>
          <w:bdr w:val="none" w:sz="0" w:space="0" w:color="auto"/>
          <w:lang w:val="es-ES"/>
        </w:rPr>
        <w:t xml:space="preserve">a decisión de la </w:t>
      </w:r>
      <w:r w:rsidR="00204F3D" w:rsidRPr="00A16D62">
        <w:rPr>
          <w:rFonts w:ascii="Cambria" w:eastAsia="Times New Roman" w:hAnsi="Cambria"/>
          <w:bCs/>
          <w:sz w:val="20"/>
          <w:szCs w:val="20"/>
          <w:bdr w:val="none" w:sz="0" w:space="0" w:color="auto"/>
          <w:lang w:val="es-ES"/>
        </w:rPr>
        <w:t>Corte Suprema de Pensilvania</w:t>
      </w:r>
      <w:r w:rsidR="00BA7E36" w:rsidRPr="00A16D62">
        <w:rPr>
          <w:rFonts w:ascii="Cambria" w:eastAsia="Times New Roman" w:hAnsi="Cambria"/>
          <w:bCs/>
          <w:sz w:val="20"/>
          <w:szCs w:val="20"/>
          <w:bdr w:val="none" w:sz="0" w:space="0" w:color="auto"/>
          <w:lang w:val="es-ES"/>
        </w:rPr>
        <w:t xml:space="preserve"> </w:t>
      </w:r>
      <w:r w:rsidR="00EC718E" w:rsidRPr="00A16D62">
        <w:rPr>
          <w:rFonts w:ascii="Cambria" w:eastAsia="Times New Roman" w:hAnsi="Cambria"/>
          <w:bCs/>
          <w:sz w:val="20"/>
          <w:szCs w:val="20"/>
          <w:bdr w:val="none" w:sz="0" w:space="0" w:color="auto"/>
          <w:lang w:val="es-ES"/>
        </w:rPr>
        <w:t xml:space="preserve">de que un trabajador no autorizado no tiene derecho </w:t>
      </w:r>
      <w:r w:rsidR="00F82006" w:rsidRPr="00A16D62">
        <w:rPr>
          <w:rFonts w:ascii="Cambria" w:eastAsia="Times New Roman" w:hAnsi="Cambria"/>
          <w:bCs/>
          <w:sz w:val="20"/>
          <w:szCs w:val="20"/>
          <w:bdr w:val="none" w:sz="0" w:space="0" w:color="auto"/>
          <w:lang w:val="es-ES"/>
        </w:rPr>
        <w:t xml:space="preserve">cobrar </w:t>
      </w:r>
      <w:r w:rsidR="00EC718E" w:rsidRPr="00A16D62">
        <w:rPr>
          <w:rFonts w:ascii="Cambria" w:eastAsia="Times New Roman" w:hAnsi="Cambria"/>
          <w:bCs/>
          <w:sz w:val="20"/>
          <w:szCs w:val="20"/>
          <w:bdr w:val="none" w:sz="0" w:space="0" w:color="auto"/>
          <w:lang w:val="es-ES"/>
        </w:rPr>
        <w:t xml:space="preserve">salarios </w:t>
      </w:r>
      <w:r w:rsidR="00F82006" w:rsidRPr="00A16D62">
        <w:rPr>
          <w:rFonts w:ascii="Cambria" w:eastAsia="Times New Roman" w:hAnsi="Cambria"/>
          <w:bCs/>
          <w:sz w:val="20"/>
          <w:szCs w:val="20"/>
          <w:bdr w:val="none" w:sz="0" w:space="0" w:color="auto"/>
          <w:lang w:val="es-ES"/>
        </w:rPr>
        <w:t>no percibidos</w:t>
      </w:r>
      <w:r w:rsidR="00EC718E" w:rsidRPr="00A16D62">
        <w:rPr>
          <w:rFonts w:ascii="Cambria" w:eastAsia="Times New Roman" w:hAnsi="Cambria"/>
          <w:bCs/>
          <w:sz w:val="20"/>
          <w:szCs w:val="20"/>
          <w:bdr w:val="none" w:sz="0" w:space="0" w:color="auto"/>
          <w:lang w:val="es-ES"/>
        </w:rPr>
        <w:t xml:space="preserve"> después que se determina que la persona puede volver a trabajar, aunque no haya un trabajo que pueda hacer con las restricciones físicas resultantes de su </w:t>
      </w:r>
      <w:r w:rsidR="00593BF9" w:rsidRPr="00A16D62">
        <w:rPr>
          <w:rFonts w:ascii="Cambria" w:eastAsia="Times New Roman" w:hAnsi="Cambria"/>
          <w:bCs/>
          <w:sz w:val="20"/>
          <w:szCs w:val="20"/>
          <w:bdr w:val="none" w:sz="0" w:space="0" w:color="auto"/>
          <w:lang w:val="es-ES"/>
        </w:rPr>
        <w:t>accidente de trabajo</w:t>
      </w:r>
      <w:r w:rsidR="00BA7E36" w:rsidRPr="00A16D62">
        <w:rPr>
          <w:rStyle w:val="FootnoteReference"/>
          <w:rFonts w:ascii="Cambria" w:eastAsia="Times New Roman" w:hAnsi="Cambria"/>
          <w:bCs/>
          <w:sz w:val="20"/>
          <w:szCs w:val="20"/>
          <w:bdr w:val="none" w:sz="0" w:space="0" w:color="auto"/>
          <w:lang w:val="es-ES"/>
        </w:rPr>
        <w:footnoteReference w:id="12"/>
      </w:r>
      <w:r w:rsidR="00EC718E" w:rsidRPr="00A16D62">
        <w:rPr>
          <w:rFonts w:ascii="Cambria" w:eastAsia="Times New Roman" w:hAnsi="Cambria"/>
          <w:bCs/>
          <w:sz w:val="20"/>
          <w:szCs w:val="20"/>
          <w:bdr w:val="none" w:sz="0" w:space="0" w:color="auto"/>
          <w:lang w:val="es-ES"/>
        </w:rPr>
        <w:t>.</w:t>
      </w:r>
      <w:r w:rsidR="00BA7E36"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Los peticionarios</w:t>
      </w:r>
      <w:r w:rsidR="00BA7E36" w:rsidRPr="00A16D62">
        <w:rPr>
          <w:rFonts w:ascii="Cambria" w:eastAsia="Times New Roman" w:hAnsi="Cambria"/>
          <w:bCs/>
          <w:sz w:val="20"/>
          <w:szCs w:val="20"/>
          <w:bdr w:val="none" w:sz="0" w:space="0" w:color="auto"/>
          <w:lang w:val="es-ES"/>
        </w:rPr>
        <w:t xml:space="preserve"> </w:t>
      </w:r>
      <w:r w:rsidR="00EC718E" w:rsidRPr="00A16D62">
        <w:rPr>
          <w:rFonts w:ascii="Cambria" w:eastAsia="Times New Roman" w:hAnsi="Cambria"/>
          <w:bCs/>
          <w:sz w:val="20"/>
          <w:szCs w:val="20"/>
          <w:bdr w:val="none" w:sz="0" w:space="0" w:color="auto"/>
          <w:lang w:val="es-ES"/>
        </w:rPr>
        <w:t xml:space="preserve">sostienen que, si </w:t>
      </w:r>
      <w:r w:rsidR="007F4530" w:rsidRPr="00A16D62">
        <w:rPr>
          <w:rFonts w:ascii="Cambria" w:eastAsia="Times New Roman" w:hAnsi="Cambria"/>
          <w:bCs/>
          <w:sz w:val="20"/>
          <w:szCs w:val="20"/>
          <w:bdr w:val="none" w:sz="0" w:space="0" w:color="auto"/>
          <w:lang w:val="es-ES"/>
        </w:rPr>
        <w:t>el señor</w:t>
      </w:r>
      <w:r w:rsidR="00BA7E36" w:rsidRPr="00A16D62">
        <w:rPr>
          <w:rFonts w:ascii="Cambria" w:eastAsia="Times New Roman" w:hAnsi="Cambria"/>
          <w:bCs/>
          <w:sz w:val="20"/>
          <w:szCs w:val="20"/>
          <w:bdr w:val="none" w:sz="0" w:space="0" w:color="auto"/>
          <w:lang w:val="es-ES"/>
        </w:rPr>
        <w:t xml:space="preserve"> Zumaya </w:t>
      </w:r>
      <w:r w:rsidR="00EC718E" w:rsidRPr="00A16D62">
        <w:rPr>
          <w:rFonts w:ascii="Cambria" w:eastAsia="Times New Roman" w:hAnsi="Cambria"/>
          <w:bCs/>
          <w:sz w:val="20"/>
          <w:szCs w:val="20"/>
          <w:bdr w:val="none" w:sz="0" w:space="0" w:color="auto"/>
          <w:lang w:val="es-ES"/>
        </w:rPr>
        <w:t xml:space="preserve">hubiera estado autorizado a trabajar en </w:t>
      </w:r>
      <w:r w:rsidR="007E4498" w:rsidRPr="00A16D62">
        <w:rPr>
          <w:rFonts w:ascii="Cambria" w:eastAsia="Times New Roman" w:hAnsi="Cambria"/>
          <w:bCs/>
          <w:sz w:val="20"/>
          <w:szCs w:val="20"/>
          <w:bdr w:val="none" w:sz="0" w:space="0" w:color="auto"/>
          <w:lang w:val="es-ES"/>
        </w:rPr>
        <w:t>Estados Unidos</w:t>
      </w:r>
      <w:r w:rsidR="00BA7E36" w:rsidRPr="00A16D62">
        <w:rPr>
          <w:rFonts w:ascii="Cambria" w:eastAsia="Times New Roman" w:hAnsi="Cambria"/>
          <w:bCs/>
          <w:sz w:val="20"/>
          <w:szCs w:val="20"/>
          <w:bdr w:val="none" w:sz="0" w:space="0" w:color="auto"/>
          <w:lang w:val="es-ES"/>
        </w:rPr>
        <w:t xml:space="preserve">, </w:t>
      </w:r>
      <w:r w:rsidR="00EC718E" w:rsidRPr="00A16D62">
        <w:rPr>
          <w:rFonts w:ascii="Cambria" w:eastAsia="Times New Roman" w:hAnsi="Cambria"/>
          <w:bCs/>
          <w:sz w:val="20"/>
          <w:szCs w:val="20"/>
          <w:bdr w:val="none" w:sz="0" w:space="0" w:color="auto"/>
          <w:lang w:val="es-ES"/>
        </w:rPr>
        <w:t xml:space="preserve">la liquidación habría sido mucho mayor y le </w:t>
      </w:r>
      <w:r w:rsidR="00EC718E" w:rsidRPr="00A16D62">
        <w:rPr>
          <w:rFonts w:ascii="Cambria" w:eastAsia="Times New Roman" w:hAnsi="Cambria"/>
          <w:bCs/>
          <w:sz w:val="20"/>
          <w:szCs w:val="20"/>
          <w:bdr w:val="none" w:sz="0" w:space="0" w:color="auto"/>
          <w:lang w:val="es-ES"/>
        </w:rPr>
        <w:lastRenderedPageBreak/>
        <w:t>habría permitido continuar la fisioterapia y mantenerse hasta que encontrara un trabajo que no excediera su capacidad física</w:t>
      </w:r>
      <w:r w:rsidR="00BA7E36" w:rsidRPr="00A16D62">
        <w:rPr>
          <w:rFonts w:ascii="Cambria" w:eastAsia="Times New Roman" w:hAnsi="Cambria"/>
          <w:bCs/>
          <w:sz w:val="20"/>
          <w:szCs w:val="20"/>
          <w:bdr w:val="none" w:sz="0" w:space="0" w:color="auto"/>
          <w:lang w:val="es-ES"/>
        </w:rPr>
        <w:t xml:space="preserve">. </w:t>
      </w:r>
    </w:p>
    <w:p w:rsidR="00D82D80" w:rsidRPr="00A16D62" w:rsidRDefault="00D82D80" w:rsidP="00D82D80">
      <w:pPr>
        <w:pStyle w:val="ListParagraph"/>
        <w:rPr>
          <w:rFonts w:eastAsia="Times New Roman"/>
          <w:bCs/>
          <w:sz w:val="20"/>
          <w:szCs w:val="20"/>
          <w:bdr w:val="none" w:sz="0" w:space="0" w:color="auto"/>
          <w:lang w:val="es-ES"/>
        </w:rPr>
      </w:pPr>
    </w:p>
    <w:p w:rsidR="00D82D80" w:rsidRPr="00A16D62" w:rsidRDefault="009A5408"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Los peticionarios</w:t>
      </w:r>
      <w:r w:rsidR="00D82D80" w:rsidRPr="00A16D62">
        <w:rPr>
          <w:rFonts w:ascii="Cambria" w:eastAsia="Times New Roman" w:hAnsi="Cambria"/>
          <w:bCs/>
          <w:sz w:val="20"/>
          <w:szCs w:val="20"/>
          <w:bdr w:val="none" w:sz="0" w:space="0" w:color="auto"/>
          <w:lang w:val="es-ES"/>
        </w:rPr>
        <w:t xml:space="preserve"> argu</w:t>
      </w:r>
      <w:r w:rsidR="00387F7F" w:rsidRPr="00A16D62">
        <w:rPr>
          <w:rFonts w:ascii="Cambria" w:eastAsia="Times New Roman" w:hAnsi="Cambria"/>
          <w:bCs/>
          <w:sz w:val="20"/>
          <w:szCs w:val="20"/>
          <w:bdr w:val="none" w:sz="0" w:space="0" w:color="auto"/>
          <w:lang w:val="es-ES"/>
        </w:rPr>
        <w:t>mentan que, en lo que respecta a</w:t>
      </w:r>
      <w:r w:rsidR="007F4530" w:rsidRPr="00A16D62">
        <w:rPr>
          <w:rFonts w:ascii="Cambria" w:eastAsia="Times New Roman" w:hAnsi="Cambria"/>
          <w:bCs/>
          <w:sz w:val="20"/>
          <w:szCs w:val="20"/>
          <w:bdr w:val="none" w:sz="0" w:space="0" w:color="auto"/>
          <w:lang w:val="es-ES"/>
        </w:rPr>
        <w:t>l señor</w:t>
      </w:r>
      <w:r w:rsidR="00D82D80" w:rsidRPr="00A16D62">
        <w:rPr>
          <w:rFonts w:ascii="Cambria" w:eastAsia="Times New Roman" w:hAnsi="Cambria"/>
          <w:bCs/>
          <w:sz w:val="20"/>
          <w:szCs w:val="20"/>
          <w:bdr w:val="none" w:sz="0" w:space="0" w:color="auto"/>
          <w:lang w:val="es-ES"/>
        </w:rPr>
        <w:t xml:space="preserve"> Lizalde, </w:t>
      </w:r>
      <w:r w:rsidR="00C64173" w:rsidRPr="00A16D62">
        <w:rPr>
          <w:rFonts w:ascii="Cambria" w:eastAsia="Times New Roman" w:hAnsi="Cambria"/>
          <w:bCs/>
          <w:sz w:val="20"/>
          <w:szCs w:val="20"/>
          <w:bdr w:val="none" w:sz="0" w:space="0" w:color="auto"/>
          <w:lang w:val="es-ES"/>
        </w:rPr>
        <w:t xml:space="preserve">no pudo continuar su demanda por discapacidad ni recibir pagos de atención médica después de su </w:t>
      </w:r>
      <w:r w:rsidR="00593BF9" w:rsidRPr="00A16D62">
        <w:rPr>
          <w:rFonts w:ascii="Cambria" w:eastAsia="Times New Roman" w:hAnsi="Cambria"/>
          <w:bCs/>
          <w:sz w:val="20"/>
          <w:szCs w:val="20"/>
          <w:bdr w:val="none" w:sz="0" w:space="0" w:color="auto"/>
          <w:lang w:val="es-ES"/>
        </w:rPr>
        <w:t>accidente de trabajo</w:t>
      </w:r>
      <w:r w:rsidR="00D62ABB" w:rsidRPr="00A16D62">
        <w:rPr>
          <w:rFonts w:ascii="Cambria" w:eastAsia="Times New Roman" w:hAnsi="Cambria"/>
          <w:bCs/>
          <w:sz w:val="20"/>
          <w:szCs w:val="20"/>
          <w:bdr w:val="none" w:sz="0" w:space="0" w:color="auto"/>
          <w:lang w:val="es-ES"/>
        </w:rPr>
        <w:t xml:space="preserve"> </w:t>
      </w:r>
      <w:r w:rsidR="00C64173" w:rsidRPr="00A16D62">
        <w:rPr>
          <w:rFonts w:ascii="Cambria" w:eastAsia="Times New Roman" w:hAnsi="Cambria"/>
          <w:bCs/>
          <w:sz w:val="20"/>
          <w:szCs w:val="20"/>
          <w:bdr w:val="none" w:sz="0" w:space="0" w:color="auto"/>
          <w:lang w:val="es-ES"/>
        </w:rPr>
        <w:t>porque fue enjuiciado y deportado poco después de interponer una demanda de</w:t>
      </w:r>
      <w:r w:rsidR="00D62ABB"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indemnización por accidente de trabajo</w:t>
      </w:r>
      <w:r w:rsidR="00D82D80" w:rsidRPr="00A16D62">
        <w:rPr>
          <w:rFonts w:ascii="Cambria" w:eastAsia="Times New Roman" w:hAnsi="Cambria"/>
          <w:bCs/>
          <w:sz w:val="20"/>
          <w:szCs w:val="20"/>
          <w:bdr w:val="none" w:sz="0" w:space="0" w:color="auto"/>
          <w:lang w:val="es-ES"/>
        </w:rPr>
        <w:t xml:space="preserve">. </w:t>
      </w:r>
      <w:r w:rsidR="00D62ABB" w:rsidRPr="00A16D62">
        <w:rPr>
          <w:rFonts w:ascii="Cambria" w:eastAsia="Times New Roman" w:hAnsi="Cambria"/>
          <w:bCs/>
          <w:sz w:val="20"/>
          <w:szCs w:val="20"/>
          <w:bdr w:val="none" w:sz="0" w:space="0" w:color="auto"/>
          <w:lang w:val="es-ES"/>
        </w:rPr>
        <w:t>Ad</w:t>
      </w:r>
      <w:r w:rsidR="00C64173" w:rsidRPr="00A16D62">
        <w:rPr>
          <w:rFonts w:ascii="Cambria" w:eastAsia="Times New Roman" w:hAnsi="Cambria"/>
          <w:bCs/>
          <w:sz w:val="20"/>
          <w:szCs w:val="20"/>
          <w:bdr w:val="none" w:sz="0" w:space="0" w:color="auto"/>
          <w:lang w:val="es-ES"/>
        </w:rPr>
        <w:t xml:space="preserve">emás, </w:t>
      </w:r>
      <w:r w:rsidRPr="00A16D62">
        <w:rPr>
          <w:rFonts w:ascii="Cambria" w:eastAsia="Times New Roman" w:hAnsi="Cambria"/>
          <w:bCs/>
          <w:sz w:val="20"/>
          <w:szCs w:val="20"/>
          <w:bdr w:val="none" w:sz="0" w:space="0" w:color="auto"/>
          <w:lang w:val="es-ES"/>
        </w:rPr>
        <w:t>los peticionarios</w:t>
      </w:r>
      <w:r w:rsidR="00D82D80" w:rsidRPr="00A16D62">
        <w:rPr>
          <w:rFonts w:ascii="Cambria" w:eastAsia="Times New Roman" w:hAnsi="Cambria"/>
          <w:bCs/>
          <w:sz w:val="20"/>
          <w:szCs w:val="20"/>
          <w:bdr w:val="none" w:sz="0" w:space="0" w:color="auto"/>
          <w:lang w:val="es-ES"/>
        </w:rPr>
        <w:t xml:space="preserve"> </w:t>
      </w:r>
      <w:r w:rsidR="007A2D7C" w:rsidRPr="00A16D62">
        <w:rPr>
          <w:rFonts w:ascii="Cambria" w:eastAsia="Times New Roman" w:hAnsi="Cambria"/>
          <w:bCs/>
          <w:sz w:val="20"/>
          <w:szCs w:val="20"/>
          <w:bdr w:val="none" w:sz="0" w:space="0" w:color="auto"/>
          <w:lang w:val="es-ES"/>
        </w:rPr>
        <w:t>cuestionan las circunstancias y el momento en que se produjo el arresto d</w:t>
      </w:r>
      <w:r w:rsidR="007F4530" w:rsidRPr="00A16D62">
        <w:rPr>
          <w:rFonts w:ascii="Cambria" w:eastAsia="Times New Roman" w:hAnsi="Cambria"/>
          <w:bCs/>
          <w:sz w:val="20"/>
          <w:szCs w:val="20"/>
          <w:bdr w:val="none" w:sz="0" w:space="0" w:color="auto"/>
          <w:lang w:val="es-ES"/>
        </w:rPr>
        <w:t>el señor</w:t>
      </w:r>
      <w:r w:rsidR="00D82D80" w:rsidRPr="00A16D62">
        <w:rPr>
          <w:rFonts w:ascii="Cambria" w:eastAsia="Times New Roman" w:hAnsi="Cambria"/>
          <w:bCs/>
          <w:sz w:val="20"/>
          <w:szCs w:val="20"/>
          <w:bdr w:val="none" w:sz="0" w:space="0" w:color="auto"/>
          <w:lang w:val="es-ES"/>
        </w:rPr>
        <w:t xml:space="preserve"> Lizalde</w:t>
      </w:r>
      <w:r w:rsidR="007A2D7C" w:rsidRPr="00A16D62">
        <w:rPr>
          <w:rFonts w:ascii="Cambria" w:eastAsia="Times New Roman" w:hAnsi="Cambria"/>
          <w:bCs/>
          <w:sz w:val="20"/>
          <w:szCs w:val="20"/>
          <w:bdr w:val="none" w:sz="0" w:space="0" w:color="auto"/>
          <w:lang w:val="es-ES"/>
        </w:rPr>
        <w:t xml:space="preserve">, planteando la “fuerte sospecha” de que lo denunciaron a las autoridades de inmigraciones porque interpuso </w:t>
      </w:r>
      <w:r w:rsidR="00CA1E9D">
        <w:rPr>
          <w:rFonts w:ascii="Cambria" w:eastAsia="Times New Roman" w:hAnsi="Cambria"/>
          <w:bCs/>
          <w:sz w:val="20"/>
          <w:szCs w:val="20"/>
          <w:bdr w:val="none" w:sz="0" w:space="0" w:color="auto"/>
          <w:lang w:val="es-ES"/>
        </w:rPr>
        <w:t>l</w:t>
      </w:r>
      <w:r w:rsidR="007A2D7C" w:rsidRPr="00A16D62">
        <w:rPr>
          <w:rFonts w:ascii="Cambria" w:eastAsia="Times New Roman" w:hAnsi="Cambria"/>
          <w:bCs/>
          <w:sz w:val="20"/>
          <w:szCs w:val="20"/>
          <w:bdr w:val="none" w:sz="0" w:space="0" w:color="auto"/>
          <w:lang w:val="es-ES"/>
        </w:rPr>
        <w:t>a demanda</w:t>
      </w:r>
      <w:r w:rsidR="00D07A23" w:rsidRPr="00A16D62">
        <w:rPr>
          <w:rFonts w:ascii="Cambria" w:eastAsia="Times New Roman" w:hAnsi="Cambria"/>
          <w:bCs/>
          <w:sz w:val="20"/>
          <w:szCs w:val="20"/>
          <w:bdr w:val="none" w:sz="0" w:space="0" w:color="auto"/>
          <w:lang w:val="es-ES"/>
        </w:rPr>
        <w:t xml:space="preserve">. </w:t>
      </w:r>
    </w:p>
    <w:p w:rsidR="00D62ABB" w:rsidRPr="00A16D62" w:rsidRDefault="00D62ABB" w:rsidP="002F58F5">
      <w:pPr>
        <w:pStyle w:val="ListParagraph"/>
        <w:rPr>
          <w:rFonts w:eastAsia="Times New Roman"/>
          <w:bCs/>
          <w:sz w:val="20"/>
          <w:szCs w:val="20"/>
          <w:bdr w:val="none" w:sz="0" w:space="0" w:color="auto"/>
          <w:lang w:val="es-ES"/>
        </w:rPr>
      </w:pPr>
    </w:p>
    <w:p w:rsidR="004F50C1" w:rsidRPr="00A16D62" w:rsidRDefault="00463793"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ambos</w:t>
      </w:r>
      <w:r w:rsidR="008105BF" w:rsidRPr="00A16D62">
        <w:rPr>
          <w:rFonts w:ascii="Cambria" w:eastAsia="Times New Roman" w:hAnsi="Cambria"/>
          <w:bCs/>
          <w:sz w:val="20"/>
          <w:szCs w:val="20"/>
          <w:bdr w:val="none" w:sz="0" w:space="0" w:color="auto"/>
          <w:lang w:val="es-ES"/>
        </w:rPr>
        <w:t xml:space="preserve"> cas</w:t>
      </w:r>
      <w:r w:rsidRPr="00A16D62">
        <w:rPr>
          <w:rFonts w:ascii="Cambria" w:eastAsia="Times New Roman" w:hAnsi="Cambria"/>
          <w:bCs/>
          <w:sz w:val="20"/>
          <w:szCs w:val="20"/>
          <w:bdr w:val="none" w:sz="0" w:space="0" w:color="auto"/>
          <w:lang w:val="es-ES"/>
        </w:rPr>
        <w:t>o</w:t>
      </w:r>
      <w:r w:rsidR="008105BF" w:rsidRPr="00A16D62">
        <w:rPr>
          <w:rFonts w:ascii="Cambria" w:eastAsia="Times New Roman" w:hAnsi="Cambria"/>
          <w:bCs/>
          <w:sz w:val="20"/>
          <w:szCs w:val="20"/>
          <w:bdr w:val="none" w:sz="0" w:space="0" w:color="auto"/>
          <w:lang w:val="es-ES"/>
        </w:rPr>
        <w:t xml:space="preserve">s, </w:t>
      </w:r>
      <w:r w:rsidR="00180125" w:rsidRPr="00A16D62">
        <w:rPr>
          <w:rFonts w:ascii="Cambria" w:eastAsia="Times New Roman" w:hAnsi="Cambria"/>
          <w:bCs/>
          <w:sz w:val="20"/>
          <w:szCs w:val="20"/>
          <w:bdr w:val="none" w:sz="0" w:space="0" w:color="auto"/>
          <w:lang w:val="es-ES"/>
        </w:rPr>
        <w:t>los peticionarios</w:t>
      </w:r>
      <w:r w:rsidR="008105BF"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afirman que</w:t>
      </w:r>
      <w:r w:rsidR="008105BF"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como muestran la experiencia y las declaraciones de las presuntas víctimas y de sus abogados, los </w:t>
      </w:r>
      <w:r w:rsidR="000F4EF8" w:rsidRPr="00A16D62">
        <w:rPr>
          <w:rFonts w:ascii="Cambria" w:eastAsia="Times New Roman" w:hAnsi="Cambria"/>
          <w:bCs/>
          <w:sz w:val="20"/>
          <w:szCs w:val="20"/>
          <w:bdr w:val="none" w:sz="0" w:space="0" w:color="auto"/>
          <w:lang w:val="es-ES"/>
        </w:rPr>
        <w:t>empleadores</w:t>
      </w:r>
      <w:r w:rsidR="00AE37C5"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suelen estar al tanto de la condición de indocumentados de los</w:t>
      </w:r>
      <w:r w:rsidR="00AE37C5"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trabajadores inmigrantes</w:t>
      </w:r>
      <w:r w:rsidR="00AE37C5"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están </w:t>
      </w:r>
      <w:r w:rsidR="00416C54" w:rsidRPr="00A16D62">
        <w:rPr>
          <w:rFonts w:ascii="Cambria" w:eastAsia="Times New Roman" w:hAnsi="Cambria"/>
          <w:bCs/>
          <w:sz w:val="20"/>
          <w:szCs w:val="20"/>
          <w:bdr w:val="none" w:sz="0" w:space="0" w:color="auto"/>
          <w:lang w:val="es-ES"/>
        </w:rPr>
        <w:t>“</w:t>
      </w:r>
      <w:r w:rsidR="00AE37C5" w:rsidRPr="00A16D62">
        <w:rPr>
          <w:rFonts w:ascii="Cambria" w:eastAsia="Times New Roman" w:hAnsi="Cambria"/>
          <w:bCs/>
          <w:sz w:val="20"/>
          <w:szCs w:val="20"/>
          <w:bdr w:val="none" w:sz="0" w:space="0" w:color="auto"/>
          <w:lang w:val="es-ES"/>
        </w:rPr>
        <w:t>m</w:t>
      </w:r>
      <w:r w:rsidRPr="00A16D62">
        <w:rPr>
          <w:rFonts w:ascii="Cambria" w:eastAsia="Times New Roman" w:hAnsi="Cambria"/>
          <w:bCs/>
          <w:sz w:val="20"/>
          <w:szCs w:val="20"/>
          <w:bdr w:val="none" w:sz="0" w:space="0" w:color="auto"/>
          <w:lang w:val="es-ES"/>
        </w:rPr>
        <w:t>ás que dispuestos</w:t>
      </w:r>
      <w:r w:rsidR="00416C54" w:rsidRPr="00A16D62">
        <w:rPr>
          <w:rFonts w:ascii="Cambria" w:eastAsia="Times New Roman" w:hAnsi="Cambria"/>
          <w:bCs/>
          <w:sz w:val="20"/>
          <w:szCs w:val="20"/>
          <w:bdr w:val="none" w:sz="0" w:space="0" w:color="auto"/>
          <w:lang w:val="es-ES"/>
        </w:rPr>
        <w:t>”</w:t>
      </w:r>
      <w:r w:rsidR="00AE37C5"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a usar esa información para neutralizar reclamos, denegar trabajo y perjudicar de otras formas a los </w:t>
      </w:r>
      <w:r w:rsidR="007B4310" w:rsidRPr="00A16D62">
        <w:rPr>
          <w:rFonts w:ascii="Cambria" w:eastAsia="Times New Roman" w:hAnsi="Cambria"/>
          <w:bCs/>
          <w:sz w:val="20"/>
          <w:szCs w:val="20"/>
          <w:bdr w:val="none" w:sz="0" w:space="0" w:color="auto"/>
          <w:lang w:val="es-ES"/>
        </w:rPr>
        <w:t>trabajadores</w:t>
      </w:r>
      <w:r w:rsidR="00AE37C5"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que los demanden. </w:t>
      </w:r>
      <w:r w:rsidR="009A5408" w:rsidRPr="00A16D62">
        <w:rPr>
          <w:rFonts w:ascii="Cambria" w:eastAsia="Times New Roman" w:hAnsi="Cambria"/>
          <w:bCs/>
          <w:sz w:val="20"/>
          <w:szCs w:val="20"/>
          <w:bdr w:val="none" w:sz="0" w:space="0" w:color="auto"/>
          <w:lang w:val="es-ES"/>
        </w:rPr>
        <w:t>Los peticionarios</w:t>
      </w:r>
      <w:r w:rsidR="00ED3F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sostienen que, incluso en los estados donde los</w:t>
      </w:r>
      <w:r w:rsidR="00ED3FB8"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ED3F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tienen legalmente derecho a </w:t>
      </w:r>
      <w:r w:rsidR="007B4310" w:rsidRPr="00A16D62">
        <w:rPr>
          <w:rFonts w:ascii="Cambria" w:eastAsia="Times New Roman" w:hAnsi="Cambria"/>
          <w:bCs/>
          <w:sz w:val="20"/>
          <w:szCs w:val="20"/>
          <w:bdr w:val="none" w:sz="0" w:space="0" w:color="auto"/>
          <w:lang w:val="es-ES"/>
        </w:rPr>
        <w:t>indemnización por accidentes de trabajo</w:t>
      </w:r>
      <w:r w:rsidR="00ED3F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sin limitaciones, las fuerzas</w:t>
      </w:r>
      <w:r w:rsidR="0059316D" w:rsidRPr="00A16D62">
        <w:rPr>
          <w:rFonts w:ascii="Cambria" w:eastAsia="Times New Roman" w:hAnsi="Cambria"/>
          <w:bCs/>
          <w:sz w:val="20"/>
          <w:szCs w:val="20"/>
          <w:bdr w:val="none" w:sz="0" w:space="0" w:color="auto"/>
          <w:lang w:val="es-ES"/>
        </w:rPr>
        <w:t xml:space="preserve"> locales y federales</w:t>
      </w:r>
      <w:r w:rsidRPr="00A16D62">
        <w:rPr>
          <w:rFonts w:ascii="Cambria" w:eastAsia="Times New Roman" w:hAnsi="Cambria"/>
          <w:bCs/>
          <w:sz w:val="20"/>
          <w:szCs w:val="20"/>
          <w:bdr w:val="none" w:sz="0" w:space="0" w:color="auto"/>
          <w:lang w:val="es-ES"/>
        </w:rPr>
        <w:t xml:space="preserve"> del orden cooperan con los </w:t>
      </w:r>
      <w:r w:rsidR="000F4EF8" w:rsidRPr="00A16D62">
        <w:rPr>
          <w:rFonts w:ascii="Cambria" w:eastAsia="Times New Roman" w:hAnsi="Cambria"/>
          <w:bCs/>
          <w:sz w:val="20"/>
          <w:szCs w:val="20"/>
          <w:bdr w:val="none" w:sz="0" w:space="0" w:color="auto"/>
          <w:lang w:val="es-ES"/>
        </w:rPr>
        <w:t>empleadores</w:t>
      </w:r>
      <w:r w:rsidR="00ED3F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y las compañías de seguros para negarles tales prestaciones</w:t>
      </w:r>
      <w:r w:rsidR="00ED3FB8" w:rsidRPr="00A16D62">
        <w:rPr>
          <w:rFonts w:ascii="Cambria" w:eastAsia="Times New Roman" w:hAnsi="Cambria"/>
          <w:bCs/>
          <w:sz w:val="20"/>
          <w:szCs w:val="20"/>
          <w:bdr w:val="none" w:sz="0" w:space="0" w:color="auto"/>
          <w:lang w:val="es-ES"/>
        </w:rPr>
        <w:t xml:space="preserve">. </w:t>
      </w:r>
      <w:r w:rsidR="00416C54" w:rsidRPr="00A16D62">
        <w:rPr>
          <w:rFonts w:ascii="Cambria" w:eastAsia="Times New Roman" w:hAnsi="Cambria"/>
          <w:bCs/>
          <w:sz w:val="20"/>
          <w:szCs w:val="20"/>
          <w:bdr w:val="none" w:sz="0" w:space="0" w:color="auto"/>
          <w:lang w:val="es-ES"/>
        </w:rPr>
        <w:t>Ad</w:t>
      </w:r>
      <w:r w:rsidRPr="00A16D62">
        <w:rPr>
          <w:rFonts w:ascii="Cambria" w:eastAsia="Times New Roman" w:hAnsi="Cambria"/>
          <w:bCs/>
          <w:sz w:val="20"/>
          <w:szCs w:val="20"/>
          <w:bdr w:val="none" w:sz="0" w:space="0" w:color="auto"/>
          <w:lang w:val="es-ES"/>
        </w:rPr>
        <w:t>emás</w:t>
      </w:r>
      <w:r w:rsidR="00416C54" w:rsidRPr="00A16D62">
        <w:rPr>
          <w:rFonts w:ascii="Cambria" w:eastAsia="Times New Roman" w:hAnsi="Cambria"/>
          <w:bCs/>
          <w:sz w:val="20"/>
          <w:szCs w:val="20"/>
          <w:bdr w:val="none" w:sz="0" w:space="0" w:color="auto"/>
          <w:lang w:val="es-ES"/>
        </w:rPr>
        <w:t xml:space="preserve">, </w:t>
      </w:r>
      <w:r w:rsidR="009A5408" w:rsidRPr="00A16D62">
        <w:rPr>
          <w:rFonts w:ascii="Cambria" w:eastAsia="Times New Roman" w:hAnsi="Cambria"/>
          <w:bCs/>
          <w:sz w:val="20"/>
          <w:szCs w:val="20"/>
          <w:bdr w:val="none" w:sz="0" w:space="0" w:color="auto"/>
          <w:lang w:val="es-ES"/>
        </w:rPr>
        <w:t>los peticionarios</w:t>
      </w:r>
      <w:r w:rsidR="00416C5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afirman que los </w:t>
      </w:r>
      <w:r w:rsidR="00C038BF" w:rsidRPr="00A16D62">
        <w:rPr>
          <w:rFonts w:ascii="Cambria" w:eastAsia="Times New Roman" w:hAnsi="Cambria"/>
          <w:bCs/>
          <w:sz w:val="20"/>
          <w:szCs w:val="20"/>
          <w:bdr w:val="none" w:sz="0" w:space="0" w:color="auto"/>
          <w:lang w:val="es-ES"/>
        </w:rPr>
        <w:t>trabajadores indocumentados</w:t>
      </w:r>
      <w:r w:rsidR="00416C5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temen racionalmente la deportación como consecuencia de la revelación de su identidad y su </w:t>
      </w:r>
      <w:r w:rsidR="00521A6A" w:rsidRPr="00A16D62">
        <w:rPr>
          <w:rFonts w:ascii="Cambria" w:eastAsia="Times New Roman" w:hAnsi="Cambria"/>
          <w:bCs/>
          <w:sz w:val="20"/>
          <w:szCs w:val="20"/>
          <w:bdr w:val="none" w:sz="0" w:space="0" w:color="auto"/>
          <w:lang w:val="es-ES"/>
        </w:rPr>
        <w:t>situación migratoria</w:t>
      </w:r>
      <w:r w:rsidR="00416C5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los procedimientos judiciales contra el </w:t>
      </w:r>
      <w:r w:rsidR="007F4530" w:rsidRPr="00A16D62">
        <w:rPr>
          <w:rFonts w:ascii="Cambria" w:eastAsia="Times New Roman" w:hAnsi="Cambria"/>
          <w:bCs/>
          <w:sz w:val="20"/>
          <w:szCs w:val="20"/>
          <w:bdr w:val="none" w:sz="0" w:space="0" w:color="auto"/>
          <w:lang w:val="es-ES"/>
        </w:rPr>
        <w:t>empleador</w:t>
      </w:r>
      <w:r w:rsidR="00416C54" w:rsidRPr="00A16D62">
        <w:rPr>
          <w:rFonts w:ascii="Cambria" w:eastAsia="Times New Roman" w:hAnsi="Cambria"/>
          <w:bCs/>
          <w:sz w:val="20"/>
          <w:szCs w:val="20"/>
          <w:bdr w:val="none" w:sz="0" w:space="0" w:color="auto"/>
          <w:lang w:val="es-ES"/>
        </w:rPr>
        <w:t xml:space="preserve">. </w:t>
      </w:r>
    </w:p>
    <w:p w:rsidR="004F50C1" w:rsidRPr="00A16D62" w:rsidRDefault="004F50C1" w:rsidP="004F50C1">
      <w:pPr>
        <w:pStyle w:val="ListParagraph"/>
        <w:rPr>
          <w:rFonts w:eastAsia="Times New Roman"/>
          <w:bCs/>
          <w:sz w:val="20"/>
          <w:szCs w:val="20"/>
          <w:bdr w:val="none" w:sz="0" w:space="0" w:color="auto"/>
          <w:lang w:val="es-ES"/>
        </w:rPr>
      </w:pPr>
    </w:p>
    <w:p w:rsidR="003845BE" w:rsidRPr="00A16D62" w:rsidRDefault="00463793"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El clima de temor que rodea a los </w:t>
      </w:r>
      <w:r w:rsidR="00C038BF" w:rsidRPr="00A16D62">
        <w:rPr>
          <w:rFonts w:ascii="Cambria" w:eastAsia="Times New Roman" w:hAnsi="Cambria"/>
          <w:bCs/>
          <w:sz w:val="20"/>
          <w:szCs w:val="20"/>
          <w:bdr w:val="none" w:sz="0" w:space="0" w:color="auto"/>
          <w:lang w:val="es-ES"/>
        </w:rPr>
        <w:t>trabajadores indocumentados</w:t>
      </w:r>
      <w:r w:rsidR="004F50C1"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w:t>
      </w:r>
      <w:r w:rsidR="004F50C1" w:rsidRPr="00A16D62">
        <w:rPr>
          <w:rFonts w:ascii="Cambria" w:eastAsia="Times New Roman" w:hAnsi="Cambria"/>
          <w:bCs/>
          <w:sz w:val="20"/>
          <w:szCs w:val="20"/>
          <w:bdr w:val="none" w:sz="0" w:space="0" w:color="auto"/>
          <w:lang w:val="es-ES"/>
        </w:rPr>
        <w:t xml:space="preserve">n </w:t>
      </w:r>
      <w:r w:rsidR="007E4498" w:rsidRPr="00A16D62">
        <w:rPr>
          <w:rFonts w:ascii="Cambria" w:eastAsia="Times New Roman" w:hAnsi="Cambria"/>
          <w:bCs/>
          <w:sz w:val="20"/>
          <w:szCs w:val="20"/>
          <w:bdr w:val="none" w:sz="0" w:space="0" w:color="auto"/>
          <w:lang w:val="es-ES"/>
        </w:rPr>
        <w:t>Estados Unidos</w:t>
      </w:r>
      <w:r w:rsidR="004F50C1"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con respecto a las consecuencias de las acciones judiciales contra los</w:t>
      </w:r>
      <w:r w:rsidR="004F50C1" w:rsidRPr="00A16D62">
        <w:rPr>
          <w:rFonts w:ascii="Cambria" w:eastAsia="Times New Roman" w:hAnsi="Cambria"/>
          <w:bCs/>
          <w:sz w:val="20"/>
          <w:szCs w:val="20"/>
          <w:bdr w:val="none" w:sz="0" w:space="0" w:color="auto"/>
          <w:lang w:val="es-ES"/>
        </w:rPr>
        <w:t xml:space="preserve"> </w:t>
      </w:r>
      <w:r w:rsidR="000F4EF8" w:rsidRPr="00A16D62">
        <w:rPr>
          <w:rFonts w:ascii="Cambria" w:eastAsia="Times New Roman" w:hAnsi="Cambria"/>
          <w:bCs/>
          <w:sz w:val="20"/>
          <w:szCs w:val="20"/>
          <w:bdr w:val="none" w:sz="0" w:space="0" w:color="auto"/>
          <w:lang w:val="es-ES"/>
        </w:rPr>
        <w:t>empleadores</w:t>
      </w:r>
      <w:r w:rsidR="004F50C1"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que han violado los derechos humanos </w:t>
      </w:r>
      <w:r w:rsidR="004F50C1" w:rsidRPr="00A16D62">
        <w:rPr>
          <w:rFonts w:ascii="Cambria" w:eastAsia="Times New Roman" w:hAnsi="Cambria"/>
          <w:bCs/>
          <w:sz w:val="20"/>
          <w:szCs w:val="20"/>
          <w:bdr w:val="none" w:sz="0" w:space="0" w:color="auto"/>
          <w:lang w:val="es-ES"/>
        </w:rPr>
        <w:t>d</w:t>
      </w:r>
      <w:r w:rsidRPr="00A16D62">
        <w:rPr>
          <w:rFonts w:ascii="Cambria" w:eastAsia="Times New Roman" w:hAnsi="Cambria"/>
          <w:bCs/>
          <w:sz w:val="20"/>
          <w:szCs w:val="20"/>
          <w:bdr w:val="none" w:sz="0" w:space="0" w:color="auto"/>
          <w:lang w:val="es-ES"/>
        </w:rPr>
        <w:t>e los</w:t>
      </w:r>
      <w:r w:rsidR="004F50C1"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trabajadores</w:t>
      </w:r>
      <w:r w:rsidRPr="00A16D62">
        <w:rPr>
          <w:rFonts w:ascii="Cambria" w:eastAsia="Times New Roman" w:hAnsi="Cambria"/>
          <w:bCs/>
          <w:sz w:val="20"/>
          <w:szCs w:val="20"/>
          <w:bdr w:val="none" w:sz="0" w:space="0" w:color="auto"/>
          <w:lang w:val="es-ES"/>
        </w:rPr>
        <w:t xml:space="preserve"> es lo que </w:t>
      </w:r>
      <w:r w:rsidR="009A5408" w:rsidRPr="00A16D62">
        <w:rPr>
          <w:rFonts w:ascii="Cambria" w:eastAsia="Times New Roman" w:hAnsi="Cambria"/>
          <w:bCs/>
          <w:sz w:val="20"/>
          <w:szCs w:val="20"/>
          <w:bdr w:val="none" w:sz="0" w:space="0" w:color="auto"/>
          <w:lang w:val="es-ES"/>
        </w:rPr>
        <w:t>los peticionarios</w:t>
      </w:r>
      <w:r w:rsidR="004F50C1" w:rsidRPr="00A16D62">
        <w:rPr>
          <w:rFonts w:ascii="Cambria" w:eastAsia="Times New Roman" w:hAnsi="Cambria"/>
          <w:bCs/>
          <w:sz w:val="20"/>
          <w:szCs w:val="20"/>
          <w:bdr w:val="none" w:sz="0" w:space="0" w:color="auto"/>
          <w:lang w:val="es-ES"/>
        </w:rPr>
        <w:t xml:space="preserve"> l</w:t>
      </w:r>
      <w:r w:rsidRPr="00A16D62">
        <w:rPr>
          <w:rFonts w:ascii="Cambria" w:eastAsia="Times New Roman" w:hAnsi="Cambria"/>
          <w:bCs/>
          <w:sz w:val="20"/>
          <w:szCs w:val="20"/>
          <w:bdr w:val="none" w:sz="0" w:space="0" w:color="auto"/>
          <w:lang w:val="es-ES"/>
        </w:rPr>
        <w:t xml:space="preserve">laman “efecto </w:t>
      </w:r>
      <w:r w:rsidR="004F50C1" w:rsidRPr="00A16D62">
        <w:rPr>
          <w:rFonts w:ascii="Cambria" w:eastAsia="Times New Roman" w:hAnsi="Cambria"/>
          <w:bCs/>
          <w:i/>
          <w:sz w:val="20"/>
          <w:szCs w:val="20"/>
          <w:bdr w:val="none" w:sz="0" w:space="0" w:color="auto"/>
          <w:lang w:val="es-ES"/>
        </w:rPr>
        <w:t>in terrorem</w:t>
      </w:r>
      <w:r w:rsidR="004F50C1" w:rsidRPr="00A16D62">
        <w:rPr>
          <w:rFonts w:ascii="Cambria" w:eastAsia="Times New Roman" w:hAnsi="Cambria"/>
          <w:bCs/>
          <w:sz w:val="20"/>
          <w:szCs w:val="20"/>
          <w:bdr w:val="none" w:sz="0" w:space="0" w:color="auto"/>
          <w:lang w:val="es-ES"/>
        </w:rPr>
        <w:t>”</w:t>
      </w:r>
      <w:r w:rsidR="00902047" w:rsidRPr="00A16D62">
        <w:rPr>
          <w:rFonts w:ascii="Cambria" w:eastAsia="Times New Roman" w:hAnsi="Cambria"/>
          <w:bCs/>
          <w:sz w:val="20"/>
          <w:szCs w:val="20"/>
          <w:bdr w:val="none" w:sz="0" w:space="0" w:color="auto"/>
          <w:lang w:val="es-ES"/>
        </w:rPr>
        <w:t xml:space="preserve">. Los peticionarios afirman que este efecto, similar a un efecto de enfriamiento, disuade a los </w:t>
      </w:r>
      <w:r w:rsidR="00C038BF" w:rsidRPr="00A16D62">
        <w:rPr>
          <w:rFonts w:ascii="Cambria" w:eastAsia="Times New Roman" w:hAnsi="Cambria"/>
          <w:bCs/>
          <w:sz w:val="20"/>
          <w:szCs w:val="20"/>
          <w:bdr w:val="none" w:sz="0" w:space="0" w:color="auto"/>
          <w:lang w:val="es-ES"/>
        </w:rPr>
        <w:t>trabajadores indocumentados</w:t>
      </w:r>
      <w:r w:rsidR="004F50C1" w:rsidRPr="00A16D62">
        <w:rPr>
          <w:rFonts w:ascii="Cambria" w:eastAsia="Times New Roman" w:hAnsi="Cambria"/>
          <w:bCs/>
          <w:sz w:val="20"/>
          <w:szCs w:val="20"/>
          <w:bdr w:val="none" w:sz="0" w:space="0" w:color="auto"/>
          <w:lang w:val="es-ES"/>
        </w:rPr>
        <w:t xml:space="preserve"> </w:t>
      </w:r>
      <w:r w:rsidR="00902047" w:rsidRPr="00A16D62">
        <w:rPr>
          <w:rFonts w:ascii="Cambria" w:eastAsia="Times New Roman" w:hAnsi="Cambria"/>
          <w:bCs/>
          <w:sz w:val="20"/>
          <w:szCs w:val="20"/>
          <w:bdr w:val="none" w:sz="0" w:space="0" w:color="auto"/>
          <w:lang w:val="es-ES"/>
        </w:rPr>
        <w:t xml:space="preserve">de hacer valer sus </w:t>
      </w:r>
      <w:r w:rsidR="00B36ED8" w:rsidRPr="00A16D62">
        <w:rPr>
          <w:rFonts w:ascii="Cambria" w:eastAsia="Times New Roman" w:hAnsi="Cambria"/>
          <w:bCs/>
          <w:sz w:val="20"/>
          <w:szCs w:val="20"/>
          <w:bdr w:val="none" w:sz="0" w:space="0" w:color="auto"/>
          <w:lang w:val="es-ES"/>
        </w:rPr>
        <w:t>derechos en el lugar de trabajo</w:t>
      </w:r>
      <w:r w:rsidR="004F50C1" w:rsidRPr="00A16D62">
        <w:rPr>
          <w:rFonts w:ascii="Cambria" w:eastAsia="Times New Roman" w:hAnsi="Cambria"/>
          <w:bCs/>
          <w:sz w:val="20"/>
          <w:szCs w:val="20"/>
          <w:bdr w:val="none" w:sz="0" w:space="0" w:color="auto"/>
          <w:lang w:val="es-ES"/>
        </w:rPr>
        <w:t xml:space="preserve"> </w:t>
      </w:r>
      <w:r w:rsidR="00902047" w:rsidRPr="00A16D62">
        <w:rPr>
          <w:rFonts w:ascii="Cambria" w:eastAsia="Times New Roman" w:hAnsi="Cambria"/>
          <w:bCs/>
          <w:sz w:val="20"/>
          <w:szCs w:val="20"/>
          <w:bdr w:val="none" w:sz="0" w:space="0" w:color="auto"/>
          <w:lang w:val="es-ES"/>
        </w:rPr>
        <w:t>por temor de que se apliquen las leyes de inmigraciones en su contra.</w:t>
      </w:r>
    </w:p>
    <w:p w:rsidR="003845BE" w:rsidRPr="00A16D62" w:rsidRDefault="003845BE" w:rsidP="003845BE">
      <w:pPr>
        <w:pStyle w:val="ListParagraph"/>
        <w:rPr>
          <w:rFonts w:eastAsia="Times New Roman"/>
          <w:bCs/>
          <w:sz w:val="20"/>
          <w:szCs w:val="20"/>
          <w:bdr w:val="none" w:sz="0" w:space="0" w:color="auto"/>
          <w:lang w:val="es-ES"/>
        </w:rPr>
      </w:pPr>
    </w:p>
    <w:p w:rsidR="00D62ABB" w:rsidRPr="00A16D62" w:rsidRDefault="00902047"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Los peticionarios informan que, </w:t>
      </w:r>
      <w:r w:rsidR="000310E5">
        <w:rPr>
          <w:rFonts w:ascii="Cambria" w:eastAsia="Times New Roman" w:hAnsi="Cambria"/>
          <w:bCs/>
          <w:sz w:val="20"/>
          <w:szCs w:val="20"/>
          <w:bdr w:val="none" w:sz="0" w:space="0" w:color="auto"/>
          <w:lang w:val="es-ES"/>
        </w:rPr>
        <w:t xml:space="preserve">a fin de </w:t>
      </w:r>
      <w:r w:rsidRPr="00A16D62">
        <w:rPr>
          <w:rFonts w:ascii="Cambria" w:eastAsia="Times New Roman" w:hAnsi="Cambria"/>
          <w:bCs/>
          <w:sz w:val="20"/>
          <w:szCs w:val="20"/>
          <w:bdr w:val="none" w:sz="0" w:space="0" w:color="auto"/>
          <w:lang w:val="es-ES"/>
        </w:rPr>
        <w:t>combatir o superar este temor</w:t>
      </w:r>
      <w:r w:rsidR="004F50C1" w:rsidRPr="00A16D62">
        <w:rPr>
          <w:rFonts w:ascii="Cambria" w:eastAsia="Times New Roman" w:hAnsi="Cambria"/>
          <w:bCs/>
          <w:sz w:val="20"/>
          <w:szCs w:val="20"/>
          <w:bdr w:val="none" w:sz="0" w:space="0" w:color="auto"/>
          <w:lang w:val="es-ES"/>
        </w:rPr>
        <w:t xml:space="preserve">, </w:t>
      </w:r>
      <w:r w:rsidR="007E4498" w:rsidRPr="00A16D62">
        <w:rPr>
          <w:rFonts w:ascii="Cambria" w:eastAsia="Times New Roman" w:hAnsi="Cambria"/>
          <w:bCs/>
          <w:sz w:val="20"/>
          <w:szCs w:val="20"/>
          <w:bdr w:val="none" w:sz="0" w:space="0" w:color="auto"/>
          <w:lang w:val="es-ES"/>
        </w:rPr>
        <w:t>Estados Unidos</w:t>
      </w:r>
      <w:r w:rsidR="004F50C1"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por medio de los organismos pertinentes, </w:t>
      </w:r>
      <w:r w:rsidR="003845BE" w:rsidRPr="00A16D62">
        <w:rPr>
          <w:rFonts w:ascii="Cambria" w:eastAsia="Times New Roman" w:hAnsi="Cambria"/>
          <w:bCs/>
          <w:sz w:val="20"/>
          <w:szCs w:val="20"/>
          <w:bdr w:val="none" w:sz="0" w:space="0" w:color="auto"/>
          <w:lang w:val="es-ES"/>
        </w:rPr>
        <w:t>ha</w:t>
      </w:r>
      <w:r w:rsidR="00125C0B" w:rsidRPr="00A16D62">
        <w:rPr>
          <w:rFonts w:ascii="Cambria" w:eastAsia="Times New Roman" w:hAnsi="Cambria"/>
          <w:bCs/>
          <w:sz w:val="20"/>
          <w:szCs w:val="20"/>
          <w:bdr w:val="none" w:sz="0" w:space="0" w:color="auto"/>
          <w:lang w:val="es-ES"/>
        </w:rPr>
        <w:t xml:space="preserve"> formulado dos políticas para impedir que las autoridades de inmigraciones interfieran en el ejercicio de los </w:t>
      </w:r>
      <w:r w:rsidR="00593BF9" w:rsidRPr="00A16D62">
        <w:rPr>
          <w:rFonts w:ascii="Cambria" w:eastAsia="Times New Roman" w:hAnsi="Cambria"/>
          <w:bCs/>
          <w:sz w:val="20"/>
          <w:szCs w:val="20"/>
          <w:bdr w:val="none" w:sz="0" w:space="0" w:color="auto"/>
          <w:lang w:val="es-ES"/>
        </w:rPr>
        <w:t>derechos laborales</w:t>
      </w:r>
      <w:r w:rsidR="00125C0B" w:rsidRPr="00A16D62">
        <w:rPr>
          <w:rFonts w:ascii="Cambria" w:eastAsia="Times New Roman" w:hAnsi="Cambria"/>
          <w:bCs/>
          <w:sz w:val="20"/>
          <w:szCs w:val="20"/>
          <w:bdr w:val="none" w:sz="0" w:space="0" w:color="auto"/>
          <w:lang w:val="es-ES"/>
        </w:rPr>
        <w:t xml:space="preserve"> de los trabajadores</w:t>
      </w:r>
      <w:r w:rsidR="003845BE"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La primera política es un manual para </w:t>
      </w:r>
      <w:r w:rsidR="00125C0B" w:rsidRPr="00A16D62">
        <w:rPr>
          <w:rFonts w:ascii="Cambria" w:eastAsia="Times New Roman" w:hAnsi="Cambria"/>
          <w:bCs/>
          <w:sz w:val="20"/>
          <w:szCs w:val="20"/>
          <w:bdr w:val="none" w:sz="0" w:space="0" w:color="auto"/>
          <w:lang w:val="es-ES"/>
        </w:rPr>
        <w:t>agentes de la Dirección de Aplicación de las Leyes de Inmigración y Aduanas</w:t>
      </w:r>
      <w:r w:rsidR="003845BE" w:rsidRPr="00A16D62">
        <w:rPr>
          <w:rFonts w:ascii="Cambria" w:eastAsia="Times New Roman" w:hAnsi="Cambria"/>
          <w:bCs/>
          <w:sz w:val="20"/>
          <w:szCs w:val="20"/>
          <w:bdr w:val="none" w:sz="0" w:space="0" w:color="auto"/>
          <w:lang w:val="es-ES"/>
        </w:rPr>
        <w:t xml:space="preserve"> (ICE) </w:t>
      </w:r>
      <w:r w:rsidR="00125C0B" w:rsidRPr="00A16D62">
        <w:rPr>
          <w:rFonts w:ascii="Cambria" w:eastAsia="Times New Roman" w:hAnsi="Cambria"/>
          <w:bCs/>
          <w:sz w:val="20"/>
          <w:szCs w:val="20"/>
          <w:bdr w:val="none" w:sz="0" w:space="0" w:color="auto"/>
          <w:lang w:val="es-ES"/>
        </w:rPr>
        <w:t>de Estados Unidos</w:t>
      </w:r>
      <w:r w:rsidRPr="00A16D62">
        <w:rPr>
          <w:rFonts w:ascii="Cambria" w:eastAsia="Times New Roman" w:hAnsi="Cambria"/>
          <w:bCs/>
          <w:sz w:val="20"/>
          <w:szCs w:val="20"/>
          <w:bdr w:val="none" w:sz="0" w:space="0" w:color="auto"/>
          <w:lang w:val="es-ES"/>
        </w:rPr>
        <w:t>, que explica la forma de interrogar a personas en el marco de conflictos laborales a fin de evitar el efecto de enfriamiento antedicho</w:t>
      </w:r>
      <w:r w:rsidR="00016A9D" w:rsidRPr="00A16D62">
        <w:rPr>
          <w:rStyle w:val="FootnoteReference"/>
          <w:rFonts w:ascii="Cambria" w:eastAsia="Times New Roman" w:hAnsi="Cambria"/>
          <w:bCs/>
          <w:sz w:val="20"/>
          <w:szCs w:val="20"/>
          <w:bdr w:val="none" w:sz="0" w:space="0" w:color="auto"/>
          <w:lang w:val="es-ES"/>
        </w:rPr>
        <w:footnoteReference w:id="13"/>
      </w:r>
      <w:r w:rsidRPr="00A16D62">
        <w:rPr>
          <w:rFonts w:ascii="Cambria" w:eastAsia="Times New Roman" w:hAnsi="Cambria"/>
          <w:bCs/>
          <w:sz w:val="20"/>
          <w:szCs w:val="20"/>
          <w:bdr w:val="none" w:sz="0" w:space="0" w:color="auto"/>
          <w:lang w:val="es-ES"/>
        </w:rPr>
        <w:t xml:space="preserve">. La segunda es un memorando de entendimiento con el Departamento de Trabajo de Estados Unidos con la finalidad de </w:t>
      </w:r>
      <w:r w:rsidR="00F4660C" w:rsidRPr="00A16D62">
        <w:rPr>
          <w:rFonts w:ascii="Cambria" w:eastAsia="Times New Roman" w:hAnsi="Cambria"/>
          <w:bCs/>
          <w:sz w:val="20"/>
          <w:szCs w:val="20"/>
          <w:bdr w:val="none" w:sz="0" w:space="0" w:color="auto"/>
          <w:lang w:val="es-ES"/>
        </w:rPr>
        <w:t xml:space="preserve">impedir la intervención de las autoridades de inmigraciones en conflictos laborales. Sin embargo, </w:t>
      </w:r>
      <w:r w:rsidR="00180125" w:rsidRPr="00A16D62">
        <w:rPr>
          <w:rFonts w:ascii="Cambria" w:eastAsia="Times New Roman" w:hAnsi="Cambria"/>
          <w:bCs/>
          <w:sz w:val="20"/>
          <w:szCs w:val="20"/>
          <w:bdr w:val="none" w:sz="0" w:space="0" w:color="auto"/>
          <w:lang w:val="es-ES"/>
        </w:rPr>
        <w:t>los peticionarios</w:t>
      </w:r>
      <w:r w:rsidR="003845BE" w:rsidRPr="00A16D62">
        <w:rPr>
          <w:rFonts w:ascii="Cambria" w:eastAsia="Times New Roman" w:hAnsi="Cambria"/>
          <w:bCs/>
          <w:sz w:val="20"/>
          <w:szCs w:val="20"/>
          <w:bdr w:val="none" w:sz="0" w:space="0" w:color="auto"/>
          <w:lang w:val="es-ES"/>
        </w:rPr>
        <w:t xml:space="preserve"> </w:t>
      </w:r>
      <w:r w:rsidR="00F4660C" w:rsidRPr="00A16D62">
        <w:rPr>
          <w:rFonts w:ascii="Cambria" w:eastAsia="Times New Roman" w:hAnsi="Cambria"/>
          <w:bCs/>
          <w:sz w:val="20"/>
          <w:szCs w:val="20"/>
          <w:bdr w:val="none" w:sz="0" w:space="0" w:color="auto"/>
          <w:lang w:val="es-ES"/>
        </w:rPr>
        <w:t>dicen que la Dirección de Aplicación de las Leyes de Inmigración y Aduanas</w:t>
      </w:r>
      <w:r w:rsidR="003845BE" w:rsidRPr="00A16D62">
        <w:rPr>
          <w:rFonts w:ascii="Cambria" w:eastAsia="Times New Roman" w:hAnsi="Cambria"/>
          <w:bCs/>
          <w:sz w:val="20"/>
          <w:szCs w:val="20"/>
          <w:bdr w:val="none" w:sz="0" w:space="0" w:color="auto"/>
          <w:lang w:val="es-ES"/>
        </w:rPr>
        <w:t xml:space="preserve"> “</w:t>
      </w:r>
      <w:r w:rsidR="00F4660C" w:rsidRPr="00A16D62">
        <w:rPr>
          <w:rFonts w:ascii="Cambria" w:eastAsia="Times New Roman" w:hAnsi="Cambria"/>
          <w:bCs/>
          <w:sz w:val="20"/>
          <w:szCs w:val="20"/>
          <w:bdr w:val="none" w:sz="0" w:space="0" w:color="auto"/>
          <w:lang w:val="es-ES"/>
        </w:rPr>
        <w:t>a menudo no sigue su propia política de no intervención en conflictos</w:t>
      </w:r>
      <w:r w:rsidR="003845BE" w:rsidRPr="00A16D62">
        <w:rPr>
          <w:rFonts w:ascii="Cambria" w:eastAsia="Times New Roman" w:hAnsi="Cambria"/>
          <w:bCs/>
          <w:sz w:val="20"/>
          <w:szCs w:val="20"/>
          <w:bdr w:val="none" w:sz="0" w:space="0" w:color="auto"/>
          <w:lang w:val="es-ES"/>
        </w:rPr>
        <w:t xml:space="preserve"> labor</w:t>
      </w:r>
      <w:r w:rsidR="00F4660C" w:rsidRPr="00A16D62">
        <w:rPr>
          <w:rFonts w:ascii="Cambria" w:eastAsia="Times New Roman" w:hAnsi="Cambria"/>
          <w:bCs/>
          <w:sz w:val="20"/>
          <w:szCs w:val="20"/>
          <w:bdr w:val="none" w:sz="0" w:space="0" w:color="auto"/>
          <w:lang w:val="es-ES"/>
        </w:rPr>
        <w:t>ales</w:t>
      </w:r>
      <w:r w:rsidR="00F7692E" w:rsidRPr="00A16D62">
        <w:rPr>
          <w:rFonts w:ascii="Cambria" w:eastAsia="Times New Roman" w:hAnsi="Cambria"/>
          <w:bCs/>
          <w:sz w:val="20"/>
          <w:szCs w:val="20"/>
          <w:bdr w:val="none" w:sz="0" w:space="0" w:color="auto"/>
          <w:lang w:val="es-ES"/>
        </w:rPr>
        <w:t>”</w:t>
      </w:r>
      <w:r w:rsidR="00F4660C" w:rsidRPr="00A16D62">
        <w:rPr>
          <w:rFonts w:ascii="Cambria" w:eastAsia="Times New Roman" w:hAnsi="Cambria"/>
          <w:bCs/>
          <w:sz w:val="20"/>
          <w:szCs w:val="20"/>
          <w:bdr w:val="none" w:sz="0" w:space="0" w:color="auto"/>
          <w:lang w:val="es-ES"/>
        </w:rPr>
        <w:t xml:space="preserve">, sino que hace redadas en lugares de trabajo </w:t>
      </w:r>
      <w:r w:rsidR="000310E5">
        <w:rPr>
          <w:rFonts w:ascii="Cambria" w:eastAsia="Times New Roman" w:hAnsi="Cambria"/>
          <w:bCs/>
          <w:sz w:val="20"/>
          <w:szCs w:val="20"/>
          <w:bdr w:val="none" w:sz="0" w:space="0" w:color="auto"/>
          <w:lang w:val="es-ES"/>
        </w:rPr>
        <w:t xml:space="preserve">cuando </w:t>
      </w:r>
      <w:r w:rsidR="00F4660C" w:rsidRPr="00A16D62">
        <w:rPr>
          <w:rFonts w:ascii="Cambria" w:eastAsia="Times New Roman" w:hAnsi="Cambria"/>
          <w:bCs/>
          <w:sz w:val="20"/>
          <w:szCs w:val="20"/>
          <w:bdr w:val="none" w:sz="0" w:space="0" w:color="auto"/>
          <w:lang w:val="es-ES"/>
        </w:rPr>
        <w:t>el Departamento de Trabajo</w:t>
      </w:r>
      <w:r w:rsidR="000310E5" w:rsidRPr="00A16D62">
        <w:rPr>
          <w:rFonts w:ascii="Cambria" w:eastAsia="Times New Roman" w:hAnsi="Cambria"/>
          <w:bCs/>
          <w:sz w:val="20"/>
          <w:szCs w:val="20"/>
          <w:bdr w:val="none" w:sz="0" w:space="0" w:color="auto"/>
          <w:lang w:val="es-ES"/>
        </w:rPr>
        <w:t xml:space="preserve"> </w:t>
      </w:r>
      <w:r w:rsidR="000310E5">
        <w:rPr>
          <w:rFonts w:ascii="Cambria" w:eastAsia="Times New Roman" w:hAnsi="Cambria"/>
          <w:bCs/>
          <w:sz w:val="20"/>
          <w:szCs w:val="20"/>
          <w:bdr w:val="none" w:sz="0" w:space="0" w:color="auto"/>
          <w:lang w:val="es-ES"/>
        </w:rPr>
        <w:t xml:space="preserve">está realizando </w:t>
      </w:r>
      <w:r w:rsidR="000310E5" w:rsidRPr="00A16D62">
        <w:rPr>
          <w:rFonts w:ascii="Cambria" w:eastAsia="Times New Roman" w:hAnsi="Cambria"/>
          <w:bCs/>
          <w:sz w:val="20"/>
          <w:szCs w:val="20"/>
          <w:bdr w:val="none" w:sz="0" w:space="0" w:color="auto"/>
          <w:lang w:val="es-ES"/>
        </w:rPr>
        <w:t>una investigación del empleador</w:t>
      </w:r>
      <w:r w:rsidR="00CC3419">
        <w:rPr>
          <w:rFonts w:ascii="Cambria" w:eastAsia="Times New Roman" w:hAnsi="Cambria"/>
          <w:bCs/>
          <w:sz w:val="20"/>
          <w:szCs w:val="20"/>
          <w:bdr w:val="none" w:sz="0" w:space="0" w:color="auto"/>
          <w:lang w:val="es-ES"/>
        </w:rPr>
        <w:t xml:space="preserve"> </w:t>
      </w:r>
      <w:r w:rsidR="000310E5" w:rsidRPr="00A16D62">
        <w:rPr>
          <w:rFonts w:ascii="Cambria" w:eastAsia="Times New Roman" w:hAnsi="Cambria"/>
          <w:bCs/>
          <w:sz w:val="20"/>
          <w:szCs w:val="20"/>
          <w:bdr w:val="none" w:sz="0" w:space="0" w:color="auto"/>
          <w:lang w:val="es-ES"/>
        </w:rPr>
        <w:t>o justo después</w:t>
      </w:r>
      <w:r w:rsidR="000310E5" w:rsidRPr="00A16D62">
        <w:rPr>
          <w:rStyle w:val="FootnoteReference"/>
          <w:rFonts w:ascii="Cambria" w:eastAsia="Times New Roman" w:hAnsi="Cambria"/>
          <w:bCs/>
          <w:sz w:val="20"/>
          <w:szCs w:val="20"/>
          <w:bdr w:val="none" w:sz="0" w:space="0" w:color="auto"/>
          <w:lang w:val="es-ES"/>
        </w:rPr>
        <w:t xml:space="preserve"> </w:t>
      </w:r>
      <w:r w:rsidR="00F7692E" w:rsidRPr="00A16D62">
        <w:rPr>
          <w:rStyle w:val="FootnoteReference"/>
          <w:rFonts w:ascii="Cambria" w:eastAsia="Times New Roman" w:hAnsi="Cambria"/>
          <w:bCs/>
          <w:sz w:val="20"/>
          <w:szCs w:val="20"/>
          <w:bdr w:val="none" w:sz="0" w:space="0" w:color="auto"/>
          <w:lang w:val="es-ES"/>
        </w:rPr>
        <w:footnoteReference w:id="14"/>
      </w:r>
      <w:r w:rsidR="00F4660C" w:rsidRPr="00A16D62">
        <w:rPr>
          <w:rFonts w:ascii="Cambria" w:eastAsia="Times New Roman" w:hAnsi="Cambria"/>
          <w:bCs/>
          <w:sz w:val="20"/>
          <w:szCs w:val="20"/>
          <w:bdr w:val="none" w:sz="0" w:space="0" w:color="auto"/>
          <w:lang w:val="es-ES"/>
        </w:rPr>
        <w:t>.</w:t>
      </w:r>
    </w:p>
    <w:p w:rsidR="00F7692E" w:rsidRPr="00A16D62" w:rsidRDefault="00F7692E" w:rsidP="00F7692E">
      <w:pPr>
        <w:pStyle w:val="ListParagraph"/>
        <w:rPr>
          <w:rFonts w:eastAsia="Times New Roman"/>
          <w:bCs/>
          <w:sz w:val="20"/>
          <w:szCs w:val="20"/>
          <w:bdr w:val="none" w:sz="0" w:space="0" w:color="auto"/>
          <w:lang w:val="es-ES"/>
        </w:rPr>
      </w:pPr>
    </w:p>
    <w:p w:rsidR="00F7692E" w:rsidRPr="00A16D62" w:rsidRDefault="00F4660C"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lastRenderedPageBreak/>
        <w:t>Asimismo, l</w:t>
      </w:r>
      <w:r w:rsidR="009A5408" w:rsidRPr="00A16D62">
        <w:rPr>
          <w:rFonts w:ascii="Cambria" w:eastAsia="Times New Roman" w:hAnsi="Cambria"/>
          <w:bCs/>
          <w:sz w:val="20"/>
          <w:szCs w:val="20"/>
          <w:bdr w:val="none" w:sz="0" w:space="0" w:color="auto"/>
          <w:lang w:val="es-ES"/>
        </w:rPr>
        <w:t>os peticionarios</w:t>
      </w:r>
      <w:r w:rsidR="004B725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recalcan la falta de pertinencia de la </w:t>
      </w:r>
      <w:r w:rsidR="00521A6A" w:rsidRPr="00A16D62">
        <w:rPr>
          <w:rFonts w:ascii="Cambria" w:eastAsia="Times New Roman" w:hAnsi="Cambria"/>
          <w:bCs/>
          <w:sz w:val="20"/>
          <w:szCs w:val="20"/>
          <w:bdr w:val="none" w:sz="0" w:space="0" w:color="auto"/>
          <w:lang w:val="es-ES"/>
        </w:rPr>
        <w:t>situación migratoria</w:t>
      </w:r>
      <w:r w:rsidR="00A941D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y otros asuntos conexos para los conflictos laborales y los</w:t>
      </w:r>
      <w:r w:rsidR="00A941D7" w:rsidRPr="00A16D62">
        <w:rPr>
          <w:rFonts w:ascii="Cambria" w:eastAsia="Times New Roman" w:hAnsi="Cambria"/>
          <w:bCs/>
          <w:sz w:val="20"/>
          <w:szCs w:val="20"/>
          <w:bdr w:val="none" w:sz="0" w:space="0" w:color="auto"/>
          <w:lang w:val="es-ES"/>
        </w:rPr>
        <w:t xml:space="preserve"> </w:t>
      </w:r>
      <w:r w:rsidR="00B36ED8" w:rsidRPr="00A16D62">
        <w:rPr>
          <w:rFonts w:ascii="Cambria" w:eastAsia="Times New Roman" w:hAnsi="Cambria"/>
          <w:bCs/>
          <w:sz w:val="20"/>
          <w:szCs w:val="20"/>
          <w:bdr w:val="none" w:sz="0" w:space="0" w:color="auto"/>
          <w:lang w:val="es-ES"/>
        </w:rPr>
        <w:t>derechos en el lugar de trabajo</w:t>
      </w:r>
      <w:r w:rsidR="00A941D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además del efecto de enfriamiento de tales revelaciones</w:t>
      </w:r>
      <w:r w:rsidR="00A941D7" w:rsidRPr="00A16D62">
        <w:rPr>
          <w:rFonts w:ascii="Cambria" w:eastAsia="Times New Roman" w:hAnsi="Cambria"/>
          <w:bCs/>
          <w:sz w:val="20"/>
          <w:szCs w:val="20"/>
          <w:bdr w:val="none" w:sz="0" w:space="0" w:color="auto"/>
          <w:lang w:val="es-ES"/>
        </w:rPr>
        <w:t xml:space="preserve">. </w:t>
      </w:r>
      <w:r w:rsidR="009A5408" w:rsidRPr="00A16D62">
        <w:rPr>
          <w:rFonts w:ascii="Cambria" w:eastAsia="Times New Roman" w:hAnsi="Cambria"/>
          <w:bCs/>
          <w:sz w:val="20"/>
          <w:szCs w:val="20"/>
          <w:bdr w:val="none" w:sz="0" w:space="0" w:color="auto"/>
          <w:lang w:val="es-ES"/>
        </w:rPr>
        <w:t>Los peticionarios</w:t>
      </w:r>
      <w:r w:rsidR="00A941D7" w:rsidRPr="00A16D62">
        <w:rPr>
          <w:rFonts w:ascii="Cambria" w:eastAsia="Times New Roman" w:hAnsi="Cambria"/>
          <w:bCs/>
          <w:sz w:val="20"/>
          <w:szCs w:val="20"/>
          <w:bdr w:val="none" w:sz="0" w:space="0" w:color="auto"/>
          <w:lang w:val="es-ES"/>
        </w:rPr>
        <w:t xml:space="preserve"> cit</w:t>
      </w:r>
      <w:r w:rsidRPr="00A16D62">
        <w:rPr>
          <w:rFonts w:ascii="Cambria" w:eastAsia="Times New Roman" w:hAnsi="Cambria"/>
          <w:bCs/>
          <w:sz w:val="20"/>
          <w:szCs w:val="20"/>
          <w:bdr w:val="none" w:sz="0" w:space="0" w:color="auto"/>
          <w:lang w:val="es-ES"/>
        </w:rPr>
        <w:t xml:space="preserve">an varios casos en los cuales alegan que los tribunales, </w:t>
      </w:r>
      <w:r w:rsidR="00A941D7" w:rsidRPr="00A16D62">
        <w:rPr>
          <w:rFonts w:ascii="Cambria" w:eastAsia="Times New Roman" w:hAnsi="Cambria"/>
          <w:bCs/>
          <w:sz w:val="20"/>
          <w:szCs w:val="20"/>
          <w:bdr w:val="none" w:sz="0" w:space="0" w:color="auto"/>
          <w:lang w:val="es-ES"/>
        </w:rPr>
        <w:t>“</w:t>
      </w:r>
      <w:r w:rsidR="00DB1119" w:rsidRPr="00A16D62">
        <w:rPr>
          <w:rFonts w:ascii="Cambria" w:eastAsia="Times New Roman" w:hAnsi="Cambria"/>
          <w:bCs/>
          <w:sz w:val="20"/>
          <w:szCs w:val="20"/>
          <w:bdr w:val="none" w:sz="0" w:space="0" w:color="auto"/>
          <w:lang w:val="es-ES"/>
        </w:rPr>
        <w:t>en vista del efecto</w:t>
      </w:r>
      <w:r w:rsidR="00A941D7" w:rsidRPr="00A16D62">
        <w:rPr>
          <w:rFonts w:ascii="Cambria" w:eastAsia="Times New Roman" w:hAnsi="Cambria"/>
          <w:bCs/>
          <w:sz w:val="20"/>
          <w:szCs w:val="20"/>
          <w:bdr w:val="none" w:sz="0" w:space="0" w:color="auto"/>
          <w:lang w:val="es-ES"/>
        </w:rPr>
        <w:t xml:space="preserve"> </w:t>
      </w:r>
      <w:r w:rsidR="00A941D7" w:rsidRPr="00A16D62">
        <w:rPr>
          <w:rFonts w:ascii="Cambria" w:eastAsia="Times New Roman" w:hAnsi="Cambria"/>
          <w:bCs/>
          <w:i/>
          <w:sz w:val="20"/>
          <w:szCs w:val="20"/>
          <w:bdr w:val="none" w:sz="0" w:space="0" w:color="auto"/>
          <w:lang w:val="es-ES"/>
        </w:rPr>
        <w:t>in</w:t>
      </w:r>
      <w:r w:rsidR="000D36C5" w:rsidRPr="00A16D62">
        <w:rPr>
          <w:rFonts w:ascii="Cambria" w:eastAsia="Times New Roman" w:hAnsi="Cambria"/>
          <w:bCs/>
          <w:i/>
          <w:sz w:val="20"/>
          <w:szCs w:val="20"/>
          <w:bdr w:val="none" w:sz="0" w:space="0" w:color="auto"/>
          <w:lang w:val="es-ES"/>
        </w:rPr>
        <w:t xml:space="preserve"> </w:t>
      </w:r>
      <w:r w:rsidR="00A941D7" w:rsidRPr="00A16D62">
        <w:rPr>
          <w:rFonts w:ascii="Cambria" w:eastAsia="Times New Roman" w:hAnsi="Cambria"/>
          <w:bCs/>
          <w:i/>
          <w:sz w:val="20"/>
          <w:szCs w:val="20"/>
          <w:bdr w:val="none" w:sz="0" w:space="0" w:color="auto"/>
          <w:lang w:val="es-ES"/>
        </w:rPr>
        <w:t>terrorem</w:t>
      </w:r>
      <w:r w:rsidR="00A941D7" w:rsidRPr="00A16D62">
        <w:rPr>
          <w:rFonts w:ascii="Cambria" w:eastAsia="Times New Roman" w:hAnsi="Cambria"/>
          <w:bCs/>
          <w:sz w:val="20"/>
          <w:szCs w:val="20"/>
          <w:bdr w:val="none" w:sz="0" w:space="0" w:color="auto"/>
          <w:lang w:val="es-ES"/>
        </w:rPr>
        <w:t xml:space="preserve"> </w:t>
      </w:r>
      <w:r w:rsidR="00DB1119" w:rsidRPr="00A16D62">
        <w:rPr>
          <w:rFonts w:ascii="Cambria" w:eastAsia="Times New Roman" w:hAnsi="Cambria"/>
          <w:bCs/>
          <w:sz w:val="20"/>
          <w:szCs w:val="20"/>
          <w:bdr w:val="none" w:sz="0" w:space="0" w:color="auto"/>
          <w:lang w:val="es-ES"/>
        </w:rPr>
        <w:t xml:space="preserve">de la revelación de la </w:t>
      </w:r>
      <w:r w:rsidR="00521A6A" w:rsidRPr="00A16D62">
        <w:rPr>
          <w:rFonts w:ascii="Cambria" w:eastAsia="Times New Roman" w:hAnsi="Cambria"/>
          <w:bCs/>
          <w:sz w:val="20"/>
          <w:szCs w:val="20"/>
          <w:bdr w:val="none" w:sz="0" w:space="0" w:color="auto"/>
          <w:lang w:val="es-ES"/>
        </w:rPr>
        <w:t>situación migratoria</w:t>
      </w:r>
      <w:r w:rsidR="00DB1119" w:rsidRPr="00A16D62">
        <w:rPr>
          <w:rFonts w:ascii="Cambria" w:eastAsia="Times New Roman" w:hAnsi="Cambria"/>
          <w:bCs/>
          <w:sz w:val="20"/>
          <w:szCs w:val="20"/>
          <w:bdr w:val="none" w:sz="0" w:space="0" w:color="auto"/>
          <w:lang w:val="es-ES"/>
        </w:rPr>
        <w:t xml:space="preserve"> de los demandantes</w:t>
      </w:r>
      <w:r w:rsidR="00A941D7" w:rsidRPr="00A16D62">
        <w:rPr>
          <w:rFonts w:ascii="Cambria" w:eastAsia="Times New Roman" w:hAnsi="Cambria"/>
          <w:bCs/>
          <w:sz w:val="20"/>
          <w:szCs w:val="20"/>
          <w:bdr w:val="none" w:sz="0" w:space="0" w:color="auto"/>
          <w:lang w:val="es-ES"/>
        </w:rPr>
        <w:t>”</w:t>
      </w:r>
      <w:r w:rsidR="00DB1119" w:rsidRPr="00A16D62">
        <w:rPr>
          <w:rFonts w:ascii="Cambria" w:eastAsia="Times New Roman" w:hAnsi="Cambria"/>
          <w:bCs/>
          <w:sz w:val="20"/>
          <w:szCs w:val="20"/>
          <w:bdr w:val="none" w:sz="0" w:space="0" w:color="auto"/>
          <w:lang w:val="es-ES"/>
        </w:rPr>
        <w:t xml:space="preserve">, han llegado a la misma conclusión, al considerar </w:t>
      </w:r>
      <w:r w:rsidR="00A941D7" w:rsidRPr="00A16D62">
        <w:rPr>
          <w:rFonts w:ascii="Cambria" w:eastAsia="Times New Roman" w:hAnsi="Cambria"/>
          <w:bCs/>
          <w:sz w:val="20"/>
          <w:szCs w:val="20"/>
          <w:bdr w:val="none" w:sz="0" w:space="0" w:color="auto"/>
          <w:lang w:val="es-ES"/>
        </w:rPr>
        <w:t>“</w:t>
      </w:r>
      <w:r w:rsidR="00DB1119" w:rsidRPr="00A16D62">
        <w:rPr>
          <w:rFonts w:ascii="Cambria" w:eastAsia="Times New Roman" w:hAnsi="Cambria"/>
          <w:bCs/>
          <w:sz w:val="20"/>
          <w:szCs w:val="20"/>
          <w:bdr w:val="none" w:sz="0" w:space="0" w:color="auto"/>
          <w:lang w:val="es-ES"/>
        </w:rPr>
        <w:t>el efecto abrumadoramente perjudicial de la posibilidad de acoso, intimidación y amenazas contra los demandantes generada por tal revelación</w:t>
      </w:r>
      <w:r w:rsidR="00A941D7" w:rsidRPr="00A16D62">
        <w:rPr>
          <w:rFonts w:ascii="Cambria" w:eastAsia="Times New Roman" w:hAnsi="Cambria"/>
          <w:bCs/>
          <w:sz w:val="20"/>
          <w:szCs w:val="20"/>
          <w:bdr w:val="none" w:sz="0" w:space="0" w:color="auto"/>
          <w:lang w:val="es-ES"/>
        </w:rPr>
        <w:t>”</w:t>
      </w:r>
      <w:r w:rsidR="00A941D7" w:rsidRPr="00A16D62">
        <w:rPr>
          <w:rStyle w:val="FootnoteReference"/>
          <w:rFonts w:ascii="Cambria" w:eastAsia="Times New Roman" w:hAnsi="Cambria"/>
          <w:bCs/>
          <w:sz w:val="20"/>
          <w:szCs w:val="20"/>
          <w:bdr w:val="none" w:sz="0" w:space="0" w:color="auto"/>
          <w:lang w:val="es-ES"/>
        </w:rPr>
        <w:footnoteReference w:id="15"/>
      </w:r>
      <w:r w:rsidR="00DB1119" w:rsidRPr="00A16D62">
        <w:rPr>
          <w:rFonts w:ascii="Cambria" w:eastAsia="Times New Roman" w:hAnsi="Cambria"/>
          <w:bCs/>
          <w:sz w:val="20"/>
          <w:szCs w:val="20"/>
          <w:bdr w:val="none" w:sz="0" w:space="0" w:color="auto"/>
          <w:lang w:val="es-ES"/>
        </w:rPr>
        <w:t>. Para respaldar este</w:t>
      </w:r>
      <w:r w:rsidR="002F58F5" w:rsidRPr="00A16D62">
        <w:rPr>
          <w:rFonts w:ascii="Cambria" w:eastAsia="Times New Roman" w:hAnsi="Cambria"/>
          <w:bCs/>
          <w:sz w:val="20"/>
          <w:szCs w:val="20"/>
          <w:bdr w:val="none" w:sz="0" w:space="0" w:color="auto"/>
          <w:lang w:val="es-ES"/>
        </w:rPr>
        <w:t xml:space="preserve"> argument</w:t>
      </w:r>
      <w:r w:rsidR="00DB1119" w:rsidRPr="00A16D62">
        <w:rPr>
          <w:rFonts w:ascii="Cambria" w:eastAsia="Times New Roman" w:hAnsi="Cambria"/>
          <w:bCs/>
          <w:sz w:val="20"/>
          <w:szCs w:val="20"/>
          <w:bdr w:val="none" w:sz="0" w:space="0" w:color="auto"/>
          <w:lang w:val="es-ES"/>
        </w:rPr>
        <w:t>o</w:t>
      </w:r>
      <w:r w:rsidR="00973925" w:rsidRPr="00A16D62">
        <w:rPr>
          <w:rFonts w:ascii="Cambria" w:eastAsia="Times New Roman" w:hAnsi="Cambria"/>
          <w:bCs/>
          <w:sz w:val="20"/>
          <w:szCs w:val="20"/>
          <w:bdr w:val="none" w:sz="0" w:space="0" w:color="auto"/>
          <w:lang w:val="es-ES"/>
        </w:rPr>
        <w:t xml:space="preserve">, </w:t>
      </w:r>
      <w:r w:rsidR="009A5408" w:rsidRPr="00A16D62">
        <w:rPr>
          <w:rFonts w:ascii="Cambria" w:eastAsia="Times New Roman" w:hAnsi="Cambria"/>
          <w:bCs/>
          <w:sz w:val="20"/>
          <w:szCs w:val="20"/>
          <w:bdr w:val="none" w:sz="0" w:space="0" w:color="auto"/>
          <w:lang w:val="es-ES"/>
        </w:rPr>
        <w:t>los peticionarios</w:t>
      </w:r>
      <w:r w:rsidR="00973925" w:rsidRPr="00A16D62">
        <w:rPr>
          <w:rFonts w:ascii="Cambria" w:eastAsia="Times New Roman" w:hAnsi="Cambria"/>
          <w:bCs/>
          <w:sz w:val="20"/>
          <w:szCs w:val="20"/>
          <w:bdr w:val="none" w:sz="0" w:space="0" w:color="auto"/>
          <w:lang w:val="es-ES"/>
        </w:rPr>
        <w:t xml:space="preserve"> cit</w:t>
      </w:r>
      <w:r w:rsidR="00DB1119" w:rsidRPr="00A16D62">
        <w:rPr>
          <w:rFonts w:ascii="Cambria" w:eastAsia="Times New Roman" w:hAnsi="Cambria"/>
          <w:bCs/>
          <w:sz w:val="20"/>
          <w:szCs w:val="20"/>
          <w:bdr w:val="none" w:sz="0" w:space="0" w:color="auto"/>
          <w:lang w:val="es-ES"/>
        </w:rPr>
        <w:t xml:space="preserve">an casos en los cuales los tribunales determinaron que atender los pedidos de revelación de información relacionada con la </w:t>
      </w:r>
      <w:r w:rsidR="00521A6A" w:rsidRPr="00A16D62">
        <w:rPr>
          <w:rFonts w:ascii="Cambria" w:eastAsia="Times New Roman" w:hAnsi="Cambria"/>
          <w:bCs/>
          <w:sz w:val="20"/>
          <w:szCs w:val="20"/>
          <w:bdr w:val="none" w:sz="0" w:space="0" w:color="auto"/>
          <w:lang w:val="es-ES"/>
        </w:rPr>
        <w:t>situación migratoria</w:t>
      </w:r>
      <w:r w:rsidR="00104AA0" w:rsidRPr="00A16D62">
        <w:rPr>
          <w:rFonts w:ascii="Cambria" w:eastAsia="Times New Roman" w:hAnsi="Cambria"/>
          <w:bCs/>
          <w:sz w:val="20"/>
          <w:szCs w:val="20"/>
          <w:bdr w:val="none" w:sz="0" w:space="0" w:color="auto"/>
          <w:lang w:val="es-ES"/>
        </w:rPr>
        <w:t xml:space="preserve"> </w:t>
      </w:r>
      <w:r w:rsidR="00DB1119" w:rsidRPr="00A16D62">
        <w:rPr>
          <w:rFonts w:ascii="Cambria" w:eastAsia="Times New Roman" w:hAnsi="Cambria"/>
          <w:bCs/>
          <w:sz w:val="20"/>
          <w:szCs w:val="20"/>
          <w:bdr w:val="none" w:sz="0" w:space="0" w:color="auto"/>
          <w:lang w:val="es-ES"/>
        </w:rPr>
        <w:t xml:space="preserve">permitiría que los actos ilícitos y censurables de los </w:t>
      </w:r>
      <w:r w:rsidR="000F4EF8" w:rsidRPr="00A16D62">
        <w:rPr>
          <w:rFonts w:ascii="Cambria" w:eastAsia="Times New Roman" w:hAnsi="Cambria"/>
          <w:bCs/>
          <w:sz w:val="20"/>
          <w:szCs w:val="20"/>
          <w:bdr w:val="none" w:sz="0" w:space="0" w:color="auto"/>
          <w:lang w:val="es-ES"/>
        </w:rPr>
        <w:t>empleadores</w:t>
      </w:r>
      <w:r w:rsidR="00104AA0" w:rsidRPr="00A16D62">
        <w:rPr>
          <w:rFonts w:ascii="Cambria" w:eastAsia="Times New Roman" w:hAnsi="Cambria"/>
          <w:bCs/>
          <w:sz w:val="20"/>
          <w:szCs w:val="20"/>
          <w:bdr w:val="none" w:sz="0" w:space="0" w:color="auto"/>
          <w:lang w:val="es-ES"/>
        </w:rPr>
        <w:t xml:space="preserve"> </w:t>
      </w:r>
      <w:r w:rsidR="00DB1119" w:rsidRPr="00A16D62">
        <w:rPr>
          <w:rFonts w:ascii="Cambria" w:eastAsia="Times New Roman" w:hAnsi="Cambria"/>
          <w:bCs/>
          <w:sz w:val="20"/>
          <w:szCs w:val="20"/>
          <w:bdr w:val="none" w:sz="0" w:space="0" w:color="auto"/>
          <w:lang w:val="es-ES"/>
        </w:rPr>
        <w:t>quedaran sin denunciar y sin sancionar</w:t>
      </w:r>
      <w:r w:rsidR="00104AA0" w:rsidRPr="00A16D62">
        <w:rPr>
          <w:rStyle w:val="FootnoteReference"/>
          <w:rFonts w:ascii="Cambria" w:eastAsia="Times New Roman" w:hAnsi="Cambria"/>
          <w:bCs/>
          <w:sz w:val="20"/>
          <w:szCs w:val="20"/>
          <w:bdr w:val="none" w:sz="0" w:space="0" w:color="auto"/>
          <w:lang w:val="es-ES"/>
        </w:rPr>
        <w:footnoteReference w:id="16"/>
      </w:r>
      <w:r w:rsidR="00DB1119" w:rsidRPr="00A16D62">
        <w:rPr>
          <w:rFonts w:ascii="Cambria" w:eastAsia="Times New Roman" w:hAnsi="Cambria"/>
          <w:bCs/>
          <w:sz w:val="20"/>
          <w:szCs w:val="20"/>
          <w:bdr w:val="none" w:sz="0" w:space="0" w:color="auto"/>
          <w:lang w:val="es-ES"/>
        </w:rPr>
        <w:t>.</w:t>
      </w:r>
    </w:p>
    <w:p w:rsidR="00A32BEC" w:rsidRPr="00A16D62" w:rsidRDefault="00A32BEC" w:rsidP="00354259">
      <w:pPr>
        <w:rPr>
          <w:rFonts w:eastAsia="Times New Roman"/>
          <w:bCs/>
          <w:sz w:val="20"/>
          <w:szCs w:val="20"/>
          <w:bdr w:val="none" w:sz="0" w:space="0" w:color="auto"/>
          <w:lang w:val="es-ES"/>
        </w:rPr>
      </w:pPr>
    </w:p>
    <w:p w:rsidR="004B725C" w:rsidRPr="00A16D62" w:rsidRDefault="00DB1119"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Por último</w:t>
      </w:r>
      <w:r w:rsidR="004B725C"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los peticionarios</w:t>
      </w:r>
      <w:r w:rsidR="004B725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afirman que, tras la decisión en el caso</w:t>
      </w:r>
      <w:r w:rsidR="004B725C" w:rsidRPr="00A16D62">
        <w:rPr>
          <w:rFonts w:ascii="Cambria" w:eastAsia="Times New Roman" w:hAnsi="Cambria"/>
          <w:bCs/>
          <w:sz w:val="20"/>
          <w:szCs w:val="20"/>
          <w:bdr w:val="none" w:sz="0" w:space="0" w:color="auto"/>
          <w:lang w:val="es-ES"/>
        </w:rPr>
        <w:t xml:space="preserve"> </w:t>
      </w:r>
      <w:r w:rsidR="004B725C" w:rsidRPr="00A16D62">
        <w:rPr>
          <w:rFonts w:ascii="Cambria" w:eastAsia="Times New Roman" w:hAnsi="Cambria"/>
          <w:bCs/>
          <w:i/>
          <w:sz w:val="20"/>
          <w:szCs w:val="20"/>
          <w:bdr w:val="none" w:sz="0" w:space="0" w:color="auto"/>
          <w:lang w:val="es-ES"/>
        </w:rPr>
        <w:t>Hoffman</w:t>
      </w:r>
      <w:r w:rsidR="004B725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ya no se garantizan los recursos que están al alcance de los </w:t>
      </w:r>
      <w:r w:rsidR="00C038BF" w:rsidRPr="00A16D62">
        <w:rPr>
          <w:rFonts w:ascii="Cambria" w:eastAsia="Times New Roman" w:hAnsi="Cambria"/>
          <w:bCs/>
          <w:sz w:val="20"/>
          <w:szCs w:val="20"/>
          <w:bdr w:val="none" w:sz="0" w:space="0" w:color="auto"/>
          <w:lang w:val="es-ES"/>
        </w:rPr>
        <w:t>trabajadores indocumentados</w:t>
      </w:r>
      <w:r w:rsidR="004B725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 conformidad con las leyes </w:t>
      </w:r>
      <w:r w:rsidR="004B725C" w:rsidRPr="00A16D62">
        <w:rPr>
          <w:rFonts w:ascii="Cambria" w:eastAsia="Times New Roman" w:hAnsi="Cambria"/>
          <w:bCs/>
          <w:sz w:val="20"/>
          <w:szCs w:val="20"/>
          <w:bdr w:val="none" w:sz="0" w:space="0" w:color="auto"/>
          <w:lang w:val="es-ES"/>
        </w:rPr>
        <w:t>federal</w:t>
      </w:r>
      <w:r w:rsidRPr="00A16D62">
        <w:rPr>
          <w:rFonts w:ascii="Cambria" w:eastAsia="Times New Roman" w:hAnsi="Cambria"/>
          <w:bCs/>
          <w:sz w:val="20"/>
          <w:szCs w:val="20"/>
          <w:bdr w:val="none" w:sz="0" w:space="0" w:color="auto"/>
          <w:lang w:val="es-ES"/>
        </w:rPr>
        <w:t>es</w:t>
      </w:r>
      <w:r w:rsidR="009F6891" w:rsidRPr="00A16D62">
        <w:rPr>
          <w:rFonts w:ascii="Cambria" w:eastAsia="Times New Roman" w:hAnsi="Cambria"/>
          <w:bCs/>
          <w:sz w:val="20"/>
          <w:szCs w:val="20"/>
          <w:bdr w:val="none" w:sz="0" w:space="0" w:color="auto"/>
          <w:lang w:val="es-ES"/>
        </w:rPr>
        <w:t xml:space="preserve">. Señalan que esta falta de recursos se traduce en una denegación de los derechos de los </w:t>
      </w:r>
      <w:r w:rsidR="00C038BF" w:rsidRPr="00A16D62">
        <w:rPr>
          <w:rFonts w:ascii="Cambria" w:eastAsia="Times New Roman" w:hAnsi="Cambria"/>
          <w:bCs/>
          <w:sz w:val="20"/>
          <w:szCs w:val="20"/>
          <w:bdr w:val="none" w:sz="0" w:space="0" w:color="auto"/>
          <w:lang w:val="es-ES"/>
        </w:rPr>
        <w:t>trabajadores indocumentados</w:t>
      </w:r>
      <w:r w:rsidR="009F6891" w:rsidRPr="00A16D62">
        <w:rPr>
          <w:rFonts w:ascii="Cambria" w:eastAsia="Times New Roman" w:hAnsi="Cambria"/>
          <w:bCs/>
          <w:sz w:val="20"/>
          <w:szCs w:val="20"/>
          <w:bdr w:val="none" w:sz="0" w:space="0" w:color="auto"/>
          <w:lang w:val="es-ES"/>
        </w:rPr>
        <w:t xml:space="preserve"> enunciados en dichas leyes. Aunque </w:t>
      </w:r>
      <w:r w:rsidR="00180125" w:rsidRPr="00A16D62">
        <w:rPr>
          <w:rFonts w:ascii="Cambria" w:eastAsia="Times New Roman" w:hAnsi="Cambria"/>
          <w:bCs/>
          <w:sz w:val="20"/>
          <w:szCs w:val="20"/>
          <w:bdr w:val="none" w:sz="0" w:space="0" w:color="auto"/>
          <w:lang w:val="es-ES"/>
        </w:rPr>
        <w:t>los peticionarios</w:t>
      </w:r>
      <w:r w:rsidR="00504910" w:rsidRPr="00A16D62">
        <w:rPr>
          <w:rFonts w:ascii="Cambria" w:eastAsia="Times New Roman" w:hAnsi="Cambria"/>
          <w:bCs/>
          <w:sz w:val="20"/>
          <w:szCs w:val="20"/>
          <w:bdr w:val="none" w:sz="0" w:space="0" w:color="auto"/>
          <w:lang w:val="es-ES"/>
        </w:rPr>
        <w:t xml:space="preserve"> reco</w:t>
      </w:r>
      <w:r w:rsidR="009F6891" w:rsidRPr="00A16D62">
        <w:rPr>
          <w:rFonts w:ascii="Cambria" w:eastAsia="Times New Roman" w:hAnsi="Cambria"/>
          <w:bCs/>
          <w:sz w:val="20"/>
          <w:szCs w:val="20"/>
          <w:bdr w:val="none" w:sz="0" w:space="0" w:color="auto"/>
          <w:lang w:val="es-ES"/>
        </w:rPr>
        <w:t>nocen que</w:t>
      </w:r>
      <w:r w:rsidR="00504910" w:rsidRPr="00A16D62">
        <w:rPr>
          <w:rFonts w:ascii="Cambria" w:eastAsia="Times New Roman" w:hAnsi="Cambria"/>
          <w:bCs/>
          <w:sz w:val="20"/>
          <w:szCs w:val="20"/>
          <w:bdr w:val="none" w:sz="0" w:space="0" w:color="auto"/>
          <w:lang w:val="es-ES"/>
        </w:rPr>
        <w:t xml:space="preserve"> “</w:t>
      </w:r>
      <w:r w:rsidR="009F6891" w:rsidRPr="00A16D62">
        <w:rPr>
          <w:rFonts w:ascii="Cambria" w:eastAsia="Times New Roman" w:hAnsi="Cambria"/>
          <w:bCs/>
          <w:sz w:val="20"/>
          <w:szCs w:val="20"/>
          <w:bdr w:val="none" w:sz="0" w:space="0" w:color="auto"/>
          <w:lang w:val="es-ES"/>
        </w:rPr>
        <w:t xml:space="preserve">en última instancia, en la mayoría de los litigios se determina que los </w:t>
      </w:r>
      <w:r w:rsidR="00C038BF" w:rsidRPr="00A16D62">
        <w:rPr>
          <w:rFonts w:ascii="Cambria" w:eastAsia="Times New Roman" w:hAnsi="Cambria"/>
          <w:bCs/>
          <w:sz w:val="20"/>
          <w:szCs w:val="20"/>
          <w:bdr w:val="none" w:sz="0" w:space="0" w:color="auto"/>
          <w:lang w:val="es-ES"/>
        </w:rPr>
        <w:t>trabajadores indocumentados</w:t>
      </w:r>
      <w:r w:rsidR="00504910" w:rsidRPr="00A16D62">
        <w:rPr>
          <w:rFonts w:ascii="Cambria" w:eastAsia="Times New Roman" w:hAnsi="Cambria"/>
          <w:bCs/>
          <w:sz w:val="20"/>
          <w:szCs w:val="20"/>
          <w:bdr w:val="none" w:sz="0" w:space="0" w:color="auto"/>
          <w:lang w:val="es-ES"/>
        </w:rPr>
        <w:t xml:space="preserve"> </w:t>
      </w:r>
      <w:r w:rsidR="009F6891" w:rsidRPr="00A16D62">
        <w:rPr>
          <w:rFonts w:ascii="Cambria" w:eastAsia="Times New Roman" w:hAnsi="Cambria"/>
          <w:bCs/>
          <w:sz w:val="20"/>
          <w:szCs w:val="20"/>
          <w:bdr w:val="none" w:sz="0" w:space="0" w:color="auto"/>
          <w:lang w:val="es-ES"/>
        </w:rPr>
        <w:t xml:space="preserve">tienen derecho a valerse de los recursos dispuestos en las leyes </w:t>
      </w:r>
      <w:r w:rsidR="00504910" w:rsidRPr="00A16D62">
        <w:rPr>
          <w:rFonts w:ascii="Cambria" w:eastAsia="Times New Roman" w:hAnsi="Cambria"/>
          <w:bCs/>
          <w:sz w:val="20"/>
          <w:szCs w:val="20"/>
          <w:bdr w:val="none" w:sz="0" w:space="0" w:color="auto"/>
          <w:lang w:val="es-ES"/>
        </w:rPr>
        <w:t>federal</w:t>
      </w:r>
      <w:r w:rsidR="009F6891" w:rsidRPr="00A16D62">
        <w:rPr>
          <w:rFonts w:ascii="Cambria" w:eastAsia="Times New Roman" w:hAnsi="Cambria"/>
          <w:bCs/>
          <w:sz w:val="20"/>
          <w:szCs w:val="20"/>
          <w:bdr w:val="none" w:sz="0" w:space="0" w:color="auto"/>
          <w:lang w:val="es-ES"/>
        </w:rPr>
        <w:t>es</w:t>
      </w:r>
      <w:r w:rsidR="00504910" w:rsidRPr="00A16D62">
        <w:rPr>
          <w:rFonts w:ascii="Cambria" w:eastAsia="Times New Roman" w:hAnsi="Cambria"/>
          <w:bCs/>
          <w:sz w:val="20"/>
          <w:szCs w:val="20"/>
          <w:bdr w:val="none" w:sz="0" w:space="0" w:color="auto"/>
          <w:lang w:val="es-ES"/>
        </w:rPr>
        <w:t>”</w:t>
      </w:r>
      <w:r w:rsidR="009F6891" w:rsidRPr="00A16D62">
        <w:rPr>
          <w:rFonts w:ascii="Cambria" w:eastAsia="Times New Roman" w:hAnsi="Cambria"/>
          <w:bCs/>
          <w:sz w:val="20"/>
          <w:szCs w:val="20"/>
          <w:bdr w:val="none" w:sz="0" w:space="0" w:color="auto"/>
          <w:lang w:val="es-ES"/>
        </w:rPr>
        <w:t>, afirman que la decisión en el caso</w:t>
      </w:r>
      <w:r w:rsidR="00504910" w:rsidRPr="00A16D62">
        <w:rPr>
          <w:rFonts w:ascii="Cambria" w:eastAsia="Times New Roman" w:hAnsi="Cambria"/>
          <w:bCs/>
          <w:sz w:val="20"/>
          <w:szCs w:val="20"/>
          <w:bdr w:val="none" w:sz="0" w:space="0" w:color="auto"/>
          <w:lang w:val="es-ES"/>
        </w:rPr>
        <w:t xml:space="preserve"> </w:t>
      </w:r>
      <w:r w:rsidR="00504910" w:rsidRPr="00A16D62">
        <w:rPr>
          <w:rFonts w:ascii="Cambria" w:eastAsia="Times New Roman" w:hAnsi="Cambria"/>
          <w:bCs/>
          <w:i/>
          <w:sz w:val="20"/>
          <w:szCs w:val="20"/>
          <w:bdr w:val="none" w:sz="0" w:space="0" w:color="auto"/>
          <w:lang w:val="es-ES"/>
        </w:rPr>
        <w:t>Hoffman</w:t>
      </w:r>
      <w:r w:rsidR="00504910" w:rsidRPr="00A16D62">
        <w:rPr>
          <w:rFonts w:ascii="Cambria" w:eastAsia="Times New Roman" w:hAnsi="Cambria"/>
          <w:bCs/>
          <w:sz w:val="20"/>
          <w:szCs w:val="20"/>
          <w:bdr w:val="none" w:sz="0" w:space="0" w:color="auto"/>
          <w:lang w:val="es-ES"/>
        </w:rPr>
        <w:t xml:space="preserve"> </w:t>
      </w:r>
      <w:r w:rsidR="009F6891" w:rsidRPr="00A16D62">
        <w:rPr>
          <w:rFonts w:ascii="Cambria" w:eastAsia="Times New Roman" w:hAnsi="Cambria"/>
          <w:bCs/>
          <w:sz w:val="20"/>
          <w:szCs w:val="20"/>
          <w:bdr w:val="none" w:sz="0" w:space="0" w:color="auto"/>
          <w:lang w:val="es-ES"/>
        </w:rPr>
        <w:t xml:space="preserve">y en otros casos subsiguientes ha animado a los </w:t>
      </w:r>
      <w:r w:rsidR="000F4EF8" w:rsidRPr="00A16D62">
        <w:rPr>
          <w:rFonts w:ascii="Cambria" w:eastAsia="Times New Roman" w:hAnsi="Cambria"/>
          <w:bCs/>
          <w:sz w:val="20"/>
          <w:szCs w:val="20"/>
          <w:bdr w:val="none" w:sz="0" w:space="0" w:color="auto"/>
          <w:lang w:val="es-ES"/>
        </w:rPr>
        <w:t>empleadores</w:t>
      </w:r>
      <w:r w:rsidR="00504910" w:rsidRPr="00A16D62">
        <w:rPr>
          <w:rFonts w:ascii="Cambria" w:eastAsia="Times New Roman" w:hAnsi="Cambria"/>
          <w:bCs/>
          <w:sz w:val="20"/>
          <w:szCs w:val="20"/>
          <w:bdr w:val="none" w:sz="0" w:space="0" w:color="auto"/>
          <w:lang w:val="es-ES"/>
        </w:rPr>
        <w:t xml:space="preserve"> </w:t>
      </w:r>
      <w:r w:rsidR="009F6891" w:rsidRPr="00A16D62">
        <w:rPr>
          <w:rFonts w:ascii="Cambria" w:eastAsia="Times New Roman" w:hAnsi="Cambria"/>
          <w:bCs/>
          <w:sz w:val="20"/>
          <w:szCs w:val="20"/>
          <w:bdr w:val="none" w:sz="0" w:space="0" w:color="auto"/>
          <w:lang w:val="es-ES"/>
        </w:rPr>
        <w:t xml:space="preserve">a revelar la </w:t>
      </w:r>
      <w:r w:rsidR="00521A6A" w:rsidRPr="00A16D62">
        <w:rPr>
          <w:rFonts w:ascii="Cambria" w:eastAsia="Times New Roman" w:hAnsi="Cambria"/>
          <w:bCs/>
          <w:sz w:val="20"/>
          <w:szCs w:val="20"/>
          <w:bdr w:val="none" w:sz="0" w:space="0" w:color="auto"/>
          <w:lang w:val="es-ES"/>
        </w:rPr>
        <w:t>situación migratoria</w:t>
      </w:r>
      <w:r w:rsidR="009F6891" w:rsidRPr="00A16D62">
        <w:rPr>
          <w:rFonts w:ascii="Cambria" w:eastAsia="Times New Roman" w:hAnsi="Cambria"/>
          <w:bCs/>
          <w:sz w:val="20"/>
          <w:szCs w:val="20"/>
          <w:bdr w:val="none" w:sz="0" w:space="0" w:color="auto"/>
          <w:lang w:val="es-ES"/>
        </w:rPr>
        <w:t xml:space="preserve"> de los trabajadores</w:t>
      </w:r>
      <w:r w:rsidR="00504910" w:rsidRPr="00A16D62">
        <w:rPr>
          <w:rFonts w:ascii="Cambria" w:eastAsia="Times New Roman" w:hAnsi="Cambria"/>
          <w:bCs/>
          <w:sz w:val="20"/>
          <w:szCs w:val="20"/>
          <w:bdr w:val="none" w:sz="0" w:space="0" w:color="auto"/>
          <w:lang w:val="es-ES"/>
        </w:rPr>
        <w:t xml:space="preserve"> </w:t>
      </w:r>
      <w:r w:rsidR="009F6891" w:rsidRPr="00A16D62">
        <w:rPr>
          <w:rFonts w:ascii="Cambria" w:eastAsia="Times New Roman" w:hAnsi="Cambria"/>
          <w:bCs/>
          <w:sz w:val="20"/>
          <w:szCs w:val="20"/>
          <w:bdr w:val="none" w:sz="0" w:space="0" w:color="auto"/>
          <w:lang w:val="es-ES"/>
        </w:rPr>
        <w:t>y a alegar que no tienen derecho a recibir i</w:t>
      </w:r>
      <w:r w:rsidR="007B4310" w:rsidRPr="00A16D62">
        <w:rPr>
          <w:rFonts w:ascii="Cambria" w:eastAsia="Times New Roman" w:hAnsi="Cambria"/>
          <w:bCs/>
          <w:sz w:val="20"/>
          <w:szCs w:val="20"/>
          <w:bdr w:val="none" w:sz="0" w:space="0" w:color="auto"/>
          <w:lang w:val="es-ES"/>
        </w:rPr>
        <w:t>ndemnización por accidentes de trabajo</w:t>
      </w:r>
      <w:r w:rsidR="00504910" w:rsidRPr="00A16D62">
        <w:rPr>
          <w:rFonts w:ascii="Cambria" w:eastAsia="Times New Roman" w:hAnsi="Cambria"/>
          <w:bCs/>
          <w:sz w:val="20"/>
          <w:szCs w:val="20"/>
          <w:bdr w:val="none" w:sz="0" w:space="0" w:color="auto"/>
          <w:lang w:val="es-ES"/>
        </w:rPr>
        <w:t xml:space="preserve"> </w:t>
      </w:r>
      <w:r w:rsidR="009F6891" w:rsidRPr="00A16D62">
        <w:rPr>
          <w:rFonts w:ascii="Cambria" w:eastAsia="Times New Roman" w:hAnsi="Cambria"/>
          <w:bCs/>
          <w:sz w:val="20"/>
          <w:szCs w:val="20"/>
          <w:bdr w:val="none" w:sz="0" w:space="0" w:color="auto"/>
          <w:lang w:val="es-ES"/>
        </w:rPr>
        <w:t xml:space="preserve">debido a su </w:t>
      </w:r>
      <w:r w:rsidR="00521A6A" w:rsidRPr="00A16D62">
        <w:rPr>
          <w:rFonts w:ascii="Cambria" w:eastAsia="Times New Roman" w:hAnsi="Cambria"/>
          <w:bCs/>
          <w:sz w:val="20"/>
          <w:szCs w:val="20"/>
          <w:bdr w:val="none" w:sz="0" w:space="0" w:color="auto"/>
          <w:lang w:val="es-ES"/>
        </w:rPr>
        <w:t>situación migratoria</w:t>
      </w:r>
      <w:r w:rsidR="00504910" w:rsidRPr="00A16D62">
        <w:rPr>
          <w:rStyle w:val="FootnoteReference"/>
          <w:rFonts w:ascii="Cambria" w:eastAsia="Times New Roman" w:hAnsi="Cambria"/>
          <w:bCs/>
          <w:sz w:val="20"/>
          <w:szCs w:val="20"/>
          <w:bdr w:val="none" w:sz="0" w:space="0" w:color="auto"/>
          <w:lang w:val="es-ES"/>
        </w:rPr>
        <w:footnoteReference w:id="17"/>
      </w:r>
      <w:r w:rsidR="009F6891" w:rsidRPr="00A16D62">
        <w:rPr>
          <w:rFonts w:ascii="Cambria" w:eastAsia="Times New Roman" w:hAnsi="Cambria"/>
          <w:bCs/>
          <w:sz w:val="20"/>
          <w:szCs w:val="20"/>
          <w:bdr w:val="none" w:sz="0" w:space="0" w:color="auto"/>
          <w:lang w:val="es-ES"/>
        </w:rPr>
        <w:t>. Cabe destacar que l</w:t>
      </w:r>
      <w:r w:rsidR="009A5408" w:rsidRPr="00A16D62">
        <w:rPr>
          <w:rFonts w:ascii="Cambria" w:eastAsia="Times New Roman" w:hAnsi="Cambria"/>
          <w:bCs/>
          <w:sz w:val="20"/>
          <w:szCs w:val="20"/>
          <w:bdr w:val="none" w:sz="0" w:space="0" w:color="auto"/>
          <w:lang w:val="es-ES"/>
        </w:rPr>
        <w:t>os peticionarios</w:t>
      </w:r>
      <w:r w:rsidR="00504910" w:rsidRPr="00A16D62">
        <w:rPr>
          <w:rFonts w:ascii="Cambria" w:eastAsia="Times New Roman" w:hAnsi="Cambria"/>
          <w:bCs/>
          <w:sz w:val="20"/>
          <w:szCs w:val="20"/>
          <w:bdr w:val="none" w:sz="0" w:space="0" w:color="auto"/>
          <w:lang w:val="es-ES"/>
        </w:rPr>
        <w:t xml:space="preserve"> </w:t>
      </w:r>
      <w:r w:rsidR="009F6891" w:rsidRPr="00A16D62">
        <w:rPr>
          <w:rFonts w:ascii="Cambria" w:eastAsia="Times New Roman" w:hAnsi="Cambria"/>
          <w:bCs/>
          <w:sz w:val="20"/>
          <w:szCs w:val="20"/>
          <w:bdr w:val="none" w:sz="0" w:space="0" w:color="auto"/>
          <w:lang w:val="es-ES"/>
        </w:rPr>
        <w:t xml:space="preserve">afirman que </w:t>
      </w:r>
      <w:r w:rsidR="00504910" w:rsidRPr="00A16D62">
        <w:rPr>
          <w:rFonts w:ascii="Cambria" w:eastAsia="Times New Roman" w:hAnsi="Cambria"/>
          <w:bCs/>
          <w:sz w:val="20"/>
          <w:szCs w:val="20"/>
          <w:bdr w:val="none" w:sz="0" w:space="0" w:color="auto"/>
          <w:lang w:val="es-ES"/>
        </w:rPr>
        <w:t>“</w:t>
      </w:r>
      <w:r w:rsidR="009F6891" w:rsidRPr="00A16D62">
        <w:rPr>
          <w:rFonts w:ascii="Cambria" w:eastAsia="Times New Roman" w:hAnsi="Cambria"/>
          <w:bCs/>
          <w:sz w:val="20"/>
          <w:szCs w:val="20"/>
          <w:bdr w:val="none" w:sz="0" w:space="0" w:color="auto"/>
          <w:lang w:val="es-ES"/>
        </w:rPr>
        <w:t xml:space="preserve">la incertidumbre del resultado ha obligado a </w:t>
      </w:r>
      <w:r w:rsidR="00C038BF" w:rsidRPr="00A16D62">
        <w:rPr>
          <w:rFonts w:ascii="Cambria" w:eastAsia="Times New Roman" w:hAnsi="Cambria"/>
          <w:bCs/>
          <w:sz w:val="20"/>
          <w:szCs w:val="20"/>
          <w:bdr w:val="none" w:sz="0" w:space="0" w:color="auto"/>
          <w:lang w:val="es-ES"/>
        </w:rPr>
        <w:t>trabajadores indocumentados</w:t>
      </w:r>
      <w:r w:rsidR="00504910" w:rsidRPr="00A16D62">
        <w:rPr>
          <w:rFonts w:ascii="Cambria" w:eastAsia="Times New Roman" w:hAnsi="Cambria"/>
          <w:bCs/>
          <w:sz w:val="20"/>
          <w:szCs w:val="20"/>
          <w:bdr w:val="none" w:sz="0" w:space="0" w:color="auto"/>
          <w:lang w:val="es-ES"/>
        </w:rPr>
        <w:t xml:space="preserve"> </w:t>
      </w:r>
      <w:r w:rsidR="009F6891" w:rsidRPr="00A16D62">
        <w:rPr>
          <w:rFonts w:ascii="Cambria" w:eastAsia="Times New Roman" w:hAnsi="Cambria"/>
          <w:bCs/>
          <w:sz w:val="20"/>
          <w:szCs w:val="20"/>
          <w:bdr w:val="none" w:sz="0" w:space="0" w:color="auto"/>
          <w:lang w:val="es-ES"/>
        </w:rPr>
        <w:t xml:space="preserve">a litigar una y otra vez </w:t>
      </w:r>
      <w:r w:rsidR="00C1552B">
        <w:rPr>
          <w:rFonts w:ascii="Cambria" w:eastAsia="Times New Roman" w:hAnsi="Cambria"/>
          <w:bCs/>
          <w:sz w:val="20"/>
          <w:szCs w:val="20"/>
          <w:bdr w:val="none" w:sz="0" w:space="0" w:color="auto"/>
          <w:lang w:val="es-ES"/>
        </w:rPr>
        <w:t xml:space="preserve">en relación con </w:t>
      </w:r>
      <w:r w:rsidR="009F6891" w:rsidRPr="00A16D62">
        <w:rPr>
          <w:rFonts w:ascii="Cambria" w:eastAsia="Times New Roman" w:hAnsi="Cambria"/>
          <w:bCs/>
          <w:sz w:val="20"/>
          <w:szCs w:val="20"/>
          <w:bdr w:val="none" w:sz="0" w:space="0" w:color="auto"/>
          <w:lang w:val="es-ES"/>
        </w:rPr>
        <w:t>recursos que supuestamente estaban garantizados según las circunstancias del caso y en diversos contextos, con resultados mixtos</w:t>
      </w:r>
      <w:r w:rsidR="00504910" w:rsidRPr="00A16D62">
        <w:rPr>
          <w:rFonts w:ascii="Cambria" w:eastAsia="Times New Roman" w:hAnsi="Cambria"/>
          <w:bCs/>
          <w:sz w:val="20"/>
          <w:szCs w:val="20"/>
          <w:bdr w:val="none" w:sz="0" w:space="0" w:color="auto"/>
          <w:lang w:val="es-ES"/>
        </w:rPr>
        <w:t>”</w:t>
      </w:r>
      <w:r w:rsidR="00BC0AB7" w:rsidRPr="00A16D62">
        <w:rPr>
          <w:rStyle w:val="FootnoteReference"/>
          <w:rFonts w:ascii="Cambria" w:eastAsia="Times New Roman" w:hAnsi="Cambria"/>
          <w:bCs/>
          <w:sz w:val="20"/>
          <w:szCs w:val="20"/>
          <w:bdr w:val="none" w:sz="0" w:space="0" w:color="auto"/>
          <w:lang w:val="es-ES"/>
        </w:rPr>
        <w:footnoteReference w:id="18"/>
      </w:r>
      <w:r w:rsidR="009F6891" w:rsidRPr="00A16D62">
        <w:rPr>
          <w:rFonts w:ascii="Cambria" w:eastAsia="Times New Roman" w:hAnsi="Cambria"/>
          <w:bCs/>
          <w:sz w:val="20"/>
          <w:szCs w:val="20"/>
          <w:bdr w:val="none" w:sz="0" w:space="0" w:color="auto"/>
          <w:lang w:val="es-ES"/>
        </w:rPr>
        <w:t>.</w:t>
      </w:r>
      <w:r w:rsidR="00504910" w:rsidRPr="00A16D62">
        <w:rPr>
          <w:rFonts w:ascii="Cambria" w:eastAsia="Times New Roman" w:hAnsi="Cambria"/>
          <w:bCs/>
          <w:sz w:val="20"/>
          <w:szCs w:val="20"/>
          <w:bdr w:val="none" w:sz="0" w:space="0" w:color="auto"/>
          <w:lang w:val="es-ES"/>
        </w:rPr>
        <w:t xml:space="preserve"> </w:t>
      </w:r>
      <w:r w:rsidR="00902D36" w:rsidRPr="00A16D62">
        <w:rPr>
          <w:rFonts w:ascii="Cambria" w:eastAsia="Times New Roman" w:hAnsi="Cambria"/>
          <w:bCs/>
          <w:sz w:val="20"/>
          <w:szCs w:val="20"/>
          <w:bdr w:val="none" w:sz="0" w:space="0" w:color="auto"/>
          <w:lang w:val="es-ES"/>
        </w:rPr>
        <w:t>Según</w:t>
      </w:r>
      <w:r w:rsidR="00504910"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los peticionarios</w:t>
      </w:r>
      <w:r w:rsidR="00504910" w:rsidRPr="00A16D62">
        <w:rPr>
          <w:rFonts w:ascii="Cambria" w:eastAsia="Times New Roman" w:hAnsi="Cambria"/>
          <w:bCs/>
          <w:sz w:val="20"/>
          <w:szCs w:val="20"/>
          <w:bdr w:val="none" w:sz="0" w:space="0" w:color="auto"/>
          <w:lang w:val="es-ES"/>
        </w:rPr>
        <w:t xml:space="preserve">, </w:t>
      </w:r>
      <w:r w:rsidR="009F6891" w:rsidRPr="00A16D62">
        <w:rPr>
          <w:rFonts w:ascii="Cambria" w:eastAsia="Times New Roman" w:hAnsi="Cambria"/>
          <w:bCs/>
          <w:sz w:val="20"/>
          <w:szCs w:val="20"/>
          <w:bdr w:val="none" w:sz="0" w:space="0" w:color="auto"/>
          <w:lang w:val="es-ES"/>
        </w:rPr>
        <w:t xml:space="preserve">estos litigios y resultados mixtos amenazan los derechos de los </w:t>
      </w:r>
      <w:r w:rsidR="00C038BF" w:rsidRPr="00A16D62">
        <w:rPr>
          <w:rFonts w:ascii="Cambria" w:eastAsia="Times New Roman" w:hAnsi="Cambria"/>
          <w:bCs/>
          <w:sz w:val="20"/>
          <w:szCs w:val="20"/>
          <w:bdr w:val="none" w:sz="0" w:space="0" w:color="auto"/>
          <w:lang w:val="es-ES"/>
        </w:rPr>
        <w:t>trabajadores indocumentados</w:t>
      </w:r>
      <w:r w:rsidR="009F6891" w:rsidRPr="00A16D62">
        <w:rPr>
          <w:rFonts w:ascii="Cambria" w:eastAsia="Times New Roman" w:hAnsi="Cambria"/>
          <w:bCs/>
          <w:sz w:val="20"/>
          <w:szCs w:val="20"/>
          <w:bdr w:val="none" w:sz="0" w:space="0" w:color="auto"/>
          <w:lang w:val="es-ES"/>
        </w:rPr>
        <w:t xml:space="preserve"> y al mismo tiempo los disuaden de hacer valer sus derechos</w:t>
      </w:r>
      <w:r w:rsidR="00504910" w:rsidRPr="00A16D62">
        <w:rPr>
          <w:rFonts w:ascii="Cambria" w:eastAsia="Times New Roman" w:hAnsi="Cambria"/>
          <w:bCs/>
          <w:sz w:val="20"/>
          <w:szCs w:val="20"/>
          <w:bdr w:val="none" w:sz="0" w:space="0" w:color="auto"/>
          <w:lang w:val="es-ES"/>
        </w:rPr>
        <w:t xml:space="preserve">. </w:t>
      </w:r>
    </w:p>
    <w:p w:rsidR="004B725C" w:rsidRPr="00A16D62" w:rsidRDefault="004B725C" w:rsidP="004B725C">
      <w:pPr>
        <w:pStyle w:val="ListParagraph"/>
        <w:rPr>
          <w:rFonts w:eastAsia="Times New Roman"/>
          <w:bCs/>
          <w:sz w:val="20"/>
          <w:szCs w:val="20"/>
          <w:bdr w:val="none" w:sz="0" w:space="0" w:color="auto"/>
          <w:lang w:val="es-ES"/>
        </w:rPr>
      </w:pPr>
    </w:p>
    <w:p w:rsidR="00354259" w:rsidRPr="00A16D62" w:rsidRDefault="0018012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Los peticionarios</w:t>
      </w:r>
      <w:r w:rsidR="00817956" w:rsidRPr="00A16D62">
        <w:rPr>
          <w:rFonts w:ascii="Cambria" w:eastAsia="Times New Roman" w:hAnsi="Cambria"/>
          <w:bCs/>
          <w:sz w:val="20"/>
          <w:szCs w:val="20"/>
          <w:bdr w:val="none" w:sz="0" w:space="0" w:color="auto"/>
          <w:lang w:val="es-ES"/>
        </w:rPr>
        <w:t xml:space="preserve"> conclu</w:t>
      </w:r>
      <w:r w:rsidR="009F6891" w:rsidRPr="00A16D62">
        <w:rPr>
          <w:rFonts w:ascii="Cambria" w:eastAsia="Times New Roman" w:hAnsi="Cambria"/>
          <w:bCs/>
          <w:sz w:val="20"/>
          <w:szCs w:val="20"/>
          <w:bdr w:val="none" w:sz="0" w:space="0" w:color="auto"/>
          <w:lang w:val="es-ES"/>
        </w:rPr>
        <w:t>yen que, como resultado de lo que antecede</w:t>
      </w:r>
      <w:r w:rsidR="00B84C23" w:rsidRPr="00A16D62">
        <w:rPr>
          <w:rFonts w:ascii="Cambria" w:eastAsia="Times New Roman" w:hAnsi="Cambria"/>
          <w:bCs/>
          <w:sz w:val="20"/>
          <w:szCs w:val="20"/>
          <w:bdr w:val="none" w:sz="0" w:space="0" w:color="auto"/>
          <w:lang w:val="es-ES"/>
        </w:rPr>
        <w:t xml:space="preserve">, </w:t>
      </w:r>
      <w:r w:rsidR="007E4498" w:rsidRPr="00A16D62">
        <w:rPr>
          <w:rFonts w:ascii="Cambria" w:eastAsia="Times New Roman" w:hAnsi="Cambria"/>
          <w:bCs/>
          <w:sz w:val="20"/>
          <w:szCs w:val="20"/>
          <w:bdr w:val="none" w:sz="0" w:space="0" w:color="auto"/>
          <w:lang w:val="es-ES"/>
        </w:rPr>
        <w:t>Estados Unidos</w:t>
      </w:r>
      <w:r w:rsidR="00B84C23" w:rsidRPr="00A16D62">
        <w:rPr>
          <w:rFonts w:ascii="Cambria" w:eastAsia="Times New Roman" w:hAnsi="Cambria"/>
          <w:bCs/>
          <w:sz w:val="20"/>
          <w:szCs w:val="20"/>
          <w:bdr w:val="none" w:sz="0" w:space="0" w:color="auto"/>
          <w:lang w:val="es-ES"/>
        </w:rPr>
        <w:t xml:space="preserve"> </w:t>
      </w:r>
      <w:r w:rsidR="009F6891" w:rsidRPr="00A16D62">
        <w:rPr>
          <w:rFonts w:ascii="Cambria" w:eastAsia="Times New Roman" w:hAnsi="Cambria"/>
          <w:bCs/>
          <w:sz w:val="20"/>
          <w:szCs w:val="20"/>
          <w:bdr w:val="none" w:sz="0" w:space="0" w:color="auto"/>
          <w:lang w:val="es-ES"/>
        </w:rPr>
        <w:t xml:space="preserve">no ha cumplido su obligación positiva de asegurar que </w:t>
      </w:r>
      <w:r w:rsidR="00BC30ED" w:rsidRPr="00A16D62">
        <w:rPr>
          <w:rFonts w:ascii="Cambria" w:eastAsia="Times New Roman" w:hAnsi="Cambria"/>
          <w:bCs/>
          <w:sz w:val="20"/>
          <w:szCs w:val="20"/>
          <w:bdr w:val="none" w:sz="0" w:space="0" w:color="auto"/>
          <w:lang w:val="es-ES"/>
        </w:rPr>
        <w:t xml:space="preserve">los señores </w:t>
      </w:r>
      <w:r w:rsidR="00817956" w:rsidRPr="00A16D62">
        <w:rPr>
          <w:rFonts w:ascii="Cambria" w:eastAsia="Times New Roman" w:hAnsi="Cambria"/>
          <w:bCs/>
          <w:sz w:val="20"/>
          <w:szCs w:val="20"/>
          <w:bdr w:val="none" w:sz="0" w:space="0" w:color="auto"/>
          <w:lang w:val="es-ES"/>
        </w:rPr>
        <w:t xml:space="preserve">Zumaya </w:t>
      </w:r>
      <w:r w:rsidR="00BC30ED" w:rsidRPr="00A16D62">
        <w:rPr>
          <w:rFonts w:ascii="Cambria" w:eastAsia="Times New Roman" w:hAnsi="Cambria"/>
          <w:bCs/>
          <w:sz w:val="20"/>
          <w:szCs w:val="20"/>
          <w:bdr w:val="none" w:sz="0" w:space="0" w:color="auto"/>
          <w:lang w:val="es-ES"/>
        </w:rPr>
        <w:t xml:space="preserve">y </w:t>
      </w:r>
      <w:r w:rsidR="00817956" w:rsidRPr="00A16D62">
        <w:rPr>
          <w:rFonts w:ascii="Cambria" w:eastAsia="Times New Roman" w:hAnsi="Cambria"/>
          <w:bCs/>
          <w:sz w:val="20"/>
          <w:szCs w:val="20"/>
          <w:bdr w:val="none" w:sz="0" w:space="0" w:color="auto"/>
          <w:lang w:val="es-ES"/>
        </w:rPr>
        <w:t xml:space="preserve">Lizalde </w:t>
      </w:r>
      <w:r w:rsidR="00BC30ED" w:rsidRPr="00A16D62">
        <w:rPr>
          <w:rFonts w:ascii="Cambria" w:eastAsia="Times New Roman" w:hAnsi="Cambria"/>
          <w:bCs/>
          <w:sz w:val="20"/>
          <w:szCs w:val="20"/>
          <w:bdr w:val="none" w:sz="0" w:space="0" w:color="auto"/>
          <w:lang w:val="es-ES"/>
        </w:rPr>
        <w:t xml:space="preserve">no fuesen víctimas de discriminación al ejercer sus </w:t>
      </w:r>
      <w:r w:rsidR="00593BF9" w:rsidRPr="00A16D62">
        <w:rPr>
          <w:rFonts w:ascii="Cambria" w:eastAsia="Times New Roman" w:hAnsi="Cambria"/>
          <w:bCs/>
          <w:sz w:val="20"/>
          <w:szCs w:val="20"/>
          <w:bdr w:val="none" w:sz="0" w:space="0" w:color="auto"/>
          <w:lang w:val="es-ES"/>
        </w:rPr>
        <w:t>derechos laborales</w:t>
      </w:r>
      <w:r w:rsidR="00504910" w:rsidRPr="00A16D62">
        <w:rPr>
          <w:rFonts w:ascii="Cambria" w:eastAsia="Times New Roman" w:hAnsi="Cambria"/>
          <w:bCs/>
          <w:sz w:val="20"/>
          <w:szCs w:val="20"/>
          <w:bdr w:val="none" w:sz="0" w:space="0" w:color="auto"/>
          <w:lang w:val="es-ES"/>
        </w:rPr>
        <w:t xml:space="preserve"> </w:t>
      </w:r>
      <w:r w:rsidR="00BC30ED" w:rsidRPr="00A16D62">
        <w:rPr>
          <w:rFonts w:ascii="Cambria" w:eastAsia="Times New Roman" w:hAnsi="Cambria"/>
          <w:bCs/>
          <w:sz w:val="20"/>
          <w:szCs w:val="20"/>
          <w:bdr w:val="none" w:sz="0" w:space="0" w:color="auto"/>
          <w:lang w:val="es-ES"/>
        </w:rPr>
        <w:t xml:space="preserve">y que tuvieran acceso efectivo a la justicia. Por consiguiente, </w:t>
      </w:r>
      <w:r w:rsidR="00902D36" w:rsidRPr="00A16D62">
        <w:rPr>
          <w:rFonts w:ascii="Cambria" w:eastAsia="Times New Roman" w:hAnsi="Cambria"/>
          <w:bCs/>
          <w:sz w:val="20"/>
          <w:szCs w:val="20"/>
          <w:bdr w:val="none" w:sz="0" w:space="0" w:color="auto"/>
          <w:lang w:val="es-ES"/>
        </w:rPr>
        <w:t>según</w:t>
      </w:r>
      <w:r w:rsidR="00817956"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los peticionarios</w:t>
      </w:r>
      <w:r w:rsidR="00817956"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el Estado</w:t>
      </w:r>
      <w:r w:rsidR="00B84C23" w:rsidRPr="00A16D62">
        <w:rPr>
          <w:rFonts w:ascii="Cambria" w:eastAsia="Times New Roman" w:hAnsi="Cambria"/>
          <w:bCs/>
          <w:sz w:val="20"/>
          <w:szCs w:val="20"/>
          <w:bdr w:val="none" w:sz="0" w:space="0" w:color="auto"/>
          <w:lang w:val="es-ES"/>
        </w:rPr>
        <w:t xml:space="preserve"> ha</w:t>
      </w:r>
      <w:r w:rsidR="00BC30ED" w:rsidRPr="00A16D62">
        <w:rPr>
          <w:rFonts w:ascii="Cambria" w:eastAsia="Times New Roman" w:hAnsi="Cambria"/>
          <w:bCs/>
          <w:sz w:val="20"/>
          <w:szCs w:val="20"/>
          <w:bdr w:val="none" w:sz="0" w:space="0" w:color="auto"/>
          <w:lang w:val="es-ES"/>
        </w:rPr>
        <w:t xml:space="preserve"> violado los derechos de las presuntas víctimas a la igualdad ante la ley,</w:t>
      </w:r>
      <w:r w:rsidR="00B84C23" w:rsidRPr="00A16D62">
        <w:rPr>
          <w:rFonts w:ascii="Cambria" w:eastAsia="Times New Roman" w:hAnsi="Cambria"/>
          <w:bCs/>
          <w:sz w:val="20"/>
          <w:szCs w:val="20"/>
          <w:bdr w:val="none" w:sz="0" w:space="0" w:color="auto"/>
          <w:lang w:val="es-ES"/>
        </w:rPr>
        <w:t xml:space="preserve"> </w:t>
      </w:r>
      <w:r w:rsidR="00BC30ED" w:rsidRPr="00A16D62">
        <w:rPr>
          <w:rFonts w:ascii="Cambria" w:eastAsia="Times New Roman" w:hAnsi="Cambria"/>
          <w:bCs/>
          <w:sz w:val="20"/>
          <w:szCs w:val="20"/>
          <w:bdr w:val="none" w:sz="0" w:space="0" w:color="auto"/>
          <w:lang w:val="es-ES"/>
        </w:rPr>
        <w:t>el derecho de reconocimiento de la personalidad jurídica y de los derechos civiles</w:t>
      </w:r>
      <w:r w:rsidR="00BC0AB7" w:rsidRPr="00A16D62">
        <w:rPr>
          <w:rFonts w:ascii="Cambria" w:eastAsia="Times New Roman" w:hAnsi="Cambria"/>
          <w:bCs/>
          <w:sz w:val="20"/>
          <w:szCs w:val="20"/>
          <w:bdr w:val="none" w:sz="0" w:space="0" w:color="auto"/>
          <w:lang w:val="es-ES"/>
        </w:rPr>
        <w:t xml:space="preserve">, </w:t>
      </w:r>
      <w:r w:rsidR="00BC30ED" w:rsidRPr="00A16D62">
        <w:rPr>
          <w:rFonts w:ascii="Cambria" w:eastAsia="Times New Roman" w:hAnsi="Cambria"/>
          <w:bCs/>
          <w:sz w:val="20"/>
          <w:szCs w:val="20"/>
          <w:bdr w:val="none" w:sz="0" w:space="0" w:color="auto"/>
          <w:lang w:val="es-ES"/>
        </w:rPr>
        <w:t>y el derecho de justicia</w:t>
      </w:r>
      <w:r w:rsidR="00BC0AB7" w:rsidRPr="00A16D62">
        <w:rPr>
          <w:rFonts w:ascii="Cambria" w:eastAsia="Times New Roman" w:hAnsi="Cambria"/>
          <w:bCs/>
          <w:sz w:val="20"/>
          <w:szCs w:val="20"/>
          <w:bdr w:val="none" w:sz="0" w:space="0" w:color="auto"/>
          <w:lang w:val="es-ES"/>
        </w:rPr>
        <w:t xml:space="preserve">, </w:t>
      </w:r>
      <w:r w:rsidR="00BC30ED" w:rsidRPr="00A16D62">
        <w:rPr>
          <w:rFonts w:ascii="Cambria" w:eastAsia="Times New Roman" w:hAnsi="Cambria"/>
          <w:bCs/>
          <w:sz w:val="20"/>
          <w:szCs w:val="20"/>
          <w:bdr w:val="none" w:sz="0" w:space="0" w:color="auto"/>
          <w:lang w:val="es-ES"/>
        </w:rPr>
        <w:t xml:space="preserve">enunciados en los </w:t>
      </w:r>
      <w:r w:rsidR="00811F92" w:rsidRPr="00A16D62">
        <w:rPr>
          <w:rFonts w:ascii="Cambria" w:eastAsia="Times New Roman" w:hAnsi="Cambria"/>
          <w:bCs/>
          <w:sz w:val="20"/>
          <w:szCs w:val="20"/>
          <w:bdr w:val="none" w:sz="0" w:space="0" w:color="auto"/>
          <w:lang w:val="es-ES"/>
        </w:rPr>
        <w:t>artículo</w:t>
      </w:r>
      <w:r w:rsidR="00B84C23" w:rsidRPr="00A16D62">
        <w:rPr>
          <w:rFonts w:ascii="Cambria" w:eastAsia="Times New Roman" w:hAnsi="Cambria"/>
          <w:bCs/>
          <w:sz w:val="20"/>
          <w:szCs w:val="20"/>
          <w:bdr w:val="none" w:sz="0" w:space="0" w:color="auto"/>
          <w:lang w:val="es-ES"/>
        </w:rPr>
        <w:t>s II</w:t>
      </w:r>
      <w:r w:rsidR="00ED3FB8" w:rsidRPr="00A16D62">
        <w:rPr>
          <w:rFonts w:ascii="Cambria" w:eastAsia="Times New Roman" w:hAnsi="Cambria"/>
          <w:bCs/>
          <w:sz w:val="20"/>
          <w:szCs w:val="20"/>
          <w:bdr w:val="none" w:sz="0" w:space="0" w:color="auto"/>
          <w:lang w:val="es-ES"/>
        </w:rPr>
        <w:t>, XVII</w:t>
      </w:r>
      <w:r w:rsidR="00BC30ED" w:rsidRPr="00A16D62">
        <w:rPr>
          <w:rFonts w:ascii="Cambria" w:eastAsia="Times New Roman" w:hAnsi="Cambria"/>
          <w:bCs/>
          <w:sz w:val="20"/>
          <w:szCs w:val="20"/>
          <w:bdr w:val="none" w:sz="0" w:space="0" w:color="auto"/>
          <w:lang w:val="es-ES"/>
        </w:rPr>
        <w:t xml:space="preserve"> y </w:t>
      </w:r>
      <w:r w:rsidR="00ED3FB8" w:rsidRPr="00A16D62">
        <w:rPr>
          <w:rFonts w:ascii="Cambria" w:eastAsia="Times New Roman" w:hAnsi="Cambria"/>
          <w:bCs/>
          <w:sz w:val="20"/>
          <w:szCs w:val="20"/>
          <w:bdr w:val="none" w:sz="0" w:space="0" w:color="auto"/>
          <w:lang w:val="es-ES"/>
        </w:rPr>
        <w:t>XVIII</w:t>
      </w:r>
      <w:r w:rsidR="00B84C23" w:rsidRPr="00A16D62">
        <w:rPr>
          <w:rFonts w:ascii="Cambria" w:eastAsia="Times New Roman" w:hAnsi="Cambria"/>
          <w:bCs/>
          <w:sz w:val="20"/>
          <w:szCs w:val="20"/>
          <w:bdr w:val="none" w:sz="0" w:space="0" w:color="auto"/>
          <w:lang w:val="es-ES"/>
        </w:rPr>
        <w:t xml:space="preserve"> </w:t>
      </w:r>
      <w:r w:rsidR="00BC30ED"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B84C23" w:rsidRPr="00A16D62">
        <w:rPr>
          <w:rFonts w:ascii="Cambria" w:eastAsia="Times New Roman" w:hAnsi="Cambria"/>
          <w:bCs/>
          <w:sz w:val="20"/>
          <w:szCs w:val="20"/>
          <w:bdr w:val="none" w:sz="0" w:space="0" w:color="auto"/>
          <w:lang w:val="es-ES"/>
        </w:rPr>
        <w:t xml:space="preserve">. </w:t>
      </w:r>
    </w:p>
    <w:p w:rsidR="004347D8" w:rsidRPr="00A16D62" w:rsidRDefault="004347D8" w:rsidP="004347D8">
      <w:pPr>
        <w:rPr>
          <w:lang w:val="es-ES"/>
        </w:rPr>
      </w:pPr>
    </w:p>
    <w:p w:rsidR="004347D8" w:rsidRPr="00A16D62" w:rsidRDefault="00180125" w:rsidP="00A76BB1">
      <w:pPr>
        <w:pStyle w:val="Heading2"/>
        <w:ind w:left="1440" w:hanging="720"/>
        <w:rPr>
          <w:lang w:val="es-ES"/>
        </w:rPr>
      </w:pPr>
      <w:bookmarkStart w:id="15" w:name="_Toc467138440"/>
      <w:r w:rsidRPr="00A16D62">
        <w:rPr>
          <w:lang w:val="es-ES"/>
        </w:rPr>
        <w:t>El Estado</w:t>
      </w:r>
      <w:bookmarkEnd w:id="15"/>
    </w:p>
    <w:p w:rsidR="00354259" w:rsidRPr="00A16D62" w:rsidRDefault="00354259" w:rsidP="00354259">
      <w:pPr>
        <w:rPr>
          <w:lang w:val="es-ES"/>
        </w:rPr>
      </w:pPr>
    </w:p>
    <w:p w:rsidR="00817956" w:rsidRPr="00A16D62" w:rsidRDefault="0018012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El Estado</w:t>
      </w:r>
      <w:r w:rsidR="00817956" w:rsidRPr="00A16D62">
        <w:rPr>
          <w:rFonts w:ascii="Cambria" w:eastAsia="Times New Roman" w:hAnsi="Cambria"/>
          <w:bCs/>
          <w:sz w:val="20"/>
          <w:szCs w:val="20"/>
          <w:bdr w:val="none" w:sz="0" w:space="0" w:color="auto"/>
          <w:lang w:val="es-ES"/>
        </w:rPr>
        <w:t xml:space="preserve"> </w:t>
      </w:r>
      <w:r w:rsidR="00372CDF" w:rsidRPr="00A16D62">
        <w:rPr>
          <w:rFonts w:ascii="Cambria" w:eastAsia="Times New Roman" w:hAnsi="Cambria"/>
          <w:bCs/>
          <w:sz w:val="20"/>
          <w:szCs w:val="20"/>
          <w:bdr w:val="none" w:sz="0" w:space="0" w:color="auto"/>
          <w:lang w:val="es-ES"/>
        </w:rPr>
        <w:t xml:space="preserve">no cuestiona las circunstancias del caso del </w:t>
      </w:r>
      <w:r w:rsidR="007F4530" w:rsidRPr="00A16D62">
        <w:rPr>
          <w:rFonts w:ascii="Cambria" w:eastAsia="Times New Roman" w:hAnsi="Cambria"/>
          <w:bCs/>
          <w:sz w:val="20"/>
          <w:szCs w:val="20"/>
          <w:bdr w:val="none" w:sz="0" w:space="0" w:color="auto"/>
          <w:lang w:val="es-ES"/>
        </w:rPr>
        <w:t>señor</w:t>
      </w:r>
      <w:r w:rsidR="00817956" w:rsidRPr="00A16D62">
        <w:rPr>
          <w:rFonts w:ascii="Cambria" w:eastAsia="Times New Roman" w:hAnsi="Cambria"/>
          <w:bCs/>
          <w:sz w:val="20"/>
          <w:szCs w:val="20"/>
          <w:bdr w:val="none" w:sz="0" w:space="0" w:color="auto"/>
          <w:lang w:val="es-ES"/>
        </w:rPr>
        <w:t xml:space="preserve"> Zumaya</w:t>
      </w:r>
      <w:r w:rsidR="00372CDF" w:rsidRPr="00A16D62">
        <w:rPr>
          <w:rFonts w:ascii="Cambria" w:eastAsia="Times New Roman" w:hAnsi="Cambria"/>
          <w:bCs/>
          <w:sz w:val="20"/>
          <w:szCs w:val="20"/>
          <w:bdr w:val="none" w:sz="0" w:space="0" w:color="auto"/>
          <w:lang w:val="es-ES"/>
        </w:rPr>
        <w:t xml:space="preserve"> o d</w:t>
      </w:r>
      <w:r w:rsidR="007F4530" w:rsidRPr="00A16D62">
        <w:rPr>
          <w:rFonts w:ascii="Cambria" w:eastAsia="Times New Roman" w:hAnsi="Cambria"/>
          <w:bCs/>
          <w:sz w:val="20"/>
          <w:szCs w:val="20"/>
          <w:bdr w:val="none" w:sz="0" w:space="0" w:color="auto"/>
          <w:lang w:val="es-ES"/>
        </w:rPr>
        <w:t>el señor</w:t>
      </w:r>
      <w:r w:rsidR="00973925" w:rsidRPr="00A16D62">
        <w:rPr>
          <w:rFonts w:ascii="Cambria" w:eastAsia="Times New Roman" w:hAnsi="Cambria"/>
          <w:bCs/>
          <w:sz w:val="20"/>
          <w:szCs w:val="20"/>
          <w:bdr w:val="none" w:sz="0" w:space="0" w:color="auto"/>
          <w:lang w:val="es-ES"/>
        </w:rPr>
        <w:t xml:space="preserve"> Lizalde</w:t>
      </w:r>
      <w:r w:rsidR="00372CDF" w:rsidRPr="00A16D62">
        <w:rPr>
          <w:rFonts w:ascii="Cambria" w:eastAsia="Times New Roman" w:hAnsi="Cambria"/>
          <w:bCs/>
          <w:sz w:val="20"/>
          <w:szCs w:val="20"/>
          <w:bdr w:val="none" w:sz="0" w:space="0" w:color="auto"/>
          <w:lang w:val="es-ES"/>
        </w:rPr>
        <w:t xml:space="preserve">. No obstante, pone en tela de juicio las afirmaciones de </w:t>
      </w:r>
      <w:r w:rsidRPr="00A16D62">
        <w:rPr>
          <w:rFonts w:ascii="Cambria" w:eastAsia="Times New Roman" w:hAnsi="Cambria"/>
          <w:bCs/>
          <w:sz w:val="20"/>
          <w:szCs w:val="20"/>
          <w:bdr w:val="none" w:sz="0" w:space="0" w:color="auto"/>
          <w:lang w:val="es-ES"/>
        </w:rPr>
        <w:t>los peticionarios</w:t>
      </w:r>
      <w:r w:rsidR="00372CDF" w:rsidRPr="00A16D62">
        <w:rPr>
          <w:rFonts w:ascii="Cambria" w:eastAsia="Times New Roman" w:hAnsi="Cambria"/>
          <w:bCs/>
          <w:sz w:val="20"/>
          <w:szCs w:val="20"/>
          <w:bdr w:val="none" w:sz="0" w:space="0" w:color="auto"/>
          <w:lang w:val="es-ES"/>
        </w:rPr>
        <w:t xml:space="preserve"> relativas a la existencia de recursos y </w:t>
      </w:r>
      <w:r w:rsidR="00372CDF" w:rsidRPr="00A16D62">
        <w:rPr>
          <w:rFonts w:ascii="Cambria" w:eastAsia="Times New Roman" w:hAnsi="Cambria"/>
          <w:bCs/>
          <w:sz w:val="20"/>
          <w:szCs w:val="20"/>
          <w:bdr w:val="none" w:sz="0" w:space="0" w:color="auto"/>
          <w:lang w:val="es-ES"/>
        </w:rPr>
        <w:lastRenderedPageBreak/>
        <w:t xml:space="preserve">mantiene que en </w:t>
      </w:r>
      <w:r w:rsidR="00256794" w:rsidRPr="00A16D62">
        <w:rPr>
          <w:rFonts w:ascii="Cambria" w:eastAsia="Times New Roman" w:hAnsi="Cambria"/>
          <w:bCs/>
          <w:sz w:val="20"/>
          <w:szCs w:val="20"/>
          <w:bdr w:val="none" w:sz="0" w:space="0" w:color="auto"/>
          <w:lang w:val="es-ES"/>
        </w:rPr>
        <w:t>la petición</w:t>
      </w:r>
      <w:r w:rsidR="00D24B82" w:rsidRPr="00A16D62">
        <w:rPr>
          <w:rFonts w:ascii="Cambria" w:eastAsia="Times New Roman" w:hAnsi="Cambria"/>
          <w:bCs/>
          <w:sz w:val="20"/>
          <w:szCs w:val="20"/>
          <w:bdr w:val="none" w:sz="0" w:space="0" w:color="auto"/>
          <w:lang w:val="es-ES"/>
        </w:rPr>
        <w:t xml:space="preserve"> </w:t>
      </w:r>
      <w:r w:rsidR="00372CDF" w:rsidRPr="00A16D62">
        <w:rPr>
          <w:rFonts w:ascii="Cambria" w:eastAsia="Times New Roman" w:hAnsi="Cambria"/>
          <w:bCs/>
          <w:sz w:val="20"/>
          <w:szCs w:val="20"/>
          <w:bdr w:val="none" w:sz="0" w:space="0" w:color="auto"/>
          <w:lang w:val="es-ES"/>
        </w:rPr>
        <w:t>no se describen violaciones de</w:t>
      </w:r>
      <w:r w:rsidR="00D24B82" w:rsidRPr="00A16D62">
        <w:rPr>
          <w:rFonts w:ascii="Cambria" w:eastAsia="Times New Roman" w:hAnsi="Cambria"/>
          <w:bCs/>
          <w:sz w:val="20"/>
          <w:szCs w:val="20"/>
          <w:bdr w:val="none" w:sz="0" w:space="0" w:color="auto"/>
          <w:lang w:val="es-ES"/>
        </w:rPr>
        <w:t xml:space="preserve"> </w:t>
      </w:r>
      <w:r w:rsidR="006F4DC1" w:rsidRPr="00A16D62">
        <w:rPr>
          <w:rFonts w:ascii="Cambria" w:eastAsia="Times New Roman" w:hAnsi="Cambria"/>
          <w:bCs/>
          <w:sz w:val="20"/>
          <w:szCs w:val="20"/>
          <w:bdr w:val="none" w:sz="0" w:space="0" w:color="auto"/>
          <w:lang w:val="es-ES"/>
        </w:rPr>
        <w:t>derechos humanos</w:t>
      </w:r>
      <w:r w:rsidR="00372CDF" w:rsidRPr="00A16D62">
        <w:rPr>
          <w:rFonts w:ascii="Cambria" w:eastAsia="Times New Roman" w:hAnsi="Cambria"/>
          <w:bCs/>
          <w:sz w:val="20"/>
          <w:szCs w:val="20"/>
          <w:bdr w:val="none" w:sz="0" w:space="0" w:color="auto"/>
          <w:lang w:val="es-ES"/>
        </w:rPr>
        <w:t>, como se explica con más pormenores a continuación.</w:t>
      </w:r>
    </w:p>
    <w:p w:rsidR="00817956" w:rsidRPr="00A16D62" w:rsidRDefault="00817956" w:rsidP="0081795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354259" w:rsidRPr="00A16D62" w:rsidRDefault="007E4498"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Estados Unidos</w:t>
      </w:r>
      <w:r w:rsidR="00B84C23" w:rsidRPr="00A16D62">
        <w:rPr>
          <w:rFonts w:ascii="Cambria" w:eastAsia="Times New Roman" w:hAnsi="Cambria"/>
          <w:bCs/>
          <w:sz w:val="20"/>
          <w:szCs w:val="20"/>
          <w:bdr w:val="none" w:sz="0" w:space="0" w:color="auto"/>
          <w:lang w:val="es-ES"/>
        </w:rPr>
        <w:t xml:space="preserve"> </w:t>
      </w:r>
      <w:r w:rsidR="00372CDF" w:rsidRPr="00A16D62">
        <w:rPr>
          <w:rFonts w:ascii="Cambria" w:eastAsia="Times New Roman" w:hAnsi="Cambria"/>
          <w:bCs/>
          <w:sz w:val="20"/>
          <w:szCs w:val="20"/>
          <w:bdr w:val="none" w:sz="0" w:space="0" w:color="auto"/>
          <w:lang w:val="es-ES"/>
        </w:rPr>
        <w:t>afirma que está plenamente comprometido con la protección de todos los</w:t>
      </w:r>
      <w:r w:rsidR="008D6586"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trabajadores</w:t>
      </w:r>
      <w:r w:rsidR="008D6586" w:rsidRPr="00A16D62">
        <w:rPr>
          <w:rFonts w:ascii="Cambria" w:eastAsia="Times New Roman" w:hAnsi="Cambria"/>
          <w:bCs/>
          <w:sz w:val="20"/>
          <w:szCs w:val="20"/>
          <w:bdr w:val="none" w:sz="0" w:space="0" w:color="auto"/>
          <w:lang w:val="es-ES"/>
        </w:rPr>
        <w:t>, inclu</w:t>
      </w:r>
      <w:r w:rsidR="00372CDF" w:rsidRPr="00A16D62">
        <w:rPr>
          <w:rFonts w:ascii="Cambria" w:eastAsia="Times New Roman" w:hAnsi="Cambria"/>
          <w:bCs/>
          <w:sz w:val="20"/>
          <w:szCs w:val="20"/>
          <w:bdr w:val="none" w:sz="0" w:space="0" w:color="auto"/>
          <w:lang w:val="es-ES"/>
        </w:rPr>
        <w:t>idos los indocumentados</w:t>
      </w:r>
      <w:r w:rsidR="008D6586"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681D81" w:rsidRPr="00A16D62">
        <w:rPr>
          <w:rFonts w:ascii="Cambria" w:eastAsia="Times New Roman" w:hAnsi="Cambria"/>
          <w:bCs/>
          <w:sz w:val="20"/>
          <w:szCs w:val="20"/>
          <w:bdr w:val="none" w:sz="0" w:space="0" w:color="auto"/>
          <w:lang w:val="es-ES"/>
        </w:rPr>
        <w:t xml:space="preserve"> </w:t>
      </w:r>
      <w:r w:rsidR="00973925" w:rsidRPr="00A16D62">
        <w:rPr>
          <w:rFonts w:ascii="Cambria" w:eastAsia="Times New Roman" w:hAnsi="Cambria"/>
          <w:bCs/>
          <w:sz w:val="20"/>
          <w:szCs w:val="20"/>
          <w:bdr w:val="none" w:sz="0" w:space="0" w:color="auto"/>
          <w:lang w:val="es-ES"/>
        </w:rPr>
        <w:t>deta</w:t>
      </w:r>
      <w:r w:rsidR="00347F51" w:rsidRPr="00A16D62">
        <w:rPr>
          <w:rFonts w:ascii="Cambria" w:eastAsia="Times New Roman" w:hAnsi="Cambria"/>
          <w:bCs/>
          <w:sz w:val="20"/>
          <w:szCs w:val="20"/>
          <w:bdr w:val="none" w:sz="0" w:space="0" w:color="auto"/>
          <w:lang w:val="es-ES"/>
        </w:rPr>
        <w:t>lla las medidas que toma por medio de diversos organismos</w:t>
      </w:r>
      <w:r w:rsidR="00681D81" w:rsidRPr="00A16D62">
        <w:rPr>
          <w:rFonts w:ascii="Cambria" w:eastAsia="Times New Roman" w:hAnsi="Cambria"/>
          <w:bCs/>
          <w:sz w:val="20"/>
          <w:szCs w:val="20"/>
          <w:bdr w:val="none" w:sz="0" w:space="0" w:color="auto"/>
          <w:lang w:val="es-ES"/>
        </w:rPr>
        <w:t>,</w:t>
      </w:r>
      <w:r w:rsidR="00817956" w:rsidRPr="00A16D62">
        <w:rPr>
          <w:rFonts w:ascii="Cambria" w:eastAsia="Times New Roman" w:hAnsi="Cambria"/>
          <w:bCs/>
          <w:sz w:val="20"/>
          <w:szCs w:val="20"/>
          <w:bdr w:val="none" w:sz="0" w:space="0" w:color="auto"/>
          <w:lang w:val="es-ES"/>
        </w:rPr>
        <w:t xml:space="preserve"> </w:t>
      </w:r>
      <w:r w:rsidR="00347F51" w:rsidRPr="00A16D62">
        <w:rPr>
          <w:rFonts w:ascii="Cambria" w:eastAsia="Times New Roman" w:hAnsi="Cambria"/>
          <w:bCs/>
          <w:sz w:val="20"/>
          <w:szCs w:val="20"/>
          <w:bdr w:val="none" w:sz="0" w:space="0" w:color="auto"/>
          <w:lang w:val="es-ES"/>
        </w:rPr>
        <w:t>las cuales se señalan a continuación</w:t>
      </w:r>
      <w:r w:rsidR="00817956" w:rsidRPr="00A16D62">
        <w:rPr>
          <w:rFonts w:ascii="Cambria" w:eastAsia="Times New Roman" w:hAnsi="Cambria"/>
          <w:bCs/>
          <w:sz w:val="20"/>
          <w:szCs w:val="20"/>
          <w:bdr w:val="none" w:sz="0" w:space="0" w:color="auto"/>
          <w:lang w:val="es-ES"/>
        </w:rPr>
        <w:t>,</w:t>
      </w:r>
      <w:r w:rsidR="00681D81" w:rsidRPr="00A16D62">
        <w:rPr>
          <w:rFonts w:ascii="Cambria" w:eastAsia="Times New Roman" w:hAnsi="Cambria"/>
          <w:bCs/>
          <w:sz w:val="20"/>
          <w:szCs w:val="20"/>
          <w:bdr w:val="none" w:sz="0" w:space="0" w:color="auto"/>
          <w:lang w:val="es-ES"/>
        </w:rPr>
        <w:t xml:space="preserve"> </w:t>
      </w:r>
      <w:r w:rsidR="00347F51" w:rsidRPr="00A16D62">
        <w:rPr>
          <w:rFonts w:ascii="Cambria" w:eastAsia="Times New Roman" w:hAnsi="Cambria"/>
          <w:bCs/>
          <w:sz w:val="20"/>
          <w:szCs w:val="20"/>
          <w:bdr w:val="none" w:sz="0" w:space="0" w:color="auto"/>
          <w:lang w:val="es-ES"/>
        </w:rPr>
        <w:t xml:space="preserve">para exigir el cumplimiento de las leyes laborales y de empleo por los </w:t>
      </w:r>
      <w:r w:rsidR="000F4EF8" w:rsidRPr="00A16D62">
        <w:rPr>
          <w:rFonts w:ascii="Cambria" w:eastAsia="Times New Roman" w:hAnsi="Cambria"/>
          <w:bCs/>
          <w:sz w:val="20"/>
          <w:szCs w:val="20"/>
          <w:bdr w:val="none" w:sz="0" w:space="0" w:color="auto"/>
          <w:lang w:val="es-ES"/>
        </w:rPr>
        <w:t>empleadores</w:t>
      </w:r>
      <w:r w:rsidR="00681D81" w:rsidRPr="00A16D62">
        <w:rPr>
          <w:rFonts w:ascii="Cambria" w:eastAsia="Times New Roman" w:hAnsi="Cambria"/>
          <w:bCs/>
          <w:sz w:val="20"/>
          <w:szCs w:val="20"/>
          <w:bdr w:val="none" w:sz="0" w:space="0" w:color="auto"/>
          <w:lang w:val="es-ES"/>
        </w:rPr>
        <w:t xml:space="preserve"> </w:t>
      </w:r>
      <w:r w:rsidR="00347F51" w:rsidRPr="00A16D62">
        <w:rPr>
          <w:rFonts w:ascii="Cambria" w:eastAsia="Times New Roman" w:hAnsi="Cambria"/>
          <w:bCs/>
          <w:sz w:val="20"/>
          <w:szCs w:val="20"/>
          <w:bdr w:val="none" w:sz="0" w:space="0" w:color="auto"/>
          <w:lang w:val="es-ES"/>
        </w:rPr>
        <w:t xml:space="preserve">que las infringen, independientemente de que las víctimas de tales infracciones estén presentes legalmente en </w:t>
      </w:r>
      <w:r w:rsidRPr="00A16D62">
        <w:rPr>
          <w:rFonts w:ascii="Cambria" w:eastAsia="Times New Roman" w:hAnsi="Cambria"/>
          <w:bCs/>
          <w:sz w:val="20"/>
          <w:szCs w:val="20"/>
          <w:bdr w:val="none" w:sz="0" w:space="0" w:color="auto"/>
          <w:lang w:val="es-ES"/>
        </w:rPr>
        <w:t>Estados Unidos</w:t>
      </w:r>
      <w:r w:rsidR="00347F51" w:rsidRPr="00A16D62">
        <w:rPr>
          <w:rFonts w:ascii="Cambria" w:eastAsia="Times New Roman" w:hAnsi="Cambria"/>
          <w:bCs/>
          <w:sz w:val="20"/>
          <w:szCs w:val="20"/>
          <w:bdr w:val="none" w:sz="0" w:space="0" w:color="auto"/>
          <w:lang w:val="es-ES"/>
        </w:rPr>
        <w:t xml:space="preserve"> y estén autorizadas a trabajar.</w:t>
      </w:r>
    </w:p>
    <w:p w:rsidR="009B4519" w:rsidRPr="00A16D62" w:rsidRDefault="009B4519" w:rsidP="00A6454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A64546" w:rsidRPr="00A16D62" w:rsidRDefault="00347F51" w:rsidP="00A76BB1">
      <w:pPr>
        <w:pStyle w:val="Heading3"/>
        <w:numPr>
          <w:ilvl w:val="0"/>
          <w:numId w:val="59"/>
        </w:numPr>
        <w:ind w:left="1440" w:hanging="720"/>
        <w:rPr>
          <w:lang w:val="es-ES"/>
        </w:rPr>
      </w:pPr>
      <w:bookmarkStart w:id="16" w:name="_Toc467138441"/>
      <w:r w:rsidRPr="00A16D62">
        <w:rPr>
          <w:lang w:val="es-ES"/>
        </w:rPr>
        <w:t>Medidas de protección de los trabajadores</w:t>
      </w:r>
      <w:bookmarkEnd w:id="16"/>
    </w:p>
    <w:p w:rsidR="00A64546" w:rsidRPr="00A16D62" w:rsidRDefault="00A64546" w:rsidP="00A6454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681D81" w:rsidRPr="00A16D62" w:rsidRDefault="0018012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El Estado</w:t>
      </w:r>
      <w:r w:rsidR="009B4519" w:rsidRPr="00A16D62">
        <w:rPr>
          <w:rFonts w:ascii="Cambria" w:eastAsia="Times New Roman" w:hAnsi="Cambria"/>
          <w:bCs/>
          <w:sz w:val="20"/>
          <w:szCs w:val="20"/>
          <w:bdr w:val="none" w:sz="0" w:space="0" w:color="auto"/>
          <w:lang w:val="es-ES"/>
        </w:rPr>
        <w:t xml:space="preserve"> cit</w:t>
      </w:r>
      <w:r w:rsidR="004010A5" w:rsidRPr="00A16D62">
        <w:rPr>
          <w:rFonts w:ascii="Cambria" w:eastAsia="Times New Roman" w:hAnsi="Cambria"/>
          <w:bCs/>
          <w:sz w:val="20"/>
          <w:szCs w:val="20"/>
          <w:bdr w:val="none" w:sz="0" w:space="0" w:color="auto"/>
          <w:lang w:val="es-ES"/>
        </w:rPr>
        <w:t>a como ejemplos de medidas de aplicación de las leyes las adoptadas por el</w:t>
      </w:r>
      <w:r w:rsidR="009B4519" w:rsidRPr="00A16D62">
        <w:rPr>
          <w:rFonts w:ascii="Cambria" w:eastAsia="Times New Roman" w:hAnsi="Cambria"/>
          <w:bCs/>
          <w:sz w:val="20"/>
          <w:szCs w:val="20"/>
          <w:bdr w:val="none" w:sz="0" w:space="0" w:color="auto"/>
          <w:lang w:val="es-ES"/>
        </w:rPr>
        <w:t xml:space="preserve"> </w:t>
      </w:r>
      <w:r w:rsidR="00E02147" w:rsidRPr="00A16D62">
        <w:rPr>
          <w:rFonts w:ascii="Cambria" w:eastAsia="Times New Roman" w:hAnsi="Cambria"/>
          <w:bCs/>
          <w:sz w:val="20"/>
          <w:szCs w:val="20"/>
          <w:bdr w:val="none" w:sz="0" w:space="0" w:color="auto"/>
          <w:lang w:val="es-ES"/>
        </w:rPr>
        <w:t>Departamento de Trabajo</w:t>
      </w:r>
      <w:r w:rsidR="009B4519" w:rsidRPr="00A16D62">
        <w:rPr>
          <w:rFonts w:ascii="Cambria" w:eastAsia="Times New Roman" w:hAnsi="Cambria"/>
          <w:bCs/>
          <w:sz w:val="20"/>
          <w:szCs w:val="20"/>
          <w:bdr w:val="none" w:sz="0" w:space="0" w:color="auto"/>
          <w:lang w:val="es-ES"/>
        </w:rPr>
        <w:t xml:space="preserve">, </w:t>
      </w:r>
      <w:r w:rsidR="004010A5" w:rsidRPr="00A16D62">
        <w:rPr>
          <w:rFonts w:ascii="Cambria" w:eastAsia="Times New Roman" w:hAnsi="Cambria"/>
          <w:bCs/>
          <w:sz w:val="20"/>
          <w:szCs w:val="20"/>
          <w:bdr w:val="none" w:sz="0" w:space="0" w:color="auto"/>
          <w:lang w:val="es-ES"/>
        </w:rPr>
        <w:t xml:space="preserve">la </w:t>
      </w:r>
      <w:r w:rsidR="003C54E2" w:rsidRPr="00A16D62">
        <w:rPr>
          <w:rFonts w:ascii="Cambria" w:eastAsia="Times New Roman" w:hAnsi="Cambria"/>
          <w:bCs/>
          <w:sz w:val="20"/>
          <w:szCs w:val="20"/>
          <w:bdr w:val="none" w:sz="0" w:space="0" w:color="auto"/>
          <w:lang w:val="es-ES"/>
        </w:rPr>
        <w:t>Junta Nacional de Relaciones Laborales</w:t>
      </w:r>
      <w:r w:rsidR="009B4519" w:rsidRPr="00A16D62">
        <w:rPr>
          <w:rFonts w:ascii="Cambria" w:eastAsia="Times New Roman" w:hAnsi="Cambria"/>
          <w:bCs/>
          <w:sz w:val="20"/>
          <w:szCs w:val="20"/>
          <w:bdr w:val="none" w:sz="0" w:space="0" w:color="auto"/>
          <w:lang w:val="es-ES"/>
        </w:rPr>
        <w:t xml:space="preserve"> </w:t>
      </w:r>
      <w:r w:rsidR="004010A5" w:rsidRPr="00A16D62">
        <w:rPr>
          <w:rFonts w:ascii="Cambria" w:eastAsia="Times New Roman" w:hAnsi="Cambria"/>
          <w:bCs/>
          <w:sz w:val="20"/>
          <w:szCs w:val="20"/>
          <w:bdr w:val="none" w:sz="0" w:space="0" w:color="auto"/>
          <w:lang w:val="es-ES"/>
        </w:rPr>
        <w:t>y la Comisión para la Igualdad de Oportunidades en el Empleo</w:t>
      </w:r>
      <w:r w:rsidR="009B4519" w:rsidRPr="00A16D62">
        <w:rPr>
          <w:rFonts w:ascii="Cambria" w:eastAsia="Times New Roman" w:hAnsi="Cambria"/>
          <w:bCs/>
          <w:sz w:val="20"/>
          <w:szCs w:val="20"/>
          <w:bdr w:val="none" w:sz="0" w:space="0" w:color="auto"/>
          <w:lang w:val="es-ES"/>
        </w:rPr>
        <w:t xml:space="preserve"> (EEOC). </w:t>
      </w:r>
      <w:r w:rsidR="00902D36" w:rsidRPr="00A16D62">
        <w:rPr>
          <w:rFonts w:ascii="Cambria" w:eastAsia="Times New Roman" w:hAnsi="Cambria"/>
          <w:bCs/>
          <w:sz w:val="20"/>
          <w:szCs w:val="20"/>
          <w:bdr w:val="none" w:sz="0" w:space="0" w:color="auto"/>
          <w:lang w:val="es-ES"/>
        </w:rPr>
        <w:t>Según</w:t>
      </w:r>
      <w:r w:rsidR="00D66C4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el Estado</w:t>
      </w:r>
      <w:r w:rsidR="00D66C4D" w:rsidRPr="00A16D62">
        <w:rPr>
          <w:rFonts w:ascii="Cambria" w:eastAsia="Times New Roman" w:hAnsi="Cambria"/>
          <w:bCs/>
          <w:sz w:val="20"/>
          <w:szCs w:val="20"/>
          <w:bdr w:val="none" w:sz="0" w:space="0" w:color="auto"/>
          <w:lang w:val="es-ES"/>
        </w:rPr>
        <w:t xml:space="preserve">, </w:t>
      </w:r>
      <w:r w:rsidR="004010A5" w:rsidRPr="00A16D62">
        <w:rPr>
          <w:rFonts w:ascii="Cambria" w:eastAsia="Times New Roman" w:hAnsi="Cambria"/>
          <w:bCs/>
          <w:sz w:val="20"/>
          <w:szCs w:val="20"/>
          <w:bdr w:val="none" w:sz="0" w:space="0" w:color="auto"/>
          <w:lang w:val="es-ES"/>
        </w:rPr>
        <w:t xml:space="preserve">el </w:t>
      </w:r>
      <w:r w:rsidR="00E02147" w:rsidRPr="00A16D62">
        <w:rPr>
          <w:rFonts w:ascii="Cambria" w:eastAsia="Times New Roman" w:hAnsi="Cambria"/>
          <w:bCs/>
          <w:sz w:val="20"/>
          <w:szCs w:val="20"/>
          <w:bdr w:val="none" w:sz="0" w:space="0" w:color="auto"/>
          <w:lang w:val="es-ES"/>
        </w:rPr>
        <w:t>Departamento de Trabajo</w:t>
      </w:r>
      <w:r w:rsidR="00D66C4D" w:rsidRPr="00A16D62">
        <w:rPr>
          <w:rFonts w:ascii="Cambria" w:eastAsia="Times New Roman" w:hAnsi="Cambria"/>
          <w:bCs/>
          <w:sz w:val="20"/>
          <w:szCs w:val="20"/>
          <w:bdr w:val="none" w:sz="0" w:space="0" w:color="auto"/>
          <w:lang w:val="es-ES"/>
        </w:rPr>
        <w:t xml:space="preserve"> administ</w:t>
      </w:r>
      <w:r w:rsidR="004010A5" w:rsidRPr="00A16D62">
        <w:rPr>
          <w:rFonts w:ascii="Cambria" w:eastAsia="Times New Roman" w:hAnsi="Cambria"/>
          <w:bCs/>
          <w:sz w:val="20"/>
          <w:szCs w:val="20"/>
          <w:bdr w:val="none" w:sz="0" w:space="0" w:color="auto"/>
          <w:lang w:val="es-ES"/>
        </w:rPr>
        <w:t xml:space="preserve">ra y aplica más de </w:t>
      </w:r>
      <w:r w:rsidR="00D66C4D" w:rsidRPr="00A16D62">
        <w:rPr>
          <w:rFonts w:ascii="Cambria" w:eastAsia="Times New Roman" w:hAnsi="Cambria"/>
          <w:bCs/>
          <w:sz w:val="20"/>
          <w:szCs w:val="20"/>
          <w:bdr w:val="none" w:sz="0" w:space="0" w:color="auto"/>
          <w:lang w:val="es-ES"/>
        </w:rPr>
        <w:t xml:space="preserve">180 </w:t>
      </w:r>
      <w:r w:rsidR="004010A5" w:rsidRPr="00A16D62">
        <w:rPr>
          <w:rFonts w:ascii="Cambria" w:eastAsia="Times New Roman" w:hAnsi="Cambria"/>
          <w:bCs/>
          <w:sz w:val="20"/>
          <w:szCs w:val="20"/>
          <w:bdr w:val="none" w:sz="0" w:space="0" w:color="auto"/>
          <w:lang w:val="es-ES"/>
        </w:rPr>
        <w:t xml:space="preserve">leyes </w:t>
      </w:r>
      <w:r w:rsidR="00D66C4D" w:rsidRPr="00A16D62">
        <w:rPr>
          <w:rFonts w:ascii="Cambria" w:eastAsia="Times New Roman" w:hAnsi="Cambria"/>
          <w:bCs/>
          <w:sz w:val="20"/>
          <w:szCs w:val="20"/>
          <w:bdr w:val="none" w:sz="0" w:space="0" w:color="auto"/>
          <w:lang w:val="es-ES"/>
        </w:rPr>
        <w:t>federal</w:t>
      </w:r>
      <w:r w:rsidR="004010A5" w:rsidRPr="00A16D62">
        <w:rPr>
          <w:rFonts w:ascii="Cambria" w:eastAsia="Times New Roman" w:hAnsi="Cambria"/>
          <w:bCs/>
          <w:sz w:val="20"/>
          <w:szCs w:val="20"/>
          <w:bdr w:val="none" w:sz="0" w:space="0" w:color="auto"/>
          <w:lang w:val="es-ES"/>
        </w:rPr>
        <w:t xml:space="preserve">es de protección y avance de los </w:t>
      </w:r>
      <w:r w:rsidR="007B4310" w:rsidRPr="00A16D62">
        <w:rPr>
          <w:rFonts w:ascii="Cambria" w:eastAsia="Times New Roman" w:hAnsi="Cambria"/>
          <w:bCs/>
          <w:sz w:val="20"/>
          <w:szCs w:val="20"/>
          <w:bdr w:val="none" w:sz="0" w:space="0" w:color="auto"/>
          <w:lang w:val="es-ES"/>
        </w:rPr>
        <w:t>trabajadores</w:t>
      </w:r>
      <w:r w:rsidR="00D66C4D" w:rsidRPr="00A16D62">
        <w:rPr>
          <w:rFonts w:ascii="Cambria" w:eastAsia="Times New Roman" w:hAnsi="Cambria"/>
          <w:bCs/>
          <w:sz w:val="20"/>
          <w:szCs w:val="20"/>
          <w:bdr w:val="none" w:sz="0" w:space="0" w:color="auto"/>
          <w:lang w:val="es-ES"/>
        </w:rPr>
        <w:t xml:space="preserve"> </w:t>
      </w:r>
      <w:r w:rsidR="004010A5" w:rsidRPr="00A16D62">
        <w:rPr>
          <w:rFonts w:ascii="Cambria" w:eastAsia="Times New Roman" w:hAnsi="Cambria"/>
          <w:bCs/>
          <w:sz w:val="20"/>
          <w:szCs w:val="20"/>
          <w:bdr w:val="none" w:sz="0" w:space="0" w:color="auto"/>
          <w:lang w:val="es-ES"/>
        </w:rPr>
        <w:t>e</w:t>
      </w:r>
      <w:r w:rsidR="00D66C4D" w:rsidRPr="00A16D62">
        <w:rPr>
          <w:rFonts w:ascii="Cambria" w:eastAsia="Times New Roman" w:hAnsi="Cambria"/>
          <w:bCs/>
          <w:sz w:val="20"/>
          <w:szCs w:val="20"/>
          <w:bdr w:val="none" w:sz="0" w:space="0" w:color="auto"/>
          <w:lang w:val="es-ES"/>
        </w:rPr>
        <w:t xml:space="preserve">n </w:t>
      </w:r>
      <w:r w:rsidR="007E4498" w:rsidRPr="00A16D62">
        <w:rPr>
          <w:rFonts w:ascii="Cambria" w:eastAsia="Times New Roman" w:hAnsi="Cambria"/>
          <w:bCs/>
          <w:sz w:val="20"/>
          <w:szCs w:val="20"/>
          <w:bdr w:val="none" w:sz="0" w:space="0" w:color="auto"/>
          <w:lang w:val="es-ES"/>
        </w:rPr>
        <w:t>Estados Unidos</w:t>
      </w:r>
      <w:r w:rsidR="00D66C4D" w:rsidRPr="00A16D62">
        <w:rPr>
          <w:rFonts w:ascii="Cambria" w:eastAsia="Times New Roman" w:hAnsi="Cambria"/>
          <w:bCs/>
          <w:sz w:val="20"/>
          <w:szCs w:val="20"/>
          <w:bdr w:val="none" w:sz="0" w:space="0" w:color="auto"/>
          <w:lang w:val="es-ES"/>
        </w:rPr>
        <w:t xml:space="preserve">. </w:t>
      </w:r>
      <w:r w:rsidR="004010A5" w:rsidRPr="00A16D62">
        <w:rPr>
          <w:rFonts w:ascii="Cambria" w:eastAsia="Times New Roman" w:hAnsi="Cambria"/>
          <w:bCs/>
          <w:sz w:val="20"/>
          <w:szCs w:val="20"/>
          <w:bdr w:val="none" w:sz="0" w:space="0" w:color="auto"/>
          <w:lang w:val="es-ES"/>
        </w:rPr>
        <w:t xml:space="preserve">De estas </w:t>
      </w:r>
      <w:r w:rsidR="00817956" w:rsidRPr="00A16D62">
        <w:rPr>
          <w:rFonts w:ascii="Cambria" w:eastAsia="Times New Roman" w:hAnsi="Cambria"/>
          <w:bCs/>
          <w:sz w:val="20"/>
          <w:szCs w:val="20"/>
          <w:bdr w:val="none" w:sz="0" w:space="0" w:color="auto"/>
          <w:lang w:val="es-ES"/>
        </w:rPr>
        <w:t>180</w:t>
      </w:r>
      <w:r w:rsidR="004010A5" w:rsidRPr="00A16D62">
        <w:rPr>
          <w:rFonts w:ascii="Cambria" w:eastAsia="Times New Roman" w:hAnsi="Cambria"/>
          <w:bCs/>
          <w:sz w:val="20"/>
          <w:szCs w:val="20"/>
          <w:bdr w:val="none" w:sz="0" w:space="0" w:color="auto"/>
          <w:lang w:val="es-ES"/>
        </w:rPr>
        <w:t xml:space="preserve"> leyes</w:t>
      </w:r>
      <w:r w:rsidR="00817956" w:rsidRPr="00A16D62">
        <w:rPr>
          <w:rFonts w:ascii="Cambria" w:eastAsia="Times New Roman" w:hAnsi="Cambria"/>
          <w:bCs/>
          <w:sz w:val="20"/>
          <w:szCs w:val="20"/>
          <w:bdr w:val="none" w:sz="0" w:space="0" w:color="auto"/>
          <w:lang w:val="es-ES"/>
        </w:rPr>
        <w:t xml:space="preserve">, </w:t>
      </w:r>
      <w:r w:rsidR="004010A5" w:rsidRPr="00A16D62">
        <w:rPr>
          <w:rFonts w:ascii="Cambria" w:eastAsia="Times New Roman" w:hAnsi="Cambria"/>
          <w:bCs/>
          <w:sz w:val="20"/>
          <w:szCs w:val="20"/>
          <w:bdr w:val="none" w:sz="0" w:space="0" w:color="auto"/>
          <w:lang w:val="es-ES"/>
        </w:rPr>
        <w:t xml:space="preserve">dos de las más importantes son la </w:t>
      </w:r>
      <w:r w:rsidR="004916D7" w:rsidRPr="00A16D62">
        <w:rPr>
          <w:rFonts w:ascii="Cambria" w:eastAsia="Times New Roman" w:hAnsi="Cambria"/>
          <w:bCs/>
          <w:sz w:val="20"/>
          <w:szCs w:val="20"/>
          <w:bdr w:val="none" w:sz="0" w:space="0" w:color="auto"/>
          <w:lang w:val="es-ES"/>
        </w:rPr>
        <w:t>Ley de Estándares Laborales Equitativos</w:t>
      </w:r>
      <w:r w:rsidR="00D66C4D" w:rsidRPr="00A16D62">
        <w:rPr>
          <w:rFonts w:ascii="Cambria" w:eastAsia="Times New Roman" w:hAnsi="Cambria"/>
          <w:bCs/>
          <w:sz w:val="20"/>
          <w:szCs w:val="20"/>
          <w:bdr w:val="none" w:sz="0" w:space="0" w:color="auto"/>
          <w:lang w:val="es-ES"/>
        </w:rPr>
        <w:t xml:space="preserve"> (FLSA), administ</w:t>
      </w:r>
      <w:r w:rsidR="004916D7" w:rsidRPr="00A16D62">
        <w:rPr>
          <w:rFonts w:ascii="Cambria" w:eastAsia="Times New Roman" w:hAnsi="Cambria"/>
          <w:bCs/>
          <w:sz w:val="20"/>
          <w:szCs w:val="20"/>
          <w:bdr w:val="none" w:sz="0" w:space="0" w:color="auto"/>
          <w:lang w:val="es-ES"/>
        </w:rPr>
        <w:t>rada por su División de Horas y Salarios, y la Ley de Seguridad y Salud Ocupacionales</w:t>
      </w:r>
      <w:r w:rsidR="00D66C4D" w:rsidRPr="00A16D62">
        <w:rPr>
          <w:rFonts w:ascii="Cambria" w:eastAsia="Times New Roman" w:hAnsi="Cambria"/>
          <w:bCs/>
          <w:sz w:val="20"/>
          <w:szCs w:val="20"/>
          <w:bdr w:val="none" w:sz="0" w:space="0" w:color="auto"/>
          <w:lang w:val="es-ES"/>
        </w:rPr>
        <w:t xml:space="preserve"> (OSH), administ</w:t>
      </w:r>
      <w:r w:rsidR="004916D7" w:rsidRPr="00A16D62">
        <w:rPr>
          <w:rFonts w:ascii="Cambria" w:eastAsia="Times New Roman" w:hAnsi="Cambria"/>
          <w:bCs/>
          <w:sz w:val="20"/>
          <w:szCs w:val="20"/>
          <w:bdr w:val="none" w:sz="0" w:space="0" w:color="auto"/>
          <w:lang w:val="es-ES"/>
        </w:rPr>
        <w:t>rada por la Administración de Seguridad y Salud Ocupacionales</w:t>
      </w:r>
      <w:r w:rsidR="003A19C7" w:rsidRPr="00A16D62">
        <w:rPr>
          <w:rFonts w:ascii="Cambria" w:eastAsia="Times New Roman" w:hAnsi="Cambria"/>
          <w:bCs/>
          <w:sz w:val="20"/>
          <w:szCs w:val="20"/>
          <w:bdr w:val="none" w:sz="0" w:space="0" w:color="auto"/>
          <w:lang w:val="es-ES"/>
        </w:rPr>
        <w:t xml:space="preserve"> (OSHA)</w:t>
      </w:r>
      <w:r w:rsidR="00D66C4D" w:rsidRPr="00A16D62">
        <w:rPr>
          <w:rFonts w:ascii="Cambria" w:eastAsia="Times New Roman" w:hAnsi="Cambria"/>
          <w:bCs/>
          <w:sz w:val="20"/>
          <w:szCs w:val="20"/>
          <w:bdr w:val="none" w:sz="0" w:space="0" w:color="auto"/>
          <w:lang w:val="es-ES"/>
        </w:rPr>
        <w:t xml:space="preserve">. </w:t>
      </w:r>
      <w:r w:rsidR="004916D7" w:rsidRPr="00A16D62">
        <w:rPr>
          <w:rFonts w:ascii="Cambria" w:eastAsia="Times New Roman" w:hAnsi="Cambria"/>
          <w:bCs/>
          <w:sz w:val="20"/>
          <w:szCs w:val="20"/>
          <w:bdr w:val="none" w:sz="0" w:space="0" w:color="auto"/>
          <w:lang w:val="es-ES"/>
        </w:rPr>
        <w:t>La Ley de Estándares Laborales Equitativos</w:t>
      </w:r>
      <w:r w:rsidR="00D66C4D" w:rsidRPr="00A16D62">
        <w:rPr>
          <w:rFonts w:ascii="Cambria" w:eastAsia="Times New Roman" w:hAnsi="Cambria"/>
          <w:bCs/>
          <w:sz w:val="20"/>
          <w:szCs w:val="20"/>
          <w:bdr w:val="none" w:sz="0" w:space="0" w:color="auto"/>
          <w:lang w:val="es-ES"/>
        </w:rPr>
        <w:t xml:space="preserve"> prescribe</w:t>
      </w:r>
      <w:r w:rsidR="004916D7" w:rsidRPr="00A16D62">
        <w:rPr>
          <w:rFonts w:ascii="Cambria" w:eastAsia="Times New Roman" w:hAnsi="Cambria"/>
          <w:bCs/>
          <w:sz w:val="20"/>
          <w:szCs w:val="20"/>
          <w:bdr w:val="none" w:sz="0" w:space="0" w:color="auto"/>
          <w:lang w:val="es-ES"/>
        </w:rPr>
        <w:t xml:space="preserve"> estándares para salarios y horas extras, en tanto que la Ley de Seguridad y Salud Ocupacionales</w:t>
      </w:r>
      <w:r w:rsidR="00D66C4D" w:rsidRPr="00A16D62">
        <w:rPr>
          <w:rFonts w:ascii="Cambria" w:eastAsia="Times New Roman" w:hAnsi="Cambria"/>
          <w:bCs/>
          <w:sz w:val="20"/>
          <w:szCs w:val="20"/>
          <w:bdr w:val="none" w:sz="0" w:space="0" w:color="auto"/>
          <w:lang w:val="es-ES"/>
        </w:rPr>
        <w:t xml:space="preserve"> prescribe</w:t>
      </w:r>
      <w:r w:rsidR="004916D7" w:rsidRPr="00A16D62">
        <w:rPr>
          <w:rFonts w:ascii="Cambria" w:eastAsia="Times New Roman" w:hAnsi="Cambria"/>
          <w:bCs/>
          <w:sz w:val="20"/>
          <w:szCs w:val="20"/>
          <w:bdr w:val="none" w:sz="0" w:space="0" w:color="auto"/>
          <w:lang w:val="es-ES"/>
        </w:rPr>
        <w:t xml:space="preserve"> reglas en materia de salud y seguridad que los </w:t>
      </w:r>
      <w:r w:rsidR="000F4EF8" w:rsidRPr="00A16D62">
        <w:rPr>
          <w:rFonts w:ascii="Cambria" w:eastAsia="Times New Roman" w:hAnsi="Cambria"/>
          <w:bCs/>
          <w:sz w:val="20"/>
          <w:szCs w:val="20"/>
          <w:bdr w:val="none" w:sz="0" w:space="0" w:color="auto"/>
          <w:lang w:val="es-ES"/>
        </w:rPr>
        <w:t>empleadores</w:t>
      </w:r>
      <w:r w:rsidR="00D66C4D" w:rsidRPr="00A16D62">
        <w:rPr>
          <w:rFonts w:ascii="Cambria" w:eastAsia="Times New Roman" w:hAnsi="Cambria"/>
          <w:bCs/>
          <w:sz w:val="20"/>
          <w:szCs w:val="20"/>
          <w:bdr w:val="none" w:sz="0" w:space="0" w:color="auto"/>
          <w:lang w:val="es-ES"/>
        </w:rPr>
        <w:t xml:space="preserve"> </w:t>
      </w:r>
      <w:r w:rsidR="004916D7" w:rsidRPr="00A16D62">
        <w:rPr>
          <w:rFonts w:ascii="Cambria" w:eastAsia="Times New Roman" w:hAnsi="Cambria"/>
          <w:bCs/>
          <w:sz w:val="20"/>
          <w:szCs w:val="20"/>
          <w:bdr w:val="none" w:sz="0" w:space="0" w:color="auto"/>
          <w:lang w:val="es-ES"/>
        </w:rPr>
        <w:t>del sector público deben cumplir. Con respecto a las condiciones de salud y seguridad en las industrias privadas</w:t>
      </w:r>
      <w:r w:rsidR="00D66C4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el Estado</w:t>
      </w:r>
      <w:r w:rsidR="00D66C4D" w:rsidRPr="00A16D62">
        <w:rPr>
          <w:rFonts w:ascii="Cambria" w:eastAsia="Times New Roman" w:hAnsi="Cambria"/>
          <w:bCs/>
          <w:sz w:val="20"/>
          <w:szCs w:val="20"/>
          <w:bdr w:val="none" w:sz="0" w:space="0" w:color="auto"/>
          <w:lang w:val="es-ES"/>
        </w:rPr>
        <w:t xml:space="preserve"> </w:t>
      </w:r>
      <w:r w:rsidR="004916D7" w:rsidRPr="00A16D62">
        <w:rPr>
          <w:rFonts w:ascii="Cambria" w:eastAsia="Times New Roman" w:hAnsi="Cambria"/>
          <w:bCs/>
          <w:sz w:val="20"/>
          <w:szCs w:val="20"/>
          <w:bdr w:val="none" w:sz="0" w:space="0" w:color="auto"/>
          <w:lang w:val="es-ES"/>
        </w:rPr>
        <w:t>señala que los programas estatales administrados o aprobados por la Administración de Seguridad y Salud Ocupacionales</w:t>
      </w:r>
      <w:r w:rsidR="00D66C4D" w:rsidRPr="00A16D62">
        <w:rPr>
          <w:rFonts w:ascii="Cambria" w:eastAsia="Times New Roman" w:hAnsi="Cambria"/>
          <w:bCs/>
          <w:sz w:val="20"/>
          <w:szCs w:val="20"/>
          <w:bdr w:val="none" w:sz="0" w:space="0" w:color="auto"/>
          <w:lang w:val="es-ES"/>
        </w:rPr>
        <w:t xml:space="preserve"> </w:t>
      </w:r>
      <w:r w:rsidR="004916D7" w:rsidRPr="00A16D62">
        <w:rPr>
          <w:rFonts w:ascii="Cambria" w:eastAsia="Times New Roman" w:hAnsi="Cambria"/>
          <w:bCs/>
          <w:sz w:val="20"/>
          <w:szCs w:val="20"/>
          <w:bdr w:val="none" w:sz="0" w:space="0" w:color="auto"/>
          <w:lang w:val="es-ES"/>
        </w:rPr>
        <w:t>reglamentan esas condiciones en el lugar de trabajo</w:t>
      </w:r>
      <w:r w:rsidR="00D66C4D" w:rsidRPr="00A16D62">
        <w:rPr>
          <w:rFonts w:ascii="Cambria" w:eastAsia="Times New Roman" w:hAnsi="Cambria"/>
          <w:bCs/>
          <w:sz w:val="20"/>
          <w:szCs w:val="20"/>
          <w:bdr w:val="none" w:sz="0" w:space="0" w:color="auto"/>
          <w:lang w:val="es-ES"/>
        </w:rPr>
        <w:t xml:space="preserve">. </w:t>
      </w:r>
    </w:p>
    <w:p w:rsidR="007A563B" w:rsidRPr="00A16D62" w:rsidRDefault="007A563B" w:rsidP="007A563B">
      <w:pPr>
        <w:pStyle w:val="ListParagraph"/>
        <w:rPr>
          <w:rFonts w:eastAsia="Times New Roman"/>
          <w:bCs/>
          <w:sz w:val="20"/>
          <w:szCs w:val="20"/>
          <w:bdr w:val="none" w:sz="0" w:space="0" w:color="auto"/>
          <w:lang w:val="es-ES"/>
        </w:rPr>
      </w:pPr>
    </w:p>
    <w:p w:rsidR="007A563B" w:rsidRPr="00A16D62" w:rsidRDefault="00FF4357"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w:t>
      </w:r>
      <w:r w:rsidR="00180125" w:rsidRPr="00A16D62">
        <w:rPr>
          <w:rFonts w:ascii="Cambria" w:eastAsia="Times New Roman" w:hAnsi="Cambria"/>
          <w:bCs/>
          <w:sz w:val="20"/>
          <w:szCs w:val="20"/>
          <w:bdr w:val="none" w:sz="0" w:space="0" w:color="auto"/>
          <w:lang w:val="es-ES"/>
        </w:rPr>
        <w:t>l Estado</w:t>
      </w:r>
      <w:r w:rsidR="007A563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señala que el Departamento de Trabajo, además de la labor que realiza en el ámbito interno, trabaja bilateralmente con las naciones de origen de los</w:t>
      </w:r>
      <w:r w:rsidR="004121CB"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4121CB"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4121CB" w:rsidRPr="00A16D62">
        <w:rPr>
          <w:rFonts w:ascii="Cambria" w:eastAsia="Times New Roman" w:hAnsi="Cambria"/>
          <w:bCs/>
          <w:sz w:val="20"/>
          <w:szCs w:val="20"/>
          <w:bdr w:val="none" w:sz="0" w:space="0" w:color="auto"/>
          <w:lang w:val="es-ES"/>
        </w:rPr>
        <w:t xml:space="preserve"> al</w:t>
      </w:r>
      <w:r w:rsidRPr="00A16D62">
        <w:rPr>
          <w:rFonts w:ascii="Cambria" w:eastAsia="Times New Roman" w:hAnsi="Cambria"/>
          <w:bCs/>
          <w:sz w:val="20"/>
          <w:szCs w:val="20"/>
          <w:bdr w:val="none" w:sz="0" w:space="0" w:color="auto"/>
          <w:lang w:val="es-ES"/>
        </w:rPr>
        <w:t xml:space="preserve">ega que estas consultas han llevado a iniciativas del </w:t>
      </w:r>
      <w:r w:rsidR="00E02147" w:rsidRPr="00A16D62">
        <w:rPr>
          <w:rFonts w:ascii="Cambria" w:eastAsia="Times New Roman" w:hAnsi="Cambria"/>
          <w:bCs/>
          <w:sz w:val="20"/>
          <w:szCs w:val="20"/>
          <w:bdr w:val="none" w:sz="0" w:space="0" w:color="auto"/>
          <w:lang w:val="es-ES"/>
        </w:rPr>
        <w:t>Departamento de Trabajo</w:t>
      </w:r>
      <w:r w:rsidR="004121C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para </w:t>
      </w:r>
      <w:r w:rsidR="004121CB" w:rsidRPr="00A16D62">
        <w:rPr>
          <w:rFonts w:ascii="Cambria" w:eastAsia="Times New Roman" w:hAnsi="Cambria"/>
          <w:bCs/>
          <w:sz w:val="20"/>
          <w:szCs w:val="20"/>
          <w:bdr w:val="none" w:sz="0" w:space="0" w:color="auto"/>
          <w:lang w:val="es-ES"/>
        </w:rPr>
        <w:t>inform</w:t>
      </w:r>
      <w:r w:rsidRPr="00A16D62">
        <w:rPr>
          <w:rFonts w:ascii="Cambria" w:eastAsia="Times New Roman" w:hAnsi="Cambria"/>
          <w:bCs/>
          <w:sz w:val="20"/>
          <w:szCs w:val="20"/>
          <w:bdr w:val="none" w:sz="0" w:space="0" w:color="auto"/>
          <w:lang w:val="es-ES"/>
        </w:rPr>
        <w:t>ar a los</w:t>
      </w:r>
      <w:r w:rsidR="004121C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trabajadores migrantes</w:t>
      </w:r>
      <w:r w:rsidR="004121CB" w:rsidRPr="00A16D62">
        <w:rPr>
          <w:rFonts w:ascii="Cambria" w:eastAsia="Times New Roman" w:hAnsi="Cambria"/>
          <w:bCs/>
          <w:sz w:val="20"/>
          <w:szCs w:val="20"/>
          <w:bdr w:val="none" w:sz="0" w:space="0" w:color="auto"/>
          <w:lang w:val="es-ES"/>
        </w:rPr>
        <w:t xml:space="preserve"> </w:t>
      </w:r>
      <w:r w:rsidR="00F57366" w:rsidRPr="00A16D62">
        <w:rPr>
          <w:rFonts w:ascii="Cambria" w:eastAsia="Times New Roman" w:hAnsi="Cambria"/>
          <w:bCs/>
          <w:sz w:val="20"/>
          <w:szCs w:val="20"/>
          <w:bdr w:val="none" w:sz="0" w:space="0" w:color="auto"/>
          <w:lang w:val="es-ES"/>
        </w:rPr>
        <w:t xml:space="preserve">sobre las medidas de protección de los trabajadores enunciadas en las leyes de </w:t>
      </w:r>
      <w:r w:rsidR="00180125" w:rsidRPr="00A16D62">
        <w:rPr>
          <w:rFonts w:ascii="Cambria" w:eastAsia="Times New Roman" w:hAnsi="Cambria"/>
          <w:bCs/>
          <w:sz w:val="20"/>
          <w:szCs w:val="20"/>
          <w:bdr w:val="none" w:sz="0" w:space="0" w:color="auto"/>
          <w:lang w:val="es-ES"/>
        </w:rPr>
        <w:t>Estados Unidos</w:t>
      </w:r>
      <w:r w:rsidR="00F57366" w:rsidRPr="00A16D62">
        <w:rPr>
          <w:rFonts w:ascii="Cambria" w:eastAsia="Times New Roman" w:hAnsi="Cambria"/>
          <w:bCs/>
          <w:sz w:val="20"/>
          <w:szCs w:val="20"/>
          <w:bdr w:val="none" w:sz="0" w:space="0" w:color="auto"/>
          <w:lang w:val="es-ES"/>
        </w:rPr>
        <w:t xml:space="preserve">. Asimismo, </w:t>
      </w:r>
      <w:r w:rsidR="00180125" w:rsidRPr="00A16D62">
        <w:rPr>
          <w:rFonts w:ascii="Cambria" w:eastAsia="Times New Roman" w:hAnsi="Cambria"/>
          <w:bCs/>
          <w:sz w:val="20"/>
          <w:szCs w:val="20"/>
          <w:bdr w:val="none" w:sz="0" w:space="0" w:color="auto"/>
          <w:lang w:val="es-ES"/>
        </w:rPr>
        <w:t>el Estado</w:t>
      </w:r>
      <w:r w:rsidR="004121CB" w:rsidRPr="00A16D62">
        <w:rPr>
          <w:rFonts w:ascii="Cambria" w:eastAsia="Times New Roman" w:hAnsi="Cambria"/>
          <w:bCs/>
          <w:sz w:val="20"/>
          <w:szCs w:val="20"/>
          <w:bdr w:val="none" w:sz="0" w:space="0" w:color="auto"/>
          <w:lang w:val="es-ES"/>
        </w:rPr>
        <w:t xml:space="preserve"> cit</w:t>
      </w:r>
      <w:r w:rsidR="00F57366" w:rsidRPr="00A16D62">
        <w:rPr>
          <w:rFonts w:ascii="Cambria" w:eastAsia="Times New Roman" w:hAnsi="Cambria"/>
          <w:bCs/>
          <w:sz w:val="20"/>
          <w:szCs w:val="20"/>
          <w:bdr w:val="none" w:sz="0" w:space="0" w:color="auto"/>
          <w:lang w:val="es-ES"/>
        </w:rPr>
        <w:t>a varias declaraciones que ha emitido junto con otros Estados, entre ellos</w:t>
      </w:r>
      <w:r w:rsidR="004121CB" w:rsidRPr="00A16D62">
        <w:rPr>
          <w:rFonts w:ascii="Cambria" w:eastAsia="Times New Roman" w:hAnsi="Cambria"/>
          <w:bCs/>
          <w:sz w:val="20"/>
          <w:szCs w:val="20"/>
          <w:bdr w:val="none" w:sz="0" w:space="0" w:color="auto"/>
          <w:lang w:val="es-ES"/>
        </w:rPr>
        <w:t xml:space="preserve"> </w:t>
      </w:r>
      <w:r w:rsidR="00001DB6" w:rsidRPr="00A16D62">
        <w:rPr>
          <w:rFonts w:ascii="Cambria" w:eastAsia="Times New Roman" w:hAnsi="Cambria"/>
          <w:bCs/>
          <w:sz w:val="20"/>
          <w:szCs w:val="20"/>
          <w:bdr w:val="none" w:sz="0" w:space="0" w:color="auto"/>
          <w:lang w:val="es-ES"/>
        </w:rPr>
        <w:t>México</w:t>
      </w:r>
      <w:r w:rsidR="004121CB" w:rsidRPr="00A16D62">
        <w:rPr>
          <w:rFonts w:ascii="Cambria" w:eastAsia="Times New Roman" w:hAnsi="Cambria"/>
          <w:bCs/>
          <w:sz w:val="20"/>
          <w:szCs w:val="20"/>
          <w:bdr w:val="none" w:sz="0" w:space="0" w:color="auto"/>
          <w:lang w:val="es-ES"/>
        </w:rPr>
        <w:t>, Costa Rica, El Salvador, Guatemala, Nicaragua</w:t>
      </w:r>
      <w:r w:rsidR="00F57366" w:rsidRPr="00A16D62">
        <w:rPr>
          <w:rFonts w:ascii="Cambria" w:eastAsia="Times New Roman" w:hAnsi="Cambria"/>
          <w:bCs/>
          <w:sz w:val="20"/>
          <w:szCs w:val="20"/>
          <w:bdr w:val="none" w:sz="0" w:space="0" w:color="auto"/>
          <w:lang w:val="es-ES"/>
        </w:rPr>
        <w:t xml:space="preserve"> y </w:t>
      </w:r>
      <w:r w:rsidR="004121CB" w:rsidRPr="00A16D62">
        <w:rPr>
          <w:rFonts w:ascii="Cambria" w:eastAsia="Times New Roman" w:hAnsi="Cambria"/>
          <w:bCs/>
          <w:sz w:val="20"/>
          <w:szCs w:val="20"/>
          <w:bdr w:val="none" w:sz="0" w:space="0" w:color="auto"/>
          <w:lang w:val="es-ES"/>
        </w:rPr>
        <w:t>Beli</w:t>
      </w:r>
      <w:r w:rsidR="00F57366" w:rsidRPr="00A16D62">
        <w:rPr>
          <w:rFonts w:ascii="Cambria" w:eastAsia="Times New Roman" w:hAnsi="Cambria"/>
          <w:bCs/>
          <w:sz w:val="20"/>
          <w:szCs w:val="20"/>
          <w:bdr w:val="none" w:sz="0" w:space="0" w:color="auto"/>
          <w:lang w:val="es-ES"/>
        </w:rPr>
        <w:t>c</w:t>
      </w:r>
      <w:r w:rsidR="004121CB" w:rsidRPr="00A16D62">
        <w:rPr>
          <w:rFonts w:ascii="Cambria" w:eastAsia="Times New Roman" w:hAnsi="Cambria"/>
          <w:bCs/>
          <w:sz w:val="20"/>
          <w:szCs w:val="20"/>
          <w:bdr w:val="none" w:sz="0" w:space="0" w:color="auto"/>
          <w:lang w:val="es-ES"/>
        </w:rPr>
        <w:t xml:space="preserve">e, </w:t>
      </w:r>
      <w:r w:rsidR="00F57366" w:rsidRPr="00A16D62">
        <w:rPr>
          <w:rFonts w:ascii="Cambria" w:eastAsia="Times New Roman" w:hAnsi="Cambria"/>
          <w:bCs/>
          <w:sz w:val="20"/>
          <w:szCs w:val="20"/>
          <w:bdr w:val="none" w:sz="0" w:space="0" w:color="auto"/>
          <w:lang w:val="es-ES"/>
        </w:rPr>
        <w:t xml:space="preserve">sobre compromisos mutuos para </w:t>
      </w:r>
      <w:r w:rsidR="004121CB" w:rsidRPr="00A16D62">
        <w:rPr>
          <w:rFonts w:ascii="Cambria" w:eastAsia="Times New Roman" w:hAnsi="Cambria"/>
          <w:bCs/>
          <w:sz w:val="20"/>
          <w:szCs w:val="20"/>
          <w:bdr w:val="none" w:sz="0" w:space="0" w:color="auto"/>
          <w:lang w:val="es-ES"/>
        </w:rPr>
        <w:t>inform</w:t>
      </w:r>
      <w:r w:rsidR="00F57366" w:rsidRPr="00A16D62">
        <w:rPr>
          <w:rFonts w:ascii="Cambria" w:eastAsia="Times New Roman" w:hAnsi="Cambria"/>
          <w:bCs/>
          <w:sz w:val="20"/>
          <w:szCs w:val="20"/>
          <w:bdr w:val="none" w:sz="0" w:space="0" w:color="auto"/>
          <w:lang w:val="es-ES"/>
        </w:rPr>
        <w:t>ar a los</w:t>
      </w:r>
      <w:r w:rsidR="004121CB"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trabajadores</w:t>
      </w:r>
      <w:r w:rsidR="004121CB" w:rsidRPr="00A16D62">
        <w:rPr>
          <w:rFonts w:ascii="Cambria" w:eastAsia="Times New Roman" w:hAnsi="Cambria"/>
          <w:bCs/>
          <w:sz w:val="20"/>
          <w:szCs w:val="20"/>
          <w:bdr w:val="none" w:sz="0" w:space="0" w:color="auto"/>
          <w:lang w:val="es-ES"/>
        </w:rPr>
        <w:t xml:space="preserve"> </w:t>
      </w:r>
      <w:r w:rsidR="00F57366" w:rsidRPr="00A16D62">
        <w:rPr>
          <w:rFonts w:ascii="Cambria" w:eastAsia="Times New Roman" w:hAnsi="Cambria"/>
          <w:bCs/>
          <w:sz w:val="20"/>
          <w:szCs w:val="20"/>
          <w:bdr w:val="none" w:sz="0" w:space="0" w:color="auto"/>
          <w:lang w:val="es-ES"/>
        </w:rPr>
        <w:t xml:space="preserve">sobre sus </w:t>
      </w:r>
      <w:r w:rsidR="00593BF9" w:rsidRPr="00A16D62">
        <w:rPr>
          <w:rFonts w:ascii="Cambria" w:eastAsia="Times New Roman" w:hAnsi="Cambria"/>
          <w:bCs/>
          <w:sz w:val="20"/>
          <w:szCs w:val="20"/>
          <w:bdr w:val="none" w:sz="0" w:space="0" w:color="auto"/>
          <w:lang w:val="es-ES"/>
        </w:rPr>
        <w:t>derechos laborales</w:t>
      </w:r>
      <w:r w:rsidR="004121CB" w:rsidRPr="00A16D62">
        <w:rPr>
          <w:rFonts w:ascii="Cambria" w:eastAsia="Times New Roman" w:hAnsi="Cambria"/>
          <w:bCs/>
          <w:sz w:val="20"/>
          <w:szCs w:val="20"/>
          <w:bdr w:val="none" w:sz="0" w:space="0" w:color="auto"/>
          <w:lang w:val="es-ES"/>
        </w:rPr>
        <w:t xml:space="preserve"> </w:t>
      </w:r>
      <w:r w:rsidR="00F57366" w:rsidRPr="00A16D62">
        <w:rPr>
          <w:rFonts w:ascii="Cambria" w:eastAsia="Times New Roman" w:hAnsi="Cambria"/>
          <w:bCs/>
          <w:sz w:val="20"/>
          <w:szCs w:val="20"/>
          <w:bdr w:val="none" w:sz="0" w:space="0" w:color="auto"/>
          <w:lang w:val="es-ES"/>
        </w:rPr>
        <w:t>e</w:t>
      </w:r>
      <w:r w:rsidR="004121CB" w:rsidRPr="00A16D62">
        <w:rPr>
          <w:rFonts w:ascii="Cambria" w:eastAsia="Times New Roman" w:hAnsi="Cambria"/>
          <w:bCs/>
          <w:sz w:val="20"/>
          <w:szCs w:val="20"/>
          <w:bdr w:val="none" w:sz="0" w:space="0" w:color="auto"/>
          <w:lang w:val="es-ES"/>
        </w:rPr>
        <w:t xml:space="preserve">n </w:t>
      </w:r>
      <w:r w:rsidR="007E4498" w:rsidRPr="00A16D62">
        <w:rPr>
          <w:rFonts w:ascii="Cambria" w:eastAsia="Times New Roman" w:hAnsi="Cambria"/>
          <w:bCs/>
          <w:sz w:val="20"/>
          <w:szCs w:val="20"/>
          <w:bdr w:val="none" w:sz="0" w:space="0" w:color="auto"/>
          <w:lang w:val="es-ES"/>
        </w:rPr>
        <w:t>Estados Unidos</w:t>
      </w:r>
      <w:r w:rsidR="004121CB" w:rsidRPr="00A16D62">
        <w:rPr>
          <w:rFonts w:ascii="Cambria" w:eastAsia="Times New Roman" w:hAnsi="Cambria"/>
          <w:bCs/>
          <w:sz w:val="20"/>
          <w:szCs w:val="20"/>
          <w:bdr w:val="none" w:sz="0" w:space="0" w:color="auto"/>
          <w:lang w:val="es-ES"/>
        </w:rPr>
        <w:t xml:space="preserve"> </w:t>
      </w:r>
      <w:r w:rsidR="00F57366" w:rsidRPr="00A16D62">
        <w:rPr>
          <w:rFonts w:ascii="Cambria" w:eastAsia="Times New Roman" w:hAnsi="Cambria"/>
          <w:bCs/>
          <w:sz w:val="20"/>
          <w:szCs w:val="20"/>
          <w:bdr w:val="none" w:sz="0" w:space="0" w:color="auto"/>
          <w:lang w:val="es-ES"/>
        </w:rPr>
        <w:t>y fomentar entornos en los cuales se respeten esos derechos</w:t>
      </w:r>
      <w:r w:rsidR="004121CB" w:rsidRPr="00A16D62">
        <w:rPr>
          <w:rFonts w:ascii="Cambria" w:eastAsia="Times New Roman" w:hAnsi="Cambria"/>
          <w:bCs/>
          <w:sz w:val="20"/>
          <w:szCs w:val="20"/>
          <w:bdr w:val="none" w:sz="0" w:space="0" w:color="auto"/>
          <w:lang w:val="es-ES"/>
        </w:rPr>
        <w:t>.</w:t>
      </w:r>
    </w:p>
    <w:p w:rsidR="003C3D74" w:rsidRPr="00A16D62" w:rsidRDefault="003C3D74" w:rsidP="003C3D74">
      <w:pPr>
        <w:pStyle w:val="ListParagraph"/>
        <w:rPr>
          <w:rFonts w:eastAsia="Times New Roman"/>
          <w:bCs/>
          <w:sz w:val="20"/>
          <w:szCs w:val="20"/>
          <w:bdr w:val="none" w:sz="0" w:space="0" w:color="auto"/>
          <w:lang w:val="es-ES"/>
        </w:rPr>
      </w:pPr>
    </w:p>
    <w:p w:rsidR="003C3D74" w:rsidRPr="00A16D62" w:rsidRDefault="0018012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El Estado</w:t>
      </w:r>
      <w:r w:rsidR="005D666A" w:rsidRPr="00A16D62">
        <w:rPr>
          <w:rFonts w:ascii="Cambria" w:eastAsia="Times New Roman" w:hAnsi="Cambria"/>
          <w:bCs/>
          <w:sz w:val="20"/>
          <w:szCs w:val="20"/>
          <w:bdr w:val="none" w:sz="0" w:space="0" w:color="auto"/>
          <w:lang w:val="es-ES"/>
        </w:rPr>
        <w:t xml:space="preserve"> </w:t>
      </w:r>
      <w:r w:rsidR="00E02147" w:rsidRPr="00A16D62">
        <w:rPr>
          <w:rFonts w:ascii="Cambria" w:eastAsia="Times New Roman" w:hAnsi="Cambria"/>
          <w:bCs/>
          <w:sz w:val="20"/>
          <w:szCs w:val="20"/>
          <w:bdr w:val="none" w:sz="0" w:space="0" w:color="auto"/>
          <w:lang w:val="es-ES"/>
        </w:rPr>
        <w:t xml:space="preserve">se refiere también a la </w:t>
      </w:r>
      <w:r w:rsidR="00CC3419">
        <w:rPr>
          <w:rFonts w:ascii="Cambria" w:eastAsia="Times New Roman" w:hAnsi="Cambria"/>
          <w:bCs/>
          <w:sz w:val="20"/>
          <w:szCs w:val="20"/>
          <w:bdr w:val="none" w:sz="0" w:space="0" w:color="auto"/>
          <w:lang w:val="es-ES"/>
        </w:rPr>
        <w:t>acción</w:t>
      </w:r>
      <w:r w:rsidR="00E02147" w:rsidRPr="00A16D62">
        <w:rPr>
          <w:rFonts w:ascii="Cambria" w:eastAsia="Times New Roman" w:hAnsi="Cambria"/>
          <w:bCs/>
          <w:sz w:val="20"/>
          <w:szCs w:val="20"/>
          <w:bdr w:val="none" w:sz="0" w:space="0" w:color="auto"/>
          <w:lang w:val="es-ES"/>
        </w:rPr>
        <w:t xml:space="preserve"> de la</w:t>
      </w:r>
      <w:r w:rsidR="005D666A" w:rsidRPr="00A16D62">
        <w:rPr>
          <w:rFonts w:ascii="Cambria" w:eastAsia="Times New Roman" w:hAnsi="Cambria"/>
          <w:bCs/>
          <w:sz w:val="20"/>
          <w:szCs w:val="20"/>
          <w:bdr w:val="none" w:sz="0" w:space="0" w:color="auto"/>
          <w:lang w:val="es-ES"/>
        </w:rPr>
        <w:t xml:space="preserve"> </w:t>
      </w:r>
      <w:r w:rsidR="00E02147" w:rsidRPr="00A16D62">
        <w:rPr>
          <w:rFonts w:ascii="Cambria" w:eastAsia="Times New Roman" w:hAnsi="Cambria"/>
          <w:bCs/>
          <w:sz w:val="20"/>
          <w:szCs w:val="20"/>
          <w:bdr w:val="none" w:sz="0" w:space="0" w:color="auto"/>
          <w:lang w:val="es-ES"/>
        </w:rPr>
        <w:t>Junta Nacional de Relaciones Laborales</w:t>
      </w:r>
      <w:r w:rsidR="005D666A" w:rsidRPr="00A16D62">
        <w:rPr>
          <w:rFonts w:ascii="Cambria" w:eastAsia="Times New Roman" w:hAnsi="Cambria"/>
          <w:bCs/>
          <w:sz w:val="20"/>
          <w:szCs w:val="20"/>
          <w:bdr w:val="none" w:sz="0" w:space="0" w:color="auto"/>
          <w:lang w:val="es-ES"/>
        </w:rPr>
        <w:t xml:space="preserve"> </w:t>
      </w:r>
      <w:r w:rsidR="00E02147" w:rsidRPr="00A16D62">
        <w:rPr>
          <w:rFonts w:ascii="Cambria" w:eastAsia="Times New Roman" w:hAnsi="Cambria"/>
          <w:bCs/>
          <w:sz w:val="20"/>
          <w:szCs w:val="20"/>
          <w:bdr w:val="none" w:sz="0" w:space="0" w:color="auto"/>
          <w:lang w:val="es-ES"/>
        </w:rPr>
        <w:t xml:space="preserve">en la aplicación de la </w:t>
      </w:r>
      <w:r w:rsidR="00256794" w:rsidRPr="00A16D62">
        <w:rPr>
          <w:rFonts w:ascii="Cambria" w:eastAsia="Times New Roman" w:hAnsi="Cambria"/>
          <w:bCs/>
          <w:sz w:val="20"/>
          <w:szCs w:val="20"/>
          <w:bdr w:val="none" w:sz="0" w:space="0" w:color="auto"/>
          <w:lang w:val="es-ES"/>
        </w:rPr>
        <w:t>Ley Nacional de Relaciones Laborales</w:t>
      </w:r>
      <w:r w:rsidR="001A635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El Estado</w:t>
      </w:r>
      <w:r w:rsidR="005D666A" w:rsidRPr="00A16D62">
        <w:rPr>
          <w:rFonts w:ascii="Cambria" w:eastAsia="Times New Roman" w:hAnsi="Cambria"/>
          <w:bCs/>
          <w:sz w:val="20"/>
          <w:szCs w:val="20"/>
          <w:bdr w:val="none" w:sz="0" w:space="0" w:color="auto"/>
          <w:lang w:val="es-ES"/>
        </w:rPr>
        <w:t xml:space="preserve"> </w:t>
      </w:r>
      <w:r w:rsidR="00FB0B2A" w:rsidRPr="00A16D62">
        <w:rPr>
          <w:rFonts w:ascii="Cambria" w:eastAsia="Times New Roman" w:hAnsi="Cambria"/>
          <w:bCs/>
          <w:sz w:val="20"/>
          <w:szCs w:val="20"/>
          <w:bdr w:val="none" w:sz="0" w:space="0" w:color="auto"/>
          <w:lang w:val="es-ES"/>
        </w:rPr>
        <w:t>af</w:t>
      </w:r>
      <w:r w:rsidR="00E02147" w:rsidRPr="00A16D62">
        <w:rPr>
          <w:rFonts w:ascii="Cambria" w:eastAsia="Times New Roman" w:hAnsi="Cambria"/>
          <w:bCs/>
          <w:sz w:val="20"/>
          <w:szCs w:val="20"/>
          <w:bdr w:val="none" w:sz="0" w:space="0" w:color="auto"/>
          <w:lang w:val="es-ES"/>
        </w:rPr>
        <w:t>irma que es</w:t>
      </w:r>
      <w:r w:rsidR="00372CDF" w:rsidRPr="00A16D62">
        <w:rPr>
          <w:rFonts w:ascii="Cambria" w:eastAsia="Times New Roman" w:hAnsi="Cambria"/>
          <w:bCs/>
          <w:sz w:val="20"/>
          <w:szCs w:val="20"/>
          <w:bdr w:val="none" w:sz="0" w:space="0" w:color="auto"/>
          <w:lang w:val="es-ES"/>
        </w:rPr>
        <w:t>t</w:t>
      </w:r>
      <w:r w:rsidR="00E02147" w:rsidRPr="00A16D62">
        <w:rPr>
          <w:rFonts w:ascii="Cambria" w:eastAsia="Times New Roman" w:hAnsi="Cambria"/>
          <w:bCs/>
          <w:sz w:val="20"/>
          <w:szCs w:val="20"/>
          <w:bdr w:val="none" w:sz="0" w:space="0" w:color="auto"/>
          <w:lang w:val="es-ES"/>
        </w:rPr>
        <w:t xml:space="preserve">a Ley garantiza a los </w:t>
      </w:r>
      <w:r w:rsidR="007B4310" w:rsidRPr="00A16D62">
        <w:rPr>
          <w:rFonts w:ascii="Cambria" w:eastAsia="Times New Roman" w:hAnsi="Cambria"/>
          <w:bCs/>
          <w:sz w:val="20"/>
          <w:szCs w:val="20"/>
          <w:bdr w:val="none" w:sz="0" w:space="0" w:color="auto"/>
          <w:lang w:val="es-ES"/>
        </w:rPr>
        <w:t>empleados</w:t>
      </w:r>
      <w:r w:rsidR="005D666A" w:rsidRPr="00A16D62">
        <w:rPr>
          <w:rFonts w:ascii="Cambria" w:eastAsia="Times New Roman" w:hAnsi="Cambria"/>
          <w:bCs/>
          <w:sz w:val="20"/>
          <w:szCs w:val="20"/>
          <w:bdr w:val="none" w:sz="0" w:space="0" w:color="auto"/>
          <w:lang w:val="es-ES"/>
        </w:rPr>
        <w:t xml:space="preserve"> </w:t>
      </w:r>
      <w:r w:rsidR="00E02147" w:rsidRPr="00A16D62">
        <w:rPr>
          <w:rFonts w:ascii="Cambria" w:eastAsia="Times New Roman" w:hAnsi="Cambria"/>
          <w:bCs/>
          <w:sz w:val="20"/>
          <w:szCs w:val="20"/>
          <w:bdr w:val="none" w:sz="0" w:space="0" w:color="auto"/>
          <w:lang w:val="es-ES"/>
        </w:rPr>
        <w:t xml:space="preserve">amparados por la misma el derecho a formar organizaciones laborales, afiliarse a ellas, revocar su certificación </w:t>
      </w:r>
      <w:r w:rsidR="00372CDF" w:rsidRPr="00A16D62">
        <w:rPr>
          <w:rFonts w:ascii="Cambria" w:eastAsia="Times New Roman" w:hAnsi="Cambria"/>
          <w:bCs/>
          <w:sz w:val="20"/>
          <w:szCs w:val="20"/>
          <w:bdr w:val="none" w:sz="0" w:space="0" w:color="auto"/>
          <w:lang w:val="es-ES"/>
        </w:rPr>
        <w:t>o proporcionarles asistencia y a realizar negociaciones colectivas por medio de los representantes que elijan o a abstenerse de participar en tales actividades</w:t>
      </w:r>
      <w:r w:rsidR="005D666A" w:rsidRPr="00A16D62">
        <w:rPr>
          <w:rFonts w:ascii="Cambria" w:eastAsia="Times New Roman" w:hAnsi="Cambria"/>
          <w:bCs/>
          <w:sz w:val="20"/>
          <w:szCs w:val="20"/>
          <w:bdr w:val="none" w:sz="0" w:space="0" w:color="auto"/>
          <w:lang w:val="es-ES"/>
        </w:rPr>
        <w:t xml:space="preserve">. </w:t>
      </w:r>
      <w:r w:rsidR="00902D36" w:rsidRPr="00A16D62">
        <w:rPr>
          <w:rFonts w:ascii="Cambria" w:eastAsia="Times New Roman" w:hAnsi="Cambria"/>
          <w:bCs/>
          <w:sz w:val="20"/>
          <w:szCs w:val="20"/>
          <w:bdr w:val="none" w:sz="0" w:space="0" w:color="auto"/>
          <w:lang w:val="es-ES"/>
        </w:rPr>
        <w:t>Según</w:t>
      </w:r>
      <w:r w:rsidR="005D666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el Estado</w:t>
      </w:r>
      <w:r w:rsidR="005D666A"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los empl</w:t>
      </w:r>
      <w:r w:rsidR="000F4EF8" w:rsidRPr="00A16D62">
        <w:rPr>
          <w:rFonts w:ascii="Cambria" w:eastAsia="Times New Roman" w:hAnsi="Cambria"/>
          <w:bCs/>
          <w:sz w:val="20"/>
          <w:szCs w:val="20"/>
          <w:bdr w:val="none" w:sz="0" w:space="0" w:color="auto"/>
          <w:lang w:val="es-ES"/>
        </w:rPr>
        <w:t>eadores</w:t>
      </w:r>
      <w:r w:rsidR="005D666A"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no deben interferir en los derechos amparados por la Ley Nacional de Relaciones Laborales</w:t>
      </w:r>
      <w:r w:rsidR="005D666A"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 xml:space="preserve">y los </w:t>
      </w:r>
      <w:r w:rsidR="007B4310" w:rsidRPr="00A16D62">
        <w:rPr>
          <w:rFonts w:ascii="Cambria" w:eastAsia="Times New Roman" w:hAnsi="Cambria"/>
          <w:bCs/>
          <w:sz w:val="20"/>
          <w:szCs w:val="20"/>
          <w:bdr w:val="none" w:sz="0" w:space="0" w:color="auto"/>
          <w:lang w:val="es-ES"/>
        </w:rPr>
        <w:t>empleados</w:t>
      </w:r>
      <w:r w:rsidR="005D666A"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 xml:space="preserve">los sindicatos y los </w:t>
      </w:r>
      <w:r w:rsidR="000F4EF8" w:rsidRPr="00A16D62">
        <w:rPr>
          <w:rFonts w:ascii="Cambria" w:eastAsia="Times New Roman" w:hAnsi="Cambria"/>
          <w:bCs/>
          <w:sz w:val="20"/>
          <w:szCs w:val="20"/>
          <w:bdr w:val="none" w:sz="0" w:space="0" w:color="auto"/>
          <w:lang w:val="es-ES"/>
        </w:rPr>
        <w:t>empleadores</w:t>
      </w:r>
      <w:r w:rsidR="005D666A"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mismos pueden denunciar prácticas injustas ante la Junta Nacional de Relaciones Laborales</w:t>
      </w:r>
      <w:r w:rsidR="005D666A"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La Junta, a su vez, investiga las denuncias, decide s</w:t>
      </w:r>
      <w:r w:rsidR="009A5408" w:rsidRPr="00A16D62">
        <w:rPr>
          <w:rFonts w:ascii="Cambria" w:eastAsia="Times New Roman" w:hAnsi="Cambria"/>
          <w:bCs/>
          <w:sz w:val="20"/>
          <w:szCs w:val="20"/>
          <w:bdr w:val="none" w:sz="0" w:space="0" w:color="auto"/>
          <w:lang w:val="es-ES"/>
        </w:rPr>
        <w:t>obre el fondo</w:t>
      </w:r>
      <w:r w:rsidR="005D666A"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y formula recomendaciones</w:t>
      </w:r>
      <w:r w:rsidR="005D666A"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 xml:space="preserve">entre ellas </w:t>
      </w:r>
      <w:r w:rsidR="005D666A" w:rsidRPr="00A16D62">
        <w:rPr>
          <w:rFonts w:ascii="Cambria" w:eastAsia="Times New Roman" w:hAnsi="Cambria"/>
          <w:bCs/>
          <w:sz w:val="20"/>
          <w:szCs w:val="20"/>
          <w:bdr w:val="none" w:sz="0" w:space="0" w:color="auto"/>
          <w:lang w:val="es-ES"/>
        </w:rPr>
        <w:t>“</w:t>
      </w:r>
      <w:r w:rsidR="00DC7F6F" w:rsidRPr="00A16D62">
        <w:rPr>
          <w:rFonts w:ascii="Cambria" w:eastAsia="Times New Roman" w:hAnsi="Cambria"/>
          <w:bCs/>
          <w:sz w:val="20"/>
          <w:szCs w:val="20"/>
          <w:bdr w:val="none" w:sz="0" w:space="0" w:color="auto"/>
          <w:lang w:val="es-ES"/>
        </w:rPr>
        <w:t xml:space="preserve">recursos de reparación integral, como reincorporación y el pago de </w:t>
      </w:r>
      <w:r w:rsidR="00E5771D" w:rsidRPr="00A16D62">
        <w:rPr>
          <w:rFonts w:ascii="Cambria" w:eastAsia="Times New Roman" w:hAnsi="Cambria"/>
          <w:bCs/>
          <w:sz w:val="20"/>
          <w:szCs w:val="20"/>
          <w:bdr w:val="none" w:sz="0" w:space="0" w:color="auto"/>
          <w:lang w:val="es-ES"/>
        </w:rPr>
        <w:t>salarios caídos</w:t>
      </w:r>
      <w:r w:rsidR="005D666A"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 xml:space="preserve">a </w:t>
      </w:r>
      <w:r w:rsidR="007B4310" w:rsidRPr="00A16D62">
        <w:rPr>
          <w:rFonts w:ascii="Cambria" w:eastAsia="Times New Roman" w:hAnsi="Cambria"/>
          <w:bCs/>
          <w:sz w:val="20"/>
          <w:szCs w:val="20"/>
          <w:bdr w:val="none" w:sz="0" w:space="0" w:color="auto"/>
          <w:lang w:val="es-ES"/>
        </w:rPr>
        <w:t>trabajadores</w:t>
      </w:r>
      <w:r w:rsidR="00DC7F6F" w:rsidRPr="00A16D62">
        <w:rPr>
          <w:rFonts w:ascii="Cambria" w:eastAsia="Times New Roman" w:hAnsi="Cambria"/>
          <w:bCs/>
          <w:sz w:val="20"/>
          <w:szCs w:val="20"/>
          <w:bdr w:val="none" w:sz="0" w:space="0" w:color="auto"/>
          <w:lang w:val="es-ES"/>
        </w:rPr>
        <w:t xml:space="preserve"> despedidos</w:t>
      </w:r>
      <w:r w:rsidR="005D666A" w:rsidRPr="00A16D62">
        <w:rPr>
          <w:rFonts w:ascii="Cambria" w:eastAsia="Times New Roman" w:hAnsi="Cambria"/>
          <w:bCs/>
          <w:sz w:val="20"/>
          <w:szCs w:val="20"/>
          <w:bdr w:val="none" w:sz="0" w:space="0" w:color="auto"/>
          <w:lang w:val="es-ES"/>
        </w:rPr>
        <w:t>”</w:t>
      </w:r>
      <w:r w:rsidR="00DC7F6F" w:rsidRPr="00A16D62">
        <w:rPr>
          <w:rFonts w:ascii="Cambria" w:eastAsia="Times New Roman" w:hAnsi="Cambria"/>
          <w:bCs/>
          <w:sz w:val="20"/>
          <w:szCs w:val="20"/>
          <w:bdr w:val="none" w:sz="0" w:space="0" w:color="auto"/>
          <w:lang w:val="es-ES"/>
        </w:rPr>
        <w:t xml:space="preserve">. Como ejemplos de los tipos de sanciones que la Junta puede imponer, </w:t>
      </w:r>
      <w:r w:rsidRPr="00A16D62">
        <w:rPr>
          <w:rFonts w:ascii="Cambria" w:eastAsia="Times New Roman" w:hAnsi="Cambria"/>
          <w:bCs/>
          <w:sz w:val="20"/>
          <w:szCs w:val="20"/>
          <w:bdr w:val="none" w:sz="0" w:space="0" w:color="auto"/>
          <w:lang w:val="es-ES"/>
        </w:rPr>
        <w:t>el Estado</w:t>
      </w:r>
      <w:r w:rsidR="001A635C"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 xml:space="preserve">señala que se puede obligar a un </w:t>
      </w:r>
      <w:r w:rsidR="007F4530" w:rsidRPr="00A16D62">
        <w:rPr>
          <w:rFonts w:ascii="Cambria" w:eastAsia="Times New Roman" w:hAnsi="Cambria"/>
          <w:bCs/>
          <w:sz w:val="20"/>
          <w:szCs w:val="20"/>
          <w:bdr w:val="none" w:sz="0" w:space="0" w:color="auto"/>
          <w:lang w:val="es-ES"/>
        </w:rPr>
        <w:t>empleador</w:t>
      </w:r>
      <w:r w:rsidR="005D666A" w:rsidRPr="00A16D62">
        <w:rPr>
          <w:rFonts w:ascii="Cambria" w:eastAsia="Times New Roman" w:hAnsi="Cambria"/>
          <w:bCs/>
          <w:sz w:val="20"/>
          <w:szCs w:val="20"/>
          <w:bdr w:val="none" w:sz="0" w:space="0" w:color="auto"/>
          <w:lang w:val="es-ES"/>
        </w:rPr>
        <w:t xml:space="preserve"> </w:t>
      </w:r>
      <w:r w:rsidR="00DC7F6F" w:rsidRPr="00A16D62">
        <w:rPr>
          <w:rFonts w:ascii="Cambria" w:eastAsia="Times New Roman" w:hAnsi="Cambria"/>
          <w:bCs/>
          <w:sz w:val="20"/>
          <w:szCs w:val="20"/>
          <w:bdr w:val="none" w:sz="0" w:space="0" w:color="auto"/>
          <w:lang w:val="es-ES"/>
        </w:rPr>
        <w:t xml:space="preserve">a reconocer </w:t>
      </w:r>
      <w:r w:rsidR="00B60770" w:rsidRPr="00A16D62">
        <w:rPr>
          <w:rFonts w:ascii="Cambria" w:eastAsia="Times New Roman" w:hAnsi="Cambria"/>
          <w:bCs/>
          <w:sz w:val="20"/>
          <w:szCs w:val="20"/>
          <w:bdr w:val="none" w:sz="0" w:space="0" w:color="auto"/>
          <w:lang w:val="es-ES"/>
        </w:rPr>
        <w:t xml:space="preserve">a </w:t>
      </w:r>
      <w:r w:rsidR="00DC7F6F" w:rsidRPr="00A16D62">
        <w:rPr>
          <w:rFonts w:ascii="Cambria" w:eastAsia="Times New Roman" w:hAnsi="Cambria"/>
          <w:bCs/>
          <w:sz w:val="20"/>
          <w:szCs w:val="20"/>
          <w:bdr w:val="none" w:sz="0" w:space="0" w:color="auto"/>
          <w:lang w:val="es-ES"/>
        </w:rPr>
        <w:t>un sindicato y a negociar con el mismo o a tomar medidas correctivas relativas a la información, como colocar avisos en los cuales prometa no infringir las leyes</w:t>
      </w:r>
      <w:r w:rsidR="005D666A" w:rsidRPr="00A16D62">
        <w:rPr>
          <w:rFonts w:ascii="Cambria" w:eastAsia="Times New Roman" w:hAnsi="Cambria"/>
          <w:bCs/>
          <w:sz w:val="20"/>
          <w:szCs w:val="20"/>
          <w:bdr w:val="none" w:sz="0" w:space="0" w:color="auto"/>
          <w:lang w:val="es-ES"/>
        </w:rPr>
        <w:t xml:space="preserve">. </w:t>
      </w:r>
    </w:p>
    <w:p w:rsidR="003C3D74" w:rsidRPr="00A16D62" w:rsidRDefault="003C3D74" w:rsidP="003C3D74">
      <w:pPr>
        <w:pStyle w:val="ListParagraph"/>
        <w:rPr>
          <w:rFonts w:eastAsia="Times New Roman"/>
          <w:bCs/>
          <w:sz w:val="20"/>
          <w:szCs w:val="20"/>
          <w:bdr w:val="none" w:sz="0" w:space="0" w:color="auto"/>
          <w:lang w:val="es-ES"/>
        </w:rPr>
      </w:pPr>
    </w:p>
    <w:p w:rsidR="003C3D74" w:rsidRPr="00A16D62" w:rsidRDefault="00B60770"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Con respecto a la </w:t>
      </w:r>
      <w:r w:rsidR="00DC7F6F" w:rsidRPr="00A16D62">
        <w:rPr>
          <w:rFonts w:ascii="Cambria" w:eastAsia="Times New Roman" w:hAnsi="Cambria"/>
          <w:bCs/>
          <w:sz w:val="20"/>
          <w:szCs w:val="20"/>
          <w:bdr w:val="none" w:sz="0" w:space="0" w:color="auto"/>
          <w:lang w:val="es-ES"/>
        </w:rPr>
        <w:t>Comisión para la Igualdad de Oportunidades en el Empleo</w:t>
      </w:r>
      <w:r w:rsidR="0051688A"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51688A" w:rsidRPr="00A16D62">
        <w:rPr>
          <w:rFonts w:ascii="Cambria" w:eastAsia="Times New Roman" w:hAnsi="Cambria"/>
          <w:bCs/>
          <w:sz w:val="20"/>
          <w:szCs w:val="20"/>
          <w:bdr w:val="none" w:sz="0" w:space="0" w:color="auto"/>
          <w:lang w:val="es-ES"/>
        </w:rPr>
        <w:t xml:space="preserve"> expl</w:t>
      </w:r>
      <w:r w:rsidRPr="00A16D62">
        <w:rPr>
          <w:rFonts w:ascii="Cambria" w:eastAsia="Times New Roman" w:hAnsi="Cambria"/>
          <w:bCs/>
          <w:sz w:val="20"/>
          <w:szCs w:val="20"/>
          <w:bdr w:val="none" w:sz="0" w:space="0" w:color="auto"/>
          <w:lang w:val="es-ES"/>
        </w:rPr>
        <w:t xml:space="preserve">ica que es la entidad que se encarga de hacer cumplir las leyes </w:t>
      </w:r>
      <w:r w:rsidR="0051688A" w:rsidRPr="00A16D62">
        <w:rPr>
          <w:rFonts w:ascii="Cambria" w:eastAsia="Times New Roman" w:hAnsi="Cambria"/>
          <w:bCs/>
          <w:sz w:val="20"/>
          <w:szCs w:val="20"/>
          <w:bdr w:val="none" w:sz="0" w:space="0" w:color="auto"/>
          <w:lang w:val="es-ES"/>
        </w:rPr>
        <w:t>federal</w:t>
      </w:r>
      <w:r w:rsidRPr="00A16D62">
        <w:rPr>
          <w:rFonts w:ascii="Cambria" w:eastAsia="Times New Roman" w:hAnsi="Cambria"/>
          <w:bCs/>
          <w:sz w:val="20"/>
          <w:szCs w:val="20"/>
          <w:bdr w:val="none" w:sz="0" w:space="0" w:color="auto"/>
          <w:lang w:val="es-ES"/>
        </w:rPr>
        <w:t xml:space="preserve">es contra la </w:t>
      </w:r>
      <w:r w:rsidR="00B8732F" w:rsidRPr="00A16D62">
        <w:rPr>
          <w:rFonts w:ascii="Cambria" w:eastAsia="Times New Roman" w:hAnsi="Cambria"/>
          <w:bCs/>
          <w:sz w:val="20"/>
          <w:szCs w:val="20"/>
          <w:bdr w:val="none" w:sz="0" w:space="0" w:color="auto"/>
          <w:lang w:val="es-ES"/>
        </w:rPr>
        <w:t>discriminación</w:t>
      </w:r>
      <w:r w:rsidR="0051688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virtud de las cuales es ilegal discriminar en contra de un solicitante o un empleado por razones de raza, </w:t>
      </w:r>
      <w:r w:rsidR="0051688A" w:rsidRPr="00A16D62">
        <w:rPr>
          <w:rFonts w:ascii="Cambria" w:eastAsia="Times New Roman" w:hAnsi="Cambria"/>
          <w:bCs/>
          <w:sz w:val="20"/>
          <w:szCs w:val="20"/>
          <w:bdr w:val="none" w:sz="0" w:space="0" w:color="auto"/>
          <w:lang w:val="es-ES"/>
        </w:rPr>
        <w:t>color, religi</w:t>
      </w:r>
      <w:r w:rsidRPr="00A16D62">
        <w:rPr>
          <w:rFonts w:ascii="Cambria" w:eastAsia="Times New Roman" w:hAnsi="Cambria"/>
          <w:bCs/>
          <w:sz w:val="20"/>
          <w:szCs w:val="20"/>
          <w:bdr w:val="none" w:sz="0" w:space="0" w:color="auto"/>
          <w:lang w:val="es-ES"/>
        </w:rPr>
        <w:t>ó</w:t>
      </w:r>
      <w:r w:rsidR="0051688A" w:rsidRPr="00A16D62">
        <w:rPr>
          <w:rFonts w:ascii="Cambria" w:eastAsia="Times New Roman" w:hAnsi="Cambria"/>
          <w:bCs/>
          <w:sz w:val="20"/>
          <w:szCs w:val="20"/>
          <w:bdr w:val="none" w:sz="0" w:space="0" w:color="auto"/>
          <w:lang w:val="es-ES"/>
        </w:rPr>
        <w:t>n, sex</w:t>
      </w:r>
      <w:r w:rsidRPr="00A16D62">
        <w:rPr>
          <w:rFonts w:ascii="Cambria" w:eastAsia="Times New Roman" w:hAnsi="Cambria"/>
          <w:bCs/>
          <w:sz w:val="20"/>
          <w:szCs w:val="20"/>
          <w:bdr w:val="none" w:sz="0" w:space="0" w:color="auto"/>
          <w:lang w:val="es-ES"/>
        </w:rPr>
        <w:t>o</w:t>
      </w:r>
      <w:r w:rsidR="0051688A" w:rsidRPr="00A16D62">
        <w:rPr>
          <w:rFonts w:ascii="Cambria" w:eastAsia="Times New Roman" w:hAnsi="Cambria"/>
          <w:bCs/>
          <w:sz w:val="20"/>
          <w:szCs w:val="20"/>
          <w:bdr w:val="none" w:sz="0" w:space="0" w:color="auto"/>
          <w:lang w:val="es-ES"/>
        </w:rPr>
        <w:t xml:space="preserve"> (inclu</w:t>
      </w:r>
      <w:r w:rsidRPr="00A16D62">
        <w:rPr>
          <w:rFonts w:ascii="Cambria" w:eastAsia="Times New Roman" w:hAnsi="Cambria"/>
          <w:bCs/>
          <w:sz w:val="20"/>
          <w:szCs w:val="20"/>
          <w:bdr w:val="none" w:sz="0" w:space="0" w:color="auto"/>
          <w:lang w:val="es-ES"/>
        </w:rPr>
        <w:t>ido el embarazo</w:t>
      </w:r>
      <w:r w:rsidR="0051688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origen nacional</w:t>
      </w:r>
      <w:r w:rsidR="0051688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edad</w:t>
      </w:r>
      <w:r w:rsidR="0051688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mayores de </w:t>
      </w:r>
      <w:r w:rsidR="0051688A" w:rsidRPr="00A16D62">
        <w:rPr>
          <w:rFonts w:ascii="Cambria" w:eastAsia="Times New Roman" w:hAnsi="Cambria"/>
          <w:bCs/>
          <w:sz w:val="20"/>
          <w:szCs w:val="20"/>
          <w:bdr w:val="none" w:sz="0" w:space="0" w:color="auto"/>
          <w:lang w:val="es-ES"/>
        </w:rPr>
        <w:t xml:space="preserve">40 </w:t>
      </w:r>
      <w:r w:rsidRPr="00A16D62">
        <w:rPr>
          <w:rFonts w:ascii="Cambria" w:eastAsia="Times New Roman" w:hAnsi="Cambria"/>
          <w:bCs/>
          <w:sz w:val="20"/>
          <w:szCs w:val="20"/>
          <w:bdr w:val="none" w:sz="0" w:space="0" w:color="auto"/>
          <w:lang w:val="es-ES"/>
        </w:rPr>
        <w:t>años</w:t>
      </w:r>
      <w:r w:rsidR="0051688A" w:rsidRPr="00A16D62">
        <w:rPr>
          <w:rFonts w:ascii="Cambria" w:eastAsia="Times New Roman" w:hAnsi="Cambria"/>
          <w:bCs/>
          <w:sz w:val="20"/>
          <w:szCs w:val="20"/>
          <w:bdr w:val="none" w:sz="0" w:space="0" w:color="auto"/>
          <w:lang w:val="es-ES"/>
        </w:rPr>
        <w:t>), dis</w:t>
      </w:r>
      <w:r w:rsidRPr="00A16D62">
        <w:rPr>
          <w:rFonts w:ascii="Cambria" w:eastAsia="Times New Roman" w:hAnsi="Cambria"/>
          <w:bCs/>
          <w:sz w:val="20"/>
          <w:szCs w:val="20"/>
          <w:bdr w:val="none" w:sz="0" w:space="0" w:color="auto"/>
          <w:lang w:val="es-ES"/>
        </w:rPr>
        <w:t>capacidad o información genética</w:t>
      </w:r>
      <w:r w:rsidR="00446047" w:rsidRPr="00A16D62">
        <w:rPr>
          <w:rStyle w:val="FootnoteReference"/>
          <w:rFonts w:ascii="Cambria" w:eastAsia="Times New Roman" w:hAnsi="Cambria"/>
          <w:bCs/>
          <w:sz w:val="20"/>
          <w:szCs w:val="20"/>
          <w:bdr w:val="none" w:sz="0" w:space="0" w:color="auto"/>
          <w:lang w:val="es-ES"/>
        </w:rPr>
        <w:footnoteReference w:id="19"/>
      </w:r>
      <w:r w:rsidRPr="00A16D62">
        <w:rPr>
          <w:rFonts w:ascii="Cambria" w:eastAsia="Times New Roman" w:hAnsi="Cambria"/>
          <w:bCs/>
          <w:sz w:val="20"/>
          <w:szCs w:val="20"/>
          <w:bdr w:val="none" w:sz="0" w:space="0" w:color="auto"/>
          <w:lang w:val="es-ES"/>
        </w:rPr>
        <w:t>.</w:t>
      </w:r>
      <w:r w:rsidR="0051688A" w:rsidRPr="00A16D62">
        <w:rPr>
          <w:rFonts w:ascii="Cambria" w:eastAsia="Times New Roman" w:hAnsi="Cambria"/>
          <w:bCs/>
          <w:sz w:val="20"/>
          <w:szCs w:val="20"/>
          <w:bdr w:val="none" w:sz="0" w:space="0" w:color="auto"/>
          <w:lang w:val="es-ES"/>
        </w:rPr>
        <w:t xml:space="preserve"> </w:t>
      </w:r>
      <w:r w:rsidR="00902D36" w:rsidRPr="00A16D62">
        <w:rPr>
          <w:rFonts w:ascii="Cambria" w:eastAsia="Times New Roman" w:hAnsi="Cambria"/>
          <w:bCs/>
          <w:sz w:val="20"/>
          <w:szCs w:val="20"/>
          <w:bdr w:val="none" w:sz="0" w:space="0" w:color="auto"/>
          <w:lang w:val="es-ES"/>
        </w:rPr>
        <w:t>Según</w:t>
      </w:r>
      <w:r w:rsidR="007A563B"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7A563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también es </w:t>
      </w:r>
      <w:r w:rsidR="007A563B" w:rsidRPr="00A16D62">
        <w:rPr>
          <w:rFonts w:ascii="Cambria" w:eastAsia="Times New Roman" w:hAnsi="Cambria"/>
          <w:bCs/>
          <w:sz w:val="20"/>
          <w:szCs w:val="20"/>
          <w:bdr w:val="none" w:sz="0" w:space="0" w:color="auto"/>
          <w:lang w:val="es-ES"/>
        </w:rPr>
        <w:t xml:space="preserve">ilegal </w:t>
      </w:r>
      <w:r w:rsidRPr="00A16D62">
        <w:rPr>
          <w:rFonts w:ascii="Cambria" w:eastAsia="Times New Roman" w:hAnsi="Cambria"/>
          <w:bCs/>
          <w:sz w:val="20"/>
          <w:szCs w:val="20"/>
          <w:bdr w:val="none" w:sz="0" w:space="0" w:color="auto"/>
          <w:lang w:val="es-ES"/>
        </w:rPr>
        <w:t xml:space="preserve">discriminar contra una persona porque se haya quejado de </w:t>
      </w:r>
      <w:r w:rsidR="00B8732F" w:rsidRPr="00A16D62">
        <w:rPr>
          <w:rFonts w:ascii="Cambria" w:eastAsia="Times New Roman" w:hAnsi="Cambria"/>
          <w:bCs/>
          <w:sz w:val="20"/>
          <w:szCs w:val="20"/>
          <w:bdr w:val="none" w:sz="0" w:space="0" w:color="auto"/>
          <w:lang w:val="es-ES"/>
        </w:rPr>
        <w:lastRenderedPageBreak/>
        <w:t>discriminación</w:t>
      </w:r>
      <w:r w:rsidR="007A563B" w:rsidRPr="00A16D62">
        <w:rPr>
          <w:rFonts w:ascii="Cambria" w:eastAsia="Times New Roman" w:hAnsi="Cambria"/>
          <w:bCs/>
          <w:sz w:val="20"/>
          <w:szCs w:val="20"/>
          <w:bdr w:val="none" w:sz="0" w:space="0" w:color="auto"/>
          <w:lang w:val="es-ES"/>
        </w:rPr>
        <w:t xml:space="preserve">, </w:t>
      </w:r>
      <w:r w:rsidR="00CC3419">
        <w:rPr>
          <w:rFonts w:ascii="Cambria" w:eastAsia="Times New Roman" w:hAnsi="Cambria"/>
          <w:bCs/>
          <w:sz w:val="20"/>
          <w:szCs w:val="20"/>
          <w:bdr w:val="none" w:sz="0" w:space="0" w:color="auto"/>
          <w:lang w:val="es-ES"/>
        </w:rPr>
        <w:t xml:space="preserve">porque </w:t>
      </w:r>
      <w:r w:rsidRPr="00A16D62">
        <w:rPr>
          <w:rFonts w:ascii="Cambria" w:eastAsia="Times New Roman" w:hAnsi="Cambria"/>
          <w:bCs/>
          <w:sz w:val="20"/>
          <w:szCs w:val="20"/>
          <w:bdr w:val="none" w:sz="0" w:space="0" w:color="auto"/>
          <w:lang w:val="es-ES"/>
        </w:rPr>
        <w:t>haya hecho una acusación</w:t>
      </w:r>
      <w:r w:rsidR="007A563B" w:rsidRPr="00A16D62">
        <w:rPr>
          <w:rFonts w:ascii="Cambria" w:eastAsia="Times New Roman" w:hAnsi="Cambria"/>
          <w:bCs/>
          <w:sz w:val="20"/>
          <w:szCs w:val="20"/>
          <w:bdr w:val="none" w:sz="0" w:space="0" w:color="auto"/>
          <w:lang w:val="es-ES"/>
        </w:rPr>
        <w:t xml:space="preserve"> </w:t>
      </w:r>
      <w:r w:rsidR="00B8732F" w:rsidRPr="00A16D62">
        <w:rPr>
          <w:rFonts w:ascii="Cambria" w:eastAsia="Times New Roman" w:hAnsi="Cambria"/>
          <w:bCs/>
          <w:sz w:val="20"/>
          <w:szCs w:val="20"/>
          <w:bdr w:val="none" w:sz="0" w:space="0" w:color="auto"/>
          <w:lang w:val="es-ES"/>
        </w:rPr>
        <w:t>discriminación</w:t>
      </w:r>
      <w:r w:rsidR="007A563B" w:rsidRPr="00A16D62">
        <w:rPr>
          <w:rFonts w:ascii="Cambria" w:eastAsia="Times New Roman" w:hAnsi="Cambria"/>
          <w:bCs/>
          <w:sz w:val="20"/>
          <w:szCs w:val="20"/>
          <w:bdr w:val="none" w:sz="0" w:space="0" w:color="auto"/>
          <w:lang w:val="es-ES"/>
        </w:rPr>
        <w:t xml:space="preserve"> o</w:t>
      </w:r>
      <w:r w:rsidRPr="00A16D62">
        <w:rPr>
          <w:rFonts w:ascii="Cambria" w:eastAsia="Times New Roman" w:hAnsi="Cambria"/>
          <w:bCs/>
          <w:sz w:val="20"/>
          <w:szCs w:val="20"/>
          <w:bdr w:val="none" w:sz="0" w:space="0" w:color="auto"/>
          <w:lang w:val="es-ES"/>
        </w:rPr>
        <w:t xml:space="preserve"> </w:t>
      </w:r>
      <w:r w:rsidR="00CC3419">
        <w:rPr>
          <w:rFonts w:ascii="Cambria" w:eastAsia="Times New Roman" w:hAnsi="Cambria"/>
          <w:bCs/>
          <w:sz w:val="20"/>
          <w:szCs w:val="20"/>
          <w:bdr w:val="none" w:sz="0" w:space="0" w:color="auto"/>
          <w:lang w:val="es-ES"/>
        </w:rPr>
        <w:t xml:space="preserve">porque </w:t>
      </w:r>
      <w:r w:rsidRPr="00A16D62">
        <w:rPr>
          <w:rFonts w:ascii="Cambria" w:eastAsia="Times New Roman" w:hAnsi="Cambria"/>
          <w:bCs/>
          <w:sz w:val="20"/>
          <w:szCs w:val="20"/>
          <w:bdr w:val="none" w:sz="0" w:space="0" w:color="auto"/>
          <w:lang w:val="es-ES"/>
        </w:rPr>
        <w:t xml:space="preserve">haya participado en una investigación o en un juicio por </w:t>
      </w:r>
      <w:r w:rsidR="00B8732F" w:rsidRPr="00A16D62">
        <w:rPr>
          <w:rFonts w:ascii="Cambria" w:eastAsia="Times New Roman" w:hAnsi="Cambria"/>
          <w:bCs/>
          <w:sz w:val="20"/>
          <w:szCs w:val="20"/>
          <w:bdr w:val="none" w:sz="0" w:space="0" w:color="auto"/>
          <w:lang w:val="es-ES"/>
        </w:rPr>
        <w:t>discriminación</w:t>
      </w:r>
      <w:r w:rsidR="007A563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materia de empleo. </w:t>
      </w:r>
      <w:r w:rsidR="00180125" w:rsidRPr="00A16D62">
        <w:rPr>
          <w:rFonts w:ascii="Cambria" w:eastAsia="Times New Roman" w:hAnsi="Cambria"/>
          <w:bCs/>
          <w:sz w:val="20"/>
          <w:szCs w:val="20"/>
          <w:bdr w:val="none" w:sz="0" w:space="0" w:color="auto"/>
          <w:lang w:val="es-ES"/>
        </w:rPr>
        <w:t>El Estado</w:t>
      </w:r>
      <w:r w:rsidR="007A563B" w:rsidRPr="00A16D62">
        <w:rPr>
          <w:rFonts w:ascii="Cambria" w:eastAsia="Times New Roman" w:hAnsi="Cambria"/>
          <w:bCs/>
          <w:sz w:val="20"/>
          <w:szCs w:val="20"/>
          <w:bdr w:val="none" w:sz="0" w:space="0" w:color="auto"/>
          <w:lang w:val="es-ES"/>
        </w:rPr>
        <w:t xml:space="preserve"> a</w:t>
      </w:r>
      <w:r w:rsidR="009E579B" w:rsidRPr="00A16D62">
        <w:rPr>
          <w:rFonts w:ascii="Cambria" w:eastAsia="Times New Roman" w:hAnsi="Cambria"/>
          <w:bCs/>
          <w:sz w:val="20"/>
          <w:szCs w:val="20"/>
          <w:bdr w:val="none" w:sz="0" w:space="0" w:color="auto"/>
          <w:lang w:val="es-ES"/>
        </w:rPr>
        <w:t xml:space="preserve">firma que las leyes </w:t>
      </w:r>
      <w:r w:rsidR="007A563B" w:rsidRPr="00A16D62">
        <w:rPr>
          <w:rFonts w:ascii="Cambria" w:eastAsia="Times New Roman" w:hAnsi="Cambria"/>
          <w:bCs/>
          <w:sz w:val="20"/>
          <w:szCs w:val="20"/>
          <w:bdr w:val="none" w:sz="0" w:space="0" w:color="auto"/>
          <w:lang w:val="es-ES"/>
        </w:rPr>
        <w:t>federal</w:t>
      </w:r>
      <w:r w:rsidR="009E579B" w:rsidRPr="00A16D62">
        <w:rPr>
          <w:rFonts w:ascii="Cambria" w:eastAsia="Times New Roman" w:hAnsi="Cambria"/>
          <w:bCs/>
          <w:sz w:val="20"/>
          <w:szCs w:val="20"/>
          <w:bdr w:val="none" w:sz="0" w:space="0" w:color="auto"/>
          <w:lang w:val="es-ES"/>
        </w:rPr>
        <w:t xml:space="preserve">es contra la </w:t>
      </w:r>
      <w:r w:rsidR="00B8732F" w:rsidRPr="00A16D62">
        <w:rPr>
          <w:rFonts w:ascii="Cambria" w:eastAsia="Times New Roman" w:hAnsi="Cambria"/>
          <w:bCs/>
          <w:sz w:val="20"/>
          <w:szCs w:val="20"/>
          <w:bdr w:val="none" w:sz="0" w:space="0" w:color="auto"/>
          <w:lang w:val="es-ES"/>
        </w:rPr>
        <w:t>discriminación</w:t>
      </w:r>
      <w:r w:rsidR="007A563B" w:rsidRPr="00A16D62">
        <w:rPr>
          <w:rFonts w:ascii="Cambria" w:eastAsia="Times New Roman" w:hAnsi="Cambria"/>
          <w:bCs/>
          <w:sz w:val="20"/>
          <w:szCs w:val="20"/>
          <w:bdr w:val="none" w:sz="0" w:space="0" w:color="auto"/>
          <w:lang w:val="es-ES"/>
        </w:rPr>
        <w:t xml:space="preserve"> </w:t>
      </w:r>
      <w:r w:rsidR="009E579B" w:rsidRPr="00A16D62">
        <w:rPr>
          <w:rFonts w:ascii="Cambria" w:eastAsia="Times New Roman" w:hAnsi="Cambria"/>
          <w:bCs/>
          <w:sz w:val="20"/>
          <w:szCs w:val="20"/>
          <w:bdr w:val="none" w:sz="0" w:space="0" w:color="auto"/>
          <w:lang w:val="es-ES"/>
        </w:rPr>
        <w:t>se aplican a todos los tipos de situaciones laborales, entre ellos la contratación, el despido, los ascensos, el acoso, la capacitación, los salarios y las prestaciones</w:t>
      </w:r>
      <w:r w:rsidR="007A563B" w:rsidRPr="00A16D62">
        <w:rPr>
          <w:rStyle w:val="FootnoteReference"/>
          <w:rFonts w:ascii="Cambria" w:eastAsia="Times New Roman" w:hAnsi="Cambria"/>
          <w:bCs/>
          <w:sz w:val="20"/>
          <w:szCs w:val="20"/>
          <w:bdr w:val="none" w:sz="0" w:space="0" w:color="auto"/>
          <w:lang w:val="es-ES"/>
        </w:rPr>
        <w:footnoteReference w:id="20"/>
      </w:r>
      <w:r w:rsidR="009E579B" w:rsidRPr="00A16D62">
        <w:rPr>
          <w:rFonts w:ascii="Cambria" w:eastAsia="Times New Roman" w:hAnsi="Cambria"/>
          <w:bCs/>
          <w:sz w:val="20"/>
          <w:szCs w:val="20"/>
          <w:bdr w:val="none" w:sz="0" w:space="0" w:color="auto"/>
          <w:lang w:val="es-ES"/>
        </w:rPr>
        <w:t>.</w:t>
      </w:r>
    </w:p>
    <w:p w:rsidR="009B4519" w:rsidRPr="00A16D62" w:rsidRDefault="009B4519" w:rsidP="009B451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354259" w:rsidRPr="00A16D62" w:rsidRDefault="00C07483" w:rsidP="00A6454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Sobre el tema de las medidas </w:t>
      </w:r>
      <w:r w:rsidR="00D1731B" w:rsidRPr="00A16D62">
        <w:rPr>
          <w:rFonts w:ascii="Cambria" w:eastAsia="Times New Roman" w:hAnsi="Cambria"/>
          <w:bCs/>
          <w:sz w:val="20"/>
          <w:szCs w:val="20"/>
          <w:bdr w:val="none" w:sz="0" w:space="0" w:color="auto"/>
          <w:lang w:val="es-ES"/>
        </w:rPr>
        <w:t>de la Dirección de Aplicación de las Leyes de Inmigración y Aduanas (</w:t>
      </w:r>
      <w:r w:rsidR="004121CB" w:rsidRPr="00A16D62">
        <w:rPr>
          <w:rFonts w:ascii="Cambria" w:eastAsia="Times New Roman" w:hAnsi="Cambria"/>
          <w:bCs/>
          <w:sz w:val="20"/>
          <w:szCs w:val="20"/>
          <w:bdr w:val="none" w:sz="0" w:space="0" w:color="auto"/>
          <w:lang w:val="es-ES"/>
        </w:rPr>
        <w:t>ICE</w:t>
      </w:r>
      <w:r w:rsidR="00D1731B" w:rsidRPr="00A16D62">
        <w:rPr>
          <w:rFonts w:ascii="Cambria" w:eastAsia="Times New Roman" w:hAnsi="Cambria"/>
          <w:bCs/>
          <w:sz w:val="20"/>
          <w:szCs w:val="20"/>
          <w:bdr w:val="none" w:sz="0" w:space="0" w:color="auto"/>
          <w:lang w:val="es-ES"/>
        </w:rPr>
        <w:t xml:space="preserve">) y las directrices generales para el organismo, </w:t>
      </w:r>
      <w:r w:rsidR="00180125" w:rsidRPr="00A16D62">
        <w:rPr>
          <w:rFonts w:ascii="Cambria" w:eastAsia="Times New Roman" w:hAnsi="Cambria"/>
          <w:bCs/>
          <w:sz w:val="20"/>
          <w:szCs w:val="20"/>
          <w:bdr w:val="none" w:sz="0" w:space="0" w:color="auto"/>
          <w:lang w:val="es-ES"/>
        </w:rPr>
        <w:t>el Estado</w:t>
      </w:r>
      <w:r w:rsidR="004121CB" w:rsidRPr="00A16D62">
        <w:rPr>
          <w:rFonts w:ascii="Cambria" w:eastAsia="Times New Roman" w:hAnsi="Cambria"/>
          <w:bCs/>
          <w:sz w:val="20"/>
          <w:szCs w:val="20"/>
          <w:bdr w:val="none" w:sz="0" w:space="0" w:color="auto"/>
          <w:lang w:val="es-ES"/>
        </w:rPr>
        <w:t xml:space="preserve"> inform</w:t>
      </w:r>
      <w:r w:rsidR="00D1731B" w:rsidRPr="00A16D62">
        <w:rPr>
          <w:rFonts w:ascii="Cambria" w:eastAsia="Times New Roman" w:hAnsi="Cambria"/>
          <w:bCs/>
          <w:sz w:val="20"/>
          <w:szCs w:val="20"/>
          <w:bdr w:val="none" w:sz="0" w:space="0" w:color="auto"/>
          <w:lang w:val="es-ES"/>
        </w:rPr>
        <w:t xml:space="preserve">a que, el </w:t>
      </w:r>
      <w:r w:rsidR="004121CB" w:rsidRPr="00A16D62">
        <w:rPr>
          <w:rFonts w:ascii="Cambria" w:eastAsia="Times New Roman" w:hAnsi="Cambria"/>
          <w:bCs/>
          <w:sz w:val="20"/>
          <w:szCs w:val="20"/>
          <w:bdr w:val="none" w:sz="0" w:space="0" w:color="auto"/>
          <w:lang w:val="es-ES"/>
        </w:rPr>
        <w:t>30</w:t>
      </w:r>
      <w:r w:rsidR="00D1731B" w:rsidRPr="00A16D62">
        <w:rPr>
          <w:rFonts w:ascii="Cambria" w:eastAsia="Times New Roman" w:hAnsi="Cambria"/>
          <w:bCs/>
          <w:sz w:val="20"/>
          <w:szCs w:val="20"/>
          <w:bdr w:val="none" w:sz="0" w:space="0" w:color="auto"/>
          <w:lang w:val="es-ES"/>
        </w:rPr>
        <w:t xml:space="preserve"> de abril de </w:t>
      </w:r>
      <w:r w:rsidR="004121CB" w:rsidRPr="00A16D62">
        <w:rPr>
          <w:rFonts w:ascii="Cambria" w:eastAsia="Times New Roman" w:hAnsi="Cambria"/>
          <w:bCs/>
          <w:sz w:val="20"/>
          <w:szCs w:val="20"/>
          <w:bdr w:val="none" w:sz="0" w:space="0" w:color="auto"/>
          <w:lang w:val="es-ES"/>
        </w:rPr>
        <w:t xml:space="preserve">2009, </w:t>
      </w:r>
      <w:r w:rsidR="00D1731B" w:rsidRPr="00A16D62">
        <w:rPr>
          <w:rFonts w:ascii="Cambria" w:eastAsia="Times New Roman" w:hAnsi="Cambria"/>
          <w:bCs/>
          <w:sz w:val="20"/>
          <w:szCs w:val="20"/>
          <w:bdr w:val="none" w:sz="0" w:space="0" w:color="auto"/>
          <w:lang w:val="es-ES"/>
        </w:rPr>
        <w:t xml:space="preserve">la Dirección anunció una estrategia revisada para la aplicación de las leyes en el lugar de trabajo, que promueve, entre otras cosas, </w:t>
      </w:r>
      <w:r w:rsidR="004121CB" w:rsidRPr="00A16D62">
        <w:rPr>
          <w:rFonts w:ascii="Cambria" w:eastAsia="Times New Roman" w:hAnsi="Cambria"/>
          <w:bCs/>
          <w:sz w:val="20"/>
          <w:szCs w:val="20"/>
          <w:bdr w:val="none" w:sz="0" w:space="0" w:color="auto"/>
          <w:lang w:val="es-ES"/>
        </w:rPr>
        <w:t>“</w:t>
      </w:r>
      <w:r w:rsidR="00D1731B" w:rsidRPr="00A16D62">
        <w:rPr>
          <w:rFonts w:ascii="Cambria" w:eastAsia="Times New Roman" w:hAnsi="Cambria"/>
          <w:bCs/>
          <w:sz w:val="20"/>
          <w:szCs w:val="20"/>
          <w:bdr w:val="none" w:sz="0" w:space="0" w:color="auto"/>
          <w:lang w:val="es-ES"/>
        </w:rPr>
        <w:t xml:space="preserve">la </w:t>
      </w:r>
      <w:r w:rsidR="00720BD8" w:rsidRPr="00A16D62">
        <w:rPr>
          <w:rFonts w:ascii="Cambria" w:eastAsia="Times New Roman" w:hAnsi="Cambria"/>
          <w:bCs/>
          <w:sz w:val="20"/>
          <w:szCs w:val="20"/>
          <w:bdr w:val="none" w:sz="0" w:space="0" w:color="auto"/>
          <w:lang w:val="es-ES"/>
        </w:rPr>
        <w:t>integri</w:t>
      </w:r>
      <w:r w:rsidR="00D1731B" w:rsidRPr="00A16D62">
        <w:rPr>
          <w:rFonts w:ascii="Cambria" w:eastAsia="Times New Roman" w:hAnsi="Cambria"/>
          <w:bCs/>
          <w:sz w:val="20"/>
          <w:szCs w:val="20"/>
          <w:bdr w:val="none" w:sz="0" w:space="0" w:color="auto"/>
          <w:lang w:val="es-ES"/>
        </w:rPr>
        <w:t>dad en el sistema de inmigraciones y un programa equitativo de aplicación de las leyes</w:t>
      </w:r>
      <w:r w:rsidR="00720BD8" w:rsidRPr="00A16D62">
        <w:rPr>
          <w:rFonts w:ascii="Cambria" w:eastAsia="Times New Roman" w:hAnsi="Cambria"/>
          <w:bCs/>
          <w:sz w:val="20"/>
          <w:szCs w:val="20"/>
          <w:bdr w:val="none" w:sz="0" w:space="0" w:color="auto"/>
          <w:lang w:val="es-ES"/>
        </w:rPr>
        <w:t>”</w:t>
      </w:r>
      <w:r w:rsidR="00D1731B" w:rsidRPr="00A16D62">
        <w:rPr>
          <w:rFonts w:ascii="Cambria" w:eastAsia="Times New Roman" w:hAnsi="Cambria"/>
          <w:bCs/>
          <w:sz w:val="20"/>
          <w:szCs w:val="20"/>
          <w:bdr w:val="none" w:sz="0" w:space="0" w:color="auto"/>
          <w:lang w:val="es-ES"/>
        </w:rPr>
        <w:t xml:space="preserve">, dando prioridad a “los peores infractores, entre ellos los </w:t>
      </w:r>
      <w:r w:rsidR="000F4EF8" w:rsidRPr="00A16D62">
        <w:rPr>
          <w:rFonts w:ascii="Cambria" w:eastAsia="Times New Roman" w:hAnsi="Cambria"/>
          <w:bCs/>
          <w:sz w:val="20"/>
          <w:szCs w:val="20"/>
          <w:bdr w:val="none" w:sz="0" w:space="0" w:color="auto"/>
          <w:lang w:val="es-ES"/>
        </w:rPr>
        <w:t>empleadores</w:t>
      </w:r>
      <w:r w:rsidR="00720BD8" w:rsidRPr="00A16D62">
        <w:rPr>
          <w:rFonts w:ascii="Cambria" w:eastAsia="Times New Roman" w:hAnsi="Cambria"/>
          <w:bCs/>
          <w:sz w:val="20"/>
          <w:szCs w:val="20"/>
          <w:bdr w:val="none" w:sz="0" w:space="0" w:color="auto"/>
          <w:lang w:val="es-ES"/>
        </w:rPr>
        <w:t xml:space="preserve"> </w:t>
      </w:r>
      <w:r w:rsidR="00D1731B" w:rsidRPr="00A16D62">
        <w:rPr>
          <w:rFonts w:ascii="Cambria" w:eastAsia="Times New Roman" w:hAnsi="Cambria"/>
          <w:bCs/>
          <w:sz w:val="20"/>
          <w:szCs w:val="20"/>
          <w:bdr w:val="none" w:sz="0" w:space="0" w:color="auto"/>
          <w:lang w:val="es-ES"/>
        </w:rPr>
        <w:t xml:space="preserve">que </w:t>
      </w:r>
      <w:r w:rsidR="00720BD8" w:rsidRPr="00A16D62">
        <w:rPr>
          <w:rFonts w:ascii="Cambria" w:eastAsia="Times New Roman" w:hAnsi="Cambria"/>
          <w:bCs/>
          <w:sz w:val="20"/>
          <w:szCs w:val="20"/>
          <w:bdr w:val="none" w:sz="0" w:space="0" w:color="auto"/>
          <w:lang w:val="es-ES"/>
        </w:rPr>
        <w:t>abus</w:t>
      </w:r>
      <w:r w:rsidR="00D1731B" w:rsidRPr="00A16D62">
        <w:rPr>
          <w:rFonts w:ascii="Cambria" w:eastAsia="Times New Roman" w:hAnsi="Cambria"/>
          <w:bCs/>
          <w:sz w:val="20"/>
          <w:szCs w:val="20"/>
          <w:bdr w:val="none" w:sz="0" w:space="0" w:color="auto"/>
          <w:lang w:val="es-ES"/>
        </w:rPr>
        <w:t xml:space="preserve">an y explotan a sus </w:t>
      </w:r>
      <w:r w:rsidR="007B4310" w:rsidRPr="00A16D62">
        <w:rPr>
          <w:rFonts w:ascii="Cambria" w:eastAsia="Times New Roman" w:hAnsi="Cambria"/>
          <w:bCs/>
          <w:sz w:val="20"/>
          <w:szCs w:val="20"/>
          <w:bdr w:val="none" w:sz="0" w:space="0" w:color="auto"/>
          <w:lang w:val="es-ES"/>
        </w:rPr>
        <w:t>trabajadores</w:t>
      </w:r>
      <w:r w:rsidR="00720BD8" w:rsidRPr="00A16D62">
        <w:rPr>
          <w:rFonts w:ascii="Cambria" w:eastAsia="Times New Roman" w:hAnsi="Cambria"/>
          <w:bCs/>
          <w:sz w:val="20"/>
          <w:szCs w:val="20"/>
          <w:bdr w:val="none" w:sz="0" w:space="0" w:color="auto"/>
          <w:lang w:val="es-ES"/>
        </w:rPr>
        <w:t xml:space="preserve">, </w:t>
      </w:r>
      <w:r w:rsidR="00C15D1E" w:rsidRPr="00A16D62">
        <w:rPr>
          <w:rFonts w:ascii="Cambria" w:eastAsia="Times New Roman" w:hAnsi="Cambria"/>
          <w:bCs/>
          <w:sz w:val="20"/>
          <w:szCs w:val="20"/>
          <w:bdr w:val="none" w:sz="0" w:space="0" w:color="auto"/>
          <w:lang w:val="es-ES"/>
        </w:rPr>
        <w:t>que participan en la trata de personas o que fabrican documentos de identidad falsos”</w:t>
      </w:r>
      <w:r w:rsidR="00720BD8"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720BD8" w:rsidRPr="00A16D62">
        <w:rPr>
          <w:rFonts w:ascii="Cambria" w:eastAsia="Times New Roman" w:hAnsi="Cambria"/>
          <w:bCs/>
          <w:sz w:val="20"/>
          <w:szCs w:val="20"/>
          <w:bdr w:val="none" w:sz="0" w:space="0" w:color="auto"/>
          <w:lang w:val="es-ES"/>
        </w:rPr>
        <w:t xml:space="preserve"> as</w:t>
      </w:r>
      <w:r w:rsidR="00C15D1E" w:rsidRPr="00A16D62">
        <w:rPr>
          <w:rFonts w:ascii="Cambria" w:eastAsia="Times New Roman" w:hAnsi="Cambria"/>
          <w:bCs/>
          <w:sz w:val="20"/>
          <w:szCs w:val="20"/>
          <w:bdr w:val="none" w:sz="0" w:space="0" w:color="auto"/>
          <w:lang w:val="es-ES"/>
        </w:rPr>
        <w:t xml:space="preserve">egura que </w:t>
      </w:r>
      <w:r w:rsidR="00720BD8" w:rsidRPr="00A16D62">
        <w:rPr>
          <w:rFonts w:ascii="Cambria" w:eastAsia="Times New Roman" w:hAnsi="Cambria"/>
          <w:bCs/>
          <w:sz w:val="20"/>
          <w:szCs w:val="20"/>
          <w:bdr w:val="none" w:sz="0" w:space="0" w:color="auto"/>
          <w:lang w:val="es-ES"/>
        </w:rPr>
        <w:t>“</w:t>
      </w:r>
      <w:r w:rsidR="00C15D1E" w:rsidRPr="00A16D62">
        <w:rPr>
          <w:rFonts w:ascii="Cambria" w:eastAsia="Times New Roman" w:hAnsi="Cambria"/>
          <w:bCs/>
          <w:sz w:val="20"/>
          <w:szCs w:val="20"/>
          <w:bdr w:val="none" w:sz="0" w:space="0" w:color="auto"/>
          <w:lang w:val="es-ES"/>
        </w:rPr>
        <w:t xml:space="preserve">la Dirección de Aplicación de las Leyes de Inmigración y Aduanas está comprometida con la aplicación efectiva de leyes laborales que promueven salarios y condiciones de trabajo apropiados para todos los </w:t>
      </w:r>
      <w:r w:rsidR="007B4310" w:rsidRPr="00A16D62">
        <w:rPr>
          <w:rFonts w:ascii="Cambria" w:eastAsia="Times New Roman" w:hAnsi="Cambria"/>
          <w:bCs/>
          <w:sz w:val="20"/>
          <w:szCs w:val="20"/>
          <w:bdr w:val="none" w:sz="0" w:space="0" w:color="auto"/>
          <w:lang w:val="es-ES"/>
        </w:rPr>
        <w:t>trabajadores</w:t>
      </w:r>
      <w:r w:rsidR="00C15D1E" w:rsidRPr="00A16D62">
        <w:rPr>
          <w:rFonts w:ascii="Cambria" w:eastAsia="Times New Roman" w:hAnsi="Cambria"/>
          <w:bCs/>
          <w:sz w:val="20"/>
          <w:szCs w:val="20"/>
          <w:bdr w:val="none" w:sz="0" w:space="0" w:color="auto"/>
          <w:lang w:val="es-ES"/>
        </w:rPr>
        <w:t>, independientemente de su</w:t>
      </w:r>
      <w:r w:rsidR="00720BD8" w:rsidRPr="00A16D62">
        <w:rPr>
          <w:rFonts w:ascii="Cambria" w:eastAsia="Times New Roman" w:hAnsi="Cambria"/>
          <w:bCs/>
          <w:sz w:val="20"/>
          <w:szCs w:val="20"/>
          <w:bdr w:val="none" w:sz="0" w:space="0" w:color="auto"/>
          <w:lang w:val="es-ES"/>
        </w:rPr>
        <w:t xml:space="preserve"> </w:t>
      </w:r>
      <w:r w:rsidR="00521A6A" w:rsidRPr="00A16D62">
        <w:rPr>
          <w:rFonts w:ascii="Cambria" w:eastAsia="Times New Roman" w:hAnsi="Cambria"/>
          <w:bCs/>
          <w:sz w:val="20"/>
          <w:szCs w:val="20"/>
          <w:bdr w:val="none" w:sz="0" w:space="0" w:color="auto"/>
          <w:lang w:val="es-ES"/>
        </w:rPr>
        <w:t>situación migratoria</w:t>
      </w:r>
      <w:r w:rsidR="00720BD8" w:rsidRPr="00A16D62">
        <w:rPr>
          <w:rFonts w:ascii="Cambria" w:eastAsia="Times New Roman" w:hAnsi="Cambria"/>
          <w:bCs/>
          <w:sz w:val="20"/>
          <w:szCs w:val="20"/>
          <w:bdr w:val="none" w:sz="0" w:space="0" w:color="auto"/>
          <w:lang w:val="es-ES"/>
        </w:rPr>
        <w:t>”</w:t>
      </w:r>
      <w:r w:rsidR="00C15D1E" w:rsidRPr="00A16D62">
        <w:rPr>
          <w:rFonts w:ascii="Cambria" w:eastAsia="Times New Roman" w:hAnsi="Cambria"/>
          <w:bCs/>
          <w:sz w:val="20"/>
          <w:szCs w:val="20"/>
          <w:bdr w:val="none" w:sz="0" w:space="0" w:color="auto"/>
          <w:lang w:val="es-ES"/>
        </w:rPr>
        <w:t>.</w:t>
      </w:r>
      <w:r w:rsidR="00720BD8" w:rsidRPr="00A16D62">
        <w:rPr>
          <w:rFonts w:ascii="Cambria" w:eastAsia="Times New Roman" w:hAnsi="Cambria"/>
          <w:bCs/>
          <w:sz w:val="20"/>
          <w:szCs w:val="20"/>
          <w:bdr w:val="none" w:sz="0" w:space="0" w:color="auto"/>
          <w:lang w:val="es-ES"/>
        </w:rPr>
        <w:t xml:space="preserve"> </w:t>
      </w:r>
      <w:r w:rsidR="00C15D1E" w:rsidRPr="00A16D62">
        <w:rPr>
          <w:rFonts w:ascii="Cambria" w:eastAsia="Times New Roman" w:hAnsi="Cambria"/>
          <w:bCs/>
          <w:sz w:val="20"/>
          <w:szCs w:val="20"/>
          <w:bdr w:val="none" w:sz="0" w:space="0" w:color="auto"/>
          <w:lang w:val="es-ES"/>
        </w:rPr>
        <w:t xml:space="preserve">Asimismo, </w:t>
      </w:r>
      <w:r w:rsidR="00180125" w:rsidRPr="00A16D62">
        <w:rPr>
          <w:rFonts w:ascii="Cambria" w:eastAsia="Times New Roman" w:hAnsi="Cambria"/>
          <w:bCs/>
          <w:sz w:val="20"/>
          <w:szCs w:val="20"/>
          <w:bdr w:val="none" w:sz="0" w:space="0" w:color="auto"/>
          <w:lang w:val="es-ES"/>
        </w:rPr>
        <w:t>el Estado</w:t>
      </w:r>
      <w:r w:rsidR="00720BD8" w:rsidRPr="00A16D62">
        <w:rPr>
          <w:rFonts w:ascii="Cambria" w:eastAsia="Times New Roman" w:hAnsi="Cambria"/>
          <w:bCs/>
          <w:sz w:val="20"/>
          <w:szCs w:val="20"/>
          <w:bdr w:val="none" w:sz="0" w:space="0" w:color="auto"/>
          <w:lang w:val="es-ES"/>
        </w:rPr>
        <w:t xml:space="preserve"> </w:t>
      </w:r>
      <w:r w:rsidR="00743642" w:rsidRPr="00A16D62">
        <w:rPr>
          <w:rFonts w:ascii="Cambria" w:eastAsia="Times New Roman" w:hAnsi="Cambria"/>
          <w:bCs/>
          <w:sz w:val="20"/>
          <w:szCs w:val="20"/>
          <w:bdr w:val="none" w:sz="0" w:space="0" w:color="auto"/>
          <w:lang w:val="es-ES"/>
        </w:rPr>
        <w:t xml:space="preserve">afirma que la Dirección se abstiene de intervenir en la aplicación de la normativa en el ámbito civil en los lugares de trabajo donde el </w:t>
      </w:r>
      <w:r w:rsidR="00E02147" w:rsidRPr="00A16D62">
        <w:rPr>
          <w:rFonts w:ascii="Cambria" w:eastAsia="Times New Roman" w:hAnsi="Cambria"/>
          <w:bCs/>
          <w:sz w:val="20"/>
          <w:szCs w:val="20"/>
          <w:bdr w:val="none" w:sz="0" w:space="0" w:color="auto"/>
          <w:lang w:val="es-ES"/>
        </w:rPr>
        <w:t>Departamento de Trabajo</w:t>
      </w:r>
      <w:r w:rsidR="00720BD8" w:rsidRPr="00A16D62">
        <w:rPr>
          <w:rFonts w:ascii="Cambria" w:eastAsia="Times New Roman" w:hAnsi="Cambria"/>
          <w:bCs/>
          <w:sz w:val="20"/>
          <w:szCs w:val="20"/>
          <w:bdr w:val="none" w:sz="0" w:space="0" w:color="auto"/>
          <w:lang w:val="es-ES"/>
        </w:rPr>
        <w:t xml:space="preserve"> </w:t>
      </w:r>
      <w:r w:rsidR="00743642" w:rsidRPr="00A16D62">
        <w:rPr>
          <w:rFonts w:ascii="Cambria" w:eastAsia="Times New Roman" w:hAnsi="Cambria"/>
          <w:bCs/>
          <w:sz w:val="20"/>
          <w:szCs w:val="20"/>
          <w:bdr w:val="none" w:sz="0" w:space="0" w:color="auto"/>
          <w:lang w:val="es-ES"/>
        </w:rPr>
        <w:t>está investigando conflictos laborales</w:t>
      </w:r>
      <w:r w:rsidR="00720BD8" w:rsidRPr="00A16D62">
        <w:rPr>
          <w:rFonts w:ascii="Cambria" w:eastAsia="Times New Roman" w:hAnsi="Cambria"/>
          <w:bCs/>
          <w:sz w:val="20"/>
          <w:szCs w:val="20"/>
          <w:bdr w:val="none" w:sz="0" w:space="0" w:color="auto"/>
          <w:lang w:val="es-ES"/>
        </w:rPr>
        <w:t xml:space="preserve"> “</w:t>
      </w:r>
      <w:r w:rsidR="00743642" w:rsidRPr="00A16D62">
        <w:rPr>
          <w:rFonts w:ascii="Cambria" w:eastAsia="Times New Roman" w:hAnsi="Cambria"/>
          <w:bCs/>
          <w:sz w:val="20"/>
          <w:szCs w:val="20"/>
          <w:bdr w:val="none" w:sz="0" w:space="0" w:color="auto"/>
          <w:lang w:val="es-ES"/>
        </w:rPr>
        <w:t>mientras se esté llevando a cabo la investigación y cualquier otro procedimiento conexo</w:t>
      </w:r>
      <w:r w:rsidR="00720BD8" w:rsidRPr="00A16D62">
        <w:rPr>
          <w:rFonts w:ascii="Cambria" w:eastAsia="Times New Roman" w:hAnsi="Cambria"/>
          <w:bCs/>
          <w:sz w:val="20"/>
          <w:szCs w:val="20"/>
          <w:bdr w:val="none" w:sz="0" w:space="0" w:color="auto"/>
          <w:lang w:val="es-ES"/>
        </w:rPr>
        <w:t>”</w:t>
      </w:r>
      <w:r w:rsidR="00743642" w:rsidRPr="00A16D62">
        <w:rPr>
          <w:rFonts w:ascii="Cambria" w:eastAsia="Times New Roman" w:hAnsi="Cambria"/>
          <w:bCs/>
          <w:sz w:val="20"/>
          <w:szCs w:val="20"/>
          <w:bdr w:val="none" w:sz="0" w:space="0" w:color="auto"/>
          <w:lang w:val="es-ES"/>
        </w:rPr>
        <w:t>.</w:t>
      </w:r>
    </w:p>
    <w:p w:rsidR="00681D81" w:rsidRPr="00A16D62" w:rsidRDefault="00681D81" w:rsidP="00681D81">
      <w:pPr>
        <w:rPr>
          <w:rFonts w:eastAsia="Times New Roman"/>
          <w:bCs/>
          <w:sz w:val="20"/>
          <w:szCs w:val="20"/>
          <w:bdr w:val="none" w:sz="0" w:space="0" w:color="auto"/>
          <w:lang w:val="es-ES"/>
        </w:rPr>
      </w:pPr>
    </w:p>
    <w:p w:rsidR="00A64546" w:rsidRPr="00A16D62" w:rsidRDefault="00177D23" w:rsidP="00B164EF">
      <w:pPr>
        <w:pStyle w:val="Heading3"/>
        <w:ind w:left="1440" w:hanging="720"/>
        <w:jc w:val="both"/>
        <w:rPr>
          <w:lang w:val="es-ES"/>
        </w:rPr>
      </w:pPr>
      <w:bookmarkStart w:id="17" w:name="_Toc467138442"/>
      <w:r w:rsidRPr="00A16D62">
        <w:rPr>
          <w:lang w:val="es-ES"/>
        </w:rPr>
        <w:t>Consideraciones de derecho</w:t>
      </w:r>
      <w:r w:rsidR="00671E3F" w:rsidRPr="00A16D62">
        <w:rPr>
          <w:lang w:val="es-ES"/>
        </w:rPr>
        <w:t xml:space="preserve">: </w:t>
      </w:r>
      <w:r w:rsidR="00743642" w:rsidRPr="00A16D62">
        <w:rPr>
          <w:lang w:val="es-ES"/>
        </w:rPr>
        <w:t>derecho de igualdad ante la Ley, derecho de reconocimiento de la personalidad jurídica y de los derechos civiles, y derecho de justicia (artículos II, XVII y XVIII de la Declaración Americana</w:t>
      </w:r>
      <w:r w:rsidR="004B3CA9" w:rsidRPr="00A16D62">
        <w:rPr>
          <w:lang w:val="es-ES"/>
        </w:rPr>
        <w:t>)</w:t>
      </w:r>
      <w:bookmarkEnd w:id="17"/>
    </w:p>
    <w:p w:rsidR="00ED19BD" w:rsidRPr="00A16D62" w:rsidRDefault="00ED19BD" w:rsidP="00EB03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681D81" w:rsidRPr="00A16D62" w:rsidRDefault="0018012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El Estado</w:t>
      </w:r>
      <w:r w:rsidR="00C67C2D" w:rsidRPr="00A16D62">
        <w:rPr>
          <w:rFonts w:ascii="Cambria" w:eastAsia="Times New Roman" w:hAnsi="Cambria"/>
          <w:bCs/>
          <w:sz w:val="20"/>
          <w:szCs w:val="20"/>
          <w:bdr w:val="none" w:sz="0" w:space="0" w:color="auto"/>
          <w:lang w:val="es-ES"/>
        </w:rPr>
        <w:t xml:space="preserve"> </w:t>
      </w:r>
      <w:r w:rsidR="001E21E9" w:rsidRPr="00A16D62">
        <w:rPr>
          <w:rFonts w:ascii="Cambria" w:eastAsia="Times New Roman" w:hAnsi="Cambria"/>
          <w:bCs/>
          <w:sz w:val="20"/>
          <w:szCs w:val="20"/>
          <w:bdr w:val="none" w:sz="0" w:space="0" w:color="auto"/>
          <w:lang w:val="es-ES"/>
        </w:rPr>
        <w:t xml:space="preserve">sostiene que no se han violado los derechos de las </w:t>
      </w:r>
      <w:r w:rsidR="009A5408" w:rsidRPr="00A16D62">
        <w:rPr>
          <w:rFonts w:ascii="Cambria" w:eastAsia="Times New Roman" w:hAnsi="Cambria"/>
          <w:bCs/>
          <w:sz w:val="20"/>
          <w:szCs w:val="20"/>
          <w:bdr w:val="none" w:sz="0" w:space="0" w:color="auto"/>
          <w:lang w:val="es-ES"/>
        </w:rPr>
        <w:t>presuntas víctimas</w:t>
      </w:r>
      <w:r w:rsidR="001E21E9" w:rsidRPr="00A16D62">
        <w:rPr>
          <w:rFonts w:ascii="Cambria" w:eastAsia="Times New Roman" w:hAnsi="Cambria"/>
          <w:bCs/>
          <w:sz w:val="20"/>
          <w:szCs w:val="20"/>
          <w:bdr w:val="none" w:sz="0" w:space="0" w:color="auto"/>
          <w:lang w:val="es-ES"/>
        </w:rPr>
        <w:t xml:space="preserve"> enunciados en la </w:t>
      </w:r>
      <w:r w:rsidR="00811F92" w:rsidRPr="00A16D62">
        <w:rPr>
          <w:rFonts w:ascii="Cambria" w:eastAsia="Times New Roman" w:hAnsi="Cambria"/>
          <w:bCs/>
          <w:sz w:val="20"/>
          <w:szCs w:val="20"/>
          <w:bdr w:val="none" w:sz="0" w:space="0" w:color="auto"/>
          <w:lang w:val="es-ES"/>
        </w:rPr>
        <w:t>Declaración Americana</w:t>
      </w:r>
      <w:r w:rsidR="004B3CA9" w:rsidRPr="00A16D62">
        <w:rPr>
          <w:rFonts w:ascii="Cambria" w:eastAsia="Times New Roman" w:hAnsi="Cambria"/>
          <w:bCs/>
          <w:sz w:val="20"/>
          <w:szCs w:val="20"/>
          <w:bdr w:val="none" w:sz="0" w:space="0" w:color="auto"/>
          <w:lang w:val="es-ES"/>
        </w:rPr>
        <w:t xml:space="preserve"> </w:t>
      </w:r>
      <w:r w:rsidR="001E21E9" w:rsidRPr="00A16D62">
        <w:rPr>
          <w:rFonts w:ascii="Cambria" w:eastAsia="Times New Roman" w:hAnsi="Cambria"/>
          <w:bCs/>
          <w:sz w:val="20"/>
          <w:szCs w:val="20"/>
          <w:bdr w:val="none" w:sz="0" w:space="0" w:color="auto"/>
          <w:lang w:val="es-ES"/>
        </w:rPr>
        <w:t xml:space="preserve">porque la decisión en el caso </w:t>
      </w:r>
      <w:r w:rsidR="004B3CA9" w:rsidRPr="00A16D62">
        <w:rPr>
          <w:rFonts w:ascii="Cambria" w:eastAsia="Times New Roman" w:hAnsi="Cambria"/>
          <w:bCs/>
          <w:i/>
          <w:sz w:val="20"/>
          <w:szCs w:val="20"/>
          <w:bdr w:val="none" w:sz="0" w:space="0" w:color="auto"/>
          <w:lang w:val="es-ES"/>
        </w:rPr>
        <w:t>Hoffman</w:t>
      </w:r>
      <w:r w:rsidR="004B3CA9" w:rsidRPr="00A16D62">
        <w:rPr>
          <w:rFonts w:ascii="Cambria" w:eastAsia="Times New Roman" w:hAnsi="Cambria"/>
          <w:bCs/>
          <w:sz w:val="20"/>
          <w:szCs w:val="20"/>
          <w:bdr w:val="none" w:sz="0" w:space="0" w:color="auto"/>
          <w:lang w:val="es-ES"/>
        </w:rPr>
        <w:t xml:space="preserve"> </w:t>
      </w:r>
      <w:r w:rsidR="001E21E9" w:rsidRPr="00A16D62">
        <w:rPr>
          <w:rFonts w:ascii="Cambria" w:eastAsia="Times New Roman" w:hAnsi="Cambria"/>
          <w:bCs/>
          <w:sz w:val="20"/>
          <w:szCs w:val="20"/>
          <w:bdr w:val="none" w:sz="0" w:space="0" w:color="auto"/>
          <w:lang w:val="es-ES"/>
        </w:rPr>
        <w:t xml:space="preserve">no afecta los derechos de los </w:t>
      </w:r>
      <w:r w:rsidR="007B4310" w:rsidRPr="00A16D62">
        <w:rPr>
          <w:rFonts w:ascii="Cambria" w:eastAsia="Times New Roman" w:hAnsi="Cambria"/>
          <w:bCs/>
          <w:sz w:val="20"/>
          <w:szCs w:val="20"/>
          <w:bdr w:val="none" w:sz="0" w:space="0" w:color="auto"/>
          <w:lang w:val="es-ES"/>
        </w:rPr>
        <w:t>trabajadores</w:t>
      </w:r>
      <w:r w:rsidR="004B3CA9" w:rsidRPr="00A16D62">
        <w:rPr>
          <w:rFonts w:ascii="Cambria" w:eastAsia="Times New Roman" w:hAnsi="Cambria"/>
          <w:bCs/>
          <w:sz w:val="20"/>
          <w:szCs w:val="20"/>
          <w:bdr w:val="none" w:sz="0" w:space="0" w:color="auto"/>
          <w:lang w:val="es-ES"/>
        </w:rPr>
        <w:t xml:space="preserve"> </w:t>
      </w:r>
      <w:r w:rsidR="001E21E9" w:rsidRPr="00A16D62">
        <w:rPr>
          <w:rFonts w:ascii="Cambria" w:eastAsia="Times New Roman" w:hAnsi="Cambria"/>
          <w:bCs/>
          <w:sz w:val="20"/>
          <w:szCs w:val="20"/>
          <w:bdr w:val="none" w:sz="0" w:space="0" w:color="auto"/>
          <w:lang w:val="es-ES"/>
        </w:rPr>
        <w:t xml:space="preserve">que sufren lesiones en el trabajo en </w:t>
      </w:r>
      <w:r w:rsidR="003E2C91" w:rsidRPr="00A16D62">
        <w:rPr>
          <w:rFonts w:ascii="Cambria" w:eastAsia="Times New Roman" w:hAnsi="Cambria"/>
          <w:bCs/>
          <w:sz w:val="20"/>
          <w:szCs w:val="20"/>
          <w:bdr w:val="none" w:sz="0" w:space="0" w:color="auto"/>
          <w:lang w:val="es-ES"/>
        </w:rPr>
        <w:t>Pensilvania</w:t>
      </w:r>
      <w:r w:rsidR="004B3CA9" w:rsidRPr="00A16D62">
        <w:rPr>
          <w:rFonts w:ascii="Cambria" w:eastAsia="Times New Roman" w:hAnsi="Cambria"/>
          <w:bCs/>
          <w:sz w:val="20"/>
          <w:szCs w:val="20"/>
          <w:bdr w:val="none" w:sz="0" w:space="0" w:color="auto"/>
          <w:lang w:val="es-ES"/>
        </w:rPr>
        <w:t xml:space="preserve"> </w:t>
      </w:r>
      <w:r w:rsidR="001E21E9" w:rsidRPr="00A16D62">
        <w:rPr>
          <w:rFonts w:ascii="Cambria" w:eastAsia="Times New Roman" w:hAnsi="Cambria"/>
          <w:bCs/>
          <w:sz w:val="20"/>
          <w:szCs w:val="20"/>
          <w:bdr w:val="none" w:sz="0" w:space="0" w:color="auto"/>
          <w:lang w:val="es-ES"/>
        </w:rPr>
        <w:t>y</w:t>
      </w:r>
      <w:r w:rsidR="004B3CA9" w:rsidRPr="00A16D62">
        <w:rPr>
          <w:rFonts w:ascii="Cambria" w:eastAsia="Times New Roman" w:hAnsi="Cambria"/>
          <w:bCs/>
          <w:sz w:val="20"/>
          <w:szCs w:val="20"/>
          <w:bdr w:val="none" w:sz="0" w:space="0" w:color="auto"/>
          <w:lang w:val="es-ES"/>
        </w:rPr>
        <w:t xml:space="preserve"> Kansas. </w:t>
      </w:r>
      <w:r w:rsidRPr="00A16D62">
        <w:rPr>
          <w:rFonts w:ascii="Cambria" w:eastAsia="Times New Roman" w:hAnsi="Cambria"/>
          <w:bCs/>
          <w:sz w:val="20"/>
          <w:szCs w:val="20"/>
          <w:bdr w:val="none" w:sz="0" w:space="0" w:color="auto"/>
          <w:lang w:val="es-ES"/>
        </w:rPr>
        <w:t>El Estado</w:t>
      </w:r>
      <w:r w:rsidR="0098079D" w:rsidRPr="00A16D62">
        <w:rPr>
          <w:rFonts w:ascii="Cambria" w:eastAsia="Times New Roman" w:hAnsi="Cambria"/>
          <w:bCs/>
          <w:sz w:val="20"/>
          <w:szCs w:val="20"/>
          <w:bdr w:val="none" w:sz="0" w:space="0" w:color="auto"/>
          <w:lang w:val="es-ES"/>
        </w:rPr>
        <w:t xml:space="preserve"> </w:t>
      </w:r>
      <w:r w:rsidR="001E21E9" w:rsidRPr="00A16D62">
        <w:rPr>
          <w:rFonts w:ascii="Cambria" w:eastAsia="Times New Roman" w:hAnsi="Cambria"/>
          <w:bCs/>
          <w:sz w:val="20"/>
          <w:szCs w:val="20"/>
          <w:bdr w:val="none" w:sz="0" w:space="0" w:color="auto"/>
          <w:lang w:val="es-ES"/>
        </w:rPr>
        <w:t xml:space="preserve">afirma que tiene el derecho soberano de denegar el permiso de trabajo a las personas que están </w:t>
      </w:r>
      <w:r w:rsidR="00593BF9" w:rsidRPr="00A16D62">
        <w:rPr>
          <w:rFonts w:ascii="Cambria" w:eastAsia="Times New Roman" w:hAnsi="Cambria"/>
          <w:bCs/>
          <w:sz w:val="20"/>
          <w:szCs w:val="20"/>
          <w:bdr w:val="none" w:sz="0" w:space="0" w:color="auto"/>
          <w:lang w:val="es-ES"/>
        </w:rPr>
        <w:t>presentes ilegalmente</w:t>
      </w:r>
      <w:r w:rsidR="0098079D" w:rsidRPr="00A16D62">
        <w:rPr>
          <w:rFonts w:ascii="Cambria" w:eastAsia="Times New Roman" w:hAnsi="Cambria"/>
          <w:bCs/>
          <w:sz w:val="20"/>
          <w:szCs w:val="20"/>
          <w:bdr w:val="none" w:sz="0" w:space="0" w:color="auto"/>
          <w:lang w:val="es-ES"/>
        </w:rPr>
        <w:t xml:space="preserve"> </w:t>
      </w:r>
      <w:r w:rsidR="001E21E9" w:rsidRPr="00A16D62">
        <w:rPr>
          <w:rFonts w:ascii="Cambria" w:eastAsia="Times New Roman" w:hAnsi="Cambria"/>
          <w:bCs/>
          <w:sz w:val="20"/>
          <w:szCs w:val="20"/>
          <w:bdr w:val="none" w:sz="0" w:space="0" w:color="auto"/>
          <w:lang w:val="es-ES"/>
        </w:rPr>
        <w:t>en el país o a aquellas que no han obtenido autorización para trabajar. Por lo tanto</w:t>
      </w:r>
      <w:r w:rsidR="0098079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el Estado</w:t>
      </w:r>
      <w:r w:rsidR="0098079D" w:rsidRPr="00A16D62">
        <w:rPr>
          <w:rFonts w:ascii="Cambria" w:eastAsia="Times New Roman" w:hAnsi="Cambria"/>
          <w:bCs/>
          <w:sz w:val="20"/>
          <w:szCs w:val="20"/>
          <w:bdr w:val="none" w:sz="0" w:space="0" w:color="auto"/>
          <w:lang w:val="es-ES"/>
        </w:rPr>
        <w:t xml:space="preserve"> </w:t>
      </w:r>
      <w:r w:rsidR="001E21E9" w:rsidRPr="00A16D62">
        <w:rPr>
          <w:rFonts w:ascii="Cambria" w:eastAsia="Times New Roman" w:hAnsi="Cambria"/>
          <w:bCs/>
          <w:sz w:val="20"/>
          <w:szCs w:val="20"/>
          <w:bdr w:val="none" w:sz="0" w:space="0" w:color="auto"/>
          <w:lang w:val="es-ES"/>
        </w:rPr>
        <w:t xml:space="preserve">agrega que, </w:t>
      </w:r>
      <w:r w:rsidR="008F779C" w:rsidRPr="00A16D62">
        <w:rPr>
          <w:rFonts w:ascii="Cambria" w:eastAsia="Times New Roman" w:hAnsi="Cambria"/>
          <w:bCs/>
          <w:sz w:val="20"/>
          <w:szCs w:val="20"/>
          <w:bdr w:val="none" w:sz="0" w:space="0" w:color="auto"/>
          <w:lang w:val="es-ES"/>
        </w:rPr>
        <w:t>de conformidad con este principio</w:t>
      </w:r>
      <w:r w:rsidR="0098079D" w:rsidRPr="00A16D62">
        <w:rPr>
          <w:rFonts w:ascii="Cambria" w:eastAsia="Times New Roman" w:hAnsi="Cambria"/>
          <w:bCs/>
          <w:sz w:val="20"/>
          <w:szCs w:val="20"/>
          <w:bdr w:val="none" w:sz="0" w:space="0" w:color="auto"/>
          <w:lang w:val="es-ES"/>
        </w:rPr>
        <w:t xml:space="preserve">, </w:t>
      </w:r>
      <w:r w:rsidR="008F779C" w:rsidRPr="00A16D62">
        <w:rPr>
          <w:rFonts w:ascii="Cambria" w:eastAsia="Times New Roman" w:hAnsi="Cambria"/>
          <w:bCs/>
          <w:sz w:val="20"/>
          <w:szCs w:val="20"/>
          <w:bdr w:val="none" w:sz="0" w:space="0" w:color="auto"/>
          <w:lang w:val="es-ES"/>
        </w:rPr>
        <w:t xml:space="preserve">las leyes </w:t>
      </w:r>
      <w:r w:rsidR="0098079D" w:rsidRPr="00A16D62">
        <w:rPr>
          <w:rFonts w:ascii="Cambria" w:eastAsia="Times New Roman" w:hAnsi="Cambria"/>
          <w:bCs/>
          <w:sz w:val="20"/>
          <w:szCs w:val="20"/>
          <w:bdr w:val="none" w:sz="0" w:space="0" w:color="auto"/>
          <w:lang w:val="es-ES"/>
        </w:rPr>
        <w:t>federal</w:t>
      </w:r>
      <w:r w:rsidR="008F779C" w:rsidRPr="00A16D62">
        <w:rPr>
          <w:rFonts w:ascii="Cambria" w:eastAsia="Times New Roman" w:hAnsi="Cambria"/>
          <w:bCs/>
          <w:sz w:val="20"/>
          <w:szCs w:val="20"/>
          <w:bdr w:val="none" w:sz="0" w:space="0" w:color="auto"/>
          <w:lang w:val="es-ES"/>
        </w:rPr>
        <w:t xml:space="preserve">es y estatales reconocen la dificultad de pagar </w:t>
      </w:r>
      <w:r w:rsidR="00E5771D" w:rsidRPr="00A16D62">
        <w:rPr>
          <w:rFonts w:ascii="Cambria" w:eastAsia="Times New Roman" w:hAnsi="Cambria"/>
          <w:bCs/>
          <w:sz w:val="20"/>
          <w:szCs w:val="20"/>
          <w:bdr w:val="none" w:sz="0" w:space="0" w:color="auto"/>
          <w:lang w:val="es-ES"/>
        </w:rPr>
        <w:t>salarios caídos</w:t>
      </w:r>
      <w:r w:rsidR="0098079D" w:rsidRPr="00A16D62">
        <w:rPr>
          <w:rFonts w:ascii="Cambria" w:eastAsia="Times New Roman" w:hAnsi="Cambria"/>
          <w:bCs/>
          <w:sz w:val="20"/>
          <w:szCs w:val="20"/>
          <w:bdr w:val="none" w:sz="0" w:space="0" w:color="auto"/>
          <w:lang w:val="es-ES"/>
        </w:rPr>
        <w:t xml:space="preserve"> </w:t>
      </w:r>
      <w:r w:rsidR="008F779C" w:rsidRPr="00A16D62">
        <w:rPr>
          <w:rFonts w:ascii="Cambria" w:eastAsia="Times New Roman" w:hAnsi="Cambria"/>
          <w:bCs/>
          <w:sz w:val="20"/>
          <w:szCs w:val="20"/>
          <w:bdr w:val="none" w:sz="0" w:space="0" w:color="auto"/>
          <w:lang w:val="es-ES"/>
        </w:rPr>
        <w:t>por trabajo que no fue hecho cuando no se podría haber hecho legalmente</w:t>
      </w:r>
      <w:r w:rsidR="001A635C" w:rsidRPr="00A16D62">
        <w:rPr>
          <w:rFonts w:ascii="Cambria" w:eastAsia="Times New Roman" w:hAnsi="Cambria"/>
          <w:bCs/>
          <w:sz w:val="20"/>
          <w:szCs w:val="20"/>
          <w:bdr w:val="none" w:sz="0" w:space="0" w:color="auto"/>
          <w:lang w:val="es-ES"/>
        </w:rPr>
        <w:t>.</w:t>
      </w:r>
    </w:p>
    <w:p w:rsidR="0098079D" w:rsidRPr="00A16D62" w:rsidRDefault="0098079D" w:rsidP="0098079D">
      <w:pPr>
        <w:pStyle w:val="ListParagraph"/>
        <w:rPr>
          <w:rFonts w:eastAsia="Times New Roman"/>
          <w:bCs/>
          <w:sz w:val="20"/>
          <w:szCs w:val="20"/>
          <w:bdr w:val="none" w:sz="0" w:space="0" w:color="auto"/>
          <w:lang w:val="es-ES"/>
        </w:rPr>
      </w:pPr>
    </w:p>
    <w:p w:rsidR="0098079D" w:rsidRPr="00A16D62" w:rsidRDefault="00902D36" w:rsidP="0098079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Según</w:t>
      </w:r>
      <w:r w:rsidR="0098079D"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98079D" w:rsidRPr="00A16D62">
        <w:rPr>
          <w:rFonts w:ascii="Cambria" w:eastAsia="Times New Roman" w:hAnsi="Cambria"/>
          <w:bCs/>
          <w:sz w:val="20"/>
          <w:szCs w:val="20"/>
          <w:bdr w:val="none" w:sz="0" w:space="0" w:color="auto"/>
          <w:lang w:val="es-ES"/>
        </w:rPr>
        <w:t xml:space="preserve">, </w:t>
      </w:r>
      <w:r w:rsidR="00E251B1" w:rsidRPr="00A16D62">
        <w:rPr>
          <w:rFonts w:ascii="Cambria" w:eastAsia="Times New Roman" w:hAnsi="Cambria"/>
          <w:bCs/>
          <w:sz w:val="20"/>
          <w:szCs w:val="20"/>
          <w:bdr w:val="none" w:sz="0" w:space="0" w:color="auto"/>
          <w:lang w:val="es-ES"/>
        </w:rPr>
        <w:t>la decisión de la Corte Suprema</w:t>
      </w:r>
      <w:r w:rsidR="0098079D" w:rsidRPr="00A16D62">
        <w:rPr>
          <w:rFonts w:ascii="Cambria" w:eastAsia="Times New Roman" w:hAnsi="Cambria"/>
          <w:bCs/>
          <w:sz w:val="20"/>
          <w:szCs w:val="20"/>
          <w:bdr w:val="none" w:sz="0" w:space="0" w:color="auto"/>
          <w:lang w:val="es-ES"/>
        </w:rPr>
        <w:t xml:space="preserve"> </w:t>
      </w:r>
      <w:r w:rsidR="008F779C" w:rsidRPr="00A16D62">
        <w:rPr>
          <w:rFonts w:ascii="Cambria" w:eastAsia="Times New Roman" w:hAnsi="Cambria"/>
          <w:bCs/>
          <w:sz w:val="20"/>
          <w:szCs w:val="20"/>
          <w:bdr w:val="none" w:sz="0" w:space="0" w:color="auto"/>
          <w:lang w:val="es-ES"/>
        </w:rPr>
        <w:t xml:space="preserve">en el caso </w:t>
      </w:r>
      <w:r w:rsidR="0098079D" w:rsidRPr="00A16D62">
        <w:rPr>
          <w:rFonts w:ascii="Cambria" w:eastAsia="Times New Roman" w:hAnsi="Cambria"/>
          <w:bCs/>
          <w:i/>
          <w:sz w:val="20"/>
          <w:szCs w:val="20"/>
          <w:bdr w:val="none" w:sz="0" w:space="0" w:color="auto"/>
          <w:lang w:val="es-ES"/>
        </w:rPr>
        <w:t>Hoffman</w:t>
      </w:r>
      <w:r w:rsidR="0098079D" w:rsidRPr="00A16D62">
        <w:rPr>
          <w:rFonts w:ascii="Cambria" w:eastAsia="Times New Roman" w:hAnsi="Cambria"/>
          <w:bCs/>
          <w:sz w:val="20"/>
          <w:szCs w:val="20"/>
          <w:bdr w:val="none" w:sz="0" w:space="0" w:color="auto"/>
          <w:lang w:val="es-ES"/>
        </w:rPr>
        <w:t xml:space="preserve"> </w:t>
      </w:r>
      <w:r w:rsidR="008F779C" w:rsidRPr="00A16D62">
        <w:rPr>
          <w:rFonts w:ascii="Cambria" w:eastAsia="Times New Roman" w:hAnsi="Cambria"/>
          <w:bCs/>
          <w:sz w:val="20"/>
          <w:szCs w:val="20"/>
          <w:bdr w:val="none" w:sz="0" w:space="0" w:color="auto"/>
          <w:lang w:val="es-ES"/>
        </w:rPr>
        <w:t xml:space="preserve">deja intacta su decisión en el caso </w:t>
      </w:r>
      <w:r w:rsidR="0098079D" w:rsidRPr="00A16D62">
        <w:rPr>
          <w:rFonts w:ascii="Cambria" w:eastAsia="Times New Roman" w:hAnsi="Cambria"/>
          <w:bCs/>
          <w:i/>
          <w:sz w:val="20"/>
          <w:szCs w:val="20"/>
          <w:bdr w:val="none" w:sz="0" w:space="0" w:color="auto"/>
          <w:lang w:val="es-ES"/>
        </w:rPr>
        <w:t xml:space="preserve">Sure-Tan, Inc. </w:t>
      </w:r>
      <w:r w:rsidR="00521A6A" w:rsidRPr="00A16D62">
        <w:rPr>
          <w:rFonts w:ascii="Cambria" w:eastAsia="Times New Roman" w:hAnsi="Cambria"/>
          <w:bCs/>
          <w:i/>
          <w:sz w:val="20"/>
          <w:szCs w:val="20"/>
          <w:bdr w:val="none" w:sz="0" w:space="0" w:color="auto"/>
          <w:lang w:val="es-ES"/>
        </w:rPr>
        <w:t>c.</w:t>
      </w:r>
      <w:r w:rsidR="0098079D" w:rsidRPr="00A16D62">
        <w:rPr>
          <w:rFonts w:ascii="Cambria" w:eastAsia="Times New Roman" w:hAnsi="Cambria"/>
          <w:bCs/>
          <w:i/>
          <w:sz w:val="20"/>
          <w:szCs w:val="20"/>
          <w:bdr w:val="none" w:sz="0" w:space="0" w:color="auto"/>
          <w:lang w:val="es-ES"/>
        </w:rPr>
        <w:t xml:space="preserve"> </w:t>
      </w:r>
      <w:r w:rsidR="003C54E2" w:rsidRPr="00A16D62">
        <w:rPr>
          <w:rFonts w:ascii="Cambria" w:eastAsia="Times New Roman" w:hAnsi="Cambria"/>
          <w:bCs/>
          <w:i/>
          <w:sz w:val="20"/>
          <w:szCs w:val="20"/>
          <w:bdr w:val="none" w:sz="0" w:space="0" w:color="auto"/>
          <w:lang w:val="es-ES"/>
        </w:rPr>
        <w:t>Junta Nacional de Relaciones Laborales</w:t>
      </w:r>
      <w:r w:rsidR="0098079D" w:rsidRPr="00A16D62">
        <w:rPr>
          <w:rStyle w:val="FootnoteReference"/>
          <w:rFonts w:ascii="Cambria" w:eastAsia="Times New Roman" w:hAnsi="Cambria"/>
          <w:bCs/>
          <w:sz w:val="20"/>
          <w:szCs w:val="20"/>
          <w:bdr w:val="none" w:sz="0" w:space="0" w:color="auto"/>
          <w:lang w:val="es-ES"/>
        </w:rPr>
        <w:footnoteReference w:id="21"/>
      </w:r>
      <w:r w:rsidR="0098079D" w:rsidRPr="00A16D62">
        <w:rPr>
          <w:rFonts w:ascii="Cambria" w:eastAsia="Times New Roman" w:hAnsi="Cambria"/>
          <w:bCs/>
          <w:sz w:val="20"/>
          <w:szCs w:val="20"/>
          <w:bdr w:val="none" w:sz="0" w:space="0" w:color="auto"/>
          <w:lang w:val="es-ES"/>
        </w:rPr>
        <w:t xml:space="preserve">, </w:t>
      </w:r>
      <w:r w:rsidR="008F779C" w:rsidRPr="00A16D62">
        <w:rPr>
          <w:rFonts w:ascii="Cambria" w:eastAsia="Times New Roman" w:hAnsi="Cambria"/>
          <w:bCs/>
          <w:sz w:val="20"/>
          <w:szCs w:val="20"/>
          <w:bdr w:val="none" w:sz="0" w:space="0" w:color="auto"/>
          <w:lang w:val="es-ES"/>
        </w:rPr>
        <w:t xml:space="preserve">a saber, la conclusión de que la </w:t>
      </w:r>
      <w:r w:rsidR="00812BCE" w:rsidRPr="00A16D62">
        <w:rPr>
          <w:rFonts w:ascii="Cambria" w:eastAsia="Times New Roman" w:hAnsi="Cambria"/>
          <w:bCs/>
          <w:sz w:val="20"/>
          <w:szCs w:val="20"/>
          <w:bdr w:val="none" w:sz="0" w:space="0" w:color="auto" w:frame="1"/>
          <w:lang w:val="es-ES"/>
        </w:rPr>
        <w:t>Ley Nacional de Relaciones Laborales</w:t>
      </w:r>
      <w:r w:rsidR="0098079D" w:rsidRPr="00A16D62">
        <w:rPr>
          <w:rFonts w:ascii="Cambria" w:eastAsia="Times New Roman" w:hAnsi="Cambria"/>
          <w:bCs/>
          <w:sz w:val="20"/>
          <w:szCs w:val="20"/>
          <w:bdr w:val="none" w:sz="0" w:space="0" w:color="auto"/>
          <w:lang w:val="es-ES"/>
        </w:rPr>
        <w:t xml:space="preserve"> </w:t>
      </w:r>
      <w:r w:rsidR="008F779C" w:rsidRPr="00A16D62">
        <w:rPr>
          <w:rFonts w:ascii="Cambria" w:eastAsia="Times New Roman" w:hAnsi="Cambria"/>
          <w:bCs/>
          <w:sz w:val="20"/>
          <w:szCs w:val="20"/>
          <w:bdr w:val="none" w:sz="0" w:space="0" w:color="auto"/>
          <w:lang w:val="es-ES"/>
        </w:rPr>
        <w:t xml:space="preserve">se </w:t>
      </w:r>
      <w:r w:rsidR="0098079D" w:rsidRPr="00A16D62">
        <w:rPr>
          <w:rFonts w:ascii="Cambria" w:eastAsia="Times New Roman" w:hAnsi="Cambria"/>
          <w:bCs/>
          <w:sz w:val="20"/>
          <w:szCs w:val="20"/>
          <w:bdr w:val="none" w:sz="0" w:space="0" w:color="auto"/>
          <w:lang w:val="es-ES"/>
        </w:rPr>
        <w:t>ap</w:t>
      </w:r>
      <w:r w:rsidR="008F779C" w:rsidRPr="00A16D62">
        <w:rPr>
          <w:rFonts w:ascii="Cambria" w:eastAsia="Times New Roman" w:hAnsi="Cambria"/>
          <w:bCs/>
          <w:sz w:val="20"/>
          <w:szCs w:val="20"/>
          <w:bdr w:val="none" w:sz="0" w:space="0" w:color="auto"/>
          <w:lang w:val="es-ES"/>
        </w:rPr>
        <w:t xml:space="preserve">lica a los </w:t>
      </w:r>
      <w:r w:rsidR="00C038BF" w:rsidRPr="00A16D62">
        <w:rPr>
          <w:rFonts w:ascii="Cambria" w:eastAsia="Times New Roman" w:hAnsi="Cambria"/>
          <w:bCs/>
          <w:sz w:val="20"/>
          <w:szCs w:val="20"/>
          <w:bdr w:val="none" w:sz="0" w:space="0" w:color="auto"/>
          <w:lang w:val="es-ES"/>
        </w:rPr>
        <w:t>trabajadores indocumentados</w:t>
      </w:r>
      <w:r w:rsidR="0098079D"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98079D" w:rsidRPr="00A16D62">
        <w:rPr>
          <w:rFonts w:ascii="Cambria" w:eastAsia="Times New Roman" w:hAnsi="Cambria"/>
          <w:bCs/>
          <w:sz w:val="20"/>
          <w:szCs w:val="20"/>
          <w:bdr w:val="none" w:sz="0" w:space="0" w:color="auto"/>
          <w:lang w:val="es-ES"/>
        </w:rPr>
        <w:t xml:space="preserve"> a</w:t>
      </w:r>
      <w:r w:rsidR="008F779C" w:rsidRPr="00A16D62">
        <w:rPr>
          <w:rFonts w:ascii="Cambria" w:eastAsia="Times New Roman" w:hAnsi="Cambria"/>
          <w:bCs/>
          <w:sz w:val="20"/>
          <w:szCs w:val="20"/>
          <w:bdr w:val="none" w:sz="0" w:space="0" w:color="auto"/>
          <w:lang w:val="es-ES"/>
        </w:rPr>
        <w:t>firma que este fallo no afectó la capacidad de la</w:t>
      </w:r>
      <w:r w:rsidR="0098079D" w:rsidRPr="00A16D62">
        <w:rPr>
          <w:rFonts w:ascii="Cambria" w:eastAsia="Times New Roman" w:hAnsi="Cambria"/>
          <w:bCs/>
          <w:sz w:val="20"/>
          <w:szCs w:val="20"/>
          <w:bdr w:val="none" w:sz="0" w:space="0" w:color="auto"/>
          <w:lang w:val="es-ES"/>
        </w:rPr>
        <w:t xml:space="preserve"> </w:t>
      </w:r>
      <w:r w:rsidR="00812BCE" w:rsidRPr="00A16D62">
        <w:rPr>
          <w:rFonts w:ascii="Cambria" w:eastAsia="Times New Roman" w:hAnsi="Cambria"/>
          <w:bCs/>
          <w:sz w:val="20"/>
          <w:szCs w:val="20"/>
          <w:bdr w:val="none" w:sz="0" w:space="0" w:color="auto" w:frame="1"/>
          <w:lang w:val="es-ES"/>
        </w:rPr>
        <w:t>Junta Nacional de Relaciones Laborales</w:t>
      </w:r>
      <w:r w:rsidR="008F779C" w:rsidRPr="00A16D62">
        <w:rPr>
          <w:rFonts w:ascii="Cambria" w:eastAsia="Times New Roman" w:hAnsi="Cambria"/>
          <w:bCs/>
          <w:sz w:val="20"/>
          <w:szCs w:val="20"/>
          <w:bdr w:val="none" w:sz="0" w:space="0" w:color="auto" w:frame="1"/>
          <w:lang w:val="es-ES"/>
        </w:rPr>
        <w:t xml:space="preserve"> para ordenar a las compañías que dejen de realizar actividades consideradas ilícitas en la </w:t>
      </w:r>
      <w:r w:rsidR="00812BCE" w:rsidRPr="00A16D62">
        <w:rPr>
          <w:rFonts w:ascii="Cambria" w:eastAsia="Times New Roman" w:hAnsi="Cambria"/>
          <w:bCs/>
          <w:sz w:val="20"/>
          <w:szCs w:val="20"/>
          <w:bdr w:val="none" w:sz="0" w:space="0" w:color="auto" w:frame="1"/>
          <w:lang w:val="es-ES"/>
        </w:rPr>
        <w:t>Ley Nacional de Relaciones Laborales</w:t>
      </w:r>
      <w:r w:rsidR="0098079D" w:rsidRPr="00A16D62">
        <w:rPr>
          <w:rFonts w:ascii="Cambria" w:eastAsia="Times New Roman" w:hAnsi="Cambria"/>
          <w:bCs/>
          <w:sz w:val="20"/>
          <w:szCs w:val="20"/>
          <w:bdr w:val="none" w:sz="0" w:space="0" w:color="auto"/>
          <w:lang w:val="es-ES"/>
        </w:rPr>
        <w:t>.</w:t>
      </w:r>
    </w:p>
    <w:p w:rsidR="0098079D" w:rsidRPr="00A16D62" w:rsidRDefault="0098079D" w:rsidP="0098079D">
      <w:pPr>
        <w:pStyle w:val="ListParagraph"/>
        <w:rPr>
          <w:rFonts w:eastAsia="Times New Roman"/>
          <w:bCs/>
          <w:sz w:val="20"/>
          <w:szCs w:val="20"/>
          <w:bdr w:val="none" w:sz="0" w:space="0" w:color="auto"/>
          <w:lang w:val="es-ES"/>
        </w:rPr>
      </w:pPr>
    </w:p>
    <w:p w:rsidR="000839D5" w:rsidRPr="00A16D62" w:rsidRDefault="008F779C" w:rsidP="000839D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A16D62">
        <w:rPr>
          <w:rFonts w:ascii="Cambria" w:eastAsia="Times New Roman" w:hAnsi="Cambria"/>
          <w:bCs/>
          <w:sz w:val="20"/>
          <w:szCs w:val="20"/>
          <w:bdr w:val="none" w:sz="0" w:space="0" w:color="auto"/>
          <w:lang w:val="es-ES"/>
        </w:rPr>
        <w:lastRenderedPageBreak/>
        <w:t>Para respaldar esta</w:t>
      </w:r>
      <w:r w:rsidR="00677C25" w:rsidRPr="00A16D62">
        <w:rPr>
          <w:rFonts w:ascii="Cambria" w:eastAsia="Times New Roman" w:hAnsi="Cambria"/>
          <w:bCs/>
          <w:sz w:val="20"/>
          <w:szCs w:val="20"/>
          <w:bdr w:val="none" w:sz="0" w:space="0" w:color="auto"/>
          <w:lang w:val="es-ES"/>
        </w:rPr>
        <w:t xml:space="preserve"> posi</w:t>
      </w:r>
      <w:r w:rsidRPr="00A16D62">
        <w:rPr>
          <w:rFonts w:ascii="Cambria" w:eastAsia="Times New Roman" w:hAnsi="Cambria"/>
          <w:bCs/>
          <w:sz w:val="20"/>
          <w:szCs w:val="20"/>
          <w:bdr w:val="none" w:sz="0" w:space="0" w:color="auto"/>
          <w:lang w:val="es-ES"/>
        </w:rPr>
        <w:t>ción</w:t>
      </w:r>
      <w:r w:rsidR="00677C25"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677C25" w:rsidRPr="00A16D62">
        <w:rPr>
          <w:rFonts w:ascii="Cambria" w:eastAsia="Times New Roman" w:hAnsi="Cambria"/>
          <w:bCs/>
          <w:sz w:val="20"/>
          <w:szCs w:val="20"/>
          <w:bdr w:val="none" w:sz="0" w:space="0" w:color="auto"/>
          <w:lang w:val="es-ES"/>
        </w:rPr>
        <w:t xml:space="preserve"> cit</w:t>
      </w:r>
      <w:r w:rsidRPr="00A16D62">
        <w:rPr>
          <w:rFonts w:ascii="Cambria" w:eastAsia="Times New Roman" w:hAnsi="Cambria"/>
          <w:bCs/>
          <w:sz w:val="20"/>
          <w:szCs w:val="20"/>
          <w:bdr w:val="none" w:sz="0" w:space="0" w:color="auto"/>
          <w:lang w:val="es-ES"/>
        </w:rPr>
        <w:t xml:space="preserve">a un memorando de julio de </w:t>
      </w:r>
      <w:r w:rsidR="00677C25" w:rsidRPr="00A16D62">
        <w:rPr>
          <w:rFonts w:ascii="Cambria" w:eastAsia="Times New Roman" w:hAnsi="Cambria"/>
          <w:bCs/>
          <w:sz w:val="20"/>
          <w:szCs w:val="20"/>
          <w:bdr w:val="none" w:sz="0" w:space="0" w:color="auto"/>
          <w:lang w:val="es-ES"/>
        </w:rPr>
        <w:t xml:space="preserve">2002 </w:t>
      </w:r>
      <w:r w:rsidRPr="00A16D62">
        <w:rPr>
          <w:rFonts w:ascii="Cambria" w:eastAsia="Times New Roman" w:hAnsi="Cambria"/>
          <w:bCs/>
          <w:sz w:val="20"/>
          <w:szCs w:val="20"/>
          <w:bdr w:val="none" w:sz="0" w:space="0" w:color="auto"/>
          <w:lang w:val="es-ES"/>
        </w:rPr>
        <w:t xml:space="preserve">del </w:t>
      </w:r>
      <w:r w:rsidR="00E251B1" w:rsidRPr="00A16D62">
        <w:rPr>
          <w:rFonts w:ascii="Cambria" w:eastAsia="Times New Roman" w:hAnsi="Cambria"/>
          <w:bCs/>
          <w:sz w:val="20"/>
          <w:szCs w:val="20"/>
          <w:bdr w:val="none" w:sz="0" w:space="0" w:color="auto"/>
          <w:lang w:val="es-ES"/>
        </w:rPr>
        <w:t xml:space="preserve">Asesor Jurídico de la </w:t>
      </w:r>
      <w:r w:rsidR="00812BCE" w:rsidRPr="00A16D62">
        <w:rPr>
          <w:rFonts w:ascii="Cambria" w:eastAsia="Times New Roman" w:hAnsi="Cambria"/>
          <w:bCs/>
          <w:sz w:val="20"/>
          <w:szCs w:val="20"/>
          <w:bdr w:val="none" w:sz="0" w:space="0" w:color="auto" w:frame="1"/>
          <w:lang w:val="es-ES"/>
        </w:rPr>
        <w:t>Junta Nacional de Relaciones Laborales</w:t>
      </w:r>
      <w:r w:rsidR="00677C25" w:rsidRPr="00A16D62">
        <w:rPr>
          <w:rFonts w:ascii="Cambria" w:eastAsia="Times New Roman" w:hAnsi="Cambria"/>
          <w:bCs/>
          <w:sz w:val="20"/>
          <w:szCs w:val="20"/>
          <w:bdr w:val="none" w:sz="0" w:space="0" w:color="auto"/>
          <w:lang w:val="es-ES"/>
        </w:rPr>
        <w:t xml:space="preserve"> </w:t>
      </w:r>
      <w:r w:rsidR="00237F77" w:rsidRPr="00A16D62">
        <w:rPr>
          <w:rFonts w:ascii="Cambria" w:eastAsia="Times New Roman" w:hAnsi="Cambria"/>
          <w:bCs/>
          <w:sz w:val="20"/>
          <w:szCs w:val="20"/>
          <w:bdr w:val="none" w:sz="0" w:space="0" w:color="auto"/>
          <w:lang w:val="es-ES"/>
        </w:rPr>
        <w:t xml:space="preserve">dirigido a las oficinas </w:t>
      </w:r>
      <w:r w:rsidR="00677C25" w:rsidRPr="00A16D62">
        <w:rPr>
          <w:rFonts w:ascii="Cambria" w:eastAsia="Times New Roman" w:hAnsi="Cambria"/>
          <w:bCs/>
          <w:sz w:val="20"/>
          <w:szCs w:val="20"/>
          <w:bdr w:val="none" w:sz="0" w:space="0" w:color="auto"/>
          <w:lang w:val="es-ES"/>
        </w:rPr>
        <w:t>regional</w:t>
      </w:r>
      <w:r w:rsidR="00237F77" w:rsidRPr="00A16D62">
        <w:rPr>
          <w:rFonts w:ascii="Cambria" w:eastAsia="Times New Roman" w:hAnsi="Cambria"/>
          <w:bCs/>
          <w:sz w:val="20"/>
          <w:szCs w:val="20"/>
          <w:bdr w:val="none" w:sz="0" w:space="0" w:color="auto"/>
          <w:lang w:val="es-ES"/>
        </w:rPr>
        <w:t>es de la Junta. El Estado señala que, en este</w:t>
      </w:r>
      <w:r w:rsidR="0037333F" w:rsidRPr="00A16D62">
        <w:rPr>
          <w:rFonts w:ascii="Cambria" w:eastAsia="Times New Roman" w:hAnsi="Cambria"/>
          <w:bCs/>
          <w:sz w:val="20"/>
          <w:szCs w:val="20"/>
          <w:bdr w:val="none" w:sz="0" w:space="0" w:color="auto"/>
          <w:lang w:val="es-ES"/>
        </w:rPr>
        <w:t xml:space="preserve"> memo</w:t>
      </w:r>
      <w:r w:rsidR="00237F77" w:rsidRPr="00A16D62">
        <w:rPr>
          <w:rFonts w:ascii="Cambria" w:eastAsia="Times New Roman" w:hAnsi="Cambria"/>
          <w:bCs/>
          <w:sz w:val="20"/>
          <w:szCs w:val="20"/>
          <w:bdr w:val="none" w:sz="0" w:space="0" w:color="auto"/>
          <w:lang w:val="es-ES"/>
        </w:rPr>
        <w:t>rando</w:t>
      </w:r>
      <w:r w:rsidR="0037333F" w:rsidRPr="00A16D62">
        <w:rPr>
          <w:rFonts w:ascii="Cambria" w:eastAsia="Times New Roman" w:hAnsi="Cambria"/>
          <w:bCs/>
          <w:sz w:val="20"/>
          <w:szCs w:val="20"/>
          <w:bdr w:val="none" w:sz="0" w:space="0" w:color="auto"/>
          <w:lang w:val="es-ES"/>
        </w:rPr>
        <w:t xml:space="preserve">, </w:t>
      </w:r>
      <w:r w:rsidR="00237F77" w:rsidRPr="00A16D62">
        <w:rPr>
          <w:rFonts w:ascii="Cambria" w:eastAsia="Times New Roman" w:hAnsi="Cambria"/>
          <w:bCs/>
          <w:sz w:val="20"/>
          <w:szCs w:val="20"/>
          <w:bdr w:val="none" w:sz="0" w:space="0" w:color="auto"/>
          <w:lang w:val="es-ES"/>
        </w:rPr>
        <w:t>se indicó claramente que</w:t>
      </w:r>
      <w:r w:rsidR="0037333F" w:rsidRPr="00A16D62">
        <w:rPr>
          <w:rFonts w:ascii="Cambria" w:eastAsia="Times New Roman" w:hAnsi="Cambria"/>
          <w:bCs/>
          <w:sz w:val="20"/>
          <w:szCs w:val="20"/>
          <w:bdr w:val="none" w:sz="0" w:space="0" w:color="auto"/>
          <w:lang w:val="es-ES"/>
        </w:rPr>
        <w:t xml:space="preserve"> </w:t>
      </w:r>
      <w:r w:rsidR="0037333F" w:rsidRPr="00A16D62">
        <w:rPr>
          <w:rFonts w:ascii="Cambria" w:eastAsia="Times New Roman" w:hAnsi="Cambria"/>
          <w:bCs/>
          <w:i/>
          <w:sz w:val="20"/>
          <w:szCs w:val="20"/>
          <w:bdr w:val="none" w:sz="0" w:space="0" w:color="auto"/>
          <w:lang w:val="es-ES"/>
        </w:rPr>
        <w:t>Hoffman</w:t>
      </w:r>
      <w:r w:rsidR="0037333F" w:rsidRPr="00A16D62">
        <w:rPr>
          <w:rFonts w:ascii="Cambria" w:eastAsia="Times New Roman" w:hAnsi="Cambria"/>
          <w:bCs/>
          <w:sz w:val="20"/>
          <w:szCs w:val="20"/>
          <w:bdr w:val="none" w:sz="0" w:space="0" w:color="auto"/>
          <w:lang w:val="es-ES"/>
        </w:rPr>
        <w:t xml:space="preserve"> </w:t>
      </w:r>
      <w:r w:rsidR="00237F77" w:rsidRPr="00A16D62">
        <w:rPr>
          <w:rFonts w:ascii="Cambria" w:eastAsia="Times New Roman" w:hAnsi="Cambria"/>
          <w:bCs/>
          <w:sz w:val="20"/>
          <w:szCs w:val="20"/>
          <w:bdr w:val="none" w:sz="0" w:space="0" w:color="auto"/>
          <w:lang w:val="es-ES"/>
        </w:rPr>
        <w:t xml:space="preserve">no influyó en otras medidas que </w:t>
      </w:r>
      <w:r w:rsidR="00E251B1" w:rsidRPr="00A16D62">
        <w:rPr>
          <w:rFonts w:ascii="Cambria" w:eastAsia="Times New Roman" w:hAnsi="Cambria"/>
          <w:bCs/>
          <w:sz w:val="20"/>
          <w:szCs w:val="20"/>
          <w:bdr w:val="none" w:sz="0" w:space="0" w:color="auto"/>
          <w:lang w:val="es-ES"/>
        </w:rPr>
        <w:t xml:space="preserve">la Junta </w:t>
      </w:r>
      <w:r w:rsidR="00237F77" w:rsidRPr="00A16D62">
        <w:rPr>
          <w:rFonts w:ascii="Cambria" w:eastAsia="Times New Roman" w:hAnsi="Cambria"/>
          <w:bCs/>
          <w:sz w:val="20"/>
          <w:szCs w:val="20"/>
          <w:bdr w:val="none" w:sz="0" w:space="0" w:color="auto"/>
          <w:lang w:val="es-ES"/>
        </w:rPr>
        <w:t xml:space="preserve">podría tomar contra los </w:t>
      </w:r>
      <w:r w:rsidR="000F4EF8" w:rsidRPr="00A16D62">
        <w:rPr>
          <w:rFonts w:ascii="Cambria" w:eastAsia="Times New Roman" w:hAnsi="Cambria"/>
          <w:bCs/>
          <w:sz w:val="20"/>
          <w:szCs w:val="20"/>
          <w:bdr w:val="none" w:sz="0" w:space="0" w:color="auto"/>
          <w:lang w:val="es-ES"/>
        </w:rPr>
        <w:t>empleadores</w:t>
      </w:r>
      <w:r w:rsidR="0037333F" w:rsidRPr="00A16D62">
        <w:rPr>
          <w:rFonts w:ascii="Cambria" w:eastAsia="Times New Roman" w:hAnsi="Cambria"/>
          <w:bCs/>
          <w:sz w:val="20"/>
          <w:szCs w:val="20"/>
          <w:bdr w:val="none" w:sz="0" w:space="0" w:color="auto"/>
          <w:lang w:val="es-ES"/>
        </w:rPr>
        <w:t xml:space="preserve"> </w:t>
      </w:r>
      <w:r w:rsidR="00237F77" w:rsidRPr="00A16D62">
        <w:rPr>
          <w:rFonts w:ascii="Cambria" w:eastAsia="Times New Roman" w:hAnsi="Cambria"/>
          <w:bCs/>
          <w:sz w:val="20"/>
          <w:szCs w:val="20"/>
          <w:bdr w:val="none" w:sz="0" w:space="0" w:color="auto"/>
          <w:lang w:val="es-ES"/>
        </w:rPr>
        <w:t>que infringen las leyes</w:t>
      </w:r>
      <w:r w:rsidR="0037333F" w:rsidRPr="00A16D62">
        <w:rPr>
          <w:rStyle w:val="FootnoteReference"/>
          <w:rFonts w:ascii="Cambria" w:eastAsia="Times New Roman" w:hAnsi="Cambria"/>
          <w:bCs/>
          <w:sz w:val="20"/>
          <w:szCs w:val="20"/>
          <w:bdr w:val="none" w:sz="0" w:space="0" w:color="auto"/>
          <w:lang w:val="es-ES"/>
        </w:rPr>
        <w:footnoteReference w:id="22"/>
      </w:r>
      <w:r w:rsidR="00237F77" w:rsidRPr="00A16D62">
        <w:rPr>
          <w:rFonts w:ascii="Cambria" w:eastAsia="Times New Roman" w:hAnsi="Cambria"/>
          <w:bCs/>
          <w:sz w:val="20"/>
          <w:szCs w:val="20"/>
          <w:bdr w:val="none" w:sz="0" w:space="0" w:color="auto"/>
          <w:lang w:val="es-ES"/>
        </w:rPr>
        <w:t xml:space="preserve">. En el </w:t>
      </w:r>
      <w:r w:rsidR="0037333F" w:rsidRPr="00A16D62">
        <w:rPr>
          <w:rFonts w:ascii="Cambria" w:eastAsia="Times New Roman" w:hAnsi="Cambria"/>
          <w:bCs/>
          <w:sz w:val="20"/>
          <w:szCs w:val="20"/>
          <w:bdr w:val="none" w:sz="0" w:space="0" w:color="auto"/>
          <w:lang w:val="es-ES"/>
        </w:rPr>
        <w:t>memo</w:t>
      </w:r>
      <w:r w:rsidR="00237F77" w:rsidRPr="00A16D62">
        <w:rPr>
          <w:rFonts w:ascii="Cambria" w:eastAsia="Times New Roman" w:hAnsi="Cambria"/>
          <w:bCs/>
          <w:sz w:val="20"/>
          <w:szCs w:val="20"/>
          <w:bdr w:val="none" w:sz="0" w:space="0" w:color="auto"/>
          <w:lang w:val="es-ES"/>
        </w:rPr>
        <w:t>rando</w:t>
      </w:r>
      <w:r w:rsidR="0037333F" w:rsidRPr="00A16D62">
        <w:rPr>
          <w:rFonts w:ascii="Cambria" w:eastAsia="Times New Roman" w:hAnsi="Cambria"/>
          <w:bCs/>
          <w:sz w:val="20"/>
          <w:szCs w:val="20"/>
          <w:bdr w:val="none" w:sz="0" w:space="0" w:color="auto"/>
          <w:lang w:val="es-ES"/>
        </w:rPr>
        <w:t xml:space="preserve">, </w:t>
      </w:r>
      <w:r w:rsidR="00237F77" w:rsidRPr="00A16D62">
        <w:rPr>
          <w:rFonts w:ascii="Cambria" w:eastAsia="Times New Roman" w:hAnsi="Cambria"/>
          <w:bCs/>
          <w:sz w:val="20"/>
          <w:szCs w:val="20"/>
          <w:bdr w:val="none" w:sz="0" w:space="0" w:color="auto"/>
          <w:lang w:val="es-ES"/>
        </w:rPr>
        <w:t xml:space="preserve">el Asesor Jurídico señaló que </w:t>
      </w:r>
      <w:r w:rsidR="00E251B1" w:rsidRPr="00A16D62">
        <w:rPr>
          <w:rFonts w:ascii="Cambria" w:eastAsia="Times New Roman" w:hAnsi="Cambria"/>
          <w:bCs/>
          <w:sz w:val="20"/>
          <w:szCs w:val="20"/>
          <w:bdr w:val="none" w:sz="0" w:space="0" w:color="auto"/>
          <w:lang w:val="es-ES"/>
        </w:rPr>
        <w:t>la Junta</w:t>
      </w:r>
      <w:r w:rsidR="0037333F" w:rsidRPr="00A16D62">
        <w:rPr>
          <w:rFonts w:ascii="Cambria" w:eastAsia="Times New Roman" w:hAnsi="Cambria"/>
          <w:bCs/>
          <w:sz w:val="20"/>
          <w:szCs w:val="20"/>
          <w:bdr w:val="none" w:sz="0" w:space="0" w:color="auto"/>
          <w:lang w:val="es-ES"/>
        </w:rPr>
        <w:t xml:space="preserve"> </w:t>
      </w:r>
      <w:r w:rsidR="00237F77" w:rsidRPr="00A16D62">
        <w:rPr>
          <w:rFonts w:ascii="Cambria" w:eastAsia="Times New Roman" w:hAnsi="Cambria"/>
          <w:bCs/>
          <w:sz w:val="20"/>
          <w:szCs w:val="20"/>
          <w:bdr w:val="none" w:sz="0" w:space="0" w:color="auto"/>
          <w:lang w:val="es-ES"/>
        </w:rPr>
        <w:t>todavía podía adjudicar</w:t>
      </w:r>
      <w:r w:rsidR="0037333F" w:rsidRPr="00A16D62">
        <w:rPr>
          <w:rFonts w:ascii="Cambria" w:eastAsia="Times New Roman" w:hAnsi="Cambria"/>
          <w:bCs/>
          <w:sz w:val="20"/>
          <w:szCs w:val="20"/>
          <w:bdr w:val="none" w:sz="0" w:space="0" w:color="auto"/>
          <w:lang w:val="es-ES"/>
        </w:rPr>
        <w:t xml:space="preserve"> </w:t>
      </w:r>
      <w:r w:rsidR="00E5771D" w:rsidRPr="00A16D62">
        <w:rPr>
          <w:rFonts w:ascii="Cambria" w:eastAsia="Times New Roman" w:hAnsi="Cambria"/>
          <w:bCs/>
          <w:sz w:val="20"/>
          <w:szCs w:val="20"/>
          <w:bdr w:val="none" w:sz="0" w:space="0" w:color="auto"/>
          <w:lang w:val="es-ES"/>
        </w:rPr>
        <w:t>salarios caídos</w:t>
      </w:r>
      <w:r w:rsidR="0037333F" w:rsidRPr="00A16D62">
        <w:rPr>
          <w:rFonts w:ascii="Cambria" w:eastAsia="Times New Roman" w:hAnsi="Cambria"/>
          <w:bCs/>
          <w:sz w:val="20"/>
          <w:szCs w:val="20"/>
          <w:bdr w:val="none" w:sz="0" w:space="0" w:color="auto"/>
          <w:lang w:val="es-ES"/>
        </w:rPr>
        <w:t xml:space="preserve"> </w:t>
      </w:r>
      <w:r w:rsidR="00237F77" w:rsidRPr="00A16D62">
        <w:rPr>
          <w:rFonts w:ascii="Cambria" w:eastAsia="Times New Roman" w:hAnsi="Cambria"/>
          <w:bCs/>
          <w:sz w:val="20"/>
          <w:szCs w:val="20"/>
          <w:bdr w:val="none" w:sz="0" w:space="0" w:color="auto"/>
          <w:lang w:val="es-ES"/>
        </w:rPr>
        <w:t>por trabajo realizado</w:t>
      </w:r>
      <w:r w:rsidR="0098579A" w:rsidRPr="00A16D62">
        <w:rPr>
          <w:rStyle w:val="FootnoteReference"/>
          <w:rFonts w:ascii="Cambria" w:eastAsia="Times New Roman" w:hAnsi="Cambria"/>
          <w:bCs/>
          <w:sz w:val="20"/>
          <w:szCs w:val="20"/>
          <w:bdr w:val="none" w:sz="0" w:space="0" w:color="auto"/>
          <w:lang w:val="es-ES"/>
        </w:rPr>
        <w:footnoteReference w:id="23"/>
      </w:r>
      <w:r w:rsidR="0037333F" w:rsidRPr="00A16D62">
        <w:rPr>
          <w:rFonts w:ascii="Cambria" w:eastAsia="Times New Roman" w:hAnsi="Cambria"/>
          <w:bCs/>
          <w:sz w:val="20"/>
          <w:szCs w:val="20"/>
          <w:bdr w:val="none" w:sz="0" w:space="0" w:color="auto"/>
          <w:lang w:val="es-ES"/>
        </w:rPr>
        <w:t xml:space="preserve"> </w:t>
      </w:r>
      <w:r w:rsidR="00237F77" w:rsidRPr="00A16D62">
        <w:rPr>
          <w:rFonts w:ascii="Cambria" w:eastAsia="Times New Roman" w:hAnsi="Cambria"/>
          <w:bCs/>
          <w:sz w:val="20"/>
          <w:szCs w:val="20"/>
          <w:bdr w:val="none" w:sz="0" w:space="0" w:color="auto"/>
          <w:lang w:val="es-ES"/>
        </w:rPr>
        <w:t>y hacer cumplir órdenes de</w:t>
      </w:r>
      <w:r w:rsidR="004E6957" w:rsidRPr="00A16D62">
        <w:rPr>
          <w:rFonts w:ascii="Cambria" w:eastAsia="Times New Roman" w:hAnsi="Cambria"/>
          <w:bCs/>
          <w:sz w:val="20"/>
          <w:szCs w:val="20"/>
          <w:bdr w:val="none" w:sz="0" w:space="0" w:color="auto"/>
          <w:lang w:val="es-ES"/>
        </w:rPr>
        <w:t xml:space="preserve"> </w:t>
      </w:r>
      <w:r w:rsidR="004F1878" w:rsidRPr="00A16D62">
        <w:rPr>
          <w:rFonts w:ascii="Cambria" w:eastAsia="Times New Roman" w:hAnsi="Cambria"/>
          <w:bCs/>
          <w:sz w:val="20"/>
          <w:szCs w:val="20"/>
          <w:bdr w:val="none" w:sz="0" w:space="0" w:color="auto"/>
          <w:lang w:val="es-ES"/>
        </w:rPr>
        <w:t xml:space="preserve">cesar y </w:t>
      </w:r>
      <w:r w:rsidR="00FD345C" w:rsidRPr="00A16D62">
        <w:rPr>
          <w:rFonts w:ascii="Cambria" w:eastAsia="Times New Roman" w:hAnsi="Cambria"/>
          <w:bCs/>
          <w:sz w:val="20"/>
          <w:szCs w:val="20"/>
          <w:bdr w:val="none" w:sz="0" w:space="0" w:color="auto"/>
          <w:lang w:val="es-ES"/>
        </w:rPr>
        <w:t>desistir, así como iniciar procedimientos de desacato en caso de incumplimiento</w:t>
      </w:r>
      <w:r w:rsidR="00B9327F" w:rsidRPr="00A16D62">
        <w:rPr>
          <w:rStyle w:val="FootnoteReference"/>
          <w:rFonts w:ascii="Cambria" w:eastAsia="Times New Roman" w:hAnsi="Cambria"/>
          <w:bCs/>
          <w:sz w:val="20"/>
          <w:szCs w:val="20"/>
          <w:bdr w:val="none" w:sz="0" w:space="0" w:color="auto"/>
          <w:lang w:val="es-ES"/>
        </w:rPr>
        <w:footnoteReference w:id="24"/>
      </w:r>
      <w:r w:rsidR="00FD345C" w:rsidRPr="00A16D62">
        <w:rPr>
          <w:rFonts w:ascii="Cambria" w:eastAsia="Times New Roman" w:hAnsi="Cambria"/>
          <w:bCs/>
          <w:sz w:val="20"/>
          <w:szCs w:val="20"/>
          <w:bdr w:val="none" w:sz="0" w:space="0" w:color="auto"/>
          <w:lang w:val="es-ES"/>
        </w:rPr>
        <w:t>.</w:t>
      </w:r>
      <w:r w:rsidR="00C667B5"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B62E6C" w:rsidRPr="00A16D62">
        <w:rPr>
          <w:rFonts w:ascii="Cambria" w:eastAsia="Times New Roman" w:hAnsi="Cambria"/>
          <w:bCs/>
          <w:sz w:val="20"/>
          <w:szCs w:val="20"/>
          <w:bdr w:val="none" w:sz="0" w:space="0" w:color="auto"/>
          <w:lang w:val="es-ES"/>
        </w:rPr>
        <w:t xml:space="preserve"> insist</w:t>
      </w:r>
      <w:r w:rsidR="00FD345C" w:rsidRPr="00A16D62">
        <w:rPr>
          <w:rFonts w:ascii="Cambria" w:eastAsia="Times New Roman" w:hAnsi="Cambria"/>
          <w:bCs/>
          <w:sz w:val="20"/>
          <w:szCs w:val="20"/>
          <w:bdr w:val="none" w:sz="0" w:space="0" w:color="auto"/>
          <w:lang w:val="es-ES"/>
        </w:rPr>
        <w:t xml:space="preserve">e en que el </w:t>
      </w:r>
      <w:r w:rsidR="00E251B1" w:rsidRPr="00A16D62">
        <w:rPr>
          <w:rFonts w:ascii="Cambria" w:eastAsia="Times New Roman" w:hAnsi="Cambria"/>
          <w:bCs/>
          <w:sz w:val="20"/>
          <w:szCs w:val="20"/>
          <w:bdr w:val="none" w:sz="0" w:space="0" w:color="auto"/>
          <w:lang w:val="es-ES"/>
        </w:rPr>
        <w:t>Asesor Jurídico</w:t>
      </w:r>
      <w:r w:rsidR="00FD345C" w:rsidRPr="00A16D62">
        <w:rPr>
          <w:rFonts w:ascii="Cambria" w:eastAsia="Times New Roman" w:hAnsi="Cambria"/>
          <w:bCs/>
          <w:sz w:val="20"/>
          <w:szCs w:val="20"/>
          <w:bdr w:val="none" w:sz="0" w:space="0" w:color="auto"/>
          <w:lang w:val="es-ES"/>
        </w:rPr>
        <w:t xml:space="preserve">, tanto en su memorando como en instrucciones posteriores, recalcó que las oficinas </w:t>
      </w:r>
      <w:r w:rsidR="001A635C" w:rsidRPr="00A16D62">
        <w:rPr>
          <w:rFonts w:ascii="Cambria" w:eastAsia="Times New Roman" w:hAnsi="Cambria"/>
          <w:bCs/>
          <w:sz w:val="20"/>
          <w:szCs w:val="20"/>
          <w:bdr w:val="none" w:sz="0" w:space="0" w:color="auto"/>
          <w:lang w:val="es-ES"/>
        </w:rPr>
        <w:t>regional</w:t>
      </w:r>
      <w:r w:rsidR="00FD345C" w:rsidRPr="00A16D62">
        <w:rPr>
          <w:rFonts w:ascii="Cambria" w:eastAsia="Times New Roman" w:hAnsi="Cambria"/>
          <w:bCs/>
          <w:sz w:val="20"/>
          <w:szCs w:val="20"/>
          <w:bdr w:val="none" w:sz="0" w:space="0" w:color="auto"/>
          <w:lang w:val="es-ES"/>
        </w:rPr>
        <w:t>es deben partir del supuesto de que los</w:t>
      </w:r>
      <w:r w:rsidR="00B62E6C"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empleados</w:t>
      </w:r>
      <w:r w:rsidR="00B62E6C" w:rsidRPr="00A16D62">
        <w:rPr>
          <w:rFonts w:ascii="Cambria" w:eastAsia="Times New Roman" w:hAnsi="Cambria"/>
          <w:bCs/>
          <w:sz w:val="20"/>
          <w:szCs w:val="20"/>
          <w:bdr w:val="none" w:sz="0" w:space="0" w:color="auto"/>
          <w:lang w:val="es-ES"/>
        </w:rPr>
        <w:t xml:space="preserve"> </w:t>
      </w:r>
      <w:r w:rsidR="00FD345C" w:rsidRPr="00A16D62">
        <w:rPr>
          <w:rFonts w:ascii="Cambria" w:eastAsia="Times New Roman" w:hAnsi="Cambria"/>
          <w:bCs/>
          <w:sz w:val="20"/>
          <w:szCs w:val="20"/>
          <w:bdr w:val="none" w:sz="0" w:space="0" w:color="auto"/>
          <w:lang w:val="es-ES"/>
        </w:rPr>
        <w:t xml:space="preserve">están legalmente autorizados a trabajar y no deben iniciar investigaciones de oficio para determinar la </w:t>
      </w:r>
      <w:r w:rsidR="00521A6A" w:rsidRPr="00A16D62">
        <w:rPr>
          <w:rFonts w:ascii="Cambria" w:eastAsia="Times New Roman" w:hAnsi="Cambria"/>
          <w:bCs/>
          <w:sz w:val="20"/>
          <w:szCs w:val="20"/>
          <w:bdr w:val="none" w:sz="0" w:space="0" w:color="auto"/>
          <w:lang w:val="es-ES"/>
        </w:rPr>
        <w:t>situación migratoria</w:t>
      </w:r>
      <w:r w:rsidR="00B62E6C" w:rsidRPr="00A16D62">
        <w:rPr>
          <w:rFonts w:ascii="Cambria" w:eastAsia="Times New Roman" w:hAnsi="Cambria"/>
          <w:bCs/>
          <w:sz w:val="20"/>
          <w:szCs w:val="20"/>
          <w:bdr w:val="none" w:sz="0" w:space="0" w:color="auto"/>
          <w:lang w:val="es-ES"/>
        </w:rPr>
        <w:t xml:space="preserve"> </w:t>
      </w:r>
      <w:r w:rsidR="00FD345C" w:rsidRPr="00A16D62">
        <w:rPr>
          <w:rFonts w:ascii="Cambria" w:eastAsia="Times New Roman" w:hAnsi="Cambria"/>
          <w:bCs/>
          <w:sz w:val="20"/>
          <w:szCs w:val="20"/>
          <w:bdr w:val="none" w:sz="0" w:space="0" w:color="auto"/>
          <w:lang w:val="es-ES"/>
        </w:rPr>
        <w:t>de la parte acusadora en Estados Unidos</w:t>
      </w:r>
      <w:r w:rsidR="00B62E6C" w:rsidRPr="00A16D62">
        <w:rPr>
          <w:rStyle w:val="FootnoteReference"/>
          <w:rFonts w:ascii="Cambria" w:eastAsia="Times New Roman" w:hAnsi="Cambria"/>
          <w:bCs/>
          <w:sz w:val="20"/>
          <w:szCs w:val="20"/>
          <w:bdr w:val="none" w:sz="0" w:space="0" w:color="auto"/>
          <w:lang w:val="es-ES"/>
        </w:rPr>
        <w:footnoteReference w:id="25"/>
      </w:r>
      <w:r w:rsidR="00FD345C" w:rsidRPr="00A16D62">
        <w:rPr>
          <w:rFonts w:ascii="Cambria" w:eastAsia="Times New Roman" w:hAnsi="Cambria"/>
          <w:bCs/>
          <w:sz w:val="20"/>
          <w:szCs w:val="20"/>
          <w:bdr w:val="none" w:sz="0" w:space="0" w:color="auto"/>
          <w:lang w:val="es-ES"/>
        </w:rPr>
        <w:t>.</w:t>
      </w:r>
      <w:r w:rsidR="00B62E6C"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056C4B" w:rsidRPr="00A16D62">
        <w:rPr>
          <w:rFonts w:ascii="Cambria" w:eastAsia="Times New Roman" w:hAnsi="Cambria"/>
          <w:bCs/>
          <w:sz w:val="20"/>
          <w:szCs w:val="20"/>
          <w:bdr w:val="none" w:sz="0" w:space="0" w:color="auto"/>
          <w:lang w:val="es-ES"/>
        </w:rPr>
        <w:t xml:space="preserve"> </w:t>
      </w:r>
      <w:r w:rsidR="00FD345C" w:rsidRPr="00A16D62">
        <w:rPr>
          <w:rFonts w:ascii="Cambria" w:eastAsia="Times New Roman" w:hAnsi="Cambria"/>
          <w:bCs/>
          <w:sz w:val="20"/>
          <w:szCs w:val="20"/>
          <w:bdr w:val="none" w:sz="0" w:space="0" w:color="auto"/>
          <w:lang w:val="es-ES"/>
        </w:rPr>
        <w:t xml:space="preserve">mantiene también que la decisión en el caso </w:t>
      </w:r>
      <w:r w:rsidR="00056C4B" w:rsidRPr="00A16D62">
        <w:rPr>
          <w:rFonts w:ascii="Cambria" w:eastAsia="Times New Roman" w:hAnsi="Cambria"/>
          <w:bCs/>
          <w:i/>
          <w:sz w:val="20"/>
          <w:szCs w:val="20"/>
          <w:bdr w:val="none" w:sz="0" w:space="0" w:color="auto"/>
          <w:lang w:val="es-ES"/>
        </w:rPr>
        <w:t>Hoffman</w:t>
      </w:r>
      <w:r w:rsidR="00056C4B" w:rsidRPr="00A16D62">
        <w:rPr>
          <w:rFonts w:ascii="Cambria" w:eastAsia="Times New Roman" w:hAnsi="Cambria"/>
          <w:bCs/>
          <w:sz w:val="20"/>
          <w:szCs w:val="20"/>
          <w:bdr w:val="none" w:sz="0" w:space="0" w:color="auto"/>
          <w:lang w:val="es-ES"/>
        </w:rPr>
        <w:t xml:space="preserve"> </w:t>
      </w:r>
      <w:r w:rsidR="00FD345C" w:rsidRPr="00A16D62">
        <w:rPr>
          <w:rFonts w:ascii="Cambria" w:eastAsia="Times New Roman" w:hAnsi="Cambria"/>
          <w:bCs/>
          <w:sz w:val="20"/>
          <w:szCs w:val="20"/>
          <w:bdr w:val="none" w:sz="0" w:space="0" w:color="auto"/>
          <w:lang w:val="es-ES"/>
        </w:rPr>
        <w:t xml:space="preserve">no afectó las leyes que aplica el </w:t>
      </w:r>
      <w:r w:rsidR="00E02147" w:rsidRPr="00A16D62">
        <w:rPr>
          <w:rFonts w:ascii="Cambria" w:eastAsia="Times New Roman" w:hAnsi="Cambria"/>
          <w:bCs/>
          <w:sz w:val="20"/>
          <w:szCs w:val="20"/>
          <w:bdr w:val="none" w:sz="0" w:space="0" w:color="auto"/>
          <w:lang w:val="es-ES"/>
        </w:rPr>
        <w:t>Departamento de Trabajo</w:t>
      </w:r>
      <w:r w:rsidR="00056C4B" w:rsidRPr="00A16D62">
        <w:rPr>
          <w:rFonts w:ascii="Cambria" w:eastAsia="Times New Roman" w:hAnsi="Cambria"/>
          <w:bCs/>
          <w:sz w:val="20"/>
          <w:szCs w:val="20"/>
          <w:bdr w:val="none" w:sz="0" w:space="0" w:color="auto"/>
          <w:lang w:val="es-ES"/>
        </w:rPr>
        <w:t xml:space="preserve"> </w:t>
      </w:r>
      <w:r w:rsidR="00FD345C" w:rsidRPr="00A16D62">
        <w:rPr>
          <w:rFonts w:ascii="Cambria" w:eastAsia="Times New Roman" w:hAnsi="Cambria"/>
          <w:bCs/>
          <w:sz w:val="20"/>
          <w:szCs w:val="20"/>
          <w:bdr w:val="none" w:sz="0" w:space="0" w:color="auto"/>
          <w:lang w:val="es-ES"/>
        </w:rPr>
        <w:t xml:space="preserve">ni la labor de la </w:t>
      </w:r>
      <w:r w:rsidR="00812BCE" w:rsidRPr="00A16D62">
        <w:rPr>
          <w:rFonts w:ascii="Cambria" w:eastAsia="Times New Roman" w:hAnsi="Cambria"/>
          <w:bCs/>
          <w:sz w:val="20"/>
          <w:szCs w:val="20"/>
          <w:bdr w:val="none" w:sz="0" w:space="0" w:color="auto"/>
          <w:lang w:val="es-ES"/>
        </w:rPr>
        <w:t>Comisión para la Igualdad de Oportunidades en el Empleo</w:t>
      </w:r>
      <w:r w:rsidR="00056C4B" w:rsidRPr="00A16D62">
        <w:rPr>
          <w:rFonts w:ascii="Cambria" w:eastAsia="Times New Roman" w:hAnsi="Cambria"/>
          <w:bCs/>
          <w:sz w:val="20"/>
          <w:szCs w:val="20"/>
          <w:bdr w:val="none" w:sz="0" w:space="0" w:color="auto"/>
          <w:lang w:val="es-ES"/>
        </w:rPr>
        <w:t>.</w:t>
      </w:r>
    </w:p>
    <w:p w:rsidR="00677C25" w:rsidRPr="00A16D62" w:rsidRDefault="00677C25" w:rsidP="00677C2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lang w:val="es-ES"/>
        </w:rPr>
      </w:pPr>
    </w:p>
    <w:p w:rsidR="00934B3D" w:rsidRPr="00A16D62" w:rsidRDefault="00D2346A" w:rsidP="0098079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Asimismo</w:t>
      </w:r>
      <w:r w:rsidR="00934B3D"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934B3D" w:rsidRPr="00A16D62">
        <w:rPr>
          <w:rFonts w:ascii="Cambria" w:eastAsia="Times New Roman" w:hAnsi="Cambria"/>
          <w:bCs/>
          <w:sz w:val="20"/>
          <w:szCs w:val="20"/>
          <w:bdr w:val="none" w:sz="0" w:space="0" w:color="auto"/>
          <w:lang w:val="es-ES"/>
        </w:rPr>
        <w:t xml:space="preserve"> </w:t>
      </w:r>
      <w:r w:rsidR="00922D8B" w:rsidRPr="00A16D62">
        <w:rPr>
          <w:rFonts w:ascii="Cambria" w:eastAsia="Times New Roman" w:hAnsi="Cambria"/>
          <w:bCs/>
          <w:sz w:val="20"/>
          <w:szCs w:val="20"/>
          <w:bdr w:val="none" w:sz="0" w:space="0" w:color="auto"/>
          <w:lang w:val="es-ES"/>
        </w:rPr>
        <w:t>a</w:t>
      </w:r>
      <w:r w:rsidRPr="00A16D62">
        <w:rPr>
          <w:rFonts w:ascii="Cambria" w:eastAsia="Times New Roman" w:hAnsi="Cambria"/>
          <w:bCs/>
          <w:sz w:val="20"/>
          <w:szCs w:val="20"/>
          <w:bdr w:val="none" w:sz="0" w:space="0" w:color="auto"/>
          <w:lang w:val="es-ES"/>
        </w:rPr>
        <w:t xml:space="preserve">lega que las decisiones de tribunales </w:t>
      </w:r>
      <w:r w:rsidR="001B2C1B" w:rsidRPr="00A16D62">
        <w:rPr>
          <w:rFonts w:ascii="Cambria" w:eastAsia="Times New Roman" w:hAnsi="Cambria"/>
          <w:bCs/>
          <w:sz w:val="20"/>
          <w:szCs w:val="20"/>
          <w:bdr w:val="none" w:sz="0" w:space="0" w:color="auto"/>
          <w:lang w:val="es-ES"/>
        </w:rPr>
        <w:t>federal</w:t>
      </w:r>
      <w:r w:rsidRPr="00A16D62">
        <w:rPr>
          <w:rFonts w:ascii="Cambria" w:eastAsia="Times New Roman" w:hAnsi="Cambria"/>
          <w:bCs/>
          <w:sz w:val="20"/>
          <w:szCs w:val="20"/>
          <w:bdr w:val="none" w:sz="0" w:space="0" w:color="auto"/>
          <w:lang w:val="es-ES"/>
        </w:rPr>
        <w:t>es</w:t>
      </w:r>
      <w:r w:rsidR="001B2C1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tribunales </w:t>
      </w:r>
      <w:r w:rsidR="005402E3" w:rsidRPr="00A16D62">
        <w:rPr>
          <w:rFonts w:ascii="Cambria" w:eastAsia="Times New Roman" w:hAnsi="Cambria"/>
          <w:bCs/>
          <w:sz w:val="20"/>
          <w:szCs w:val="20"/>
          <w:bdr w:val="none" w:sz="0" w:space="0" w:color="auto"/>
          <w:lang w:val="es-ES"/>
        </w:rPr>
        <w:t>de</w:t>
      </w:r>
      <w:r w:rsidRPr="00A16D62">
        <w:rPr>
          <w:rFonts w:ascii="Cambria" w:eastAsia="Times New Roman" w:hAnsi="Cambria"/>
          <w:bCs/>
          <w:sz w:val="20"/>
          <w:szCs w:val="20"/>
          <w:bdr w:val="none" w:sz="0" w:space="0" w:color="auto"/>
          <w:lang w:val="es-ES"/>
        </w:rPr>
        <w:t xml:space="preserve"> lo contencioso-</w:t>
      </w:r>
      <w:r w:rsidR="001B2C1B" w:rsidRPr="00A16D62">
        <w:rPr>
          <w:rFonts w:ascii="Cambria" w:eastAsia="Times New Roman" w:hAnsi="Cambria"/>
          <w:bCs/>
          <w:sz w:val="20"/>
          <w:szCs w:val="20"/>
          <w:bdr w:val="none" w:sz="0" w:space="0" w:color="auto"/>
          <w:lang w:val="es-ES"/>
        </w:rPr>
        <w:t>administrativ</w:t>
      </w:r>
      <w:r w:rsidRPr="00A16D62">
        <w:rPr>
          <w:rFonts w:ascii="Cambria" w:eastAsia="Times New Roman" w:hAnsi="Cambria"/>
          <w:bCs/>
          <w:sz w:val="20"/>
          <w:szCs w:val="20"/>
          <w:bdr w:val="none" w:sz="0" w:space="0" w:color="auto"/>
          <w:lang w:val="es-ES"/>
        </w:rPr>
        <w:t xml:space="preserve">o posteriores al caso </w:t>
      </w:r>
      <w:r w:rsidR="001B2C1B" w:rsidRPr="00A16D62">
        <w:rPr>
          <w:rFonts w:ascii="Cambria" w:eastAsia="Times New Roman" w:hAnsi="Cambria"/>
          <w:bCs/>
          <w:i/>
          <w:sz w:val="20"/>
          <w:szCs w:val="20"/>
          <w:bdr w:val="none" w:sz="0" w:space="0" w:color="auto"/>
          <w:lang w:val="es-ES"/>
        </w:rPr>
        <w:t>Hoffman</w:t>
      </w:r>
      <w:r w:rsidR="001B2C1B" w:rsidRPr="00A16D62">
        <w:rPr>
          <w:rFonts w:ascii="Cambria" w:eastAsia="Times New Roman" w:hAnsi="Cambria"/>
          <w:bCs/>
          <w:sz w:val="20"/>
          <w:szCs w:val="20"/>
          <w:bdr w:val="none" w:sz="0" w:space="0" w:color="auto"/>
          <w:lang w:val="es-ES"/>
        </w:rPr>
        <w:t xml:space="preserve"> ha</w:t>
      </w:r>
      <w:r w:rsidRPr="00A16D62">
        <w:rPr>
          <w:rFonts w:ascii="Cambria" w:eastAsia="Times New Roman" w:hAnsi="Cambria"/>
          <w:bCs/>
          <w:sz w:val="20"/>
          <w:szCs w:val="20"/>
          <w:bdr w:val="none" w:sz="0" w:space="0" w:color="auto"/>
          <w:lang w:val="es-ES"/>
        </w:rPr>
        <w:t>n confirmado el principio de que, en Estados Unidos, los</w:t>
      </w:r>
      <w:r w:rsidR="001B2C1B" w:rsidRPr="00A16D62">
        <w:rPr>
          <w:rFonts w:ascii="Cambria" w:eastAsia="Times New Roman" w:hAnsi="Cambria"/>
          <w:bCs/>
          <w:sz w:val="20"/>
          <w:szCs w:val="20"/>
          <w:bdr w:val="none" w:sz="0" w:space="0" w:color="auto"/>
          <w:lang w:val="es-ES"/>
        </w:rPr>
        <w:t xml:space="preserve"> </w:t>
      </w:r>
      <w:r w:rsidR="000F4EF8" w:rsidRPr="00A16D62">
        <w:rPr>
          <w:rFonts w:ascii="Cambria" w:eastAsia="Times New Roman" w:hAnsi="Cambria"/>
          <w:bCs/>
          <w:sz w:val="20"/>
          <w:szCs w:val="20"/>
          <w:bdr w:val="none" w:sz="0" w:space="0" w:color="auto"/>
          <w:lang w:val="es-ES"/>
        </w:rPr>
        <w:t>empleadores</w:t>
      </w:r>
      <w:r w:rsidR="001B2C1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no pueden discriminar ilegalmente contra sus </w:t>
      </w:r>
      <w:r w:rsidR="007B4310" w:rsidRPr="00A16D62">
        <w:rPr>
          <w:rFonts w:ascii="Cambria" w:eastAsia="Times New Roman" w:hAnsi="Cambria"/>
          <w:bCs/>
          <w:sz w:val="20"/>
          <w:szCs w:val="20"/>
          <w:bdr w:val="none" w:sz="0" w:space="0" w:color="auto"/>
          <w:lang w:val="es-ES"/>
        </w:rPr>
        <w:t>empleados</w:t>
      </w:r>
      <w:r w:rsidR="001B2C1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incluso en los casos en que estos </w:t>
      </w:r>
      <w:r w:rsidR="007B4310" w:rsidRPr="00A16D62">
        <w:rPr>
          <w:rFonts w:ascii="Cambria" w:eastAsia="Times New Roman" w:hAnsi="Cambria"/>
          <w:bCs/>
          <w:sz w:val="20"/>
          <w:szCs w:val="20"/>
          <w:bdr w:val="none" w:sz="0" w:space="0" w:color="auto"/>
          <w:lang w:val="es-ES"/>
        </w:rPr>
        <w:t>empleados</w:t>
      </w:r>
      <w:r w:rsidR="001B2C1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sean</w:t>
      </w:r>
      <w:r w:rsidR="001B2C1B"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B33988" w:rsidRPr="00A16D62">
        <w:rPr>
          <w:rStyle w:val="FootnoteReference"/>
          <w:rFonts w:ascii="Cambria" w:eastAsia="Times New Roman" w:hAnsi="Cambria"/>
          <w:bCs/>
          <w:sz w:val="20"/>
          <w:szCs w:val="20"/>
          <w:bdr w:val="none" w:sz="0" w:space="0" w:color="auto"/>
          <w:lang w:val="es-ES"/>
        </w:rPr>
        <w:footnoteReference w:id="26"/>
      </w:r>
      <w:r w:rsidRPr="00A16D62">
        <w:rPr>
          <w:rFonts w:ascii="Cambria" w:eastAsia="Times New Roman" w:hAnsi="Cambria"/>
          <w:bCs/>
          <w:sz w:val="20"/>
          <w:szCs w:val="20"/>
          <w:bdr w:val="none" w:sz="0" w:space="0" w:color="auto"/>
          <w:lang w:val="es-ES"/>
        </w:rPr>
        <w:t>.</w:t>
      </w:r>
      <w:r w:rsidR="001B2C1B" w:rsidRPr="00A16D62">
        <w:rPr>
          <w:rFonts w:ascii="Cambria" w:eastAsia="Times New Roman" w:hAnsi="Cambria"/>
          <w:bCs/>
          <w:sz w:val="20"/>
          <w:szCs w:val="20"/>
          <w:bdr w:val="none" w:sz="0" w:space="0" w:color="auto"/>
          <w:lang w:val="es-ES"/>
        </w:rPr>
        <w:t xml:space="preserve"> </w:t>
      </w:r>
    </w:p>
    <w:p w:rsidR="000839D5" w:rsidRPr="00A16D62" w:rsidRDefault="000839D5" w:rsidP="009D43BE">
      <w:pPr>
        <w:rPr>
          <w:rFonts w:eastAsia="Times New Roman"/>
          <w:bCs/>
          <w:sz w:val="20"/>
          <w:szCs w:val="20"/>
          <w:bdr w:val="none" w:sz="0" w:space="0" w:color="auto"/>
          <w:lang w:val="es-ES"/>
        </w:rPr>
      </w:pPr>
    </w:p>
    <w:p w:rsidR="00AE0B78" w:rsidRPr="00A16D62" w:rsidRDefault="00862F07" w:rsidP="0098079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Ad</w:t>
      </w:r>
      <w:r w:rsidR="000F6FD8" w:rsidRPr="00A16D62">
        <w:rPr>
          <w:rFonts w:ascii="Cambria" w:eastAsia="Times New Roman" w:hAnsi="Cambria"/>
          <w:bCs/>
          <w:sz w:val="20"/>
          <w:szCs w:val="20"/>
          <w:bdr w:val="none" w:sz="0" w:space="0" w:color="auto"/>
          <w:lang w:val="es-ES"/>
        </w:rPr>
        <w:t xml:space="preserve">emás, </w:t>
      </w:r>
      <w:r w:rsidR="00180125" w:rsidRPr="00A16D62">
        <w:rPr>
          <w:rFonts w:ascii="Cambria" w:eastAsia="Times New Roman" w:hAnsi="Cambria"/>
          <w:bCs/>
          <w:sz w:val="20"/>
          <w:szCs w:val="20"/>
          <w:bdr w:val="none" w:sz="0" w:space="0" w:color="auto"/>
          <w:lang w:val="es-ES"/>
        </w:rPr>
        <w:t>el Estado</w:t>
      </w:r>
      <w:r w:rsidRPr="00A16D62">
        <w:rPr>
          <w:rFonts w:ascii="Cambria" w:eastAsia="Times New Roman" w:hAnsi="Cambria"/>
          <w:bCs/>
          <w:sz w:val="20"/>
          <w:szCs w:val="20"/>
          <w:bdr w:val="none" w:sz="0" w:space="0" w:color="auto"/>
          <w:lang w:val="es-ES"/>
        </w:rPr>
        <w:t xml:space="preserve"> </w:t>
      </w:r>
      <w:r w:rsidR="000F6FD8" w:rsidRPr="00A16D62">
        <w:rPr>
          <w:rFonts w:ascii="Cambria" w:eastAsia="Times New Roman" w:hAnsi="Cambria"/>
          <w:bCs/>
          <w:sz w:val="20"/>
          <w:szCs w:val="20"/>
          <w:bdr w:val="none" w:sz="0" w:space="0" w:color="auto"/>
          <w:lang w:val="es-ES"/>
        </w:rPr>
        <w:t xml:space="preserve">sostiene que el caso </w:t>
      </w:r>
      <w:r w:rsidRPr="00A16D62">
        <w:rPr>
          <w:rFonts w:ascii="Cambria" w:eastAsia="Times New Roman" w:hAnsi="Cambria"/>
          <w:bCs/>
          <w:i/>
          <w:sz w:val="20"/>
          <w:szCs w:val="20"/>
          <w:bdr w:val="none" w:sz="0" w:space="0" w:color="auto"/>
          <w:lang w:val="es-ES"/>
        </w:rPr>
        <w:t>Hoffman</w:t>
      </w:r>
      <w:r w:rsidRPr="00A16D62">
        <w:rPr>
          <w:rFonts w:ascii="Cambria" w:eastAsia="Times New Roman" w:hAnsi="Cambria"/>
          <w:bCs/>
          <w:sz w:val="20"/>
          <w:szCs w:val="20"/>
          <w:bdr w:val="none" w:sz="0" w:space="0" w:color="auto"/>
          <w:lang w:val="es-ES"/>
        </w:rPr>
        <w:t xml:space="preserve"> </w:t>
      </w:r>
      <w:r w:rsidR="000F6FD8" w:rsidRPr="00A16D62">
        <w:rPr>
          <w:rFonts w:ascii="Cambria" w:eastAsia="Times New Roman" w:hAnsi="Cambria"/>
          <w:bCs/>
          <w:sz w:val="20"/>
          <w:szCs w:val="20"/>
          <w:bdr w:val="none" w:sz="0" w:space="0" w:color="auto"/>
          <w:lang w:val="es-ES"/>
        </w:rPr>
        <w:t xml:space="preserve">se refería a la falta de un recurso en </w:t>
      </w:r>
      <w:r w:rsidRPr="00A16D62">
        <w:rPr>
          <w:rFonts w:ascii="Cambria" w:eastAsia="Times New Roman" w:hAnsi="Cambria"/>
          <w:bCs/>
          <w:sz w:val="20"/>
          <w:szCs w:val="20"/>
          <w:bdr w:val="none" w:sz="0" w:space="0" w:color="auto"/>
          <w:lang w:val="es-ES"/>
        </w:rPr>
        <w:t xml:space="preserve">particular </w:t>
      </w:r>
      <w:r w:rsidR="000F6FD8" w:rsidRPr="00A16D62">
        <w:rPr>
          <w:rFonts w:ascii="Cambria" w:eastAsia="Times New Roman" w:hAnsi="Cambria"/>
          <w:bCs/>
          <w:sz w:val="20"/>
          <w:szCs w:val="20"/>
          <w:bdr w:val="none" w:sz="0" w:space="0" w:color="auto"/>
          <w:lang w:val="es-ES"/>
        </w:rPr>
        <w:t xml:space="preserve">en el marco de una ley en </w:t>
      </w:r>
      <w:r w:rsidRPr="00A16D62">
        <w:rPr>
          <w:rFonts w:ascii="Cambria" w:eastAsia="Times New Roman" w:hAnsi="Cambria"/>
          <w:bCs/>
          <w:sz w:val="20"/>
          <w:szCs w:val="20"/>
          <w:bdr w:val="none" w:sz="0" w:space="0" w:color="auto"/>
          <w:lang w:val="es-ES"/>
        </w:rPr>
        <w:t xml:space="preserve">particular </w:t>
      </w:r>
      <w:r w:rsidR="000F6FD8" w:rsidRPr="00A16D62">
        <w:rPr>
          <w:rFonts w:ascii="Cambria" w:eastAsia="Times New Roman" w:hAnsi="Cambria"/>
          <w:bCs/>
          <w:sz w:val="20"/>
          <w:szCs w:val="20"/>
          <w:bdr w:val="none" w:sz="0" w:space="0" w:color="auto"/>
          <w:lang w:val="es-ES"/>
        </w:rPr>
        <w:t>(</w:t>
      </w:r>
      <w:r w:rsidR="00E5771D" w:rsidRPr="00A16D62">
        <w:rPr>
          <w:rFonts w:ascii="Cambria" w:eastAsia="Times New Roman" w:hAnsi="Cambria"/>
          <w:bCs/>
          <w:sz w:val="20"/>
          <w:szCs w:val="20"/>
          <w:bdr w:val="none" w:sz="0" w:space="0" w:color="auto"/>
          <w:lang w:val="es-ES"/>
        </w:rPr>
        <w:t>salarios caídos</w:t>
      </w:r>
      <w:r w:rsidR="000F6FD8"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 xml:space="preserve"> </w:t>
      </w:r>
      <w:r w:rsidR="000F6FD8" w:rsidRPr="00A16D62">
        <w:rPr>
          <w:rFonts w:ascii="Cambria" w:eastAsia="Times New Roman" w:hAnsi="Cambria"/>
          <w:bCs/>
          <w:sz w:val="20"/>
          <w:szCs w:val="20"/>
          <w:bdr w:val="none" w:sz="0" w:space="0" w:color="auto"/>
          <w:lang w:val="es-ES"/>
        </w:rPr>
        <w:t>durante el período transcurrido entre la terminación del empleo como consecuencia de la participación en actividades sindicales y el momento en que la Junta Nacional de Relaciones Laborales</w:t>
      </w:r>
      <w:r w:rsidRPr="00A16D62">
        <w:rPr>
          <w:rFonts w:ascii="Cambria" w:eastAsia="Times New Roman" w:hAnsi="Cambria"/>
          <w:bCs/>
          <w:sz w:val="20"/>
          <w:szCs w:val="20"/>
          <w:bdr w:val="none" w:sz="0" w:space="0" w:color="auto"/>
          <w:lang w:val="es-ES"/>
        </w:rPr>
        <w:t xml:space="preserve"> </w:t>
      </w:r>
      <w:r w:rsidR="000F6FD8" w:rsidRPr="00A16D62">
        <w:rPr>
          <w:rFonts w:ascii="Cambria" w:eastAsia="Times New Roman" w:hAnsi="Cambria"/>
          <w:bCs/>
          <w:sz w:val="20"/>
          <w:szCs w:val="20"/>
          <w:bdr w:val="none" w:sz="0" w:space="0" w:color="auto"/>
          <w:lang w:val="es-ES"/>
        </w:rPr>
        <w:t>determinó que el</w:t>
      </w:r>
      <w:r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empleador</w:t>
      </w:r>
      <w:r w:rsidRPr="00A16D62">
        <w:rPr>
          <w:rFonts w:ascii="Cambria" w:eastAsia="Times New Roman" w:hAnsi="Cambria"/>
          <w:bCs/>
          <w:sz w:val="20"/>
          <w:szCs w:val="20"/>
          <w:bdr w:val="none" w:sz="0" w:space="0" w:color="auto"/>
          <w:lang w:val="es-ES"/>
        </w:rPr>
        <w:t xml:space="preserve"> </w:t>
      </w:r>
      <w:r w:rsidR="000F6FD8" w:rsidRPr="00A16D62">
        <w:rPr>
          <w:rFonts w:ascii="Cambria" w:eastAsia="Times New Roman" w:hAnsi="Cambria"/>
          <w:bCs/>
          <w:sz w:val="20"/>
          <w:szCs w:val="20"/>
          <w:bdr w:val="none" w:sz="0" w:space="0" w:color="auto"/>
          <w:lang w:val="es-ES"/>
        </w:rPr>
        <w:t xml:space="preserve">había infringido la ley. Sin embargo, </w:t>
      </w:r>
      <w:r w:rsidR="00180125" w:rsidRPr="00A16D62">
        <w:rPr>
          <w:rFonts w:ascii="Cambria" w:eastAsia="Times New Roman" w:hAnsi="Cambria"/>
          <w:bCs/>
          <w:sz w:val="20"/>
          <w:szCs w:val="20"/>
          <w:bdr w:val="none" w:sz="0" w:space="0" w:color="auto"/>
          <w:lang w:val="es-ES"/>
        </w:rPr>
        <w:t>el Estado</w:t>
      </w:r>
      <w:r w:rsidRPr="00A16D62">
        <w:rPr>
          <w:rFonts w:ascii="Cambria" w:eastAsia="Times New Roman" w:hAnsi="Cambria"/>
          <w:bCs/>
          <w:sz w:val="20"/>
          <w:szCs w:val="20"/>
          <w:bdr w:val="none" w:sz="0" w:space="0" w:color="auto"/>
          <w:lang w:val="es-ES"/>
        </w:rPr>
        <w:t xml:space="preserve"> a</w:t>
      </w:r>
      <w:r w:rsidR="000F6FD8" w:rsidRPr="00A16D62">
        <w:rPr>
          <w:rFonts w:ascii="Cambria" w:eastAsia="Times New Roman" w:hAnsi="Cambria"/>
          <w:bCs/>
          <w:sz w:val="20"/>
          <w:szCs w:val="20"/>
          <w:bdr w:val="none" w:sz="0" w:space="0" w:color="auto"/>
          <w:lang w:val="es-ES"/>
        </w:rPr>
        <w:t xml:space="preserve">firma que el caso </w:t>
      </w:r>
      <w:r w:rsidRPr="00A16D62">
        <w:rPr>
          <w:rFonts w:ascii="Cambria" w:eastAsia="Times New Roman" w:hAnsi="Cambria"/>
          <w:bCs/>
          <w:i/>
          <w:sz w:val="20"/>
          <w:szCs w:val="20"/>
          <w:bdr w:val="none" w:sz="0" w:space="0" w:color="auto"/>
          <w:lang w:val="es-ES"/>
        </w:rPr>
        <w:t>Hoffman</w:t>
      </w:r>
      <w:r w:rsidRPr="00A16D62">
        <w:rPr>
          <w:rFonts w:ascii="Cambria" w:eastAsia="Times New Roman" w:hAnsi="Cambria"/>
          <w:bCs/>
          <w:sz w:val="20"/>
          <w:szCs w:val="20"/>
          <w:bdr w:val="none" w:sz="0" w:space="0" w:color="auto"/>
          <w:lang w:val="es-ES"/>
        </w:rPr>
        <w:t xml:space="preserve"> </w:t>
      </w:r>
      <w:r w:rsidR="000F6FD8" w:rsidRPr="00A16D62">
        <w:rPr>
          <w:rFonts w:ascii="Cambria" w:eastAsia="Times New Roman" w:hAnsi="Cambria"/>
          <w:bCs/>
          <w:sz w:val="20"/>
          <w:szCs w:val="20"/>
          <w:bdr w:val="none" w:sz="0" w:space="0" w:color="auto"/>
          <w:lang w:val="es-ES"/>
        </w:rPr>
        <w:t xml:space="preserve">ni siquiera </w:t>
      </w:r>
      <w:r w:rsidR="00AB15FF" w:rsidRPr="00A16D62">
        <w:rPr>
          <w:rFonts w:ascii="Cambria" w:eastAsia="Times New Roman" w:hAnsi="Cambria"/>
          <w:bCs/>
          <w:sz w:val="20"/>
          <w:szCs w:val="20"/>
          <w:bdr w:val="none" w:sz="0" w:space="0" w:color="auto"/>
          <w:lang w:val="es-ES"/>
        </w:rPr>
        <w:t xml:space="preserve">comprende </w:t>
      </w:r>
      <w:r w:rsidR="000F6FD8" w:rsidRPr="00A16D62">
        <w:rPr>
          <w:rFonts w:ascii="Cambria" w:eastAsia="Times New Roman" w:hAnsi="Cambria"/>
          <w:bCs/>
          <w:sz w:val="20"/>
          <w:szCs w:val="20"/>
          <w:bdr w:val="none" w:sz="0" w:space="0" w:color="auto"/>
          <w:lang w:val="es-ES"/>
        </w:rPr>
        <w:t>los reclamos de l</w:t>
      </w:r>
      <w:r w:rsidR="009A5408" w:rsidRPr="00A16D62">
        <w:rPr>
          <w:rFonts w:ascii="Cambria" w:eastAsia="Times New Roman" w:hAnsi="Cambria"/>
          <w:bCs/>
          <w:sz w:val="20"/>
          <w:szCs w:val="20"/>
          <w:bdr w:val="none" w:sz="0" w:space="0" w:color="auto"/>
          <w:lang w:val="es-ES"/>
        </w:rPr>
        <w:t>os peticionarios</w:t>
      </w:r>
      <w:r w:rsidRPr="00A16D62">
        <w:rPr>
          <w:rFonts w:ascii="Cambria" w:eastAsia="Times New Roman" w:hAnsi="Cambria"/>
          <w:bCs/>
          <w:sz w:val="20"/>
          <w:szCs w:val="20"/>
          <w:bdr w:val="none" w:sz="0" w:space="0" w:color="auto"/>
          <w:lang w:val="es-ES"/>
        </w:rPr>
        <w:t xml:space="preserve">, </w:t>
      </w:r>
      <w:r w:rsidR="000F6FD8" w:rsidRPr="00A16D62">
        <w:rPr>
          <w:rFonts w:ascii="Cambria" w:eastAsia="Times New Roman" w:hAnsi="Cambria"/>
          <w:bCs/>
          <w:sz w:val="20"/>
          <w:szCs w:val="20"/>
          <w:bdr w:val="none" w:sz="0" w:space="0" w:color="auto"/>
          <w:lang w:val="es-ES"/>
        </w:rPr>
        <w:t xml:space="preserve">que piden una compensación por medio de sistemas estatales de </w:t>
      </w:r>
      <w:r w:rsidR="007B4310" w:rsidRPr="00A16D62">
        <w:rPr>
          <w:rFonts w:ascii="Cambria" w:eastAsia="Times New Roman" w:hAnsi="Cambria"/>
          <w:bCs/>
          <w:sz w:val="20"/>
          <w:szCs w:val="20"/>
          <w:bdr w:val="none" w:sz="0" w:space="0" w:color="auto"/>
          <w:lang w:val="es-ES"/>
        </w:rPr>
        <w:t>indemnización por accidentes de trabajo</w:t>
      </w:r>
      <w:r w:rsidR="000F6FD8" w:rsidRPr="00A16D62">
        <w:rPr>
          <w:rFonts w:ascii="Cambria" w:eastAsia="Times New Roman" w:hAnsi="Cambria"/>
          <w:bCs/>
          <w:sz w:val="20"/>
          <w:szCs w:val="20"/>
          <w:bdr w:val="none" w:sz="0" w:space="0" w:color="auto"/>
          <w:lang w:val="es-ES"/>
        </w:rPr>
        <w:t xml:space="preserve"> por lesiones sufridas mientras estaban trabajando</w:t>
      </w:r>
      <w:r w:rsidR="00AB15FF" w:rsidRPr="00A16D62">
        <w:rPr>
          <w:rFonts w:ascii="Cambria" w:eastAsia="Times New Roman" w:hAnsi="Cambria"/>
          <w:bCs/>
          <w:sz w:val="20"/>
          <w:szCs w:val="20"/>
          <w:bdr w:val="none" w:sz="0" w:space="0" w:color="auto"/>
          <w:lang w:val="es-ES"/>
        </w:rPr>
        <w:t>. Por lo tanto, hay una diferencia fáctica fundamental que crea una distinción entre los casos</w:t>
      </w:r>
      <w:r w:rsidR="00AE0B78" w:rsidRPr="00A16D62">
        <w:rPr>
          <w:rFonts w:ascii="Cambria" w:eastAsia="Times New Roman" w:hAnsi="Cambria"/>
          <w:bCs/>
          <w:sz w:val="20"/>
          <w:szCs w:val="20"/>
          <w:bdr w:val="none" w:sz="0" w:space="0" w:color="auto"/>
          <w:lang w:val="es-ES"/>
        </w:rPr>
        <w:t xml:space="preserve">. </w:t>
      </w:r>
    </w:p>
    <w:p w:rsidR="00AE0B78" w:rsidRPr="00A16D62" w:rsidRDefault="00AE0B78" w:rsidP="00AE0B78">
      <w:pPr>
        <w:pStyle w:val="ListParagraph"/>
        <w:rPr>
          <w:rFonts w:eastAsia="Times New Roman"/>
          <w:bCs/>
          <w:sz w:val="20"/>
          <w:szCs w:val="20"/>
          <w:bdr w:val="none" w:sz="0" w:space="0" w:color="auto"/>
          <w:lang w:val="es-ES"/>
        </w:rPr>
      </w:pPr>
    </w:p>
    <w:p w:rsidR="009D43BE" w:rsidRPr="00A16D62" w:rsidRDefault="00AB15FF" w:rsidP="0098079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A pesar de esta distinción fáctica, </w:t>
      </w:r>
      <w:r w:rsidR="00180125" w:rsidRPr="00A16D62">
        <w:rPr>
          <w:rFonts w:ascii="Cambria" w:eastAsia="Times New Roman" w:hAnsi="Cambria"/>
          <w:bCs/>
          <w:sz w:val="20"/>
          <w:szCs w:val="20"/>
          <w:bdr w:val="none" w:sz="0" w:space="0" w:color="auto"/>
          <w:lang w:val="es-ES"/>
        </w:rPr>
        <w:t>el Estado</w:t>
      </w:r>
      <w:r w:rsidR="00AE0B7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sostiene que las dos jurisdicciones involucradas en este caso</w:t>
      </w:r>
      <w:r w:rsidR="00AE0B78" w:rsidRPr="00A16D62">
        <w:rPr>
          <w:rFonts w:ascii="Cambria" w:eastAsia="Times New Roman" w:hAnsi="Cambria"/>
          <w:bCs/>
          <w:sz w:val="20"/>
          <w:szCs w:val="20"/>
          <w:bdr w:val="none" w:sz="0" w:space="0" w:color="auto"/>
          <w:lang w:val="es-ES"/>
        </w:rPr>
        <w:t xml:space="preserve">, </w:t>
      </w:r>
      <w:r w:rsidR="003E2C91" w:rsidRPr="00A16D62">
        <w:rPr>
          <w:rFonts w:ascii="Cambria" w:eastAsia="Times New Roman" w:hAnsi="Cambria"/>
          <w:bCs/>
          <w:sz w:val="20"/>
          <w:szCs w:val="20"/>
          <w:bdr w:val="none" w:sz="0" w:space="0" w:color="auto"/>
          <w:lang w:val="es-ES"/>
        </w:rPr>
        <w:t>Pensilvania</w:t>
      </w:r>
      <w:r w:rsidR="00AE0B7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y</w:t>
      </w:r>
      <w:r w:rsidR="00AE0B78" w:rsidRPr="00A16D62">
        <w:rPr>
          <w:rFonts w:ascii="Cambria" w:eastAsia="Times New Roman" w:hAnsi="Cambria"/>
          <w:bCs/>
          <w:sz w:val="20"/>
          <w:szCs w:val="20"/>
          <w:bdr w:val="none" w:sz="0" w:space="0" w:color="auto"/>
          <w:lang w:val="es-ES"/>
        </w:rPr>
        <w:t xml:space="preserve"> Kansas, </w:t>
      </w:r>
      <w:r w:rsidRPr="00A16D62">
        <w:rPr>
          <w:rFonts w:ascii="Cambria" w:eastAsia="Times New Roman" w:hAnsi="Cambria"/>
          <w:bCs/>
          <w:sz w:val="20"/>
          <w:szCs w:val="20"/>
          <w:bdr w:val="none" w:sz="0" w:space="0" w:color="auto"/>
          <w:lang w:val="es-ES"/>
        </w:rPr>
        <w:t>no son hostiles o adversas con respecto a</w:t>
      </w:r>
      <w:r w:rsidR="001A635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los </w:t>
      </w:r>
      <w:r w:rsidR="00C038BF" w:rsidRPr="00A16D62">
        <w:rPr>
          <w:rFonts w:ascii="Cambria" w:eastAsia="Times New Roman" w:hAnsi="Cambria"/>
          <w:bCs/>
          <w:sz w:val="20"/>
          <w:szCs w:val="20"/>
          <w:bdr w:val="none" w:sz="0" w:space="0" w:color="auto"/>
          <w:lang w:val="es-ES"/>
        </w:rPr>
        <w:t>trabajadores indocumentados</w:t>
      </w:r>
      <w:r w:rsidR="00617DB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sobre base de los </w:t>
      </w:r>
      <w:r w:rsidR="00AE0B78" w:rsidRPr="00A16D62">
        <w:rPr>
          <w:rFonts w:ascii="Cambria" w:eastAsia="Times New Roman" w:hAnsi="Cambria"/>
          <w:bCs/>
          <w:sz w:val="20"/>
          <w:szCs w:val="20"/>
          <w:bdr w:val="none" w:sz="0" w:space="0" w:color="auto"/>
          <w:lang w:val="es-ES"/>
        </w:rPr>
        <w:t>precedent</w:t>
      </w:r>
      <w:r w:rsidRPr="00A16D62">
        <w:rPr>
          <w:rFonts w:ascii="Cambria" w:eastAsia="Times New Roman" w:hAnsi="Cambria"/>
          <w:bCs/>
          <w:sz w:val="20"/>
          <w:szCs w:val="20"/>
          <w:bdr w:val="none" w:sz="0" w:space="0" w:color="auto"/>
          <w:lang w:val="es-ES"/>
        </w:rPr>
        <w:t>es</w:t>
      </w:r>
      <w:r w:rsidR="00AE0B7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probablemente habrían confirmado los derechos de las</w:t>
      </w:r>
      <w:r w:rsidR="00AE0B78" w:rsidRPr="00A16D62">
        <w:rPr>
          <w:rFonts w:ascii="Cambria" w:eastAsia="Times New Roman" w:hAnsi="Cambria"/>
          <w:bCs/>
          <w:sz w:val="20"/>
          <w:szCs w:val="20"/>
          <w:bdr w:val="none" w:sz="0" w:space="0" w:color="auto"/>
          <w:lang w:val="es-ES"/>
        </w:rPr>
        <w:t xml:space="preserve"> </w:t>
      </w:r>
      <w:r w:rsidR="009A5408" w:rsidRPr="00A16D62">
        <w:rPr>
          <w:rFonts w:ascii="Cambria" w:eastAsia="Times New Roman" w:hAnsi="Cambria"/>
          <w:bCs/>
          <w:sz w:val="20"/>
          <w:szCs w:val="20"/>
          <w:bdr w:val="none" w:sz="0" w:space="0" w:color="auto"/>
          <w:lang w:val="es-ES"/>
        </w:rPr>
        <w:t>presuntas víctimas</w:t>
      </w:r>
      <w:r w:rsidRPr="00A16D62">
        <w:rPr>
          <w:rFonts w:ascii="Cambria" w:eastAsia="Times New Roman" w:hAnsi="Cambria"/>
          <w:bCs/>
          <w:sz w:val="20"/>
          <w:szCs w:val="20"/>
          <w:bdr w:val="none" w:sz="0" w:space="0" w:color="auto"/>
          <w:lang w:val="es-ES"/>
        </w:rPr>
        <w:t xml:space="preserve">. En lo que se refiere a </w:t>
      </w:r>
      <w:r w:rsidR="003E2C91" w:rsidRPr="00A16D62">
        <w:rPr>
          <w:rFonts w:ascii="Cambria" w:eastAsia="Times New Roman" w:hAnsi="Cambria"/>
          <w:bCs/>
          <w:sz w:val="20"/>
          <w:szCs w:val="20"/>
          <w:bdr w:val="none" w:sz="0" w:space="0" w:color="auto"/>
          <w:lang w:val="es-ES"/>
        </w:rPr>
        <w:t>Pensilvania</w:t>
      </w:r>
      <w:r w:rsidR="00617DB2"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617DB2" w:rsidRPr="00A16D62">
        <w:rPr>
          <w:rFonts w:ascii="Cambria" w:eastAsia="Times New Roman" w:hAnsi="Cambria"/>
          <w:bCs/>
          <w:sz w:val="20"/>
          <w:szCs w:val="20"/>
          <w:bdr w:val="none" w:sz="0" w:space="0" w:color="auto"/>
          <w:lang w:val="es-ES"/>
        </w:rPr>
        <w:t xml:space="preserve"> refut</w:t>
      </w:r>
      <w:r w:rsidRPr="00A16D62">
        <w:rPr>
          <w:rFonts w:ascii="Cambria" w:eastAsia="Times New Roman" w:hAnsi="Cambria"/>
          <w:bCs/>
          <w:sz w:val="20"/>
          <w:szCs w:val="20"/>
          <w:bdr w:val="none" w:sz="0" w:space="0" w:color="auto"/>
          <w:lang w:val="es-ES"/>
        </w:rPr>
        <w:t>a los reclamos de l</w:t>
      </w:r>
      <w:r w:rsidR="009A5408" w:rsidRPr="00A16D62">
        <w:rPr>
          <w:rFonts w:ascii="Cambria" w:eastAsia="Times New Roman" w:hAnsi="Cambria"/>
          <w:bCs/>
          <w:sz w:val="20"/>
          <w:szCs w:val="20"/>
          <w:bdr w:val="none" w:sz="0" w:space="0" w:color="auto"/>
          <w:lang w:val="es-ES"/>
        </w:rPr>
        <w:t>os peticionarios</w:t>
      </w:r>
      <w:r w:rsidRPr="00A16D62">
        <w:rPr>
          <w:rFonts w:ascii="Cambria" w:eastAsia="Times New Roman" w:hAnsi="Cambria"/>
          <w:bCs/>
          <w:sz w:val="20"/>
          <w:szCs w:val="20"/>
          <w:bdr w:val="none" w:sz="0" w:space="0" w:color="auto"/>
          <w:lang w:val="es-ES"/>
        </w:rPr>
        <w:t xml:space="preserve"> con respecto al caso </w:t>
      </w:r>
      <w:r w:rsidR="00617DB2" w:rsidRPr="00A16D62">
        <w:rPr>
          <w:rFonts w:ascii="Cambria" w:eastAsia="Times New Roman" w:hAnsi="Cambria"/>
          <w:bCs/>
          <w:i/>
          <w:sz w:val="20"/>
          <w:szCs w:val="20"/>
          <w:bdr w:val="none" w:sz="0" w:space="0" w:color="auto"/>
          <w:lang w:val="es-ES"/>
        </w:rPr>
        <w:t xml:space="preserve">Reinforced Earth Co. </w:t>
      </w:r>
      <w:r w:rsidR="00521A6A" w:rsidRPr="00A16D62">
        <w:rPr>
          <w:rFonts w:ascii="Cambria" w:eastAsia="Times New Roman" w:hAnsi="Cambria"/>
          <w:bCs/>
          <w:i/>
          <w:sz w:val="20"/>
          <w:szCs w:val="20"/>
          <w:bdr w:val="none" w:sz="0" w:space="0" w:color="auto"/>
          <w:lang w:val="es-ES"/>
        </w:rPr>
        <w:t>c.</w:t>
      </w:r>
      <w:r w:rsidR="00617DB2" w:rsidRPr="00A16D62">
        <w:rPr>
          <w:rFonts w:ascii="Cambria" w:eastAsia="Times New Roman" w:hAnsi="Cambria"/>
          <w:bCs/>
          <w:i/>
          <w:sz w:val="20"/>
          <w:szCs w:val="20"/>
          <w:bdr w:val="none" w:sz="0" w:space="0" w:color="auto"/>
          <w:lang w:val="es-ES"/>
        </w:rPr>
        <w:t xml:space="preserve"> </w:t>
      </w:r>
      <w:r w:rsidR="00E251B1" w:rsidRPr="00A16D62">
        <w:rPr>
          <w:rFonts w:ascii="Cambria" w:eastAsia="Times New Roman" w:hAnsi="Cambria"/>
          <w:bCs/>
          <w:i/>
          <w:sz w:val="20"/>
          <w:szCs w:val="20"/>
          <w:bdr w:val="none" w:sz="0" w:space="0" w:color="auto"/>
          <w:lang w:val="es-ES"/>
        </w:rPr>
        <w:t xml:space="preserve">Junta de Apelaciones para la </w:t>
      </w:r>
      <w:r w:rsidR="007B4310" w:rsidRPr="00A16D62">
        <w:rPr>
          <w:rFonts w:ascii="Cambria" w:eastAsia="Times New Roman" w:hAnsi="Cambria"/>
          <w:bCs/>
          <w:i/>
          <w:sz w:val="20"/>
          <w:szCs w:val="20"/>
          <w:bdr w:val="none" w:sz="0" w:space="0" w:color="auto"/>
          <w:lang w:val="es-ES"/>
        </w:rPr>
        <w:t xml:space="preserve">Indemnización por </w:t>
      </w:r>
      <w:r w:rsidR="00E251B1" w:rsidRPr="00A16D62">
        <w:rPr>
          <w:rFonts w:ascii="Cambria" w:eastAsia="Times New Roman" w:hAnsi="Cambria"/>
          <w:bCs/>
          <w:i/>
          <w:sz w:val="20"/>
          <w:szCs w:val="20"/>
          <w:bdr w:val="none" w:sz="0" w:space="0" w:color="auto"/>
          <w:lang w:val="es-ES"/>
        </w:rPr>
        <w:t>A</w:t>
      </w:r>
      <w:r w:rsidR="007B4310" w:rsidRPr="00A16D62">
        <w:rPr>
          <w:rFonts w:ascii="Cambria" w:eastAsia="Times New Roman" w:hAnsi="Cambria"/>
          <w:bCs/>
          <w:i/>
          <w:sz w:val="20"/>
          <w:szCs w:val="20"/>
          <w:bdr w:val="none" w:sz="0" w:space="0" w:color="auto"/>
          <w:lang w:val="es-ES"/>
        </w:rPr>
        <w:t xml:space="preserve">ccidentes de </w:t>
      </w:r>
      <w:r w:rsidR="00E251B1" w:rsidRPr="00A16D62">
        <w:rPr>
          <w:rFonts w:ascii="Cambria" w:eastAsia="Times New Roman" w:hAnsi="Cambria"/>
          <w:bCs/>
          <w:i/>
          <w:sz w:val="20"/>
          <w:szCs w:val="20"/>
          <w:bdr w:val="none" w:sz="0" w:space="0" w:color="auto"/>
          <w:lang w:val="es-ES"/>
        </w:rPr>
        <w:t>T</w:t>
      </w:r>
      <w:r w:rsidR="007B4310" w:rsidRPr="00A16D62">
        <w:rPr>
          <w:rFonts w:ascii="Cambria" w:eastAsia="Times New Roman" w:hAnsi="Cambria"/>
          <w:bCs/>
          <w:i/>
          <w:sz w:val="20"/>
          <w:szCs w:val="20"/>
          <w:bdr w:val="none" w:sz="0" w:space="0" w:color="auto"/>
          <w:lang w:val="es-ES"/>
        </w:rPr>
        <w:t>rabajo</w:t>
      </w:r>
      <w:r w:rsidR="00617DB2" w:rsidRPr="00A16D62">
        <w:rPr>
          <w:rFonts w:ascii="Cambria" w:eastAsia="Times New Roman" w:hAnsi="Cambria"/>
          <w:bCs/>
          <w:sz w:val="20"/>
          <w:szCs w:val="20"/>
          <w:bdr w:val="none" w:sz="0" w:space="0" w:color="auto"/>
          <w:lang w:val="es-ES"/>
        </w:rPr>
        <w:t>, s</w:t>
      </w:r>
      <w:r w:rsidRPr="00A16D62">
        <w:rPr>
          <w:rFonts w:ascii="Cambria" w:eastAsia="Times New Roman" w:hAnsi="Cambria"/>
          <w:bCs/>
          <w:sz w:val="20"/>
          <w:szCs w:val="20"/>
          <w:bdr w:val="none" w:sz="0" w:space="0" w:color="auto"/>
          <w:lang w:val="es-ES"/>
        </w:rPr>
        <w:t xml:space="preserve">eñalando que en la decisión no se cita el caso </w:t>
      </w:r>
      <w:r w:rsidR="00617DB2" w:rsidRPr="00A16D62">
        <w:rPr>
          <w:rFonts w:ascii="Cambria" w:eastAsia="Times New Roman" w:hAnsi="Cambria"/>
          <w:bCs/>
          <w:i/>
          <w:sz w:val="20"/>
          <w:szCs w:val="20"/>
          <w:bdr w:val="none" w:sz="0" w:space="0" w:color="auto"/>
          <w:lang w:val="es-ES"/>
        </w:rPr>
        <w:t>Hoffman</w:t>
      </w:r>
      <w:r w:rsidR="00617DB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w:t>
      </w:r>
      <w:r w:rsidR="00617DB2"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se rechaza implícitamente</w:t>
      </w:r>
      <w:r w:rsidR="00617DB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la posibilidad de hacer extensiva la decisión en el caso</w:t>
      </w:r>
      <w:r w:rsidR="00617DB2" w:rsidRPr="00A16D62">
        <w:rPr>
          <w:rFonts w:ascii="Cambria" w:eastAsia="Times New Roman" w:hAnsi="Cambria"/>
          <w:bCs/>
          <w:sz w:val="20"/>
          <w:szCs w:val="20"/>
          <w:bdr w:val="none" w:sz="0" w:space="0" w:color="auto"/>
          <w:lang w:val="es-ES"/>
        </w:rPr>
        <w:t xml:space="preserve"> </w:t>
      </w:r>
      <w:r w:rsidR="00617DB2" w:rsidRPr="00A16D62">
        <w:rPr>
          <w:rFonts w:ascii="Cambria" w:eastAsia="Times New Roman" w:hAnsi="Cambria"/>
          <w:bCs/>
          <w:i/>
          <w:sz w:val="20"/>
          <w:szCs w:val="20"/>
          <w:bdr w:val="none" w:sz="0" w:space="0" w:color="auto"/>
          <w:lang w:val="es-ES"/>
        </w:rPr>
        <w:t>Hoffman</w:t>
      </w:r>
      <w:r w:rsidR="00617DB2" w:rsidRPr="00A16D62">
        <w:rPr>
          <w:rFonts w:ascii="Cambria" w:eastAsia="Times New Roman" w:hAnsi="Cambria"/>
          <w:bCs/>
          <w:sz w:val="20"/>
          <w:szCs w:val="20"/>
          <w:bdr w:val="none" w:sz="0" w:space="0" w:color="auto"/>
          <w:lang w:val="es-ES"/>
        </w:rPr>
        <w:t xml:space="preserve"> </w:t>
      </w:r>
      <w:r w:rsidR="00E251B1" w:rsidRPr="00A16D62">
        <w:rPr>
          <w:rFonts w:ascii="Cambria" w:eastAsia="Times New Roman" w:hAnsi="Cambria"/>
          <w:bCs/>
          <w:sz w:val="20"/>
          <w:szCs w:val="20"/>
          <w:bdr w:val="none" w:sz="0" w:space="0" w:color="auto"/>
          <w:lang w:val="es-ES"/>
        </w:rPr>
        <w:t>al sistema de</w:t>
      </w:r>
      <w:r w:rsidR="00617DB2"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indemnización por accidentes de trabajo</w:t>
      </w:r>
      <w:r w:rsidR="00E251B1" w:rsidRPr="00A16D62">
        <w:rPr>
          <w:rFonts w:ascii="Cambria" w:eastAsia="Times New Roman" w:hAnsi="Cambria"/>
          <w:bCs/>
          <w:sz w:val="20"/>
          <w:szCs w:val="20"/>
          <w:bdr w:val="none" w:sz="0" w:space="0" w:color="auto"/>
          <w:lang w:val="es-ES"/>
        </w:rPr>
        <w:t xml:space="preserve"> de Pensilvania</w:t>
      </w:r>
      <w:r w:rsidR="00617DB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Asimismo, </w:t>
      </w:r>
      <w:r w:rsidR="00180125" w:rsidRPr="00A16D62">
        <w:rPr>
          <w:rFonts w:ascii="Cambria" w:eastAsia="Times New Roman" w:hAnsi="Cambria"/>
          <w:bCs/>
          <w:sz w:val="20"/>
          <w:szCs w:val="20"/>
          <w:bdr w:val="none" w:sz="0" w:space="0" w:color="auto"/>
          <w:lang w:val="es-ES"/>
        </w:rPr>
        <w:t>el Estado</w:t>
      </w:r>
      <w:r w:rsidR="00617DB2" w:rsidRPr="00A16D62">
        <w:rPr>
          <w:rFonts w:ascii="Cambria" w:eastAsia="Times New Roman" w:hAnsi="Cambria"/>
          <w:bCs/>
          <w:sz w:val="20"/>
          <w:szCs w:val="20"/>
          <w:bdr w:val="none" w:sz="0" w:space="0" w:color="auto"/>
          <w:lang w:val="es-ES"/>
        </w:rPr>
        <w:t xml:space="preserve"> </w:t>
      </w:r>
      <w:r w:rsidR="005770AE" w:rsidRPr="00A16D62">
        <w:rPr>
          <w:rFonts w:ascii="Cambria" w:eastAsia="Times New Roman" w:hAnsi="Cambria"/>
          <w:bCs/>
          <w:sz w:val="20"/>
          <w:szCs w:val="20"/>
          <w:bdr w:val="none" w:sz="0" w:space="0" w:color="auto"/>
          <w:lang w:val="es-ES"/>
        </w:rPr>
        <w:t>destaca que la decisión expresó el principio de que los</w:t>
      </w:r>
      <w:r w:rsidR="00617DB2"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617DB2" w:rsidRPr="00A16D62">
        <w:rPr>
          <w:rFonts w:ascii="Cambria" w:eastAsia="Times New Roman" w:hAnsi="Cambria"/>
          <w:bCs/>
          <w:sz w:val="20"/>
          <w:szCs w:val="20"/>
          <w:bdr w:val="none" w:sz="0" w:space="0" w:color="auto"/>
          <w:lang w:val="es-ES"/>
        </w:rPr>
        <w:t xml:space="preserve"> </w:t>
      </w:r>
      <w:r w:rsidR="005770AE" w:rsidRPr="00A16D62">
        <w:rPr>
          <w:rFonts w:ascii="Cambria" w:eastAsia="Times New Roman" w:hAnsi="Cambria"/>
          <w:bCs/>
          <w:sz w:val="20"/>
          <w:szCs w:val="20"/>
          <w:bdr w:val="none" w:sz="0" w:space="0" w:color="auto"/>
          <w:lang w:val="es-ES"/>
        </w:rPr>
        <w:t xml:space="preserve">pueden recibir </w:t>
      </w:r>
      <w:r w:rsidR="007B4310" w:rsidRPr="00A16D62">
        <w:rPr>
          <w:rFonts w:ascii="Cambria" w:eastAsia="Times New Roman" w:hAnsi="Cambria"/>
          <w:bCs/>
          <w:sz w:val="20"/>
          <w:szCs w:val="20"/>
          <w:bdr w:val="none" w:sz="0" w:space="0" w:color="auto"/>
          <w:lang w:val="es-ES"/>
        </w:rPr>
        <w:t>indemnización por accidentes de trabajo</w:t>
      </w:r>
      <w:r w:rsidR="00617DB2" w:rsidRPr="00A16D62">
        <w:rPr>
          <w:rFonts w:ascii="Cambria" w:eastAsia="Times New Roman" w:hAnsi="Cambria"/>
          <w:bCs/>
          <w:sz w:val="20"/>
          <w:szCs w:val="20"/>
          <w:bdr w:val="none" w:sz="0" w:space="0" w:color="auto"/>
          <w:lang w:val="es-ES"/>
        </w:rPr>
        <w:t>, inclu</w:t>
      </w:r>
      <w:r w:rsidR="005770AE" w:rsidRPr="00A16D62">
        <w:rPr>
          <w:rFonts w:ascii="Cambria" w:eastAsia="Times New Roman" w:hAnsi="Cambria"/>
          <w:bCs/>
          <w:sz w:val="20"/>
          <w:szCs w:val="20"/>
          <w:bdr w:val="none" w:sz="0" w:space="0" w:color="auto"/>
          <w:lang w:val="es-ES"/>
        </w:rPr>
        <w:t xml:space="preserve">ido el pago de atención médica </w:t>
      </w:r>
      <w:r w:rsidR="005770AE" w:rsidRPr="00A16D62">
        <w:rPr>
          <w:rFonts w:ascii="Cambria" w:eastAsia="Times New Roman" w:hAnsi="Cambria"/>
          <w:bCs/>
          <w:sz w:val="20"/>
          <w:szCs w:val="20"/>
          <w:bdr w:val="none" w:sz="0" w:space="0" w:color="auto"/>
          <w:lang w:val="es-ES"/>
        </w:rPr>
        <w:lastRenderedPageBreak/>
        <w:t>e indemnización por salarios no percibidos, incluso en los casos en que el trabajador haya conseguido empleo usando documentos fraudulentos</w:t>
      </w:r>
      <w:r w:rsidR="00617DB2" w:rsidRPr="00A16D62">
        <w:rPr>
          <w:rStyle w:val="FootnoteReference"/>
          <w:rFonts w:ascii="Cambria" w:eastAsia="Times New Roman" w:hAnsi="Cambria"/>
          <w:bCs/>
          <w:sz w:val="20"/>
          <w:szCs w:val="20"/>
          <w:bdr w:val="none" w:sz="0" w:space="0" w:color="auto"/>
          <w:lang w:val="es-ES"/>
        </w:rPr>
        <w:footnoteReference w:id="27"/>
      </w:r>
      <w:r w:rsidR="005770AE" w:rsidRPr="00A16D62">
        <w:rPr>
          <w:rFonts w:ascii="Cambria" w:eastAsia="Times New Roman" w:hAnsi="Cambria"/>
          <w:bCs/>
          <w:sz w:val="20"/>
          <w:szCs w:val="20"/>
          <w:bdr w:val="none" w:sz="0" w:space="0" w:color="auto"/>
          <w:lang w:val="es-ES"/>
        </w:rPr>
        <w:t>.</w:t>
      </w:r>
    </w:p>
    <w:p w:rsidR="00DD0C17" w:rsidRPr="00A16D62" w:rsidRDefault="00DD0C17" w:rsidP="00DD0C17">
      <w:pPr>
        <w:pStyle w:val="ListParagraph"/>
        <w:rPr>
          <w:rFonts w:eastAsia="Times New Roman"/>
          <w:bCs/>
          <w:sz w:val="20"/>
          <w:szCs w:val="20"/>
          <w:bdr w:val="none" w:sz="0" w:space="0" w:color="auto"/>
          <w:lang w:val="es-ES"/>
        </w:rPr>
      </w:pPr>
    </w:p>
    <w:p w:rsidR="00DD0C17" w:rsidRPr="00A16D62" w:rsidRDefault="00A86C3C" w:rsidP="0098079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Con respecto a</w:t>
      </w:r>
      <w:r w:rsidR="00DD0C17" w:rsidRPr="00A16D62">
        <w:rPr>
          <w:rFonts w:ascii="Cambria" w:eastAsia="Times New Roman" w:hAnsi="Cambria"/>
          <w:bCs/>
          <w:sz w:val="20"/>
          <w:szCs w:val="20"/>
          <w:bdr w:val="none" w:sz="0" w:space="0" w:color="auto"/>
          <w:lang w:val="es-ES"/>
        </w:rPr>
        <w:t xml:space="preserve"> Kansas, </w:t>
      </w:r>
      <w:r w:rsidR="00180125" w:rsidRPr="00A16D62">
        <w:rPr>
          <w:rFonts w:ascii="Cambria" w:eastAsia="Times New Roman" w:hAnsi="Cambria"/>
          <w:bCs/>
          <w:sz w:val="20"/>
          <w:szCs w:val="20"/>
          <w:bdr w:val="none" w:sz="0" w:space="0" w:color="auto"/>
          <w:lang w:val="es-ES"/>
        </w:rPr>
        <w:t>el Estado</w:t>
      </w:r>
      <w:r w:rsidR="00DD0C1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también </w:t>
      </w:r>
      <w:r w:rsidR="00DD0C17" w:rsidRPr="00A16D62">
        <w:rPr>
          <w:rFonts w:ascii="Cambria" w:eastAsia="Times New Roman" w:hAnsi="Cambria"/>
          <w:bCs/>
          <w:sz w:val="20"/>
          <w:szCs w:val="20"/>
          <w:bdr w:val="none" w:sz="0" w:space="0" w:color="auto"/>
          <w:lang w:val="es-ES"/>
        </w:rPr>
        <w:t>refut</w:t>
      </w:r>
      <w:r w:rsidRPr="00A16D62">
        <w:rPr>
          <w:rFonts w:ascii="Cambria" w:eastAsia="Times New Roman" w:hAnsi="Cambria"/>
          <w:bCs/>
          <w:sz w:val="20"/>
          <w:szCs w:val="20"/>
          <w:bdr w:val="none" w:sz="0" w:space="0" w:color="auto"/>
          <w:lang w:val="es-ES"/>
        </w:rPr>
        <w:t xml:space="preserve">a los argumentos de </w:t>
      </w:r>
      <w:r w:rsidR="00180125" w:rsidRPr="00A16D62">
        <w:rPr>
          <w:rFonts w:ascii="Cambria" w:eastAsia="Times New Roman" w:hAnsi="Cambria"/>
          <w:bCs/>
          <w:sz w:val="20"/>
          <w:szCs w:val="20"/>
          <w:bdr w:val="none" w:sz="0" w:space="0" w:color="auto"/>
          <w:lang w:val="es-ES"/>
        </w:rPr>
        <w:t>los peticionarios</w:t>
      </w:r>
      <w:r w:rsidRPr="00A16D62">
        <w:rPr>
          <w:rFonts w:ascii="Cambria" w:eastAsia="Times New Roman" w:hAnsi="Cambria"/>
          <w:bCs/>
          <w:sz w:val="20"/>
          <w:szCs w:val="20"/>
          <w:bdr w:val="none" w:sz="0" w:space="0" w:color="auto"/>
          <w:lang w:val="es-ES"/>
        </w:rPr>
        <w:t xml:space="preserve"> de que </w:t>
      </w:r>
      <w:r w:rsidR="00DD0C17" w:rsidRPr="00A16D62">
        <w:rPr>
          <w:rFonts w:ascii="Cambria" w:eastAsia="Times New Roman" w:hAnsi="Cambria"/>
          <w:bCs/>
          <w:sz w:val="20"/>
          <w:szCs w:val="20"/>
          <w:bdr w:val="none" w:sz="0" w:space="0" w:color="auto"/>
          <w:lang w:val="es-ES"/>
        </w:rPr>
        <w:t>Kansas ha</w:t>
      </w:r>
      <w:r w:rsidRPr="00A16D62">
        <w:rPr>
          <w:rFonts w:ascii="Cambria" w:eastAsia="Times New Roman" w:hAnsi="Cambria"/>
          <w:bCs/>
          <w:sz w:val="20"/>
          <w:szCs w:val="20"/>
          <w:bdr w:val="none" w:sz="0" w:space="0" w:color="auto"/>
          <w:lang w:val="es-ES"/>
        </w:rPr>
        <w:t xml:space="preserve"> erigido barreras </w:t>
      </w:r>
      <w:r w:rsidR="00DD0C17" w:rsidRPr="00A16D62">
        <w:rPr>
          <w:rFonts w:ascii="Cambria" w:eastAsia="Times New Roman" w:hAnsi="Cambria"/>
          <w:bCs/>
          <w:sz w:val="20"/>
          <w:szCs w:val="20"/>
          <w:bdr w:val="none" w:sz="0" w:space="0" w:color="auto"/>
          <w:lang w:val="es-ES"/>
        </w:rPr>
        <w:t>proce</w:t>
      </w:r>
      <w:r w:rsidRPr="00A16D62">
        <w:rPr>
          <w:rFonts w:ascii="Cambria" w:eastAsia="Times New Roman" w:hAnsi="Cambria"/>
          <w:bCs/>
          <w:sz w:val="20"/>
          <w:szCs w:val="20"/>
          <w:bdr w:val="none" w:sz="0" w:space="0" w:color="auto"/>
          <w:lang w:val="es-ES"/>
        </w:rPr>
        <w:t>sales para el acceso de los</w:t>
      </w:r>
      <w:r w:rsidR="00DD0C17"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Pr="00A16D62">
        <w:rPr>
          <w:rFonts w:ascii="Cambria" w:eastAsia="Times New Roman" w:hAnsi="Cambria"/>
          <w:bCs/>
          <w:sz w:val="20"/>
          <w:szCs w:val="20"/>
          <w:bdr w:val="none" w:sz="0" w:space="0" w:color="auto"/>
          <w:lang w:val="es-ES"/>
        </w:rPr>
        <w:t xml:space="preserve"> a la </w:t>
      </w:r>
      <w:r w:rsidR="007B4310" w:rsidRPr="00A16D62">
        <w:rPr>
          <w:rFonts w:ascii="Cambria" w:eastAsia="Times New Roman" w:hAnsi="Cambria"/>
          <w:bCs/>
          <w:sz w:val="20"/>
          <w:szCs w:val="20"/>
          <w:bdr w:val="none" w:sz="0" w:space="0" w:color="auto"/>
          <w:lang w:val="es-ES"/>
        </w:rPr>
        <w:t>indemnización por accidentes de trabajo</w:t>
      </w:r>
      <w:r w:rsidR="00DD0C17"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DD0C17" w:rsidRPr="00A16D62">
        <w:rPr>
          <w:rFonts w:ascii="Cambria" w:eastAsia="Times New Roman" w:hAnsi="Cambria"/>
          <w:bCs/>
          <w:sz w:val="20"/>
          <w:szCs w:val="20"/>
          <w:bdr w:val="none" w:sz="0" w:space="0" w:color="auto"/>
          <w:lang w:val="es-ES"/>
        </w:rPr>
        <w:t xml:space="preserve"> ma</w:t>
      </w:r>
      <w:r w:rsidRPr="00A16D62">
        <w:rPr>
          <w:rFonts w:ascii="Cambria" w:eastAsia="Times New Roman" w:hAnsi="Cambria"/>
          <w:bCs/>
          <w:sz w:val="20"/>
          <w:szCs w:val="20"/>
          <w:bdr w:val="none" w:sz="0" w:space="0" w:color="auto"/>
          <w:lang w:val="es-ES"/>
        </w:rPr>
        <w:t xml:space="preserve">ntiene que el caso citado por </w:t>
      </w:r>
      <w:r w:rsidR="00180125" w:rsidRPr="00A16D62">
        <w:rPr>
          <w:rFonts w:ascii="Cambria" w:eastAsia="Times New Roman" w:hAnsi="Cambria"/>
          <w:bCs/>
          <w:sz w:val="20"/>
          <w:szCs w:val="20"/>
          <w:bdr w:val="none" w:sz="0" w:space="0" w:color="auto"/>
          <w:lang w:val="es-ES"/>
        </w:rPr>
        <w:t>los peticionarios</w:t>
      </w:r>
      <w:r w:rsidR="00DD0C17" w:rsidRPr="00A16D62">
        <w:rPr>
          <w:rFonts w:ascii="Cambria" w:eastAsia="Times New Roman" w:hAnsi="Cambria"/>
          <w:bCs/>
          <w:sz w:val="20"/>
          <w:szCs w:val="20"/>
          <w:bdr w:val="none" w:sz="0" w:space="0" w:color="auto"/>
          <w:lang w:val="es-ES"/>
        </w:rPr>
        <w:t xml:space="preserve">, </w:t>
      </w:r>
      <w:r w:rsidR="00DD0C17" w:rsidRPr="00A16D62">
        <w:rPr>
          <w:rFonts w:ascii="Cambria" w:eastAsia="Times New Roman" w:hAnsi="Cambria"/>
          <w:bCs/>
          <w:i/>
          <w:sz w:val="20"/>
          <w:szCs w:val="20"/>
          <w:bdr w:val="none" w:sz="0" w:space="0" w:color="auto"/>
          <w:lang w:val="es-ES"/>
        </w:rPr>
        <w:t xml:space="preserve">Doe </w:t>
      </w:r>
      <w:r w:rsidR="00521A6A" w:rsidRPr="00A16D62">
        <w:rPr>
          <w:rFonts w:ascii="Cambria" w:eastAsia="Times New Roman" w:hAnsi="Cambria"/>
          <w:bCs/>
          <w:i/>
          <w:sz w:val="20"/>
          <w:szCs w:val="20"/>
          <w:bdr w:val="none" w:sz="0" w:space="0" w:color="auto"/>
          <w:lang w:val="es-ES"/>
        </w:rPr>
        <w:t>c.</w:t>
      </w:r>
      <w:r w:rsidR="00DD0C17" w:rsidRPr="00A16D62">
        <w:rPr>
          <w:rFonts w:ascii="Cambria" w:eastAsia="Times New Roman" w:hAnsi="Cambria"/>
          <w:bCs/>
          <w:i/>
          <w:sz w:val="20"/>
          <w:szCs w:val="20"/>
          <w:bdr w:val="none" w:sz="0" w:space="0" w:color="auto"/>
          <w:lang w:val="es-ES"/>
        </w:rPr>
        <w:t xml:space="preserve"> </w:t>
      </w:r>
      <w:r w:rsidRPr="00A16D62">
        <w:rPr>
          <w:rFonts w:ascii="Cambria" w:eastAsia="Times New Roman" w:hAnsi="Cambria"/>
          <w:bCs/>
          <w:i/>
          <w:sz w:val="20"/>
          <w:szCs w:val="20"/>
          <w:bdr w:val="none" w:sz="0" w:space="0" w:color="auto"/>
          <w:lang w:val="es-ES"/>
        </w:rPr>
        <w:t xml:space="preserve">Departamento de Recursos Humanos de </w:t>
      </w:r>
      <w:r w:rsidR="00DD0C17" w:rsidRPr="00A16D62">
        <w:rPr>
          <w:rFonts w:ascii="Cambria" w:eastAsia="Times New Roman" w:hAnsi="Cambria"/>
          <w:bCs/>
          <w:i/>
          <w:sz w:val="20"/>
          <w:szCs w:val="20"/>
          <w:bdr w:val="none" w:sz="0" w:space="0" w:color="auto"/>
          <w:lang w:val="es-ES"/>
        </w:rPr>
        <w:t>Kansas</w:t>
      </w:r>
      <w:r w:rsidR="00DD0C1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consiste en una demanda interpuesta por un trabajador indocumentado </w:t>
      </w:r>
      <w:r w:rsidR="003C3FEB" w:rsidRPr="00A16D62">
        <w:rPr>
          <w:rFonts w:ascii="Cambria" w:eastAsia="Times New Roman" w:hAnsi="Cambria"/>
          <w:bCs/>
          <w:sz w:val="20"/>
          <w:szCs w:val="20"/>
          <w:bdr w:val="none" w:sz="0" w:space="0" w:color="auto"/>
          <w:lang w:val="es-ES"/>
        </w:rPr>
        <w:t xml:space="preserve">para pedir una </w:t>
      </w:r>
      <w:r w:rsidR="007B4310" w:rsidRPr="00A16D62">
        <w:rPr>
          <w:rFonts w:ascii="Cambria" w:eastAsia="Times New Roman" w:hAnsi="Cambria"/>
          <w:bCs/>
          <w:sz w:val="20"/>
          <w:szCs w:val="20"/>
          <w:bdr w:val="none" w:sz="0" w:space="0" w:color="auto"/>
          <w:lang w:val="es-ES"/>
        </w:rPr>
        <w:t>indemnización por accidentes de trabajo</w:t>
      </w:r>
      <w:r w:rsidR="003C3FEB" w:rsidRPr="00A16D62">
        <w:rPr>
          <w:rFonts w:ascii="Cambria" w:eastAsia="Times New Roman" w:hAnsi="Cambria"/>
          <w:bCs/>
          <w:sz w:val="20"/>
          <w:szCs w:val="20"/>
          <w:bdr w:val="none" w:sz="0" w:space="0" w:color="auto"/>
          <w:lang w:val="es-ES"/>
        </w:rPr>
        <w:t xml:space="preserve">, que le fue otorgada. Asimismo, </w:t>
      </w:r>
      <w:r w:rsidR="00180125" w:rsidRPr="00A16D62">
        <w:rPr>
          <w:rFonts w:ascii="Cambria" w:eastAsia="Times New Roman" w:hAnsi="Cambria"/>
          <w:bCs/>
          <w:sz w:val="20"/>
          <w:szCs w:val="20"/>
          <w:bdr w:val="none" w:sz="0" w:space="0" w:color="auto"/>
          <w:lang w:val="es-ES"/>
        </w:rPr>
        <w:t>el Estado</w:t>
      </w:r>
      <w:r w:rsidR="00CC03C0" w:rsidRPr="00A16D62">
        <w:rPr>
          <w:rFonts w:ascii="Cambria" w:eastAsia="Times New Roman" w:hAnsi="Cambria"/>
          <w:bCs/>
          <w:sz w:val="20"/>
          <w:szCs w:val="20"/>
          <w:bdr w:val="none" w:sz="0" w:space="0" w:color="auto"/>
          <w:lang w:val="es-ES"/>
        </w:rPr>
        <w:t xml:space="preserve"> af</w:t>
      </w:r>
      <w:r w:rsidR="003C3FEB" w:rsidRPr="00A16D62">
        <w:rPr>
          <w:rFonts w:ascii="Cambria" w:eastAsia="Times New Roman" w:hAnsi="Cambria"/>
          <w:bCs/>
          <w:sz w:val="20"/>
          <w:szCs w:val="20"/>
          <w:bdr w:val="none" w:sz="0" w:space="0" w:color="auto"/>
          <w:lang w:val="es-ES"/>
        </w:rPr>
        <w:t xml:space="preserve">irma que, en la decisión correspondiente a ese caso, no se menciona el caso </w:t>
      </w:r>
      <w:r w:rsidR="00CC03C0" w:rsidRPr="00A16D62">
        <w:rPr>
          <w:rFonts w:ascii="Cambria" w:eastAsia="Times New Roman" w:hAnsi="Cambria"/>
          <w:bCs/>
          <w:i/>
          <w:sz w:val="20"/>
          <w:szCs w:val="20"/>
          <w:bdr w:val="none" w:sz="0" w:space="0" w:color="auto"/>
          <w:lang w:val="es-ES"/>
        </w:rPr>
        <w:t>Hoffman</w:t>
      </w:r>
      <w:r w:rsidR="00CC03C0" w:rsidRPr="00A16D62">
        <w:rPr>
          <w:rFonts w:ascii="Cambria" w:eastAsia="Times New Roman" w:hAnsi="Cambria"/>
          <w:bCs/>
          <w:sz w:val="20"/>
          <w:szCs w:val="20"/>
          <w:bdr w:val="none" w:sz="0" w:space="0" w:color="auto"/>
          <w:lang w:val="es-ES"/>
        </w:rPr>
        <w:t xml:space="preserve">. </w:t>
      </w:r>
    </w:p>
    <w:p w:rsidR="00560554" w:rsidRPr="00A16D62" w:rsidRDefault="00560554" w:rsidP="0056055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4B3CA9" w:rsidRPr="00A16D62" w:rsidRDefault="00BA6832"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Sobre la base de lo que antecede</w:t>
      </w:r>
      <w:r w:rsidR="004B3CA9"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4B3CA9"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solicita que </w:t>
      </w:r>
      <w:r w:rsidR="00180125" w:rsidRPr="00A16D62">
        <w:rPr>
          <w:rFonts w:ascii="Cambria" w:eastAsia="Times New Roman" w:hAnsi="Cambria"/>
          <w:bCs/>
          <w:sz w:val="20"/>
          <w:szCs w:val="20"/>
          <w:bdr w:val="none" w:sz="0" w:space="0" w:color="auto"/>
          <w:lang w:val="es-ES"/>
        </w:rPr>
        <w:t>la Comisión</w:t>
      </w:r>
      <w:r w:rsidR="004B3CA9" w:rsidRPr="00A16D62">
        <w:rPr>
          <w:rFonts w:ascii="Cambria" w:eastAsia="Times New Roman" w:hAnsi="Cambria"/>
          <w:bCs/>
          <w:sz w:val="20"/>
          <w:szCs w:val="20"/>
          <w:bdr w:val="none" w:sz="0" w:space="0" w:color="auto"/>
          <w:lang w:val="es-ES"/>
        </w:rPr>
        <w:t xml:space="preserve"> d</w:t>
      </w:r>
      <w:r w:rsidR="007D0716" w:rsidRPr="00A16D62">
        <w:rPr>
          <w:rFonts w:ascii="Cambria" w:eastAsia="Times New Roman" w:hAnsi="Cambria"/>
          <w:bCs/>
          <w:sz w:val="20"/>
          <w:szCs w:val="20"/>
          <w:bdr w:val="none" w:sz="0" w:space="0" w:color="auto"/>
          <w:lang w:val="es-ES"/>
        </w:rPr>
        <w:t xml:space="preserve">esestime el caso, ya que, según afirma, no se violó la </w:t>
      </w:r>
      <w:r w:rsidR="00811F92" w:rsidRPr="00A16D62">
        <w:rPr>
          <w:rFonts w:ascii="Cambria" w:eastAsia="Times New Roman" w:hAnsi="Cambria"/>
          <w:bCs/>
          <w:sz w:val="20"/>
          <w:szCs w:val="20"/>
          <w:bdr w:val="none" w:sz="0" w:space="0" w:color="auto"/>
          <w:lang w:val="es-ES"/>
        </w:rPr>
        <w:t>Declaración Americana</w:t>
      </w:r>
      <w:r w:rsidR="004B3CA9"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584CF9" w:rsidRPr="00A16D62">
        <w:rPr>
          <w:rFonts w:ascii="Cambria" w:eastAsia="Times New Roman" w:hAnsi="Cambria"/>
          <w:bCs/>
          <w:sz w:val="20"/>
          <w:szCs w:val="20"/>
          <w:bdr w:val="none" w:sz="0" w:space="0" w:color="auto"/>
          <w:lang w:val="es-ES"/>
        </w:rPr>
        <w:t xml:space="preserve"> </w:t>
      </w:r>
      <w:r w:rsidR="007D0716" w:rsidRPr="00A16D62">
        <w:rPr>
          <w:rFonts w:ascii="Cambria" w:eastAsia="Times New Roman" w:hAnsi="Cambria"/>
          <w:bCs/>
          <w:sz w:val="20"/>
          <w:szCs w:val="20"/>
          <w:bdr w:val="none" w:sz="0" w:space="0" w:color="auto"/>
          <w:lang w:val="es-ES"/>
        </w:rPr>
        <w:t xml:space="preserve">observa que </w:t>
      </w:r>
      <w:r w:rsidR="00180125" w:rsidRPr="00A16D62">
        <w:rPr>
          <w:rFonts w:ascii="Cambria" w:eastAsia="Times New Roman" w:hAnsi="Cambria"/>
          <w:bCs/>
          <w:sz w:val="20"/>
          <w:szCs w:val="20"/>
          <w:bdr w:val="none" w:sz="0" w:space="0" w:color="auto"/>
          <w:lang w:val="es-ES"/>
        </w:rPr>
        <w:t>el Estado</w:t>
      </w:r>
      <w:r w:rsidR="00584CF9" w:rsidRPr="00A16D62">
        <w:rPr>
          <w:rFonts w:ascii="Cambria" w:eastAsia="Times New Roman" w:hAnsi="Cambria"/>
          <w:bCs/>
          <w:sz w:val="20"/>
          <w:szCs w:val="20"/>
          <w:bdr w:val="none" w:sz="0" w:space="0" w:color="auto"/>
          <w:lang w:val="es-ES"/>
        </w:rPr>
        <w:t xml:space="preserve"> inclu</w:t>
      </w:r>
      <w:r w:rsidR="007D0716" w:rsidRPr="00A16D62">
        <w:rPr>
          <w:rFonts w:ascii="Cambria" w:eastAsia="Times New Roman" w:hAnsi="Cambria"/>
          <w:bCs/>
          <w:sz w:val="20"/>
          <w:szCs w:val="20"/>
          <w:bdr w:val="none" w:sz="0" w:space="0" w:color="auto"/>
          <w:lang w:val="es-ES"/>
        </w:rPr>
        <w:t>yó alegatos relativos a la a</w:t>
      </w:r>
      <w:r w:rsidR="00DC6165" w:rsidRPr="00A16D62">
        <w:rPr>
          <w:rFonts w:ascii="Cambria" w:eastAsia="Times New Roman" w:hAnsi="Cambria"/>
          <w:bCs/>
          <w:sz w:val="20"/>
          <w:szCs w:val="20"/>
          <w:bdr w:val="none" w:sz="0" w:space="0" w:color="auto"/>
          <w:lang w:val="es-ES"/>
        </w:rPr>
        <w:t>dmisibilidad</w:t>
      </w:r>
      <w:r w:rsidR="00584CF9" w:rsidRPr="00A16D62">
        <w:rPr>
          <w:rFonts w:ascii="Cambria" w:eastAsia="Times New Roman" w:hAnsi="Cambria"/>
          <w:bCs/>
          <w:sz w:val="20"/>
          <w:szCs w:val="20"/>
          <w:bdr w:val="none" w:sz="0" w:space="0" w:color="auto"/>
          <w:lang w:val="es-ES"/>
        </w:rPr>
        <w:t xml:space="preserve"> </w:t>
      </w:r>
      <w:r w:rsidR="007D0716" w:rsidRPr="00A16D62">
        <w:rPr>
          <w:rFonts w:ascii="Cambria" w:eastAsia="Times New Roman" w:hAnsi="Cambria"/>
          <w:bCs/>
          <w:sz w:val="20"/>
          <w:szCs w:val="20"/>
          <w:bdr w:val="none" w:sz="0" w:space="0" w:color="auto"/>
          <w:lang w:val="es-ES"/>
        </w:rPr>
        <w:t xml:space="preserve">del caso en su respuesta, pero en vista de que la Comisión tomó una decisión sobre la </w:t>
      </w:r>
      <w:r w:rsidR="00DC6165" w:rsidRPr="00A16D62">
        <w:rPr>
          <w:rFonts w:ascii="Cambria" w:eastAsia="Times New Roman" w:hAnsi="Cambria"/>
          <w:bCs/>
          <w:sz w:val="20"/>
          <w:szCs w:val="20"/>
          <w:bdr w:val="none" w:sz="0" w:space="0" w:color="auto"/>
          <w:lang w:val="es-ES"/>
        </w:rPr>
        <w:t>admisibilidad</w:t>
      </w:r>
      <w:r w:rsidR="00584CF9" w:rsidRPr="00A16D62">
        <w:rPr>
          <w:rFonts w:ascii="Cambria" w:eastAsia="Times New Roman" w:hAnsi="Cambria"/>
          <w:bCs/>
          <w:sz w:val="20"/>
          <w:szCs w:val="20"/>
          <w:bdr w:val="none" w:sz="0" w:space="0" w:color="auto"/>
          <w:lang w:val="es-ES"/>
        </w:rPr>
        <w:t xml:space="preserve"> </w:t>
      </w:r>
      <w:r w:rsidR="007D0716" w:rsidRPr="00A16D62">
        <w:rPr>
          <w:rFonts w:ascii="Cambria" w:eastAsia="Times New Roman" w:hAnsi="Cambria"/>
          <w:bCs/>
          <w:sz w:val="20"/>
          <w:szCs w:val="20"/>
          <w:bdr w:val="none" w:sz="0" w:space="0" w:color="auto"/>
          <w:lang w:val="es-ES"/>
        </w:rPr>
        <w:t xml:space="preserve">en </w:t>
      </w:r>
      <w:r w:rsidR="00584CF9" w:rsidRPr="00A16D62">
        <w:rPr>
          <w:rFonts w:ascii="Cambria" w:eastAsia="Times New Roman" w:hAnsi="Cambria"/>
          <w:bCs/>
          <w:sz w:val="20"/>
          <w:szCs w:val="20"/>
          <w:bdr w:val="none" w:sz="0" w:space="0" w:color="auto"/>
          <w:lang w:val="es-ES"/>
        </w:rPr>
        <w:t xml:space="preserve">2011, </w:t>
      </w:r>
      <w:r w:rsidR="007D0716" w:rsidRPr="00A16D62">
        <w:rPr>
          <w:rFonts w:ascii="Cambria" w:eastAsia="Times New Roman" w:hAnsi="Cambria"/>
          <w:bCs/>
          <w:sz w:val="20"/>
          <w:szCs w:val="20"/>
          <w:bdr w:val="none" w:sz="0" w:space="0" w:color="auto"/>
          <w:lang w:val="es-ES"/>
        </w:rPr>
        <w:t>estos alega</w:t>
      </w:r>
      <w:r w:rsidR="002E317F" w:rsidRPr="00A16D62">
        <w:rPr>
          <w:rFonts w:ascii="Cambria" w:eastAsia="Times New Roman" w:hAnsi="Cambria"/>
          <w:bCs/>
          <w:sz w:val="20"/>
          <w:szCs w:val="20"/>
          <w:bdr w:val="none" w:sz="0" w:space="0" w:color="auto"/>
          <w:lang w:val="es-ES"/>
        </w:rPr>
        <w:t>t</w:t>
      </w:r>
      <w:r w:rsidR="007D0716" w:rsidRPr="00A16D62">
        <w:rPr>
          <w:rFonts w:ascii="Cambria" w:eastAsia="Times New Roman" w:hAnsi="Cambria"/>
          <w:bCs/>
          <w:sz w:val="20"/>
          <w:szCs w:val="20"/>
          <w:bdr w:val="none" w:sz="0" w:space="0" w:color="auto"/>
          <w:lang w:val="es-ES"/>
        </w:rPr>
        <w:t>os son extemporáneos y no es procedente considerarlos</w:t>
      </w:r>
      <w:r w:rsidR="00584CF9" w:rsidRPr="00A16D62">
        <w:rPr>
          <w:rFonts w:ascii="Cambria" w:eastAsia="Times New Roman" w:hAnsi="Cambria"/>
          <w:bCs/>
          <w:sz w:val="20"/>
          <w:szCs w:val="20"/>
          <w:bdr w:val="none" w:sz="0" w:space="0" w:color="auto"/>
          <w:lang w:val="es-ES"/>
        </w:rPr>
        <w:t xml:space="preserve">. </w:t>
      </w:r>
    </w:p>
    <w:p w:rsidR="00354259" w:rsidRPr="00A16D62" w:rsidRDefault="00354259" w:rsidP="003542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354259" w:rsidRPr="00A16D62" w:rsidRDefault="00354259" w:rsidP="00A76BB1">
      <w:pPr>
        <w:pStyle w:val="Heading1"/>
        <w:ind w:left="1440" w:hanging="720"/>
        <w:rPr>
          <w:lang w:val="es-ES"/>
        </w:rPr>
      </w:pPr>
      <w:bookmarkStart w:id="18" w:name="_Toc467138443"/>
      <w:r w:rsidRPr="00A16D62">
        <w:rPr>
          <w:lang w:val="es-ES"/>
        </w:rPr>
        <w:t xml:space="preserve">IV. </w:t>
      </w:r>
      <w:r w:rsidRPr="00A16D62">
        <w:rPr>
          <w:lang w:val="es-ES"/>
        </w:rPr>
        <w:tab/>
      </w:r>
      <w:r w:rsidR="009A5408" w:rsidRPr="00A16D62">
        <w:rPr>
          <w:lang w:val="es-ES"/>
        </w:rPr>
        <w:t>HECHOS PROBADOS</w:t>
      </w:r>
      <w:bookmarkEnd w:id="18"/>
    </w:p>
    <w:p w:rsidR="00F36794" w:rsidRPr="00A16D62" w:rsidRDefault="00F36794" w:rsidP="00F3679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EE6A88" w:rsidRPr="00A16D62" w:rsidRDefault="002E317F"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De conformidad con el</w:t>
      </w:r>
      <w:r w:rsidR="00EE6A88" w:rsidRPr="00A16D62">
        <w:rPr>
          <w:rFonts w:ascii="Cambria" w:eastAsia="Times New Roman" w:hAnsi="Cambria"/>
          <w:bCs/>
          <w:sz w:val="20"/>
          <w:szCs w:val="20"/>
          <w:bdr w:val="none" w:sz="0" w:space="0" w:color="auto"/>
          <w:lang w:val="es-ES"/>
        </w:rPr>
        <w:t xml:space="preserve"> </w:t>
      </w:r>
      <w:r w:rsidR="00811F92" w:rsidRPr="00A16D62">
        <w:rPr>
          <w:rFonts w:ascii="Cambria" w:eastAsia="Times New Roman" w:hAnsi="Cambria"/>
          <w:bCs/>
          <w:sz w:val="20"/>
          <w:szCs w:val="20"/>
          <w:bdr w:val="none" w:sz="0" w:space="0" w:color="auto"/>
          <w:lang w:val="es-ES"/>
        </w:rPr>
        <w:t>artículo</w:t>
      </w:r>
      <w:r w:rsidR="00EE6A88" w:rsidRPr="00A16D62">
        <w:rPr>
          <w:rFonts w:ascii="Cambria" w:eastAsia="Times New Roman" w:hAnsi="Cambria"/>
          <w:bCs/>
          <w:sz w:val="20"/>
          <w:szCs w:val="20"/>
          <w:bdr w:val="none" w:sz="0" w:space="0" w:color="auto"/>
          <w:lang w:val="es-ES"/>
        </w:rPr>
        <w:t xml:space="preserve"> 43(1) </w:t>
      </w:r>
      <w:r w:rsidRPr="00A16D62">
        <w:rPr>
          <w:rFonts w:ascii="Cambria" w:eastAsia="Times New Roman" w:hAnsi="Cambria"/>
          <w:bCs/>
          <w:sz w:val="20"/>
          <w:szCs w:val="20"/>
          <w:bdr w:val="none" w:sz="0" w:space="0" w:color="auto"/>
          <w:lang w:val="es-ES"/>
        </w:rPr>
        <w:t xml:space="preserve">de su </w:t>
      </w:r>
      <w:r w:rsidR="00DC6165" w:rsidRPr="00A16D62">
        <w:rPr>
          <w:rFonts w:ascii="Cambria" w:eastAsia="Times New Roman" w:hAnsi="Cambria"/>
          <w:bCs/>
          <w:sz w:val="20"/>
          <w:szCs w:val="20"/>
          <w:bdr w:val="none" w:sz="0" w:space="0" w:color="auto"/>
          <w:lang w:val="es-ES"/>
        </w:rPr>
        <w:t>Reglamento</w:t>
      </w:r>
      <w:r w:rsidR="00EE6A88" w:rsidRPr="00A16D62">
        <w:rPr>
          <w:rFonts w:ascii="Cambria" w:eastAsia="Times New Roman" w:hAnsi="Cambria"/>
          <w:bCs/>
          <w:sz w:val="20"/>
          <w:szCs w:val="20"/>
          <w:bdr w:val="none" w:sz="0" w:space="0" w:color="auto"/>
          <w:lang w:val="es-ES"/>
        </w:rPr>
        <w:t xml:space="preserve">, </w:t>
      </w:r>
      <w:r w:rsidR="001C1F5D" w:rsidRPr="00A16D62">
        <w:rPr>
          <w:rFonts w:ascii="Cambria" w:eastAsia="Times New Roman" w:hAnsi="Cambria"/>
          <w:bCs/>
          <w:sz w:val="20"/>
          <w:szCs w:val="20"/>
          <w:bdr w:val="none" w:sz="0" w:space="0" w:color="auto"/>
          <w:lang w:val="es-ES"/>
        </w:rPr>
        <w:t>la CIDH</w:t>
      </w:r>
      <w:r w:rsidR="00EE6A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examinará los alegatos y las pruebas proporcionados por </w:t>
      </w:r>
      <w:r w:rsidR="00180125" w:rsidRPr="00A16D62">
        <w:rPr>
          <w:rFonts w:ascii="Cambria" w:eastAsia="Times New Roman" w:hAnsi="Cambria"/>
          <w:bCs/>
          <w:sz w:val="20"/>
          <w:szCs w:val="20"/>
          <w:bdr w:val="none" w:sz="0" w:space="0" w:color="auto"/>
          <w:lang w:val="es-ES"/>
        </w:rPr>
        <w:t>los peticionarios</w:t>
      </w:r>
      <w:r w:rsidR="00EE6A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y</w:t>
      </w:r>
      <w:r w:rsidR="00EE6A88"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EE6A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Además, tomará en cuenta información de dominio público</w:t>
      </w:r>
      <w:r w:rsidR="002D6FF4" w:rsidRPr="00A16D62">
        <w:rPr>
          <w:rStyle w:val="FootnoteReference"/>
          <w:rFonts w:ascii="Cambria" w:eastAsia="Times New Roman" w:hAnsi="Cambria"/>
          <w:bCs/>
          <w:sz w:val="20"/>
          <w:szCs w:val="20"/>
          <w:bdr w:val="none" w:sz="0" w:space="0" w:color="auto"/>
          <w:lang w:val="es-ES"/>
        </w:rPr>
        <w:footnoteReference w:id="28"/>
      </w:r>
      <w:r w:rsidRPr="00A16D62">
        <w:rPr>
          <w:rFonts w:ascii="Cambria" w:eastAsia="Times New Roman" w:hAnsi="Cambria"/>
          <w:bCs/>
          <w:sz w:val="20"/>
          <w:szCs w:val="20"/>
          <w:bdr w:val="none" w:sz="0" w:space="0" w:color="auto"/>
          <w:lang w:val="es-ES"/>
        </w:rPr>
        <w:t>.</w:t>
      </w:r>
    </w:p>
    <w:p w:rsidR="001C2783" w:rsidRPr="00A16D62" w:rsidRDefault="001C2783" w:rsidP="001C278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1C2783" w:rsidRPr="00A16D62" w:rsidRDefault="009A5408" w:rsidP="00A76BB1">
      <w:pPr>
        <w:pStyle w:val="Heading2"/>
        <w:numPr>
          <w:ilvl w:val="0"/>
          <w:numId w:val="60"/>
        </w:numPr>
        <w:ind w:left="1440" w:hanging="720"/>
        <w:rPr>
          <w:lang w:val="es-ES"/>
        </w:rPr>
      </w:pPr>
      <w:bookmarkStart w:id="19" w:name="_Toc467138444"/>
      <w:r w:rsidRPr="00A16D62">
        <w:rPr>
          <w:lang w:val="es-ES"/>
        </w:rPr>
        <w:t>Presuntas víctimas</w:t>
      </w:r>
      <w:bookmarkEnd w:id="19"/>
      <w:r w:rsidR="001C2783" w:rsidRPr="00A16D62">
        <w:rPr>
          <w:lang w:val="es-ES"/>
        </w:rPr>
        <w:t xml:space="preserve"> </w:t>
      </w:r>
    </w:p>
    <w:p w:rsidR="00153A38" w:rsidRPr="00A16D62" w:rsidRDefault="00153A38" w:rsidP="00153A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DD233B" w:rsidRPr="00A16D62" w:rsidRDefault="009F0D5E"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noviembre de</w:t>
      </w:r>
      <w:r w:rsidR="00DD233B" w:rsidRPr="00A16D62">
        <w:rPr>
          <w:rFonts w:ascii="Cambria" w:eastAsia="Times New Roman" w:hAnsi="Cambria"/>
          <w:bCs/>
          <w:sz w:val="20"/>
          <w:szCs w:val="20"/>
          <w:bdr w:val="none" w:sz="0" w:space="0" w:color="auto"/>
          <w:lang w:val="es-ES"/>
        </w:rPr>
        <w:t xml:space="preserve"> 2004, </w:t>
      </w:r>
      <w:r w:rsidR="007F4530" w:rsidRPr="00A16D62">
        <w:rPr>
          <w:rFonts w:ascii="Cambria" w:eastAsia="Times New Roman" w:hAnsi="Cambria"/>
          <w:bCs/>
          <w:sz w:val="20"/>
          <w:szCs w:val="20"/>
          <w:bdr w:val="none" w:sz="0" w:space="0" w:color="auto"/>
          <w:lang w:val="es-ES"/>
        </w:rPr>
        <w:t>el señor</w:t>
      </w:r>
      <w:r w:rsidR="00DD233B" w:rsidRPr="00A16D62">
        <w:rPr>
          <w:rFonts w:ascii="Cambria" w:eastAsia="Times New Roman" w:hAnsi="Cambria"/>
          <w:bCs/>
          <w:sz w:val="20"/>
          <w:szCs w:val="20"/>
          <w:bdr w:val="none" w:sz="0" w:space="0" w:color="auto"/>
          <w:lang w:val="es-ES"/>
        </w:rPr>
        <w:t xml:space="preserve"> Zumaya </w:t>
      </w:r>
      <w:r w:rsidRPr="00A16D62">
        <w:rPr>
          <w:rFonts w:ascii="Cambria" w:eastAsia="Times New Roman" w:hAnsi="Cambria"/>
          <w:bCs/>
          <w:sz w:val="20"/>
          <w:szCs w:val="20"/>
          <w:bdr w:val="none" w:sz="0" w:space="0" w:color="auto"/>
          <w:lang w:val="es-ES"/>
        </w:rPr>
        <w:t xml:space="preserve">sufrió una lesión en el trabajo, en una finca de </w:t>
      </w:r>
      <w:r w:rsidR="003E2C91" w:rsidRPr="00A16D62">
        <w:rPr>
          <w:rFonts w:ascii="Cambria" w:eastAsia="Times New Roman" w:hAnsi="Cambria"/>
          <w:bCs/>
          <w:sz w:val="20"/>
          <w:szCs w:val="20"/>
          <w:bdr w:val="none" w:sz="0" w:space="0" w:color="auto"/>
          <w:lang w:val="es-ES"/>
        </w:rPr>
        <w:t>Pensilvania</w:t>
      </w:r>
      <w:r w:rsidR="00DD233B" w:rsidRPr="00A16D62">
        <w:rPr>
          <w:rFonts w:ascii="Cambria" w:eastAsia="Times New Roman" w:hAnsi="Cambria"/>
          <w:bCs/>
          <w:sz w:val="20"/>
          <w:szCs w:val="20"/>
          <w:bdr w:val="none" w:sz="0" w:space="0" w:color="auto"/>
          <w:lang w:val="es-ES"/>
        </w:rPr>
        <w:t xml:space="preserve">, </w:t>
      </w:r>
      <w:r w:rsidR="00E251B1" w:rsidRPr="00A16D62">
        <w:rPr>
          <w:rFonts w:ascii="Cambria" w:eastAsia="Times New Roman" w:hAnsi="Cambria"/>
          <w:bCs/>
          <w:sz w:val="20"/>
          <w:szCs w:val="20"/>
          <w:bdr w:val="none" w:sz="0" w:space="0" w:color="auto"/>
          <w:lang w:val="es-ES"/>
        </w:rPr>
        <w:t>mientras recolectaba manzanas. Se cayó de un árbol y sufrió una fractura grave en la pierna izquierda</w:t>
      </w:r>
      <w:r w:rsidR="00DD233B" w:rsidRPr="00A16D62">
        <w:rPr>
          <w:rFonts w:ascii="Cambria" w:eastAsia="Times New Roman" w:hAnsi="Cambria"/>
          <w:bCs/>
          <w:sz w:val="20"/>
          <w:szCs w:val="20"/>
          <w:bdr w:val="none" w:sz="0" w:space="0" w:color="auto"/>
          <w:lang w:val="es-ES"/>
        </w:rPr>
        <w:t xml:space="preserve">. </w:t>
      </w:r>
      <w:r w:rsidR="00E251B1" w:rsidRPr="00A16D62">
        <w:rPr>
          <w:rFonts w:ascii="Cambria" w:eastAsia="Times New Roman" w:hAnsi="Cambria"/>
          <w:bCs/>
          <w:sz w:val="20"/>
          <w:szCs w:val="20"/>
          <w:bdr w:val="none" w:sz="0" w:space="0" w:color="auto"/>
          <w:lang w:val="es-ES"/>
        </w:rPr>
        <w:t>E</w:t>
      </w:r>
      <w:r w:rsidR="007F4530" w:rsidRPr="00A16D62">
        <w:rPr>
          <w:rFonts w:ascii="Cambria" w:eastAsia="Times New Roman" w:hAnsi="Cambria"/>
          <w:bCs/>
          <w:sz w:val="20"/>
          <w:szCs w:val="20"/>
          <w:bdr w:val="none" w:sz="0" w:space="0" w:color="auto"/>
          <w:lang w:val="es-ES"/>
        </w:rPr>
        <w:t>l señor</w:t>
      </w:r>
      <w:r w:rsidR="00DD233B" w:rsidRPr="00A16D62">
        <w:rPr>
          <w:rFonts w:ascii="Cambria" w:eastAsia="Times New Roman" w:hAnsi="Cambria"/>
          <w:bCs/>
          <w:sz w:val="20"/>
          <w:szCs w:val="20"/>
          <w:bdr w:val="none" w:sz="0" w:space="0" w:color="auto"/>
          <w:lang w:val="es-ES"/>
        </w:rPr>
        <w:t xml:space="preserve"> Zumaya ha</w:t>
      </w:r>
      <w:r w:rsidR="00E251B1" w:rsidRPr="00A16D62">
        <w:rPr>
          <w:rFonts w:ascii="Cambria" w:eastAsia="Times New Roman" w:hAnsi="Cambria"/>
          <w:bCs/>
          <w:sz w:val="20"/>
          <w:szCs w:val="20"/>
          <w:bdr w:val="none" w:sz="0" w:space="0" w:color="auto"/>
          <w:lang w:val="es-ES"/>
        </w:rPr>
        <w:t xml:space="preserve">bía trabajado en esta finca durante </w:t>
      </w:r>
      <w:r w:rsidR="00DD233B" w:rsidRPr="00A16D62">
        <w:rPr>
          <w:rFonts w:ascii="Cambria" w:eastAsia="Times New Roman" w:hAnsi="Cambria"/>
          <w:bCs/>
          <w:sz w:val="20"/>
          <w:szCs w:val="20"/>
          <w:bdr w:val="none" w:sz="0" w:space="0" w:color="auto"/>
          <w:lang w:val="es-ES"/>
        </w:rPr>
        <w:t>14 m</w:t>
      </w:r>
      <w:r w:rsidR="00E251B1" w:rsidRPr="00A16D62">
        <w:rPr>
          <w:rFonts w:ascii="Cambria" w:eastAsia="Times New Roman" w:hAnsi="Cambria"/>
          <w:bCs/>
          <w:sz w:val="20"/>
          <w:szCs w:val="20"/>
          <w:bdr w:val="none" w:sz="0" w:space="0" w:color="auto"/>
          <w:lang w:val="es-ES"/>
        </w:rPr>
        <w:t xml:space="preserve">eses y no tenía autorización para trabajar en </w:t>
      </w:r>
      <w:r w:rsidR="007E4498" w:rsidRPr="00A16D62">
        <w:rPr>
          <w:rFonts w:ascii="Cambria" w:eastAsia="Times New Roman" w:hAnsi="Cambria"/>
          <w:bCs/>
          <w:sz w:val="20"/>
          <w:szCs w:val="20"/>
          <w:bdr w:val="none" w:sz="0" w:space="0" w:color="auto"/>
          <w:lang w:val="es-ES"/>
        </w:rPr>
        <w:t>Estados Unidos</w:t>
      </w:r>
      <w:r w:rsidR="00DD233B" w:rsidRPr="00A16D62">
        <w:rPr>
          <w:rStyle w:val="FootnoteReference"/>
          <w:rFonts w:ascii="Cambria" w:eastAsia="Times New Roman" w:hAnsi="Cambria"/>
          <w:bCs/>
          <w:sz w:val="20"/>
          <w:szCs w:val="20"/>
          <w:bdr w:val="none" w:sz="0" w:space="0" w:color="auto"/>
          <w:lang w:val="es-ES"/>
        </w:rPr>
        <w:footnoteReference w:id="29"/>
      </w:r>
      <w:r w:rsidR="00E251B1" w:rsidRPr="00A16D62">
        <w:rPr>
          <w:rFonts w:ascii="Cambria" w:eastAsia="Times New Roman" w:hAnsi="Cambria"/>
          <w:bCs/>
          <w:sz w:val="20"/>
          <w:szCs w:val="20"/>
          <w:bdr w:val="none" w:sz="0" w:space="0" w:color="auto"/>
          <w:lang w:val="es-ES"/>
        </w:rPr>
        <w:t>.</w:t>
      </w:r>
    </w:p>
    <w:p w:rsidR="00DD233B" w:rsidRPr="00A16D62" w:rsidRDefault="00DD233B" w:rsidP="00DD233B">
      <w:pPr>
        <w:pStyle w:val="ListParagraph"/>
        <w:rPr>
          <w:rFonts w:eastAsia="Times New Roman"/>
          <w:bCs/>
          <w:sz w:val="20"/>
          <w:szCs w:val="20"/>
          <w:bdr w:val="none" w:sz="0" w:space="0" w:color="auto"/>
          <w:lang w:val="es-ES"/>
        </w:rPr>
      </w:pPr>
    </w:p>
    <w:p w:rsidR="00153A38" w:rsidRPr="00A16D62" w:rsidRDefault="00CC798B"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Como consecuencia de esta lesión</w:t>
      </w:r>
      <w:r w:rsidR="00DD233B"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el señor</w:t>
      </w:r>
      <w:r w:rsidR="00DD233B" w:rsidRPr="00A16D62">
        <w:rPr>
          <w:rFonts w:ascii="Cambria" w:eastAsia="Times New Roman" w:hAnsi="Cambria"/>
          <w:bCs/>
          <w:sz w:val="20"/>
          <w:szCs w:val="20"/>
          <w:bdr w:val="none" w:sz="0" w:space="0" w:color="auto"/>
          <w:lang w:val="es-ES"/>
        </w:rPr>
        <w:t xml:space="preserve"> Zumaya </w:t>
      </w:r>
      <w:r w:rsidRPr="00A16D62">
        <w:rPr>
          <w:rFonts w:ascii="Cambria" w:eastAsia="Times New Roman" w:hAnsi="Cambria"/>
          <w:bCs/>
          <w:sz w:val="20"/>
          <w:szCs w:val="20"/>
          <w:bdr w:val="none" w:sz="0" w:space="0" w:color="auto"/>
          <w:lang w:val="es-ES"/>
        </w:rPr>
        <w:t xml:space="preserve">tuvo que someterse a tres intervenciones quirúrgicas. En la primera le colocaron una placa de </w:t>
      </w:r>
      <w:r w:rsidR="00820312" w:rsidRPr="00A16D62">
        <w:rPr>
          <w:rFonts w:ascii="Cambria" w:eastAsia="Times New Roman" w:hAnsi="Cambria"/>
          <w:bCs/>
          <w:sz w:val="20"/>
          <w:szCs w:val="20"/>
          <w:bdr w:val="none" w:sz="0" w:space="0" w:color="auto"/>
          <w:lang w:val="es-ES"/>
        </w:rPr>
        <w:t xml:space="preserve">metal </w:t>
      </w:r>
      <w:r w:rsidRPr="00A16D62">
        <w:rPr>
          <w:rFonts w:ascii="Cambria" w:eastAsia="Times New Roman" w:hAnsi="Cambria"/>
          <w:bCs/>
          <w:sz w:val="20"/>
          <w:szCs w:val="20"/>
          <w:bdr w:val="none" w:sz="0" w:space="0" w:color="auto"/>
          <w:lang w:val="es-ES"/>
        </w:rPr>
        <w:t>y seis tornillos en la pierna; en la segunda le sacaron los tornillos; en la tercera le repararon un ligamento desgarrado en la parte de adelante de la pierna</w:t>
      </w:r>
      <w:r w:rsidR="0082031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w:t>
      </w:r>
      <w:r w:rsidR="007F4530" w:rsidRPr="00A16D62">
        <w:rPr>
          <w:rFonts w:ascii="Cambria" w:eastAsia="Times New Roman" w:hAnsi="Cambria"/>
          <w:bCs/>
          <w:sz w:val="20"/>
          <w:szCs w:val="20"/>
          <w:bdr w:val="none" w:sz="0" w:space="0" w:color="auto"/>
          <w:lang w:val="es-ES"/>
        </w:rPr>
        <w:t>l señor</w:t>
      </w:r>
      <w:r w:rsidR="00820312" w:rsidRPr="00A16D62">
        <w:rPr>
          <w:rFonts w:ascii="Cambria" w:eastAsia="Times New Roman" w:hAnsi="Cambria"/>
          <w:bCs/>
          <w:sz w:val="20"/>
          <w:szCs w:val="20"/>
          <w:bdr w:val="none" w:sz="0" w:space="0" w:color="auto"/>
          <w:lang w:val="es-ES"/>
        </w:rPr>
        <w:t xml:space="preserve"> Zumaya </w:t>
      </w:r>
      <w:r w:rsidRPr="00A16D62">
        <w:rPr>
          <w:rFonts w:ascii="Cambria" w:eastAsia="Times New Roman" w:hAnsi="Cambria"/>
          <w:bCs/>
          <w:sz w:val="20"/>
          <w:szCs w:val="20"/>
          <w:bdr w:val="none" w:sz="0" w:space="0" w:color="auto"/>
          <w:lang w:val="es-ES"/>
        </w:rPr>
        <w:t>tiene dolor crónico en la pierna</w:t>
      </w:r>
      <w:r w:rsidR="006C7637">
        <w:rPr>
          <w:rFonts w:ascii="Cambria" w:eastAsia="Times New Roman" w:hAnsi="Cambria"/>
          <w:bCs/>
          <w:sz w:val="20"/>
          <w:szCs w:val="20"/>
          <w:bdr w:val="none" w:sz="0" w:space="0" w:color="auto"/>
          <w:lang w:val="es-ES"/>
        </w:rPr>
        <w:t xml:space="preserve">, con </w:t>
      </w:r>
      <w:r w:rsidR="00EE6296" w:rsidRPr="00A16D62">
        <w:rPr>
          <w:rFonts w:ascii="Cambria" w:eastAsia="Times New Roman" w:hAnsi="Cambria"/>
          <w:bCs/>
          <w:sz w:val="20"/>
          <w:szCs w:val="20"/>
          <w:bdr w:val="none" w:sz="0" w:space="0" w:color="auto"/>
          <w:lang w:val="es-ES"/>
        </w:rPr>
        <w:t>daño permanente de un nervio como consecuencia de la caída</w:t>
      </w:r>
      <w:r w:rsidR="00820312" w:rsidRPr="00A16D62">
        <w:rPr>
          <w:rStyle w:val="FootnoteReference"/>
          <w:rFonts w:ascii="Cambria" w:eastAsia="Times New Roman" w:hAnsi="Cambria"/>
          <w:bCs/>
          <w:sz w:val="20"/>
          <w:szCs w:val="20"/>
          <w:bdr w:val="none" w:sz="0" w:space="0" w:color="auto"/>
          <w:lang w:val="es-ES"/>
        </w:rPr>
        <w:footnoteReference w:id="30"/>
      </w:r>
      <w:r w:rsidR="00EE6296" w:rsidRPr="00A16D62">
        <w:rPr>
          <w:rFonts w:ascii="Cambria" w:eastAsia="Times New Roman" w:hAnsi="Cambria"/>
          <w:bCs/>
          <w:sz w:val="20"/>
          <w:szCs w:val="20"/>
          <w:bdr w:val="none" w:sz="0" w:space="0" w:color="auto"/>
          <w:lang w:val="es-ES"/>
        </w:rPr>
        <w:t>.</w:t>
      </w:r>
    </w:p>
    <w:p w:rsidR="00820312" w:rsidRPr="00A16D62" w:rsidRDefault="00820312" w:rsidP="00820312">
      <w:pPr>
        <w:pStyle w:val="ListParagraph"/>
        <w:rPr>
          <w:rFonts w:eastAsia="Times New Roman"/>
          <w:bCs/>
          <w:sz w:val="20"/>
          <w:szCs w:val="20"/>
          <w:bdr w:val="none" w:sz="0" w:space="0" w:color="auto"/>
          <w:lang w:val="es-ES"/>
        </w:rPr>
      </w:pPr>
    </w:p>
    <w:p w:rsidR="00E25318" w:rsidRPr="00A16D62" w:rsidRDefault="00EE6296"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Al principio, el empleador d</w:t>
      </w:r>
      <w:r w:rsidR="007F4530" w:rsidRPr="00A16D62">
        <w:rPr>
          <w:rFonts w:ascii="Cambria" w:eastAsia="Times New Roman" w:hAnsi="Cambria"/>
          <w:bCs/>
          <w:sz w:val="20"/>
          <w:szCs w:val="20"/>
          <w:bdr w:val="none" w:sz="0" w:space="0" w:color="auto"/>
          <w:lang w:val="es-ES"/>
        </w:rPr>
        <w:t>el señor</w:t>
      </w:r>
      <w:r w:rsidR="00820312" w:rsidRPr="00A16D62">
        <w:rPr>
          <w:rFonts w:ascii="Cambria" w:eastAsia="Times New Roman" w:hAnsi="Cambria"/>
          <w:bCs/>
          <w:sz w:val="20"/>
          <w:szCs w:val="20"/>
          <w:bdr w:val="none" w:sz="0" w:space="0" w:color="auto"/>
          <w:lang w:val="es-ES"/>
        </w:rPr>
        <w:t xml:space="preserve"> Zumaya</w:t>
      </w:r>
      <w:r w:rsidRPr="00A16D62">
        <w:rPr>
          <w:rFonts w:ascii="Cambria" w:eastAsia="Times New Roman" w:hAnsi="Cambria"/>
          <w:bCs/>
          <w:sz w:val="20"/>
          <w:szCs w:val="20"/>
          <w:bdr w:val="none" w:sz="0" w:space="0" w:color="auto"/>
          <w:lang w:val="es-ES"/>
        </w:rPr>
        <w:t xml:space="preserve"> pagó los gastos de atención médica, pero cuando resultó evidente que no podría volver a trabajar, el </w:t>
      </w:r>
      <w:r w:rsidR="007F4530" w:rsidRPr="00A16D62">
        <w:rPr>
          <w:rFonts w:ascii="Cambria" w:eastAsia="Times New Roman" w:hAnsi="Cambria"/>
          <w:bCs/>
          <w:sz w:val="20"/>
          <w:szCs w:val="20"/>
          <w:bdr w:val="none" w:sz="0" w:space="0" w:color="auto"/>
          <w:lang w:val="es-ES"/>
        </w:rPr>
        <w:t>empleador</w:t>
      </w:r>
      <w:r w:rsidR="0082031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dejó de efectuar tales pagos</w:t>
      </w:r>
      <w:r w:rsidR="000E2ADC" w:rsidRPr="00A16D62">
        <w:rPr>
          <w:rStyle w:val="FootnoteReference"/>
          <w:rFonts w:ascii="Cambria" w:eastAsia="Times New Roman" w:hAnsi="Cambria"/>
          <w:bCs/>
          <w:sz w:val="20"/>
          <w:szCs w:val="20"/>
          <w:bdr w:val="none" w:sz="0" w:space="0" w:color="auto"/>
          <w:lang w:val="es-ES"/>
        </w:rPr>
        <w:footnoteReference w:id="31"/>
      </w:r>
      <w:r w:rsidRPr="00A16D62">
        <w:rPr>
          <w:rFonts w:ascii="Cambria" w:eastAsia="Times New Roman" w:hAnsi="Cambria"/>
          <w:bCs/>
          <w:sz w:val="20"/>
          <w:szCs w:val="20"/>
          <w:bdr w:val="none" w:sz="0" w:space="0" w:color="auto"/>
          <w:lang w:val="es-ES"/>
        </w:rPr>
        <w:t>.</w:t>
      </w:r>
      <w:r w:rsidR="000E2AD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La compañía de seguro</w:t>
      </w:r>
      <w:r w:rsidR="003C1755">
        <w:rPr>
          <w:rFonts w:ascii="Cambria" w:eastAsia="Times New Roman" w:hAnsi="Cambria"/>
          <w:bCs/>
          <w:sz w:val="20"/>
          <w:szCs w:val="20"/>
          <w:bdr w:val="none" w:sz="0" w:space="0" w:color="auto"/>
          <w:lang w:val="es-ES"/>
        </w:rPr>
        <w:t>s</w:t>
      </w:r>
      <w:r w:rsidRPr="00A16D62">
        <w:rPr>
          <w:rFonts w:ascii="Cambria" w:eastAsia="Times New Roman" w:hAnsi="Cambria"/>
          <w:bCs/>
          <w:sz w:val="20"/>
          <w:szCs w:val="20"/>
          <w:bdr w:val="none" w:sz="0" w:space="0" w:color="auto"/>
          <w:lang w:val="es-ES"/>
        </w:rPr>
        <w:t xml:space="preserve"> del </w:t>
      </w:r>
      <w:r w:rsidR="007F4530" w:rsidRPr="00A16D62">
        <w:rPr>
          <w:rFonts w:ascii="Cambria" w:eastAsia="Times New Roman" w:hAnsi="Cambria"/>
          <w:bCs/>
          <w:sz w:val="20"/>
          <w:szCs w:val="20"/>
          <w:bdr w:val="none" w:sz="0" w:space="0" w:color="auto"/>
          <w:lang w:val="es-ES"/>
        </w:rPr>
        <w:t>empleador</w:t>
      </w:r>
      <w:r w:rsidRPr="00A16D62">
        <w:rPr>
          <w:rFonts w:ascii="Cambria" w:eastAsia="Times New Roman" w:hAnsi="Cambria"/>
          <w:bCs/>
          <w:sz w:val="20"/>
          <w:szCs w:val="20"/>
          <w:bdr w:val="none" w:sz="0" w:space="0" w:color="auto"/>
          <w:lang w:val="es-ES"/>
        </w:rPr>
        <w:t xml:space="preserve"> se negó a pagarle </w:t>
      </w:r>
      <w:r w:rsidR="007B4310" w:rsidRPr="00A16D62">
        <w:rPr>
          <w:rFonts w:ascii="Cambria" w:eastAsia="Times New Roman" w:hAnsi="Cambria"/>
          <w:bCs/>
          <w:sz w:val="20"/>
          <w:szCs w:val="20"/>
          <w:bdr w:val="none" w:sz="0" w:space="0" w:color="auto"/>
          <w:lang w:val="es-ES"/>
        </w:rPr>
        <w:t>indemnización por accidente de trabajo</w:t>
      </w:r>
      <w:r w:rsidR="000E2AD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porque era indocumentado</w:t>
      </w:r>
      <w:r w:rsidR="008D5B23" w:rsidRPr="00A16D62">
        <w:rPr>
          <w:rStyle w:val="FootnoteReference"/>
          <w:rFonts w:ascii="Cambria" w:eastAsia="Times New Roman" w:hAnsi="Cambria"/>
          <w:bCs/>
          <w:sz w:val="20"/>
          <w:szCs w:val="20"/>
          <w:bdr w:val="none" w:sz="0" w:space="0" w:color="auto"/>
          <w:lang w:val="es-ES"/>
        </w:rPr>
        <w:footnoteReference w:id="32"/>
      </w:r>
      <w:r w:rsidRPr="00A16D62">
        <w:rPr>
          <w:rFonts w:ascii="Cambria" w:eastAsia="Times New Roman" w:hAnsi="Cambria"/>
          <w:bCs/>
          <w:sz w:val="20"/>
          <w:szCs w:val="20"/>
          <w:bdr w:val="none" w:sz="0" w:space="0" w:color="auto"/>
          <w:lang w:val="es-ES"/>
        </w:rPr>
        <w:t>.</w:t>
      </w:r>
      <w:r w:rsidR="00CC3419">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w:t>
      </w:r>
      <w:r w:rsidR="007F4530" w:rsidRPr="00A16D62">
        <w:rPr>
          <w:rFonts w:ascii="Cambria" w:eastAsia="Times New Roman" w:hAnsi="Cambria"/>
          <w:bCs/>
          <w:sz w:val="20"/>
          <w:szCs w:val="20"/>
          <w:bdr w:val="none" w:sz="0" w:space="0" w:color="auto"/>
          <w:lang w:val="es-ES"/>
        </w:rPr>
        <w:t>l señor</w:t>
      </w:r>
      <w:r w:rsidR="008D5B23" w:rsidRPr="00A16D62">
        <w:rPr>
          <w:rFonts w:ascii="Cambria" w:eastAsia="Times New Roman" w:hAnsi="Cambria"/>
          <w:bCs/>
          <w:sz w:val="20"/>
          <w:szCs w:val="20"/>
          <w:bdr w:val="none" w:sz="0" w:space="0" w:color="auto"/>
          <w:lang w:val="es-ES"/>
        </w:rPr>
        <w:t xml:space="preserve"> Zumaya </w:t>
      </w:r>
      <w:r w:rsidRPr="00A16D62">
        <w:rPr>
          <w:rFonts w:ascii="Cambria" w:eastAsia="Times New Roman" w:hAnsi="Cambria"/>
          <w:bCs/>
          <w:sz w:val="20"/>
          <w:szCs w:val="20"/>
          <w:bdr w:val="none" w:sz="0" w:space="0" w:color="auto"/>
          <w:lang w:val="es-ES"/>
        </w:rPr>
        <w:t>contrató a un abogado para interponer una demanda de i</w:t>
      </w:r>
      <w:r w:rsidR="007B4310" w:rsidRPr="00A16D62">
        <w:rPr>
          <w:rFonts w:ascii="Cambria" w:eastAsia="Times New Roman" w:hAnsi="Cambria"/>
          <w:bCs/>
          <w:sz w:val="20"/>
          <w:szCs w:val="20"/>
          <w:bdr w:val="none" w:sz="0" w:space="0" w:color="auto"/>
          <w:lang w:val="es-ES"/>
        </w:rPr>
        <w:t>ndemnización por accidente de trabajo</w:t>
      </w:r>
      <w:r w:rsidR="008D5B23" w:rsidRPr="00A16D62">
        <w:rPr>
          <w:rFonts w:ascii="Cambria" w:eastAsia="Times New Roman" w:hAnsi="Cambria"/>
          <w:bCs/>
          <w:sz w:val="20"/>
          <w:szCs w:val="20"/>
          <w:bdr w:val="none" w:sz="0" w:space="0" w:color="auto"/>
          <w:lang w:val="es-ES"/>
        </w:rPr>
        <w:t xml:space="preserve"> c</w:t>
      </w:r>
      <w:r w:rsidRPr="00A16D62">
        <w:rPr>
          <w:rFonts w:ascii="Cambria" w:eastAsia="Times New Roman" w:hAnsi="Cambria"/>
          <w:bCs/>
          <w:sz w:val="20"/>
          <w:szCs w:val="20"/>
          <w:bdr w:val="none" w:sz="0" w:space="0" w:color="auto"/>
          <w:lang w:val="es-ES"/>
        </w:rPr>
        <w:t xml:space="preserve">ontra el </w:t>
      </w:r>
      <w:r w:rsidR="007F4530" w:rsidRPr="00A16D62">
        <w:rPr>
          <w:rFonts w:ascii="Cambria" w:eastAsia="Times New Roman" w:hAnsi="Cambria"/>
          <w:bCs/>
          <w:sz w:val="20"/>
          <w:szCs w:val="20"/>
          <w:bdr w:val="none" w:sz="0" w:space="0" w:color="auto"/>
          <w:lang w:val="es-ES"/>
        </w:rPr>
        <w:t>empleador</w:t>
      </w:r>
      <w:r w:rsidR="008D5B23"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su abogado le aconsejó que aceptara un arreglo de </w:t>
      </w:r>
      <w:r w:rsidR="008D5B23" w:rsidRPr="00A16D62">
        <w:rPr>
          <w:rFonts w:ascii="Cambria" w:eastAsia="Times New Roman" w:hAnsi="Cambria"/>
          <w:bCs/>
          <w:sz w:val="20"/>
          <w:szCs w:val="20"/>
          <w:bdr w:val="none" w:sz="0" w:space="0" w:color="auto"/>
          <w:lang w:val="es-ES"/>
        </w:rPr>
        <w:t>$35</w:t>
      </w:r>
      <w:r w:rsidRPr="00A16D62">
        <w:rPr>
          <w:rFonts w:ascii="Cambria" w:eastAsia="Times New Roman" w:hAnsi="Cambria"/>
          <w:bCs/>
          <w:sz w:val="20"/>
          <w:szCs w:val="20"/>
          <w:bdr w:val="none" w:sz="0" w:space="0" w:color="auto"/>
          <w:lang w:val="es-ES"/>
        </w:rPr>
        <w:t>.</w:t>
      </w:r>
      <w:r w:rsidR="008D5B23" w:rsidRPr="00A16D62">
        <w:rPr>
          <w:rFonts w:ascii="Cambria" w:eastAsia="Times New Roman" w:hAnsi="Cambria"/>
          <w:bCs/>
          <w:sz w:val="20"/>
          <w:szCs w:val="20"/>
          <w:bdr w:val="none" w:sz="0" w:space="0" w:color="auto"/>
          <w:lang w:val="es-ES"/>
        </w:rPr>
        <w:t>000</w:t>
      </w:r>
      <w:r w:rsidR="00E25318" w:rsidRPr="00A16D62">
        <w:rPr>
          <w:rStyle w:val="FootnoteReference"/>
          <w:rFonts w:ascii="Cambria" w:eastAsia="Times New Roman" w:hAnsi="Cambria"/>
          <w:bCs/>
          <w:sz w:val="20"/>
          <w:szCs w:val="20"/>
          <w:bdr w:val="none" w:sz="0" w:space="0" w:color="auto"/>
          <w:lang w:val="es-ES"/>
        </w:rPr>
        <w:footnoteReference w:id="33"/>
      </w:r>
      <w:r w:rsidRPr="00A16D62">
        <w:rPr>
          <w:rFonts w:ascii="Cambria" w:eastAsia="Times New Roman" w:hAnsi="Cambria"/>
          <w:bCs/>
          <w:sz w:val="20"/>
          <w:szCs w:val="20"/>
          <w:bdr w:val="none" w:sz="0" w:space="0" w:color="auto"/>
          <w:lang w:val="es-ES"/>
        </w:rPr>
        <w:t>.</w:t>
      </w:r>
      <w:r w:rsidR="00E25318" w:rsidRPr="00A16D62">
        <w:rPr>
          <w:rFonts w:ascii="Cambria" w:eastAsia="Times New Roman" w:hAnsi="Cambria"/>
          <w:bCs/>
          <w:sz w:val="20"/>
          <w:szCs w:val="20"/>
          <w:bdr w:val="none" w:sz="0" w:space="0" w:color="auto"/>
          <w:lang w:val="es-ES"/>
        </w:rPr>
        <w:t xml:space="preserve"> </w:t>
      </w:r>
    </w:p>
    <w:p w:rsidR="00CA43CC" w:rsidRPr="00A16D62" w:rsidRDefault="00CA43CC" w:rsidP="00FD22A6">
      <w:pPr>
        <w:pStyle w:val="ListParagraph"/>
        <w:rPr>
          <w:rFonts w:eastAsia="Times New Roman"/>
          <w:bCs/>
          <w:sz w:val="20"/>
          <w:szCs w:val="20"/>
          <w:bdr w:val="none" w:sz="0" w:space="0" w:color="auto"/>
          <w:lang w:val="es-ES"/>
        </w:rPr>
      </w:pPr>
    </w:p>
    <w:p w:rsidR="00E01A1A" w:rsidRPr="00A16D62" w:rsidRDefault="004F68BB"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noviembre de</w:t>
      </w:r>
      <w:r w:rsidR="00A2193C" w:rsidRPr="00A16D62">
        <w:rPr>
          <w:rFonts w:ascii="Cambria" w:eastAsia="Times New Roman" w:hAnsi="Cambria"/>
          <w:bCs/>
          <w:sz w:val="20"/>
          <w:szCs w:val="20"/>
          <w:bdr w:val="none" w:sz="0" w:space="0" w:color="auto"/>
          <w:lang w:val="es-ES"/>
        </w:rPr>
        <w:t xml:space="preserve"> 2005, </w:t>
      </w:r>
      <w:r w:rsidR="007F4530" w:rsidRPr="00A16D62">
        <w:rPr>
          <w:rFonts w:ascii="Cambria" w:eastAsia="Times New Roman" w:hAnsi="Cambria"/>
          <w:bCs/>
          <w:sz w:val="20"/>
          <w:szCs w:val="20"/>
          <w:bdr w:val="none" w:sz="0" w:space="0" w:color="auto"/>
          <w:lang w:val="es-ES"/>
        </w:rPr>
        <w:t>el señor</w:t>
      </w:r>
      <w:r w:rsidR="00A2193C" w:rsidRPr="00A16D62">
        <w:rPr>
          <w:rFonts w:ascii="Cambria" w:eastAsia="Times New Roman" w:hAnsi="Cambria"/>
          <w:bCs/>
          <w:sz w:val="20"/>
          <w:szCs w:val="20"/>
          <w:bdr w:val="none" w:sz="0" w:space="0" w:color="auto"/>
          <w:lang w:val="es-ES"/>
        </w:rPr>
        <w:t xml:space="preserve"> Lizalde </w:t>
      </w:r>
      <w:r w:rsidRPr="00A16D62">
        <w:rPr>
          <w:rFonts w:ascii="Cambria" w:eastAsia="Times New Roman" w:hAnsi="Cambria"/>
          <w:bCs/>
          <w:sz w:val="20"/>
          <w:szCs w:val="20"/>
          <w:bdr w:val="none" w:sz="0" w:space="0" w:color="auto"/>
          <w:lang w:val="es-ES"/>
        </w:rPr>
        <w:t>se lesionó en el trabajo cuando se cayó del andamio y se fracturó la mano</w:t>
      </w:r>
      <w:r w:rsidR="00A2193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w:t>
      </w:r>
      <w:r w:rsidR="007F4530" w:rsidRPr="00A16D62">
        <w:rPr>
          <w:rFonts w:ascii="Cambria" w:eastAsia="Times New Roman" w:hAnsi="Cambria"/>
          <w:bCs/>
          <w:sz w:val="20"/>
          <w:szCs w:val="20"/>
          <w:bdr w:val="none" w:sz="0" w:space="0" w:color="auto"/>
          <w:lang w:val="es-ES"/>
        </w:rPr>
        <w:t>l señor</w:t>
      </w:r>
      <w:r w:rsidR="00A2193C" w:rsidRPr="00A16D62">
        <w:rPr>
          <w:rFonts w:ascii="Cambria" w:eastAsia="Times New Roman" w:hAnsi="Cambria"/>
          <w:bCs/>
          <w:sz w:val="20"/>
          <w:szCs w:val="20"/>
          <w:bdr w:val="none" w:sz="0" w:space="0" w:color="auto"/>
          <w:lang w:val="es-ES"/>
        </w:rPr>
        <w:t xml:space="preserve"> Lizalde ha</w:t>
      </w:r>
      <w:r w:rsidRPr="00A16D62">
        <w:rPr>
          <w:rFonts w:ascii="Cambria" w:eastAsia="Times New Roman" w:hAnsi="Cambria"/>
          <w:bCs/>
          <w:sz w:val="20"/>
          <w:szCs w:val="20"/>
          <w:bdr w:val="none" w:sz="0" w:space="0" w:color="auto"/>
          <w:lang w:val="es-ES"/>
        </w:rPr>
        <w:t>bía estado trabajando como pintor en</w:t>
      </w:r>
      <w:r w:rsidR="00A2193C" w:rsidRPr="00A16D62">
        <w:rPr>
          <w:rFonts w:ascii="Cambria" w:eastAsia="Times New Roman" w:hAnsi="Cambria"/>
          <w:bCs/>
          <w:sz w:val="20"/>
          <w:szCs w:val="20"/>
          <w:bdr w:val="none" w:sz="0" w:space="0" w:color="auto"/>
          <w:lang w:val="es-ES"/>
        </w:rPr>
        <w:t xml:space="preserve"> Kansas </w:t>
      </w:r>
      <w:r w:rsidRPr="00A16D62">
        <w:rPr>
          <w:rFonts w:ascii="Cambria" w:eastAsia="Times New Roman" w:hAnsi="Cambria"/>
          <w:bCs/>
          <w:sz w:val="20"/>
          <w:szCs w:val="20"/>
          <w:bdr w:val="none" w:sz="0" w:space="0" w:color="auto"/>
          <w:lang w:val="es-ES"/>
        </w:rPr>
        <w:t>durante ocho meses</w:t>
      </w:r>
      <w:r w:rsidR="00F54030" w:rsidRPr="00A16D62">
        <w:rPr>
          <w:rStyle w:val="FootnoteReference"/>
          <w:rFonts w:ascii="Cambria" w:eastAsia="Times New Roman" w:hAnsi="Cambria"/>
          <w:bCs/>
          <w:sz w:val="20"/>
          <w:szCs w:val="20"/>
          <w:bdr w:val="none" w:sz="0" w:space="0" w:color="auto"/>
          <w:lang w:val="es-ES"/>
        </w:rPr>
        <w:footnoteReference w:id="34"/>
      </w:r>
      <w:r w:rsidRPr="00A16D62">
        <w:rPr>
          <w:rFonts w:ascii="Cambria" w:eastAsia="Times New Roman" w:hAnsi="Cambria"/>
          <w:bCs/>
          <w:sz w:val="20"/>
          <w:szCs w:val="20"/>
          <w:bdr w:val="none" w:sz="0" w:space="0" w:color="auto"/>
          <w:lang w:val="es-ES"/>
        </w:rPr>
        <w:t>. Por medio de la compañía de seguro</w:t>
      </w:r>
      <w:r w:rsidR="003C1755">
        <w:rPr>
          <w:rFonts w:ascii="Cambria" w:eastAsia="Times New Roman" w:hAnsi="Cambria"/>
          <w:bCs/>
          <w:sz w:val="20"/>
          <w:szCs w:val="20"/>
          <w:bdr w:val="none" w:sz="0" w:space="0" w:color="auto"/>
          <w:lang w:val="es-ES"/>
        </w:rPr>
        <w:t>s</w:t>
      </w:r>
      <w:r w:rsidRPr="00A16D62">
        <w:rPr>
          <w:rFonts w:ascii="Cambria" w:eastAsia="Times New Roman" w:hAnsi="Cambria"/>
          <w:bCs/>
          <w:sz w:val="20"/>
          <w:szCs w:val="20"/>
          <w:bdr w:val="none" w:sz="0" w:space="0" w:color="auto"/>
          <w:lang w:val="es-ES"/>
        </w:rPr>
        <w:t xml:space="preserve"> de su empleador, el señor Lizalde recibió atención médica para la lesión sufrida. La atención consistió en una operación de la mano, y después se la enyesaron. También recibió cuatro cheques de la compañía de seguro</w:t>
      </w:r>
      <w:r w:rsidR="003C1755">
        <w:rPr>
          <w:rFonts w:ascii="Cambria" w:eastAsia="Times New Roman" w:hAnsi="Cambria"/>
          <w:bCs/>
          <w:sz w:val="20"/>
          <w:szCs w:val="20"/>
          <w:bdr w:val="none" w:sz="0" w:space="0" w:color="auto"/>
          <w:lang w:val="es-ES"/>
        </w:rPr>
        <w:t>s</w:t>
      </w:r>
      <w:r w:rsidRPr="00A16D62">
        <w:rPr>
          <w:rFonts w:ascii="Cambria" w:eastAsia="Times New Roman" w:hAnsi="Cambria"/>
          <w:bCs/>
          <w:sz w:val="20"/>
          <w:szCs w:val="20"/>
          <w:bdr w:val="none" w:sz="0" w:space="0" w:color="auto"/>
          <w:lang w:val="es-ES"/>
        </w:rPr>
        <w:t xml:space="preserve"> de su </w:t>
      </w:r>
      <w:r w:rsidR="007F4530" w:rsidRPr="00A16D62">
        <w:rPr>
          <w:rFonts w:ascii="Cambria" w:eastAsia="Times New Roman" w:hAnsi="Cambria"/>
          <w:bCs/>
          <w:sz w:val="20"/>
          <w:szCs w:val="20"/>
          <w:bdr w:val="none" w:sz="0" w:space="0" w:color="auto"/>
          <w:lang w:val="es-ES"/>
        </w:rPr>
        <w:t>empleador</w:t>
      </w:r>
      <w:r w:rsidRPr="00A16D62">
        <w:rPr>
          <w:rFonts w:ascii="Cambria" w:eastAsia="Times New Roman" w:hAnsi="Cambria"/>
          <w:bCs/>
          <w:sz w:val="20"/>
          <w:szCs w:val="20"/>
          <w:bdr w:val="none" w:sz="0" w:space="0" w:color="auto"/>
          <w:lang w:val="es-ES"/>
        </w:rPr>
        <w:t xml:space="preserve">, de </w:t>
      </w:r>
      <w:r w:rsidR="00E01A1A" w:rsidRPr="00A16D62">
        <w:rPr>
          <w:rFonts w:ascii="Cambria" w:eastAsia="Times New Roman" w:hAnsi="Cambria"/>
          <w:bCs/>
          <w:sz w:val="20"/>
          <w:szCs w:val="20"/>
          <w:bdr w:val="none" w:sz="0" w:space="0" w:color="auto"/>
          <w:lang w:val="es-ES"/>
        </w:rPr>
        <w:t xml:space="preserve">$470 </w:t>
      </w:r>
      <w:r w:rsidRPr="00A16D62">
        <w:rPr>
          <w:rFonts w:ascii="Cambria" w:eastAsia="Times New Roman" w:hAnsi="Cambria"/>
          <w:bCs/>
          <w:sz w:val="20"/>
          <w:szCs w:val="20"/>
          <w:bdr w:val="none" w:sz="0" w:space="0" w:color="auto"/>
          <w:lang w:val="es-ES"/>
        </w:rPr>
        <w:t>cada uno, por un</w:t>
      </w:r>
      <w:r w:rsidR="00972127" w:rsidRPr="00A16D62">
        <w:rPr>
          <w:rFonts w:ascii="Cambria" w:eastAsia="Times New Roman" w:hAnsi="Cambria"/>
          <w:bCs/>
          <w:sz w:val="20"/>
          <w:szCs w:val="20"/>
          <w:bdr w:val="none" w:sz="0" w:space="0" w:color="auto"/>
          <w:lang w:val="es-ES"/>
        </w:rPr>
        <w:t xml:space="preserve"> total </w:t>
      </w:r>
      <w:r w:rsidRPr="00A16D62">
        <w:rPr>
          <w:rFonts w:ascii="Cambria" w:eastAsia="Times New Roman" w:hAnsi="Cambria"/>
          <w:bCs/>
          <w:sz w:val="20"/>
          <w:szCs w:val="20"/>
          <w:bdr w:val="none" w:sz="0" w:space="0" w:color="auto"/>
          <w:lang w:val="es-ES"/>
        </w:rPr>
        <w:t>de</w:t>
      </w:r>
      <w:r w:rsidR="00972127" w:rsidRPr="00A16D62">
        <w:rPr>
          <w:rFonts w:ascii="Cambria" w:eastAsia="Times New Roman" w:hAnsi="Cambria"/>
          <w:bCs/>
          <w:sz w:val="20"/>
          <w:szCs w:val="20"/>
          <w:bdr w:val="none" w:sz="0" w:space="0" w:color="auto"/>
          <w:lang w:val="es-ES"/>
        </w:rPr>
        <w:t xml:space="preserve"> $1</w:t>
      </w:r>
      <w:r w:rsidRPr="00A16D62">
        <w:rPr>
          <w:rFonts w:ascii="Cambria" w:eastAsia="Times New Roman" w:hAnsi="Cambria"/>
          <w:bCs/>
          <w:sz w:val="20"/>
          <w:szCs w:val="20"/>
          <w:bdr w:val="none" w:sz="0" w:space="0" w:color="auto"/>
          <w:lang w:val="es-ES"/>
        </w:rPr>
        <w:t>.</w:t>
      </w:r>
      <w:r w:rsidR="00972127" w:rsidRPr="00A16D62">
        <w:rPr>
          <w:rFonts w:ascii="Cambria" w:eastAsia="Times New Roman" w:hAnsi="Cambria"/>
          <w:bCs/>
          <w:sz w:val="20"/>
          <w:szCs w:val="20"/>
          <w:bdr w:val="none" w:sz="0" w:space="0" w:color="auto"/>
          <w:lang w:val="es-ES"/>
        </w:rPr>
        <w:t>880</w:t>
      </w:r>
      <w:r w:rsidR="009E390E"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para gastos médicos</w:t>
      </w:r>
      <w:r w:rsidR="00E01A1A" w:rsidRPr="00A16D62">
        <w:rPr>
          <w:rStyle w:val="FootnoteReference"/>
          <w:rFonts w:ascii="Cambria" w:eastAsia="Times New Roman" w:hAnsi="Cambria"/>
          <w:bCs/>
          <w:sz w:val="20"/>
          <w:szCs w:val="20"/>
          <w:bdr w:val="none" w:sz="0" w:space="0" w:color="auto"/>
          <w:lang w:val="es-ES"/>
        </w:rPr>
        <w:footnoteReference w:id="35"/>
      </w:r>
      <w:r w:rsidRPr="00A16D62">
        <w:rPr>
          <w:rFonts w:ascii="Cambria" w:eastAsia="Times New Roman" w:hAnsi="Cambria"/>
          <w:bCs/>
          <w:sz w:val="20"/>
          <w:szCs w:val="20"/>
          <w:bdr w:val="none" w:sz="0" w:space="0" w:color="auto"/>
          <w:lang w:val="es-ES"/>
        </w:rPr>
        <w:t>.</w:t>
      </w:r>
    </w:p>
    <w:p w:rsidR="00E01A1A" w:rsidRPr="00A16D62" w:rsidRDefault="00E01A1A" w:rsidP="00E01A1A">
      <w:pPr>
        <w:pStyle w:val="ListParagraph"/>
        <w:rPr>
          <w:rFonts w:eastAsia="Times New Roman"/>
          <w:bCs/>
          <w:sz w:val="20"/>
          <w:szCs w:val="20"/>
          <w:bdr w:val="none" w:sz="0" w:space="0" w:color="auto"/>
          <w:lang w:val="es-ES"/>
        </w:rPr>
      </w:pPr>
    </w:p>
    <w:p w:rsidR="00CA43CC" w:rsidRPr="00A16D62" w:rsidRDefault="004F68BB"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diciembre de 2005, poco después de interponer una demanda de</w:t>
      </w:r>
      <w:r w:rsidR="00E01A1A"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indemnización por accidente de trabajo</w:t>
      </w:r>
      <w:r w:rsidRPr="00A16D62">
        <w:rPr>
          <w:rFonts w:ascii="Cambria" w:eastAsia="Times New Roman" w:hAnsi="Cambria"/>
          <w:bCs/>
          <w:sz w:val="20"/>
          <w:szCs w:val="20"/>
          <w:bdr w:val="none" w:sz="0" w:space="0" w:color="auto"/>
          <w:lang w:val="es-ES"/>
        </w:rPr>
        <w:t xml:space="preserve"> y antes de una cita con el médico para </w:t>
      </w:r>
      <w:r w:rsidR="00F23460" w:rsidRPr="00A16D62">
        <w:rPr>
          <w:rFonts w:ascii="Cambria" w:eastAsia="Times New Roman" w:hAnsi="Cambria"/>
          <w:bCs/>
          <w:sz w:val="20"/>
          <w:szCs w:val="20"/>
          <w:bdr w:val="none" w:sz="0" w:space="0" w:color="auto"/>
          <w:lang w:val="es-ES"/>
        </w:rPr>
        <w:t>determin</w:t>
      </w:r>
      <w:r w:rsidRPr="00A16D62">
        <w:rPr>
          <w:rFonts w:ascii="Cambria" w:eastAsia="Times New Roman" w:hAnsi="Cambria"/>
          <w:bCs/>
          <w:sz w:val="20"/>
          <w:szCs w:val="20"/>
          <w:bdr w:val="none" w:sz="0" w:space="0" w:color="auto"/>
          <w:lang w:val="es-ES"/>
        </w:rPr>
        <w:t xml:space="preserve">ar el alcance de su discapacidad, </w:t>
      </w:r>
      <w:r w:rsidR="007F4530" w:rsidRPr="00A16D62">
        <w:rPr>
          <w:rFonts w:ascii="Cambria" w:eastAsia="Times New Roman" w:hAnsi="Cambria"/>
          <w:bCs/>
          <w:sz w:val="20"/>
          <w:szCs w:val="20"/>
          <w:bdr w:val="none" w:sz="0" w:space="0" w:color="auto"/>
          <w:lang w:val="es-ES"/>
        </w:rPr>
        <w:t>el señor</w:t>
      </w:r>
      <w:r w:rsidR="00E01A1A" w:rsidRPr="00A16D62">
        <w:rPr>
          <w:rFonts w:ascii="Cambria" w:eastAsia="Times New Roman" w:hAnsi="Cambria"/>
          <w:bCs/>
          <w:sz w:val="20"/>
          <w:szCs w:val="20"/>
          <w:bdr w:val="none" w:sz="0" w:space="0" w:color="auto"/>
          <w:lang w:val="es-ES"/>
        </w:rPr>
        <w:t xml:space="preserve"> Lizalde </w:t>
      </w:r>
      <w:r w:rsidRPr="00A16D62">
        <w:rPr>
          <w:rFonts w:ascii="Cambria" w:eastAsia="Times New Roman" w:hAnsi="Cambria"/>
          <w:bCs/>
          <w:sz w:val="20"/>
          <w:szCs w:val="20"/>
          <w:bdr w:val="none" w:sz="0" w:space="0" w:color="auto"/>
          <w:lang w:val="es-ES"/>
        </w:rPr>
        <w:t xml:space="preserve">fue arrestado y acusado de </w:t>
      </w:r>
      <w:r w:rsidR="00001DB6" w:rsidRPr="00A16D62">
        <w:rPr>
          <w:rFonts w:ascii="Cambria" w:eastAsia="Times New Roman" w:hAnsi="Cambria"/>
          <w:bCs/>
          <w:sz w:val="20"/>
          <w:szCs w:val="20"/>
          <w:bdr w:val="none" w:sz="0" w:space="0" w:color="auto"/>
          <w:lang w:val="es-ES"/>
        </w:rPr>
        <w:t>fraude documental</w:t>
      </w:r>
      <w:r w:rsidR="00E01A1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Estuvo más de un mes en la cárcel, fue hallado culpable del delito y deportado a </w:t>
      </w:r>
      <w:r w:rsidR="00001DB6" w:rsidRPr="00A16D62">
        <w:rPr>
          <w:rFonts w:ascii="Cambria" w:eastAsia="Times New Roman" w:hAnsi="Cambria"/>
          <w:bCs/>
          <w:sz w:val="20"/>
          <w:szCs w:val="20"/>
          <w:bdr w:val="none" w:sz="0" w:space="0" w:color="auto"/>
          <w:lang w:val="es-ES"/>
        </w:rPr>
        <w:t>México</w:t>
      </w:r>
      <w:r w:rsidR="004B70C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en febrero de</w:t>
      </w:r>
      <w:r w:rsidR="004B70CB" w:rsidRPr="00A16D62">
        <w:rPr>
          <w:rFonts w:ascii="Cambria" w:eastAsia="Times New Roman" w:hAnsi="Cambria"/>
          <w:bCs/>
          <w:sz w:val="20"/>
          <w:szCs w:val="20"/>
          <w:bdr w:val="none" w:sz="0" w:space="0" w:color="auto"/>
          <w:lang w:val="es-ES"/>
        </w:rPr>
        <w:t xml:space="preserve"> 2006</w:t>
      </w:r>
      <w:r w:rsidR="004B70CB" w:rsidRPr="00A16D62">
        <w:rPr>
          <w:rStyle w:val="FootnoteReference"/>
          <w:rFonts w:ascii="Cambria" w:eastAsia="Times New Roman" w:hAnsi="Cambria"/>
          <w:bCs/>
          <w:sz w:val="20"/>
          <w:szCs w:val="20"/>
          <w:bdr w:val="none" w:sz="0" w:space="0" w:color="auto"/>
          <w:lang w:val="es-ES"/>
        </w:rPr>
        <w:footnoteReference w:id="36"/>
      </w:r>
      <w:r w:rsidRPr="00A16D62">
        <w:rPr>
          <w:rFonts w:ascii="Cambria" w:eastAsia="Times New Roman" w:hAnsi="Cambria"/>
          <w:bCs/>
          <w:sz w:val="20"/>
          <w:szCs w:val="20"/>
          <w:bdr w:val="none" w:sz="0" w:space="0" w:color="auto"/>
          <w:lang w:val="es-ES"/>
        </w:rPr>
        <w:t xml:space="preserve">. Mientras estaba en la cárcel, </w:t>
      </w:r>
      <w:r w:rsidR="007F4530" w:rsidRPr="00A16D62">
        <w:rPr>
          <w:rFonts w:ascii="Cambria" w:eastAsia="Times New Roman" w:hAnsi="Cambria"/>
          <w:bCs/>
          <w:sz w:val="20"/>
          <w:szCs w:val="20"/>
          <w:bdr w:val="none" w:sz="0" w:space="0" w:color="auto"/>
          <w:lang w:val="es-ES"/>
        </w:rPr>
        <w:t>el señor</w:t>
      </w:r>
      <w:r w:rsidR="004B70CB" w:rsidRPr="00A16D62">
        <w:rPr>
          <w:rFonts w:ascii="Cambria" w:eastAsia="Times New Roman" w:hAnsi="Cambria"/>
          <w:bCs/>
          <w:sz w:val="20"/>
          <w:szCs w:val="20"/>
          <w:bdr w:val="none" w:sz="0" w:space="0" w:color="auto"/>
          <w:lang w:val="es-ES"/>
        </w:rPr>
        <w:t xml:space="preserve"> Lizalde </w:t>
      </w:r>
      <w:r w:rsidR="00B92824" w:rsidRPr="00A16D62">
        <w:rPr>
          <w:rFonts w:ascii="Cambria" w:eastAsia="Times New Roman" w:hAnsi="Cambria"/>
          <w:bCs/>
          <w:sz w:val="20"/>
          <w:szCs w:val="20"/>
          <w:bdr w:val="none" w:sz="0" w:space="0" w:color="auto"/>
          <w:lang w:val="es-ES"/>
        </w:rPr>
        <w:t xml:space="preserve">no tuvo acceso a atención médica y no pudo quitarse el yeso hasta que regresó a </w:t>
      </w:r>
      <w:r w:rsidR="00001DB6" w:rsidRPr="00A16D62">
        <w:rPr>
          <w:rFonts w:ascii="Cambria" w:eastAsia="Times New Roman" w:hAnsi="Cambria"/>
          <w:bCs/>
          <w:sz w:val="20"/>
          <w:szCs w:val="20"/>
          <w:bdr w:val="none" w:sz="0" w:space="0" w:color="auto"/>
          <w:lang w:val="es-ES"/>
        </w:rPr>
        <w:t>México</w:t>
      </w:r>
      <w:r w:rsidR="00BA3F9E" w:rsidRPr="00A16D62">
        <w:rPr>
          <w:rFonts w:ascii="Cambria" w:eastAsia="Times New Roman" w:hAnsi="Cambria"/>
          <w:bCs/>
          <w:sz w:val="20"/>
          <w:szCs w:val="20"/>
          <w:bdr w:val="none" w:sz="0" w:space="0" w:color="auto"/>
          <w:lang w:val="es-ES"/>
        </w:rPr>
        <w:t xml:space="preserve">, </w:t>
      </w:r>
      <w:r w:rsidR="00B92824" w:rsidRPr="00A16D62">
        <w:rPr>
          <w:rFonts w:ascii="Cambria" w:eastAsia="Times New Roman" w:hAnsi="Cambria"/>
          <w:bCs/>
          <w:sz w:val="20"/>
          <w:szCs w:val="20"/>
          <w:bdr w:val="none" w:sz="0" w:space="0" w:color="auto"/>
          <w:lang w:val="es-ES"/>
        </w:rPr>
        <w:t>gasto que pagó de su bolsillo</w:t>
      </w:r>
      <w:r w:rsidR="004B70CB" w:rsidRPr="00A16D62">
        <w:rPr>
          <w:rStyle w:val="FootnoteReference"/>
          <w:rFonts w:ascii="Cambria" w:eastAsia="Times New Roman" w:hAnsi="Cambria"/>
          <w:bCs/>
          <w:sz w:val="20"/>
          <w:szCs w:val="20"/>
          <w:bdr w:val="none" w:sz="0" w:space="0" w:color="auto"/>
          <w:lang w:val="es-ES"/>
        </w:rPr>
        <w:footnoteReference w:id="37"/>
      </w:r>
      <w:r w:rsidR="00B92824" w:rsidRPr="00A16D62">
        <w:rPr>
          <w:rFonts w:ascii="Cambria" w:eastAsia="Times New Roman" w:hAnsi="Cambria"/>
          <w:bCs/>
          <w:sz w:val="20"/>
          <w:szCs w:val="20"/>
          <w:bdr w:val="none" w:sz="0" w:space="0" w:color="auto"/>
          <w:lang w:val="es-ES"/>
        </w:rPr>
        <w:t>.</w:t>
      </w:r>
    </w:p>
    <w:p w:rsidR="004B70CB" w:rsidRPr="00A16D62" w:rsidRDefault="004B70CB" w:rsidP="004B70CB">
      <w:pPr>
        <w:pStyle w:val="ListParagraph"/>
        <w:rPr>
          <w:rFonts w:eastAsia="Times New Roman"/>
          <w:bCs/>
          <w:sz w:val="20"/>
          <w:szCs w:val="20"/>
          <w:bdr w:val="none" w:sz="0" w:space="0" w:color="auto"/>
          <w:lang w:val="es-ES"/>
        </w:rPr>
      </w:pPr>
    </w:p>
    <w:p w:rsidR="004B70CB" w:rsidRPr="00A16D62" w:rsidRDefault="00B92824"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Antes de que lo deportaran, </w:t>
      </w:r>
      <w:r w:rsidR="007F4530" w:rsidRPr="00A16D62">
        <w:rPr>
          <w:rFonts w:ascii="Cambria" w:eastAsia="Times New Roman" w:hAnsi="Cambria"/>
          <w:bCs/>
          <w:sz w:val="20"/>
          <w:szCs w:val="20"/>
          <w:bdr w:val="none" w:sz="0" w:space="0" w:color="auto"/>
          <w:lang w:val="es-ES"/>
        </w:rPr>
        <w:t>el señor</w:t>
      </w:r>
      <w:r w:rsidR="00C3215D" w:rsidRPr="00A16D62">
        <w:rPr>
          <w:rFonts w:ascii="Cambria" w:eastAsia="Times New Roman" w:hAnsi="Cambria"/>
          <w:bCs/>
          <w:sz w:val="20"/>
          <w:szCs w:val="20"/>
          <w:bdr w:val="none" w:sz="0" w:space="0" w:color="auto"/>
          <w:lang w:val="es-ES"/>
        </w:rPr>
        <w:t xml:space="preserve"> Lizalde </w:t>
      </w:r>
      <w:r w:rsidRPr="00A16D62">
        <w:rPr>
          <w:rFonts w:ascii="Cambria" w:eastAsia="Times New Roman" w:hAnsi="Cambria"/>
          <w:bCs/>
          <w:sz w:val="20"/>
          <w:szCs w:val="20"/>
          <w:bdr w:val="none" w:sz="0" w:space="0" w:color="auto"/>
          <w:lang w:val="es-ES"/>
        </w:rPr>
        <w:t xml:space="preserve">contrató a un abogado para preservar su derecho a una </w:t>
      </w:r>
      <w:r w:rsidR="007B4310" w:rsidRPr="00A16D62">
        <w:rPr>
          <w:rFonts w:ascii="Cambria" w:eastAsia="Times New Roman" w:hAnsi="Cambria"/>
          <w:bCs/>
          <w:sz w:val="20"/>
          <w:szCs w:val="20"/>
          <w:bdr w:val="none" w:sz="0" w:space="0" w:color="auto"/>
          <w:lang w:val="es-ES"/>
        </w:rPr>
        <w:t>indemnización por accidente de trabajo</w:t>
      </w:r>
      <w:r w:rsidRPr="00A16D62">
        <w:rPr>
          <w:rFonts w:ascii="Cambria" w:eastAsia="Times New Roman" w:hAnsi="Cambria"/>
          <w:bCs/>
          <w:sz w:val="20"/>
          <w:szCs w:val="20"/>
          <w:bdr w:val="none" w:sz="0" w:space="0" w:color="auto"/>
          <w:lang w:val="es-ES"/>
        </w:rPr>
        <w:t>. No obstante, pocos días después de interponer la demanda d</w:t>
      </w:r>
      <w:r w:rsidR="007F4530" w:rsidRPr="00A16D62">
        <w:rPr>
          <w:rFonts w:ascii="Cambria" w:eastAsia="Times New Roman" w:hAnsi="Cambria"/>
          <w:bCs/>
          <w:sz w:val="20"/>
          <w:szCs w:val="20"/>
          <w:bdr w:val="none" w:sz="0" w:space="0" w:color="auto"/>
          <w:lang w:val="es-ES"/>
        </w:rPr>
        <w:t>el señor</w:t>
      </w:r>
      <w:r w:rsidR="00C3215D" w:rsidRPr="00A16D62">
        <w:rPr>
          <w:rFonts w:ascii="Cambria" w:eastAsia="Times New Roman" w:hAnsi="Cambria"/>
          <w:bCs/>
          <w:sz w:val="20"/>
          <w:szCs w:val="20"/>
          <w:bdr w:val="none" w:sz="0" w:space="0" w:color="auto"/>
          <w:lang w:val="es-ES"/>
        </w:rPr>
        <w:t xml:space="preserve"> Lizalde</w:t>
      </w:r>
      <w:r w:rsidRPr="00A16D62">
        <w:rPr>
          <w:rFonts w:ascii="Cambria" w:eastAsia="Times New Roman" w:hAnsi="Cambria"/>
          <w:bCs/>
          <w:sz w:val="20"/>
          <w:szCs w:val="20"/>
          <w:bdr w:val="none" w:sz="0" w:space="0" w:color="auto"/>
          <w:lang w:val="es-ES"/>
        </w:rPr>
        <w:t xml:space="preserve">, </w:t>
      </w:r>
      <w:r w:rsidR="00A30BE7" w:rsidRPr="00A16D62">
        <w:rPr>
          <w:rFonts w:ascii="Cambria" w:eastAsia="Times New Roman" w:hAnsi="Cambria"/>
          <w:bCs/>
          <w:sz w:val="20"/>
          <w:szCs w:val="20"/>
          <w:bdr w:val="none" w:sz="0" w:space="0" w:color="auto"/>
          <w:lang w:val="es-ES"/>
        </w:rPr>
        <w:t xml:space="preserve">le informaron a </w:t>
      </w:r>
      <w:r w:rsidRPr="00A16D62">
        <w:rPr>
          <w:rFonts w:ascii="Cambria" w:eastAsia="Times New Roman" w:hAnsi="Cambria"/>
          <w:bCs/>
          <w:sz w:val="20"/>
          <w:szCs w:val="20"/>
          <w:bdr w:val="none" w:sz="0" w:space="0" w:color="auto"/>
          <w:lang w:val="es-ES"/>
        </w:rPr>
        <w:t xml:space="preserve">su abogado </w:t>
      </w:r>
      <w:r w:rsidR="00A30BE7" w:rsidRPr="00A16D62">
        <w:rPr>
          <w:rFonts w:ascii="Cambria" w:eastAsia="Times New Roman" w:hAnsi="Cambria"/>
          <w:bCs/>
          <w:sz w:val="20"/>
          <w:szCs w:val="20"/>
          <w:bdr w:val="none" w:sz="0" w:space="0" w:color="auto"/>
          <w:lang w:val="es-ES"/>
        </w:rPr>
        <w:t xml:space="preserve">que </w:t>
      </w:r>
      <w:r w:rsidR="007F4530" w:rsidRPr="00A16D62">
        <w:rPr>
          <w:rFonts w:ascii="Cambria" w:eastAsia="Times New Roman" w:hAnsi="Cambria"/>
          <w:bCs/>
          <w:sz w:val="20"/>
          <w:szCs w:val="20"/>
          <w:bdr w:val="none" w:sz="0" w:space="0" w:color="auto"/>
          <w:lang w:val="es-ES"/>
        </w:rPr>
        <w:t>el señor</w:t>
      </w:r>
      <w:r w:rsidR="00C3215D" w:rsidRPr="00A16D62">
        <w:rPr>
          <w:rFonts w:ascii="Cambria" w:eastAsia="Times New Roman" w:hAnsi="Cambria"/>
          <w:bCs/>
          <w:sz w:val="20"/>
          <w:szCs w:val="20"/>
          <w:bdr w:val="none" w:sz="0" w:space="0" w:color="auto"/>
          <w:lang w:val="es-ES"/>
        </w:rPr>
        <w:t xml:space="preserve"> Lizalde ha</w:t>
      </w:r>
      <w:r w:rsidR="00A30BE7" w:rsidRPr="00A16D62">
        <w:rPr>
          <w:rFonts w:ascii="Cambria" w:eastAsia="Times New Roman" w:hAnsi="Cambria"/>
          <w:bCs/>
          <w:sz w:val="20"/>
          <w:szCs w:val="20"/>
          <w:bdr w:val="none" w:sz="0" w:space="0" w:color="auto"/>
          <w:lang w:val="es-ES"/>
        </w:rPr>
        <w:t xml:space="preserve">bía sido enjuiciado y deportado. Además, le informaron que, en vista de que se requería la presencia del </w:t>
      </w:r>
      <w:r w:rsidR="007F4530" w:rsidRPr="00A16D62">
        <w:rPr>
          <w:rFonts w:ascii="Cambria" w:eastAsia="Times New Roman" w:hAnsi="Cambria"/>
          <w:bCs/>
          <w:sz w:val="20"/>
          <w:szCs w:val="20"/>
          <w:bdr w:val="none" w:sz="0" w:space="0" w:color="auto"/>
          <w:lang w:val="es-ES"/>
        </w:rPr>
        <w:t>señor</w:t>
      </w:r>
      <w:r w:rsidR="004A0ABB" w:rsidRPr="00A16D62">
        <w:rPr>
          <w:rFonts w:ascii="Cambria" w:eastAsia="Times New Roman" w:hAnsi="Cambria"/>
          <w:bCs/>
          <w:sz w:val="20"/>
          <w:szCs w:val="20"/>
          <w:bdr w:val="none" w:sz="0" w:space="0" w:color="auto"/>
          <w:lang w:val="es-ES"/>
        </w:rPr>
        <w:t xml:space="preserve"> Lizalde</w:t>
      </w:r>
      <w:r w:rsidR="00A30BE7" w:rsidRPr="00A16D62">
        <w:rPr>
          <w:rFonts w:ascii="Cambria" w:eastAsia="Times New Roman" w:hAnsi="Cambria"/>
          <w:bCs/>
          <w:sz w:val="20"/>
          <w:szCs w:val="20"/>
          <w:bdr w:val="none" w:sz="0" w:space="0" w:color="auto"/>
          <w:lang w:val="es-ES"/>
        </w:rPr>
        <w:t xml:space="preserve"> para seguir adelante con la demanda, el</w:t>
      </w:r>
      <w:r w:rsidR="007F4530" w:rsidRPr="00A16D62">
        <w:rPr>
          <w:rFonts w:ascii="Cambria" w:eastAsia="Times New Roman" w:hAnsi="Cambria"/>
          <w:bCs/>
          <w:sz w:val="20"/>
          <w:szCs w:val="20"/>
          <w:bdr w:val="none" w:sz="0" w:space="0" w:color="auto"/>
          <w:lang w:val="es-ES"/>
        </w:rPr>
        <w:t xml:space="preserve"> señor</w:t>
      </w:r>
      <w:r w:rsidR="00C3215D" w:rsidRPr="00A16D62">
        <w:rPr>
          <w:rFonts w:ascii="Cambria" w:eastAsia="Times New Roman" w:hAnsi="Cambria"/>
          <w:bCs/>
          <w:sz w:val="20"/>
          <w:szCs w:val="20"/>
          <w:bdr w:val="none" w:sz="0" w:space="0" w:color="auto"/>
          <w:lang w:val="es-ES"/>
        </w:rPr>
        <w:t xml:space="preserve"> </w:t>
      </w:r>
      <w:r w:rsidR="001C2783" w:rsidRPr="00A16D62">
        <w:rPr>
          <w:rFonts w:ascii="Cambria" w:eastAsia="Times New Roman" w:hAnsi="Cambria"/>
          <w:bCs/>
          <w:sz w:val="20"/>
          <w:szCs w:val="20"/>
          <w:bdr w:val="none" w:sz="0" w:space="0" w:color="auto"/>
          <w:lang w:val="es-ES"/>
        </w:rPr>
        <w:t xml:space="preserve">Lizalde </w:t>
      </w:r>
      <w:r w:rsidR="00A30BE7" w:rsidRPr="00A16D62">
        <w:rPr>
          <w:rFonts w:ascii="Cambria" w:eastAsia="Times New Roman" w:hAnsi="Cambria"/>
          <w:bCs/>
          <w:sz w:val="20"/>
          <w:szCs w:val="20"/>
          <w:bdr w:val="none" w:sz="0" w:space="0" w:color="auto"/>
          <w:lang w:val="es-ES"/>
        </w:rPr>
        <w:t xml:space="preserve">tenía que elegir entre la posibilidad de ser enjuiciado y hallado culpable de reingreso ilegal en el país y la renuncia al </w:t>
      </w:r>
      <w:r w:rsidR="00A246DE" w:rsidRPr="00A16D62">
        <w:rPr>
          <w:rFonts w:ascii="Cambria" w:eastAsia="Times New Roman" w:hAnsi="Cambria"/>
          <w:bCs/>
          <w:sz w:val="20"/>
          <w:szCs w:val="20"/>
          <w:bdr w:val="none" w:sz="0" w:space="0" w:color="auto"/>
          <w:lang w:val="es-ES"/>
        </w:rPr>
        <w:t xml:space="preserve">derecho </w:t>
      </w:r>
      <w:r w:rsidR="00A30BE7" w:rsidRPr="00A16D62">
        <w:rPr>
          <w:rFonts w:ascii="Cambria" w:eastAsia="Times New Roman" w:hAnsi="Cambria"/>
          <w:bCs/>
          <w:sz w:val="20"/>
          <w:szCs w:val="20"/>
          <w:bdr w:val="none" w:sz="0" w:space="0" w:color="auto"/>
          <w:lang w:val="es-ES"/>
        </w:rPr>
        <w:t>a</w:t>
      </w:r>
      <w:r w:rsidR="00C3215D" w:rsidRPr="00A16D62">
        <w:rPr>
          <w:rFonts w:ascii="Cambria" w:eastAsia="Times New Roman" w:hAnsi="Cambria"/>
          <w:bCs/>
          <w:sz w:val="20"/>
          <w:szCs w:val="20"/>
          <w:bdr w:val="none" w:sz="0" w:space="0" w:color="auto"/>
          <w:lang w:val="es-ES"/>
        </w:rPr>
        <w:t xml:space="preserve"> </w:t>
      </w:r>
      <w:r w:rsidR="00A30BE7" w:rsidRPr="00A16D62">
        <w:rPr>
          <w:rFonts w:ascii="Cambria" w:eastAsia="Times New Roman" w:hAnsi="Cambria"/>
          <w:bCs/>
          <w:sz w:val="20"/>
          <w:szCs w:val="20"/>
          <w:bdr w:val="none" w:sz="0" w:space="0" w:color="auto"/>
          <w:lang w:val="es-ES"/>
        </w:rPr>
        <w:t xml:space="preserve">una </w:t>
      </w:r>
      <w:r w:rsidR="007B4310" w:rsidRPr="00A16D62">
        <w:rPr>
          <w:rFonts w:ascii="Cambria" w:eastAsia="Times New Roman" w:hAnsi="Cambria"/>
          <w:bCs/>
          <w:sz w:val="20"/>
          <w:szCs w:val="20"/>
          <w:bdr w:val="none" w:sz="0" w:space="0" w:color="auto"/>
          <w:lang w:val="es-ES"/>
        </w:rPr>
        <w:t>indemnización por accidente de trabajo</w:t>
      </w:r>
      <w:r w:rsidR="00CB6A76" w:rsidRPr="00A16D62">
        <w:rPr>
          <w:rFonts w:ascii="Cambria" w:eastAsia="Times New Roman" w:hAnsi="Cambria"/>
          <w:bCs/>
          <w:sz w:val="20"/>
          <w:szCs w:val="20"/>
          <w:bdr w:val="none" w:sz="0" w:space="0" w:color="auto"/>
          <w:lang w:val="es-ES"/>
        </w:rPr>
        <w:t>, inclu</w:t>
      </w:r>
      <w:r w:rsidR="00A30BE7" w:rsidRPr="00A16D62">
        <w:rPr>
          <w:rFonts w:ascii="Cambria" w:eastAsia="Times New Roman" w:hAnsi="Cambria"/>
          <w:bCs/>
          <w:sz w:val="20"/>
          <w:szCs w:val="20"/>
          <w:bdr w:val="none" w:sz="0" w:space="0" w:color="auto"/>
          <w:lang w:val="es-ES"/>
        </w:rPr>
        <w:t>ida la indemnización por discapacidad y el pago de gastos de tratamiento médico</w:t>
      </w:r>
      <w:r w:rsidR="00CB6A76" w:rsidRPr="00A16D62">
        <w:rPr>
          <w:rStyle w:val="FootnoteReference"/>
          <w:rFonts w:ascii="Cambria" w:eastAsia="Times New Roman" w:hAnsi="Cambria"/>
          <w:bCs/>
          <w:sz w:val="20"/>
          <w:szCs w:val="20"/>
          <w:bdr w:val="none" w:sz="0" w:space="0" w:color="auto"/>
          <w:lang w:val="es-ES"/>
        </w:rPr>
        <w:footnoteReference w:id="38"/>
      </w:r>
      <w:r w:rsidR="00A30BE7" w:rsidRPr="00A16D62">
        <w:rPr>
          <w:rFonts w:ascii="Cambria" w:eastAsia="Times New Roman" w:hAnsi="Cambria"/>
          <w:bCs/>
          <w:sz w:val="20"/>
          <w:szCs w:val="20"/>
          <w:bdr w:val="none" w:sz="0" w:space="0" w:color="auto"/>
          <w:lang w:val="es-ES"/>
        </w:rPr>
        <w:t>.</w:t>
      </w:r>
    </w:p>
    <w:p w:rsidR="001C2783" w:rsidRPr="00A16D62" w:rsidRDefault="001C2783" w:rsidP="001C2783">
      <w:pPr>
        <w:pStyle w:val="ListParagraph"/>
        <w:rPr>
          <w:rFonts w:eastAsia="Times New Roman"/>
          <w:bCs/>
          <w:sz w:val="20"/>
          <w:szCs w:val="20"/>
          <w:bdr w:val="none" w:sz="0" w:space="0" w:color="auto"/>
          <w:lang w:val="es-ES"/>
        </w:rPr>
      </w:pPr>
    </w:p>
    <w:p w:rsidR="001C2783" w:rsidRPr="00A16D62" w:rsidRDefault="004E4462" w:rsidP="00A76BB1">
      <w:pPr>
        <w:pStyle w:val="Heading2"/>
        <w:ind w:left="1440" w:hanging="720"/>
        <w:rPr>
          <w:lang w:val="es-ES"/>
        </w:rPr>
      </w:pPr>
      <w:bookmarkStart w:id="20" w:name="_Toc467138445"/>
      <w:r w:rsidRPr="00A16D62">
        <w:rPr>
          <w:i/>
          <w:lang w:val="es-ES"/>
        </w:rPr>
        <w:t>Hoffman</w:t>
      </w:r>
      <w:r w:rsidR="00F36AD9" w:rsidRPr="00A16D62">
        <w:rPr>
          <w:i/>
          <w:lang w:val="es-ES"/>
        </w:rPr>
        <w:t xml:space="preserve"> Plastic Compounds, Inc. </w:t>
      </w:r>
      <w:r w:rsidR="00521A6A" w:rsidRPr="00A16D62">
        <w:rPr>
          <w:i/>
          <w:lang w:val="es-ES"/>
        </w:rPr>
        <w:t>c.</w:t>
      </w:r>
      <w:r w:rsidR="00F36AD9" w:rsidRPr="00A16D62">
        <w:rPr>
          <w:i/>
          <w:lang w:val="es-ES"/>
        </w:rPr>
        <w:t xml:space="preserve"> </w:t>
      </w:r>
      <w:r w:rsidR="00B92824" w:rsidRPr="00B164EF">
        <w:rPr>
          <w:bCs w:val="0"/>
          <w:bdr w:val="none" w:sz="0" w:space="0" w:color="auto" w:frame="1"/>
          <w:lang w:val="es-ES"/>
        </w:rPr>
        <w:t>Junta Nacional de Relaciones Laborales</w:t>
      </w:r>
      <w:bookmarkEnd w:id="20"/>
      <w:r w:rsidR="00F36AD9" w:rsidRPr="00A16D62">
        <w:rPr>
          <w:i/>
          <w:lang w:val="es-ES"/>
        </w:rPr>
        <w:t xml:space="preserve"> </w:t>
      </w:r>
    </w:p>
    <w:p w:rsidR="001C2783" w:rsidRPr="00A16D62" w:rsidRDefault="001C2783" w:rsidP="004E4462">
      <w:pPr>
        <w:pStyle w:val="ListParagraph"/>
        <w:rPr>
          <w:rFonts w:eastAsia="Times New Roman"/>
          <w:bCs/>
          <w:sz w:val="20"/>
          <w:szCs w:val="20"/>
          <w:bdr w:val="none" w:sz="0" w:space="0" w:color="auto"/>
          <w:lang w:val="es-ES"/>
        </w:rPr>
      </w:pPr>
    </w:p>
    <w:p w:rsidR="00064ADD" w:rsidRPr="00A16D62" w:rsidRDefault="00A30BE7"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vista de que las partes centran muchos de sus argumentos en torno al efecto de la decisión de la</w:t>
      </w:r>
      <w:r w:rsidR="00064ADD" w:rsidRPr="00A16D62">
        <w:rPr>
          <w:rFonts w:ascii="Cambria" w:eastAsia="Times New Roman" w:hAnsi="Cambria"/>
          <w:bCs/>
          <w:sz w:val="20"/>
          <w:szCs w:val="20"/>
          <w:bdr w:val="none" w:sz="0" w:space="0" w:color="auto"/>
          <w:lang w:val="es-ES"/>
        </w:rPr>
        <w:t xml:space="preserve"> </w:t>
      </w:r>
      <w:r w:rsidR="003E2C91" w:rsidRPr="00A16D62">
        <w:rPr>
          <w:rFonts w:ascii="Cambria" w:eastAsia="Times New Roman" w:hAnsi="Cambria"/>
          <w:bCs/>
          <w:sz w:val="20"/>
          <w:szCs w:val="20"/>
          <w:bdr w:val="none" w:sz="0" w:space="0" w:color="auto"/>
          <w:lang w:val="es-ES"/>
        </w:rPr>
        <w:t>Corte Suprema de Estados Unidos</w:t>
      </w:r>
      <w:r w:rsidR="00064AD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el caso </w:t>
      </w:r>
      <w:r w:rsidR="00064ADD" w:rsidRPr="00A16D62">
        <w:rPr>
          <w:rFonts w:ascii="Cambria" w:eastAsia="Times New Roman" w:hAnsi="Cambria"/>
          <w:bCs/>
          <w:i/>
          <w:sz w:val="20"/>
          <w:szCs w:val="20"/>
          <w:bdr w:val="none" w:sz="0" w:space="0" w:color="auto"/>
          <w:lang w:val="es-ES"/>
        </w:rPr>
        <w:t xml:space="preserve">Hoffman Plastic Compounds, Inc. </w:t>
      </w:r>
      <w:r w:rsidR="00521A6A" w:rsidRPr="00A16D62">
        <w:rPr>
          <w:rFonts w:ascii="Cambria" w:eastAsia="Times New Roman" w:hAnsi="Cambria"/>
          <w:bCs/>
          <w:i/>
          <w:sz w:val="20"/>
          <w:szCs w:val="20"/>
          <w:bdr w:val="none" w:sz="0" w:space="0" w:color="auto"/>
          <w:lang w:val="es-ES"/>
        </w:rPr>
        <w:t>c.</w:t>
      </w:r>
      <w:r w:rsidR="00064ADD" w:rsidRPr="00A16D62">
        <w:rPr>
          <w:rFonts w:ascii="Cambria" w:eastAsia="Times New Roman" w:hAnsi="Cambria"/>
          <w:bCs/>
          <w:i/>
          <w:sz w:val="20"/>
          <w:szCs w:val="20"/>
          <w:bdr w:val="none" w:sz="0" w:space="0" w:color="auto"/>
          <w:lang w:val="es-ES"/>
        </w:rPr>
        <w:t xml:space="preserve"> </w:t>
      </w:r>
      <w:r w:rsidR="00B92824" w:rsidRPr="00A16D62">
        <w:rPr>
          <w:rFonts w:ascii="Cambria" w:eastAsia="Times New Roman" w:hAnsi="Cambria"/>
          <w:bCs/>
          <w:i/>
          <w:sz w:val="20"/>
          <w:szCs w:val="20"/>
          <w:bdr w:val="none" w:sz="0" w:space="0" w:color="auto" w:frame="1"/>
          <w:lang w:val="es-ES"/>
        </w:rPr>
        <w:t>Junta Nacional de Relaciones Laborales</w:t>
      </w:r>
      <w:r w:rsidR="009B78FA" w:rsidRPr="00A16D62">
        <w:rPr>
          <w:rFonts w:ascii="Cambria" w:eastAsia="Times New Roman" w:hAnsi="Cambria"/>
          <w:bCs/>
          <w:i/>
          <w:sz w:val="20"/>
          <w:szCs w:val="20"/>
          <w:bdr w:val="none" w:sz="0" w:space="0" w:color="auto"/>
          <w:lang w:val="es-ES"/>
        </w:rPr>
        <w:t xml:space="preserve"> </w:t>
      </w:r>
      <w:r w:rsidR="009B78FA" w:rsidRPr="00A16D62">
        <w:rPr>
          <w:rFonts w:ascii="Cambria" w:eastAsia="Times New Roman" w:hAnsi="Cambria"/>
          <w:bCs/>
          <w:sz w:val="20"/>
          <w:szCs w:val="20"/>
          <w:bdr w:val="none" w:sz="0" w:space="0" w:color="auto"/>
          <w:lang w:val="es-ES"/>
        </w:rPr>
        <w:t>(“</w:t>
      </w:r>
      <w:r w:rsidR="009B78FA" w:rsidRPr="00A16D62">
        <w:rPr>
          <w:rFonts w:ascii="Cambria" w:eastAsia="Times New Roman" w:hAnsi="Cambria"/>
          <w:bCs/>
          <w:i/>
          <w:sz w:val="20"/>
          <w:szCs w:val="20"/>
          <w:bdr w:val="none" w:sz="0" w:space="0" w:color="auto"/>
          <w:lang w:val="es-ES"/>
        </w:rPr>
        <w:t>Hoffman</w:t>
      </w:r>
      <w:r w:rsidR="009B78FA" w:rsidRPr="00A16D62">
        <w:rPr>
          <w:rFonts w:ascii="Cambria" w:eastAsia="Times New Roman" w:hAnsi="Cambria"/>
          <w:bCs/>
          <w:sz w:val="20"/>
          <w:szCs w:val="20"/>
          <w:bdr w:val="none" w:sz="0" w:space="0" w:color="auto"/>
          <w:lang w:val="es-ES"/>
        </w:rPr>
        <w:t>”)</w:t>
      </w:r>
      <w:r w:rsidR="00064ADD"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064ADD" w:rsidRPr="00A16D62">
        <w:rPr>
          <w:rFonts w:ascii="Cambria" w:eastAsia="Times New Roman" w:hAnsi="Cambria"/>
          <w:bCs/>
          <w:sz w:val="20"/>
          <w:szCs w:val="20"/>
          <w:bdr w:val="none" w:sz="0" w:space="0" w:color="auto"/>
          <w:lang w:val="es-ES"/>
        </w:rPr>
        <w:t xml:space="preserve"> consider</w:t>
      </w:r>
      <w:r w:rsidRPr="00A16D62">
        <w:rPr>
          <w:rFonts w:ascii="Cambria" w:eastAsia="Times New Roman" w:hAnsi="Cambria"/>
          <w:bCs/>
          <w:sz w:val="20"/>
          <w:szCs w:val="20"/>
          <w:bdr w:val="none" w:sz="0" w:space="0" w:color="auto"/>
          <w:lang w:val="es-ES"/>
        </w:rPr>
        <w:t>a procedente incluir una breve descripción de este caso</w:t>
      </w:r>
      <w:r w:rsidR="00064ADD" w:rsidRPr="00A16D62">
        <w:rPr>
          <w:rFonts w:ascii="Cambria" w:eastAsia="Times New Roman" w:hAnsi="Cambria"/>
          <w:bCs/>
          <w:sz w:val="20"/>
          <w:szCs w:val="20"/>
          <w:bdr w:val="none" w:sz="0" w:space="0" w:color="auto"/>
          <w:lang w:val="es-ES"/>
        </w:rPr>
        <w:t xml:space="preserve">. </w:t>
      </w:r>
    </w:p>
    <w:p w:rsidR="00064ADD" w:rsidRPr="00A16D62" w:rsidRDefault="00064ADD" w:rsidP="00064AD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E50528" w:rsidRPr="00A16D62" w:rsidRDefault="00A30BE7"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w:t>
      </w:r>
      <w:r w:rsidR="000C1244" w:rsidRPr="00A16D62">
        <w:rPr>
          <w:rFonts w:ascii="Cambria" w:eastAsia="Times New Roman" w:hAnsi="Cambria"/>
          <w:bCs/>
          <w:sz w:val="20"/>
          <w:szCs w:val="20"/>
          <w:bdr w:val="none" w:sz="0" w:space="0" w:color="auto"/>
          <w:lang w:val="es-ES"/>
        </w:rPr>
        <w:t>n</w:t>
      </w:r>
      <w:r w:rsidRPr="00A16D62">
        <w:rPr>
          <w:rFonts w:ascii="Cambria" w:eastAsia="Times New Roman" w:hAnsi="Cambria"/>
          <w:bCs/>
          <w:sz w:val="20"/>
          <w:szCs w:val="20"/>
          <w:bdr w:val="none" w:sz="0" w:space="0" w:color="auto"/>
          <w:lang w:val="es-ES"/>
        </w:rPr>
        <w:t xml:space="preserve"> el caso</w:t>
      </w:r>
      <w:r w:rsidR="000C1244" w:rsidRPr="00A16D62">
        <w:rPr>
          <w:rFonts w:ascii="Cambria" w:eastAsia="Times New Roman" w:hAnsi="Cambria"/>
          <w:bCs/>
          <w:sz w:val="20"/>
          <w:szCs w:val="20"/>
          <w:bdr w:val="none" w:sz="0" w:space="0" w:color="auto"/>
          <w:lang w:val="es-ES"/>
        </w:rPr>
        <w:t xml:space="preserve"> </w:t>
      </w:r>
      <w:r w:rsidR="000C1244" w:rsidRPr="00A16D62">
        <w:rPr>
          <w:rFonts w:ascii="Cambria" w:eastAsia="Times New Roman" w:hAnsi="Cambria"/>
          <w:bCs/>
          <w:i/>
          <w:sz w:val="20"/>
          <w:szCs w:val="20"/>
          <w:bdr w:val="none" w:sz="0" w:space="0" w:color="auto"/>
          <w:lang w:val="es-ES"/>
        </w:rPr>
        <w:t>Hoffman</w:t>
      </w:r>
      <w:r w:rsidR="000C124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la </w:t>
      </w:r>
      <w:r w:rsidR="003E2C91" w:rsidRPr="00A16D62">
        <w:rPr>
          <w:rFonts w:ascii="Cambria" w:eastAsia="Times New Roman" w:hAnsi="Cambria"/>
          <w:bCs/>
          <w:sz w:val="20"/>
          <w:szCs w:val="20"/>
          <w:bdr w:val="none" w:sz="0" w:space="0" w:color="auto"/>
          <w:lang w:val="es-ES"/>
        </w:rPr>
        <w:t>Corte Suprema de Estados Unidos</w:t>
      </w:r>
      <w:r w:rsidR="000C1244" w:rsidRPr="00A16D62">
        <w:rPr>
          <w:rFonts w:ascii="Cambria" w:eastAsia="Times New Roman" w:hAnsi="Cambria"/>
          <w:bCs/>
          <w:sz w:val="20"/>
          <w:szCs w:val="20"/>
          <w:bdr w:val="none" w:sz="0" w:space="0" w:color="auto"/>
          <w:lang w:val="es-ES"/>
        </w:rPr>
        <w:t xml:space="preserve"> </w:t>
      </w:r>
      <w:r w:rsidR="008B63D9" w:rsidRPr="00A16D62">
        <w:rPr>
          <w:rFonts w:ascii="Cambria" w:eastAsia="Times New Roman" w:hAnsi="Cambria"/>
          <w:bCs/>
          <w:sz w:val="20"/>
          <w:szCs w:val="20"/>
          <w:bdr w:val="none" w:sz="0" w:space="0" w:color="auto"/>
          <w:lang w:val="es-ES"/>
        </w:rPr>
        <w:t>consider</w:t>
      </w:r>
      <w:r w:rsidRPr="00A16D62">
        <w:rPr>
          <w:rFonts w:ascii="Cambria" w:eastAsia="Times New Roman" w:hAnsi="Cambria"/>
          <w:bCs/>
          <w:sz w:val="20"/>
          <w:szCs w:val="20"/>
          <w:bdr w:val="none" w:sz="0" w:space="0" w:color="auto"/>
          <w:lang w:val="es-ES"/>
        </w:rPr>
        <w:t>ó si un trabajador indocumentado</w:t>
      </w:r>
      <w:r w:rsidR="000C1244" w:rsidRPr="00A16D62">
        <w:rPr>
          <w:rFonts w:ascii="Cambria" w:eastAsia="Times New Roman" w:hAnsi="Cambria"/>
          <w:bCs/>
          <w:sz w:val="20"/>
          <w:szCs w:val="20"/>
          <w:bdr w:val="none" w:sz="0" w:space="0" w:color="auto"/>
          <w:lang w:val="es-ES"/>
        </w:rPr>
        <w:t>,</w:t>
      </w:r>
      <w:r w:rsidR="00D72419"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el señor</w:t>
      </w:r>
      <w:r w:rsidR="00D72419" w:rsidRPr="00A16D62">
        <w:rPr>
          <w:rFonts w:ascii="Cambria" w:eastAsia="Times New Roman" w:hAnsi="Cambria"/>
          <w:bCs/>
          <w:sz w:val="20"/>
          <w:szCs w:val="20"/>
          <w:bdr w:val="none" w:sz="0" w:space="0" w:color="auto"/>
          <w:lang w:val="es-ES"/>
        </w:rPr>
        <w:t xml:space="preserve"> Jos</w:t>
      </w:r>
      <w:r w:rsidRPr="00A16D62">
        <w:rPr>
          <w:rFonts w:ascii="Cambria" w:eastAsia="Times New Roman" w:hAnsi="Cambria"/>
          <w:bCs/>
          <w:sz w:val="20"/>
          <w:szCs w:val="20"/>
          <w:bdr w:val="none" w:sz="0" w:space="0" w:color="auto"/>
          <w:lang w:val="es-ES"/>
        </w:rPr>
        <w:t>é</w:t>
      </w:r>
      <w:r w:rsidR="00D72419" w:rsidRPr="00A16D62">
        <w:rPr>
          <w:rFonts w:ascii="Cambria" w:eastAsia="Times New Roman" w:hAnsi="Cambria"/>
          <w:bCs/>
          <w:sz w:val="20"/>
          <w:szCs w:val="20"/>
          <w:bdr w:val="none" w:sz="0" w:space="0" w:color="auto"/>
          <w:lang w:val="es-ES"/>
        </w:rPr>
        <w:t xml:space="preserve"> Castro,</w:t>
      </w:r>
      <w:r w:rsidR="000C1244" w:rsidRPr="00A16D62">
        <w:rPr>
          <w:rFonts w:ascii="Cambria" w:eastAsia="Times New Roman" w:hAnsi="Cambria"/>
          <w:bCs/>
          <w:sz w:val="20"/>
          <w:szCs w:val="20"/>
          <w:bdr w:val="none" w:sz="0" w:space="0" w:color="auto"/>
          <w:lang w:val="es-ES"/>
        </w:rPr>
        <w:t xml:space="preserve"> </w:t>
      </w:r>
      <w:r w:rsidR="001B707D" w:rsidRPr="00A16D62">
        <w:rPr>
          <w:rFonts w:ascii="Cambria" w:eastAsia="Times New Roman" w:hAnsi="Cambria"/>
          <w:bCs/>
          <w:sz w:val="20"/>
          <w:szCs w:val="20"/>
          <w:bdr w:val="none" w:sz="0" w:space="0" w:color="auto"/>
          <w:lang w:val="es-ES"/>
        </w:rPr>
        <w:t xml:space="preserve">que había presentado documentos </w:t>
      </w:r>
      <w:r w:rsidR="000C1244" w:rsidRPr="00A16D62">
        <w:rPr>
          <w:rFonts w:ascii="Cambria" w:eastAsia="Times New Roman" w:hAnsi="Cambria"/>
          <w:bCs/>
          <w:sz w:val="20"/>
          <w:szCs w:val="20"/>
          <w:bdr w:val="none" w:sz="0" w:space="0" w:color="auto"/>
          <w:lang w:val="es-ES"/>
        </w:rPr>
        <w:t>fraudulent</w:t>
      </w:r>
      <w:r w:rsidR="001B707D" w:rsidRPr="00A16D62">
        <w:rPr>
          <w:rFonts w:ascii="Cambria" w:eastAsia="Times New Roman" w:hAnsi="Cambria"/>
          <w:bCs/>
          <w:sz w:val="20"/>
          <w:szCs w:val="20"/>
          <w:bdr w:val="none" w:sz="0" w:space="0" w:color="auto"/>
          <w:lang w:val="es-ES"/>
        </w:rPr>
        <w:t xml:space="preserve">os para probar que estaba autorizado para trabajar y posteriormente fue despedido junto con otros </w:t>
      </w:r>
      <w:r w:rsidR="007B4310" w:rsidRPr="00A16D62">
        <w:rPr>
          <w:rFonts w:ascii="Cambria" w:eastAsia="Times New Roman" w:hAnsi="Cambria"/>
          <w:bCs/>
          <w:sz w:val="20"/>
          <w:szCs w:val="20"/>
          <w:bdr w:val="none" w:sz="0" w:space="0" w:color="auto"/>
          <w:lang w:val="es-ES"/>
        </w:rPr>
        <w:t>trabajadores</w:t>
      </w:r>
      <w:r w:rsidR="000C1244" w:rsidRPr="00A16D62">
        <w:rPr>
          <w:rFonts w:ascii="Cambria" w:eastAsia="Times New Roman" w:hAnsi="Cambria"/>
          <w:bCs/>
          <w:sz w:val="20"/>
          <w:szCs w:val="20"/>
          <w:bdr w:val="none" w:sz="0" w:space="0" w:color="auto"/>
          <w:lang w:val="es-ES"/>
        </w:rPr>
        <w:t xml:space="preserve"> </w:t>
      </w:r>
      <w:r w:rsidR="001B707D" w:rsidRPr="00A16D62">
        <w:rPr>
          <w:rFonts w:ascii="Cambria" w:eastAsia="Times New Roman" w:hAnsi="Cambria"/>
          <w:bCs/>
          <w:sz w:val="20"/>
          <w:szCs w:val="20"/>
          <w:bdr w:val="none" w:sz="0" w:space="0" w:color="auto"/>
          <w:lang w:val="es-ES"/>
        </w:rPr>
        <w:t>como represalia por participar en actividades de sindicalización</w:t>
      </w:r>
      <w:r w:rsidR="0057452C" w:rsidRPr="00A16D62">
        <w:rPr>
          <w:rFonts w:ascii="Cambria" w:eastAsia="Times New Roman" w:hAnsi="Cambria"/>
          <w:bCs/>
          <w:sz w:val="20"/>
          <w:szCs w:val="20"/>
          <w:bdr w:val="none" w:sz="0" w:space="0" w:color="auto"/>
          <w:lang w:val="es-ES"/>
        </w:rPr>
        <w:t>,</w:t>
      </w:r>
      <w:r w:rsidR="000C1244" w:rsidRPr="00A16D62">
        <w:rPr>
          <w:rFonts w:ascii="Cambria" w:eastAsia="Times New Roman" w:hAnsi="Cambria"/>
          <w:bCs/>
          <w:sz w:val="20"/>
          <w:szCs w:val="20"/>
          <w:bdr w:val="none" w:sz="0" w:space="0" w:color="auto"/>
          <w:lang w:val="es-ES"/>
        </w:rPr>
        <w:t xml:space="preserve"> </w:t>
      </w:r>
      <w:r w:rsidR="001B707D" w:rsidRPr="00A16D62">
        <w:rPr>
          <w:rFonts w:ascii="Cambria" w:eastAsia="Times New Roman" w:hAnsi="Cambria"/>
          <w:bCs/>
          <w:sz w:val="20"/>
          <w:szCs w:val="20"/>
          <w:bdr w:val="none" w:sz="0" w:space="0" w:color="auto"/>
          <w:lang w:val="es-ES"/>
        </w:rPr>
        <w:t xml:space="preserve">podía recibir </w:t>
      </w:r>
      <w:r w:rsidR="00E5771D" w:rsidRPr="00A16D62">
        <w:rPr>
          <w:rFonts w:ascii="Cambria" w:eastAsia="Times New Roman" w:hAnsi="Cambria"/>
          <w:bCs/>
          <w:sz w:val="20"/>
          <w:szCs w:val="20"/>
          <w:bdr w:val="none" w:sz="0" w:space="0" w:color="auto"/>
          <w:lang w:val="es-ES"/>
        </w:rPr>
        <w:t>salarios caídos</w:t>
      </w:r>
      <w:r w:rsidR="00451903" w:rsidRPr="00A16D62">
        <w:rPr>
          <w:rStyle w:val="FootnoteReference"/>
          <w:rFonts w:ascii="Cambria" w:eastAsia="Times New Roman" w:hAnsi="Cambria"/>
          <w:bCs/>
          <w:sz w:val="20"/>
          <w:szCs w:val="20"/>
          <w:bdr w:val="none" w:sz="0" w:space="0" w:color="auto"/>
          <w:lang w:val="es-ES"/>
        </w:rPr>
        <w:footnoteReference w:id="39"/>
      </w:r>
      <w:r w:rsidR="000C1244" w:rsidRPr="00A16D62">
        <w:rPr>
          <w:rFonts w:ascii="Cambria" w:eastAsia="Times New Roman" w:hAnsi="Cambria"/>
          <w:bCs/>
          <w:sz w:val="20"/>
          <w:szCs w:val="20"/>
          <w:bdr w:val="none" w:sz="0" w:space="0" w:color="auto"/>
          <w:lang w:val="es-ES"/>
        </w:rPr>
        <w:t xml:space="preserve"> </w:t>
      </w:r>
      <w:r w:rsidR="001B707D" w:rsidRPr="00A16D62">
        <w:rPr>
          <w:rFonts w:ascii="Cambria" w:eastAsia="Times New Roman" w:hAnsi="Cambria"/>
          <w:bCs/>
          <w:sz w:val="20"/>
          <w:szCs w:val="20"/>
          <w:bdr w:val="none" w:sz="0" w:space="0" w:color="auto"/>
          <w:lang w:val="es-ES"/>
        </w:rPr>
        <w:t xml:space="preserve">y otros desagravios por la infracción laboral. En primera instancia, la </w:t>
      </w:r>
      <w:r w:rsidR="00B92824" w:rsidRPr="00A16D62">
        <w:rPr>
          <w:rFonts w:ascii="Cambria" w:eastAsia="Times New Roman" w:hAnsi="Cambria"/>
          <w:bCs/>
          <w:sz w:val="20"/>
          <w:szCs w:val="20"/>
          <w:bdr w:val="none" w:sz="0" w:space="0" w:color="auto" w:frame="1"/>
          <w:lang w:val="es-ES"/>
        </w:rPr>
        <w:t>Junta Nacional de Relaciones Laborales</w:t>
      </w:r>
      <w:r w:rsidR="00D72419" w:rsidRPr="00A16D62">
        <w:rPr>
          <w:rFonts w:ascii="Cambria" w:eastAsia="Times New Roman" w:hAnsi="Cambria"/>
          <w:bCs/>
          <w:sz w:val="20"/>
          <w:szCs w:val="20"/>
          <w:bdr w:val="none" w:sz="0" w:space="0" w:color="auto"/>
          <w:lang w:val="es-ES"/>
        </w:rPr>
        <w:t xml:space="preserve"> </w:t>
      </w:r>
      <w:r w:rsidR="001B707D" w:rsidRPr="00A16D62">
        <w:rPr>
          <w:rFonts w:ascii="Cambria" w:eastAsia="Times New Roman" w:hAnsi="Cambria"/>
          <w:bCs/>
          <w:sz w:val="20"/>
          <w:szCs w:val="20"/>
          <w:bdr w:val="none" w:sz="0" w:space="0" w:color="auto"/>
          <w:lang w:val="es-ES"/>
        </w:rPr>
        <w:t xml:space="preserve">determinó que el despido de estos </w:t>
      </w:r>
      <w:r w:rsidR="007B4310" w:rsidRPr="00A16D62">
        <w:rPr>
          <w:rFonts w:ascii="Cambria" w:eastAsia="Times New Roman" w:hAnsi="Cambria"/>
          <w:bCs/>
          <w:sz w:val="20"/>
          <w:szCs w:val="20"/>
          <w:bdr w:val="none" w:sz="0" w:space="0" w:color="auto"/>
          <w:lang w:val="es-ES"/>
        </w:rPr>
        <w:t>empleados</w:t>
      </w:r>
      <w:r w:rsidR="002953E1" w:rsidRPr="00A16D62">
        <w:rPr>
          <w:rFonts w:ascii="Cambria" w:eastAsia="Times New Roman" w:hAnsi="Cambria"/>
          <w:bCs/>
          <w:sz w:val="20"/>
          <w:szCs w:val="20"/>
          <w:bdr w:val="none" w:sz="0" w:space="0" w:color="auto"/>
          <w:lang w:val="es-ES"/>
        </w:rPr>
        <w:t xml:space="preserve"> </w:t>
      </w:r>
      <w:r w:rsidR="001B707D" w:rsidRPr="00A16D62">
        <w:rPr>
          <w:rFonts w:ascii="Cambria" w:eastAsia="Times New Roman" w:hAnsi="Cambria"/>
          <w:bCs/>
          <w:sz w:val="20"/>
          <w:szCs w:val="20"/>
          <w:bdr w:val="none" w:sz="0" w:space="0" w:color="auto"/>
          <w:lang w:val="es-ES"/>
        </w:rPr>
        <w:t xml:space="preserve">por el </w:t>
      </w:r>
      <w:r w:rsidR="007F4530" w:rsidRPr="00A16D62">
        <w:rPr>
          <w:rFonts w:ascii="Cambria" w:eastAsia="Times New Roman" w:hAnsi="Cambria"/>
          <w:bCs/>
          <w:sz w:val="20"/>
          <w:szCs w:val="20"/>
          <w:bdr w:val="none" w:sz="0" w:space="0" w:color="auto"/>
          <w:lang w:val="es-ES"/>
        </w:rPr>
        <w:t>empleador</w:t>
      </w:r>
      <w:r w:rsidR="001B707D" w:rsidRPr="00A16D62">
        <w:rPr>
          <w:rFonts w:ascii="Cambria" w:eastAsia="Times New Roman" w:hAnsi="Cambria"/>
          <w:bCs/>
          <w:sz w:val="20"/>
          <w:szCs w:val="20"/>
          <w:bdr w:val="none" w:sz="0" w:space="0" w:color="auto"/>
          <w:lang w:val="es-ES"/>
        </w:rPr>
        <w:t>,</w:t>
      </w:r>
      <w:r w:rsidR="002953E1" w:rsidRPr="00A16D62">
        <w:rPr>
          <w:rFonts w:ascii="Cambria" w:eastAsia="Times New Roman" w:hAnsi="Cambria"/>
          <w:bCs/>
          <w:sz w:val="20"/>
          <w:szCs w:val="20"/>
          <w:bdr w:val="none" w:sz="0" w:space="0" w:color="auto"/>
          <w:lang w:val="es-ES"/>
        </w:rPr>
        <w:t xml:space="preserve"> Hoffman Plastic Compounds</w:t>
      </w:r>
      <w:r w:rsidR="001B707D" w:rsidRPr="00A16D62">
        <w:rPr>
          <w:rFonts w:ascii="Cambria" w:eastAsia="Times New Roman" w:hAnsi="Cambria"/>
          <w:bCs/>
          <w:sz w:val="20"/>
          <w:szCs w:val="20"/>
          <w:bdr w:val="none" w:sz="0" w:space="0" w:color="auto"/>
          <w:lang w:val="es-ES"/>
        </w:rPr>
        <w:t xml:space="preserve">, infringía la </w:t>
      </w:r>
      <w:r w:rsidR="00B92824" w:rsidRPr="00A16D62">
        <w:rPr>
          <w:rFonts w:ascii="Cambria" w:eastAsia="Times New Roman" w:hAnsi="Cambria"/>
          <w:bCs/>
          <w:sz w:val="20"/>
          <w:szCs w:val="20"/>
          <w:bdr w:val="none" w:sz="0" w:space="0" w:color="auto" w:frame="1"/>
          <w:lang w:val="es-ES"/>
        </w:rPr>
        <w:t>Ley Nacional de Relaciones Laborales</w:t>
      </w:r>
      <w:r w:rsidR="00D72419" w:rsidRPr="00A16D62">
        <w:rPr>
          <w:rFonts w:ascii="Cambria" w:eastAsia="Times New Roman" w:hAnsi="Cambria"/>
          <w:bCs/>
          <w:sz w:val="20"/>
          <w:szCs w:val="20"/>
          <w:bdr w:val="none" w:sz="0" w:space="0" w:color="auto"/>
          <w:lang w:val="es-ES"/>
        </w:rPr>
        <w:t xml:space="preserve"> </w:t>
      </w:r>
      <w:r w:rsidR="001B707D" w:rsidRPr="00A16D62">
        <w:rPr>
          <w:rFonts w:ascii="Cambria" w:eastAsia="Times New Roman" w:hAnsi="Cambria"/>
          <w:bCs/>
          <w:sz w:val="20"/>
          <w:szCs w:val="20"/>
          <w:bdr w:val="none" w:sz="0" w:space="0" w:color="auto"/>
          <w:lang w:val="es-ES"/>
        </w:rPr>
        <w:t xml:space="preserve">y ordenó el pago de </w:t>
      </w:r>
      <w:r w:rsidR="00E5771D" w:rsidRPr="00A16D62">
        <w:rPr>
          <w:rFonts w:ascii="Cambria" w:eastAsia="Times New Roman" w:hAnsi="Cambria"/>
          <w:bCs/>
          <w:sz w:val="20"/>
          <w:szCs w:val="20"/>
          <w:bdr w:val="none" w:sz="0" w:space="0" w:color="auto"/>
          <w:lang w:val="es-ES"/>
        </w:rPr>
        <w:t>salarios caídos</w:t>
      </w:r>
      <w:r w:rsidR="00D72419" w:rsidRPr="00A16D62">
        <w:rPr>
          <w:rFonts w:ascii="Cambria" w:eastAsia="Times New Roman" w:hAnsi="Cambria"/>
          <w:bCs/>
          <w:sz w:val="20"/>
          <w:szCs w:val="20"/>
          <w:bdr w:val="none" w:sz="0" w:space="0" w:color="auto"/>
          <w:lang w:val="es-ES"/>
        </w:rPr>
        <w:t xml:space="preserve"> </w:t>
      </w:r>
      <w:r w:rsidR="001B707D" w:rsidRPr="00A16D62">
        <w:rPr>
          <w:rFonts w:ascii="Cambria" w:eastAsia="Times New Roman" w:hAnsi="Cambria"/>
          <w:bCs/>
          <w:sz w:val="20"/>
          <w:szCs w:val="20"/>
          <w:bdr w:val="none" w:sz="0" w:space="0" w:color="auto"/>
          <w:lang w:val="es-ES"/>
        </w:rPr>
        <w:t>y otros desagravios</w:t>
      </w:r>
      <w:r w:rsidR="00741DE8" w:rsidRPr="00A16D62">
        <w:rPr>
          <w:rStyle w:val="FootnoteReference"/>
          <w:rFonts w:ascii="Cambria" w:eastAsia="Times New Roman" w:hAnsi="Cambria"/>
          <w:bCs/>
          <w:sz w:val="20"/>
          <w:szCs w:val="20"/>
          <w:bdr w:val="none" w:sz="0" w:space="0" w:color="auto"/>
          <w:lang w:val="es-ES"/>
        </w:rPr>
        <w:footnoteReference w:id="40"/>
      </w:r>
      <w:r w:rsidR="001B707D" w:rsidRPr="00A16D62">
        <w:rPr>
          <w:rFonts w:ascii="Cambria" w:eastAsia="Times New Roman" w:hAnsi="Cambria"/>
          <w:bCs/>
          <w:sz w:val="20"/>
          <w:szCs w:val="20"/>
          <w:bdr w:val="none" w:sz="0" w:space="0" w:color="auto"/>
          <w:lang w:val="es-ES"/>
        </w:rPr>
        <w:t>.</w:t>
      </w:r>
      <w:r w:rsidR="00D72419" w:rsidRPr="00A16D62">
        <w:rPr>
          <w:rFonts w:ascii="Cambria" w:eastAsia="Times New Roman" w:hAnsi="Cambria"/>
          <w:bCs/>
          <w:sz w:val="20"/>
          <w:szCs w:val="20"/>
          <w:bdr w:val="none" w:sz="0" w:space="0" w:color="auto"/>
          <w:lang w:val="es-ES"/>
        </w:rPr>
        <w:t xml:space="preserve"> </w:t>
      </w:r>
      <w:r w:rsidR="005402E3" w:rsidRPr="00A16D62">
        <w:rPr>
          <w:rFonts w:ascii="Cambria" w:eastAsia="Times New Roman" w:hAnsi="Cambria"/>
          <w:bCs/>
          <w:sz w:val="20"/>
          <w:szCs w:val="20"/>
          <w:bdr w:val="none" w:sz="0" w:space="0" w:color="auto"/>
          <w:lang w:val="es-ES"/>
        </w:rPr>
        <w:t>Posteriormente, e</w:t>
      </w:r>
      <w:r w:rsidR="00F82006" w:rsidRPr="00A16D62">
        <w:rPr>
          <w:rFonts w:ascii="Cambria" w:eastAsia="Times New Roman" w:hAnsi="Cambria"/>
          <w:bCs/>
          <w:sz w:val="20"/>
          <w:szCs w:val="20"/>
          <w:bdr w:val="none" w:sz="0" w:space="0" w:color="auto"/>
          <w:lang w:val="es-ES"/>
        </w:rPr>
        <w:t xml:space="preserve">n una audiencia </w:t>
      </w:r>
      <w:r w:rsidR="005402E3" w:rsidRPr="00A16D62">
        <w:rPr>
          <w:rFonts w:ascii="Cambria" w:eastAsia="Times New Roman" w:hAnsi="Cambria"/>
          <w:bCs/>
          <w:sz w:val="20"/>
          <w:szCs w:val="20"/>
          <w:bdr w:val="none" w:sz="0" w:space="0" w:color="auto"/>
          <w:lang w:val="es-ES"/>
        </w:rPr>
        <w:t xml:space="preserve">de </w:t>
      </w:r>
      <w:r w:rsidR="005402E3" w:rsidRPr="00A16D62">
        <w:rPr>
          <w:rFonts w:ascii="Cambria" w:eastAsia="Times New Roman" w:hAnsi="Cambria"/>
          <w:bCs/>
          <w:sz w:val="20"/>
          <w:szCs w:val="20"/>
          <w:bdr w:val="none" w:sz="0" w:space="0" w:color="auto"/>
          <w:lang w:val="es-ES"/>
        </w:rPr>
        <w:lastRenderedPageBreak/>
        <w:t xml:space="preserve">cumplimiento, </w:t>
      </w:r>
      <w:r w:rsidR="007F4530" w:rsidRPr="00A16D62">
        <w:rPr>
          <w:rFonts w:ascii="Cambria" w:eastAsia="Times New Roman" w:hAnsi="Cambria"/>
          <w:bCs/>
          <w:sz w:val="20"/>
          <w:szCs w:val="20"/>
          <w:bdr w:val="none" w:sz="0" w:space="0" w:color="auto"/>
          <w:lang w:val="es-ES"/>
        </w:rPr>
        <w:t>el señor</w:t>
      </w:r>
      <w:r w:rsidR="00741DE8" w:rsidRPr="00A16D62">
        <w:rPr>
          <w:rFonts w:ascii="Cambria" w:eastAsia="Times New Roman" w:hAnsi="Cambria"/>
          <w:bCs/>
          <w:sz w:val="20"/>
          <w:szCs w:val="20"/>
          <w:bdr w:val="none" w:sz="0" w:space="0" w:color="auto"/>
          <w:lang w:val="es-ES"/>
        </w:rPr>
        <w:t xml:space="preserve"> Castro </w:t>
      </w:r>
      <w:r w:rsidR="005402E3" w:rsidRPr="00A16D62">
        <w:rPr>
          <w:rFonts w:ascii="Cambria" w:eastAsia="Times New Roman" w:hAnsi="Cambria"/>
          <w:bCs/>
          <w:sz w:val="20"/>
          <w:szCs w:val="20"/>
          <w:bdr w:val="none" w:sz="0" w:space="0" w:color="auto"/>
          <w:lang w:val="es-ES"/>
        </w:rPr>
        <w:t xml:space="preserve">declaró que no había ingresado legalmente ni estaba autorizado a trabajar en </w:t>
      </w:r>
      <w:r w:rsidR="007E4498" w:rsidRPr="00A16D62">
        <w:rPr>
          <w:rFonts w:ascii="Cambria" w:eastAsia="Times New Roman" w:hAnsi="Cambria"/>
          <w:bCs/>
          <w:sz w:val="20"/>
          <w:szCs w:val="20"/>
          <w:bdr w:val="none" w:sz="0" w:space="0" w:color="auto"/>
          <w:lang w:val="es-ES"/>
        </w:rPr>
        <w:t>Estados Unidos</w:t>
      </w:r>
      <w:r w:rsidR="005402E3" w:rsidRPr="00A16D62">
        <w:rPr>
          <w:rFonts w:ascii="Cambria" w:eastAsia="Times New Roman" w:hAnsi="Cambria"/>
          <w:bCs/>
          <w:sz w:val="20"/>
          <w:szCs w:val="20"/>
          <w:bdr w:val="none" w:sz="0" w:space="0" w:color="auto"/>
          <w:lang w:val="es-ES"/>
        </w:rPr>
        <w:t>. Sobre esa base</w:t>
      </w:r>
      <w:r w:rsidR="00741DE8" w:rsidRPr="00A16D62">
        <w:rPr>
          <w:rFonts w:ascii="Cambria" w:eastAsia="Times New Roman" w:hAnsi="Cambria"/>
          <w:bCs/>
          <w:sz w:val="20"/>
          <w:szCs w:val="20"/>
          <w:bdr w:val="none" w:sz="0" w:space="0" w:color="auto"/>
          <w:lang w:val="es-ES"/>
        </w:rPr>
        <w:t xml:space="preserve">, </w:t>
      </w:r>
      <w:r w:rsidR="005402E3" w:rsidRPr="00A16D62">
        <w:rPr>
          <w:rFonts w:ascii="Cambria" w:eastAsia="Times New Roman" w:hAnsi="Cambria"/>
          <w:bCs/>
          <w:sz w:val="20"/>
          <w:szCs w:val="20"/>
          <w:bdr w:val="none" w:sz="0" w:space="0" w:color="auto"/>
          <w:lang w:val="es-ES"/>
        </w:rPr>
        <w:t xml:space="preserve">el juez de lo contencioso-administrativo ante </w:t>
      </w:r>
      <w:r w:rsidR="001A7B25" w:rsidRPr="00A16D62">
        <w:rPr>
          <w:rFonts w:ascii="Cambria" w:eastAsia="Times New Roman" w:hAnsi="Cambria"/>
          <w:bCs/>
          <w:sz w:val="20"/>
          <w:szCs w:val="20"/>
          <w:bdr w:val="none" w:sz="0" w:space="0" w:color="auto"/>
          <w:lang w:val="es-ES"/>
        </w:rPr>
        <w:t>quien t</w:t>
      </w:r>
      <w:r w:rsidR="005402E3" w:rsidRPr="00A16D62">
        <w:rPr>
          <w:rFonts w:ascii="Cambria" w:eastAsia="Times New Roman" w:hAnsi="Cambria"/>
          <w:bCs/>
          <w:sz w:val="20"/>
          <w:szCs w:val="20"/>
          <w:bdr w:val="none" w:sz="0" w:space="0" w:color="auto"/>
          <w:lang w:val="es-ES"/>
        </w:rPr>
        <w:t>ramitaba el caso determinó que la Junta no podía ordenar el pago de</w:t>
      </w:r>
      <w:r w:rsidR="00741DE8" w:rsidRPr="00A16D62">
        <w:rPr>
          <w:rFonts w:ascii="Cambria" w:eastAsia="Times New Roman" w:hAnsi="Cambria"/>
          <w:bCs/>
          <w:sz w:val="20"/>
          <w:szCs w:val="20"/>
          <w:bdr w:val="none" w:sz="0" w:space="0" w:color="auto"/>
          <w:lang w:val="es-ES"/>
        </w:rPr>
        <w:t xml:space="preserve"> </w:t>
      </w:r>
      <w:r w:rsidR="00E5771D" w:rsidRPr="00A16D62">
        <w:rPr>
          <w:rFonts w:ascii="Cambria" w:eastAsia="Times New Roman" w:hAnsi="Cambria"/>
          <w:bCs/>
          <w:sz w:val="20"/>
          <w:szCs w:val="20"/>
          <w:bdr w:val="none" w:sz="0" w:space="0" w:color="auto"/>
          <w:lang w:val="es-ES"/>
        </w:rPr>
        <w:t>salarios caídos</w:t>
      </w:r>
      <w:r w:rsidR="00741DE8" w:rsidRPr="00A16D62">
        <w:rPr>
          <w:rFonts w:ascii="Cambria" w:eastAsia="Times New Roman" w:hAnsi="Cambria"/>
          <w:bCs/>
          <w:sz w:val="20"/>
          <w:szCs w:val="20"/>
          <w:bdr w:val="none" w:sz="0" w:space="0" w:color="auto"/>
          <w:lang w:val="es-ES"/>
        </w:rPr>
        <w:t xml:space="preserve"> </w:t>
      </w:r>
      <w:r w:rsidR="005402E3" w:rsidRPr="00A16D62">
        <w:rPr>
          <w:rFonts w:ascii="Cambria" w:eastAsia="Times New Roman" w:hAnsi="Cambria"/>
          <w:bCs/>
          <w:sz w:val="20"/>
          <w:szCs w:val="20"/>
          <w:bdr w:val="none" w:sz="0" w:space="0" w:color="auto"/>
          <w:lang w:val="es-ES"/>
        </w:rPr>
        <w:t>como reparación para</w:t>
      </w:r>
      <w:r w:rsidR="00741DE8"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el señor</w:t>
      </w:r>
      <w:r w:rsidR="00741DE8" w:rsidRPr="00A16D62">
        <w:rPr>
          <w:rFonts w:ascii="Cambria" w:eastAsia="Times New Roman" w:hAnsi="Cambria"/>
          <w:bCs/>
          <w:sz w:val="20"/>
          <w:szCs w:val="20"/>
          <w:bdr w:val="none" w:sz="0" w:space="0" w:color="auto"/>
          <w:lang w:val="es-ES"/>
        </w:rPr>
        <w:t xml:space="preserve"> Castro</w:t>
      </w:r>
      <w:r w:rsidR="00741DE8" w:rsidRPr="00A16D62">
        <w:rPr>
          <w:rStyle w:val="FootnoteReference"/>
          <w:rFonts w:ascii="Cambria" w:eastAsia="Times New Roman" w:hAnsi="Cambria"/>
          <w:bCs/>
          <w:sz w:val="20"/>
          <w:szCs w:val="20"/>
          <w:bdr w:val="none" w:sz="0" w:space="0" w:color="auto"/>
          <w:lang w:val="es-ES"/>
        </w:rPr>
        <w:footnoteReference w:id="41"/>
      </w:r>
      <w:r w:rsidR="005402E3" w:rsidRPr="00A16D62">
        <w:rPr>
          <w:rFonts w:ascii="Cambria" w:eastAsia="Times New Roman" w:hAnsi="Cambria"/>
          <w:bCs/>
          <w:sz w:val="20"/>
          <w:szCs w:val="20"/>
          <w:bdr w:val="none" w:sz="0" w:space="0" w:color="auto"/>
          <w:lang w:val="es-ES"/>
        </w:rPr>
        <w:t>.</w:t>
      </w:r>
      <w:r w:rsidR="00741DE8" w:rsidRPr="00A16D62">
        <w:rPr>
          <w:rFonts w:ascii="Cambria" w:eastAsia="Times New Roman" w:hAnsi="Cambria"/>
          <w:bCs/>
          <w:sz w:val="20"/>
          <w:szCs w:val="20"/>
          <w:bdr w:val="none" w:sz="0" w:space="0" w:color="auto"/>
          <w:lang w:val="es-ES"/>
        </w:rPr>
        <w:t xml:space="preserve"> </w:t>
      </w:r>
    </w:p>
    <w:p w:rsidR="00741DE8" w:rsidRPr="00A16D62" w:rsidRDefault="00741DE8" w:rsidP="00741DE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741DE8" w:rsidRPr="00A16D62" w:rsidRDefault="009D2764"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En septiembre de </w:t>
      </w:r>
      <w:r w:rsidR="00741DE8" w:rsidRPr="00A16D62">
        <w:rPr>
          <w:rFonts w:ascii="Cambria" w:eastAsia="Times New Roman" w:hAnsi="Cambria"/>
          <w:bCs/>
          <w:sz w:val="20"/>
          <w:szCs w:val="20"/>
          <w:bdr w:val="none" w:sz="0" w:space="0" w:color="auto"/>
          <w:lang w:val="es-ES"/>
        </w:rPr>
        <w:t xml:space="preserve">1998, </w:t>
      </w:r>
      <w:r w:rsidRPr="00A16D62">
        <w:rPr>
          <w:rFonts w:ascii="Cambria" w:eastAsia="Times New Roman" w:hAnsi="Cambria"/>
          <w:bCs/>
          <w:sz w:val="20"/>
          <w:szCs w:val="20"/>
          <w:bdr w:val="none" w:sz="0" w:space="0" w:color="auto"/>
          <w:lang w:val="es-ES"/>
        </w:rPr>
        <w:t xml:space="preserve">la </w:t>
      </w:r>
      <w:r w:rsidR="00B92824" w:rsidRPr="00A16D62">
        <w:rPr>
          <w:rFonts w:ascii="Cambria" w:eastAsia="Times New Roman" w:hAnsi="Cambria"/>
          <w:bCs/>
          <w:sz w:val="20"/>
          <w:szCs w:val="20"/>
          <w:bdr w:val="none" w:sz="0" w:space="0" w:color="auto" w:frame="1"/>
          <w:lang w:val="es-ES"/>
        </w:rPr>
        <w:t>Junta Nacional de Relaciones Laborales</w:t>
      </w:r>
      <w:r w:rsidR="00741DE8" w:rsidRPr="00A16D62">
        <w:rPr>
          <w:rFonts w:ascii="Cambria" w:eastAsia="Times New Roman" w:hAnsi="Cambria"/>
          <w:bCs/>
          <w:sz w:val="20"/>
          <w:szCs w:val="20"/>
          <w:bdr w:val="none" w:sz="0" w:space="0" w:color="auto"/>
          <w:lang w:val="es-ES"/>
        </w:rPr>
        <w:t xml:space="preserve"> </w:t>
      </w:r>
      <w:r w:rsidR="001A7B25" w:rsidRPr="00A16D62">
        <w:rPr>
          <w:rFonts w:ascii="Cambria" w:eastAsia="Times New Roman" w:hAnsi="Cambria"/>
          <w:bCs/>
          <w:sz w:val="20"/>
          <w:szCs w:val="20"/>
          <w:bdr w:val="none" w:sz="0" w:space="0" w:color="auto"/>
          <w:lang w:val="es-ES"/>
        </w:rPr>
        <w:t>revocó la decisión del juez de lo contencioso-administrativo con respecto a los</w:t>
      </w:r>
      <w:r w:rsidR="00741DE8" w:rsidRPr="00A16D62">
        <w:rPr>
          <w:rFonts w:ascii="Cambria" w:eastAsia="Times New Roman" w:hAnsi="Cambria"/>
          <w:bCs/>
          <w:sz w:val="20"/>
          <w:szCs w:val="20"/>
          <w:bdr w:val="none" w:sz="0" w:space="0" w:color="auto"/>
          <w:lang w:val="es-ES"/>
        </w:rPr>
        <w:t xml:space="preserve"> </w:t>
      </w:r>
      <w:r w:rsidR="00E5771D" w:rsidRPr="00A16D62">
        <w:rPr>
          <w:rFonts w:ascii="Cambria" w:eastAsia="Times New Roman" w:hAnsi="Cambria"/>
          <w:bCs/>
          <w:sz w:val="20"/>
          <w:szCs w:val="20"/>
          <w:bdr w:val="none" w:sz="0" w:space="0" w:color="auto"/>
          <w:lang w:val="es-ES"/>
        </w:rPr>
        <w:t>salarios caídos</w:t>
      </w:r>
      <w:r w:rsidR="00741DE8" w:rsidRPr="00A16D62">
        <w:rPr>
          <w:rStyle w:val="FootnoteReference"/>
          <w:rFonts w:ascii="Cambria" w:eastAsia="Times New Roman" w:hAnsi="Cambria"/>
          <w:bCs/>
          <w:sz w:val="20"/>
          <w:szCs w:val="20"/>
          <w:bdr w:val="none" w:sz="0" w:space="0" w:color="auto"/>
          <w:lang w:val="es-ES"/>
        </w:rPr>
        <w:footnoteReference w:id="42"/>
      </w:r>
      <w:r w:rsidR="001A7B25" w:rsidRPr="00A16D62">
        <w:rPr>
          <w:rFonts w:ascii="Cambria" w:eastAsia="Times New Roman" w:hAnsi="Cambria"/>
          <w:bCs/>
          <w:sz w:val="20"/>
          <w:szCs w:val="20"/>
          <w:bdr w:val="none" w:sz="0" w:space="0" w:color="auto"/>
          <w:lang w:val="es-ES"/>
        </w:rPr>
        <w:t xml:space="preserve">. La Junta afirmó que </w:t>
      </w:r>
      <w:r w:rsidR="00741DE8" w:rsidRPr="00A16D62">
        <w:rPr>
          <w:rFonts w:ascii="Cambria" w:eastAsia="Times New Roman" w:hAnsi="Cambria"/>
          <w:bCs/>
          <w:sz w:val="20"/>
          <w:szCs w:val="20"/>
          <w:bdr w:val="none" w:sz="0" w:space="0" w:color="auto"/>
          <w:lang w:val="es-ES"/>
        </w:rPr>
        <w:t>“</w:t>
      </w:r>
      <w:r w:rsidR="001A7B25" w:rsidRPr="00A16D62">
        <w:rPr>
          <w:rFonts w:ascii="Cambria" w:eastAsia="Times New Roman" w:hAnsi="Cambria"/>
          <w:bCs/>
          <w:sz w:val="20"/>
          <w:szCs w:val="20"/>
          <w:bdr w:val="none" w:sz="0" w:space="0" w:color="auto"/>
          <w:lang w:val="es-ES"/>
        </w:rPr>
        <w:t xml:space="preserve">la forma más efectiva de aplicar y promover las políticas en materia de inmigraciones plasmadas en la </w:t>
      </w:r>
      <w:r w:rsidR="00A30BE7" w:rsidRPr="00A16D62">
        <w:rPr>
          <w:rFonts w:ascii="Cambria" w:eastAsia="Times New Roman" w:hAnsi="Cambria"/>
          <w:bCs/>
          <w:sz w:val="20"/>
          <w:szCs w:val="20"/>
          <w:bdr w:val="none" w:sz="0" w:space="0" w:color="auto"/>
          <w:lang w:val="es-ES"/>
        </w:rPr>
        <w:t>Ley de Reforma y Control de la Inmigración</w:t>
      </w:r>
      <w:r w:rsidR="00E725CB" w:rsidRPr="00A16D62">
        <w:rPr>
          <w:rFonts w:ascii="Cambria" w:eastAsia="Times New Roman" w:hAnsi="Cambria"/>
          <w:bCs/>
          <w:sz w:val="20"/>
          <w:szCs w:val="20"/>
          <w:bdr w:val="none" w:sz="0" w:space="0" w:color="auto"/>
          <w:lang w:val="es-ES"/>
        </w:rPr>
        <w:t xml:space="preserve"> </w:t>
      </w:r>
      <w:r w:rsidR="00EC68E3">
        <w:rPr>
          <w:rFonts w:ascii="Cambria" w:eastAsia="Times New Roman" w:hAnsi="Cambria"/>
          <w:bCs/>
          <w:sz w:val="20"/>
          <w:szCs w:val="20"/>
          <w:bdr w:val="none" w:sz="0" w:space="0" w:color="auto"/>
          <w:lang w:val="es-ES"/>
        </w:rPr>
        <w:t>de</w:t>
      </w:r>
      <w:r w:rsidR="00E725CB" w:rsidRPr="00A16D62">
        <w:rPr>
          <w:rFonts w:ascii="Cambria" w:eastAsia="Times New Roman" w:hAnsi="Cambria"/>
          <w:bCs/>
          <w:sz w:val="20"/>
          <w:szCs w:val="20"/>
          <w:bdr w:val="none" w:sz="0" w:space="0" w:color="auto"/>
          <w:lang w:val="es-ES"/>
        </w:rPr>
        <w:t xml:space="preserve"> 1986</w:t>
      </w:r>
      <w:r w:rsidR="0057452C" w:rsidRPr="00A16D62">
        <w:rPr>
          <w:rStyle w:val="FootnoteReference"/>
          <w:rFonts w:ascii="Cambria" w:eastAsia="Times New Roman" w:hAnsi="Cambria"/>
          <w:bCs/>
          <w:sz w:val="20"/>
          <w:szCs w:val="20"/>
          <w:bdr w:val="none" w:sz="0" w:space="0" w:color="auto"/>
          <w:lang w:val="es-ES"/>
        </w:rPr>
        <w:footnoteReference w:id="43"/>
      </w:r>
      <w:r w:rsidR="00E725CB" w:rsidRPr="00A16D62">
        <w:rPr>
          <w:rFonts w:ascii="Cambria" w:eastAsia="Times New Roman" w:hAnsi="Cambria"/>
          <w:bCs/>
          <w:sz w:val="20"/>
          <w:szCs w:val="20"/>
          <w:bdr w:val="none" w:sz="0" w:space="0" w:color="auto"/>
          <w:lang w:val="es-ES"/>
        </w:rPr>
        <w:t xml:space="preserve"> </w:t>
      </w:r>
      <w:r w:rsidR="001A7B25" w:rsidRPr="00A16D62">
        <w:rPr>
          <w:rFonts w:ascii="Cambria" w:eastAsia="Times New Roman" w:hAnsi="Cambria"/>
          <w:bCs/>
          <w:sz w:val="20"/>
          <w:szCs w:val="20"/>
          <w:bdr w:val="none" w:sz="0" w:space="0" w:color="auto"/>
          <w:lang w:val="es-ES"/>
        </w:rPr>
        <w:t>es otorgar las protecciones y los recursos previstos en la</w:t>
      </w:r>
      <w:r w:rsidR="00E725CB" w:rsidRPr="00A16D62">
        <w:rPr>
          <w:rFonts w:ascii="Cambria" w:eastAsia="Times New Roman" w:hAnsi="Cambria"/>
          <w:bCs/>
          <w:sz w:val="20"/>
          <w:szCs w:val="20"/>
          <w:bdr w:val="none" w:sz="0" w:space="0" w:color="auto"/>
          <w:lang w:val="es-ES"/>
        </w:rPr>
        <w:t xml:space="preserve"> </w:t>
      </w:r>
      <w:r w:rsidR="00B92824" w:rsidRPr="00A16D62">
        <w:rPr>
          <w:rFonts w:ascii="Cambria" w:eastAsia="Times New Roman" w:hAnsi="Cambria"/>
          <w:bCs/>
          <w:sz w:val="20"/>
          <w:szCs w:val="20"/>
          <w:bdr w:val="none" w:sz="0" w:space="0" w:color="auto" w:frame="1"/>
          <w:lang w:val="es-ES"/>
        </w:rPr>
        <w:t>Ley Nacional de Relaciones Laborales</w:t>
      </w:r>
      <w:r w:rsidR="00E725CB" w:rsidRPr="00A16D62">
        <w:rPr>
          <w:rFonts w:ascii="Cambria" w:eastAsia="Times New Roman" w:hAnsi="Cambria"/>
          <w:bCs/>
          <w:sz w:val="20"/>
          <w:szCs w:val="20"/>
          <w:bdr w:val="none" w:sz="0" w:space="0" w:color="auto"/>
          <w:lang w:val="es-ES"/>
        </w:rPr>
        <w:t xml:space="preserve"> </w:t>
      </w:r>
      <w:r w:rsidR="001A7B25" w:rsidRPr="00A16D62">
        <w:rPr>
          <w:rFonts w:ascii="Cambria" w:eastAsia="Times New Roman" w:hAnsi="Cambria"/>
          <w:bCs/>
          <w:sz w:val="20"/>
          <w:szCs w:val="20"/>
          <w:bdr w:val="none" w:sz="0" w:space="0" w:color="auto"/>
          <w:lang w:val="es-ES"/>
        </w:rPr>
        <w:t>a los</w:t>
      </w:r>
      <w:r w:rsidR="00E725CB"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E725CB" w:rsidRPr="00A16D62">
        <w:rPr>
          <w:rFonts w:ascii="Cambria" w:eastAsia="Times New Roman" w:hAnsi="Cambria"/>
          <w:bCs/>
          <w:sz w:val="20"/>
          <w:szCs w:val="20"/>
          <w:bdr w:val="none" w:sz="0" w:space="0" w:color="auto"/>
          <w:lang w:val="es-ES"/>
        </w:rPr>
        <w:t xml:space="preserve"> </w:t>
      </w:r>
      <w:r w:rsidR="001A7B25" w:rsidRPr="00A16D62">
        <w:rPr>
          <w:rFonts w:ascii="Cambria" w:eastAsia="Times New Roman" w:hAnsi="Cambria"/>
          <w:bCs/>
          <w:sz w:val="20"/>
          <w:szCs w:val="20"/>
          <w:bdr w:val="none" w:sz="0" w:space="0" w:color="auto"/>
          <w:lang w:val="es-ES"/>
        </w:rPr>
        <w:t>de la misma manera que a otros</w:t>
      </w:r>
      <w:r w:rsidR="00E725CB"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empleados</w:t>
      </w:r>
      <w:r w:rsidR="00E725CB" w:rsidRPr="00A16D62">
        <w:rPr>
          <w:rFonts w:ascii="Cambria" w:eastAsia="Times New Roman" w:hAnsi="Cambria"/>
          <w:bCs/>
          <w:sz w:val="20"/>
          <w:szCs w:val="20"/>
          <w:bdr w:val="none" w:sz="0" w:space="0" w:color="auto"/>
          <w:lang w:val="es-ES"/>
        </w:rPr>
        <w:t>”</w:t>
      </w:r>
      <w:r w:rsidR="00E725CB" w:rsidRPr="00A16D62">
        <w:rPr>
          <w:rStyle w:val="FootnoteReference"/>
          <w:rFonts w:ascii="Cambria" w:eastAsia="Times New Roman" w:hAnsi="Cambria"/>
          <w:bCs/>
          <w:sz w:val="20"/>
          <w:szCs w:val="20"/>
          <w:bdr w:val="none" w:sz="0" w:space="0" w:color="auto"/>
          <w:lang w:val="es-ES"/>
        </w:rPr>
        <w:footnoteReference w:id="44"/>
      </w:r>
      <w:r w:rsidR="001A7B25" w:rsidRPr="00A16D62">
        <w:rPr>
          <w:rFonts w:ascii="Cambria" w:eastAsia="Times New Roman" w:hAnsi="Cambria"/>
          <w:bCs/>
          <w:sz w:val="20"/>
          <w:szCs w:val="20"/>
          <w:bdr w:val="none" w:sz="0" w:space="0" w:color="auto"/>
          <w:lang w:val="es-ES"/>
        </w:rPr>
        <w:t xml:space="preserve">. La </w:t>
      </w:r>
      <w:r w:rsidR="00B92824" w:rsidRPr="00A16D62">
        <w:rPr>
          <w:rFonts w:ascii="Cambria" w:eastAsia="Times New Roman" w:hAnsi="Cambria"/>
          <w:bCs/>
          <w:sz w:val="20"/>
          <w:szCs w:val="20"/>
          <w:bdr w:val="none" w:sz="0" w:space="0" w:color="auto" w:frame="1"/>
          <w:lang w:val="es-ES"/>
        </w:rPr>
        <w:t xml:space="preserve">Junta </w:t>
      </w:r>
      <w:r w:rsidR="00E725CB" w:rsidRPr="00A16D62">
        <w:rPr>
          <w:rFonts w:ascii="Cambria" w:eastAsia="Times New Roman" w:hAnsi="Cambria"/>
          <w:bCs/>
          <w:sz w:val="20"/>
          <w:szCs w:val="20"/>
          <w:bdr w:val="none" w:sz="0" w:space="0" w:color="auto"/>
          <w:lang w:val="es-ES"/>
        </w:rPr>
        <w:t>determin</w:t>
      </w:r>
      <w:r w:rsidR="001A7B25" w:rsidRPr="00A16D62">
        <w:rPr>
          <w:rFonts w:ascii="Cambria" w:eastAsia="Times New Roman" w:hAnsi="Cambria"/>
          <w:bCs/>
          <w:sz w:val="20"/>
          <w:szCs w:val="20"/>
          <w:bdr w:val="none" w:sz="0" w:space="0" w:color="auto"/>
          <w:lang w:val="es-ES"/>
        </w:rPr>
        <w:t xml:space="preserve">ó que </w:t>
      </w:r>
      <w:r w:rsidR="007F4530" w:rsidRPr="00A16D62">
        <w:rPr>
          <w:rFonts w:ascii="Cambria" w:eastAsia="Times New Roman" w:hAnsi="Cambria"/>
          <w:bCs/>
          <w:sz w:val="20"/>
          <w:szCs w:val="20"/>
          <w:bdr w:val="none" w:sz="0" w:space="0" w:color="auto"/>
          <w:lang w:val="es-ES"/>
        </w:rPr>
        <w:t>el señor</w:t>
      </w:r>
      <w:r w:rsidR="00E725CB" w:rsidRPr="00A16D62">
        <w:rPr>
          <w:rFonts w:ascii="Cambria" w:eastAsia="Times New Roman" w:hAnsi="Cambria"/>
          <w:bCs/>
          <w:sz w:val="20"/>
          <w:szCs w:val="20"/>
          <w:bdr w:val="none" w:sz="0" w:space="0" w:color="auto"/>
          <w:lang w:val="es-ES"/>
        </w:rPr>
        <w:t xml:space="preserve"> Castro </w:t>
      </w:r>
      <w:r w:rsidR="001A7B25" w:rsidRPr="00A16D62">
        <w:rPr>
          <w:rFonts w:ascii="Cambria" w:eastAsia="Times New Roman" w:hAnsi="Cambria"/>
          <w:bCs/>
          <w:sz w:val="20"/>
          <w:szCs w:val="20"/>
          <w:bdr w:val="none" w:sz="0" w:space="0" w:color="auto"/>
          <w:lang w:val="es-ES"/>
        </w:rPr>
        <w:t xml:space="preserve">tenía derecho a percibir </w:t>
      </w:r>
      <w:r w:rsidR="00E5771D" w:rsidRPr="00A16D62">
        <w:rPr>
          <w:rFonts w:ascii="Cambria" w:eastAsia="Times New Roman" w:hAnsi="Cambria"/>
          <w:bCs/>
          <w:sz w:val="20"/>
          <w:szCs w:val="20"/>
          <w:bdr w:val="none" w:sz="0" w:space="0" w:color="auto"/>
          <w:lang w:val="es-ES"/>
        </w:rPr>
        <w:t>salarios caídos</w:t>
      </w:r>
      <w:r w:rsidR="00E725CB" w:rsidRPr="00A16D62">
        <w:rPr>
          <w:rFonts w:ascii="Cambria" w:eastAsia="Times New Roman" w:hAnsi="Cambria"/>
          <w:bCs/>
          <w:sz w:val="20"/>
          <w:szCs w:val="20"/>
          <w:bdr w:val="none" w:sz="0" w:space="0" w:color="auto"/>
          <w:lang w:val="es-ES"/>
        </w:rPr>
        <w:t xml:space="preserve"> </w:t>
      </w:r>
      <w:r w:rsidR="001A7B25" w:rsidRPr="00A16D62">
        <w:rPr>
          <w:rFonts w:ascii="Cambria" w:eastAsia="Times New Roman" w:hAnsi="Cambria"/>
          <w:bCs/>
          <w:sz w:val="20"/>
          <w:szCs w:val="20"/>
          <w:bdr w:val="none" w:sz="0" w:space="0" w:color="auto"/>
          <w:lang w:val="es-ES"/>
        </w:rPr>
        <w:t xml:space="preserve">por un monto de </w:t>
      </w:r>
      <w:r w:rsidR="00E725CB" w:rsidRPr="00A16D62">
        <w:rPr>
          <w:rFonts w:ascii="Cambria" w:eastAsia="Times New Roman" w:hAnsi="Cambria"/>
          <w:bCs/>
          <w:sz w:val="20"/>
          <w:szCs w:val="20"/>
          <w:bdr w:val="none" w:sz="0" w:space="0" w:color="auto"/>
          <w:lang w:val="es-ES"/>
        </w:rPr>
        <w:t>$66</w:t>
      </w:r>
      <w:r w:rsidR="001A7B25" w:rsidRPr="00A16D62">
        <w:rPr>
          <w:rFonts w:ascii="Cambria" w:eastAsia="Times New Roman" w:hAnsi="Cambria"/>
          <w:bCs/>
          <w:sz w:val="20"/>
          <w:szCs w:val="20"/>
          <w:bdr w:val="none" w:sz="0" w:space="0" w:color="auto"/>
          <w:lang w:val="es-ES"/>
        </w:rPr>
        <w:t>.</w:t>
      </w:r>
      <w:r w:rsidR="00E725CB" w:rsidRPr="00A16D62">
        <w:rPr>
          <w:rFonts w:ascii="Cambria" w:eastAsia="Times New Roman" w:hAnsi="Cambria"/>
          <w:bCs/>
          <w:sz w:val="20"/>
          <w:szCs w:val="20"/>
          <w:bdr w:val="none" w:sz="0" w:space="0" w:color="auto"/>
          <w:lang w:val="es-ES"/>
        </w:rPr>
        <w:t xml:space="preserve">951, </w:t>
      </w:r>
      <w:r w:rsidR="001A7B25" w:rsidRPr="00A16D62">
        <w:rPr>
          <w:rFonts w:ascii="Cambria" w:eastAsia="Times New Roman" w:hAnsi="Cambria"/>
          <w:bCs/>
          <w:sz w:val="20"/>
          <w:szCs w:val="20"/>
          <w:bdr w:val="none" w:sz="0" w:space="0" w:color="auto"/>
          <w:lang w:val="es-ES"/>
        </w:rPr>
        <w:t>más intereses, calculados desde la fecha de la conclusión de la relación laboral del s</w:t>
      </w:r>
      <w:r w:rsidR="007F4530" w:rsidRPr="00A16D62">
        <w:rPr>
          <w:rFonts w:ascii="Cambria" w:eastAsia="Times New Roman" w:hAnsi="Cambria"/>
          <w:bCs/>
          <w:sz w:val="20"/>
          <w:szCs w:val="20"/>
          <w:bdr w:val="none" w:sz="0" w:space="0" w:color="auto"/>
          <w:lang w:val="es-ES"/>
        </w:rPr>
        <w:t>eñor</w:t>
      </w:r>
      <w:r w:rsidR="00E725CB" w:rsidRPr="00A16D62">
        <w:rPr>
          <w:rFonts w:ascii="Cambria" w:eastAsia="Times New Roman" w:hAnsi="Cambria"/>
          <w:bCs/>
          <w:sz w:val="20"/>
          <w:szCs w:val="20"/>
          <w:bdr w:val="none" w:sz="0" w:space="0" w:color="auto"/>
          <w:lang w:val="es-ES"/>
        </w:rPr>
        <w:t xml:space="preserve"> Castro</w:t>
      </w:r>
      <w:r w:rsidR="001A7B25" w:rsidRPr="00A16D62">
        <w:rPr>
          <w:rFonts w:ascii="Cambria" w:eastAsia="Times New Roman" w:hAnsi="Cambria"/>
          <w:bCs/>
          <w:sz w:val="20"/>
          <w:szCs w:val="20"/>
          <w:bdr w:val="none" w:sz="0" w:space="0" w:color="auto"/>
          <w:lang w:val="es-ES"/>
        </w:rPr>
        <w:t xml:space="preserve"> hasta la fecha en que </w:t>
      </w:r>
      <w:r w:rsidR="00E725CB" w:rsidRPr="00A16D62">
        <w:rPr>
          <w:rFonts w:ascii="Cambria" w:eastAsia="Times New Roman" w:hAnsi="Cambria"/>
          <w:bCs/>
          <w:sz w:val="20"/>
          <w:szCs w:val="20"/>
          <w:bdr w:val="none" w:sz="0" w:space="0" w:color="auto"/>
          <w:lang w:val="es-ES"/>
        </w:rPr>
        <w:t xml:space="preserve">Hoffman </w:t>
      </w:r>
      <w:r w:rsidR="001A7B25" w:rsidRPr="00A16D62">
        <w:rPr>
          <w:rFonts w:ascii="Cambria" w:eastAsia="Times New Roman" w:hAnsi="Cambria"/>
          <w:bCs/>
          <w:sz w:val="20"/>
          <w:szCs w:val="20"/>
          <w:bdr w:val="none" w:sz="0" w:space="0" w:color="auto"/>
          <w:lang w:val="es-ES"/>
        </w:rPr>
        <w:t xml:space="preserve">se enteró de la condición de indocumentado del señor </w:t>
      </w:r>
      <w:r w:rsidR="00E725CB" w:rsidRPr="00A16D62">
        <w:rPr>
          <w:rFonts w:ascii="Cambria" w:eastAsia="Times New Roman" w:hAnsi="Cambria"/>
          <w:bCs/>
          <w:sz w:val="20"/>
          <w:szCs w:val="20"/>
          <w:bdr w:val="none" w:sz="0" w:space="0" w:color="auto"/>
          <w:lang w:val="es-ES"/>
        </w:rPr>
        <w:t>Castro</w:t>
      </w:r>
      <w:r w:rsidR="00E725CB" w:rsidRPr="00A16D62">
        <w:rPr>
          <w:rStyle w:val="FootnoteReference"/>
          <w:rFonts w:ascii="Cambria" w:eastAsia="Times New Roman" w:hAnsi="Cambria"/>
          <w:bCs/>
          <w:sz w:val="20"/>
          <w:szCs w:val="20"/>
          <w:bdr w:val="none" w:sz="0" w:space="0" w:color="auto"/>
          <w:lang w:val="es-ES"/>
        </w:rPr>
        <w:footnoteReference w:id="45"/>
      </w:r>
      <w:r w:rsidR="001A7B25" w:rsidRPr="00A16D62">
        <w:rPr>
          <w:rFonts w:ascii="Cambria" w:eastAsia="Times New Roman" w:hAnsi="Cambria"/>
          <w:bCs/>
          <w:sz w:val="20"/>
          <w:szCs w:val="20"/>
          <w:bdr w:val="none" w:sz="0" w:space="0" w:color="auto"/>
          <w:lang w:val="es-ES"/>
        </w:rPr>
        <w:t>.</w:t>
      </w:r>
      <w:r w:rsidR="00E725CB" w:rsidRPr="00A16D62">
        <w:rPr>
          <w:rFonts w:ascii="Cambria" w:eastAsia="Times New Roman" w:hAnsi="Cambria"/>
          <w:bCs/>
          <w:sz w:val="20"/>
          <w:szCs w:val="20"/>
          <w:bdr w:val="none" w:sz="0" w:space="0" w:color="auto"/>
          <w:lang w:val="es-ES"/>
        </w:rPr>
        <w:t xml:space="preserve"> </w:t>
      </w:r>
    </w:p>
    <w:p w:rsidR="00E725CB" w:rsidRPr="00A16D62" w:rsidRDefault="00E725CB" w:rsidP="00E725CB">
      <w:pPr>
        <w:pStyle w:val="ListParagraph"/>
        <w:rPr>
          <w:rFonts w:eastAsia="Times New Roman"/>
          <w:bCs/>
          <w:sz w:val="20"/>
          <w:szCs w:val="20"/>
          <w:bdr w:val="none" w:sz="0" w:space="0" w:color="auto"/>
          <w:lang w:val="es-ES"/>
        </w:rPr>
      </w:pPr>
    </w:p>
    <w:p w:rsidR="00E725CB" w:rsidRPr="00A16D62" w:rsidRDefault="002953E1"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Hoffman</w:t>
      </w:r>
      <w:r w:rsidR="00E725CB" w:rsidRPr="00A16D62">
        <w:rPr>
          <w:rFonts w:ascii="Cambria" w:eastAsia="Times New Roman" w:hAnsi="Cambria"/>
          <w:bCs/>
          <w:sz w:val="20"/>
          <w:szCs w:val="20"/>
          <w:bdr w:val="none" w:sz="0" w:space="0" w:color="auto"/>
          <w:lang w:val="es-ES"/>
        </w:rPr>
        <w:t xml:space="preserve"> </w:t>
      </w:r>
      <w:r w:rsidR="001A7B25" w:rsidRPr="00A16D62">
        <w:rPr>
          <w:rFonts w:ascii="Cambria" w:eastAsia="Times New Roman" w:hAnsi="Cambria"/>
          <w:bCs/>
          <w:sz w:val="20"/>
          <w:szCs w:val="20"/>
          <w:bdr w:val="none" w:sz="0" w:space="0" w:color="auto"/>
          <w:lang w:val="es-ES"/>
        </w:rPr>
        <w:t xml:space="preserve">apeló ante el Tribunal de Apelaciones </w:t>
      </w:r>
      <w:r w:rsidR="00C24E42" w:rsidRPr="00A16D62">
        <w:rPr>
          <w:rFonts w:ascii="Cambria" w:eastAsia="Times New Roman" w:hAnsi="Cambria"/>
          <w:bCs/>
          <w:sz w:val="20"/>
          <w:szCs w:val="20"/>
          <w:bdr w:val="none" w:sz="0" w:space="0" w:color="auto"/>
          <w:lang w:val="es-ES"/>
        </w:rPr>
        <w:t xml:space="preserve">de Estados Unidos para el Distrito de </w:t>
      </w:r>
      <w:r w:rsidR="008A5535" w:rsidRPr="00A16D62">
        <w:rPr>
          <w:rFonts w:ascii="Cambria" w:eastAsia="Times New Roman" w:hAnsi="Cambria"/>
          <w:bCs/>
          <w:sz w:val="20"/>
          <w:szCs w:val="20"/>
          <w:bdr w:val="none" w:sz="0" w:space="0" w:color="auto"/>
          <w:lang w:val="es-ES"/>
        </w:rPr>
        <w:t>Columbia (“</w:t>
      </w:r>
      <w:r w:rsidR="00C24E42" w:rsidRPr="00A16D62">
        <w:rPr>
          <w:rFonts w:ascii="Cambria" w:eastAsia="Times New Roman" w:hAnsi="Cambria"/>
          <w:bCs/>
          <w:sz w:val="20"/>
          <w:szCs w:val="20"/>
          <w:bdr w:val="none" w:sz="0" w:space="0" w:color="auto"/>
          <w:lang w:val="es-ES"/>
        </w:rPr>
        <w:t>Tribunal de Apelaciones</w:t>
      </w:r>
      <w:r w:rsidR="008A5535" w:rsidRPr="00A16D62">
        <w:rPr>
          <w:rFonts w:ascii="Cambria" w:eastAsia="Times New Roman" w:hAnsi="Cambria"/>
          <w:bCs/>
          <w:sz w:val="20"/>
          <w:szCs w:val="20"/>
          <w:bdr w:val="none" w:sz="0" w:space="0" w:color="auto"/>
          <w:lang w:val="es-ES"/>
        </w:rPr>
        <w:t>”)</w:t>
      </w:r>
      <w:r w:rsidR="00B30FDF" w:rsidRPr="00A16D62">
        <w:rPr>
          <w:rFonts w:ascii="Cambria" w:eastAsia="Times New Roman" w:hAnsi="Cambria"/>
          <w:bCs/>
          <w:sz w:val="20"/>
          <w:szCs w:val="20"/>
          <w:bdr w:val="none" w:sz="0" w:space="0" w:color="auto"/>
          <w:lang w:val="es-ES"/>
        </w:rPr>
        <w:t xml:space="preserve">. </w:t>
      </w:r>
      <w:r w:rsidR="00C24E42" w:rsidRPr="00A16D62">
        <w:rPr>
          <w:rFonts w:ascii="Cambria" w:eastAsia="Times New Roman" w:hAnsi="Cambria"/>
          <w:bCs/>
          <w:sz w:val="20"/>
          <w:szCs w:val="20"/>
          <w:bdr w:val="none" w:sz="0" w:space="0" w:color="auto"/>
          <w:lang w:val="es-ES"/>
        </w:rPr>
        <w:t xml:space="preserve">Un </w:t>
      </w:r>
      <w:r w:rsidR="00B30FDF" w:rsidRPr="00A16D62">
        <w:rPr>
          <w:rFonts w:ascii="Cambria" w:eastAsia="Times New Roman" w:hAnsi="Cambria"/>
          <w:bCs/>
          <w:sz w:val="20"/>
          <w:szCs w:val="20"/>
          <w:bdr w:val="none" w:sz="0" w:space="0" w:color="auto"/>
          <w:lang w:val="es-ES"/>
        </w:rPr>
        <w:t xml:space="preserve">panel </w:t>
      </w:r>
      <w:r w:rsidR="00C24E42" w:rsidRPr="00A16D62">
        <w:rPr>
          <w:rFonts w:ascii="Cambria" w:eastAsia="Times New Roman" w:hAnsi="Cambria"/>
          <w:bCs/>
          <w:sz w:val="20"/>
          <w:szCs w:val="20"/>
          <w:bdr w:val="none" w:sz="0" w:space="0" w:color="auto"/>
          <w:lang w:val="es-ES"/>
        </w:rPr>
        <w:t>del Tribunal de Apelaciones</w:t>
      </w:r>
      <w:r w:rsidR="00B30FDF" w:rsidRPr="00A16D62">
        <w:rPr>
          <w:rFonts w:ascii="Cambria" w:eastAsia="Times New Roman" w:hAnsi="Cambria"/>
          <w:bCs/>
          <w:sz w:val="20"/>
          <w:szCs w:val="20"/>
          <w:bdr w:val="none" w:sz="0" w:space="0" w:color="auto"/>
          <w:lang w:val="es-ES"/>
        </w:rPr>
        <w:t xml:space="preserve"> den</w:t>
      </w:r>
      <w:r w:rsidR="00C24E42" w:rsidRPr="00A16D62">
        <w:rPr>
          <w:rFonts w:ascii="Cambria" w:eastAsia="Times New Roman" w:hAnsi="Cambria"/>
          <w:bCs/>
          <w:sz w:val="20"/>
          <w:szCs w:val="20"/>
          <w:bdr w:val="none" w:sz="0" w:space="0" w:color="auto"/>
          <w:lang w:val="es-ES"/>
        </w:rPr>
        <w:t xml:space="preserve">egó </w:t>
      </w:r>
      <w:r w:rsidR="00256794" w:rsidRPr="00A16D62">
        <w:rPr>
          <w:rFonts w:ascii="Cambria" w:eastAsia="Times New Roman" w:hAnsi="Cambria"/>
          <w:bCs/>
          <w:sz w:val="20"/>
          <w:szCs w:val="20"/>
          <w:bdr w:val="none" w:sz="0" w:space="0" w:color="auto"/>
          <w:lang w:val="es-ES"/>
        </w:rPr>
        <w:t>la petición</w:t>
      </w:r>
      <w:r w:rsidR="00B30FDF" w:rsidRPr="00A16D62">
        <w:rPr>
          <w:rFonts w:ascii="Cambria" w:eastAsia="Times New Roman" w:hAnsi="Cambria"/>
          <w:bCs/>
          <w:sz w:val="20"/>
          <w:szCs w:val="20"/>
          <w:bdr w:val="none" w:sz="0" w:space="0" w:color="auto"/>
          <w:lang w:val="es-ES"/>
        </w:rPr>
        <w:t xml:space="preserve"> </w:t>
      </w:r>
      <w:r w:rsidR="00C24E42" w:rsidRPr="00A16D62">
        <w:rPr>
          <w:rFonts w:ascii="Cambria" w:eastAsia="Times New Roman" w:hAnsi="Cambria"/>
          <w:bCs/>
          <w:sz w:val="20"/>
          <w:szCs w:val="20"/>
          <w:bdr w:val="none" w:sz="0" w:space="0" w:color="auto"/>
          <w:lang w:val="es-ES"/>
        </w:rPr>
        <w:t>de revisión inicialmente</w:t>
      </w:r>
      <w:r w:rsidR="00B30FDF" w:rsidRPr="00A16D62">
        <w:rPr>
          <w:rStyle w:val="FootnoteReference"/>
          <w:rFonts w:ascii="Cambria" w:eastAsia="Times New Roman" w:hAnsi="Cambria"/>
          <w:bCs/>
          <w:sz w:val="20"/>
          <w:szCs w:val="20"/>
          <w:bdr w:val="none" w:sz="0" w:space="0" w:color="auto"/>
          <w:lang w:val="es-ES"/>
        </w:rPr>
        <w:footnoteReference w:id="46"/>
      </w:r>
      <w:r w:rsidR="00B30FDF" w:rsidRPr="00A16D62">
        <w:rPr>
          <w:rFonts w:ascii="Cambria" w:eastAsia="Times New Roman" w:hAnsi="Cambria"/>
          <w:bCs/>
          <w:sz w:val="20"/>
          <w:szCs w:val="20"/>
          <w:bdr w:val="none" w:sz="0" w:space="0" w:color="auto"/>
          <w:lang w:val="es-ES"/>
        </w:rPr>
        <w:t xml:space="preserve">; </w:t>
      </w:r>
      <w:r w:rsidR="00C24E42" w:rsidRPr="00A16D62">
        <w:rPr>
          <w:rFonts w:ascii="Cambria" w:eastAsia="Times New Roman" w:hAnsi="Cambria"/>
          <w:bCs/>
          <w:sz w:val="20"/>
          <w:szCs w:val="20"/>
          <w:bdr w:val="none" w:sz="0" w:space="0" w:color="auto"/>
          <w:lang w:val="es-ES"/>
        </w:rPr>
        <w:t xml:space="preserve">tras una nueva audiencia del tribunal en pleno, el tribunal denegó otra vez la </w:t>
      </w:r>
      <w:r w:rsidR="00256794" w:rsidRPr="00A16D62">
        <w:rPr>
          <w:rFonts w:ascii="Cambria" w:eastAsia="Times New Roman" w:hAnsi="Cambria"/>
          <w:bCs/>
          <w:sz w:val="20"/>
          <w:szCs w:val="20"/>
          <w:bdr w:val="none" w:sz="0" w:space="0" w:color="auto"/>
          <w:lang w:val="es-ES"/>
        </w:rPr>
        <w:t>petición</w:t>
      </w:r>
      <w:r w:rsidR="00B30FDF" w:rsidRPr="00A16D62">
        <w:rPr>
          <w:rFonts w:ascii="Cambria" w:eastAsia="Times New Roman" w:hAnsi="Cambria"/>
          <w:bCs/>
          <w:sz w:val="20"/>
          <w:szCs w:val="20"/>
          <w:bdr w:val="none" w:sz="0" w:space="0" w:color="auto"/>
          <w:lang w:val="es-ES"/>
        </w:rPr>
        <w:t xml:space="preserve"> </w:t>
      </w:r>
      <w:r w:rsidR="00C24E42" w:rsidRPr="00A16D62">
        <w:rPr>
          <w:rFonts w:ascii="Cambria" w:eastAsia="Times New Roman" w:hAnsi="Cambria"/>
          <w:bCs/>
          <w:sz w:val="20"/>
          <w:szCs w:val="20"/>
          <w:bdr w:val="none" w:sz="0" w:space="0" w:color="auto"/>
          <w:lang w:val="es-ES"/>
        </w:rPr>
        <w:t xml:space="preserve">de revisión y confirmó la orden de la </w:t>
      </w:r>
      <w:r w:rsidR="00C24E42" w:rsidRPr="00A16D62">
        <w:rPr>
          <w:rFonts w:ascii="Cambria" w:eastAsia="Times New Roman" w:hAnsi="Cambria"/>
          <w:bCs/>
          <w:sz w:val="20"/>
          <w:szCs w:val="20"/>
          <w:bdr w:val="none" w:sz="0" w:space="0" w:color="auto" w:frame="1"/>
          <w:lang w:val="es-ES"/>
        </w:rPr>
        <w:t>Junta Nacional de Relaciones Laborales</w:t>
      </w:r>
      <w:r w:rsidR="008B63D9" w:rsidRPr="00A16D62">
        <w:rPr>
          <w:rStyle w:val="FootnoteReference"/>
          <w:rFonts w:ascii="Cambria" w:eastAsia="Times New Roman" w:hAnsi="Cambria"/>
          <w:bCs/>
          <w:sz w:val="20"/>
          <w:szCs w:val="20"/>
          <w:bdr w:val="none" w:sz="0" w:space="0" w:color="auto"/>
          <w:lang w:val="es-ES"/>
        </w:rPr>
        <w:footnoteReference w:id="47"/>
      </w:r>
      <w:r w:rsidR="00C24E42" w:rsidRPr="00A16D62">
        <w:rPr>
          <w:rFonts w:ascii="Cambria" w:eastAsia="Times New Roman" w:hAnsi="Cambria"/>
          <w:bCs/>
          <w:sz w:val="20"/>
          <w:szCs w:val="20"/>
          <w:bdr w:val="none" w:sz="0" w:space="0" w:color="auto" w:frame="1"/>
          <w:lang w:val="es-ES"/>
        </w:rPr>
        <w:t>.</w:t>
      </w:r>
      <w:r w:rsidR="008B63D9" w:rsidRPr="00A16D62">
        <w:rPr>
          <w:rFonts w:ascii="Cambria" w:eastAsia="Times New Roman" w:hAnsi="Cambria"/>
          <w:bCs/>
          <w:sz w:val="20"/>
          <w:szCs w:val="20"/>
          <w:bdr w:val="none" w:sz="0" w:space="0" w:color="auto"/>
          <w:lang w:val="es-ES"/>
        </w:rPr>
        <w:t xml:space="preserve"> </w:t>
      </w:r>
    </w:p>
    <w:p w:rsidR="00FC2068" w:rsidRPr="00A16D62" w:rsidRDefault="00FC2068" w:rsidP="00FC2068">
      <w:pPr>
        <w:pStyle w:val="ListParagraph"/>
        <w:rPr>
          <w:rFonts w:eastAsia="Times New Roman"/>
          <w:bCs/>
          <w:sz w:val="20"/>
          <w:szCs w:val="20"/>
          <w:bdr w:val="none" w:sz="0" w:space="0" w:color="auto"/>
          <w:lang w:val="es-ES"/>
        </w:rPr>
      </w:pPr>
    </w:p>
    <w:p w:rsidR="008A5535" w:rsidRPr="00A16D62" w:rsidRDefault="00554DB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Hoffman </w:t>
      </w:r>
      <w:r w:rsidR="00C24E42" w:rsidRPr="00A16D62">
        <w:rPr>
          <w:rFonts w:ascii="Cambria" w:eastAsia="Times New Roman" w:hAnsi="Cambria"/>
          <w:bCs/>
          <w:sz w:val="20"/>
          <w:szCs w:val="20"/>
          <w:bdr w:val="none" w:sz="0" w:space="0" w:color="auto"/>
          <w:lang w:val="es-ES"/>
        </w:rPr>
        <w:t xml:space="preserve">apeló entonces ante la </w:t>
      </w:r>
      <w:r w:rsidR="003E2C91" w:rsidRPr="00A16D62">
        <w:rPr>
          <w:rFonts w:ascii="Cambria" w:eastAsia="Times New Roman" w:hAnsi="Cambria"/>
          <w:bCs/>
          <w:sz w:val="20"/>
          <w:szCs w:val="20"/>
          <w:bdr w:val="none" w:sz="0" w:space="0" w:color="auto"/>
          <w:lang w:val="es-ES"/>
        </w:rPr>
        <w:t>Corte Suprema de Estados Unidos</w:t>
      </w:r>
      <w:r w:rsidRPr="00A16D62">
        <w:rPr>
          <w:rFonts w:ascii="Cambria" w:eastAsia="Times New Roman" w:hAnsi="Cambria"/>
          <w:bCs/>
          <w:sz w:val="20"/>
          <w:szCs w:val="20"/>
          <w:bdr w:val="none" w:sz="0" w:space="0" w:color="auto"/>
          <w:lang w:val="es-ES"/>
        </w:rPr>
        <w:t xml:space="preserve">, </w:t>
      </w:r>
      <w:r w:rsidR="00160DBB" w:rsidRPr="00A16D62">
        <w:rPr>
          <w:rFonts w:ascii="Cambria" w:eastAsia="Times New Roman" w:hAnsi="Cambria"/>
          <w:bCs/>
          <w:sz w:val="20"/>
          <w:szCs w:val="20"/>
          <w:bdr w:val="none" w:sz="0" w:space="0" w:color="auto"/>
          <w:lang w:val="es-ES"/>
        </w:rPr>
        <w:t xml:space="preserve">que emitió un auto de avocación y decidió en última instancia </w:t>
      </w:r>
      <w:r w:rsidR="00B474F6" w:rsidRPr="00A16D62">
        <w:rPr>
          <w:rFonts w:ascii="Cambria" w:eastAsia="Times New Roman" w:hAnsi="Cambria"/>
          <w:bCs/>
          <w:sz w:val="20"/>
          <w:szCs w:val="20"/>
          <w:bdr w:val="none" w:sz="0" w:space="0" w:color="auto"/>
          <w:lang w:val="es-ES"/>
        </w:rPr>
        <w:t>(</w:t>
      </w:r>
      <w:r w:rsidR="00160DBB" w:rsidRPr="00A16D62">
        <w:rPr>
          <w:rFonts w:ascii="Cambria" w:eastAsia="Times New Roman" w:hAnsi="Cambria"/>
          <w:bCs/>
          <w:sz w:val="20"/>
          <w:szCs w:val="20"/>
          <w:bdr w:val="none" w:sz="0" w:space="0" w:color="auto"/>
          <w:lang w:val="es-ES"/>
        </w:rPr>
        <w:t xml:space="preserve">por </w:t>
      </w:r>
      <w:r w:rsidR="00B474F6" w:rsidRPr="00A16D62">
        <w:rPr>
          <w:rFonts w:ascii="Cambria" w:eastAsia="Times New Roman" w:hAnsi="Cambria"/>
          <w:bCs/>
          <w:sz w:val="20"/>
          <w:szCs w:val="20"/>
          <w:bdr w:val="none" w:sz="0" w:space="0" w:color="auto"/>
          <w:lang w:val="es-ES"/>
        </w:rPr>
        <w:t>5</w:t>
      </w:r>
      <w:r w:rsidR="00160DBB" w:rsidRPr="00A16D62">
        <w:rPr>
          <w:rFonts w:ascii="Cambria" w:eastAsia="Times New Roman" w:hAnsi="Cambria"/>
          <w:bCs/>
          <w:sz w:val="20"/>
          <w:szCs w:val="20"/>
          <w:bdr w:val="none" w:sz="0" w:space="0" w:color="auto"/>
          <w:lang w:val="es-ES"/>
        </w:rPr>
        <w:t xml:space="preserve"> votos contra </w:t>
      </w:r>
      <w:r w:rsidR="00B474F6" w:rsidRPr="00A16D62">
        <w:rPr>
          <w:rFonts w:ascii="Cambria" w:eastAsia="Times New Roman" w:hAnsi="Cambria"/>
          <w:bCs/>
          <w:sz w:val="20"/>
          <w:szCs w:val="20"/>
          <w:bdr w:val="none" w:sz="0" w:space="0" w:color="auto"/>
          <w:lang w:val="es-ES"/>
        </w:rPr>
        <w:t>4)</w:t>
      </w:r>
      <w:r w:rsidR="00FC2068" w:rsidRPr="00A16D62">
        <w:rPr>
          <w:rFonts w:ascii="Cambria" w:eastAsia="Times New Roman" w:hAnsi="Cambria"/>
          <w:bCs/>
          <w:sz w:val="20"/>
          <w:szCs w:val="20"/>
          <w:bdr w:val="none" w:sz="0" w:space="0" w:color="auto"/>
          <w:lang w:val="es-ES"/>
        </w:rPr>
        <w:t xml:space="preserve"> </w:t>
      </w:r>
      <w:r w:rsidR="00160DBB" w:rsidRPr="00A16D62">
        <w:rPr>
          <w:rFonts w:ascii="Cambria" w:eastAsia="Times New Roman" w:hAnsi="Cambria"/>
          <w:bCs/>
          <w:sz w:val="20"/>
          <w:szCs w:val="20"/>
          <w:bdr w:val="none" w:sz="0" w:space="0" w:color="auto"/>
          <w:lang w:val="es-ES"/>
        </w:rPr>
        <w:t xml:space="preserve">que </w:t>
      </w:r>
      <w:r w:rsidR="00FC2068" w:rsidRPr="00A16D62">
        <w:rPr>
          <w:rFonts w:ascii="Cambria" w:eastAsia="Times New Roman" w:hAnsi="Cambria"/>
          <w:bCs/>
          <w:sz w:val="20"/>
          <w:szCs w:val="20"/>
          <w:bdr w:val="none" w:sz="0" w:space="0" w:color="auto"/>
          <w:lang w:val="es-ES"/>
        </w:rPr>
        <w:t>“</w:t>
      </w:r>
      <w:r w:rsidR="00160DBB" w:rsidRPr="00A16D62">
        <w:rPr>
          <w:rFonts w:ascii="Cambria" w:eastAsia="Times New Roman" w:hAnsi="Cambria"/>
          <w:bCs/>
          <w:sz w:val="20"/>
          <w:szCs w:val="20"/>
          <w:bdr w:val="none" w:sz="0" w:space="0" w:color="auto"/>
          <w:lang w:val="es-ES"/>
        </w:rPr>
        <w:t>la política f</w:t>
      </w:r>
      <w:r w:rsidR="00FC2068" w:rsidRPr="00A16D62">
        <w:rPr>
          <w:rFonts w:ascii="Cambria" w:eastAsia="Times New Roman" w:hAnsi="Cambria"/>
          <w:bCs/>
          <w:sz w:val="20"/>
          <w:szCs w:val="20"/>
          <w:bdr w:val="none" w:sz="0" w:space="0" w:color="auto"/>
          <w:lang w:val="es-ES"/>
        </w:rPr>
        <w:t xml:space="preserve">ederal </w:t>
      </w:r>
      <w:r w:rsidR="00160DBB" w:rsidRPr="00A16D62">
        <w:rPr>
          <w:rFonts w:ascii="Cambria" w:eastAsia="Times New Roman" w:hAnsi="Cambria"/>
          <w:bCs/>
          <w:sz w:val="20"/>
          <w:szCs w:val="20"/>
          <w:bdr w:val="none" w:sz="0" w:space="0" w:color="auto"/>
          <w:lang w:val="es-ES"/>
        </w:rPr>
        <w:t>en materia de inmigraciones, expresada por el Congreso en la Ley de Reforma y Control de la Inmigración</w:t>
      </w:r>
      <w:r w:rsidR="00FC2068" w:rsidRPr="00A16D62">
        <w:rPr>
          <w:rFonts w:ascii="Cambria" w:eastAsia="Times New Roman" w:hAnsi="Cambria"/>
          <w:bCs/>
          <w:sz w:val="20"/>
          <w:szCs w:val="20"/>
          <w:bdr w:val="none" w:sz="0" w:space="0" w:color="auto"/>
          <w:lang w:val="es-ES"/>
        </w:rPr>
        <w:t xml:space="preserve">, </w:t>
      </w:r>
      <w:r w:rsidR="00160DBB" w:rsidRPr="00A16D62">
        <w:rPr>
          <w:rFonts w:ascii="Cambria" w:eastAsia="Times New Roman" w:hAnsi="Cambria"/>
          <w:bCs/>
          <w:sz w:val="20"/>
          <w:szCs w:val="20"/>
          <w:bdr w:val="none" w:sz="0" w:space="0" w:color="auto"/>
          <w:lang w:val="es-ES"/>
        </w:rPr>
        <w:t xml:space="preserve">impedía que la Junta </w:t>
      </w:r>
      <w:r w:rsidR="008E1B58" w:rsidRPr="00A16D62">
        <w:rPr>
          <w:rFonts w:ascii="Cambria" w:eastAsia="Times New Roman" w:hAnsi="Cambria"/>
          <w:bCs/>
          <w:sz w:val="20"/>
          <w:szCs w:val="20"/>
          <w:bdr w:val="none" w:sz="0" w:space="0" w:color="auto"/>
          <w:lang w:val="es-ES"/>
        </w:rPr>
        <w:t>[</w:t>
      </w:r>
      <w:r w:rsidR="00C24E42" w:rsidRPr="00A16D62">
        <w:rPr>
          <w:rFonts w:ascii="Cambria" w:eastAsia="Times New Roman" w:hAnsi="Cambria"/>
          <w:bCs/>
          <w:sz w:val="20"/>
          <w:szCs w:val="20"/>
          <w:bdr w:val="none" w:sz="0" w:space="0" w:color="auto" w:frame="1"/>
          <w:lang w:val="es-ES"/>
        </w:rPr>
        <w:t>Nacional de Relaciones Laborales</w:t>
      </w:r>
      <w:r w:rsidR="008E1B58" w:rsidRPr="00A16D62">
        <w:rPr>
          <w:rFonts w:ascii="Cambria" w:eastAsia="Times New Roman" w:hAnsi="Cambria"/>
          <w:bCs/>
          <w:sz w:val="20"/>
          <w:szCs w:val="20"/>
          <w:bdr w:val="none" w:sz="0" w:space="0" w:color="auto"/>
          <w:lang w:val="es-ES"/>
        </w:rPr>
        <w:t>]</w:t>
      </w:r>
      <w:r w:rsidR="00FC2068" w:rsidRPr="00A16D62">
        <w:rPr>
          <w:rFonts w:ascii="Cambria" w:eastAsia="Times New Roman" w:hAnsi="Cambria"/>
          <w:bCs/>
          <w:sz w:val="20"/>
          <w:szCs w:val="20"/>
          <w:bdr w:val="none" w:sz="0" w:space="0" w:color="auto"/>
          <w:lang w:val="es-ES"/>
        </w:rPr>
        <w:t xml:space="preserve"> </w:t>
      </w:r>
      <w:r w:rsidR="00160DBB" w:rsidRPr="00A16D62">
        <w:rPr>
          <w:rFonts w:ascii="Cambria" w:eastAsia="Times New Roman" w:hAnsi="Cambria"/>
          <w:bCs/>
          <w:sz w:val="20"/>
          <w:szCs w:val="20"/>
          <w:bdr w:val="none" w:sz="0" w:space="0" w:color="auto"/>
          <w:lang w:val="es-ES"/>
        </w:rPr>
        <w:t xml:space="preserve">otorgara </w:t>
      </w:r>
      <w:r w:rsidR="00E5771D" w:rsidRPr="00A16D62">
        <w:rPr>
          <w:rFonts w:ascii="Cambria" w:eastAsia="Times New Roman" w:hAnsi="Cambria"/>
          <w:bCs/>
          <w:sz w:val="20"/>
          <w:szCs w:val="20"/>
          <w:bdr w:val="none" w:sz="0" w:space="0" w:color="auto"/>
          <w:lang w:val="es-ES"/>
        </w:rPr>
        <w:t>salarios caídos</w:t>
      </w:r>
      <w:r w:rsidR="00FC2068" w:rsidRPr="00A16D62">
        <w:rPr>
          <w:rFonts w:ascii="Cambria" w:eastAsia="Times New Roman" w:hAnsi="Cambria"/>
          <w:bCs/>
          <w:sz w:val="20"/>
          <w:szCs w:val="20"/>
          <w:bdr w:val="none" w:sz="0" w:space="0" w:color="auto"/>
          <w:lang w:val="es-ES"/>
        </w:rPr>
        <w:t xml:space="preserve"> </w:t>
      </w:r>
      <w:r w:rsidR="00160DBB" w:rsidRPr="00A16D62">
        <w:rPr>
          <w:rFonts w:ascii="Cambria" w:eastAsia="Times New Roman" w:hAnsi="Cambria"/>
          <w:bCs/>
          <w:sz w:val="20"/>
          <w:szCs w:val="20"/>
          <w:bdr w:val="none" w:sz="0" w:space="0" w:color="auto"/>
          <w:lang w:val="es-ES"/>
        </w:rPr>
        <w:t>a un extranjero indocumentado</w:t>
      </w:r>
      <w:r w:rsidR="008B325E" w:rsidRPr="00A16D62">
        <w:rPr>
          <w:rFonts w:ascii="Cambria" w:eastAsia="Times New Roman" w:hAnsi="Cambria"/>
          <w:bCs/>
          <w:sz w:val="20"/>
          <w:szCs w:val="20"/>
          <w:bdr w:val="none" w:sz="0" w:space="0" w:color="auto"/>
          <w:lang w:val="es-ES"/>
        </w:rPr>
        <w:t xml:space="preserve"> </w:t>
      </w:r>
      <w:r w:rsidR="00160DBB" w:rsidRPr="00A16D62">
        <w:rPr>
          <w:rFonts w:ascii="Cambria" w:eastAsia="Times New Roman" w:hAnsi="Cambria"/>
          <w:bCs/>
          <w:sz w:val="20"/>
          <w:szCs w:val="20"/>
          <w:bdr w:val="none" w:sz="0" w:space="0" w:color="auto"/>
          <w:lang w:val="es-ES"/>
        </w:rPr>
        <w:t>que nunca había estado autorizado legalmente a trabajar en</w:t>
      </w:r>
      <w:r w:rsidR="00FC2068" w:rsidRPr="00A16D62">
        <w:rPr>
          <w:rFonts w:ascii="Cambria" w:eastAsia="Times New Roman" w:hAnsi="Cambria"/>
          <w:bCs/>
          <w:sz w:val="20"/>
          <w:szCs w:val="20"/>
          <w:bdr w:val="none" w:sz="0" w:space="0" w:color="auto"/>
          <w:lang w:val="es-ES"/>
        </w:rPr>
        <w:t xml:space="preserve"> </w:t>
      </w:r>
      <w:r w:rsidR="007E4498" w:rsidRPr="00A16D62">
        <w:rPr>
          <w:rFonts w:ascii="Cambria" w:eastAsia="Times New Roman" w:hAnsi="Cambria"/>
          <w:bCs/>
          <w:sz w:val="20"/>
          <w:szCs w:val="20"/>
          <w:bdr w:val="none" w:sz="0" w:space="0" w:color="auto"/>
          <w:lang w:val="es-ES"/>
        </w:rPr>
        <w:t>Estados Unidos</w:t>
      </w:r>
      <w:r w:rsidR="00FC2068" w:rsidRPr="00A16D62">
        <w:rPr>
          <w:rFonts w:ascii="Cambria" w:eastAsia="Times New Roman" w:hAnsi="Cambria"/>
          <w:bCs/>
          <w:sz w:val="20"/>
          <w:szCs w:val="20"/>
          <w:bdr w:val="none" w:sz="0" w:space="0" w:color="auto"/>
          <w:lang w:val="es-ES"/>
        </w:rPr>
        <w:t>”</w:t>
      </w:r>
      <w:r w:rsidR="00FC2068" w:rsidRPr="00A16D62">
        <w:rPr>
          <w:rStyle w:val="FootnoteReference"/>
          <w:rFonts w:ascii="Cambria" w:eastAsia="Times New Roman" w:hAnsi="Cambria"/>
          <w:bCs/>
          <w:sz w:val="20"/>
          <w:szCs w:val="20"/>
          <w:bdr w:val="none" w:sz="0" w:space="0" w:color="auto"/>
          <w:lang w:val="es-ES"/>
        </w:rPr>
        <w:footnoteReference w:id="48"/>
      </w:r>
      <w:r w:rsidR="00160DBB" w:rsidRPr="00A16D62">
        <w:rPr>
          <w:rFonts w:ascii="Cambria" w:eastAsia="Times New Roman" w:hAnsi="Cambria"/>
          <w:bCs/>
          <w:sz w:val="20"/>
          <w:szCs w:val="20"/>
          <w:bdr w:val="none" w:sz="0" w:space="0" w:color="auto"/>
          <w:lang w:val="es-ES"/>
        </w:rPr>
        <w:t>.</w:t>
      </w:r>
    </w:p>
    <w:p w:rsidR="008A5535" w:rsidRPr="00A16D62" w:rsidRDefault="008A5535" w:rsidP="008A5535">
      <w:pPr>
        <w:pStyle w:val="ListParagraph"/>
        <w:rPr>
          <w:rFonts w:eastAsia="Times New Roman"/>
          <w:bCs/>
          <w:sz w:val="20"/>
          <w:szCs w:val="20"/>
          <w:bdr w:val="none" w:sz="0" w:space="0" w:color="auto"/>
          <w:lang w:val="es-ES"/>
        </w:rPr>
      </w:pPr>
    </w:p>
    <w:p w:rsidR="00FC2068" w:rsidRPr="00A16D62" w:rsidRDefault="00160DBB"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su fallo</w:t>
      </w:r>
      <w:r w:rsidR="00A63D2C" w:rsidRPr="00A16D62">
        <w:rPr>
          <w:rFonts w:ascii="Cambria" w:eastAsia="Times New Roman" w:hAnsi="Cambria"/>
          <w:bCs/>
          <w:sz w:val="20"/>
          <w:szCs w:val="20"/>
          <w:bdr w:val="none" w:sz="0" w:space="0" w:color="auto"/>
          <w:lang w:val="es-ES"/>
        </w:rPr>
        <w:t xml:space="preserve">, </w:t>
      </w:r>
      <w:r w:rsidR="00C24E42" w:rsidRPr="00A16D62">
        <w:rPr>
          <w:rFonts w:ascii="Cambria" w:eastAsia="Times New Roman" w:hAnsi="Cambria"/>
          <w:bCs/>
          <w:sz w:val="20"/>
          <w:szCs w:val="20"/>
          <w:bdr w:val="none" w:sz="0" w:space="0" w:color="auto"/>
          <w:lang w:val="es-ES"/>
        </w:rPr>
        <w:t>la Corte Suprema</w:t>
      </w:r>
      <w:r w:rsidR="000D37AB" w:rsidRPr="00A16D62">
        <w:rPr>
          <w:rFonts w:ascii="Cambria" w:eastAsia="Times New Roman" w:hAnsi="Cambria"/>
          <w:bCs/>
          <w:sz w:val="20"/>
          <w:szCs w:val="20"/>
          <w:bdr w:val="none" w:sz="0" w:space="0" w:color="auto"/>
          <w:lang w:val="es-ES"/>
        </w:rPr>
        <w:t xml:space="preserve"> re</w:t>
      </w:r>
      <w:r w:rsidRPr="00A16D62">
        <w:rPr>
          <w:rFonts w:ascii="Cambria" w:eastAsia="Times New Roman" w:hAnsi="Cambria"/>
          <w:bCs/>
          <w:sz w:val="20"/>
          <w:szCs w:val="20"/>
          <w:bdr w:val="none" w:sz="0" w:space="0" w:color="auto"/>
          <w:lang w:val="es-ES"/>
        </w:rPr>
        <w:t xml:space="preserve">currió en gran medida a su fallo anterior en el caso </w:t>
      </w:r>
      <w:r w:rsidR="000D37AB" w:rsidRPr="00A16D62">
        <w:rPr>
          <w:rFonts w:ascii="Cambria" w:eastAsia="Times New Roman" w:hAnsi="Cambria"/>
          <w:bCs/>
          <w:i/>
          <w:sz w:val="20"/>
          <w:szCs w:val="20"/>
          <w:bdr w:val="none" w:sz="0" w:space="0" w:color="auto"/>
          <w:lang w:val="es-ES"/>
        </w:rPr>
        <w:t xml:space="preserve">Sure-Tan, Inc. </w:t>
      </w:r>
      <w:r w:rsidR="00521A6A" w:rsidRPr="00A16D62">
        <w:rPr>
          <w:rFonts w:ascii="Cambria" w:eastAsia="Times New Roman" w:hAnsi="Cambria"/>
          <w:bCs/>
          <w:i/>
          <w:sz w:val="20"/>
          <w:szCs w:val="20"/>
          <w:bdr w:val="none" w:sz="0" w:space="0" w:color="auto"/>
          <w:lang w:val="es-ES"/>
        </w:rPr>
        <w:t>c.</w:t>
      </w:r>
      <w:r w:rsidR="000D37AB" w:rsidRPr="00A16D62">
        <w:rPr>
          <w:rFonts w:ascii="Cambria" w:eastAsia="Times New Roman" w:hAnsi="Cambria"/>
          <w:bCs/>
          <w:i/>
          <w:sz w:val="20"/>
          <w:szCs w:val="20"/>
          <w:bdr w:val="none" w:sz="0" w:space="0" w:color="auto"/>
          <w:lang w:val="es-ES"/>
        </w:rPr>
        <w:t xml:space="preserve"> </w:t>
      </w:r>
      <w:r w:rsidRPr="00A16D62">
        <w:rPr>
          <w:rFonts w:ascii="Cambria" w:eastAsia="Times New Roman" w:hAnsi="Cambria"/>
          <w:bCs/>
          <w:i/>
          <w:sz w:val="20"/>
          <w:szCs w:val="20"/>
          <w:bdr w:val="none" w:sz="0" w:space="0" w:color="auto" w:frame="1"/>
          <w:lang w:val="es-ES"/>
        </w:rPr>
        <w:t>Junta Nacional de Relaciones Laborales</w:t>
      </w:r>
      <w:r w:rsidR="009B78FA" w:rsidRPr="00A16D62">
        <w:rPr>
          <w:rFonts w:ascii="Cambria" w:eastAsia="Times New Roman" w:hAnsi="Cambria"/>
          <w:bCs/>
          <w:sz w:val="20"/>
          <w:szCs w:val="20"/>
          <w:bdr w:val="none" w:sz="0" w:space="0" w:color="auto"/>
          <w:lang w:val="es-ES"/>
        </w:rPr>
        <w:t xml:space="preserve"> (“</w:t>
      </w:r>
      <w:r w:rsidR="009B78FA" w:rsidRPr="00A16D62">
        <w:rPr>
          <w:rFonts w:ascii="Cambria" w:eastAsia="Times New Roman" w:hAnsi="Cambria"/>
          <w:bCs/>
          <w:i/>
          <w:sz w:val="20"/>
          <w:szCs w:val="20"/>
          <w:bdr w:val="none" w:sz="0" w:space="0" w:color="auto"/>
          <w:lang w:val="es-ES"/>
        </w:rPr>
        <w:t>Sure-Tan</w:t>
      </w:r>
      <w:r w:rsidR="009B78FA" w:rsidRPr="00A16D62">
        <w:rPr>
          <w:rFonts w:ascii="Cambria" w:eastAsia="Times New Roman" w:hAnsi="Cambria"/>
          <w:bCs/>
          <w:sz w:val="20"/>
          <w:szCs w:val="20"/>
          <w:bdr w:val="none" w:sz="0" w:space="0" w:color="auto"/>
          <w:lang w:val="es-ES"/>
        </w:rPr>
        <w:t>”)</w:t>
      </w:r>
      <w:r w:rsidR="00540BE5" w:rsidRPr="00A16D62">
        <w:rPr>
          <w:rStyle w:val="FootnoteReference"/>
          <w:rFonts w:ascii="Cambria" w:eastAsia="Times New Roman" w:hAnsi="Cambria"/>
          <w:bCs/>
          <w:sz w:val="20"/>
          <w:szCs w:val="20"/>
          <w:bdr w:val="none" w:sz="0" w:space="0" w:color="auto"/>
          <w:lang w:val="es-ES"/>
        </w:rPr>
        <w:footnoteReference w:id="49"/>
      </w:r>
      <w:r w:rsidRPr="00A16D62">
        <w:rPr>
          <w:rFonts w:ascii="Cambria" w:eastAsia="Times New Roman" w:hAnsi="Cambria"/>
          <w:bCs/>
          <w:sz w:val="20"/>
          <w:szCs w:val="20"/>
          <w:bdr w:val="none" w:sz="0" w:space="0" w:color="auto"/>
          <w:lang w:val="es-ES"/>
        </w:rPr>
        <w:t>.</w:t>
      </w:r>
      <w:r w:rsidR="0014151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el caso </w:t>
      </w:r>
      <w:r w:rsidR="00141514" w:rsidRPr="00A16D62">
        <w:rPr>
          <w:rFonts w:ascii="Cambria" w:eastAsia="Times New Roman" w:hAnsi="Cambria"/>
          <w:bCs/>
          <w:i/>
          <w:sz w:val="20"/>
          <w:szCs w:val="20"/>
          <w:bdr w:val="none" w:sz="0" w:space="0" w:color="auto"/>
          <w:lang w:val="es-ES"/>
        </w:rPr>
        <w:t>Sure-Tan</w:t>
      </w:r>
      <w:r w:rsidR="0057452C" w:rsidRPr="00A16D62">
        <w:rPr>
          <w:rFonts w:ascii="Cambria" w:eastAsia="Times New Roman" w:hAnsi="Cambria"/>
          <w:bCs/>
          <w:sz w:val="20"/>
          <w:szCs w:val="20"/>
          <w:bdr w:val="none" w:sz="0" w:space="0" w:color="auto"/>
          <w:lang w:val="es-ES"/>
        </w:rPr>
        <w:t xml:space="preserve"> case</w:t>
      </w:r>
      <w:r w:rsidR="00141514" w:rsidRPr="00A16D62">
        <w:rPr>
          <w:rFonts w:ascii="Cambria" w:eastAsia="Times New Roman" w:hAnsi="Cambria"/>
          <w:bCs/>
          <w:sz w:val="20"/>
          <w:szCs w:val="20"/>
          <w:bdr w:val="none" w:sz="0" w:space="0" w:color="auto"/>
          <w:lang w:val="es-ES"/>
        </w:rPr>
        <w:t>,</w:t>
      </w:r>
      <w:r w:rsidR="000D37AB" w:rsidRPr="00A16D62">
        <w:rPr>
          <w:rFonts w:ascii="Cambria" w:eastAsia="Times New Roman" w:hAnsi="Cambria"/>
          <w:bCs/>
          <w:sz w:val="20"/>
          <w:szCs w:val="20"/>
          <w:bdr w:val="none" w:sz="0" w:space="0" w:color="auto"/>
          <w:lang w:val="es-ES"/>
        </w:rPr>
        <w:t xml:space="preserve"> </w:t>
      </w:r>
      <w:r w:rsidR="00141514" w:rsidRPr="00A16D62">
        <w:rPr>
          <w:rFonts w:ascii="Cambria" w:eastAsia="Times New Roman" w:hAnsi="Cambria"/>
          <w:bCs/>
          <w:sz w:val="20"/>
          <w:szCs w:val="20"/>
          <w:bdr w:val="none" w:sz="0" w:space="0" w:color="auto"/>
          <w:lang w:val="es-ES"/>
        </w:rPr>
        <w:t>s</w:t>
      </w:r>
      <w:r w:rsidRPr="00A16D62">
        <w:rPr>
          <w:rFonts w:ascii="Cambria" w:eastAsia="Times New Roman" w:hAnsi="Cambria"/>
          <w:bCs/>
          <w:sz w:val="20"/>
          <w:szCs w:val="20"/>
          <w:bdr w:val="none" w:sz="0" w:space="0" w:color="auto"/>
          <w:lang w:val="es-ES"/>
        </w:rPr>
        <w:t xml:space="preserve">eis de los siete </w:t>
      </w:r>
      <w:r w:rsidR="007B4310" w:rsidRPr="00A16D62">
        <w:rPr>
          <w:rFonts w:ascii="Cambria" w:eastAsia="Times New Roman" w:hAnsi="Cambria"/>
          <w:bCs/>
          <w:sz w:val="20"/>
          <w:szCs w:val="20"/>
          <w:bdr w:val="none" w:sz="0" w:space="0" w:color="auto"/>
          <w:lang w:val="es-ES"/>
        </w:rPr>
        <w:t>trabajadores</w:t>
      </w:r>
      <w:r w:rsidR="0014151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eran indocumentados, y los seis votaron por un sindicato como representante en las </w:t>
      </w:r>
      <w:r w:rsidR="007B4310" w:rsidRPr="00A16D62">
        <w:rPr>
          <w:rFonts w:ascii="Cambria" w:eastAsia="Times New Roman" w:hAnsi="Cambria"/>
          <w:bCs/>
          <w:sz w:val="20"/>
          <w:szCs w:val="20"/>
          <w:bdr w:val="none" w:sz="0" w:space="0" w:color="auto"/>
          <w:lang w:val="es-ES"/>
        </w:rPr>
        <w:t>negociaciones colectivas</w:t>
      </w:r>
      <w:r w:rsidR="0014151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con su </w:t>
      </w:r>
      <w:r w:rsidR="007F4530" w:rsidRPr="00A16D62">
        <w:rPr>
          <w:rFonts w:ascii="Cambria" w:eastAsia="Times New Roman" w:hAnsi="Cambria"/>
          <w:bCs/>
          <w:sz w:val="20"/>
          <w:szCs w:val="20"/>
          <w:bdr w:val="none" w:sz="0" w:space="0" w:color="auto"/>
          <w:lang w:val="es-ES"/>
        </w:rPr>
        <w:t>empleador</w:t>
      </w:r>
      <w:r w:rsidR="00ED0D8B" w:rsidRPr="00A16D62">
        <w:rPr>
          <w:rFonts w:ascii="Cambria" w:eastAsia="Times New Roman" w:hAnsi="Cambria"/>
          <w:bCs/>
          <w:sz w:val="20"/>
          <w:szCs w:val="20"/>
          <w:bdr w:val="none" w:sz="0" w:space="0" w:color="auto"/>
          <w:lang w:val="es-ES"/>
        </w:rPr>
        <w:t>, Sure-Tan, Inc.</w:t>
      </w:r>
      <w:r w:rsidR="0014151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El </w:t>
      </w:r>
      <w:r w:rsidR="007F4530" w:rsidRPr="00A16D62">
        <w:rPr>
          <w:rFonts w:ascii="Cambria" w:eastAsia="Times New Roman" w:hAnsi="Cambria"/>
          <w:bCs/>
          <w:sz w:val="20"/>
          <w:szCs w:val="20"/>
          <w:bdr w:val="none" w:sz="0" w:space="0" w:color="auto"/>
          <w:lang w:val="es-ES"/>
        </w:rPr>
        <w:t>empleador</w:t>
      </w:r>
      <w:r w:rsidR="0014151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interpuso objeciones a la elección ante la </w:t>
      </w:r>
      <w:r w:rsidR="00C24E42" w:rsidRPr="00A16D62">
        <w:rPr>
          <w:rFonts w:ascii="Cambria" w:eastAsia="Times New Roman" w:hAnsi="Cambria"/>
          <w:bCs/>
          <w:sz w:val="20"/>
          <w:szCs w:val="20"/>
          <w:bdr w:val="none" w:sz="0" w:space="0" w:color="auto" w:frame="1"/>
          <w:lang w:val="es-ES"/>
        </w:rPr>
        <w:t>Junta Nacional de Relaciones Laborales</w:t>
      </w:r>
      <w:r w:rsidR="0057452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que las </w:t>
      </w:r>
      <w:r w:rsidR="00692314" w:rsidRPr="00A16D62">
        <w:rPr>
          <w:rFonts w:ascii="Cambria" w:eastAsia="Times New Roman" w:hAnsi="Cambria"/>
          <w:bCs/>
          <w:sz w:val="20"/>
          <w:szCs w:val="20"/>
          <w:bdr w:val="none" w:sz="0" w:space="0" w:color="auto"/>
          <w:lang w:val="es-ES"/>
        </w:rPr>
        <w:t>denegó</w:t>
      </w:r>
      <w:r w:rsidRPr="00A16D62">
        <w:rPr>
          <w:rFonts w:ascii="Cambria" w:eastAsia="Times New Roman" w:hAnsi="Cambria"/>
          <w:bCs/>
          <w:sz w:val="20"/>
          <w:szCs w:val="20"/>
          <w:bdr w:val="none" w:sz="0" w:space="0" w:color="auto"/>
          <w:lang w:val="es-ES"/>
        </w:rPr>
        <w:t xml:space="preserve">. Después de recibir la notificación de </w:t>
      </w:r>
      <w:r w:rsidR="00692314" w:rsidRPr="00A16D62">
        <w:rPr>
          <w:rFonts w:ascii="Cambria" w:eastAsia="Times New Roman" w:hAnsi="Cambria"/>
          <w:bCs/>
          <w:sz w:val="20"/>
          <w:szCs w:val="20"/>
          <w:bdr w:val="none" w:sz="0" w:space="0" w:color="auto"/>
          <w:lang w:val="es-ES"/>
        </w:rPr>
        <w:t xml:space="preserve">la denegación, el presidente de </w:t>
      </w:r>
      <w:r w:rsidR="00ED0D8B" w:rsidRPr="00A16D62">
        <w:rPr>
          <w:rFonts w:ascii="Cambria" w:eastAsia="Times New Roman" w:hAnsi="Cambria"/>
          <w:bCs/>
          <w:sz w:val="20"/>
          <w:szCs w:val="20"/>
          <w:bdr w:val="none" w:sz="0" w:space="0" w:color="auto"/>
          <w:lang w:val="es-ES"/>
        </w:rPr>
        <w:t>Sure-Tan, Inc.</w:t>
      </w:r>
      <w:r w:rsidR="00141514" w:rsidRPr="00A16D62">
        <w:rPr>
          <w:rFonts w:ascii="Cambria" w:eastAsia="Times New Roman" w:hAnsi="Cambria"/>
          <w:bCs/>
          <w:sz w:val="20"/>
          <w:szCs w:val="20"/>
          <w:bdr w:val="none" w:sz="0" w:space="0" w:color="auto"/>
          <w:lang w:val="es-ES"/>
        </w:rPr>
        <w:t xml:space="preserve"> </w:t>
      </w:r>
      <w:r w:rsidR="00692314" w:rsidRPr="00A16D62">
        <w:rPr>
          <w:rFonts w:ascii="Cambria" w:eastAsia="Times New Roman" w:hAnsi="Cambria"/>
          <w:bCs/>
          <w:sz w:val="20"/>
          <w:szCs w:val="20"/>
          <w:bdr w:val="none" w:sz="0" w:space="0" w:color="auto"/>
          <w:lang w:val="es-ES"/>
        </w:rPr>
        <w:t>envió una carta al Servicio de Inmigración y Naturalización</w:t>
      </w:r>
      <w:r w:rsidR="00141514" w:rsidRPr="00A16D62">
        <w:rPr>
          <w:rFonts w:ascii="Cambria" w:eastAsia="Times New Roman" w:hAnsi="Cambria"/>
          <w:bCs/>
          <w:sz w:val="20"/>
          <w:szCs w:val="20"/>
          <w:bdr w:val="none" w:sz="0" w:space="0" w:color="auto"/>
          <w:lang w:val="es-ES"/>
        </w:rPr>
        <w:t xml:space="preserve"> (INS) </w:t>
      </w:r>
      <w:r w:rsidR="004A3C28" w:rsidRPr="00A16D62">
        <w:rPr>
          <w:rFonts w:ascii="Cambria" w:eastAsia="Times New Roman" w:hAnsi="Cambria"/>
          <w:bCs/>
          <w:sz w:val="20"/>
          <w:szCs w:val="20"/>
          <w:bdr w:val="none" w:sz="0" w:space="0" w:color="auto"/>
          <w:lang w:val="es-ES"/>
        </w:rPr>
        <w:t xml:space="preserve">y le pidió que verificara la </w:t>
      </w:r>
      <w:r w:rsidR="00521A6A" w:rsidRPr="00A16D62">
        <w:rPr>
          <w:rFonts w:ascii="Cambria" w:eastAsia="Times New Roman" w:hAnsi="Cambria"/>
          <w:bCs/>
          <w:sz w:val="20"/>
          <w:szCs w:val="20"/>
          <w:bdr w:val="none" w:sz="0" w:space="0" w:color="auto"/>
          <w:lang w:val="es-ES"/>
        </w:rPr>
        <w:t>situación migratoria</w:t>
      </w:r>
      <w:r w:rsidR="00141514" w:rsidRPr="00A16D62">
        <w:rPr>
          <w:rFonts w:ascii="Cambria" w:eastAsia="Times New Roman" w:hAnsi="Cambria"/>
          <w:bCs/>
          <w:sz w:val="20"/>
          <w:szCs w:val="20"/>
          <w:bdr w:val="none" w:sz="0" w:space="0" w:color="auto"/>
          <w:lang w:val="es-ES"/>
        </w:rPr>
        <w:t xml:space="preserve"> </w:t>
      </w:r>
      <w:r w:rsidR="004A3C28" w:rsidRPr="00A16D62">
        <w:rPr>
          <w:rFonts w:ascii="Cambria" w:eastAsia="Times New Roman" w:hAnsi="Cambria"/>
          <w:bCs/>
          <w:sz w:val="20"/>
          <w:szCs w:val="20"/>
          <w:bdr w:val="none" w:sz="0" w:space="0" w:color="auto"/>
          <w:lang w:val="es-ES"/>
        </w:rPr>
        <w:t xml:space="preserve">de varios de sus </w:t>
      </w:r>
      <w:r w:rsidR="007B4310" w:rsidRPr="00A16D62">
        <w:rPr>
          <w:rFonts w:ascii="Cambria" w:eastAsia="Times New Roman" w:hAnsi="Cambria"/>
          <w:bCs/>
          <w:sz w:val="20"/>
          <w:szCs w:val="20"/>
          <w:bdr w:val="none" w:sz="0" w:space="0" w:color="auto"/>
          <w:lang w:val="es-ES"/>
        </w:rPr>
        <w:t>empleados</w:t>
      </w:r>
      <w:r w:rsidR="00554DB5" w:rsidRPr="00A16D62">
        <w:rPr>
          <w:rFonts w:ascii="Cambria" w:eastAsia="Times New Roman" w:hAnsi="Cambria"/>
          <w:bCs/>
          <w:sz w:val="20"/>
          <w:szCs w:val="20"/>
          <w:bdr w:val="none" w:sz="0" w:space="0" w:color="auto"/>
          <w:lang w:val="es-ES"/>
        </w:rPr>
        <w:t xml:space="preserve">, </w:t>
      </w:r>
      <w:r w:rsidR="004A3C28" w:rsidRPr="00A16D62">
        <w:rPr>
          <w:rFonts w:ascii="Cambria" w:eastAsia="Times New Roman" w:hAnsi="Cambria"/>
          <w:bCs/>
          <w:sz w:val="20"/>
          <w:szCs w:val="20"/>
          <w:bdr w:val="none" w:sz="0" w:space="0" w:color="auto"/>
          <w:lang w:val="es-ES"/>
        </w:rPr>
        <w:t>entre ellos los demandantes</w:t>
      </w:r>
      <w:r w:rsidR="00141514" w:rsidRPr="00A16D62">
        <w:rPr>
          <w:rFonts w:ascii="Cambria" w:eastAsia="Times New Roman" w:hAnsi="Cambria"/>
          <w:bCs/>
          <w:sz w:val="20"/>
          <w:szCs w:val="20"/>
          <w:bdr w:val="none" w:sz="0" w:space="0" w:color="auto"/>
          <w:lang w:val="es-ES"/>
        </w:rPr>
        <w:t xml:space="preserve">. </w:t>
      </w:r>
      <w:r w:rsidR="004A3C28" w:rsidRPr="00A16D62">
        <w:rPr>
          <w:rFonts w:ascii="Cambria" w:eastAsia="Times New Roman" w:hAnsi="Cambria"/>
          <w:bCs/>
          <w:sz w:val="20"/>
          <w:szCs w:val="20"/>
          <w:bdr w:val="none" w:sz="0" w:space="0" w:color="auto"/>
          <w:lang w:val="es-ES"/>
        </w:rPr>
        <w:t xml:space="preserve">Sobre la base de la investigación subsiguiente realizada por el </w:t>
      </w:r>
      <w:r w:rsidR="00692314" w:rsidRPr="00A16D62">
        <w:rPr>
          <w:rFonts w:ascii="Cambria" w:eastAsia="Times New Roman" w:hAnsi="Cambria"/>
          <w:bCs/>
          <w:sz w:val="20"/>
          <w:szCs w:val="20"/>
          <w:bdr w:val="none" w:sz="0" w:space="0" w:color="auto"/>
          <w:lang w:val="es-ES"/>
        </w:rPr>
        <w:t>Servicio de Inmigración y Naturalización</w:t>
      </w:r>
      <w:r w:rsidR="00141514" w:rsidRPr="00A16D62">
        <w:rPr>
          <w:rFonts w:ascii="Cambria" w:eastAsia="Times New Roman" w:hAnsi="Cambria"/>
          <w:bCs/>
          <w:sz w:val="20"/>
          <w:szCs w:val="20"/>
          <w:bdr w:val="none" w:sz="0" w:space="0" w:color="auto"/>
          <w:lang w:val="es-ES"/>
        </w:rPr>
        <w:t xml:space="preserve">, </w:t>
      </w:r>
      <w:r w:rsidR="004A3C28" w:rsidRPr="00A16D62">
        <w:rPr>
          <w:rFonts w:ascii="Cambria" w:eastAsia="Times New Roman" w:hAnsi="Cambria"/>
          <w:bCs/>
          <w:sz w:val="20"/>
          <w:szCs w:val="20"/>
          <w:bdr w:val="none" w:sz="0" w:space="0" w:color="auto"/>
          <w:lang w:val="es-ES"/>
        </w:rPr>
        <w:t>cinco de los t</w:t>
      </w:r>
      <w:r w:rsidR="007B4310" w:rsidRPr="00A16D62">
        <w:rPr>
          <w:rFonts w:ascii="Cambria" w:eastAsia="Times New Roman" w:hAnsi="Cambria"/>
          <w:bCs/>
          <w:sz w:val="20"/>
          <w:szCs w:val="20"/>
          <w:bdr w:val="none" w:sz="0" w:space="0" w:color="auto"/>
          <w:lang w:val="es-ES"/>
        </w:rPr>
        <w:t>rabajadores</w:t>
      </w:r>
      <w:r w:rsidR="00554DB5" w:rsidRPr="00A16D62">
        <w:rPr>
          <w:rFonts w:ascii="Cambria" w:eastAsia="Times New Roman" w:hAnsi="Cambria"/>
          <w:bCs/>
          <w:sz w:val="20"/>
          <w:szCs w:val="20"/>
          <w:bdr w:val="none" w:sz="0" w:space="0" w:color="auto"/>
          <w:lang w:val="es-ES"/>
        </w:rPr>
        <w:t xml:space="preserve"> invol</w:t>
      </w:r>
      <w:r w:rsidR="004A3C28" w:rsidRPr="00A16D62">
        <w:rPr>
          <w:rFonts w:ascii="Cambria" w:eastAsia="Times New Roman" w:hAnsi="Cambria"/>
          <w:bCs/>
          <w:sz w:val="20"/>
          <w:szCs w:val="20"/>
          <w:bdr w:val="none" w:sz="0" w:space="0" w:color="auto"/>
          <w:lang w:val="es-ES"/>
        </w:rPr>
        <w:t>ucrados se fueron voluntariamente de Estados Unidos para evitar que los deportaran</w:t>
      </w:r>
      <w:r w:rsidR="00141514" w:rsidRPr="00A16D62">
        <w:rPr>
          <w:rFonts w:ascii="Cambria" w:eastAsia="Times New Roman" w:hAnsi="Cambria"/>
          <w:bCs/>
          <w:sz w:val="20"/>
          <w:szCs w:val="20"/>
          <w:bdr w:val="none" w:sz="0" w:space="0" w:color="auto"/>
          <w:lang w:val="es-ES"/>
        </w:rPr>
        <w:t xml:space="preserve">. </w:t>
      </w:r>
    </w:p>
    <w:p w:rsidR="00540BE5" w:rsidRPr="00A16D62" w:rsidRDefault="00540BE5" w:rsidP="00540BE5">
      <w:pPr>
        <w:pStyle w:val="ListParagraph"/>
        <w:rPr>
          <w:rFonts w:eastAsia="Times New Roman"/>
          <w:bCs/>
          <w:sz w:val="20"/>
          <w:szCs w:val="20"/>
          <w:bdr w:val="none" w:sz="0" w:space="0" w:color="auto"/>
          <w:lang w:val="es-ES"/>
        </w:rPr>
      </w:pPr>
    </w:p>
    <w:p w:rsidR="00540BE5" w:rsidRPr="00A16D62" w:rsidRDefault="004A3C28"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w:t>
      </w:r>
      <w:r w:rsidR="00540BE5" w:rsidRPr="00A16D62">
        <w:rPr>
          <w:rFonts w:ascii="Cambria" w:eastAsia="Times New Roman" w:hAnsi="Cambria"/>
          <w:bCs/>
          <w:sz w:val="20"/>
          <w:szCs w:val="20"/>
          <w:bdr w:val="none" w:sz="0" w:space="0" w:color="auto"/>
          <w:lang w:val="es-ES"/>
        </w:rPr>
        <w:t>n</w:t>
      </w:r>
      <w:r w:rsidRPr="00A16D62">
        <w:rPr>
          <w:rFonts w:ascii="Cambria" w:eastAsia="Times New Roman" w:hAnsi="Cambria"/>
          <w:bCs/>
          <w:sz w:val="20"/>
          <w:szCs w:val="20"/>
          <w:bdr w:val="none" w:sz="0" w:space="0" w:color="auto"/>
          <w:lang w:val="es-ES"/>
        </w:rPr>
        <w:t xml:space="preserve"> el caso</w:t>
      </w:r>
      <w:r w:rsidR="00540BE5" w:rsidRPr="00A16D62">
        <w:rPr>
          <w:rFonts w:ascii="Cambria" w:eastAsia="Times New Roman" w:hAnsi="Cambria"/>
          <w:bCs/>
          <w:sz w:val="20"/>
          <w:szCs w:val="20"/>
          <w:bdr w:val="none" w:sz="0" w:space="0" w:color="auto"/>
          <w:lang w:val="es-ES"/>
        </w:rPr>
        <w:t xml:space="preserve"> </w:t>
      </w:r>
      <w:r w:rsidR="00540BE5" w:rsidRPr="00A16D62">
        <w:rPr>
          <w:rFonts w:ascii="Cambria" w:eastAsia="Times New Roman" w:hAnsi="Cambria"/>
          <w:bCs/>
          <w:i/>
          <w:sz w:val="20"/>
          <w:szCs w:val="20"/>
          <w:bdr w:val="none" w:sz="0" w:space="0" w:color="auto"/>
          <w:lang w:val="es-ES"/>
        </w:rPr>
        <w:t>Sure-Tan</w:t>
      </w:r>
      <w:r w:rsidRPr="00A16D62">
        <w:rPr>
          <w:rFonts w:ascii="Cambria" w:eastAsia="Times New Roman" w:hAnsi="Cambria"/>
          <w:bCs/>
          <w:sz w:val="20"/>
          <w:szCs w:val="20"/>
          <w:bdr w:val="none" w:sz="0" w:space="0" w:color="auto"/>
          <w:lang w:val="es-ES"/>
        </w:rPr>
        <w:t xml:space="preserve">, la Corte Suprema </w:t>
      </w:r>
      <w:r w:rsidR="00554DB5" w:rsidRPr="00A16D62">
        <w:rPr>
          <w:rFonts w:ascii="Cambria" w:eastAsia="Times New Roman" w:hAnsi="Cambria"/>
          <w:bCs/>
          <w:sz w:val="20"/>
          <w:szCs w:val="20"/>
          <w:bdr w:val="none" w:sz="0" w:space="0" w:color="auto"/>
          <w:lang w:val="es-ES"/>
        </w:rPr>
        <w:t>determin</w:t>
      </w:r>
      <w:r w:rsidRPr="00A16D62">
        <w:rPr>
          <w:rFonts w:ascii="Cambria" w:eastAsia="Times New Roman" w:hAnsi="Cambria"/>
          <w:bCs/>
          <w:sz w:val="20"/>
          <w:szCs w:val="20"/>
          <w:bdr w:val="none" w:sz="0" w:space="0" w:color="auto"/>
          <w:lang w:val="es-ES"/>
        </w:rPr>
        <w:t xml:space="preserve">ó, </w:t>
      </w:r>
      <w:r w:rsidR="00540BE5" w:rsidRPr="00A16D62">
        <w:rPr>
          <w:rFonts w:ascii="Cambria" w:eastAsia="Times New Roman" w:hAnsi="Cambria"/>
          <w:bCs/>
          <w:i/>
          <w:sz w:val="20"/>
          <w:szCs w:val="20"/>
          <w:bdr w:val="none" w:sz="0" w:space="0" w:color="auto"/>
          <w:lang w:val="es-ES"/>
        </w:rPr>
        <w:t>inter alia</w:t>
      </w:r>
      <w:r w:rsidR="00540BE5"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que</w:t>
      </w:r>
      <w:r w:rsidR="00540BE5" w:rsidRPr="00A16D62">
        <w:rPr>
          <w:rFonts w:ascii="Cambria" w:eastAsia="Times New Roman" w:hAnsi="Cambria"/>
          <w:bCs/>
          <w:sz w:val="20"/>
          <w:szCs w:val="20"/>
          <w:bdr w:val="none" w:sz="0" w:space="0" w:color="auto"/>
          <w:lang w:val="es-ES"/>
        </w:rPr>
        <w:t>:</w:t>
      </w:r>
    </w:p>
    <w:p w:rsidR="00540BE5" w:rsidRPr="00A16D62" w:rsidRDefault="00540BE5" w:rsidP="00540BE5">
      <w:pPr>
        <w:pStyle w:val="ListParagraph"/>
        <w:rPr>
          <w:rFonts w:eastAsia="Times New Roman"/>
          <w:bCs/>
          <w:sz w:val="20"/>
          <w:szCs w:val="20"/>
          <w:bdr w:val="none" w:sz="0" w:space="0" w:color="auto"/>
          <w:lang w:val="es-ES"/>
        </w:rPr>
      </w:pPr>
    </w:p>
    <w:p w:rsidR="001B0ED8" w:rsidRPr="00A16D62" w:rsidRDefault="001B0ED8" w:rsidP="00A76BB1">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15"/>
          <w:tab w:val="left" w:pos="0"/>
          <w:tab w:val="num" w:pos="1440"/>
        </w:tabs>
        <w:ind w:left="1440" w:right="720" w:hanging="720"/>
        <w:jc w:val="both"/>
        <w:rPr>
          <w:rFonts w:eastAsia="Times New Roman"/>
          <w:bCs/>
          <w:sz w:val="20"/>
          <w:szCs w:val="20"/>
          <w:bdr w:val="none" w:sz="0" w:space="0" w:color="auto"/>
          <w:lang w:val="es-ES"/>
        </w:rPr>
      </w:pPr>
      <w:r w:rsidRPr="00A16D62">
        <w:rPr>
          <w:rFonts w:eastAsia="Times New Roman"/>
          <w:bCs/>
          <w:sz w:val="20"/>
          <w:szCs w:val="20"/>
          <w:bdr w:val="none" w:sz="0" w:space="0" w:color="auto"/>
          <w:lang w:val="es-ES"/>
        </w:rPr>
        <w:t>“</w:t>
      </w:r>
      <w:r w:rsidR="009171FF" w:rsidRPr="00A16D62">
        <w:rPr>
          <w:rFonts w:eastAsia="Times New Roman"/>
          <w:bCs/>
          <w:sz w:val="20"/>
          <w:szCs w:val="20"/>
          <w:bdr w:val="none" w:sz="0" w:space="0" w:color="auto"/>
          <w:lang w:val="es-ES"/>
        </w:rPr>
        <w:t xml:space="preserve">Los términos de la </w:t>
      </w:r>
      <w:r w:rsidR="00C24E42" w:rsidRPr="00A16D62">
        <w:rPr>
          <w:rFonts w:eastAsia="Times New Roman"/>
          <w:bCs/>
          <w:sz w:val="20"/>
          <w:szCs w:val="20"/>
          <w:bdr w:val="none" w:sz="0" w:space="0" w:color="auto" w:frame="1"/>
          <w:lang w:val="es-ES"/>
        </w:rPr>
        <w:t>Ley Nacional de Relaciones Laborales</w:t>
      </w:r>
      <w:r w:rsidR="009171FF" w:rsidRPr="00A16D62">
        <w:rPr>
          <w:rFonts w:eastAsia="Times New Roman"/>
          <w:bCs/>
          <w:sz w:val="20"/>
          <w:szCs w:val="20"/>
          <w:bdr w:val="none" w:sz="0" w:space="0" w:color="auto" w:frame="1"/>
          <w:lang w:val="es-ES"/>
        </w:rPr>
        <w:t xml:space="preserve">, en la cual se define </w:t>
      </w:r>
      <w:r w:rsidR="00392FCE" w:rsidRPr="00A16D62">
        <w:rPr>
          <w:rFonts w:eastAsia="Times New Roman"/>
          <w:bCs/>
          <w:sz w:val="20"/>
          <w:szCs w:val="20"/>
          <w:bdr w:val="none" w:sz="0" w:space="0" w:color="auto"/>
          <w:lang w:val="es-ES"/>
        </w:rPr>
        <w:t>‘</w:t>
      </w:r>
      <w:r w:rsidR="009171FF" w:rsidRPr="00A16D62">
        <w:rPr>
          <w:rFonts w:eastAsia="Times New Roman"/>
          <w:bCs/>
          <w:sz w:val="20"/>
          <w:szCs w:val="20"/>
          <w:bdr w:val="none" w:sz="0" w:space="0" w:color="auto"/>
          <w:lang w:val="es-ES"/>
        </w:rPr>
        <w:t>empleado</w:t>
      </w:r>
      <w:r w:rsidR="00392FCE" w:rsidRPr="00A16D62">
        <w:rPr>
          <w:rFonts w:eastAsia="Times New Roman"/>
          <w:bCs/>
          <w:sz w:val="20"/>
          <w:szCs w:val="20"/>
          <w:bdr w:val="none" w:sz="0" w:space="0" w:color="auto"/>
          <w:lang w:val="es-ES"/>
        </w:rPr>
        <w:t xml:space="preserve">’ </w:t>
      </w:r>
      <w:r w:rsidR="009171FF" w:rsidRPr="00A16D62">
        <w:rPr>
          <w:rFonts w:eastAsia="Times New Roman"/>
          <w:bCs/>
          <w:sz w:val="20"/>
          <w:szCs w:val="20"/>
          <w:bdr w:val="none" w:sz="0" w:space="0" w:color="auto"/>
          <w:lang w:val="es-ES"/>
        </w:rPr>
        <w:t xml:space="preserve">de una forma que incluye </w:t>
      </w:r>
      <w:r w:rsidR="00392FCE" w:rsidRPr="00A16D62">
        <w:rPr>
          <w:rFonts w:eastAsia="Times New Roman"/>
          <w:bCs/>
          <w:sz w:val="20"/>
          <w:szCs w:val="20"/>
          <w:bdr w:val="none" w:sz="0" w:space="0" w:color="auto"/>
          <w:lang w:val="es-ES"/>
        </w:rPr>
        <w:t>‘</w:t>
      </w:r>
      <w:r w:rsidR="009171FF" w:rsidRPr="00A16D62">
        <w:rPr>
          <w:rFonts w:eastAsia="Times New Roman"/>
          <w:bCs/>
          <w:sz w:val="20"/>
          <w:szCs w:val="20"/>
          <w:bdr w:val="none" w:sz="0" w:space="0" w:color="auto"/>
          <w:lang w:val="es-ES"/>
        </w:rPr>
        <w:t>todo empleado</w:t>
      </w:r>
      <w:r w:rsidR="00392FCE" w:rsidRPr="00A16D62">
        <w:rPr>
          <w:rFonts w:eastAsia="Times New Roman"/>
          <w:bCs/>
          <w:sz w:val="20"/>
          <w:szCs w:val="20"/>
          <w:bdr w:val="none" w:sz="0" w:space="0" w:color="auto"/>
          <w:lang w:val="es-ES"/>
        </w:rPr>
        <w:t xml:space="preserve">’ </w:t>
      </w:r>
      <w:r w:rsidR="009171FF" w:rsidRPr="00A16D62">
        <w:rPr>
          <w:rFonts w:eastAsia="Times New Roman"/>
          <w:bCs/>
          <w:sz w:val="20"/>
          <w:szCs w:val="20"/>
          <w:bdr w:val="none" w:sz="0" w:space="0" w:color="auto"/>
          <w:lang w:val="es-ES"/>
        </w:rPr>
        <w:t xml:space="preserve">y no se incluye </w:t>
      </w:r>
      <w:r w:rsidR="00392FCE" w:rsidRPr="00A16D62">
        <w:rPr>
          <w:rFonts w:eastAsia="Times New Roman"/>
          <w:bCs/>
          <w:sz w:val="20"/>
          <w:szCs w:val="20"/>
          <w:bdr w:val="none" w:sz="0" w:space="0" w:color="auto"/>
          <w:lang w:val="es-ES"/>
        </w:rPr>
        <w:t>a</w:t>
      </w:r>
      <w:r w:rsidR="009171FF" w:rsidRPr="00A16D62">
        <w:rPr>
          <w:rFonts w:eastAsia="Times New Roman"/>
          <w:bCs/>
          <w:sz w:val="20"/>
          <w:szCs w:val="20"/>
          <w:bdr w:val="none" w:sz="0" w:space="0" w:color="auto"/>
          <w:lang w:val="es-ES"/>
        </w:rPr>
        <w:t xml:space="preserve"> los </w:t>
      </w:r>
      <w:r w:rsidR="00160DBB" w:rsidRPr="00A16D62">
        <w:rPr>
          <w:rFonts w:eastAsia="Times New Roman"/>
          <w:bCs/>
          <w:sz w:val="20"/>
          <w:szCs w:val="20"/>
          <w:bdr w:val="none" w:sz="0" w:space="0" w:color="auto"/>
          <w:lang w:val="es-ES"/>
        </w:rPr>
        <w:t>extranjero</w:t>
      </w:r>
      <w:r w:rsidR="009171FF" w:rsidRPr="00A16D62">
        <w:rPr>
          <w:rFonts w:eastAsia="Times New Roman"/>
          <w:bCs/>
          <w:sz w:val="20"/>
          <w:szCs w:val="20"/>
          <w:bdr w:val="none" w:sz="0" w:space="0" w:color="auto"/>
          <w:lang w:val="es-ES"/>
        </w:rPr>
        <w:t>s</w:t>
      </w:r>
      <w:r w:rsidR="00160DBB" w:rsidRPr="00A16D62">
        <w:rPr>
          <w:rFonts w:eastAsia="Times New Roman"/>
          <w:bCs/>
          <w:sz w:val="20"/>
          <w:szCs w:val="20"/>
          <w:bdr w:val="none" w:sz="0" w:space="0" w:color="auto"/>
          <w:lang w:val="es-ES"/>
        </w:rPr>
        <w:t xml:space="preserve"> indocumentado</w:t>
      </w:r>
      <w:r w:rsidR="00392FCE" w:rsidRPr="00A16D62">
        <w:rPr>
          <w:rFonts w:eastAsia="Times New Roman"/>
          <w:bCs/>
          <w:sz w:val="20"/>
          <w:szCs w:val="20"/>
          <w:bdr w:val="none" w:sz="0" w:space="0" w:color="auto"/>
          <w:lang w:val="es-ES"/>
        </w:rPr>
        <w:t xml:space="preserve">s </w:t>
      </w:r>
      <w:r w:rsidR="009171FF" w:rsidRPr="00A16D62">
        <w:rPr>
          <w:rFonts w:eastAsia="Times New Roman"/>
          <w:bCs/>
          <w:sz w:val="20"/>
          <w:szCs w:val="20"/>
          <w:bdr w:val="none" w:sz="0" w:space="0" w:color="auto"/>
          <w:lang w:val="es-ES"/>
        </w:rPr>
        <w:t xml:space="preserve">entre los pocos grupos de </w:t>
      </w:r>
      <w:r w:rsidR="007B4310" w:rsidRPr="00A16D62">
        <w:rPr>
          <w:rFonts w:eastAsia="Times New Roman"/>
          <w:bCs/>
          <w:sz w:val="20"/>
          <w:szCs w:val="20"/>
          <w:bdr w:val="none" w:sz="0" w:space="0" w:color="auto"/>
          <w:lang w:val="es-ES"/>
        </w:rPr>
        <w:t>trabajadores</w:t>
      </w:r>
      <w:r w:rsidR="00392FCE" w:rsidRPr="00A16D62">
        <w:rPr>
          <w:rFonts w:eastAsia="Times New Roman"/>
          <w:bCs/>
          <w:sz w:val="20"/>
          <w:szCs w:val="20"/>
          <w:bdr w:val="none" w:sz="0" w:space="0" w:color="auto"/>
          <w:lang w:val="es-ES"/>
        </w:rPr>
        <w:t xml:space="preserve"> </w:t>
      </w:r>
      <w:r w:rsidR="009171FF" w:rsidRPr="00A16D62">
        <w:rPr>
          <w:rFonts w:eastAsia="Times New Roman"/>
          <w:bCs/>
          <w:sz w:val="20"/>
          <w:szCs w:val="20"/>
          <w:bdr w:val="none" w:sz="0" w:space="0" w:color="auto"/>
          <w:lang w:val="es-ES"/>
        </w:rPr>
        <w:t xml:space="preserve">específicamente exceptuados, respaldan plenamente </w:t>
      </w:r>
      <w:r w:rsidR="00392FCE" w:rsidRPr="00A16D62">
        <w:rPr>
          <w:rFonts w:eastAsia="Times New Roman"/>
          <w:bCs/>
          <w:sz w:val="20"/>
          <w:szCs w:val="20"/>
          <w:bdr w:val="none" w:sz="0" w:space="0" w:color="auto"/>
          <w:lang w:val="es-ES"/>
        </w:rPr>
        <w:t>[</w:t>
      </w:r>
      <w:r w:rsidR="009171FF" w:rsidRPr="00A16D62">
        <w:rPr>
          <w:rFonts w:eastAsia="Times New Roman"/>
          <w:bCs/>
          <w:sz w:val="20"/>
          <w:szCs w:val="20"/>
          <w:bdr w:val="none" w:sz="0" w:space="0" w:color="auto"/>
          <w:lang w:val="es-ES"/>
        </w:rPr>
        <w:t xml:space="preserve">la interpretación de la </w:t>
      </w:r>
      <w:r w:rsidR="00C24E42" w:rsidRPr="00A16D62">
        <w:rPr>
          <w:rFonts w:eastAsia="Times New Roman"/>
          <w:bCs/>
          <w:sz w:val="20"/>
          <w:szCs w:val="20"/>
          <w:bdr w:val="none" w:sz="0" w:space="0" w:color="auto" w:frame="1"/>
          <w:lang w:val="es-ES"/>
        </w:rPr>
        <w:t>Junta Nacional de Relaciones Laborales</w:t>
      </w:r>
      <w:r w:rsidR="00392FCE" w:rsidRPr="00A16D62">
        <w:rPr>
          <w:rFonts w:eastAsia="Times New Roman"/>
          <w:bCs/>
          <w:sz w:val="20"/>
          <w:szCs w:val="20"/>
          <w:bdr w:val="none" w:sz="0" w:space="0" w:color="auto"/>
          <w:lang w:val="es-ES"/>
        </w:rPr>
        <w:t xml:space="preserve">]. </w:t>
      </w:r>
      <w:r w:rsidR="009171FF" w:rsidRPr="00A16D62">
        <w:rPr>
          <w:rFonts w:eastAsia="Times New Roman"/>
          <w:bCs/>
          <w:sz w:val="20"/>
          <w:szCs w:val="20"/>
          <w:bdr w:val="none" w:sz="0" w:space="0" w:color="auto"/>
          <w:lang w:val="es-ES"/>
        </w:rPr>
        <w:t>La extensión análoga de la cobertura de la</w:t>
      </w:r>
      <w:r w:rsidR="00392FCE" w:rsidRPr="00A16D62">
        <w:rPr>
          <w:rFonts w:eastAsia="Times New Roman"/>
          <w:bCs/>
          <w:sz w:val="20"/>
          <w:szCs w:val="20"/>
          <w:bdr w:val="none" w:sz="0" w:space="0" w:color="auto"/>
          <w:lang w:val="es-ES"/>
        </w:rPr>
        <w:t xml:space="preserve"> </w:t>
      </w:r>
      <w:r w:rsidR="00C24E42" w:rsidRPr="00A16D62">
        <w:rPr>
          <w:rFonts w:eastAsia="Times New Roman"/>
          <w:bCs/>
          <w:sz w:val="20"/>
          <w:szCs w:val="20"/>
          <w:bdr w:val="none" w:sz="0" w:space="0" w:color="auto" w:frame="1"/>
          <w:lang w:val="es-ES"/>
        </w:rPr>
        <w:t xml:space="preserve">Ley </w:t>
      </w:r>
      <w:r w:rsidR="00C24E42" w:rsidRPr="00A16D62">
        <w:rPr>
          <w:rFonts w:eastAsia="Times New Roman"/>
          <w:bCs/>
          <w:sz w:val="20"/>
          <w:szCs w:val="20"/>
          <w:bdr w:val="none" w:sz="0" w:space="0" w:color="auto" w:frame="1"/>
          <w:lang w:val="es-ES"/>
        </w:rPr>
        <w:lastRenderedPageBreak/>
        <w:t xml:space="preserve">Nacional de Relaciones </w:t>
      </w:r>
      <w:r w:rsidR="009171FF" w:rsidRPr="00A16D62">
        <w:rPr>
          <w:rFonts w:eastAsia="Times New Roman"/>
          <w:bCs/>
          <w:sz w:val="20"/>
          <w:szCs w:val="20"/>
          <w:bdr w:val="none" w:sz="0" w:space="0" w:color="auto" w:frame="1"/>
          <w:lang w:val="es-ES"/>
        </w:rPr>
        <w:t xml:space="preserve">a los </w:t>
      </w:r>
      <w:r w:rsidR="00160DBB" w:rsidRPr="00A16D62">
        <w:rPr>
          <w:rFonts w:eastAsia="Times New Roman"/>
          <w:bCs/>
          <w:sz w:val="20"/>
          <w:szCs w:val="20"/>
          <w:bdr w:val="none" w:sz="0" w:space="0" w:color="auto"/>
          <w:lang w:val="es-ES"/>
        </w:rPr>
        <w:t>extranjero</w:t>
      </w:r>
      <w:r w:rsidR="009171FF" w:rsidRPr="00A16D62">
        <w:rPr>
          <w:rFonts w:eastAsia="Times New Roman"/>
          <w:bCs/>
          <w:sz w:val="20"/>
          <w:szCs w:val="20"/>
          <w:bdr w:val="none" w:sz="0" w:space="0" w:color="auto"/>
          <w:lang w:val="es-ES"/>
        </w:rPr>
        <w:t>s</w:t>
      </w:r>
      <w:r w:rsidR="00160DBB" w:rsidRPr="00A16D62">
        <w:rPr>
          <w:rFonts w:eastAsia="Times New Roman"/>
          <w:bCs/>
          <w:sz w:val="20"/>
          <w:szCs w:val="20"/>
          <w:bdr w:val="none" w:sz="0" w:space="0" w:color="auto"/>
          <w:lang w:val="es-ES"/>
        </w:rPr>
        <w:t xml:space="preserve"> indocumentado</w:t>
      </w:r>
      <w:r w:rsidR="00392FCE" w:rsidRPr="00A16D62">
        <w:rPr>
          <w:rFonts w:eastAsia="Times New Roman"/>
          <w:bCs/>
          <w:sz w:val="20"/>
          <w:szCs w:val="20"/>
          <w:bdr w:val="none" w:sz="0" w:space="0" w:color="auto"/>
          <w:lang w:val="es-ES"/>
        </w:rPr>
        <w:t xml:space="preserve">s </w:t>
      </w:r>
      <w:r w:rsidR="009171FF" w:rsidRPr="00A16D62">
        <w:rPr>
          <w:rFonts w:eastAsia="Times New Roman"/>
          <w:bCs/>
          <w:sz w:val="20"/>
          <w:szCs w:val="20"/>
          <w:bdr w:val="none" w:sz="0" w:space="0" w:color="auto"/>
          <w:lang w:val="es-ES"/>
        </w:rPr>
        <w:t xml:space="preserve">es congruente con su finalidad de fomentar y proteger el proceso de </w:t>
      </w:r>
      <w:r w:rsidR="007B4310" w:rsidRPr="00A16D62">
        <w:rPr>
          <w:rFonts w:eastAsia="Times New Roman"/>
          <w:bCs/>
          <w:sz w:val="20"/>
          <w:szCs w:val="20"/>
          <w:bdr w:val="none" w:sz="0" w:space="0" w:color="auto"/>
          <w:lang w:val="es-ES"/>
        </w:rPr>
        <w:t>negociaciones colectivas</w:t>
      </w:r>
      <w:r w:rsidR="00392FCE" w:rsidRPr="00A16D62">
        <w:rPr>
          <w:rFonts w:eastAsia="Times New Roman"/>
          <w:bCs/>
          <w:sz w:val="20"/>
          <w:szCs w:val="20"/>
          <w:bdr w:val="none" w:sz="0" w:space="0" w:color="auto"/>
          <w:lang w:val="es-ES"/>
        </w:rPr>
        <w:t>”</w:t>
      </w:r>
      <w:r w:rsidR="009171FF" w:rsidRPr="00A16D62">
        <w:rPr>
          <w:rFonts w:eastAsia="Times New Roman"/>
          <w:bCs/>
          <w:sz w:val="20"/>
          <w:szCs w:val="20"/>
          <w:bdr w:val="none" w:sz="0" w:space="0" w:color="auto"/>
          <w:lang w:val="es-ES"/>
        </w:rPr>
        <w:t>;</w:t>
      </w:r>
    </w:p>
    <w:p w:rsidR="00392FCE" w:rsidRPr="00A16D62" w:rsidRDefault="00392FCE" w:rsidP="00A76BB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440"/>
        </w:tabs>
        <w:ind w:left="1440" w:right="720" w:hanging="720"/>
        <w:jc w:val="both"/>
        <w:rPr>
          <w:rFonts w:eastAsia="Times New Roman"/>
          <w:bCs/>
          <w:sz w:val="20"/>
          <w:szCs w:val="20"/>
          <w:bdr w:val="none" w:sz="0" w:space="0" w:color="auto"/>
          <w:lang w:val="es-ES"/>
        </w:rPr>
      </w:pPr>
    </w:p>
    <w:p w:rsidR="00540BE5" w:rsidRPr="00A16D62" w:rsidRDefault="00540BE5" w:rsidP="00A76BB1">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15"/>
          <w:tab w:val="left" w:pos="0"/>
          <w:tab w:val="num" w:pos="1440"/>
        </w:tabs>
        <w:ind w:left="1440" w:right="720" w:hanging="720"/>
        <w:jc w:val="both"/>
        <w:rPr>
          <w:rFonts w:eastAsia="Times New Roman"/>
          <w:bCs/>
          <w:sz w:val="20"/>
          <w:szCs w:val="20"/>
          <w:bdr w:val="none" w:sz="0" w:space="0" w:color="auto"/>
          <w:lang w:val="es-ES"/>
        </w:rPr>
      </w:pPr>
      <w:r w:rsidRPr="00A16D62">
        <w:rPr>
          <w:rFonts w:eastAsia="Times New Roman"/>
          <w:bCs/>
          <w:sz w:val="20"/>
          <w:szCs w:val="20"/>
          <w:bdr w:val="none" w:sz="0" w:space="0" w:color="auto"/>
          <w:lang w:val="es-ES"/>
        </w:rPr>
        <w:t>“</w:t>
      </w:r>
      <w:r w:rsidR="009171FF" w:rsidRPr="00A16D62">
        <w:rPr>
          <w:rFonts w:eastAsia="Times New Roman"/>
          <w:bCs/>
          <w:sz w:val="20"/>
          <w:szCs w:val="20"/>
          <w:bdr w:val="none" w:sz="0" w:space="0" w:color="auto"/>
          <w:lang w:val="es-ES"/>
        </w:rPr>
        <w:t xml:space="preserve">La interpretación dada por la Junta a la </w:t>
      </w:r>
      <w:r w:rsidR="00C24E42" w:rsidRPr="00A16D62">
        <w:rPr>
          <w:rFonts w:eastAsia="Times New Roman"/>
          <w:bCs/>
          <w:sz w:val="20"/>
          <w:szCs w:val="20"/>
          <w:bdr w:val="none" w:sz="0" w:space="0" w:color="auto" w:frame="1"/>
          <w:lang w:val="es-ES"/>
        </w:rPr>
        <w:t>Ley Nacional de Relaciones Laborales</w:t>
      </w:r>
      <w:r w:rsidR="009171FF" w:rsidRPr="00A16D62">
        <w:rPr>
          <w:rFonts w:eastAsia="Times New Roman"/>
          <w:bCs/>
          <w:sz w:val="20"/>
          <w:szCs w:val="20"/>
          <w:bdr w:val="none" w:sz="0" w:space="0" w:color="auto" w:frame="1"/>
          <w:lang w:val="es-ES"/>
        </w:rPr>
        <w:t xml:space="preserve">, en el sentido de que se aplica a prácticas laborales desleales </w:t>
      </w:r>
      <w:r w:rsidR="00390692" w:rsidRPr="00A16D62">
        <w:rPr>
          <w:rFonts w:eastAsia="Times New Roman"/>
          <w:bCs/>
          <w:sz w:val="20"/>
          <w:szCs w:val="20"/>
          <w:bdr w:val="none" w:sz="0" w:space="0" w:color="auto" w:frame="1"/>
          <w:lang w:val="es-ES"/>
        </w:rPr>
        <w:t xml:space="preserve">utilizadas contra </w:t>
      </w:r>
      <w:r w:rsidR="00160DBB" w:rsidRPr="00A16D62">
        <w:rPr>
          <w:rFonts w:eastAsia="Times New Roman"/>
          <w:bCs/>
          <w:sz w:val="20"/>
          <w:szCs w:val="20"/>
          <w:bdr w:val="none" w:sz="0" w:space="0" w:color="auto"/>
          <w:lang w:val="es-ES"/>
        </w:rPr>
        <w:t>extranjero</w:t>
      </w:r>
      <w:r w:rsidR="00390692" w:rsidRPr="00A16D62">
        <w:rPr>
          <w:rFonts w:eastAsia="Times New Roman"/>
          <w:bCs/>
          <w:sz w:val="20"/>
          <w:szCs w:val="20"/>
          <w:bdr w:val="none" w:sz="0" w:space="0" w:color="auto"/>
          <w:lang w:val="es-ES"/>
        </w:rPr>
        <w:t>s</w:t>
      </w:r>
      <w:r w:rsidR="00160DBB" w:rsidRPr="00A16D62">
        <w:rPr>
          <w:rFonts w:eastAsia="Times New Roman"/>
          <w:bCs/>
          <w:sz w:val="20"/>
          <w:szCs w:val="20"/>
          <w:bdr w:val="none" w:sz="0" w:space="0" w:color="auto"/>
          <w:lang w:val="es-ES"/>
        </w:rPr>
        <w:t xml:space="preserve"> indocumentado</w:t>
      </w:r>
      <w:r w:rsidRPr="00A16D62">
        <w:rPr>
          <w:rFonts w:eastAsia="Times New Roman"/>
          <w:bCs/>
          <w:sz w:val="20"/>
          <w:szCs w:val="20"/>
          <w:bdr w:val="none" w:sz="0" w:space="0" w:color="auto"/>
          <w:lang w:val="es-ES"/>
        </w:rPr>
        <w:t xml:space="preserve">s </w:t>
      </w:r>
      <w:r w:rsidR="00390692" w:rsidRPr="00A16D62">
        <w:rPr>
          <w:rFonts w:eastAsia="Times New Roman"/>
          <w:bCs/>
          <w:sz w:val="20"/>
          <w:szCs w:val="20"/>
          <w:bdr w:val="none" w:sz="0" w:space="0" w:color="auto"/>
          <w:lang w:val="es-ES"/>
        </w:rPr>
        <w:t>es razonable y, por lo tanto, se reafirma</w:t>
      </w:r>
      <w:r w:rsidRPr="00A16D62">
        <w:rPr>
          <w:rFonts w:eastAsia="Times New Roman"/>
          <w:bCs/>
          <w:sz w:val="20"/>
          <w:szCs w:val="20"/>
          <w:bdr w:val="none" w:sz="0" w:space="0" w:color="auto"/>
          <w:lang w:val="es-ES"/>
        </w:rPr>
        <w:t>”</w:t>
      </w:r>
      <w:r w:rsidR="00390692" w:rsidRPr="00A16D62">
        <w:rPr>
          <w:rFonts w:eastAsia="Times New Roman"/>
          <w:bCs/>
          <w:sz w:val="20"/>
          <w:szCs w:val="20"/>
          <w:bdr w:val="none" w:sz="0" w:space="0" w:color="auto"/>
          <w:lang w:val="es-ES"/>
        </w:rPr>
        <w:t>;</w:t>
      </w:r>
    </w:p>
    <w:p w:rsidR="00E76C05" w:rsidRPr="00A16D62" w:rsidRDefault="00E76C05" w:rsidP="00A76BB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440"/>
        </w:tabs>
        <w:ind w:left="1440" w:right="720" w:hanging="720"/>
        <w:jc w:val="both"/>
        <w:rPr>
          <w:rFonts w:eastAsia="Times New Roman"/>
          <w:bCs/>
          <w:sz w:val="20"/>
          <w:szCs w:val="20"/>
          <w:bdr w:val="none" w:sz="0" w:space="0" w:color="auto"/>
          <w:lang w:val="es-ES"/>
        </w:rPr>
      </w:pPr>
    </w:p>
    <w:p w:rsidR="001B0ED8" w:rsidRPr="00A16D62" w:rsidRDefault="00E76C05" w:rsidP="00A76BB1">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15"/>
          <w:tab w:val="left" w:pos="0"/>
          <w:tab w:val="num" w:pos="1440"/>
        </w:tabs>
        <w:ind w:left="1440" w:right="720" w:hanging="720"/>
        <w:jc w:val="both"/>
        <w:rPr>
          <w:rFonts w:eastAsia="Times New Roman"/>
          <w:bCs/>
          <w:sz w:val="20"/>
          <w:szCs w:val="20"/>
          <w:bdr w:val="none" w:sz="0" w:space="0" w:color="auto"/>
          <w:lang w:val="es-ES"/>
        </w:rPr>
      </w:pPr>
      <w:r w:rsidRPr="00A16D62">
        <w:rPr>
          <w:rFonts w:eastAsia="Times New Roman"/>
          <w:bCs/>
          <w:sz w:val="20"/>
          <w:szCs w:val="20"/>
          <w:bdr w:val="none" w:sz="0" w:space="0" w:color="auto"/>
          <w:lang w:val="es-ES"/>
        </w:rPr>
        <w:t>“</w:t>
      </w:r>
      <w:r w:rsidR="00390692" w:rsidRPr="00A16D62">
        <w:rPr>
          <w:rFonts w:eastAsia="Times New Roman"/>
          <w:bCs/>
          <w:sz w:val="20"/>
          <w:szCs w:val="20"/>
          <w:bdr w:val="none" w:sz="0" w:space="0" w:color="auto"/>
          <w:lang w:val="es-ES"/>
        </w:rPr>
        <w:t xml:space="preserve">La aplicación de la </w:t>
      </w:r>
      <w:r w:rsidR="00C24E42" w:rsidRPr="00A16D62">
        <w:rPr>
          <w:rFonts w:eastAsia="Times New Roman"/>
          <w:bCs/>
          <w:sz w:val="20"/>
          <w:szCs w:val="20"/>
          <w:bdr w:val="none" w:sz="0" w:space="0" w:color="auto" w:frame="1"/>
          <w:lang w:val="es-ES"/>
        </w:rPr>
        <w:t>Ley Nacional de Relaciones Laborales</w:t>
      </w:r>
      <w:r w:rsidRPr="00A16D62">
        <w:rPr>
          <w:rFonts w:eastAsia="Times New Roman"/>
          <w:bCs/>
          <w:sz w:val="20"/>
          <w:szCs w:val="20"/>
          <w:bdr w:val="none" w:sz="0" w:space="0" w:color="auto"/>
          <w:lang w:val="es-ES"/>
        </w:rPr>
        <w:t xml:space="preserve"> </w:t>
      </w:r>
      <w:r w:rsidR="00390692" w:rsidRPr="00A16D62">
        <w:rPr>
          <w:rFonts w:eastAsia="Times New Roman"/>
          <w:bCs/>
          <w:sz w:val="20"/>
          <w:szCs w:val="20"/>
          <w:bdr w:val="none" w:sz="0" w:space="0" w:color="auto"/>
          <w:lang w:val="es-ES"/>
        </w:rPr>
        <w:t xml:space="preserve">a empleados </w:t>
      </w:r>
      <w:r w:rsidR="00160DBB" w:rsidRPr="00A16D62">
        <w:rPr>
          <w:rFonts w:eastAsia="Times New Roman"/>
          <w:bCs/>
          <w:sz w:val="20"/>
          <w:szCs w:val="20"/>
          <w:bdr w:val="none" w:sz="0" w:space="0" w:color="auto"/>
          <w:lang w:val="es-ES"/>
        </w:rPr>
        <w:t>extranjero</w:t>
      </w:r>
      <w:r w:rsidR="00390692" w:rsidRPr="00A16D62">
        <w:rPr>
          <w:rFonts w:eastAsia="Times New Roman"/>
          <w:bCs/>
          <w:sz w:val="20"/>
          <w:szCs w:val="20"/>
          <w:bdr w:val="none" w:sz="0" w:space="0" w:color="auto"/>
          <w:lang w:val="es-ES"/>
        </w:rPr>
        <w:t>s</w:t>
      </w:r>
      <w:r w:rsidR="00160DBB" w:rsidRPr="00A16D62">
        <w:rPr>
          <w:rFonts w:eastAsia="Times New Roman"/>
          <w:bCs/>
          <w:sz w:val="20"/>
          <w:szCs w:val="20"/>
          <w:bdr w:val="none" w:sz="0" w:space="0" w:color="auto"/>
          <w:lang w:val="es-ES"/>
        </w:rPr>
        <w:t xml:space="preserve"> indocumentado</w:t>
      </w:r>
      <w:r w:rsidR="00390692" w:rsidRPr="00A16D62">
        <w:rPr>
          <w:rFonts w:eastAsia="Times New Roman"/>
          <w:bCs/>
          <w:sz w:val="20"/>
          <w:szCs w:val="20"/>
          <w:bdr w:val="none" w:sz="0" w:space="0" w:color="auto"/>
          <w:lang w:val="es-ES"/>
        </w:rPr>
        <w:t>s</w:t>
      </w:r>
      <w:r w:rsidRPr="00A16D62">
        <w:rPr>
          <w:rFonts w:eastAsia="Times New Roman"/>
          <w:bCs/>
          <w:sz w:val="20"/>
          <w:szCs w:val="20"/>
          <w:bdr w:val="none" w:sz="0" w:space="0" w:color="auto"/>
          <w:lang w:val="es-ES"/>
        </w:rPr>
        <w:t xml:space="preserve"> </w:t>
      </w:r>
      <w:r w:rsidR="00390692" w:rsidRPr="00A16D62">
        <w:rPr>
          <w:rFonts w:eastAsia="Times New Roman"/>
          <w:bCs/>
          <w:sz w:val="20"/>
          <w:szCs w:val="20"/>
          <w:bdr w:val="none" w:sz="0" w:space="0" w:color="auto"/>
          <w:lang w:val="es-ES"/>
        </w:rPr>
        <w:t>e</w:t>
      </w:r>
      <w:r w:rsidRPr="00A16D62">
        <w:rPr>
          <w:rFonts w:eastAsia="Times New Roman"/>
          <w:bCs/>
          <w:sz w:val="20"/>
          <w:szCs w:val="20"/>
          <w:bdr w:val="none" w:sz="0" w:space="0" w:color="auto"/>
          <w:lang w:val="es-ES"/>
        </w:rPr>
        <w:t xml:space="preserve">s compatible </w:t>
      </w:r>
      <w:r w:rsidR="00390692" w:rsidRPr="00A16D62">
        <w:rPr>
          <w:rFonts w:eastAsia="Times New Roman"/>
          <w:bCs/>
          <w:sz w:val="20"/>
          <w:szCs w:val="20"/>
          <w:bdr w:val="none" w:sz="0" w:space="0" w:color="auto"/>
          <w:lang w:val="es-ES"/>
        </w:rPr>
        <w:t xml:space="preserve">con el propósito del </w:t>
      </w:r>
      <w:r w:rsidR="00692314" w:rsidRPr="00A16D62">
        <w:rPr>
          <w:rFonts w:eastAsia="Times New Roman"/>
          <w:bCs/>
          <w:sz w:val="20"/>
          <w:szCs w:val="20"/>
          <w:bdr w:val="none" w:sz="0" w:space="0" w:color="auto"/>
          <w:lang w:val="es-ES"/>
        </w:rPr>
        <w:t>Servicio de Inmigración y Naturalización</w:t>
      </w:r>
      <w:r w:rsidR="00390692" w:rsidRPr="00A16D62">
        <w:rPr>
          <w:rFonts w:eastAsia="Times New Roman"/>
          <w:bCs/>
          <w:sz w:val="20"/>
          <w:szCs w:val="20"/>
          <w:bdr w:val="none" w:sz="0" w:space="0" w:color="auto"/>
          <w:lang w:val="es-ES"/>
        </w:rPr>
        <w:t xml:space="preserve"> de restringir la inmigración a fin de preservar empleos para </w:t>
      </w:r>
      <w:r w:rsidR="007B4310" w:rsidRPr="00A16D62">
        <w:rPr>
          <w:rFonts w:eastAsia="Times New Roman"/>
          <w:bCs/>
          <w:sz w:val="20"/>
          <w:szCs w:val="20"/>
          <w:bdr w:val="none" w:sz="0" w:space="0" w:color="auto"/>
          <w:lang w:val="es-ES"/>
        </w:rPr>
        <w:t>trabajadores</w:t>
      </w:r>
      <w:r w:rsidR="00390692" w:rsidRPr="00A16D62">
        <w:rPr>
          <w:rFonts w:eastAsia="Times New Roman"/>
          <w:bCs/>
          <w:sz w:val="20"/>
          <w:szCs w:val="20"/>
          <w:bdr w:val="none" w:sz="0" w:space="0" w:color="auto"/>
          <w:lang w:val="es-ES"/>
        </w:rPr>
        <w:t xml:space="preserve"> estadounidenses</w:t>
      </w:r>
      <w:r w:rsidRPr="00A16D62">
        <w:rPr>
          <w:rFonts w:eastAsia="Times New Roman"/>
          <w:bCs/>
          <w:sz w:val="20"/>
          <w:szCs w:val="20"/>
          <w:bdr w:val="none" w:sz="0" w:space="0" w:color="auto"/>
          <w:lang w:val="es-ES"/>
        </w:rPr>
        <w:t xml:space="preserve">, </w:t>
      </w:r>
      <w:r w:rsidR="00390692" w:rsidRPr="00A16D62">
        <w:rPr>
          <w:rFonts w:eastAsia="Times New Roman"/>
          <w:bCs/>
          <w:sz w:val="20"/>
          <w:szCs w:val="20"/>
          <w:bdr w:val="none" w:sz="0" w:space="0" w:color="auto"/>
          <w:lang w:val="es-ES"/>
        </w:rPr>
        <w:t xml:space="preserve">puesto que, si la preferencia por trabajadores que son extranjeros ilegales no ofrece ninguna ventaja con respecto a los salarios y las condiciones de empleo, el incentivo para los </w:t>
      </w:r>
      <w:r w:rsidR="000F4EF8" w:rsidRPr="00A16D62">
        <w:rPr>
          <w:rFonts w:eastAsia="Times New Roman"/>
          <w:bCs/>
          <w:sz w:val="20"/>
          <w:szCs w:val="20"/>
          <w:bdr w:val="none" w:sz="0" w:space="0" w:color="auto"/>
          <w:lang w:val="es-ES"/>
        </w:rPr>
        <w:t>empleadores</w:t>
      </w:r>
      <w:r w:rsidRPr="00A16D62">
        <w:rPr>
          <w:rFonts w:eastAsia="Times New Roman"/>
          <w:bCs/>
          <w:sz w:val="20"/>
          <w:szCs w:val="20"/>
          <w:bdr w:val="none" w:sz="0" w:space="0" w:color="auto"/>
          <w:lang w:val="es-ES"/>
        </w:rPr>
        <w:t xml:space="preserve"> </w:t>
      </w:r>
      <w:r w:rsidR="00390692" w:rsidRPr="00A16D62">
        <w:rPr>
          <w:rFonts w:eastAsia="Times New Roman"/>
          <w:bCs/>
          <w:sz w:val="20"/>
          <w:szCs w:val="20"/>
          <w:bdr w:val="none" w:sz="0" w:space="0" w:color="auto"/>
          <w:lang w:val="es-ES"/>
        </w:rPr>
        <w:t xml:space="preserve">de contratar extranjeros ilegales disminuye. A su vez, si la demanda de </w:t>
      </w:r>
      <w:r w:rsidR="00160DBB" w:rsidRPr="00A16D62">
        <w:rPr>
          <w:rFonts w:eastAsia="Times New Roman"/>
          <w:bCs/>
          <w:sz w:val="20"/>
          <w:szCs w:val="20"/>
          <w:bdr w:val="none" w:sz="0" w:space="0" w:color="auto"/>
          <w:lang w:val="es-ES"/>
        </w:rPr>
        <w:t>extranjero</w:t>
      </w:r>
      <w:r w:rsidR="00390692" w:rsidRPr="00A16D62">
        <w:rPr>
          <w:rFonts w:eastAsia="Times New Roman"/>
          <w:bCs/>
          <w:sz w:val="20"/>
          <w:szCs w:val="20"/>
          <w:bdr w:val="none" w:sz="0" w:space="0" w:color="auto"/>
          <w:lang w:val="es-ES"/>
        </w:rPr>
        <w:t>s</w:t>
      </w:r>
      <w:r w:rsidR="00160DBB" w:rsidRPr="00A16D62">
        <w:rPr>
          <w:rFonts w:eastAsia="Times New Roman"/>
          <w:bCs/>
          <w:sz w:val="20"/>
          <w:szCs w:val="20"/>
          <w:bdr w:val="none" w:sz="0" w:space="0" w:color="auto"/>
          <w:lang w:val="es-ES"/>
        </w:rPr>
        <w:t xml:space="preserve"> indocumentado</w:t>
      </w:r>
      <w:r w:rsidRPr="00A16D62">
        <w:rPr>
          <w:rFonts w:eastAsia="Times New Roman"/>
          <w:bCs/>
          <w:sz w:val="20"/>
          <w:szCs w:val="20"/>
          <w:bdr w:val="none" w:sz="0" w:space="0" w:color="auto"/>
          <w:lang w:val="es-ES"/>
        </w:rPr>
        <w:t>s d</w:t>
      </w:r>
      <w:r w:rsidR="00390692" w:rsidRPr="00A16D62">
        <w:rPr>
          <w:rFonts w:eastAsia="Times New Roman"/>
          <w:bCs/>
          <w:sz w:val="20"/>
          <w:szCs w:val="20"/>
          <w:bdr w:val="none" w:sz="0" w:space="0" w:color="auto"/>
          <w:lang w:val="es-ES"/>
        </w:rPr>
        <w:t>isminuye</w:t>
      </w:r>
      <w:r w:rsidRPr="00A16D62">
        <w:rPr>
          <w:rFonts w:eastAsia="Times New Roman"/>
          <w:bCs/>
          <w:sz w:val="20"/>
          <w:szCs w:val="20"/>
          <w:bdr w:val="none" w:sz="0" w:space="0" w:color="auto"/>
          <w:lang w:val="es-ES"/>
        </w:rPr>
        <w:t xml:space="preserve">, </w:t>
      </w:r>
      <w:r w:rsidR="00390692" w:rsidRPr="00A16D62">
        <w:rPr>
          <w:rFonts w:eastAsia="Times New Roman"/>
          <w:bCs/>
          <w:sz w:val="20"/>
          <w:szCs w:val="20"/>
          <w:bdr w:val="none" w:sz="0" w:space="0" w:color="auto"/>
          <w:lang w:val="es-ES"/>
        </w:rPr>
        <w:t xml:space="preserve">podría haber menos incentivos para que los extranjeros mismos entren en el país en contravención de las leyes </w:t>
      </w:r>
      <w:r w:rsidRPr="00A16D62">
        <w:rPr>
          <w:rFonts w:eastAsia="Times New Roman"/>
          <w:bCs/>
          <w:sz w:val="20"/>
          <w:szCs w:val="20"/>
          <w:bdr w:val="none" w:sz="0" w:space="0" w:color="auto"/>
          <w:lang w:val="es-ES"/>
        </w:rPr>
        <w:t>federal</w:t>
      </w:r>
      <w:r w:rsidR="00390692" w:rsidRPr="00A16D62">
        <w:rPr>
          <w:rFonts w:eastAsia="Times New Roman"/>
          <w:bCs/>
          <w:sz w:val="20"/>
          <w:szCs w:val="20"/>
          <w:bdr w:val="none" w:sz="0" w:space="0" w:color="auto"/>
          <w:lang w:val="es-ES"/>
        </w:rPr>
        <w:t>es en materia de inmigraciones</w:t>
      </w:r>
      <w:r w:rsidRPr="00A16D62">
        <w:rPr>
          <w:rFonts w:eastAsia="Times New Roman"/>
          <w:bCs/>
          <w:sz w:val="20"/>
          <w:szCs w:val="20"/>
          <w:bdr w:val="none" w:sz="0" w:space="0" w:color="auto"/>
          <w:lang w:val="es-ES"/>
        </w:rPr>
        <w:t>”</w:t>
      </w:r>
      <w:r w:rsidR="00390692" w:rsidRPr="00A16D62">
        <w:rPr>
          <w:rFonts w:eastAsia="Times New Roman"/>
          <w:bCs/>
          <w:sz w:val="20"/>
          <w:szCs w:val="20"/>
          <w:bdr w:val="none" w:sz="0" w:space="0" w:color="auto"/>
          <w:lang w:val="es-ES"/>
        </w:rPr>
        <w:t>;</w:t>
      </w:r>
      <w:r w:rsidRPr="00A16D62">
        <w:rPr>
          <w:rFonts w:eastAsia="Times New Roman"/>
          <w:bCs/>
          <w:sz w:val="20"/>
          <w:szCs w:val="20"/>
          <w:bdr w:val="none" w:sz="0" w:space="0" w:color="auto"/>
          <w:lang w:val="es-ES"/>
        </w:rPr>
        <w:t xml:space="preserve"> </w:t>
      </w:r>
    </w:p>
    <w:p w:rsidR="001B0ED8" w:rsidRPr="00A16D62" w:rsidRDefault="001B0ED8" w:rsidP="00A76BB1">
      <w:pPr>
        <w:pStyle w:val="ListParagraph"/>
        <w:tabs>
          <w:tab w:val="num" w:pos="1440"/>
        </w:tabs>
        <w:ind w:left="1440" w:right="720" w:hanging="720"/>
        <w:rPr>
          <w:rFonts w:eastAsia="Times New Roman"/>
          <w:bCs/>
          <w:sz w:val="20"/>
          <w:szCs w:val="20"/>
          <w:bdr w:val="none" w:sz="0" w:space="0" w:color="auto"/>
          <w:lang w:val="es-ES"/>
        </w:rPr>
      </w:pPr>
    </w:p>
    <w:p w:rsidR="00E76C05" w:rsidRPr="00A16D62" w:rsidRDefault="00E76C05" w:rsidP="00A76BB1">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15"/>
          <w:tab w:val="left" w:pos="0"/>
          <w:tab w:val="num" w:pos="1440"/>
        </w:tabs>
        <w:ind w:left="1440" w:right="720" w:hanging="720"/>
        <w:jc w:val="both"/>
        <w:rPr>
          <w:rFonts w:eastAsia="Times New Roman"/>
          <w:bCs/>
          <w:sz w:val="20"/>
          <w:szCs w:val="20"/>
          <w:bdr w:val="none" w:sz="0" w:space="0" w:color="auto"/>
          <w:lang w:val="es-ES"/>
        </w:rPr>
      </w:pPr>
      <w:r w:rsidRPr="00A16D62">
        <w:rPr>
          <w:rFonts w:eastAsia="Times New Roman"/>
          <w:bCs/>
          <w:sz w:val="20"/>
          <w:szCs w:val="20"/>
          <w:bdr w:val="none" w:sz="0" w:space="0" w:color="auto"/>
          <w:lang w:val="es-ES"/>
        </w:rPr>
        <w:t>“</w:t>
      </w:r>
      <w:r w:rsidR="00390692" w:rsidRPr="00A16D62">
        <w:rPr>
          <w:rFonts w:eastAsia="Times New Roman"/>
          <w:bCs/>
          <w:sz w:val="20"/>
          <w:szCs w:val="20"/>
          <w:bdr w:val="none" w:sz="0" w:space="0" w:color="auto"/>
          <w:lang w:val="es-ES"/>
        </w:rPr>
        <w:t xml:space="preserve">Los peticionarios utilizaron una práctica laboral desleal de conformidad con el artículo </w:t>
      </w:r>
      <w:r w:rsidRPr="00A16D62">
        <w:rPr>
          <w:rFonts w:eastAsia="Times New Roman"/>
          <w:bCs/>
          <w:sz w:val="20"/>
          <w:szCs w:val="20"/>
          <w:bdr w:val="none" w:sz="0" w:space="0" w:color="auto"/>
          <w:lang w:val="es-ES"/>
        </w:rPr>
        <w:t xml:space="preserve">8(a)(3) </w:t>
      </w:r>
      <w:r w:rsidR="00390692" w:rsidRPr="00A16D62">
        <w:rPr>
          <w:rFonts w:eastAsia="Times New Roman"/>
          <w:bCs/>
          <w:sz w:val="20"/>
          <w:szCs w:val="20"/>
          <w:bdr w:val="none" w:sz="0" w:space="0" w:color="auto"/>
          <w:lang w:val="es-ES"/>
        </w:rPr>
        <w:t xml:space="preserve">de la </w:t>
      </w:r>
      <w:r w:rsidR="00C24E42" w:rsidRPr="00A16D62">
        <w:rPr>
          <w:rFonts w:eastAsia="Times New Roman"/>
          <w:bCs/>
          <w:sz w:val="20"/>
          <w:szCs w:val="20"/>
          <w:bdr w:val="none" w:sz="0" w:space="0" w:color="auto" w:frame="1"/>
          <w:lang w:val="es-ES"/>
        </w:rPr>
        <w:t>Ley Nacional de Relaciones Laborales</w:t>
      </w:r>
      <w:r w:rsidRPr="00A16D62">
        <w:rPr>
          <w:rFonts w:eastAsia="Times New Roman"/>
          <w:bCs/>
          <w:sz w:val="20"/>
          <w:szCs w:val="20"/>
          <w:bdr w:val="none" w:sz="0" w:space="0" w:color="auto"/>
          <w:lang w:val="es-ES"/>
        </w:rPr>
        <w:t xml:space="preserve"> </w:t>
      </w:r>
      <w:r w:rsidR="003D555D" w:rsidRPr="00A16D62">
        <w:rPr>
          <w:rFonts w:eastAsia="Times New Roman"/>
          <w:bCs/>
          <w:sz w:val="20"/>
          <w:szCs w:val="20"/>
          <w:bdr w:val="none" w:sz="0" w:space="0" w:color="auto"/>
          <w:lang w:val="es-ES"/>
        </w:rPr>
        <w:t>al despedir virtualmente a sus empleados</w:t>
      </w:r>
      <w:r w:rsidRPr="00A16D62">
        <w:rPr>
          <w:rFonts w:eastAsia="Times New Roman"/>
          <w:bCs/>
          <w:sz w:val="20"/>
          <w:szCs w:val="20"/>
          <w:bdr w:val="none" w:sz="0" w:space="0" w:color="auto"/>
          <w:lang w:val="es-ES"/>
        </w:rPr>
        <w:t xml:space="preserve"> </w:t>
      </w:r>
      <w:r w:rsidR="00160DBB" w:rsidRPr="00A16D62">
        <w:rPr>
          <w:rFonts w:eastAsia="Times New Roman"/>
          <w:bCs/>
          <w:sz w:val="20"/>
          <w:szCs w:val="20"/>
          <w:bdr w:val="none" w:sz="0" w:space="0" w:color="auto"/>
          <w:lang w:val="es-ES"/>
        </w:rPr>
        <w:t>extranjero</w:t>
      </w:r>
      <w:r w:rsidR="003D555D" w:rsidRPr="00A16D62">
        <w:rPr>
          <w:rFonts w:eastAsia="Times New Roman"/>
          <w:bCs/>
          <w:sz w:val="20"/>
          <w:szCs w:val="20"/>
          <w:bdr w:val="none" w:sz="0" w:space="0" w:color="auto"/>
          <w:lang w:val="es-ES"/>
        </w:rPr>
        <w:t>s</w:t>
      </w:r>
      <w:r w:rsidR="00160DBB" w:rsidRPr="00A16D62">
        <w:rPr>
          <w:rFonts w:eastAsia="Times New Roman"/>
          <w:bCs/>
          <w:sz w:val="20"/>
          <w:szCs w:val="20"/>
          <w:bdr w:val="none" w:sz="0" w:space="0" w:color="auto"/>
          <w:lang w:val="es-ES"/>
        </w:rPr>
        <w:t xml:space="preserve"> indocumentado</w:t>
      </w:r>
      <w:r w:rsidR="003D555D" w:rsidRPr="00A16D62">
        <w:rPr>
          <w:rFonts w:eastAsia="Times New Roman"/>
          <w:bCs/>
          <w:sz w:val="20"/>
          <w:szCs w:val="20"/>
          <w:bdr w:val="none" w:sz="0" w:space="0" w:color="auto"/>
          <w:lang w:val="es-ES"/>
        </w:rPr>
        <w:t>s</w:t>
      </w:r>
      <w:r w:rsidRPr="00A16D62">
        <w:rPr>
          <w:rFonts w:eastAsia="Times New Roman"/>
          <w:bCs/>
          <w:sz w:val="20"/>
          <w:szCs w:val="20"/>
          <w:bdr w:val="none" w:sz="0" w:space="0" w:color="auto"/>
          <w:lang w:val="es-ES"/>
        </w:rPr>
        <w:t xml:space="preserve"> </w:t>
      </w:r>
      <w:r w:rsidR="003D555D" w:rsidRPr="00A16D62">
        <w:rPr>
          <w:rFonts w:eastAsia="Times New Roman"/>
          <w:bCs/>
          <w:sz w:val="20"/>
          <w:szCs w:val="20"/>
          <w:bdr w:val="none" w:sz="0" w:space="0" w:color="auto"/>
          <w:lang w:val="es-ES"/>
        </w:rPr>
        <w:t xml:space="preserve">denunciándolos al </w:t>
      </w:r>
      <w:r w:rsidR="003D555D" w:rsidRPr="00A16D62">
        <w:rPr>
          <w:rFonts w:eastAsia="Times New Roman"/>
          <w:bCs/>
          <w:sz w:val="20"/>
          <w:szCs w:val="20"/>
          <w:bdr w:val="none" w:sz="0" w:space="0" w:color="auto" w:frame="1"/>
          <w:lang w:val="es-ES"/>
        </w:rPr>
        <w:t>Servicio de Inmigración y Naturalización</w:t>
      </w:r>
      <w:r w:rsidR="00EE3EF9" w:rsidRPr="00A16D62">
        <w:rPr>
          <w:rFonts w:eastAsia="Times New Roman"/>
          <w:bCs/>
          <w:sz w:val="20"/>
          <w:szCs w:val="20"/>
          <w:bdr w:val="none" w:sz="0" w:space="0" w:color="auto" w:frame="1"/>
          <w:lang w:val="es-ES"/>
        </w:rPr>
        <w:t xml:space="preserve"> como represalia por su participación en actividades sindicales</w:t>
      </w:r>
      <w:r w:rsidRPr="00A16D62">
        <w:rPr>
          <w:rFonts w:eastAsia="Times New Roman"/>
          <w:bCs/>
          <w:sz w:val="20"/>
          <w:szCs w:val="20"/>
          <w:bdr w:val="none" w:sz="0" w:space="0" w:color="auto"/>
          <w:lang w:val="es-ES"/>
        </w:rPr>
        <w:t>”</w:t>
      </w:r>
      <w:r w:rsidR="00EE3EF9" w:rsidRPr="00A16D62">
        <w:rPr>
          <w:rFonts w:eastAsia="Times New Roman"/>
          <w:bCs/>
          <w:sz w:val="20"/>
          <w:szCs w:val="20"/>
          <w:bdr w:val="none" w:sz="0" w:space="0" w:color="auto"/>
          <w:lang w:val="es-ES"/>
        </w:rPr>
        <w:t>; y</w:t>
      </w:r>
      <w:r w:rsidR="00095E1A" w:rsidRPr="00A16D62">
        <w:rPr>
          <w:rStyle w:val="FootnoteReference"/>
          <w:rFonts w:eastAsia="Times New Roman"/>
          <w:bCs/>
          <w:sz w:val="20"/>
          <w:szCs w:val="20"/>
          <w:bdr w:val="none" w:sz="0" w:space="0" w:color="auto"/>
          <w:lang w:val="es-ES"/>
        </w:rPr>
        <w:t xml:space="preserve"> </w:t>
      </w:r>
    </w:p>
    <w:p w:rsidR="00E76C05" w:rsidRPr="00A16D62" w:rsidRDefault="00E76C05" w:rsidP="00A76BB1">
      <w:pPr>
        <w:pStyle w:val="ListParagraph"/>
        <w:tabs>
          <w:tab w:val="num" w:pos="1440"/>
        </w:tabs>
        <w:ind w:left="1440" w:right="720" w:hanging="720"/>
        <w:rPr>
          <w:rFonts w:eastAsia="Times New Roman"/>
          <w:bCs/>
          <w:sz w:val="20"/>
          <w:szCs w:val="20"/>
          <w:bdr w:val="none" w:sz="0" w:space="0" w:color="auto"/>
          <w:lang w:val="es-ES"/>
        </w:rPr>
      </w:pPr>
    </w:p>
    <w:p w:rsidR="00095E1A" w:rsidRPr="00A16D62" w:rsidRDefault="00EE3EF9" w:rsidP="00A76BB1">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15"/>
          <w:tab w:val="left" w:pos="0"/>
          <w:tab w:val="num" w:pos="1440"/>
        </w:tabs>
        <w:ind w:left="1440" w:right="720" w:hanging="720"/>
        <w:jc w:val="both"/>
        <w:rPr>
          <w:rFonts w:eastAsia="Times New Roman"/>
          <w:bCs/>
          <w:sz w:val="20"/>
          <w:szCs w:val="20"/>
          <w:bdr w:val="none" w:sz="0" w:space="0" w:color="auto"/>
          <w:lang w:val="es-ES"/>
        </w:rPr>
      </w:pPr>
      <w:r w:rsidRPr="00A16D62">
        <w:rPr>
          <w:rFonts w:eastAsia="Times New Roman"/>
          <w:bCs/>
          <w:sz w:val="20"/>
          <w:szCs w:val="20"/>
          <w:bdr w:val="none" w:sz="0" w:space="0" w:color="auto"/>
          <w:lang w:val="es-ES"/>
        </w:rPr>
        <w:t xml:space="preserve">Con respecto a la reparación ordenada por la </w:t>
      </w:r>
      <w:r w:rsidR="00C24E42" w:rsidRPr="00A16D62">
        <w:rPr>
          <w:rFonts w:eastAsia="Times New Roman"/>
          <w:bCs/>
          <w:sz w:val="20"/>
          <w:szCs w:val="20"/>
          <w:bdr w:val="none" w:sz="0" w:space="0" w:color="auto" w:frame="1"/>
          <w:lang w:val="es-ES"/>
        </w:rPr>
        <w:t>Junta Nacional de Relaciones Laborales</w:t>
      </w:r>
      <w:r w:rsidRPr="00A16D62">
        <w:rPr>
          <w:rFonts w:eastAsia="Times New Roman"/>
          <w:bCs/>
          <w:sz w:val="20"/>
          <w:szCs w:val="20"/>
          <w:bdr w:val="none" w:sz="0" w:space="0" w:color="auto" w:frame="1"/>
          <w:lang w:val="es-ES"/>
        </w:rPr>
        <w:t xml:space="preserve">, incluida la figura de los </w:t>
      </w:r>
      <w:r w:rsidR="00E5771D" w:rsidRPr="00A16D62">
        <w:rPr>
          <w:rFonts w:eastAsia="Times New Roman"/>
          <w:bCs/>
          <w:sz w:val="20"/>
          <w:szCs w:val="20"/>
          <w:bdr w:val="none" w:sz="0" w:space="0" w:color="auto"/>
          <w:lang w:val="es-ES"/>
        </w:rPr>
        <w:t>salarios caídos</w:t>
      </w:r>
      <w:r w:rsidR="00DA5D1D" w:rsidRPr="00A16D62">
        <w:rPr>
          <w:rFonts w:eastAsia="Times New Roman"/>
          <w:bCs/>
          <w:sz w:val="20"/>
          <w:szCs w:val="20"/>
          <w:bdr w:val="none" w:sz="0" w:space="0" w:color="auto"/>
          <w:lang w:val="es-ES"/>
        </w:rPr>
        <w:t>, “</w:t>
      </w:r>
      <w:r w:rsidRPr="00A16D62">
        <w:rPr>
          <w:rFonts w:eastAsia="Times New Roman"/>
          <w:bCs/>
          <w:sz w:val="20"/>
          <w:szCs w:val="20"/>
          <w:bdr w:val="none" w:sz="0" w:space="0" w:color="auto"/>
          <w:lang w:val="es-ES"/>
        </w:rPr>
        <w:t xml:space="preserve">el </w:t>
      </w:r>
      <w:r w:rsidR="00C24E42" w:rsidRPr="00A16D62">
        <w:rPr>
          <w:rFonts w:eastAsia="Times New Roman"/>
          <w:bCs/>
          <w:sz w:val="20"/>
          <w:szCs w:val="20"/>
          <w:bdr w:val="none" w:sz="0" w:space="0" w:color="auto"/>
          <w:lang w:val="es-ES"/>
        </w:rPr>
        <w:t>Tribunal de Apelaciones</w:t>
      </w:r>
      <w:r w:rsidR="00E76C05" w:rsidRPr="00A16D62">
        <w:rPr>
          <w:rFonts w:eastAsia="Times New Roman"/>
          <w:bCs/>
          <w:sz w:val="20"/>
          <w:szCs w:val="20"/>
          <w:bdr w:val="none" w:sz="0" w:space="0" w:color="auto"/>
          <w:lang w:val="es-ES"/>
        </w:rPr>
        <w:t xml:space="preserve"> </w:t>
      </w:r>
      <w:r w:rsidRPr="00A16D62">
        <w:rPr>
          <w:rFonts w:eastAsia="Times New Roman"/>
          <w:bCs/>
          <w:sz w:val="20"/>
          <w:szCs w:val="20"/>
          <w:bdr w:val="none" w:sz="0" w:space="0" w:color="auto"/>
          <w:lang w:val="es-ES"/>
        </w:rPr>
        <w:t xml:space="preserve">[para el Séptimo Circuito] </w:t>
      </w:r>
      <w:r w:rsidR="00E76C05" w:rsidRPr="00A16D62">
        <w:rPr>
          <w:rFonts w:eastAsia="Times New Roman"/>
          <w:bCs/>
          <w:sz w:val="20"/>
          <w:szCs w:val="20"/>
          <w:bdr w:val="none" w:sz="0" w:space="0" w:color="auto"/>
          <w:lang w:val="es-ES"/>
        </w:rPr>
        <w:t>e</w:t>
      </w:r>
      <w:r w:rsidR="00DA5D1D" w:rsidRPr="00A16D62">
        <w:rPr>
          <w:rFonts w:eastAsia="Times New Roman"/>
          <w:bCs/>
          <w:sz w:val="20"/>
          <w:szCs w:val="20"/>
          <w:bdr w:val="none" w:sz="0" w:space="0" w:color="auto"/>
          <w:lang w:val="es-ES"/>
        </w:rPr>
        <w:t>rr</w:t>
      </w:r>
      <w:r w:rsidRPr="00A16D62">
        <w:rPr>
          <w:rFonts w:eastAsia="Times New Roman"/>
          <w:bCs/>
          <w:sz w:val="20"/>
          <w:szCs w:val="20"/>
          <w:bdr w:val="none" w:sz="0" w:space="0" w:color="auto"/>
          <w:lang w:val="es-ES"/>
        </w:rPr>
        <w:t xml:space="preserve">ó al modificar </w:t>
      </w:r>
      <w:r w:rsidR="00DA5D1D" w:rsidRPr="00A16D62">
        <w:rPr>
          <w:rFonts w:eastAsia="Times New Roman"/>
          <w:bCs/>
          <w:sz w:val="20"/>
          <w:szCs w:val="20"/>
          <w:bdr w:val="none" w:sz="0" w:space="0" w:color="auto"/>
          <w:lang w:val="es-ES"/>
        </w:rPr>
        <w:t>[</w:t>
      </w:r>
      <w:r w:rsidRPr="00A16D62">
        <w:rPr>
          <w:rFonts w:eastAsia="Times New Roman"/>
          <w:bCs/>
          <w:sz w:val="20"/>
          <w:szCs w:val="20"/>
          <w:bdr w:val="none" w:sz="0" w:space="0" w:color="auto"/>
          <w:lang w:val="es-ES"/>
        </w:rPr>
        <w:t>esta</w:t>
      </w:r>
      <w:r w:rsidR="00DA5D1D" w:rsidRPr="00A16D62">
        <w:rPr>
          <w:rFonts w:eastAsia="Times New Roman"/>
          <w:bCs/>
          <w:sz w:val="20"/>
          <w:szCs w:val="20"/>
          <w:bdr w:val="none" w:sz="0" w:space="0" w:color="auto"/>
          <w:lang w:val="es-ES"/>
        </w:rPr>
        <w:t xml:space="preserve">] </w:t>
      </w:r>
      <w:r w:rsidR="00E76C05" w:rsidRPr="00A16D62">
        <w:rPr>
          <w:rFonts w:eastAsia="Times New Roman"/>
          <w:bCs/>
          <w:sz w:val="20"/>
          <w:szCs w:val="20"/>
          <w:bdr w:val="none" w:sz="0" w:space="0" w:color="auto"/>
          <w:lang w:val="es-ES"/>
        </w:rPr>
        <w:t>orde</w:t>
      </w:r>
      <w:r w:rsidRPr="00A16D62">
        <w:rPr>
          <w:rFonts w:eastAsia="Times New Roman"/>
          <w:bCs/>
          <w:sz w:val="20"/>
          <w:szCs w:val="20"/>
          <w:bdr w:val="none" w:sz="0" w:space="0" w:color="auto"/>
          <w:lang w:val="es-ES"/>
        </w:rPr>
        <w:t>n</w:t>
      </w:r>
      <w:r w:rsidR="00E76C05" w:rsidRPr="00A16D62">
        <w:rPr>
          <w:rFonts w:eastAsia="Times New Roman"/>
          <w:bCs/>
          <w:sz w:val="20"/>
          <w:szCs w:val="20"/>
          <w:bdr w:val="none" w:sz="0" w:space="0" w:color="auto"/>
          <w:lang w:val="es-ES"/>
        </w:rPr>
        <w:t xml:space="preserve"> </w:t>
      </w:r>
      <w:r w:rsidRPr="00A16D62">
        <w:rPr>
          <w:rFonts w:eastAsia="Times New Roman"/>
          <w:bCs/>
          <w:sz w:val="20"/>
          <w:szCs w:val="20"/>
          <w:bdr w:val="none" w:sz="0" w:space="0" w:color="auto"/>
          <w:lang w:val="es-ES"/>
        </w:rPr>
        <w:t>[</w:t>
      </w:r>
      <w:r w:rsidR="00E76C05" w:rsidRPr="00A16D62">
        <w:rPr>
          <w:rFonts w:eastAsia="Times New Roman"/>
          <w:bCs/>
          <w:sz w:val="20"/>
          <w:szCs w:val="20"/>
          <w:bdr w:val="none" w:sz="0" w:space="0" w:color="auto"/>
          <w:lang w:val="es-ES"/>
        </w:rPr>
        <w:t>.</w:t>
      </w:r>
      <w:r w:rsidRPr="00A16D62">
        <w:rPr>
          <w:rFonts w:eastAsia="Times New Roman"/>
          <w:bCs/>
          <w:sz w:val="20"/>
          <w:szCs w:val="20"/>
          <w:bdr w:val="none" w:sz="0" w:space="0" w:color="auto"/>
          <w:lang w:val="es-ES"/>
        </w:rPr>
        <w:t>..]</w:t>
      </w:r>
      <w:r w:rsidR="00E76C05" w:rsidRPr="00A16D62">
        <w:rPr>
          <w:rFonts w:eastAsia="Times New Roman"/>
          <w:bCs/>
          <w:sz w:val="20"/>
          <w:szCs w:val="20"/>
          <w:bdr w:val="none" w:sz="0" w:space="0" w:color="auto"/>
          <w:lang w:val="es-ES"/>
        </w:rPr>
        <w:t xml:space="preserve"> </w:t>
      </w:r>
      <w:r w:rsidRPr="00A16D62">
        <w:rPr>
          <w:rFonts w:eastAsia="Times New Roman"/>
          <w:bCs/>
          <w:sz w:val="20"/>
          <w:szCs w:val="20"/>
          <w:bdr w:val="none" w:sz="0" w:space="0" w:color="auto"/>
          <w:lang w:val="es-ES"/>
        </w:rPr>
        <w:t xml:space="preserve">Cuando dio instrucciones a la Junta para que adjudicara </w:t>
      </w:r>
      <w:r w:rsidR="00E5771D" w:rsidRPr="00A16D62">
        <w:rPr>
          <w:rFonts w:eastAsia="Times New Roman"/>
          <w:bCs/>
          <w:sz w:val="20"/>
          <w:szCs w:val="20"/>
          <w:bdr w:val="none" w:sz="0" w:space="0" w:color="auto"/>
          <w:lang w:val="es-ES"/>
        </w:rPr>
        <w:t>salarios caídos</w:t>
      </w:r>
      <w:r w:rsidR="00E76C05" w:rsidRPr="00A16D62">
        <w:rPr>
          <w:rFonts w:eastAsia="Times New Roman"/>
          <w:bCs/>
          <w:sz w:val="20"/>
          <w:szCs w:val="20"/>
          <w:bdr w:val="none" w:sz="0" w:space="0" w:color="auto"/>
          <w:lang w:val="es-ES"/>
        </w:rPr>
        <w:t xml:space="preserve"> </w:t>
      </w:r>
      <w:r w:rsidRPr="00A16D62">
        <w:rPr>
          <w:rFonts w:eastAsia="Times New Roman"/>
          <w:bCs/>
          <w:sz w:val="20"/>
          <w:szCs w:val="20"/>
          <w:bdr w:val="none" w:sz="0" w:space="0" w:color="auto"/>
          <w:lang w:val="es-ES"/>
        </w:rPr>
        <w:t xml:space="preserve">que no fuesen inferiores a un mínimo sin tener en cuenta las pérdidas económicas reales de los </w:t>
      </w:r>
      <w:r w:rsidR="007B4310" w:rsidRPr="00A16D62">
        <w:rPr>
          <w:rFonts w:eastAsia="Times New Roman"/>
          <w:bCs/>
          <w:sz w:val="20"/>
          <w:szCs w:val="20"/>
          <w:bdr w:val="none" w:sz="0" w:space="0" w:color="auto"/>
          <w:lang w:val="es-ES"/>
        </w:rPr>
        <w:t>empleados</w:t>
      </w:r>
      <w:r w:rsidRPr="00A16D62">
        <w:rPr>
          <w:rFonts w:eastAsia="Times New Roman"/>
          <w:bCs/>
          <w:sz w:val="20"/>
          <w:szCs w:val="20"/>
          <w:bdr w:val="none" w:sz="0" w:space="0" w:color="auto"/>
          <w:lang w:val="es-ES"/>
        </w:rPr>
        <w:t xml:space="preserve"> o su </w:t>
      </w:r>
      <w:r w:rsidR="00E86DEF" w:rsidRPr="00A16D62">
        <w:rPr>
          <w:rFonts w:eastAsia="Times New Roman"/>
          <w:bCs/>
          <w:sz w:val="20"/>
          <w:szCs w:val="20"/>
          <w:bdr w:val="none" w:sz="0" w:space="0" w:color="auto"/>
          <w:lang w:val="es-ES"/>
        </w:rPr>
        <w:t>disponibilidad</w:t>
      </w:r>
      <w:r w:rsidRPr="00A16D62">
        <w:rPr>
          <w:rFonts w:eastAsia="Times New Roman"/>
          <w:bCs/>
          <w:sz w:val="20"/>
          <w:szCs w:val="20"/>
          <w:bdr w:val="none" w:sz="0" w:space="0" w:color="auto"/>
          <w:lang w:val="es-ES"/>
        </w:rPr>
        <w:t xml:space="preserve"> legal para trabajar, el tribunal excedió su limitada potestad de revisión de acuerdo con la </w:t>
      </w:r>
      <w:r w:rsidR="00C24E42" w:rsidRPr="00A16D62">
        <w:rPr>
          <w:rFonts w:eastAsia="Times New Roman"/>
          <w:bCs/>
          <w:sz w:val="20"/>
          <w:szCs w:val="20"/>
          <w:bdr w:val="none" w:sz="0" w:space="0" w:color="auto" w:frame="1"/>
          <w:lang w:val="es-ES"/>
        </w:rPr>
        <w:t>Ley Nacional de Relaciones Laborales</w:t>
      </w:r>
      <w:r w:rsidR="00E76C05" w:rsidRPr="00A16D62">
        <w:rPr>
          <w:rFonts w:eastAsia="Times New Roman"/>
          <w:bCs/>
          <w:sz w:val="20"/>
          <w:szCs w:val="20"/>
          <w:bdr w:val="none" w:sz="0" w:space="0" w:color="auto"/>
          <w:lang w:val="es-ES"/>
        </w:rPr>
        <w:t xml:space="preserve">. </w:t>
      </w:r>
      <w:r w:rsidRPr="00A16D62">
        <w:rPr>
          <w:rFonts w:eastAsia="Times New Roman"/>
          <w:bCs/>
          <w:sz w:val="20"/>
          <w:szCs w:val="20"/>
          <w:bdr w:val="none" w:sz="0" w:space="0" w:color="auto"/>
          <w:lang w:val="es-ES"/>
        </w:rPr>
        <w:t xml:space="preserve">La reparación de </w:t>
      </w:r>
      <w:r w:rsidR="00E5771D" w:rsidRPr="00A16D62">
        <w:rPr>
          <w:rFonts w:eastAsia="Times New Roman"/>
          <w:bCs/>
          <w:sz w:val="20"/>
          <w:szCs w:val="20"/>
          <w:bdr w:val="none" w:sz="0" w:space="0" w:color="auto"/>
          <w:lang w:val="es-ES"/>
        </w:rPr>
        <w:t>salarios caídos</w:t>
      </w:r>
      <w:r w:rsidR="00FA7BCC" w:rsidRPr="00A16D62">
        <w:rPr>
          <w:rFonts w:eastAsia="Times New Roman"/>
          <w:bCs/>
          <w:sz w:val="20"/>
          <w:szCs w:val="20"/>
          <w:bdr w:val="none" w:sz="0" w:space="0" w:color="auto"/>
          <w:lang w:val="es-ES"/>
        </w:rPr>
        <w:t xml:space="preserve"> </w:t>
      </w:r>
      <w:r w:rsidRPr="00A16D62">
        <w:rPr>
          <w:rFonts w:eastAsia="Times New Roman"/>
          <w:bCs/>
          <w:sz w:val="20"/>
          <w:szCs w:val="20"/>
          <w:bdr w:val="none" w:sz="0" w:space="0" w:color="auto"/>
          <w:lang w:val="es-ES"/>
        </w:rPr>
        <w:t>debe adaptarse con el fin de expurgar solamente las consecuencias reales, y no especulativas, de una práctica laboral desleal</w:t>
      </w:r>
      <w:r w:rsidR="00FA7BCC" w:rsidRPr="00A16D62">
        <w:rPr>
          <w:rFonts w:eastAsia="Times New Roman"/>
          <w:bCs/>
          <w:sz w:val="20"/>
          <w:szCs w:val="20"/>
          <w:bdr w:val="none" w:sz="0" w:space="0" w:color="auto"/>
          <w:lang w:val="es-ES"/>
        </w:rPr>
        <w:t>”</w:t>
      </w:r>
      <w:r w:rsidR="00DA5D1D" w:rsidRPr="00A16D62">
        <w:rPr>
          <w:rStyle w:val="FootnoteReference"/>
          <w:rFonts w:eastAsia="Times New Roman"/>
          <w:bCs/>
          <w:sz w:val="20"/>
          <w:szCs w:val="20"/>
          <w:bdr w:val="none" w:sz="0" w:space="0" w:color="auto"/>
          <w:lang w:val="es-ES"/>
        </w:rPr>
        <w:footnoteReference w:id="50"/>
      </w:r>
      <w:r w:rsidRPr="00A16D62">
        <w:rPr>
          <w:rFonts w:eastAsia="Times New Roman"/>
          <w:bCs/>
          <w:sz w:val="20"/>
          <w:szCs w:val="20"/>
          <w:bdr w:val="none" w:sz="0" w:space="0" w:color="auto"/>
          <w:lang w:val="es-ES"/>
        </w:rPr>
        <w:t>.</w:t>
      </w:r>
    </w:p>
    <w:p w:rsidR="00095E1A" w:rsidRPr="00A16D62" w:rsidRDefault="00095E1A" w:rsidP="00095E1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7E7344" w:rsidRPr="00A16D62" w:rsidRDefault="00EE3EF9" w:rsidP="0069779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Con respecto al inciso </w:t>
      </w:r>
      <w:r w:rsidR="00DA5D1D" w:rsidRPr="00A16D62">
        <w:rPr>
          <w:rFonts w:ascii="Cambria" w:eastAsia="Times New Roman" w:hAnsi="Cambria"/>
          <w:bCs/>
          <w:sz w:val="20"/>
          <w:szCs w:val="20"/>
          <w:bdr w:val="none" w:sz="0" w:space="0" w:color="auto"/>
          <w:lang w:val="es-ES"/>
        </w:rPr>
        <w:t>(e</w:t>
      </w:r>
      <w:r w:rsidR="00FA7BCC" w:rsidRPr="00A16D62">
        <w:rPr>
          <w:rFonts w:ascii="Cambria" w:eastAsia="Times New Roman" w:hAnsi="Cambria"/>
          <w:bCs/>
          <w:sz w:val="20"/>
          <w:szCs w:val="20"/>
          <w:bdr w:val="none" w:sz="0" w:space="0" w:color="auto"/>
          <w:lang w:val="es-ES"/>
        </w:rPr>
        <w:t xml:space="preserve">), </w:t>
      </w:r>
      <w:r w:rsidR="00C24E42" w:rsidRPr="00A16D62">
        <w:rPr>
          <w:rFonts w:ascii="Cambria" w:eastAsia="Times New Roman" w:hAnsi="Cambria"/>
          <w:bCs/>
          <w:sz w:val="20"/>
          <w:szCs w:val="20"/>
          <w:bdr w:val="none" w:sz="0" w:space="0" w:color="auto"/>
          <w:lang w:val="es-ES"/>
        </w:rPr>
        <w:t>la Corte Suprema</w:t>
      </w:r>
      <w:r w:rsidRPr="00A16D62">
        <w:rPr>
          <w:rFonts w:ascii="Cambria" w:eastAsia="Times New Roman" w:hAnsi="Cambria"/>
          <w:bCs/>
          <w:sz w:val="20"/>
          <w:szCs w:val="20"/>
          <w:bdr w:val="none" w:sz="0" w:space="0" w:color="auto"/>
          <w:lang w:val="es-ES"/>
        </w:rPr>
        <w:t>, en el caso</w:t>
      </w:r>
      <w:r w:rsidR="00FA7BCC" w:rsidRPr="00A16D62">
        <w:rPr>
          <w:rFonts w:ascii="Cambria" w:eastAsia="Times New Roman" w:hAnsi="Cambria"/>
          <w:bCs/>
          <w:sz w:val="20"/>
          <w:szCs w:val="20"/>
          <w:bdr w:val="none" w:sz="0" w:space="0" w:color="auto"/>
          <w:lang w:val="es-ES"/>
        </w:rPr>
        <w:t xml:space="preserve"> </w:t>
      </w:r>
      <w:r w:rsidR="00FA7BCC" w:rsidRPr="00A16D62">
        <w:rPr>
          <w:rFonts w:ascii="Cambria" w:eastAsia="Times New Roman" w:hAnsi="Cambria"/>
          <w:bCs/>
          <w:i/>
          <w:sz w:val="20"/>
          <w:szCs w:val="20"/>
          <w:bdr w:val="none" w:sz="0" w:space="0" w:color="auto"/>
          <w:lang w:val="es-ES"/>
        </w:rPr>
        <w:t>Sure-Tan</w:t>
      </w:r>
      <w:r w:rsidRPr="00A16D62">
        <w:rPr>
          <w:rFonts w:ascii="Cambria" w:eastAsia="Times New Roman" w:hAnsi="Cambria"/>
          <w:bCs/>
          <w:sz w:val="20"/>
          <w:szCs w:val="20"/>
          <w:bdr w:val="none" w:sz="0" w:space="0" w:color="auto"/>
          <w:lang w:val="es-ES"/>
        </w:rPr>
        <w:t xml:space="preserve">, concluyó que la </w:t>
      </w:r>
      <w:r w:rsidR="00FA7BCC"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falla principal</w:t>
      </w:r>
      <w:r w:rsidR="00FA7BC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 la decisión del </w:t>
      </w:r>
      <w:r w:rsidR="00C24E42" w:rsidRPr="00A16D62">
        <w:rPr>
          <w:rFonts w:ascii="Cambria" w:eastAsia="Times New Roman" w:hAnsi="Cambria"/>
          <w:bCs/>
          <w:sz w:val="20"/>
          <w:szCs w:val="20"/>
          <w:bdr w:val="none" w:sz="0" w:space="0" w:color="auto"/>
          <w:lang w:val="es-ES"/>
        </w:rPr>
        <w:t>Tribunal de Apelaciones</w:t>
      </w:r>
      <w:r w:rsidRPr="00A16D62">
        <w:rPr>
          <w:rFonts w:ascii="Cambria" w:eastAsia="Times New Roman" w:hAnsi="Cambria"/>
          <w:bCs/>
          <w:sz w:val="20"/>
          <w:szCs w:val="20"/>
          <w:bdr w:val="none" w:sz="0" w:space="0" w:color="auto"/>
          <w:lang w:val="es-ES"/>
        </w:rPr>
        <w:t xml:space="preserve"> para el Séptimo Circuito </w:t>
      </w:r>
      <w:r w:rsidR="00C47616" w:rsidRPr="00A16D62">
        <w:rPr>
          <w:rFonts w:ascii="Cambria" w:eastAsia="Times New Roman" w:hAnsi="Cambria"/>
          <w:bCs/>
          <w:sz w:val="20"/>
          <w:szCs w:val="20"/>
          <w:bdr w:val="none" w:sz="0" w:space="0" w:color="auto"/>
          <w:lang w:val="es-ES"/>
        </w:rPr>
        <w:t xml:space="preserve">relativa a la revisión fue el monto de los </w:t>
      </w:r>
      <w:r w:rsidR="00E5771D" w:rsidRPr="00A16D62">
        <w:rPr>
          <w:rFonts w:ascii="Cambria" w:eastAsia="Times New Roman" w:hAnsi="Cambria"/>
          <w:bCs/>
          <w:sz w:val="20"/>
          <w:szCs w:val="20"/>
          <w:bdr w:val="none" w:sz="0" w:space="0" w:color="auto"/>
          <w:lang w:val="es-ES"/>
        </w:rPr>
        <w:t>salarios caídos</w:t>
      </w:r>
      <w:r w:rsidR="00591A8A" w:rsidRPr="00A16D62">
        <w:rPr>
          <w:rFonts w:ascii="Cambria" w:eastAsia="Times New Roman" w:hAnsi="Cambria"/>
          <w:bCs/>
          <w:sz w:val="20"/>
          <w:szCs w:val="20"/>
          <w:bdr w:val="none" w:sz="0" w:space="0" w:color="auto"/>
          <w:lang w:val="es-ES"/>
        </w:rPr>
        <w:t xml:space="preserve"> orde</w:t>
      </w:r>
      <w:r w:rsidR="00C47616" w:rsidRPr="00A16D62">
        <w:rPr>
          <w:rFonts w:ascii="Cambria" w:eastAsia="Times New Roman" w:hAnsi="Cambria"/>
          <w:bCs/>
          <w:sz w:val="20"/>
          <w:szCs w:val="20"/>
          <w:bdr w:val="none" w:sz="0" w:space="0" w:color="auto"/>
          <w:lang w:val="es-ES"/>
        </w:rPr>
        <w:t xml:space="preserve">nado, no que hubiera ordenado </w:t>
      </w:r>
      <w:r w:rsidR="00E5771D" w:rsidRPr="00A16D62">
        <w:rPr>
          <w:rFonts w:ascii="Cambria" w:eastAsia="Times New Roman" w:hAnsi="Cambria"/>
          <w:bCs/>
          <w:sz w:val="20"/>
          <w:szCs w:val="20"/>
          <w:bdr w:val="none" w:sz="0" w:space="0" w:color="auto"/>
          <w:lang w:val="es-ES"/>
        </w:rPr>
        <w:t>salarios caídos</w:t>
      </w:r>
      <w:r w:rsidR="006F6DA6" w:rsidRPr="00A16D62">
        <w:rPr>
          <w:rStyle w:val="FootnoteReference"/>
          <w:rFonts w:ascii="Cambria" w:eastAsia="Times New Roman" w:hAnsi="Cambria"/>
          <w:bCs/>
          <w:sz w:val="20"/>
          <w:szCs w:val="20"/>
          <w:bdr w:val="none" w:sz="0" w:space="0" w:color="auto"/>
          <w:lang w:val="es-ES"/>
        </w:rPr>
        <w:footnoteReference w:id="51"/>
      </w:r>
      <w:r w:rsidR="00C47616" w:rsidRPr="00A16D62">
        <w:rPr>
          <w:rFonts w:ascii="Cambria" w:eastAsia="Times New Roman" w:hAnsi="Cambria"/>
          <w:bCs/>
          <w:sz w:val="20"/>
          <w:szCs w:val="20"/>
          <w:bdr w:val="none" w:sz="0" w:space="0" w:color="auto"/>
          <w:lang w:val="es-ES"/>
        </w:rPr>
        <w:t xml:space="preserve">. Concretamente, la objeción de la Corte Suprema con respecto a la decisión del </w:t>
      </w:r>
      <w:r w:rsidR="00C24E42" w:rsidRPr="00A16D62">
        <w:rPr>
          <w:rFonts w:ascii="Cambria" w:eastAsia="Times New Roman" w:hAnsi="Cambria"/>
          <w:bCs/>
          <w:sz w:val="20"/>
          <w:szCs w:val="20"/>
          <w:bdr w:val="none" w:sz="0" w:space="0" w:color="auto"/>
          <w:lang w:val="es-ES"/>
        </w:rPr>
        <w:t>Tribunal de Apelaciones</w:t>
      </w:r>
      <w:r w:rsidR="00C47616" w:rsidRPr="00A16D62">
        <w:rPr>
          <w:rFonts w:ascii="Cambria" w:eastAsia="Times New Roman" w:hAnsi="Cambria"/>
          <w:bCs/>
          <w:sz w:val="20"/>
          <w:szCs w:val="20"/>
          <w:bdr w:val="none" w:sz="0" w:space="0" w:color="auto"/>
          <w:lang w:val="es-ES"/>
        </w:rPr>
        <w:t xml:space="preserve"> en el caso </w:t>
      </w:r>
      <w:r w:rsidR="006F6DA6" w:rsidRPr="00A16D62">
        <w:rPr>
          <w:rFonts w:ascii="Cambria" w:eastAsia="Times New Roman" w:hAnsi="Cambria"/>
          <w:bCs/>
          <w:i/>
          <w:sz w:val="20"/>
          <w:szCs w:val="20"/>
          <w:bdr w:val="none" w:sz="0" w:space="0" w:color="auto"/>
          <w:lang w:val="es-ES"/>
        </w:rPr>
        <w:t>Sure-Tan</w:t>
      </w:r>
      <w:r w:rsidR="006F6DA6" w:rsidRPr="00A16D62">
        <w:rPr>
          <w:rFonts w:ascii="Cambria" w:eastAsia="Times New Roman" w:hAnsi="Cambria"/>
          <w:bCs/>
          <w:sz w:val="20"/>
          <w:szCs w:val="20"/>
          <w:bdr w:val="none" w:sz="0" w:space="0" w:color="auto"/>
          <w:lang w:val="es-ES"/>
        </w:rPr>
        <w:t xml:space="preserve"> </w:t>
      </w:r>
      <w:r w:rsidR="00C47616" w:rsidRPr="00A16D62">
        <w:rPr>
          <w:rFonts w:ascii="Cambria" w:eastAsia="Times New Roman" w:hAnsi="Cambria"/>
          <w:bCs/>
          <w:sz w:val="20"/>
          <w:szCs w:val="20"/>
          <w:bdr w:val="none" w:sz="0" w:space="0" w:color="auto"/>
          <w:lang w:val="es-ES"/>
        </w:rPr>
        <w:t xml:space="preserve">fue que el Tribunal de Apelaciones no tomó en consideración </w:t>
      </w:r>
      <w:r w:rsidR="00A869B7" w:rsidRPr="00A16D62">
        <w:rPr>
          <w:rFonts w:ascii="Cambria" w:eastAsia="Times New Roman" w:hAnsi="Cambria"/>
          <w:bCs/>
          <w:sz w:val="20"/>
          <w:szCs w:val="20"/>
          <w:bdr w:val="none" w:sz="0" w:space="0" w:color="auto"/>
          <w:lang w:val="es-ES"/>
        </w:rPr>
        <w:t>“</w:t>
      </w:r>
      <w:r w:rsidR="00C47616" w:rsidRPr="00A16D62">
        <w:rPr>
          <w:rFonts w:ascii="Cambria" w:eastAsia="Times New Roman" w:hAnsi="Cambria"/>
          <w:bCs/>
          <w:sz w:val="20"/>
          <w:szCs w:val="20"/>
          <w:bdr w:val="none" w:sz="0" w:space="0" w:color="auto"/>
          <w:lang w:val="es-ES"/>
        </w:rPr>
        <w:t xml:space="preserve">el tiempo durante el cual estos </w:t>
      </w:r>
      <w:r w:rsidR="007B4310" w:rsidRPr="00A16D62">
        <w:rPr>
          <w:rFonts w:ascii="Cambria" w:eastAsia="Times New Roman" w:hAnsi="Cambria"/>
          <w:bCs/>
          <w:sz w:val="20"/>
          <w:szCs w:val="20"/>
          <w:bdr w:val="none" w:sz="0" w:space="0" w:color="auto"/>
          <w:lang w:val="es-ES"/>
        </w:rPr>
        <w:t>empleados</w:t>
      </w:r>
      <w:r w:rsidR="00A869B7" w:rsidRPr="00A16D62">
        <w:rPr>
          <w:rFonts w:ascii="Cambria" w:eastAsia="Times New Roman" w:hAnsi="Cambria"/>
          <w:bCs/>
          <w:sz w:val="20"/>
          <w:szCs w:val="20"/>
          <w:bdr w:val="none" w:sz="0" w:space="0" w:color="auto"/>
          <w:lang w:val="es-ES"/>
        </w:rPr>
        <w:t xml:space="preserve"> </w:t>
      </w:r>
      <w:r w:rsidR="00C47616" w:rsidRPr="00A16D62">
        <w:rPr>
          <w:rFonts w:ascii="Cambria" w:eastAsia="Times New Roman" w:hAnsi="Cambria"/>
          <w:bCs/>
          <w:sz w:val="20"/>
          <w:szCs w:val="20"/>
          <w:bdr w:val="none" w:sz="0" w:space="0" w:color="auto"/>
          <w:lang w:val="es-ES"/>
        </w:rPr>
        <w:t xml:space="preserve">en particular podrían haber seguido trabajando antes de ser detenidos por el </w:t>
      </w:r>
      <w:r w:rsidR="00692314" w:rsidRPr="00A16D62">
        <w:rPr>
          <w:rFonts w:ascii="Cambria" w:eastAsia="Times New Roman" w:hAnsi="Cambria"/>
          <w:bCs/>
          <w:sz w:val="20"/>
          <w:szCs w:val="20"/>
          <w:bdr w:val="none" w:sz="0" w:space="0" w:color="auto"/>
          <w:lang w:val="es-ES"/>
        </w:rPr>
        <w:t>Servicio de Inmigración y Naturalización</w:t>
      </w:r>
      <w:r w:rsidR="00A869B7" w:rsidRPr="00A16D62">
        <w:rPr>
          <w:rFonts w:ascii="Cambria" w:eastAsia="Times New Roman" w:hAnsi="Cambria"/>
          <w:bCs/>
          <w:sz w:val="20"/>
          <w:szCs w:val="20"/>
          <w:bdr w:val="none" w:sz="0" w:space="0" w:color="auto"/>
          <w:lang w:val="es-ES"/>
        </w:rPr>
        <w:t xml:space="preserve"> </w:t>
      </w:r>
      <w:r w:rsidR="00B42066" w:rsidRPr="00A16D62">
        <w:rPr>
          <w:rFonts w:ascii="Cambria" w:eastAsia="Times New Roman" w:hAnsi="Cambria"/>
          <w:bCs/>
          <w:sz w:val="20"/>
          <w:szCs w:val="20"/>
          <w:bdr w:val="none" w:sz="0" w:space="0" w:color="auto"/>
          <w:lang w:val="es-ES"/>
        </w:rPr>
        <w:t xml:space="preserve">y no dio a los </w:t>
      </w:r>
      <w:r w:rsidR="00180125" w:rsidRPr="00A16D62">
        <w:rPr>
          <w:rFonts w:ascii="Cambria" w:eastAsia="Times New Roman" w:hAnsi="Cambria"/>
          <w:bCs/>
          <w:sz w:val="20"/>
          <w:szCs w:val="20"/>
          <w:bdr w:val="none" w:sz="0" w:space="0" w:color="auto"/>
          <w:lang w:val="es-ES"/>
        </w:rPr>
        <w:t>peticionarios</w:t>
      </w:r>
      <w:r w:rsidR="00A869B7" w:rsidRPr="00A16D62">
        <w:rPr>
          <w:rFonts w:ascii="Cambria" w:eastAsia="Times New Roman" w:hAnsi="Cambria"/>
          <w:bCs/>
          <w:sz w:val="20"/>
          <w:szCs w:val="20"/>
          <w:bdr w:val="none" w:sz="0" w:space="0" w:color="auto"/>
          <w:lang w:val="es-ES"/>
        </w:rPr>
        <w:t xml:space="preserve"> </w:t>
      </w:r>
      <w:r w:rsidR="00B42066" w:rsidRPr="00A16D62">
        <w:rPr>
          <w:rFonts w:ascii="Cambria" w:eastAsia="Times New Roman" w:hAnsi="Cambria"/>
          <w:bCs/>
          <w:sz w:val="20"/>
          <w:szCs w:val="20"/>
          <w:bdr w:val="none" w:sz="0" w:space="0" w:color="auto"/>
          <w:lang w:val="es-ES"/>
        </w:rPr>
        <w:t>la oportunidad de presentar pruebas mitigantes</w:t>
      </w:r>
      <w:r w:rsidR="00A869B7" w:rsidRPr="00A16D62">
        <w:rPr>
          <w:rFonts w:ascii="Cambria" w:eastAsia="Times New Roman" w:hAnsi="Cambria"/>
          <w:bCs/>
          <w:sz w:val="20"/>
          <w:szCs w:val="20"/>
          <w:bdr w:val="none" w:sz="0" w:space="0" w:color="auto"/>
          <w:lang w:val="es-ES"/>
        </w:rPr>
        <w:t xml:space="preserve">” </w:t>
      </w:r>
      <w:r w:rsidR="00B42066" w:rsidRPr="00A16D62">
        <w:rPr>
          <w:rFonts w:ascii="Cambria" w:eastAsia="Times New Roman" w:hAnsi="Cambria"/>
          <w:bCs/>
          <w:sz w:val="20"/>
          <w:szCs w:val="20"/>
          <w:bdr w:val="none" w:sz="0" w:space="0" w:color="auto"/>
          <w:lang w:val="es-ES"/>
        </w:rPr>
        <w:t xml:space="preserve">al calcular el monto estimado de </w:t>
      </w:r>
      <w:r w:rsidR="00E5771D" w:rsidRPr="00A16D62">
        <w:rPr>
          <w:rFonts w:ascii="Cambria" w:eastAsia="Times New Roman" w:hAnsi="Cambria"/>
          <w:bCs/>
          <w:sz w:val="20"/>
          <w:szCs w:val="20"/>
          <w:bdr w:val="none" w:sz="0" w:space="0" w:color="auto"/>
          <w:lang w:val="es-ES"/>
        </w:rPr>
        <w:t>salarios caídos</w:t>
      </w:r>
      <w:r w:rsidR="00A869B7" w:rsidRPr="00A16D62">
        <w:rPr>
          <w:rStyle w:val="FootnoteReference"/>
          <w:rFonts w:ascii="Cambria" w:eastAsia="Times New Roman" w:hAnsi="Cambria"/>
          <w:bCs/>
          <w:sz w:val="20"/>
          <w:szCs w:val="20"/>
          <w:bdr w:val="none" w:sz="0" w:space="0" w:color="auto"/>
          <w:lang w:val="es-ES"/>
        </w:rPr>
        <w:footnoteReference w:id="52"/>
      </w:r>
      <w:r w:rsidR="00B42066" w:rsidRPr="00A16D62">
        <w:rPr>
          <w:rFonts w:ascii="Cambria" w:eastAsia="Times New Roman" w:hAnsi="Cambria"/>
          <w:bCs/>
          <w:sz w:val="20"/>
          <w:szCs w:val="20"/>
          <w:bdr w:val="none" w:sz="0" w:space="0" w:color="auto"/>
          <w:lang w:val="es-ES"/>
        </w:rPr>
        <w:t xml:space="preserve">. La </w:t>
      </w:r>
      <w:r w:rsidR="00C24E42" w:rsidRPr="00A16D62">
        <w:rPr>
          <w:rFonts w:ascii="Cambria" w:eastAsia="Times New Roman" w:hAnsi="Cambria"/>
          <w:bCs/>
          <w:sz w:val="20"/>
          <w:szCs w:val="20"/>
          <w:bdr w:val="none" w:sz="0" w:space="0" w:color="auto"/>
          <w:lang w:val="es-ES"/>
        </w:rPr>
        <w:t>Corte Suprema</w:t>
      </w:r>
      <w:r w:rsidR="005C5540" w:rsidRPr="00A16D62">
        <w:rPr>
          <w:rFonts w:ascii="Cambria" w:eastAsia="Times New Roman" w:hAnsi="Cambria"/>
          <w:bCs/>
          <w:sz w:val="20"/>
          <w:szCs w:val="20"/>
          <w:bdr w:val="none" w:sz="0" w:space="0" w:color="auto"/>
          <w:lang w:val="es-ES"/>
        </w:rPr>
        <w:t xml:space="preserve"> </w:t>
      </w:r>
      <w:r w:rsidR="00447E2C" w:rsidRPr="00A16D62">
        <w:rPr>
          <w:rFonts w:ascii="Cambria" w:eastAsia="Times New Roman" w:hAnsi="Cambria"/>
          <w:bCs/>
          <w:sz w:val="20"/>
          <w:szCs w:val="20"/>
          <w:bdr w:val="none" w:sz="0" w:space="0" w:color="auto"/>
          <w:lang w:val="es-ES"/>
        </w:rPr>
        <w:t>expl</w:t>
      </w:r>
      <w:r w:rsidR="00B42066" w:rsidRPr="00A16D62">
        <w:rPr>
          <w:rFonts w:ascii="Cambria" w:eastAsia="Times New Roman" w:hAnsi="Cambria"/>
          <w:bCs/>
          <w:sz w:val="20"/>
          <w:szCs w:val="20"/>
          <w:bdr w:val="none" w:sz="0" w:space="0" w:color="auto"/>
          <w:lang w:val="es-ES"/>
        </w:rPr>
        <w:t>icó</w:t>
      </w:r>
      <w:r w:rsidR="005C5540" w:rsidRPr="00A16D62">
        <w:rPr>
          <w:rFonts w:ascii="Cambria" w:eastAsia="Times New Roman" w:hAnsi="Cambria"/>
          <w:bCs/>
          <w:sz w:val="20"/>
          <w:szCs w:val="20"/>
          <w:bdr w:val="none" w:sz="0" w:space="0" w:color="auto"/>
          <w:lang w:val="es-ES"/>
        </w:rPr>
        <w:t xml:space="preserve">: </w:t>
      </w:r>
    </w:p>
    <w:p w:rsidR="007E7344" w:rsidRPr="00A16D62" w:rsidRDefault="007E7344" w:rsidP="007E734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FA7BCC" w:rsidRPr="00A16D62" w:rsidRDefault="005C5540" w:rsidP="007E734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w:t>
      </w:r>
      <w:r w:rsidR="00B42066" w:rsidRPr="00A16D62">
        <w:rPr>
          <w:rFonts w:ascii="Cambria" w:eastAsia="Times New Roman" w:hAnsi="Cambria"/>
          <w:bCs/>
          <w:sz w:val="20"/>
          <w:szCs w:val="20"/>
          <w:bdr w:val="none" w:sz="0" w:space="0" w:color="auto"/>
          <w:lang w:val="es-ES"/>
        </w:rPr>
        <w:t>E</w:t>
      </w:r>
      <w:r w:rsidRPr="00A16D62">
        <w:rPr>
          <w:rFonts w:ascii="Cambria" w:eastAsia="Times New Roman" w:hAnsi="Cambria"/>
          <w:bCs/>
          <w:sz w:val="20"/>
          <w:szCs w:val="20"/>
          <w:bdr w:val="none" w:sz="0" w:space="0" w:color="auto"/>
          <w:lang w:val="es-ES"/>
        </w:rPr>
        <w:t>]</w:t>
      </w:r>
      <w:r w:rsidR="00B42066" w:rsidRPr="00A16D62">
        <w:rPr>
          <w:rFonts w:ascii="Cambria" w:eastAsia="Times New Roman" w:hAnsi="Cambria"/>
          <w:bCs/>
          <w:sz w:val="20"/>
          <w:szCs w:val="20"/>
          <w:bdr w:val="none" w:sz="0" w:space="0" w:color="auto"/>
          <w:lang w:val="es-ES"/>
        </w:rPr>
        <w:t xml:space="preserve">l </w:t>
      </w:r>
      <w:r w:rsidR="00C24E42" w:rsidRPr="00A16D62">
        <w:rPr>
          <w:rFonts w:ascii="Cambria" w:eastAsia="Times New Roman" w:hAnsi="Cambria"/>
          <w:bCs/>
          <w:sz w:val="20"/>
          <w:szCs w:val="20"/>
          <w:bdr w:val="none" w:sz="0" w:space="0" w:color="auto"/>
          <w:lang w:val="es-ES"/>
        </w:rPr>
        <w:t>Tribunal de Apelaciones</w:t>
      </w:r>
      <w:r w:rsidRPr="00A16D62">
        <w:rPr>
          <w:rFonts w:ascii="Cambria" w:eastAsia="Times New Roman" w:hAnsi="Cambria"/>
          <w:bCs/>
          <w:sz w:val="20"/>
          <w:szCs w:val="20"/>
          <w:bdr w:val="none" w:sz="0" w:space="0" w:color="auto"/>
          <w:lang w:val="es-ES"/>
        </w:rPr>
        <w:t xml:space="preserve"> reco</w:t>
      </w:r>
      <w:r w:rsidR="00B42066" w:rsidRPr="00A16D62">
        <w:rPr>
          <w:rFonts w:ascii="Cambria" w:eastAsia="Times New Roman" w:hAnsi="Cambria"/>
          <w:bCs/>
          <w:sz w:val="20"/>
          <w:szCs w:val="20"/>
          <w:bdr w:val="none" w:sz="0" w:space="0" w:color="auto"/>
          <w:lang w:val="es-ES"/>
        </w:rPr>
        <w:t xml:space="preserve">noció </w:t>
      </w:r>
      <w:r w:rsidR="00B42066" w:rsidRPr="00A16D62">
        <w:rPr>
          <w:rFonts w:eastAsia="Times New Roman"/>
          <w:bCs/>
          <w:sz w:val="20"/>
          <w:szCs w:val="20"/>
          <w:bdr w:val="none" w:sz="0" w:space="0" w:color="auto"/>
          <w:lang w:val="es-ES"/>
        </w:rPr>
        <w:t>[...]</w:t>
      </w:r>
      <w:r w:rsidRPr="00A16D62">
        <w:rPr>
          <w:rFonts w:ascii="Cambria" w:eastAsia="Times New Roman" w:hAnsi="Cambria"/>
          <w:bCs/>
          <w:sz w:val="20"/>
          <w:szCs w:val="20"/>
          <w:bdr w:val="none" w:sz="0" w:space="0" w:color="auto"/>
          <w:lang w:val="es-ES"/>
        </w:rPr>
        <w:t xml:space="preserve"> </w:t>
      </w:r>
      <w:r w:rsidR="007345CB" w:rsidRPr="00A16D62">
        <w:rPr>
          <w:rFonts w:ascii="Cambria" w:eastAsia="Times New Roman" w:hAnsi="Cambria"/>
          <w:bCs/>
          <w:sz w:val="20"/>
          <w:szCs w:val="20"/>
          <w:bdr w:val="none" w:sz="0" w:space="0" w:color="auto"/>
          <w:lang w:val="es-ES"/>
        </w:rPr>
        <w:t>al calcular los</w:t>
      </w:r>
      <w:r w:rsidRPr="00A16D62">
        <w:rPr>
          <w:rFonts w:ascii="Cambria" w:eastAsia="Times New Roman" w:hAnsi="Cambria"/>
          <w:bCs/>
          <w:sz w:val="20"/>
          <w:szCs w:val="20"/>
          <w:bdr w:val="none" w:sz="0" w:space="0" w:color="auto"/>
          <w:lang w:val="es-ES"/>
        </w:rPr>
        <w:t xml:space="preserve"> </w:t>
      </w:r>
      <w:r w:rsidR="00E5771D" w:rsidRPr="00A16D62">
        <w:rPr>
          <w:rFonts w:ascii="Cambria" w:eastAsia="Times New Roman" w:hAnsi="Cambria"/>
          <w:bCs/>
          <w:sz w:val="20"/>
          <w:szCs w:val="20"/>
          <w:bdr w:val="none" w:sz="0" w:space="0" w:color="auto"/>
          <w:lang w:val="es-ES"/>
        </w:rPr>
        <w:t>salarios caídos</w:t>
      </w:r>
      <w:r w:rsidR="007345CB" w:rsidRPr="00A16D62">
        <w:rPr>
          <w:rFonts w:ascii="Cambria" w:eastAsia="Times New Roman" w:hAnsi="Cambria"/>
          <w:bCs/>
          <w:sz w:val="20"/>
          <w:szCs w:val="20"/>
          <w:bdr w:val="none" w:sz="0" w:space="0" w:color="auto"/>
          <w:lang w:val="es-ES"/>
        </w:rPr>
        <w:t xml:space="preserve"> que se debía considerar que los </w:t>
      </w:r>
      <w:r w:rsidR="007B4310" w:rsidRPr="00A16D62">
        <w:rPr>
          <w:rFonts w:ascii="Cambria" w:eastAsia="Times New Roman" w:hAnsi="Cambria"/>
          <w:bCs/>
          <w:sz w:val="20"/>
          <w:szCs w:val="20"/>
          <w:bdr w:val="none" w:sz="0" w:space="0" w:color="auto"/>
          <w:lang w:val="es-ES"/>
        </w:rPr>
        <w:t>empleados</w:t>
      </w:r>
      <w:r w:rsidRPr="00A16D62">
        <w:rPr>
          <w:rFonts w:ascii="Cambria" w:eastAsia="Times New Roman" w:hAnsi="Cambria"/>
          <w:bCs/>
          <w:sz w:val="20"/>
          <w:szCs w:val="20"/>
          <w:bdr w:val="none" w:sz="0" w:space="0" w:color="auto"/>
          <w:lang w:val="es-ES"/>
        </w:rPr>
        <w:t xml:space="preserve"> “</w:t>
      </w:r>
      <w:r w:rsidR="007345CB" w:rsidRPr="00A16D62">
        <w:rPr>
          <w:rFonts w:ascii="Cambria" w:eastAsia="Times New Roman" w:hAnsi="Cambria"/>
          <w:bCs/>
          <w:sz w:val="20"/>
          <w:szCs w:val="20"/>
          <w:bdr w:val="none" w:sz="0" w:space="0" w:color="auto"/>
          <w:lang w:val="es-ES"/>
        </w:rPr>
        <w:t>no estaban disponibles para trabajar</w:t>
      </w:r>
      <w:r w:rsidRPr="00A16D62">
        <w:rPr>
          <w:rFonts w:ascii="Cambria" w:eastAsia="Times New Roman" w:hAnsi="Cambria"/>
          <w:bCs/>
          <w:sz w:val="20"/>
          <w:szCs w:val="20"/>
          <w:bdr w:val="none" w:sz="0" w:space="0" w:color="auto"/>
          <w:lang w:val="es-ES"/>
        </w:rPr>
        <w:t>” (</w:t>
      </w:r>
      <w:r w:rsidR="007345CB" w:rsidRPr="00A16D62">
        <w:rPr>
          <w:rFonts w:ascii="Cambria" w:eastAsia="Times New Roman" w:hAnsi="Cambria"/>
          <w:bCs/>
          <w:sz w:val="20"/>
          <w:szCs w:val="20"/>
          <w:bdr w:val="none" w:sz="0" w:space="0" w:color="auto"/>
          <w:lang w:val="es-ES"/>
        </w:rPr>
        <w:t xml:space="preserve">y que, por lo tanto, se iban acumulando </w:t>
      </w:r>
      <w:r w:rsidR="00E5771D" w:rsidRPr="00A16D62">
        <w:rPr>
          <w:rFonts w:ascii="Cambria" w:eastAsia="Times New Roman" w:hAnsi="Cambria"/>
          <w:bCs/>
          <w:sz w:val="20"/>
          <w:szCs w:val="20"/>
          <w:bdr w:val="none" w:sz="0" w:space="0" w:color="auto"/>
          <w:lang w:val="es-ES"/>
        </w:rPr>
        <w:t>salarios caídos</w:t>
      </w:r>
      <w:r w:rsidRPr="00A16D62">
        <w:rPr>
          <w:rFonts w:ascii="Cambria" w:eastAsia="Times New Roman" w:hAnsi="Cambria"/>
          <w:bCs/>
          <w:sz w:val="20"/>
          <w:szCs w:val="20"/>
          <w:bdr w:val="none" w:sz="0" w:space="0" w:color="auto"/>
          <w:lang w:val="es-ES"/>
        </w:rPr>
        <w:t>) dur</w:t>
      </w:r>
      <w:r w:rsidR="007345CB" w:rsidRPr="00A16D62">
        <w:rPr>
          <w:rFonts w:ascii="Cambria" w:eastAsia="Times New Roman" w:hAnsi="Cambria"/>
          <w:bCs/>
          <w:sz w:val="20"/>
          <w:szCs w:val="20"/>
          <w:bdr w:val="none" w:sz="0" w:space="0" w:color="auto"/>
          <w:lang w:val="es-ES"/>
        </w:rPr>
        <w:t xml:space="preserve">ante todo período en el cual no tuvieran derecho a estar presentes y trabajar en </w:t>
      </w:r>
      <w:r w:rsidR="007E4498" w:rsidRPr="00A16D62">
        <w:rPr>
          <w:rFonts w:ascii="Cambria" w:eastAsia="Times New Roman" w:hAnsi="Cambria"/>
          <w:bCs/>
          <w:sz w:val="20"/>
          <w:szCs w:val="20"/>
          <w:bdr w:val="none" w:sz="0" w:space="0" w:color="auto"/>
          <w:lang w:val="es-ES"/>
        </w:rPr>
        <w:t>Estados Unidos</w:t>
      </w:r>
      <w:r w:rsidRPr="00A16D62">
        <w:rPr>
          <w:rFonts w:ascii="Cambria" w:eastAsia="Times New Roman" w:hAnsi="Cambria"/>
          <w:bCs/>
          <w:sz w:val="20"/>
          <w:szCs w:val="20"/>
          <w:bdr w:val="none" w:sz="0" w:space="0" w:color="auto"/>
          <w:lang w:val="es-ES"/>
        </w:rPr>
        <w:t xml:space="preserve">. </w:t>
      </w:r>
      <w:r w:rsidR="007345CB" w:rsidRPr="00A16D62">
        <w:rPr>
          <w:rFonts w:ascii="Cambria" w:eastAsia="Times New Roman" w:hAnsi="Cambria"/>
          <w:bCs/>
          <w:sz w:val="20"/>
          <w:szCs w:val="20"/>
          <w:bdr w:val="none" w:sz="0" w:space="0" w:color="auto"/>
          <w:lang w:val="es-ES"/>
        </w:rPr>
        <w:t xml:space="preserve">El </w:t>
      </w:r>
      <w:r w:rsidR="00C24E42" w:rsidRPr="00A16D62">
        <w:rPr>
          <w:rFonts w:ascii="Cambria" w:eastAsia="Times New Roman" w:hAnsi="Cambria"/>
          <w:bCs/>
          <w:sz w:val="20"/>
          <w:szCs w:val="20"/>
          <w:bdr w:val="none" w:sz="0" w:space="0" w:color="auto"/>
          <w:lang w:val="es-ES"/>
        </w:rPr>
        <w:t>Tribunal de Apelaciones</w:t>
      </w:r>
      <w:r w:rsidRPr="00A16D62">
        <w:rPr>
          <w:rFonts w:ascii="Cambria" w:eastAsia="Times New Roman" w:hAnsi="Cambria"/>
          <w:bCs/>
          <w:sz w:val="20"/>
          <w:szCs w:val="20"/>
          <w:bdr w:val="none" w:sz="0" w:space="0" w:color="auto"/>
          <w:lang w:val="es-ES"/>
        </w:rPr>
        <w:t xml:space="preserve"> </w:t>
      </w:r>
      <w:r w:rsidR="007345CB" w:rsidRPr="00A16D62">
        <w:rPr>
          <w:rFonts w:ascii="Cambria" w:eastAsia="Times New Roman" w:hAnsi="Cambria"/>
          <w:bCs/>
          <w:sz w:val="20"/>
          <w:szCs w:val="20"/>
          <w:bdr w:val="none" w:sz="0" w:space="0" w:color="auto"/>
          <w:lang w:val="es-ES"/>
        </w:rPr>
        <w:t xml:space="preserve">supuso que, en esas circunstancias, los </w:t>
      </w:r>
      <w:r w:rsidR="007B4310" w:rsidRPr="00A16D62">
        <w:rPr>
          <w:rFonts w:ascii="Cambria" w:eastAsia="Times New Roman" w:hAnsi="Cambria"/>
          <w:bCs/>
          <w:sz w:val="20"/>
          <w:szCs w:val="20"/>
          <w:bdr w:val="none" w:sz="0" w:space="0" w:color="auto"/>
          <w:lang w:val="es-ES"/>
        </w:rPr>
        <w:t>empleados</w:t>
      </w:r>
      <w:r w:rsidRPr="00A16D62">
        <w:rPr>
          <w:rFonts w:ascii="Cambria" w:eastAsia="Times New Roman" w:hAnsi="Cambria"/>
          <w:bCs/>
          <w:sz w:val="20"/>
          <w:szCs w:val="20"/>
          <w:bdr w:val="none" w:sz="0" w:space="0" w:color="auto"/>
          <w:lang w:val="es-ES"/>
        </w:rPr>
        <w:t xml:space="preserve"> </w:t>
      </w:r>
      <w:r w:rsidR="007345CB" w:rsidRPr="00A16D62">
        <w:rPr>
          <w:rFonts w:ascii="Cambria" w:eastAsia="Times New Roman" w:hAnsi="Cambria"/>
          <w:bCs/>
          <w:sz w:val="20"/>
          <w:szCs w:val="20"/>
          <w:bdr w:val="none" w:sz="0" w:space="0" w:color="auto"/>
          <w:lang w:val="es-ES"/>
        </w:rPr>
        <w:t xml:space="preserve">no recibirían </w:t>
      </w:r>
      <w:r w:rsidR="00E5771D" w:rsidRPr="00A16D62">
        <w:rPr>
          <w:rFonts w:ascii="Cambria" w:eastAsia="Times New Roman" w:hAnsi="Cambria"/>
          <w:bCs/>
          <w:sz w:val="20"/>
          <w:szCs w:val="20"/>
          <w:bdr w:val="none" w:sz="0" w:space="0" w:color="auto"/>
          <w:lang w:val="es-ES"/>
        </w:rPr>
        <w:t>salarios caídos</w:t>
      </w:r>
      <w:r w:rsidRPr="00A16D62">
        <w:rPr>
          <w:rFonts w:ascii="Cambria" w:eastAsia="Times New Roman" w:hAnsi="Cambria"/>
          <w:bCs/>
          <w:sz w:val="20"/>
          <w:szCs w:val="20"/>
          <w:bdr w:val="none" w:sz="0" w:space="0" w:color="auto"/>
          <w:lang w:val="es-ES"/>
        </w:rPr>
        <w:t xml:space="preserve">, </w:t>
      </w:r>
      <w:r w:rsidR="007345CB" w:rsidRPr="00A16D62">
        <w:rPr>
          <w:rFonts w:ascii="Cambria" w:eastAsia="Times New Roman" w:hAnsi="Cambria"/>
          <w:bCs/>
          <w:sz w:val="20"/>
          <w:szCs w:val="20"/>
          <w:bdr w:val="none" w:sz="0" w:space="0" w:color="auto"/>
          <w:lang w:val="es-ES"/>
        </w:rPr>
        <w:t xml:space="preserve">de modo que adjudicó un monto mínimo de </w:t>
      </w:r>
      <w:r w:rsidR="00E5771D" w:rsidRPr="00A16D62">
        <w:rPr>
          <w:rFonts w:ascii="Cambria" w:eastAsia="Times New Roman" w:hAnsi="Cambria"/>
          <w:bCs/>
          <w:sz w:val="20"/>
          <w:szCs w:val="20"/>
          <w:bdr w:val="none" w:sz="0" w:space="0" w:color="auto"/>
          <w:lang w:val="es-ES"/>
        </w:rPr>
        <w:t>salarios caídos</w:t>
      </w:r>
      <w:r w:rsidRPr="00A16D62">
        <w:rPr>
          <w:rFonts w:ascii="Cambria" w:eastAsia="Times New Roman" w:hAnsi="Cambria"/>
          <w:bCs/>
          <w:sz w:val="20"/>
          <w:szCs w:val="20"/>
          <w:bdr w:val="none" w:sz="0" w:space="0" w:color="auto"/>
          <w:lang w:val="es-ES"/>
        </w:rPr>
        <w:t xml:space="preserve"> </w:t>
      </w:r>
      <w:r w:rsidR="007345CB" w:rsidRPr="00A16D62">
        <w:rPr>
          <w:rFonts w:ascii="Cambria" w:eastAsia="Times New Roman" w:hAnsi="Cambria"/>
          <w:bCs/>
          <w:sz w:val="20"/>
          <w:szCs w:val="20"/>
          <w:bdr w:val="none" w:sz="0" w:space="0" w:color="auto"/>
          <w:lang w:val="es-ES"/>
        </w:rPr>
        <w:t xml:space="preserve">que diera efecto a los propósitos fundamentales de la Ley al </w:t>
      </w:r>
      <w:r w:rsidR="007345CB" w:rsidRPr="00A16D62">
        <w:rPr>
          <w:rFonts w:ascii="Cambria" w:eastAsia="Times New Roman" w:hAnsi="Cambria"/>
          <w:bCs/>
          <w:sz w:val="20"/>
          <w:szCs w:val="20"/>
          <w:bdr w:val="none" w:sz="0" w:space="0" w:color="auto"/>
          <w:lang w:val="es-ES"/>
        </w:rPr>
        <w:lastRenderedPageBreak/>
        <w:t xml:space="preserve">otorgar un desagravio a los </w:t>
      </w:r>
      <w:r w:rsidR="007B4310" w:rsidRPr="00A16D62">
        <w:rPr>
          <w:rFonts w:ascii="Cambria" w:eastAsia="Times New Roman" w:hAnsi="Cambria"/>
          <w:bCs/>
          <w:sz w:val="20"/>
          <w:szCs w:val="20"/>
          <w:bdr w:val="none" w:sz="0" w:space="0" w:color="auto"/>
          <w:lang w:val="es-ES"/>
        </w:rPr>
        <w:t>empleados</w:t>
      </w:r>
      <w:r w:rsidRPr="00A16D62">
        <w:rPr>
          <w:rFonts w:ascii="Cambria" w:eastAsia="Times New Roman" w:hAnsi="Cambria"/>
          <w:bCs/>
          <w:sz w:val="20"/>
          <w:szCs w:val="20"/>
          <w:bdr w:val="none" w:sz="0" w:space="0" w:color="auto"/>
          <w:lang w:val="es-ES"/>
        </w:rPr>
        <w:t xml:space="preserve"> </w:t>
      </w:r>
      <w:r w:rsidR="00F957C4" w:rsidRPr="00A16D62">
        <w:rPr>
          <w:rFonts w:ascii="Cambria" w:eastAsia="Times New Roman" w:hAnsi="Cambria"/>
          <w:bCs/>
          <w:sz w:val="20"/>
          <w:szCs w:val="20"/>
          <w:bdr w:val="none" w:sz="0" w:space="0" w:color="auto"/>
          <w:lang w:val="es-ES"/>
        </w:rPr>
        <w:t>y al crear un desincentivo financiero para que no se repitan actos de discriminación similares en el futuro</w:t>
      </w:r>
      <w:r w:rsidR="007E7344" w:rsidRPr="00A16D62">
        <w:rPr>
          <w:rStyle w:val="FootnoteReference"/>
          <w:rFonts w:ascii="Cambria" w:eastAsia="Times New Roman" w:hAnsi="Cambria"/>
          <w:bCs/>
          <w:sz w:val="20"/>
          <w:szCs w:val="20"/>
          <w:bdr w:val="none" w:sz="0" w:space="0" w:color="auto"/>
          <w:lang w:val="es-ES"/>
        </w:rPr>
        <w:footnoteReference w:id="53"/>
      </w:r>
      <w:r w:rsidR="00F957C4"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 xml:space="preserve"> </w:t>
      </w:r>
    </w:p>
    <w:p w:rsidR="00FA7BCC" w:rsidRPr="00A16D62" w:rsidRDefault="00FA7BCC" w:rsidP="00FA7BC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DA5D1D" w:rsidRDefault="009F63FC" w:rsidP="00E5052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A pesar de este razonamiento y de su propia determinación de la </w:t>
      </w:r>
      <w:r w:rsidR="00273105" w:rsidRPr="00A16D62">
        <w:rPr>
          <w:rFonts w:ascii="Cambria" w:eastAsia="Times New Roman" w:hAnsi="Cambria"/>
          <w:bCs/>
          <w:sz w:val="20"/>
          <w:szCs w:val="20"/>
          <w:bdr w:val="none" w:sz="0" w:space="0" w:color="auto"/>
          <w:lang w:val="es-ES"/>
        </w:rPr>
        <w:t xml:space="preserve">“probable </w:t>
      </w:r>
      <w:r w:rsidRPr="00A16D62">
        <w:rPr>
          <w:rFonts w:ascii="Cambria" w:eastAsia="Times New Roman" w:hAnsi="Cambria"/>
          <w:bCs/>
          <w:sz w:val="20"/>
          <w:szCs w:val="20"/>
          <w:bdr w:val="none" w:sz="0" w:space="0" w:color="auto"/>
          <w:lang w:val="es-ES"/>
        </w:rPr>
        <w:t>falta de disponibilidad de los recursos más efectivos de la Ley</w:t>
      </w:r>
      <w:r w:rsidR="00273105"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ese caso, </w:t>
      </w:r>
      <w:r w:rsidR="00C24E42" w:rsidRPr="00A16D62">
        <w:rPr>
          <w:rFonts w:ascii="Cambria" w:eastAsia="Times New Roman" w:hAnsi="Cambria"/>
          <w:bCs/>
          <w:sz w:val="20"/>
          <w:szCs w:val="20"/>
          <w:bdr w:val="none" w:sz="0" w:space="0" w:color="auto"/>
          <w:lang w:val="es-ES"/>
        </w:rPr>
        <w:t>la Corte Suprema</w:t>
      </w:r>
      <w:r w:rsidRPr="00A16D62">
        <w:rPr>
          <w:rFonts w:ascii="Cambria" w:eastAsia="Times New Roman" w:hAnsi="Cambria"/>
          <w:bCs/>
          <w:sz w:val="20"/>
          <w:szCs w:val="20"/>
          <w:bdr w:val="none" w:sz="0" w:space="0" w:color="auto"/>
          <w:lang w:val="es-ES"/>
        </w:rPr>
        <w:t xml:space="preserve">, en el caso </w:t>
      </w:r>
      <w:r w:rsidR="00273105" w:rsidRPr="00A16D62">
        <w:rPr>
          <w:rFonts w:ascii="Cambria" w:eastAsia="Times New Roman" w:hAnsi="Cambria"/>
          <w:bCs/>
          <w:i/>
          <w:sz w:val="20"/>
          <w:szCs w:val="20"/>
          <w:bdr w:val="none" w:sz="0" w:space="0" w:color="auto"/>
          <w:lang w:val="es-ES"/>
        </w:rPr>
        <w:t>Sure-Tan</w:t>
      </w:r>
      <w:r w:rsidRPr="00A16D62">
        <w:rPr>
          <w:rFonts w:ascii="Cambria" w:eastAsia="Times New Roman" w:hAnsi="Cambria"/>
          <w:bCs/>
          <w:sz w:val="20"/>
          <w:szCs w:val="20"/>
          <w:bdr w:val="none" w:sz="0" w:space="0" w:color="auto"/>
          <w:lang w:val="es-ES"/>
        </w:rPr>
        <w:t xml:space="preserve">, determinó que el </w:t>
      </w:r>
      <w:r w:rsidR="00C24E42" w:rsidRPr="00A16D62">
        <w:rPr>
          <w:rFonts w:ascii="Cambria" w:eastAsia="Times New Roman" w:hAnsi="Cambria"/>
          <w:bCs/>
          <w:sz w:val="20"/>
          <w:szCs w:val="20"/>
          <w:bdr w:val="none" w:sz="0" w:space="0" w:color="auto"/>
          <w:lang w:val="es-ES"/>
        </w:rPr>
        <w:t>Tribunal de Apelaciones</w:t>
      </w:r>
      <w:r w:rsidR="007E734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para el Séptimo Circuito </w:t>
      </w:r>
      <w:r w:rsidR="007E7344"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excedió claramente su potestad limitada de acuerdo con la Ley</w:t>
      </w:r>
      <w:r w:rsidR="007E734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al ordenar a la Junta que adjudicara </w:t>
      </w:r>
      <w:r w:rsidR="00E5771D" w:rsidRPr="00A16D62">
        <w:rPr>
          <w:rFonts w:ascii="Cambria" w:eastAsia="Times New Roman" w:hAnsi="Cambria"/>
          <w:bCs/>
          <w:sz w:val="20"/>
          <w:szCs w:val="20"/>
          <w:bdr w:val="none" w:sz="0" w:space="0" w:color="auto"/>
          <w:lang w:val="es-ES"/>
        </w:rPr>
        <w:t>salarios caídos</w:t>
      </w:r>
      <w:r w:rsidR="007E734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que no fuesen inferiores a un monto mínimo sin tener en cuenta las pérdidas económicas reales de los </w:t>
      </w:r>
      <w:r w:rsidR="007B4310" w:rsidRPr="00A16D62">
        <w:rPr>
          <w:rFonts w:ascii="Cambria" w:eastAsia="Times New Roman" w:hAnsi="Cambria"/>
          <w:bCs/>
          <w:sz w:val="20"/>
          <w:szCs w:val="20"/>
          <w:bdr w:val="none" w:sz="0" w:space="0" w:color="auto"/>
          <w:lang w:val="es-ES"/>
        </w:rPr>
        <w:t>empleados</w:t>
      </w:r>
      <w:r w:rsidRPr="00A16D62">
        <w:rPr>
          <w:rFonts w:ascii="Cambria" w:eastAsia="Times New Roman" w:hAnsi="Cambria"/>
          <w:bCs/>
          <w:sz w:val="20"/>
          <w:szCs w:val="20"/>
          <w:bdr w:val="none" w:sz="0" w:space="0" w:color="auto"/>
          <w:lang w:val="es-ES"/>
        </w:rPr>
        <w:t xml:space="preserve"> o su disponibilidad legal para trabajar</w:t>
      </w:r>
      <w:r w:rsidR="0021470F" w:rsidRPr="00A16D62">
        <w:rPr>
          <w:rStyle w:val="FootnoteReference"/>
          <w:rFonts w:ascii="Cambria" w:eastAsia="Times New Roman" w:hAnsi="Cambria"/>
          <w:bCs/>
          <w:sz w:val="20"/>
          <w:szCs w:val="20"/>
          <w:bdr w:val="none" w:sz="0" w:space="0" w:color="auto"/>
          <w:lang w:val="es-ES"/>
        </w:rPr>
        <w:footnoteReference w:id="54"/>
      </w:r>
      <w:r w:rsidRPr="00A16D62">
        <w:rPr>
          <w:rFonts w:ascii="Cambria" w:eastAsia="Times New Roman" w:hAnsi="Cambria"/>
          <w:bCs/>
          <w:sz w:val="20"/>
          <w:szCs w:val="20"/>
          <w:bdr w:val="none" w:sz="0" w:space="0" w:color="auto"/>
          <w:lang w:val="es-ES"/>
        </w:rPr>
        <w:t>.</w:t>
      </w:r>
      <w:r w:rsidR="00273105" w:rsidRPr="00A16D62">
        <w:rPr>
          <w:rFonts w:ascii="Cambria" w:eastAsia="Times New Roman" w:hAnsi="Cambria"/>
          <w:bCs/>
          <w:sz w:val="20"/>
          <w:szCs w:val="20"/>
          <w:bdr w:val="none" w:sz="0" w:space="0" w:color="auto"/>
          <w:lang w:val="es-ES"/>
        </w:rPr>
        <w:t xml:space="preserve"> </w:t>
      </w:r>
    </w:p>
    <w:p w:rsidR="00772CC6" w:rsidRPr="00A16D62" w:rsidRDefault="00772CC6" w:rsidP="00772CC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C24515" w:rsidRPr="00A16D62" w:rsidRDefault="005E6F22" w:rsidP="00E5052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En el caso </w:t>
      </w:r>
      <w:r w:rsidRPr="00A16D62">
        <w:rPr>
          <w:rFonts w:ascii="Cambria" w:eastAsia="Times New Roman" w:hAnsi="Cambria"/>
          <w:bCs/>
          <w:i/>
          <w:sz w:val="20"/>
          <w:szCs w:val="20"/>
          <w:bdr w:val="none" w:sz="0" w:space="0" w:color="auto"/>
          <w:lang w:val="es-ES"/>
        </w:rPr>
        <w:t>Hoffman</w:t>
      </w:r>
      <w:r w:rsidRPr="00A16D62">
        <w:rPr>
          <w:rFonts w:ascii="Cambria" w:eastAsia="Times New Roman" w:hAnsi="Cambria"/>
          <w:bCs/>
          <w:sz w:val="20"/>
          <w:szCs w:val="20"/>
          <w:bdr w:val="none" w:sz="0" w:space="0" w:color="auto"/>
          <w:lang w:val="es-ES"/>
        </w:rPr>
        <w:t>, l</w:t>
      </w:r>
      <w:r w:rsidR="00C24E42" w:rsidRPr="00A16D62">
        <w:rPr>
          <w:rFonts w:ascii="Cambria" w:eastAsia="Times New Roman" w:hAnsi="Cambria"/>
          <w:bCs/>
          <w:sz w:val="20"/>
          <w:szCs w:val="20"/>
          <w:bdr w:val="none" w:sz="0" w:space="0" w:color="auto"/>
          <w:lang w:val="es-ES"/>
        </w:rPr>
        <w:t>a Corte Suprema</w:t>
      </w:r>
      <w:r w:rsidR="00DA5D1D" w:rsidRPr="00A16D62">
        <w:rPr>
          <w:rFonts w:ascii="Cambria" w:eastAsia="Times New Roman" w:hAnsi="Cambria"/>
          <w:bCs/>
          <w:sz w:val="20"/>
          <w:szCs w:val="20"/>
          <w:bdr w:val="none" w:sz="0" w:space="0" w:color="auto"/>
          <w:lang w:val="es-ES"/>
        </w:rPr>
        <w:t xml:space="preserve"> </w:t>
      </w:r>
      <w:r w:rsidR="00CF2B96" w:rsidRPr="00A16D62">
        <w:rPr>
          <w:rFonts w:ascii="Cambria" w:eastAsia="Times New Roman" w:hAnsi="Cambria"/>
          <w:bCs/>
          <w:sz w:val="20"/>
          <w:szCs w:val="20"/>
          <w:bdr w:val="none" w:sz="0" w:space="0" w:color="auto"/>
          <w:lang w:val="es-ES"/>
        </w:rPr>
        <w:t xml:space="preserve">se apartó del fallo en el caso </w:t>
      </w:r>
      <w:r w:rsidR="00DA5D1D" w:rsidRPr="00A16D62">
        <w:rPr>
          <w:rFonts w:ascii="Cambria" w:eastAsia="Times New Roman" w:hAnsi="Cambria"/>
          <w:bCs/>
          <w:i/>
          <w:sz w:val="20"/>
          <w:szCs w:val="20"/>
          <w:bdr w:val="none" w:sz="0" w:space="0" w:color="auto"/>
          <w:lang w:val="es-ES"/>
        </w:rPr>
        <w:t>Sure-Tan</w:t>
      </w:r>
      <w:r w:rsidR="00DA5D1D" w:rsidRPr="00A16D62">
        <w:rPr>
          <w:rFonts w:ascii="Cambria" w:eastAsia="Times New Roman" w:hAnsi="Cambria"/>
          <w:bCs/>
          <w:sz w:val="20"/>
          <w:szCs w:val="20"/>
          <w:bdr w:val="none" w:sz="0" w:space="0" w:color="auto"/>
          <w:lang w:val="es-ES"/>
        </w:rPr>
        <w:t xml:space="preserve"> </w:t>
      </w:r>
      <w:r w:rsidR="00CF2B96" w:rsidRPr="00A16D62">
        <w:rPr>
          <w:rFonts w:ascii="Cambria" w:eastAsia="Times New Roman" w:hAnsi="Cambria"/>
          <w:bCs/>
          <w:sz w:val="20"/>
          <w:szCs w:val="20"/>
          <w:bdr w:val="none" w:sz="0" w:space="0" w:color="auto"/>
          <w:lang w:val="es-ES"/>
        </w:rPr>
        <w:t xml:space="preserve">en el punto de los </w:t>
      </w:r>
      <w:r w:rsidR="00E5771D" w:rsidRPr="00A16D62">
        <w:rPr>
          <w:rFonts w:ascii="Cambria" w:eastAsia="Times New Roman" w:hAnsi="Cambria"/>
          <w:bCs/>
          <w:sz w:val="20"/>
          <w:szCs w:val="20"/>
          <w:bdr w:val="none" w:sz="0" w:space="0" w:color="auto"/>
          <w:lang w:val="es-ES"/>
        </w:rPr>
        <w:t>salarios caídos</w:t>
      </w:r>
      <w:r w:rsidR="00886E43" w:rsidRPr="00A16D62">
        <w:rPr>
          <w:rFonts w:ascii="Cambria" w:eastAsia="Times New Roman" w:hAnsi="Cambria"/>
          <w:bCs/>
          <w:sz w:val="20"/>
          <w:szCs w:val="20"/>
          <w:bdr w:val="none" w:sz="0" w:space="0" w:color="auto"/>
          <w:lang w:val="es-ES"/>
        </w:rPr>
        <w:t xml:space="preserve">, </w:t>
      </w:r>
      <w:r w:rsidR="00CF2B96" w:rsidRPr="00A16D62">
        <w:rPr>
          <w:rFonts w:ascii="Cambria" w:eastAsia="Times New Roman" w:hAnsi="Cambria"/>
          <w:bCs/>
          <w:sz w:val="20"/>
          <w:szCs w:val="20"/>
          <w:bdr w:val="none" w:sz="0" w:space="0" w:color="auto"/>
          <w:lang w:val="es-ES"/>
        </w:rPr>
        <w:t xml:space="preserve">al </w:t>
      </w:r>
      <w:r w:rsidR="009268A1" w:rsidRPr="00A16D62">
        <w:rPr>
          <w:rFonts w:ascii="Cambria" w:eastAsia="Times New Roman" w:hAnsi="Cambria"/>
          <w:bCs/>
          <w:sz w:val="20"/>
          <w:szCs w:val="20"/>
          <w:bdr w:val="none" w:sz="0" w:space="0" w:color="auto"/>
          <w:lang w:val="es-ES"/>
        </w:rPr>
        <w:t>determin</w:t>
      </w:r>
      <w:r w:rsidR="00CF2B96" w:rsidRPr="00A16D62">
        <w:rPr>
          <w:rFonts w:ascii="Cambria" w:eastAsia="Times New Roman" w:hAnsi="Cambria"/>
          <w:bCs/>
          <w:sz w:val="20"/>
          <w:szCs w:val="20"/>
          <w:bdr w:val="none" w:sz="0" w:space="0" w:color="auto"/>
          <w:lang w:val="es-ES"/>
        </w:rPr>
        <w:t xml:space="preserve">ar que </w:t>
      </w:r>
      <w:r w:rsidR="00C24515" w:rsidRPr="00A16D62">
        <w:rPr>
          <w:rFonts w:ascii="Cambria" w:eastAsia="Times New Roman" w:hAnsi="Cambria"/>
          <w:bCs/>
          <w:sz w:val="20"/>
          <w:szCs w:val="20"/>
          <w:bdr w:val="none" w:sz="0" w:space="0" w:color="auto"/>
          <w:lang w:val="es-ES"/>
        </w:rPr>
        <w:t>“</w:t>
      </w:r>
      <w:r w:rsidR="007B1A81" w:rsidRPr="00A16D62">
        <w:rPr>
          <w:rFonts w:ascii="Cambria" w:eastAsia="Times New Roman" w:hAnsi="Cambria"/>
          <w:bCs/>
          <w:sz w:val="20"/>
          <w:szCs w:val="20"/>
          <w:bdr w:val="none" w:sz="0" w:space="0" w:color="auto"/>
          <w:lang w:val="es-ES"/>
        </w:rPr>
        <w:t xml:space="preserve">no hay ninguna razón para pensar que el Congreso </w:t>
      </w:r>
      <w:r w:rsidR="00CF2B96" w:rsidRPr="00A16D62">
        <w:rPr>
          <w:rFonts w:eastAsia="Times New Roman"/>
          <w:bCs/>
          <w:sz w:val="20"/>
          <w:szCs w:val="20"/>
          <w:bdr w:val="none" w:sz="0" w:space="0" w:color="auto" w:frame="1"/>
          <w:lang w:val="es-ES"/>
        </w:rPr>
        <w:t>[...]</w:t>
      </w:r>
      <w:r w:rsidR="00C24515" w:rsidRPr="00A16D62">
        <w:rPr>
          <w:rFonts w:ascii="Cambria" w:eastAsia="Times New Roman" w:hAnsi="Cambria"/>
          <w:bCs/>
          <w:sz w:val="20"/>
          <w:szCs w:val="20"/>
          <w:bdr w:val="none" w:sz="0" w:space="0" w:color="auto"/>
          <w:lang w:val="es-ES"/>
        </w:rPr>
        <w:t xml:space="preserve"> </w:t>
      </w:r>
      <w:r w:rsidR="00972486" w:rsidRPr="00A16D62">
        <w:rPr>
          <w:rFonts w:ascii="Cambria" w:eastAsia="Times New Roman" w:hAnsi="Cambria"/>
          <w:bCs/>
          <w:sz w:val="20"/>
          <w:szCs w:val="20"/>
          <w:bdr w:val="none" w:sz="0" w:space="0" w:color="auto"/>
          <w:lang w:val="es-ES"/>
        </w:rPr>
        <w:t xml:space="preserve">tenía la intención de permitir el pago de </w:t>
      </w:r>
      <w:r w:rsidR="00E5771D" w:rsidRPr="00A16D62">
        <w:rPr>
          <w:rFonts w:ascii="Cambria" w:eastAsia="Times New Roman" w:hAnsi="Cambria"/>
          <w:bCs/>
          <w:sz w:val="20"/>
          <w:szCs w:val="20"/>
          <w:bdr w:val="none" w:sz="0" w:space="0" w:color="auto"/>
          <w:lang w:val="es-ES"/>
        </w:rPr>
        <w:t>salarios caídos</w:t>
      </w:r>
      <w:r w:rsidR="00C24515" w:rsidRPr="00A16D62">
        <w:rPr>
          <w:rFonts w:ascii="Cambria" w:eastAsia="Times New Roman" w:hAnsi="Cambria"/>
          <w:bCs/>
          <w:sz w:val="20"/>
          <w:szCs w:val="20"/>
          <w:bdr w:val="none" w:sz="0" w:space="0" w:color="auto"/>
          <w:lang w:val="es-ES"/>
        </w:rPr>
        <w:t xml:space="preserve"> </w:t>
      </w:r>
      <w:r w:rsidR="00972486" w:rsidRPr="00A16D62">
        <w:rPr>
          <w:rFonts w:ascii="Cambria" w:eastAsia="Times New Roman" w:hAnsi="Cambria"/>
          <w:bCs/>
          <w:sz w:val="20"/>
          <w:szCs w:val="20"/>
          <w:bdr w:val="none" w:sz="0" w:space="0" w:color="auto"/>
          <w:lang w:val="es-ES"/>
        </w:rPr>
        <w:t xml:space="preserve">en un caso en que, si no hubiera sido por las </w:t>
      </w:r>
      <w:r w:rsidR="009F63FC" w:rsidRPr="00A16D62">
        <w:rPr>
          <w:rFonts w:ascii="Cambria" w:eastAsia="Times New Roman" w:hAnsi="Cambria"/>
          <w:bCs/>
          <w:sz w:val="20"/>
          <w:szCs w:val="20"/>
          <w:bdr w:val="none" w:sz="0" w:space="0" w:color="auto"/>
          <w:lang w:val="es-ES"/>
        </w:rPr>
        <w:t>prácticas laborales desleales</w:t>
      </w:r>
      <w:r w:rsidR="00972486" w:rsidRPr="00A16D62">
        <w:rPr>
          <w:rFonts w:ascii="Cambria" w:eastAsia="Times New Roman" w:hAnsi="Cambria"/>
          <w:bCs/>
          <w:sz w:val="20"/>
          <w:szCs w:val="20"/>
          <w:bdr w:val="none" w:sz="0" w:space="0" w:color="auto"/>
          <w:lang w:val="es-ES"/>
        </w:rPr>
        <w:t xml:space="preserve"> de un empleador</w:t>
      </w:r>
      <w:r w:rsidR="00C24515" w:rsidRPr="00A16D62">
        <w:rPr>
          <w:rFonts w:ascii="Cambria" w:eastAsia="Times New Roman" w:hAnsi="Cambria"/>
          <w:bCs/>
          <w:sz w:val="20"/>
          <w:szCs w:val="20"/>
          <w:bdr w:val="none" w:sz="0" w:space="0" w:color="auto"/>
          <w:lang w:val="es-ES"/>
        </w:rPr>
        <w:t xml:space="preserve">, </w:t>
      </w:r>
      <w:r w:rsidR="00972486" w:rsidRPr="00A16D62">
        <w:rPr>
          <w:rFonts w:ascii="Cambria" w:eastAsia="Times New Roman" w:hAnsi="Cambria"/>
          <w:bCs/>
          <w:sz w:val="20"/>
          <w:szCs w:val="20"/>
          <w:bdr w:val="none" w:sz="0" w:space="0" w:color="auto"/>
          <w:lang w:val="es-ES"/>
        </w:rPr>
        <w:t xml:space="preserve">un </w:t>
      </w:r>
      <w:r w:rsidR="009171FF" w:rsidRPr="00A16D62">
        <w:rPr>
          <w:rFonts w:ascii="Cambria" w:eastAsia="Times New Roman" w:hAnsi="Cambria"/>
          <w:bCs/>
          <w:sz w:val="20"/>
          <w:szCs w:val="20"/>
          <w:bdr w:val="none" w:sz="0" w:space="0" w:color="auto"/>
          <w:lang w:val="es-ES"/>
        </w:rPr>
        <w:t>empleado</w:t>
      </w:r>
      <w:r w:rsidR="00C24515" w:rsidRPr="00A16D62">
        <w:rPr>
          <w:rFonts w:ascii="Cambria" w:eastAsia="Times New Roman" w:hAnsi="Cambria"/>
          <w:bCs/>
          <w:sz w:val="20"/>
          <w:szCs w:val="20"/>
          <w:bdr w:val="none" w:sz="0" w:space="0" w:color="auto"/>
          <w:lang w:val="es-ES"/>
        </w:rPr>
        <w:t xml:space="preserve"> </w:t>
      </w:r>
      <w:r w:rsidR="00972486" w:rsidRPr="00A16D62">
        <w:rPr>
          <w:rFonts w:ascii="Cambria" w:eastAsia="Times New Roman" w:hAnsi="Cambria"/>
          <w:bCs/>
          <w:sz w:val="20"/>
          <w:szCs w:val="20"/>
          <w:bdr w:val="none" w:sz="0" w:space="0" w:color="auto"/>
          <w:lang w:val="es-ES"/>
        </w:rPr>
        <w:t xml:space="preserve">extranjero habría permanecido en </w:t>
      </w:r>
      <w:r w:rsidR="007E4498" w:rsidRPr="00A16D62">
        <w:rPr>
          <w:rFonts w:ascii="Cambria" w:eastAsia="Times New Roman" w:hAnsi="Cambria"/>
          <w:bCs/>
          <w:sz w:val="20"/>
          <w:szCs w:val="20"/>
          <w:bdr w:val="none" w:sz="0" w:space="0" w:color="auto"/>
          <w:lang w:val="es-ES"/>
        </w:rPr>
        <w:t>Estados Unidos</w:t>
      </w:r>
      <w:r w:rsidR="00C24515" w:rsidRPr="00A16D62">
        <w:rPr>
          <w:rFonts w:ascii="Cambria" w:eastAsia="Times New Roman" w:hAnsi="Cambria"/>
          <w:bCs/>
          <w:sz w:val="20"/>
          <w:szCs w:val="20"/>
          <w:bdr w:val="none" w:sz="0" w:space="0" w:color="auto"/>
          <w:lang w:val="es-ES"/>
        </w:rPr>
        <w:t xml:space="preserve"> il</w:t>
      </w:r>
      <w:r w:rsidR="00972486" w:rsidRPr="00A16D62">
        <w:rPr>
          <w:rFonts w:ascii="Cambria" w:eastAsia="Times New Roman" w:hAnsi="Cambria"/>
          <w:bCs/>
          <w:sz w:val="20"/>
          <w:szCs w:val="20"/>
          <w:bdr w:val="none" w:sz="0" w:space="0" w:color="auto"/>
          <w:lang w:val="es-ES"/>
        </w:rPr>
        <w:t>egalmente y habría seguido trabajando ilegalmente, evadiendo entretanto la detención por las autoridades de inmigraciones</w:t>
      </w:r>
      <w:r w:rsidR="00C24515" w:rsidRPr="00A16D62">
        <w:rPr>
          <w:rFonts w:ascii="Cambria" w:eastAsia="Times New Roman" w:hAnsi="Cambria"/>
          <w:bCs/>
          <w:sz w:val="20"/>
          <w:szCs w:val="20"/>
          <w:bdr w:val="none" w:sz="0" w:space="0" w:color="auto"/>
          <w:lang w:val="es-ES"/>
        </w:rPr>
        <w:t>”</w:t>
      </w:r>
      <w:r w:rsidR="009268A1" w:rsidRPr="00A16D62">
        <w:rPr>
          <w:rStyle w:val="FootnoteReference"/>
          <w:rFonts w:ascii="Cambria" w:eastAsia="Times New Roman" w:hAnsi="Cambria"/>
          <w:bCs/>
          <w:sz w:val="20"/>
          <w:szCs w:val="20"/>
          <w:bdr w:val="none" w:sz="0" w:space="0" w:color="auto"/>
          <w:lang w:val="es-ES"/>
        </w:rPr>
        <w:footnoteReference w:id="55"/>
      </w:r>
      <w:r w:rsidR="00972486" w:rsidRPr="00A16D62">
        <w:rPr>
          <w:rFonts w:ascii="Cambria" w:eastAsia="Times New Roman" w:hAnsi="Cambria"/>
          <w:bCs/>
          <w:sz w:val="20"/>
          <w:szCs w:val="20"/>
          <w:bdr w:val="none" w:sz="0" w:space="0" w:color="auto"/>
          <w:lang w:val="es-ES"/>
        </w:rPr>
        <w:t>.</w:t>
      </w:r>
      <w:r w:rsidR="009268A1" w:rsidRPr="00A16D62">
        <w:rPr>
          <w:rFonts w:ascii="Cambria" w:eastAsia="Times New Roman" w:hAnsi="Cambria"/>
          <w:bCs/>
          <w:sz w:val="20"/>
          <w:szCs w:val="20"/>
          <w:bdr w:val="none" w:sz="0" w:space="0" w:color="auto"/>
          <w:lang w:val="es-ES"/>
        </w:rPr>
        <w:t xml:space="preserve"> </w:t>
      </w:r>
      <w:r w:rsidR="00B42066" w:rsidRPr="00A16D62">
        <w:rPr>
          <w:rFonts w:ascii="Cambria" w:eastAsia="Times New Roman" w:hAnsi="Cambria"/>
          <w:bCs/>
          <w:sz w:val="20"/>
          <w:szCs w:val="20"/>
          <w:bdr w:val="none" w:sz="0" w:space="0" w:color="auto" w:frame="1"/>
          <w:lang w:val="es-ES"/>
        </w:rPr>
        <w:t xml:space="preserve">La Corte Suprema </w:t>
      </w:r>
      <w:r w:rsidR="009268A1" w:rsidRPr="00A16D62">
        <w:rPr>
          <w:rFonts w:ascii="Cambria" w:eastAsia="Times New Roman" w:hAnsi="Cambria"/>
          <w:bCs/>
          <w:sz w:val="20"/>
          <w:szCs w:val="20"/>
          <w:bdr w:val="none" w:sz="0" w:space="0" w:color="auto"/>
          <w:lang w:val="es-ES"/>
        </w:rPr>
        <w:t>conclu</w:t>
      </w:r>
      <w:r w:rsidR="00972486" w:rsidRPr="00A16D62">
        <w:rPr>
          <w:rFonts w:ascii="Cambria" w:eastAsia="Times New Roman" w:hAnsi="Cambria"/>
          <w:bCs/>
          <w:sz w:val="20"/>
          <w:szCs w:val="20"/>
          <w:bdr w:val="none" w:sz="0" w:space="0" w:color="auto"/>
          <w:lang w:val="es-ES"/>
        </w:rPr>
        <w:t>yó en el caso</w:t>
      </w:r>
      <w:r w:rsidR="009268A1" w:rsidRPr="00A16D62">
        <w:rPr>
          <w:rFonts w:ascii="Cambria" w:eastAsia="Times New Roman" w:hAnsi="Cambria"/>
          <w:bCs/>
          <w:sz w:val="20"/>
          <w:szCs w:val="20"/>
          <w:bdr w:val="none" w:sz="0" w:space="0" w:color="auto"/>
          <w:lang w:val="es-ES"/>
        </w:rPr>
        <w:t xml:space="preserve"> </w:t>
      </w:r>
      <w:r w:rsidR="009268A1" w:rsidRPr="00A16D62">
        <w:rPr>
          <w:rFonts w:ascii="Cambria" w:eastAsia="Times New Roman" w:hAnsi="Cambria"/>
          <w:bCs/>
          <w:i/>
          <w:sz w:val="20"/>
          <w:szCs w:val="20"/>
          <w:bdr w:val="none" w:sz="0" w:space="0" w:color="auto"/>
          <w:lang w:val="es-ES"/>
        </w:rPr>
        <w:t>Hoffman</w:t>
      </w:r>
      <w:r w:rsidR="009268A1" w:rsidRPr="00A16D62">
        <w:rPr>
          <w:rFonts w:ascii="Cambria" w:eastAsia="Times New Roman" w:hAnsi="Cambria"/>
          <w:bCs/>
          <w:sz w:val="20"/>
          <w:szCs w:val="20"/>
          <w:bdr w:val="none" w:sz="0" w:space="0" w:color="auto"/>
          <w:lang w:val="es-ES"/>
        </w:rPr>
        <w:t xml:space="preserve"> </w:t>
      </w:r>
      <w:r w:rsidR="00972486" w:rsidRPr="00A16D62">
        <w:rPr>
          <w:rFonts w:ascii="Cambria" w:eastAsia="Times New Roman" w:hAnsi="Cambria"/>
          <w:bCs/>
          <w:sz w:val="20"/>
          <w:szCs w:val="20"/>
          <w:bdr w:val="none" w:sz="0" w:space="0" w:color="auto"/>
          <w:lang w:val="es-ES"/>
        </w:rPr>
        <w:t xml:space="preserve">que </w:t>
      </w:r>
      <w:r w:rsidR="00C24515" w:rsidRPr="00A16D62">
        <w:rPr>
          <w:rFonts w:ascii="Cambria" w:eastAsia="Times New Roman" w:hAnsi="Cambria"/>
          <w:bCs/>
          <w:sz w:val="20"/>
          <w:szCs w:val="20"/>
          <w:bdr w:val="none" w:sz="0" w:space="0" w:color="auto"/>
          <w:lang w:val="es-ES"/>
        </w:rPr>
        <w:t>“</w:t>
      </w:r>
      <w:r w:rsidR="00972486" w:rsidRPr="00A16D62">
        <w:rPr>
          <w:rFonts w:ascii="Cambria" w:eastAsia="Times New Roman" w:hAnsi="Cambria"/>
          <w:bCs/>
          <w:sz w:val="20"/>
          <w:szCs w:val="20"/>
          <w:bdr w:val="none" w:sz="0" w:space="0" w:color="auto"/>
          <w:lang w:val="es-ES"/>
        </w:rPr>
        <w:t xml:space="preserve">permitir que </w:t>
      </w:r>
      <w:r w:rsidR="009268A1" w:rsidRPr="00A16D62">
        <w:rPr>
          <w:rFonts w:ascii="Cambria" w:eastAsia="Times New Roman" w:hAnsi="Cambria"/>
          <w:bCs/>
          <w:sz w:val="20"/>
          <w:szCs w:val="20"/>
          <w:bdr w:val="none" w:sz="0" w:space="0" w:color="auto"/>
          <w:lang w:val="es-ES"/>
        </w:rPr>
        <w:t>[</w:t>
      </w:r>
      <w:r w:rsidR="00A22522">
        <w:rPr>
          <w:rFonts w:ascii="Cambria" w:eastAsia="Times New Roman" w:hAnsi="Cambria"/>
          <w:bCs/>
          <w:sz w:val="20"/>
          <w:szCs w:val="20"/>
          <w:bdr w:val="none" w:sz="0" w:space="0" w:color="auto"/>
          <w:lang w:val="es-ES"/>
        </w:rPr>
        <w:t xml:space="preserve">la </w:t>
      </w:r>
      <w:r w:rsidR="00B42066" w:rsidRPr="00A16D62">
        <w:rPr>
          <w:rFonts w:ascii="Cambria" w:eastAsia="Times New Roman" w:hAnsi="Cambria"/>
          <w:bCs/>
          <w:sz w:val="20"/>
          <w:szCs w:val="20"/>
          <w:bdr w:val="none" w:sz="0" w:space="0" w:color="auto" w:frame="1"/>
          <w:lang w:val="es-ES"/>
        </w:rPr>
        <w:t>Junta Nacional de Relaciones Laborales</w:t>
      </w:r>
      <w:r w:rsidR="009268A1" w:rsidRPr="00A16D62">
        <w:rPr>
          <w:rFonts w:ascii="Cambria" w:eastAsia="Times New Roman" w:hAnsi="Cambria"/>
          <w:bCs/>
          <w:sz w:val="20"/>
          <w:szCs w:val="20"/>
          <w:bdr w:val="none" w:sz="0" w:space="0" w:color="auto"/>
          <w:lang w:val="es-ES"/>
        </w:rPr>
        <w:t>]</w:t>
      </w:r>
      <w:r w:rsidR="00C24515" w:rsidRPr="00A16D62">
        <w:rPr>
          <w:rFonts w:ascii="Cambria" w:eastAsia="Times New Roman" w:hAnsi="Cambria"/>
          <w:bCs/>
          <w:sz w:val="20"/>
          <w:szCs w:val="20"/>
          <w:bdr w:val="none" w:sz="0" w:space="0" w:color="auto"/>
          <w:lang w:val="es-ES"/>
        </w:rPr>
        <w:t xml:space="preserve"> </w:t>
      </w:r>
      <w:r w:rsidR="00972486" w:rsidRPr="00A16D62">
        <w:rPr>
          <w:rFonts w:ascii="Cambria" w:eastAsia="Times New Roman" w:hAnsi="Cambria"/>
          <w:bCs/>
          <w:sz w:val="20"/>
          <w:szCs w:val="20"/>
          <w:bdr w:val="none" w:sz="0" w:space="0" w:color="auto"/>
          <w:lang w:val="es-ES"/>
        </w:rPr>
        <w:t xml:space="preserve">adjudique </w:t>
      </w:r>
      <w:r w:rsidR="00E5771D" w:rsidRPr="00A16D62">
        <w:rPr>
          <w:rFonts w:ascii="Cambria" w:eastAsia="Times New Roman" w:hAnsi="Cambria"/>
          <w:bCs/>
          <w:sz w:val="20"/>
          <w:szCs w:val="20"/>
          <w:bdr w:val="none" w:sz="0" w:space="0" w:color="auto"/>
          <w:lang w:val="es-ES"/>
        </w:rPr>
        <w:t>salarios caídos</w:t>
      </w:r>
      <w:r w:rsidR="00C24515" w:rsidRPr="00A16D62">
        <w:rPr>
          <w:rFonts w:ascii="Cambria" w:eastAsia="Times New Roman" w:hAnsi="Cambria"/>
          <w:bCs/>
          <w:sz w:val="20"/>
          <w:szCs w:val="20"/>
          <w:bdr w:val="none" w:sz="0" w:space="0" w:color="auto"/>
          <w:lang w:val="es-ES"/>
        </w:rPr>
        <w:t xml:space="preserve"> </w:t>
      </w:r>
      <w:r w:rsidR="00972486" w:rsidRPr="00A16D62">
        <w:rPr>
          <w:rFonts w:ascii="Cambria" w:eastAsia="Times New Roman" w:hAnsi="Cambria"/>
          <w:bCs/>
          <w:sz w:val="20"/>
          <w:szCs w:val="20"/>
          <w:bdr w:val="none" w:sz="0" w:space="0" w:color="auto"/>
          <w:lang w:val="es-ES"/>
        </w:rPr>
        <w:t>a extranjeros ilegales</w:t>
      </w:r>
      <w:r w:rsidR="00C24515" w:rsidRPr="00A16D62">
        <w:rPr>
          <w:rFonts w:ascii="Cambria" w:eastAsia="Times New Roman" w:hAnsi="Cambria"/>
          <w:bCs/>
          <w:sz w:val="20"/>
          <w:szCs w:val="20"/>
          <w:bdr w:val="none" w:sz="0" w:space="0" w:color="auto"/>
          <w:lang w:val="es-ES"/>
        </w:rPr>
        <w:t xml:space="preserve"> </w:t>
      </w:r>
      <w:r w:rsidR="00972486" w:rsidRPr="00A16D62">
        <w:rPr>
          <w:rFonts w:ascii="Cambria" w:eastAsia="Times New Roman" w:hAnsi="Cambria"/>
          <w:bCs/>
          <w:sz w:val="20"/>
          <w:szCs w:val="20"/>
          <w:bdr w:val="none" w:sz="0" w:space="0" w:color="auto"/>
          <w:lang w:val="es-ES"/>
        </w:rPr>
        <w:t xml:space="preserve">se opondría explícitamente a prohibiciones establecidas por ley que son cruciales para la política </w:t>
      </w:r>
      <w:r w:rsidR="00C24515" w:rsidRPr="00A16D62">
        <w:rPr>
          <w:rFonts w:ascii="Cambria" w:eastAsia="Times New Roman" w:hAnsi="Cambria"/>
          <w:bCs/>
          <w:sz w:val="20"/>
          <w:szCs w:val="20"/>
          <w:bdr w:val="none" w:sz="0" w:space="0" w:color="auto"/>
          <w:lang w:val="es-ES"/>
        </w:rPr>
        <w:t xml:space="preserve">federal </w:t>
      </w:r>
      <w:r w:rsidR="00972486" w:rsidRPr="00A16D62">
        <w:rPr>
          <w:rFonts w:ascii="Cambria" w:eastAsia="Times New Roman" w:hAnsi="Cambria"/>
          <w:bCs/>
          <w:sz w:val="20"/>
          <w:szCs w:val="20"/>
          <w:bdr w:val="none" w:sz="0" w:space="0" w:color="auto"/>
          <w:lang w:val="es-ES"/>
        </w:rPr>
        <w:t xml:space="preserve">en materia de inmigraciones expresada en la </w:t>
      </w:r>
      <w:r w:rsidR="00B42066" w:rsidRPr="00A16D62">
        <w:rPr>
          <w:rFonts w:ascii="Cambria" w:eastAsia="Times New Roman" w:hAnsi="Cambria"/>
          <w:bCs/>
          <w:sz w:val="20"/>
          <w:szCs w:val="20"/>
          <w:bdr w:val="none" w:sz="0" w:space="0" w:color="auto" w:frame="1"/>
          <w:lang w:val="es-ES"/>
        </w:rPr>
        <w:t>Ley de Reforma y Control de la Inmigración</w:t>
      </w:r>
      <w:r w:rsidR="00C24515" w:rsidRPr="00A16D62">
        <w:rPr>
          <w:rFonts w:ascii="Cambria" w:eastAsia="Times New Roman" w:hAnsi="Cambria"/>
          <w:bCs/>
          <w:sz w:val="20"/>
          <w:szCs w:val="20"/>
          <w:bdr w:val="none" w:sz="0" w:space="0" w:color="auto"/>
          <w:lang w:val="es-ES"/>
        </w:rPr>
        <w:t xml:space="preserve">. </w:t>
      </w:r>
      <w:r w:rsidR="00972486" w:rsidRPr="00A16D62">
        <w:rPr>
          <w:rFonts w:ascii="Cambria" w:eastAsia="Times New Roman" w:hAnsi="Cambria"/>
          <w:bCs/>
          <w:sz w:val="20"/>
          <w:szCs w:val="20"/>
          <w:bdr w:val="none" w:sz="0" w:space="0" w:color="auto"/>
          <w:lang w:val="es-ES"/>
        </w:rPr>
        <w:t>Fomentaría la evasión de la detención por las autoridades de inmigraciones, condonaría infracciones previas de las leyes de inmigraciones y fomentaría infracciones futuras</w:t>
      </w:r>
      <w:r w:rsidR="009268A1" w:rsidRPr="00A16D62">
        <w:rPr>
          <w:rFonts w:ascii="Cambria" w:eastAsia="Times New Roman" w:hAnsi="Cambria"/>
          <w:bCs/>
          <w:sz w:val="20"/>
          <w:szCs w:val="20"/>
          <w:bdr w:val="none" w:sz="0" w:space="0" w:color="auto"/>
          <w:lang w:val="es-ES"/>
        </w:rPr>
        <w:t>”</w:t>
      </w:r>
      <w:r w:rsidR="009268A1" w:rsidRPr="00A16D62">
        <w:rPr>
          <w:rStyle w:val="FootnoteReference"/>
          <w:rFonts w:ascii="Cambria" w:eastAsia="Times New Roman" w:hAnsi="Cambria"/>
          <w:bCs/>
          <w:sz w:val="20"/>
          <w:szCs w:val="20"/>
          <w:bdr w:val="none" w:sz="0" w:space="0" w:color="auto"/>
          <w:lang w:val="es-ES"/>
        </w:rPr>
        <w:footnoteReference w:id="56"/>
      </w:r>
      <w:r w:rsidR="00972486" w:rsidRPr="00A16D62">
        <w:rPr>
          <w:rFonts w:ascii="Cambria" w:eastAsia="Times New Roman" w:hAnsi="Cambria"/>
          <w:bCs/>
          <w:sz w:val="20"/>
          <w:szCs w:val="20"/>
          <w:bdr w:val="none" w:sz="0" w:space="0" w:color="auto"/>
          <w:lang w:val="es-ES"/>
        </w:rPr>
        <w:t xml:space="preserve">. En consecuencia, a </w:t>
      </w:r>
      <w:r w:rsidR="005E666D" w:rsidRPr="00A16D62">
        <w:rPr>
          <w:rFonts w:ascii="Cambria" w:eastAsia="Times New Roman" w:hAnsi="Cambria"/>
          <w:bCs/>
          <w:sz w:val="20"/>
          <w:szCs w:val="20"/>
          <w:bdr w:val="none" w:sz="0" w:space="0" w:color="auto"/>
          <w:lang w:val="es-ES"/>
        </w:rPr>
        <w:t>Jos</w:t>
      </w:r>
      <w:r w:rsidR="00B42066" w:rsidRPr="00A16D62">
        <w:rPr>
          <w:rFonts w:ascii="Cambria" w:eastAsia="Times New Roman" w:hAnsi="Cambria"/>
          <w:bCs/>
          <w:sz w:val="20"/>
          <w:szCs w:val="20"/>
          <w:bdr w:val="none" w:sz="0" w:space="0" w:color="auto"/>
          <w:lang w:val="es-ES"/>
        </w:rPr>
        <w:t>é</w:t>
      </w:r>
      <w:r w:rsidR="005E666D" w:rsidRPr="00A16D62">
        <w:rPr>
          <w:rFonts w:ascii="Cambria" w:eastAsia="Times New Roman" w:hAnsi="Cambria"/>
          <w:bCs/>
          <w:sz w:val="20"/>
          <w:szCs w:val="20"/>
          <w:bdr w:val="none" w:sz="0" w:space="0" w:color="auto"/>
          <w:lang w:val="es-ES"/>
        </w:rPr>
        <w:t xml:space="preserve"> Castro, </w:t>
      </w:r>
      <w:r w:rsidR="00972486" w:rsidRPr="00A16D62">
        <w:rPr>
          <w:rFonts w:ascii="Cambria" w:eastAsia="Times New Roman" w:hAnsi="Cambria"/>
          <w:bCs/>
          <w:sz w:val="20"/>
          <w:szCs w:val="20"/>
          <w:bdr w:val="none" w:sz="0" w:space="0" w:color="auto"/>
          <w:lang w:val="es-ES"/>
        </w:rPr>
        <w:t xml:space="preserve">el </w:t>
      </w:r>
      <w:r w:rsidR="00A30BE7" w:rsidRPr="00A16D62">
        <w:rPr>
          <w:rFonts w:ascii="Cambria" w:eastAsia="Times New Roman" w:hAnsi="Cambria"/>
          <w:bCs/>
          <w:sz w:val="20"/>
          <w:szCs w:val="20"/>
          <w:bdr w:val="none" w:sz="0" w:space="0" w:color="auto"/>
          <w:lang w:val="es-ES"/>
        </w:rPr>
        <w:t>trabajador indocumentado</w:t>
      </w:r>
      <w:r w:rsidR="005E666D" w:rsidRPr="00A16D62">
        <w:rPr>
          <w:rFonts w:ascii="Cambria" w:eastAsia="Times New Roman" w:hAnsi="Cambria"/>
          <w:bCs/>
          <w:sz w:val="20"/>
          <w:szCs w:val="20"/>
          <w:bdr w:val="none" w:sz="0" w:space="0" w:color="auto"/>
          <w:lang w:val="es-ES"/>
        </w:rPr>
        <w:t xml:space="preserve"> </w:t>
      </w:r>
      <w:r w:rsidR="00972486" w:rsidRPr="00A16D62">
        <w:rPr>
          <w:rFonts w:ascii="Cambria" w:eastAsia="Times New Roman" w:hAnsi="Cambria"/>
          <w:bCs/>
          <w:sz w:val="20"/>
          <w:szCs w:val="20"/>
          <w:bdr w:val="none" w:sz="0" w:space="0" w:color="auto"/>
          <w:lang w:val="es-ES"/>
        </w:rPr>
        <w:t xml:space="preserve">que fue despedido ilegalmente por </w:t>
      </w:r>
      <w:r w:rsidR="005E666D" w:rsidRPr="00A16D62">
        <w:rPr>
          <w:rFonts w:ascii="Cambria" w:eastAsia="Times New Roman" w:hAnsi="Cambria"/>
          <w:bCs/>
          <w:sz w:val="20"/>
          <w:szCs w:val="20"/>
          <w:bdr w:val="none" w:sz="0" w:space="0" w:color="auto"/>
          <w:lang w:val="es-ES"/>
        </w:rPr>
        <w:t xml:space="preserve">Hoffman </w:t>
      </w:r>
      <w:r w:rsidR="00972486" w:rsidRPr="00A16D62">
        <w:rPr>
          <w:rFonts w:ascii="Cambria" w:eastAsia="Times New Roman" w:hAnsi="Cambria"/>
          <w:bCs/>
          <w:sz w:val="20"/>
          <w:szCs w:val="20"/>
          <w:bdr w:val="none" w:sz="0" w:space="0" w:color="auto"/>
          <w:lang w:val="es-ES"/>
        </w:rPr>
        <w:t xml:space="preserve">como represalia por sus actividades de sindicalización, se le denegó el pago de </w:t>
      </w:r>
      <w:r w:rsidR="00E5771D" w:rsidRPr="00A16D62">
        <w:rPr>
          <w:rFonts w:ascii="Cambria" w:eastAsia="Times New Roman" w:hAnsi="Cambria"/>
          <w:bCs/>
          <w:sz w:val="20"/>
          <w:szCs w:val="20"/>
          <w:bdr w:val="none" w:sz="0" w:space="0" w:color="auto"/>
          <w:lang w:val="es-ES"/>
        </w:rPr>
        <w:t>salarios caídos</w:t>
      </w:r>
      <w:r w:rsidR="0021470F" w:rsidRPr="00A16D62">
        <w:rPr>
          <w:rFonts w:ascii="Cambria" w:eastAsia="Times New Roman" w:hAnsi="Cambria"/>
          <w:bCs/>
          <w:sz w:val="20"/>
          <w:szCs w:val="20"/>
          <w:bdr w:val="none" w:sz="0" w:space="0" w:color="auto"/>
          <w:lang w:val="es-ES"/>
        </w:rPr>
        <w:t xml:space="preserve">. </w:t>
      </w:r>
    </w:p>
    <w:p w:rsidR="00F36AD9" w:rsidRPr="00A16D62" w:rsidRDefault="00F36AD9" w:rsidP="00F36AD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F33188" w:rsidRPr="00A16D62" w:rsidRDefault="00F33188" w:rsidP="00A76BB1">
      <w:pPr>
        <w:pStyle w:val="Heading2"/>
        <w:ind w:left="1440" w:hanging="720"/>
        <w:rPr>
          <w:lang w:val="es-ES"/>
        </w:rPr>
      </w:pPr>
      <w:bookmarkStart w:id="21" w:name="_Toc467138446"/>
      <w:r w:rsidRPr="00A16D62">
        <w:rPr>
          <w:lang w:val="es-ES"/>
        </w:rPr>
        <w:t>S</w:t>
      </w:r>
      <w:r w:rsidR="0017202C" w:rsidRPr="00A16D62">
        <w:rPr>
          <w:lang w:val="es-ES"/>
        </w:rPr>
        <w:t>itua</w:t>
      </w:r>
      <w:r w:rsidR="00FC5EA0" w:rsidRPr="00A16D62">
        <w:rPr>
          <w:lang w:val="es-ES"/>
        </w:rPr>
        <w:t>ción de los t</w:t>
      </w:r>
      <w:r w:rsidR="00C038BF" w:rsidRPr="00A16D62">
        <w:rPr>
          <w:lang w:val="es-ES"/>
        </w:rPr>
        <w:t>rabajadores indocumentados</w:t>
      </w:r>
      <w:r w:rsidR="0017202C" w:rsidRPr="00A16D62">
        <w:rPr>
          <w:lang w:val="es-ES"/>
        </w:rPr>
        <w:t xml:space="preserve"> </w:t>
      </w:r>
      <w:r w:rsidR="00FC5EA0" w:rsidRPr="00A16D62">
        <w:rPr>
          <w:lang w:val="es-ES"/>
        </w:rPr>
        <w:t>e</w:t>
      </w:r>
      <w:r w:rsidR="0017202C" w:rsidRPr="00A16D62">
        <w:rPr>
          <w:lang w:val="es-ES"/>
        </w:rPr>
        <w:t xml:space="preserve">n </w:t>
      </w:r>
      <w:r w:rsidR="007E4498" w:rsidRPr="00A16D62">
        <w:rPr>
          <w:lang w:val="es-ES"/>
        </w:rPr>
        <w:t>Estados Unidos</w:t>
      </w:r>
      <w:bookmarkEnd w:id="21"/>
      <w:r w:rsidR="00CC3419">
        <w:rPr>
          <w:lang w:val="es-ES"/>
        </w:rPr>
        <w:t xml:space="preserve"> </w:t>
      </w:r>
    </w:p>
    <w:p w:rsidR="00F36794" w:rsidRPr="00A16D62" w:rsidRDefault="00F36794" w:rsidP="00F36794">
      <w:pPr>
        <w:pStyle w:val="ListParagraph"/>
        <w:rPr>
          <w:rFonts w:eastAsia="Times New Roman"/>
          <w:b/>
          <w:bCs/>
          <w:sz w:val="20"/>
          <w:szCs w:val="20"/>
          <w:u w:val="single"/>
          <w:bdr w:val="none" w:sz="0" w:space="0" w:color="auto"/>
          <w:lang w:val="es-ES"/>
        </w:rPr>
      </w:pPr>
    </w:p>
    <w:p w:rsidR="00854D68" w:rsidRPr="00A16D62" w:rsidRDefault="004015E3" w:rsidP="004B354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Antes de pasar a un análisis del </w:t>
      </w:r>
      <w:r w:rsidR="009A5408" w:rsidRPr="00A16D62">
        <w:rPr>
          <w:rFonts w:ascii="Cambria" w:eastAsia="Times New Roman" w:hAnsi="Cambria"/>
          <w:bCs/>
          <w:sz w:val="20"/>
          <w:szCs w:val="20"/>
          <w:bdr w:val="none" w:sz="0" w:space="0" w:color="auto"/>
          <w:lang w:val="es-ES"/>
        </w:rPr>
        <w:t>fondo</w:t>
      </w:r>
      <w:r w:rsidR="004B354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de este</w:t>
      </w:r>
      <w:r w:rsidR="004B3540" w:rsidRPr="00A16D62">
        <w:rPr>
          <w:rFonts w:ascii="Cambria" w:eastAsia="Times New Roman" w:hAnsi="Cambria"/>
          <w:bCs/>
          <w:sz w:val="20"/>
          <w:szCs w:val="20"/>
          <w:bdr w:val="none" w:sz="0" w:space="0" w:color="auto"/>
          <w:lang w:val="es-ES"/>
        </w:rPr>
        <w:t xml:space="preserve"> cas</w:t>
      </w:r>
      <w:r w:rsidRPr="00A16D62">
        <w:rPr>
          <w:rFonts w:ascii="Cambria" w:eastAsia="Times New Roman" w:hAnsi="Cambria"/>
          <w:bCs/>
          <w:sz w:val="20"/>
          <w:szCs w:val="20"/>
          <w:bdr w:val="none" w:sz="0" w:space="0" w:color="auto"/>
          <w:lang w:val="es-ES"/>
        </w:rPr>
        <w:t>o</w:t>
      </w:r>
      <w:r w:rsidR="004B3540"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4B354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considera procedente presentar una instantánea de la situación de los</w:t>
      </w:r>
      <w:r w:rsidR="004B3540"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4B354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w:t>
      </w:r>
      <w:r w:rsidR="004B3540" w:rsidRPr="00A16D62">
        <w:rPr>
          <w:rFonts w:ascii="Cambria" w:eastAsia="Times New Roman" w:hAnsi="Cambria"/>
          <w:bCs/>
          <w:sz w:val="20"/>
          <w:szCs w:val="20"/>
          <w:bdr w:val="none" w:sz="0" w:space="0" w:color="auto"/>
          <w:lang w:val="es-ES"/>
        </w:rPr>
        <w:t xml:space="preserve">n </w:t>
      </w:r>
      <w:r w:rsidR="007E4498" w:rsidRPr="00A16D62">
        <w:rPr>
          <w:rFonts w:ascii="Cambria" w:eastAsia="Times New Roman" w:hAnsi="Cambria"/>
          <w:bCs/>
          <w:sz w:val="20"/>
          <w:szCs w:val="20"/>
          <w:bdr w:val="none" w:sz="0" w:space="0" w:color="auto"/>
          <w:lang w:val="es-ES"/>
        </w:rPr>
        <w:t>Estados Unidos</w:t>
      </w:r>
      <w:r w:rsidR="0092639E" w:rsidRPr="00A16D62">
        <w:rPr>
          <w:rStyle w:val="FootnoteReference"/>
          <w:rFonts w:ascii="Cambria" w:eastAsia="Times New Roman" w:hAnsi="Cambria"/>
          <w:bCs/>
          <w:sz w:val="20"/>
          <w:szCs w:val="20"/>
          <w:bdr w:val="none" w:sz="0" w:space="0" w:color="auto"/>
          <w:lang w:val="es-ES"/>
        </w:rPr>
        <w:footnoteReference w:id="57"/>
      </w:r>
      <w:r w:rsidRPr="00A16D62">
        <w:rPr>
          <w:rFonts w:ascii="Cambria" w:eastAsia="Times New Roman" w:hAnsi="Cambria"/>
          <w:bCs/>
          <w:sz w:val="20"/>
          <w:szCs w:val="20"/>
          <w:bdr w:val="none" w:sz="0" w:space="0" w:color="auto"/>
          <w:lang w:val="es-ES"/>
        </w:rPr>
        <w:t xml:space="preserve">. Según se informa, los </w:t>
      </w:r>
      <w:r w:rsidR="002606C3" w:rsidRPr="00A16D62">
        <w:rPr>
          <w:rFonts w:ascii="Cambria" w:eastAsia="Times New Roman" w:hAnsi="Cambria"/>
          <w:bCs/>
          <w:sz w:val="20"/>
          <w:szCs w:val="20"/>
          <w:bdr w:val="none" w:sz="0" w:space="0" w:color="auto"/>
          <w:lang w:val="es-ES"/>
        </w:rPr>
        <w:t>“</w:t>
      </w:r>
      <w:r w:rsidR="00B42066" w:rsidRPr="00A16D62">
        <w:rPr>
          <w:rFonts w:ascii="Cambria" w:eastAsia="Times New Roman" w:hAnsi="Cambria"/>
          <w:bCs/>
          <w:sz w:val="20"/>
          <w:szCs w:val="20"/>
          <w:bdr w:val="none" w:sz="0" w:space="0" w:color="auto"/>
          <w:lang w:val="es-ES"/>
        </w:rPr>
        <w:t>inmigrantes no autorizados</w:t>
      </w:r>
      <w:r w:rsidR="002606C3" w:rsidRPr="00A16D62">
        <w:rPr>
          <w:rFonts w:ascii="Cambria" w:eastAsia="Times New Roman" w:hAnsi="Cambria"/>
          <w:bCs/>
          <w:sz w:val="20"/>
          <w:szCs w:val="20"/>
          <w:bdr w:val="none" w:sz="0" w:space="0" w:color="auto"/>
          <w:lang w:val="es-ES"/>
        </w:rPr>
        <w:t>”</w:t>
      </w:r>
      <w:r w:rsidR="002606C3" w:rsidRPr="00A16D62">
        <w:rPr>
          <w:rStyle w:val="FootnoteReference"/>
          <w:rFonts w:ascii="Cambria" w:eastAsia="Times New Roman" w:hAnsi="Cambria"/>
          <w:bCs/>
          <w:sz w:val="20"/>
          <w:szCs w:val="20"/>
          <w:bdr w:val="none" w:sz="0" w:space="0" w:color="auto"/>
          <w:lang w:val="es-ES"/>
        </w:rPr>
        <w:footnoteReference w:id="58"/>
      </w:r>
      <w:r w:rsidR="004B354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w:t>
      </w:r>
      <w:r w:rsidR="004B3540" w:rsidRPr="00A16D62">
        <w:rPr>
          <w:rFonts w:ascii="Cambria" w:eastAsia="Times New Roman" w:hAnsi="Cambria"/>
          <w:bCs/>
          <w:sz w:val="20"/>
          <w:szCs w:val="20"/>
          <w:bdr w:val="none" w:sz="0" w:space="0" w:color="auto"/>
          <w:lang w:val="es-ES"/>
        </w:rPr>
        <w:t xml:space="preserve">n </w:t>
      </w:r>
      <w:r w:rsidR="007E4498" w:rsidRPr="00A16D62">
        <w:rPr>
          <w:rFonts w:ascii="Cambria" w:eastAsia="Times New Roman" w:hAnsi="Cambria"/>
          <w:bCs/>
          <w:sz w:val="20"/>
          <w:szCs w:val="20"/>
          <w:bdr w:val="none" w:sz="0" w:space="0" w:color="auto"/>
          <w:lang w:val="es-ES"/>
        </w:rPr>
        <w:t>Estados Unidos</w:t>
      </w:r>
      <w:r w:rsidR="004B354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ascendían a alrededor de </w:t>
      </w:r>
      <w:r w:rsidR="002606C3" w:rsidRPr="00A16D62">
        <w:rPr>
          <w:rFonts w:ascii="Cambria" w:eastAsia="Times New Roman" w:hAnsi="Cambria"/>
          <w:bCs/>
          <w:sz w:val="20"/>
          <w:szCs w:val="20"/>
          <w:bdr w:val="none" w:sz="0" w:space="0" w:color="auto"/>
          <w:lang w:val="es-ES"/>
        </w:rPr>
        <w:t>11</w:t>
      </w:r>
      <w:r w:rsidRPr="00A16D62">
        <w:rPr>
          <w:rFonts w:ascii="Cambria" w:eastAsia="Times New Roman" w:hAnsi="Cambria"/>
          <w:bCs/>
          <w:sz w:val="20"/>
          <w:szCs w:val="20"/>
          <w:bdr w:val="none" w:sz="0" w:space="0" w:color="auto"/>
          <w:lang w:val="es-ES"/>
        </w:rPr>
        <w:t>.</w:t>
      </w:r>
      <w:r w:rsidR="002606C3" w:rsidRPr="00A16D62">
        <w:rPr>
          <w:rFonts w:ascii="Cambria" w:eastAsia="Times New Roman" w:hAnsi="Cambria"/>
          <w:bCs/>
          <w:sz w:val="20"/>
          <w:szCs w:val="20"/>
          <w:bdr w:val="none" w:sz="0" w:space="0" w:color="auto"/>
          <w:lang w:val="es-ES"/>
        </w:rPr>
        <w:t>022</w:t>
      </w:r>
      <w:r w:rsidRPr="00A16D62">
        <w:rPr>
          <w:rFonts w:ascii="Cambria" w:eastAsia="Times New Roman" w:hAnsi="Cambria"/>
          <w:bCs/>
          <w:sz w:val="20"/>
          <w:szCs w:val="20"/>
          <w:bdr w:val="none" w:sz="0" w:space="0" w:color="auto"/>
          <w:lang w:val="es-ES"/>
        </w:rPr>
        <w:t>.</w:t>
      </w:r>
      <w:r w:rsidR="002606C3" w:rsidRPr="00A16D62">
        <w:rPr>
          <w:rFonts w:ascii="Cambria" w:eastAsia="Times New Roman" w:hAnsi="Cambria"/>
          <w:bCs/>
          <w:sz w:val="20"/>
          <w:szCs w:val="20"/>
          <w:bdr w:val="none" w:sz="0" w:space="0" w:color="auto"/>
          <w:lang w:val="es-ES"/>
        </w:rPr>
        <w:t>000</w:t>
      </w:r>
      <w:r w:rsidR="004B354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a </w:t>
      </w:r>
      <w:r w:rsidR="004B3540" w:rsidRPr="00A16D62">
        <w:rPr>
          <w:rFonts w:ascii="Cambria" w:eastAsia="Times New Roman" w:hAnsi="Cambria"/>
          <w:bCs/>
          <w:sz w:val="20"/>
          <w:szCs w:val="20"/>
          <w:bdr w:val="none" w:sz="0" w:space="0" w:color="auto"/>
          <w:lang w:val="es-ES"/>
        </w:rPr>
        <w:t>2013</w:t>
      </w:r>
      <w:r w:rsidR="002606C3" w:rsidRPr="00A16D62">
        <w:rPr>
          <w:rStyle w:val="FootnoteReference"/>
          <w:rFonts w:ascii="Cambria" w:eastAsia="Times New Roman" w:hAnsi="Cambria"/>
          <w:bCs/>
          <w:sz w:val="20"/>
          <w:szCs w:val="20"/>
          <w:bdr w:val="none" w:sz="0" w:space="0" w:color="auto"/>
          <w:lang w:val="es-ES"/>
        </w:rPr>
        <w:footnoteReference w:id="59"/>
      </w:r>
      <w:r w:rsidRPr="00A16D62">
        <w:rPr>
          <w:rFonts w:ascii="Cambria" w:eastAsia="Times New Roman" w:hAnsi="Cambria"/>
          <w:bCs/>
          <w:sz w:val="20"/>
          <w:szCs w:val="20"/>
          <w:bdr w:val="none" w:sz="0" w:space="0" w:color="auto"/>
          <w:lang w:val="es-ES"/>
        </w:rPr>
        <w:t>.</w:t>
      </w:r>
      <w:r w:rsidR="00A0795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El principal país de origen es </w:t>
      </w:r>
      <w:r w:rsidR="00001DB6" w:rsidRPr="00A16D62">
        <w:rPr>
          <w:rFonts w:ascii="Cambria" w:eastAsia="Times New Roman" w:hAnsi="Cambria"/>
          <w:bCs/>
          <w:sz w:val="20"/>
          <w:szCs w:val="20"/>
          <w:bdr w:val="none" w:sz="0" w:space="0" w:color="auto"/>
          <w:lang w:val="es-ES"/>
        </w:rPr>
        <w:t>México</w:t>
      </w:r>
      <w:r w:rsidR="00A0795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fuente de </w:t>
      </w:r>
      <w:r w:rsidR="00A0795A" w:rsidRPr="00A16D62">
        <w:rPr>
          <w:rFonts w:ascii="Cambria" w:eastAsia="Times New Roman" w:hAnsi="Cambria"/>
          <w:bCs/>
          <w:sz w:val="20"/>
          <w:szCs w:val="20"/>
          <w:bdr w:val="none" w:sz="0" w:space="0" w:color="auto"/>
          <w:lang w:val="es-ES"/>
        </w:rPr>
        <w:t>6</w:t>
      </w:r>
      <w:r w:rsidRPr="00A16D62">
        <w:rPr>
          <w:rFonts w:ascii="Cambria" w:eastAsia="Times New Roman" w:hAnsi="Cambria"/>
          <w:bCs/>
          <w:sz w:val="20"/>
          <w:szCs w:val="20"/>
          <w:bdr w:val="none" w:sz="0" w:space="0" w:color="auto"/>
          <w:lang w:val="es-ES"/>
        </w:rPr>
        <w:t>.</w:t>
      </w:r>
      <w:r w:rsidR="00A0795A" w:rsidRPr="00A16D62">
        <w:rPr>
          <w:rFonts w:ascii="Cambria" w:eastAsia="Times New Roman" w:hAnsi="Cambria"/>
          <w:bCs/>
          <w:sz w:val="20"/>
          <w:szCs w:val="20"/>
          <w:bdr w:val="none" w:sz="0" w:space="0" w:color="auto"/>
          <w:lang w:val="es-ES"/>
        </w:rPr>
        <w:t>19</w:t>
      </w:r>
      <w:r w:rsidR="0070134E" w:rsidRPr="00A16D62">
        <w:rPr>
          <w:rFonts w:ascii="Cambria" w:eastAsia="Times New Roman" w:hAnsi="Cambria"/>
          <w:bCs/>
          <w:sz w:val="20"/>
          <w:szCs w:val="20"/>
          <w:bdr w:val="none" w:sz="0" w:space="0" w:color="auto"/>
          <w:lang w:val="es-ES"/>
        </w:rPr>
        <w:t>4</w:t>
      </w:r>
      <w:r w:rsidRPr="00A16D62">
        <w:rPr>
          <w:rFonts w:ascii="Cambria" w:eastAsia="Times New Roman" w:hAnsi="Cambria"/>
          <w:bCs/>
          <w:sz w:val="20"/>
          <w:szCs w:val="20"/>
          <w:bdr w:val="none" w:sz="0" w:space="0" w:color="auto"/>
          <w:lang w:val="es-ES"/>
        </w:rPr>
        <w:t>.</w:t>
      </w:r>
      <w:r w:rsidR="0070134E" w:rsidRPr="00A16D62">
        <w:rPr>
          <w:rFonts w:ascii="Cambria" w:eastAsia="Times New Roman" w:hAnsi="Cambria"/>
          <w:bCs/>
          <w:sz w:val="20"/>
          <w:szCs w:val="20"/>
          <w:bdr w:val="none" w:sz="0" w:space="0" w:color="auto"/>
          <w:lang w:val="es-ES"/>
        </w:rPr>
        <w:t>000, o 56%</w:t>
      </w:r>
      <w:r w:rsidRPr="00A16D62">
        <w:rPr>
          <w:rFonts w:ascii="Cambria" w:eastAsia="Times New Roman" w:hAnsi="Cambria"/>
          <w:bCs/>
          <w:sz w:val="20"/>
          <w:szCs w:val="20"/>
          <w:bdr w:val="none" w:sz="0" w:space="0" w:color="auto"/>
          <w:lang w:val="es-ES"/>
        </w:rPr>
        <w:t xml:space="preserve">, de estos inmigrantes, que llegan a </w:t>
      </w:r>
      <w:r w:rsidR="0070134E" w:rsidRPr="00A16D62">
        <w:rPr>
          <w:rFonts w:ascii="Cambria" w:eastAsia="Times New Roman" w:hAnsi="Cambria"/>
          <w:bCs/>
          <w:sz w:val="20"/>
          <w:szCs w:val="20"/>
          <w:bdr w:val="none" w:sz="0" w:space="0" w:color="auto"/>
          <w:lang w:val="es-ES"/>
        </w:rPr>
        <w:t xml:space="preserve">71% </w:t>
      </w:r>
      <w:r w:rsidRPr="00A16D62">
        <w:rPr>
          <w:rFonts w:ascii="Cambria" w:eastAsia="Times New Roman" w:hAnsi="Cambria"/>
          <w:bCs/>
          <w:sz w:val="20"/>
          <w:szCs w:val="20"/>
          <w:bdr w:val="none" w:sz="0" w:space="0" w:color="auto"/>
          <w:lang w:val="es-ES"/>
        </w:rPr>
        <w:lastRenderedPageBreak/>
        <w:t>cuando se los combina con los inmigrantes de países centroamericanos</w:t>
      </w:r>
      <w:r w:rsidR="00E16CCE" w:rsidRPr="00A16D62">
        <w:rPr>
          <w:rStyle w:val="FootnoteReference"/>
          <w:rFonts w:ascii="Cambria" w:eastAsia="Times New Roman" w:hAnsi="Cambria"/>
          <w:bCs/>
          <w:sz w:val="20"/>
          <w:szCs w:val="20"/>
          <w:bdr w:val="none" w:sz="0" w:space="0" w:color="auto"/>
          <w:lang w:val="es-ES"/>
        </w:rPr>
        <w:footnoteReference w:id="60"/>
      </w:r>
      <w:r w:rsidRPr="00A16D62">
        <w:rPr>
          <w:rFonts w:ascii="Cambria" w:eastAsia="Times New Roman" w:hAnsi="Cambria"/>
          <w:bCs/>
          <w:sz w:val="20"/>
          <w:szCs w:val="20"/>
          <w:bdr w:val="none" w:sz="0" w:space="0" w:color="auto"/>
          <w:lang w:val="es-ES"/>
        </w:rPr>
        <w:t xml:space="preserve">. Según un estudio realizado por el Centro de Investigaciones </w:t>
      </w:r>
      <w:r w:rsidR="00374F5F" w:rsidRPr="00A16D62">
        <w:rPr>
          <w:rFonts w:ascii="Cambria" w:eastAsia="Times New Roman" w:hAnsi="Cambria"/>
          <w:bCs/>
          <w:sz w:val="20"/>
          <w:szCs w:val="20"/>
          <w:bdr w:val="none" w:sz="0" w:space="0" w:color="auto"/>
          <w:lang w:val="es-ES"/>
        </w:rPr>
        <w:t>Pew</w:t>
      </w:r>
      <w:r w:rsidRPr="00A16D62">
        <w:rPr>
          <w:rFonts w:ascii="Cambria" w:eastAsia="Times New Roman" w:hAnsi="Cambria"/>
          <w:bCs/>
          <w:sz w:val="20"/>
          <w:szCs w:val="20"/>
          <w:bdr w:val="none" w:sz="0" w:space="0" w:color="auto"/>
          <w:lang w:val="es-ES"/>
        </w:rPr>
        <w:t xml:space="preserve">, a </w:t>
      </w:r>
      <w:r w:rsidR="0083228D" w:rsidRPr="00A16D62">
        <w:rPr>
          <w:rFonts w:ascii="Cambria" w:eastAsia="Times New Roman" w:hAnsi="Cambria"/>
          <w:bCs/>
          <w:sz w:val="20"/>
          <w:szCs w:val="20"/>
          <w:bdr w:val="none" w:sz="0" w:space="0" w:color="auto"/>
          <w:lang w:val="es-ES"/>
        </w:rPr>
        <w:t>2012</w:t>
      </w:r>
      <w:r w:rsidRPr="00A16D62">
        <w:rPr>
          <w:rFonts w:ascii="Cambria" w:eastAsia="Times New Roman" w:hAnsi="Cambria"/>
          <w:bCs/>
          <w:sz w:val="20"/>
          <w:szCs w:val="20"/>
          <w:bdr w:val="none" w:sz="0" w:space="0" w:color="auto"/>
          <w:lang w:val="es-ES"/>
        </w:rPr>
        <w:t xml:space="preserve"> los </w:t>
      </w:r>
      <w:r w:rsidR="00B42066" w:rsidRPr="00A16D62">
        <w:rPr>
          <w:rFonts w:ascii="Cambria" w:eastAsia="Times New Roman" w:hAnsi="Cambria"/>
          <w:bCs/>
          <w:sz w:val="20"/>
          <w:szCs w:val="20"/>
          <w:bdr w:val="none" w:sz="0" w:space="0" w:color="auto"/>
          <w:lang w:val="es-ES"/>
        </w:rPr>
        <w:t>inmigrantes no autorizados</w:t>
      </w:r>
      <w:r w:rsidR="0083228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representaban</w:t>
      </w:r>
      <w:r w:rsidR="0083228D" w:rsidRPr="00A16D62">
        <w:rPr>
          <w:rFonts w:ascii="Cambria" w:eastAsia="Times New Roman" w:hAnsi="Cambria"/>
          <w:bCs/>
          <w:sz w:val="20"/>
          <w:szCs w:val="20"/>
          <w:bdr w:val="none" w:sz="0" w:space="0" w:color="auto"/>
          <w:lang w:val="es-ES"/>
        </w:rPr>
        <w:t xml:space="preserve"> 3</w:t>
      </w:r>
      <w:r w:rsidRPr="00A16D62">
        <w:rPr>
          <w:rFonts w:ascii="Cambria" w:eastAsia="Times New Roman" w:hAnsi="Cambria"/>
          <w:bCs/>
          <w:sz w:val="20"/>
          <w:szCs w:val="20"/>
          <w:bdr w:val="none" w:sz="0" w:space="0" w:color="auto"/>
          <w:lang w:val="es-ES"/>
        </w:rPr>
        <w:t>,</w:t>
      </w:r>
      <w:r w:rsidR="0083228D" w:rsidRPr="00A16D62">
        <w:rPr>
          <w:rFonts w:ascii="Cambria" w:eastAsia="Times New Roman" w:hAnsi="Cambria"/>
          <w:bCs/>
          <w:sz w:val="20"/>
          <w:szCs w:val="20"/>
          <w:bdr w:val="none" w:sz="0" w:space="0" w:color="auto"/>
          <w:lang w:val="es-ES"/>
        </w:rPr>
        <w:t xml:space="preserve">5% </w:t>
      </w:r>
      <w:r w:rsidRPr="00A16D62">
        <w:rPr>
          <w:rFonts w:ascii="Cambria" w:eastAsia="Times New Roman" w:hAnsi="Cambria"/>
          <w:bCs/>
          <w:sz w:val="20"/>
          <w:szCs w:val="20"/>
          <w:bdr w:val="none" w:sz="0" w:space="0" w:color="auto"/>
          <w:lang w:val="es-ES"/>
        </w:rPr>
        <w:t>de la población de Estados Unidos</w:t>
      </w:r>
      <w:r w:rsidR="0083228D" w:rsidRPr="00A16D62">
        <w:rPr>
          <w:rFonts w:ascii="Cambria" w:eastAsia="Times New Roman" w:hAnsi="Cambria"/>
          <w:bCs/>
          <w:sz w:val="20"/>
          <w:szCs w:val="20"/>
          <w:bdr w:val="none" w:sz="0" w:space="0" w:color="auto"/>
          <w:lang w:val="es-ES"/>
        </w:rPr>
        <w:t xml:space="preserve">, 26% </w:t>
      </w:r>
      <w:r w:rsidRPr="00A16D62">
        <w:rPr>
          <w:rFonts w:ascii="Cambria" w:eastAsia="Times New Roman" w:hAnsi="Cambria"/>
          <w:bCs/>
          <w:sz w:val="20"/>
          <w:szCs w:val="20"/>
          <w:bdr w:val="none" w:sz="0" w:space="0" w:color="auto"/>
          <w:lang w:val="es-ES"/>
        </w:rPr>
        <w:t xml:space="preserve">de los inmigrantes y </w:t>
      </w:r>
      <w:r w:rsidR="006157DF" w:rsidRPr="00A16D62">
        <w:rPr>
          <w:rFonts w:ascii="Cambria" w:eastAsia="Times New Roman" w:hAnsi="Cambria"/>
          <w:bCs/>
          <w:sz w:val="20"/>
          <w:szCs w:val="20"/>
          <w:bdr w:val="none" w:sz="0" w:space="0" w:color="auto"/>
          <w:lang w:val="es-ES"/>
        </w:rPr>
        <w:t>5</w:t>
      </w:r>
      <w:r w:rsidRPr="00A16D62">
        <w:rPr>
          <w:rFonts w:ascii="Cambria" w:eastAsia="Times New Roman" w:hAnsi="Cambria"/>
          <w:bCs/>
          <w:sz w:val="20"/>
          <w:szCs w:val="20"/>
          <w:bdr w:val="none" w:sz="0" w:space="0" w:color="auto"/>
          <w:lang w:val="es-ES"/>
        </w:rPr>
        <w:t>,</w:t>
      </w:r>
      <w:r w:rsidR="006157DF" w:rsidRPr="00A16D62">
        <w:rPr>
          <w:rFonts w:ascii="Cambria" w:eastAsia="Times New Roman" w:hAnsi="Cambria"/>
          <w:bCs/>
          <w:sz w:val="20"/>
          <w:szCs w:val="20"/>
          <w:bdr w:val="none" w:sz="0" w:space="0" w:color="auto"/>
          <w:lang w:val="es-ES"/>
        </w:rPr>
        <w:t xml:space="preserve">1% </w:t>
      </w:r>
      <w:r w:rsidRPr="00A16D62">
        <w:rPr>
          <w:rFonts w:ascii="Cambria" w:eastAsia="Times New Roman" w:hAnsi="Cambria"/>
          <w:bCs/>
          <w:sz w:val="20"/>
          <w:szCs w:val="20"/>
          <w:bdr w:val="none" w:sz="0" w:space="0" w:color="auto"/>
          <w:lang w:val="es-ES"/>
        </w:rPr>
        <w:t xml:space="preserve">de la fuerza laboral del país, que consistía en </w:t>
      </w:r>
      <w:r w:rsidR="0083228D" w:rsidRPr="00A16D62">
        <w:rPr>
          <w:rFonts w:ascii="Cambria" w:eastAsia="Times New Roman" w:hAnsi="Cambria"/>
          <w:bCs/>
          <w:sz w:val="20"/>
          <w:szCs w:val="20"/>
          <w:bdr w:val="none" w:sz="0" w:space="0" w:color="auto"/>
          <w:lang w:val="es-ES"/>
        </w:rPr>
        <w:t>8</w:t>
      </w:r>
      <w:r w:rsidRPr="00A16D62">
        <w:rPr>
          <w:rFonts w:ascii="Cambria" w:eastAsia="Times New Roman" w:hAnsi="Cambria"/>
          <w:bCs/>
          <w:sz w:val="20"/>
          <w:szCs w:val="20"/>
          <w:bdr w:val="none" w:sz="0" w:space="0" w:color="auto"/>
          <w:lang w:val="es-ES"/>
        </w:rPr>
        <w:t>,</w:t>
      </w:r>
      <w:r w:rsidR="0083228D" w:rsidRPr="00A16D62">
        <w:rPr>
          <w:rFonts w:ascii="Cambria" w:eastAsia="Times New Roman" w:hAnsi="Cambria"/>
          <w:bCs/>
          <w:sz w:val="20"/>
          <w:szCs w:val="20"/>
          <w:bdr w:val="none" w:sz="0" w:space="0" w:color="auto"/>
          <w:lang w:val="es-ES"/>
        </w:rPr>
        <w:t>1 mill</w:t>
      </w:r>
      <w:r w:rsidRPr="00A16D62">
        <w:rPr>
          <w:rFonts w:ascii="Cambria" w:eastAsia="Times New Roman" w:hAnsi="Cambria"/>
          <w:bCs/>
          <w:sz w:val="20"/>
          <w:szCs w:val="20"/>
          <w:bdr w:val="none" w:sz="0" w:space="0" w:color="auto"/>
          <w:lang w:val="es-ES"/>
        </w:rPr>
        <w:t>ones de personas que estaban trabajando o buscando trabajo</w:t>
      </w:r>
      <w:r w:rsidR="0083228D" w:rsidRPr="00A16D62">
        <w:rPr>
          <w:rStyle w:val="FootnoteReference"/>
          <w:rFonts w:ascii="Cambria" w:eastAsia="Times New Roman" w:hAnsi="Cambria"/>
          <w:bCs/>
          <w:sz w:val="20"/>
          <w:szCs w:val="20"/>
          <w:bdr w:val="none" w:sz="0" w:space="0" w:color="auto"/>
          <w:lang w:val="es-ES"/>
        </w:rPr>
        <w:footnoteReference w:id="61"/>
      </w:r>
      <w:r w:rsidRPr="00A16D62">
        <w:rPr>
          <w:rFonts w:ascii="Cambria" w:eastAsia="Times New Roman" w:hAnsi="Cambria"/>
          <w:bCs/>
          <w:sz w:val="20"/>
          <w:szCs w:val="20"/>
          <w:bdr w:val="none" w:sz="0" w:space="0" w:color="auto"/>
          <w:lang w:val="es-ES"/>
        </w:rPr>
        <w:t>.</w:t>
      </w:r>
    </w:p>
    <w:p w:rsidR="00854D68" w:rsidRPr="00A16D62" w:rsidRDefault="00854D68" w:rsidP="00854D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83228D" w:rsidRPr="00A16D62" w:rsidRDefault="00902D36"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Según</w:t>
      </w:r>
      <w:r w:rsidR="00374F5F" w:rsidRPr="00A16D62">
        <w:rPr>
          <w:rFonts w:ascii="Cambria" w:eastAsia="Times New Roman" w:hAnsi="Cambria"/>
          <w:bCs/>
          <w:sz w:val="20"/>
          <w:szCs w:val="20"/>
          <w:bdr w:val="none" w:sz="0" w:space="0" w:color="auto"/>
          <w:lang w:val="es-ES"/>
        </w:rPr>
        <w:t xml:space="preserve"> </w:t>
      </w:r>
      <w:r w:rsidR="00A84562" w:rsidRPr="00A16D62">
        <w:rPr>
          <w:rFonts w:ascii="Cambria" w:eastAsia="Times New Roman" w:hAnsi="Cambria"/>
          <w:bCs/>
          <w:sz w:val="20"/>
          <w:szCs w:val="20"/>
          <w:bdr w:val="none" w:sz="0" w:space="0" w:color="auto"/>
          <w:lang w:val="es-ES"/>
        </w:rPr>
        <w:t xml:space="preserve">ese mismo estudio, en lo que se refiere a las principales industrias en las cuales trabajan los </w:t>
      </w:r>
      <w:r w:rsidR="00B42066" w:rsidRPr="00A16D62">
        <w:rPr>
          <w:rFonts w:ascii="Cambria" w:eastAsia="Times New Roman" w:hAnsi="Cambria"/>
          <w:bCs/>
          <w:sz w:val="20"/>
          <w:szCs w:val="20"/>
          <w:bdr w:val="none" w:sz="0" w:space="0" w:color="auto"/>
          <w:lang w:val="es-ES"/>
        </w:rPr>
        <w:t>inmigrantes no autorizados</w:t>
      </w:r>
      <w:r w:rsidR="00A84562" w:rsidRPr="00A16D62">
        <w:rPr>
          <w:rFonts w:ascii="Cambria" w:eastAsia="Times New Roman" w:hAnsi="Cambria"/>
          <w:bCs/>
          <w:sz w:val="20"/>
          <w:szCs w:val="20"/>
          <w:bdr w:val="none" w:sz="0" w:space="0" w:color="auto"/>
          <w:lang w:val="es-ES"/>
        </w:rPr>
        <w:t xml:space="preserve">, a </w:t>
      </w:r>
      <w:r w:rsidR="000B6BBB" w:rsidRPr="00A16D62">
        <w:rPr>
          <w:rFonts w:ascii="Cambria" w:eastAsia="Times New Roman" w:hAnsi="Cambria"/>
          <w:bCs/>
          <w:sz w:val="20"/>
          <w:szCs w:val="20"/>
          <w:bdr w:val="none" w:sz="0" w:space="0" w:color="auto"/>
          <w:lang w:val="es-ES"/>
        </w:rPr>
        <w:t xml:space="preserve">2012, 62% </w:t>
      </w:r>
      <w:r w:rsidR="00A84562" w:rsidRPr="00A16D62">
        <w:rPr>
          <w:rFonts w:ascii="Cambria" w:eastAsia="Times New Roman" w:hAnsi="Cambria"/>
          <w:bCs/>
          <w:sz w:val="20"/>
          <w:szCs w:val="20"/>
          <w:bdr w:val="none" w:sz="0" w:space="0" w:color="auto"/>
          <w:lang w:val="es-ES"/>
        </w:rPr>
        <w:t xml:space="preserve">trabajaban en los sectores de servicios, la construcción y la producción, cifra que representa el doble del número de </w:t>
      </w:r>
      <w:r w:rsidR="007B4310" w:rsidRPr="00A16D62">
        <w:rPr>
          <w:rFonts w:ascii="Cambria" w:eastAsia="Times New Roman" w:hAnsi="Cambria"/>
          <w:bCs/>
          <w:sz w:val="20"/>
          <w:szCs w:val="20"/>
          <w:bdr w:val="none" w:sz="0" w:space="0" w:color="auto"/>
          <w:lang w:val="es-ES"/>
        </w:rPr>
        <w:t>trabajadores</w:t>
      </w:r>
      <w:r w:rsidR="000B6BBB" w:rsidRPr="00A16D62">
        <w:rPr>
          <w:rFonts w:ascii="Cambria" w:eastAsia="Times New Roman" w:hAnsi="Cambria"/>
          <w:bCs/>
          <w:sz w:val="20"/>
          <w:szCs w:val="20"/>
          <w:bdr w:val="none" w:sz="0" w:space="0" w:color="auto"/>
          <w:lang w:val="es-ES"/>
        </w:rPr>
        <w:t xml:space="preserve"> </w:t>
      </w:r>
      <w:r w:rsidR="00A84562" w:rsidRPr="00A16D62">
        <w:rPr>
          <w:rFonts w:ascii="Cambria" w:eastAsia="Times New Roman" w:hAnsi="Cambria"/>
          <w:bCs/>
          <w:sz w:val="20"/>
          <w:szCs w:val="20"/>
          <w:bdr w:val="none" w:sz="0" w:space="0" w:color="auto"/>
          <w:lang w:val="es-ES"/>
        </w:rPr>
        <w:t>nacidos en Estados Unidos que trabajan en esas industrias</w:t>
      </w:r>
      <w:r w:rsidR="000B6BBB" w:rsidRPr="00A16D62">
        <w:rPr>
          <w:rStyle w:val="FootnoteReference"/>
          <w:rFonts w:ascii="Cambria" w:eastAsia="Times New Roman" w:hAnsi="Cambria"/>
          <w:bCs/>
          <w:sz w:val="20"/>
          <w:szCs w:val="20"/>
          <w:bdr w:val="none" w:sz="0" w:space="0" w:color="auto"/>
          <w:lang w:val="es-ES"/>
        </w:rPr>
        <w:footnoteReference w:id="62"/>
      </w:r>
      <w:r w:rsidR="00A84562" w:rsidRPr="00A16D62">
        <w:rPr>
          <w:rFonts w:ascii="Cambria" w:eastAsia="Times New Roman" w:hAnsi="Cambria"/>
          <w:bCs/>
          <w:sz w:val="20"/>
          <w:szCs w:val="20"/>
          <w:bdr w:val="none" w:sz="0" w:space="0" w:color="auto"/>
          <w:lang w:val="es-ES"/>
        </w:rPr>
        <w:t>.</w:t>
      </w:r>
      <w:r w:rsidR="000B6BBB" w:rsidRPr="00A16D62">
        <w:rPr>
          <w:rFonts w:ascii="Cambria" w:eastAsia="Times New Roman" w:hAnsi="Cambria"/>
          <w:bCs/>
          <w:sz w:val="20"/>
          <w:szCs w:val="20"/>
          <w:bdr w:val="none" w:sz="0" w:space="0" w:color="auto"/>
          <w:lang w:val="es-ES"/>
        </w:rPr>
        <w:t xml:space="preserve"> </w:t>
      </w:r>
      <w:r w:rsidR="00B17124" w:rsidRPr="00A16D62">
        <w:rPr>
          <w:rFonts w:ascii="Cambria" w:eastAsia="Times New Roman" w:hAnsi="Cambria"/>
          <w:bCs/>
          <w:sz w:val="20"/>
          <w:szCs w:val="20"/>
          <w:bdr w:val="none" w:sz="0" w:space="0" w:color="auto"/>
          <w:lang w:val="es-ES"/>
        </w:rPr>
        <w:t xml:space="preserve">Un desglose de esa cifra muestra que casi </w:t>
      </w:r>
      <w:r w:rsidR="001A05E8" w:rsidRPr="00A16D62">
        <w:rPr>
          <w:rFonts w:ascii="Cambria" w:eastAsia="Times New Roman" w:hAnsi="Cambria"/>
          <w:bCs/>
          <w:sz w:val="20"/>
          <w:szCs w:val="20"/>
          <w:bdr w:val="none" w:sz="0" w:space="0" w:color="auto"/>
          <w:lang w:val="es-ES"/>
        </w:rPr>
        <w:t xml:space="preserve">33% </w:t>
      </w:r>
      <w:r w:rsidR="003E4ABD" w:rsidRPr="00A16D62">
        <w:rPr>
          <w:rFonts w:ascii="Cambria" w:eastAsia="Times New Roman" w:hAnsi="Cambria"/>
          <w:bCs/>
          <w:sz w:val="20"/>
          <w:szCs w:val="20"/>
          <w:bdr w:val="none" w:sz="0" w:space="0" w:color="auto"/>
          <w:lang w:val="es-ES"/>
        </w:rPr>
        <w:t xml:space="preserve">trabajaban en el sector de servicios como conserjes, niñeras o cocineros, casi el doble de la proporción de </w:t>
      </w:r>
      <w:r w:rsidR="00C61A2F" w:rsidRPr="00A16D62">
        <w:rPr>
          <w:rFonts w:ascii="Cambria" w:eastAsia="Times New Roman" w:hAnsi="Cambria"/>
          <w:bCs/>
          <w:sz w:val="20"/>
          <w:szCs w:val="20"/>
          <w:bdr w:val="none" w:sz="0" w:space="0" w:color="auto"/>
          <w:lang w:val="es-ES"/>
        </w:rPr>
        <w:t>trabajadores nacidos en Estados Unidos</w:t>
      </w:r>
      <w:r w:rsidR="004B0C20" w:rsidRPr="00A16D62">
        <w:rPr>
          <w:rFonts w:ascii="Cambria" w:eastAsia="Times New Roman" w:hAnsi="Cambria"/>
          <w:bCs/>
          <w:sz w:val="20"/>
          <w:szCs w:val="20"/>
          <w:bdr w:val="none" w:sz="0" w:space="0" w:color="auto"/>
          <w:lang w:val="es-ES"/>
        </w:rPr>
        <w:t xml:space="preserve"> </w:t>
      </w:r>
      <w:r w:rsidR="003E4ABD" w:rsidRPr="00A16D62">
        <w:rPr>
          <w:rFonts w:ascii="Cambria" w:eastAsia="Times New Roman" w:hAnsi="Cambria"/>
          <w:bCs/>
          <w:sz w:val="20"/>
          <w:szCs w:val="20"/>
          <w:bdr w:val="none" w:sz="0" w:space="0" w:color="auto"/>
          <w:lang w:val="es-ES"/>
        </w:rPr>
        <w:t xml:space="preserve">que tienen ocupaciones de ese tipo </w:t>
      </w:r>
      <w:r w:rsidR="001A05E8" w:rsidRPr="00A16D62">
        <w:rPr>
          <w:rFonts w:ascii="Cambria" w:eastAsia="Times New Roman" w:hAnsi="Cambria"/>
          <w:bCs/>
          <w:sz w:val="20"/>
          <w:szCs w:val="20"/>
          <w:bdr w:val="none" w:sz="0" w:space="0" w:color="auto"/>
          <w:lang w:val="es-ES"/>
        </w:rPr>
        <w:t xml:space="preserve">(17%); 15% </w:t>
      </w:r>
      <w:r w:rsidR="003E4ABD" w:rsidRPr="00A16D62">
        <w:rPr>
          <w:rFonts w:ascii="Cambria" w:eastAsia="Times New Roman" w:hAnsi="Cambria"/>
          <w:bCs/>
          <w:sz w:val="20"/>
          <w:szCs w:val="20"/>
          <w:bdr w:val="none" w:sz="0" w:space="0" w:color="auto"/>
          <w:lang w:val="es-ES"/>
        </w:rPr>
        <w:t xml:space="preserve">trabajaban en la construcción y en industrias extractivas, el triple de la proporción de </w:t>
      </w:r>
      <w:r w:rsidR="007B4310" w:rsidRPr="00A16D62">
        <w:rPr>
          <w:rFonts w:ascii="Cambria" w:eastAsia="Times New Roman" w:hAnsi="Cambria"/>
          <w:bCs/>
          <w:sz w:val="20"/>
          <w:szCs w:val="20"/>
          <w:bdr w:val="none" w:sz="0" w:space="0" w:color="auto"/>
          <w:lang w:val="es-ES"/>
        </w:rPr>
        <w:t>trabajadores</w:t>
      </w:r>
      <w:r w:rsidR="00860082" w:rsidRPr="00A16D62">
        <w:rPr>
          <w:rFonts w:ascii="Cambria" w:eastAsia="Times New Roman" w:hAnsi="Cambria"/>
          <w:bCs/>
          <w:sz w:val="20"/>
          <w:szCs w:val="20"/>
          <w:bdr w:val="none" w:sz="0" w:space="0" w:color="auto"/>
          <w:lang w:val="es-ES"/>
        </w:rPr>
        <w:t xml:space="preserve"> </w:t>
      </w:r>
      <w:r w:rsidR="003E4ABD" w:rsidRPr="00A16D62">
        <w:rPr>
          <w:rFonts w:ascii="Cambria" w:eastAsia="Times New Roman" w:hAnsi="Cambria"/>
          <w:bCs/>
          <w:sz w:val="20"/>
          <w:szCs w:val="20"/>
          <w:bdr w:val="none" w:sz="0" w:space="0" w:color="auto"/>
          <w:lang w:val="es-ES"/>
        </w:rPr>
        <w:t xml:space="preserve">estadounidenses </w:t>
      </w:r>
      <w:r w:rsidR="00860082" w:rsidRPr="00A16D62">
        <w:rPr>
          <w:rFonts w:ascii="Cambria" w:eastAsia="Times New Roman" w:hAnsi="Cambria"/>
          <w:bCs/>
          <w:sz w:val="20"/>
          <w:szCs w:val="20"/>
          <w:bdr w:val="none" w:sz="0" w:space="0" w:color="auto"/>
          <w:lang w:val="es-ES"/>
        </w:rPr>
        <w:t>(5%)</w:t>
      </w:r>
      <w:r w:rsidR="003E4ABD" w:rsidRPr="00A16D62">
        <w:rPr>
          <w:rFonts w:ascii="Cambria" w:eastAsia="Times New Roman" w:hAnsi="Cambria"/>
          <w:bCs/>
          <w:sz w:val="20"/>
          <w:szCs w:val="20"/>
          <w:bdr w:val="none" w:sz="0" w:space="0" w:color="auto"/>
          <w:lang w:val="es-ES"/>
        </w:rPr>
        <w:t xml:space="preserve">, y </w:t>
      </w:r>
      <w:r w:rsidR="00860082" w:rsidRPr="00A16D62">
        <w:rPr>
          <w:rFonts w:ascii="Cambria" w:eastAsia="Times New Roman" w:hAnsi="Cambria"/>
          <w:bCs/>
          <w:sz w:val="20"/>
          <w:szCs w:val="20"/>
          <w:bdr w:val="none" w:sz="0" w:space="0" w:color="auto"/>
          <w:lang w:val="es-ES"/>
        </w:rPr>
        <w:t>14</w:t>
      </w:r>
      <w:r w:rsidR="001A05E8" w:rsidRPr="00A16D62">
        <w:rPr>
          <w:rFonts w:ascii="Cambria" w:eastAsia="Times New Roman" w:hAnsi="Cambria"/>
          <w:bCs/>
          <w:sz w:val="20"/>
          <w:szCs w:val="20"/>
          <w:bdr w:val="none" w:sz="0" w:space="0" w:color="auto"/>
          <w:lang w:val="es-ES"/>
        </w:rPr>
        <w:t xml:space="preserve">% </w:t>
      </w:r>
      <w:r w:rsidR="003E4ABD" w:rsidRPr="00A16D62">
        <w:rPr>
          <w:rFonts w:ascii="Cambria" w:eastAsia="Times New Roman" w:hAnsi="Cambria"/>
          <w:bCs/>
          <w:sz w:val="20"/>
          <w:szCs w:val="20"/>
          <w:bdr w:val="none" w:sz="0" w:space="0" w:color="auto"/>
          <w:lang w:val="es-ES"/>
        </w:rPr>
        <w:t xml:space="preserve">trabajaban en la producción, en instalaciones y en reparaciones, más de la mitad de la proporción de </w:t>
      </w:r>
      <w:r w:rsidR="00C61A2F" w:rsidRPr="00A16D62">
        <w:rPr>
          <w:rFonts w:ascii="Cambria" w:eastAsia="Times New Roman" w:hAnsi="Cambria"/>
          <w:bCs/>
          <w:sz w:val="20"/>
          <w:szCs w:val="20"/>
          <w:bdr w:val="none" w:sz="0" w:space="0" w:color="auto"/>
          <w:lang w:val="es-ES"/>
        </w:rPr>
        <w:t>trabajadores nacidos en Estados Unidos</w:t>
      </w:r>
      <w:r w:rsidR="001A05E8" w:rsidRPr="00A16D62">
        <w:rPr>
          <w:rFonts w:ascii="Cambria" w:eastAsia="Times New Roman" w:hAnsi="Cambria"/>
          <w:bCs/>
          <w:sz w:val="20"/>
          <w:szCs w:val="20"/>
          <w:bdr w:val="none" w:sz="0" w:space="0" w:color="auto"/>
          <w:lang w:val="es-ES"/>
        </w:rPr>
        <w:t xml:space="preserve"> </w:t>
      </w:r>
      <w:r w:rsidR="00860082" w:rsidRPr="00A16D62">
        <w:rPr>
          <w:rFonts w:ascii="Cambria" w:eastAsia="Times New Roman" w:hAnsi="Cambria"/>
          <w:bCs/>
          <w:sz w:val="20"/>
          <w:szCs w:val="20"/>
          <w:bdr w:val="none" w:sz="0" w:space="0" w:color="auto"/>
          <w:lang w:val="es-ES"/>
        </w:rPr>
        <w:t>(9</w:t>
      </w:r>
      <w:r w:rsidR="004B0C20" w:rsidRPr="00A16D62">
        <w:rPr>
          <w:rFonts w:ascii="Cambria" w:eastAsia="Times New Roman" w:hAnsi="Cambria"/>
          <w:bCs/>
          <w:sz w:val="20"/>
          <w:szCs w:val="20"/>
          <w:bdr w:val="none" w:sz="0" w:space="0" w:color="auto"/>
          <w:lang w:val="es-ES"/>
        </w:rPr>
        <w:t>%)</w:t>
      </w:r>
      <w:r w:rsidR="004B0C20" w:rsidRPr="00A16D62">
        <w:rPr>
          <w:rStyle w:val="FootnoteReference"/>
          <w:rFonts w:ascii="Cambria" w:eastAsia="Times New Roman" w:hAnsi="Cambria"/>
          <w:bCs/>
          <w:sz w:val="20"/>
          <w:szCs w:val="20"/>
          <w:bdr w:val="none" w:sz="0" w:space="0" w:color="auto"/>
          <w:lang w:val="es-ES"/>
        </w:rPr>
        <w:footnoteReference w:id="63"/>
      </w:r>
      <w:r w:rsidR="003E4ABD" w:rsidRPr="00A16D62">
        <w:rPr>
          <w:rFonts w:ascii="Cambria" w:eastAsia="Times New Roman" w:hAnsi="Cambria"/>
          <w:bCs/>
          <w:sz w:val="20"/>
          <w:szCs w:val="20"/>
          <w:bdr w:val="none" w:sz="0" w:space="0" w:color="auto"/>
          <w:lang w:val="es-ES"/>
        </w:rPr>
        <w:t>. Los i</w:t>
      </w:r>
      <w:r w:rsidR="00B42066" w:rsidRPr="00A16D62">
        <w:rPr>
          <w:rFonts w:ascii="Cambria" w:eastAsia="Times New Roman" w:hAnsi="Cambria"/>
          <w:bCs/>
          <w:sz w:val="20"/>
          <w:szCs w:val="20"/>
          <w:bdr w:val="none" w:sz="0" w:space="0" w:color="auto"/>
          <w:lang w:val="es-ES"/>
        </w:rPr>
        <w:t>nmigrantes no autorizados</w:t>
      </w:r>
      <w:r w:rsidR="004B0C20" w:rsidRPr="00A16D62">
        <w:rPr>
          <w:rFonts w:ascii="Cambria" w:eastAsia="Times New Roman" w:hAnsi="Cambria"/>
          <w:bCs/>
          <w:sz w:val="20"/>
          <w:szCs w:val="20"/>
          <w:bdr w:val="none" w:sz="0" w:space="0" w:color="auto"/>
          <w:lang w:val="es-ES"/>
        </w:rPr>
        <w:t xml:space="preserve"> </w:t>
      </w:r>
      <w:r w:rsidR="003E4ABD" w:rsidRPr="00A16D62">
        <w:rPr>
          <w:rFonts w:ascii="Cambria" w:eastAsia="Times New Roman" w:hAnsi="Cambria"/>
          <w:bCs/>
          <w:sz w:val="20"/>
          <w:szCs w:val="20"/>
          <w:bdr w:val="none" w:sz="0" w:space="0" w:color="auto"/>
          <w:lang w:val="es-ES"/>
        </w:rPr>
        <w:t xml:space="preserve">representan solo </w:t>
      </w:r>
      <w:r w:rsidR="004B0C20" w:rsidRPr="00A16D62">
        <w:rPr>
          <w:rFonts w:ascii="Cambria" w:eastAsia="Times New Roman" w:hAnsi="Cambria"/>
          <w:bCs/>
          <w:sz w:val="20"/>
          <w:szCs w:val="20"/>
          <w:bdr w:val="none" w:sz="0" w:space="0" w:color="auto"/>
          <w:lang w:val="es-ES"/>
        </w:rPr>
        <w:t xml:space="preserve">2% </w:t>
      </w:r>
      <w:r w:rsidR="003E4ABD" w:rsidRPr="00A16D62">
        <w:rPr>
          <w:rFonts w:ascii="Cambria" w:eastAsia="Times New Roman" w:hAnsi="Cambria"/>
          <w:bCs/>
          <w:sz w:val="20"/>
          <w:szCs w:val="20"/>
          <w:bdr w:val="none" w:sz="0" w:space="0" w:color="auto"/>
          <w:lang w:val="es-ES"/>
        </w:rPr>
        <w:t xml:space="preserve">de los </w:t>
      </w:r>
      <w:r w:rsidR="007B4310" w:rsidRPr="00A16D62">
        <w:rPr>
          <w:rFonts w:ascii="Cambria" w:eastAsia="Times New Roman" w:hAnsi="Cambria"/>
          <w:bCs/>
          <w:sz w:val="20"/>
          <w:szCs w:val="20"/>
          <w:bdr w:val="none" w:sz="0" w:space="0" w:color="auto"/>
          <w:lang w:val="es-ES"/>
        </w:rPr>
        <w:t>trabajadores</w:t>
      </w:r>
      <w:r w:rsidR="004B0C20" w:rsidRPr="00A16D62">
        <w:rPr>
          <w:rFonts w:ascii="Cambria" w:eastAsia="Times New Roman" w:hAnsi="Cambria"/>
          <w:bCs/>
          <w:sz w:val="20"/>
          <w:szCs w:val="20"/>
          <w:bdr w:val="none" w:sz="0" w:space="0" w:color="auto"/>
          <w:lang w:val="es-ES"/>
        </w:rPr>
        <w:t xml:space="preserve"> </w:t>
      </w:r>
      <w:r w:rsidR="003E4ABD" w:rsidRPr="00A16D62">
        <w:rPr>
          <w:rFonts w:ascii="Cambria" w:eastAsia="Times New Roman" w:hAnsi="Cambria"/>
          <w:bCs/>
          <w:sz w:val="20"/>
          <w:szCs w:val="20"/>
          <w:bdr w:val="none" w:sz="0" w:space="0" w:color="auto"/>
          <w:lang w:val="es-ES"/>
        </w:rPr>
        <w:t xml:space="preserve">en ocupaciones gerenciales, profesionales y </w:t>
      </w:r>
      <w:r w:rsidR="00625653" w:rsidRPr="00A16D62">
        <w:rPr>
          <w:rFonts w:ascii="Cambria" w:eastAsia="Times New Roman" w:hAnsi="Cambria"/>
          <w:bCs/>
          <w:sz w:val="20"/>
          <w:szCs w:val="20"/>
          <w:bdr w:val="none" w:sz="0" w:space="0" w:color="auto"/>
          <w:lang w:val="es-ES"/>
        </w:rPr>
        <w:t>de auxiliares de oficina</w:t>
      </w:r>
      <w:r w:rsidR="004B0C20" w:rsidRPr="00A16D62">
        <w:rPr>
          <w:rStyle w:val="FootnoteReference"/>
          <w:rFonts w:ascii="Cambria" w:eastAsia="Times New Roman" w:hAnsi="Cambria"/>
          <w:bCs/>
          <w:sz w:val="20"/>
          <w:szCs w:val="20"/>
          <w:bdr w:val="none" w:sz="0" w:space="0" w:color="auto"/>
          <w:lang w:val="es-ES"/>
        </w:rPr>
        <w:footnoteReference w:id="64"/>
      </w:r>
      <w:r w:rsidR="00625653" w:rsidRPr="00A16D62">
        <w:rPr>
          <w:rFonts w:ascii="Cambria" w:eastAsia="Times New Roman" w:hAnsi="Cambria"/>
          <w:bCs/>
          <w:sz w:val="20"/>
          <w:szCs w:val="20"/>
          <w:bdr w:val="none" w:sz="0" w:space="0" w:color="auto"/>
          <w:lang w:val="es-ES"/>
        </w:rPr>
        <w:t>.</w:t>
      </w:r>
    </w:p>
    <w:p w:rsidR="00854D68" w:rsidRPr="00A16D62" w:rsidRDefault="00854D68" w:rsidP="004B0C2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9A03A0" w:rsidRPr="00A16D62" w:rsidRDefault="00902D36" w:rsidP="004B0C2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A16D62">
        <w:rPr>
          <w:rFonts w:ascii="Cambria" w:eastAsia="Times New Roman" w:hAnsi="Cambria"/>
          <w:bCs/>
          <w:sz w:val="20"/>
          <w:szCs w:val="20"/>
          <w:bdr w:val="none" w:sz="0" w:space="0" w:color="auto"/>
          <w:lang w:val="es-ES"/>
        </w:rPr>
        <w:t>Según</w:t>
      </w:r>
      <w:r w:rsidR="0070134E" w:rsidRPr="00A16D62">
        <w:rPr>
          <w:rFonts w:ascii="Cambria" w:eastAsia="Times New Roman" w:hAnsi="Cambria"/>
          <w:bCs/>
          <w:sz w:val="20"/>
          <w:szCs w:val="20"/>
          <w:bdr w:val="none" w:sz="0" w:space="0" w:color="auto"/>
          <w:lang w:val="es-ES"/>
        </w:rPr>
        <w:t xml:space="preserve"> </w:t>
      </w:r>
      <w:r w:rsidR="00625653" w:rsidRPr="00A16D62">
        <w:rPr>
          <w:rFonts w:ascii="Cambria" w:eastAsia="Times New Roman" w:hAnsi="Cambria"/>
          <w:bCs/>
          <w:sz w:val="20"/>
          <w:szCs w:val="20"/>
          <w:bdr w:val="none" w:sz="0" w:space="0" w:color="auto"/>
          <w:lang w:val="es-ES"/>
        </w:rPr>
        <w:t xml:space="preserve">la Oficina de Estadísticas Laborales de Estados Unidos, </w:t>
      </w:r>
      <w:r w:rsidR="0070134E" w:rsidRPr="00A16D62">
        <w:rPr>
          <w:rFonts w:ascii="Cambria" w:eastAsia="Times New Roman" w:hAnsi="Cambria"/>
          <w:bCs/>
          <w:sz w:val="20"/>
          <w:szCs w:val="20"/>
          <w:bdr w:val="none" w:sz="0" w:space="0" w:color="auto"/>
          <w:lang w:val="es-ES"/>
        </w:rPr>
        <w:t>4</w:t>
      </w:r>
      <w:r w:rsidR="00625653" w:rsidRPr="00A16D62">
        <w:rPr>
          <w:rFonts w:ascii="Cambria" w:eastAsia="Times New Roman" w:hAnsi="Cambria"/>
          <w:bCs/>
          <w:sz w:val="20"/>
          <w:szCs w:val="20"/>
          <w:bdr w:val="none" w:sz="0" w:space="0" w:color="auto"/>
          <w:lang w:val="es-ES"/>
        </w:rPr>
        <w:t>.</w:t>
      </w:r>
      <w:r w:rsidR="0070134E" w:rsidRPr="00A16D62">
        <w:rPr>
          <w:rFonts w:ascii="Cambria" w:eastAsia="Times New Roman" w:hAnsi="Cambria"/>
          <w:bCs/>
          <w:sz w:val="20"/>
          <w:szCs w:val="20"/>
          <w:bdr w:val="none" w:sz="0" w:space="0" w:color="auto"/>
          <w:lang w:val="es-ES"/>
        </w:rPr>
        <w:t xml:space="preserve">585 </w:t>
      </w:r>
      <w:r w:rsidR="007B4310" w:rsidRPr="00A16D62">
        <w:rPr>
          <w:rFonts w:ascii="Cambria" w:eastAsia="Times New Roman" w:hAnsi="Cambria"/>
          <w:bCs/>
          <w:sz w:val="20"/>
          <w:szCs w:val="20"/>
          <w:bdr w:val="none" w:sz="0" w:space="0" w:color="auto"/>
          <w:lang w:val="es-ES"/>
        </w:rPr>
        <w:t>trabajadores</w:t>
      </w:r>
      <w:r w:rsidR="0070134E" w:rsidRPr="00A16D62">
        <w:rPr>
          <w:rFonts w:ascii="Cambria" w:eastAsia="Times New Roman" w:hAnsi="Cambria"/>
          <w:bCs/>
          <w:sz w:val="20"/>
          <w:szCs w:val="20"/>
          <w:bdr w:val="none" w:sz="0" w:space="0" w:color="auto"/>
          <w:lang w:val="es-ES"/>
        </w:rPr>
        <w:t xml:space="preserve"> </w:t>
      </w:r>
      <w:r w:rsidR="00625653" w:rsidRPr="00A16D62">
        <w:rPr>
          <w:rFonts w:ascii="Cambria" w:eastAsia="Times New Roman" w:hAnsi="Cambria"/>
          <w:bCs/>
          <w:sz w:val="20"/>
          <w:szCs w:val="20"/>
          <w:bdr w:val="none" w:sz="0" w:space="0" w:color="auto"/>
          <w:lang w:val="es-ES"/>
        </w:rPr>
        <w:t xml:space="preserve">murieron como consecuencia de lesiones relacionadas con el trabajo en </w:t>
      </w:r>
      <w:r w:rsidR="0070134E" w:rsidRPr="00A16D62">
        <w:rPr>
          <w:rFonts w:ascii="Cambria" w:eastAsia="Times New Roman" w:hAnsi="Cambria"/>
          <w:bCs/>
          <w:sz w:val="20"/>
          <w:szCs w:val="20"/>
          <w:bdr w:val="none" w:sz="0" w:space="0" w:color="auto"/>
          <w:lang w:val="es-ES"/>
        </w:rPr>
        <w:t>2013</w:t>
      </w:r>
      <w:r w:rsidR="0016476F" w:rsidRPr="00A16D62">
        <w:rPr>
          <w:rStyle w:val="FootnoteReference"/>
          <w:rFonts w:ascii="Cambria" w:eastAsia="Times New Roman" w:hAnsi="Cambria"/>
          <w:bCs/>
          <w:sz w:val="20"/>
          <w:szCs w:val="20"/>
          <w:bdr w:val="none" w:sz="0" w:space="0" w:color="auto"/>
          <w:lang w:val="es-ES"/>
        </w:rPr>
        <w:footnoteReference w:id="65"/>
      </w:r>
      <w:r w:rsidR="00625653" w:rsidRPr="00A16D62">
        <w:rPr>
          <w:rFonts w:ascii="Cambria" w:eastAsia="Times New Roman" w:hAnsi="Cambria"/>
          <w:bCs/>
          <w:sz w:val="20"/>
          <w:szCs w:val="20"/>
          <w:bdr w:val="none" w:sz="0" w:space="0" w:color="auto"/>
          <w:lang w:val="es-ES"/>
        </w:rPr>
        <w:t xml:space="preserve">. De estos trabajadores, </w:t>
      </w:r>
      <w:r w:rsidR="0070134E" w:rsidRPr="00A16D62">
        <w:rPr>
          <w:rFonts w:ascii="Cambria" w:eastAsia="Times New Roman" w:hAnsi="Cambria"/>
          <w:bCs/>
          <w:sz w:val="20"/>
          <w:szCs w:val="20"/>
          <w:bdr w:val="none" w:sz="0" w:space="0" w:color="auto"/>
          <w:lang w:val="es-ES"/>
        </w:rPr>
        <w:t>879</w:t>
      </w:r>
      <w:r w:rsidR="00625653" w:rsidRPr="00A16D62">
        <w:rPr>
          <w:rFonts w:ascii="Cambria" w:eastAsia="Times New Roman" w:hAnsi="Cambria"/>
          <w:bCs/>
          <w:sz w:val="20"/>
          <w:szCs w:val="20"/>
          <w:bdr w:val="none" w:sz="0" w:space="0" w:color="auto"/>
          <w:lang w:val="es-ES"/>
        </w:rPr>
        <w:t xml:space="preserve">, es decir, </w:t>
      </w:r>
      <w:r w:rsidR="00137F23" w:rsidRPr="00A16D62">
        <w:rPr>
          <w:rFonts w:ascii="Cambria" w:eastAsia="Times New Roman" w:hAnsi="Cambria"/>
          <w:bCs/>
          <w:sz w:val="20"/>
          <w:szCs w:val="20"/>
          <w:bdr w:val="none" w:sz="0" w:space="0" w:color="auto"/>
          <w:lang w:val="es-ES"/>
        </w:rPr>
        <w:t>19%</w:t>
      </w:r>
      <w:r w:rsidR="00625653" w:rsidRPr="00A16D62">
        <w:rPr>
          <w:rFonts w:ascii="Cambria" w:eastAsia="Times New Roman" w:hAnsi="Cambria"/>
          <w:bCs/>
          <w:sz w:val="20"/>
          <w:szCs w:val="20"/>
          <w:bdr w:val="none" w:sz="0" w:space="0" w:color="auto"/>
          <w:lang w:val="es-ES"/>
        </w:rPr>
        <w:t xml:space="preserve">, eran </w:t>
      </w:r>
      <w:r w:rsidR="00C61A2F" w:rsidRPr="00A16D62">
        <w:rPr>
          <w:rFonts w:ascii="Cambria" w:eastAsia="Times New Roman" w:hAnsi="Cambria"/>
          <w:bCs/>
          <w:sz w:val="20"/>
          <w:szCs w:val="20"/>
          <w:bdr w:val="none" w:sz="0" w:space="0" w:color="auto"/>
          <w:lang w:val="es-ES"/>
        </w:rPr>
        <w:t>extranjeros</w:t>
      </w:r>
      <w:r w:rsidR="0070134E" w:rsidRPr="00A16D62">
        <w:rPr>
          <w:rFonts w:ascii="Cambria" w:eastAsia="Times New Roman" w:hAnsi="Cambria"/>
          <w:bCs/>
          <w:sz w:val="20"/>
          <w:szCs w:val="20"/>
          <w:bdr w:val="none" w:sz="0" w:space="0" w:color="auto"/>
          <w:lang w:val="es-ES"/>
        </w:rPr>
        <w:t xml:space="preserve">, </w:t>
      </w:r>
      <w:r w:rsidR="00625653" w:rsidRPr="00A16D62">
        <w:rPr>
          <w:rFonts w:ascii="Cambria" w:eastAsia="Times New Roman" w:hAnsi="Cambria"/>
          <w:bCs/>
          <w:sz w:val="20"/>
          <w:szCs w:val="20"/>
          <w:bdr w:val="none" w:sz="0" w:space="0" w:color="auto"/>
          <w:lang w:val="es-ES"/>
        </w:rPr>
        <w:t xml:space="preserve">de los cuales </w:t>
      </w:r>
      <w:r w:rsidR="0070134E" w:rsidRPr="00A16D62">
        <w:rPr>
          <w:rFonts w:ascii="Cambria" w:eastAsia="Times New Roman" w:hAnsi="Cambria"/>
          <w:bCs/>
          <w:sz w:val="20"/>
          <w:szCs w:val="20"/>
          <w:bdr w:val="none" w:sz="0" w:space="0" w:color="auto"/>
          <w:lang w:val="es-ES"/>
        </w:rPr>
        <w:t>41%</w:t>
      </w:r>
      <w:r w:rsidR="0016476F" w:rsidRPr="00A16D62">
        <w:rPr>
          <w:rFonts w:ascii="Cambria" w:eastAsia="Times New Roman" w:hAnsi="Cambria"/>
          <w:bCs/>
          <w:sz w:val="20"/>
          <w:szCs w:val="20"/>
          <w:bdr w:val="none" w:sz="0" w:space="0" w:color="auto"/>
          <w:lang w:val="es-ES"/>
        </w:rPr>
        <w:t xml:space="preserve"> (360)</w:t>
      </w:r>
      <w:r w:rsidR="0070134E" w:rsidRPr="00A16D62">
        <w:rPr>
          <w:rFonts w:ascii="Cambria" w:eastAsia="Times New Roman" w:hAnsi="Cambria"/>
          <w:bCs/>
          <w:sz w:val="20"/>
          <w:szCs w:val="20"/>
          <w:bdr w:val="none" w:sz="0" w:space="0" w:color="auto"/>
          <w:lang w:val="es-ES"/>
        </w:rPr>
        <w:t xml:space="preserve"> </w:t>
      </w:r>
      <w:r w:rsidR="00625653" w:rsidRPr="00A16D62">
        <w:rPr>
          <w:rFonts w:ascii="Cambria" w:eastAsia="Times New Roman" w:hAnsi="Cambria"/>
          <w:bCs/>
          <w:sz w:val="20"/>
          <w:szCs w:val="20"/>
          <w:bdr w:val="none" w:sz="0" w:space="0" w:color="auto"/>
          <w:lang w:val="es-ES"/>
        </w:rPr>
        <w:t xml:space="preserve">eran mexicanos y </w:t>
      </w:r>
      <w:r w:rsidR="0070134E" w:rsidRPr="00A16D62">
        <w:rPr>
          <w:rFonts w:ascii="Cambria" w:eastAsia="Times New Roman" w:hAnsi="Cambria"/>
          <w:bCs/>
          <w:sz w:val="20"/>
          <w:szCs w:val="20"/>
          <w:bdr w:val="none" w:sz="0" w:space="0" w:color="auto"/>
          <w:lang w:val="es-ES"/>
        </w:rPr>
        <w:t>14%</w:t>
      </w:r>
      <w:r w:rsidR="0016476F" w:rsidRPr="00A16D62">
        <w:rPr>
          <w:rFonts w:ascii="Cambria" w:eastAsia="Times New Roman" w:hAnsi="Cambria"/>
          <w:bCs/>
          <w:sz w:val="20"/>
          <w:szCs w:val="20"/>
          <w:bdr w:val="none" w:sz="0" w:space="0" w:color="auto"/>
          <w:lang w:val="es-ES"/>
        </w:rPr>
        <w:t xml:space="preserve"> (123)</w:t>
      </w:r>
      <w:r w:rsidR="00625653" w:rsidRPr="00A16D62">
        <w:rPr>
          <w:rFonts w:ascii="Cambria" w:eastAsia="Times New Roman" w:hAnsi="Cambria"/>
          <w:bCs/>
          <w:sz w:val="20"/>
          <w:szCs w:val="20"/>
          <w:bdr w:val="none" w:sz="0" w:space="0" w:color="auto"/>
          <w:lang w:val="es-ES"/>
        </w:rPr>
        <w:t xml:space="preserve"> eran centroamericanos</w:t>
      </w:r>
      <w:r w:rsidR="0016476F" w:rsidRPr="00A16D62">
        <w:rPr>
          <w:rFonts w:ascii="Cambria" w:eastAsia="Times New Roman" w:hAnsi="Cambria"/>
          <w:bCs/>
          <w:sz w:val="20"/>
          <w:szCs w:val="20"/>
          <w:bdr w:val="none" w:sz="0" w:space="0" w:color="auto"/>
          <w:lang w:val="es-ES"/>
        </w:rPr>
        <w:t xml:space="preserve">, </w:t>
      </w:r>
      <w:r w:rsidR="00625653" w:rsidRPr="00A16D62">
        <w:rPr>
          <w:rFonts w:ascii="Cambria" w:eastAsia="Times New Roman" w:hAnsi="Cambria"/>
          <w:bCs/>
          <w:sz w:val="20"/>
          <w:szCs w:val="20"/>
          <w:bdr w:val="none" w:sz="0" w:space="0" w:color="auto"/>
          <w:lang w:val="es-ES"/>
        </w:rPr>
        <w:t>de modo que ambos grupos combinados representa</w:t>
      </w:r>
      <w:r w:rsidR="004215B8">
        <w:rPr>
          <w:rFonts w:ascii="Cambria" w:eastAsia="Times New Roman" w:hAnsi="Cambria"/>
          <w:bCs/>
          <w:sz w:val="20"/>
          <w:szCs w:val="20"/>
          <w:bdr w:val="none" w:sz="0" w:space="0" w:color="auto"/>
          <w:lang w:val="es-ES"/>
        </w:rPr>
        <w:t>ba</w:t>
      </w:r>
      <w:r w:rsidR="00625653" w:rsidRPr="00A16D62">
        <w:rPr>
          <w:rFonts w:ascii="Cambria" w:eastAsia="Times New Roman" w:hAnsi="Cambria"/>
          <w:bCs/>
          <w:sz w:val="20"/>
          <w:szCs w:val="20"/>
          <w:bdr w:val="none" w:sz="0" w:space="0" w:color="auto"/>
          <w:lang w:val="es-ES"/>
        </w:rPr>
        <w:t xml:space="preserve">n </w:t>
      </w:r>
      <w:r w:rsidR="0016476F" w:rsidRPr="00A16D62">
        <w:rPr>
          <w:rFonts w:ascii="Cambria" w:eastAsia="Times New Roman" w:hAnsi="Cambria"/>
          <w:bCs/>
          <w:sz w:val="20"/>
          <w:szCs w:val="20"/>
          <w:bdr w:val="none" w:sz="0" w:space="0" w:color="auto"/>
          <w:lang w:val="es-ES"/>
        </w:rPr>
        <w:t>55% (483)</w:t>
      </w:r>
      <w:r w:rsidR="00625653" w:rsidRPr="00A16D62">
        <w:rPr>
          <w:rFonts w:ascii="Cambria" w:eastAsia="Times New Roman" w:hAnsi="Cambria"/>
          <w:bCs/>
          <w:sz w:val="20"/>
          <w:szCs w:val="20"/>
          <w:bdr w:val="none" w:sz="0" w:space="0" w:color="auto"/>
          <w:lang w:val="es-ES"/>
        </w:rPr>
        <w:t>, es decir,</w:t>
      </w:r>
      <w:r w:rsidR="0016476F" w:rsidRPr="00A16D62">
        <w:rPr>
          <w:rFonts w:ascii="Cambria" w:eastAsia="Times New Roman" w:hAnsi="Cambria"/>
          <w:bCs/>
          <w:sz w:val="20"/>
          <w:szCs w:val="20"/>
          <w:bdr w:val="none" w:sz="0" w:space="0" w:color="auto"/>
          <w:lang w:val="es-ES"/>
        </w:rPr>
        <w:t xml:space="preserve"> 10</w:t>
      </w:r>
      <w:r w:rsidR="00625653" w:rsidRPr="00A16D62">
        <w:rPr>
          <w:rFonts w:ascii="Cambria" w:eastAsia="Times New Roman" w:hAnsi="Cambria"/>
          <w:bCs/>
          <w:sz w:val="20"/>
          <w:szCs w:val="20"/>
          <w:bdr w:val="none" w:sz="0" w:space="0" w:color="auto"/>
          <w:lang w:val="es-ES"/>
        </w:rPr>
        <w:t>,</w:t>
      </w:r>
      <w:r w:rsidR="0016476F" w:rsidRPr="00A16D62">
        <w:rPr>
          <w:rFonts w:ascii="Cambria" w:eastAsia="Times New Roman" w:hAnsi="Cambria"/>
          <w:bCs/>
          <w:sz w:val="20"/>
          <w:szCs w:val="20"/>
          <w:bdr w:val="none" w:sz="0" w:space="0" w:color="auto"/>
          <w:lang w:val="es-ES"/>
        </w:rPr>
        <w:t xml:space="preserve">5% </w:t>
      </w:r>
      <w:r w:rsidR="00625653" w:rsidRPr="00A16D62">
        <w:rPr>
          <w:rFonts w:ascii="Cambria" w:eastAsia="Times New Roman" w:hAnsi="Cambria"/>
          <w:bCs/>
          <w:sz w:val="20"/>
          <w:szCs w:val="20"/>
          <w:bdr w:val="none" w:sz="0" w:space="0" w:color="auto"/>
          <w:lang w:val="es-ES"/>
        </w:rPr>
        <w:t>de todas las muertes relacionadas con el trabajo</w:t>
      </w:r>
      <w:r w:rsidR="003102BE" w:rsidRPr="00A16D62">
        <w:rPr>
          <w:rStyle w:val="FootnoteReference"/>
          <w:rFonts w:ascii="Cambria" w:eastAsia="Times New Roman" w:hAnsi="Cambria"/>
          <w:bCs/>
          <w:sz w:val="20"/>
          <w:szCs w:val="20"/>
          <w:bdr w:val="none" w:sz="0" w:space="0" w:color="auto"/>
          <w:lang w:val="es-ES"/>
        </w:rPr>
        <w:footnoteReference w:id="66"/>
      </w:r>
      <w:r w:rsidR="00625653" w:rsidRPr="00A16D62">
        <w:rPr>
          <w:rFonts w:ascii="Cambria" w:eastAsia="Times New Roman" w:hAnsi="Cambria"/>
          <w:bCs/>
          <w:sz w:val="20"/>
          <w:szCs w:val="20"/>
          <w:bdr w:val="none" w:sz="0" w:space="0" w:color="auto"/>
          <w:lang w:val="es-ES"/>
        </w:rPr>
        <w:t xml:space="preserve">. Además, en </w:t>
      </w:r>
      <w:r w:rsidR="008B03BF" w:rsidRPr="00A16D62">
        <w:rPr>
          <w:rFonts w:ascii="Cambria" w:eastAsia="Times New Roman" w:hAnsi="Cambria"/>
          <w:bCs/>
          <w:sz w:val="20"/>
          <w:szCs w:val="20"/>
          <w:bdr w:val="none" w:sz="0" w:space="0" w:color="auto"/>
          <w:lang w:val="es-ES"/>
        </w:rPr>
        <w:t xml:space="preserve">2013, </w:t>
      </w:r>
      <w:r w:rsidR="00625653" w:rsidRPr="00A16D62">
        <w:rPr>
          <w:rFonts w:ascii="Cambria" w:eastAsia="Times New Roman" w:hAnsi="Cambria"/>
          <w:bCs/>
          <w:sz w:val="20"/>
          <w:szCs w:val="20"/>
          <w:bdr w:val="none" w:sz="0" w:space="0" w:color="auto"/>
          <w:lang w:val="es-ES"/>
        </w:rPr>
        <w:t xml:space="preserve">de las lesiones ocupacionales no letales que se produjeron en la industria privada, registradas por raza u origen étnico del trabajador </w:t>
      </w:r>
      <w:r w:rsidR="00593340" w:rsidRPr="00A16D62">
        <w:rPr>
          <w:rFonts w:ascii="Cambria" w:eastAsia="Times New Roman" w:hAnsi="Cambria"/>
          <w:bCs/>
          <w:sz w:val="20"/>
          <w:szCs w:val="20"/>
          <w:bdr w:val="none" w:sz="0" w:space="0" w:color="auto"/>
          <w:lang w:val="es-ES"/>
        </w:rPr>
        <w:t>(</w:t>
      </w:r>
      <w:r w:rsidR="00625653" w:rsidRPr="00A16D62">
        <w:rPr>
          <w:rFonts w:ascii="Cambria" w:eastAsia="Times New Roman" w:hAnsi="Cambria"/>
          <w:bCs/>
          <w:sz w:val="20"/>
          <w:szCs w:val="20"/>
          <w:bdr w:val="none" w:sz="0" w:space="0" w:color="auto"/>
          <w:lang w:val="es-ES"/>
        </w:rPr>
        <w:t>no se registra la situación migratoria</w:t>
      </w:r>
      <w:r w:rsidR="00593340" w:rsidRPr="00A16D62">
        <w:rPr>
          <w:rFonts w:ascii="Cambria" w:eastAsia="Times New Roman" w:hAnsi="Cambria"/>
          <w:bCs/>
          <w:sz w:val="20"/>
          <w:szCs w:val="20"/>
          <w:bdr w:val="none" w:sz="0" w:space="0" w:color="auto"/>
          <w:lang w:val="es-ES"/>
        </w:rPr>
        <w:t xml:space="preserve">), </w:t>
      </w:r>
      <w:r w:rsidR="00625653" w:rsidRPr="00A16D62">
        <w:rPr>
          <w:rFonts w:ascii="Cambria" w:eastAsia="Times New Roman" w:hAnsi="Cambria"/>
          <w:bCs/>
          <w:sz w:val="20"/>
          <w:szCs w:val="20"/>
          <w:bdr w:val="none" w:sz="0" w:space="0" w:color="auto"/>
          <w:lang w:val="es-ES"/>
        </w:rPr>
        <w:t xml:space="preserve">entre </w:t>
      </w:r>
      <w:r w:rsidR="00593340" w:rsidRPr="00A16D62">
        <w:rPr>
          <w:rFonts w:ascii="Cambria" w:eastAsia="Times New Roman" w:hAnsi="Cambria"/>
          <w:bCs/>
          <w:sz w:val="20"/>
          <w:szCs w:val="20"/>
          <w:bdr w:val="none" w:sz="0" w:space="0" w:color="auto"/>
          <w:lang w:val="es-ES"/>
        </w:rPr>
        <w:t>21</w:t>
      </w:r>
      <w:r w:rsidR="00625653" w:rsidRPr="00A16D62">
        <w:rPr>
          <w:rFonts w:ascii="Cambria" w:eastAsia="Times New Roman" w:hAnsi="Cambria"/>
          <w:bCs/>
          <w:sz w:val="20"/>
          <w:szCs w:val="20"/>
          <w:bdr w:val="none" w:sz="0" w:space="0" w:color="auto"/>
          <w:lang w:val="es-ES"/>
        </w:rPr>
        <w:t xml:space="preserve"> y </w:t>
      </w:r>
      <w:r w:rsidR="00593340" w:rsidRPr="00A16D62">
        <w:rPr>
          <w:rFonts w:ascii="Cambria" w:eastAsia="Times New Roman" w:hAnsi="Cambria"/>
          <w:bCs/>
          <w:sz w:val="20"/>
          <w:szCs w:val="20"/>
          <w:bdr w:val="none" w:sz="0" w:space="0" w:color="auto"/>
          <w:lang w:val="es-ES"/>
        </w:rPr>
        <w:t xml:space="preserve">22% </w:t>
      </w:r>
      <w:r w:rsidR="00625653" w:rsidRPr="00A16D62">
        <w:rPr>
          <w:rFonts w:ascii="Cambria" w:eastAsia="Times New Roman" w:hAnsi="Cambria"/>
          <w:bCs/>
          <w:sz w:val="20"/>
          <w:szCs w:val="20"/>
          <w:bdr w:val="none" w:sz="0" w:space="0" w:color="auto"/>
          <w:lang w:val="es-ES"/>
        </w:rPr>
        <w:t xml:space="preserve">eran </w:t>
      </w:r>
      <w:r w:rsidR="007B4310" w:rsidRPr="00A16D62">
        <w:rPr>
          <w:rFonts w:ascii="Cambria" w:eastAsia="Times New Roman" w:hAnsi="Cambria"/>
          <w:bCs/>
          <w:sz w:val="20"/>
          <w:szCs w:val="20"/>
          <w:bdr w:val="none" w:sz="0" w:space="0" w:color="auto"/>
          <w:lang w:val="es-ES"/>
        </w:rPr>
        <w:t>trabajadores</w:t>
      </w:r>
      <w:r w:rsidR="00593340" w:rsidRPr="00A16D62">
        <w:rPr>
          <w:rFonts w:ascii="Cambria" w:eastAsia="Times New Roman" w:hAnsi="Cambria"/>
          <w:bCs/>
          <w:sz w:val="20"/>
          <w:szCs w:val="20"/>
          <w:bdr w:val="none" w:sz="0" w:space="0" w:color="auto"/>
          <w:lang w:val="es-ES"/>
        </w:rPr>
        <w:t xml:space="preserve"> clas</w:t>
      </w:r>
      <w:r w:rsidR="00625653" w:rsidRPr="00A16D62">
        <w:rPr>
          <w:rFonts w:ascii="Cambria" w:eastAsia="Times New Roman" w:hAnsi="Cambria"/>
          <w:bCs/>
          <w:sz w:val="20"/>
          <w:szCs w:val="20"/>
          <w:bdr w:val="none" w:sz="0" w:space="0" w:color="auto"/>
          <w:lang w:val="es-ES"/>
        </w:rPr>
        <w:t xml:space="preserve">ificados como </w:t>
      </w:r>
      <w:r w:rsidR="00593340" w:rsidRPr="00A16D62">
        <w:rPr>
          <w:rFonts w:ascii="Cambria" w:eastAsia="Times New Roman" w:hAnsi="Cambria"/>
          <w:bCs/>
          <w:sz w:val="20"/>
          <w:szCs w:val="20"/>
          <w:bdr w:val="none" w:sz="0" w:space="0" w:color="auto"/>
          <w:lang w:val="es-ES"/>
        </w:rPr>
        <w:t>“</w:t>
      </w:r>
      <w:r w:rsidR="00625653" w:rsidRPr="00A16D62">
        <w:rPr>
          <w:rFonts w:ascii="Cambria" w:eastAsia="Times New Roman" w:hAnsi="Cambria"/>
          <w:bCs/>
          <w:sz w:val="20"/>
          <w:szCs w:val="20"/>
          <w:bdr w:val="none" w:sz="0" w:space="0" w:color="auto"/>
          <w:lang w:val="es-ES"/>
        </w:rPr>
        <w:t>hispanoamericano</w:t>
      </w:r>
      <w:r w:rsidR="00593340" w:rsidRPr="00A16D62">
        <w:rPr>
          <w:rFonts w:ascii="Cambria" w:eastAsia="Times New Roman" w:hAnsi="Cambria"/>
          <w:bCs/>
          <w:sz w:val="20"/>
          <w:szCs w:val="20"/>
          <w:bdr w:val="none" w:sz="0" w:space="0" w:color="auto"/>
          <w:lang w:val="es-ES"/>
        </w:rPr>
        <w:t>” o “</w:t>
      </w:r>
      <w:r w:rsidR="00625653" w:rsidRPr="00A16D62">
        <w:rPr>
          <w:rFonts w:ascii="Cambria" w:eastAsia="Times New Roman" w:hAnsi="Cambria"/>
          <w:bCs/>
          <w:sz w:val="20"/>
          <w:szCs w:val="20"/>
          <w:bdr w:val="none" w:sz="0" w:space="0" w:color="auto"/>
          <w:lang w:val="es-ES"/>
        </w:rPr>
        <w:t>hispanoamericano y de otra raza</w:t>
      </w:r>
      <w:r w:rsidR="00593340" w:rsidRPr="00A16D62">
        <w:rPr>
          <w:rFonts w:ascii="Cambria" w:eastAsia="Times New Roman" w:hAnsi="Cambria"/>
          <w:bCs/>
          <w:sz w:val="20"/>
          <w:szCs w:val="20"/>
          <w:bdr w:val="none" w:sz="0" w:space="0" w:color="auto"/>
          <w:lang w:val="es-ES"/>
        </w:rPr>
        <w:t>”</w:t>
      </w:r>
      <w:r w:rsidR="00593340" w:rsidRPr="00A16D62">
        <w:rPr>
          <w:rStyle w:val="FootnoteReference"/>
          <w:rFonts w:ascii="Cambria" w:eastAsia="Times New Roman" w:hAnsi="Cambria"/>
          <w:bCs/>
          <w:sz w:val="20"/>
          <w:szCs w:val="20"/>
          <w:bdr w:val="none" w:sz="0" w:space="0" w:color="auto"/>
          <w:lang w:val="es-ES"/>
        </w:rPr>
        <w:footnoteReference w:id="67"/>
      </w:r>
      <w:r w:rsidR="00625653" w:rsidRPr="00A16D62">
        <w:rPr>
          <w:rFonts w:ascii="Cambria" w:eastAsia="Times New Roman" w:hAnsi="Cambria"/>
          <w:bCs/>
          <w:sz w:val="20"/>
          <w:szCs w:val="20"/>
          <w:bdr w:val="none" w:sz="0" w:space="0" w:color="auto"/>
          <w:lang w:val="es-ES"/>
        </w:rPr>
        <w:t>.</w:t>
      </w:r>
      <w:r w:rsidR="00593340" w:rsidRPr="00A16D62">
        <w:rPr>
          <w:rFonts w:ascii="Cambria" w:eastAsia="Times New Roman" w:hAnsi="Cambria"/>
          <w:bCs/>
          <w:sz w:val="20"/>
          <w:szCs w:val="20"/>
          <w:bdr w:val="none" w:sz="0" w:space="0" w:color="auto"/>
          <w:lang w:val="es-ES"/>
        </w:rPr>
        <w:t xml:space="preserve"> </w:t>
      </w:r>
    </w:p>
    <w:p w:rsidR="009A03A0" w:rsidRPr="00A16D62" w:rsidRDefault="009A03A0" w:rsidP="009A03A0">
      <w:pPr>
        <w:pStyle w:val="ListParagraph"/>
        <w:rPr>
          <w:rFonts w:eastAsia="Times New Roman"/>
          <w:bCs/>
          <w:sz w:val="20"/>
          <w:szCs w:val="20"/>
          <w:bdr w:val="none" w:sz="0" w:space="0" w:color="auto"/>
          <w:lang w:val="es-ES"/>
        </w:rPr>
      </w:pPr>
    </w:p>
    <w:p w:rsidR="004B0C20" w:rsidRPr="00A16D62" w:rsidRDefault="006C5B6C" w:rsidP="004B0C2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A16D62">
        <w:rPr>
          <w:rFonts w:ascii="Cambria" w:eastAsia="Times New Roman" w:hAnsi="Cambria"/>
          <w:bCs/>
          <w:sz w:val="20"/>
          <w:szCs w:val="20"/>
          <w:bdr w:val="none" w:sz="0" w:space="0" w:color="auto"/>
          <w:lang w:val="es-ES"/>
        </w:rPr>
        <w:t>Por su parte</w:t>
      </w:r>
      <w:r w:rsidR="00ED5BC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la Administración de Seguridad y Salud Ocupacionales</w:t>
      </w:r>
      <w:r w:rsidR="00ED5BC0" w:rsidRPr="00A16D62">
        <w:rPr>
          <w:rFonts w:ascii="Cambria" w:eastAsia="Times New Roman" w:hAnsi="Cambria"/>
          <w:bCs/>
          <w:sz w:val="20"/>
          <w:szCs w:val="20"/>
          <w:bdr w:val="none" w:sz="0" w:space="0" w:color="auto"/>
          <w:lang w:val="es-ES"/>
        </w:rPr>
        <w:t xml:space="preserve"> ha</w:t>
      </w:r>
      <w:r w:rsidR="00D947AD" w:rsidRPr="00A16D62">
        <w:rPr>
          <w:rFonts w:ascii="Cambria" w:eastAsia="Times New Roman" w:hAnsi="Cambria"/>
          <w:bCs/>
          <w:sz w:val="20"/>
          <w:szCs w:val="20"/>
          <w:bdr w:val="none" w:sz="0" w:space="0" w:color="auto"/>
          <w:lang w:val="es-ES"/>
        </w:rPr>
        <w:t xml:space="preserve"> reconocido que los </w:t>
      </w:r>
      <w:r w:rsidR="007B4310" w:rsidRPr="00A16D62">
        <w:rPr>
          <w:rFonts w:ascii="Cambria" w:eastAsia="Times New Roman" w:hAnsi="Cambria"/>
          <w:bCs/>
          <w:sz w:val="20"/>
          <w:szCs w:val="20"/>
          <w:bdr w:val="none" w:sz="0" w:space="0" w:color="auto"/>
          <w:lang w:val="es-ES"/>
        </w:rPr>
        <w:t>trabajadores</w:t>
      </w:r>
      <w:r w:rsidR="00C72F44" w:rsidRPr="00A16D62">
        <w:rPr>
          <w:rFonts w:ascii="Cambria" w:eastAsia="Times New Roman" w:hAnsi="Cambria"/>
          <w:bCs/>
          <w:sz w:val="20"/>
          <w:szCs w:val="20"/>
          <w:bdr w:val="none" w:sz="0" w:space="0" w:color="auto"/>
          <w:lang w:val="es-ES"/>
        </w:rPr>
        <w:t xml:space="preserve"> </w:t>
      </w:r>
      <w:r w:rsidR="00D947AD" w:rsidRPr="00A16D62">
        <w:rPr>
          <w:rFonts w:ascii="Cambria" w:eastAsia="Times New Roman" w:hAnsi="Cambria"/>
          <w:bCs/>
          <w:sz w:val="20"/>
          <w:szCs w:val="20"/>
          <w:bdr w:val="none" w:sz="0" w:space="0" w:color="auto"/>
          <w:lang w:val="es-ES"/>
        </w:rPr>
        <w:t>inmigrantes y aquellos a quienes resulta difícil llegar trabajan en algunos de los empleos inherentemente más peligrosos. En su Plan Estratégico para el Ejercicio</w:t>
      </w:r>
      <w:r w:rsidR="00C72F44" w:rsidRPr="00A16D62">
        <w:rPr>
          <w:rFonts w:ascii="Cambria" w:eastAsia="Times New Roman" w:hAnsi="Cambria"/>
          <w:bCs/>
          <w:sz w:val="20"/>
          <w:szCs w:val="20"/>
          <w:bdr w:val="none" w:sz="0" w:space="0" w:color="auto"/>
          <w:lang w:val="es-ES"/>
        </w:rPr>
        <w:t xml:space="preserve"> Fiscal 2014-2018</w:t>
      </w:r>
      <w:r w:rsidR="00D947AD" w:rsidRPr="00A16D62">
        <w:rPr>
          <w:rFonts w:ascii="Cambria" w:eastAsia="Times New Roman" w:hAnsi="Cambria"/>
          <w:bCs/>
          <w:sz w:val="20"/>
          <w:szCs w:val="20"/>
          <w:bdr w:val="none" w:sz="0" w:space="0" w:color="auto"/>
          <w:lang w:val="es-ES"/>
        </w:rPr>
        <w:t>, explicó que</w:t>
      </w:r>
      <w:r w:rsidR="00CC3419">
        <w:rPr>
          <w:rFonts w:ascii="Cambria" w:eastAsia="Times New Roman" w:hAnsi="Cambria"/>
          <w:bCs/>
          <w:sz w:val="20"/>
          <w:szCs w:val="20"/>
          <w:bdr w:val="none" w:sz="0" w:space="0" w:color="auto"/>
          <w:lang w:val="es-ES"/>
        </w:rPr>
        <w:t xml:space="preserve"> </w:t>
      </w:r>
      <w:r w:rsidR="00C72F44" w:rsidRPr="00A16D62">
        <w:rPr>
          <w:rFonts w:ascii="Cambria" w:eastAsia="Times New Roman" w:hAnsi="Cambria"/>
          <w:bCs/>
          <w:sz w:val="20"/>
          <w:szCs w:val="20"/>
          <w:bdr w:val="none" w:sz="0" w:space="0" w:color="auto"/>
          <w:lang w:val="es-ES"/>
        </w:rPr>
        <w:t>“</w:t>
      </w:r>
      <w:r w:rsidR="00D947AD" w:rsidRPr="00A16D62">
        <w:rPr>
          <w:rFonts w:ascii="Cambria" w:eastAsia="Times New Roman" w:hAnsi="Cambria"/>
          <w:bCs/>
          <w:sz w:val="20"/>
          <w:szCs w:val="20"/>
          <w:bdr w:val="none" w:sz="0" w:space="0" w:color="auto"/>
          <w:lang w:val="es-ES"/>
        </w:rPr>
        <w:t xml:space="preserve">la </w:t>
      </w:r>
      <w:r w:rsidRPr="00A16D62">
        <w:rPr>
          <w:rFonts w:ascii="Cambria" w:eastAsia="Times New Roman" w:hAnsi="Cambria"/>
          <w:bCs/>
          <w:sz w:val="20"/>
          <w:szCs w:val="20"/>
          <w:bdr w:val="none" w:sz="0" w:space="0" w:color="auto"/>
          <w:lang w:val="es-ES"/>
        </w:rPr>
        <w:t>Administración de Seguridad y Salud Ocupacionales</w:t>
      </w:r>
      <w:r w:rsidR="00C72F44" w:rsidRPr="00A16D62">
        <w:rPr>
          <w:rFonts w:ascii="Cambria" w:eastAsia="Times New Roman" w:hAnsi="Cambria"/>
          <w:bCs/>
          <w:sz w:val="20"/>
          <w:szCs w:val="20"/>
          <w:bdr w:val="none" w:sz="0" w:space="0" w:color="auto"/>
          <w:lang w:val="es-ES"/>
        </w:rPr>
        <w:t xml:space="preserve"> ha</w:t>
      </w:r>
      <w:r w:rsidR="00D947AD" w:rsidRPr="00A16D62">
        <w:rPr>
          <w:rFonts w:ascii="Cambria" w:eastAsia="Times New Roman" w:hAnsi="Cambria"/>
          <w:bCs/>
          <w:sz w:val="20"/>
          <w:szCs w:val="20"/>
          <w:bdr w:val="none" w:sz="0" w:space="0" w:color="auto"/>
          <w:lang w:val="es-ES"/>
        </w:rPr>
        <w:t xml:space="preserve"> dado prioridad a la labor de divulgación a trabajadores latinoamericanos y a otros que no hablan bien inglés, grupo que generalmente presenta tasas más altas de lesiones, enfermedades y muertes en el lugar de trabajo. Con ese fin está trabajando con</w:t>
      </w:r>
      <w:r w:rsidR="009C571E" w:rsidRPr="00A16D62">
        <w:rPr>
          <w:rFonts w:ascii="Cambria" w:eastAsia="Times New Roman" w:hAnsi="Cambria"/>
          <w:bCs/>
          <w:sz w:val="20"/>
          <w:szCs w:val="20"/>
          <w:bdr w:val="none" w:sz="0" w:space="0" w:color="auto"/>
          <w:lang w:val="es-ES"/>
        </w:rPr>
        <w:t xml:space="preserve"> </w:t>
      </w:r>
      <w:r w:rsidR="00D947AD" w:rsidRPr="00A16D62">
        <w:rPr>
          <w:rFonts w:ascii="Cambria" w:eastAsia="Times New Roman" w:hAnsi="Cambria"/>
          <w:bCs/>
          <w:sz w:val="20"/>
          <w:szCs w:val="20"/>
          <w:bdr w:val="none" w:sz="0" w:space="0" w:color="auto"/>
          <w:lang w:val="es-ES"/>
        </w:rPr>
        <w:t xml:space="preserve">grupos comunitarios y confesionales, </w:t>
      </w:r>
      <w:r w:rsidR="000F4EF8" w:rsidRPr="00A16D62">
        <w:rPr>
          <w:rFonts w:ascii="Cambria" w:eastAsia="Times New Roman" w:hAnsi="Cambria"/>
          <w:bCs/>
          <w:sz w:val="20"/>
          <w:szCs w:val="20"/>
          <w:bdr w:val="none" w:sz="0" w:space="0" w:color="auto"/>
          <w:lang w:val="es-ES"/>
        </w:rPr>
        <w:t>empleadores</w:t>
      </w:r>
      <w:r w:rsidR="009C571E" w:rsidRPr="00A16D62">
        <w:rPr>
          <w:rFonts w:ascii="Cambria" w:eastAsia="Times New Roman" w:hAnsi="Cambria"/>
          <w:bCs/>
          <w:sz w:val="20"/>
          <w:szCs w:val="20"/>
          <w:bdr w:val="none" w:sz="0" w:space="0" w:color="auto"/>
          <w:lang w:val="es-ES"/>
        </w:rPr>
        <w:t xml:space="preserve">, </w:t>
      </w:r>
      <w:r w:rsidR="00D947AD" w:rsidRPr="00A16D62">
        <w:rPr>
          <w:rFonts w:ascii="Cambria" w:eastAsia="Times New Roman" w:hAnsi="Cambria"/>
          <w:bCs/>
          <w:sz w:val="20"/>
          <w:szCs w:val="20"/>
          <w:bdr w:val="none" w:sz="0" w:space="0" w:color="auto"/>
          <w:lang w:val="es-ES"/>
        </w:rPr>
        <w:t>sindicatos, consulados, médicos, profesionales de la salud y la seguridad</w:t>
      </w:r>
      <w:r w:rsidR="00CC3419">
        <w:rPr>
          <w:rFonts w:ascii="Cambria" w:eastAsia="Times New Roman" w:hAnsi="Cambria"/>
          <w:bCs/>
          <w:sz w:val="20"/>
          <w:szCs w:val="20"/>
          <w:bdr w:val="none" w:sz="0" w:space="0" w:color="auto"/>
          <w:lang w:val="es-ES"/>
        </w:rPr>
        <w:t xml:space="preserve"> </w:t>
      </w:r>
      <w:r w:rsidR="00D947AD" w:rsidRPr="00A16D62">
        <w:rPr>
          <w:rFonts w:ascii="Cambria" w:eastAsia="Times New Roman" w:hAnsi="Cambria"/>
          <w:bCs/>
          <w:sz w:val="20"/>
          <w:szCs w:val="20"/>
          <w:bdr w:val="none" w:sz="0" w:space="0" w:color="auto"/>
          <w:lang w:val="es-ES"/>
        </w:rPr>
        <w:t>y representantes gubernamentales</w:t>
      </w:r>
      <w:r w:rsidR="003102BE" w:rsidRPr="00A16D62">
        <w:rPr>
          <w:rFonts w:ascii="Cambria" w:eastAsia="Times New Roman" w:hAnsi="Cambria"/>
          <w:bCs/>
          <w:sz w:val="20"/>
          <w:szCs w:val="20"/>
          <w:bdr w:val="none" w:sz="0" w:space="0" w:color="auto"/>
          <w:lang w:val="es-ES"/>
        </w:rPr>
        <w:t>”</w:t>
      </w:r>
      <w:r w:rsidR="00C72F44" w:rsidRPr="00A16D62">
        <w:rPr>
          <w:rStyle w:val="FootnoteReference"/>
          <w:rFonts w:ascii="Cambria" w:eastAsia="Times New Roman" w:hAnsi="Cambria"/>
          <w:bCs/>
          <w:sz w:val="20"/>
          <w:szCs w:val="20"/>
          <w:bdr w:val="none" w:sz="0" w:space="0" w:color="auto"/>
          <w:lang w:val="es-ES"/>
        </w:rPr>
        <w:footnoteReference w:id="68"/>
      </w:r>
      <w:r w:rsidR="00D947AD" w:rsidRPr="00A16D62">
        <w:rPr>
          <w:rFonts w:ascii="Cambria" w:eastAsia="Times New Roman" w:hAnsi="Cambria"/>
          <w:bCs/>
          <w:sz w:val="20"/>
          <w:szCs w:val="20"/>
          <w:bdr w:val="none" w:sz="0" w:space="0" w:color="auto"/>
          <w:lang w:val="es-ES"/>
        </w:rPr>
        <w:t>.</w:t>
      </w:r>
    </w:p>
    <w:p w:rsidR="00854D68" w:rsidRPr="00A16D62" w:rsidRDefault="00854D68" w:rsidP="00854D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F823EE" w:rsidRPr="00A16D62" w:rsidRDefault="0051292D"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0070C0"/>
          <w:sz w:val="20"/>
          <w:szCs w:val="20"/>
          <w:bdr w:val="none" w:sz="0" w:space="0" w:color="auto"/>
          <w:lang w:val="es-ES"/>
        </w:rPr>
      </w:pPr>
      <w:r w:rsidRPr="00A16D62">
        <w:rPr>
          <w:rFonts w:ascii="Cambria" w:eastAsia="Times New Roman" w:hAnsi="Cambria"/>
          <w:bCs/>
          <w:sz w:val="20"/>
          <w:szCs w:val="20"/>
          <w:bdr w:val="none" w:sz="0" w:space="0" w:color="auto"/>
          <w:lang w:val="es-ES"/>
        </w:rPr>
        <w:t>Los t</w:t>
      </w:r>
      <w:r w:rsidR="00C038BF" w:rsidRPr="00A16D62">
        <w:rPr>
          <w:rFonts w:ascii="Cambria" w:eastAsia="Times New Roman" w:hAnsi="Cambria"/>
          <w:bCs/>
          <w:sz w:val="20"/>
          <w:szCs w:val="20"/>
          <w:bdr w:val="none" w:sz="0" w:space="0" w:color="auto"/>
          <w:lang w:val="es-ES"/>
        </w:rPr>
        <w:t>rabajadores indocumentados</w:t>
      </w:r>
      <w:r w:rsidR="00BA0116"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pagaron alrededor de </w:t>
      </w:r>
      <w:r w:rsidR="00FC587E" w:rsidRPr="00A16D62">
        <w:rPr>
          <w:rFonts w:ascii="Cambria" w:eastAsia="Times New Roman" w:hAnsi="Cambria"/>
          <w:bCs/>
          <w:sz w:val="20"/>
          <w:szCs w:val="20"/>
          <w:bdr w:val="none" w:sz="0" w:space="0" w:color="auto"/>
          <w:lang w:val="es-ES"/>
        </w:rPr>
        <w:t>$11.84</w:t>
      </w:r>
      <w:r w:rsidRPr="00A16D62">
        <w:rPr>
          <w:rFonts w:ascii="Cambria" w:eastAsia="Times New Roman" w:hAnsi="Cambria"/>
          <w:bCs/>
          <w:sz w:val="20"/>
          <w:szCs w:val="20"/>
          <w:bdr w:val="none" w:sz="0" w:space="0" w:color="auto"/>
          <w:lang w:val="es-ES"/>
        </w:rPr>
        <w:t>0 millones en impuestos estatales y</w:t>
      </w:r>
      <w:r w:rsidR="00FC587E" w:rsidRPr="00A16D62">
        <w:rPr>
          <w:rFonts w:ascii="Cambria" w:eastAsia="Times New Roman" w:hAnsi="Cambria"/>
          <w:bCs/>
          <w:sz w:val="20"/>
          <w:szCs w:val="20"/>
          <w:bdr w:val="none" w:sz="0" w:space="0" w:color="auto"/>
          <w:lang w:val="es-ES"/>
        </w:rPr>
        <w:t xml:space="preserve"> local</w:t>
      </w:r>
      <w:r w:rsidRPr="00A16D62">
        <w:rPr>
          <w:rFonts w:ascii="Cambria" w:eastAsia="Times New Roman" w:hAnsi="Cambria"/>
          <w:bCs/>
          <w:sz w:val="20"/>
          <w:szCs w:val="20"/>
          <w:bdr w:val="none" w:sz="0" w:space="0" w:color="auto"/>
          <w:lang w:val="es-ES"/>
        </w:rPr>
        <w:t xml:space="preserve">es en </w:t>
      </w:r>
      <w:r w:rsidR="00C3153C" w:rsidRPr="00A16D62">
        <w:rPr>
          <w:rFonts w:ascii="Cambria" w:eastAsia="Times New Roman" w:hAnsi="Cambria"/>
          <w:bCs/>
          <w:sz w:val="20"/>
          <w:szCs w:val="20"/>
          <w:bdr w:val="none" w:sz="0" w:space="0" w:color="auto"/>
          <w:lang w:val="es-ES"/>
        </w:rPr>
        <w:t>2012</w:t>
      </w:r>
      <w:r w:rsidR="00FC587E" w:rsidRPr="00A16D62">
        <w:rPr>
          <w:rStyle w:val="FootnoteReference"/>
          <w:rFonts w:ascii="Cambria" w:eastAsia="Times New Roman" w:hAnsi="Cambria"/>
          <w:bCs/>
          <w:sz w:val="20"/>
          <w:szCs w:val="20"/>
          <w:bdr w:val="none" w:sz="0" w:space="0" w:color="auto"/>
          <w:lang w:val="es-ES"/>
        </w:rPr>
        <w:footnoteReference w:id="69"/>
      </w:r>
      <w:r w:rsidRPr="00A16D62">
        <w:rPr>
          <w:rFonts w:ascii="Cambria" w:eastAsia="Times New Roman" w:hAnsi="Cambria"/>
          <w:bCs/>
          <w:sz w:val="20"/>
          <w:szCs w:val="20"/>
          <w:bdr w:val="none" w:sz="0" w:space="0" w:color="auto"/>
          <w:lang w:val="es-ES"/>
        </w:rPr>
        <w:t xml:space="preserve">. Esta cifra incluye los impuestos sobre las ventas y sobre el consumo que se pagan al comprar bienes, como gasolina y ropa, y servicios, que representan más de </w:t>
      </w:r>
      <w:r w:rsidR="005416DF" w:rsidRPr="00A16D62">
        <w:rPr>
          <w:rFonts w:ascii="Cambria" w:eastAsia="Times New Roman" w:hAnsi="Cambria"/>
          <w:bCs/>
          <w:sz w:val="20"/>
          <w:szCs w:val="20"/>
          <w:bdr w:val="none" w:sz="0" w:space="0" w:color="auto"/>
          <w:lang w:val="es-ES"/>
        </w:rPr>
        <w:t>$7</w:t>
      </w:r>
      <w:r w:rsidRPr="00A16D62">
        <w:rPr>
          <w:rFonts w:ascii="Cambria" w:eastAsia="Times New Roman" w:hAnsi="Cambria"/>
          <w:bCs/>
          <w:sz w:val="20"/>
          <w:szCs w:val="20"/>
          <w:bdr w:val="none" w:sz="0" w:space="0" w:color="auto"/>
          <w:lang w:val="es-ES"/>
        </w:rPr>
        <w:t>.000 millones de los</w:t>
      </w:r>
      <w:r w:rsidR="00B43A69" w:rsidRPr="00A16D62">
        <w:rPr>
          <w:rFonts w:ascii="Cambria" w:eastAsia="Times New Roman" w:hAnsi="Cambria"/>
          <w:bCs/>
          <w:sz w:val="20"/>
          <w:szCs w:val="20"/>
          <w:bdr w:val="none" w:sz="0" w:space="0" w:color="auto"/>
          <w:lang w:val="es-ES"/>
        </w:rPr>
        <w:t xml:space="preserve"> $11.84</w:t>
      </w:r>
      <w:r w:rsidRPr="00A16D62">
        <w:rPr>
          <w:rFonts w:ascii="Cambria" w:eastAsia="Times New Roman" w:hAnsi="Cambria"/>
          <w:bCs/>
          <w:sz w:val="20"/>
          <w:szCs w:val="20"/>
          <w:bdr w:val="none" w:sz="0" w:space="0" w:color="auto"/>
          <w:lang w:val="es-ES"/>
        </w:rPr>
        <w:t>0 millones</w:t>
      </w:r>
      <w:r w:rsidR="001F6032" w:rsidRPr="00A16D62">
        <w:rPr>
          <w:rStyle w:val="FootnoteReference"/>
          <w:rFonts w:ascii="Cambria" w:eastAsia="Times New Roman" w:hAnsi="Cambria"/>
          <w:bCs/>
          <w:sz w:val="20"/>
          <w:szCs w:val="20"/>
          <w:bdr w:val="none" w:sz="0" w:space="0" w:color="auto"/>
          <w:lang w:val="es-ES"/>
        </w:rPr>
        <w:footnoteReference w:id="70"/>
      </w:r>
      <w:r w:rsidRPr="00A16D62">
        <w:rPr>
          <w:rFonts w:ascii="Cambria" w:eastAsia="Times New Roman" w:hAnsi="Cambria"/>
          <w:bCs/>
          <w:sz w:val="20"/>
          <w:szCs w:val="20"/>
          <w:bdr w:val="none" w:sz="0" w:space="0" w:color="auto"/>
          <w:lang w:val="es-ES"/>
        </w:rPr>
        <w:t>.</w:t>
      </w:r>
      <w:r w:rsidR="001F603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Los inmigrantes indocumentados</w:t>
      </w:r>
      <w:r w:rsidR="001F603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también pagan impuestos sobre la propiedad, directamente en calidad de dueños de propiedades o indirectamente como inquilinos, que ascienden a alrededor de </w:t>
      </w:r>
      <w:r w:rsidR="005416DF" w:rsidRPr="00A16D62">
        <w:rPr>
          <w:rFonts w:ascii="Cambria" w:eastAsia="Times New Roman" w:hAnsi="Cambria"/>
          <w:bCs/>
          <w:sz w:val="20"/>
          <w:szCs w:val="20"/>
          <w:bdr w:val="none" w:sz="0" w:space="0" w:color="auto"/>
          <w:lang w:val="es-ES"/>
        </w:rPr>
        <w:t>$3.6</w:t>
      </w:r>
      <w:r w:rsidRPr="00A16D62">
        <w:rPr>
          <w:rFonts w:ascii="Cambria" w:eastAsia="Times New Roman" w:hAnsi="Cambria"/>
          <w:bCs/>
          <w:sz w:val="20"/>
          <w:szCs w:val="20"/>
          <w:bdr w:val="none" w:sz="0" w:space="0" w:color="auto"/>
          <w:lang w:val="es-ES"/>
        </w:rPr>
        <w:t>00 millones</w:t>
      </w:r>
      <w:r w:rsidR="00137F23"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 los </w:t>
      </w:r>
      <w:r w:rsidR="00137F23" w:rsidRPr="00A16D62">
        <w:rPr>
          <w:rFonts w:ascii="Cambria" w:eastAsia="Times New Roman" w:hAnsi="Cambria"/>
          <w:bCs/>
          <w:sz w:val="20"/>
          <w:szCs w:val="20"/>
          <w:bdr w:val="none" w:sz="0" w:space="0" w:color="auto"/>
          <w:lang w:val="es-ES"/>
        </w:rPr>
        <w:t>$11.84</w:t>
      </w:r>
      <w:r w:rsidRPr="00A16D62">
        <w:rPr>
          <w:rFonts w:ascii="Cambria" w:eastAsia="Times New Roman" w:hAnsi="Cambria"/>
          <w:bCs/>
          <w:sz w:val="20"/>
          <w:szCs w:val="20"/>
          <w:bdr w:val="none" w:sz="0" w:space="0" w:color="auto"/>
          <w:lang w:val="es-ES"/>
        </w:rPr>
        <w:t>0 millones</w:t>
      </w:r>
      <w:r w:rsidR="00137F23" w:rsidRPr="00A16D62">
        <w:rPr>
          <w:rFonts w:ascii="Cambria" w:eastAsia="Times New Roman" w:hAnsi="Cambria"/>
          <w:bCs/>
          <w:sz w:val="20"/>
          <w:szCs w:val="20"/>
          <w:bdr w:val="none" w:sz="0" w:space="0" w:color="auto"/>
          <w:lang w:val="es-ES"/>
        </w:rPr>
        <w:t>)</w:t>
      </w:r>
      <w:r w:rsidR="001F6032" w:rsidRPr="00A16D62">
        <w:rPr>
          <w:rStyle w:val="FootnoteReference"/>
          <w:rFonts w:ascii="Cambria" w:eastAsia="Times New Roman" w:hAnsi="Cambria"/>
          <w:bCs/>
          <w:sz w:val="20"/>
          <w:szCs w:val="20"/>
          <w:bdr w:val="none" w:sz="0" w:space="0" w:color="auto"/>
          <w:lang w:val="es-ES"/>
        </w:rPr>
        <w:footnoteReference w:id="71"/>
      </w:r>
      <w:r w:rsidRPr="00A16D62">
        <w:rPr>
          <w:rFonts w:ascii="Cambria" w:eastAsia="Times New Roman" w:hAnsi="Cambria"/>
          <w:bCs/>
          <w:sz w:val="20"/>
          <w:szCs w:val="20"/>
          <w:bdr w:val="none" w:sz="0" w:space="0" w:color="auto"/>
          <w:lang w:val="es-ES"/>
        </w:rPr>
        <w:t>.</w:t>
      </w:r>
      <w:r w:rsidR="00CC3419">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lo que respecta a los aportes al fondo de seguridad </w:t>
      </w:r>
      <w:r w:rsidR="005416DF" w:rsidRPr="00A16D62">
        <w:rPr>
          <w:rFonts w:ascii="Cambria" w:eastAsia="Times New Roman" w:hAnsi="Cambria"/>
          <w:bCs/>
          <w:sz w:val="20"/>
          <w:szCs w:val="20"/>
          <w:bdr w:val="none" w:sz="0" w:space="0" w:color="auto"/>
          <w:lang w:val="es-ES"/>
        </w:rPr>
        <w:t>social</w:t>
      </w:r>
      <w:r w:rsidRPr="00A16D62">
        <w:rPr>
          <w:rFonts w:ascii="Cambria" w:eastAsia="Times New Roman" w:hAnsi="Cambria"/>
          <w:bCs/>
          <w:sz w:val="20"/>
          <w:szCs w:val="20"/>
          <w:bdr w:val="none" w:sz="0" w:space="0" w:color="auto"/>
          <w:lang w:val="es-ES"/>
        </w:rPr>
        <w:t>, e</w:t>
      </w:r>
      <w:r w:rsidR="005416DF" w:rsidRPr="00A16D62">
        <w:rPr>
          <w:rFonts w:ascii="Cambria" w:eastAsia="Times New Roman" w:hAnsi="Cambria"/>
          <w:bCs/>
          <w:sz w:val="20"/>
          <w:szCs w:val="20"/>
          <w:bdr w:val="none" w:sz="0" w:space="0" w:color="auto"/>
          <w:lang w:val="es-ES"/>
        </w:rPr>
        <w:t xml:space="preserve">n 2010 </w:t>
      </w:r>
      <w:r w:rsidRPr="00A16D62">
        <w:rPr>
          <w:rFonts w:ascii="Cambria" w:eastAsia="Times New Roman" w:hAnsi="Cambria"/>
          <w:bCs/>
          <w:sz w:val="20"/>
          <w:szCs w:val="20"/>
          <w:bdr w:val="none" w:sz="0" w:space="0" w:color="auto"/>
          <w:lang w:val="es-ES"/>
        </w:rPr>
        <w:t xml:space="preserve">la Administración de Seguridad </w:t>
      </w:r>
      <w:r w:rsidR="005416DF" w:rsidRPr="00A16D62">
        <w:rPr>
          <w:rFonts w:ascii="Cambria" w:eastAsia="Times New Roman" w:hAnsi="Cambria"/>
          <w:bCs/>
          <w:sz w:val="20"/>
          <w:szCs w:val="20"/>
          <w:bdr w:val="none" w:sz="0" w:space="0" w:color="auto"/>
          <w:lang w:val="es-ES"/>
        </w:rPr>
        <w:t xml:space="preserve">Social </w:t>
      </w:r>
      <w:r w:rsidR="001703BE" w:rsidRPr="00A16D62">
        <w:rPr>
          <w:rFonts w:ascii="Cambria" w:eastAsia="Times New Roman" w:hAnsi="Cambria"/>
          <w:bCs/>
          <w:sz w:val="20"/>
          <w:szCs w:val="20"/>
          <w:bdr w:val="none" w:sz="0" w:space="0" w:color="auto"/>
          <w:lang w:val="es-ES"/>
        </w:rPr>
        <w:t>(SSA)</w:t>
      </w:r>
      <w:r w:rsidR="005416DF" w:rsidRPr="00A16D62">
        <w:rPr>
          <w:rFonts w:ascii="Cambria" w:eastAsia="Times New Roman" w:hAnsi="Cambria"/>
          <w:bCs/>
          <w:sz w:val="20"/>
          <w:szCs w:val="20"/>
          <w:bdr w:val="none" w:sz="0" w:space="0" w:color="auto"/>
          <w:lang w:val="es-ES"/>
        </w:rPr>
        <w:t xml:space="preserve"> </w:t>
      </w:r>
      <w:r w:rsidR="00167A82" w:rsidRPr="00A16D62">
        <w:rPr>
          <w:rFonts w:ascii="Cambria" w:eastAsia="Times New Roman" w:hAnsi="Cambria"/>
          <w:bCs/>
          <w:sz w:val="20"/>
          <w:szCs w:val="20"/>
          <w:bdr w:val="none" w:sz="0" w:space="0" w:color="auto"/>
          <w:lang w:val="es-ES"/>
        </w:rPr>
        <w:t>de Estados Unidos calculó que había un superávit de</w:t>
      </w:r>
      <w:r w:rsidR="009C571E" w:rsidRPr="00A16D62">
        <w:rPr>
          <w:rFonts w:ascii="Cambria" w:eastAsia="Times New Roman" w:hAnsi="Cambria"/>
          <w:bCs/>
          <w:sz w:val="20"/>
          <w:szCs w:val="20"/>
          <w:bdr w:val="none" w:sz="0" w:space="0" w:color="auto"/>
          <w:lang w:val="es-ES"/>
        </w:rPr>
        <w:t xml:space="preserve"> $12</w:t>
      </w:r>
      <w:r w:rsidR="00167A82" w:rsidRPr="00A16D62">
        <w:rPr>
          <w:rFonts w:ascii="Cambria" w:eastAsia="Times New Roman" w:hAnsi="Cambria"/>
          <w:bCs/>
          <w:sz w:val="20"/>
          <w:szCs w:val="20"/>
          <w:bdr w:val="none" w:sz="0" w:space="0" w:color="auto"/>
          <w:lang w:val="es-ES"/>
        </w:rPr>
        <w:t xml:space="preserve">.000 millones en impuestos pagados al sistema que podía atribuirse a los ingresos de </w:t>
      </w:r>
      <w:r w:rsidRPr="00A16D62">
        <w:rPr>
          <w:rFonts w:ascii="Cambria" w:eastAsia="Times New Roman" w:hAnsi="Cambria"/>
          <w:bCs/>
          <w:sz w:val="20"/>
          <w:szCs w:val="20"/>
          <w:bdr w:val="none" w:sz="0" w:space="0" w:color="auto"/>
          <w:lang w:val="es-ES"/>
        </w:rPr>
        <w:t>trabajadores no autorizados</w:t>
      </w:r>
      <w:r w:rsidR="001703BE" w:rsidRPr="00A16D62">
        <w:rPr>
          <w:rStyle w:val="FootnoteReference"/>
          <w:rFonts w:ascii="Cambria" w:eastAsia="Times New Roman" w:hAnsi="Cambria"/>
          <w:bCs/>
          <w:sz w:val="20"/>
          <w:szCs w:val="20"/>
          <w:bdr w:val="none" w:sz="0" w:space="0" w:color="auto"/>
          <w:lang w:val="es-ES"/>
        </w:rPr>
        <w:footnoteReference w:id="72"/>
      </w:r>
      <w:r w:rsidR="00167A82" w:rsidRPr="00A16D62">
        <w:rPr>
          <w:rFonts w:ascii="Cambria" w:eastAsia="Times New Roman" w:hAnsi="Cambria"/>
          <w:bCs/>
          <w:sz w:val="20"/>
          <w:szCs w:val="20"/>
          <w:bdr w:val="none" w:sz="0" w:space="0" w:color="auto"/>
          <w:lang w:val="es-ES"/>
        </w:rPr>
        <w:t>.</w:t>
      </w:r>
    </w:p>
    <w:p w:rsidR="001A394A" w:rsidRPr="00A16D62" w:rsidRDefault="001A394A" w:rsidP="001A394A">
      <w:pPr>
        <w:pStyle w:val="ListParagraph"/>
        <w:rPr>
          <w:rFonts w:eastAsia="Times New Roman"/>
          <w:bCs/>
          <w:color w:val="0070C0"/>
          <w:sz w:val="20"/>
          <w:szCs w:val="20"/>
          <w:bdr w:val="none" w:sz="0" w:space="0" w:color="auto"/>
          <w:lang w:val="es-ES"/>
        </w:rPr>
      </w:pPr>
    </w:p>
    <w:p w:rsidR="001A394A" w:rsidRPr="00A16D62" w:rsidRDefault="00167A82" w:rsidP="001A394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FF0000"/>
          <w:sz w:val="20"/>
          <w:szCs w:val="20"/>
          <w:bdr w:val="none" w:sz="0" w:space="0" w:color="auto"/>
          <w:lang w:val="es-ES"/>
        </w:rPr>
      </w:pPr>
      <w:r w:rsidRPr="00A16D62">
        <w:rPr>
          <w:rFonts w:ascii="Cambria" w:eastAsia="Times New Roman" w:hAnsi="Cambria"/>
          <w:bCs/>
          <w:sz w:val="20"/>
          <w:szCs w:val="20"/>
          <w:bdr w:val="none" w:sz="0" w:space="0" w:color="auto"/>
          <w:lang w:val="es-ES"/>
        </w:rPr>
        <w:t>L</w:t>
      </w:r>
      <w:r w:rsidR="00180125" w:rsidRPr="00A16D62">
        <w:rPr>
          <w:rFonts w:ascii="Cambria" w:eastAsia="Times New Roman" w:hAnsi="Cambria"/>
          <w:bCs/>
          <w:sz w:val="20"/>
          <w:szCs w:val="20"/>
          <w:bdr w:val="none" w:sz="0" w:space="0" w:color="auto"/>
          <w:lang w:val="es-ES"/>
        </w:rPr>
        <w:t>a Comisión</w:t>
      </w:r>
      <w:r w:rsidR="001A394A" w:rsidRPr="00A16D62">
        <w:rPr>
          <w:rFonts w:ascii="Cambria" w:eastAsia="Times New Roman" w:hAnsi="Cambria"/>
          <w:bCs/>
          <w:sz w:val="20"/>
          <w:szCs w:val="20"/>
          <w:bdr w:val="none" w:sz="0" w:space="0" w:color="auto"/>
          <w:lang w:val="es-ES"/>
        </w:rPr>
        <w:t xml:space="preserve"> observ</w:t>
      </w:r>
      <w:r w:rsidRPr="00A16D62">
        <w:rPr>
          <w:rFonts w:ascii="Cambria" w:eastAsia="Times New Roman" w:hAnsi="Cambria"/>
          <w:bCs/>
          <w:sz w:val="20"/>
          <w:szCs w:val="20"/>
          <w:bdr w:val="none" w:sz="0" w:space="0" w:color="auto"/>
          <w:lang w:val="es-ES"/>
        </w:rPr>
        <w:t xml:space="preserve">a que, en Estados Unidos, la </w:t>
      </w:r>
      <w:r w:rsidR="00A30BE7" w:rsidRPr="00A16D62">
        <w:rPr>
          <w:rFonts w:ascii="Cambria" w:eastAsia="Times New Roman" w:hAnsi="Cambria"/>
          <w:bCs/>
          <w:sz w:val="20"/>
          <w:szCs w:val="20"/>
          <w:bdr w:val="none" w:sz="0" w:space="0" w:color="auto"/>
          <w:lang w:val="es-ES"/>
        </w:rPr>
        <w:t>Ley de Reforma y Control de la Inmigración</w:t>
      </w:r>
      <w:r w:rsidR="001A394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de</w:t>
      </w:r>
      <w:r w:rsidR="001A394A" w:rsidRPr="00A16D62">
        <w:rPr>
          <w:rFonts w:ascii="Cambria" w:eastAsia="Times New Roman" w:hAnsi="Cambria"/>
          <w:bCs/>
          <w:sz w:val="20"/>
          <w:szCs w:val="20"/>
          <w:bdr w:val="none" w:sz="0" w:space="0" w:color="auto"/>
          <w:lang w:val="es-ES"/>
        </w:rPr>
        <w:t xml:space="preserve"> 1986 </w:t>
      </w:r>
      <w:r w:rsidRPr="00A16D62">
        <w:rPr>
          <w:rFonts w:ascii="Cambria" w:eastAsia="Times New Roman" w:hAnsi="Cambria"/>
          <w:bCs/>
          <w:sz w:val="20"/>
          <w:szCs w:val="20"/>
          <w:bdr w:val="none" w:sz="0" w:space="0" w:color="auto"/>
          <w:lang w:val="es-ES"/>
        </w:rPr>
        <w:t xml:space="preserve">fue promulgada con el fin de </w:t>
      </w:r>
      <w:r w:rsidR="001A394A" w:rsidRPr="00A16D62">
        <w:rPr>
          <w:rFonts w:ascii="Cambria" w:eastAsia="Times New Roman" w:hAnsi="Cambria"/>
          <w:bCs/>
          <w:sz w:val="20"/>
          <w:szCs w:val="20"/>
          <w:bdr w:val="none" w:sz="0" w:space="0" w:color="auto"/>
          <w:lang w:val="es-ES"/>
        </w:rPr>
        <w:t>“control</w:t>
      </w:r>
      <w:r w:rsidR="00F31ADB" w:rsidRPr="00A16D62">
        <w:rPr>
          <w:rFonts w:ascii="Cambria" w:eastAsia="Times New Roman" w:hAnsi="Cambria"/>
          <w:bCs/>
          <w:sz w:val="20"/>
          <w:szCs w:val="20"/>
          <w:bdr w:val="none" w:sz="0" w:space="0" w:color="auto"/>
          <w:lang w:val="es-ES"/>
        </w:rPr>
        <w:t xml:space="preserve">ar y desincentivar la inmigración ilegal en </w:t>
      </w:r>
      <w:r w:rsidR="007E4498" w:rsidRPr="00A16D62">
        <w:rPr>
          <w:rFonts w:ascii="Cambria" w:eastAsia="Times New Roman" w:hAnsi="Cambria"/>
          <w:bCs/>
          <w:sz w:val="20"/>
          <w:szCs w:val="20"/>
          <w:bdr w:val="none" w:sz="0" w:space="0" w:color="auto"/>
          <w:lang w:val="es-ES"/>
        </w:rPr>
        <w:t>Estados Unidos</w:t>
      </w:r>
      <w:r w:rsidR="001A394A" w:rsidRPr="00A16D62">
        <w:rPr>
          <w:rFonts w:ascii="Cambria" w:eastAsia="Times New Roman" w:hAnsi="Cambria"/>
          <w:bCs/>
          <w:sz w:val="20"/>
          <w:szCs w:val="20"/>
          <w:bdr w:val="none" w:sz="0" w:space="0" w:color="auto"/>
          <w:lang w:val="es-ES"/>
        </w:rPr>
        <w:t xml:space="preserve">” </w:t>
      </w:r>
      <w:r w:rsidR="005F14BB" w:rsidRPr="00A16D62">
        <w:rPr>
          <w:rFonts w:ascii="Cambria" w:eastAsia="Times New Roman" w:hAnsi="Cambria"/>
          <w:bCs/>
          <w:sz w:val="20"/>
          <w:szCs w:val="20"/>
          <w:bdr w:val="none" w:sz="0" w:space="0" w:color="auto"/>
          <w:lang w:val="es-ES"/>
        </w:rPr>
        <w:t xml:space="preserve">y prohíbe explícitamente que los </w:t>
      </w:r>
      <w:r w:rsidR="000F4EF8" w:rsidRPr="00A16D62">
        <w:rPr>
          <w:rFonts w:ascii="Cambria" w:eastAsia="Times New Roman" w:hAnsi="Cambria"/>
          <w:bCs/>
          <w:sz w:val="20"/>
          <w:szCs w:val="20"/>
          <w:bdr w:val="none" w:sz="0" w:space="0" w:color="auto"/>
          <w:lang w:val="es-ES"/>
        </w:rPr>
        <w:t>empleadores</w:t>
      </w:r>
      <w:r w:rsidR="001A394A" w:rsidRPr="00A16D62">
        <w:rPr>
          <w:rFonts w:ascii="Cambria" w:eastAsia="Times New Roman" w:hAnsi="Cambria"/>
          <w:bCs/>
          <w:sz w:val="20"/>
          <w:szCs w:val="20"/>
          <w:bdr w:val="none" w:sz="0" w:space="0" w:color="auto"/>
          <w:lang w:val="es-ES"/>
        </w:rPr>
        <w:t xml:space="preserve"> </w:t>
      </w:r>
      <w:r w:rsidR="005F14BB" w:rsidRPr="00A16D62">
        <w:rPr>
          <w:rFonts w:ascii="Cambria" w:eastAsia="Times New Roman" w:hAnsi="Cambria"/>
          <w:bCs/>
          <w:sz w:val="20"/>
          <w:szCs w:val="20"/>
          <w:bdr w:val="none" w:sz="0" w:space="0" w:color="auto"/>
          <w:lang w:val="es-ES"/>
        </w:rPr>
        <w:t xml:space="preserve">contraten </w:t>
      </w:r>
      <w:r w:rsidR="00C038BF" w:rsidRPr="00A16D62">
        <w:rPr>
          <w:rFonts w:ascii="Cambria" w:eastAsia="Times New Roman" w:hAnsi="Cambria"/>
          <w:bCs/>
          <w:sz w:val="20"/>
          <w:szCs w:val="20"/>
          <w:bdr w:val="none" w:sz="0" w:space="0" w:color="auto"/>
          <w:lang w:val="es-ES"/>
        </w:rPr>
        <w:t>trabajadores indocumentados</w:t>
      </w:r>
      <w:r w:rsidR="005F14BB" w:rsidRPr="00A16D62">
        <w:rPr>
          <w:rFonts w:ascii="Cambria" w:eastAsia="Times New Roman" w:hAnsi="Cambria"/>
          <w:bCs/>
          <w:sz w:val="20"/>
          <w:szCs w:val="20"/>
          <w:bdr w:val="none" w:sz="0" w:space="0" w:color="auto"/>
          <w:lang w:val="es-ES"/>
        </w:rPr>
        <w:t xml:space="preserve"> a sabiendas</w:t>
      </w:r>
      <w:r w:rsidR="001A394A" w:rsidRPr="00A16D62">
        <w:rPr>
          <w:rFonts w:ascii="Cambria" w:eastAsia="Times New Roman" w:hAnsi="Cambria"/>
          <w:bCs/>
          <w:sz w:val="20"/>
          <w:szCs w:val="20"/>
          <w:bdr w:val="none" w:sz="0" w:space="0" w:color="auto"/>
          <w:lang w:val="es-ES"/>
        </w:rPr>
        <w:t>. A</w:t>
      </w:r>
      <w:r w:rsidR="005F14BB" w:rsidRPr="00A16D62">
        <w:rPr>
          <w:rFonts w:ascii="Cambria" w:eastAsia="Times New Roman" w:hAnsi="Cambria"/>
          <w:bCs/>
          <w:sz w:val="20"/>
          <w:szCs w:val="20"/>
          <w:bdr w:val="none" w:sz="0" w:space="0" w:color="auto"/>
          <w:lang w:val="es-ES"/>
        </w:rPr>
        <w:t xml:space="preserve">demás, por primera vez en la historia del país, la </w:t>
      </w:r>
      <w:r w:rsidR="002A7BC2" w:rsidRPr="00A16D62">
        <w:rPr>
          <w:rFonts w:ascii="Cambria" w:eastAsia="Times New Roman" w:hAnsi="Cambria"/>
          <w:bCs/>
          <w:sz w:val="20"/>
          <w:szCs w:val="20"/>
          <w:bdr w:val="none" w:sz="0" w:space="0" w:color="auto" w:frame="1"/>
          <w:lang w:val="es-ES"/>
        </w:rPr>
        <w:t>Ley de Reforma y Control de la Inmigración</w:t>
      </w:r>
      <w:r w:rsidR="001A394A" w:rsidRPr="00A16D62">
        <w:rPr>
          <w:rFonts w:ascii="Cambria" w:eastAsia="Times New Roman" w:hAnsi="Cambria"/>
          <w:bCs/>
          <w:sz w:val="20"/>
          <w:szCs w:val="20"/>
          <w:bdr w:val="none" w:sz="0" w:space="0" w:color="auto"/>
          <w:lang w:val="es-ES"/>
        </w:rPr>
        <w:t xml:space="preserve"> establ</w:t>
      </w:r>
      <w:r w:rsidR="005F14BB" w:rsidRPr="00A16D62">
        <w:rPr>
          <w:rFonts w:ascii="Cambria" w:eastAsia="Times New Roman" w:hAnsi="Cambria"/>
          <w:bCs/>
          <w:sz w:val="20"/>
          <w:szCs w:val="20"/>
          <w:bdr w:val="none" w:sz="0" w:space="0" w:color="auto"/>
          <w:lang w:val="es-ES"/>
        </w:rPr>
        <w:t xml:space="preserve">eció sanciones para los </w:t>
      </w:r>
      <w:r w:rsidR="000F4EF8" w:rsidRPr="00A16D62">
        <w:rPr>
          <w:rFonts w:ascii="Cambria" w:eastAsia="Times New Roman" w:hAnsi="Cambria"/>
          <w:bCs/>
          <w:sz w:val="20"/>
          <w:szCs w:val="20"/>
          <w:bdr w:val="none" w:sz="0" w:space="0" w:color="auto"/>
          <w:lang w:val="es-ES"/>
        </w:rPr>
        <w:t>empleadores</w:t>
      </w:r>
      <w:r w:rsidR="001A394A" w:rsidRPr="00A16D62">
        <w:rPr>
          <w:rFonts w:ascii="Cambria" w:eastAsia="Times New Roman" w:hAnsi="Cambria"/>
          <w:bCs/>
          <w:sz w:val="20"/>
          <w:szCs w:val="20"/>
          <w:bdr w:val="none" w:sz="0" w:space="0" w:color="auto"/>
          <w:lang w:val="es-ES"/>
        </w:rPr>
        <w:t xml:space="preserve"> </w:t>
      </w:r>
      <w:r w:rsidR="005F14BB" w:rsidRPr="00A16D62">
        <w:rPr>
          <w:rFonts w:ascii="Cambria" w:eastAsia="Times New Roman" w:hAnsi="Cambria"/>
          <w:bCs/>
          <w:sz w:val="20"/>
          <w:szCs w:val="20"/>
          <w:bdr w:val="none" w:sz="0" w:space="0" w:color="auto"/>
          <w:lang w:val="es-ES"/>
        </w:rPr>
        <w:t xml:space="preserve">estadounidenses que contraten </w:t>
      </w:r>
      <w:r w:rsidR="00C038BF" w:rsidRPr="00A16D62">
        <w:rPr>
          <w:rFonts w:ascii="Cambria" w:eastAsia="Times New Roman" w:hAnsi="Cambria"/>
          <w:bCs/>
          <w:sz w:val="20"/>
          <w:szCs w:val="20"/>
          <w:bdr w:val="none" w:sz="0" w:space="0" w:color="auto"/>
          <w:lang w:val="es-ES"/>
        </w:rPr>
        <w:t>trabajadores indocumentados</w:t>
      </w:r>
      <w:r w:rsidR="005F14BB" w:rsidRPr="00A16D62">
        <w:rPr>
          <w:rFonts w:ascii="Cambria" w:eastAsia="Times New Roman" w:hAnsi="Cambria"/>
          <w:bCs/>
          <w:sz w:val="20"/>
          <w:szCs w:val="20"/>
          <w:bdr w:val="none" w:sz="0" w:space="0" w:color="auto"/>
          <w:lang w:val="es-ES"/>
        </w:rPr>
        <w:t xml:space="preserve"> a sabiendas</w:t>
      </w:r>
      <w:r w:rsidR="001A394A" w:rsidRPr="00A16D62">
        <w:rPr>
          <w:rStyle w:val="FootnoteReference"/>
          <w:rFonts w:ascii="Cambria" w:eastAsia="Times New Roman" w:hAnsi="Cambria"/>
          <w:bCs/>
          <w:sz w:val="20"/>
          <w:szCs w:val="20"/>
          <w:bdr w:val="none" w:sz="0" w:space="0" w:color="auto"/>
          <w:lang w:val="es-ES"/>
        </w:rPr>
        <w:footnoteReference w:id="73"/>
      </w:r>
      <w:r w:rsidR="005F14BB" w:rsidRPr="00A16D62">
        <w:rPr>
          <w:rFonts w:ascii="Cambria" w:eastAsia="Times New Roman" w:hAnsi="Cambria"/>
          <w:bCs/>
          <w:sz w:val="20"/>
          <w:szCs w:val="20"/>
          <w:bdr w:val="none" w:sz="0" w:space="0" w:color="auto"/>
          <w:lang w:val="es-ES"/>
        </w:rPr>
        <w:t xml:space="preserve">. De conformidad con esta ley, los </w:t>
      </w:r>
      <w:r w:rsidR="000F4EF8" w:rsidRPr="00A16D62">
        <w:rPr>
          <w:rFonts w:ascii="Cambria" w:eastAsia="Times New Roman" w:hAnsi="Cambria"/>
          <w:bCs/>
          <w:sz w:val="20"/>
          <w:szCs w:val="20"/>
          <w:bdr w:val="none" w:sz="0" w:space="0" w:color="auto"/>
          <w:lang w:val="es-ES"/>
        </w:rPr>
        <w:t>empleadores</w:t>
      </w:r>
      <w:r w:rsidR="001A394A" w:rsidRPr="00A16D62">
        <w:rPr>
          <w:rFonts w:ascii="Cambria" w:eastAsia="Times New Roman" w:hAnsi="Cambria"/>
          <w:bCs/>
          <w:sz w:val="20"/>
          <w:szCs w:val="20"/>
          <w:bdr w:val="none" w:sz="0" w:space="0" w:color="auto"/>
          <w:lang w:val="es-ES"/>
        </w:rPr>
        <w:t xml:space="preserve"> </w:t>
      </w:r>
      <w:r w:rsidR="005F14BB" w:rsidRPr="00A16D62">
        <w:rPr>
          <w:rFonts w:ascii="Cambria" w:eastAsia="Times New Roman" w:hAnsi="Cambria"/>
          <w:bCs/>
          <w:sz w:val="20"/>
          <w:szCs w:val="20"/>
          <w:bdr w:val="none" w:sz="0" w:space="0" w:color="auto"/>
          <w:lang w:val="es-ES"/>
        </w:rPr>
        <w:t xml:space="preserve">deben verificar la </w:t>
      </w:r>
      <w:r w:rsidR="00B82822" w:rsidRPr="00A16D62">
        <w:rPr>
          <w:rFonts w:ascii="Cambria" w:eastAsia="Times New Roman" w:hAnsi="Cambria"/>
          <w:bCs/>
          <w:sz w:val="20"/>
          <w:szCs w:val="20"/>
          <w:bdr w:val="none" w:sz="0" w:space="0" w:color="auto"/>
          <w:lang w:val="es-ES"/>
        </w:rPr>
        <w:t xml:space="preserve">autorización </w:t>
      </w:r>
      <w:r w:rsidR="005F14BB" w:rsidRPr="00A16D62">
        <w:rPr>
          <w:rFonts w:ascii="Cambria" w:eastAsia="Times New Roman" w:hAnsi="Cambria"/>
          <w:bCs/>
          <w:sz w:val="20"/>
          <w:szCs w:val="20"/>
          <w:bdr w:val="none" w:sz="0" w:space="0" w:color="auto"/>
          <w:lang w:val="es-ES"/>
        </w:rPr>
        <w:t xml:space="preserve">de los posibles empleados </w:t>
      </w:r>
      <w:r w:rsidR="00B82822" w:rsidRPr="00A16D62">
        <w:rPr>
          <w:rFonts w:ascii="Cambria" w:eastAsia="Times New Roman" w:hAnsi="Cambria"/>
          <w:bCs/>
          <w:sz w:val="20"/>
          <w:szCs w:val="20"/>
          <w:bdr w:val="none" w:sz="0" w:space="0" w:color="auto"/>
          <w:lang w:val="es-ES"/>
        </w:rPr>
        <w:t>para trabajar</w:t>
      </w:r>
      <w:r w:rsidR="001A394A" w:rsidRPr="00A16D62">
        <w:rPr>
          <w:rFonts w:ascii="Cambria" w:eastAsia="Times New Roman" w:hAnsi="Cambria"/>
          <w:bCs/>
          <w:sz w:val="20"/>
          <w:szCs w:val="20"/>
          <w:bdr w:val="none" w:sz="0" w:space="0" w:color="auto"/>
          <w:lang w:val="es-ES"/>
        </w:rPr>
        <w:t xml:space="preserve">. </w:t>
      </w:r>
      <w:r w:rsidR="005F14BB" w:rsidRPr="00A16D62">
        <w:rPr>
          <w:rFonts w:ascii="Cambria" w:eastAsia="Times New Roman" w:hAnsi="Cambria"/>
          <w:bCs/>
          <w:sz w:val="20"/>
          <w:szCs w:val="20"/>
          <w:bdr w:val="none" w:sz="0" w:space="0" w:color="auto"/>
          <w:lang w:val="es-ES"/>
        </w:rPr>
        <w:t xml:space="preserve">Este proceso de revisión, en vigor a partir del </w:t>
      </w:r>
      <w:r w:rsidR="001A394A" w:rsidRPr="00A16D62">
        <w:rPr>
          <w:rFonts w:ascii="Cambria" w:eastAsia="Times New Roman" w:hAnsi="Cambria"/>
          <w:bCs/>
          <w:sz w:val="20"/>
          <w:szCs w:val="20"/>
          <w:bdr w:val="none" w:sz="0" w:space="0" w:color="auto"/>
          <w:lang w:val="es-ES"/>
        </w:rPr>
        <w:t>6</w:t>
      </w:r>
      <w:r w:rsidR="005F14BB" w:rsidRPr="00A16D62">
        <w:rPr>
          <w:rFonts w:ascii="Cambria" w:eastAsia="Times New Roman" w:hAnsi="Cambria"/>
          <w:bCs/>
          <w:sz w:val="20"/>
          <w:szCs w:val="20"/>
          <w:bdr w:val="none" w:sz="0" w:space="0" w:color="auto"/>
          <w:lang w:val="es-ES"/>
        </w:rPr>
        <w:t xml:space="preserve"> de noviembre de</w:t>
      </w:r>
      <w:r w:rsidR="001A394A" w:rsidRPr="00A16D62">
        <w:rPr>
          <w:rFonts w:ascii="Cambria" w:eastAsia="Times New Roman" w:hAnsi="Cambria"/>
          <w:bCs/>
          <w:sz w:val="20"/>
          <w:szCs w:val="20"/>
          <w:bdr w:val="none" w:sz="0" w:space="0" w:color="auto"/>
          <w:lang w:val="es-ES"/>
        </w:rPr>
        <w:t xml:space="preserve"> 1986, consist</w:t>
      </w:r>
      <w:r w:rsidR="005F14BB" w:rsidRPr="00A16D62">
        <w:rPr>
          <w:rFonts w:ascii="Cambria" w:eastAsia="Times New Roman" w:hAnsi="Cambria"/>
          <w:bCs/>
          <w:sz w:val="20"/>
          <w:szCs w:val="20"/>
          <w:bdr w:val="none" w:sz="0" w:space="0" w:color="auto"/>
          <w:lang w:val="es-ES"/>
        </w:rPr>
        <w:t xml:space="preserve">e en exigir que todos los </w:t>
      </w:r>
      <w:r w:rsidR="000F4EF8" w:rsidRPr="00A16D62">
        <w:rPr>
          <w:rFonts w:ascii="Cambria" w:eastAsia="Times New Roman" w:hAnsi="Cambria"/>
          <w:bCs/>
          <w:sz w:val="20"/>
          <w:szCs w:val="20"/>
          <w:bdr w:val="none" w:sz="0" w:space="0" w:color="auto"/>
          <w:lang w:val="es-ES"/>
        </w:rPr>
        <w:t>empleadores</w:t>
      </w:r>
      <w:r w:rsidR="001A394A" w:rsidRPr="00A16D62">
        <w:rPr>
          <w:rFonts w:ascii="Cambria" w:eastAsia="Times New Roman" w:hAnsi="Cambria"/>
          <w:bCs/>
          <w:sz w:val="20"/>
          <w:szCs w:val="20"/>
          <w:bdr w:val="none" w:sz="0" w:space="0" w:color="auto"/>
          <w:lang w:val="es-ES"/>
        </w:rPr>
        <w:t xml:space="preserve"> </w:t>
      </w:r>
      <w:r w:rsidR="005F14BB" w:rsidRPr="00A16D62">
        <w:rPr>
          <w:rFonts w:ascii="Cambria" w:eastAsia="Times New Roman" w:hAnsi="Cambria"/>
          <w:bCs/>
          <w:sz w:val="20"/>
          <w:szCs w:val="20"/>
          <w:bdr w:val="none" w:sz="0" w:space="0" w:color="auto"/>
          <w:lang w:val="es-ES"/>
        </w:rPr>
        <w:t xml:space="preserve">llenen un formulario </w:t>
      </w:r>
      <w:r w:rsidR="001A394A" w:rsidRPr="00A16D62">
        <w:rPr>
          <w:rFonts w:ascii="Cambria" w:eastAsia="Times New Roman" w:hAnsi="Cambria"/>
          <w:bCs/>
          <w:sz w:val="20"/>
          <w:szCs w:val="20"/>
          <w:bdr w:val="none" w:sz="0" w:space="0" w:color="auto"/>
          <w:lang w:val="es-ES"/>
        </w:rPr>
        <w:t>(</w:t>
      </w:r>
      <w:r w:rsidR="005F14BB" w:rsidRPr="00A16D62">
        <w:rPr>
          <w:rFonts w:ascii="Cambria" w:eastAsia="Times New Roman" w:hAnsi="Cambria"/>
          <w:bCs/>
          <w:sz w:val="20"/>
          <w:szCs w:val="20"/>
          <w:bdr w:val="none" w:sz="0" w:space="0" w:color="auto"/>
          <w:lang w:val="es-ES"/>
        </w:rPr>
        <w:t xml:space="preserve">conocido como el </w:t>
      </w:r>
      <w:r w:rsidR="001A394A" w:rsidRPr="00A16D62">
        <w:rPr>
          <w:rFonts w:ascii="Cambria" w:eastAsia="Times New Roman" w:hAnsi="Cambria"/>
          <w:bCs/>
          <w:sz w:val="20"/>
          <w:szCs w:val="20"/>
          <w:bdr w:val="none" w:sz="0" w:space="0" w:color="auto"/>
          <w:lang w:val="es-ES"/>
        </w:rPr>
        <w:t xml:space="preserve">“I-9”) </w:t>
      </w:r>
      <w:r w:rsidR="005F14BB" w:rsidRPr="00A16D62">
        <w:rPr>
          <w:rFonts w:ascii="Cambria" w:eastAsia="Times New Roman" w:hAnsi="Cambria"/>
          <w:bCs/>
          <w:sz w:val="20"/>
          <w:szCs w:val="20"/>
          <w:bdr w:val="none" w:sz="0" w:space="0" w:color="auto"/>
          <w:lang w:val="es-ES"/>
        </w:rPr>
        <w:t xml:space="preserve">cada vez que contratan a una persona para </w:t>
      </w:r>
      <w:r w:rsidR="005F14BB" w:rsidRPr="00A16D62">
        <w:rPr>
          <w:rFonts w:ascii="Cambria" w:eastAsia="Times New Roman" w:hAnsi="Cambria"/>
          <w:bCs/>
          <w:sz w:val="20"/>
          <w:szCs w:val="20"/>
          <w:bdr w:val="none" w:sz="0" w:space="0" w:color="auto"/>
          <w:lang w:val="es-ES"/>
        </w:rPr>
        <w:lastRenderedPageBreak/>
        <w:t xml:space="preserve">trabajar en </w:t>
      </w:r>
      <w:r w:rsidR="007E4498" w:rsidRPr="00A16D62">
        <w:rPr>
          <w:rFonts w:ascii="Cambria" w:eastAsia="Times New Roman" w:hAnsi="Cambria"/>
          <w:bCs/>
          <w:sz w:val="20"/>
          <w:szCs w:val="20"/>
          <w:bdr w:val="none" w:sz="0" w:space="0" w:color="auto"/>
          <w:lang w:val="es-ES"/>
        </w:rPr>
        <w:t>Estados Unidos</w:t>
      </w:r>
      <w:r w:rsidR="001A394A" w:rsidRPr="00A16D62">
        <w:rPr>
          <w:rStyle w:val="FootnoteReference"/>
          <w:rFonts w:ascii="Cambria" w:eastAsia="Times New Roman" w:hAnsi="Cambria"/>
          <w:bCs/>
          <w:sz w:val="20"/>
          <w:szCs w:val="20"/>
          <w:bdr w:val="none" w:sz="0" w:space="0" w:color="auto"/>
          <w:lang w:val="es-ES"/>
        </w:rPr>
        <w:footnoteReference w:id="74"/>
      </w:r>
      <w:r w:rsidR="005F14BB" w:rsidRPr="00A16D62">
        <w:rPr>
          <w:rFonts w:ascii="Cambria" w:eastAsia="Times New Roman" w:hAnsi="Cambria"/>
          <w:bCs/>
          <w:sz w:val="20"/>
          <w:szCs w:val="20"/>
          <w:bdr w:val="none" w:sz="0" w:space="0" w:color="auto"/>
          <w:lang w:val="es-ES"/>
        </w:rPr>
        <w:t xml:space="preserve">. Para llenar el formulario </w:t>
      </w:r>
      <w:r w:rsidR="001A394A" w:rsidRPr="00A16D62">
        <w:rPr>
          <w:rFonts w:ascii="Cambria" w:eastAsia="Times New Roman" w:hAnsi="Cambria"/>
          <w:bCs/>
          <w:sz w:val="20"/>
          <w:szCs w:val="20"/>
          <w:bdr w:val="none" w:sz="0" w:space="0" w:color="auto"/>
          <w:lang w:val="es-ES"/>
        </w:rPr>
        <w:t xml:space="preserve">I-9, </w:t>
      </w:r>
      <w:r w:rsidR="005F14BB" w:rsidRPr="00A16D62">
        <w:rPr>
          <w:rFonts w:ascii="Cambria" w:eastAsia="Times New Roman" w:hAnsi="Cambria"/>
          <w:bCs/>
          <w:sz w:val="20"/>
          <w:szCs w:val="20"/>
          <w:bdr w:val="none" w:sz="0" w:space="0" w:color="auto"/>
          <w:lang w:val="es-ES"/>
        </w:rPr>
        <w:t xml:space="preserve">los posibles </w:t>
      </w:r>
      <w:r w:rsidR="007B4310" w:rsidRPr="00A16D62">
        <w:rPr>
          <w:rFonts w:ascii="Cambria" w:eastAsia="Times New Roman" w:hAnsi="Cambria"/>
          <w:bCs/>
          <w:sz w:val="20"/>
          <w:szCs w:val="20"/>
          <w:bdr w:val="none" w:sz="0" w:space="0" w:color="auto"/>
          <w:lang w:val="es-ES"/>
        </w:rPr>
        <w:t>empleados</w:t>
      </w:r>
      <w:r w:rsidR="001A394A" w:rsidRPr="00A16D62">
        <w:rPr>
          <w:rFonts w:ascii="Cambria" w:eastAsia="Times New Roman" w:hAnsi="Cambria"/>
          <w:bCs/>
          <w:sz w:val="20"/>
          <w:szCs w:val="20"/>
          <w:bdr w:val="none" w:sz="0" w:space="0" w:color="auto"/>
          <w:lang w:val="es-ES"/>
        </w:rPr>
        <w:t xml:space="preserve"> </w:t>
      </w:r>
      <w:r w:rsidR="005F14BB" w:rsidRPr="00A16D62">
        <w:rPr>
          <w:rFonts w:ascii="Cambria" w:eastAsia="Times New Roman" w:hAnsi="Cambria"/>
          <w:bCs/>
          <w:sz w:val="20"/>
          <w:szCs w:val="20"/>
          <w:bdr w:val="none" w:sz="0" w:space="0" w:color="auto"/>
          <w:lang w:val="es-ES"/>
        </w:rPr>
        <w:t xml:space="preserve">tienen que presentar dos documentos de identidad al </w:t>
      </w:r>
      <w:r w:rsidR="007F4530" w:rsidRPr="00A16D62">
        <w:rPr>
          <w:rFonts w:ascii="Cambria" w:eastAsia="Times New Roman" w:hAnsi="Cambria"/>
          <w:bCs/>
          <w:sz w:val="20"/>
          <w:szCs w:val="20"/>
          <w:bdr w:val="none" w:sz="0" w:space="0" w:color="auto"/>
          <w:lang w:val="es-ES"/>
        </w:rPr>
        <w:t>empleador</w:t>
      </w:r>
      <w:r w:rsidR="001A394A" w:rsidRPr="00A16D62">
        <w:rPr>
          <w:rFonts w:ascii="Cambria" w:eastAsia="Times New Roman" w:hAnsi="Cambria"/>
          <w:bCs/>
          <w:sz w:val="20"/>
          <w:szCs w:val="20"/>
          <w:bdr w:val="none" w:sz="0" w:space="0" w:color="auto"/>
          <w:lang w:val="es-ES"/>
        </w:rPr>
        <w:t xml:space="preserve">. </w:t>
      </w:r>
    </w:p>
    <w:p w:rsidR="001A394A" w:rsidRPr="00A16D62" w:rsidRDefault="001A394A" w:rsidP="001A394A">
      <w:pPr>
        <w:pStyle w:val="ListParagraph"/>
        <w:rPr>
          <w:rFonts w:eastAsia="Times New Roman"/>
          <w:bCs/>
          <w:sz w:val="20"/>
          <w:szCs w:val="20"/>
          <w:bdr w:val="none" w:sz="0" w:space="0" w:color="auto"/>
          <w:lang w:val="es-ES"/>
        </w:rPr>
      </w:pPr>
    </w:p>
    <w:p w:rsidR="001A394A" w:rsidRPr="00A16D62" w:rsidRDefault="00A47FF8" w:rsidP="001A394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FF0000"/>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La norma de revisión que los </w:t>
      </w:r>
      <w:r w:rsidR="000F4EF8" w:rsidRPr="00A16D62">
        <w:rPr>
          <w:rFonts w:ascii="Cambria" w:eastAsia="Times New Roman" w:hAnsi="Cambria"/>
          <w:bCs/>
          <w:sz w:val="20"/>
          <w:szCs w:val="20"/>
          <w:bdr w:val="none" w:sz="0" w:space="0" w:color="auto"/>
          <w:lang w:val="es-ES"/>
        </w:rPr>
        <w:t>empleadores</w:t>
      </w:r>
      <w:r w:rsidR="001A394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deben aplicar al examinar los documentos presentados por un posible </w:t>
      </w:r>
      <w:r w:rsidR="009171FF" w:rsidRPr="00A16D62">
        <w:rPr>
          <w:rFonts w:ascii="Cambria" w:eastAsia="Times New Roman" w:hAnsi="Cambria"/>
          <w:bCs/>
          <w:sz w:val="20"/>
          <w:szCs w:val="20"/>
          <w:bdr w:val="none" w:sz="0" w:space="0" w:color="auto"/>
          <w:lang w:val="es-ES"/>
        </w:rPr>
        <w:t>empleado</w:t>
      </w:r>
      <w:r w:rsidR="001A394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es si </w:t>
      </w:r>
      <w:r w:rsidR="00021D3E" w:rsidRPr="00A16D62">
        <w:rPr>
          <w:rFonts w:ascii="Cambria" w:eastAsia="Times New Roman" w:hAnsi="Cambria"/>
          <w:bCs/>
          <w:sz w:val="20"/>
          <w:szCs w:val="20"/>
          <w:bdr w:val="none" w:sz="0" w:space="0" w:color="auto"/>
          <w:lang w:val="es-ES"/>
        </w:rPr>
        <w:t xml:space="preserve">el documento </w:t>
      </w:r>
      <w:r w:rsidR="001A394A" w:rsidRPr="00A16D62">
        <w:rPr>
          <w:rFonts w:ascii="Cambria" w:eastAsia="Times New Roman" w:hAnsi="Cambria"/>
          <w:bCs/>
          <w:sz w:val="20"/>
          <w:szCs w:val="20"/>
          <w:bdr w:val="none" w:sz="0" w:space="0" w:color="auto"/>
          <w:lang w:val="es-ES"/>
        </w:rPr>
        <w:t>“</w:t>
      </w:r>
      <w:r w:rsidR="00021D3E" w:rsidRPr="00A16D62">
        <w:rPr>
          <w:rFonts w:ascii="Cambria" w:eastAsia="Times New Roman" w:hAnsi="Cambria"/>
          <w:bCs/>
          <w:sz w:val="20"/>
          <w:szCs w:val="20"/>
          <w:bdr w:val="none" w:sz="0" w:space="0" w:color="auto"/>
          <w:lang w:val="es-ES"/>
        </w:rPr>
        <w:t>parece</w:t>
      </w:r>
      <w:r w:rsidR="00CC3419">
        <w:rPr>
          <w:rFonts w:ascii="Cambria" w:eastAsia="Times New Roman" w:hAnsi="Cambria"/>
          <w:bCs/>
          <w:sz w:val="20"/>
          <w:szCs w:val="20"/>
          <w:bdr w:val="none" w:sz="0" w:space="0" w:color="auto"/>
          <w:lang w:val="es-ES"/>
        </w:rPr>
        <w:t xml:space="preserve"> </w:t>
      </w:r>
      <w:r w:rsidR="00021D3E" w:rsidRPr="00A16D62">
        <w:rPr>
          <w:rFonts w:ascii="Cambria" w:eastAsia="Times New Roman" w:hAnsi="Cambria"/>
          <w:bCs/>
          <w:sz w:val="20"/>
          <w:szCs w:val="20"/>
          <w:bdr w:val="none" w:sz="0" w:space="0" w:color="auto"/>
          <w:lang w:val="es-ES"/>
        </w:rPr>
        <w:t>ser auténtico dentro de lo razonable</w:t>
      </w:r>
      <w:r w:rsidR="001A394A" w:rsidRPr="00A16D62">
        <w:rPr>
          <w:rFonts w:ascii="Cambria" w:eastAsia="Times New Roman" w:hAnsi="Cambria"/>
          <w:bCs/>
          <w:sz w:val="20"/>
          <w:szCs w:val="20"/>
          <w:bdr w:val="none" w:sz="0" w:space="0" w:color="auto"/>
          <w:lang w:val="es-ES"/>
        </w:rPr>
        <w:t>”</w:t>
      </w:r>
      <w:r w:rsidR="001A394A" w:rsidRPr="00A16D62">
        <w:rPr>
          <w:rStyle w:val="FootnoteReference"/>
          <w:rFonts w:ascii="Cambria" w:eastAsia="Times New Roman" w:hAnsi="Cambria"/>
          <w:bCs/>
          <w:sz w:val="20"/>
          <w:szCs w:val="20"/>
          <w:bdr w:val="none" w:sz="0" w:space="0" w:color="auto"/>
          <w:lang w:val="es-ES"/>
        </w:rPr>
        <w:footnoteReference w:id="75"/>
      </w:r>
      <w:r w:rsidR="00021D3E" w:rsidRPr="00A16D62">
        <w:rPr>
          <w:rFonts w:ascii="Cambria" w:eastAsia="Times New Roman" w:hAnsi="Cambria"/>
          <w:bCs/>
          <w:sz w:val="20"/>
          <w:szCs w:val="20"/>
          <w:bdr w:val="none" w:sz="0" w:space="0" w:color="auto"/>
          <w:lang w:val="es-ES"/>
        </w:rPr>
        <w:t>.</w:t>
      </w:r>
      <w:r w:rsidR="001A394A" w:rsidRPr="00A16D62">
        <w:rPr>
          <w:rFonts w:ascii="Cambria" w:eastAsia="Times New Roman" w:hAnsi="Cambria"/>
          <w:bCs/>
          <w:sz w:val="20"/>
          <w:szCs w:val="20"/>
          <w:bdr w:val="none" w:sz="0" w:space="0" w:color="auto"/>
          <w:lang w:val="es-ES"/>
        </w:rPr>
        <w:t xml:space="preserve"> </w:t>
      </w:r>
      <w:r w:rsidR="00021D3E" w:rsidRPr="00A16D62">
        <w:rPr>
          <w:rFonts w:ascii="Cambria" w:eastAsia="Times New Roman" w:hAnsi="Cambria"/>
          <w:bCs/>
          <w:sz w:val="20"/>
          <w:szCs w:val="20"/>
          <w:bdr w:val="none" w:sz="0" w:space="0" w:color="auto"/>
          <w:lang w:val="es-ES"/>
        </w:rPr>
        <w:t xml:space="preserve">Como ya se dijo, en caso de incumplimiento de estos requisitos pueden aplicarse multas y otras sanciones. Incumbe al </w:t>
      </w:r>
      <w:r w:rsidR="00180125" w:rsidRPr="00A16D62">
        <w:rPr>
          <w:rFonts w:ascii="Cambria" w:eastAsia="Times New Roman" w:hAnsi="Cambria"/>
          <w:bCs/>
          <w:sz w:val="20"/>
          <w:szCs w:val="20"/>
          <w:bdr w:val="none" w:sz="0" w:space="0" w:color="auto"/>
          <w:lang w:val="es-ES"/>
        </w:rPr>
        <w:t>Estado</w:t>
      </w:r>
      <w:r w:rsidR="00021D3E" w:rsidRPr="00A16D62">
        <w:rPr>
          <w:rFonts w:ascii="Cambria" w:eastAsia="Times New Roman" w:hAnsi="Cambria"/>
          <w:bCs/>
          <w:sz w:val="20"/>
          <w:szCs w:val="20"/>
          <w:bdr w:val="none" w:sz="0" w:space="0" w:color="auto"/>
          <w:lang w:val="es-ES"/>
        </w:rPr>
        <w:t xml:space="preserve"> cerciorarse de que los </w:t>
      </w:r>
      <w:r w:rsidR="000F4EF8" w:rsidRPr="00A16D62">
        <w:rPr>
          <w:rFonts w:ascii="Cambria" w:eastAsia="Times New Roman" w:hAnsi="Cambria"/>
          <w:bCs/>
          <w:sz w:val="20"/>
          <w:szCs w:val="20"/>
          <w:bdr w:val="none" w:sz="0" w:space="0" w:color="auto"/>
          <w:lang w:val="es-ES"/>
        </w:rPr>
        <w:t>empleadores</w:t>
      </w:r>
      <w:r w:rsidR="001A394A" w:rsidRPr="00A16D62">
        <w:rPr>
          <w:rFonts w:ascii="Cambria" w:eastAsia="Times New Roman" w:hAnsi="Cambria"/>
          <w:bCs/>
          <w:sz w:val="20"/>
          <w:szCs w:val="20"/>
          <w:bdr w:val="none" w:sz="0" w:space="0" w:color="auto"/>
          <w:lang w:val="es-ES"/>
        </w:rPr>
        <w:t xml:space="preserve"> </w:t>
      </w:r>
      <w:r w:rsidR="00021D3E" w:rsidRPr="00A16D62">
        <w:rPr>
          <w:rFonts w:ascii="Cambria" w:eastAsia="Times New Roman" w:hAnsi="Cambria"/>
          <w:bCs/>
          <w:sz w:val="20"/>
          <w:szCs w:val="20"/>
          <w:bdr w:val="none" w:sz="0" w:space="0" w:color="auto"/>
          <w:lang w:val="es-ES"/>
        </w:rPr>
        <w:t xml:space="preserve">en todos los estados de Estados Unidos cumplan los requisitos establecidos en la </w:t>
      </w:r>
      <w:r w:rsidR="006C5B6C" w:rsidRPr="00A16D62">
        <w:rPr>
          <w:rFonts w:ascii="Cambria" w:eastAsia="Times New Roman" w:hAnsi="Cambria"/>
          <w:bCs/>
          <w:sz w:val="20"/>
          <w:szCs w:val="20"/>
          <w:bdr w:val="none" w:sz="0" w:space="0" w:color="auto"/>
          <w:lang w:val="es-ES"/>
        </w:rPr>
        <w:t>Ley de Reforma y Control de la Inmigración</w:t>
      </w:r>
      <w:r w:rsidR="001A394A" w:rsidRPr="00A16D62">
        <w:rPr>
          <w:rFonts w:ascii="Cambria" w:eastAsia="Times New Roman" w:hAnsi="Cambria"/>
          <w:bCs/>
          <w:sz w:val="20"/>
          <w:szCs w:val="20"/>
          <w:bdr w:val="none" w:sz="0" w:space="0" w:color="auto"/>
          <w:lang w:val="es-ES"/>
        </w:rPr>
        <w:t xml:space="preserve"> </w:t>
      </w:r>
      <w:r w:rsidR="00021D3E" w:rsidRPr="00A16D62">
        <w:rPr>
          <w:rFonts w:ascii="Cambria" w:eastAsia="Times New Roman" w:hAnsi="Cambria"/>
          <w:bCs/>
          <w:sz w:val="20"/>
          <w:szCs w:val="20"/>
          <w:bdr w:val="none" w:sz="0" w:space="0" w:color="auto"/>
          <w:lang w:val="es-ES"/>
        </w:rPr>
        <w:t xml:space="preserve">y sancionar a aquellos que no los cumplan. Este sistema ya existía cuando los </w:t>
      </w:r>
      <w:r w:rsidR="007F4530" w:rsidRPr="00A16D62">
        <w:rPr>
          <w:rFonts w:ascii="Cambria" w:eastAsia="Times New Roman" w:hAnsi="Cambria"/>
          <w:bCs/>
          <w:sz w:val="20"/>
          <w:szCs w:val="20"/>
          <w:bdr w:val="none" w:sz="0" w:space="0" w:color="auto"/>
          <w:lang w:val="es-ES"/>
        </w:rPr>
        <w:t>señor</w:t>
      </w:r>
      <w:r w:rsidR="00021D3E" w:rsidRPr="00A16D62">
        <w:rPr>
          <w:rFonts w:ascii="Cambria" w:eastAsia="Times New Roman" w:hAnsi="Cambria"/>
          <w:bCs/>
          <w:sz w:val="20"/>
          <w:szCs w:val="20"/>
          <w:bdr w:val="none" w:sz="0" w:space="0" w:color="auto"/>
          <w:lang w:val="es-ES"/>
        </w:rPr>
        <w:t>es</w:t>
      </w:r>
      <w:r w:rsidR="001A394A" w:rsidRPr="00A16D62">
        <w:rPr>
          <w:rFonts w:ascii="Cambria" w:eastAsia="Times New Roman" w:hAnsi="Cambria"/>
          <w:bCs/>
          <w:sz w:val="20"/>
          <w:szCs w:val="20"/>
          <w:bdr w:val="none" w:sz="0" w:space="0" w:color="auto"/>
          <w:lang w:val="es-ES"/>
        </w:rPr>
        <w:t xml:space="preserve"> Zumaya </w:t>
      </w:r>
      <w:r w:rsidR="00021D3E" w:rsidRPr="00A16D62">
        <w:rPr>
          <w:rFonts w:ascii="Cambria" w:eastAsia="Times New Roman" w:hAnsi="Cambria"/>
          <w:bCs/>
          <w:sz w:val="20"/>
          <w:szCs w:val="20"/>
          <w:bdr w:val="none" w:sz="0" w:space="0" w:color="auto"/>
          <w:lang w:val="es-ES"/>
        </w:rPr>
        <w:t xml:space="preserve">y </w:t>
      </w:r>
      <w:r w:rsidR="001A394A" w:rsidRPr="00A16D62">
        <w:rPr>
          <w:rFonts w:ascii="Cambria" w:eastAsia="Times New Roman" w:hAnsi="Cambria"/>
          <w:bCs/>
          <w:sz w:val="20"/>
          <w:szCs w:val="20"/>
          <w:bdr w:val="none" w:sz="0" w:space="0" w:color="auto"/>
          <w:lang w:val="es-ES"/>
        </w:rPr>
        <w:t>Lizalde</w:t>
      </w:r>
      <w:r w:rsidR="00021D3E" w:rsidRPr="00A16D62">
        <w:rPr>
          <w:rFonts w:ascii="Cambria" w:eastAsia="Times New Roman" w:hAnsi="Cambria"/>
          <w:bCs/>
          <w:sz w:val="20"/>
          <w:szCs w:val="20"/>
          <w:bdr w:val="none" w:sz="0" w:space="0" w:color="auto"/>
          <w:lang w:val="es-ES"/>
        </w:rPr>
        <w:t xml:space="preserve"> fueron contratados.</w:t>
      </w:r>
    </w:p>
    <w:p w:rsidR="00B5774C" w:rsidRPr="00A16D62" w:rsidRDefault="00B5774C" w:rsidP="00E862CA">
      <w:pPr>
        <w:rPr>
          <w:rFonts w:eastAsia="Times New Roman"/>
          <w:bCs/>
          <w:sz w:val="20"/>
          <w:szCs w:val="20"/>
          <w:bdr w:val="none" w:sz="0" w:space="0" w:color="auto"/>
          <w:lang w:val="es-ES"/>
        </w:rPr>
      </w:pPr>
    </w:p>
    <w:p w:rsidR="00E862CA" w:rsidRPr="00A16D62" w:rsidRDefault="008B5B53" w:rsidP="00A76BB1">
      <w:pPr>
        <w:pStyle w:val="Heading1"/>
        <w:ind w:left="1440" w:hanging="720"/>
        <w:rPr>
          <w:lang w:val="es-ES"/>
        </w:rPr>
      </w:pPr>
      <w:bookmarkStart w:id="22" w:name="_Toc467138447"/>
      <w:r w:rsidRPr="00A16D62">
        <w:rPr>
          <w:lang w:val="es-ES"/>
        </w:rPr>
        <w:t xml:space="preserve">V. </w:t>
      </w:r>
      <w:r w:rsidRPr="00A16D62">
        <w:rPr>
          <w:lang w:val="es-ES"/>
        </w:rPr>
        <w:tab/>
      </w:r>
      <w:bookmarkStart w:id="23" w:name="_Toc398538313"/>
      <w:bookmarkStart w:id="24" w:name="_Toc401405597"/>
      <w:bookmarkStart w:id="25" w:name="_Toc433904575"/>
      <w:r w:rsidR="009A5408" w:rsidRPr="00A16D62">
        <w:rPr>
          <w:lang w:val="es-ES"/>
        </w:rPr>
        <w:t>AN</w:t>
      </w:r>
      <w:r w:rsidR="002A7BC2" w:rsidRPr="00A16D62">
        <w:rPr>
          <w:lang w:val="es-ES"/>
        </w:rPr>
        <w:t>Á</w:t>
      </w:r>
      <w:r w:rsidR="009A5408" w:rsidRPr="00A16D62">
        <w:rPr>
          <w:lang w:val="es-ES"/>
        </w:rPr>
        <w:t>LISIS JURÍDICO</w:t>
      </w:r>
      <w:bookmarkEnd w:id="22"/>
      <w:bookmarkEnd w:id="23"/>
      <w:bookmarkEnd w:id="24"/>
      <w:bookmarkEnd w:id="25"/>
    </w:p>
    <w:p w:rsidR="00FE03A1" w:rsidRPr="00A16D62" w:rsidRDefault="00FE03A1" w:rsidP="00FE03A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FE03A1" w:rsidRPr="00A16D62" w:rsidRDefault="00B87D1B" w:rsidP="00FE03A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Theme="majorHAnsi" w:eastAsia="Calibri" w:hAnsiTheme="majorHAnsi"/>
          <w:sz w:val="20"/>
          <w:szCs w:val="22"/>
          <w:bdr w:val="none" w:sz="0" w:space="0" w:color="auto"/>
          <w:lang w:val="es-ES"/>
        </w:rPr>
        <w:t xml:space="preserve">Al abordar las denuncias hechas por </w:t>
      </w:r>
      <w:r w:rsidR="00180125" w:rsidRPr="00A16D62">
        <w:rPr>
          <w:rFonts w:asciiTheme="majorHAnsi" w:eastAsia="Calibri" w:hAnsiTheme="majorHAnsi"/>
          <w:sz w:val="20"/>
          <w:szCs w:val="22"/>
          <w:bdr w:val="none" w:sz="0" w:space="0" w:color="auto"/>
          <w:lang w:val="es-ES"/>
        </w:rPr>
        <w:t>los peticionarios</w:t>
      </w:r>
      <w:r w:rsidR="00FE03A1" w:rsidRPr="00A16D62">
        <w:rPr>
          <w:rFonts w:asciiTheme="majorHAnsi" w:eastAsia="Calibri" w:hAnsiTheme="majorHAnsi"/>
          <w:sz w:val="20"/>
          <w:szCs w:val="22"/>
          <w:bdr w:val="none" w:sz="0" w:space="0" w:color="auto"/>
          <w:lang w:val="es-ES"/>
        </w:rPr>
        <w:t xml:space="preserve"> </w:t>
      </w:r>
      <w:r w:rsidRPr="00A16D62">
        <w:rPr>
          <w:rFonts w:asciiTheme="majorHAnsi" w:eastAsia="Calibri" w:hAnsiTheme="majorHAnsi"/>
          <w:sz w:val="20"/>
          <w:szCs w:val="22"/>
          <w:bdr w:val="none" w:sz="0" w:space="0" w:color="auto"/>
          <w:lang w:val="es-ES"/>
        </w:rPr>
        <w:t xml:space="preserve">en este </w:t>
      </w:r>
      <w:r w:rsidR="00FE03A1" w:rsidRPr="00A16D62">
        <w:rPr>
          <w:rFonts w:asciiTheme="majorHAnsi" w:eastAsia="Calibri" w:hAnsiTheme="majorHAnsi"/>
          <w:sz w:val="20"/>
          <w:szCs w:val="22"/>
          <w:bdr w:val="none" w:sz="0" w:space="0" w:color="auto"/>
          <w:lang w:val="es-ES"/>
        </w:rPr>
        <w:t>cas</w:t>
      </w:r>
      <w:r w:rsidRPr="00A16D62">
        <w:rPr>
          <w:rFonts w:asciiTheme="majorHAnsi" w:eastAsia="Calibri" w:hAnsiTheme="majorHAnsi"/>
          <w:sz w:val="20"/>
          <w:szCs w:val="22"/>
          <w:bdr w:val="none" w:sz="0" w:space="0" w:color="auto"/>
          <w:lang w:val="es-ES"/>
        </w:rPr>
        <w:t>o</w:t>
      </w:r>
      <w:r w:rsidR="00FE03A1" w:rsidRPr="00A16D62">
        <w:rPr>
          <w:rFonts w:asciiTheme="majorHAnsi" w:eastAsia="Calibri" w:hAnsiTheme="majorHAnsi"/>
          <w:sz w:val="20"/>
          <w:szCs w:val="22"/>
          <w:bdr w:val="none" w:sz="0" w:space="0" w:color="auto"/>
          <w:lang w:val="es-ES"/>
        </w:rPr>
        <w:t xml:space="preserve">, </w:t>
      </w:r>
      <w:r w:rsidR="00180125" w:rsidRPr="00A16D62">
        <w:rPr>
          <w:rFonts w:asciiTheme="majorHAnsi" w:eastAsia="Calibri" w:hAnsiTheme="majorHAnsi"/>
          <w:sz w:val="20"/>
          <w:szCs w:val="22"/>
          <w:bdr w:val="none" w:sz="0" w:space="0" w:color="auto"/>
          <w:lang w:val="es-ES"/>
        </w:rPr>
        <w:t>la Comisión Interamericana</w:t>
      </w:r>
      <w:r w:rsidR="00FE03A1" w:rsidRPr="00A16D62">
        <w:rPr>
          <w:rFonts w:asciiTheme="majorHAnsi" w:eastAsia="Calibri" w:hAnsiTheme="majorHAnsi"/>
          <w:sz w:val="20"/>
          <w:szCs w:val="22"/>
          <w:bdr w:val="none" w:sz="0" w:space="0" w:color="auto"/>
          <w:lang w:val="es-ES"/>
        </w:rPr>
        <w:t xml:space="preserve"> </w:t>
      </w:r>
      <w:r w:rsidRPr="00A16D62">
        <w:rPr>
          <w:rFonts w:asciiTheme="majorHAnsi" w:eastAsia="Calibri" w:hAnsiTheme="majorHAnsi"/>
          <w:sz w:val="20"/>
          <w:szCs w:val="22"/>
          <w:bdr w:val="none" w:sz="0" w:space="0" w:color="auto"/>
          <w:lang w:val="es-ES"/>
        </w:rPr>
        <w:t xml:space="preserve">recalca que es necesario considerar las disposiciones de la </w:t>
      </w:r>
      <w:r w:rsidR="00811F92" w:rsidRPr="00A16D62">
        <w:rPr>
          <w:rFonts w:asciiTheme="majorHAnsi" w:eastAsia="Calibri" w:hAnsiTheme="majorHAnsi"/>
          <w:sz w:val="20"/>
          <w:szCs w:val="22"/>
          <w:bdr w:val="none" w:sz="0" w:space="0" w:color="auto"/>
          <w:lang w:val="es-ES"/>
        </w:rPr>
        <w:t>Declaración Americana</w:t>
      </w:r>
      <w:r w:rsidR="00FE03A1" w:rsidRPr="00A16D62">
        <w:rPr>
          <w:rFonts w:asciiTheme="majorHAnsi" w:eastAsia="Calibri" w:hAnsiTheme="majorHAnsi"/>
          <w:sz w:val="20"/>
          <w:szCs w:val="22"/>
          <w:bdr w:val="none" w:sz="0" w:space="0" w:color="auto"/>
          <w:lang w:val="es-ES"/>
        </w:rPr>
        <w:t xml:space="preserve"> </w:t>
      </w:r>
      <w:r w:rsidRPr="00A16D62">
        <w:rPr>
          <w:rFonts w:asciiTheme="majorHAnsi" w:eastAsia="Calibri" w:hAnsiTheme="majorHAnsi"/>
          <w:sz w:val="20"/>
          <w:szCs w:val="22"/>
          <w:bdr w:val="none" w:sz="0" w:space="0" w:color="auto"/>
          <w:lang w:val="es-ES"/>
        </w:rPr>
        <w:t>en el contexto más amplio del sistema</w:t>
      </w:r>
      <w:r w:rsidR="009C571E" w:rsidRPr="00A16D62">
        <w:rPr>
          <w:rFonts w:asciiTheme="majorHAnsi" w:eastAsia="Calibri" w:hAnsiTheme="majorHAnsi"/>
          <w:sz w:val="20"/>
          <w:szCs w:val="22"/>
          <w:bdr w:val="none" w:sz="0" w:space="0" w:color="auto"/>
          <w:lang w:val="es-ES"/>
        </w:rPr>
        <w:t xml:space="preserve"> i</w:t>
      </w:r>
      <w:r w:rsidR="00FE03A1" w:rsidRPr="00A16D62">
        <w:rPr>
          <w:rFonts w:asciiTheme="majorHAnsi" w:eastAsia="Calibri" w:hAnsiTheme="majorHAnsi"/>
          <w:sz w:val="20"/>
          <w:szCs w:val="22"/>
          <w:bdr w:val="none" w:sz="0" w:space="0" w:color="auto"/>
          <w:lang w:val="es-ES"/>
        </w:rPr>
        <w:t>nter</w:t>
      </w:r>
      <w:r w:rsidRPr="00A16D62">
        <w:rPr>
          <w:rFonts w:asciiTheme="majorHAnsi" w:eastAsia="Calibri" w:hAnsiTheme="majorHAnsi"/>
          <w:sz w:val="20"/>
          <w:szCs w:val="22"/>
          <w:bdr w:val="none" w:sz="0" w:space="0" w:color="auto"/>
          <w:lang w:val="es-ES"/>
        </w:rPr>
        <w:t>a</w:t>
      </w:r>
      <w:r w:rsidR="00FE03A1" w:rsidRPr="00A16D62">
        <w:rPr>
          <w:rFonts w:asciiTheme="majorHAnsi" w:eastAsia="Calibri" w:hAnsiTheme="majorHAnsi"/>
          <w:sz w:val="20"/>
          <w:szCs w:val="22"/>
          <w:bdr w:val="none" w:sz="0" w:space="0" w:color="auto"/>
          <w:lang w:val="es-ES"/>
        </w:rPr>
        <w:t>merican</w:t>
      </w:r>
      <w:r w:rsidRPr="00A16D62">
        <w:rPr>
          <w:rFonts w:asciiTheme="majorHAnsi" w:eastAsia="Calibri" w:hAnsiTheme="majorHAnsi"/>
          <w:sz w:val="20"/>
          <w:szCs w:val="22"/>
          <w:bdr w:val="none" w:sz="0" w:space="0" w:color="auto"/>
          <w:lang w:val="es-ES"/>
        </w:rPr>
        <w:t xml:space="preserve">o y el sistema internacional de </w:t>
      </w:r>
      <w:r w:rsidR="006F4DC1" w:rsidRPr="00A16D62">
        <w:rPr>
          <w:rFonts w:asciiTheme="majorHAnsi" w:eastAsia="Calibri" w:hAnsiTheme="majorHAnsi"/>
          <w:sz w:val="20"/>
          <w:szCs w:val="22"/>
          <w:bdr w:val="none" w:sz="0" w:space="0" w:color="auto"/>
          <w:lang w:val="es-ES"/>
        </w:rPr>
        <w:t>derechos humanos</w:t>
      </w:r>
      <w:r w:rsidR="00FE03A1" w:rsidRPr="00A16D62">
        <w:rPr>
          <w:rFonts w:asciiTheme="majorHAnsi" w:eastAsia="Calibri" w:hAnsiTheme="majorHAnsi"/>
          <w:sz w:val="20"/>
          <w:szCs w:val="22"/>
          <w:bdr w:val="none" w:sz="0" w:space="0" w:color="auto"/>
          <w:lang w:val="es-ES"/>
        </w:rPr>
        <w:t xml:space="preserve">. </w:t>
      </w:r>
      <w:r w:rsidR="00180125" w:rsidRPr="00A16D62">
        <w:rPr>
          <w:rFonts w:asciiTheme="majorHAnsi" w:eastAsia="Calibri" w:hAnsiTheme="majorHAnsi"/>
          <w:sz w:val="20"/>
          <w:szCs w:val="22"/>
          <w:bdr w:val="none" w:sz="0" w:space="0" w:color="auto"/>
          <w:lang w:val="es-ES"/>
        </w:rPr>
        <w:t>La Comisión Interamericana</w:t>
      </w:r>
      <w:r w:rsidR="00FE03A1" w:rsidRPr="00A16D62">
        <w:rPr>
          <w:rFonts w:asciiTheme="majorHAnsi" w:eastAsia="Calibri" w:hAnsiTheme="majorHAnsi"/>
          <w:sz w:val="20"/>
          <w:szCs w:val="22"/>
          <w:bdr w:val="none" w:sz="0" w:space="0" w:color="auto"/>
          <w:lang w:val="es-ES"/>
        </w:rPr>
        <w:t xml:space="preserve"> consider</w:t>
      </w:r>
      <w:r w:rsidRPr="00A16D62">
        <w:rPr>
          <w:rFonts w:asciiTheme="majorHAnsi" w:eastAsia="Calibri" w:hAnsiTheme="majorHAnsi"/>
          <w:sz w:val="20"/>
          <w:szCs w:val="22"/>
          <w:bdr w:val="none" w:sz="0" w:space="0" w:color="auto"/>
          <w:lang w:val="es-ES"/>
        </w:rPr>
        <w:t xml:space="preserve">a que esto es necesario en vista de los avances que se produjeron en el campo del derecho internacional de los </w:t>
      </w:r>
      <w:r w:rsidR="006F4DC1" w:rsidRPr="00A16D62">
        <w:rPr>
          <w:rFonts w:asciiTheme="majorHAnsi" w:eastAsia="Calibri" w:hAnsiTheme="majorHAnsi"/>
          <w:sz w:val="20"/>
          <w:szCs w:val="22"/>
          <w:bdr w:val="none" w:sz="0" w:space="0" w:color="auto"/>
          <w:lang w:val="es-ES"/>
        </w:rPr>
        <w:t>derechos humanos</w:t>
      </w:r>
      <w:r w:rsidR="00FE03A1" w:rsidRPr="00A16D62">
        <w:rPr>
          <w:rFonts w:asciiTheme="majorHAnsi" w:eastAsia="Calibri" w:hAnsiTheme="majorHAnsi"/>
          <w:sz w:val="20"/>
          <w:szCs w:val="22"/>
          <w:bdr w:val="none" w:sz="0" w:space="0" w:color="auto"/>
          <w:lang w:val="es-ES"/>
        </w:rPr>
        <w:t xml:space="preserve"> </w:t>
      </w:r>
      <w:r w:rsidRPr="00A16D62">
        <w:rPr>
          <w:rFonts w:asciiTheme="majorHAnsi" w:eastAsia="Calibri" w:hAnsiTheme="majorHAnsi"/>
          <w:sz w:val="20"/>
          <w:szCs w:val="22"/>
          <w:bdr w:val="none" w:sz="0" w:space="0" w:color="auto"/>
          <w:lang w:val="es-ES"/>
        </w:rPr>
        <w:t>tras la adopción de la Declaración y en relación con o</w:t>
      </w:r>
      <w:r w:rsidR="00DD7722" w:rsidRPr="00A16D62">
        <w:rPr>
          <w:rFonts w:asciiTheme="majorHAnsi" w:eastAsia="Calibri" w:hAnsiTheme="majorHAnsi"/>
          <w:sz w:val="20"/>
          <w:szCs w:val="22"/>
          <w:bdr w:val="none" w:sz="0" w:space="0" w:color="auto"/>
          <w:lang w:val="es-ES"/>
        </w:rPr>
        <w:t>t</w:t>
      </w:r>
      <w:r w:rsidRPr="00A16D62">
        <w:rPr>
          <w:rFonts w:asciiTheme="majorHAnsi" w:eastAsia="Calibri" w:hAnsiTheme="majorHAnsi"/>
          <w:sz w:val="20"/>
          <w:szCs w:val="22"/>
          <w:bdr w:val="none" w:sz="0" w:space="0" w:color="auto"/>
          <w:lang w:val="es-ES"/>
        </w:rPr>
        <w:t xml:space="preserve">ras normas pertinentes del derecho internacional aplicables a los Estados Miembros </w:t>
      </w:r>
      <w:r w:rsidR="00DD7722" w:rsidRPr="00A16D62">
        <w:rPr>
          <w:rFonts w:asciiTheme="majorHAnsi" w:eastAsia="Calibri" w:hAnsiTheme="majorHAnsi"/>
          <w:sz w:val="20"/>
          <w:szCs w:val="22"/>
          <w:bdr w:val="none" w:sz="0" w:space="0" w:color="auto"/>
          <w:lang w:val="es-ES"/>
        </w:rPr>
        <w:t>contra los cuales se interponen debidamente quejas de violaciones de la Declaración</w:t>
      </w:r>
      <w:r w:rsidR="00FE03A1" w:rsidRPr="00A16D62">
        <w:rPr>
          <w:rFonts w:asciiTheme="majorHAnsi" w:eastAsia="Calibri" w:hAnsiTheme="majorHAnsi"/>
          <w:sz w:val="20"/>
          <w:szCs w:val="22"/>
          <w:bdr w:val="none" w:sz="0" w:space="0" w:color="auto"/>
          <w:vertAlign w:val="superscript"/>
          <w:lang w:val="es-ES"/>
        </w:rPr>
        <w:footnoteReference w:id="76"/>
      </w:r>
      <w:r w:rsidR="00DD7722" w:rsidRPr="00A16D62">
        <w:rPr>
          <w:rFonts w:asciiTheme="majorHAnsi" w:eastAsia="Calibri" w:hAnsiTheme="majorHAnsi"/>
          <w:sz w:val="20"/>
          <w:szCs w:val="22"/>
          <w:bdr w:val="none" w:sz="0" w:space="0" w:color="auto"/>
          <w:lang w:val="es-ES"/>
        </w:rPr>
        <w:t>. En el caso de</w:t>
      </w:r>
      <w:r w:rsidR="009C571E" w:rsidRPr="00A16D62">
        <w:rPr>
          <w:rFonts w:asciiTheme="majorHAnsi" w:eastAsia="Calibri" w:hAnsiTheme="majorHAnsi"/>
          <w:sz w:val="20"/>
          <w:szCs w:val="22"/>
          <w:bdr w:val="none" w:sz="0" w:space="0" w:color="auto"/>
          <w:lang w:val="es-ES"/>
        </w:rPr>
        <w:t xml:space="preserve"> </w:t>
      </w:r>
      <w:r w:rsidR="007E4498" w:rsidRPr="00A16D62">
        <w:rPr>
          <w:rFonts w:asciiTheme="majorHAnsi" w:eastAsia="Calibri" w:hAnsiTheme="majorHAnsi"/>
          <w:sz w:val="20"/>
          <w:szCs w:val="22"/>
          <w:bdr w:val="none" w:sz="0" w:space="0" w:color="auto"/>
          <w:lang w:val="es-ES"/>
        </w:rPr>
        <w:t>Estados Unidos</w:t>
      </w:r>
      <w:r w:rsidR="009C571E" w:rsidRPr="00A16D62">
        <w:rPr>
          <w:rFonts w:asciiTheme="majorHAnsi" w:eastAsia="Calibri" w:hAnsiTheme="majorHAnsi"/>
          <w:sz w:val="20"/>
          <w:szCs w:val="22"/>
          <w:bdr w:val="none" w:sz="0" w:space="0" w:color="auto"/>
          <w:lang w:val="es-ES"/>
        </w:rPr>
        <w:t xml:space="preserve">, </w:t>
      </w:r>
      <w:r w:rsidR="00DD7722" w:rsidRPr="00A16D62">
        <w:rPr>
          <w:rFonts w:asciiTheme="majorHAnsi" w:eastAsia="Calibri" w:hAnsiTheme="majorHAnsi"/>
          <w:sz w:val="20"/>
          <w:szCs w:val="22"/>
          <w:bdr w:val="none" w:sz="0" w:space="0" w:color="auto"/>
          <w:lang w:val="es-ES"/>
        </w:rPr>
        <w:t>los instrumentos internacionales pertinentes son el Pacto Internacional de Derechos Civiles y Políticos</w:t>
      </w:r>
      <w:r w:rsidR="00AC1B90" w:rsidRPr="00A16D62">
        <w:rPr>
          <w:rFonts w:asciiTheme="majorHAnsi" w:eastAsia="Calibri" w:hAnsiTheme="majorHAnsi"/>
          <w:sz w:val="20"/>
          <w:szCs w:val="22"/>
          <w:bdr w:val="none" w:sz="0" w:space="0" w:color="auto"/>
          <w:lang w:val="es-ES"/>
        </w:rPr>
        <w:t xml:space="preserve"> </w:t>
      </w:r>
      <w:r w:rsidR="00DD7722" w:rsidRPr="00A16D62">
        <w:rPr>
          <w:rFonts w:asciiTheme="majorHAnsi" w:eastAsia="Calibri" w:hAnsiTheme="majorHAnsi"/>
          <w:sz w:val="20"/>
          <w:szCs w:val="22"/>
          <w:bdr w:val="none" w:sz="0" w:space="0" w:color="auto"/>
          <w:lang w:val="es-ES"/>
        </w:rPr>
        <w:t>y la Convención Internacional sobre la Eliminación de Todas las Formas de Discriminación Racial</w:t>
      </w:r>
      <w:r w:rsidR="00232C43" w:rsidRPr="00A16D62">
        <w:rPr>
          <w:rFonts w:asciiTheme="majorHAnsi" w:eastAsia="Calibri" w:hAnsiTheme="majorHAnsi"/>
          <w:sz w:val="20"/>
          <w:szCs w:val="22"/>
          <w:bdr w:val="none" w:sz="0" w:space="0" w:color="auto"/>
          <w:lang w:val="es-ES"/>
        </w:rPr>
        <w:t>,</w:t>
      </w:r>
      <w:r w:rsidR="009C571E" w:rsidRPr="00A16D62">
        <w:rPr>
          <w:rFonts w:asciiTheme="majorHAnsi" w:eastAsia="Calibri" w:hAnsiTheme="majorHAnsi"/>
          <w:sz w:val="20"/>
          <w:szCs w:val="22"/>
          <w:bdr w:val="none" w:sz="0" w:space="0" w:color="auto"/>
          <w:lang w:val="es-ES"/>
        </w:rPr>
        <w:t xml:space="preserve"> </w:t>
      </w:r>
      <w:r w:rsidR="00DD7722" w:rsidRPr="00A16D62">
        <w:rPr>
          <w:rFonts w:asciiTheme="majorHAnsi" w:eastAsia="Calibri" w:hAnsiTheme="majorHAnsi"/>
          <w:sz w:val="20"/>
          <w:szCs w:val="22"/>
          <w:bdr w:val="none" w:sz="0" w:space="0" w:color="auto"/>
          <w:lang w:val="es-ES"/>
        </w:rPr>
        <w:t xml:space="preserve">de los cuales es parte. De conformidad con los </w:t>
      </w:r>
      <w:r w:rsidR="00E86DEF" w:rsidRPr="00A16D62">
        <w:rPr>
          <w:rFonts w:asciiTheme="majorHAnsi" w:eastAsia="Calibri" w:hAnsiTheme="majorHAnsi"/>
          <w:sz w:val="20"/>
          <w:szCs w:val="22"/>
          <w:bdr w:val="none" w:sz="0" w:space="0" w:color="auto"/>
          <w:lang w:val="es-ES"/>
        </w:rPr>
        <w:t>principios</w:t>
      </w:r>
      <w:r w:rsidR="00FE03A1" w:rsidRPr="00A16D62">
        <w:rPr>
          <w:rFonts w:asciiTheme="majorHAnsi" w:eastAsia="Calibri" w:hAnsiTheme="majorHAnsi"/>
          <w:sz w:val="20"/>
          <w:szCs w:val="22"/>
          <w:bdr w:val="none" w:sz="0" w:space="0" w:color="auto"/>
          <w:lang w:val="es-ES"/>
        </w:rPr>
        <w:t xml:space="preserve"> </w:t>
      </w:r>
      <w:r w:rsidR="00DD7722" w:rsidRPr="00A16D62">
        <w:rPr>
          <w:rFonts w:asciiTheme="majorHAnsi" w:eastAsia="Calibri" w:hAnsiTheme="majorHAnsi"/>
          <w:sz w:val="20"/>
          <w:szCs w:val="22"/>
          <w:bdr w:val="none" w:sz="0" w:space="0" w:color="auto"/>
          <w:lang w:val="es-ES"/>
        </w:rPr>
        <w:t>que rigen la interpretación de tratados, la Corte Interamericana de Derechos Humanos</w:t>
      </w:r>
      <w:r w:rsidR="00FE03A1" w:rsidRPr="00A16D62">
        <w:rPr>
          <w:rFonts w:asciiTheme="majorHAnsi" w:eastAsia="Calibri" w:hAnsiTheme="majorHAnsi"/>
          <w:sz w:val="20"/>
          <w:szCs w:val="22"/>
          <w:bdr w:val="none" w:sz="0" w:space="0" w:color="auto"/>
          <w:lang w:val="es-ES"/>
        </w:rPr>
        <w:t xml:space="preserve"> ha</w:t>
      </w:r>
      <w:r w:rsidR="00DD7722" w:rsidRPr="00A16D62">
        <w:rPr>
          <w:rFonts w:asciiTheme="majorHAnsi" w:eastAsia="Calibri" w:hAnsiTheme="majorHAnsi"/>
          <w:sz w:val="20"/>
          <w:szCs w:val="22"/>
          <w:bdr w:val="none" w:sz="0" w:space="0" w:color="auto"/>
          <w:lang w:val="es-ES"/>
        </w:rPr>
        <w:t xml:space="preserve"> refrendado asimismo una interpretación de los instrumentos internacionales de </w:t>
      </w:r>
      <w:r w:rsidR="006F4DC1" w:rsidRPr="00A16D62">
        <w:rPr>
          <w:rFonts w:asciiTheme="majorHAnsi" w:eastAsia="Calibri" w:hAnsiTheme="majorHAnsi"/>
          <w:sz w:val="20"/>
          <w:szCs w:val="22"/>
          <w:bdr w:val="none" w:sz="0" w:space="0" w:color="auto"/>
          <w:lang w:val="es-ES"/>
        </w:rPr>
        <w:t>derechos humanos</w:t>
      </w:r>
      <w:r w:rsidR="00FE03A1" w:rsidRPr="00A16D62">
        <w:rPr>
          <w:rFonts w:asciiTheme="majorHAnsi" w:eastAsia="Calibri" w:hAnsiTheme="majorHAnsi"/>
          <w:sz w:val="20"/>
          <w:szCs w:val="22"/>
          <w:bdr w:val="none" w:sz="0" w:space="0" w:color="auto"/>
          <w:lang w:val="es-ES"/>
        </w:rPr>
        <w:t xml:space="preserve"> </w:t>
      </w:r>
      <w:r w:rsidR="00DD7722" w:rsidRPr="00A16D62">
        <w:rPr>
          <w:rFonts w:asciiTheme="majorHAnsi" w:eastAsia="Calibri" w:hAnsiTheme="majorHAnsi"/>
          <w:sz w:val="20"/>
          <w:szCs w:val="22"/>
          <w:bdr w:val="none" w:sz="0" w:space="0" w:color="auto"/>
          <w:lang w:val="es-ES"/>
        </w:rPr>
        <w:t>que tiene en cuenta l</w:t>
      </w:r>
      <w:r w:rsidR="007F0BBF" w:rsidRPr="00A16D62">
        <w:rPr>
          <w:rFonts w:asciiTheme="majorHAnsi" w:eastAsia="Calibri" w:hAnsiTheme="majorHAnsi"/>
          <w:sz w:val="20"/>
          <w:szCs w:val="22"/>
          <w:bdr w:val="none" w:sz="0" w:space="0" w:color="auto"/>
          <w:lang w:val="es-ES"/>
        </w:rPr>
        <w:t>a evolución d</w:t>
      </w:r>
      <w:r w:rsidR="00DD7722" w:rsidRPr="00A16D62">
        <w:rPr>
          <w:rFonts w:asciiTheme="majorHAnsi" w:eastAsia="Calibri" w:hAnsiTheme="majorHAnsi"/>
          <w:sz w:val="20"/>
          <w:szCs w:val="22"/>
          <w:bdr w:val="none" w:sz="0" w:space="0" w:color="auto"/>
          <w:lang w:val="es-ES"/>
        </w:rPr>
        <w:t xml:space="preserve">el </w:t>
      </w:r>
      <w:r w:rsidR="00FE03A1" w:rsidRPr="00A16D62">
        <w:rPr>
          <w:rFonts w:asciiTheme="majorHAnsi" w:eastAsia="Calibri" w:hAnsiTheme="majorHAnsi"/>
          <w:i/>
          <w:sz w:val="20"/>
          <w:szCs w:val="22"/>
          <w:bdr w:val="none" w:sz="0" w:space="0" w:color="auto"/>
          <w:lang w:val="es-ES"/>
        </w:rPr>
        <w:t xml:space="preserve">corpus juris </w:t>
      </w:r>
      <w:r w:rsidR="00DD7722" w:rsidRPr="00A16D62">
        <w:rPr>
          <w:rFonts w:asciiTheme="majorHAnsi" w:eastAsia="Calibri" w:hAnsiTheme="majorHAnsi"/>
          <w:sz w:val="20"/>
          <w:szCs w:val="22"/>
          <w:bdr w:val="none" w:sz="0" w:space="0" w:color="auto"/>
          <w:lang w:val="es-ES"/>
        </w:rPr>
        <w:t>del derecho internacional de los derechos humanos</w:t>
      </w:r>
      <w:r w:rsidR="00FE03A1" w:rsidRPr="00A16D62">
        <w:rPr>
          <w:rFonts w:asciiTheme="majorHAnsi" w:eastAsia="Calibri" w:hAnsiTheme="majorHAnsi"/>
          <w:sz w:val="20"/>
          <w:szCs w:val="22"/>
          <w:bdr w:val="none" w:sz="0" w:space="0" w:color="auto"/>
          <w:lang w:val="es-ES"/>
        </w:rPr>
        <w:t xml:space="preserve"> </w:t>
      </w:r>
      <w:r w:rsidR="00DD7722" w:rsidRPr="00A16D62">
        <w:rPr>
          <w:rFonts w:asciiTheme="majorHAnsi" w:eastAsia="Calibri" w:hAnsiTheme="majorHAnsi"/>
          <w:sz w:val="20"/>
          <w:szCs w:val="22"/>
          <w:bdr w:val="none" w:sz="0" w:space="0" w:color="auto"/>
          <w:lang w:val="es-ES"/>
        </w:rPr>
        <w:t>con el transcurso del tiempo y en las condiciones actuales</w:t>
      </w:r>
      <w:r w:rsidR="00FE03A1" w:rsidRPr="00A16D62">
        <w:rPr>
          <w:rFonts w:asciiTheme="majorHAnsi" w:eastAsia="Calibri" w:hAnsiTheme="majorHAnsi"/>
          <w:sz w:val="20"/>
          <w:szCs w:val="22"/>
          <w:bdr w:val="none" w:sz="0" w:space="0" w:color="auto"/>
          <w:lang w:val="es-ES"/>
        </w:rPr>
        <w:t>.</w:t>
      </w:r>
    </w:p>
    <w:p w:rsidR="00FE03A1" w:rsidRPr="00A16D62" w:rsidRDefault="00FE03A1" w:rsidP="00FE03A1">
      <w:pPr>
        <w:pStyle w:val="ListParagraph"/>
        <w:rPr>
          <w:rFonts w:eastAsia="Times New Roman"/>
          <w:bCs/>
          <w:sz w:val="20"/>
          <w:szCs w:val="20"/>
          <w:bdr w:val="none" w:sz="0" w:space="0" w:color="auto"/>
          <w:lang w:val="es-ES"/>
        </w:rPr>
      </w:pPr>
    </w:p>
    <w:p w:rsidR="00FE03A1" w:rsidRPr="00A16D62" w:rsidRDefault="00DD7722" w:rsidP="00FE03A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Theme="majorHAnsi" w:eastAsia="Calibri" w:hAnsiTheme="majorHAnsi"/>
          <w:sz w:val="20"/>
          <w:szCs w:val="22"/>
          <w:bdr w:val="none" w:sz="0" w:space="0" w:color="auto"/>
          <w:lang w:val="es-ES"/>
        </w:rPr>
        <w:t>L</w:t>
      </w:r>
      <w:r w:rsidR="007F0BBF" w:rsidRPr="00A16D62">
        <w:rPr>
          <w:rFonts w:asciiTheme="majorHAnsi" w:eastAsia="Calibri" w:hAnsiTheme="majorHAnsi"/>
          <w:sz w:val="20"/>
          <w:szCs w:val="22"/>
          <w:bdr w:val="none" w:sz="0" w:space="0" w:color="auto"/>
          <w:lang w:val="es-ES"/>
        </w:rPr>
        <w:t>a evolución d</w:t>
      </w:r>
      <w:r w:rsidRPr="00A16D62">
        <w:rPr>
          <w:rFonts w:asciiTheme="majorHAnsi" w:eastAsia="Calibri" w:hAnsiTheme="majorHAnsi"/>
          <w:sz w:val="20"/>
          <w:szCs w:val="22"/>
          <w:bdr w:val="none" w:sz="0" w:space="0" w:color="auto"/>
          <w:lang w:val="es-ES"/>
        </w:rPr>
        <w:t xml:space="preserve">el </w:t>
      </w:r>
      <w:r w:rsidR="00FE03A1" w:rsidRPr="00A16D62">
        <w:rPr>
          <w:rFonts w:asciiTheme="majorHAnsi" w:eastAsia="Calibri" w:hAnsiTheme="majorHAnsi"/>
          <w:sz w:val="20"/>
          <w:szCs w:val="22"/>
          <w:bdr w:val="none" w:sz="0" w:space="0" w:color="auto"/>
          <w:lang w:val="es-ES"/>
        </w:rPr>
        <w:t xml:space="preserve">corpus </w:t>
      </w:r>
      <w:r w:rsidRPr="00A16D62">
        <w:rPr>
          <w:rFonts w:asciiTheme="majorHAnsi" w:eastAsia="Calibri" w:hAnsiTheme="majorHAnsi"/>
          <w:sz w:val="20"/>
          <w:szCs w:val="22"/>
          <w:bdr w:val="none" w:sz="0" w:space="0" w:color="auto"/>
          <w:lang w:val="es-ES"/>
        </w:rPr>
        <w:t>del</w:t>
      </w:r>
      <w:r w:rsidR="00FE03A1" w:rsidRPr="00A16D62">
        <w:rPr>
          <w:rFonts w:asciiTheme="majorHAnsi" w:eastAsia="Calibri" w:hAnsiTheme="majorHAnsi"/>
          <w:sz w:val="20"/>
          <w:szCs w:val="22"/>
          <w:bdr w:val="none" w:sz="0" w:space="0" w:color="auto"/>
          <w:lang w:val="es-ES"/>
        </w:rPr>
        <w:t xml:space="preserve"> </w:t>
      </w:r>
      <w:r w:rsidRPr="00A16D62">
        <w:rPr>
          <w:rFonts w:asciiTheme="majorHAnsi" w:eastAsia="Calibri" w:hAnsiTheme="majorHAnsi"/>
          <w:sz w:val="20"/>
          <w:szCs w:val="22"/>
          <w:bdr w:val="none" w:sz="0" w:space="0" w:color="auto"/>
          <w:lang w:val="es-ES"/>
        </w:rPr>
        <w:t>derecho internacional de los derechos humanos</w:t>
      </w:r>
      <w:r w:rsidR="00FE03A1" w:rsidRPr="00A16D62">
        <w:rPr>
          <w:rFonts w:asciiTheme="majorHAnsi" w:eastAsia="Calibri" w:hAnsiTheme="majorHAnsi"/>
          <w:sz w:val="20"/>
          <w:szCs w:val="22"/>
          <w:bdr w:val="none" w:sz="0" w:space="0" w:color="auto"/>
          <w:lang w:val="es-ES"/>
        </w:rPr>
        <w:t xml:space="preserve"> </w:t>
      </w:r>
      <w:r w:rsidRPr="00A16D62">
        <w:rPr>
          <w:rFonts w:asciiTheme="majorHAnsi" w:eastAsia="Calibri" w:hAnsiTheme="majorHAnsi"/>
          <w:sz w:val="20"/>
          <w:szCs w:val="22"/>
          <w:bdr w:val="none" w:sz="0" w:space="0" w:color="auto"/>
          <w:lang w:val="es-ES"/>
        </w:rPr>
        <w:t xml:space="preserve">pertinentes a la interpretación y la aplicación de la </w:t>
      </w:r>
      <w:r w:rsidR="00811F92" w:rsidRPr="00A16D62">
        <w:rPr>
          <w:rFonts w:asciiTheme="majorHAnsi" w:eastAsia="Calibri" w:hAnsiTheme="majorHAnsi"/>
          <w:sz w:val="20"/>
          <w:szCs w:val="22"/>
          <w:bdr w:val="none" w:sz="0" w:space="0" w:color="auto"/>
          <w:lang w:val="es-ES"/>
        </w:rPr>
        <w:t>Declaración Americana</w:t>
      </w:r>
      <w:r w:rsidRPr="00A16D62">
        <w:rPr>
          <w:rFonts w:asciiTheme="majorHAnsi" w:eastAsia="Calibri" w:hAnsiTheme="majorHAnsi"/>
          <w:sz w:val="20"/>
          <w:szCs w:val="22"/>
          <w:bdr w:val="none" w:sz="0" w:space="0" w:color="auto"/>
          <w:lang w:val="es-ES"/>
        </w:rPr>
        <w:t xml:space="preserve"> podría, a su vez, inferirse de las disposiciones de otros instrumentos internacionales </w:t>
      </w:r>
      <w:r w:rsidR="00F9718D" w:rsidRPr="00A16D62">
        <w:rPr>
          <w:rFonts w:asciiTheme="majorHAnsi" w:eastAsia="Calibri" w:hAnsiTheme="majorHAnsi"/>
          <w:sz w:val="20"/>
          <w:szCs w:val="22"/>
          <w:bdr w:val="none" w:sz="0" w:space="0" w:color="auto"/>
          <w:lang w:val="es-ES"/>
        </w:rPr>
        <w:t xml:space="preserve">y </w:t>
      </w:r>
      <w:r w:rsidR="00FE03A1" w:rsidRPr="00A16D62">
        <w:rPr>
          <w:rFonts w:asciiTheme="majorHAnsi" w:eastAsia="Calibri" w:hAnsiTheme="majorHAnsi"/>
          <w:sz w:val="20"/>
          <w:szCs w:val="22"/>
          <w:bdr w:val="none" w:sz="0" w:space="0" w:color="auto"/>
          <w:lang w:val="es-ES"/>
        </w:rPr>
        <w:t>regional</w:t>
      </w:r>
      <w:r w:rsidRPr="00A16D62">
        <w:rPr>
          <w:rFonts w:asciiTheme="majorHAnsi" w:eastAsia="Calibri" w:hAnsiTheme="majorHAnsi"/>
          <w:sz w:val="20"/>
          <w:szCs w:val="22"/>
          <w:bdr w:val="none" w:sz="0" w:space="0" w:color="auto"/>
          <w:lang w:val="es-ES"/>
        </w:rPr>
        <w:t xml:space="preserve">es </w:t>
      </w:r>
      <w:r w:rsidR="00F9718D" w:rsidRPr="00A16D62">
        <w:rPr>
          <w:rFonts w:asciiTheme="majorHAnsi" w:eastAsia="Calibri" w:hAnsiTheme="majorHAnsi"/>
          <w:sz w:val="20"/>
          <w:szCs w:val="22"/>
          <w:bdr w:val="none" w:sz="0" w:space="0" w:color="auto"/>
          <w:lang w:val="es-ES"/>
        </w:rPr>
        <w:t>vigentes en materia de</w:t>
      </w:r>
      <w:r w:rsidR="00FE03A1" w:rsidRPr="00A16D62">
        <w:rPr>
          <w:rFonts w:asciiTheme="majorHAnsi" w:eastAsia="Calibri" w:hAnsiTheme="majorHAnsi"/>
          <w:sz w:val="20"/>
          <w:szCs w:val="22"/>
          <w:bdr w:val="none" w:sz="0" w:space="0" w:color="auto"/>
          <w:lang w:val="es-ES"/>
        </w:rPr>
        <w:t xml:space="preserve"> </w:t>
      </w:r>
      <w:r w:rsidR="006F4DC1" w:rsidRPr="00A16D62">
        <w:rPr>
          <w:rFonts w:asciiTheme="majorHAnsi" w:eastAsia="Calibri" w:hAnsiTheme="majorHAnsi"/>
          <w:sz w:val="20"/>
          <w:szCs w:val="22"/>
          <w:bdr w:val="none" w:sz="0" w:space="0" w:color="auto"/>
          <w:lang w:val="es-ES"/>
        </w:rPr>
        <w:t>derechos humanos</w:t>
      </w:r>
      <w:r w:rsidR="00F9718D" w:rsidRPr="00A16D62">
        <w:rPr>
          <w:rFonts w:asciiTheme="majorHAnsi" w:eastAsia="Calibri" w:hAnsiTheme="majorHAnsi"/>
          <w:sz w:val="20"/>
          <w:szCs w:val="22"/>
          <w:bdr w:val="none" w:sz="0" w:space="0" w:color="auto"/>
          <w:lang w:val="es-ES"/>
        </w:rPr>
        <w:t>, e</w:t>
      </w:r>
      <w:r w:rsidR="00FE03A1" w:rsidRPr="00A16D62">
        <w:rPr>
          <w:rFonts w:asciiTheme="majorHAnsi" w:eastAsia="Calibri" w:hAnsiTheme="majorHAnsi"/>
          <w:sz w:val="20"/>
          <w:szCs w:val="22"/>
          <w:bdr w:val="none" w:sz="0" w:space="0" w:color="auto"/>
          <w:lang w:val="es-ES"/>
        </w:rPr>
        <w:t>n particular</w:t>
      </w:r>
      <w:r w:rsidR="00F9718D" w:rsidRPr="00A16D62">
        <w:rPr>
          <w:rFonts w:asciiTheme="majorHAnsi" w:eastAsia="Calibri" w:hAnsiTheme="majorHAnsi"/>
          <w:sz w:val="20"/>
          <w:szCs w:val="22"/>
          <w:bdr w:val="none" w:sz="0" w:space="0" w:color="auto"/>
          <w:lang w:val="es-ES"/>
        </w:rPr>
        <w:t xml:space="preserve"> la Convención Americana sobre Derechos Humanos</w:t>
      </w:r>
      <w:r w:rsidR="00FE03A1" w:rsidRPr="00A16D62">
        <w:rPr>
          <w:rFonts w:asciiTheme="majorHAnsi" w:eastAsia="Calibri" w:hAnsiTheme="majorHAnsi"/>
          <w:sz w:val="20"/>
          <w:szCs w:val="22"/>
          <w:bdr w:val="none" w:sz="0" w:space="0" w:color="auto"/>
          <w:lang w:val="es-ES"/>
        </w:rPr>
        <w:t xml:space="preserve">, </w:t>
      </w:r>
      <w:r w:rsidR="00F9718D" w:rsidRPr="00A16D62">
        <w:rPr>
          <w:rFonts w:asciiTheme="majorHAnsi" w:eastAsia="Calibri" w:hAnsiTheme="majorHAnsi"/>
          <w:sz w:val="20"/>
          <w:szCs w:val="22"/>
          <w:bdr w:val="none" w:sz="0" w:space="0" w:color="auto"/>
          <w:lang w:val="es-ES"/>
        </w:rPr>
        <w:t>la cual, en muchos casos, podría considerarse que representa una expresión concluyente de los principios</w:t>
      </w:r>
      <w:r w:rsidR="00FE03A1" w:rsidRPr="00A16D62">
        <w:rPr>
          <w:rFonts w:asciiTheme="majorHAnsi" w:eastAsia="Calibri" w:hAnsiTheme="majorHAnsi"/>
          <w:sz w:val="20"/>
          <w:szCs w:val="22"/>
          <w:bdr w:val="none" w:sz="0" w:space="0" w:color="auto"/>
          <w:lang w:val="es-ES"/>
        </w:rPr>
        <w:t xml:space="preserve"> fundamental</w:t>
      </w:r>
      <w:r w:rsidR="00F9718D" w:rsidRPr="00A16D62">
        <w:rPr>
          <w:rFonts w:asciiTheme="majorHAnsi" w:eastAsia="Calibri" w:hAnsiTheme="majorHAnsi"/>
          <w:sz w:val="20"/>
          <w:szCs w:val="22"/>
          <w:bdr w:val="none" w:sz="0" w:space="0" w:color="auto"/>
          <w:lang w:val="es-ES"/>
        </w:rPr>
        <w:t xml:space="preserve">es establecidos en la </w:t>
      </w:r>
      <w:r w:rsidR="00811F92" w:rsidRPr="00A16D62">
        <w:rPr>
          <w:rFonts w:asciiTheme="majorHAnsi" w:eastAsia="Calibri" w:hAnsiTheme="majorHAnsi"/>
          <w:sz w:val="20"/>
          <w:szCs w:val="22"/>
          <w:bdr w:val="none" w:sz="0" w:space="0" w:color="auto"/>
          <w:lang w:val="es-ES"/>
        </w:rPr>
        <w:t>Declaración Americana</w:t>
      </w:r>
      <w:r w:rsidR="00FE03A1" w:rsidRPr="00A16D62">
        <w:rPr>
          <w:rFonts w:asciiTheme="majorHAnsi" w:eastAsia="Calibri" w:hAnsiTheme="majorHAnsi"/>
          <w:sz w:val="20"/>
          <w:szCs w:val="22"/>
          <w:bdr w:val="none" w:sz="0" w:space="0" w:color="auto"/>
          <w:lang w:val="es-ES"/>
        </w:rPr>
        <w:t xml:space="preserve">. </w:t>
      </w:r>
      <w:r w:rsidR="00AA7538" w:rsidRPr="00A16D62">
        <w:rPr>
          <w:rFonts w:asciiTheme="majorHAnsi" w:eastAsia="Calibri" w:hAnsiTheme="majorHAnsi"/>
          <w:sz w:val="20"/>
          <w:szCs w:val="22"/>
          <w:bdr w:val="none" w:sz="0" w:space="0" w:color="auto"/>
          <w:lang w:val="es-ES"/>
        </w:rPr>
        <w:t xml:space="preserve">Aunque </w:t>
      </w:r>
      <w:r w:rsidR="00180125" w:rsidRPr="00A16D62">
        <w:rPr>
          <w:rFonts w:asciiTheme="majorHAnsi" w:eastAsia="Calibri" w:hAnsiTheme="majorHAnsi"/>
          <w:sz w:val="20"/>
          <w:szCs w:val="22"/>
          <w:bdr w:val="none" w:sz="0" w:space="0" w:color="auto"/>
          <w:lang w:val="es-ES"/>
        </w:rPr>
        <w:t>la Comisión</w:t>
      </w:r>
      <w:r w:rsidR="00FE03A1" w:rsidRPr="00A16D62">
        <w:rPr>
          <w:rFonts w:asciiTheme="majorHAnsi" w:eastAsia="Calibri" w:hAnsiTheme="majorHAnsi"/>
          <w:sz w:val="20"/>
          <w:szCs w:val="22"/>
          <w:bdr w:val="none" w:sz="0" w:space="0" w:color="auto"/>
          <w:lang w:val="es-ES"/>
        </w:rPr>
        <w:t xml:space="preserve"> </w:t>
      </w:r>
      <w:r w:rsidR="00AA7538" w:rsidRPr="00A16D62">
        <w:rPr>
          <w:rFonts w:asciiTheme="majorHAnsi" w:eastAsia="Calibri" w:hAnsiTheme="majorHAnsi"/>
          <w:sz w:val="20"/>
          <w:szCs w:val="22"/>
          <w:bdr w:val="none" w:sz="0" w:space="0" w:color="auto"/>
          <w:lang w:val="es-ES"/>
        </w:rPr>
        <w:t xml:space="preserve">evidentemente no aplica </w:t>
      </w:r>
      <w:r w:rsidR="00F9718D" w:rsidRPr="00A16D62">
        <w:rPr>
          <w:rFonts w:asciiTheme="majorHAnsi" w:eastAsia="Calibri" w:hAnsiTheme="majorHAnsi"/>
          <w:sz w:val="20"/>
          <w:szCs w:val="22"/>
          <w:bdr w:val="none" w:sz="0" w:space="0" w:color="auto"/>
          <w:lang w:val="es-ES"/>
        </w:rPr>
        <w:t>la Convención Americana</w:t>
      </w:r>
      <w:r w:rsidR="00FE03A1" w:rsidRPr="00A16D62">
        <w:rPr>
          <w:rFonts w:asciiTheme="majorHAnsi" w:eastAsia="Calibri" w:hAnsiTheme="majorHAnsi"/>
          <w:sz w:val="20"/>
          <w:szCs w:val="22"/>
          <w:bdr w:val="none" w:sz="0" w:space="0" w:color="auto"/>
          <w:lang w:val="es-ES"/>
        </w:rPr>
        <w:t xml:space="preserve"> </w:t>
      </w:r>
      <w:r w:rsidR="00AA7538" w:rsidRPr="00A16D62">
        <w:rPr>
          <w:rFonts w:asciiTheme="majorHAnsi" w:eastAsia="Calibri" w:hAnsiTheme="majorHAnsi"/>
          <w:sz w:val="20"/>
          <w:szCs w:val="22"/>
          <w:bdr w:val="none" w:sz="0" w:space="0" w:color="auto"/>
          <w:lang w:val="es-ES"/>
        </w:rPr>
        <w:t xml:space="preserve">en relación con los Estados Miembros que todavía no la han ratificado, sus disposiciones bien podrían ser pertinentes como base de una </w:t>
      </w:r>
      <w:r w:rsidR="00F9718D" w:rsidRPr="00A16D62">
        <w:rPr>
          <w:rFonts w:asciiTheme="majorHAnsi" w:eastAsia="Calibri" w:hAnsiTheme="majorHAnsi"/>
          <w:sz w:val="20"/>
          <w:szCs w:val="22"/>
          <w:bdr w:val="none" w:sz="0" w:space="0" w:color="auto"/>
          <w:lang w:val="es-ES"/>
        </w:rPr>
        <w:t>interpretación</w:t>
      </w:r>
      <w:r w:rsidR="00FE03A1" w:rsidRPr="00A16D62">
        <w:rPr>
          <w:rFonts w:asciiTheme="majorHAnsi" w:eastAsia="Calibri" w:hAnsiTheme="majorHAnsi"/>
          <w:sz w:val="20"/>
          <w:szCs w:val="22"/>
          <w:bdr w:val="none" w:sz="0" w:space="0" w:color="auto"/>
          <w:lang w:val="es-ES"/>
        </w:rPr>
        <w:t xml:space="preserve"> </w:t>
      </w:r>
      <w:r w:rsidR="00AA7538" w:rsidRPr="00A16D62">
        <w:rPr>
          <w:rFonts w:asciiTheme="majorHAnsi" w:eastAsia="Calibri" w:hAnsiTheme="majorHAnsi"/>
          <w:sz w:val="20"/>
          <w:szCs w:val="22"/>
          <w:bdr w:val="none" w:sz="0" w:space="0" w:color="auto"/>
          <w:lang w:val="es-ES"/>
        </w:rPr>
        <w:t>de</w:t>
      </w:r>
      <w:r w:rsidR="00FE03A1" w:rsidRPr="00A16D62">
        <w:rPr>
          <w:rFonts w:asciiTheme="majorHAnsi" w:eastAsia="Calibri" w:hAnsiTheme="majorHAnsi"/>
          <w:sz w:val="20"/>
          <w:szCs w:val="22"/>
          <w:bdr w:val="none" w:sz="0" w:space="0" w:color="auto"/>
          <w:lang w:val="es-ES"/>
        </w:rPr>
        <w:t xml:space="preserve"> </w:t>
      </w:r>
      <w:r w:rsidRPr="00A16D62">
        <w:rPr>
          <w:rFonts w:asciiTheme="majorHAnsi" w:eastAsia="Calibri" w:hAnsiTheme="majorHAnsi"/>
          <w:sz w:val="20"/>
          <w:szCs w:val="22"/>
          <w:bdr w:val="none" w:sz="0" w:space="0" w:color="auto"/>
          <w:lang w:val="es-ES"/>
        </w:rPr>
        <w:t>la Declaración</w:t>
      </w:r>
      <w:r w:rsidR="00FE03A1" w:rsidRPr="00A16D62">
        <w:rPr>
          <w:rFonts w:asciiTheme="majorHAnsi" w:eastAsia="Calibri" w:hAnsiTheme="majorHAnsi"/>
          <w:sz w:val="20"/>
          <w:szCs w:val="22"/>
          <w:bdr w:val="none" w:sz="0" w:space="0" w:color="auto"/>
          <w:lang w:val="es-ES"/>
        </w:rPr>
        <w:t>.</w:t>
      </w:r>
      <w:r w:rsidR="00FE03A1" w:rsidRPr="00A16D62">
        <w:rPr>
          <w:rFonts w:asciiTheme="majorHAnsi" w:eastAsia="Calibri" w:hAnsiTheme="majorHAnsi"/>
          <w:sz w:val="20"/>
          <w:szCs w:val="22"/>
          <w:bdr w:val="none" w:sz="0" w:space="0" w:color="auto"/>
          <w:vertAlign w:val="superscript"/>
          <w:lang w:val="es-ES"/>
        </w:rPr>
        <w:footnoteReference w:id="77"/>
      </w:r>
      <w:r w:rsidR="00FE03A1" w:rsidRPr="00A16D62">
        <w:rPr>
          <w:rFonts w:asciiTheme="majorHAnsi" w:eastAsia="Calibri" w:hAnsiTheme="majorHAnsi"/>
          <w:sz w:val="20"/>
          <w:szCs w:val="22"/>
          <w:bdr w:val="none" w:sz="0" w:space="0" w:color="auto"/>
          <w:lang w:val="es-ES"/>
        </w:rPr>
        <w:t xml:space="preserve"> </w:t>
      </w:r>
    </w:p>
    <w:p w:rsidR="00FE03A1" w:rsidRPr="00A16D62" w:rsidRDefault="00FE03A1" w:rsidP="00FE03A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FE03A1" w:rsidRPr="00A16D62" w:rsidRDefault="00180125" w:rsidP="00FE03A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Los peticionarios</w:t>
      </w:r>
      <w:r w:rsidR="00FE03A1" w:rsidRPr="00A16D62">
        <w:rPr>
          <w:rFonts w:ascii="Cambria" w:eastAsia="Times New Roman" w:hAnsi="Cambria"/>
          <w:bCs/>
          <w:sz w:val="20"/>
          <w:szCs w:val="20"/>
          <w:bdr w:val="none" w:sz="0" w:space="0" w:color="auto"/>
          <w:lang w:val="es-ES"/>
        </w:rPr>
        <w:t xml:space="preserve"> </w:t>
      </w:r>
      <w:r w:rsidR="00AA7538" w:rsidRPr="00A16D62">
        <w:rPr>
          <w:rFonts w:ascii="Cambria" w:eastAsia="Times New Roman" w:hAnsi="Cambria"/>
          <w:bCs/>
          <w:sz w:val="20"/>
          <w:szCs w:val="20"/>
          <w:bdr w:val="none" w:sz="0" w:space="0" w:color="auto"/>
          <w:lang w:val="es-ES"/>
        </w:rPr>
        <w:t>afirman que</w:t>
      </w:r>
      <w:r w:rsidR="00FE03A1"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el Estado</w:t>
      </w:r>
      <w:r w:rsidR="00FE03A1" w:rsidRPr="00A16D62">
        <w:rPr>
          <w:rFonts w:ascii="Cambria" w:eastAsia="Times New Roman" w:hAnsi="Cambria"/>
          <w:bCs/>
          <w:sz w:val="20"/>
          <w:szCs w:val="20"/>
          <w:bdr w:val="none" w:sz="0" w:space="0" w:color="auto"/>
          <w:lang w:val="es-ES"/>
        </w:rPr>
        <w:t xml:space="preserve"> ha</w:t>
      </w:r>
      <w:r w:rsidR="00AA7538" w:rsidRPr="00A16D62">
        <w:rPr>
          <w:rFonts w:ascii="Cambria" w:eastAsia="Times New Roman" w:hAnsi="Cambria"/>
          <w:bCs/>
          <w:sz w:val="20"/>
          <w:szCs w:val="20"/>
          <w:bdr w:val="none" w:sz="0" w:space="0" w:color="auto"/>
          <w:lang w:val="es-ES"/>
        </w:rPr>
        <w:t xml:space="preserve"> violado los derechos de los señores</w:t>
      </w:r>
      <w:r w:rsidR="00FE03A1" w:rsidRPr="00A16D62">
        <w:rPr>
          <w:rFonts w:ascii="Cambria" w:eastAsia="Times New Roman" w:hAnsi="Cambria"/>
          <w:bCs/>
          <w:sz w:val="20"/>
          <w:szCs w:val="20"/>
          <w:bdr w:val="none" w:sz="0" w:space="0" w:color="auto"/>
          <w:lang w:val="es-ES"/>
        </w:rPr>
        <w:t xml:space="preserve"> Zumaya </w:t>
      </w:r>
      <w:r w:rsidR="00AA7538" w:rsidRPr="00A16D62">
        <w:rPr>
          <w:rFonts w:ascii="Cambria" w:eastAsia="Times New Roman" w:hAnsi="Cambria"/>
          <w:bCs/>
          <w:sz w:val="20"/>
          <w:szCs w:val="20"/>
          <w:bdr w:val="none" w:sz="0" w:space="0" w:color="auto"/>
          <w:lang w:val="es-ES"/>
        </w:rPr>
        <w:t>y</w:t>
      </w:r>
      <w:r w:rsidR="00FE03A1" w:rsidRPr="00A16D62">
        <w:rPr>
          <w:rFonts w:ascii="Cambria" w:eastAsia="Times New Roman" w:hAnsi="Cambria"/>
          <w:bCs/>
          <w:sz w:val="20"/>
          <w:szCs w:val="20"/>
          <w:bdr w:val="none" w:sz="0" w:space="0" w:color="auto"/>
          <w:lang w:val="es-ES"/>
        </w:rPr>
        <w:t xml:space="preserve"> Lizalde </w:t>
      </w:r>
      <w:r w:rsidR="00AA7538" w:rsidRPr="00A16D62">
        <w:rPr>
          <w:rFonts w:ascii="Cambria" w:eastAsia="Times New Roman" w:hAnsi="Cambria"/>
          <w:bCs/>
          <w:sz w:val="20"/>
          <w:szCs w:val="20"/>
          <w:bdr w:val="none" w:sz="0" w:space="0" w:color="auto"/>
          <w:lang w:val="es-ES"/>
        </w:rPr>
        <w:t xml:space="preserve">amparados en varios </w:t>
      </w:r>
      <w:r w:rsidR="00811F92" w:rsidRPr="00A16D62">
        <w:rPr>
          <w:rFonts w:ascii="Cambria" w:eastAsia="Times New Roman" w:hAnsi="Cambria"/>
          <w:bCs/>
          <w:sz w:val="20"/>
          <w:szCs w:val="20"/>
          <w:bdr w:val="none" w:sz="0" w:space="0" w:color="auto"/>
          <w:lang w:val="es-ES"/>
        </w:rPr>
        <w:t>artículo</w:t>
      </w:r>
      <w:r w:rsidR="00FE03A1" w:rsidRPr="00A16D62">
        <w:rPr>
          <w:rFonts w:ascii="Cambria" w:eastAsia="Times New Roman" w:hAnsi="Cambria"/>
          <w:bCs/>
          <w:sz w:val="20"/>
          <w:szCs w:val="20"/>
          <w:bdr w:val="none" w:sz="0" w:space="0" w:color="auto"/>
          <w:lang w:val="es-ES"/>
        </w:rPr>
        <w:t xml:space="preserve">s </w:t>
      </w:r>
      <w:r w:rsidR="00AA7538"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 xml:space="preserve">Tal como se concluye en el </w:t>
      </w:r>
      <w:r w:rsidR="00256794" w:rsidRPr="00A16D62">
        <w:rPr>
          <w:rFonts w:ascii="Cambria" w:eastAsia="Times New Roman" w:hAnsi="Cambria"/>
          <w:bCs/>
          <w:sz w:val="20"/>
          <w:szCs w:val="20"/>
          <w:bdr w:val="none" w:sz="0" w:space="0" w:color="auto"/>
          <w:lang w:val="es-ES"/>
        </w:rPr>
        <w:t xml:space="preserve">informe de </w:t>
      </w:r>
      <w:r w:rsidR="00256794" w:rsidRPr="00A16D62">
        <w:rPr>
          <w:rFonts w:ascii="Cambria" w:eastAsia="Times New Roman" w:hAnsi="Cambria"/>
          <w:bCs/>
          <w:sz w:val="20"/>
          <w:szCs w:val="20"/>
          <w:bdr w:val="none" w:sz="0" w:space="0" w:color="auto"/>
          <w:lang w:val="es-ES"/>
        </w:rPr>
        <w:lastRenderedPageBreak/>
        <w:t>admisibilidad</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en este asunto</w:t>
      </w:r>
      <w:r w:rsidR="00FE03A1" w:rsidRPr="00A16D62">
        <w:rPr>
          <w:rFonts w:ascii="Cambria" w:eastAsia="Times New Roman" w:hAnsi="Cambria"/>
          <w:bCs/>
          <w:sz w:val="20"/>
          <w:szCs w:val="20"/>
          <w:bdr w:val="none" w:sz="0" w:space="0" w:color="auto"/>
          <w:lang w:val="es-ES"/>
        </w:rPr>
        <w:t xml:space="preserve">, </w:t>
      </w:r>
      <w:r w:rsidR="001C1F5D" w:rsidRPr="00A16D62">
        <w:rPr>
          <w:rFonts w:ascii="Cambria" w:eastAsia="Times New Roman" w:hAnsi="Cambria"/>
          <w:bCs/>
          <w:sz w:val="20"/>
          <w:szCs w:val="20"/>
          <w:bdr w:val="none" w:sz="0" w:space="0" w:color="auto"/>
          <w:lang w:val="es-ES"/>
        </w:rPr>
        <w:t>la CIDH</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e</w:t>
      </w:r>
      <w:r w:rsidR="00FE03A1" w:rsidRPr="00A16D62">
        <w:rPr>
          <w:rFonts w:ascii="Cambria" w:eastAsia="Times New Roman" w:hAnsi="Cambria"/>
          <w:bCs/>
          <w:sz w:val="20"/>
          <w:szCs w:val="20"/>
          <w:bdr w:val="none" w:sz="0" w:space="0" w:color="auto"/>
          <w:lang w:val="es-ES"/>
        </w:rPr>
        <w:t>s competent</w:t>
      </w:r>
      <w:r w:rsidR="00045C16" w:rsidRPr="00A16D62">
        <w:rPr>
          <w:rFonts w:ascii="Cambria" w:eastAsia="Times New Roman" w:hAnsi="Cambria"/>
          <w:bCs/>
          <w:sz w:val="20"/>
          <w:szCs w:val="20"/>
          <w:bdr w:val="none" w:sz="0" w:space="0" w:color="auto"/>
          <w:lang w:val="es-ES"/>
        </w:rPr>
        <w:t xml:space="preserve">e para examinar estas acusaciones contra </w:t>
      </w:r>
      <w:r w:rsidR="007E4498" w:rsidRPr="00A16D62">
        <w:rPr>
          <w:rFonts w:ascii="Cambria" w:eastAsia="Times New Roman" w:hAnsi="Cambria"/>
          <w:bCs/>
          <w:sz w:val="20"/>
          <w:szCs w:val="20"/>
          <w:bdr w:val="none" w:sz="0" w:space="0" w:color="auto"/>
          <w:lang w:val="es-ES"/>
        </w:rPr>
        <w:t>Estados Unidos</w:t>
      </w:r>
      <w:r w:rsidR="00045C16" w:rsidRPr="00A16D62">
        <w:rPr>
          <w:rFonts w:ascii="Cambria" w:eastAsia="Times New Roman" w:hAnsi="Cambria"/>
          <w:bCs/>
          <w:sz w:val="20"/>
          <w:szCs w:val="20"/>
          <w:bdr w:val="none" w:sz="0" w:space="0" w:color="auto"/>
          <w:lang w:val="es-ES"/>
        </w:rPr>
        <w:t xml:space="preserve"> y pronunciarse al respecto</w:t>
      </w:r>
      <w:r w:rsidR="00FE03A1" w:rsidRPr="00A16D62">
        <w:rPr>
          <w:rFonts w:ascii="Cambria" w:eastAsia="Times New Roman" w:hAnsi="Cambria"/>
          <w:bCs/>
          <w:sz w:val="20"/>
          <w:szCs w:val="20"/>
          <w:bdr w:val="none" w:sz="0" w:space="0" w:color="auto"/>
          <w:lang w:val="es-ES"/>
        </w:rPr>
        <w:t xml:space="preserve">. </w:t>
      </w:r>
      <w:r w:rsidR="00DD7722" w:rsidRPr="00A16D62">
        <w:rPr>
          <w:rFonts w:ascii="Cambria" w:eastAsia="Times New Roman" w:hAnsi="Cambria"/>
          <w:bCs/>
          <w:sz w:val="20"/>
          <w:szCs w:val="20"/>
          <w:bdr w:val="none" w:sz="0" w:space="0" w:color="auto"/>
          <w:lang w:val="es-ES"/>
        </w:rPr>
        <w:t>La Declaración</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 xml:space="preserve">es una fuente de obligaciones jurídicas que </w:t>
      </w:r>
      <w:r w:rsidRPr="00A16D62">
        <w:rPr>
          <w:rFonts w:ascii="Cambria" w:eastAsia="Times New Roman" w:hAnsi="Cambria"/>
          <w:bCs/>
          <w:sz w:val="20"/>
          <w:szCs w:val="20"/>
          <w:bdr w:val="none" w:sz="0" w:space="0" w:color="auto"/>
          <w:lang w:val="es-ES"/>
        </w:rPr>
        <w:t>la Comisión Interamericana</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 xml:space="preserve">aplica a </w:t>
      </w:r>
      <w:r w:rsidR="007E4498" w:rsidRPr="00A16D62">
        <w:rPr>
          <w:rFonts w:ascii="Cambria" w:eastAsia="Times New Roman" w:hAnsi="Cambria"/>
          <w:bCs/>
          <w:sz w:val="20"/>
          <w:szCs w:val="20"/>
          <w:bdr w:val="none" w:sz="0" w:space="0" w:color="auto"/>
          <w:lang w:val="es-ES"/>
        </w:rPr>
        <w:t>Estados Unidos</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 xml:space="preserve">sobre la base de su compromiso de defender el respeto de los </w:t>
      </w:r>
      <w:r w:rsidR="006F4DC1" w:rsidRPr="00A16D62">
        <w:rPr>
          <w:rFonts w:ascii="Cambria" w:eastAsia="Times New Roman" w:hAnsi="Cambria"/>
          <w:bCs/>
          <w:sz w:val="20"/>
          <w:szCs w:val="20"/>
          <w:bdr w:val="none" w:sz="0" w:space="0" w:color="auto"/>
          <w:lang w:val="es-ES"/>
        </w:rPr>
        <w:t>derechos humanos</w:t>
      </w:r>
      <w:r w:rsidR="00C9403E"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de acuerdo con lo dispuesto en la Carta de la Organización de los Estados Americanos</w:t>
      </w:r>
      <w:r w:rsidR="00C9403E" w:rsidRPr="00A16D62">
        <w:rPr>
          <w:rFonts w:ascii="Cambria" w:eastAsia="Times New Roman" w:hAnsi="Cambria"/>
          <w:bCs/>
          <w:sz w:val="20"/>
          <w:szCs w:val="20"/>
          <w:bdr w:val="none" w:sz="0" w:space="0" w:color="auto"/>
          <w:lang w:val="es-ES"/>
        </w:rPr>
        <w:t xml:space="preserve"> (O</w:t>
      </w:r>
      <w:r w:rsidR="00045C16" w:rsidRPr="00A16D62">
        <w:rPr>
          <w:rFonts w:ascii="Cambria" w:eastAsia="Times New Roman" w:hAnsi="Cambria"/>
          <w:bCs/>
          <w:sz w:val="20"/>
          <w:szCs w:val="20"/>
          <w:bdr w:val="none" w:sz="0" w:space="0" w:color="auto"/>
          <w:lang w:val="es-ES"/>
        </w:rPr>
        <w:t>EA</w:t>
      </w:r>
      <w:r w:rsidR="00C9403E" w:rsidRPr="00A16D62">
        <w:rPr>
          <w:rFonts w:ascii="Cambria" w:eastAsia="Times New Roman" w:hAnsi="Cambria"/>
          <w:bCs/>
          <w:sz w:val="20"/>
          <w:szCs w:val="20"/>
          <w:bdr w:val="none" w:sz="0" w:space="0" w:color="auto"/>
          <w:lang w:val="es-ES"/>
        </w:rPr>
        <w:t xml:space="preserve">). </w:t>
      </w:r>
      <w:r w:rsidR="007E4498" w:rsidRPr="00A16D62">
        <w:rPr>
          <w:rFonts w:ascii="Cambria" w:eastAsia="Times New Roman" w:hAnsi="Cambria"/>
          <w:bCs/>
          <w:sz w:val="20"/>
          <w:szCs w:val="20"/>
          <w:bdr w:val="none" w:sz="0" w:space="0" w:color="auto"/>
          <w:lang w:val="es-ES"/>
        </w:rPr>
        <w:t>Estados Unidos</w:t>
      </w:r>
      <w:r w:rsidR="00FE03A1" w:rsidRPr="00A16D62">
        <w:rPr>
          <w:rFonts w:ascii="Cambria" w:eastAsia="Times New Roman" w:hAnsi="Cambria"/>
          <w:bCs/>
          <w:sz w:val="20"/>
          <w:szCs w:val="20"/>
          <w:bdr w:val="none" w:sz="0" w:space="0" w:color="auto"/>
          <w:lang w:val="es-ES"/>
        </w:rPr>
        <w:t xml:space="preserve"> deposit</w:t>
      </w:r>
      <w:r w:rsidR="00045C16" w:rsidRPr="00A16D62">
        <w:rPr>
          <w:rFonts w:ascii="Cambria" w:eastAsia="Times New Roman" w:hAnsi="Cambria"/>
          <w:bCs/>
          <w:sz w:val="20"/>
          <w:szCs w:val="20"/>
          <w:bdr w:val="none" w:sz="0" w:space="0" w:color="auto"/>
          <w:lang w:val="es-ES"/>
        </w:rPr>
        <w:t xml:space="preserve">ó su </w:t>
      </w:r>
      <w:r w:rsidR="00FE03A1" w:rsidRPr="00A16D62">
        <w:rPr>
          <w:rFonts w:ascii="Cambria" w:eastAsia="Times New Roman" w:hAnsi="Cambria"/>
          <w:bCs/>
          <w:sz w:val="20"/>
          <w:szCs w:val="20"/>
          <w:bdr w:val="none" w:sz="0" w:space="0" w:color="auto"/>
          <w:lang w:val="es-ES"/>
        </w:rPr>
        <w:t>instrument</w:t>
      </w:r>
      <w:r w:rsidR="00045C16" w:rsidRPr="00A16D62">
        <w:rPr>
          <w:rFonts w:ascii="Cambria" w:eastAsia="Times New Roman" w:hAnsi="Cambria"/>
          <w:bCs/>
          <w:sz w:val="20"/>
          <w:szCs w:val="20"/>
          <w:bdr w:val="none" w:sz="0" w:space="0" w:color="auto"/>
          <w:lang w:val="es-ES"/>
        </w:rPr>
        <w:t xml:space="preserve">o de ratificación de la Carta de la OEA el </w:t>
      </w:r>
      <w:r w:rsidR="009B4783" w:rsidRPr="00A16D62">
        <w:rPr>
          <w:rFonts w:ascii="Cambria" w:eastAsia="Times New Roman" w:hAnsi="Cambria"/>
          <w:bCs/>
          <w:sz w:val="20"/>
          <w:szCs w:val="20"/>
          <w:bdr w:val="none" w:sz="0" w:space="0" w:color="auto"/>
          <w:lang w:val="es-ES"/>
        </w:rPr>
        <w:t>19</w:t>
      </w:r>
      <w:r w:rsidR="00045C16" w:rsidRPr="00A16D62">
        <w:rPr>
          <w:rFonts w:ascii="Cambria" w:eastAsia="Times New Roman" w:hAnsi="Cambria"/>
          <w:bCs/>
          <w:sz w:val="20"/>
          <w:szCs w:val="20"/>
          <w:bdr w:val="none" w:sz="0" w:space="0" w:color="auto"/>
          <w:lang w:val="es-ES"/>
        </w:rPr>
        <w:t xml:space="preserve"> de junio de</w:t>
      </w:r>
      <w:r w:rsidR="009B4783" w:rsidRPr="00A16D62">
        <w:rPr>
          <w:rFonts w:ascii="Cambria" w:eastAsia="Times New Roman" w:hAnsi="Cambria"/>
          <w:bCs/>
          <w:sz w:val="20"/>
          <w:szCs w:val="20"/>
          <w:bdr w:val="none" w:sz="0" w:space="0" w:color="auto"/>
          <w:lang w:val="es-ES"/>
        </w:rPr>
        <w:t xml:space="preserve"> 1951</w:t>
      </w:r>
      <w:r w:rsidR="00FE03A1" w:rsidRPr="00A16D62">
        <w:rPr>
          <w:rFonts w:ascii="Cambria" w:eastAsia="Times New Roman" w:hAnsi="Cambria"/>
          <w:bCs/>
          <w:sz w:val="20"/>
          <w:szCs w:val="20"/>
          <w:bdr w:val="none" w:sz="0" w:space="0" w:color="auto"/>
          <w:lang w:val="es-ES"/>
        </w:rPr>
        <w:t>.</w:t>
      </w:r>
      <w:r w:rsidR="00CC3419">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 xml:space="preserve">El </w:t>
      </w:r>
      <w:r w:rsidR="00811F92" w:rsidRPr="00A16D62">
        <w:rPr>
          <w:rFonts w:ascii="Cambria" w:eastAsia="Times New Roman" w:hAnsi="Cambria"/>
          <w:bCs/>
          <w:sz w:val="20"/>
          <w:szCs w:val="20"/>
          <w:bdr w:val="none" w:sz="0" w:space="0" w:color="auto"/>
          <w:lang w:val="es-ES"/>
        </w:rPr>
        <w:t>artículo</w:t>
      </w:r>
      <w:r w:rsidR="00FE03A1" w:rsidRPr="00A16D62">
        <w:rPr>
          <w:rFonts w:ascii="Cambria" w:eastAsia="Times New Roman" w:hAnsi="Cambria"/>
          <w:bCs/>
          <w:sz w:val="20"/>
          <w:szCs w:val="20"/>
          <w:bdr w:val="none" w:sz="0" w:space="0" w:color="auto"/>
          <w:lang w:val="es-ES"/>
        </w:rPr>
        <w:t xml:space="preserve"> 20 </w:t>
      </w:r>
      <w:r w:rsidR="00045C16" w:rsidRPr="00A16D62">
        <w:rPr>
          <w:rFonts w:ascii="Cambria" w:eastAsia="Times New Roman" w:hAnsi="Cambria"/>
          <w:bCs/>
          <w:sz w:val="20"/>
          <w:szCs w:val="20"/>
          <w:bdr w:val="none" w:sz="0" w:space="0" w:color="auto"/>
          <w:lang w:val="es-ES"/>
        </w:rPr>
        <w:t xml:space="preserve">del Estatuto de </w:t>
      </w:r>
      <w:r w:rsidRPr="00A16D62">
        <w:rPr>
          <w:rFonts w:ascii="Cambria" w:eastAsia="Times New Roman" w:hAnsi="Cambria"/>
          <w:bCs/>
          <w:sz w:val="20"/>
          <w:szCs w:val="20"/>
          <w:bdr w:val="none" w:sz="0" w:space="0" w:color="auto"/>
          <w:lang w:val="es-ES"/>
        </w:rPr>
        <w:t>la Comisión Interamericana</w:t>
      </w:r>
      <w:r w:rsidR="00045C16" w:rsidRPr="00A16D62">
        <w:rPr>
          <w:rFonts w:ascii="Cambria" w:eastAsia="Times New Roman" w:hAnsi="Cambria"/>
          <w:bCs/>
          <w:sz w:val="20"/>
          <w:szCs w:val="20"/>
          <w:bdr w:val="none" w:sz="0" w:space="0" w:color="auto"/>
          <w:lang w:val="es-ES"/>
        </w:rPr>
        <w:t xml:space="preserve">, así como el </w:t>
      </w:r>
      <w:r w:rsidR="009A5408" w:rsidRPr="00A16D62">
        <w:rPr>
          <w:rFonts w:ascii="Cambria" w:eastAsia="Times New Roman" w:hAnsi="Cambria"/>
          <w:bCs/>
          <w:sz w:val="20"/>
          <w:szCs w:val="20"/>
          <w:bdr w:val="none" w:sz="0" w:space="0" w:color="auto"/>
          <w:lang w:val="es-ES"/>
        </w:rPr>
        <w:t>Reglamento</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de</w:t>
      </w:r>
      <w:r w:rsidR="00FE03A1"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la Comisión Interamericana</w:t>
      </w:r>
      <w:r w:rsidR="00FE03A1" w:rsidRPr="00A16D62">
        <w:rPr>
          <w:rFonts w:ascii="Cambria" w:eastAsia="Times New Roman" w:hAnsi="Cambria"/>
          <w:bCs/>
          <w:sz w:val="20"/>
          <w:szCs w:val="20"/>
          <w:bdr w:val="none" w:sz="0" w:space="0" w:color="auto"/>
          <w:lang w:val="es-ES"/>
        </w:rPr>
        <w:t>, aut</w:t>
      </w:r>
      <w:r w:rsidR="00045C16" w:rsidRPr="00A16D62">
        <w:rPr>
          <w:rFonts w:ascii="Cambria" w:eastAsia="Times New Roman" w:hAnsi="Cambria"/>
          <w:bCs/>
          <w:sz w:val="20"/>
          <w:szCs w:val="20"/>
          <w:bdr w:val="none" w:sz="0" w:space="0" w:color="auto"/>
          <w:lang w:val="es-ES"/>
        </w:rPr>
        <w:t xml:space="preserve">orizan a </w:t>
      </w:r>
      <w:r w:rsidR="001C1F5D" w:rsidRPr="00A16D62">
        <w:rPr>
          <w:rFonts w:ascii="Cambria" w:eastAsia="Times New Roman" w:hAnsi="Cambria"/>
          <w:bCs/>
          <w:sz w:val="20"/>
          <w:szCs w:val="20"/>
          <w:bdr w:val="none" w:sz="0" w:space="0" w:color="auto"/>
          <w:lang w:val="es-ES"/>
        </w:rPr>
        <w:t>la CIDH</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 xml:space="preserve">a examinar las presuntas violaciones de la </w:t>
      </w:r>
      <w:r w:rsidR="00DD7722" w:rsidRPr="00A16D62">
        <w:rPr>
          <w:rFonts w:ascii="Cambria" w:eastAsia="Times New Roman" w:hAnsi="Cambria"/>
          <w:bCs/>
          <w:sz w:val="20"/>
          <w:szCs w:val="20"/>
          <w:bdr w:val="none" w:sz="0" w:space="0" w:color="auto"/>
          <w:lang w:val="es-ES"/>
        </w:rPr>
        <w:t>Declaración</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 xml:space="preserve">planteadas por </w:t>
      </w:r>
      <w:r w:rsidRPr="00A16D62">
        <w:rPr>
          <w:rFonts w:ascii="Cambria" w:eastAsia="Times New Roman" w:hAnsi="Cambria"/>
          <w:bCs/>
          <w:sz w:val="20"/>
          <w:szCs w:val="20"/>
          <w:bdr w:val="none" w:sz="0" w:space="0" w:color="auto"/>
          <w:lang w:val="es-ES"/>
        </w:rPr>
        <w:t>los peticionarios</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 xml:space="preserve">en relación con </w:t>
      </w:r>
      <w:r w:rsidRPr="00A16D62">
        <w:rPr>
          <w:rFonts w:ascii="Cambria" w:eastAsia="Times New Roman" w:hAnsi="Cambria"/>
          <w:bCs/>
          <w:sz w:val="20"/>
          <w:szCs w:val="20"/>
          <w:bdr w:val="none" w:sz="0" w:space="0" w:color="auto"/>
          <w:lang w:val="es-ES"/>
        </w:rPr>
        <w:t>el Estado</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 xml:space="preserve">que se relacionan con actos u omisiones ocurridos después que </w:t>
      </w:r>
      <w:r w:rsidRPr="00A16D62">
        <w:rPr>
          <w:rFonts w:ascii="Cambria" w:eastAsia="Times New Roman" w:hAnsi="Cambria"/>
          <w:bCs/>
          <w:sz w:val="20"/>
          <w:szCs w:val="20"/>
          <w:bdr w:val="none" w:sz="0" w:space="0" w:color="auto"/>
          <w:lang w:val="es-ES"/>
        </w:rPr>
        <w:t>el Estado</w:t>
      </w:r>
      <w:r w:rsidR="00FE03A1" w:rsidRPr="00A16D62">
        <w:rPr>
          <w:rFonts w:ascii="Cambria" w:eastAsia="Times New Roman" w:hAnsi="Cambria"/>
          <w:bCs/>
          <w:sz w:val="20"/>
          <w:szCs w:val="20"/>
          <w:bdr w:val="none" w:sz="0" w:space="0" w:color="auto"/>
          <w:lang w:val="es-ES"/>
        </w:rPr>
        <w:t xml:space="preserve"> </w:t>
      </w:r>
      <w:r w:rsidR="00045C16" w:rsidRPr="00A16D62">
        <w:rPr>
          <w:rFonts w:ascii="Cambria" w:eastAsia="Times New Roman" w:hAnsi="Cambria"/>
          <w:bCs/>
          <w:sz w:val="20"/>
          <w:szCs w:val="20"/>
          <w:bdr w:val="none" w:sz="0" w:space="0" w:color="auto"/>
          <w:lang w:val="es-ES"/>
        </w:rPr>
        <w:t>se incorporó a la OEA.</w:t>
      </w:r>
    </w:p>
    <w:p w:rsidR="00D07A23" w:rsidRPr="00A16D62" w:rsidRDefault="00D07A23" w:rsidP="00D07A23">
      <w:pPr>
        <w:rPr>
          <w:rFonts w:eastAsia="Times New Roman"/>
          <w:bCs/>
          <w:sz w:val="20"/>
          <w:szCs w:val="20"/>
          <w:bdr w:val="none" w:sz="0" w:space="0" w:color="auto"/>
          <w:lang w:val="es-ES"/>
        </w:rPr>
      </w:pPr>
    </w:p>
    <w:p w:rsidR="00D07A23" w:rsidRPr="00A16D62" w:rsidRDefault="009A5408" w:rsidP="00A76BB1">
      <w:pPr>
        <w:pStyle w:val="Heading2"/>
        <w:numPr>
          <w:ilvl w:val="0"/>
          <w:numId w:val="58"/>
        </w:numPr>
        <w:ind w:left="1440" w:hanging="720"/>
        <w:rPr>
          <w:lang w:val="es-ES"/>
        </w:rPr>
      </w:pPr>
      <w:bookmarkStart w:id="26" w:name="_Toc467138448"/>
      <w:r w:rsidRPr="00A16D62">
        <w:rPr>
          <w:lang w:val="es-ES"/>
        </w:rPr>
        <w:t>Derecho de igualdad ante la ley</w:t>
      </w:r>
      <w:r w:rsidR="005D4874" w:rsidRPr="00A16D62">
        <w:rPr>
          <w:lang w:val="es-ES"/>
        </w:rPr>
        <w:t xml:space="preserve"> (</w:t>
      </w:r>
      <w:r w:rsidR="00811F92" w:rsidRPr="00A16D62">
        <w:rPr>
          <w:lang w:val="es-ES"/>
        </w:rPr>
        <w:t>artículo</w:t>
      </w:r>
      <w:r w:rsidR="005D4874" w:rsidRPr="00A16D62">
        <w:rPr>
          <w:lang w:val="es-ES"/>
        </w:rPr>
        <w:t xml:space="preserve"> II </w:t>
      </w:r>
      <w:r w:rsidR="00811F92" w:rsidRPr="00A16D62">
        <w:rPr>
          <w:lang w:val="es-ES"/>
        </w:rPr>
        <w:t>de la</w:t>
      </w:r>
      <w:r w:rsidR="00D07A23" w:rsidRPr="00A16D62">
        <w:rPr>
          <w:lang w:val="es-ES"/>
        </w:rPr>
        <w:t xml:space="preserve"> </w:t>
      </w:r>
      <w:r w:rsidR="00811F92" w:rsidRPr="00A16D62">
        <w:rPr>
          <w:lang w:val="es-ES"/>
        </w:rPr>
        <w:t>Declaración Americana</w:t>
      </w:r>
      <w:r w:rsidR="00D07A23" w:rsidRPr="00A16D62">
        <w:rPr>
          <w:lang w:val="es-ES"/>
        </w:rPr>
        <w:t>)</w:t>
      </w:r>
      <w:bookmarkEnd w:id="26"/>
    </w:p>
    <w:p w:rsidR="00D07A23" w:rsidRPr="00A16D62" w:rsidRDefault="00D07A23" w:rsidP="00D07A23">
      <w:pPr>
        <w:rPr>
          <w:rFonts w:eastAsia="Times New Roman"/>
          <w:bCs/>
          <w:sz w:val="20"/>
          <w:szCs w:val="20"/>
          <w:bdr w:val="none" w:sz="0" w:space="0" w:color="auto"/>
          <w:lang w:val="es-ES"/>
        </w:rPr>
      </w:pPr>
    </w:p>
    <w:p w:rsidR="00144C41" w:rsidRPr="00A16D62" w:rsidRDefault="00811F92" w:rsidP="00C15B5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El artículo</w:t>
      </w:r>
      <w:r w:rsidR="005D4874" w:rsidRPr="00A16D62">
        <w:rPr>
          <w:rFonts w:ascii="Cambria" w:eastAsia="Times New Roman" w:hAnsi="Cambria"/>
          <w:bCs/>
          <w:sz w:val="20"/>
          <w:szCs w:val="20"/>
          <w:bdr w:val="none" w:sz="0" w:space="0" w:color="auto"/>
          <w:lang w:val="es-ES"/>
        </w:rPr>
        <w:t xml:space="preserve"> II </w:t>
      </w:r>
      <w:r w:rsidR="002A7BC2" w:rsidRPr="00A16D62">
        <w:rPr>
          <w:rFonts w:ascii="Cambria" w:eastAsia="Times New Roman" w:hAnsi="Cambria"/>
          <w:bCs/>
          <w:sz w:val="20"/>
          <w:szCs w:val="20"/>
          <w:bdr w:val="none" w:sz="0" w:space="0" w:color="auto"/>
          <w:lang w:val="es-ES"/>
        </w:rPr>
        <w:t xml:space="preserve">de la </w:t>
      </w:r>
      <w:r w:rsidRPr="00A16D62">
        <w:rPr>
          <w:rFonts w:ascii="Cambria" w:eastAsia="Times New Roman" w:hAnsi="Cambria"/>
          <w:bCs/>
          <w:sz w:val="20"/>
          <w:szCs w:val="20"/>
          <w:bdr w:val="none" w:sz="0" w:space="0" w:color="auto"/>
          <w:lang w:val="es-ES"/>
        </w:rPr>
        <w:t>Declaración Americana</w:t>
      </w:r>
      <w:r w:rsidR="00144C41"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dispone lo siguiente:</w:t>
      </w:r>
    </w:p>
    <w:p w:rsidR="00144C41" w:rsidRPr="00A16D62" w:rsidRDefault="00144C41" w:rsidP="00144C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D07A23" w:rsidRPr="00A16D62" w:rsidRDefault="00A06BFC" w:rsidP="00AD198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A</w:t>
      </w:r>
      <w:r w:rsidR="00811F92" w:rsidRPr="00A16D62">
        <w:rPr>
          <w:rFonts w:ascii="Cambria" w:eastAsia="Times New Roman" w:hAnsi="Cambria"/>
          <w:bCs/>
          <w:sz w:val="20"/>
          <w:szCs w:val="20"/>
          <w:bdr w:val="none" w:sz="0" w:space="0" w:color="auto"/>
          <w:lang w:val="es-ES"/>
        </w:rPr>
        <w:t>rtículo</w:t>
      </w:r>
      <w:r w:rsidR="00960976" w:rsidRPr="00A16D62">
        <w:rPr>
          <w:rFonts w:ascii="Cambria" w:eastAsia="Times New Roman" w:hAnsi="Cambria"/>
          <w:bCs/>
          <w:sz w:val="20"/>
          <w:szCs w:val="20"/>
          <w:bdr w:val="none" w:sz="0" w:space="0" w:color="auto"/>
          <w:lang w:val="es-ES"/>
        </w:rPr>
        <w:t xml:space="preserve"> I</w:t>
      </w:r>
      <w:r w:rsidR="00AD1988" w:rsidRPr="00A16D62">
        <w:rPr>
          <w:rFonts w:ascii="Cambria" w:eastAsia="Times New Roman" w:hAnsi="Cambria"/>
          <w:bCs/>
          <w:sz w:val="20"/>
          <w:szCs w:val="20"/>
          <w:bdr w:val="none" w:sz="0" w:space="0" w:color="auto"/>
          <w:lang w:val="es-ES"/>
        </w:rPr>
        <w:t xml:space="preserve">I. </w:t>
      </w:r>
      <w:r w:rsidR="00811F92" w:rsidRPr="00A16D62">
        <w:rPr>
          <w:rFonts w:ascii="Cambria" w:eastAsia="Times New Roman" w:hAnsi="Cambria"/>
          <w:bCs/>
          <w:sz w:val="20"/>
          <w:szCs w:val="20"/>
          <w:bdr w:val="none" w:sz="0" w:space="0" w:color="auto"/>
          <w:lang w:val="es-ES"/>
        </w:rPr>
        <w:t>Todas las personas son iguales ante la Ley y tienen los derechos y deberes consagrados en esta declaración sin distinción de raza, sexo, idioma, credo ni otra alguna</w:t>
      </w:r>
      <w:r w:rsidR="00AD1988" w:rsidRPr="00A16D62">
        <w:rPr>
          <w:rFonts w:ascii="Cambria" w:eastAsia="Times New Roman" w:hAnsi="Cambria"/>
          <w:bCs/>
          <w:sz w:val="20"/>
          <w:szCs w:val="20"/>
          <w:bdr w:val="none" w:sz="0" w:space="0" w:color="auto"/>
          <w:lang w:val="es-ES"/>
        </w:rPr>
        <w:t>.</w:t>
      </w:r>
    </w:p>
    <w:p w:rsidR="00144C41" w:rsidRPr="00A16D62" w:rsidRDefault="00144C41" w:rsidP="003D4656">
      <w:pPr>
        <w:rPr>
          <w:rFonts w:eastAsia="Times New Roman"/>
          <w:bCs/>
          <w:sz w:val="20"/>
          <w:szCs w:val="20"/>
          <w:bdr w:val="none" w:sz="0" w:space="0" w:color="auto"/>
          <w:lang w:val="es-ES"/>
        </w:rPr>
      </w:pPr>
    </w:p>
    <w:p w:rsidR="00BF6442" w:rsidRPr="00A16D62" w:rsidRDefault="00180125" w:rsidP="00BF644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La Comisión</w:t>
      </w:r>
      <w:r w:rsidR="006C385C" w:rsidRPr="00A16D62">
        <w:rPr>
          <w:rFonts w:ascii="Cambria" w:eastAsia="Times New Roman" w:hAnsi="Cambria"/>
          <w:bCs/>
          <w:sz w:val="20"/>
          <w:szCs w:val="20"/>
          <w:bdr w:val="none" w:sz="0" w:space="0" w:color="auto"/>
          <w:lang w:val="es-ES"/>
        </w:rPr>
        <w:t xml:space="preserve"> ha</w:t>
      </w:r>
      <w:r w:rsidR="00113092" w:rsidRPr="00A16D62">
        <w:rPr>
          <w:rFonts w:ascii="Cambria" w:eastAsia="Times New Roman" w:hAnsi="Cambria"/>
          <w:bCs/>
          <w:sz w:val="20"/>
          <w:szCs w:val="20"/>
          <w:bdr w:val="none" w:sz="0" w:space="0" w:color="auto"/>
          <w:lang w:val="es-ES"/>
        </w:rPr>
        <w:t xml:space="preserve"> señalado repetidamente que el derecho a la igualdad y la </w:t>
      </w:r>
      <w:r w:rsidR="006C385C" w:rsidRPr="00A16D62">
        <w:rPr>
          <w:rFonts w:ascii="Cambria" w:eastAsia="Times New Roman" w:hAnsi="Cambria"/>
          <w:bCs/>
          <w:sz w:val="20"/>
          <w:szCs w:val="20"/>
          <w:bdr w:val="none" w:sz="0" w:space="0" w:color="auto"/>
          <w:lang w:val="es-ES"/>
        </w:rPr>
        <w:t>no</w:t>
      </w:r>
      <w:r w:rsidR="00113092" w:rsidRPr="00A16D62">
        <w:rPr>
          <w:rFonts w:ascii="Cambria" w:eastAsia="Times New Roman" w:hAnsi="Cambria"/>
          <w:bCs/>
          <w:sz w:val="20"/>
          <w:szCs w:val="20"/>
          <w:bdr w:val="none" w:sz="0" w:space="0" w:color="auto"/>
          <w:lang w:val="es-ES"/>
        </w:rPr>
        <w:t xml:space="preserve"> </w:t>
      </w:r>
      <w:r w:rsidR="00B8732F" w:rsidRPr="00A16D62">
        <w:rPr>
          <w:rFonts w:ascii="Cambria" w:eastAsia="Times New Roman" w:hAnsi="Cambria"/>
          <w:bCs/>
          <w:sz w:val="20"/>
          <w:szCs w:val="20"/>
          <w:bdr w:val="none" w:sz="0" w:space="0" w:color="auto"/>
          <w:lang w:val="es-ES"/>
        </w:rPr>
        <w:t>discriminación</w:t>
      </w:r>
      <w:r w:rsidR="006C385C" w:rsidRPr="00A16D62">
        <w:rPr>
          <w:rFonts w:ascii="Cambria" w:eastAsia="Times New Roman" w:hAnsi="Cambria"/>
          <w:bCs/>
          <w:sz w:val="20"/>
          <w:szCs w:val="20"/>
          <w:bdr w:val="none" w:sz="0" w:space="0" w:color="auto"/>
          <w:lang w:val="es-ES"/>
        </w:rPr>
        <w:t xml:space="preserve"> </w:t>
      </w:r>
      <w:r w:rsidR="00113092" w:rsidRPr="00A16D62">
        <w:rPr>
          <w:rFonts w:ascii="Cambria" w:eastAsia="Times New Roman" w:hAnsi="Cambria"/>
          <w:bCs/>
          <w:sz w:val="20"/>
          <w:szCs w:val="20"/>
          <w:bdr w:val="none" w:sz="0" w:space="0" w:color="auto"/>
          <w:lang w:val="es-ES"/>
        </w:rPr>
        <w:t xml:space="preserve">enunciado en el </w:t>
      </w:r>
      <w:r w:rsidR="00811F92" w:rsidRPr="00A16D62">
        <w:rPr>
          <w:rFonts w:ascii="Cambria" w:eastAsia="Times New Roman" w:hAnsi="Cambria"/>
          <w:bCs/>
          <w:sz w:val="20"/>
          <w:szCs w:val="20"/>
          <w:bdr w:val="none" w:sz="0" w:space="0" w:color="auto"/>
          <w:lang w:val="es-ES"/>
        </w:rPr>
        <w:t>artículo</w:t>
      </w:r>
      <w:r w:rsidR="006C385C" w:rsidRPr="00A16D62">
        <w:rPr>
          <w:rFonts w:ascii="Cambria" w:eastAsia="Times New Roman" w:hAnsi="Cambria"/>
          <w:bCs/>
          <w:sz w:val="20"/>
          <w:szCs w:val="20"/>
          <w:bdr w:val="none" w:sz="0" w:space="0" w:color="auto"/>
          <w:lang w:val="es-ES"/>
        </w:rPr>
        <w:t xml:space="preserve"> II </w:t>
      </w:r>
      <w:r w:rsidR="00113092" w:rsidRPr="00A16D62">
        <w:rPr>
          <w:rFonts w:ascii="Cambria" w:eastAsia="Times New Roman" w:hAnsi="Cambria"/>
          <w:bCs/>
          <w:sz w:val="20"/>
          <w:szCs w:val="20"/>
          <w:bdr w:val="none" w:sz="0" w:space="0" w:color="auto"/>
          <w:lang w:val="es-ES"/>
        </w:rPr>
        <w:t xml:space="preserve">es un principio </w:t>
      </w:r>
      <w:r w:rsidR="006C385C" w:rsidRPr="00A16D62">
        <w:rPr>
          <w:rFonts w:ascii="Cambria" w:eastAsia="Times New Roman" w:hAnsi="Cambria"/>
          <w:bCs/>
          <w:sz w:val="20"/>
          <w:szCs w:val="20"/>
          <w:bdr w:val="none" w:sz="0" w:space="0" w:color="auto"/>
          <w:lang w:val="es-ES"/>
        </w:rPr>
        <w:t xml:space="preserve">fundamental </w:t>
      </w:r>
      <w:r w:rsidR="00113092" w:rsidRPr="00A16D62">
        <w:rPr>
          <w:rFonts w:ascii="Cambria" w:eastAsia="Times New Roman" w:hAnsi="Cambria"/>
          <w:bCs/>
          <w:sz w:val="20"/>
          <w:szCs w:val="20"/>
          <w:bdr w:val="none" w:sz="0" w:space="0" w:color="auto"/>
          <w:lang w:val="es-ES"/>
        </w:rPr>
        <w:t xml:space="preserve">del </w:t>
      </w:r>
      <w:r w:rsidR="00811F92" w:rsidRPr="00A16D62">
        <w:rPr>
          <w:rFonts w:ascii="Cambria" w:eastAsia="Times New Roman" w:hAnsi="Cambria"/>
          <w:bCs/>
          <w:sz w:val="20"/>
          <w:szCs w:val="20"/>
          <w:bdr w:val="none" w:sz="0" w:space="0" w:color="auto"/>
          <w:lang w:val="es-ES"/>
        </w:rPr>
        <w:t>sistema interamericano de derechos humanos</w:t>
      </w:r>
      <w:r w:rsidR="008769E3" w:rsidRPr="00A16D62">
        <w:rPr>
          <w:rFonts w:ascii="Cambria" w:eastAsia="Times New Roman" w:hAnsi="Cambria"/>
          <w:bCs/>
          <w:sz w:val="20"/>
          <w:szCs w:val="20"/>
          <w:bdr w:val="none" w:sz="0" w:space="0" w:color="auto"/>
          <w:lang w:val="es-ES"/>
        </w:rPr>
        <w:t xml:space="preserve"> (“</w:t>
      </w:r>
      <w:r w:rsidR="00811F92" w:rsidRPr="00A16D62">
        <w:rPr>
          <w:rFonts w:ascii="Cambria" w:eastAsia="Times New Roman" w:hAnsi="Cambria"/>
          <w:bCs/>
          <w:sz w:val="20"/>
          <w:szCs w:val="20"/>
          <w:bdr w:val="none" w:sz="0" w:space="0" w:color="auto"/>
          <w:lang w:val="es-ES"/>
        </w:rPr>
        <w:t>SIDH</w:t>
      </w:r>
      <w:r w:rsidR="008769E3" w:rsidRPr="00A16D62">
        <w:rPr>
          <w:rFonts w:ascii="Cambria" w:eastAsia="Times New Roman" w:hAnsi="Cambria"/>
          <w:bCs/>
          <w:sz w:val="20"/>
          <w:szCs w:val="20"/>
          <w:bdr w:val="none" w:sz="0" w:space="0" w:color="auto"/>
          <w:lang w:val="es-ES"/>
        </w:rPr>
        <w:t>”)</w:t>
      </w:r>
      <w:r w:rsidR="006C385C" w:rsidRPr="00A16D62">
        <w:rPr>
          <w:rFonts w:ascii="Cambria" w:eastAsia="Times New Roman" w:hAnsi="Cambria"/>
          <w:bCs/>
          <w:sz w:val="20"/>
          <w:szCs w:val="20"/>
          <w:bdr w:val="none" w:sz="0" w:space="0" w:color="auto"/>
          <w:vertAlign w:val="superscript"/>
          <w:lang w:val="es-ES"/>
        </w:rPr>
        <w:footnoteReference w:id="78"/>
      </w:r>
      <w:r w:rsidR="00113092" w:rsidRPr="00A16D62">
        <w:rPr>
          <w:rFonts w:ascii="Cambria" w:eastAsia="Times New Roman" w:hAnsi="Cambria"/>
          <w:bCs/>
          <w:sz w:val="20"/>
          <w:szCs w:val="20"/>
          <w:bdr w:val="none" w:sz="0" w:space="0" w:color="auto"/>
          <w:lang w:val="es-ES"/>
        </w:rPr>
        <w:t xml:space="preserve">. El principio de la no </w:t>
      </w:r>
      <w:r w:rsidR="00B8732F" w:rsidRPr="00A16D62">
        <w:rPr>
          <w:rFonts w:ascii="Cambria" w:eastAsia="Times New Roman" w:hAnsi="Cambria"/>
          <w:bCs/>
          <w:sz w:val="20"/>
          <w:szCs w:val="20"/>
          <w:bdr w:val="none" w:sz="0" w:space="0" w:color="auto"/>
          <w:lang w:val="es-ES"/>
        </w:rPr>
        <w:t>discriminación</w:t>
      </w:r>
      <w:r w:rsidR="006C385C" w:rsidRPr="00A16D62">
        <w:rPr>
          <w:rFonts w:ascii="Cambria" w:eastAsia="Times New Roman" w:hAnsi="Cambria"/>
          <w:bCs/>
          <w:sz w:val="20"/>
          <w:szCs w:val="20"/>
          <w:bdr w:val="none" w:sz="0" w:space="0" w:color="auto"/>
          <w:lang w:val="es-ES"/>
        </w:rPr>
        <w:t xml:space="preserve"> </w:t>
      </w:r>
      <w:r w:rsidR="00113092" w:rsidRPr="00A16D62">
        <w:rPr>
          <w:rFonts w:ascii="Cambria" w:eastAsia="Times New Roman" w:hAnsi="Cambria"/>
          <w:bCs/>
          <w:sz w:val="20"/>
          <w:szCs w:val="20"/>
          <w:bdr w:val="none" w:sz="0" w:space="0" w:color="auto"/>
          <w:lang w:val="es-ES"/>
        </w:rPr>
        <w:t xml:space="preserve">es la columna vertebral del sistema </w:t>
      </w:r>
      <w:r w:rsidR="006C385C" w:rsidRPr="00A16D62">
        <w:rPr>
          <w:rFonts w:ascii="Cambria" w:eastAsia="Times New Roman" w:hAnsi="Cambria"/>
          <w:bCs/>
          <w:sz w:val="20"/>
          <w:szCs w:val="20"/>
          <w:bdr w:val="none" w:sz="0" w:space="0" w:color="auto"/>
          <w:lang w:val="es-ES"/>
        </w:rPr>
        <w:t xml:space="preserve">universal </w:t>
      </w:r>
      <w:r w:rsidR="00113092" w:rsidRPr="00A16D62">
        <w:rPr>
          <w:rFonts w:ascii="Cambria" w:eastAsia="Times New Roman" w:hAnsi="Cambria"/>
          <w:bCs/>
          <w:sz w:val="20"/>
          <w:szCs w:val="20"/>
          <w:bdr w:val="none" w:sz="0" w:space="0" w:color="auto"/>
          <w:lang w:val="es-ES"/>
        </w:rPr>
        <w:t xml:space="preserve">y los sistemas </w:t>
      </w:r>
      <w:r w:rsidR="006C385C" w:rsidRPr="00A16D62">
        <w:rPr>
          <w:rFonts w:ascii="Cambria" w:eastAsia="Times New Roman" w:hAnsi="Cambria"/>
          <w:bCs/>
          <w:sz w:val="20"/>
          <w:szCs w:val="20"/>
          <w:bdr w:val="none" w:sz="0" w:space="0" w:color="auto"/>
          <w:lang w:val="es-ES"/>
        </w:rPr>
        <w:t>regional</w:t>
      </w:r>
      <w:r w:rsidR="00113092" w:rsidRPr="00A16D62">
        <w:rPr>
          <w:rFonts w:ascii="Cambria" w:eastAsia="Times New Roman" w:hAnsi="Cambria"/>
          <w:bCs/>
          <w:sz w:val="20"/>
          <w:szCs w:val="20"/>
          <w:bdr w:val="none" w:sz="0" w:space="0" w:color="auto"/>
          <w:lang w:val="es-ES"/>
        </w:rPr>
        <w:t xml:space="preserve">es de protección de los </w:t>
      </w:r>
      <w:r w:rsidR="006F4DC1" w:rsidRPr="00A16D62">
        <w:rPr>
          <w:rFonts w:ascii="Cambria" w:eastAsia="Times New Roman" w:hAnsi="Cambria"/>
          <w:bCs/>
          <w:sz w:val="20"/>
          <w:szCs w:val="20"/>
          <w:bdr w:val="none" w:sz="0" w:space="0" w:color="auto"/>
          <w:lang w:val="es-ES"/>
        </w:rPr>
        <w:t>derechos humanos</w:t>
      </w:r>
      <w:r w:rsidR="006C385C" w:rsidRPr="00A16D62">
        <w:rPr>
          <w:rFonts w:ascii="Cambria" w:eastAsia="Times New Roman" w:hAnsi="Cambria"/>
          <w:bCs/>
          <w:sz w:val="20"/>
          <w:szCs w:val="20"/>
          <w:bdr w:val="none" w:sz="0" w:space="0" w:color="auto"/>
          <w:vertAlign w:val="superscript"/>
          <w:lang w:val="es-ES"/>
        </w:rPr>
        <w:footnoteReference w:id="79"/>
      </w:r>
      <w:r w:rsidR="00113092" w:rsidRPr="00A16D62">
        <w:rPr>
          <w:rFonts w:ascii="Cambria" w:eastAsia="Times New Roman" w:hAnsi="Cambria"/>
          <w:bCs/>
          <w:sz w:val="20"/>
          <w:szCs w:val="20"/>
          <w:bdr w:val="none" w:sz="0" w:space="0" w:color="auto"/>
          <w:lang w:val="es-ES"/>
        </w:rPr>
        <w:t xml:space="preserve">. Igual que con todos los derechos y </w:t>
      </w:r>
      <w:r w:rsidR="008D5F91" w:rsidRPr="00A16D62">
        <w:rPr>
          <w:rFonts w:ascii="Cambria" w:eastAsia="Times New Roman" w:hAnsi="Cambria"/>
          <w:bCs/>
          <w:sz w:val="20"/>
          <w:szCs w:val="20"/>
          <w:bdr w:val="none" w:sz="0" w:space="0" w:color="auto"/>
          <w:lang w:val="es-ES"/>
        </w:rPr>
        <w:t xml:space="preserve">las </w:t>
      </w:r>
      <w:r w:rsidR="00113092" w:rsidRPr="00A16D62">
        <w:rPr>
          <w:rFonts w:ascii="Cambria" w:eastAsia="Times New Roman" w:hAnsi="Cambria"/>
          <w:bCs/>
          <w:sz w:val="20"/>
          <w:szCs w:val="20"/>
          <w:bdr w:val="none" w:sz="0" w:space="0" w:color="auto"/>
          <w:lang w:val="es-ES"/>
        </w:rPr>
        <w:t>libertades</w:t>
      </w:r>
      <w:r w:rsidR="006C385C" w:rsidRPr="00A16D62">
        <w:rPr>
          <w:rFonts w:ascii="Cambria" w:eastAsia="Times New Roman" w:hAnsi="Cambria"/>
          <w:bCs/>
          <w:sz w:val="20"/>
          <w:szCs w:val="20"/>
          <w:bdr w:val="none" w:sz="0" w:space="0" w:color="auto"/>
          <w:lang w:val="es-ES"/>
        </w:rPr>
        <w:t xml:space="preserve"> fundamental</w:t>
      </w:r>
      <w:r w:rsidR="00113092" w:rsidRPr="00A16D62">
        <w:rPr>
          <w:rFonts w:ascii="Cambria" w:eastAsia="Times New Roman" w:hAnsi="Cambria"/>
          <w:bCs/>
          <w:sz w:val="20"/>
          <w:szCs w:val="20"/>
          <w:bdr w:val="none" w:sz="0" w:space="0" w:color="auto"/>
          <w:lang w:val="es-ES"/>
        </w:rPr>
        <w:t>es</w:t>
      </w:r>
      <w:r w:rsidR="006C385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la Comisión</w:t>
      </w:r>
      <w:r w:rsidR="006C385C" w:rsidRPr="00A16D62">
        <w:rPr>
          <w:rFonts w:ascii="Cambria" w:eastAsia="Times New Roman" w:hAnsi="Cambria"/>
          <w:bCs/>
          <w:sz w:val="20"/>
          <w:szCs w:val="20"/>
          <w:bdr w:val="none" w:sz="0" w:space="0" w:color="auto"/>
          <w:lang w:val="es-ES"/>
        </w:rPr>
        <w:t xml:space="preserve"> ha</w:t>
      </w:r>
      <w:r w:rsidR="00113092" w:rsidRPr="00A16D62">
        <w:rPr>
          <w:rFonts w:ascii="Cambria" w:eastAsia="Times New Roman" w:hAnsi="Cambria"/>
          <w:bCs/>
          <w:sz w:val="20"/>
          <w:szCs w:val="20"/>
          <w:bdr w:val="none" w:sz="0" w:space="0" w:color="auto"/>
          <w:lang w:val="es-ES"/>
        </w:rPr>
        <w:t xml:space="preserve"> observado que los Estados no solo están obligados a velar por la igualdad de protección ante la ley</w:t>
      </w:r>
      <w:r w:rsidR="006C385C" w:rsidRPr="00A16D62">
        <w:rPr>
          <w:rFonts w:ascii="Cambria" w:eastAsia="Times New Roman" w:hAnsi="Cambria"/>
          <w:bCs/>
          <w:sz w:val="20"/>
          <w:szCs w:val="20"/>
          <w:bdr w:val="none" w:sz="0" w:space="0" w:color="auto"/>
          <w:vertAlign w:val="superscript"/>
          <w:lang w:val="es-ES"/>
        </w:rPr>
        <w:footnoteReference w:id="80"/>
      </w:r>
      <w:r w:rsidR="005E011D" w:rsidRPr="00A16D62">
        <w:rPr>
          <w:rFonts w:ascii="Cambria" w:eastAsia="Times New Roman" w:hAnsi="Cambria"/>
          <w:bCs/>
          <w:sz w:val="20"/>
          <w:szCs w:val="20"/>
          <w:bdr w:val="none" w:sz="0" w:space="0" w:color="auto"/>
          <w:lang w:val="es-ES"/>
        </w:rPr>
        <w:t xml:space="preserve">, </w:t>
      </w:r>
      <w:r w:rsidR="00113092" w:rsidRPr="00A16D62">
        <w:rPr>
          <w:rFonts w:ascii="Cambria" w:eastAsia="Times New Roman" w:hAnsi="Cambria"/>
          <w:bCs/>
          <w:sz w:val="20"/>
          <w:szCs w:val="20"/>
          <w:bdr w:val="none" w:sz="0" w:space="0" w:color="auto"/>
          <w:lang w:val="es-ES"/>
        </w:rPr>
        <w:t xml:space="preserve">sino que también deben adoptar las medidas legislativas, normativas y de otros tipos que se necesiten para garantizar el goce efectivo de los derechos protegidos por el </w:t>
      </w:r>
      <w:r w:rsidR="00811F92" w:rsidRPr="00A16D62">
        <w:rPr>
          <w:rFonts w:ascii="Cambria" w:eastAsia="Times New Roman" w:hAnsi="Cambria"/>
          <w:bCs/>
          <w:sz w:val="20"/>
          <w:szCs w:val="20"/>
          <w:bdr w:val="none" w:sz="0" w:space="0" w:color="auto"/>
          <w:lang w:val="es-ES"/>
        </w:rPr>
        <w:t>artículo</w:t>
      </w:r>
      <w:r w:rsidR="006C385C" w:rsidRPr="00A16D62">
        <w:rPr>
          <w:rFonts w:ascii="Cambria" w:eastAsia="Times New Roman" w:hAnsi="Cambria"/>
          <w:bCs/>
          <w:sz w:val="20"/>
          <w:szCs w:val="20"/>
          <w:bdr w:val="none" w:sz="0" w:space="0" w:color="auto"/>
          <w:lang w:val="es-ES"/>
        </w:rPr>
        <w:t xml:space="preserve"> II </w:t>
      </w:r>
      <w:r w:rsidR="00113092"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6C385C" w:rsidRPr="00A16D62">
        <w:rPr>
          <w:rFonts w:ascii="Cambria" w:eastAsia="Times New Roman" w:hAnsi="Cambria"/>
          <w:bCs/>
          <w:sz w:val="20"/>
          <w:szCs w:val="20"/>
          <w:bdr w:val="none" w:sz="0" w:space="0" w:color="auto"/>
          <w:vertAlign w:val="superscript"/>
          <w:lang w:val="es-ES"/>
        </w:rPr>
        <w:footnoteReference w:id="81"/>
      </w:r>
      <w:r w:rsidR="00113092" w:rsidRPr="00A16D62">
        <w:rPr>
          <w:rFonts w:ascii="Cambria" w:eastAsia="Times New Roman" w:hAnsi="Cambria"/>
          <w:bCs/>
          <w:sz w:val="20"/>
          <w:szCs w:val="20"/>
          <w:bdr w:val="none" w:sz="0" w:space="0" w:color="auto"/>
          <w:lang w:val="es-ES"/>
        </w:rPr>
        <w:t>.</w:t>
      </w:r>
    </w:p>
    <w:p w:rsidR="008769E3" w:rsidRPr="00A16D62" w:rsidRDefault="008769E3" w:rsidP="008769E3">
      <w:pPr>
        <w:pStyle w:val="ListParagraph"/>
        <w:rPr>
          <w:rFonts w:eastAsia="Times New Roman"/>
          <w:bCs/>
          <w:sz w:val="20"/>
          <w:szCs w:val="20"/>
          <w:bdr w:val="none" w:sz="0" w:space="0" w:color="auto"/>
          <w:lang w:val="es-ES"/>
        </w:rPr>
      </w:pPr>
    </w:p>
    <w:p w:rsidR="00367BAE" w:rsidRPr="00A16D62" w:rsidRDefault="0005446D" w:rsidP="00AD198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El concepto de igualdad formulado en la </w:t>
      </w:r>
      <w:r w:rsidR="00811F92" w:rsidRPr="00A16D62">
        <w:rPr>
          <w:rFonts w:ascii="Cambria" w:eastAsia="Times New Roman" w:hAnsi="Cambria"/>
          <w:bCs/>
          <w:sz w:val="20"/>
          <w:szCs w:val="20"/>
          <w:bdr w:val="none" w:sz="0" w:space="0" w:color="auto"/>
          <w:lang w:val="es-ES"/>
        </w:rPr>
        <w:t>Declaración Americana</w:t>
      </w:r>
      <w:r w:rsidR="008202C3"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se refiere a la aplicación de</w:t>
      </w:r>
      <w:r w:rsidR="008202C3"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derechos sustantivos y a la protección </w:t>
      </w:r>
      <w:r w:rsidR="00762C69" w:rsidRPr="00A16D62">
        <w:rPr>
          <w:rFonts w:ascii="Cambria" w:eastAsia="Times New Roman" w:hAnsi="Cambria"/>
          <w:bCs/>
          <w:sz w:val="20"/>
          <w:szCs w:val="20"/>
          <w:bdr w:val="none" w:sz="0" w:space="0" w:color="auto"/>
          <w:lang w:val="es-ES"/>
        </w:rPr>
        <w:t>que debe dárseles en caso de actos d</w:t>
      </w:r>
      <w:r w:rsidR="00180125" w:rsidRPr="00A16D62">
        <w:rPr>
          <w:rFonts w:ascii="Cambria" w:eastAsia="Times New Roman" w:hAnsi="Cambria"/>
          <w:bCs/>
          <w:sz w:val="20"/>
          <w:szCs w:val="20"/>
          <w:bdr w:val="none" w:sz="0" w:space="0" w:color="auto"/>
          <w:lang w:val="es-ES"/>
        </w:rPr>
        <w:t>el Estado</w:t>
      </w:r>
      <w:r w:rsidR="008202C3" w:rsidRPr="00A16D62">
        <w:rPr>
          <w:rFonts w:ascii="Cambria" w:eastAsia="Times New Roman" w:hAnsi="Cambria"/>
          <w:bCs/>
          <w:sz w:val="20"/>
          <w:szCs w:val="20"/>
          <w:bdr w:val="none" w:sz="0" w:space="0" w:color="auto"/>
          <w:lang w:val="es-ES"/>
        </w:rPr>
        <w:t xml:space="preserve"> o</w:t>
      </w:r>
      <w:r w:rsidR="00762C69" w:rsidRPr="00A16D62">
        <w:rPr>
          <w:rFonts w:ascii="Cambria" w:eastAsia="Times New Roman" w:hAnsi="Cambria"/>
          <w:bCs/>
          <w:sz w:val="20"/>
          <w:szCs w:val="20"/>
          <w:bdr w:val="none" w:sz="0" w:space="0" w:color="auto"/>
          <w:lang w:val="es-ES"/>
        </w:rPr>
        <w:t xml:space="preserve"> de terceros</w:t>
      </w:r>
      <w:r w:rsidR="008202C3" w:rsidRPr="00A16D62">
        <w:rPr>
          <w:rStyle w:val="FootnoteReference"/>
          <w:rFonts w:ascii="Cambria" w:eastAsia="Times New Roman" w:hAnsi="Cambria"/>
          <w:bCs/>
          <w:sz w:val="20"/>
          <w:szCs w:val="20"/>
          <w:bdr w:val="none" w:sz="0" w:space="0" w:color="auto"/>
          <w:lang w:val="es-ES"/>
        </w:rPr>
        <w:footnoteReference w:id="82"/>
      </w:r>
      <w:r w:rsidR="00762C69" w:rsidRPr="00A16D62">
        <w:rPr>
          <w:rFonts w:ascii="Cambria" w:eastAsia="Times New Roman" w:hAnsi="Cambria"/>
          <w:bCs/>
          <w:sz w:val="20"/>
          <w:szCs w:val="20"/>
          <w:bdr w:val="none" w:sz="0" w:space="0" w:color="auto"/>
          <w:lang w:val="es-ES"/>
        </w:rPr>
        <w:t>.</w:t>
      </w:r>
      <w:r w:rsidR="008202C3"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8769E3" w:rsidRPr="00A16D62">
        <w:rPr>
          <w:rFonts w:ascii="Cambria" w:eastAsia="Times New Roman" w:hAnsi="Cambria"/>
          <w:bCs/>
          <w:sz w:val="20"/>
          <w:szCs w:val="20"/>
          <w:bdr w:val="none" w:sz="0" w:space="0" w:color="auto"/>
          <w:lang w:val="es-ES"/>
        </w:rPr>
        <w:t xml:space="preserve"> ha</w:t>
      </w:r>
      <w:r w:rsidR="00762C69" w:rsidRPr="00A16D62">
        <w:rPr>
          <w:rFonts w:ascii="Cambria" w:eastAsia="Times New Roman" w:hAnsi="Cambria"/>
          <w:bCs/>
          <w:sz w:val="20"/>
          <w:szCs w:val="20"/>
          <w:bdr w:val="none" w:sz="0" w:space="0" w:color="auto"/>
          <w:lang w:val="es-ES"/>
        </w:rPr>
        <w:t xml:space="preserve"> aclarado que el derecho a la igualdad ante la ley no significa necesariamente que las disposiciones sustantivas de la ley sean las mismas para todos, sino que la ley debe aplicarse a todos por igual sin </w:t>
      </w:r>
      <w:r w:rsidR="00B8732F" w:rsidRPr="00A16D62">
        <w:rPr>
          <w:rFonts w:ascii="Cambria" w:eastAsia="Times New Roman" w:hAnsi="Cambria"/>
          <w:bCs/>
          <w:sz w:val="20"/>
          <w:szCs w:val="20"/>
          <w:bdr w:val="none" w:sz="0" w:space="0" w:color="auto"/>
          <w:lang w:val="es-ES"/>
        </w:rPr>
        <w:t>discriminación</w:t>
      </w:r>
      <w:r w:rsidR="008769E3" w:rsidRPr="00A16D62">
        <w:rPr>
          <w:rFonts w:ascii="Cambria" w:eastAsia="Times New Roman" w:hAnsi="Cambria"/>
          <w:bCs/>
          <w:sz w:val="20"/>
          <w:szCs w:val="20"/>
          <w:bdr w:val="none" w:sz="0" w:space="0" w:color="auto"/>
          <w:vertAlign w:val="superscript"/>
          <w:lang w:val="es-ES"/>
        </w:rPr>
        <w:footnoteReference w:id="83"/>
      </w:r>
      <w:r w:rsidR="00762C69" w:rsidRPr="00A16D62">
        <w:rPr>
          <w:rFonts w:ascii="Cambria" w:eastAsia="Times New Roman" w:hAnsi="Cambria"/>
          <w:bCs/>
          <w:sz w:val="20"/>
          <w:szCs w:val="20"/>
          <w:bdr w:val="none" w:sz="0" w:space="0" w:color="auto"/>
          <w:lang w:val="es-ES"/>
        </w:rPr>
        <w:t>. En la práctica, esto significa que los Estados tienen la obligación de tomar las medidas necesarias para reconocer y garantizar la igualdad efectiva de todas las personas ante la ley, abstenerse de introducir en su marco jurídico normas que</w:t>
      </w:r>
      <w:r w:rsidR="000F77D4" w:rsidRPr="00A16D62">
        <w:rPr>
          <w:rFonts w:ascii="Cambria" w:eastAsia="Times New Roman" w:hAnsi="Cambria"/>
          <w:bCs/>
          <w:sz w:val="20"/>
          <w:szCs w:val="20"/>
          <w:bdr w:val="none" w:sz="0" w:space="0" w:color="auto"/>
          <w:lang w:val="es-ES"/>
        </w:rPr>
        <w:t xml:space="preserve"> en sí mismas o en la práctica</w:t>
      </w:r>
      <w:r w:rsidR="00762C69" w:rsidRPr="00A16D62">
        <w:rPr>
          <w:rFonts w:ascii="Cambria" w:eastAsia="Times New Roman" w:hAnsi="Cambria"/>
          <w:bCs/>
          <w:sz w:val="20"/>
          <w:szCs w:val="20"/>
          <w:bdr w:val="none" w:sz="0" w:space="0" w:color="auto"/>
          <w:lang w:val="es-ES"/>
        </w:rPr>
        <w:t xml:space="preserve"> discriminen contra ciertos grupos y combatir las prácticas discriminatorias</w:t>
      </w:r>
      <w:r w:rsidR="008769E3" w:rsidRPr="00A16D62">
        <w:rPr>
          <w:rFonts w:ascii="Cambria" w:eastAsia="Times New Roman" w:hAnsi="Cambria"/>
          <w:bCs/>
          <w:sz w:val="20"/>
          <w:szCs w:val="20"/>
          <w:bdr w:val="none" w:sz="0" w:space="0" w:color="auto"/>
          <w:vertAlign w:val="superscript"/>
          <w:lang w:val="es-ES"/>
        </w:rPr>
        <w:footnoteReference w:id="84"/>
      </w:r>
      <w:r w:rsidR="00762C69" w:rsidRPr="00A16D62">
        <w:rPr>
          <w:rFonts w:ascii="Cambria" w:eastAsia="Times New Roman" w:hAnsi="Cambria"/>
          <w:bCs/>
          <w:sz w:val="20"/>
          <w:szCs w:val="20"/>
          <w:bdr w:val="none" w:sz="0" w:space="0" w:color="auto"/>
          <w:lang w:val="es-ES"/>
        </w:rPr>
        <w:t>.</w:t>
      </w:r>
      <w:r w:rsidR="008769E3" w:rsidRPr="00A16D62">
        <w:rPr>
          <w:rFonts w:ascii="Cambria" w:eastAsia="Times New Roman" w:hAnsi="Cambria"/>
          <w:bCs/>
          <w:sz w:val="20"/>
          <w:szCs w:val="20"/>
          <w:bdr w:val="none" w:sz="0" w:space="0" w:color="auto"/>
          <w:lang w:val="es-ES"/>
        </w:rPr>
        <w:t xml:space="preserve"> </w:t>
      </w:r>
    </w:p>
    <w:p w:rsidR="000550C0" w:rsidRPr="00A16D62" w:rsidRDefault="000550C0" w:rsidP="000550C0">
      <w:pPr>
        <w:pStyle w:val="ListParagraph"/>
        <w:rPr>
          <w:rFonts w:eastAsia="Times New Roman"/>
          <w:bCs/>
          <w:sz w:val="20"/>
          <w:szCs w:val="20"/>
          <w:bdr w:val="none" w:sz="0" w:space="0" w:color="auto"/>
          <w:lang w:val="es-ES"/>
        </w:rPr>
      </w:pPr>
    </w:p>
    <w:p w:rsidR="000550C0" w:rsidRPr="00A16D62" w:rsidRDefault="00180125" w:rsidP="00AD198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La Comisión</w:t>
      </w:r>
      <w:r w:rsidR="000550C0" w:rsidRPr="00A16D62">
        <w:rPr>
          <w:rFonts w:ascii="Cambria" w:eastAsia="Times New Roman" w:hAnsi="Cambria"/>
          <w:bCs/>
          <w:sz w:val="20"/>
          <w:szCs w:val="20"/>
          <w:bdr w:val="none" w:sz="0" w:space="0" w:color="auto"/>
          <w:lang w:val="es-ES"/>
        </w:rPr>
        <w:t xml:space="preserve"> ha</w:t>
      </w:r>
      <w:r w:rsidR="008D5F91" w:rsidRPr="00A16D62">
        <w:rPr>
          <w:rFonts w:ascii="Cambria" w:eastAsia="Times New Roman" w:hAnsi="Cambria"/>
          <w:bCs/>
          <w:sz w:val="20"/>
          <w:szCs w:val="20"/>
          <w:bdr w:val="none" w:sz="0" w:space="0" w:color="auto"/>
          <w:lang w:val="es-ES"/>
        </w:rPr>
        <w:t xml:space="preserve"> reconocido anteriormente que, aunque el</w:t>
      </w:r>
      <w:r w:rsidR="000550C0" w:rsidRPr="00A16D62">
        <w:rPr>
          <w:rFonts w:ascii="Cambria" w:eastAsia="Times New Roman" w:hAnsi="Cambria"/>
          <w:bCs/>
          <w:sz w:val="20"/>
          <w:szCs w:val="20"/>
          <w:bdr w:val="none" w:sz="0" w:space="0" w:color="auto"/>
          <w:lang w:val="es-ES"/>
        </w:rPr>
        <w:t xml:space="preserve"> </w:t>
      </w:r>
      <w:r w:rsidR="00811F92" w:rsidRPr="00A16D62">
        <w:rPr>
          <w:rFonts w:ascii="Cambria" w:eastAsia="Times New Roman" w:hAnsi="Cambria"/>
          <w:bCs/>
          <w:sz w:val="20"/>
          <w:szCs w:val="20"/>
          <w:bdr w:val="none" w:sz="0" w:space="0" w:color="auto"/>
          <w:lang w:val="es-ES"/>
        </w:rPr>
        <w:t>artículo</w:t>
      </w:r>
      <w:r w:rsidR="000550C0" w:rsidRPr="00A16D62">
        <w:rPr>
          <w:rFonts w:ascii="Cambria" w:eastAsia="Times New Roman" w:hAnsi="Cambria"/>
          <w:bCs/>
          <w:sz w:val="20"/>
          <w:szCs w:val="20"/>
          <w:bdr w:val="none" w:sz="0" w:space="0" w:color="auto"/>
          <w:lang w:val="es-ES"/>
        </w:rPr>
        <w:t xml:space="preserve"> II </w:t>
      </w:r>
      <w:r w:rsidR="008D5F91" w:rsidRPr="00A16D62">
        <w:rPr>
          <w:rFonts w:ascii="Cambria" w:eastAsia="Times New Roman" w:hAnsi="Cambria"/>
          <w:bCs/>
          <w:sz w:val="20"/>
          <w:szCs w:val="20"/>
          <w:bdr w:val="none" w:sz="0" w:space="0" w:color="auto"/>
          <w:lang w:val="es-ES"/>
        </w:rPr>
        <w:t>no prohíbe todas las diferencias de tratamiento en el goce de los derechos y las libertades protegidos,</w:t>
      </w:r>
      <w:r w:rsidR="000550C0" w:rsidRPr="00A16D62">
        <w:rPr>
          <w:rFonts w:ascii="Cambria" w:eastAsia="Times New Roman" w:hAnsi="Cambria"/>
          <w:bCs/>
          <w:sz w:val="20"/>
          <w:szCs w:val="20"/>
          <w:bdr w:val="none" w:sz="0" w:space="0" w:color="auto"/>
          <w:lang w:val="es-ES"/>
        </w:rPr>
        <w:t xml:space="preserve"> </w:t>
      </w:r>
      <w:r w:rsidR="008D5F91" w:rsidRPr="00A16D62">
        <w:rPr>
          <w:rFonts w:ascii="Cambria" w:eastAsia="Times New Roman" w:hAnsi="Cambria"/>
          <w:bCs/>
          <w:sz w:val="20"/>
          <w:szCs w:val="20"/>
          <w:bdr w:val="none" w:sz="0" w:space="0" w:color="auto"/>
          <w:lang w:val="es-ES"/>
        </w:rPr>
        <w:t>exige que toda distinción permisible se base en una justificación objetiva y razonable, que persiga un objetivo legítimo</w:t>
      </w:r>
      <w:r w:rsidR="000550C0" w:rsidRPr="00A16D62">
        <w:rPr>
          <w:rFonts w:ascii="Cambria" w:eastAsia="Times New Roman" w:hAnsi="Cambria"/>
          <w:bCs/>
          <w:sz w:val="20"/>
          <w:szCs w:val="20"/>
          <w:bdr w:val="none" w:sz="0" w:space="0" w:color="auto"/>
          <w:lang w:val="es-ES"/>
        </w:rPr>
        <w:t>, “</w:t>
      </w:r>
      <w:r w:rsidR="008D5F91" w:rsidRPr="00A16D62">
        <w:rPr>
          <w:rFonts w:ascii="Cambria" w:eastAsia="Times New Roman" w:hAnsi="Cambria"/>
          <w:bCs/>
          <w:sz w:val="20"/>
          <w:szCs w:val="20"/>
          <w:bdr w:val="none" w:sz="0" w:space="0" w:color="auto"/>
          <w:lang w:val="es-ES"/>
        </w:rPr>
        <w:t>teniendo en cuenta los principios que normalmente prevalecen en las sociedades democráticas y los medios deben ser razonables y proporcionados al fin que se procura</w:t>
      </w:r>
      <w:r w:rsidR="000550C0" w:rsidRPr="00A16D62">
        <w:rPr>
          <w:rFonts w:ascii="Cambria" w:eastAsia="Times New Roman" w:hAnsi="Cambria"/>
          <w:bCs/>
          <w:sz w:val="20"/>
          <w:szCs w:val="20"/>
          <w:bdr w:val="none" w:sz="0" w:space="0" w:color="auto"/>
          <w:lang w:val="es-ES"/>
        </w:rPr>
        <w:t>”</w:t>
      </w:r>
      <w:r w:rsidR="000550C0" w:rsidRPr="00A16D62">
        <w:rPr>
          <w:rStyle w:val="FootnoteReference"/>
          <w:rFonts w:ascii="Cambria" w:eastAsia="Times New Roman" w:hAnsi="Cambria"/>
          <w:bCs/>
          <w:sz w:val="20"/>
          <w:szCs w:val="20"/>
          <w:bdr w:val="none" w:sz="0" w:space="0" w:color="auto"/>
          <w:lang w:val="es-ES"/>
        </w:rPr>
        <w:footnoteReference w:id="85"/>
      </w:r>
      <w:r w:rsidR="008D5F91" w:rsidRPr="00A16D62">
        <w:rPr>
          <w:rFonts w:ascii="Cambria" w:eastAsia="Times New Roman" w:hAnsi="Cambria"/>
          <w:bCs/>
          <w:sz w:val="20"/>
          <w:szCs w:val="20"/>
          <w:bdr w:val="none" w:sz="0" w:space="0" w:color="auto"/>
          <w:lang w:val="es-ES"/>
        </w:rPr>
        <w:t>.</w:t>
      </w:r>
      <w:r w:rsidR="005E4066" w:rsidRPr="00A16D62">
        <w:rPr>
          <w:rFonts w:ascii="Cambria" w:eastAsia="Times New Roman" w:hAnsi="Cambria"/>
          <w:bCs/>
          <w:sz w:val="20"/>
          <w:szCs w:val="20"/>
          <w:bdr w:val="none" w:sz="0" w:space="0" w:color="auto"/>
          <w:lang w:val="es-ES"/>
        </w:rPr>
        <w:t xml:space="preserve"> </w:t>
      </w:r>
      <w:r w:rsidR="00572847" w:rsidRPr="00A16D62">
        <w:rPr>
          <w:rFonts w:ascii="Cambria" w:eastAsia="Times New Roman" w:hAnsi="Cambria"/>
          <w:bCs/>
          <w:sz w:val="20"/>
          <w:szCs w:val="20"/>
          <w:bdr w:val="none" w:sz="0" w:space="0" w:color="auto"/>
          <w:lang w:val="es-ES"/>
        </w:rPr>
        <w:t xml:space="preserve">También se debe tener en cuenta el hecho de que </w:t>
      </w:r>
      <w:r w:rsidR="005E4066" w:rsidRPr="00A16D62">
        <w:rPr>
          <w:rFonts w:ascii="Cambria" w:eastAsia="Times New Roman" w:hAnsi="Cambria"/>
          <w:bCs/>
          <w:sz w:val="20"/>
          <w:szCs w:val="20"/>
          <w:bdr w:val="none" w:sz="0" w:space="0" w:color="auto"/>
          <w:lang w:val="es-ES"/>
        </w:rPr>
        <w:t>“</w:t>
      </w:r>
      <w:r w:rsidR="00572847" w:rsidRPr="00A16D62">
        <w:rPr>
          <w:rFonts w:ascii="Cambria" w:eastAsia="Times New Roman" w:hAnsi="Cambria"/>
          <w:bCs/>
          <w:sz w:val="20"/>
          <w:szCs w:val="20"/>
          <w:bdr w:val="none" w:sz="0" w:space="0" w:color="auto"/>
          <w:lang w:val="es-ES"/>
        </w:rPr>
        <w:t>uno de los objetivos en la formulación de la Declaración fue garantizar como derecho fundamental ‘la protección equitativa de la ley a nacionales y extranjeros por igual respecto de los derechos consagrados en la Declaración’</w:t>
      </w:r>
      <w:r w:rsidR="005E4066" w:rsidRPr="00A16D62">
        <w:rPr>
          <w:rFonts w:ascii="Cambria" w:eastAsia="Times New Roman" w:hAnsi="Cambria"/>
          <w:bCs/>
          <w:sz w:val="20"/>
          <w:szCs w:val="20"/>
          <w:bdr w:val="none" w:sz="0" w:space="0" w:color="auto"/>
          <w:lang w:val="es-ES"/>
        </w:rPr>
        <w:t>”</w:t>
      </w:r>
      <w:r w:rsidR="005E4066" w:rsidRPr="00A16D62">
        <w:rPr>
          <w:rFonts w:ascii="Cambria" w:eastAsia="Times New Roman" w:hAnsi="Cambria"/>
          <w:bCs/>
          <w:sz w:val="20"/>
          <w:szCs w:val="20"/>
          <w:bdr w:val="none" w:sz="0" w:space="0" w:color="auto"/>
          <w:vertAlign w:val="superscript"/>
          <w:lang w:val="es-ES"/>
        </w:rPr>
        <w:footnoteReference w:id="86"/>
      </w:r>
      <w:r w:rsidR="00572847" w:rsidRPr="00A16D62">
        <w:rPr>
          <w:rFonts w:ascii="Cambria" w:eastAsia="Times New Roman" w:hAnsi="Cambria"/>
          <w:bCs/>
          <w:sz w:val="20"/>
          <w:szCs w:val="20"/>
          <w:bdr w:val="none" w:sz="0" w:space="0" w:color="auto"/>
          <w:lang w:val="es-ES"/>
        </w:rPr>
        <w:t xml:space="preserve">. En ese sentido, </w:t>
      </w:r>
      <w:r w:rsidRPr="00A16D62">
        <w:rPr>
          <w:rFonts w:ascii="Cambria" w:eastAsia="Times New Roman" w:hAnsi="Cambria"/>
          <w:bCs/>
          <w:sz w:val="20"/>
          <w:szCs w:val="20"/>
          <w:bdr w:val="none" w:sz="0" w:space="0" w:color="auto"/>
          <w:lang w:val="es-ES"/>
        </w:rPr>
        <w:t>la Comisión</w:t>
      </w:r>
      <w:r w:rsidR="005E4066" w:rsidRPr="00A16D62">
        <w:rPr>
          <w:rFonts w:ascii="Cambria" w:eastAsia="Times New Roman" w:hAnsi="Cambria"/>
          <w:bCs/>
          <w:sz w:val="20"/>
          <w:szCs w:val="20"/>
          <w:bdr w:val="none" w:sz="0" w:space="0" w:color="auto"/>
          <w:lang w:val="es-ES"/>
        </w:rPr>
        <w:t xml:space="preserve"> t</w:t>
      </w:r>
      <w:r w:rsidR="00572847" w:rsidRPr="00A16D62">
        <w:rPr>
          <w:rFonts w:ascii="Cambria" w:eastAsia="Times New Roman" w:hAnsi="Cambria"/>
          <w:bCs/>
          <w:sz w:val="20"/>
          <w:szCs w:val="20"/>
          <w:bdr w:val="none" w:sz="0" w:space="0" w:color="auto"/>
          <w:lang w:val="es-ES"/>
        </w:rPr>
        <w:t xml:space="preserve">oma nota de conclusiones </w:t>
      </w:r>
      <w:r w:rsidR="005E4066" w:rsidRPr="00A16D62">
        <w:rPr>
          <w:rFonts w:ascii="Cambria" w:eastAsia="Times New Roman" w:hAnsi="Cambria"/>
          <w:bCs/>
          <w:sz w:val="20"/>
          <w:szCs w:val="20"/>
          <w:bdr w:val="none" w:sz="0" w:space="0" w:color="auto"/>
          <w:lang w:val="es-ES"/>
        </w:rPr>
        <w:t>similar</w:t>
      </w:r>
      <w:r w:rsidR="00572847" w:rsidRPr="00A16D62">
        <w:rPr>
          <w:rFonts w:ascii="Cambria" w:eastAsia="Times New Roman" w:hAnsi="Cambria"/>
          <w:bCs/>
          <w:sz w:val="20"/>
          <w:szCs w:val="20"/>
          <w:bdr w:val="none" w:sz="0" w:space="0" w:color="auto"/>
          <w:lang w:val="es-ES"/>
        </w:rPr>
        <w:t xml:space="preserve">es a las que llegaron órganos de las Naciones Unidas establecidos en virtud de tratados, que han interpretado que la prohibición de </w:t>
      </w:r>
      <w:r w:rsidR="00B8732F" w:rsidRPr="00A16D62">
        <w:rPr>
          <w:rFonts w:ascii="Cambria" w:eastAsia="Times New Roman" w:hAnsi="Cambria"/>
          <w:bCs/>
          <w:sz w:val="20"/>
          <w:szCs w:val="20"/>
          <w:bdr w:val="none" w:sz="0" w:space="0" w:color="auto"/>
          <w:lang w:val="es-ES"/>
        </w:rPr>
        <w:t>discrimina</w:t>
      </w:r>
      <w:r w:rsidR="00572847" w:rsidRPr="00A16D62">
        <w:rPr>
          <w:rFonts w:ascii="Cambria" w:eastAsia="Times New Roman" w:hAnsi="Cambria"/>
          <w:bCs/>
          <w:sz w:val="20"/>
          <w:szCs w:val="20"/>
          <w:bdr w:val="none" w:sz="0" w:space="0" w:color="auto"/>
          <w:lang w:val="es-ES"/>
        </w:rPr>
        <w:t>r abarca a las personas que no son nacionales, independientemente de su condición jurídica, tengan o no autorización para trabajar</w:t>
      </w:r>
      <w:r w:rsidR="005E4066" w:rsidRPr="00A16D62">
        <w:rPr>
          <w:rStyle w:val="FootnoteReference"/>
          <w:rFonts w:asciiTheme="majorHAnsi" w:eastAsia="Calibri" w:hAnsiTheme="majorHAnsi"/>
          <w:sz w:val="20"/>
          <w:szCs w:val="22"/>
          <w:bdr w:val="none" w:sz="0" w:space="0" w:color="auto"/>
          <w:lang w:val="es-ES"/>
        </w:rPr>
        <w:footnoteReference w:id="87"/>
      </w:r>
      <w:r w:rsidR="00572847" w:rsidRPr="00A16D62">
        <w:rPr>
          <w:rFonts w:ascii="Cambria" w:eastAsia="Times New Roman" w:hAnsi="Cambria"/>
          <w:bCs/>
          <w:sz w:val="20"/>
          <w:szCs w:val="20"/>
          <w:bdr w:val="none" w:sz="0" w:space="0" w:color="auto"/>
          <w:lang w:val="es-ES"/>
        </w:rPr>
        <w:t>.</w:t>
      </w:r>
    </w:p>
    <w:p w:rsidR="00BF6442" w:rsidRPr="00A16D62" w:rsidRDefault="00BF6442" w:rsidP="00BF6442">
      <w:pPr>
        <w:pStyle w:val="ListParagraph"/>
        <w:rPr>
          <w:rFonts w:eastAsia="Times New Roman"/>
          <w:bCs/>
          <w:sz w:val="20"/>
          <w:szCs w:val="20"/>
          <w:bdr w:val="none" w:sz="0" w:space="0" w:color="auto"/>
          <w:lang w:val="es-ES"/>
        </w:rPr>
      </w:pPr>
    </w:p>
    <w:p w:rsidR="00BF6442" w:rsidRPr="00A16D62" w:rsidRDefault="00180125" w:rsidP="00AD198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La Comisión</w:t>
      </w:r>
      <w:r w:rsidR="00D54544" w:rsidRPr="00A16D62">
        <w:rPr>
          <w:rFonts w:ascii="Cambria" w:eastAsia="Times New Roman" w:hAnsi="Cambria"/>
          <w:bCs/>
          <w:sz w:val="20"/>
          <w:szCs w:val="20"/>
          <w:bdr w:val="none" w:sz="0" w:space="0" w:color="auto"/>
          <w:lang w:val="es-ES"/>
        </w:rPr>
        <w:t xml:space="preserve"> </w:t>
      </w:r>
      <w:r w:rsidR="00F04BC6" w:rsidRPr="00A16D62">
        <w:rPr>
          <w:rFonts w:ascii="Cambria" w:eastAsia="Times New Roman" w:hAnsi="Cambria"/>
          <w:bCs/>
          <w:sz w:val="20"/>
          <w:szCs w:val="20"/>
          <w:bdr w:val="none" w:sz="0" w:space="0" w:color="auto"/>
          <w:lang w:val="es-ES"/>
        </w:rPr>
        <w:t xml:space="preserve">también tiene en cuenta la evolución de las normas en el campo de la </w:t>
      </w:r>
      <w:r w:rsidR="00B8732F" w:rsidRPr="00A16D62">
        <w:rPr>
          <w:rFonts w:ascii="Cambria" w:eastAsia="Times New Roman" w:hAnsi="Cambria"/>
          <w:bCs/>
          <w:sz w:val="20"/>
          <w:szCs w:val="20"/>
          <w:bdr w:val="none" w:sz="0" w:space="0" w:color="auto"/>
          <w:lang w:val="es-ES"/>
        </w:rPr>
        <w:t>discriminación</w:t>
      </w:r>
      <w:r w:rsidR="00F04BC6" w:rsidRPr="00A16D62">
        <w:rPr>
          <w:rFonts w:ascii="Cambria" w:eastAsia="Times New Roman" w:hAnsi="Cambria"/>
          <w:bCs/>
          <w:sz w:val="20"/>
          <w:szCs w:val="20"/>
          <w:bdr w:val="none" w:sz="0" w:space="0" w:color="auto"/>
          <w:lang w:val="es-ES"/>
        </w:rPr>
        <w:t xml:space="preserve"> y considera que </w:t>
      </w:r>
      <w:r w:rsidR="006805FB" w:rsidRPr="00A16D62">
        <w:rPr>
          <w:rFonts w:ascii="Cambria" w:eastAsia="Times New Roman" w:hAnsi="Cambria"/>
          <w:bCs/>
          <w:sz w:val="20"/>
          <w:szCs w:val="20"/>
          <w:bdr w:val="none" w:sz="0" w:space="0" w:color="auto"/>
          <w:lang w:val="es-ES"/>
        </w:rPr>
        <w:t>lo expresado por el Comité de Derechos Humanos</w:t>
      </w:r>
      <w:r w:rsidR="00AC1B90" w:rsidRPr="00A16D62">
        <w:rPr>
          <w:rFonts w:ascii="Cambria" w:eastAsia="Times New Roman" w:hAnsi="Cambria"/>
          <w:bCs/>
          <w:sz w:val="20"/>
          <w:szCs w:val="20"/>
          <w:bdr w:val="none" w:sz="0" w:space="0" w:color="auto"/>
          <w:lang w:val="es-ES"/>
        </w:rPr>
        <w:t xml:space="preserve"> </w:t>
      </w:r>
      <w:r w:rsidR="006805FB" w:rsidRPr="00A16D62">
        <w:rPr>
          <w:rFonts w:ascii="Cambria" w:eastAsia="Times New Roman" w:hAnsi="Cambria"/>
          <w:bCs/>
          <w:sz w:val="20"/>
          <w:szCs w:val="20"/>
          <w:bdr w:val="none" w:sz="0" w:space="0" w:color="auto"/>
          <w:lang w:val="es-ES"/>
        </w:rPr>
        <w:t xml:space="preserve">en relación con el </w:t>
      </w:r>
      <w:r w:rsidR="00DD7722" w:rsidRPr="00A16D62">
        <w:rPr>
          <w:rFonts w:ascii="Cambria" w:eastAsia="Times New Roman" w:hAnsi="Cambria"/>
          <w:bCs/>
          <w:sz w:val="20"/>
          <w:szCs w:val="20"/>
          <w:bdr w:val="none" w:sz="0" w:space="0" w:color="auto"/>
          <w:lang w:val="es-ES"/>
        </w:rPr>
        <w:t>Pacto Internacional de Derechos Civiles y Políticos</w:t>
      </w:r>
      <w:r w:rsidR="00AC1B90" w:rsidRPr="00A16D62">
        <w:rPr>
          <w:rFonts w:ascii="Cambria" w:eastAsia="Times New Roman" w:hAnsi="Cambria"/>
          <w:bCs/>
          <w:sz w:val="20"/>
          <w:szCs w:val="20"/>
          <w:bdr w:val="none" w:sz="0" w:space="0" w:color="auto"/>
          <w:lang w:val="es-ES"/>
        </w:rPr>
        <w:t xml:space="preserve"> </w:t>
      </w:r>
      <w:r w:rsidR="006805FB" w:rsidRPr="00A16D62">
        <w:rPr>
          <w:rFonts w:ascii="Cambria" w:eastAsia="Times New Roman" w:hAnsi="Cambria"/>
          <w:bCs/>
          <w:sz w:val="20"/>
          <w:szCs w:val="20"/>
          <w:bdr w:val="none" w:sz="0" w:space="0" w:color="auto"/>
          <w:lang w:val="es-ES"/>
        </w:rPr>
        <w:t>se aplica igualmente en el sistema interamericano</w:t>
      </w:r>
      <w:r w:rsidR="00AC1B90" w:rsidRPr="00A16D62">
        <w:rPr>
          <w:rFonts w:ascii="Cambria" w:eastAsia="Times New Roman" w:hAnsi="Cambria"/>
          <w:bCs/>
          <w:sz w:val="20"/>
          <w:szCs w:val="20"/>
          <w:bdr w:val="none" w:sz="0" w:space="0" w:color="auto"/>
          <w:lang w:val="es-ES"/>
        </w:rPr>
        <w:t>:</w:t>
      </w:r>
    </w:p>
    <w:p w:rsidR="00AC1B90" w:rsidRPr="00A16D62" w:rsidRDefault="00AC1B90" w:rsidP="00AC1B90">
      <w:pPr>
        <w:pStyle w:val="ListParagraph"/>
        <w:rPr>
          <w:rFonts w:eastAsia="Times New Roman"/>
          <w:bCs/>
          <w:sz w:val="20"/>
          <w:szCs w:val="20"/>
          <w:bdr w:val="none" w:sz="0" w:space="0" w:color="auto"/>
          <w:lang w:val="es-ES"/>
        </w:rPr>
      </w:pPr>
    </w:p>
    <w:p w:rsidR="00AC1B90" w:rsidRPr="00A16D62" w:rsidRDefault="006805FB" w:rsidP="00AC1B9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el Comité considera que el término </w:t>
      </w:r>
      <w:r w:rsidR="003A5E27">
        <w:rPr>
          <w:rFonts w:ascii="Cambria" w:eastAsia="Times New Roman" w:hAnsi="Cambria"/>
          <w:bCs/>
          <w:sz w:val="20"/>
          <w:szCs w:val="20"/>
          <w:bdr w:val="none" w:sz="0" w:space="0" w:color="auto"/>
          <w:lang w:val="es-ES"/>
        </w:rPr>
        <w:t>“d</w:t>
      </w:r>
      <w:r w:rsidRPr="00A16D62">
        <w:rPr>
          <w:rFonts w:ascii="Cambria" w:eastAsia="Times New Roman" w:hAnsi="Cambria"/>
          <w:bCs/>
          <w:sz w:val="20"/>
          <w:szCs w:val="20"/>
          <w:bdr w:val="none" w:sz="0" w:space="0" w:color="auto"/>
          <w:lang w:val="es-ES"/>
        </w:rPr>
        <w:t>iscriminación</w:t>
      </w:r>
      <w:r w:rsidR="003A5E27">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 tal como se emplea en el Pacto, debe entenderse referido a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r w:rsidR="00AC1B90" w:rsidRPr="00A16D62">
        <w:rPr>
          <w:rStyle w:val="FootnoteReference"/>
          <w:rFonts w:ascii="Cambria" w:eastAsia="Times New Roman" w:hAnsi="Cambria"/>
          <w:bCs/>
          <w:sz w:val="20"/>
          <w:szCs w:val="20"/>
          <w:bdr w:val="none" w:sz="0" w:space="0" w:color="auto"/>
          <w:lang w:val="es-ES"/>
        </w:rPr>
        <w:footnoteReference w:id="88"/>
      </w:r>
      <w:r w:rsidRPr="00A16D62">
        <w:rPr>
          <w:rFonts w:ascii="Cambria" w:eastAsia="Times New Roman" w:hAnsi="Cambria"/>
          <w:bCs/>
          <w:sz w:val="20"/>
          <w:szCs w:val="20"/>
          <w:bdr w:val="none" w:sz="0" w:space="0" w:color="auto"/>
          <w:lang w:val="es-ES"/>
        </w:rPr>
        <w:t>.</w:t>
      </w:r>
      <w:r w:rsidR="00AC1B90" w:rsidRPr="00A16D62">
        <w:rPr>
          <w:rFonts w:ascii="Cambria" w:eastAsia="Times New Roman" w:hAnsi="Cambria"/>
          <w:bCs/>
          <w:sz w:val="20"/>
          <w:szCs w:val="20"/>
          <w:bdr w:val="none" w:sz="0" w:space="0" w:color="auto"/>
          <w:lang w:val="es-ES"/>
        </w:rPr>
        <w:t xml:space="preserve"> </w:t>
      </w:r>
    </w:p>
    <w:p w:rsidR="00C45FA4" w:rsidRPr="00A16D62" w:rsidRDefault="00C45FA4" w:rsidP="005E011D">
      <w:pPr>
        <w:rPr>
          <w:rFonts w:eastAsia="Times New Roman"/>
          <w:bCs/>
          <w:sz w:val="20"/>
          <w:szCs w:val="20"/>
          <w:bdr w:val="none" w:sz="0" w:space="0" w:color="auto"/>
          <w:lang w:val="es-ES"/>
        </w:rPr>
      </w:pPr>
    </w:p>
    <w:p w:rsidR="00DB25A4" w:rsidRPr="00A16D62" w:rsidRDefault="00755F11" w:rsidP="00511E7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FF0000"/>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Con respecto al empleo de los </w:t>
      </w:r>
      <w:r w:rsidR="00C038BF" w:rsidRPr="00A16D62">
        <w:rPr>
          <w:rFonts w:ascii="Cambria" w:eastAsia="Times New Roman" w:hAnsi="Cambria"/>
          <w:bCs/>
          <w:sz w:val="20"/>
          <w:szCs w:val="20"/>
          <w:bdr w:val="none" w:sz="0" w:space="0" w:color="auto"/>
          <w:lang w:val="es-ES"/>
        </w:rPr>
        <w:t>trabajadores indocumentados</w:t>
      </w:r>
      <w:r w:rsidR="00E46799"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E46799"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considera procedente señalar al comienzo que ni </w:t>
      </w:r>
      <w:r w:rsidR="00180125" w:rsidRPr="00A16D62">
        <w:rPr>
          <w:rFonts w:ascii="Cambria" w:eastAsia="Times New Roman" w:hAnsi="Cambria"/>
          <w:bCs/>
          <w:sz w:val="20"/>
          <w:szCs w:val="20"/>
          <w:bdr w:val="none" w:sz="0" w:space="0" w:color="auto"/>
          <w:lang w:val="es-ES"/>
        </w:rPr>
        <w:t>el Estado</w:t>
      </w:r>
      <w:r w:rsidR="00E46799" w:rsidRPr="00A16D62">
        <w:rPr>
          <w:rFonts w:ascii="Cambria" w:eastAsia="Times New Roman" w:hAnsi="Cambria"/>
          <w:bCs/>
          <w:sz w:val="20"/>
          <w:szCs w:val="20"/>
          <w:bdr w:val="none" w:sz="0" w:space="0" w:color="auto"/>
          <w:lang w:val="es-ES"/>
        </w:rPr>
        <w:t xml:space="preserve"> n</w:t>
      </w:r>
      <w:r w:rsidR="008646D3" w:rsidRPr="00A16D62">
        <w:rPr>
          <w:rFonts w:ascii="Cambria" w:eastAsia="Times New Roman" w:hAnsi="Cambria"/>
          <w:bCs/>
          <w:sz w:val="20"/>
          <w:szCs w:val="20"/>
          <w:bdr w:val="none" w:sz="0" w:space="0" w:color="auto"/>
          <w:lang w:val="es-ES"/>
        </w:rPr>
        <w:t xml:space="preserve">i los particulares en un </w:t>
      </w:r>
      <w:r w:rsidR="00180125" w:rsidRPr="00A16D62">
        <w:rPr>
          <w:rFonts w:ascii="Cambria" w:eastAsia="Times New Roman" w:hAnsi="Cambria"/>
          <w:bCs/>
          <w:sz w:val="20"/>
          <w:szCs w:val="20"/>
          <w:bdr w:val="none" w:sz="0" w:space="0" w:color="auto"/>
          <w:lang w:val="es-ES"/>
        </w:rPr>
        <w:t>Estado</w:t>
      </w:r>
      <w:r w:rsidR="00E46799" w:rsidRPr="00A16D62">
        <w:rPr>
          <w:rFonts w:ascii="Cambria" w:eastAsia="Times New Roman" w:hAnsi="Cambria"/>
          <w:bCs/>
          <w:sz w:val="20"/>
          <w:szCs w:val="20"/>
          <w:bdr w:val="none" w:sz="0" w:space="0" w:color="auto"/>
          <w:lang w:val="es-ES"/>
        </w:rPr>
        <w:t xml:space="preserve"> </w:t>
      </w:r>
      <w:r w:rsidR="008646D3" w:rsidRPr="00A16D62">
        <w:rPr>
          <w:rFonts w:ascii="Cambria" w:eastAsia="Times New Roman" w:hAnsi="Cambria"/>
          <w:bCs/>
          <w:sz w:val="20"/>
          <w:szCs w:val="20"/>
          <w:bdr w:val="none" w:sz="0" w:space="0" w:color="auto"/>
          <w:lang w:val="es-ES"/>
        </w:rPr>
        <w:t xml:space="preserve">están obligados a ofrecer empleo a </w:t>
      </w:r>
      <w:r w:rsidR="00C038BF" w:rsidRPr="00A16D62">
        <w:rPr>
          <w:rFonts w:ascii="Cambria" w:eastAsia="Times New Roman" w:hAnsi="Cambria"/>
          <w:bCs/>
          <w:sz w:val="20"/>
          <w:szCs w:val="20"/>
          <w:bdr w:val="none" w:sz="0" w:space="0" w:color="auto"/>
          <w:lang w:val="es-ES"/>
        </w:rPr>
        <w:t>trabajadores indocumentados</w:t>
      </w:r>
      <w:r w:rsidR="00E46799" w:rsidRPr="00A16D62">
        <w:rPr>
          <w:rFonts w:ascii="Cambria" w:eastAsia="Times New Roman" w:hAnsi="Cambria"/>
          <w:bCs/>
          <w:sz w:val="20"/>
          <w:szCs w:val="20"/>
          <w:bdr w:val="none" w:sz="0" w:space="0" w:color="auto"/>
          <w:lang w:val="es-ES"/>
        </w:rPr>
        <w:t xml:space="preserve">. </w:t>
      </w:r>
      <w:r w:rsidR="008646D3" w:rsidRPr="00A16D62">
        <w:rPr>
          <w:rFonts w:ascii="Cambria" w:eastAsia="Times New Roman" w:hAnsi="Cambria"/>
          <w:bCs/>
          <w:sz w:val="20"/>
          <w:szCs w:val="20"/>
          <w:bdr w:val="none" w:sz="0" w:space="0" w:color="auto"/>
          <w:lang w:val="es-ES"/>
        </w:rPr>
        <w:t>En otras palabras</w:t>
      </w:r>
      <w:r w:rsidR="00E46799"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E46799" w:rsidRPr="00A16D62">
        <w:rPr>
          <w:rFonts w:ascii="Cambria" w:eastAsia="Times New Roman" w:hAnsi="Cambria"/>
          <w:bCs/>
          <w:sz w:val="20"/>
          <w:szCs w:val="20"/>
          <w:bdr w:val="none" w:sz="0" w:space="0" w:color="auto"/>
          <w:lang w:val="es-ES"/>
        </w:rPr>
        <w:t xml:space="preserve"> </w:t>
      </w:r>
      <w:r w:rsidR="008646D3" w:rsidRPr="00A16D62">
        <w:rPr>
          <w:rFonts w:ascii="Cambria" w:eastAsia="Times New Roman" w:hAnsi="Cambria"/>
          <w:bCs/>
          <w:sz w:val="20"/>
          <w:szCs w:val="20"/>
          <w:bdr w:val="none" w:sz="0" w:space="0" w:color="auto"/>
          <w:lang w:val="es-ES"/>
        </w:rPr>
        <w:t xml:space="preserve">y los particulares, como los </w:t>
      </w:r>
      <w:r w:rsidR="000F4EF8" w:rsidRPr="00A16D62">
        <w:rPr>
          <w:rFonts w:ascii="Cambria" w:eastAsia="Times New Roman" w:hAnsi="Cambria"/>
          <w:bCs/>
          <w:sz w:val="20"/>
          <w:szCs w:val="20"/>
          <w:bdr w:val="none" w:sz="0" w:space="0" w:color="auto"/>
          <w:lang w:val="es-ES"/>
        </w:rPr>
        <w:t>empleadores</w:t>
      </w:r>
      <w:r w:rsidR="00E46799" w:rsidRPr="00A16D62">
        <w:rPr>
          <w:rFonts w:ascii="Cambria" w:eastAsia="Times New Roman" w:hAnsi="Cambria"/>
          <w:bCs/>
          <w:sz w:val="20"/>
          <w:szCs w:val="20"/>
          <w:bdr w:val="none" w:sz="0" w:space="0" w:color="auto"/>
          <w:lang w:val="es-ES"/>
        </w:rPr>
        <w:t xml:space="preserve">, </w:t>
      </w:r>
      <w:r w:rsidR="008646D3" w:rsidRPr="00A16D62">
        <w:rPr>
          <w:rFonts w:ascii="Cambria" w:eastAsia="Times New Roman" w:hAnsi="Cambria"/>
          <w:bCs/>
          <w:sz w:val="20"/>
          <w:szCs w:val="20"/>
          <w:bdr w:val="none" w:sz="0" w:space="0" w:color="auto"/>
          <w:lang w:val="es-ES"/>
        </w:rPr>
        <w:t xml:space="preserve">pueden abstenerse de establecer una relación laboral con </w:t>
      </w:r>
      <w:r w:rsidR="00E46799" w:rsidRPr="00A16D62">
        <w:rPr>
          <w:rFonts w:ascii="Cambria" w:eastAsia="Times New Roman" w:hAnsi="Cambria"/>
          <w:bCs/>
          <w:sz w:val="20"/>
          <w:szCs w:val="20"/>
          <w:bdr w:val="none" w:sz="0" w:space="0" w:color="auto"/>
          <w:lang w:val="es-ES"/>
        </w:rPr>
        <w:t>migrant</w:t>
      </w:r>
      <w:r w:rsidR="000229AB" w:rsidRPr="00A16D62">
        <w:rPr>
          <w:rFonts w:ascii="Cambria" w:eastAsia="Times New Roman" w:hAnsi="Cambria"/>
          <w:bCs/>
          <w:sz w:val="20"/>
          <w:szCs w:val="20"/>
          <w:bdr w:val="none" w:sz="0" w:space="0" w:color="auto"/>
          <w:lang w:val="es-ES"/>
        </w:rPr>
        <w:t>e</w:t>
      </w:r>
      <w:r w:rsidR="00E46799" w:rsidRPr="00A16D62">
        <w:rPr>
          <w:rFonts w:ascii="Cambria" w:eastAsia="Times New Roman" w:hAnsi="Cambria"/>
          <w:bCs/>
          <w:sz w:val="20"/>
          <w:szCs w:val="20"/>
          <w:bdr w:val="none" w:sz="0" w:space="0" w:color="auto"/>
          <w:lang w:val="es-ES"/>
        </w:rPr>
        <w:t xml:space="preserve">s </w:t>
      </w:r>
      <w:r w:rsidR="000229AB" w:rsidRPr="00A16D62">
        <w:rPr>
          <w:rFonts w:ascii="Cambria" w:eastAsia="Times New Roman" w:hAnsi="Cambria"/>
          <w:bCs/>
          <w:sz w:val="20"/>
          <w:szCs w:val="20"/>
          <w:bdr w:val="none" w:sz="0" w:space="0" w:color="auto"/>
          <w:lang w:val="es-ES"/>
        </w:rPr>
        <w:t xml:space="preserve">en situación </w:t>
      </w:r>
      <w:r w:rsidR="00E46799" w:rsidRPr="00A16D62">
        <w:rPr>
          <w:rFonts w:ascii="Cambria" w:eastAsia="Times New Roman" w:hAnsi="Cambria"/>
          <w:bCs/>
          <w:sz w:val="20"/>
          <w:szCs w:val="20"/>
          <w:bdr w:val="none" w:sz="0" w:space="0" w:color="auto"/>
          <w:lang w:val="es-ES"/>
        </w:rPr>
        <w:t>irregular</w:t>
      </w:r>
      <w:r w:rsidR="00712C4A" w:rsidRPr="00A16D62">
        <w:rPr>
          <w:rStyle w:val="FootnoteReference"/>
          <w:rFonts w:ascii="Cambria" w:eastAsia="Times New Roman" w:hAnsi="Cambria"/>
          <w:bCs/>
          <w:sz w:val="20"/>
          <w:szCs w:val="20"/>
          <w:bdr w:val="none" w:sz="0" w:space="0" w:color="auto"/>
          <w:lang w:val="es-ES"/>
        </w:rPr>
        <w:footnoteReference w:id="89"/>
      </w:r>
      <w:r w:rsidR="00E46799" w:rsidRPr="00A16D62">
        <w:rPr>
          <w:rFonts w:ascii="Cambria" w:eastAsia="Times New Roman" w:hAnsi="Cambria"/>
          <w:bCs/>
          <w:sz w:val="20"/>
          <w:szCs w:val="20"/>
          <w:bdr w:val="none" w:sz="0" w:space="0" w:color="auto"/>
          <w:lang w:val="es-ES"/>
        </w:rPr>
        <w:t xml:space="preserve">. </w:t>
      </w:r>
      <w:r w:rsidR="008646D3" w:rsidRPr="00A16D62">
        <w:rPr>
          <w:rFonts w:ascii="Cambria" w:eastAsia="Times New Roman" w:hAnsi="Cambria"/>
          <w:bCs/>
          <w:sz w:val="20"/>
          <w:szCs w:val="20"/>
          <w:bdr w:val="none" w:sz="0" w:space="0" w:color="auto"/>
          <w:lang w:val="es-ES"/>
        </w:rPr>
        <w:t xml:space="preserve">Sin embargo, cuando se entabla una relación laboral, </w:t>
      </w:r>
      <w:r w:rsidR="00180125" w:rsidRPr="00A16D62">
        <w:rPr>
          <w:rFonts w:ascii="Cambria" w:eastAsia="Times New Roman" w:hAnsi="Cambria"/>
          <w:bCs/>
          <w:sz w:val="20"/>
          <w:szCs w:val="20"/>
          <w:bdr w:val="none" w:sz="0" w:space="0" w:color="auto"/>
          <w:lang w:val="es-ES"/>
        </w:rPr>
        <w:t>la Comisión</w:t>
      </w:r>
      <w:r w:rsidR="005E0D6E" w:rsidRPr="00A16D62">
        <w:rPr>
          <w:rFonts w:ascii="Cambria" w:eastAsia="Times New Roman" w:hAnsi="Cambria"/>
          <w:bCs/>
          <w:sz w:val="20"/>
          <w:szCs w:val="20"/>
          <w:bdr w:val="none" w:sz="0" w:space="0" w:color="auto"/>
          <w:lang w:val="es-ES"/>
        </w:rPr>
        <w:t xml:space="preserve"> consider</w:t>
      </w:r>
      <w:r w:rsidR="008646D3" w:rsidRPr="00A16D62">
        <w:rPr>
          <w:rFonts w:ascii="Cambria" w:eastAsia="Times New Roman" w:hAnsi="Cambria"/>
          <w:bCs/>
          <w:sz w:val="20"/>
          <w:szCs w:val="20"/>
          <w:bdr w:val="none" w:sz="0" w:space="0" w:color="auto"/>
          <w:lang w:val="es-ES"/>
        </w:rPr>
        <w:t xml:space="preserve">a que las protecciones conferidas por ley a los </w:t>
      </w:r>
      <w:r w:rsidR="007B4310" w:rsidRPr="00A16D62">
        <w:rPr>
          <w:rFonts w:ascii="Cambria" w:eastAsia="Times New Roman" w:hAnsi="Cambria"/>
          <w:bCs/>
          <w:sz w:val="20"/>
          <w:szCs w:val="20"/>
          <w:bdr w:val="none" w:sz="0" w:space="0" w:color="auto"/>
          <w:lang w:val="es-ES"/>
        </w:rPr>
        <w:t>trabajadores</w:t>
      </w:r>
      <w:r w:rsidR="005E0D6E" w:rsidRPr="00A16D62">
        <w:rPr>
          <w:rFonts w:ascii="Cambria" w:eastAsia="Times New Roman" w:hAnsi="Cambria"/>
          <w:bCs/>
          <w:sz w:val="20"/>
          <w:szCs w:val="20"/>
          <w:bdr w:val="none" w:sz="0" w:space="0" w:color="auto"/>
          <w:lang w:val="es-ES"/>
        </w:rPr>
        <w:t xml:space="preserve">, </w:t>
      </w:r>
      <w:r w:rsidR="008646D3" w:rsidRPr="00A16D62">
        <w:rPr>
          <w:rFonts w:ascii="Cambria" w:eastAsia="Times New Roman" w:hAnsi="Cambria"/>
          <w:bCs/>
          <w:sz w:val="20"/>
          <w:szCs w:val="20"/>
          <w:bdr w:val="none" w:sz="0" w:space="0" w:color="auto"/>
          <w:lang w:val="es-ES"/>
        </w:rPr>
        <w:t xml:space="preserve">con la gama completa de derechos y obligaciones abarcados, deben aplicarse a todos los </w:t>
      </w:r>
      <w:r w:rsidR="007B4310" w:rsidRPr="00A16D62">
        <w:rPr>
          <w:rFonts w:ascii="Cambria" w:eastAsia="Times New Roman" w:hAnsi="Cambria"/>
          <w:bCs/>
          <w:sz w:val="20"/>
          <w:szCs w:val="20"/>
          <w:bdr w:val="none" w:sz="0" w:space="0" w:color="auto"/>
          <w:lang w:val="es-ES"/>
        </w:rPr>
        <w:t>trabajadores</w:t>
      </w:r>
      <w:r w:rsidR="005E0D6E" w:rsidRPr="00A16D62">
        <w:rPr>
          <w:rFonts w:ascii="Cambria" w:eastAsia="Times New Roman" w:hAnsi="Cambria"/>
          <w:bCs/>
          <w:sz w:val="20"/>
          <w:szCs w:val="20"/>
          <w:bdr w:val="none" w:sz="0" w:space="0" w:color="auto"/>
          <w:lang w:val="es-ES"/>
        </w:rPr>
        <w:t xml:space="preserve"> </w:t>
      </w:r>
      <w:r w:rsidR="008646D3" w:rsidRPr="00A16D62">
        <w:rPr>
          <w:rFonts w:ascii="Cambria" w:eastAsia="Times New Roman" w:hAnsi="Cambria"/>
          <w:bCs/>
          <w:sz w:val="20"/>
          <w:szCs w:val="20"/>
          <w:bdr w:val="none" w:sz="0" w:space="0" w:color="auto"/>
          <w:lang w:val="es-ES"/>
        </w:rPr>
        <w:t xml:space="preserve">sin </w:t>
      </w:r>
      <w:r w:rsidR="00B8732F" w:rsidRPr="00A16D62">
        <w:rPr>
          <w:rFonts w:ascii="Cambria" w:eastAsia="Times New Roman" w:hAnsi="Cambria"/>
          <w:bCs/>
          <w:sz w:val="20"/>
          <w:szCs w:val="20"/>
          <w:bdr w:val="none" w:sz="0" w:space="0" w:color="auto"/>
          <w:lang w:val="es-ES"/>
        </w:rPr>
        <w:t>discriminación</w:t>
      </w:r>
      <w:r w:rsidR="005E0D6E" w:rsidRPr="00A16D62">
        <w:rPr>
          <w:rFonts w:ascii="Cambria" w:eastAsia="Times New Roman" w:hAnsi="Cambria"/>
          <w:bCs/>
          <w:sz w:val="20"/>
          <w:szCs w:val="20"/>
          <w:bdr w:val="none" w:sz="0" w:space="0" w:color="auto"/>
          <w:lang w:val="es-ES"/>
        </w:rPr>
        <w:t xml:space="preserve">, </w:t>
      </w:r>
      <w:r w:rsidR="008646D3" w:rsidRPr="00A16D62">
        <w:rPr>
          <w:rFonts w:ascii="Cambria" w:eastAsia="Times New Roman" w:hAnsi="Cambria"/>
          <w:bCs/>
          <w:sz w:val="20"/>
          <w:szCs w:val="20"/>
          <w:bdr w:val="none" w:sz="0" w:space="0" w:color="auto"/>
          <w:lang w:val="es-ES"/>
        </w:rPr>
        <w:t>sean documentados o indocumentados</w:t>
      </w:r>
      <w:r w:rsidR="003767FD" w:rsidRPr="00A16D62">
        <w:rPr>
          <w:rStyle w:val="FootnoteReference"/>
          <w:rFonts w:ascii="Cambria" w:eastAsia="Times New Roman" w:hAnsi="Cambria"/>
          <w:bCs/>
          <w:sz w:val="20"/>
          <w:szCs w:val="20"/>
          <w:bdr w:val="none" w:sz="0" w:space="0" w:color="auto"/>
          <w:lang w:val="es-ES"/>
        </w:rPr>
        <w:footnoteReference w:id="90"/>
      </w:r>
      <w:r w:rsidR="008646D3" w:rsidRPr="00A16D62">
        <w:rPr>
          <w:rFonts w:ascii="Cambria" w:eastAsia="Times New Roman" w:hAnsi="Cambria"/>
          <w:bCs/>
          <w:sz w:val="20"/>
          <w:szCs w:val="20"/>
          <w:bdr w:val="none" w:sz="0" w:space="0" w:color="auto"/>
          <w:lang w:val="es-ES"/>
        </w:rPr>
        <w:t>.</w:t>
      </w:r>
      <w:r w:rsidR="003767FD" w:rsidRPr="00A16D62">
        <w:rPr>
          <w:rFonts w:ascii="Cambria" w:eastAsia="Times New Roman" w:hAnsi="Cambria"/>
          <w:bCs/>
          <w:sz w:val="20"/>
          <w:szCs w:val="20"/>
          <w:bdr w:val="none" w:sz="0" w:space="0" w:color="auto"/>
          <w:lang w:val="es-ES"/>
        </w:rPr>
        <w:t xml:space="preserve"> </w:t>
      </w:r>
    </w:p>
    <w:p w:rsidR="00DB25A4" w:rsidRPr="00A16D62" w:rsidRDefault="00DB25A4" w:rsidP="00DB25A4">
      <w:pPr>
        <w:rPr>
          <w:rFonts w:eastAsia="Times New Roman"/>
          <w:bCs/>
          <w:sz w:val="20"/>
          <w:szCs w:val="20"/>
          <w:bdr w:val="none" w:sz="0" w:space="0" w:color="auto"/>
          <w:lang w:val="es-ES"/>
        </w:rPr>
      </w:pPr>
    </w:p>
    <w:p w:rsidR="001A751B" w:rsidRPr="00A16D62" w:rsidRDefault="002A7BC2" w:rsidP="00616F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FF0000"/>
          <w:sz w:val="20"/>
          <w:szCs w:val="20"/>
          <w:bdr w:val="none" w:sz="0" w:space="0" w:color="auto"/>
          <w:lang w:val="es-ES"/>
        </w:rPr>
      </w:pPr>
      <w:r w:rsidRPr="00A16D62">
        <w:rPr>
          <w:rFonts w:ascii="Cambria" w:eastAsia="Times New Roman" w:hAnsi="Cambria"/>
          <w:bCs/>
          <w:sz w:val="20"/>
          <w:szCs w:val="20"/>
          <w:bdr w:val="none" w:sz="0" w:space="0" w:color="auto"/>
          <w:lang w:val="es-ES"/>
        </w:rPr>
        <w:t>En el caso de autos</w:t>
      </w:r>
      <w:r w:rsidR="009F50D3"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9F50D3" w:rsidRPr="00A16D62">
        <w:rPr>
          <w:rFonts w:ascii="Cambria" w:eastAsia="Times New Roman" w:hAnsi="Cambria"/>
          <w:bCs/>
          <w:sz w:val="20"/>
          <w:szCs w:val="20"/>
          <w:bdr w:val="none" w:sz="0" w:space="0" w:color="auto"/>
          <w:lang w:val="es-ES"/>
        </w:rPr>
        <w:t xml:space="preserve"> </w:t>
      </w:r>
      <w:r w:rsidR="008646D3" w:rsidRPr="00A16D62">
        <w:rPr>
          <w:rFonts w:ascii="Cambria" w:eastAsia="Times New Roman" w:hAnsi="Cambria"/>
          <w:bCs/>
          <w:sz w:val="20"/>
          <w:szCs w:val="20"/>
          <w:bdr w:val="none" w:sz="0" w:space="0" w:color="auto"/>
          <w:lang w:val="es-ES"/>
        </w:rPr>
        <w:t xml:space="preserve">concluye que los señores </w:t>
      </w:r>
      <w:r w:rsidR="00A028EA" w:rsidRPr="00A16D62">
        <w:rPr>
          <w:rFonts w:ascii="Cambria" w:eastAsia="Times New Roman" w:hAnsi="Cambria"/>
          <w:bCs/>
          <w:sz w:val="20"/>
          <w:szCs w:val="20"/>
          <w:bdr w:val="none" w:sz="0" w:space="0" w:color="auto"/>
          <w:lang w:val="es-ES"/>
        </w:rPr>
        <w:t xml:space="preserve">Zumaya </w:t>
      </w:r>
      <w:r w:rsidR="008646D3" w:rsidRPr="00A16D62">
        <w:rPr>
          <w:rFonts w:ascii="Cambria" w:eastAsia="Times New Roman" w:hAnsi="Cambria"/>
          <w:bCs/>
          <w:sz w:val="20"/>
          <w:szCs w:val="20"/>
          <w:bdr w:val="none" w:sz="0" w:space="0" w:color="auto"/>
          <w:lang w:val="es-ES"/>
        </w:rPr>
        <w:t xml:space="preserve">y </w:t>
      </w:r>
      <w:r w:rsidR="00A028EA" w:rsidRPr="00A16D62">
        <w:rPr>
          <w:rFonts w:ascii="Cambria" w:eastAsia="Times New Roman" w:hAnsi="Cambria"/>
          <w:bCs/>
          <w:sz w:val="20"/>
          <w:szCs w:val="20"/>
          <w:bdr w:val="none" w:sz="0" w:space="0" w:color="auto"/>
          <w:lang w:val="es-ES"/>
        </w:rPr>
        <w:t xml:space="preserve">Lizalde, </w:t>
      </w:r>
      <w:r w:rsidR="008646D3" w:rsidRPr="00A16D62">
        <w:rPr>
          <w:rFonts w:ascii="Cambria" w:eastAsia="Times New Roman" w:hAnsi="Cambria"/>
          <w:bCs/>
          <w:sz w:val="20"/>
          <w:szCs w:val="20"/>
          <w:bdr w:val="none" w:sz="0" w:space="0" w:color="auto"/>
          <w:lang w:val="es-ES"/>
        </w:rPr>
        <w:t>que entablaron una relación laboral y posteriormente sufrieron lesiones en el trabajo, recibieron un trato diferente del da</w:t>
      </w:r>
      <w:r w:rsidR="009769BF">
        <w:rPr>
          <w:rFonts w:ascii="Cambria" w:eastAsia="Times New Roman" w:hAnsi="Cambria"/>
          <w:bCs/>
          <w:sz w:val="20"/>
          <w:szCs w:val="20"/>
          <w:bdr w:val="none" w:sz="0" w:space="0" w:color="auto"/>
          <w:lang w:val="es-ES"/>
        </w:rPr>
        <w:t>d</w:t>
      </w:r>
      <w:r w:rsidR="008646D3" w:rsidRPr="00A16D62">
        <w:rPr>
          <w:rFonts w:ascii="Cambria" w:eastAsia="Times New Roman" w:hAnsi="Cambria"/>
          <w:bCs/>
          <w:sz w:val="20"/>
          <w:szCs w:val="20"/>
          <w:bdr w:val="none" w:sz="0" w:space="0" w:color="auto"/>
          <w:lang w:val="es-ES"/>
        </w:rPr>
        <w:t xml:space="preserve">o </w:t>
      </w:r>
      <w:r w:rsidR="008646D3" w:rsidRPr="00A16D62">
        <w:rPr>
          <w:rFonts w:ascii="Cambria" w:eastAsia="Times New Roman" w:hAnsi="Cambria"/>
          <w:bCs/>
          <w:sz w:val="20"/>
          <w:szCs w:val="20"/>
          <w:bdr w:val="none" w:sz="0" w:space="0" w:color="auto"/>
          <w:lang w:val="es-ES"/>
        </w:rPr>
        <w:lastRenderedPageBreak/>
        <w:t xml:space="preserve">a los </w:t>
      </w:r>
      <w:r w:rsidR="00BC0B1F" w:rsidRPr="00A16D62">
        <w:rPr>
          <w:rFonts w:ascii="Cambria" w:eastAsia="Times New Roman" w:hAnsi="Cambria"/>
          <w:bCs/>
          <w:sz w:val="20"/>
          <w:szCs w:val="20"/>
          <w:bdr w:val="none" w:sz="0" w:space="0" w:color="auto"/>
          <w:lang w:val="es-ES"/>
        </w:rPr>
        <w:t>trabajadores documentados</w:t>
      </w:r>
      <w:r w:rsidR="00A028EA" w:rsidRPr="00A16D62">
        <w:rPr>
          <w:rFonts w:ascii="Cambria" w:eastAsia="Times New Roman" w:hAnsi="Cambria"/>
          <w:bCs/>
          <w:sz w:val="20"/>
          <w:szCs w:val="20"/>
          <w:bdr w:val="none" w:sz="0" w:space="0" w:color="auto"/>
          <w:lang w:val="es-ES"/>
        </w:rPr>
        <w:t xml:space="preserve"> </w:t>
      </w:r>
      <w:r w:rsidR="008646D3" w:rsidRPr="00A16D62">
        <w:rPr>
          <w:rFonts w:ascii="Cambria" w:eastAsia="Times New Roman" w:hAnsi="Cambria"/>
          <w:bCs/>
          <w:sz w:val="20"/>
          <w:szCs w:val="20"/>
          <w:bdr w:val="none" w:sz="0" w:space="0" w:color="auto"/>
          <w:lang w:val="es-ES"/>
        </w:rPr>
        <w:t xml:space="preserve">cuando trataron de obtener una </w:t>
      </w:r>
      <w:r w:rsidR="007B4310" w:rsidRPr="00A16D62">
        <w:rPr>
          <w:rFonts w:ascii="Cambria" w:eastAsia="Times New Roman" w:hAnsi="Cambria"/>
          <w:bCs/>
          <w:sz w:val="20"/>
          <w:szCs w:val="20"/>
          <w:bdr w:val="none" w:sz="0" w:space="0" w:color="auto"/>
          <w:lang w:val="es-ES"/>
        </w:rPr>
        <w:t>indemnización por accidente de trabajo</w:t>
      </w:r>
      <w:r w:rsidR="00A028EA" w:rsidRPr="00A16D62">
        <w:rPr>
          <w:rFonts w:ascii="Cambria" w:eastAsia="Times New Roman" w:hAnsi="Cambria"/>
          <w:bCs/>
          <w:sz w:val="20"/>
          <w:szCs w:val="20"/>
          <w:bdr w:val="none" w:sz="0" w:space="0" w:color="auto"/>
          <w:lang w:val="es-ES"/>
        </w:rPr>
        <w:t xml:space="preserve"> </w:t>
      </w:r>
      <w:r w:rsidR="000E4CDB" w:rsidRPr="00A16D62">
        <w:rPr>
          <w:rFonts w:ascii="Cambria" w:eastAsia="Times New Roman" w:hAnsi="Cambria"/>
          <w:bCs/>
          <w:sz w:val="20"/>
          <w:szCs w:val="20"/>
          <w:bdr w:val="none" w:sz="0" w:space="0" w:color="auto"/>
          <w:lang w:val="es-ES"/>
        </w:rPr>
        <w:t>por las lesiones sufridas y de recurrir a la justicia</w:t>
      </w:r>
      <w:r w:rsidR="00A028EA" w:rsidRPr="00A16D62">
        <w:rPr>
          <w:rFonts w:ascii="Cambria" w:eastAsia="Times New Roman" w:hAnsi="Cambria"/>
          <w:bCs/>
          <w:sz w:val="20"/>
          <w:szCs w:val="20"/>
          <w:bdr w:val="none" w:sz="0" w:space="0" w:color="auto"/>
          <w:lang w:val="es-ES"/>
        </w:rPr>
        <w:t>.</w:t>
      </w:r>
      <w:r w:rsidR="00CC3419">
        <w:rPr>
          <w:rFonts w:ascii="Cambria" w:eastAsia="Times New Roman" w:hAnsi="Cambria"/>
          <w:bCs/>
          <w:sz w:val="20"/>
          <w:szCs w:val="20"/>
          <w:bdr w:val="none" w:sz="0" w:space="0" w:color="auto"/>
          <w:lang w:val="es-ES"/>
        </w:rPr>
        <w:t xml:space="preserve"> </w:t>
      </w:r>
    </w:p>
    <w:p w:rsidR="001A751B" w:rsidRPr="00A16D62" w:rsidRDefault="001A751B" w:rsidP="001A751B">
      <w:pPr>
        <w:pStyle w:val="ListParagraph"/>
        <w:rPr>
          <w:rFonts w:eastAsia="Times New Roman"/>
          <w:bCs/>
          <w:sz w:val="20"/>
          <w:szCs w:val="20"/>
          <w:bdr w:val="none" w:sz="0" w:space="0" w:color="auto"/>
          <w:lang w:val="es-ES"/>
        </w:rPr>
      </w:pPr>
    </w:p>
    <w:p w:rsidR="00616FE6" w:rsidRPr="00A16D62" w:rsidRDefault="000E4CDB" w:rsidP="00616F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FF0000"/>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Esta diferencia en el trato no puede atribuirse a una distinción en las leyes en sí mismas sino a una </w:t>
      </w:r>
      <w:r w:rsidR="002E639A" w:rsidRPr="00A16D62">
        <w:rPr>
          <w:rFonts w:ascii="Cambria" w:eastAsia="Times New Roman" w:hAnsi="Cambria"/>
          <w:bCs/>
          <w:sz w:val="20"/>
          <w:szCs w:val="20"/>
          <w:bdr w:val="none" w:sz="0" w:space="0" w:color="auto"/>
          <w:lang w:val="es-ES"/>
        </w:rPr>
        <w:t>“distinc</w:t>
      </w:r>
      <w:r w:rsidRPr="00A16D62">
        <w:rPr>
          <w:rFonts w:ascii="Cambria" w:eastAsia="Times New Roman" w:hAnsi="Cambria"/>
          <w:bCs/>
          <w:sz w:val="20"/>
          <w:szCs w:val="20"/>
          <w:bdr w:val="none" w:sz="0" w:space="0" w:color="auto"/>
          <w:lang w:val="es-ES"/>
        </w:rPr>
        <w:t>ión, ex</w:t>
      </w:r>
      <w:r w:rsidR="002E639A" w:rsidRPr="00A16D62">
        <w:rPr>
          <w:rFonts w:ascii="Cambria" w:eastAsia="Times New Roman" w:hAnsi="Cambria"/>
          <w:bCs/>
          <w:sz w:val="20"/>
          <w:szCs w:val="20"/>
          <w:bdr w:val="none" w:sz="0" w:space="0" w:color="auto"/>
          <w:lang w:val="es-ES"/>
        </w:rPr>
        <w:t>clusi</w:t>
      </w:r>
      <w:r w:rsidRPr="00A16D62">
        <w:rPr>
          <w:rFonts w:ascii="Cambria" w:eastAsia="Times New Roman" w:hAnsi="Cambria"/>
          <w:bCs/>
          <w:sz w:val="20"/>
          <w:szCs w:val="20"/>
          <w:bdr w:val="none" w:sz="0" w:space="0" w:color="auto"/>
          <w:lang w:val="es-ES"/>
        </w:rPr>
        <w:t>ón o preferencia</w:t>
      </w:r>
      <w:r w:rsidR="002E639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en su aplicación, lo cual, en la práctica, tiene el efecto de cercenar los derechos de los</w:t>
      </w:r>
      <w:r w:rsidR="002E639A"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2E639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Como ha señalado </w:t>
      </w:r>
      <w:r w:rsidR="00180125" w:rsidRPr="00A16D62">
        <w:rPr>
          <w:rFonts w:ascii="Cambria" w:eastAsia="Times New Roman" w:hAnsi="Cambria"/>
          <w:bCs/>
          <w:sz w:val="20"/>
          <w:szCs w:val="20"/>
          <w:bdr w:val="none" w:sz="0" w:space="0" w:color="auto"/>
          <w:lang w:val="es-ES"/>
        </w:rPr>
        <w:t>el Estado</w:t>
      </w:r>
      <w:r w:rsidR="001A751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w:t>
      </w:r>
      <w:r w:rsidR="009A5408" w:rsidRPr="00A16D62">
        <w:rPr>
          <w:rFonts w:ascii="Cambria" w:eastAsia="Times New Roman" w:hAnsi="Cambria"/>
          <w:bCs/>
          <w:sz w:val="20"/>
          <w:szCs w:val="20"/>
          <w:bdr w:val="none" w:sz="0" w:space="0" w:color="auto"/>
          <w:lang w:val="es-ES"/>
        </w:rPr>
        <w:t>los peticionarios</w:t>
      </w:r>
      <w:r w:rsidR="00CE1B3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reconocen, hay varias leyes que protegen a los </w:t>
      </w:r>
      <w:r w:rsidR="007B4310" w:rsidRPr="00A16D62">
        <w:rPr>
          <w:rFonts w:ascii="Cambria" w:eastAsia="Times New Roman" w:hAnsi="Cambria"/>
          <w:bCs/>
          <w:sz w:val="20"/>
          <w:szCs w:val="20"/>
          <w:bdr w:val="none" w:sz="0" w:space="0" w:color="auto"/>
          <w:lang w:val="es-ES"/>
        </w:rPr>
        <w:t>trabajadores</w:t>
      </w:r>
      <w:r w:rsidR="002C1AC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mecanismos para exigir su cumplimiento. Para estas leyes en sí mismas no importa si el trabajador afectado tiene </w:t>
      </w:r>
      <w:r w:rsidR="00B82822" w:rsidRPr="00A16D62">
        <w:rPr>
          <w:rFonts w:ascii="Cambria" w:eastAsia="Times New Roman" w:hAnsi="Cambria"/>
          <w:bCs/>
          <w:sz w:val="20"/>
          <w:szCs w:val="20"/>
          <w:bdr w:val="none" w:sz="0" w:space="0" w:color="auto"/>
          <w:lang w:val="es-ES"/>
        </w:rPr>
        <w:t>autorización para trabajar</w:t>
      </w:r>
      <w:r w:rsidR="00CE1B3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Sin embargo</w:t>
      </w:r>
      <w:r w:rsidR="00CE1B37"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68676F" w:rsidRPr="00A16D62">
        <w:rPr>
          <w:rFonts w:ascii="Cambria" w:eastAsia="Times New Roman" w:hAnsi="Cambria"/>
          <w:bCs/>
          <w:sz w:val="20"/>
          <w:szCs w:val="20"/>
          <w:bdr w:val="none" w:sz="0" w:space="0" w:color="auto"/>
          <w:lang w:val="es-ES"/>
        </w:rPr>
        <w:t xml:space="preserve"> observ</w:t>
      </w:r>
      <w:r w:rsidRPr="00A16D62">
        <w:rPr>
          <w:rFonts w:ascii="Cambria" w:eastAsia="Times New Roman" w:hAnsi="Cambria"/>
          <w:bCs/>
          <w:sz w:val="20"/>
          <w:szCs w:val="20"/>
          <w:bdr w:val="none" w:sz="0" w:space="0" w:color="auto"/>
          <w:lang w:val="es-ES"/>
        </w:rPr>
        <w:t xml:space="preserve">a que, a pesar de los términos y los mecanismos de estas leyes, ni </w:t>
      </w:r>
      <w:r w:rsidR="007F4530" w:rsidRPr="00A16D62">
        <w:rPr>
          <w:rFonts w:ascii="Cambria" w:eastAsia="Times New Roman" w:hAnsi="Cambria"/>
          <w:bCs/>
          <w:sz w:val="20"/>
          <w:szCs w:val="20"/>
          <w:bdr w:val="none" w:sz="0" w:space="0" w:color="auto"/>
          <w:lang w:val="es-ES"/>
        </w:rPr>
        <w:t>el señor</w:t>
      </w:r>
      <w:r w:rsidR="002C1ACC" w:rsidRPr="00A16D62">
        <w:rPr>
          <w:rFonts w:ascii="Cambria" w:eastAsia="Times New Roman" w:hAnsi="Cambria"/>
          <w:bCs/>
          <w:sz w:val="20"/>
          <w:szCs w:val="20"/>
          <w:bdr w:val="none" w:sz="0" w:space="0" w:color="auto"/>
          <w:lang w:val="es-ES"/>
        </w:rPr>
        <w:t xml:space="preserve"> Zumaya n</w:t>
      </w:r>
      <w:r w:rsidRPr="00A16D62">
        <w:rPr>
          <w:rFonts w:ascii="Cambria" w:eastAsia="Times New Roman" w:hAnsi="Cambria"/>
          <w:bCs/>
          <w:sz w:val="20"/>
          <w:szCs w:val="20"/>
          <w:bdr w:val="none" w:sz="0" w:space="0" w:color="auto"/>
          <w:lang w:val="es-ES"/>
        </w:rPr>
        <w:t>i</w:t>
      </w:r>
      <w:r w:rsidR="002C1ACC"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el señor</w:t>
      </w:r>
      <w:r w:rsidR="002C1ACC" w:rsidRPr="00A16D62">
        <w:rPr>
          <w:rFonts w:ascii="Cambria" w:eastAsia="Times New Roman" w:hAnsi="Cambria"/>
          <w:bCs/>
          <w:sz w:val="20"/>
          <w:szCs w:val="20"/>
          <w:bdr w:val="none" w:sz="0" w:space="0" w:color="auto"/>
          <w:lang w:val="es-ES"/>
        </w:rPr>
        <w:t xml:space="preserve"> Lizalde </w:t>
      </w:r>
      <w:r w:rsidRPr="00A16D62">
        <w:rPr>
          <w:rFonts w:ascii="Cambria" w:eastAsia="Times New Roman" w:hAnsi="Cambria"/>
          <w:bCs/>
          <w:sz w:val="20"/>
          <w:szCs w:val="20"/>
          <w:bdr w:val="none" w:sz="0" w:space="0" w:color="auto"/>
          <w:lang w:val="es-ES"/>
        </w:rPr>
        <w:t xml:space="preserve">lograron obtener prestaciones completas en el marco de los programas de </w:t>
      </w:r>
      <w:r w:rsidR="007B4310" w:rsidRPr="00A16D62">
        <w:rPr>
          <w:rFonts w:ascii="Cambria" w:eastAsia="Times New Roman" w:hAnsi="Cambria"/>
          <w:bCs/>
          <w:sz w:val="20"/>
          <w:szCs w:val="20"/>
          <w:bdr w:val="none" w:sz="0" w:space="0" w:color="auto"/>
          <w:lang w:val="es-ES"/>
        </w:rPr>
        <w:t>indemnización por accidentes de trabajo</w:t>
      </w:r>
      <w:r w:rsidRPr="00A16D62">
        <w:rPr>
          <w:rFonts w:ascii="Cambria" w:eastAsia="Times New Roman" w:hAnsi="Cambria"/>
          <w:bCs/>
          <w:sz w:val="20"/>
          <w:szCs w:val="20"/>
          <w:bdr w:val="none" w:sz="0" w:space="0" w:color="auto"/>
          <w:lang w:val="es-ES"/>
        </w:rPr>
        <w:t xml:space="preserve">, incluidas las </w:t>
      </w:r>
      <w:r w:rsidR="00256794" w:rsidRPr="00A16D62">
        <w:rPr>
          <w:rFonts w:ascii="Cambria" w:eastAsia="Times New Roman" w:hAnsi="Cambria"/>
          <w:bCs/>
          <w:sz w:val="20"/>
          <w:szCs w:val="20"/>
          <w:bdr w:val="none" w:sz="0" w:space="0" w:color="auto"/>
          <w:lang w:val="es-ES"/>
        </w:rPr>
        <w:t>prestaciones médicas</w:t>
      </w:r>
      <w:r w:rsidR="002C1ACC" w:rsidRPr="00A16D62">
        <w:rPr>
          <w:rFonts w:ascii="Cambria" w:eastAsia="Times New Roman" w:hAnsi="Cambria"/>
          <w:bCs/>
          <w:sz w:val="20"/>
          <w:szCs w:val="20"/>
          <w:bdr w:val="none" w:sz="0" w:space="0" w:color="auto"/>
          <w:lang w:val="es-ES"/>
        </w:rPr>
        <w:t xml:space="preserve">. </w:t>
      </w:r>
    </w:p>
    <w:p w:rsidR="00B15CF2" w:rsidRPr="00A16D62" w:rsidRDefault="00B15CF2" w:rsidP="00B15CF2">
      <w:pPr>
        <w:rPr>
          <w:rFonts w:eastAsia="Times New Roman"/>
          <w:bCs/>
          <w:sz w:val="20"/>
          <w:szCs w:val="20"/>
          <w:bdr w:val="none" w:sz="0" w:space="0" w:color="auto"/>
          <w:lang w:val="es-ES"/>
        </w:rPr>
      </w:pPr>
    </w:p>
    <w:p w:rsidR="00B15CF2" w:rsidRPr="00A16D62" w:rsidRDefault="000E4CDB"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La </w:t>
      </w:r>
      <w:r w:rsidR="0079433D"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distinción, exclusión o preferencia</w:t>
      </w:r>
      <w:r w:rsidR="0079433D" w:rsidRPr="00A16D62">
        <w:rPr>
          <w:rFonts w:ascii="Cambria" w:eastAsia="Times New Roman" w:hAnsi="Cambria"/>
          <w:bCs/>
          <w:sz w:val="20"/>
          <w:szCs w:val="20"/>
          <w:bdr w:val="none" w:sz="0" w:space="0" w:color="auto"/>
          <w:lang w:val="es-ES"/>
        </w:rPr>
        <w:t xml:space="preserve">” </w:t>
      </w:r>
      <w:r w:rsidR="00EF7A8B" w:rsidRPr="00A16D62">
        <w:rPr>
          <w:rFonts w:ascii="Cambria" w:eastAsia="Times New Roman" w:hAnsi="Cambria"/>
          <w:bCs/>
          <w:sz w:val="20"/>
          <w:szCs w:val="20"/>
          <w:bdr w:val="none" w:sz="0" w:space="0" w:color="auto"/>
          <w:lang w:val="es-ES"/>
        </w:rPr>
        <w:t>e</w:t>
      </w:r>
      <w:r w:rsidR="0079433D" w:rsidRPr="00A16D62">
        <w:rPr>
          <w:rFonts w:ascii="Cambria" w:eastAsia="Times New Roman" w:hAnsi="Cambria"/>
          <w:bCs/>
          <w:sz w:val="20"/>
          <w:szCs w:val="20"/>
          <w:bdr w:val="none" w:sz="0" w:space="0" w:color="auto"/>
          <w:lang w:val="es-ES"/>
        </w:rPr>
        <w:t xml:space="preserve">s notable </w:t>
      </w:r>
      <w:r w:rsidR="00EE66E3" w:rsidRPr="00A16D62">
        <w:rPr>
          <w:rFonts w:ascii="Cambria" w:eastAsia="Times New Roman" w:hAnsi="Cambria"/>
          <w:bCs/>
          <w:sz w:val="20"/>
          <w:szCs w:val="20"/>
          <w:bdr w:val="none" w:sz="0" w:space="0" w:color="auto"/>
          <w:lang w:val="es-ES"/>
        </w:rPr>
        <w:t xml:space="preserve">en los </w:t>
      </w:r>
      <w:r w:rsidR="00C85CB8" w:rsidRPr="00A16D62">
        <w:rPr>
          <w:rFonts w:ascii="Cambria" w:eastAsia="Times New Roman" w:hAnsi="Cambria"/>
          <w:bCs/>
          <w:sz w:val="20"/>
          <w:szCs w:val="20"/>
          <w:bdr w:val="none" w:sz="0" w:space="0" w:color="auto"/>
          <w:lang w:val="es-ES"/>
        </w:rPr>
        <w:t>precedent</w:t>
      </w:r>
      <w:r w:rsidR="007024F9" w:rsidRPr="00A16D62">
        <w:rPr>
          <w:rFonts w:ascii="Cambria" w:eastAsia="Times New Roman" w:hAnsi="Cambria"/>
          <w:bCs/>
          <w:sz w:val="20"/>
          <w:szCs w:val="20"/>
          <w:bdr w:val="none" w:sz="0" w:space="0" w:color="auto"/>
          <w:lang w:val="es-ES"/>
        </w:rPr>
        <w:t>e</w:t>
      </w:r>
      <w:r w:rsidR="00C85CB8" w:rsidRPr="00A16D62">
        <w:rPr>
          <w:rFonts w:ascii="Cambria" w:eastAsia="Times New Roman" w:hAnsi="Cambria"/>
          <w:bCs/>
          <w:sz w:val="20"/>
          <w:szCs w:val="20"/>
          <w:bdr w:val="none" w:sz="0" w:space="0" w:color="auto"/>
          <w:lang w:val="es-ES"/>
        </w:rPr>
        <w:t xml:space="preserve">s </w:t>
      </w:r>
      <w:r w:rsidR="007024F9" w:rsidRPr="00A16D62">
        <w:rPr>
          <w:rFonts w:ascii="Cambria" w:eastAsia="Times New Roman" w:hAnsi="Cambria"/>
          <w:bCs/>
          <w:sz w:val="20"/>
          <w:szCs w:val="20"/>
          <w:bdr w:val="none" w:sz="0" w:space="0" w:color="auto"/>
          <w:lang w:val="es-ES"/>
        </w:rPr>
        <w:t>sentados en ambas jurisdicciones (</w:t>
      </w:r>
      <w:r w:rsidR="003E2C91" w:rsidRPr="00A16D62">
        <w:rPr>
          <w:rFonts w:ascii="Cambria" w:eastAsia="Times New Roman" w:hAnsi="Cambria"/>
          <w:bCs/>
          <w:sz w:val="20"/>
          <w:szCs w:val="20"/>
          <w:bdr w:val="none" w:sz="0" w:space="0" w:color="auto"/>
          <w:lang w:val="es-ES"/>
        </w:rPr>
        <w:t>Pensilvania</w:t>
      </w:r>
      <w:r w:rsidR="001A394A" w:rsidRPr="00A16D62">
        <w:rPr>
          <w:rFonts w:ascii="Cambria" w:eastAsia="Times New Roman" w:hAnsi="Cambria"/>
          <w:bCs/>
          <w:sz w:val="20"/>
          <w:szCs w:val="20"/>
          <w:bdr w:val="none" w:sz="0" w:space="0" w:color="auto"/>
          <w:lang w:val="es-ES"/>
        </w:rPr>
        <w:t xml:space="preserve"> </w:t>
      </w:r>
      <w:r w:rsidR="007024F9" w:rsidRPr="00A16D62">
        <w:rPr>
          <w:rFonts w:ascii="Cambria" w:eastAsia="Times New Roman" w:hAnsi="Cambria"/>
          <w:bCs/>
          <w:sz w:val="20"/>
          <w:szCs w:val="20"/>
          <w:bdr w:val="none" w:sz="0" w:space="0" w:color="auto"/>
          <w:lang w:val="es-ES"/>
        </w:rPr>
        <w:t>y</w:t>
      </w:r>
      <w:r w:rsidR="001A394A" w:rsidRPr="00A16D62">
        <w:rPr>
          <w:rFonts w:ascii="Cambria" w:eastAsia="Times New Roman" w:hAnsi="Cambria"/>
          <w:bCs/>
          <w:sz w:val="20"/>
          <w:szCs w:val="20"/>
          <w:bdr w:val="none" w:sz="0" w:space="0" w:color="auto"/>
          <w:lang w:val="es-ES"/>
        </w:rPr>
        <w:t xml:space="preserve"> Kansas</w:t>
      </w:r>
      <w:r w:rsidR="007024F9" w:rsidRPr="00A16D62">
        <w:rPr>
          <w:rFonts w:ascii="Cambria" w:eastAsia="Times New Roman" w:hAnsi="Cambria"/>
          <w:bCs/>
          <w:sz w:val="20"/>
          <w:szCs w:val="20"/>
          <w:bdr w:val="none" w:sz="0" w:space="0" w:color="auto"/>
          <w:lang w:val="es-ES"/>
        </w:rPr>
        <w:t>)</w:t>
      </w:r>
      <w:r w:rsidR="001A394A" w:rsidRPr="00A16D62">
        <w:rPr>
          <w:rFonts w:ascii="Cambria" w:eastAsia="Times New Roman" w:hAnsi="Cambria"/>
          <w:bCs/>
          <w:sz w:val="20"/>
          <w:szCs w:val="20"/>
          <w:bdr w:val="none" w:sz="0" w:space="0" w:color="auto"/>
          <w:lang w:val="es-ES"/>
        </w:rPr>
        <w:t>,</w:t>
      </w:r>
      <w:r w:rsidR="00C85CB8" w:rsidRPr="00A16D62">
        <w:rPr>
          <w:rFonts w:ascii="Cambria" w:eastAsia="Times New Roman" w:hAnsi="Cambria"/>
          <w:bCs/>
          <w:sz w:val="20"/>
          <w:szCs w:val="20"/>
          <w:bdr w:val="none" w:sz="0" w:space="0" w:color="auto"/>
          <w:lang w:val="es-ES"/>
        </w:rPr>
        <w:t xml:space="preserve"> as</w:t>
      </w:r>
      <w:r w:rsidR="007024F9" w:rsidRPr="00A16D62">
        <w:rPr>
          <w:rFonts w:ascii="Cambria" w:eastAsia="Times New Roman" w:hAnsi="Cambria"/>
          <w:bCs/>
          <w:sz w:val="20"/>
          <w:szCs w:val="20"/>
          <w:bdr w:val="none" w:sz="0" w:space="0" w:color="auto"/>
          <w:lang w:val="es-ES"/>
        </w:rPr>
        <w:t xml:space="preserve">í como en los actos y las prácticas de agentes estatales y no estatales. Hay dos casos fundamentales que tanto </w:t>
      </w:r>
      <w:r w:rsidR="00180125" w:rsidRPr="00A16D62">
        <w:rPr>
          <w:rFonts w:ascii="Cambria" w:eastAsia="Times New Roman" w:hAnsi="Cambria"/>
          <w:bCs/>
          <w:sz w:val="20"/>
          <w:szCs w:val="20"/>
          <w:bdr w:val="none" w:sz="0" w:space="0" w:color="auto"/>
          <w:lang w:val="es-ES"/>
        </w:rPr>
        <w:t>los peticionarios</w:t>
      </w:r>
      <w:r w:rsidR="00C85CB8" w:rsidRPr="00A16D62">
        <w:rPr>
          <w:rFonts w:ascii="Cambria" w:eastAsia="Times New Roman" w:hAnsi="Cambria"/>
          <w:bCs/>
          <w:sz w:val="20"/>
          <w:szCs w:val="20"/>
          <w:bdr w:val="none" w:sz="0" w:space="0" w:color="auto"/>
          <w:lang w:val="es-ES"/>
        </w:rPr>
        <w:t xml:space="preserve"> </w:t>
      </w:r>
      <w:r w:rsidR="007024F9" w:rsidRPr="00A16D62">
        <w:rPr>
          <w:rFonts w:ascii="Cambria" w:eastAsia="Times New Roman" w:hAnsi="Cambria"/>
          <w:bCs/>
          <w:sz w:val="20"/>
          <w:szCs w:val="20"/>
          <w:bdr w:val="none" w:sz="0" w:space="0" w:color="auto"/>
          <w:lang w:val="es-ES"/>
        </w:rPr>
        <w:t>como</w:t>
      </w:r>
      <w:r w:rsidR="00C85CB8"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9C7F33" w:rsidRPr="00A16D62">
        <w:rPr>
          <w:rFonts w:ascii="Cambria" w:eastAsia="Times New Roman" w:hAnsi="Cambria"/>
          <w:bCs/>
          <w:sz w:val="20"/>
          <w:szCs w:val="20"/>
          <w:bdr w:val="none" w:sz="0" w:space="0" w:color="auto"/>
          <w:lang w:val="es-ES"/>
        </w:rPr>
        <w:t xml:space="preserve"> </w:t>
      </w:r>
      <w:r w:rsidR="007024F9" w:rsidRPr="00A16D62">
        <w:rPr>
          <w:rFonts w:ascii="Cambria" w:eastAsia="Times New Roman" w:hAnsi="Cambria"/>
          <w:bCs/>
          <w:sz w:val="20"/>
          <w:szCs w:val="20"/>
          <w:bdr w:val="none" w:sz="0" w:space="0" w:color="auto"/>
          <w:lang w:val="es-ES"/>
        </w:rPr>
        <w:t xml:space="preserve">citan reiteradamente en sus escritos. Estos casos demuestran el alcance de </w:t>
      </w:r>
      <w:r w:rsidR="00B15CF2" w:rsidRPr="00A16D62">
        <w:rPr>
          <w:rFonts w:ascii="Cambria" w:eastAsia="Times New Roman" w:hAnsi="Cambria"/>
          <w:bCs/>
          <w:i/>
          <w:sz w:val="20"/>
          <w:szCs w:val="20"/>
          <w:bdr w:val="none" w:sz="0" w:space="0" w:color="auto"/>
          <w:lang w:val="es-ES"/>
        </w:rPr>
        <w:t>Hoffman</w:t>
      </w:r>
      <w:r w:rsidR="00B15CF2" w:rsidRPr="00A16D62">
        <w:rPr>
          <w:rFonts w:ascii="Cambria" w:eastAsia="Times New Roman" w:hAnsi="Cambria"/>
          <w:bCs/>
          <w:sz w:val="20"/>
          <w:szCs w:val="20"/>
          <w:bdr w:val="none" w:sz="0" w:space="0" w:color="auto"/>
          <w:lang w:val="es-ES"/>
        </w:rPr>
        <w:t xml:space="preserve"> </w:t>
      </w:r>
      <w:r w:rsidR="007024F9" w:rsidRPr="00A16D62">
        <w:rPr>
          <w:rFonts w:ascii="Cambria" w:eastAsia="Times New Roman" w:hAnsi="Cambria"/>
          <w:bCs/>
          <w:sz w:val="20"/>
          <w:szCs w:val="20"/>
          <w:bdr w:val="none" w:sz="0" w:space="0" w:color="auto"/>
          <w:lang w:val="es-ES"/>
        </w:rPr>
        <w:t>y, por lo tanto, es importante mencionarlos aquí.</w:t>
      </w:r>
    </w:p>
    <w:p w:rsidR="00B15CF2" w:rsidRPr="00A16D62" w:rsidRDefault="00B15CF2" w:rsidP="001A394A">
      <w:pPr>
        <w:pStyle w:val="ListParagraph"/>
        <w:rPr>
          <w:rFonts w:eastAsia="Times New Roman"/>
          <w:bCs/>
          <w:color w:val="auto"/>
          <w:sz w:val="20"/>
          <w:szCs w:val="20"/>
          <w:bdr w:val="none" w:sz="0" w:space="0" w:color="auto"/>
          <w:lang w:val="es-ES"/>
        </w:rPr>
      </w:pPr>
    </w:p>
    <w:p w:rsidR="00B15CF2" w:rsidRPr="00A16D62" w:rsidRDefault="007024F9"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el primer caso</w:t>
      </w:r>
      <w:r w:rsidR="00B15CF2" w:rsidRPr="00A16D62">
        <w:rPr>
          <w:rFonts w:ascii="Cambria" w:eastAsia="Times New Roman" w:hAnsi="Cambria"/>
          <w:bCs/>
          <w:sz w:val="20"/>
          <w:szCs w:val="20"/>
          <w:bdr w:val="none" w:sz="0" w:space="0" w:color="auto"/>
          <w:lang w:val="es-ES"/>
        </w:rPr>
        <w:t xml:space="preserve">, </w:t>
      </w:r>
      <w:r w:rsidR="00B15CF2" w:rsidRPr="00A16D62">
        <w:rPr>
          <w:rFonts w:ascii="Cambria" w:eastAsia="Times New Roman" w:hAnsi="Cambria"/>
          <w:bCs/>
          <w:i/>
          <w:sz w:val="20"/>
          <w:szCs w:val="20"/>
          <w:bdr w:val="none" w:sz="0" w:space="0" w:color="auto"/>
          <w:lang w:val="es-ES"/>
        </w:rPr>
        <w:t xml:space="preserve">Reinforced Earth Co. </w:t>
      </w:r>
      <w:r w:rsidR="00521A6A" w:rsidRPr="00A16D62">
        <w:rPr>
          <w:rFonts w:ascii="Cambria" w:eastAsia="Times New Roman" w:hAnsi="Cambria"/>
          <w:bCs/>
          <w:i/>
          <w:sz w:val="20"/>
          <w:szCs w:val="20"/>
          <w:bdr w:val="none" w:sz="0" w:space="0" w:color="auto"/>
          <w:lang w:val="es-ES"/>
        </w:rPr>
        <w:t>c.</w:t>
      </w:r>
      <w:r w:rsidR="00B15CF2" w:rsidRPr="00A16D62">
        <w:rPr>
          <w:rFonts w:ascii="Cambria" w:eastAsia="Times New Roman" w:hAnsi="Cambria"/>
          <w:bCs/>
          <w:i/>
          <w:sz w:val="20"/>
          <w:szCs w:val="20"/>
          <w:bdr w:val="none" w:sz="0" w:space="0" w:color="auto"/>
          <w:lang w:val="es-ES"/>
        </w:rPr>
        <w:t xml:space="preserve"> </w:t>
      </w:r>
      <w:r w:rsidR="008646D3" w:rsidRPr="00A16D62">
        <w:rPr>
          <w:rFonts w:ascii="Cambria" w:eastAsia="Times New Roman" w:hAnsi="Cambria"/>
          <w:bCs/>
          <w:i/>
          <w:sz w:val="20"/>
          <w:szCs w:val="20"/>
          <w:bdr w:val="none" w:sz="0" w:space="0" w:color="auto"/>
          <w:lang w:val="es-ES"/>
        </w:rPr>
        <w:t>Junta de Apelaciones para la Indemnización por Accidentes de Trabajo</w:t>
      </w:r>
      <w:r w:rsidR="00B15CF2" w:rsidRPr="00A16D62">
        <w:rPr>
          <w:rFonts w:ascii="Cambria" w:eastAsia="Times New Roman" w:hAnsi="Cambria"/>
          <w:bCs/>
          <w:i/>
          <w:sz w:val="20"/>
          <w:szCs w:val="20"/>
          <w:bdr w:val="none" w:sz="0" w:space="0" w:color="auto"/>
          <w:lang w:val="es-ES"/>
        </w:rPr>
        <w:t xml:space="preserve"> </w:t>
      </w:r>
      <w:r w:rsidR="00B15CF2" w:rsidRPr="00A16D62">
        <w:rPr>
          <w:rFonts w:ascii="Cambria" w:eastAsia="Times New Roman" w:hAnsi="Cambria"/>
          <w:bCs/>
          <w:sz w:val="20"/>
          <w:szCs w:val="20"/>
          <w:bdr w:val="none" w:sz="0" w:space="0" w:color="auto"/>
          <w:lang w:val="es-ES"/>
        </w:rPr>
        <w:t>(“</w:t>
      </w:r>
      <w:r w:rsidR="00B15CF2" w:rsidRPr="00A16D62">
        <w:rPr>
          <w:rFonts w:ascii="Cambria" w:eastAsia="Times New Roman" w:hAnsi="Cambria"/>
          <w:bCs/>
          <w:i/>
          <w:sz w:val="20"/>
          <w:szCs w:val="20"/>
          <w:bdr w:val="none" w:sz="0" w:space="0" w:color="auto"/>
          <w:lang w:val="es-ES"/>
        </w:rPr>
        <w:t>Reinforced Earth</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un</w:t>
      </w:r>
      <w:r w:rsidR="00B15CF2" w:rsidRPr="00A16D62">
        <w:rPr>
          <w:rFonts w:ascii="Cambria" w:eastAsia="Times New Roman" w:hAnsi="Cambria"/>
          <w:bCs/>
          <w:sz w:val="20"/>
          <w:szCs w:val="20"/>
          <w:bdr w:val="none" w:sz="0" w:space="0" w:color="auto"/>
          <w:lang w:val="es-ES"/>
        </w:rPr>
        <w:t xml:space="preserve"> </w:t>
      </w:r>
      <w:r w:rsidR="00A30BE7" w:rsidRPr="00A16D62">
        <w:rPr>
          <w:rFonts w:ascii="Cambria" w:eastAsia="Times New Roman" w:hAnsi="Cambria"/>
          <w:bCs/>
          <w:sz w:val="20"/>
          <w:szCs w:val="20"/>
          <w:bdr w:val="none" w:sz="0" w:space="0" w:color="auto"/>
          <w:lang w:val="es-ES"/>
        </w:rPr>
        <w:t>trabajador indocumentado</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el </w:t>
      </w:r>
      <w:r w:rsidR="00B15CF2"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demandante</w:t>
      </w:r>
      <w:r w:rsidR="00B15CF2"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 xml:space="preserve"> que trabajaba como ayudante de mantenimiento sufrió lesiones en la cabeza, el cuello y la espalda</w:t>
      </w:r>
      <w:r w:rsidR="00B15CF2" w:rsidRPr="00A16D62">
        <w:rPr>
          <w:rStyle w:val="FootnoteReference"/>
          <w:rFonts w:ascii="Cambria" w:eastAsia="Times New Roman" w:hAnsi="Cambria"/>
          <w:bCs/>
          <w:sz w:val="20"/>
          <w:szCs w:val="20"/>
          <w:bdr w:val="none" w:sz="0" w:space="0" w:color="auto"/>
          <w:lang w:val="es-ES"/>
        </w:rPr>
        <w:footnoteReference w:id="91"/>
      </w:r>
      <w:r w:rsidRPr="00A16D62">
        <w:rPr>
          <w:rFonts w:ascii="Cambria" w:eastAsia="Times New Roman" w:hAnsi="Cambria"/>
          <w:bCs/>
          <w:sz w:val="20"/>
          <w:szCs w:val="20"/>
          <w:bdr w:val="none" w:sz="0" w:space="0" w:color="auto"/>
          <w:lang w:val="es-ES"/>
        </w:rPr>
        <w:t>.</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Como parte de su trabajo, el demandante regularmente cortaba y soldaba piezas de hierro, reparaba motores y levantaba vigas de acero pesadas. Como consecuencia de sus lesiones, el demandante no pudo volver a trabajar y, tras la conclusión de la relación laboral, se le ordenó al </w:t>
      </w:r>
      <w:r w:rsidR="007F4530" w:rsidRPr="00A16D62">
        <w:rPr>
          <w:rFonts w:ascii="Cambria" w:eastAsia="Times New Roman" w:hAnsi="Cambria"/>
          <w:bCs/>
          <w:sz w:val="20"/>
          <w:szCs w:val="20"/>
          <w:bdr w:val="none" w:sz="0" w:space="0" w:color="auto"/>
          <w:lang w:val="es-ES"/>
        </w:rPr>
        <w:t>empleador</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que pagara al demandante todas las prestaciones por discapacidad, así como los gastos de atención médica, que siguiera haciéndose cargo de los gastos de atención médica del demandante y que pagara las costas del juicio. El </w:t>
      </w:r>
      <w:r w:rsidR="007F4530" w:rsidRPr="00A16D62">
        <w:rPr>
          <w:rFonts w:ascii="Cambria" w:eastAsia="Times New Roman" w:hAnsi="Cambria"/>
          <w:bCs/>
          <w:sz w:val="20"/>
          <w:szCs w:val="20"/>
          <w:bdr w:val="none" w:sz="0" w:space="0" w:color="auto"/>
          <w:lang w:val="es-ES"/>
        </w:rPr>
        <w:t>empleador</w:t>
      </w:r>
      <w:r w:rsidR="00B15CF2" w:rsidRPr="00A16D62">
        <w:rPr>
          <w:rFonts w:ascii="Cambria" w:eastAsia="Times New Roman" w:hAnsi="Cambria"/>
          <w:bCs/>
          <w:sz w:val="20"/>
          <w:szCs w:val="20"/>
          <w:bdr w:val="none" w:sz="0" w:space="0" w:color="auto"/>
          <w:lang w:val="es-ES"/>
        </w:rPr>
        <w:t xml:space="preserve"> ap</w:t>
      </w:r>
      <w:r w:rsidRPr="00A16D62">
        <w:rPr>
          <w:rFonts w:ascii="Cambria" w:eastAsia="Times New Roman" w:hAnsi="Cambria"/>
          <w:bCs/>
          <w:sz w:val="20"/>
          <w:szCs w:val="20"/>
          <w:bdr w:val="none" w:sz="0" w:space="0" w:color="auto"/>
          <w:lang w:val="es-ES"/>
        </w:rPr>
        <w:t xml:space="preserve">eló esta orden varias veces, llegando finalmente a la </w:t>
      </w:r>
      <w:r w:rsidR="00204F3D" w:rsidRPr="00A16D62">
        <w:rPr>
          <w:rFonts w:ascii="Cambria" w:eastAsia="Times New Roman" w:hAnsi="Cambria"/>
          <w:bCs/>
          <w:sz w:val="20"/>
          <w:szCs w:val="20"/>
          <w:bdr w:val="none" w:sz="0" w:space="0" w:color="auto"/>
          <w:lang w:val="es-ES"/>
        </w:rPr>
        <w:t>Corte Suprema de Pensilvania</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a la cual pidió una suspensión de las prestaciones del demandante y la extensión de una “excepción de política pública” </w:t>
      </w:r>
      <w:r w:rsidR="00A6744B" w:rsidRPr="00A16D62">
        <w:rPr>
          <w:rFonts w:ascii="Cambria" w:eastAsia="Times New Roman" w:hAnsi="Cambria"/>
          <w:bCs/>
          <w:sz w:val="20"/>
          <w:szCs w:val="20"/>
          <w:bdr w:val="none" w:sz="0" w:space="0" w:color="auto"/>
          <w:lang w:val="es-ES"/>
        </w:rPr>
        <w:t xml:space="preserve">general que exceptuara a los </w:t>
      </w:r>
      <w:r w:rsidR="00C038BF" w:rsidRPr="00A16D62">
        <w:rPr>
          <w:rFonts w:ascii="Cambria" w:eastAsia="Times New Roman" w:hAnsi="Cambria"/>
          <w:bCs/>
          <w:sz w:val="20"/>
          <w:szCs w:val="20"/>
          <w:bdr w:val="none" w:sz="0" w:space="0" w:color="auto"/>
          <w:lang w:val="es-ES"/>
        </w:rPr>
        <w:t>trabajadores indocumentados</w:t>
      </w:r>
      <w:r w:rsidR="00B15CF2" w:rsidRPr="00A16D62">
        <w:rPr>
          <w:rFonts w:ascii="Cambria" w:eastAsia="Times New Roman" w:hAnsi="Cambria"/>
          <w:bCs/>
          <w:sz w:val="20"/>
          <w:szCs w:val="20"/>
          <w:bdr w:val="none" w:sz="0" w:space="0" w:color="auto"/>
          <w:lang w:val="es-ES"/>
        </w:rPr>
        <w:t xml:space="preserve"> </w:t>
      </w:r>
      <w:r w:rsidR="00A6744B" w:rsidRPr="00A16D62">
        <w:rPr>
          <w:rFonts w:ascii="Cambria" w:eastAsia="Times New Roman" w:hAnsi="Cambria"/>
          <w:bCs/>
          <w:sz w:val="20"/>
          <w:szCs w:val="20"/>
          <w:bdr w:val="none" w:sz="0" w:space="0" w:color="auto"/>
          <w:lang w:val="es-ES"/>
        </w:rPr>
        <w:t xml:space="preserve">de la cobertura establecida en la </w:t>
      </w:r>
      <w:r w:rsidR="00EF7A8B" w:rsidRPr="00A16D62">
        <w:rPr>
          <w:rFonts w:ascii="Cambria" w:eastAsia="Times New Roman" w:hAnsi="Cambria"/>
          <w:bCs/>
          <w:sz w:val="20"/>
          <w:szCs w:val="20"/>
          <w:bdr w:val="none" w:sz="0" w:space="0" w:color="auto"/>
          <w:lang w:val="es-ES"/>
        </w:rPr>
        <w:t>Ley de Reforma y Control de la Inmigración</w:t>
      </w:r>
      <w:r w:rsidR="00B15CF2" w:rsidRPr="00A16D62">
        <w:rPr>
          <w:rFonts w:ascii="Cambria" w:eastAsia="Times New Roman" w:hAnsi="Cambria"/>
          <w:bCs/>
          <w:sz w:val="20"/>
          <w:szCs w:val="20"/>
          <w:bdr w:val="none" w:sz="0" w:space="0" w:color="auto"/>
          <w:lang w:val="es-ES"/>
        </w:rPr>
        <w:t xml:space="preserve">, </w:t>
      </w:r>
      <w:r w:rsidR="00A6744B" w:rsidRPr="00A16D62">
        <w:rPr>
          <w:rFonts w:ascii="Cambria" w:eastAsia="Times New Roman" w:hAnsi="Cambria"/>
          <w:bCs/>
          <w:sz w:val="20"/>
          <w:szCs w:val="20"/>
          <w:bdr w:val="none" w:sz="0" w:space="0" w:color="auto"/>
          <w:lang w:val="es-ES"/>
        </w:rPr>
        <w:t>medida que había sido denegada por un tribunal de apelaciones inferior.</w:t>
      </w:r>
    </w:p>
    <w:p w:rsidR="00B15CF2" w:rsidRPr="00A16D62" w:rsidRDefault="00B15CF2" w:rsidP="00B15CF2">
      <w:pPr>
        <w:pStyle w:val="ListParagraph"/>
        <w:rPr>
          <w:rFonts w:eastAsia="Times New Roman"/>
          <w:bCs/>
          <w:color w:val="auto"/>
          <w:sz w:val="20"/>
          <w:szCs w:val="20"/>
          <w:bdr w:val="none" w:sz="0" w:space="0" w:color="auto"/>
          <w:lang w:val="es-ES"/>
        </w:rPr>
      </w:pPr>
    </w:p>
    <w:p w:rsidR="00B15CF2" w:rsidRPr="00A16D62" w:rsidRDefault="00A6744B"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La </w:t>
      </w:r>
      <w:r w:rsidR="00204F3D" w:rsidRPr="00A16D62">
        <w:rPr>
          <w:rFonts w:ascii="Cambria" w:eastAsia="Times New Roman" w:hAnsi="Cambria"/>
          <w:bCs/>
          <w:sz w:val="20"/>
          <w:szCs w:val="20"/>
          <w:bdr w:val="none" w:sz="0" w:space="0" w:color="auto"/>
          <w:lang w:val="es-ES"/>
        </w:rPr>
        <w:t>Corte Suprema de Pensilvania</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al dictar sentencia en el caso, señaló que no consideraría el anuncio de una excepción de política pública con respecto a la </w:t>
      </w:r>
      <w:r w:rsidR="007B4310" w:rsidRPr="00A16D62">
        <w:rPr>
          <w:rFonts w:ascii="Cambria" w:eastAsia="Times New Roman" w:hAnsi="Cambria"/>
          <w:bCs/>
          <w:sz w:val="20"/>
          <w:szCs w:val="20"/>
          <w:bdr w:val="none" w:sz="0" w:space="0" w:color="auto"/>
          <w:lang w:val="es-ES"/>
        </w:rPr>
        <w:t>indemnización</w:t>
      </w:r>
      <w:r w:rsidRPr="00A16D62">
        <w:rPr>
          <w:rFonts w:ascii="Cambria" w:eastAsia="Times New Roman" w:hAnsi="Cambria"/>
          <w:bCs/>
          <w:sz w:val="20"/>
          <w:szCs w:val="20"/>
          <w:bdr w:val="none" w:sz="0" w:space="0" w:color="auto"/>
          <w:lang w:val="es-ES"/>
        </w:rPr>
        <w:t xml:space="preserve"> de trabajadores indocumentados</w:t>
      </w:r>
      <w:r w:rsidR="007B4310" w:rsidRPr="00A16D62">
        <w:rPr>
          <w:rFonts w:ascii="Cambria" w:eastAsia="Times New Roman" w:hAnsi="Cambria"/>
          <w:bCs/>
          <w:sz w:val="20"/>
          <w:szCs w:val="20"/>
          <w:bdr w:val="none" w:sz="0" w:space="0" w:color="auto"/>
          <w:lang w:val="es-ES"/>
        </w:rPr>
        <w:t xml:space="preserve"> por accidentes de trabajo</w:t>
      </w:r>
      <w:r w:rsidRPr="00A16D62">
        <w:rPr>
          <w:rFonts w:ascii="Cambria" w:eastAsia="Times New Roman" w:hAnsi="Cambria"/>
          <w:bCs/>
          <w:sz w:val="20"/>
          <w:szCs w:val="20"/>
          <w:bdr w:val="none" w:sz="0" w:space="0" w:color="auto"/>
          <w:lang w:val="es-ES"/>
        </w:rPr>
        <w:t xml:space="preserve">, puesto que la legislatura ya se había pronunciado sobre el asunto y, si lo hacía, excedería sus facultades y se trataría de un </w:t>
      </w:r>
      <w:r w:rsidR="00B15CF2" w:rsidRPr="00A16D62">
        <w:rPr>
          <w:rFonts w:ascii="Cambria" w:eastAsia="Times New Roman" w:hAnsi="Cambria"/>
          <w:bCs/>
          <w:sz w:val="20"/>
          <w:szCs w:val="20"/>
          <w:bdr w:val="none" w:sz="0" w:space="0" w:color="auto"/>
          <w:lang w:val="es-ES"/>
        </w:rPr>
        <w:t>“e</w:t>
      </w:r>
      <w:r w:rsidRPr="00A16D62">
        <w:rPr>
          <w:rFonts w:ascii="Cambria" w:eastAsia="Times New Roman" w:hAnsi="Cambria"/>
          <w:bCs/>
          <w:sz w:val="20"/>
          <w:szCs w:val="20"/>
          <w:bdr w:val="none" w:sz="0" w:space="0" w:color="auto"/>
          <w:lang w:val="es-ES"/>
        </w:rPr>
        <w:t>jercicio de legislación judicial</w:t>
      </w:r>
      <w:r w:rsidR="00B15CF2" w:rsidRPr="00A16D62">
        <w:rPr>
          <w:rFonts w:ascii="Cambria" w:eastAsia="Times New Roman" w:hAnsi="Cambria"/>
          <w:bCs/>
          <w:sz w:val="20"/>
          <w:szCs w:val="20"/>
          <w:bdr w:val="none" w:sz="0" w:space="0" w:color="auto"/>
          <w:lang w:val="es-ES"/>
        </w:rPr>
        <w:t>”</w:t>
      </w:r>
      <w:r w:rsidR="00B15CF2" w:rsidRPr="00A16D62">
        <w:rPr>
          <w:rStyle w:val="FootnoteReference"/>
          <w:rFonts w:ascii="Cambria" w:eastAsia="Times New Roman" w:hAnsi="Cambria"/>
          <w:bCs/>
          <w:sz w:val="20"/>
          <w:szCs w:val="20"/>
          <w:bdr w:val="none" w:sz="0" w:space="0" w:color="auto"/>
          <w:lang w:val="es-ES"/>
        </w:rPr>
        <w:footnoteReference w:id="92"/>
      </w:r>
      <w:r w:rsidRPr="00A16D62">
        <w:rPr>
          <w:rFonts w:ascii="Cambria" w:eastAsia="Times New Roman" w:hAnsi="Cambria"/>
          <w:bCs/>
          <w:sz w:val="20"/>
          <w:szCs w:val="20"/>
          <w:bdr w:val="none" w:sz="0" w:space="0" w:color="auto"/>
          <w:lang w:val="es-ES"/>
        </w:rPr>
        <w:t>. Sin embargo, la Corte revocó el fallo del tribunal inferior en un área clave: de acuerdo con las leyes de</w:t>
      </w:r>
      <w:r w:rsidR="00291FED" w:rsidRPr="00A16D62">
        <w:rPr>
          <w:rFonts w:ascii="Cambria" w:eastAsia="Times New Roman" w:hAnsi="Cambria"/>
          <w:bCs/>
          <w:sz w:val="20"/>
          <w:szCs w:val="20"/>
          <w:bdr w:val="none" w:sz="0" w:space="0" w:color="auto"/>
          <w:lang w:val="es-ES"/>
        </w:rPr>
        <w:t xml:space="preserve"> </w:t>
      </w:r>
      <w:r w:rsidR="003E2C91" w:rsidRPr="00A16D62">
        <w:rPr>
          <w:rFonts w:ascii="Cambria" w:eastAsia="Times New Roman" w:hAnsi="Cambria"/>
          <w:bCs/>
          <w:sz w:val="20"/>
          <w:szCs w:val="20"/>
          <w:bdr w:val="none" w:sz="0" w:space="0" w:color="auto"/>
          <w:lang w:val="es-ES"/>
        </w:rPr>
        <w:t>Pensilvania</w:t>
      </w:r>
      <w:r w:rsidR="00291FED" w:rsidRPr="00A16D62">
        <w:rPr>
          <w:rFonts w:ascii="Cambria" w:eastAsia="Times New Roman" w:hAnsi="Cambria"/>
          <w:bCs/>
          <w:sz w:val="20"/>
          <w:szCs w:val="20"/>
          <w:bdr w:val="none" w:sz="0" w:space="0" w:color="auto"/>
          <w:lang w:val="es-ES"/>
        </w:rPr>
        <w:t>,</w:t>
      </w:r>
      <w:r w:rsidR="00742A7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cuando un </w:t>
      </w:r>
      <w:r w:rsidR="007F4530" w:rsidRPr="00A16D62">
        <w:rPr>
          <w:rFonts w:ascii="Cambria" w:eastAsia="Times New Roman" w:hAnsi="Cambria"/>
          <w:bCs/>
          <w:sz w:val="20"/>
          <w:szCs w:val="20"/>
          <w:bdr w:val="none" w:sz="0" w:space="0" w:color="auto"/>
          <w:lang w:val="es-ES"/>
        </w:rPr>
        <w:t>empleador</w:t>
      </w:r>
      <w:r w:rsidR="00742A77" w:rsidRPr="00A16D62">
        <w:rPr>
          <w:rFonts w:ascii="Cambria" w:eastAsia="Times New Roman" w:hAnsi="Cambria"/>
          <w:bCs/>
          <w:sz w:val="20"/>
          <w:szCs w:val="20"/>
          <w:bdr w:val="none" w:sz="0" w:space="0" w:color="auto"/>
          <w:lang w:val="es-ES"/>
        </w:rPr>
        <w:t xml:space="preserve"> o</w:t>
      </w:r>
      <w:r w:rsidRPr="00A16D62">
        <w:rPr>
          <w:rFonts w:ascii="Cambria" w:eastAsia="Times New Roman" w:hAnsi="Cambria"/>
          <w:bCs/>
          <w:sz w:val="20"/>
          <w:szCs w:val="20"/>
          <w:bdr w:val="none" w:sz="0" w:space="0" w:color="auto"/>
          <w:lang w:val="es-ES"/>
        </w:rPr>
        <w:t xml:space="preserve"> un asegurador </w:t>
      </w:r>
      <w:r w:rsidR="00F23BF2" w:rsidRPr="00A16D62">
        <w:rPr>
          <w:rFonts w:ascii="Cambria" w:eastAsia="Times New Roman" w:hAnsi="Cambria"/>
          <w:bCs/>
          <w:sz w:val="20"/>
          <w:szCs w:val="20"/>
          <w:bdr w:val="none" w:sz="0" w:space="0" w:color="auto"/>
          <w:lang w:val="es-ES"/>
        </w:rPr>
        <w:t xml:space="preserve">procura </w:t>
      </w:r>
      <w:r w:rsidRPr="00A16D62">
        <w:rPr>
          <w:rFonts w:ascii="Cambria" w:eastAsia="Times New Roman" w:hAnsi="Cambria"/>
          <w:bCs/>
          <w:sz w:val="20"/>
          <w:szCs w:val="20"/>
          <w:bdr w:val="none" w:sz="0" w:space="0" w:color="auto"/>
          <w:lang w:val="es-ES"/>
        </w:rPr>
        <w:t xml:space="preserve">terminar o modificar las prestaciones por discapacidad, tiene que presentar pruebas médicas de que se ha producido un cambio en el estado, así como pruebas de que el trabajador ha sido remitido a uno o más empleos vacantes </w:t>
      </w:r>
      <w:r w:rsidR="00742A77"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que se encuadren en la categoría ocupacional en la cual el demandante haya sido autorizado a desempeñarse por los médicos</w:t>
      </w:r>
      <w:r w:rsidR="00742A77"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 como trabajo liviano o sedentario</w:t>
      </w:r>
      <w:r w:rsidR="00742A77" w:rsidRPr="00A16D62">
        <w:rPr>
          <w:rStyle w:val="FootnoteReference"/>
          <w:rFonts w:ascii="Cambria" w:eastAsia="Times New Roman" w:hAnsi="Cambria"/>
          <w:bCs/>
          <w:sz w:val="20"/>
          <w:szCs w:val="20"/>
          <w:bdr w:val="none" w:sz="0" w:space="0" w:color="auto"/>
          <w:lang w:val="es-ES"/>
        </w:rPr>
        <w:footnoteReference w:id="93"/>
      </w:r>
      <w:r w:rsidRPr="00A16D62">
        <w:rPr>
          <w:rFonts w:ascii="Cambria" w:eastAsia="Times New Roman" w:hAnsi="Cambria"/>
          <w:bCs/>
          <w:sz w:val="20"/>
          <w:szCs w:val="20"/>
          <w:bdr w:val="none" w:sz="0" w:space="0" w:color="auto"/>
          <w:lang w:val="es-ES"/>
        </w:rPr>
        <w:t xml:space="preserve">. En el caso </w:t>
      </w:r>
      <w:r w:rsidR="00B2158B" w:rsidRPr="00A16D62">
        <w:rPr>
          <w:rFonts w:ascii="Cambria" w:eastAsia="Times New Roman" w:hAnsi="Cambria"/>
          <w:bCs/>
          <w:i/>
          <w:sz w:val="20"/>
          <w:szCs w:val="20"/>
          <w:bdr w:val="none" w:sz="0" w:space="0" w:color="auto"/>
          <w:lang w:val="es-ES"/>
        </w:rPr>
        <w:t>Reinforced Earth</w:t>
      </w:r>
      <w:r w:rsidR="00B2158B" w:rsidRPr="00A16D62">
        <w:rPr>
          <w:rFonts w:ascii="Cambria" w:eastAsia="Times New Roman" w:hAnsi="Cambria"/>
          <w:bCs/>
          <w:sz w:val="20"/>
          <w:szCs w:val="20"/>
          <w:bdr w:val="none" w:sz="0" w:space="0" w:color="auto"/>
          <w:lang w:val="es-ES"/>
        </w:rPr>
        <w:t xml:space="preserve">, </w:t>
      </w:r>
      <w:r w:rsidR="006B5786" w:rsidRPr="00A16D62">
        <w:rPr>
          <w:rFonts w:ascii="Cambria" w:eastAsia="Times New Roman" w:hAnsi="Cambria"/>
          <w:bCs/>
          <w:sz w:val="20"/>
          <w:szCs w:val="20"/>
          <w:bdr w:val="none" w:sz="0" w:space="0" w:color="auto"/>
          <w:lang w:val="es-ES"/>
        </w:rPr>
        <w:t xml:space="preserve">la Corte eliminó el segundo requisito para los </w:t>
      </w:r>
      <w:r w:rsidR="000F4EF8" w:rsidRPr="00A16D62">
        <w:rPr>
          <w:rFonts w:ascii="Cambria" w:eastAsia="Times New Roman" w:hAnsi="Cambria"/>
          <w:bCs/>
          <w:sz w:val="20"/>
          <w:szCs w:val="20"/>
          <w:bdr w:val="none" w:sz="0" w:space="0" w:color="auto"/>
          <w:lang w:val="es-ES"/>
        </w:rPr>
        <w:t>empleadores</w:t>
      </w:r>
      <w:r w:rsidR="00483C87" w:rsidRPr="00A16D62">
        <w:rPr>
          <w:rFonts w:ascii="Cambria" w:eastAsia="Times New Roman" w:hAnsi="Cambria"/>
          <w:bCs/>
          <w:sz w:val="20"/>
          <w:szCs w:val="20"/>
          <w:bdr w:val="none" w:sz="0" w:space="0" w:color="auto"/>
          <w:lang w:val="es-ES"/>
        </w:rPr>
        <w:t xml:space="preserve"> </w:t>
      </w:r>
      <w:r w:rsidR="006B5786" w:rsidRPr="00A16D62">
        <w:rPr>
          <w:rFonts w:ascii="Cambria" w:eastAsia="Times New Roman" w:hAnsi="Cambria"/>
          <w:bCs/>
          <w:sz w:val="20"/>
          <w:szCs w:val="20"/>
          <w:bdr w:val="none" w:sz="0" w:space="0" w:color="auto"/>
          <w:lang w:val="es-ES"/>
        </w:rPr>
        <w:t>y aseguradores específicamente cuando el demandante es un</w:t>
      </w:r>
      <w:r w:rsidR="00B2158B" w:rsidRPr="00A16D62">
        <w:rPr>
          <w:rFonts w:ascii="Cambria" w:eastAsia="Times New Roman" w:hAnsi="Cambria"/>
          <w:bCs/>
          <w:sz w:val="20"/>
          <w:szCs w:val="20"/>
          <w:bdr w:val="none" w:sz="0" w:space="0" w:color="auto"/>
          <w:lang w:val="es-ES"/>
        </w:rPr>
        <w:t xml:space="preserve"> </w:t>
      </w:r>
      <w:r w:rsidR="00A30BE7" w:rsidRPr="00A16D62">
        <w:rPr>
          <w:rFonts w:ascii="Cambria" w:eastAsia="Times New Roman" w:hAnsi="Cambria"/>
          <w:bCs/>
          <w:sz w:val="20"/>
          <w:szCs w:val="20"/>
          <w:bdr w:val="none" w:sz="0" w:space="0" w:color="auto"/>
          <w:lang w:val="es-ES"/>
        </w:rPr>
        <w:t>trabajador indocumentado</w:t>
      </w:r>
      <w:r w:rsidR="00B2158B" w:rsidRPr="00A16D62">
        <w:rPr>
          <w:rFonts w:ascii="Cambria" w:eastAsia="Times New Roman" w:hAnsi="Cambria"/>
          <w:bCs/>
          <w:sz w:val="20"/>
          <w:szCs w:val="20"/>
          <w:bdr w:val="none" w:sz="0" w:space="0" w:color="auto"/>
          <w:lang w:val="es-ES"/>
        </w:rPr>
        <w:t xml:space="preserve">, </w:t>
      </w:r>
      <w:r w:rsidR="006B5786" w:rsidRPr="00A16D62">
        <w:rPr>
          <w:rFonts w:ascii="Cambria" w:eastAsia="Times New Roman" w:hAnsi="Cambria"/>
          <w:bCs/>
          <w:sz w:val="20"/>
          <w:szCs w:val="20"/>
          <w:bdr w:val="none" w:sz="0" w:space="0" w:color="auto"/>
          <w:lang w:val="es-ES"/>
        </w:rPr>
        <w:t xml:space="preserve">afirmando que </w:t>
      </w:r>
      <w:r w:rsidR="00B15CF2" w:rsidRPr="00A16D62">
        <w:rPr>
          <w:rFonts w:ascii="Cambria" w:eastAsia="Times New Roman" w:hAnsi="Cambria"/>
          <w:bCs/>
          <w:sz w:val="20"/>
          <w:szCs w:val="20"/>
          <w:bdr w:val="none" w:sz="0" w:space="0" w:color="auto"/>
          <w:lang w:val="es-ES"/>
        </w:rPr>
        <w:t>“</w:t>
      </w:r>
      <w:r w:rsidR="006B5786" w:rsidRPr="00A16D62">
        <w:rPr>
          <w:rFonts w:ascii="Cambria" w:eastAsia="Times New Roman" w:hAnsi="Cambria"/>
          <w:bCs/>
          <w:sz w:val="20"/>
          <w:szCs w:val="20"/>
          <w:bdr w:val="none" w:sz="0" w:space="0" w:color="auto"/>
          <w:lang w:val="es-ES"/>
        </w:rPr>
        <w:t xml:space="preserve">cuando un </w:t>
      </w:r>
      <w:r w:rsidR="007F4530" w:rsidRPr="00A16D62">
        <w:rPr>
          <w:rFonts w:ascii="Cambria" w:eastAsia="Times New Roman" w:hAnsi="Cambria"/>
          <w:bCs/>
          <w:sz w:val="20"/>
          <w:szCs w:val="20"/>
          <w:bdr w:val="none" w:sz="0" w:space="0" w:color="auto"/>
          <w:lang w:val="es-ES"/>
        </w:rPr>
        <w:t>empleador</w:t>
      </w:r>
      <w:r w:rsidR="00B15CF2" w:rsidRPr="00A16D62">
        <w:rPr>
          <w:rFonts w:ascii="Cambria" w:eastAsia="Times New Roman" w:hAnsi="Cambria"/>
          <w:bCs/>
          <w:sz w:val="20"/>
          <w:szCs w:val="20"/>
          <w:bdr w:val="none" w:sz="0" w:space="0" w:color="auto"/>
          <w:lang w:val="es-ES"/>
        </w:rPr>
        <w:t xml:space="preserve"> </w:t>
      </w:r>
      <w:r w:rsidR="00F23BF2" w:rsidRPr="00A16D62">
        <w:rPr>
          <w:rFonts w:ascii="Cambria" w:eastAsia="Times New Roman" w:hAnsi="Cambria"/>
          <w:bCs/>
          <w:sz w:val="20"/>
          <w:szCs w:val="20"/>
          <w:bdr w:val="none" w:sz="0" w:space="0" w:color="auto"/>
          <w:lang w:val="es-ES"/>
        </w:rPr>
        <w:t xml:space="preserve">procura suspender las prestaciones en concepto de </w:t>
      </w:r>
      <w:r w:rsidR="007B4310" w:rsidRPr="00A16D62">
        <w:rPr>
          <w:rFonts w:ascii="Cambria" w:eastAsia="Times New Roman" w:hAnsi="Cambria"/>
          <w:bCs/>
          <w:sz w:val="20"/>
          <w:szCs w:val="20"/>
          <w:bdr w:val="none" w:sz="0" w:space="0" w:color="auto"/>
          <w:lang w:val="es-ES"/>
        </w:rPr>
        <w:t>indemnización por accidente de trabajo</w:t>
      </w:r>
      <w:r w:rsidR="00B15CF2" w:rsidRPr="00A16D62">
        <w:rPr>
          <w:rFonts w:ascii="Cambria" w:eastAsia="Times New Roman" w:hAnsi="Cambria"/>
          <w:bCs/>
          <w:sz w:val="20"/>
          <w:szCs w:val="20"/>
          <w:bdr w:val="none" w:sz="0" w:space="0" w:color="auto"/>
          <w:lang w:val="es-ES"/>
        </w:rPr>
        <w:t xml:space="preserve"> </w:t>
      </w:r>
      <w:r w:rsidR="00F23BF2" w:rsidRPr="00A16D62">
        <w:rPr>
          <w:rFonts w:ascii="Cambria" w:eastAsia="Times New Roman" w:hAnsi="Cambria"/>
          <w:bCs/>
          <w:sz w:val="20"/>
          <w:szCs w:val="20"/>
          <w:bdr w:val="none" w:sz="0" w:space="0" w:color="auto"/>
          <w:lang w:val="es-ES"/>
        </w:rPr>
        <w:t xml:space="preserve">otorgadas a un </w:t>
      </w:r>
      <w:r w:rsidR="009171FF" w:rsidRPr="00A16D62">
        <w:rPr>
          <w:rFonts w:ascii="Cambria" w:eastAsia="Times New Roman" w:hAnsi="Cambria"/>
          <w:bCs/>
          <w:sz w:val="20"/>
          <w:szCs w:val="20"/>
          <w:bdr w:val="none" w:sz="0" w:space="0" w:color="auto"/>
          <w:lang w:val="es-ES"/>
        </w:rPr>
        <w:t>empleado</w:t>
      </w:r>
      <w:r w:rsidR="00B15CF2" w:rsidRPr="00A16D62">
        <w:rPr>
          <w:rFonts w:ascii="Cambria" w:eastAsia="Times New Roman" w:hAnsi="Cambria"/>
          <w:bCs/>
          <w:sz w:val="20"/>
          <w:szCs w:val="20"/>
          <w:bdr w:val="none" w:sz="0" w:space="0" w:color="auto"/>
          <w:lang w:val="es-ES"/>
        </w:rPr>
        <w:t xml:space="preserve"> </w:t>
      </w:r>
      <w:r w:rsidR="00F23BF2" w:rsidRPr="00A16D62">
        <w:rPr>
          <w:rFonts w:ascii="Cambria" w:eastAsia="Times New Roman" w:hAnsi="Cambria"/>
          <w:bCs/>
          <w:sz w:val="20"/>
          <w:szCs w:val="20"/>
          <w:bdr w:val="none" w:sz="0" w:space="0" w:color="auto"/>
          <w:lang w:val="es-ES"/>
        </w:rPr>
        <w:t xml:space="preserve">que es un extranjero no autorizado, no se requiere que el </w:t>
      </w:r>
      <w:r w:rsidR="007F4530" w:rsidRPr="00A16D62">
        <w:rPr>
          <w:rFonts w:ascii="Cambria" w:eastAsia="Times New Roman" w:hAnsi="Cambria"/>
          <w:bCs/>
          <w:sz w:val="20"/>
          <w:szCs w:val="20"/>
          <w:bdr w:val="none" w:sz="0" w:space="0" w:color="auto"/>
          <w:lang w:val="es-ES"/>
        </w:rPr>
        <w:t>empleador</w:t>
      </w:r>
      <w:r w:rsidR="00B15CF2" w:rsidRPr="00A16D62">
        <w:rPr>
          <w:rFonts w:ascii="Cambria" w:eastAsia="Times New Roman" w:hAnsi="Cambria"/>
          <w:bCs/>
          <w:sz w:val="20"/>
          <w:szCs w:val="20"/>
          <w:bdr w:val="none" w:sz="0" w:space="0" w:color="auto"/>
          <w:lang w:val="es-ES"/>
        </w:rPr>
        <w:t xml:space="preserve"> </w:t>
      </w:r>
      <w:r w:rsidR="00F23BF2" w:rsidRPr="00A16D62">
        <w:rPr>
          <w:rFonts w:ascii="Cambria" w:eastAsia="Times New Roman" w:hAnsi="Cambria"/>
          <w:bCs/>
          <w:sz w:val="20"/>
          <w:szCs w:val="20"/>
          <w:bdr w:val="none" w:sz="0" w:space="0" w:color="auto"/>
          <w:lang w:val="es-ES"/>
        </w:rPr>
        <w:t>muestre empleos disponibles</w:t>
      </w:r>
      <w:r w:rsidR="00B15CF2" w:rsidRPr="00A16D62">
        <w:rPr>
          <w:rFonts w:ascii="Cambria" w:eastAsia="Times New Roman" w:hAnsi="Cambria"/>
          <w:bCs/>
          <w:sz w:val="20"/>
          <w:szCs w:val="20"/>
          <w:bdr w:val="none" w:sz="0" w:space="0" w:color="auto"/>
          <w:lang w:val="es-ES"/>
        </w:rPr>
        <w:t>”</w:t>
      </w:r>
      <w:r w:rsidR="00B15CF2" w:rsidRPr="00A16D62">
        <w:rPr>
          <w:rStyle w:val="FootnoteReference"/>
          <w:rFonts w:ascii="Cambria" w:eastAsia="Times New Roman" w:hAnsi="Cambria"/>
          <w:bCs/>
          <w:sz w:val="20"/>
          <w:szCs w:val="20"/>
          <w:bdr w:val="none" w:sz="0" w:space="0" w:color="auto"/>
          <w:lang w:val="es-ES"/>
        </w:rPr>
        <w:footnoteReference w:id="94"/>
      </w:r>
      <w:r w:rsidR="00F23BF2" w:rsidRPr="00A16D62">
        <w:rPr>
          <w:rFonts w:ascii="Cambria" w:eastAsia="Times New Roman" w:hAnsi="Cambria"/>
          <w:bCs/>
          <w:sz w:val="20"/>
          <w:szCs w:val="20"/>
          <w:bdr w:val="none" w:sz="0" w:space="0" w:color="auto"/>
          <w:lang w:val="es-ES"/>
        </w:rPr>
        <w:t xml:space="preserve">. </w:t>
      </w:r>
      <w:r w:rsidR="001778E3" w:rsidRPr="00A16D62">
        <w:rPr>
          <w:rFonts w:ascii="Cambria" w:eastAsia="Times New Roman" w:hAnsi="Cambria"/>
          <w:bCs/>
          <w:sz w:val="20"/>
          <w:szCs w:val="20"/>
          <w:bdr w:val="none" w:sz="0" w:space="0" w:color="auto"/>
          <w:lang w:val="es-ES"/>
        </w:rPr>
        <w:t xml:space="preserve">Al aclarar su posición, la Corte afirmó que, aunque el </w:t>
      </w:r>
      <w:r w:rsidR="007F4530" w:rsidRPr="00A16D62">
        <w:rPr>
          <w:rFonts w:ascii="Cambria" w:eastAsia="Times New Roman" w:hAnsi="Cambria"/>
          <w:bCs/>
          <w:sz w:val="20"/>
          <w:szCs w:val="20"/>
          <w:bdr w:val="none" w:sz="0" w:space="0" w:color="auto"/>
          <w:lang w:val="es-ES"/>
        </w:rPr>
        <w:t>empleador</w:t>
      </w:r>
      <w:r w:rsidR="00B15CF2" w:rsidRPr="00A16D62">
        <w:rPr>
          <w:rFonts w:ascii="Cambria" w:eastAsia="Times New Roman" w:hAnsi="Cambria"/>
          <w:bCs/>
          <w:sz w:val="20"/>
          <w:szCs w:val="20"/>
          <w:bdr w:val="none" w:sz="0" w:space="0" w:color="auto"/>
          <w:lang w:val="es-ES"/>
        </w:rPr>
        <w:t xml:space="preserve"> </w:t>
      </w:r>
      <w:r w:rsidR="001778E3" w:rsidRPr="00A16D62">
        <w:rPr>
          <w:rFonts w:ascii="Cambria" w:eastAsia="Times New Roman" w:hAnsi="Cambria"/>
          <w:bCs/>
          <w:sz w:val="20"/>
          <w:szCs w:val="20"/>
          <w:bdr w:val="none" w:sz="0" w:space="0" w:color="auto"/>
          <w:lang w:val="es-ES"/>
        </w:rPr>
        <w:t xml:space="preserve">puede </w:t>
      </w:r>
      <w:r w:rsidR="001778E3" w:rsidRPr="00A16D62">
        <w:rPr>
          <w:rFonts w:ascii="Cambria" w:eastAsia="Times New Roman" w:hAnsi="Cambria"/>
          <w:bCs/>
          <w:sz w:val="20"/>
          <w:szCs w:val="20"/>
          <w:bdr w:val="none" w:sz="0" w:space="0" w:color="auto"/>
          <w:lang w:val="es-ES"/>
        </w:rPr>
        <w:lastRenderedPageBreak/>
        <w:t xml:space="preserve">procurar la suspensión de la totalidad de la indemnización por discapacidad adjudicada al demandante, no puede procurar la suspensión de las </w:t>
      </w:r>
      <w:r w:rsidR="00256794" w:rsidRPr="00A16D62">
        <w:rPr>
          <w:rFonts w:ascii="Cambria" w:eastAsia="Times New Roman" w:hAnsi="Cambria"/>
          <w:bCs/>
          <w:sz w:val="20"/>
          <w:szCs w:val="20"/>
          <w:bdr w:val="none" w:sz="0" w:space="0" w:color="auto"/>
          <w:lang w:val="es-ES"/>
        </w:rPr>
        <w:t>prestaciones médicas</w:t>
      </w:r>
      <w:r w:rsidR="00B15CF2" w:rsidRPr="00A16D62">
        <w:rPr>
          <w:rFonts w:ascii="Cambria" w:eastAsia="Times New Roman" w:hAnsi="Cambria"/>
          <w:bCs/>
          <w:sz w:val="20"/>
          <w:szCs w:val="20"/>
          <w:bdr w:val="none" w:sz="0" w:space="0" w:color="auto"/>
          <w:lang w:val="es-ES"/>
        </w:rPr>
        <w:t xml:space="preserve"> </w:t>
      </w:r>
      <w:r w:rsidR="001778E3" w:rsidRPr="00A16D62">
        <w:rPr>
          <w:rFonts w:ascii="Cambria" w:eastAsia="Times New Roman" w:hAnsi="Cambria"/>
          <w:bCs/>
          <w:sz w:val="20"/>
          <w:szCs w:val="20"/>
          <w:bdr w:val="none" w:sz="0" w:space="0" w:color="auto"/>
          <w:lang w:val="es-ES"/>
        </w:rPr>
        <w:t>otorgadas</w:t>
      </w:r>
      <w:r w:rsidR="00B15CF2" w:rsidRPr="00A16D62">
        <w:rPr>
          <w:rFonts w:ascii="Cambria" w:eastAsia="Times New Roman" w:hAnsi="Cambria"/>
          <w:bCs/>
          <w:sz w:val="20"/>
          <w:szCs w:val="20"/>
          <w:bdr w:val="none" w:sz="0" w:space="0" w:color="auto"/>
          <w:lang w:val="es-ES"/>
        </w:rPr>
        <w:t>, “</w:t>
      </w:r>
      <w:r w:rsidR="0002578F" w:rsidRPr="00A16D62">
        <w:rPr>
          <w:rFonts w:ascii="Cambria" w:eastAsia="Times New Roman" w:hAnsi="Cambria"/>
          <w:bCs/>
          <w:sz w:val="20"/>
          <w:szCs w:val="20"/>
          <w:bdr w:val="none" w:sz="0" w:space="0" w:color="auto"/>
          <w:lang w:val="es-ES"/>
        </w:rPr>
        <w:t xml:space="preserve">ya que las disposiciones de </w:t>
      </w:r>
      <w:r w:rsidR="00B15CF2" w:rsidRPr="00A16D62">
        <w:rPr>
          <w:rFonts w:ascii="Cambria" w:eastAsia="Times New Roman" w:hAnsi="Cambria"/>
          <w:bCs/>
          <w:sz w:val="20"/>
          <w:szCs w:val="20"/>
          <w:bdr w:val="none" w:sz="0" w:space="0" w:color="auto"/>
          <w:lang w:val="es-ES"/>
        </w:rPr>
        <w:t>[</w:t>
      </w:r>
      <w:r w:rsidR="0002578F" w:rsidRPr="00A16D62">
        <w:rPr>
          <w:rFonts w:ascii="Cambria" w:eastAsia="Times New Roman" w:hAnsi="Cambria"/>
          <w:bCs/>
          <w:sz w:val="20"/>
          <w:szCs w:val="20"/>
          <w:bdr w:val="none" w:sz="0" w:space="0" w:color="auto"/>
          <w:lang w:val="es-ES"/>
        </w:rPr>
        <w:t>el artículo que dispone el pago de servicios quirúrgicos y médicos razonables</w:t>
      </w:r>
      <w:r w:rsidR="00B15CF2" w:rsidRPr="00A16D62">
        <w:rPr>
          <w:rFonts w:ascii="Cambria" w:eastAsia="Times New Roman" w:hAnsi="Cambria"/>
          <w:bCs/>
          <w:sz w:val="20"/>
          <w:szCs w:val="20"/>
          <w:bdr w:val="none" w:sz="0" w:space="0" w:color="auto"/>
          <w:lang w:val="es-ES"/>
        </w:rPr>
        <w:t xml:space="preserve">] </w:t>
      </w:r>
      <w:r w:rsidR="0002578F" w:rsidRPr="00A16D62">
        <w:rPr>
          <w:rFonts w:ascii="Cambria" w:eastAsia="Times New Roman" w:hAnsi="Cambria"/>
          <w:bCs/>
          <w:sz w:val="20"/>
          <w:szCs w:val="20"/>
          <w:bdr w:val="none" w:sz="0" w:space="0" w:color="auto"/>
          <w:lang w:val="es-ES"/>
        </w:rPr>
        <w:t>se aplican a las lesiones, se produzca o no una pérdida de la capacidad para obtener ingresos</w:t>
      </w:r>
      <w:r w:rsidR="00B15CF2" w:rsidRPr="00A16D62">
        <w:rPr>
          <w:rFonts w:ascii="Cambria" w:eastAsia="Times New Roman" w:hAnsi="Cambria"/>
          <w:bCs/>
          <w:sz w:val="20"/>
          <w:szCs w:val="20"/>
          <w:bdr w:val="none" w:sz="0" w:space="0" w:color="auto"/>
          <w:lang w:val="es-ES"/>
        </w:rPr>
        <w:t>”</w:t>
      </w:r>
      <w:r w:rsidR="00B15CF2" w:rsidRPr="00A16D62">
        <w:rPr>
          <w:rStyle w:val="FootnoteReference"/>
          <w:rFonts w:ascii="Cambria" w:eastAsia="Times New Roman" w:hAnsi="Cambria"/>
          <w:bCs/>
          <w:sz w:val="20"/>
          <w:szCs w:val="20"/>
          <w:bdr w:val="none" w:sz="0" w:space="0" w:color="auto"/>
          <w:lang w:val="es-ES"/>
        </w:rPr>
        <w:footnoteReference w:id="95"/>
      </w:r>
      <w:r w:rsidR="0002578F" w:rsidRPr="00A16D62">
        <w:rPr>
          <w:rFonts w:ascii="Cambria" w:eastAsia="Times New Roman" w:hAnsi="Cambria"/>
          <w:bCs/>
          <w:sz w:val="20"/>
          <w:szCs w:val="20"/>
          <w:bdr w:val="none" w:sz="0" w:space="0" w:color="auto"/>
          <w:lang w:val="es-ES"/>
        </w:rPr>
        <w:t>.</w:t>
      </w:r>
    </w:p>
    <w:p w:rsidR="00B15CF2" w:rsidRPr="00A16D62" w:rsidRDefault="00B15CF2" w:rsidP="00B15CF2">
      <w:pPr>
        <w:pStyle w:val="ListParagraph"/>
        <w:rPr>
          <w:rFonts w:eastAsia="Times New Roman"/>
          <w:bCs/>
          <w:color w:val="auto"/>
          <w:sz w:val="20"/>
          <w:szCs w:val="20"/>
          <w:bdr w:val="none" w:sz="0" w:space="0" w:color="auto"/>
          <w:lang w:val="es-ES"/>
        </w:rPr>
      </w:pPr>
    </w:p>
    <w:p w:rsidR="00B15CF2" w:rsidRPr="00A16D62" w:rsidRDefault="0002578F"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el segundo caso</w:t>
      </w:r>
      <w:r w:rsidR="00B15CF2" w:rsidRPr="00A16D62">
        <w:rPr>
          <w:rFonts w:ascii="Cambria" w:eastAsia="Times New Roman" w:hAnsi="Cambria"/>
          <w:bCs/>
          <w:sz w:val="20"/>
          <w:szCs w:val="20"/>
          <w:bdr w:val="none" w:sz="0" w:space="0" w:color="auto"/>
          <w:lang w:val="es-ES"/>
        </w:rPr>
        <w:t xml:space="preserve">, </w:t>
      </w:r>
      <w:r w:rsidR="00B15CF2" w:rsidRPr="00A16D62">
        <w:rPr>
          <w:rFonts w:ascii="Cambria" w:eastAsia="Times New Roman" w:hAnsi="Cambria"/>
          <w:bCs/>
          <w:i/>
          <w:sz w:val="20"/>
          <w:szCs w:val="20"/>
          <w:bdr w:val="none" w:sz="0" w:space="0" w:color="auto"/>
          <w:lang w:val="es-ES"/>
        </w:rPr>
        <w:t xml:space="preserve">Doe </w:t>
      </w:r>
      <w:r w:rsidR="00521A6A" w:rsidRPr="00A16D62">
        <w:rPr>
          <w:rFonts w:ascii="Cambria" w:eastAsia="Times New Roman" w:hAnsi="Cambria"/>
          <w:bCs/>
          <w:i/>
          <w:sz w:val="20"/>
          <w:szCs w:val="20"/>
          <w:bdr w:val="none" w:sz="0" w:space="0" w:color="auto"/>
          <w:lang w:val="es-ES"/>
        </w:rPr>
        <w:t>c.</w:t>
      </w:r>
      <w:r w:rsidR="00B15CF2" w:rsidRPr="00A16D62">
        <w:rPr>
          <w:rFonts w:ascii="Cambria" w:eastAsia="Times New Roman" w:hAnsi="Cambria"/>
          <w:bCs/>
          <w:i/>
          <w:sz w:val="20"/>
          <w:szCs w:val="20"/>
          <w:bdr w:val="none" w:sz="0" w:space="0" w:color="auto"/>
          <w:lang w:val="es-ES"/>
        </w:rPr>
        <w:t xml:space="preserve"> </w:t>
      </w:r>
      <w:r w:rsidRPr="00A16D62">
        <w:rPr>
          <w:rFonts w:ascii="Cambria" w:eastAsia="Times New Roman" w:hAnsi="Cambria"/>
          <w:bCs/>
          <w:i/>
          <w:sz w:val="20"/>
          <w:szCs w:val="20"/>
          <w:bdr w:val="none" w:sz="0" w:space="0" w:color="auto"/>
          <w:lang w:val="es-ES"/>
        </w:rPr>
        <w:t>Departamento de Recursos Humanos de Kansas</w:t>
      </w:r>
      <w:r w:rsidR="00B15CF2" w:rsidRPr="00A16D62">
        <w:rPr>
          <w:rFonts w:ascii="Cambria" w:eastAsia="Times New Roman" w:hAnsi="Cambria"/>
          <w:bCs/>
          <w:sz w:val="20"/>
          <w:szCs w:val="20"/>
          <w:bdr w:val="none" w:sz="0" w:space="0" w:color="auto"/>
          <w:lang w:val="es-ES"/>
        </w:rPr>
        <w:t xml:space="preserve">, </w:t>
      </w:r>
      <w:r w:rsidR="007E2394" w:rsidRPr="00A16D62">
        <w:rPr>
          <w:rFonts w:ascii="Cambria" w:eastAsia="Times New Roman" w:hAnsi="Cambria"/>
          <w:bCs/>
          <w:sz w:val="20"/>
          <w:szCs w:val="20"/>
          <w:bdr w:val="none" w:sz="0" w:space="0" w:color="auto"/>
          <w:lang w:val="es-ES"/>
        </w:rPr>
        <w:t xml:space="preserve">una </w:t>
      </w:r>
      <w:r w:rsidR="00A30BE7" w:rsidRPr="00A16D62">
        <w:rPr>
          <w:rFonts w:ascii="Cambria" w:eastAsia="Times New Roman" w:hAnsi="Cambria"/>
          <w:bCs/>
          <w:sz w:val="20"/>
          <w:szCs w:val="20"/>
          <w:bdr w:val="none" w:sz="0" w:space="0" w:color="auto"/>
          <w:lang w:val="es-ES"/>
        </w:rPr>
        <w:t>trabajador</w:t>
      </w:r>
      <w:r w:rsidR="007E2394" w:rsidRPr="00A16D62">
        <w:rPr>
          <w:rFonts w:ascii="Cambria" w:eastAsia="Times New Roman" w:hAnsi="Cambria"/>
          <w:bCs/>
          <w:sz w:val="20"/>
          <w:szCs w:val="20"/>
          <w:bdr w:val="none" w:sz="0" w:space="0" w:color="auto"/>
          <w:lang w:val="es-ES"/>
        </w:rPr>
        <w:t>a</w:t>
      </w:r>
      <w:r w:rsidR="00A30BE7" w:rsidRPr="00A16D62">
        <w:rPr>
          <w:rFonts w:ascii="Cambria" w:eastAsia="Times New Roman" w:hAnsi="Cambria"/>
          <w:bCs/>
          <w:sz w:val="20"/>
          <w:szCs w:val="20"/>
          <w:bdr w:val="none" w:sz="0" w:space="0" w:color="auto"/>
          <w:lang w:val="es-ES"/>
        </w:rPr>
        <w:t xml:space="preserve"> indocumentad</w:t>
      </w:r>
      <w:r w:rsidR="007E2394" w:rsidRPr="00A16D62">
        <w:rPr>
          <w:rFonts w:ascii="Cambria" w:eastAsia="Times New Roman" w:hAnsi="Cambria"/>
          <w:bCs/>
          <w:sz w:val="20"/>
          <w:szCs w:val="20"/>
          <w:bdr w:val="none" w:sz="0" w:space="0" w:color="auto"/>
          <w:lang w:val="es-ES"/>
        </w:rPr>
        <w:t xml:space="preserve">a de </w:t>
      </w:r>
      <w:r w:rsidR="00001DB6" w:rsidRPr="00A16D62">
        <w:rPr>
          <w:rFonts w:ascii="Cambria" w:eastAsia="Times New Roman" w:hAnsi="Cambria"/>
          <w:bCs/>
          <w:sz w:val="20"/>
          <w:szCs w:val="20"/>
          <w:bdr w:val="none" w:sz="0" w:space="0" w:color="auto"/>
          <w:lang w:val="es-ES"/>
        </w:rPr>
        <w:t>México</w:t>
      </w:r>
      <w:r w:rsidR="00B15CF2" w:rsidRPr="00A16D62">
        <w:rPr>
          <w:rFonts w:ascii="Cambria" w:eastAsia="Times New Roman" w:hAnsi="Cambria"/>
          <w:bCs/>
          <w:sz w:val="20"/>
          <w:szCs w:val="20"/>
          <w:bdr w:val="none" w:sz="0" w:space="0" w:color="auto"/>
          <w:lang w:val="es-ES"/>
        </w:rPr>
        <w:t>, Delia Butanda, su</w:t>
      </w:r>
      <w:r w:rsidR="007E2394" w:rsidRPr="00A16D62">
        <w:rPr>
          <w:rFonts w:ascii="Cambria" w:eastAsia="Times New Roman" w:hAnsi="Cambria"/>
          <w:bCs/>
          <w:sz w:val="20"/>
          <w:szCs w:val="20"/>
          <w:bdr w:val="none" w:sz="0" w:space="0" w:color="auto"/>
          <w:lang w:val="es-ES"/>
        </w:rPr>
        <w:t>frió lesiones en el trabajo en un frigorífico</w:t>
      </w:r>
      <w:r w:rsidR="00B15CF2" w:rsidRPr="00A16D62">
        <w:rPr>
          <w:rStyle w:val="FootnoteReference"/>
          <w:rFonts w:ascii="Cambria" w:eastAsia="Times New Roman" w:hAnsi="Cambria"/>
          <w:bCs/>
          <w:sz w:val="20"/>
          <w:szCs w:val="20"/>
          <w:bdr w:val="none" w:sz="0" w:space="0" w:color="auto"/>
          <w:lang w:val="es-ES"/>
        </w:rPr>
        <w:footnoteReference w:id="96"/>
      </w:r>
      <w:r w:rsidR="007E2394" w:rsidRPr="00A16D62">
        <w:rPr>
          <w:rFonts w:ascii="Cambria" w:eastAsia="Times New Roman" w:hAnsi="Cambria"/>
          <w:bCs/>
          <w:sz w:val="20"/>
          <w:szCs w:val="20"/>
          <w:bdr w:val="none" w:sz="0" w:space="0" w:color="auto"/>
          <w:lang w:val="es-ES"/>
        </w:rPr>
        <w:t xml:space="preserve">. Interpuso una demanda de </w:t>
      </w:r>
      <w:r w:rsidR="007B4310" w:rsidRPr="00A16D62">
        <w:rPr>
          <w:rFonts w:ascii="Cambria" w:eastAsia="Times New Roman" w:hAnsi="Cambria"/>
          <w:bCs/>
          <w:sz w:val="20"/>
          <w:szCs w:val="20"/>
          <w:bdr w:val="none" w:sz="0" w:space="0" w:color="auto"/>
          <w:lang w:val="es-ES"/>
        </w:rPr>
        <w:t>indemnización por accidente de trabajo</w:t>
      </w:r>
      <w:r w:rsidR="00B15CF2" w:rsidRPr="00A16D62">
        <w:rPr>
          <w:rFonts w:ascii="Cambria" w:eastAsia="Times New Roman" w:hAnsi="Cambria"/>
          <w:bCs/>
          <w:sz w:val="20"/>
          <w:szCs w:val="20"/>
          <w:bdr w:val="none" w:sz="0" w:space="0" w:color="auto"/>
          <w:lang w:val="es-ES"/>
        </w:rPr>
        <w:t xml:space="preserve"> us</w:t>
      </w:r>
      <w:r w:rsidR="007E2394" w:rsidRPr="00A16D62">
        <w:rPr>
          <w:rFonts w:ascii="Cambria" w:eastAsia="Times New Roman" w:hAnsi="Cambria"/>
          <w:bCs/>
          <w:sz w:val="20"/>
          <w:szCs w:val="20"/>
          <w:bdr w:val="none" w:sz="0" w:space="0" w:color="auto"/>
          <w:lang w:val="es-ES"/>
        </w:rPr>
        <w:t xml:space="preserve">ando el nombre </w:t>
      </w:r>
      <w:r w:rsidR="00B15CF2" w:rsidRPr="00A16D62">
        <w:rPr>
          <w:rFonts w:ascii="Cambria" w:eastAsia="Times New Roman" w:hAnsi="Cambria"/>
          <w:bCs/>
          <w:sz w:val="20"/>
          <w:szCs w:val="20"/>
          <w:bdr w:val="none" w:sz="0" w:space="0" w:color="auto"/>
          <w:lang w:val="es-ES"/>
        </w:rPr>
        <w:t xml:space="preserve">(Victoria Acosta) </w:t>
      </w:r>
      <w:r w:rsidR="007E2394" w:rsidRPr="00A16D62">
        <w:rPr>
          <w:rFonts w:ascii="Cambria" w:eastAsia="Times New Roman" w:hAnsi="Cambria"/>
          <w:bCs/>
          <w:sz w:val="20"/>
          <w:szCs w:val="20"/>
          <w:bdr w:val="none" w:sz="0" w:space="0" w:color="auto"/>
          <w:lang w:val="es-ES"/>
        </w:rPr>
        <w:t xml:space="preserve">y el número de seguridad social falsos que había usado originalmente para obtener empleo en el frigorífico. Le adjudicaron más de </w:t>
      </w:r>
      <w:r w:rsidR="00B15CF2" w:rsidRPr="00A16D62">
        <w:rPr>
          <w:rFonts w:ascii="Cambria" w:eastAsia="Times New Roman" w:hAnsi="Cambria"/>
          <w:bCs/>
          <w:sz w:val="20"/>
          <w:szCs w:val="20"/>
          <w:bdr w:val="none" w:sz="0" w:space="0" w:color="auto"/>
          <w:lang w:val="es-ES"/>
        </w:rPr>
        <w:t>$57</w:t>
      </w:r>
      <w:r w:rsidR="007E2394" w:rsidRPr="00A16D62">
        <w:rPr>
          <w:rFonts w:ascii="Cambria" w:eastAsia="Times New Roman" w:hAnsi="Cambria"/>
          <w:bCs/>
          <w:sz w:val="20"/>
          <w:szCs w:val="20"/>
          <w:bdr w:val="none" w:sz="0" w:space="0" w:color="auto"/>
          <w:lang w:val="es-ES"/>
        </w:rPr>
        <w:t>.</w:t>
      </w:r>
      <w:r w:rsidR="00B15CF2" w:rsidRPr="00A16D62">
        <w:rPr>
          <w:rFonts w:ascii="Cambria" w:eastAsia="Times New Roman" w:hAnsi="Cambria"/>
          <w:bCs/>
          <w:sz w:val="20"/>
          <w:szCs w:val="20"/>
          <w:bdr w:val="none" w:sz="0" w:space="0" w:color="auto"/>
          <w:lang w:val="es-ES"/>
        </w:rPr>
        <w:t xml:space="preserve">000 </w:t>
      </w:r>
      <w:r w:rsidR="007E2394" w:rsidRPr="00A16D62">
        <w:rPr>
          <w:rFonts w:ascii="Cambria" w:eastAsia="Times New Roman" w:hAnsi="Cambria"/>
          <w:bCs/>
          <w:sz w:val="20"/>
          <w:szCs w:val="20"/>
          <w:bdr w:val="none" w:sz="0" w:space="0" w:color="auto"/>
          <w:lang w:val="es-ES"/>
        </w:rPr>
        <w:t>en concepto de indemnización por sus lesiones</w:t>
      </w:r>
      <w:r w:rsidR="00B15CF2" w:rsidRPr="00A16D62">
        <w:rPr>
          <w:rStyle w:val="FootnoteReference"/>
          <w:rFonts w:ascii="Cambria" w:eastAsia="Times New Roman" w:hAnsi="Cambria"/>
          <w:bCs/>
          <w:sz w:val="20"/>
          <w:szCs w:val="20"/>
          <w:bdr w:val="none" w:sz="0" w:space="0" w:color="auto"/>
          <w:lang w:val="es-ES"/>
        </w:rPr>
        <w:footnoteReference w:id="97"/>
      </w:r>
      <w:r w:rsidR="007E2394" w:rsidRPr="00A16D62">
        <w:rPr>
          <w:rFonts w:ascii="Cambria" w:eastAsia="Times New Roman" w:hAnsi="Cambria"/>
          <w:bCs/>
          <w:sz w:val="20"/>
          <w:szCs w:val="20"/>
          <w:bdr w:val="none" w:sz="0" w:space="0" w:color="auto"/>
          <w:lang w:val="es-ES"/>
        </w:rPr>
        <w:t>. Más tarde, como consecuencia de</w:t>
      </w:r>
      <w:r w:rsidR="00B15CF2" w:rsidRPr="00A16D62">
        <w:rPr>
          <w:rFonts w:ascii="Cambria" w:eastAsia="Times New Roman" w:hAnsi="Cambria"/>
          <w:bCs/>
          <w:sz w:val="20"/>
          <w:szCs w:val="20"/>
          <w:bdr w:val="none" w:sz="0" w:space="0" w:color="auto"/>
          <w:lang w:val="es-ES"/>
        </w:rPr>
        <w:t xml:space="preserve"> </w:t>
      </w:r>
      <w:r w:rsidR="007E2394" w:rsidRPr="00A16D62">
        <w:rPr>
          <w:rFonts w:ascii="Cambria" w:eastAsia="Times New Roman" w:hAnsi="Cambria"/>
          <w:bCs/>
          <w:sz w:val="20"/>
          <w:szCs w:val="20"/>
          <w:bdr w:val="none" w:sz="0" w:space="0" w:color="auto"/>
          <w:lang w:val="es-ES"/>
        </w:rPr>
        <w:t xml:space="preserve">la información transmitida por el Departamento de Seguros de </w:t>
      </w:r>
      <w:r w:rsidR="00B15CF2" w:rsidRPr="00A16D62">
        <w:rPr>
          <w:rFonts w:ascii="Cambria" w:eastAsia="Times New Roman" w:hAnsi="Cambria"/>
          <w:bCs/>
          <w:sz w:val="20"/>
          <w:szCs w:val="20"/>
          <w:bdr w:val="none" w:sz="0" w:space="0" w:color="auto"/>
          <w:lang w:val="es-ES"/>
        </w:rPr>
        <w:t xml:space="preserve">Kansas, </w:t>
      </w:r>
      <w:r w:rsidR="007E2394" w:rsidRPr="00A16D62">
        <w:rPr>
          <w:rFonts w:ascii="Cambria" w:eastAsia="Times New Roman" w:hAnsi="Cambria"/>
          <w:bCs/>
          <w:sz w:val="20"/>
          <w:szCs w:val="20"/>
          <w:bdr w:val="none" w:sz="0" w:space="0" w:color="auto"/>
          <w:lang w:val="es-ES"/>
        </w:rPr>
        <w:t xml:space="preserve">la Unidad de Fraudes y Abusos de la División de </w:t>
      </w:r>
      <w:r w:rsidR="007B4310" w:rsidRPr="00A16D62">
        <w:rPr>
          <w:rFonts w:ascii="Cambria" w:eastAsia="Times New Roman" w:hAnsi="Cambria"/>
          <w:bCs/>
          <w:sz w:val="20"/>
          <w:szCs w:val="20"/>
          <w:bdr w:val="none" w:sz="0" w:space="0" w:color="auto"/>
          <w:lang w:val="es-ES"/>
        </w:rPr>
        <w:t xml:space="preserve">Indemnización por </w:t>
      </w:r>
      <w:r w:rsidR="007E2394" w:rsidRPr="00A16D62">
        <w:rPr>
          <w:rFonts w:ascii="Cambria" w:eastAsia="Times New Roman" w:hAnsi="Cambria"/>
          <w:bCs/>
          <w:sz w:val="20"/>
          <w:szCs w:val="20"/>
          <w:bdr w:val="none" w:sz="0" w:space="0" w:color="auto"/>
          <w:lang w:val="es-ES"/>
        </w:rPr>
        <w:t>A</w:t>
      </w:r>
      <w:r w:rsidR="007B4310" w:rsidRPr="00A16D62">
        <w:rPr>
          <w:rFonts w:ascii="Cambria" w:eastAsia="Times New Roman" w:hAnsi="Cambria"/>
          <w:bCs/>
          <w:sz w:val="20"/>
          <w:szCs w:val="20"/>
          <w:bdr w:val="none" w:sz="0" w:space="0" w:color="auto"/>
          <w:lang w:val="es-ES"/>
        </w:rPr>
        <w:t xml:space="preserve">ccidentes de </w:t>
      </w:r>
      <w:r w:rsidR="007E2394" w:rsidRPr="00A16D62">
        <w:rPr>
          <w:rFonts w:ascii="Cambria" w:eastAsia="Times New Roman" w:hAnsi="Cambria"/>
          <w:bCs/>
          <w:sz w:val="20"/>
          <w:szCs w:val="20"/>
          <w:bdr w:val="none" w:sz="0" w:space="0" w:color="auto"/>
          <w:lang w:val="es-ES"/>
        </w:rPr>
        <w:t>T</w:t>
      </w:r>
      <w:r w:rsidR="007B4310" w:rsidRPr="00A16D62">
        <w:rPr>
          <w:rFonts w:ascii="Cambria" w:eastAsia="Times New Roman" w:hAnsi="Cambria"/>
          <w:bCs/>
          <w:sz w:val="20"/>
          <w:szCs w:val="20"/>
          <w:bdr w:val="none" w:sz="0" w:space="0" w:color="auto"/>
          <w:lang w:val="es-ES"/>
        </w:rPr>
        <w:t>rabajo</w:t>
      </w:r>
      <w:r w:rsidR="00B15CF2" w:rsidRPr="00A16D62">
        <w:rPr>
          <w:rFonts w:ascii="Cambria" w:eastAsia="Times New Roman" w:hAnsi="Cambria"/>
          <w:bCs/>
          <w:sz w:val="20"/>
          <w:szCs w:val="20"/>
          <w:bdr w:val="none" w:sz="0" w:space="0" w:color="auto"/>
          <w:lang w:val="es-ES"/>
        </w:rPr>
        <w:t xml:space="preserve"> </w:t>
      </w:r>
      <w:r w:rsidR="007E2394" w:rsidRPr="00A16D62">
        <w:rPr>
          <w:rFonts w:ascii="Cambria" w:eastAsia="Times New Roman" w:hAnsi="Cambria"/>
          <w:bCs/>
          <w:sz w:val="20"/>
          <w:szCs w:val="20"/>
          <w:bdr w:val="none" w:sz="0" w:space="0" w:color="auto"/>
          <w:lang w:val="es-ES"/>
        </w:rPr>
        <w:t>descubrió la verdadera identidad de la señora</w:t>
      </w:r>
      <w:r w:rsidR="00B15CF2" w:rsidRPr="00A16D62">
        <w:rPr>
          <w:rFonts w:ascii="Cambria" w:eastAsia="Times New Roman" w:hAnsi="Cambria"/>
          <w:bCs/>
          <w:sz w:val="20"/>
          <w:szCs w:val="20"/>
          <w:bdr w:val="none" w:sz="0" w:space="0" w:color="auto"/>
          <w:lang w:val="es-ES"/>
        </w:rPr>
        <w:t xml:space="preserve"> Butanda</w:t>
      </w:r>
      <w:r w:rsidR="00B15CF2" w:rsidRPr="00A16D62">
        <w:rPr>
          <w:rStyle w:val="FootnoteReference"/>
          <w:rFonts w:ascii="Cambria" w:eastAsia="Times New Roman" w:hAnsi="Cambria"/>
          <w:bCs/>
          <w:sz w:val="20"/>
          <w:szCs w:val="20"/>
          <w:bdr w:val="none" w:sz="0" w:space="0" w:color="auto"/>
          <w:lang w:val="es-ES"/>
        </w:rPr>
        <w:footnoteReference w:id="98"/>
      </w:r>
      <w:r w:rsidR="007E2394" w:rsidRPr="00A16D62">
        <w:rPr>
          <w:rFonts w:ascii="Cambria" w:eastAsia="Times New Roman" w:hAnsi="Cambria"/>
          <w:bCs/>
          <w:sz w:val="20"/>
          <w:szCs w:val="20"/>
          <w:bdr w:val="none" w:sz="0" w:space="0" w:color="auto"/>
          <w:lang w:val="es-ES"/>
        </w:rPr>
        <w:t>. Posteriormente, en una decisión en lo contencioso-a</w:t>
      </w:r>
      <w:r w:rsidR="00B15CF2" w:rsidRPr="00A16D62">
        <w:rPr>
          <w:rFonts w:ascii="Cambria" w:eastAsia="Times New Roman" w:hAnsi="Cambria"/>
          <w:bCs/>
          <w:sz w:val="20"/>
          <w:szCs w:val="20"/>
          <w:bdr w:val="none" w:sz="0" w:space="0" w:color="auto"/>
          <w:lang w:val="es-ES"/>
        </w:rPr>
        <w:t>dministrativ</w:t>
      </w:r>
      <w:r w:rsidR="007E2394" w:rsidRPr="00A16D62">
        <w:rPr>
          <w:rFonts w:ascii="Cambria" w:eastAsia="Times New Roman" w:hAnsi="Cambria"/>
          <w:bCs/>
          <w:sz w:val="20"/>
          <w:szCs w:val="20"/>
          <w:bdr w:val="none" w:sz="0" w:space="0" w:color="auto"/>
          <w:lang w:val="es-ES"/>
        </w:rPr>
        <w:t xml:space="preserve">o que más tarde fue confirmada por la </w:t>
      </w:r>
      <w:r w:rsidR="002A7BC2" w:rsidRPr="00A16D62">
        <w:rPr>
          <w:rFonts w:ascii="Cambria" w:eastAsia="Times New Roman" w:hAnsi="Cambria"/>
          <w:bCs/>
          <w:sz w:val="20"/>
          <w:szCs w:val="20"/>
          <w:bdr w:val="none" w:sz="0" w:space="0" w:color="auto"/>
          <w:lang w:val="es-ES"/>
        </w:rPr>
        <w:t>Corte Suprema de Kansas</w:t>
      </w:r>
      <w:r w:rsidR="00B15CF2" w:rsidRPr="00A16D62">
        <w:rPr>
          <w:rFonts w:ascii="Cambria" w:eastAsia="Times New Roman" w:hAnsi="Cambria"/>
          <w:bCs/>
          <w:sz w:val="20"/>
          <w:szCs w:val="20"/>
          <w:bdr w:val="none" w:sz="0" w:space="0" w:color="auto"/>
          <w:lang w:val="es-ES"/>
        </w:rPr>
        <w:t xml:space="preserve">, </w:t>
      </w:r>
      <w:r w:rsidR="007E2394" w:rsidRPr="00A16D62">
        <w:rPr>
          <w:rFonts w:ascii="Cambria" w:eastAsia="Times New Roman" w:hAnsi="Cambria"/>
          <w:bCs/>
          <w:sz w:val="20"/>
          <w:szCs w:val="20"/>
          <w:bdr w:val="none" w:sz="0" w:space="0" w:color="auto"/>
          <w:lang w:val="es-ES"/>
        </w:rPr>
        <w:t xml:space="preserve">se determinó que la señora </w:t>
      </w:r>
      <w:r w:rsidR="00B15CF2" w:rsidRPr="00A16D62">
        <w:rPr>
          <w:rFonts w:ascii="Cambria" w:eastAsia="Times New Roman" w:hAnsi="Cambria"/>
          <w:bCs/>
          <w:sz w:val="20"/>
          <w:szCs w:val="20"/>
          <w:bdr w:val="none" w:sz="0" w:space="0" w:color="auto"/>
          <w:lang w:val="es-ES"/>
        </w:rPr>
        <w:t xml:space="preserve">Butanda </w:t>
      </w:r>
      <w:r w:rsidR="007E2394" w:rsidRPr="00A16D62">
        <w:rPr>
          <w:rFonts w:ascii="Cambria" w:eastAsia="Times New Roman" w:hAnsi="Cambria"/>
          <w:bCs/>
          <w:sz w:val="20"/>
          <w:szCs w:val="20"/>
          <w:bdr w:val="none" w:sz="0" w:space="0" w:color="auto"/>
          <w:lang w:val="es-ES"/>
        </w:rPr>
        <w:t xml:space="preserve">había cometido un </w:t>
      </w:r>
      <w:r w:rsidR="00B15CF2" w:rsidRPr="00A16D62">
        <w:rPr>
          <w:rFonts w:ascii="Cambria" w:eastAsia="Times New Roman" w:hAnsi="Cambria"/>
          <w:bCs/>
          <w:sz w:val="20"/>
          <w:szCs w:val="20"/>
          <w:bdr w:val="none" w:sz="0" w:space="0" w:color="auto"/>
          <w:lang w:val="es-ES"/>
        </w:rPr>
        <w:t>“</w:t>
      </w:r>
      <w:r w:rsidR="007E2394" w:rsidRPr="00A16D62">
        <w:rPr>
          <w:rFonts w:ascii="Cambria" w:eastAsia="Times New Roman" w:hAnsi="Cambria"/>
          <w:bCs/>
          <w:sz w:val="20"/>
          <w:szCs w:val="20"/>
          <w:bdr w:val="none" w:sz="0" w:space="0" w:color="auto"/>
          <w:lang w:val="es-ES"/>
        </w:rPr>
        <w:t xml:space="preserve">acto </w:t>
      </w:r>
      <w:r w:rsidR="00B15CF2" w:rsidRPr="00A16D62">
        <w:rPr>
          <w:rFonts w:ascii="Cambria" w:eastAsia="Times New Roman" w:hAnsi="Cambria"/>
          <w:bCs/>
          <w:sz w:val="20"/>
          <w:szCs w:val="20"/>
          <w:bdr w:val="none" w:sz="0" w:space="0" w:color="auto"/>
          <w:lang w:val="es-ES"/>
        </w:rPr>
        <w:t>fraudulent</w:t>
      </w:r>
      <w:r w:rsidR="007E2394" w:rsidRPr="00A16D62">
        <w:rPr>
          <w:rFonts w:ascii="Cambria" w:eastAsia="Times New Roman" w:hAnsi="Cambria"/>
          <w:bCs/>
          <w:sz w:val="20"/>
          <w:szCs w:val="20"/>
          <w:bdr w:val="none" w:sz="0" w:space="0" w:color="auto"/>
          <w:lang w:val="es-ES"/>
        </w:rPr>
        <w:t>o</w:t>
      </w:r>
      <w:r w:rsidR="00B15CF2" w:rsidRPr="00A16D62">
        <w:rPr>
          <w:rFonts w:ascii="Cambria" w:eastAsia="Times New Roman" w:hAnsi="Cambria"/>
          <w:bCs/>
          <w:sz w:val="20"/>
          <w:szCs w:val="20"/>
          <w:bdr w:val="none" w:sz="0" w:space="0" w:color="auto"/>
          <w:lang w:val="es-ES"/>
        </w:rPr>
        <w:t xml:space="preserve"> o abusiv</w:t>
      </w:r>
      <w:r w:rsidR="007E2394" w:rsidRPr="00A16D62">
        <w:rPr>
          <w:rFonts w:ascii="Cambria" w:eastAsia="Times New Roman" w:hAnsi="Cambria"/>
          <w:bCs/>
          <w:sz w:val="20"/>
          <w:szCs w:val="20"/>
          <w:bdr w:val="none" w:sz="0" w:space="0" w:color="auto"/>
          <w:lang w:val="es-ES"/>
        </w:rPr>
        <w:t>o</w:t>
      </w:r>
      <w:r w:rsidR="00B15CF2" w:rsidRPr="00A16D62">
        <w:rPr>
          <w:rFonts w:ascii="Cambria" w:eastAsia="Times New Roman" w:hAnsi="Cambria"/>
          <w:bCs/>
          <w:sz w:val="20"/>
          <w:szCs w:val="20"/>
          <w:bdr w:val="none" w:sz="0" w:space="0" w:color="auto"/>
          <w:lang w:val="es-ES"/>
        </w:rPr>
        <w:t xml:space="preserve">” </w:t>
      </w:r>
      <w:r w:rsidR="007E2394" w:rsidRPr="00A16D62">
        <w:rPr>
          <w:rFonts w:ascii="Cambria" w:eastAsia="Times New Roman" w:hAnsi="Cambria"/>
          <w:bCs/>
          <w:sz w:val="20"/>
          <w:szCs w:val="20"/>
          <w:bdr w:val="none" w:sz="0" w:space="0" w:color="auto"/>
          <w:lang w:val="es-ES"/>
        </w:rPr>
        <w:t xml:space="preserve">al obtener una </w:t>
      </w:r>
      <w:r w:rsidR="007B4310" w:rsidRPr="00A16D62">
        <w:rPr>
          <w:rFonts w:ascii="Cambria" w:eastAsia="Times New Roman" w:hAnsi="Cambria"/>
          <w:bCs/>
          <w:sz w:val="20"/>
          <w:szCs w:val="20"/>
          <w:bdr w:val="none" w:sz="0" w:space="0" w:color="auto"/>
          <w:lang w:val="es-ES"/>
        </w:rPr>
        <w:t>indemnización por accidente de trabajo</w:t>
      </w:r>
      <w:r w:rsidR="00B15CF2" w:rsidRPr="00A16D62">
        <w:rPr>
          <w:rFonts w:ascii="Cambria" w:eastAsia="Times New Roman" w:hAnsi="Cambria"/>
          <w:bCs/>
          <w:sz w:val="20"/>
          <w:szCs w:val="20"/>
          <w:bdr w:val="none" w:sz="0" w:space="0" w:color="auto"/>
          <w:lang w:val="es-ES"/>
        </w:rPr>
        <w:t xml:space="preserve"> </w:t>
      </w:r>
      <w:r w:rsidR="007E2394" w:rsidRPr="00A16D62">
        <w:rPr>
          <w:rFonts w:ascii="Cambria" w:eastAsia="Times New Roman" w:hAnsi="Cambria"/>
          <w:bCs/>
          <w:sz w:val="20"/>
          <w:szCs w:val="20"/>
          <w:bdr w:val="none" w:sz="0" w:space="0" w:color="auto"/>
          <w:lang w:val="es-ES"/>
        </w:rPr>
        <w:t>con una identidad falsa, acto que también constituía ocultamiento de un hecho sustancial</w:t>
      </w:r>
      <w:r w:rsidR="00B15CF2" w:rsidRPr="00A16D62">
        <w:rPr>
          <w:rStyle w:val="FootnoteReference"/>
          <w:rFonts w:ascii="Cambria" w:eastAsia="Times New Roman" w:hAnsi="Cambria"/>
          <w:bCs/>
          <w:sz w:val="20"/>
          <w:szCs w:val="20"/>
          <w:bdr w:val="none" w:sz="0" w:space="0" w:color="auto"/>
          <w:lang w:val="es-ES"/>
        </w:rPr>
        <w:footnoteReference w:id="99"/>
      </w:r>
      <w:r w:rsidR="007E2394" w:rsidRPr="00A16D62">
        <w:rPr>
          <w:rFonts w:ascii="Cambria" w:eastAsia="Times New Roman" w:hAnsi="Cambria"/>
          <w:bCs/>
          <w:sz w:val="20"/>
          <w:szCs w:val="20"/>
          <w:bdr w:val="none" w:sz="0" w:space="0" w:color="auto"/>
          <w:lang w:val="es-ES"/>
        </w:rPr>
        <w:t>. Como consecuencia de este descubrimiento, le suspendieron la indemnización</w:t>
      </w:r>
      <w:r w:rsidR="00B15CF2" w:rsidRPr="00A16D62">
        <w:rPr>
          <w:rStyle w:val="FootnoteReference"/>
          <w:rFonts w:ascii="Cambria" w:eastAsia="Times New Roman" w:hAnsi="Cambria"/>
          <w:bCs/>
          <w:sz w:val="20"/>
          <w:szCs w:val="20"/>
          <w:bdr w:val="none" w:sz="0" w:space="0" w:color="auto"/>
          <w:lang w:val="es-ES"/>
        </w:rPr>
        <w:footnoteReference w:id="100"/>
      </w:r>
      <w:r w:rsidR="007E2394" w:rsidRPr="00A16D62">
        <w:rPr>
          <w:rFonts w:ascii="Cambria" w:eastAsia="Times New Roman" w:hAnsi="Cambria"/>
          <w:bCs/>
          <w:sz w:val="20"/>
          <w:szCs w:val="20"/>
          <w:bdr w:val="none" w:sz="0" w:space="0" w:color="auto"/>
          <w:lang w:val="es-ES"/>
        </w:rPr>
        <w:t>.</w:t>
      </w:r>
    </w:p>
    <w:p w:rsidR="00B15CF2" w:rsidRPr="00A16D62" w:rsidRDefault="00B15CF2" w:rsidP="00B15CF2">
      <w:pPr>
        <w:pStyle w:val="ListParagraph"/>
        <w:rPr>
          <w:rFonts w:eastAsia="Times New Roman"/>
          <w:bCs/>
          <w:color w:val="auto"/>
          <w:sz w:val="20"/>
          <w:szCs w:val="20"/>
          <w:bdr w:val="none" w:sz="0" w:space="0" w:color="auto"/>
          <w:lang w:val="es-ES"/>
        </w:rPr>
      </w:pPr>
    </w:p>
    <w:p w:rsidR="00B15CF2" w:rsidRPr="00A16D62" w:rsidRDefault="00565206"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Cabe destacar que, en su decisión, la </w:t>
      </w:r>
      <w:r w:rsidR="002A7BC2" w:rsidRPr="00A16D62">
        <w:rPr>
          <w:rFonts w:ascii="Cambria" w:eastAsia="Times New Roman" w:hAnsi="Cambria"/>
          <w:bCs/>
          <w:sz w:val="20"/>
          <w:szCs w:val="20"/>
          <w:bdr w:val="none" w:sz="0" w:space="0" w:color="auto"/>
          <w:lang w:val="es-ES"/>
        </w:rPr>
        <w:t>Corte Suprema de Kansas</w:t>
      </w:r>
      <w:r w:rsidR="00B15CF2" w:rsidRPr="00A16D62">
        <w:rPr>
          <w:rFonts w:ascii="Cambria" w:eastAsia="Times New Roman" w:hAnsi="Cambria"/>
          <w:bCs/>
          <w:sz w:val="20"/>
          <w:szCs w:val="20"/>
          <w:bdr w:val="none" w:sz="0" w:space="0" w:color="auto"/>
          <w:lang w:val="es-ES"/>
        </w:rPr>
        <w:t xml:space="preserve"> </w:t>
      </w:r>
      <w:r w:rsidR="00880329" w:rsidRPr="00A16D62">
        <w:rPr>
          <w:rFonts w:ascii="Cambria" w:eastAsia="Times New Roman" w:hAnsi="Cambria"/>
          <w:bCs/>
          <w:sz w:val="20"/>
          <w:szCs w:val="20"/>
          <w:bdr w:val="none" w:sz="0" w:space="0" w:color="auto"/>
          <w:lang w:val="es-ES"/>
        </w:rPr>
        <w:t>reconoció que el empleador de la señora</w:t>
      </w:r>
      <w:r w:rsidR="00B15CF2" w:rsidRPr="00A16D62">
        <w:rPr>
          <w:rFonts w:ascii="Cambria" w:eastAsia="Times New Roman" w:hAnsi="Cambria"/>
          <w:bCs/>
          <w:sz w:val="20"/>
          <w:szCs w:val="20"/>
          <w:bdr w:val="none" w:sz="0" w:space="0" w:color="auto"/>
          <w:lang w:val="es-ES"/>
        </w:rPr>
        <w:t xml:space="preserve"> Butanda, NBP, “</w:t>
      </w:r>
      <w:r w:rsidR="00880329" w:rsidRPr="00A16D62">
        <w:rPr>
          <w:rFonts w:ascii="Cambria" w:eastAsia="Times New Roman" w:hAnsi="Cambria"/>
          <w:bCs/>
          <w:sz w:val="20"/>
          <w:szCs w:val="20"/>
          <w:bdr w:val="none" w:sz="0" w:space="0" w:color="auto"/>
          <w:lang w:val="es-ES"/>
        </w:rPr>
        <w:t>sabía o debería haber sabido</w:t>
      </w:r>
      <w:r w:rsidR="00B15CF2" w:rsidRPr="00A16D62">
        <w:rPr>
          <w:rFonts w:ascii="Cambria" w:eastAsia="Times New Roman" w:hAnsi="Cambria"/>
          <w:bCs/>
          <w:sz w:val="20"/>
          <w:szCs w:val="20"/>
          <w:bdr w:val="none" w:sz="0" w:space="0" w:color="auto"/>
          <w:lang w:val="es-ES"/>
        </w:rPr>
        <w:t xml:space="preserve">” </w:t>
      </w:r>
      <w:r w:rsidR="00880329" w:rsidRPr="00A16D62">
        <w:rPr>
          <w:rFonts w:ascii="Cambria" w:eastAsia="Times New Roman" w:hAnsi="Cambria"/>
          <w:bCs/>
          <w:sz w:val="20"/>
          <w:szCs w:val="20"/>
          <w:bdr w:val="none" w:sz="0" w:space="0" w:color="auto"/>
          <w:lang w:val="es-ES"/>
        </w:rPr>
        <w:t>que ella era una</w:t>
      </w:r>
      <w:r w:rsidR="00B15CF2" w:rsidRPr="00A16D62">
        <w:rPr>
          <w:rFonts w:ascii="Cambria" w:eastAsia="Times New Roman" w:hAnsi="Cambria"/>
          <w:bCs/>
          <w:sz w:val="20"/>
          <w:szCs w:val="20"/>
          <w:bdr w:val="none" w:sz="0" w:space="0" w:color="auto"/>
          <w:lang w:val="es-ES"/>
        </w:rPr>
        <w:t xml:space="preserve"> </w:t>
      </w:r>
      <w:r w:rsidR="00A30BE7" w:rsidRPr="00A16D62">
        <w:rPr>
          <w:rFonts w:ascii="Cambria" w:eastAsia="Times New Roman" w:hAnsi="Cambria"/>
          <w:bCs/>
          <w:sz w:val="20"/>
          <w:szCs w:val="20"/>
          <w:bdr w:val="none" w:sz="0" w:space="0" w:color="auto"/>
          <w:lang w:val="es-ES"/>
        </w:rPr>
        <w:t>trabajador</w:t>
      </w:r>
      <w:r w:rsidR="00880329" w:rsidRPr="00A16D62">
        <w:rPr>
          <w:rFonts w:ascii="Cambria" w:eastAsia="Times New Roman" w:hAnsi="Cambria"/>
          <w:bCs/>
          <w:sz w:val="20"/>
          <w:szCs w:val="20"/>
          <w:bdr w:val="none" w:sz="0" w:space="0" w:color="auto"/>
          <w:lang w:val="es-ES"/>
        </w:rPr>
        <w:t>a</w:t>
      </w:r>
      <w:r w:rsidR="00A30BE7" w:rsidRPr="00A16D62">
        <w:rPr>
          <w:rFonts w:ascii="Cambria" w:eastAsia="Times New Roman" w:hAnsi="Cambria"/>
          <w:bCs/>
          <w:sz w:val="20"/>
          <w:szCs w:val="20"/>
          <w:bdr w:val="none" w:sz="0" w:space="0" w:color="auto"/>
          <w:lang w:val="es-ES"/>
        </w:rPr>
        <w:t xml:space="preserve"> indocumentad</w:t>
      </w:r>
      <w:r w:rsidR="00880329" w:rsidRPr="00A16D62">
        <w:rPr>
          <w:rFonts w:ascii="Cambria" w:eastAsia="Times New Roman" w:hAnsi="Cambria"/>
          <w:bCs/>
          <w:sz w:val="20"/>
          <w:szCs w:val="20"/>
          <w:bdr w:val="none" w:sz="0" w:space="0" w:color="auto"/>
          <w:lang w:val="es-ES"/>
        </w:rPr>
        <w:t>a y</w:t>
      </w:r>
      <w:r w:rsidR="00B15CF2" w:rsidRPr="00A16D62">
        <w:rPr>
          <w:rFonts w:ascii="Cambria" w:eastAsia="Times New Roman" w:hAnsi="Cambria"/>
          <w:bCs/>
          <w:sz w:val="20"/>
          <w:szCs w:val="20"/>
          <w:bdr w:val="none" w:sz="0" w:space="0" w:color="auto"/>
          <w:lang w:val="es-ES"/>
        </w:rPr>
        <w:t xml:space="preserve"> “</w:t>
      </w:r>
      <w:r w:rsidR="00880329" w:rsidRPr="00A16D62">
        <w:rPr>
          <w:rFonts w:ascii="Cambria" w:eastAsia="Times New Roman" w:hAnsi="Cambria"/>
          <w:bCs/>
          <w:sz w:val="20"/>
          <w:szCs w:val="20"/>
          <w:bdr w:val="none" w:sz="0" w:space="0" w:color="auto"/>
          <w:lang w:val="es-ES"/>
        </w:rPr>
        <w:t>aun así estuvo dispuesto a hacer la vista gorda cuando la contrató</w:t>
      </w:r>
      <w:r w:rsidR="00B15CF2" w:rsidRPr="00A16D62">
        <w:rPr>
          <w:rFonts w:ascii="Cambria" w:eastAsia="Times New Roman" w:hAnsi="Cambria"/>
          <w:bCs/>
          <w:sz w:val="20"/>
          <w:szCs w:val="20"/>
          <w:bdr w:val="none" w:sz="0" w:space="0" w:color="auto"/>
          <w:lang w:val="es-ES"/>
        </w:rPr>
        <w:t>”</w:t>
      </w:r>
      <w:r w:rsidR="00880329" w:rsidRPr="00A16D62">
        <w:rPr>
          <w:rFonts w:ascii="Cambria" w:eastAsia="Times New Roman" w:hAnsi="Cambria"/>
          <w:bCs/>
          <w:sz w:val="20"/>
          <w:szCs w:val="20"/>
          <w:bdr w:val="none" w:sz="0" w:space="0" w:color="auto"/>
          <w:lang w:val="es-ES"/>
        </w:rPr>
        <w:t xml:space="preserve">. No obstante, la Corte razonó que la complicidad de </w:t>
      </w:r>
      <w:r w:rsidR="00B15CF2" w:rsidRPr="00A16D62">
        <w:rPr>
          <w:rFonts w:ascii="Cambria" w:eastAsia="Times New Roman" w:hAnsi="Cambria"/>
          <w:bCs/>
          <w:sz w:val="20"/>
          <w:szCs w:val="20"/>
          <w:bdr w:val="none" w:sz="0" w:space="0" w:color="auto"/>
          <w:lang w:val="es-ES"/>
        </w:rPr>
        <w:t>NBP</w:t>
      </w:r>
      <w:r w:rsidR="00880329" w:rsidRPr="00A16D62">
        <w:rPr>
          <w:rFonts w:ascii="Cambria" w:eastAsia="Times New Roman" w:hAnsi="Cambria"/>
          <w:bCs/>
          <w:sz w:val="20"/>
          <w:szCs w:val="20"/>
          <w:bdr w:val="none" w:sz="0" w:space="0" w:color="auto"/>
          <w:lang w:val="es-ES"/>
        </w:rPr>
        <w:t xml:space="preserve"> no era pertinente en la determinación de la culpabilidad de la señora </w:t>
      </w:r>
      <w:r w:rsidR="00B15CF2" w:rsidRPr="00A16D62">
        <w:rPr>
          <w:rFonts w:ascii="Cambria" w:eastAsia="Times New Roman" w:hAnsi="Cambria"/>
          <w:bCs/>
          <w:sz w:val="20"/>
          <w:szCs w:val="20"/>
          <w:bdr w:val="none" w:sz="0" w:space="0" w:color="auto"/>
          <w:lang w:val="es-ES"/>
        </w:rPr>
        <w:t xml:space="preserve">Butanda </w:t>
      </w:r>
      <w:r w:rsidR="00880329" w:rsidRPr="00A16D62">
        <w:rPr>
          <w:rFonts w:ascii="Cambria" w:eastAsia="Times New Roman" w:hAnsi="Cambria"/>
          <w:bCs/>
          <w:sz w:val="20"/>
          <w:szCs w:val="20"/>
          <w:bdr w:val="none" w:sz="0" w:space="0" w:color="auto"/>
          <w:lang w:val="es-ES"/>
        </w:rPr>
        <w:t xml:space="preserve">por sus actos </w:t>
      </w:r>
      <w:r w:rsidR="00B15CF2" w:rsidRPr="00A16D62">
        <w:rPr>
          <w:rFonts w:ascii="Cambria" w:eastAsia="Times New Roman" w:hAnsi="Cambria"/>
          <w:bCs/>
          <w:sz w:val="20"/>
          <w:szCs w:val="20"/>
          <w:bdr w:val="none" w:sz="0" w:space="0" w:color="auto"/>
          <w:lang w:val="es-ES"/>
        </w:rPr>
        <w:t>fraudulent</w:t>
      </w:r>
      <w:r w:rsidR="00880329" w:rsidRPr="00A16D62">
        <w:rPr>
          <w:rFonts w:ascii="Cambria" w:eastAsia="Times New Roman" w:hAnsi="Cambria"/>
          <w:bCs/>
          <w:sz w:val="20"/>
          <w:szCs w:val="20"/>
          <w:bdr w:val="none" w:sz="0" w:space="0" w:color="auto"/>
          <w:lang w:val="es-ES"/>
        </w:rPr>
        <w:t>os</w:t>
      </w:r>
      <w:r w:rsidR="00B15CF2" w:rsidRPr="00A16D62">
        <w:rPr>
          <w:rStyle w:val="FootnoteReference"/>
          <w:rFonts w:ascii="Cambria" w:eastAsia="Times New Roman" w:hAnsi="Cambria"/>
          <w:bCs/>
          <w:sz w:val="20"/>
          <w:szCs w:val="20"/>
          <w:bdr w:val="none" w:sz="0" w:space="0" w:color="auto"/>
          <w:lang w:val="es-ES"/>
        </w:rPr>
        <w:footnoteReference w:id="101"/>
      </w:r>
      <w:r w:rsidR="00880329" w:rsidRPr="00A16D62">
        <w:rPr>
          <w:rFonts w:ascii="Cambria" w:eastAsia="Times New Roman" w:hAnsi="Cambria"/>
          <w:bCs/>
          <w:sz w:val="20"/>
          <w:szCs w:val="20"/>
          <w:bdr w:val="none" w:sz="0" w:space="0" w:color="auto"/>
          <w:lang w:val="es-ES"/>
        </w:rPr>
        <w:t>.</w:t>
      </w:r>
      <w:r w:rsidR="00CC3419">
        <w:rPr>
          <w:rFonts w:ascii="Cambria" w:eastAsia="Times New Roman" w:hAnsi="Cambria"/>
          <w:bCs/>
          <w:sz w:val="20"/>
          <w:szCs w:val="20"/>
          <w:bdr w:val="none" w:sz="0" w:space="0" w:color="auto"/>
          <w:lang w:val="es-ES"/>
        </w:rPr>
        <w:t xml:space="preserve"> </w:t>
      </w:r>
    </w:p>
    <w:p w:rsidR="00B15CF2" w:rsidRPr="00A16D62" w:rsidRDefault="00B15CF2" w:rsidP="00B15CF2">
      <w:pPr>
        <w:pStyle w:val="ListParagraph"/>
        <w:rPr>
          <w:rFonts w:eastAsia="Times New Roman"/>
          <w:bCs/>
          <w:color w:val="auto"/>
          <w:sz w:val="20"/>
          <w:szCs w:val="20"/>
          <w:bdr w:val="none" w:sz="0" w:space="0" w:color="auto"/>
          <w:lang w:val="es-ES"/>
        </w:rPr>
      </w:pPr>
    </w:p>
    <w:p w:rsidR="008D23B5" w:rsidRPr="00A16D62" w:rsidRDefault="00180125"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La Comisión</w:t>
      </w:r>
      <w:r w:rsidR="008D23B5" w:rsidRPr="00A16D62">
        <w:rPr>
          <w:rFonts w:ascii="Cambria" w:eastAsia="Times New Roman" w:hAnsi="Cambria"/>
          <w:bCs/>
          <w:sz w:val="20"/>
          <w:szCs w:val="20"/>
          <w:bdr w:val="none" w:sz="0" w:space="0" w:color="auto"/>
          <w:lang w:val="es-ES"/>
        </w:rPr>
        <w:t xml:space="preserve"> observ</w:t>
      </w:r>
      <w:r w:rsidR="00880329" w:rsidRPr="00A16D62">
        <w:rPr>
          <w:rFonts w:ascii="Cambria" w:eastAsia="Times New Roman" w:hAnsi="Cambria"/>
          <w:bCs/>
          <w:sz w:val="20"/>
          <w:szCs w:val="20"/>
          <w:bdr w:val="none" w:sz="0" w:space="0" w:color="auto"/>
          <w:lang w:val="es-ES"/>
        </w:rPr>
        <w:t xml:space="preserve">a que, en la práctica, el efecto de la sentencia de la </w:t>
      </w:r>
      <w:r w:rsidR="002A7BC2" w:rsidRPr="00A16D62">
        <w:rPr>
          <w:rFonts w:ascii="Cambria" w:eastAsia="Times New Roman" w:hAnsi="Cambria"/>
          <w:bCs/>
          <w:sz w:val="20"/>
          <w:szCs w:val="20"/>
          <w:bdr w:val="none" w:sz="0" w:space="0" w:color="auto"/>
          <w:lang w:val="es-ES"/>
        </w:rPr>
        <w:t>Corte Suprema de Kansas</w:t>
      </w:r>
      <w:r w:rsidR="00880329" w:rsidRPr="00A16D62">
        <w:rPr>
          <w:rFonts w:ascii="Cambria" w:eastAsia="Times New Roman" w:hAnsi="Cambria"/>
          <w:bCs/>
          <w:sz w:val="20"/>
          <w:szCs w:val="20"/>
          <w:bdr w:val="none" w:sz="0" w:space="0" w:color="auto"/>
          <w:lang w:val="es-ES"/>
        </w:rPr>
        <w:t xml:space="preserve"> en el caso </w:t>
      </w:r>
      <w:r w:rsidR="0086410D" w:rsidRPr="00A16D62">
        <w:rPr>
          <w:rFonts w:ascii="Cambria" w:eastAsia="Times New Roman" w:hAnsi="Cambria"/>
          <w:bCs/>
          <w:i/>
          <w:sz w:val="20"/>
          <w:szCs w:val="20"/>
          <w:bdr w:val="none" w:sz="0" w:space="0" w:color="auto"/>
          <w:lang w:val="es-ES"/>
        </w:rPr>
        <w:t>Doe</w:t>
      </w:r>
      <w:r w:rsidR="0086410D" w:rsidRPr="00A16D62">
        <w:rPr>
          <w:rFonts w:ascii="Cambria" w:eastAsia="Times New Roman" w:hAnsi="Cambria"/>
          <w:bCs/>
          <w:sz w:val="20"/>
          <w:szCs w:val="20"/>
          <w:bdr w:val="none" w:sz="0" w:space="0" w:color="auto"/>
          <w:lang w:val="es-ES"/>
        </w:rPr>
        <w:t xml:space="preserve"> </w:t>
      </w:r>
      <w:r w:rsidR="008D23B5" w:rsidRPr="00A16D62">
        <w:rPr>
          <w:rFonts w:ascii="Cambria" w:eastAsia="Times New Roman" w:hAnsi="Cambria"/>
          <w:bCs/>
          <w:sz w:val="20"/>
          <w:szCs w:val="20"/>
          <w:bdr w:val="none" w:sz="0" w:space="0" w:color="auto"/>
          <w:lang w:val="es-ES"/>
        </w:rPr>
        <w:t>ha</w:t>
      </w:r>
      <w:r w:rsidR="00880329" w:rsidRPr="00A16D62">
        <w:rPr>
          <w:rFonts w:ascii="Cambria" w:eastAsia="Times New Roman" w:hAnsi="Cambria"/>
          <w:bCs/>
          <w:sz w:val="20"/>
          <w:szCs w:val="20"/>
          <w:bdr w:val="none" w:sz="0" w:space="0" w:color="auto"/>
          <w:lang w:val="es-ES"/>
        </w:rPr>
        <w:t xml:space="preserve"> sido que los </w:t>
      </w:r>
      <w:r w:rsidR="00C038BF" w:rsidRPr="00A16D62">
        <w:rPr>
          <w:rFonts w:ascii="Cambria" w:eastAsia="Times New Roman" w:hAnsi="Cambria"/>
          <w:bCs/>
          <w:sz w:val="20"/>
          <w:szCs w:val="20"/>
          <w:bdr w:val="none" w:sz="0" w:space="0" w:color="auto"/>
          <w:lang w:val="es-ES"/>
        </w:rPr>
        <w:t>trabajadores indocumentados</w:t>
      </w:r>
      <w:r w:rsidR="00B15CF2" w:rsidRPr="00A16D62">
        <w:rPr>
          <w:rFonts w:ascii="Cambria" w:eastAsia="Times New Roman" w:hAnsi="Cambria"/>
          <w:bCs/>
          <w:sz w:val="20"/>
          <w:szCs w:val="20"/>
          <w:bdr w:val="none" w:sz="0" w:space="0" w:color="auto"/>
          <w:lang w:val="es-ES"/>
        </w:rPr>
        <w:t xml:space="preserve">, </w:t>
      </w:r>
      <w:r w:rsidR="00880329" w:rsidRPr="00A16D62">
        <w:rPr>
          <w:rFonts w:ascii="Cambria" w:eastAsia="Times New Roman" w:hAnsi="Cambria"/>
          <w:bCs/>
          <w:sz w:val="20"/>
          <w:szCs w:val="20"/>
          <w:bdr w:val="none" w:sz="0" w:space="0" w:color="auto"/>
          <w:lang w:val="es-ES"/>
        </w:rPr>
        <w:t xml:space="preserve">si sufren lesiones y quedan cesantes en el empleo bajo una identidad falsa, están obligados a revelar su verdadera identidad en las actuaciones para recibir una </w:t>
      </w:r>
      <w:r w:rsidR="007B4310" w:rsidRPr="00A16D62">
        <w:rPr>
          <w:rFonts w:ascii="Cambria" w:eastAsia="Times New Roman" w:hAnsi="Cambria"/>
          <w:bCs/>
          <w:sz w:val="20"/>
          <w:szCs w:val="20"/>
          <w:bdr w:val="none" w:sz="0" w:space="0" w:color="auto"/>
          <w:lang w:val="es-ES"/>
        </w:rPr>
        <w:t>indemnización por accidente de trabajo</w:t>
      </w:r>
      <w:r w:rsidR="00880329" w:rsidRPr="00A16D62">
        <w:rPr>
          <w:rFonts w:ascii="Cambria" w:eastAsia="Times New Roman" w:hAnsi="Cambria"/>
          <w:bCs/>
          <w:sz w:val="20"/>
          <w:szCs w:val="20"/>
          <w:bdr w:val="none" w:sz="0" w:space="0" w:color="auto"/>
          <w:lang w:val="es-ES"/>
        </w:rPr>
        <w:t>, a fin de que el organismo apropiado pueda calcular correctamente el monto de las prestaciones adeudadas; de lo contrario, son enjuiciados por fraude si los descubren</w:t>
      </w:r>
      <w:r w:rsidR="00B15CF2" w:rsidRPr="00A16D62">
        <w:rPr>
          <w:rStyle w:val="FootnoteReference"/>
          <w:rFonts w:ascii="Cambria" w:eastAsia="Times New Roman" w:hAnsi="Cambria"/>
          <w:bCs/>
          <w:sz w:val="20"/>
          <w:szCs w:val="20"/>
          <w:bdr w:val="none" w:sz="0" w:space="0" w:color="auto"/>
          <w:lang w:val="es-ES"/>
        </w:rPr>
        <w:footnoteReference w:id="102"/>
      </w:r>
      <w:r w:rsidR="00880329" w:rsidRPr="00A16D62">
        <w:rPr>
          <w:rFonts w:ascii="Cambria" w:eastAsia="Times New Roman" w:hAnsi="Cambria"/>
          <w:bCs/>
          <w:sz w:val="20"/>
          <w:szCs w:val="20"/>
          <w:bdr w:val="none" w:sz="0" w:space="0" w:color="auto"/>
          <w:lang w:val="es-ES"/>
        </w:rPr>
        <w:t>.</w:t>
      </w:r>
      <w:r w:rsidR="008D23B5" w:rsidRPr="00A16D62">
        <w:rPr>
          <w:rFonts w:ascii="Cambria" w:eastAsia="Times New Roman" w:hAnsi="Cambria"/>
          <w:bCs/>
          <w:sz w:val="20"/>
          <w:szCs w:val="20"/>
          <w:bdr w:val="none" w:sz="0" w:space="0" w:color="auto"/>
          <w:lang w:val="es-ES"/>
        </w:rPr>
        <w:t xml:space="preserve"> </w:t>
      </w:r>
      <w:r w:rsidR="00F749E2" w:rsidRPr="00A16D62">
        <w:rPr>
          <w:rFonts w:ascii="Cambria" w:eastAsia="Times New Roman" w:hAnsi="Cambria"/>
          <w:bCs/>
          <w:sz w:val="20"/>
          <w:szCs w:val="20"/>
          <w:bdr w:val="none" w:sz="0" w:space="0" w:color="auto"/>
          <w:lang w:val="es-ES"/>
        </w:rPr>
        <w:t xml:space="preserve">Sin embargo, una revelación de ese tipo automáticamente implica infracciones de la </w:t>
      </w:r>
      <w:r w:rsidR="006047AC" w:rsidRPr="00A16D62">
        <w:rPr>
          <w:rFonts w:ascii="Cambria" w:eastAsia="Times New Roman" w:hAnsi="Cambria"/>
          <w:bCs/>
          <w:sz w:val="20"/>
          <w:szCs w:val="20"/>
          <w:bdr w:val="none" w:sz="0" w:space="0" w:color="auto" w:frame="1"/>
          <w:lang w:val="es-ES"/>
        </w:rPr>
        <w:t>Ley de Reforma y Control de la Inmigración</w:t>
      </w:r>
      <w:r w:rsidR="00B15CF2" w:rsidRPr="00A16D62">
        <w:rPr>
          <w:rStyle w:val="FootnoteReference"/>
          <w:rFonts w:ascii="Cambria" w:eastAsia="Times New Roman" w:hAnsi="Cambria"/>
          <w:bCs/>
          <w:sz w:val="20"/>
          <w:szCs w:val="20"/>
          <w:bdr w:val="none" w:sz="0" w:space="0" w:color="auto"/>
          <w:lang w:val="es-ES"/>
        </w:rPr>
        <w:footnoteReference w:id="103"/>
      </w:r>
      <w:r w:rsidR="00F749E2" w:rsidRPr="00A16D62">
        <w:rPr>
          <w:rFonts w:ascii="Cambria" w:eastAsia="Times New Roman" w:hAnsi="Cambria"/>
          <w:bCs/>
          <w:sz w:val="20"/>
          <w:szCs w:val="20"/>
          <w:bdr w:val="none" w:sz="0" w:space="0" w:color="auto" w:frame="1"/>
          <w:lang w:val="es-ES"/>
        </w:rPr>
        <w:t>. Asimismo, como resultado del caso</w:t>
      </w:r>
      <w:r w:rsidR="00B15CF2" w:rsidRPr="00A16D62">
        <w:rPr>
          <w:rFonts w:ascii="Cambria" w:eastAsia="Times New Roman" w:hAnsi="Cambria"/>
          <w:bCs/>
          <w:sz w:val="20"/>
          <w:szCs w:val="20"/>
          <w:bdr w:val="none" w:sz="0" w:space="0" w:color="auto"/>
          <w:lang w:val="es-ES"/>
        </w:rPr>
        <w:t xml:space="preserve"> </w:t>
      </w:r>
      <w:r w:rsidR="00B15CF2" w:rsidRPr="00A16D62">
        <w:rPr>
          <w:rFonts w:ascii="Cambria" w:eastAsia="Times New Roman" w:hAnsi="Cambria"/>
          <w:bCs/>
          <w:i/>
          <w:sz w:val="20"/>
          <w:szCs w:val="20"/>
          <w:bdr w:val="none" w:sz="0" w:space="0" w:color="auto"/>
          <w:lang w:val="es-ES"/>
        </w:rPr>
        <w:t>Doe</w:t>
      </w:r>
      <w:r w:rsidR="00B15CF2" w:rsidRPr="00A16D62">
        <w:rPr>
          <w:rFonts w:ascii="Cambria" w:eastAsia="Times New Roman" w:hAnsi="Cambria"/>
          <w:bCs/>
          <w:sz w:val="20"/>
          <w:szCs w:val="20"/>
          <w:bdr w:val="none" w:sz="0" w:space="0" w:color="auto"/>
          <w:lang w:val="es-ES"/>
        </w:rPr>
        <w:t xml:space="preserve">, </w:t>
      </w:r>
      <w:r w:rsidR="00F749E2" w:rsidRPr="00A16D62">
        <w:rPr>
          <w:rFonts w:ascii="Cambria" w:eastAsia="Times New Roman" w:hAnsi="Cambria"/>
          <w:bCs/>
          <w:sz w:val="20"/>
          <w:szCs w:val="20"/>
          <w:bdr w:val="none" w:sz="0" w:space="0" w:color="auto"/>
          <w:lang w:val="es-ES"/>
        </w:rPr>
        <w:t xml:space="preserve">toda suma que se adjudique en </w:t>
      </w:r>
      <w:r w:rsidR="00B15CF2" w:rsidRPr="00A16D62">
        <w:rPr>
          <w:rFonts w:ascii="Cambria" w:eastAsia="Times New Roman" w:hAnsi="Cambria"/>
          <w:bCs/>
          <w:sz w:val="20"/>
          <w:szCs w:val="20"/>
          <w:bdr w:val="none" w:sz="0" w:space="0" w:color="auto"/>
          <w:lang w:val="es-ES"/>
        </w:rPr>
        <w:t xml:space="preserve">Kansas </w:t>
      </w:r>
      <w:r w:rsidR="00F749E2" w:rsidRPr="00A16D62">
        <w:rPr>
          <w:rFonts w:ascii="Cambria" w:eastAsia="Times New Roman" w:hAnsi="Cambria"/>
          <w:bCs/>
          <w:sz w:val="20"/>
          <w:szCs w:val="20"/>
          <w:bdr w:val="none" w:sz="0" w:space="0" w:color="auto"/>
          <w:lang w:val="es-ES"/>
        </w:rPr>
        <w:t>con anterioridad al descubrimiento del uso de una identidad falsa puede anularse o suspenderse, lo cual significa que la adjudicación definitiva podría modificarse</w:t>
      </w:r>
      <w:r w:rsidR="003C1755" w:rsidRPr="00A16D62">
        <w:rPr>
          <w:rFonts w:ascii="Cambria" w:eastAsia="Times New Roman" w:hAnsi="Cambria"/>
          <w:bCs/>
          <w:sz w:val="20"/>
          <w:szCs w:val="20"/>
          <w:bdr w:val="none" w:sz="0" w:space="0" w:color="auto"/>
          <w:lang w:val="es-ES"/>
        </w:rPr>
        <w:t xml:space="preserve"> sobre la base de un acto realizado al comienzo de la relación laboral</w:t>
      </w:r>
      <w:r w:rsidR="003C1755">
        <w:rPr>
          <w:rFonts w:ascii="Cambria" w:eastAsia="Times New Roman" w:hAnsi="Cambria"/>
          <w:bCs/>
          <w:sz w:val="20"/>
          <w:szCs w:val="20"/>
          <w:bdr w:val="none" w:sz="0" w:space="0" w:color="auto"/>
          <w:lang w:val="es-ES"/>
        </w:rPr>
        <w:t xml:space="preserve"> pero no</w:t>
      </w:r>
      <w:r w:rsidR="00F749E2" w:rsidRPr="00A16D62">
        <w:rPr>
          <w:rFonts w:ascii="Cambria" w:eastAsia="Times New Roman" w:hAnsi="Cambria"/>
          <w:bCs/>
          <w:sz w:val="20"/>
          <w:szCs w:val="20"/>
          <w:bdr w:val="none" w:sz="0" w:space="0" w:color="auto"/>
          <w:lang w:val="es-ES"/>
        </w:rPr>
        <w:t xml:space="preserve"> sobre la base de la lesión, de la falta del empleador o de su conocimiento real o implícito de la situación migratoria del </w:t>
      </w:r>
      <w:r w:rsidR="007B4310" w:rsidRPr="00A16D62">
        <w:rPr>
          <w:rFonts w:ascii="Cambria" w:eastAsia="Times New Roman" w:hAnsi="Cambria"/>
          <w:bCs/>
          <w:sz w:val="20"/>
          <w:szCs w:val="20"/>
          <w:bdr w:val="none" w:sz="0" w:space="0" w:color="auto"/>
          <w:lang w:val="es-ES"/>
        </w:rPr>
        <w:t>trabajador</w:t>
      </w:r>
      <w:r w:rsidR="00B15CF2" w:rsidRPr="00A16D62">
        <w:rPr>
          <w:rFonts w:ascii="Cambria" w:eastAsia="Times New Roman" w:hAnsi="Cambria"/>
          <w:bCs/>
          <w:sz w:val="20"/>
          <w:szCs w:val="20"/>
          <w:bdr w:val="none" w:sz="0" w:space="0" w:color="auto"/>
          <w:lang w:val="es-ES"/>
        </w:rPr>
        <w:t xml:space="preserve">. </w:t>
      </w:r>
    </w:p>
    <w:p w:rsidR="00B15CF2" w:rsidRPr="00A16D62" w:rsidRDefault="00F45FA4"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lastRenderedPageBreak/>
        <w:t xml:space="preserve">Los jurisperitos han advertido que, como resultado de </w:t>
      </w:r>
      <w:r w:rsidR="00B15CF2" w:rsidRPr="00A16D62">
        <w:rPr>
          <w:rFonts w:ascii="Cambria" w:eastAsia="Times New Roman" w:hAnsi="Cambria"/>
          <w:bCs/>
          <w:i/>
          <w:sz w:val="20"/>
          <w:szCs w:val="20"/>
          <w:bdr w:val="none" w:sz="0" w:space="0" w:color="auto"/>
          <w:lang w:val="es-ES"/>
        </w:rPr>
        <w:t>Doe</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otros casos </w:t>
      </w:r>
      <w:r w:rsidR="00B15CF2" w:rsidRPr="00A16D62">
        <w:rPr>
          <w:rFonts w:ascii="Cambria" w:eastAsia="Times New Roman" w:hAnsi="Cambria"/>
          <w:bCs/>
          <w:sz w:val="20"/>
          <w:szCs w:val="20"/>
          <w:bdr w:val="none" w:sz="0" w:space="0" w:color="auto"/>
          <w:lang w:val="es-ES"/>
        </w:rPr>
        <w:t xml:space="preserve">similares, </w:t>
      </w:r>
      <w:r w:rsidRPr="00A16D62">
        <w:rPr>
          <w:rFonts w:ascii="Cambria" w:eastAsia="Times New Roman" w:hAnsi="Cambria"/>
          <w:bCs/>
          <w:sz w:val="20"/>
          <w:szCs w:val="20"/>
          <w:bdr w:val="none" w:sz="0" w:space="0" w:color="auto"/>
          <w:lang w:val="es-ES"/>
        </w:rPr>
        <w:t xml:space="preserve">se “disuadirá” a los </w:t>
      </w:r>
      <w:r w:rsidR="0051292D" w:rsidRPr="00A16D62">
        <w:rPr>
          <w:rFonts w:ascii="Cambria" w:eastAsia="Times New Roman" w:hAnsi="Cambria"/>
          <w:bCs/>
          <w:sz w:val="20"/>
          <w:szCs w:val="20"/>
          <w:bdr w:val="none" w:sz="0" w:space="0" w:color="auto"/>
          <w:lang w:val="es-ES"/>
        </w:rPr>
        <w:t>inmigrantes indocumentados</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 reclamar </w:t>
      </w:r>
      <w:r w:rsidR="007B4310" w:rsidRPr="00A16D62">
        <w:rPr>
          <w:rFonts w:ascii="Cambria" w:eastAsia="Times New Roman" w:hAnsi="Cambria"/>
          <w:bCs/>
          <w:sz w:val="20"/>
          <w:szCs w:val="20"/>
          <w:bdr w:val="none" w:sz="0" w:space="0" w:color="auto"/>
          <w:lang w:val="es-ES"/>
        </w:rPr>
        <w:t>indemnizaci</w:t>
      </w:r>
      <w:r w:rsidRPr="00A16D62">
        <w:rPr>
          <w:rFonts w:ascii="Cambria" w:eastAsia="Times New Roman" w:hAnsi="Cambria"/>
          <w:bCs/>
          <w:sz w:val="20"/>
          <w:szCs w:val="20"/>
          <w:bdr w:val="none" w:sz="0" w:space="0" w:color="auto"/>
          <w:lang w:val="es-ES"/>
        </w:rPr>
        <w:t>ones</w:t>
      </w:r>
      <w:r w:rsidR="007B4310" w:rsidRPr="00A16D62">
        <w:rPr>
          <w:rFonts w:ascii="Cambria" w:eastAsia="Times New Roman" w:hAnsi="Cambria"/>
          <w:bCs/>
          <w:sz w:val="20"/>
          <w:szCs w:val="20"/>
          <w:bdr w:val="none" w:sz="0" w:space="0" w:color="auto"/>
          <w:lang w:val="es-ES"/>
        </w:rPr>
        <w:t xml:space="preserve"> por accidentes de trabajo</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porque el proceso </w:t>
      </w:r>
      <w:r w:rsidR="00B15CF2"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plantea el riesgo de intervención de funcionarios f</w:t>
      </w:r>
      <w:r w:rsidR="00B15CF2" w:rsidRPr="00A16D62">
        <w:rPr>
          <w:rFonts w:ascii="Cambria" w:eastAsia="Times New Roman" w:hAnsi="Cambria"/>
          <w:bCs/>
          <w:sz w:val="20"/>
          <w:szCs w:val="20"/>
          <w:bdr w:val="none" w:sz="0" w:space="0" w:color="auto"/>
          <w:lang w:val="es-ES"/>
        </w:rPr>
        <w:t>ederal</w:t>
      </w:r>
      <w:r w:rsidRPr="00A16D62">
        <w:rPr>
          <w:rFonts w:ascii="Cambria" w:eastAsia="Times New Roman" w:hAnsi="Cambria"/>
          <w:bCs/>
          <w:sz w:val="20"/>
          <w:szCs w:val="20"/>
          <w:bdr w:val="none" w:sz="0" w:space="0" w:color="auto"/>
          <w:lang w:val="es-ES"/>
        </w:rPr>
        <w:t>es de inmigraciones</w:t>
      </w:r>
      <w:r w:rsidR="00B15CF2" w:rsidRPr="00A16D62">
        <w:rPr>
          <w:rFonts w:ascii="Cambria" w:eastAsia="Times New Roman" w:hAnsi="Cambria"/>
          <w:bCs/>
          <w:sz w:val="20"/>
          <w:szCs w:val="20"/>
          <w:bdr w:val="none" w:sz="0" w:space="0" w:color="auto"/>
          <w:lang w:val="es-ES"/>
        </w:rPr>
        <w:t>”</w:t>
      </w:r>
      <w:r w:rsidR="00B15CF2" w:rsidRPr="00A16D62">
        <w:rPr>
          <w:rStyle w:val="FootnoteReference"/>
          <w:rFonts w:ascii="Cambria" w:eastAsia="Times New Roman" w:hAnsi="Cambria"/>
          <w:bCs/>
          <w:sz w:val="20"/>
          <w:szCs w:val="20"/>
          <w:bdr w:val="none" w:sz="0" w:space="0" w:color="auto"/>
          <w:lang w:val="es-ES"/>
        </w:rPr>
        <w:footnoteReference w:id="104"/>
      </w:r>
      <w:r w:rsidRPr="00A16D62">
        <w:rPr>
          <w:rFonts w:ascii="Cambria" w:eastAsia="Times New Roman" w:hAnsi="Cambria"/>
          <w:bCs/>
          <w:sz w:val="20"/>
          <w:szCs w:val="20"/>
          <w:bdr w:val="none" w:sz="0" w:space="0" w:color="auto"/>
          <w:lang w:val="es-ES"/>
        </w:rPr>
        <w:t xml:space="preserve">. Advierten también que, </w:t>
      </w:r>
      <w:r w:rsidR="00B15CF2"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 xml:space="preserve">a pesar de cualquier complicidad y causalidad de su parte, los </w:t>
      </w:r>
      <w:r w:rsidR="000F4EF8" w:rsidRPr="00A16D62">
        <w:rPr>
          <w:rFonts w:ascii="Cambria" w:eastAsia="Times New Roman" w:hAnsi="Cambria"/>
          <w:bCs/>
          <w:sz w:val="20"/>
          <w:szCs w:val="20"/>
          <w:bdr w:val="none" w:sz="0" w:space="0" w:color="auto"/>
          <w:lang w:val="es-ES"/>
        </w:rPr>
        <w:t>empleadores</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inescrupulosos se beneficiarán de </w:t>
      </w:r>
      <w:r w:rsidR="008153C7" w:rsidRPr="00A16D62">
        <w:rPr>
          <w:rFonts w:ascii="Cambria" w:eastAsia="Times New Roman" w:hAnsi="Cambria"/>
          <w:bCs/>
          <w:sz w:val="20"/>
          <w:szCs w:val="20"/>
          <w:bdr w:val="none" w:sz="0" w:space="0" w:color="auto"/>
          <w:lang w:val="es-ES"/>
        </w:rPr>
        <w:t>costos más bajos de mano de obra</w:t>
      </w:r>
      <w:r w:rsidR="00B15CF2" w:rsidRPr="00A16D62">
        <w:rPr>
          <w:rFonts w:ascii="Cambria" w:eastAsia="Times New Roman" w:hAnsi="Cambria"/>
          <w:bCs/>
          <w:sz w:val="20"/>
          <w:szCs w:val="20"/>
          <w:bdr w:val="none" w:sz="0" w:space="0" w:color="auto"/>
          <w:lang w:val="es-ES"/>
        </w:rPr>
        <w:t xml:space="preserve">” </w:t>
      </w:r>
      <w:r w:rsidR="008153C7" w:rsidRPr="00A16D62">
        <w:rPr>
          <w:rFonts w:ascii="Cambria" w:eastAsia="Times New Roman" w:hAnsi="Cambria"/>
          <w:bCs/>
          <w:sz w:val="20"/>
          <w:szCs w:val="20"/>
          <w:bdr w:val="none" w:sz="0" w:space="0" w:color="auto"/>
          <w:lang w:val="es-ES"/>
        </w:rPr>
        <w:t xml:space="preserve">y los </w:t>
      </w:r>
      <w:r w:rsidR="00B15CF2" w:rsidRPr="00A16D62">
        <w:rPr>
          <w:rFonts w:ascii="Cambria" w:eastAsia="Times New Roman" w:hAnsi="Cambria"/>
          <w:bCs/>
          <w:sz w:val="20"/>
          <w:szCs w:val="20"/>
          <w:bdr w:val="none" w:sz="0" w:space="0" w:color="auto"/>
          <w:lang w:val="es-ES"/>
        </w:rPr>
        <w:t>“</w:t>
      </w:r>
      <w:r w:rsidR="0051292D" w:rsidRPr="00A16D62">
        <w:rPr>
          <w:rFonts w:ascii="Cambria" w:eastAsia="Times New Roman" w:hAnsi="Cambria"/>
          <w:bCs/>
          <w:sz w:val="20"/>
          <w:szCs w:val="20"/>
          <w:bdr w:val="none" w:sz="0" w:space="0" w:color="auto"/>
          <w:lang w:val="es-ES"/>
        </w:rPr>
        <w:t>trabajadores no autorizados</w:t>
      </w:r>
      <w:r w:rsidR="00B15CF2" w:rsidRPr="00A16D62">
        <w:rPr>
          <w:rFonts w:ascii="Cambria" w:eastAsia="Times New Roman" w:hAnsi="Cambria"/>
          <w:bCs/>
          <w:sz w:val="20"/>
          <w:szCs w:val="20"/>
          <w:bdr w:val="none" w:sz="0" w:space="0" w:color="auto"/>
          <w:lang w:val="es-ES"/>
        </w:rPr>
        <w:t xml:space="preserve"> [</w:t>
      </w:r>
      <w:r w:rsidR="008153C7" w:rsidRPr="00A16D62">
        <w:rPr>
          <w:rFonts w:ascii="Cambria" w:eastAsia="Times New Roman" w:hAnsi="Cambria"/>
          <w:bCs/>
          <w:sz w:val="20"/>
          <w:szCs w:val="20"/>
          <w:bdr w:val="none" w:sz="0" w:space="0" w:color="auto"/>
          <w:lang w:val="es-ES"/>
        </w:rPr>
        <w:t>tienen</w:t>
      </w:r>
      <w:r w:rsidR="00B15CF2" w:rsidRPr="00A16D62">
        <w:rPr>
          <w:rFonts w:ascii="Cambria" w:eastAsia="Times New Roman" w:hAnsi="Cambria"/>
          <w:bCs/>
          <w:sz w:val="20"/>
          <w:szCs w:val="20"/>
          <w:bdr w:val="none" w:sz="0" w:space="0" w:color="auto"/>
          <w:lang w:val="es-ES"/>
        </w:rPr>
        <w:t>] m</w:t>
      </w:r>
      <w:r w:rsidR="008153C7" w:rsidRPr="00A16D62">
        <w:rPr>
          <w:rFonts w:ascii="Cambria" w:eastAsia="Times New Roman" w:hAnsi="Cambria"/>
          <w:bCs/>
          <w:sz w:val="20"/>
          <w:szCs w:val="20"/>
          <w:bdr w:val="none" w:sz="0" w:space="0" w:color="auto"/>
          <w:lang w:val="es-ES"/>
        </w:rPr>
        <w:t xml:space="preserve">ás razones para aferrarse a una identidad falsa, promoviendo </w:t>
      </w:r>
      <w:r w:rsidR="00B15CF2" w:rsidRPr="00A16D62">
        <w:rPr>
          <w:rFonts w:ascii="Cambria" w:eastAsia="Times New Roman" w:hAnsi="Cambria"/>
          <w:bCs/>
          <w:sz w:val="20"/>
          <w:szCs w:val="20"/>
          <w:bdr w:val="none" w:sz="0" w:space="0" w:color="auto"/>
          <w:lang w:val="es-ES"/>
        </w:rPr>
        <w:t>[</w:t>
      </w:r>
      <w:r w:rsidR="008153C7" w:rsidRPr="00A16D62">
        <w:rPr>
          <w:rFonts w:ascii="Cambria" w:eastAsia="Times New Roman" w:hAnsi="Cambria"/>
          <w:bCs/>
          <w:sz w:val="20"/>
          <w:szCs w:val="20"/>
          <w:bdr w:val="none" w:sz="0" w:space="0" w:color="auto"/>
          <w:lang w:val="es-ES"/>
        </w:rPr>
        <w:t>de esa forma</w:t>
      </w:r>
      <w:r w:rsidR="00B15CF2" w:rsidRPr="00A16D62">
        <w:rPr>
          <w:rFonts w:ascii="Cambria" w:eastAsia="Times New Roman" w:hAnsi="Cambria"/>
          <w:bCs/>
          <w:sz w:val="20"/>
          <w:szCs w:val="20"/>
          <w:bdr w:val="none" w:sz="0" w:space="0" w:color="auto"/>
          <w:lang w:val="es-ES"/>
        </w:rPr>
        <w:t xml:space="preserve">] </w:t>
      </w:r>
      <w:r w:rsidR="008153C7" w:rsidRPr="00A16D62">
        <w:rPr>
          <w:rFonts w:ascii="Cambria" w:eastAsia="Times New Roman" w:hAnsi="Cambria"/>
          <w:bCs/>
          <w:sz w:val="20"/>
          <w:szCs w:val="20"/>
          <w:bdr w:val="none" w:sz="0" w:space="0" w:color="auto"/>
          <w:lang w:val="es-ES"/>
        </w:rPr>
        <w:t>la usurpación de identidad</w:t>
      </w:r>
      <w:r w:rsidR="00B15CF2" w:rsidRPr="00A16D62">
        <w:rPr>
          <w:rFonts w:ascii="Cambria" w:eastAsia="Times New Roman" w:hAnsi="Cambria"/>
          <w:bCs/>
          <w:sz w:val="20"/>
          <w:szCs w:val="20"/>
          <w:bdr w:val="none" w:sz="0" w:space="0" w:color="auto"/>
          <w:lang w:val="es-ES"/>
        </w:rPr>
        <w:t>”</w:t>
      </w:r>
      <w:r w:rsidR="00B15CF2" w:rsidRPr="00A16D62">
        <w:rPr>
          <w:rStyle w:val="FootnoteReference"/>
          <w:rFonts w:ascii="Cambria" w:eastAsia="Times New Roman" w:hAnsi="Cambria"/>
          <w:bCs/>
          <w:sz w:val="20"/>
          <w:szCs w:val="20"/>
          <w:bdr w:val="none" w:sz="0" w:space="0" w:color="auto"/>
          <w:lang w:val="es-ES"/>
        </w:rPr>
        <w:footnoteReference w:id="105"/>
      </w:r>
      <w:r w:rsidR="008153C7" w:rsidRPr="00A16D62">
        <w:rPr>
          <w:rFonts w:ascii="Cambria" w:eastAsia="Times New Roman" w:hAnsi="Cambria"/>
          <w:bCs/>
          <w:sz w:val="20"/>
          <w:szCs w:val="20"/>
          <w:bdr w:val="none" w:sz="0" w:space="0" w:color="auto"/>
          <w:lang w:val="es-ES"/>
        </w:rPr>
        <w:t>.</w:t>
      </w:r>
    </w:p>
    <w:p w:rsidR="00B15CF2" w:rsidRPr="00A16D62" w:rsidRDefault="00B15CF2" w:rsidP="00B15CF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lang w:val="es-ES"/>
        </w:rPr>
      </w:pPr>
    </w:p>
    <w:p w:rsidR="00B15CF2" w:rsidRPr="00A16D62" w:rsidRDefault="00180125" w:rsidP="00B15CF2">
      <w:pPr>
        <w:numPr>
          <w:ilvl w:val="0"/>
          <w:numId w:val="54"/>
        </w:numPr>
        <w:pBdr>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La Comisión</w:t>
      </w:r>
      <w:r w:rsidR="00B15CF2" w:rsidRPr="00A16D62">
        <w:rPr>
          <w:rFonts w:ascii="Cambria" w:eastAsia="Times New Roman" w:hAnsi="Cambria"/>
          <w:bCs/>
          <w:sz w:val="20"/>
          <w:szCs w:val="20"/>
          <w:bdr w:val="none" w:sz="0" w:space="0" w:color="auto"/>
          <w:lang w:val="es-ES"/>
        </w:rPr>
        <w:t xml:space="preserve"> t</w:t>
      </w:r>
      <w:r w:rsidR="000A57B7" w:rsidRPr="00A16D62">
        <w:rPr>
          <w:rFonts w:ascii="Cambria" w:eastAsia="Times New Roman" w:hAnsi="Cambria"/>
          <w:bCs/>
          <w:sz w:val="20"/>
          <w:szCs w:val="20"/>
          <w:bdr w:val="none" w:sz="0" w:space="0" w:color="auto"/>
          <w:lang w:val="es-ES"/>
        </w:rPr>
        <w:t xml:space="preserve">oma nota de dos casos en otras jurisdicciones de </w:t>
      </w:r>
      <w:r w:rsidR="007E4498" w:rsidRPr="00A16D62">
        <w:rPr>
          <w:rFonts w:ascii="Cambria" w:eastAsia="Times New Roman" w:hAnsi="Cambria"/>
          <w:bCs/>
          <w:sz w:val="20"/>
          <w:szCs w:val="20"/>
          <w:bdr w:val="none" w:sz="0" w:space="0" w:color="auto"/>
          <w:lang w:val="es-ES"/>
        </w:rPr>
        <w:t>Estados Unidos</w:t>
      </w:r>
      <w:r w:rsidR="00D63861" w:rsidRPr="00A16D62">
        <w:rPr>
          <w:rFonts w:ascii="Cambria" w:eastAsia="Times New Roman" w:hAnsi="Cambria"/>
          <w:bCs/>
          <w:sz w:val="20"/>
          <w:szCs w:val="20"/>
          <w:bdr w:val="none" w:sz="0" w:space="0" w:color="auto"/>
          <w:lang w:val="es-ES"/>
        </w:rPr>
        <w:t xml:space="preserve"> </w:t>
      </w:r>
      <w:r w:rsidR="000A57B7" w:rsidRPr="00A16D62">
        <w:rPr>
          <w:rFonts w:ascii="Cambria" w:eastAsia="Times New Roman" w:hAnsi="Cambria"/>
          <w:bCs/>
          <w:sz w:val="20"/>
          <w:szCs w:val="20"/>
          <w:bdr w:val="none" w:sz="0" w:space="0" w:color="auto"/>
          <w:lang w:val="es-ES"/>
        </w:rPr>
        <w:t>que restringen el acceso de los trabajadores indocumentados a algunos recursos</w:t>
      </w:r>
      <w:r w:rsidR="00B15CF2" w:rsidRPr="00A16D62">
        <w:rPr>
          <w:rFonts w:ascii="Cambria" w:eastAsia="Times New Roman" w:hAnsi="Cambria"/>
          <w:bCs/>
          <w:sz w:val="20"/>
          <w:szCs w:val="20"/>
          <w:bdr w:val="none" w:sz="0" w:space="0" w:color="auto"/>
          <w:lang w:val="es-ES"/>
        </w:rPr>
        <w:t xml:space="preserve">. </w:t>
      </w:r>
      <w:r w:rsidR="000A57B7" w:rsidRPr="00A16D62">
        <w:rPr>
          <w:rFonts w:ascii="Cambria" w:eastAsia="Times New Roman" w:hAnsi="Cambria"/>
          <w:bCs/>
          <w:sz w:val="20"/>
          <w:szCs w:val="20"/>
          <w:bdr w:val="none" w:sz="0" w:space="0" w:color="auto"/>
          <w:lang w:val="es-ES"/>
        </w:rPr>
        <w:t xml:space="preserve">En el caso </w:t>
      </w:r>
      <w:r w:rsidR="00B15CF2" w:rsidRPr="00A16D62">
        <w:rPr>
          <w:rFonts w:ascii="Cambria" w:eastAsia="Times New Roman" w:hAnsi="Cambria"/>
          <w:bCs/>
          <w:i/>
          <w:sz w:val="20"/>
          <w:szCs w:val="20"/>
          <w:bdr w:val="none" w:sz="0" w:space="0" w:color="auto"/>
          <w:lang w:val="es-ES"/>
        </w:rPr>
        <w:t xml:space="preserve">Balbuena </w:t>
      </w:r>
      <w:r w:rsidR="00521A6A" w:rsidRPr="00A16D62">
        <w:rPr>
          <w:rFonts w:ascii="Cambria" w:eastAsia="Times New Roman" w:hAnsi="Cambria"/>
          <w:bCs/>
          <w:i/>
          <w:sz w:val="20"/>
          <w:szCs w:val="20"/>
          <w:bdr w:val="none" w:sz="0" w:space="0" w:color="auto"/>
          <w:lang w:val="es-ES"/>
        </w:rPr>
        <w:t>c.</w:t>
      </w:r>
      <w:r w:rsidR="00B15CF2" w:rsidRPr="00A16D62">
        <w:rPr>
          <w:rFonts w:ascii="Cambria" w:eastAsia="Times New Roman" w:hAnsi="Cambria"/>
          <w:bCs/>
          <w:i/>
          <w:sz w:val="20"/>
          <w:szCs w:val="20"/>
          <w:bdr w:val="none" w:sz="0" w:space="0" w:color="auto"/>
          <w:lang w:val="es-ES"/>
        </w:rPr>
        <w:t xml:space="preserve"> IDR Realty, LLC</w:t>
      </w:r>
      <w:r w:rsidR="00B15CF2" w:rsidRPr="00A16D62">
        <w:rPr>
          <w:rFonts w:ascii="Cambria" w:eastAsia="Times New Roman" w:hAnsi="Cambria"/>
          <w:bCs/>
          <w:sz w:val="20"/>
          <w:szCs w:val="20"/>
          <w:bdr w:val="none" w:sz="0" w:space="0" w:color="auto"/>
          <w:lang w:val="es-ES"/>
        </w:rPr>
        <w:t xml:space="preserve">, </w:t>
      </w:r>
      <w:r w:rsidR="000A57B7" w:rsidRPr="00A16D62">
        <w:rPr>
          <w:rFonts w:ascii="Cambria" w:eastAsia="Times New Roman" w:hAnsi="Cambria"/>
          <w:bCs/>
          <w:sz w:val="20"/>
          <w:szCs w:val="20"/>
          <w:bdr w:val="none" w:sz="0" w:space="0" w:color="auto"/>
          <w:lang w:val="es-ES"/>
        </w:rPr>
        <w:t xml:space="preserve">el tribunal estatal supremo de Nueva </w:t>
      </w:r>
      <w:r w:rsidR="00B15CF2" w:rsidRPr="00A16D62">
        <w:rPr>
          <w:rFonts w:ascii="Cambria" w:eastAsia="Times New Roman" w:hAnsi="Cambria"/>
          <w:bCs/>
          <w:sz w:val="20"/>
          <w:szCs w:val="20"/>
          <w:bdr w:val="none" w:sz="0" w:space="0" w:color="auto"/>
          <w:lang w:val="es-ES"/>
        </w:rPr>
        <w:t>York</w:t>
      </w:r>
      <w:r w:rsidR="000A57B7" w:rsidRPr="00A16D62">
        <w:rPr>
          <w:rFonts w:ascii="Cambria" w:eastAsia="Times New Roman" w:hAnsi="Cambria"/>
          <w:bCs/>
          <w:sz w:val="20"/>
          <w:szCs w:val="20"/>
          <w:bdr w:val="none" w:sz="0" w:space="0" w:color="auto"/>
          <w:lang w:val="es-ES"/>
        </w:rPr>
        <w:t xml:space="preserve">, basándose en el caso </w:t>
      </w:r>
      <w:r w:rsidR="00B15CF2" w:rsidRPr="00A16D62">
        <w:rPr>
          <w:rFonts w:ascii="Cambria" w:eastAsia="Times New Roman" w:hAnsi="Cambria"/>
          <w:bCs/>
          <w:i/>
          <w:sz w:val="20"/>
          <w:szCs w:val="20"/>
          <w:bdr w:val="none" w:sz="0" w:space="0" w:color="auto"/>
          <w:lang w:val="es-ES"/>
        </w:rPr>
        <w:t>Hoffman</w:t>
      </w:r>
      <w:r w:rsidR="00B15CF2" w:rsidRPr="00A16D62">
        <w:rPr>
          <w:rFonts w:ascii="Cambria" w:eastAsia="Times New Roman" w:hAnsi="Cambria"/>
          <w:bCs/>
          <w:sz w:val="20"/>
          <w:szCs w:val="20"/>
          <w:bdr w:val="none" w:sz="0" w:space="0" w:color="auto"/>
          <w:lang w:val="es-ES"/>
        </w:rPr>
        <w:t xml:space="preserve">, </w:t>
      </w:r>
      <w:r w:rsidR="000A57B7" w:rsidRPr="00A16D62">
        <w:rPr>
          <w:rFonts w:ascii="Cambria" w:eastAsia="Times New Roman" w:hAnsi="Cambria"/>
          <w:bCs/>
          <w:sz w:val="20"/>
          <w:szCs w:val="20"/>
          <w:bdr w:val="none" w:sz="0" w:space="0" w:color="auto"/>
          <w:lang w:val="es-ES"/>
        </w:rPr>
        <w:t xml:space="preserve">determinó que un </w:t>
      </w:r>
      <w:r w:rsidR="00A30BE7" w:rsidRPr="00A16D62">
        <w:rPr>
          <w:rFonts w:ascii="Cambria" w:eastAsia="Times New Roman" w:hAnsi="Cambria"/>
          <w:bCs/>
          <w:sz w:val="20"/>
          <w:szCs w:val="20"/>
          <w:bdr w:val="none" w:sz="0" w:space="0" w:color="auto"/>
          <w:lang w:val="es-ES"/>
        </w:rPr>
        <w:t>trabajador indocumentado</w:t>
      </w:r>
      <w:r w:rsidR="00502B0D" w:rsidRPr="00A16D62">
        <w:rPr>
          <w:rFonts w:ascii="Cambria" w:eastAsia="Times New Roman" w:hAnsi="Cambria"/>
          <w:bCs/>
          <w:sz w:val="20"/>
          <w:szCs w:val="20"/>
          <w:bdr w:val="none" w:sz="0" w:space="0" w:color="auto"/>
          <w:lang w:val="es-ES"/>
        </w:rPr>
        <w:t xml:space="preserve"> </w:t>
      </w:r>
      <w:r w:rsidR="000A57B7" w:rsidRPr="00A16D62">
        <w:rPr>
          <w:rFonts w:ascii="Cambria" w:eastAsia="Times New Roman" w:hAnsi="Cambria"/>
          <w:bCs/>
          <w:sz w:val="20"/>
          <w:szCs w:val="20"/>
          <w:bdr w:val="none" w:sz="0" w:space="0" w:color="auto"/>
          <w:lang w:val="es-ES"/>
        </w:rPr>
        <w:t xml:space="preserve">que había sufrido lesiones no podía reclamar salarios no percibidos en retribución por el trabajo realizado en </w:t>
      </w:r>
      <w:r w:rsidR="007E4498" w:rsidRPr="00A16D62">
        <w:rPr>
          <w:rFonts w:ascii="Cambria" w:eastAsia="Times New Roman" w:hAnsi="Cambria"/>
          <w:bCs/>
          <w:sz w:val="20"/>
          <w:szCs w:val="20"/>
          <w:bdr w:val="none" w:sz="0" w:space="0" w:color="auto"/>
          <w:lang w:val="es-ES"/>
        </w:rPr>
        <w:t>Estados Unidos</w:t>
      </w:r>
      <w:r w:rsidR="00B15CF2" w:rsidRPr="00A16D62">
        <w:rPr>
          <w:rFonts w:ascii="Cambria" w:eastAsia="Times New Roman" w:hAnsi="Cambria"/>
          <w:bCs/>
          <w:sz w:val="20"/>
          <w:szCs w:val="20"/>
          <w:bdr w:val="none" w:sz="0" w:space="0" w:color="auto"/>
          <w:lang w:val="es-ES"/>
        </w:rPr>
        <w:t xml:space="preserve"> </w:t>
      </w:r>
      <w:r w:rsidR="000A57B7" w:rsidRPr="00A16D62">
        <w:rPr>
          <w:rFonts w:ascii="Cambria" w:eastAsia="Times New Roman" w:hAnsi="Cambria"/>
          <w:bCs/>
          <w:sz w:val="20"/>
          <w:szCs w:val="20"/>
          <w:bdr w:val="none" w:sz="0" w:space="0" w:color="auto"/>
          <w:lang w:val="es-ES"/>
        </w:rPr>
        <w:t xml:space="preserve">pero podía pedir el pago de salarios basados </w:t>
      </w:r>
      <w:r w:rsidR="005F0CC4" w:rsidRPr="00A16D62">
        <w:rPr>
          <w:rFonts w:ascii="Cambria" w:eastAsia="Times New Roman" w:hAnsi="Cambria"/>
          <w:bCs/>
          <w:sz w:val="20"/>
          <w:szCs w:val="20"/>
          <w:bdr w:val="none" w:sz="0" w:space="0" w:color="auto"/>
          <w:lang w:val="es-ES"/>
        </w:rPr>
        <w:t>en los ingresos que el trabajador podía obtener en su país de origen</w:t>
      </w:r>
      <w:r w:rsidR="00B15CF2" w:rsidRPr="00A16D62">
        <w:rPr>
          <w:rStyle w:val="FootnoteReference"/>
          <w:rFonts w:ascii="Cambria" w:eastAsia="Times New Roman" w:hAnsi="Cambria"/>
          <w:bCs/>
          <w:sz w:val="20"/>
          <w:szCs w:val="20"/>
          <w:bdr w:val="none" w:sz="0" w:space="0" w:color="auto"/>
          <w:lang w:val="es-ES"/>
        </w:rPr>
        <w:footnoteReference w:id="106"/>
      </w:r>
      <w:r w:rsidR="005F0CC4" w:rsidRPr="00A16D62">
        <w:rPr>
          <w:rFonts w:ascii="Cambria" w:eastAsia="Times New Roman" w:hAnsi="Cambria"/>
          <w:bCs/>
          <w:sz w:val="20"/>
          <w:szCs w:val="20"/>
          <w:bdr w:val="none" w:sz="0" w:space="0" w:color="auto"/>
          <w:lang w:val="es-ES"/>
        </w:rPr>
        <w:t>. En</w:t>
      </w:r>
      <w:r w:rsidR="00B15CF2" w:rsidRPr="00A16D62">
        <w:rPr>
          <w:rFonts w:ascii="Cambria" w:eastAsia="Times New Roman" w:hAnsi="Cambria"/>
          <w:bCs/>
          <w:sz w:val="20"/>
          <w:szCs w:val="20"/>
          <w:bdr w:val="none" w:sz="0" w:space="0" w:color="auto"/>
          <w:lang w:val="es-ES"/>
        </w:rPr>
        <w:t xml:space="preserve"> </w:t>
      </w:r>
      <w:r w:rsidR="00B15CF2" w:rsidRPr="00A16D62">
        <w:rPr>
          <w:rFonts w:ascii="Cambria" w:eastAsia="Times New Roman" w:hAnsi="Cambria"/>
          <w:bCs/>
          <w:i/>
          <w:sz w:val="20"/>
          <w:szCs w:val="20"/>
          <w:bdr w:val="none" w:sz="0" w:space="0" w:color="auto"/>
          <w:lang w:val="es-ES"/>
        </w:rPr>
        <w:t xml:space="preserve">Sanchez </w:t>
      </w:r>
      <w:r w:rsidR="00521A6A" w:rsidRPr="00A16D62">
        <w:rPr>
          <w:rFonts w:ascii="Cambria" w:eastAsia="Times New Roman" w:hAnsi="Cambria"/>
          <w:bCs/>
          <w:i/>
          <w:sz w:val="20"/>
          <w:szCs w:val="20"/>
          <w:bdr w:val="none" w:sz="0" w:space="0" w:color="auto"/>
          <w:lang w:val="es-ES"/>
        </w:rPr>
        <w:t>c.</w:t>
      </w:r>
      <w:r w:rsidR="00B15CF2" w:rsidRPr="00A16D62">
        <w:rPr>
          <w:rFonts w:ascii="Cambria" w:eastAsia="Times New Roman" w:hAnsi="Cambria"/>
          <w:bCs/>
          <w:i/>
          <w:sz w:val="20"/>
          <w:szCs w:val="20"/>
          <w:bdr w:val="none" w:sz="0" w:space="0" w:color="auto"/>
          <w:lang w:val="es-ES"/>
        </w:rPr>
        <w:t xml:space="preserve"> Eagle Alloy</w:t>
      </w:r>
      <w:r w:rsidR="00B15CF2" w:rsidRPr="00A16D62">
        <w:rPr>
          <w:rFonts w:ascii="Cambria" w:eastAsia="Times New Roman" w:hAnsi="Cambria"/>
          <w:bCs/>
          <w:sz w:val="20"/>
          <w:szCs w:val="20"/>
          <w:bdr w:val="none" w:sz="0" w:space="0" w:color="auto"/>
          <w:lang w:val="es-ES"/>
        </w:rPr>
        <w:t xml:space="preserve">, </w:t>
      </w:r>
      <w:r w:rsidR="005F0CC4" w:rsidRPr="00A16D62">
        <w:rPr>
          <w:rFonts w:ascii="Cambria" w:eastAsia="Times New Roman" w:hAnsi="Cambria"/>
          <w:bCs/>
          <w:sz w:val="20"/>
          <w:szCs w:val="20"/>
          <w:bdr w:val="none" w:sz="0" w:space="0" w:color="auto"/>
          <w:lang w:val="es-ES"/>
        </w:rPr>
        <w:t xml:space="preserve">la Corte Suprema de </w:t>
      </w:r>
      <w:r w:rsidR="00B15CF2" w:rsidRPr="00A16D62">
        <w:rPr>
          <w:rFonts w:ascii="Cambria" w:eastAsia="Times New Roman" w:hAnsi="Cambria"/>
          <w:bCs/>
          <w:sz w:val="20"/>
          <w:szCs w:val="20"/>
          <w:bdr w:val="none" w:sz="0" w:space="0" w:color="auto"/>
          <w:lang w:val="es-ES"/>
        </w:rPr>
        <w:t xml:space="preserve">Michigan </w:t>
      </w:r>
      <w:r w:rsidR="005F0CC4" w:rsidRPr="00A16D62">
        <w:rPr>
          <w:rFonts w:ascii="Cambria" w:eastAsia="Times New Roman" w:hAnsi="Cambria"/>
          <w:bCs/>
          <w:sz w:val="20"/>
          <w:szCs w:val="20"/>
          <w:bdr w:val="none" w:sz="0" w:space="0" w:color="auto"/>
          <w:lang w:val="es-ES"/>
        </w:rPr>
        <w:t xml:space="preserve">denegó la revisión del fallo de un tribunal de apelaciones, afirmando que, sobre la base del caso </w:t>
      </w:r>
      <w:r w:rsidR="00B15CF2" w:rsidRPr="00A16D62">
        <w:rPr>
          <w:rFonts w:ascii="Cambria" w:eastAsia="Times New Roman" w:hAnsi="Cambria"/>
          <w:bCs/>
          <w:i/>
          <w:sz w:val="20"/>
          <w:szCs w:val="20"/>
          <w:bdr w:val="none" w:sz="0" w:space="0" w:color="auto"/>
          <w:lang w:val="es-ES"/>
        </w:rPr>
        <w:t>Hoffman</w:t>
      </w:r>
      <w:r w:rsidR="00B15CF2" w:rsidRPr="00A16D62">
        <w:rPr>
          <w:rFonts w:ascii="Cambria" w:eastAsia="Times New Roman" w:hAnsi="Cambria"/>
          <w:bCs/>
          <w:sz w:val="20"/>
          <w:szCs w:val="20"/>
          <w:bdr w:val="none" w:sz="0" w:space="0" w:color="auto"/>
          <w:lang w:val="es-ES"/>
        </w:rPr>
        <w:t>, d</w:t>
      </w:r>
      <w:r w:rsidR="005F0CC4" w:rsidRPr="00A16D62">
        <w:rPr>
          <w:rFonts w:ascii="Cambria" w:eastAsia="Times New Roman" w:hAnsi="Cambria"/>
          <w:bCs/>
          <w:sz w:val="20"/>
          <w:szCs w:val="20"/>
          <w:bdr w:val="none" w:sz="0" w:space="0" w:color="auto"/>
          <w:lang w:val="es-ES"/>
        </w:rPr>
        <w:t xml:space="preserve">ebido a que los </w:t>
      </w:r>
      <w:r w:rsidR="007B4310" w:rsidRPr="00A16D62">
        <w:rPr>
          <w:rFonts w:ascii="Cambria" w:eastAsia="Times New Roman" w:hAnsi="Cambria"/>
          <w:bCs/>
          <w:sz w:val="20"/>
          <w:szCs w:val="20"/>
          <w:bdr w:val="none" w:sz="0" w:space="0" w:color="auto"/>
          <w:lang w:val="es-ES"/>
        </w:rPr>
        <w:t>trabajadores</w:t>
      </w:r>
      <w:r w:rsidR="005F0CC4" w:rsidRPr="00A16D62">
        <w:rPr>
          <w:rFonts w:ascii="Cambria" w:eastAsia="Times New Roman" w:hAnsi="Cambria"/>
          <w:bCs/>
          <w:sz w:val="20"/>
          <w:szCs w:val="20"/>
          <w:bdr w:val="none" w:sz="0" w:space="0" w:color="auto"/>
          <w:lang w:val="es-ES"/>
        </w:rPr>
        <w:t xml:space="preserve"> habían cometido un delito</w:t>
      </w:r>
      <w:r w:rsidR="00B15CF2" w:rsidRPr="00A16D62">
        <w:rPr>
          <w:rFonts w:ascii="Cambria" w:eastAsia="Times New Roman" w:hAnsi="Cambria"/>
          <w:bCs/>
          <w:sz w:val="20"/>
          <w:szCs w:val="20"/>
          <w:bdr w:val="none" w:sz="0" w:space="0" w:color="auto"/>
          <w:lang w:val="es-ES"/>
        </w:rPr>
        <w:t xml:space="preserve"> (us</w:t>
      </w:r>
      <w:r w:rsidR="005F0CC4" w:rsidRPr="00A16D62">
        <w:rPr>
          <w:rFonts w:ascii="Cambria" w:eastAsia="Times New Roman" w:hAnsi="Cambria"/>
          <w:bCs/>
          <w:sz w:val="20"/>
          <w:szCs w:val="20"/>
          <w:bdr w:val="none" w:sz="0" w:space="0" w:color="auto"/>
          <w:lang w:val="es-ES"/>
        </w:rPr>
        <w:t>o de identidad falsa</w:t>
      </w:r>
      <w:r w:rsidR="00B15CF2" w:rsidRPr="00A16D62">
        <w:rPr>
          <w:rFonts w:ascii="Cambria" w:eastAsia="Times New Roman" w:hAnsi="Cambria"/>
          <w:bCs/>
          <w:sz w:val="20"/>
          <w:szCs w:val="20"/>
          <w:bdr w:val="none" w:sz="0" w:space="0" w:color="auto"/>
          <w:lang w:val="es-ES"/>
        </w:rPr>
        <w:t xml:space="preserve">), </w:t>
      </w:r>
      <w:r w:rsidR="005F0CC4" w:rsidRPr="00A16D62">
        <w:rPr>
          <w:rFonts w:ascii="Cambria" w:eastAsia="Times New Roman" w:hAnsi="Cambria"/>
          <w:bCs/>
          <w:sz w:val="20"/>
          <w:szCs w:val="20"/>
          <w:bdr w:val="none" w:sz="0" w:space="0" w:color="auto"/>
          <w:lang w:val="es-ES"/>
        </w:rPr>
        <w:t xml:space="preserve">se debía suspender el pago de los salarios semanales no percibidos de los dos </w:t>
      </w:r>
      <w:r w:rsidR="00C038BF" w:rsidRPr="00A16D62">
        <w:rPr>
          <w:rFonts w:ascii="Cambria" w:eastAsia="Times New Roman" w:hAnsi="Cambria"/>
          <w:bCs/>
          <w:sz w:val="20"/>
          <w:szCs w:val="20"/>
          <w:bdr w:val="none" w:sz="0" w:space="0" w:color="auto"/>
          <w:lang w:val="es-ES"/>
        </w:rPr>
        <w:t>trabajadores indocumentados</w:t>
      </w:r>
      <w:r w:rsidR="00B15CF2" w:rsidRPr="00A16D62">
        <w:rPr>
          <w:rFonts w:ascii="Cambria" w:eastAsia="Times New Roman" w:hAnsi="Cambria"/>
          <w:bCs/>
          <w:sz w:val="20"/>
          <w:szCs w:val="20"/>
          <w:bdr w:val="none" w:sz="0" w:space="0" w:color="auto"/>
          <w:lang w:val="es-ES"/>
        </w:rPr>
        <w:t xml:space="preserve"> invol</w:t>
      </w:r>
      <w:r w:rsidR="005F0CC4" w:rsidRPr="00A16D62">
        <w:rPr>
          <w:rFonts w:ascii="Cambria" w:eastAsia="Times New Roman" w:hAnsi="Cambria"/>
          <w:bCs/>
          <w:sz w:val="20"/>
          <w:szCs w:val="20"/>
          <w:bdr w:val="none" w:sz="0" w:space="0" w:color="auto"/>
          <w:lang w:val="es-ES"/>
        </w:rPr>
        <w:t>ucrados, que habían sido despedidos después de sufrir lesiones en el trabajo</w:t>
      </w:r>
      <w:r w:rsidR="00B15CF2" w:rsidRPr="00A16D62">
        <w:rPr>
          <w:rStyle w:val="FootnoteReference"/>
          <w:rFonts w:ascii="Cambria" w:eastAsia="Times New Roman" w:hAnsi="Cambria"/>
          <w:bCs/>
          <w:sz w:val="20"/>
          <w:szCs w:val="20"/>
          <w:bdr w:val="none" w:sz="0" w:space="0" w:color="auto"/>
          <w:lang w:val="es-ES"/>
        </w:rPr>
        <w:footnoteReference w:id="107"/>
      </w:r>
      <w:r w:rsidR="005F0CC4" w:rsidRPr="00A16D62">
        <w:rPr>
          <w:rFonts w:ascii="Cambria" w:eastAsia="Times New Roman" w:hAnsi="Cambria"/>
          <w:bCs/>
          <w:sz w:val="20"/>
          <w:szCs w:val="20"/>
          <w:bdr w:val="none" w:sz="0" w:space="0" w:color="auto"/>
          <w:lang w:val="es-ES"/>
        </w:rPr>
        <w:t>.</w:t>
      </w:r>
      <w:r w:rsidR="00B15CF2" w:rsidRPr="00A16D62">
        <w:rPr>
          <w:rFonts w:ascii="Cambria" w:eastAsia="Times New Roman" w:hAnsi="Cambria"/>
          <w:bCs/>
          <w:sz w:val="20"/>
          <w:szCs w:val="20"/>
          <w:bdr w:val="none" w:sz="0" w:space="0" w:color="auto"/>
          <w:lang w:val="es-ES"/>
        </w:rPr>
        <w:t xml:space="preserve"> </w:t>
      </w:r>
    </w:p>
    <w:p w:rsidR="00B15CF2" w:rsidRPr="00A16D62" w:rsidRDefault="00B15CF2" w:rsidP="00B15CF2">
      <w:pPr>
        <w:pBdr>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B15CF2" w:rsidRPr="00A16D62" w:rsidRDefault="005F0CC4"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Por último, en una decisión más reciente de la </w:t>
      </w:r>
      <w:r w:rsidR="002A7BC2" w:rsidRPr="00A16D62">
        <w:rPr>
          <w:rFonts w:ascii="Cambria" w:eastAsia="Times New Roman" w:hAnsi="Cambria"/>
          <w:bCs/>
          <w:sz w:val="20"/>
          <w:szCs w:val="20"/>
          <w:bdr w:val="none" w:sz="0" w:space="0" w:color="auto" w:frame="1"/>
          <w:lang w:val="es-ES"/>
        </w:rPr>
        <w:t>Junta Nacional de Relaciones Laborales</w:t>
      </w:r>
      <w:r w:rsidR="00B15CF2"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a la luz de la </w:t>
      </w:r>
      <w:r w:rsidR="00C549FE" w:rsidRPr="00A16D62">
        <w:rPr>
          <w:rFonts w:ascii="Cambria" w:eastAsia="Times New Roman" w:hAnsi="Cambria"/>
          <w:bCs/>
          <w:sz w:val="20"/>
          <w:szCs w:val="20"/>
          <w:bdr w:val="none" w:sz="0" w:space="0" w:color="auto"/>
          <w:lang w:val="es-ES"/>
        </w:rPr>
        <w:t>abundante jurisprudencia sobre estos temas acumulada a nivel estatal y</w:t>
      </w:r>
      <w:r w:rsidR="00B15CF2" w:rsidRPr="00A16D62">
        <w:rPr>
          <w:rFonts w:ascii="Cambria" w:eastAsia="Times New Roman" w:hAnsi="Cambria"/>
          <w:bCs/>
          <w:sz w:val="20"/>
          <w:szCs w:val="20"/>
          <w:bdr w:val="none" w:sz="0" w:space="0" w:color="auto"/>
          <w:lang w:val="es-ES"/>
        </w:rPr>
        <w:t xml:space="preserve"> federal</w:t>
      </w:r>
      <w:r w:rsidR="00502B0D" w:rsidRPr="00A16D62">
        <w:rPr>
          <w:rFonts w:ascii="Cambria" w:eastAsia="Times New Roman" w:hAnsi="Cambria"/>
          <w:bCs/>
          <w:sz w:val="20"/>
          <w:szCs w:val="20"/>
          <w:bdr w:val="none" w:sz="0" w:space="0" w:color="auto"/>
          <w:lang w:val="es-ES"/>
        </w:rPr>
        <w:t xml:space="preserve"> </w:t>
      </w:r>
      <w:r w:rsidR="00C549FE" w:rsidRPr="00A16D62">
        <w:rPr>
          <w:rFonts w:ascii="Cambria" w:eastAsia="Times New Roman" w:hAnsi="Cambria"/>
          <w:bCs/>
          <w:sz w:val="20"/>
          <w:szCs w:val="20"/>
          <w:bdr w:val="none" w:sz="0" w:space="0" w:color="auto"/>
          <w:lang w:val="es-ES"/>
        </w:rPr>
        <w:t>e</w:t>
      </w:r>
      <w:r w:rsidR="00B15CF2" w:rsidRPr="00A16D62">
        <w:rPr>
          <w:rFonts w:ascii="Cambria" w:eastAsia="Times New Roman" w:hAnsi="Cambria"/>
          <w:bCs/>
          <w:sz w:val="20"/>
          <w:szCs w:val="20"/>
          <w:bdr w:val="none" w:sz="0" w:space="0" w:color="auto"/>
          <w:lang w:val="es-ES"/>
        </w:rPr>
        <w:t xml:space="preserve">n </w:t>
      </w:r>
      <w:r w:rsidR="007E4498" w:rsidRPr="00A16D62">
        <w:rPr>
          <w:rFonts w:ascii="Cambria" w:eastAsia="Times New Roman" w:hAnsi="Cambria"/>
          <w:bCs/>
          <w:sz w:val="20"/>
          <w:szCs w:val="20"/>
          <w:bdr w:val="none" w:sz="0" w:space="0" w:color="auto"/>
          <w:lang w:val="es-ES"/>
        </w:rPr>
        <w:t>Estados Unidos</w:t>
      </w:r>
      <w:r w:rsidR="00B15CF2"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B15CF2" w:rsidRPr="00A16D62">
        <w:rPr>
          <w:rFonts w:ascii="Cambria" w:eastAsia="Times New Roman" w:hAnsi="Cambria"/>
          <w:bCs/>
          <w:sz w:val="20"/>
          <w:szCs w:val="20"/>
          <w:bdr w:val="none" w:sz="0" w:space="0" w:color="auto"/>
          <w:lang w:val="es-ES"/>
        </w:rPr>
        <w:t xml:space="preserve"> </w:t>
      </w:r>
      <w:r w:rsidR="00C549FE" w:rsidRPr="00A16D62">
        <w:rPr>
          <w:rFonts w:ascii="Cambria" w:eastAsia="Times New Roman" w:hAnsi="Cambria"/>
          <w:bCs/>
          <w:sz w:val="20"/>
          <w:szCs w:val="20"/>
          <w:bdr w:val="none" w:sz="0" w:space="0" w:color="auto"/>
          <w:lang w:val="es-ES"/>
        </w:rPr>
        <w:t xml:space="preserve">considera </w:t>
      </w:r>
      <w:r w:rsidR="00B15CF2" w:rsidRPr="00A16D62">
        <w:rPr>
          <w:rFonts w:ascii="Cambria" w:eastAsia="Times New Roman" w:hAnsi="Cambria"/>
          <w:bCs/>
          <w:sz w:val="20"/>
          <w:szCs w:val="20"/>
          <w:bdr w:val="none" w:sz="0" w:space="0" w:color="auto"/>
          <w:lang w:val="es-ES"/>
        </w:rPr>
        <w:t>important</w:t>
      </w:r>
      <w:r w:rsidR="00C549FE" w:rsidRPr="00A16D62">
        <w:rPr>
          <w:rFonts w:ascii="Cambria" w:eastAsia="Times New Roman" w:hAnsi="Cambria"/>
          <w:bCs/>
          <w:sz w:val="20"/>
          <w:szCs w:val="20"/>
          <w:bdr w:val="none" w:sz="0" w:space="0" w:color="auto"/>
          <w:lang w:val="es-ES"/>
        </w:rPr>
        <w:t xml:space="preserve">e mencionar el caso de </w:t>
      </w:r>
      <w:r w:rsidR="00B15CF2" w:rsidRPr="00A16D62">
        <w:rPr>
          <w:rFonts w:ascii="Cambria" w:eastAsia="Times New Roman" w:hAnsi="Cambria"/>
          <w:bCs/>
          <w:i/>
          <w:sz w:val="20"/>
          <w:szCs w:val="20"/>
          <w:bdr w:val="none" w:sz="0" w:space="0" w:color="auto"/>
          <w:lang w:val="es-ES"/>
        </w:rPr>
        <w:t>Mezonos Maven Bakery, Inc. and Puerto Rican Legal Defense and Education Fund</w:t>
      </w:r>
      <w:r w:rsidR="00B15CF2" w:rsidRPr="00A16D62">
        <w:rPr>
          <w:rFonts w:ascii="Cambria" w:eastAsia="Times New Roman" w:hAnsi="Cambria"/>
          <w:bCs/>
          <w:sz w:val="20"/>
          <w:szCs w:val="20"/>
          <w:bdr w:val="none" w:sz="0" w:space="0" w:color="auto"/>
          <w:lang w:val="es-ES"/>
        </w:rPr>
        <w:t xml:space="preserve"> (“</w:t>
      </w:r>
      <w:r w:rsidR="00B15CF2" w:rsidRPr="00A16D62">
        <w:rPr>
          <w:rFonts w:ascii="Cambria" w:eastAsia="Times New Roman" w:hAnsi="Cambria"/>
          <w:bCs/>
          <w:i/>
          <w:sz w:val="20"/>
          <w:szCs w:val="20"/>
          <w:bdr w:val="none" w:sz="0" w:space="0" w:color="auto"/>
          <w:lang w:val="es-ES"/>
        </w:rPr>
        <w:t>Mezonos</w:t>
      </w:r>
      <w:r w:rsidR="00B15CF2" w:rsidRPr="00A16D62">
        <w:rPr>
          <w:rFonts w:ascii="Cambria" w:eastAsia="Times New Roman" w:hAnsi="Cambria"/>
          <w:bCs/>
          <w:sz w:val="20"/>
          <w:szCs w:val="20"/>
          <w:bdr w:val="none" w:sz="0" w:space="0" w:color="auto"/>
          <w:lang w:val="es-ES"/>
        </w:rPr>
        <w:t>”)</w:t>
      </w:r>
      <w:r w:rsidR="00B15CF2" w:rsidRPr="00A16D62">
        <w:rPr>
          <w:rStyle w:val="FootnoteReference"/>
          <w:rFonts w:ascii="Cambria" w:eastAsia="Times New Roman" w:hAnsi="Cambria"/>
          <w:bCs/>
          <w:sz w:val="20"/>
          <w:szCs w:val="20"/>
          <w:bdr w:val="none" w:sz="0" w:space="0" w:color="auto"/>
          <w:lang w:val="es-ES"/>
        </w:rPr>
        <w:footnoteReference w:id="108"/>
      </w:r>
      <w:r w:rsidR="00F940BE" w:rsidRPr="00A16D62">
        <w:rPr>
          <w:rFonts w:ascii="Cambria" w:eastAsia="Times New Roman" w:hAnsi="Cambria"/>
          <w:bCs/>
          <w:sz w:val="20"/>
          <w:szCs w:val="20"/>
          <w:bdr w:val="none" w:sz="0" w:space="0" w:color="auto"/>
          <w:lang w:val="es-ES"/>
        </w:rPr>
        <w:t>. E</w:t>
      </w:r>
      <w:r w:rsidR="00B15CF2" w:rsidRPr="00A16D62">
        <w:rPr>
          <w:rFonts w:ascii="Cambria" w:eastAsia="Times New Roman" w:hAnsi="Cambria"/>
          <w:bCs/>
          <w:sz w:val="20"/>
          <w:szCs w:val="20"/>
          <w:bdr w:val="none" w:sz="0" w:space="0" w:color="auto"/>
          <w:lang w:val="es-ES"/>
        </w:rPr>
        <w:t>n</w:t>
      </w:r>
      <w:r w:rsidR="00F940BE" w:rsidRPr="00A16D62">
        <w:rPr>
          <w:rFonts w:ascii="Cambria" w:eastAsia="Times New Roman" w:hAnsi="Cambria"/>
          <w:bCs/>
          <w:sz w:val="20"/>
          <w:szCs w:val="20"/>
          <w:bdr w:val="none" w:sz="0" w:space="0" w:color="auto"/>
          <w:lang w:val="es-ES"/>
        </w:rPr>
        <w:t xml:space="preserve"> el caso</w:t>
      </w:r>
      <w:r w:rsidR="00B15CF2" w:rsidRPr="00A16D62">
        <w:rPr>
          <w:rFonts w:ascii="Cambria" w:eastAsia="Times New Roman" w:hAnsi="Cambria"/>
          <w:bCs/>
          <w:sz w:val="20"/>
          <w:szCs w:val="20"/>
          <w:bdr w:val="none" w:sz="0" w:space="0" w:color="auto"/>
          <w:lang w:val="es-ES"/>
        </w:rPr>
        <w:t xml:space="preserve"> </w:t>
      </w:r>
      <w:r w:rsidR="00B15CF2" w:rsidRPr="00A16D62">
        <w:rPr>
          <w:rFonts w:ascii="Cambria" w:eastAsia="Times New Roman" w:hAnsi="Cambria"/>
          <w:bCs/>
          <w:i/>
          <w:sz w:val="20"/>
          <w:szCs w:val="20"/>
          <w:bdr w:val="none" w:sz="0" w:space="0" w:color="auto"/>
          <w:lang w:val="es-ES"/>
        </w:rPr>
        <w:t>Mezonos</w:t>
      </w:r>
      <w:r w:rsidR="00B15CF2" w:rsidRPr="00A16D62">
        <w:rPr>
          <w:rFonts w:ascii="Cambria" w:eastAsia="Times New Roman" w:hAnsi="Cambria"/>
          <w:bCs/>
          <w:sz w:val="20"/>
          <w:szCs w:val="20"/>
          <w:bdr w:val="none" w:sz="0" w:space="0" w:color="auto"/>
          <w:lang w:val="es-ES"/>
        </w:rPr>
        <w:t xml:space="preserve">, </w:t>
      </w:r>
      <w:r w:rsidR="00F940BE" w:rsidRPr="00A16D62">
        <w:rPr>
          <w:rFonts w:ascii="Cambria" w:eastAsia="Times New Roman" w:hAnsi="Cambria"/>
          <w:bCs/>
          <w:sz w:val="20"/>
          <w:szCs w:val="20"/>
          <w:bdr w:val="none" w:sz="0" w:space="0" w:color="auto"/>
          <w:lang w:val="es-ES"/>
        </w:rPr>
        <w:t xml:space="preserve">la </w:t>
      </w:r>
      <w:r w:rsidR="002A7BC2" w:rsidRPr="00A16D62">
        <w:rPr>
          <w:rFonts w:ascii="Cambria" w:eastAsia="Times New Roman" w:hAnsi="Cambria"/>
          <w:bCs/>
          <w:sz w:val="20"/>
          <w:szCs w:val="20"/>
          <w:bdr w:val="none" w:sz="0" w:space="0" w:color="auto" w:frame="1"/>
          <w:lang w:val="es-ES"/>
        </w:rPr>
        <w:t>Junta Nacional de Relaciones Laborales</w:t>
      </w:r>
      <w:r w:rsidR="00B15CF2" w:rsidRPr="00A16D62">
        <w:rPr>
          <w:rFonts w:ascii="Cambria" w:eastAsia="Times New Roman" w:hAnsi="Cambria"/>
          <w:bCs/>
          <w:sz w:val="20"/>
          <w:szCs w:val="20"/>
          <w:bdr w:val="none" w:sz="0" w:space="0" w:color="auto"/>
          <w:lang w:val="es-ES"/>
        </w:rPr>
        <w:t xml:space="preserve"> </w:t>
      </w:r>
      <w:r w:rsidR="00F940BE" w:rsidRPr="00A16D62">
        <w:rPr>
          <w:rFonts w:ascii="Cambria" w:eastAsia="Times New Roman" w:hAnsi="Cambria"/>
          <w:bCs/>
          <w:sz w:val="20"/>
          <w:szCs w:val="20"/>
          <w:bdr w:val="none" w:sz="0" w:space="0" w:color="auto"/>
          <w:lang w:val="es-ES"/>
        </w:rPr>
        <w:t xml:space="preserve">determinó que, incluso en los casos en que no se cuestiona que fue el </w:t>
      </w:r>
      <w:r w:rsidR="007F4530" w:rsidRPr="00A16D62">
        <w:rPr>
          <w:rFonts w:ascii="Cambria" w:eastAsia="Times New Roman" w:hAnsi="Cambria"/>
          <w:bCs/>
          <w:sz w:val="20"/>
          <w:szCs w:val="20"/>
          <w:bdr w:val="none" w:sz="0" w:space="0" w:color="auto"/>
          <w:lang w:val="es-ES"/>
        </w:rPr>
        <w:t>empleador</w:t>
      </w:r>
      <w:r w:rsidR="00B15CF2" w:rsidRPr="00A16D62">
        <w:rPr>
          <w:rFonts w:ascii="Cambria" w:eastAsia="Times New Roman" w:hAnsi="Cambria"/>
          <w:bCs/>
          <w:sz w:val="20"/>
          <w:szCs w:val="20"/>
          <w:bdr w:val="none" w:sz="0" w:space="0" w:color="auto"/>
          <w:lang w:val="es-ES"/>
        </w:rPr>
        <w:t xml:space="preserve">, </w:t>
      </w:r>
      <w:r w:rsidR="00F940BE" w:rsidRPr="00A16D62">
        <w:rPr>
          <w:rFonts w:ascii="Cambria" w:eastAsia="Times New Roman" w:hAnsi="Cambria"/>
          <w:bCs/>
          <w:sz w:val="20"/>
          <w:szCs w:val="20"/>
          <w:bdr w:val="none" w:sz="0" w:space="0" w:color="auto"/>
          <w:lang w:val="es-ES"/>
        </w:rPr>
        <w:t>no los empleados</w:t>
      </w:r>
      <w:r w:rsidR="00B15CF2" w:rsidRPr="00A16D62">
        <w:rPr>
          <w:rFonts w:ascii="Cambria" w:eastAsia="Times New Roman" w:hAnsi="Cambria"/>
          <w:bCs/>
          <w:sz w:val="20"/>
          <w:szCs w:val="20"/>
          <w:bdr w:val="none" w:sz="0" w:space="0" w:color="auto"/>
          <w:lang w:val="es-ES"/>
        </w:rPr>
        <w:t xml:space="preserve">, </w:t>
      </w:r>
      <w:r w:rsidR="00F940BE" w:rsidRPr="00A16D62">
        <w:rPr>
          <w:rFonts w:ascii="Cambria" w:eastAsia="Times New Roman" w:hAnsi="Cambria"/>
          <w:bCs/>
          <w:sz w:val="20"/>
          <w:szCs w:val="20"/>
          <w:bdr w:val="none" w:sz="0" w:space="0" w:color="auto"/>
          <w:lang w:val="es-ES"/>
        </w:rPr>
        <w:t xml:space="preserve">quien infringió </w:t>
      </w:r>
      <w:r w:rsidR="002A7BC2" w:rsidRPr="00A16D62">
        <w:rPr>
          <w:rFonts w:ascii="Cambria" w:eastAsia="Times New Roman" w:hAnsi="Cambria"/>
          <w:bCs/>
          <w:sz w:val="20"/>
          <w:szCs w:val="20"/>
          <w:bdr w:val="none" w:sz="0" w:space="0" w:color="auto"/>
          <w:lang w:val="es-ES"/>
        </w:rPr>
        <w:t>la L</w:t>
      </w:r>
      <w:r w:rsidR="002A7BC2" w:rsidRPr="00A16D62">
        <w:rPr>
          <w:rFonts w:ascii="Cambria" w:eastAsia="Times New Roman" w:hAnsi="Cambria"/>
          <w:bCs/>
          <w:sz w:val="20"/>
          <w:szCs w:val="20"/>
          <w:bdr w:val="none" w:sz="0" w:space="0" w:color="auto" w:frame="1"/>
          <w:lang w:val="es-ES"/>
        </w:rPr>
        <w:t>ey de Reforma y Control de la Inmigración</w:t>
      </w:r>
      <w:r w:rsidR="00B15CF2" w:rsidRPr="00A16D62">
        <w:rPr>
          <w:rFonts w:ascii="Cambria" w:eastAsia="Times New Roman" w:hAnsi="Cambria"/>
          <w:bCs/>
          <w:sz w:val="20"/>
          <w:szCs w:val="20"/>
          <w:bdr w:val="none" w:sz="0" w:space="0" w:color="auto"/>
          <w:lang w:val="es-ES"/>
        </w:rPr>
        <w:t xml:space="preserve">, </w:t>
      </w:r>
      <w:r w:rsidR="00F940BE" w:rsidRPr="00A16D62">
        <w:rPr>
          <w:rFonts w:ascii="Cambria" w:eastAsia="Times New Roman" w:hAnsi="Cambria"/>
          <w:bCs/>
          <w:sz w:val="20"/>
          <w:szCs w:val="20"/>
          <w:bdr w:val="none" w:sz="0" w:space="0" w:color="auto"/>
          <w:lang w:val="es-ES"/>
        </w:rPr>
        <w:t>a los empleados indocumentados</w:t>
      </w:r>
      <w:r w:rsidR="00B15CF2" w:rsidRPr="00A16D62">
        <w:rPr>
          <w:rFonts w:ascii="Cambria" w:eastAsia="Times New Roman" w:hAnsi="Cambria"/>
          <w:bCs/>
          <w:sz w:val="20"/>
          <w:szCs w:val="20"/>
          <w:bdr w:val="none" w:sz="0" w:space="0" w:color="auto"/>
          <w:lang w:val="es-ES"/>
        </w:rPr>
        <w:t xml:space="preserve"> </w:t>
      </w:r>
      <w:r w:rsidR="00F940BE" w:rsidRPr="00A16D62">
        <w:rPr>
          <w:rFonts w:ascii="Cambria" w:eastAsia="Times New Roman" w:hAnsi="Cambria"/>
          <w:bCs/>
          <w:sz w:val="20"/>
          <w:szCs w:val="20"/>
          <w:bdr w:val="none" w:sz="0" w:space="0" w:color="auto"/>
          <w:lang w:val="es-ES"/>
        </w:rPr>
        <w:t xml:space="preserve">que son despedidos indebidamente no se les pueden adjudicar </w:t>
      </w:r>
      <w:r w:rsidR="00E5771D" w:rsidRPr="00A16D62">
        <w:rPr>
          <w:rFonts w:ascii="Cambria" w:eastAsia="Times New Roman" w:hAnsi="Cambria"/>
          <w:bCs/>
          <w:sz w:val="20"/>
          <w:szCs w:val="20"/>
          <w:bdr w:val="none" w:sz="0" w:space="0" w:color="auto"/>
          <w:lang w:val="es-ES"/>
        </w:rPr>
        <w:t>salarios caídos</w:t>
      </w:r>
      <w:r w:rsidR="00B15CF2" w:rsidRPr="00A16D62">
        <w:rPr>
          <w:rFonts w:ascii="Cambria" w:eastAsia="Times New Roman" w:hAnsi="Cambria"/>
          <w:bCs/>
          <w:sz w:val="20"/>
          <w:szCs w:val="20"/>
          <w:bdr w:val="none" w:sz="0" w:space="0" w:color="auto"/>
          <w:lang w:val="es-ES"/>
        </w:rPr>
        <w:t xml:space="preserve"> </w:t>
      </w:r>
      <w:r w:rsidR="00F940BE" w:rsidRPr="00A16D62">
        <w:rPr>
          <w:rFonts w:ascii="Cambria" w:eastAsia="Times New Roman" w:hAnsi="Cambria"/>
          <w:bCs/>
          <w:sz w:val="20"/>
          <w:szCs w:val="20"/>
          <w:bdr w:val="none" w:sz="0" w:space="0" w:color="auto"/>
          <w:lang w:val="es-ES"/>
        </w:rPr>
        <w:t>sobre la base de tal infracción</w:t>
      </w:r>
      <w:r w:rsidR="00B15CF2" w:rsidRPr="00A16D62">
        <w:rPr>
          <w:rStyle w:val="FootnoteReference"/>
          <w:rFonts w:ascii="Cambria" w:eastAsia="Times New Roman" w:hAnsi="Cambria"/>
          <w:bCs/>
          <w:sz w:val="20"/>
          <w:szCs w:val="20"/>
          <w:bdr w:val="none" w:sz="0" w:space="0" w:color="auto"/>
          <w:lang w:val="es-ES"/>
        </w:rPr>
        <w:footnoteReference w:id="109"/>
      </w:r>
      <w:r w:rsidR="00F940BE" w:rsidRPr="00A16D62">
        <w:rPr>
          <w:rFonts w:ascii="Cambria" w:eastAsia="Times New Roman" w:hAnsi="Cambria"/>
          <w:bCs/>
          <w:sz w:val="20"/>
          <w:szCs w:val="20"/>
          <w:bdr w:val="none" w:sz="0" w:space="0" w:color="auto"/>
          <w:lang w:val="es-ES"/>
        </w:rPr>
        <w:t>. La</w:t>
      </w:r>
      <w:r w:rsidR="00B15CF2" w:rsidRPr="00A16D62">
        <w:rPr>
          <w:rFonts w:ascii="Cambria" w:eastAsia="Times New Roman" w:hAnsi="Cambria"/>
          <w:bCs/>
          <w:sz w:val="20"/>
          <w:szCs w:val="20"/>
          <w:bdr w:val="none" w:sz="0" w:space="0" w:color="auto"/>
          <w:lang w:val="es-ES"/>
        </w:rPr>
        <w:t xml:space="preserve"> </w:t>
      </w:r>
      <w:r w:rsidR="002A7BC2" w:rsidRPr="00A16D62">
        <w:rPr>
          <w:rFonts w:ascii="Cambria" w:eastAsia="Times New Roman" w:hAnsi="Cambria"/>
          <w:bCs/>
          <w:sz w:val="20"/>
          <w:szCs w:val="20"/>
          <w:bdr w:val="none" w:sz="0" w:space="0" w:color="auto" w:frame="1"/>
          <w:lang w:val="es-ES"/>
        </w:rPr>
        <w:t xml:space="preserve">Junta </w:t>
      </w:r>
      <w:r w:rsidR="00F940BE" w:rsidRPr="00A16D62">
        <w:rPr>
          <w:rFonts w:ascii="Cambria" w:eastAsia="Times New Roman" w:hAnsi="Cambria"/>
          <w:bCs/>
          <w:sz w:val="20"/>
          <w:szCs w:val="20"/>
          <w:bdr w:val="none" w:sz="0" w:space="0" w:color="auto" w:frame="1"/>
          <w:lang w:val="es-ES"/>
        </w:rPr>
        <w:t>dejó en claro que tenía las manos atadas</w:t>
      </w:r>
      <w:r w:rsidR="00B15CF2" w:rsidRPr="00A16D62">
        <w:rPr>
          <w:rFonts w:ascii="Cambria" w:eastAsia="Times New Roman" w:hAnsi="Cambria"/>
          <w:bCs/>
          <w:sz w:val="20"/>
          <w:szCs w:val="20"/>
          <w:bdr w:val="none" w:sz="0" w:space="0" w:color="auto"/>
          <w:lang w:val="es-ES"/>
        </w:rPr>
        <w:t>, “</w:t>
      </w:r>
      <w:r w:rsidR="00F940BE" w:rsidRPr="00A16D62">
        <w:rPr>
          <w:rFonts w:ascii="Cambria" w:eastAsia="Times New Roman" w:hAnsi="Cambria"/>
          <w:bCs/>
          <w:sz w:val="20"/>
          <w:szCs w:val="20"/>
          <w:bdr w:val="none" w:sz="0" w:space="0" w:color="auto"/>
          <w:lang w:val="es-ES"/>
        </w:rPr>
        <w:t xml:space="preserve">independientemente del mérito de los argumentos </w:t>
      </w:r>
      <w:r w:rsidR="00B15CF2" w:rsidRPr="00A16D62">
        <w:rPr>
          <w:rFonts w:ascii="Cambria" w:eastAsia="Times New Roman" w:hAnsi="Cambria"/>
          <w:bCs/>
          <w:sz w:val="20"/>
          <w:szCs w:val="20"/>
          <w:bdr w:val="none" w:sz="0" w:space="0" w:color="auto"/>
          <w:lang w:val="es-ES"/>
        </w:rPr>
        <w:t>[</w:t>
      </w:r>
      <w:r w:rsidR="00F940BE" w:rsidRPr="00A16D62">
        <w:rPr>
          <w:rFonts w:ascii="Cambria" w:eastAsia="Times New Roman" w:hAnsi="Cambria"/>
          <w:bCs/>
          <w:sz w:val="20"/>
          <w:szCs w:val="20"/>
          <w:bdr w:val="none" w:sz="0" w:space="0" w:color="auto"/>
          <w:lang w:val="es-ES"/>
        </w:rPr>
        <w:t>de los demandantes]</w:t>
      </w:r>
      <w:r w:rsidR="00B15CF2" w:rsidRPr="00A16D62">
        <w:rPr>
          <w:rFonts w:ascii="Cambria" w:eastAsia="Times New Roman" w:hAnsi="Cambria"/>
          <w:bCs/>
          <w:sz w:val="20"/>
          <w:szCs w:val="20"/>
          <w:bdr w:val="none" w:sz="0" w:space="0" w:color="auto"/>
          <w:lang w:val="es-ES"/>
        </w:rPr>
        <w:t>”</w:t>
      </w:r>
      <w:r w:rsidR="00F940BE" w:rsidRPr="00A16D62">
        <w:rPr>
          <w:rFonts w:ascii="Cambria" w:eastAsia="Times New Roman" w:hAnsi="Cambria"/>
          <w:bCs/>
          <w:sz w:val="20"/>
          <w:szCs w:val="20"/>
          <w:bdr w:val="none" w:sz="0" w:space="0" w:color="auto"/>
          <w:lang w:val="es-ES"/>
        </w:rPr>
        <w:t xml:space="preserve">, ya que, en el caso </w:t>
      </w:r>
      <w:r w:rsidR="00B15CF2" w:rsidRPr="00A16D62">
        <w:rPr>
          <w:rFonts w:ascii="Cambria" w:eastAsia="Times New Roman" w:hAnsi="Cambria"/>
          <w:bCs/>
          <w:i/>
          <w:sz w:val="20"/>
          <w:szCs w:val="20"/>
          <w:bdr w:val="none" w:sz="0" w:space="0" w:color="auto"/>
          <w:lang w:val="es-ES"/>
        </w:rPr>
        <w:t>Hoffman</w:t>
      </w:r>
      <w:r w:rsidR="00F940BE" w:rsidRPr="00A16D62">
        <w:rPr>
          <w:rFonts w:ascii="Cambria" w:eastAsia="Times New Roman" w:hAnsi="Cambria"/>
          <w:bCs/>
          <w:sz w:val="20"/>
          <w:szCs w:val="20"/>
          <w:bdr w:val="none" w:sz="0" w:space="0" w:color="auto"/>
          <w:lang w:val="es-ES"/>
        </w:rPr>
        <w:t xml:space="preserve">, la Corte Suprema </w:t>
      </w:r>
      <w:r w:rsidR="00B15CF2" w:rsidRPr="00A16D62">
        <w:rPr>
          <w:rFonts w:ascii="Cambria" w:eastAsia="Times New Roman" w:hAnsi="Cambria"/>
          <w:bCs/>
          <w:sz w:val="20"/>
          <w:szCs w:val="20"/>
          <w:bdr w:val="none" w:sz="0" w:space="0" w:color="auto"/>
          <w:lang w:val="es-ES"/>
        </w:rPr>
        <w:t>us</w:t>
      </w:r>
      <w:r w:rsidR="00F940BE" w:rsidRPr="00A16D62">
        <w:rPr>
          <w:rFonts w:ascii="Cambria" w:eastAsia="Times New Roman" w:hAnsi="Cambria"/>
          <w:bCs/>
          <w:sz w:val="20"/>
          <w:szCs w:val="20"/>
          <w:bdr w:val="none" w:sz="0" w:space="0" w:color="auto"/>
          <w:lang w:val="es-ES"/>
        </w:rPr>
        <w:t xml:space="preserve">ó un lenguaje “neutral en relación con los infractores de la </w:t>
      </w:r>
      <w:r w:rsidR="002A7BC2" w:rsidRPr="00A16D62">
        <w:rPr>
          <w:rFonts w:ascii="Cambria" w:eastAsia="Times New Roman" w:hAnsi="Cambria"/>
          <w:bCs/>
          <w:sz w:val="20"/>
          <w:szCs w:val="20"/>
          <w:bdr w:val="none" w:sz="0" w:space="0" w:color="auto" w:frame="1"/>
          <w:lang w:val="es-ES"/>
        </w:rPr>
        <w:t>Ley de Reforma y Control de la Inmigración</w:t>
      </w:r>
      <w:r w:rsidR="00B15CF2" w:rsidRPr="00A16D62">
        <w:rPr>
          <w:rFonts w:ascii="Cambria" w:eastAsia="Times New Roman" w:hAnsi="Cambria"/>
          <w:bCs/>
          <w:sz w:val="20"/>
          <w:szCs w:val="20"/>
          <w:bdr w:val="none" w:sz="0" w:space="0" w:color="auto"/>
          <w:lang w:val="es-ES"/>
        </w:rPr>
        <w:t>”</w:t>
      </w:r>
      <w:r w:rsidR="00F940BE" w:rsidRPr="00A16D62">
        <w:rPr>
          <w:rFonts w:ascii="Cambria" w:eastAsia="Times New Roman" w:hAnsi="Cambria"/>
          <w:bCs/>
          <w:sz w:val="20"/>
          <w:szCs w:val="20"/>
          <w:bdr w:val="none" w:sz="0" w:space="0" w:color="auto"/>
          <w:lang w:val="es-ES"/>
        </w:rPr>
        <w:t xml:space="preserve">, es decir, sin tener en cuenta qué parte (el </w:t>
      </w:r>
      <w:r w:rsidR="007F4530" w:rsidRPr="00A16D62">
        <w:rPr>
          <w:rFonts w:ascii="Cambria" w:eastAsia="Times New Roman" w:hAnsi="Cambria"/>
          <w:bCs/>
          <w:sz w:val="20"/>
          <w:szCs w:val="20"/>
          <w:bdr w:val="none" w:sz="0" w:space="0" w:color="auto"/>
          <w:lang w:val="es-ES"/>
        </w:rPr>
        <w:t>empleador</w:t>
      </w:r>
      <w:r w:rsidR="00B15CF2" w:rsidRPr="00A16D62">
        <w:rPr>
          <w:rFonts w:ascii="Cambria" w:eastAsia="Times New Roman" w:hAnsi="Cambria"/>
          <w:bCs/>
          <w:sz w:val="20"/>
          <w:szCs w:val="20"/>
          <w:bdr w:val="none" w:sz="0" w:space="0" w:color="auto"/>
          <w:lang w:val="es-ES"/>
        </w:rPr>
        <w:t xml:space="preserve"> o</w:t>
      </w:r>
      <w:r w:rsidR="00F940BE" w:rsidRPr="00A16D62">
        <w:rPr>
          <w:rFonts w:ascii="Cambria" w:eastAsia="Times New Roman" w:hAnsi="Cambria"/>
          <w:bCs/>
          <w:sz w:val="20"/>
          <w:szCs w:val="20"/>
          <w:bdr w:val="none" w:sz="0" w:space="0" w:color="auto"/>
          <w:lang w:val="es-ES"/>
        </w:rPr>
        <w:t xml:space="preserve"> el </w:t>
      </w:r>
      <w:r w:rsidR="009171FF" w:rsidRPr="00A16D62">
        <w:rPr>
          <w:rFonts w:ascii="Cambria" w:eastAsia="Times New Roman" w:hAnsi="Cambria"/>
          <w:bCs/>
          <w:sz w:val="20"/>
          <w:szCs w:val="20"/>
          <w:bdr w:val="none" w:sz="0" w:space="0" w:color="auto"/>
          <w:lang w:val="es-ES"/>
        </w:rPr>
        <w:t>empleado</w:t>
      </w:r>
      <w:r w:rsidR="00F940BE" w:rsidRPr="00A16D62">
        <w:rPr>
          <w:rFonts w:ascii="Cambria" w:eastAsia="Times New Roman" w:hAnsi="Cambria"/>
          <w:bCs/>
          <w:sz w:val="20"/>
          <w:szCs w:val="20"/>
          <w:bdr w:val="none" w:sz="0" w:space="0" w:color="auto"/>
          <w:lang w:val="es-ES"/>
        </w:rPr>
        <w:t xml:space="preserve">) había cometido la infracción, y observó que ni siquiera podría ordenar una reparación de ese tipo, ya que, en el caso </w:t>
      </w:r>
      <w:r w:rsidR="00B15CF2" w:rsidRPr="00A16D62">
        <w:rPr>
          <w:rFonts w:ascii="Cambria" w:eastAsia="Times New Roman" w:hAnsi="Cambria"/>
          <w:bCs/>
          <w:i/>
          <w:sz w:val="20"/>
          <w:szCs w:val="20"/>
          <w:bdr w:val="none" w:sz="0" w:space="0" w:color="auto"/>
          <w:lang w:val="es-ES"/>
        </w:rPr>
        <w:t>Hoffman</w:t>
      </w:r>
      <w:r w:rsidR="00F940BE" w:rsidRPr="00A16D62">
        <w:rPr>
          <w:rFonts w:ascii="Cambria" w:eastAsia="Times New Roman" w:hAnsi="Cambria"/>
          <w:bCs/>
          <w:sz w:val="20"/>
          <w:szCs w:val="20"/>
          <w:bdr w:val="none" w:sz="0" w:space="0" w:color="auto"/>
          <w:lang w:val="es-ES"/>
        </w:rPr>
        <w:t xml:space="preserve">, la Corte determinó que la adjudicación de </w:t>
      </w:r>
      <w:r w:rsidR="00E5771D" w:rsidRPr="00A16D62">
        <w:rPr>
          <w:rFonts w:ascii="Cambria" w:eastAsia="Times New Roman" w:hAnsi="Cambria"/>
          <w:bCs/>
          <w:sz w:val="20"/>
          <w:szCs w:val="20"/>
          <w:bdr w:val="none" w:sz="0" w:space="0" w:color="auto"/>
          <w:lang w:val="es-ES"/>
        </w:rPr>
        <w:t>salarios caídos</w:t>
      </w:r>
      <w:r w:rsidR="00B15CF2" w:rsidRPr="00A16D62">
        <w:rPr>
          <w:rFonts w:ascii="Cambria" w:eastAsia="Times New Roman" w:hAnsi="Cambria"/>
          <w:bCs/>
          <w:sz w:val="20"/>
          <w:szCs w:val="20"/>
          <w:bdr w:val="none" w:sz="0" w:space="0" w:color="auto"/>
          <w:lang w:val="es-ES"/>
        </w:rPr>
        <w:t xml:space="preserve"> “</w:t>
      </w:r>
      <w:r w:rsidR="00F940BE" w:rsidRPr="00A16D62">
        <w:rPr>
          <w:rFonts w:ascii="Cambria" w:eastAsia="Times New Roman" w:hAnsi="Cambria"/>
          <w:bCs/>
          <w:sz w:val="20"/>
          <w:szCs w:val="20"/>
          <w:bdr w:val="none" w:sz="0" w:space="0" w:color="auto"/>
          <w:lang w:val="es-ES"/>
        </w:rPr>
        <w:t>trasciende los límites de la discreción reparadora de la Junta</w:t>
      </w:r>
      <w:r w:rsidR="00B15CF2" w:rsidRPr="00A16D62">
        <w:rPr>
          <w:rFonts w:ascii="Cambria" w:eastAsia="Times New Roman" w:hAnsi="Cambria"/>
          <w:bCs/>
          <w:sz w:val="20"/>
          <w:szCs w:val="20"/>
          <w:bdr w:val="none" w:sz="0" w:space="0" w:color="auto"/>
          <w:lang w:val="es-ES"/>
        </w:rPr>
        <w:t>”</w:t>
      </w:r>
      <w:r w:rsidR="00F940BE" w:rsidRPr="00A16D62">
        <w:rPr>
          <w:rFonts w:ascii="Cambria" w:eastAsia="Times New Roman" w:hAnsi="Cambria"/>
          <w:bCs/>
          <w:sz w:val="20"/>
          <w:szCs w:val="20"/>
          <w:bdr w:val="none" w:sz="0" w:space="0" w:color="auto"/>
          <w:lang w:val="es-ES"/>
        </w:rPr>
        <w:t xml:space="preserve">. Por último, en el caso </w:t>
      </w:r>
      <w:r w:rsidR="00F940BE" w:rsidRPr="00A16D62">
        <w:rPr>
          <w:rFonts w:ascii="Cambria" w:eastAsia="Times New Roman" w:hAnsi="Cambria"/>
          <w:bCs/>
          <w:i/>
          <w:sz w:val="20"/>
          <w:szCs w:val="20"/>
          <w:bdr w:val="none" w:sz="0" w:space="0" w:color="auto"/>
          <w:lang w:val="es-ES"/>
        </w:rPr>
        <w:t>Mezonos</w:t>
      </w:r>
      <w:r w:rsidR="00F940BE" w:rsidRPr="00A16D62">
        <w:rPr>
          <w:rFonts w:ascii="Cambria" w:eastAsia="Times New Roman" w:hAnsi="Cambria"/>
          <w:bCs/>
          <w:sz w:val="20"/>
          <w:szCs w:val="20"/>
          <w:bdr w:val="none" w:sz="0" w:space="0" w:color="auto"/>
          <w:lang w:val="es-ES"/>
        </w:rPr>
        <w:t xml:space="preserve"> la </w:t>
      </w:r>
      <w:r w:rsidR="002A7BC2" w:rsidRPr="00A16D62">
        <w:rPr>
          <w:rFonts w:ascii="Cambria" w:eastAsia="Times New Roman" w:hAnsi="Cambria"/>
          <w:bCs/>
          <w:sz w:val="20"/>
          <w:szCs w:val="20"/>
          <w:bdr w:val="none" w:sz="0" w:space="0" w:color="auto" w:frame="1"/>
          <w:lang w:val="es-ES"/>
        </w:rPr>
        <w:t xml:space="preserve">Junta </w:t>
      </w:r>
      <w:r w:rsidR="00F940BE" w:rsidRPr="00A16D62">
        <w:rPr>
          <w:rFonts w:ascii="Cambria" w:eastAsia="Times New Roman" w:hAnsi="Cambria"/>
          <w:bCs/>
          <w:sz w:val="20"/>
          <w:szCs w:val="20"/>
          <w:bdr w:val="none" w:sz="0" w:space="0" w:color="auto" w:frame="1"/>
          <w:lang w:val="es-ES"/>
        </w:rPr>
        <w:t>resumió el f</w:t>
      </w:r>
      <w:r w:rsidR="005F3F50" w:rsidRPr="00A16D62">
        <w:rPr>
          <w:rFonts w:ascii="Cambria" w:eastAsia="Times New Roman" w:hAnsi="Cambria"/>
          <w:bCs/>
          <w:sz w:val="20"/>
          <w:szCs w:val="20"/>
          <w:bdr w:val="none" w:sz="0" w:space="0" w:color="auto" w:frame="1"/>
          <w:lang w:val="es-ES"/>
        </w:rPr>
        <w:t xml:space="preserve">allo en el caso </w:t>
      </w:r>
      <w:r w:rsidR="00B15CF2" w:rsidRPr="00A16D62">
        <w:rPr>
          <w:rFonts w:ascii="Cambria" w:eastAsia="Times New Roman" w:hAnsi="Cambria"/>
          <w:bCs/>
          <w:i/>
          <w:sz w:val="20"/>
          <w:szCs w:val="20"/>
          <w:bdr w:val="none" w:sz="0" w:space="0" w:color="auto"/>
          <w:lang w:val="es-ES"/>
        </w:rPr>
        <w:t>Hoffman</w:t>
      </w:r>
      <w:r w:rsidR="00B15CF2" w:rsidRPr="00A16D62">
        <w:rPr>
          <w:rFonts w:ascii="Cambria" w:eastAsia="Times New Roman" w:hAnsi="Cambria"/>
          <w:bCs/>
          <w:sz w:val="20"/>
          <w:szCs w:val="20"/>
          <w:bdr w:val="none" w:sz="0" w:space="0" w:color="auto"/>
          <w:lang w:val="es-ES"/>
        </w:rPr>
        <w:t xml:space="preserve"> </w:t>
      </w:r>
      <w:r w:rsidR="005F3F50" w:rsidRPr="00A16D62">
        <w:rPr>
          <w:rFonts w:ascii="Cambria" w:eastAsia="Times New Roman" w:hAnsi="Cambria"/>
          <w:bCs/>
          <w:sz w:val="20"/>
          <w:szCs w:val="20"/>
          <w:bdr w:val="none" w:sz="0" w:space="0" w:color="auto"/>
          <w:lang w:val="es-ES"/>
        </w:rPr>
        <w:t xml:space="preserve">señalando que, en los casos en que están involucrados </w:t>
      </w:r>
      <w:r w:rsidR="00C038BF" w:rsidRPr="00A16D62">
        <w:rPr>
          <w:rFonts w:ascii="Cambria" w:eastAsia="Times New Roman" w:hAnsi="Cambria"/>
          <w:bCs/>
          <w:sz w:val="20"/>
          <w:szCs w:val="20"/>
          <w:bdr w:val="none" w:sz="0" w:space="0" w:color="auto"/>
          <w:lang w:val="es-ES"/>
        </w:rPr>
        <w:t>trabajadores indocumentados</w:t>
      </w:r>
      <w:r w:rsidR="00B15CF2" w:rsidRPr="00A16D62">
        <w:rPr>
          <w:rFonts w:ascii="Cambria" w:eastAsia="Times New Roman" w:hAnsi="Cambria"/>
          <w:bCs/>
          <w:sz w:val="20"/>
          <w:szCs w:val="20"/>
          <w:bdr w:val="none" w:sz="0" w:space="0" w:color="auto"/>
          <w:lang w:val="es-ES"/>
        </w:rPr>
        <w:t xml:space="preserve"> </w:t>
      </w:r>
      <w:r w:rsidR="005F3F50" w:rsidRPr="00A16D62">
        <w:rPr>
          <w:rFonts w:ascii="Cambria" w:eastAsia="Times New Roman" w:hAnsi="Cambria"/>
          <w:bCs/>
          <w:sz w:val="20"/>
          <w:szCs w:val="20"/>
          <w:bdr w:val="none" w:sz="0" w:space="0" w:color="auto"/>
          <w:lang w:val="es-ES"/>
        </w:rPr>
        <w:t xml:space="preserve">y </w:t>
      </w:r>
      <w:r w:rsidR="00B15CF2" w:rsidRPr="00A16D62">
        <w:rPr>
          <w:rFonts w:ascii="Cambria" w:eastAsia="Times New Roman" w:hAnsi="Cambria"/>
          <w:bCs/>
          <w:sz w:val="20"/>
          <w:szCs w:val="20"/>
          <w:bdr w:val="none" w:sz="0" w:space="0" w:color="auto"/>
          <w:lang w:val="es-ES"/>
        </w:rPr>
        <w:t>“[</w:t>
      </w:r>
      <w:r w:rsidR="005F3F50" w:rsidRPr="00A16D62">
        <w:rPr>
          <w:rFonts w:ascii="Cambria" w:eastAsia="Times New Roman" w:hAnsi="Cambria"/>
          <w:bCs/>
          <w:sz w:val="20"/>
          <w:szCs w:val="20"/>
          <w:bdr w:val="none" w:sz="0" w:space="0" w:color="auto"/>
          <w:lang w:val="es-ES"/>
        </w:rPr>
        <w:t>sin tener en cuenta</w:t>
      </w:r>
      <w:r w:rsidR="00B15CF2" w:rsidRPr="00A16D62">
        <w:rPr>
          <w:rFonts w:ascii="Cambria" w:eastAsia="Times New Roman" w:hAnsi="Cambria"/>
          <w:bCs/>
          <w:sz w:val="20"/>
          <w:szCs w:val="20"/>
          <w:bdr w:val="none" w:sz="0" w:space="0" w:color="auto"/>
          <w:lang w:val="es-ES"/>
        </w:rPr>
        <w:t xml:space="preserve">] </w:t>
      </w:r>
      <w:r w:rsidR="005F3F50" w:rsidRPr="00A16D62">
        <w:rPr>
          <w:rFonts w:ascii="Cambria" w:eastAsia="Times New Roman" w:hAnsi="Cambria"/>
          <w:bCs/>
          <w:sz w:val="20"/>
          <w:szCs w:val="20"/>
          <w:bdr w:val="none" w:sz="0" w:space="0" w:color="auto"/>
          <w:lang w:val="es-ES"/>
        </w:rPr>
        <w:t>qué parte está infringiendo la ley, la consecuencia es una relación laboral ilícita</w:t>
      </w:r>
      <w:r w:rsidR="00B15CF2" w:rsidRPr="00A16D62">
        <w:rPr>
          <w:rFonts w:ascii="Cambria" w:eastAsia="Times New Roman" w:hAnsi="Cambria"/>
          <w:bCs/>
          <w:sz w:val="20"/>
          <w:szCs w:val="20"/>
          <w:bdr w:val="none" w:sz="0" w:space="0" w:color="auto"/>
          <w:lang w:val="es-ES"/>
        </w:rPr>
        <w:t xml:space="preserve"> [</w:t>
      </w:r>
      <w:r w:rsidR="005F3F50" w:rsidRPr="00A16D62">
        <w:rPr>
          <w:rFonts w:ascii="Cambria" w:eastAsia="Times New Roman" w:hAnsi="Cambria"/>
          <w:bCs/>
          <w:sz w:val="20"/>
          <w:szCs w:val="20"/>
          <w:bdr w:val="none" w:sz="0" w:space="0" w:color="auto"/>
          <w:lang w:val="es-ES"/>
        </w:rPr>
        <w:t xml:space="preserve">entre un </w:t>
      </w:r>
      <w:r w:rsidR="007F4530" w:rsidRPr="00A16D62">
        <w:rPr>
          <w:rFonts w:ascii="Cambria" w:eastAsia="Times New Roman" w:hAnsi="Cambria"/>
          <w:bCs/>
          <w:sz w:val="20"/>
          <w:szCs w:val="20"/>
          <w:bdr w:val="none" w:sz="0" w:space="0" w:color="auto"/>
          <w:lang w:val="es-ES"/>
        </w:rPr>
        <w:t>empleador</w:t>
      </w:r>
      <w:r w:rsidR="00B15CF2" w:rsidRPr="00A16D62">
        <w:rPr>
          <w:rFonts w:ascii="Cambria" w:eastAsia="Times New Roman" w:hAnsi="Cambria"/>
          <w:bCs/>
          <w:sz w:val="20"/>
          <w:szCs w:val="20"/>
          <w:bdr w:val="none" w:sz="0" w:space="0" w:color="auto"/>
          <w:lang w:val="es-ES"/>
        </w:rPr>
        <w:t xml:space="preserve"> </w:t>
      </w:r>
      <w:r w:rsidR="005F3F50" w:rsidRPr="00A16D62">
        <w:rPr>
          <w:rFonts w:ascii="Cambria" w:eastAsia="Times New Roman" w:hAnsi="Cambria"/>
          <w:bCs/>
          <w:sz w:val="20"/>
          <w:szCs w:val="20"/>
          <w:bdr w:val="none" w:sz="0" w:space="0" w:color="auto"/>
          <w:lang w:val="es-ES"/>
        </w:rPr>
        <w:t xml:space="preserve">y un </w:t>
      </w:r>
      <w:r w:rsidR="00A30BE7" w:rsidRPr="00A16D62">
        <w:rPr>
          <w:rFonts w:ascii="Cambria" w:eastAsia="Times New Roman" w:hAnsi="Cambria"/>
          <w:bCs/>
          <w:sz w:val="20"/>
          <w:szCs w:val="20"/>
          <w:bdr w:val="none" w:sz="0" w:space="0" w:color="auto"/>
          <w:lang w:val="es-ES"/>
        </w:rPr>
        <w:lastRenderedPageBreak/>
        <w:t>trabajador indocumentado</w:t>
      </w:r>
      <w:r w:rsidR="00B15CF2" w:rsidRPr="00A16D62">
        <w:rPr>
          <w:rFonts w:ascii="Cambria" w:eastAsia="Times New Roman" w:hAnsi="Cambria"/>
          <w:bCs/>
          <w:sz w:val="20"/>
          <w:szCs w:val="20"/>
          <w:bdr w:val="none" w:sz="0" w:space="0" w:color="auto"/>
          <w:lang w:val="es-ES"/>
        </w:rPr>
        <w:t>]”</w:t>
      </w:r>
      <w:r w:rsidR="00B15CF2" w:rsidRPr="00A16D62">
        <w:rPr>
          <w:rStyle w:val="FootnoteReference"/>
          <w:rFonts w:ascii="Cambria" w:eastAsia="Times New Roman" w:hAnsi="Cambria"/>
          <w:bCs/>
          <w:sz w:val="20"/>
          <w:szCs w:val="20"/>
          <w:bdr w:val="none" w:sz="0" w:space="0" w:color="auto"/>
          <w:lang w:val="es-ES"/>
        </w:rPr>
        <w:footnoteReference w:id="110"/>
      </w:r>
      <w:r w:rsidR="005F3F50" w:rsidRPr="00A16D62">
        <w:rPr>
          <w:rFonts w:ascii="Cambria" w:eastAsia="Times New Roman" w:hAnsi="Cambria"/>
          <w:bCs/>
          <w:sz w:val="20"/>
          <w:szCs w:val="20"/>
          <w:bdr w:val="none" w:sz="0" w:space="0" w:color="auto"/>
          <w:lang w:val="es-ES"/>
        </w:rPr>
        <w:t>. Por consiguiente, la</w:t>
      </w:r>
      <w:r w:rsidR="00B15CF2" w:rsidRPr="00A16D62">
        <w:rPr>
          <w:rFonts w:ascii="Cambria" w:eastAsia="Times New Roman" w:hAnsi="Cambria"/>
          <w:bCs/>
          <w:sz w:val="20"/>
          <w:szCs w:val="20"/>
          <w:bdr w:val="none" w:sz="0" w:space="0" w:color="auto"/>
          <w:lang w:val="es-ES"/>
        </w:rPr>
        <w:t xml:space="preserve"> </w:t>
      </w:r>
      <w:r w:rsidR="002A7BC2" w:rsidRPr="00A16D62">
        <w:rPr>
          <w:rFonts w:ascii="Cambria" w:eastAsia="Times New Roman" w:hAnsi="Cambria"/>
          <w:bCs/>
          <w:sz w:val="20"/>
          <w:szCs w:val="20"/>
          <w:bdr w:val="none" w:sz="0" w:space="0" w:color="auto" w:frame="1"/>
          <w:lang w:val="es-ES"/>
        </w:rPr>
        <w:t>Junta Nacional de Relaciones Laborales</w:t>
      </w:r>
      <w:r w:rsidR="00B15CF2" w:rsidRPr="00A16D62">
        <w:rPr>
          <w:rFonts w:ascii="Cambria" w:eastAsia="Times New Roman" w:hAnsi="Cambria"/>
          <w:bCs/>
          <w:sz w:val="20"/>
          <w:szCs w:val="20"/>
          <w:bdr w:val="none" w:sz="0" w:space="0" w:color="auto"/>
          <w:lang w:val="es-ES"/>
        </w:rPr>
        <w:t xml:space="preserve"> </w:t>
      </w:r>
      <w:r w:rsidR="005F3F50" w:rsidRPr="00A16D62">
        <w:rPr>
          <w:rFonts w:ascii="Cambria" w:eastAsia="Times New Roman" w:hAnsi="Cambria"/>
          <w:bCs/>
          <w:sz w:val="20"/>
          <w:szCs w:val="20"/>
          <w:bdr w:val="none" w:sz="0" w:space="0" w:color="auto"/>
          <w:lang w:val="es-ES"/>
        </w:rPr>
        <w:t xml:space="preserve">no puede cercenar las leyes </w:t>
      </w:r>
      <w:r w:rsidR="00B15CF2" w:rsidRPr="00A16D62">
        <w:rPr>
          <w:rFonts w:ascii="Cambria" w:eastAsia="Times New Roman" w:hAnsi="Cambria"/>
          <w:bCs/>
          <w:sz w:val="20"/>
          <w:szCs w:val="20"/>
          <w:bdr w:val="none" w:sz="0" w:space="0" w:color="auto"/>
          <w:lang w:val="es-ES"/>
        </w:rPr>
        <w:t>federal</w:t>
      </w:r>
      <w:r w:rsidR="005F3F50" w:rsidRPr="00A16D62">
        <w:rPr>
          <w:rFonts w:ascii="Cambria" w:eastAsia="Times New Roman" w:hAnsi="Cambria"/>
          <w:bCs/>
          <w:sz w:val="20"/>
          <w:szCs w:val="20"/>
          <w:bdr w:val="none" w:sz="0" w:space="0" w:color="auto"/>
          <w:lang w:val="es-ES"/>
        </w:rPr>
        <w:t xml:space="preserve">es </w:t>
      </w:r>
      <w:r w:rsidR="00B15CF2" w:rsidRPr="00A16D62">
        <w:rPr>
          <w:rFonts w:ascii="Cambria" w:eastAsia="Times New Roman" w:hAnsi="Cambria"/>
          <w:bCs/>
          <w:sz w:val="20"/>
          <w:szCs w:val="20"/>
          <w:bdr w:val="none" w:sz="0" w:space="0" w:color="auto"/>
          <w:lang w:val="es-ES"/>
        </w:rPr>
        <w:t>“legitim</w:t>
      </w:r>
      <w:r w:rsidR="005F3F50" w:rsidRPr="00A16D62">
        <w:rPr>
          <w:rFonts w:ascii="Cambria" w:eastAsia="Times New Roman" w:hAnsi="Cambria"/>
          <w:bCs/>
          <w:sz w:val="20"/>
          <w:szCs w:val="20"/>
          <w:bdr w:val="none" w:sz="0" w:space="0" w:color="auto"/>
          <w:lang w:val="es-ES"/>
        </w:rPr>
        <w:t>ando</w:t>
      </w:r>
      <w:r w:rsidR="00B15CF2" w:rsidRPr="00A16D62">
        <w:rPr>
          <w:rFonts w:ascii="Cambria" w:eastAsia="Times New Roman" w:hAnsi="Cambria"/>
          <w:bCs/>
          <w:sz w:val="20"/>
          <w:szCs w:val="20"/>
          <w:bdr w:val="none" w:sz="0" w:space="0" w:color="auto"/>
          <w:lang w:val="es-ES"/>
        </w:rPr>
        <w:t xml:space="preserve">” </w:t>
      </w:r>
      <w:r w:rsidR="005F3F50" w:rsidRPr="00A16D62">
        <w:rPr>
          <w:rFonts w:ascii="Cambria" w:eastAsia="Times New Roman" w:hAnsi="Cambria"/>
          <w:bCs/>
          <w:sz w:val="20"/>
          <w:szCs w:val="20"/>
          <w:bdr w:val="none" w:sz="0" w:space="0" w:color="auto"/>
          <w:lang w:val="es-ES"/>
        </w:rPr>
        <w:t>esa relación ilegal con la adjudicación de reparaciones cuya finalidad es corregir infracciones laborales</w:t>
      </w:r>
      <w:r w:rsidR="00B15CF2" w:rsidRPr="00A16D62">
        <w:rPr>
          <w:rStyle w:val="FootnoteReference"/>
          <w:rFonts w:ascii="Cambria" w:eastAsia="Times New Roman" w:hAnsi="Cambria"/>
          <w:bCs/>
          <w:sz w:val="20"/>
          <w:szCs w:val="20"/>
          <w:bdr w:val="none" w:sz="0" w:space="0" w:color="auto"/>
          <w:lang w:val="es-ES"/>
        </w:rPr>
        <w:footnoteReference w:id="111"/>
      </w:r>
      <w:r w:rsidR="005F3F50" w:rsidRPr="00A16D62">
        <w:rPr>
          <w:rFonts w:ascii="Cambria" w:eastAsia="Times New Roman" w:hAnsi="Cambria"/>
          <w:bCs/>
          <w:sz w:val="20"/>
          <w:szCs w:val="20"/>
          <w:bdr w:val="none" w:sz="0" w:space="0" w:color="auto"/>
          <w:lang w:val="es-ES"/>
        </w:rPr>
        <w:t>.</w:t>
      </w:r>
      <w:r w:rsidR="00B15CF2" w:rsidRPr="00A16D62">
        <w:rPr>
          <w:rFonts w:ascii="Cambria" w:eastAsia="Times New Roman" w:hAnsi="Cambria"/>
          <w:bCs/>
          <w:sz w:val="20"/>
          <w:szCs w:val="20"/>
          <w:bdr w:val="none" w:sz="0" w:space="0" w:color="auto"/>
          <w:lang w:val="es-ES"/>
        </w:rPr>
        <w:t xml:space="preserve"> </w:t>
      </w:r>
    </w:p>
    <w:p w:rsidR="002A317F" w:rsidRPr="00A16D62" w:rsidRDefault="002A317F" w:rsidP="00AB2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A678E5" w:rsidRPr="00A16D62" w:rsidRDefault="00EB3CB3" w:rsidP="005C28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Como ya se dijo, la diferencia de tratamiento puede atribuirse no solo al precedente jurisprudencial, sino también a la práctica de los funcionarios </w:t>
      </w:r>
      <w:r w:rsidR="00A678E5" w:rsidRPr="00A16D62">
        <w:rPr>
          <w:rFonts w:ascii="Cambria" w:eastAsia="Times New Roman" w:hAnsi="Cambria"/>
          <w:bCs/>
          <w:sz w:val="20"/>
          <w:szCs w:val="20"/>
          <w:bdr w:val="none" w:sz="0" w:space="0" w:color="auto"/>
          <w:lang w:val="es-ES"/>
        </w:rPr>
        <w:t>local</w:t>
      </w:r>
      <w:r w:rsidRPr="00A16D62">
        <w:rPr>
          <w:rFonts w:ascii="Cambria" w:eastAsia="Times New Roman" w:hAnsi="Cambria"/>
          <w:bCs/>
          <w:sz w:val="20"/>
          <w:szCs w:val="20"/>
          <w:bdr w:val="none" w:sz="0" w:space="0" w:color="auto"/>
          <w:lang w:val="es-ES"/>
        </w:rPr>
        <w:t>es y</w:t>
      </w:r>
      <w:r w:rsidR="00A678E5" w:rsidRPr="00A16D62">
        <w:rPr>
          <w:rFonts w:ascii="Cambria" w:eastAsia="Times New Roman" w:hAnsi="Cambria"/>
          <w:bCs/>
          <w:sz w:val="20"/>
          <w:szCs w:val="20"/>
          <w:bdr w:val="none" w:sz="0" w:space="0" w:color="auto"/>
          <w:lang w:val="es-ES"/>
        </w:rPr>
        <w:t xml:space="preserve"> federal</w:t>
      </w:r>
      <w:r w:rsidRPr="00A16D62">
        <w:rPr>
          <w:rFonts w:ascii="Cambria" w:eastAsia="Times New Roman" w:hAnsi="Cambria"/>
          <w:bCs/>
          <w:sz w:val="20"/>
          <w:szCs w:val="20"/>
          <w:bdr w:val="none" w:sz="0" w:space="0" w:color="auto"/>
          <w:lang w:val="es-ES"/>
        </w:rPr>
        <w:t xml:space="preserve">es. En ese sentido, tanto en el caso del </w:t>
      </w:r>
      <w:r w:rsidR="007F4530" w:rsidRPr="00A16D62">
        <w:rPr>
          <w:rFonts w:ascii="Cambria" w:eastAsia="Times New Roman" w:hAnsi="Cambria"/>
          <w:bCs/>
          <w:sz w:val="20"/>
          <w:szCs w:val="20"/>
          <w:bdr w:val="none" w:sz="0" w:space="0" w:color="auto"/>
          <w:lang w:val="es-ES"/>
        </w:rPr>
        <w:t>señor</w:t>
      </w:r>
      <w:r w:rsidR="00A678E5" w:rsidRPr="00A16D62">
        <w:rPr>
          <w:rFonts w:ascii="Cambria" w:eastAsia="Times New Roman" w:hAnsi="Cambria"/>
          <w:bCs/>
          <w:sz w:val="20"/>
          <w:szCs w:val="20"/>
          <w:bdr w:val="none" w:sz="0" w:space="0" w:color="auto"/>
          <w:lang w:val="es-ES"/>
        </w:rPr>
        <w:t xml:space="preserve"> Zumaya </w:t>
      </w:r>
      <w:r w:rsidRPr="00A16D62">
        <w:rPr>
          <w:rFonts w:ascii="Cambria" w:eastAsia="Times New Roman" w:hAnsi="Cambria"/>
          <w:bCs/>
          <w:sz w:val="20"/>
          <w:szCs w:val="20"/>
          <w:bdr w:val="none" w:sz="0" w:space="0" w:color="auto"/>
          <w:lang w:val="es-ES"/>
        </w:rPr>
        <w:t>como en el caso d</w:t>
      </w:r>
      <w:r w:rsidR="007F4530" w:rsidRPr="00A16D62">
        <w:rPr>
          <w:rFonts w:ascii="Cambria" w:eastAsia="Times New Roman" w:hAnsi="Cambria"/>
          <w:bCs/>
          <w:sz w:val="20"/>
          <w:szCs w:val="20"/>
          <w:bdr w:val="none" w:sz="0" w:space="0" w:color="auto"/>
          <w:lang w:val="es-ES"/>
        </w:rPr>
        <w:t>el señor</w:t>
      </w:r>
      <w:r w:rsidR="00A678E5" w:rsidRPr="00A16D62">
        <w:rPr>
          <w:rFonts w:ascii="Cambria" w:eastAsia="Times New Roman" w:hAnsi="Cambria"/>
          <w:bCs/>
          <w:sz w:val="20"/>
          <w:szCs w:val="20"/>
          <w:bdr w:val="none" w:sz="0" w:space="0" w:color="auto"/>
          <w:lang w:val="es-ES"/>
        </w:rPr>
        <w:t xml:space="preserve"> Lizalde, </w:t>
      </w:r>
      <w:r w:rsidRPr="00A16D62">
        <w:rPr>
          <w:rFonts w:ascii="Cambria" w:eastAsia="Times New Roman" w:hAnsi="Cambria"/>
          <w:bCs/>
          <w:sz w:val="20"/>
          <w:szCs w:val="20"/>
          <w:bdr w:val="none" w:sz="0" w:space="0" w:color="auto"/>
          <w:lang w:val="es-ES"/>
        </w:rPr>
        <w:t xml:space="preserve">los funcionarios </w:t>
      </w:r>
      <w:r w:rsidR="00A678E5" w:rsidRPr="00A16D62">
        <w:rPr>
          <w:rFonts w:ascii="Cambria" w:eastAsia="Times New Roman" w:hAnsi="Cambria"/>
          <w:bCs/>
          <w:sz w:val="20"/>
          <w:szCs w:val="20"/>
          <w:bdr w:val="none" w:sz="0" w:space="0" w:color="auto"/>
          <w:lang w:val="es-ES"/>
        </w:rPr>
        <w:t>local</w:t>
      </w:r>
      <w:r w:rsidRPr="00A16D62">
        <w:rPr>
          <w:rFonts w:ascii="Cambria" w:eastAsia="Times New Roman" w:hAnsi="Cambria"/>
          <w:bCs/>
          <w:sz w:val="20"/>
          <w:szCs w:val="20"/>
          <w:bdr w:val="none" w:sz="0" w:space="0" w:color="auto"/>
          <w:lang w:val="es-ES"/>
        </w:rPr>
        <w:t>es y</w:t>
      </w:r>
      <w:r w:rsidR="00A678E5" w:rsidRPr="00A16D62">
        <w:rPr>
          <w:rFonts w:ascii="Cambria" w:eastAsia="Times New Roman" w:hAnsi="Cambria"/>
          <w:bCs/>
          <w:sz w:val="20"/>
          <w:szCs w:val="20"/>
          <w:bdr w:val="none" w:sz="0" w:space="0" w:color="auto"/>
          <w:lang w:val="es-ES"/>
        </w:rPr>
        <w:t xml:space="preserve"> federal</w:t>
      </w:r>
      <w:r w:rsidRPr="00A16D62">
        <w:rPr>
          <w:rFonts w:ascii="Cambria" w:eastAsia="Times New Roman" w:hAnsi="Cambria"/>
          <w:bCs/>
          <w:sz w:val="20"/>
          <w:szCs w:val="20"/>
          <w:bdr w:val="none" w:sz="0" w:space="0" w:color="auto"/>
          <w:lang w:val="es-ES"/>
        </w:rPr>
        <w:t xml:space="preserve">es colaboraron con particulares </w:t>
      </w:r>
      <w:r w:rsidR="00A678E5" w:rsidRPr="00A16D62">
        <w:rPr>
          <w:rFonts w:ascii="Cambria" w:eastAsia="Times New Roman" w:hAnsi="Cambria"/>
          <w:bCs/>
          <w:sz w:val="20"/>
          <w:szCs w:val="20"/>
          <w:bdr w:val="none" w:sz="0" w:space="0" w:color="auto"/>
          <w:lang w:val="es-ES"/>
        </w:rPr>
        <w:t>(</w:t>
      </w:r>
      <w:r w:rsidR="000F4EF8" w:rsidRPr="00A16D62">
        <w:rPr>
          <w:rFonts w:ascii="Cambria" w:eastAsia="Times New Roman" w:hAnsi="Cambria"/>
          <w:bCs/>
          <w:sz w:val="20"/>
          <w:szCs w:val="20"/>
          <w:bdr w:val="none" w:sz="0" w:space="0" w:color="auto"/>
          <w:lang w:val="es-ES"/>
        </w:rPr>
        <w:t>empleadores</w:t>
      </w:r>
      <w:r w:rsidR="00A678E5"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y compañías de seguros</w:t>
      </w:r>
      <w:r w:rsidR="00A678E5"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para sancionar la infracción de las leyes de inmigraciones; sin embargo, estos actos tuvieron lugar después que ambos trabajadores interpusieron una demanda de </w:t>
      </w:r>
      <w:r w:rsidR="007B4310" w:rsidRPr="00A16D62">
        <w:rPr>
          <w:rFonts w:ascii="Cambria" w:eastAsia="Times New Roman" w:hAnsi="Cambria"/>
          <w:bCs/>
          <w:sz w:val="20"/>
          <w:szCs w:val="20"/>
          <w:bdr w:val="none" w:sz="0" w:space="0" w:color="auto"/>
          <w:lang w:val="es-ES"/>
        </w:rPr>
        <w:t>indemnización por accidente de trabajo</w:t>
      </w:r>
      <w:r w:rsidR="00A678E5"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en detrimento de la tramitación de estos reclamos. </w:t>
      </w:r>
      <w:r w:rsidR="00180125" w:rsidRPr="00A16D62">
        <w:rPr>
          <w:rFonts w:ascii="Cambria" w:eastAsia="Times New Roman" w:hAnsi="Cambria"/>
          <w:bCs/>
          <w:sz w:val="20"/>
          <w:szCs w:val="20"/>
          <w:bdr w:val="none" w:sz="0" w:space="0" w:color="auto"/>
          <w:lang w:val="es-ES"/>
        </w:rPr>
        <w:t>La Comisión</w:t>
      </w:r>
      <w:r w:rsidR="001643E0" w:rsidRPr="00A16D62">
        <w:rPr>
          <w:rFonts w:ascii="Cambria" w:eastAsia="Times New Roman" w:hAnsi="Cambria"/>
          <w:bCs/>
          <w:sz w:val="20"/>
          <w:szCs w:val="20"/>
          <w:bdr w:val="none" w:sz="0" w:space="0" w:color="auto"/>
          <w:lang w:val="es-ES"/>
        </w:rPr>
        <w:t xml:space="preserve"> consider</w:t>
      </w:r>
      <w:r w:rsidRPr="00A16D62">
        <w:rPr>
          <w:rFonts w:ascii="Cambria" w:eastAsia="Times New Roman" w:hAnsi="Cambria"/>
          <w:bCs/>
          <w:sz w:val="20"/>
          <w:szCs w:val="20"/>
          <w:bdr w:val="none" w:sz="0" w:space="0" w:color="auto"/>
          <w:lang w:val="es-ES"/>
        </w:rPr>
        <w:t>a que los actos d</w:t>
      </w:r>
      <w:r w:rsidR="00180125" w:rsidRPr="00A16D62">
        <w:rPr>
          <w:rFonts w:ascii="Cambria" w:eastAsia="Times New Roman" w:hAnsi="Cambria"/>
          <w:bCs/>
          <w:sz w:val="20"/>
          <w:szCs w:val="20"/>
          <w:bdr w:val="none" w:sz="0" w:space="0" w:color="auto"/>
          <w:lang w:val="es-ES"/>
        </w:rPr>
        <w:t>el Estado</w:t>
      </w:r>
      <w:r w:rsidR="00C60101"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este </w:t>
      </w:r>
      <w:r w:rsidR="00C127B4" w:rsidRPr="00A16D62">
        <w:rPr>
          <w:rFonts w:ascii="Cambria" w:eastAsia="Times New Roman" w:hAnsi="Cambria"/>
          <w:bCs/>
          <w:sz w:val="20"/>
          <w:szCs w:val="20"/>
          <w:bdr w:val="none" w:sz="0" w:space="0" w:color="auto"/>
          <w:lang w:val="es-ES"/>
        </w:rPr>
        <w:t>context</w:t>
      </w:r>
      <w:r w:rsidRPr="00A16D62">
        <w:rPr>
          <w:rFonts w:ascii="Cambria" w:eastAsia="Times New Roman" w:hAnsi="Cambria"/>
          <w:bCs/>
          <w:sz w:val="20"/>
          <w:szCs w:val="20"/>
          <w:bdr w:val="none" w:sz="0" w:space="0" w:color="auto"/>
          <w:lang w:val="es-ES"/>
        </w:rPr>
        <w:t>o tuvieron el efecto de extinguir las dos demandas de</w:t>
      </w:r>
      <w:r w:rsidR="009A73E5"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indemnización por accidente de trabajo</w:t>
      </w:r>
      <w:r w:rsidRPr="00A16D62">
        <w:rPr>
          <w:rFonts w:ascii="Cambria" w:eastAsia="Times New Roman" w:hAnsi="Cambria"/>
          <w:bCs/>
          <w:sz w:val="20"/>
          <w:szCs w:val="20"/>
          <w:bdr w:val="none" w:sz="0" w:space="0" w:color="auto"/>
          <w:lang w:val="es-ES"/>
        </w:rPr>
        <w:t>, situación que no se habría producido si no hubiera sido por su situación migratoria</w:t>
      </w:r>
      <w:r w:rsidR="009A73E5" w:rsidRPr="00A16D62">
        <w:rPr>
          <w:rFonts w:ascii="Cambria" w:eastAsia="Times New Roman" w:hAnsi="Cambria"/>
          <w:bCs/>
          <w:sz w:val="20"/>
          <w:szCs w:val="20"/>
          <w:bdr w:val="none" w:sz="0" w:space="0" w:color="auto"/>
          <w:lang w:val="es-ES"/>
        </w:rPr>
        <w:t xml:space="preserve"> irregular</w:t>
      </w:r>
      <w:r w:rsidR="001643E0" w:rsidRPr="00A16D62">
        <w:rPr>
          <w:rFonts w:ascii="Cambria" w:eastAsia="Times New Roman" w:hAnsi="Cambria"/>
          <w:bCs/>
          <w:sz w:val="20"/>
          <w:szCs w:val="20"/>
          <w:bdr w:val="none" w:sz="0" w:space="0" w:color="auto"/>
          <w:lang w:val="es-ES"/>
        </w:rPr>
        <w:t>:</w:t>
      </w:r>
      <w:r w:rsidR="00A678E5"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el señor</w:t>
      </w:r>
      <w:r w:rsidR="00A678E5" w:rsidRPr="00A16D62">
        <w:rPr>
          <w:rFonts w:ascii="Cambria" w:eastAsia="Times New Roman" w:hAnsi="Cambria"/>
          <w:bCs/>
          <w:sz w:val="20"/>
          <w:szCs w:val="20"/>
          <w:bdr w:val="none" w:sz="0" w:space="0" w:color="auto"/>
          <w:lang w:val="es-ES"/>
        </w:rPr>
        <w:t xml:space="preserve"> Lizalde</w:t>
      </w:r>
      <w:r w:rsidR="001643E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fue deportado antes que concluyera el juicio y fue en este contexto que la compañía de seguros del empleador d</w:t>
      </w:r>
      <w:r w:rsidR="007F4530" w:rsidRPr="00A16D62">
        <w:rPr>
          <w:rFonts w:ascii="Cambria" w:eastAsia="Times New Roman" w:hAnsi="Cambria"/>
          <w:bCs/>
          <w:sz w:val="20"/>
          <w:szCs w:val="20"/>
          <w:bdr w:val="none" w:sz="0" w:space="0" w:color="auto"/>
          <w:lang w:val="es-ES"/>
        </w:rPr>
        <w:t>el señor</w:t>
      </w:r>
      <w:r w:rsidR="009A73E5" w:rsidRPr="00A16D62">
        <w:rPr>
          <w:rFonts w:ascii="Cambria" w:eastAsia="Times New Roman" w:hAnsi="Cambria"/>
          <w:bCs/>
          <w:sz w:val="20"/>
          <w:szCs w:val="20"/>
          <w:bdr w:val="none" w:sz="0" w:space="0" w:color="auto"/>
          <w:lang w:val="es-ES"/>
        </w:rPr>
        <w:t xml:space="preserve"> Zumaya</w:t>
      </w:r>
      <w:r w:rsidRPr="00A16D62">
        <w:rPr>
          <w:rFonts w:ascii="Cambria" w:eastAsia="Times New Roman" w:hAnsi="Cambria"/>
          <w:bCs/>
          <w:sz w:val="20"/>
          <w:szCs w:val="20"/>
          <w:bdr w:val="none" w:sz="0" w:space="0" w:color="auto"/>
          <w:lang w:val="es-ES"/>
        </w:rPr>
        <w:t xml:space="preserve"> se negó a pagarle una</w:t>
      </w:r>
      <w:r w:rsidR="009A73E5"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indemnización por accidente de trabajo</w:t>
      </w:r>
      <w:r w:rsidR="00C60101" w:rsidRPr="00A16D62">
        <w:rPr>
          <w:rFonts w:ascii="Cambria" w:eastAsia="Times New Roman" w:hAnsi="Cambria"/>
          <w:bCs/>
          <w:sz w:val="20"/>
          <w:szCs w:val="20"/>
          <w:bdr w:val="none" w:sz="0" w:space="0" w:color="auto"/>
          <w:lang w:val="es-ES"/>
        </w:rPr>
        <w:t xml:space="preserve">. </w:t>
      </w:r>
    </w:p>
    <w:p w:rsidR="00A678E5" w:rsidRPr="00A16D62" w:rsidRDefault="00A678E5" w:rsidP="00A678E5">
      <w:pPr>
        <w:pStyle w:val="ListParagraph"/>
        <w:rPr>
          <w:rFonts w:eastAsia="Times New Roman"/>
          <w:bCs/>
          <w:sz w:val="20"/>
          <w:szCs w:val="20"/>
          <w:bdr w:val="none" w:sz="0" w:space="0" w:color="auto"/>
          <w:lang w:val="es-ES"/>
        </w:rPr>
      </w:pPr>
    </w:p>
    <w:p w:rsidR="00427AA4" w:rsidRPr="00A16D62" w:rsidRDefault="002A7BC2" w:rsidP="005C28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el caso de autos</w:t>
      </w:r>
      <w:r w:rsidR="005C28E6"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5C28E6" w:rsidRPr="00A16D62">
        <w:rPr>
          <w:rFonts w:ascii="Cambria" w:eastAsia="Times New Roman" w:hAnsi="Cambria"/>
          <w:bCs/>
          <w:sz w:val="20"/>
          <w:szCs w:val="20"/>
          <w:bdr w:val="none" w:sz="0" w:space="0" w:color="auto"/>
          <w:lang w:val="es-ES"/>
        </w:rPr>
        <w:t xml:space="preserve"> observ</w:t>
      </w:r>
      <w:r w:rsidR="0036399F">
        <w:rPr>
          <w:rFonts w:ascii="Cambria" w:eastAsia="Times New Roman" w:hAnsi="Cambria"/>
          <w:bCs/>
          <w:sz w:val="20"/>
          <w:szCs w:val="20"/>
          <w:bdr w:val="none" w:sz="0" w:space="0" w:color="auto"/>
          <w:lang w:val="es-ES"/>
        </w:rPr>
        <w:t>a</w:t>
      </w:r>
      <w:r w:rsidR="005C28E6" w:rsidRPr="00A16D62">
        <w:rPr>
          <w:rFonts w:ascii="Cambria" w:eastAsia="Times New Roman" w:hAnsi="Cambria"/>
          <w:bCs/>
          <w:sz w:val="20"/>
          <w:szCs w:val="20"/>
          <w:bdr w:val="none" w:sz="0" w:space="0" w:color="auto"/>
          <w:lang w:val="es-ES"/>
        </w:rPr>
        <w:t xml:space="preserve"> </w:t>
      </w:r>
      <w:r w:rsidR="00EB3CB3" w:rsidRPr="00A16D62">
        <w:rPr>
          <w:rFonts w:ascii="Cambria" w:eastAsia="Times New Roman" w:hAnsi="Cambria"/>
          <w:bCs/>
          <w:sz w:val="20"/>
          <w:szCs w:val="20"/>
          <w:bdr w:val="none" w:sz="0" w:space="0" w:color="auto"/>
          <w:lang w:val="es-ES"/>
        </w:rPr>
        <w:t xml:space="preserve">que, a pesar del argumento del </w:t>
      </w:r>
      <w:r w:rsidR="00180125" w:rsidRPr="00A16D62">
        <w:rPr>
          <w:rFonts w:ascii="Cambria" w:eastAsia="Times New Roman" w:hAnsi="Cambria"/>
          <w:bCs/>
          <w:sz w:val="20"/>
          <w:szCs w:val="20"/>
          <w:bdr w:val="none" w:sz="0" w:space="0" w:color="auto"/>
          <w:lang w:val="es-ES"/>
        </w:rPr>
        <w:t>Estado</w:t>
      </w:r>
      <w:r w:rsidR="00EB3CB3" w:rsidRPr="00A16D62">
        <w:rPr>
          <w:rFonts w:ascii="Cambria" w:eastAsia="Times New Roman" w:hAnsi="Cambria"/>
          <w:bCs/>
          <w:sz w:val="20"/>
          <w:szCs w:val="20"/>
          <w:bdr w:val="none" w:sz="0" w:space="0" w:color="auto"/>
          <w:lang w:val="es-ES"/>
        </w:rPr>
        <w:t xml:space="preserve"> de que hay otras prestaciones</w:t>
      </w:r>
      <w:r w:rsidR="00E56BA9" w:rsidRPr="00A16D62">
        <w:rPr>
          <w:rFonts w:ascii="Cambria" w:eastAsia="Times New Roman" w:hAnsi="Cambria"/>
          <w:bCs/>
          <w:sz w:val="20"/>
          <w:szCs w:val="20"/>
          <w:bdr w:val="none" w:sz="0" w:space="0" w:color="auto"/>
          <w:lang w:val="es-ES"/>
        </w:rPr>
        <w:t>,</w:t>
      </w:r>
      <w:r w:rsidR="00EB3CB3" w:rsidRPr="00A16D62">
        <w:rPr>
          <w:rFonts w:ascii="Cambria" w:eastAsia="Times New Roman" w:hAnsi="Cambria"/>
          <w:bCs/>
          <w:sz w:val="20"/>
          <w:szCs w:val="20"/>
          <w:bdr w:val="none" w:sz="0" w:space="0" w:color="auto"/>
          <w:lang w:val="es-ES"/>
        </w:rPr>
        <w:t xml:space="preserve"> además de los salarios perdidos</w:t>
      </w:r>
      <w:r w:rsidR="00E56BA9" w:rsidRPr="00A16D62">
        <w:rPr>
          <w:rFonts w:ascii="Cambria" w:eastAsia="Times New Roman" w:hAnsi="Cambria"/>
          <w:bCs/>
          <w:sz w:val="20"/>
          <w:szCs w:val="20"/>
          <w:bdr w:val="none" w:sz="0" w:space="0" w:color="auto"/>
          <w:lang w:val="es-ES"/>
        </w:rPr>
        <w:t>,</w:t>
      </w:r>
      <w:r w:rsidR="00EB3CB3" w:rsidRPr="00A16D62">
        <w:rPr>
          <w:rFonts w:ascii="Cambria" w:eastAsia="Times New Roman" w:hAnsi="Cambria"/>
          <w:bCs/>
          <w:sz w:val="20"/>
          <w:szCs w:val="20"/>
          <w:bdr w:val="none" w:sz="0" w:space="0" w:color="auto"/>
          <w:lang w:val="es-ES"/>
        </w:rPr>
        <w:t xml:space="preserve"> </w:t>
      </w:r>
      <w:r w:rsidR="00E56BA9" w:rsidRPr="00A16D62">
        <w:rPr>
          <w:rFonts w:ascii="Cambria" w:eastAsia="Times New Roman" w:hAnsi="Cambria"/>
          <w:bCs/>
          <w:sz w:val="20"/>
          <w:szCs w:val="20"/>
          <w:bdr w:val="none" w:sz="0" w:space="0" w:color="auto"/>
          <w:lang w:val="es-ES"/>
        </w:rPr>
        <w:t xml:space="preserve">de las cuales pueden valerse los </w:t>
      </w:r>
      <w:r w:rsidR="00C038BF" w:rsidRPr="00A16D62">
        <w:rPr>
          <w:rFonts w:ascii="Cambria" w:eastAsia="Times New Roman" w:hAnsi="Cambria"/>
          <w:bCs/>
          <w:sz w:val="20"/>
          <w:szCs w:val="20"/>
          <w:bdr w:val="none" w:sz="0" w:space="0" w:color="auto"/>
          <w:lang w:val="es-ES"/>
        </w:rPr>
        <w:t>trabajadores indocumentados</w:t>
      </w:r>
      <w:r w:rsidR="00467718" w:rsidRPr="00A16D62">
        <w:rPr>
          <w:rFonts w:ascii="Cambria" w:eastAsia="Times New Roman" w:hAnsi="Cambria"/>
          <w:bCs/>
          <w:sz w:val="20"/>
          <w:szCs w:val="20"/>
          <w:bdr w:val="none" w:sz="0" w:space="0" w:color="auto"/>
          <w:lang w:val="es-ES"/>
        </w:rPr>
        <w:t xml:space="preserve"> </w:t>
      </w:r>
      <w:r w:rsidR="00E56BA9" w:rsidRPr="00A16D62">
        <w:rPr>
          <w:rFonts w:ascii="Cambria" w:eastAsia="Times New Roman" w:hAnsi="Cambria"/>
          <w:bCs/>
          <w:sz w:val="20"/>
          <w:szCs w:val="20"/>
          <w:bdr w:val="none" w:sz="0" w:space="0" w:color="auto"/>
          <w:lang w:val="es-ES"/>
        </w:rPr>
        <w:t xml:space="preserve">después del caso </w:t>
      </w:r>
      <w:r w:rsidR="00467718" w:rsidRPr="00A16D62">
        <w:rPr>
          <w:rFonts w:ascii="Cambria" w:eastAsia="Times New Roman" w:hAnsi="Cambria"/>
          <w:bCs/>
          <w:i/>
          <w:sz w:val="20"/>
          <w:szCs w:val="20"/>
          <w:bdr w:val="none" w:sz="0" w:space="0" w:color="auto"/>
          <w:lang w:val="es-ES"/>
        </w:rPr>
        <w:t>Hoffman</w:t>
      </w:r>
      <w:r w:rsidR="00DA60F8" w:rsidRPr="00A16D62">
        <w:rPr>
          <w:rFonts w:ascii="Cambria" w:eastAsia="Times New Roman" w:hAnsi="Cambria"/>
          <w:bCs/>
          <w:sz w:val="20"/>
          <w:szCs w:val="20"/>
          <w:bdr w:val="none" w:sz="0" w:space="0" w:color="auto"/>
          <w:lang w:val="es-ES"/>
        </w:rPr>
        <w:t>,</w:t>
      </w:r>
      <w:r w:rsidR="005C28E6" w:rsidRPr="00A16D62">
        <w:rPr>
          <w:rFonts w:ascii="Cambria" w:eastAsia="Times New Roman" w:hAnsi="Cambria"/>
          <w:bCs/>
          <w:sz w:val="20"/>
          <w:szCs w:val="20"/>
          <w:bdr w:val="none" w:sz="0" w:space="0" w:color="auto"/>
          <w:lang w:val="es-ES"/>
        </w:rPr>
        <w:t xml:space="preserve"> n</w:t>
      </w:r>
      <w:r w:rsidR="00E56BA9" w:rsidRPr="00A16D62">
        <w:rPr>
          <w:rFonts w:ascii="Cambria" w:eastAsia="Times New Roman" w:hAnsi="Cambria"/>
          <w:bCs/>
          <w:sz w:val="20"/>
          <w:szCs w:val="20"/>
          <w:bdr w:val="none" w:sz="0" w:space="0" w:color="auto"/>
          <w:lang w:val="es-ES"/>
        </w:rPr>
        <w:t>i a</w:t>
      </w:r>
      <w:r w:rsidR="007F4530" w:rsidRPr="00A16D62">
        <w:rPr>
          <w:rFonts w:ascii="Cambria" w:eastAsia="Times New Roman" w:hAnsi="Cambria"/>
          <w:bCs/>
          <w:sz w:val="20"/>
          <w:szCs w:val="20"/>
          <w:bdr w:val="none" w:sz="0" w:space="0" w:color="auto"/>
          <w:lang w:val="es-ES"/>
        </w:rPr>
        <w:t>l señor</w:t>
      </w:r>
      <w:r w:rsidR="005C28E6" w:rsidRPr="00A16D62">
        <w:rPr>
          <w:rFonts w:ascii="Cambria" w:eastAsia="Times New Roman" w:hAnsi="Cambria"/>
          <w:bCs/>
          <w:sz w:val="20"/>
          <w:szCs w:val="20"/>
          <w:bdr w:val="none" w:sz="0" w:space="0" w:color="auto"/>
          <w:lang w:val="es-ES"/>
        </w:rPr>
        <w:t xml:space="preserve"> Zumaya n</w:t>
      </w:r>
      <w:r w:rsidR="00E56BA9" w:rsidRPr="00A16D62">
        <w:rPr>
          <w:rFonts w:ascii="Cambria" w:eastAsia="Times New Roman" w:hAnsi="Cambria"/>
          <w:bCs/>
          <w:sz w:val="20"/>
          <w:szCs w:val="20"/>
          <w:bdr w:val="none" w:sz="0" w:space="0" w:color="auto"/>
          <w:lang w:val="es-ES"/>
        </w:rPr>
        <w:t>i a</w:t>
      </w:r>
      <w:r w:rsidR="007F4530" w:rsidRPr="00A16D62">
        <w:rPr>
          <w:rFonts w:ascii="Cambria" w:eastAsia="Times New Roman" w:hAnsi="Cambria"/>
          <w:bCs/>
          <w:sz w:val="20"/>
          <w:szCs w:val="20"/>
          <w:bdr w:val="none" w:sz="0" w:space="0" w:color="auto"/>
          <w:lang w:val="es-ES"/>
        </w:rPr>
        <w:t>l señor</w:t>
      </w:r>
      <w:r w:rsidR="005C28E6" w:rsidRPr="00A16D62">
        <w:rPr>
          <w:rFonts w:ascii="Cambria" w:eastAsia="Times New Roman" w:hAnsi="Cambria"/>
          <w:bCs/>
          <w:sz w:val="20"/>
          <w:szCs w:val="20"/>
          <w:bdr w:val="none" w:sz="0" w:space="0" w:color="auto"/>
          <w:lang w:val="es-ES"/>
        </w:rPr>
        <w:t xml:space="preserve"> Lizalde </w:t>
      </w:r>
      <w:r w:rsidR="00E56BA9" w:rsidRPr="00A16D62">
        <w:rPr>
          <w:rFonts w:ascii="Cambria" w:eastAsia="Times New Roman" w:hAnsi="Cambria"/>
          <w:bCs/>
          <w:sz w:val="20"/>
          <w:szCs w:val="20"/>
          <w:bdr w:val="none" w:sz="0" w:space="0" w:color="auto"/>
          <w:lang w:val="es-ES"/>
        </w:rPr>
        <w:t>les pagaron en su totalidad los gastos de atención</w:t>
      </w:r>
      <w:r w:rsidR="00256794" w:rsidRPr="00A16D62">
        <w:rPr>
          <w:rFonts w:ascii="Cambria" w:eastAsia="Times New Roman" w:hAnsi="Cambria"/>
          <w:bCs/>
          <w:sz w:val="20"/>
          <w:szCs w:val="20"/>
          <w:bdr w:val="none" w:sz="0" w:space="0" w:color="auto"/>
          <w:lang w:val="es-ES"/>
        </w:rPr>
        <w:t xml:space="preserve"> médica</w:t>
      </w:r>
      <w:r w:rsidR="00E56BA9" w:rsidRPr="00A16D62">
        <w:rPr>
          <w:rFonts w:ascii="Cambria" w:eastAsia="Times New Roman" w:hAnsi="Cambria"/>
          <w:bCs/>
          <w:sz w:val="20"/>
          <w:szCs w:val="20"/>
          <w:bdr w:val="none" w:sz="0" w:space="0" w:color="auto"/>
          <w:lang w:val="es-ES"/>
        </w:rPr>
        <w:t xml:space="preserve"> para las lesiones sufridas. Asimismo, el análisis precedente deja en claro que </w:t>
      </w:r>
      <w:r w:rsidR="00180125" w:rsidRPr="00A16D62">
        <w:rPr>
          <w:rFonts w:ascii="Cambria" w:eastAsia="Times New Roman" w:hAnsi="Cambria"/>
          <w:bCs/>
          <w:sz w:val="20"/>
          <w:szCs w:val="20"/>
          <w:bdr w:val="none" w:sz="0" w:space="0" w:color="auto"/>
          <w:lang w:val="es-ES"/>
        </w:rPr>
        <w:t>el Estado</w:t>
      </w:r>
      <w:r w:rsidR="00427AA4" w:rsidRPr="00A16D62">
        <w:rPr>
          <w:rFonts w:ascii="Cambria" w:eastAsia="Times New Roman" w:hAnsi="Cambria"/>
          <w:bCs/>
          <w:sz w:val="20"/>
          <w:szCs w:val="20"/>
          <w:bdr w:val="none" w:sz="0" w:space="0" w:color="auto"/>
          <w:lang w:val="es-ES"/>
        </w:rPr>
        <w:t xml:space="preserve"> s</w:t>
      </w:r>
      <w:r w:rsidR="00E56BA9" w:rsidRPr="00A16D62">
        <w:rPr>
          <w:rFonts w:ascii="Cambria" w:eastAsia="Times New Roman" w:hAnsi="Cambria"/>
          <w:bCs/>
          <w:sz w:val="20"/>
          <w:szCs w:val="20"/>
          <w:bdr w:val="none" w:sz="0" w:space="0" w:color="auto"/>
          <w:lang w:val="es-ES"/>
        </w:rPr>
        <w:t>ometió a ambas víctimas</w:t>
      </w:r>
      <w:r w:rsidR="00427AA4" w:rsidRPr="00A16D62">
        <w:rPr>
          <w:rFonts w:ascii="Cambria" w:eastAsia="Times New Roman" w:hAnsi="Cambria"/>
          <w:bCs/>
          <w:sz w:val="20"/>
          <w:szCs w:val="20"/>
          <w:bdr w:val="none" w:sz="0" w:space="0" w:color="auto"/>
          <w:lang w:val="es-ES"/>
        </w:rPr>
        <w:t xml:space="preserve">, </w:t>
      </w:r>
      <w:r w:rsidR="00E56BA9" w:rsidRPr="00A16D62">
        <w:rPr>
          <w:rFonts w:ascii="Cambria" w:eastAsia="Times New Roman" w:hAnsi="Cambria"/>
          <w:bCs/>
          <w:sz w:val="20"/>
          <w:szCs w:val="20"/>
          <w:bdr w:val="none" w:sz="0" w:space="0" w:color="auto"/>
          <w:lang w:val="es-ES"/>
        </w:rPr>
        <w:t xml:space="preserve">los </w:t>
      </w:r>
      <w:r w:rsidR="00F7719D" w:rsidRPr="00A16D62">
        <w:rPr>
          <w:rFonts w:ascii="Cambria" w:eastAsia="Times New Roman" w:hAnsi="Cambria"/>
          <w:bCs/>
          <w:sz w:val="20"/>
          <w:szCs w:val="20"/>
          <w:bdr w:val="none" w:sz="0" w:space="0" w:color="auto"/>
          <w:lang w:val="es-ES"/>
        </w:rPr>
        <w:t>señores Zumaya y Lizalde</w:t>
      </w:r>
      <w:r w:rsidR="00427AA4" w:rsidRPr="00A16D62">
        <w:rPr>
          <w:rFonts w:ascii="Cambria" w:eastAsia="Times New Roman" w:hAnsi="Cambria"/>
          <w:bCs/>
          <w:sz w:val="20"/>
          <w:szCs w:val="20"/>
          <w:bdr w:val="none" w:sz="0" w:space="0" w:color="auto"/>
          <w:lang w:val="es-ES"/>
        </w:rPr>
        <w:t xml:space="preserve">, </w:t>
      </w:r>
      <w:r w:rsidR="00E56BA9" w:rsidRPr="00A16D62">
        <w:rPr>
          <w:rFonts w:ascii="Cambria" w:eastAsia="Times New Roman" w:hAnsi="Cambria"/>
          <w:bCs/>
          <w:sz w:val="20"/>
          <w:szCs w:val="20"/>
          <w:bdr w:val="none" w:sz="0" w:space="0" w:color="auto"/>
          <w:lang w:val="es-ES"/>
        </w:rPr>
        <w:t xml:space="preserve">en calidad de no nacionales que no tenían autorización para trabajar, a un régimen jurídico en relación con sus procedimientos de </w:t>
      </w:r>
      <w:r w:rsidR="007B4310" w:rsidRPr="00A16D62">
        <w:rPr>
          <w:rFonts w:ascii="Cambria" w:eastAsia="Times New Roman" w:hAnsi="Cambria"/>
          <w:bCs/>
          <w:sz w:val="20"/>
          <w:szCs w:val="20"/>
          <w:bdr w:val="none" w:sz="0" w:space="0" w:color="auto"/>
          <w:lang w:val="es-ES"/>
        </w:rPr>
        <w:t>indemnización por accidentes de trabajo</w:t>
      </w:r>
      <w:r w:rsidR="00427AA4" w:rsidRPr="00A16D62">
        <w:rPr>
          <w:rFonts w:ascii="Cambria" w:eastAsia="Times New Roman" w:hAnsi="Cambria"/>
          <w:bCs/>
          <w:sz w:val="20"/>
          <w:szCs w:val="20"/>
          <w:bdr w:val="none" w:sz="0" w:space="0" w:color="auto"/>
          <w:lang w:val="es-ES"/>
        </w:rPr>
        <w:t xml:space="preserve"> </w:t>
      </w:r>
      <w:r w:rsidR="00E56BA9" w:rsidRPr="00A16D62">
        <w:rPr>
          <w:rFonts w:ascii="Cambria" w:eastAsia="Times New Roman" w:hAnsi="Cambria"/>
          <w:bCs/>
          <w:sz w:val="20"/>
          <w:szCs w:val="20"/>
          <w:bdr w:val="none" w:sz="0" w:space="0" w:color="auto"/>
          <w:lang w:val="es-ES"/>
        </w:rPr>
        <w:t xml:space="preserve">que es fundamentalmente diferente del régimen aplicable a otros </w:t>
      </w:r>
      <w:r w:rsidR="007B4310" w:rsidRPr="00A16D62">
        <w:rPr>
          <w:rFonts w:ascii="Cambria" w:eastAsia="Times New Roman" w:hAnsi="Cambria"/>
          <w:bCs/>
          <w:sz w:val="20"/>
          <w:szCs w:val="20"/>
          <w:bdr w:val="none" w:sz="0" w:space="0" w:color="auto"/>
          <w:lang w:val="es-ES"/>
        </w:rPr>
        <w:t>trabajadores</w:t>
      </w:r>
      <w:r w:rsidR="00E56BA9" w:rsidRPr="00A16D62">
        <w:rPr>
          <w:rFonts w:ascii="Cambria" w:eastAsia="Times New Roman" w:hAnsi="Cambria"/>
          <w:bCs/>
          <w:sz w:val="20"/>
          <w:szCs w:val="20"/>
          <w:bdr w:val="none" w:sz="0" w:space="0" w:color="auto"/>
          <w:lang w:val="es-ES"/>
        </w:rPr>
        <w:t xml:space="preserve"> nacionales o autorizados.</w:t>
      </w:r>
    </w:p>
    <w:p w:rsidR="00427AA4" w:rsidRPr="00A16D62" w:rsidRDefault="00427AA4" w:rsidP="00427AA4">
      <w:pPr>
        <w:pStyle w:val="ListParagraph"/>
        <w:rPr>
          <w:rFonts w:eastAsia="Times New Roman"/>
          <w:bCs/>
          <w:sz w:val="20"/>
          <w:szCs w:val="20"/>
          <w:bdr w:val="none" w:sz="0" w:space="0" w:color="auto"/>
          <w:lang w:val="es-ES"/>
        </w:rPr>
      </w:pPr>
    </w:p>
    <w:p w:rsidR="001643E0" w:rsidRPr="00A16D62" w:rsidRDefault="00610F61" w:rsidP="005C28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Por lo tanto, l</w:t>
      </w:r>
      <w:r w:rsidR="00180125" w:rsidRPr="00A16D62">
        <w:rPr>
          <w:rFonts w:ascii="Cambria" w:eastAsia="Times New Roman" w:hAnsi="Cambria"/>
          <w:bCs/>
          <w:sz w:val="20"/>
          <w:szCs w:val="20"/>
          <w:bdr w:val="none" w:sz="0" w:space="0" w:color="auto"/>
          <w:lang w:val="es-ES"/>
        </w:rPr>
        <w:t>a Comisión</w:t>
      </w:r>
      <w:r w:rsidR="001643E0" w:rsidRPr="00A16D62">
        <w:rPr>
          <w:rFonts w:ascii="Cambria" w:eastAsia="Times New Roman" w:hAnsi="Cambria"/>
          <w:bCs/>
          <w:sz w:val="20"/>
          <w:szCs w:val="20"/>
          <w:bdr w:val="none" w:sz="0" w:space="0" w:color="auto"/>
          <w:lang w:val="es-ES"/>
        </w:rPr>
        <w:t xml:space="preserve"> consider</w:t>
      </w:r>
      <w:r w:rsidRPr="00A16D62">
        <w:rPr>
          <w:rFonts w:ascii="Cambria" w:eastAsia="Times New Roman" w:hAnsi="Cambria"/>
          <w:bCs/>
          <w:sz w:val="20"/>
          <w:szCs w:val="20"/>
          <w:bdr w:val="none" w:sz="0" w:space="0" w:color="auto"/>
          <w:lang w:val="es-ES"/>
        </w:rPr>
        <w:t xml:space="preserve">a que </w:t>
      </w:r>
      <w:r w:rsidR="00180125" w:rsidRPr="00A16D62">
        <w:rPr>
          <w:rFonts w:ascii="Cambria" w:eastAsia="Times New Roman" w:hAnsi="Cambria"/>
          <w:bCs/>
          <w:sz w:val="20"/>
          <w:szCs w:val="20"/>
          <w:bdr w:val="none" w:sz="0" w:space="0" w:color="auto"/>
          <w:lang w:val="es-ES"/>
        </w:rPr>
        <w:t>el Estado</w:t>
      </w:r>
      <w:r w:rsidR="001643E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no ha asegurado que las protecciones para los trabajadores plasmadas en la ley</w:t>
      </w:r>
      <w:r w:rsidR="00467718" w:rsidRPr="00A16D62">
        <w:rPr>
          <w:rFonts w:ascii="Cambria" w:eastAsia="Times New Roman" w:hAnsi="Cambria"/>
          <w:bCs/>
          <w:sz w:val="20"/>
          <w:szCs w:val="20"/>
          <w:bdr w:val="none" w:sz="0" w:space="0" w:color="auto"/>
          <w:lang w:val="es-ES"/>
        </w:rPr>
        <w:t>, inclu</w:t>
      </w:r>
      <w:r w:rsidRPr="00A16D62">
        <w:rPr>
          <w:rFonts w:ascii="Cambria" w:eastAsia="Times New Roman" w:hAnsi="Cambria"/>
          <w:bCs/>
          <w:sz w:val="20"/>
          <w:szCs w:val="20"/>
          <w:bdr w:val="none" w:sz="0" w:space="0" w:color="auto"/>
          <w:lang w:val="es-ES"/>
        </w:rPr>
        <w:t>idos los recursos para las violaciones de los</w:t>
      </w:r>
      <w:r w:rsidR="001643E0"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derechos laborales</w:t>
      </w:r>
      <w:r w:rsidR="00467718" w:rsidRPr="00A16D62">
        <w:rPr>
          <w:rFonts w:ascii="Cambria" w:eastAsia="Times New Roman" w:hAnsi="Cambria"/>
          <w:bCs/>
          <w:sz w:val="20"/>
          <w:szCs w:val="20"/>
          <w:bdr w:val="none" w:sz="0" w:space="0" w:color="auto"/>
          <w:lang w:val="es-ES"/>
        </w:rPr>
        <w:t>,</w:t>
      </w:r>
      <w:r w:rsidR="001643E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se reconozcan y se apliquen a todos los trabajadores sin </w:t>
      </w:r>
      <w:r w:rsidR="00B8732F" w:rsidRPr="00A16D62">
        <w:rPr>
          <w:rFonts w:ascii="Cambria" w:eastAsia="Times New Roman" w:hAnsi="Cambria"/>
          <w:bCs/>
          <w:sz w:val="20"/>
          <w:szCs w:val="20"/>
          <w:bdr w:val="none" w:sz="0" w:space="0" w:color="auto"/>
          <w:lang w:val="es-ES"/>
        </w:rPr>
        <w:t>discriminación</w:t>
      </w:r>
      <w:r w:rsidR="00791126" w:rsidRPr="00A16D62">
        <w:rPr>
          <w:rFonts w:ascii="Cambria" w:eastAsia="Times New Roman" w:hAnsi="Cambria"/>
          <w:bCs/>
          <w:sz w:val="20"/>
          <w:szCs w:val="20"/>
          <w:bdr w:val="none" w:sz="0" w:space="0" w:color="auto"/>
          <w:lang w:val="es-ES"/>
        </w:rPr>
        <w:t>.</w:t>
      </w:r>
      <w:r w:rsidR="00D043B3"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427AA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reconoce que </w:t>
      </w:r>
      <w:r w:rsidR="00180125" w:rsidRPr="00A16D62">
        <w:rPr>
          <w:rFonts w:ascii="Cambria" w:eastAsia="Times New Roman" w:hAnsi="Cambria"/>
          <w:bCs/>
          <w:sz w:val="20"/>
          <w:szCs w:val="20"/>
          <w:bdr w:val="none" w:sz="0" w:space="0" w:color="auto"/>
          <w:lang w:val="es-ES"/>
        </w:rPr>
        <w:t>el Estado</w:t>
      </w:r>
      <w:r w:rsidR="00D043B3"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tiene la prerrogativa de enjuiciar a las personas que cometen fraudes relacionados con el seguro</w:t>
      </w:r>
      <w:r w:rsidR="00D043B3"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social</w:t>
      </w:r>
      <w:r w:rsidR="00427AA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pero recalca que esos juicios no guardan relación alguna con el derecho de un </w:t>
      </w:r>
      <w:r w:rsidR="00F7719D" w:rsidRPr="00A16D62">
        <w:rPr>
          <w:rFonts w:ascii="Cambria" w:eastAsia="Times New Roman" w:hAnsi="Cambria"/>
          <w:bCs/>
          <w:sz w:val="20"/>
          <w:szCs w:val="20"/>
          <w:bdr w:val="none" w:sz="0" w:space="0" w:color="auto"/>
          <w:lang w:val="es-ES"/>
        </w:rPr>
        <w:t>trabajador</w:t>
      </w:r>
      <w:r w:rsidR="00791126"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indocumentado lesionado, y no deben afectarlo de ninguna manera, a recibir </w:t>
      </w:r>
      <w:r w:rsidR="00593BF9" w:rsidRPr="00A16D62">
        <w:rPr>
          <w:rFonts w:ascii="Cambria" w:eastAsia="Times New Roman" w:hAnsi="Cambria"/>
          <w:bCs/>
          <w:sz w:val="20"/>
          <w:szCs w:val="20"/>
          <w:bdr w:val="none" w:sz="0" w:space="0" w:color="auto"/>
          <w:lang w:val="es-ES"/>
        </w:rPr>
        <w:t>derechos laborales</w:t>
      </w:r>
      <w:r w:rsidR="00030AE4" w:rsidRPr="00A16D62">
        <w:rPr>
          <w:rFonts w:ascii="Cambria" w:eastAsia="Times New Roman" w:hAnsi="Cambria"/>
          <w:bCs/>
          <w:sz w:val="20"/>
          <w:szCs w:val="20"/>
          <w:bdr w:val="none" w:sz="0" w:space="0" w:color="auto"/>
          <w:lang w:val="es-ES"/>
        </w:rPr>
        <w:t xml:space="preserve"> y gozar de ellos,</w:t>
      </w:r>
      <w:r w:rsidR="00791126" w:rsidRPr="00A16D62">
        <w:rPr>
          <w:rFonts w:ascii="Cambria" w:eastAsia="Times New Roman" w:hAnsi="Cambria"/>
          <w:bCs/>
          <w:sz w:val="20"/>
          <w:szCs w:val="20"/>
          <w:bdr w:val="none" w:sz="0" w:space="0" w:color="auto"/>
          <w:lang w:val="es-ES"/>
        </w:rPr>
        <w:t xml:space="preserve"> </w:t>
      </w:r>
      <w:r w:rsidR="00030AE4" w:rsidRPr="00A16D62">
        <w:rPr>
          <w:rFonts w:ascii="Cambria" w:eastAsia="Times New Roman" w:hAnsi="Cambria"/>
          <w:bCs/>
          <w:sz w:val="20"/>
          <w:szCs w:val="20"/>
          <w:bdr w:val="none" w:sz="0" w:space="0" w:color="auto"/>
          <w:lang w:val="es-ES"/>
        </w:rPr>
        <w:t xml:space="preserve">como la </w:t>
      </w:r>
      <w:r w:rsidR="007B4310" w:rsidRPr="00A16D62">
        <w:rPr>
          <w:rFonts w:ascii="Cambria" w:eastAsia="Times New Roman" w:hAnsi="Cambria"/>
          <w:bCs/>
          <w:sz w:val="20"/>
          <w:szCs w:val="20"/>
          <w:bdr w:val="none" w:sz="0" w:space="0" w:color="auto"/>
          <w:lang w:val="es-ES"/>
        </w:rPr>
        <w:t>indemnización por accidentes de trabajo</w:t>
      </w:r>
      <w:r w:rsidR="005206C4" w:rsidRPr="00A16D62">
        <w:rPr>
          <w:rFonts w:ascii="Cambria" w:eastAsia="Times New Roman" w:hAnsi="Cambria"/>
          <w:bCs/>
          <w:sz w:val="20"/>
          <w:szCs w:val="20"/>
          <w:bdr w:val="none" w:sz="0" w:space="0" w:color="auto"/>
          <w:lang w:val="es-ES"/>
        </w:rPr>
        <w:t xml:space="preserve">, </w:t>
      </w:r>
      <w:r w:rsidR="00030AE4" w:rsidRPr="00A16D62">
        <w:rPr>
          <w:rFonts w:ascii="Cambria" w:eastAsia="Times New Roman" w:hAnsi="Cambria"/>
          <w:bCs/>
          <w:sz w:val="20"/>
          <w:szCs w:val="20"/>
          <w:bdr w:val="none" w:sz="0" w:space="0" w:color="auto"/>
          <w:lang w:val="es-ES"/>
        </w:rPr>
        <w:t>una vez que la persona ha entablado una relación laboral en Estados Unidos.</w:t>
      </w:r>
    </w:p>
    <w:p w:rsidR="005C28E6" w:rsidRPr="00A16D62" w:rsidRDefault="005C28E6" w:rsidP="005206C4">
      <w:pPr>
        <w:rPr>
          <w:rFonts w:eastAsia="Times New Roman"/>
          <w:bCs/>
          <w:sz w:val="20"/>
          <w:szCs w:val="20"/>
          <w:bdr w:val="none" w:sz="0" w:space="0" w:color="auto"/>
          <w:lang w:val="es-ES"/>
        </w:rPr>
      </w:pPr>
    </w:p>
    <w:p w:rsidR="001145B8" w:rsidRPr="00A16D62" w:rsidRDefault="00030AE4" w:rsidP="0046771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En la opinión de </w:t>
      </w:r>
      <w:r w:rsidR="00180125" w:rsidRPr="00A16D62">
        <w:rPr>
          <w:rFonts w:ascii="Cambria" w:eastAsia="Times New Roman" w:hAnsi="Cambria"/>
          <w:bCs/>
          <w:sz w:val="20"/>
          <w:szCs w:val="20"/>
          <w:bdr w:val="none" w:sz="0" w:space="0" w:color="auto"/>
          <w:lang w:val="es-ES"/>
        </w:rPr>
        <w:t>la Comisión</w:t>
      </w:r>
      <w:r w:rsidRPr="00A16D62">
        <w:rPr>
          <w:rFonts w:ascii="Cambria" w:eastAsia="Times New Roman" w:hAnsi="Cambria"/>
          <w:bCs/>
          <w:sz w:val="20"/>
          <w:szCs w:val="20"/>
          <w:bdr w:val="none" w:sz="0" w:space="0" w:color="auto"/>
          <w:lang w:val="es-ES"/>
        </w:rPr>
        <w:t xml:space="preserve">, y sobre la base del expediente de este caso, </w:t>
      </w:r>
      <w:r w:rsidR="00180125" w:rsidRPr="00A16D62">
        <w:rPr>
          <w:rFonts w:ascii="Cambria" w:eastAsia="Times New Roman" w:hAnsi="Cambria"/>
          <w:bCs/>
          <w:sz w:val="20"/>
          <w:szCs w:val="20"/>
          <w:bdr w:val="none" w:sz="0" w:space="0" w:color="auto"/>
          <w:lang w:val="es-ES"/>
        </w:rPr>
        <w:t>el Estado</w:t>
      </w:r>
      <w:r w:rsidR="0054119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no ha mostrado que esta diferencia en el trato se base en una justificación objetiva y razonable y persiga un objetivo legítimo o que los medios sean razonables y proporcionales al fin buscado</w:t>
      </w:r>
      <w:r w:rsidR="00467718" w:rsidRPr="00A16D62">
        <w:rPr>
          <w:rStyle w:val="FootnoteReference"/>
          <w:rFonts w:ascii="Cambria" w:eastAsia="Times New Roman" w:hAnsi="Cambria"/>
          <w:bCs/>
          <w:sz w:val="20"/>
          <w:szCs w:val="20"/>
          <w:bdr w:val="none" w:sz="0" w:space="0" w:color="auto"/>
          <w:lang w:val="es-ES"/>
        </w:rPr>
        <w:footnoteReference w:id="112"/>
      </w:r>
      <w:r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F57FEB" w:rsidRPr="00A16D62">
        <w:rPr>
          <w:rFonts w:ascii="Cambria" w:eastAsia="Times New Roman" w:hAnsi="Cambria"/>
          <w:bCs/>
          <w:sz w:val="20"/>
          <w:szCs w:val="20"/>
          <w:bdr w:val="none" w:sz="0" w:space="0" w:color="auto"/>
          <w:lang w:val="es-ES"/>
        </w:rPr>
        <w:t xml:space="preserve"> ha</w:t>
      </w:r>
      <w:r w:rsidRPr="00A16D62">
        <w:rPr>
          <w:rFonts w:ascii="Cambria" w:eastAsia="Times New Roman" w:hAnsi="Cambria"/>
          <w:bCs/>
          <w:sz w:val="20"/>
          <w:szCs w:val="20"/>
          <w:bdr w:val="none" w:sz="0" w:space="0" w:color="auto"/>
          <w:lang w:val="es-ES"/>
        </w:rPr>
        <w:t xml:space="preserve"> descrito a grandes rasgos varios programas y mecanismos para proteger a los </w:t>
      </w:r>
      <w:r w:rsidR="007B4310" w:rsidRPr="00A16D62">
        <w:rPr>
          <w:rFonts w:ascii="Cambria" w:eastAsia="Times New Roman" w:hAnsi="Cambria"/>
          <w:bCs/>
          <w:sz w:val="20"/>
          <w:szCs w:val="20"/>
          <w:bdr w:val="none" w:sz="0" w:space="0" w:color="auto"/>
          <w:lang w:val="es-ES"/>
        </w:rPr>
        <w:t>trabajadores</w:t>
      </w:r>
      <w:r w:rsidR="00F57FE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sancionar a los empleadores que </w:t>
      </w:r>
      <w:r w:rsidRPr="00A16D62">
        <w:rPr>
          <w:rFonts w:ascii="Cambria" w:eastAsia="Times New Roman" w:hAnsi="Cambria"/>
          <w:bCs/>
          <w:sz w:val="20"/>
          <w:szCs w:val="20"/>
          <w:bdr w:val="none" w:sz="0" w:space="0" w:color="auto"/>
          <w:lang w:val="es-ES"/>
        </w:rPr>
        <w:lastRenderedPageBreak/>
        <w:t>infringen las leyes</w:t>
      </w:r>
      <w:r w:rsidR="00F57FEB" w:rsidRPr="00A16D62">
        <w:rPr>
          <w:rFonts w:ascii="Cambria" w:eastAsia="Times New Roman" w:hAnsi="Cambria"/>
          <w:bCs/>
          <w:sz w:val="20"/>
          <w:szCs w:val="20"/>
          <w:bdr w:val="none" w:sz="0" w:space="0" w:color="auto"/>
          <w:lang w:val="es-ES"/>
        </w:rPr>
        <w:t xml:space="preserve"> labor</w:t>
      </w:r>
      <w:r w:rsidRPr="00A16D62">
        <w:rPr>
          <w:rFonts w:ascii="Cambria" w:eastAsia="Times New Roman" w:hAnsi="Cambria"/>
          <w:bCs/>
          <w:sz w:val="20"/>
          <w:szCs w:val="20"/>
          <w:bdr w:val="none" w:sz="0" w:space="0" w:color="auto"/>
          <w:lang w:val="es-ES"/>
        </w:rPr>
        <w:t xml:space="preserve">ales. Sin embargo, </w:t>
      </w:r>
      <w:r w:rsidR="00180125" w:rsidRPr="00A16D62">
        <w:rPr>
          <w:rFonts w:ascii="Cambria" w:eastAsia="Times New Roman" w:hAnsi="Cambria"/>
          <w:bCs/>
          <w:sz w:val="20"/>
          <w:szCs w:val="20"/>
          <w:bdr w:val="none" w:sz="0" w:space="0" w:color="auto"/>
          <w:lang w:val="es-ES"/>
        </w:rPr>
        <w:t>el Estado</w:t>
      </w:r>
      <w:r w:rsidR="00C2363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no presenta ningún nexo concreto entre lo </w:t>
      </w:r>
      <w:r w:rsidR="00C2363D" w:rsidRPr="00A16D62">
        <w:rPr>
          <w:rFonts w:ascii="Cambria" w:eastAsia="Times New Roman" w:hAnsi="Cambria"/>
          <w:bCs/>
          <w:sz w:val="20"/>
          <w:szCs w:val="20"/>
          <w:bdr w:val="none" w:sz="0" w:space="0" w:color="auto"/>
          <w:lang w:val="es-ES"/>
        </w:rPr>
        <w:t xml:space="preserve">general </w:t>
      </w:r>
      <w:r w:rsidRPr="00A16D62">
        <w:rPr>
          <w:rFonts w:ascii="Cambria" w:eastAsia="Times New Roman" w:hAnsi="Cambria"/>
          <w:bCs/>
          <w:sz w:val="20"/>
          <w:szCs w:val="20"/>
          <w:bdr w:val="none" w:sz="0" w:space="0" w:color="auto"/>
          <w:lang w:val="es-ES"/>
        </w:rPr>
        <w:t>y lo específico; no ha demostrado que se hayan tomado medidas para asegurar la igualdad efectiva de los</w:t>
      </w:r>
      <w:r w:rsidR="004E1EA8" w:rsidRPr="00A16D62">
        <w:rPr>
          <w:rFonts w:ascii="Cambria" w:eastAsia="Times New Roman" w:hAnsi="Cambria"/>
          <w:bCs/>
          <w:sz w:val="20"/>
          <w:szCs w:val="20"/>
          <w:bdr w:val="none" w:sz="0" w:space="0" w:color="auto"/>
          <w:lang w:val="es-ES"/>
        </w:rPr>
        <w:t xml:space="preserve"> </w:t>
      </w:r>
      <w:r w:rsidR="00F7719D" w:rsidRPr="00A16D62">
        <w:rPr>
          <w:rFonts w:ascii="Cambria" w:eastAsia="Times New Roman" w:hAnsi="Cambria"/>
          <w:bCs/>
          <w:sz w:val="20"/>
          <w:szCs w:val="20"/>
          <w:bdr w:val="none" w:sz="0" w:space="0" w:color="auto"/>
          <w:lang w:val="es-ES"/>
        </w:rPr>
        <w:t>señores Zumaya y Lizalde</w:t>
      </w:r>
      <w:r w:rsidR="004E1EA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la obtención de una </w:t>
      </w:r>
      <w:r w:rsidR="007B4310" w:rsidRPr="00A16D62">
        <w:rPr>
          <w:rFonts w:ascii="Cambria" w:eastAsia="Times New Roman" w:hAnsi="Cambria"/>
          <w:bCs/>
          <w:sz w:val="20"/>
          <w:szCs w:val="20"/>
          <w:bdr w:val="none" w:sz="0" w:space="0" w:color="auto"/>
          <w:lang w:val="es-ES"/>
        </w:rPr>
        <w:t>indemnización por accidente de trabajo</w:t>
      </w:r>
      <w:r w:rsidR="00AF3A4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igual a la que reciben homólogos documentados en una situación </w:t>
      </w:r>
      <w:r w:rsidR="00C2363D" w:rsidRPr="00A16D62">
        <w:rPr>
          <w:rFonts w:ascii="Cambria" w:eastAsia="Times New Roman" w:hAnsi="Cambria"/>
          <w:bCs/>
          <w:sz w:val="20"/>
          <w:szCs w:val="20"/>
          <w:bdr w:val="none" w:sz="0" w:space="0" w:color="auto"/>
          <w:lang w:val="es-ES"/>
        </w:rPr>
        <w:t>similar</w:t>
      </w:r>
      <w:r w:rsidRPr="00A16D62">
        <w:rPr>
          <w:rFonts w:ascii="Cambria" w:eastAsia="Times New Roman" w:hAnsi="Cambria"/>
          <w:bCs/>
          <w:sz w:val="20"/>
          <w:szCs w:val="20"/>
          <w:bdr w:val="none" w:sz="0" w:space="0" w:color="auto"/>
          <w:lang w:val="es-ES"/>
        </w:rPr>
        <w:t xml:space="preserve"> o en el combate de las prácticas discriminatorias observadas.</w:t>
      </w:r>
    </w:p>
    <w:p w:rsidR="00553044" w:rsidRPr="00A16D62" w:rsidRDefault="00553044" w:rsidP="00553044">
      <w:pPr>
        <w:pStyle w:val="ListParagraph"/>
        <w:rPr>
          <w:rFonts w:eastAsia="Times New Roman"/>
          <w:bCs/>
          <w:color w:val="FF0000"/>
          <w:sz w:val="20"/>
          <w:szCs w:val="20"/>
          <w:bdr w:val="none" w:sz="0" w:space="0" w:color="auto"/>
          <w:lang w:val="es-ES"/>
        </w:rPr>
      </w:pPr>
    </w:p>
    <w:p w:rsidR="005C28E6" w:rsidRPr="00A16D62" w:rsidRDefault="00030AE4" w:rsidP="005C28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Sobre la base de lo que antecede,</w:t>
      </w:r>
      <w:r w:rsidR="00AF3A4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la Comisión considera que, al denegar a ambas víctimas acceso a recursos iguales a los que están al alcance de otros </w:t>
      </w:r>
      <w:r w:rsidR="007B4310" w:rsidRPr="00A16D62">
        <w:rPr>
          <w:rFonts w:ascii="Cambria" w:eastAsia="Times New Roman" w:hAnsi="Cambria"/>
          <w:bCs/>
          <w:sz w:val="20"/>
          <w:szCs w:val="20"/>
          <w:bdr w:val="none" w:sz="0" w:space="0" w:color="auto"/>
          <w:lang w:val="es-ES"/>
        </w:rPr>
        <w:t>trabajadores</w:t>
      </w:r>
      <w:r w:rsidRPr="00A16D62">
        <w:rPr>
          <w:rFonts w:ascii="Cambria" w:eastAsia="Times New Roman" w:hAnsi="Cambria"/>
          <w:bCs/>
          <w:sz w:val="20"/>
          <w:szCs w:val="20"/>
          <w:bdr w:val="none" w:sz="0" w:space="0" w:color="auto"/>
          <w:lang w:val="es-ES"/>
        </w:rPr>
        <w:t xml:space="preserve"> lesionados</w:t>
      </w:r>
      <w:r w:rsidR="00553044"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5C28E6"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les </w:t>
      </w:r>
      <w:r w:rsidR="005C28E6" w:rsidRPr="00A16D62">
        <w:rPr>
          <w:rFonts w:ascii="Cambria" w:eastAsia="Times New Roman" w:hAnsi="Cambria"/>
          <w:bCs/>
          <w:sz w:val="20"/>
          <w:szCs w:val="20"/>
          <w:bdr w:val="none" w:sz="0" w:space="0" w:color="auto"/>
          <w:lang w:val="es-ES"/>
        </w:rPr>
        <w:t>ha</w:t>
      </w:r>
      <w:r w:rsidRPr="00A16D62">
        <w:rPr>
          <w:rFonts w:ascii="Cambria" w:eastAsia="Times New Roman" w:hAnsi="Cambria"/>
          <w:bCs/>
          <w:sz w:val="20"/>
          <w:szCs w:val="20"/>
          <w:bdr w:val="none" w:sz="0" w:space="0" w:color="auto"/>
          <w:lang w:val="es-ES"/>
        </w:rPr>
        <w:t xml:space="preserve"> negado la protección de la igualdad ante la ley, en violación del </w:t>
      </w:r>
      <w:r w:rsidR="00811F92" w:rsidRPr="00A16D62">
        <w:rPr>
          <w:rFonts w:ascii="Cambria" w:eastAsia="Times New Roman" w:hAnsi="Cambria"/>
          <w:bCs/>
          <w:sz w:val="20"/>
          <w:szCs w:val="20"/>
          <w:bdr w:val="none" w:sz="0" w:space="0" w:color="auto"/>
          <w:lang w:val="es-ES"/>
        </w:rPr>
        <w:t>artículo</w:t>
      </w:r>
      <w:r w:rsidR="00553044" w:rsidRPr="00A16D62">
        <w:rPr>
          <w:rFonts w:ascii="Cambria" w:eastAsia="Times New Roman" w:hAnsi="Cambria"/>
          <w:bCs/>
          <w:sz w:val="20"/>
          <w:szCs w:val="20"/>
          <w:bdr w:val="none" w:sz="0" w:space="0" w:color="auto"/>
          <w:lang w:val="es-ES"/>
        </w:rPr>
        <w:t xml:space="preserve"> II </w:t>
      </w:r>
      <w:r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553044" w:rsidRPr="00A16D62">
        <w:rPr>
          <w:rFonts w:ascii="Cambria" w:eastAsia="Times New Roman" w:hAnsi="Cambria"/>
          <w:bCs/>
          <w:sz w:val="20"/>
          <w:szCs w:val="20"/>
          <w:bdr w:val="none" w:sz="0" w:space="0" w:color="auto"/>
          <w:lang w:val="es-ES"/>
        </w:rPr>
        <w:t xml:space="preserve">. </w:t>
      </w:r>
    </w:p>
    <w:p w:rsidR="00BD7E56" w:rsidRPr="00A16D62" w:rsidRDefault="00BD7E56" w:rsidP="00032C32">
      <w:pPr>
        <w:rPr>
          <w:rFonts w:eastAsia="Times New Roman"/>
          <w:bCs/>
          <w:color w:val="C00000"/>
          <w:sz w:val="20"/>
          <w:szCs w:val="20"/>
          <w:bdr w:val="none" w:sz="0" w:space="0" w:color="auto"/>
          <w:lang w:val="es-ES"/>
        </w:rPr>
      </w:pPr>
    </w:p>
    <w:p w:rsidR="005D4874" w:rsidRPr="00A16D62" w:rsidRDefault="007E4498" w:rsidP="00A76BB1">
      <w:pPr>
        <w:pStyle w:val="Heading2"/>
        <w:ind w:left="1440" w:hanging="720"/>
        <w:rPr>
          <w:lang w:val="es-ES"/>
        </w:rPr>
      </w:pPr>
      <w:bookmarkStart w:id="27" w:name="_Toc467138449"/>
      <w:r w:rsidRPr="00A16D62">
        <w:rPr>
          <w:lang w:val="es-ES"/>
        </w:rPr>
        <w:t>Derecho de reconocimiento de la personalidad jurídica y de los derechos civiles</w:t>
      </w:r>
      <w:r w:rsidR="005D4874" w:rsidRPr="00A16D62">
        <w:rPr>
          <w:lang w:val="es-ES"/>
        </w:rPr>
        <w:t xml:space="preserve"> </w:t>
      </w:r>
      <w:r w:rsidRPr="00A16D62">
        <w:rPr>
          <w:lang w:val="es-ES"/>
        </w:rPr>
        <w:t>y derecho de justicia</w:t>
      </w:r>
      <w:r w:rsidR="005D4874" w:rsidRPr="00A16D62">
        <w:rPr>
          <w:lang w:val="es-ES"/>
        </w:rPr>
        <w:t xml:space="preserve"> (</w:t>
      </w:r>
      <w:r w:rsidR="00811F92" w:rsidRPr="00A16D62">
        <w:rPr>
          <w:lang w:val="es-ES"/>
        </w:rPr>
        <w:t>artículo</w:t>
      </w:r>
      <w:r w:rsidR="005D4874" w:rsidRPr="00A16D62">
        <w:rPr>
          <w:lang w:val="es-ES"/>
        </w:rPr>
        <w:t xml:space="preserve">s XVII </w:t>
      </w:r>
      <w:r w:rsidRPr="00A16D62">
        <w:rPr>
          <w:lang w:val="es-ES"/>
        </w:rPr>
        <w:t>y</w:t>
      </w:r>
      <w:r w:rsidR="005D4874" w:rsidRPr="00A16D62">
        <w:rPr>
          <w:lang w:val="es-ES"/>
        </w:rPr>
        <w:t xml:space="preserve"> XVIII </w:t>
      </w:r>
      <w:r w:rsidRPr="00A16D62">
        <w:rPr>
          <w:lang w:val="es-ES"/>
        </w:rPr>
        <w:t xml:space="preserve">de la </w:t>
      </w:r>
      <w:r w:rsidR="00811F92" w:rsidRPr="00A16D62">
        <w:rPr>
          <w:lang w:val="es-ES"/>
        </w:rPr>
        <w:t>Declaración Americana</w:t>
      </w:r>
      <w:r w:rsidR="005D4874" w:rsidRPr="00A16D62">
        <w:rPr>
          <w:lang w:val="es-ES"/>
        </w:rPr>
        <w:t>)</w:t>
      </w:r>
      <w:bookmarkEnd w:id="27"/>
    </w:p>
    <w:p w:rsidR="005D4874" w:rsidRPr="00A16D62" w:rsidRDefault="005D4874" w:rsidP="00A76BB1">
      <w:pPr>
        <w:ind w:left="1440" w:hanging="720"/>
        <w:rPr>
          <w:rFonts w:eastAsia="Times New Roman"/>
          <w:bCs/>
          <w:color w:val="C00000"/>
          <w:sz w:val="20"/>
          <w:szCs w:val="20"/>
          <w:bdr w:val="none" w:sz="0" w:space="0" w:color="auto"/>
          <w:lang w:val="es-ES"/>
        </w:rPr>
      </w:pPr>
    </w:p>
    <w:p w:rsidR="005D4874" w:rsidRPr="00A16D62" w:rsidRDefault="007E4498" w:rsidP="005D487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Los </w:t>
      </w:r>
      <w:r w:rsidR="00811F92" w:rsidRPr="00A16D62">
        <w:rPr>
          <w:rFonts w:ascii="Cambria" w:eastAsia="Times New Roman" w:hAnsi="Cambria"/>
          <w:bCs/>
          <w:sz w:val="20"/>
          <w:szCs w:val="20"/>
          <w:bdr w:val="none" w:sz="0" w:space="0" w:color="auto"/>
          <w:lang w:val="es-ES"/>
        </w:rPr>
        <w:t>artículo</w:t>
      </w:r>
      <w:r w:rsidR="005D4874" w:rsidRPr="00A16D62">
        <w:rPr>
          <w:rFonts w:ascii="Cambria" w:eastAsia="Times New Roman" w:hAnsi="Cambria"/>
          <w:bCs/>
          <w:sz w:val="20"/>
          <w:szCs w:val="20"/>
          <w:bdr w:val="none" w:sz="0" w:space="0" w:color="auto"/>
          <w:lang w:val="es-ES"/>
        </w:rPr>
        <w:t xml:space="preserve">s XVII </w:t>
      </w:r>
      <w:r w:rsidRPr="00A16D62">
        <w:rPr>
          <w:rFonts w:ascii="Cambria" w:eastAsia="Times New Roman" w:hAnsi="Cambria"/>
          <w:bCs/>
          <w:sz w:val="20"/>
          <w:szCs w:val="20"/>
          <w:bdr w:val="none" w:sz="0" w:space="0" w:color="auto"/>
          <w:lang w:val="es-ES"/>
        </w:rPr>
        <w:t>y</w:t>
      </w:r>
      <w:r w:rsidR="005D4874" w:rsidRPr="00A16D62">
        <w:rPr>
          <w:rFonts w:ascii="Cambria" w:eastAsia="Times New Roman" w:hAnsi="Cambria"/>
          <w:bCs/>
          <w:sz w:val="20"/>
          <w:szCs w:val="20"/>
          <w:bdr w:val="none" w:sz="0" w:space="0" w:color="auto"/>
          <w:lang w:val="es-ES"/>
        </w:rPr>
        <w:t xml:space="preserve"> XVIII </w:t>
      </w:r>
      <w:r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5D4874"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disponen lo siguiente:</w:t>
      </w:r>
    </w:p>
    <w:p w:rsidR="005D4874" w:rsidRPr="00A16D62" w:rsidRDefault="005D4874" w:rsidP="005D48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720"/>
        <w:jc w:val="both"/>
        <w:rPr>
          <w:rFonts w:ascii="Cambria" w:eastAsia="Times New Roman" w:hAnsi="Cambria"/>
          <w:bCs/>
          <w:sz w:val="20"/>
          <w:szCs w:val="20"/>
          <w:bdr w:val="none" w:sz="0" w:space="0" w:color="auto"/>
          <w:lang w:val="es-ES"/>
        </w:rPr>
      </w:pPr>
    </w:p>
    <w:p w:rsidR="005D4874" w:rsidRPr="00A16D62" w:rsidRDefault="007E4498" w:rsidP="005D48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A</w:t>
      </w:r>
      <w:r w:rsidR="00811F92" w:rsidRPr="00A16D62">
        <w:rPr>
          <w:rFonts w:ascii="Cambria" w:eastAsia="Times New Roman" w:hAnsi="Cambria"/>
          <w:bCs/>
          <w:sz w:val="20"/>
          <w:szCs w:val="20"/>
          <w:bdr w:val="none" w:sz="0" w:space="0" w:color="auto"/>
          <w:lang w:val="es-ES"/>
        </w:rPr>
        <w:t>rtículo</w:t>
      </w:r>
      <w:r w:rsidR="005D4874" w:rsidRPr="00A16D62">
        <w:rPr>
          <w:rFonts w:ascii="Cambria" w:eastAsia="Times New Roman" w:hAnsi="Cambria"/>
          <w:bCs/>
          <w:sz w:val="20"/>
          <w:szCs w:val="20"/>
          <w:bdr w:val="none" w:sz="0" w:space="0" w:color="auto"/>
          <w:lang w:val="es-ES"/>
        </w:rPr>
        <w:t xml:space="preserve"> XVII. </w:t>
      </w:r>
      <w:r w:rsidRPr="00A16D62">
        <w:rPr>
          <w:rFonts w:ascii="Cambria" w:eastAsia="Times New Roman" w:hAnsi="Cambria"/>
          <w:bCs/>
          <w:sz w:val="20"/>
          <w:szCs w:val="20"/>
          <w:bdr w:val="none" w:sz="0" w:space="0" w:color="auto"/>
          <w:lang w:val="es-ES"/>
        </w:rPr>
        <w:t>Toda persona tiene derecho a que se le reconozca en cualquier parte como sujeto de derechos y obligaciones, y a gozar de los derechos civiles fundamentales</w:t>
      </w:r>
      <w:r w:rsidR="005D4874" w:rsidRPr="00A16D62">
        <w:rPr>
          <w:rFonts w:ascii="Cambria" w:eastAsia="Times New Roman" w:hAnsi="Cambria"/>
          <w:bCs/>
          <w:sz w:val="20"/>
          <w:szCs w:val="20"/>
          <w:bdr w:val="none" w:sz="0" w:space="0" w:color="auto"/>
          <w:lang w:val="es-ES"/>
        </w:rPr>
        <w:t>.</w:t>
      </w:r>
    </w:p>
    <w:p w:rsidR="005D4874" w:rsidRPr="00A16D62" w:rsidRDefault="005D4874" w:rsidP="005D48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lang w:val="es-ES"/>
        </w:rPr>
      </w:pPr>
    </w:p>
    <w:p w:rsidR="005D4874" w:rsidRPr="00A16D62" w:rsidRDefault="007E4498" w:rsidP="005D48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A</w:t>
      </w:r>
      <w:r w:rsidR="00811F92" w:rsidRPr="00A16D62">
        <w:rPr>
          <w:rFonts w:ascii="Cambria" w:eastAsia="Times New Roman" w:hAnsi="Cambria"/>
          <w:bCs/>
          <w:sz w:val="20"/>
          <w:szCs w:val="20"/>
          <w:bdr w:val="none" w:sz="0" w:space="0" w:color="auto"/>
          <w:lang w:val="es-ES"/>
        </w:rPr>
        <w:t>rtículo</w:t>
      </w:r>
      <w:r w:rsidR="005D4874" w:rsidRPr="00A16D62">
        <w:rPr>
          <w:rFonts w:ascii="Cambria" w:eastAsia="Times New Roman" w:hAnsi="Cambria"/>
          <w:bCs/>
          <w:sz w:val="20"/>
          <w:szCs w:val="20"/>
          <w:bdr w:val="none" w:sz="0" w:space="0" w:color="auto"/>
          <w:lang w:val="es-ES"/>
        </w:rPr>
        <w:t xml:space="preserve"> XVIII. </w:t>
      </w:r>
      <w:r w:rsidRPr="00A16D62">
        <w:rPr>
          <w:rFonts w:ascii="Cambria" w:eastAsia="Times New Roman" w:hAnsi="Cambria"/>
          <w:bCs/>
          <w:sz w:val="20"/>
          <w:szCs w:val="20"/>
          <w:bdr w:val="none" w:sz="0" w:space="0" w:color="auto"/>
          <w:lang w:val="es-E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r w:rsidR="005D4874" w:rsidRPr="00A16D62">
        <w:rPr>
          <w:rFonts w:ascii="Cambria" w:eastAsia="Times New Roman" w:hAnsi="Cambria"/>
          <w:bCs/>
          <w:sz w:val="20"/>
          <w:szCs w:val="20"/>
          <w:bdr w:val="none" w:sz="0" w:space="0" w:color="auto"/>
          <w:lang w:val="es-ES"/>
        </w:rPr>
        <w:t>.</w:t>
      </w:r>
    </w:p>
    <w:p w:rsidR="005D4874" w:rsidRPr="00A16D62" w:rsidRDefault="005D4874" w:rsidP="005D48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32681C" w:rsidRPr="00A16D62" w:rsidRDefault="001D23A5" w:rsidP="006C385C">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Con respecto al </w:t>
      </w:r>
      <w:r w:rsidR="007E4498" w:rsidRPr="00A16D62">
        <w:rPr>
          <w:rFonts w:ascii="Cambria" w:eastAsia="Times New Roman" w:hAnsi="Cambria"/>
          <w:bCs/>
          <w:sz w:val="20"/>
          <w:szCs w:val="20"/>
          <w:bdr w:val="none" w:sz="0" w:space="0" w:color="auto"/>
          <w:lang w:val="es-ES"/>
        </w:rPr>
        <w:t>derecho de reconocimiento de la personalidad jurídica y de los derechos civiles</w:t>
      </w:r>
      <w:r w:rsidR="0032681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consagrado e</w:t>
      </w:r>
      <w:r w:rsidR="0032681C" w:rsidRPr="00A16D62">
        <w:rPr>
          <w:rFonts w:ascii="Cambria" w:eastAsia="Times New Roman" w:hAnsi="Cambria"/>
          <w:bCs/>
          <w:sz w:val="20"/>
          <w:szCs w:val="20"/>
          <w:bdr w:val="none" w:sz="0" w:space="0" w:color="auto"/>
          <w:lang w:val="es-ES"/>
        </w:rPr>
        <w:t xml:space="preserve">n </w:t>
      </w:r>
      <w:r w:rsidRPr="00A16D62">
        <w:rPr>
          <w:rFonts w:ascii="Cambria" w:eastAsia="Times New Roman" w:hAnsi="Cambria"/>
          <w:bCs/>
          <w:sz w:val="20"/>
          <w:szCs w:val="20"/>
          <w:bdr w:val="none" w:sz="0" w:space="0" w:color="auto"/>
          <w:lang w:val="es-ES"/>
        </w:rPr>
        <w:t xml:space="preserve">el </w:t>
      </w:r>
      <w:r w:rsidR="00811F92" w:rsidRPr="00A16D62">
        <w:rPr>
          <w:rFonts w:ascii="Cambria" w:eastAsia="Times New Roman" w:hAnsi="Cambria"/>
          <w:bCs/>
          <w:sz w:val="20"/>
          <w:szCs w:val="20"/>
          <w:bdr w:val="none" w:sz="0" w:space="0" w:color="auto"/>
          <w:lang w:val="es-ES"/>
        </w:rPr>
        <w:t>artículo</w:t>
      </w:r>
      <w:r w:rsidR="0032681C" w:rsidRPr="00A16D62">
        <w:rPr>
          <w:rFonts w:ascii="Cambria" w:eastAsia="Times New Roman" w:hAnsi="Cambria"/>
          <w:bCs/>
          <w:sz w:val="20"/>
          <w:szCs w:val="20"/>
          <w:bdr w:val="none" w:sz="0" w:space="0" w:color="auto"/>
          <w:lang w:val="es-ES"/>
        </w:rPr>
        <w:t xml:space="preserve"> XVII </w:t>
      </w:r>
      <w:r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32681C"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32681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recalca que este derecho implica el reconocimiento de que toda persona tiene derechos y obligaciones basados en la sola condición de ser humano. Como tal, este derecho es un requisito o una condición esencial para el goce de todos los derechos e impone límites importantes a la acción del</w:t>
      </w:r>
      <w:r w:rsidR="00B73E46"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Estado</w:t>
      </w:r>
      <w:r w:rsidR="00CC087B" w:rsidRPr="00A16D62">
        <w:rPr>
          <w:rStyle w:val="FootnoteReference"/>
          <w:rFonts w:ascii="Cambria" w:eastAsia="Times New Roman" w:hAnsi="Cambria"/>
          <w:bCs/>
          <w:sz w:val="20"/>
          <w:szCs w:val="20"/>
          <w:bdr w:val="none" w:sz="0" w:space="0" w:color="auto"/>
          <w:lang w:val="es-ES"/>
        </w:rPr>
        <w:footnoteReference w:id="113"/>
      </w:r>
      <w:r w:rsidRPr="00A16D62">
        <w:rPr>
          <w:rFonts w:ascii="Cambria" w:eastAsia="Times New Roman" w:hAnsi="Cambria"/>
          <w:bCs/>
          <w:sz w:val="20"/>
          <w:szCs w:val="20"/>
          <w:bdr w:val="none" w:sz="0" w:space="0" w:color="auto"/>
          <w:lang w:val="es-ES"/>
        </w:rPr>
        <w:t>.</w:t>
      </w:r>
      <w:r w:rsidR="00B73E46"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B73E46" w:rsidRPr="00A16D62">
        <w:rPr>
          <w:rFonts w:ascii="Cambria" w:eastAsia="Times New Roman" w:hAnsi="Cambria"/>
          <w:bCs/>
          <w:sz w:val="20"/>
          <w:szCs w:val="20"/>
          <w:bdr w:val="none" w:sz="0" w:space="0" w:color="auto"/>
          <w:lang w:val="es-ES"/>
        </w:rPr>
        <w:t xml:space="preserve"> </w:t>
      </w:r>
      <w:r w:rsidR="001748F6" w:rsidRPr="00A16D62">
        <w:rPr>
          <w:rFonts w:ascii="Cambria" w:eastAsia="Times New Roman" w:hAnsi="Cambria"/>
          <w:bCs/>
          <w:sz w:val="20"/>
          <w:szCs w:val="20"/>
          <w:bdr w:val="none" w:sz="0" w:space="0" w:color="auto"/>
          <w:lang w:val="es-ES"/>
        </w:rPr>
        <w:t>observ</w:t>
      </w:r>
      <w:r w:rsidR="00712515" w:rsidRPr="00A16D62">
        <w:rPr>
          <w:rFonts w:ascii="Cambria" w:eastAsia="Times New Roman" w:hAnsi="Cambria"/>
          <w:bCs/>
          <w:sz w:val="20"/>
          <w:szCs w:val="20"/>
          <w:bdr w:val="none" w:sz="0" w:space="0" w:color="auto"/>
          <w:lang w:val="es-ES"/>
        </w:rPr>
        <w:t xml:space="preserve">a que no reconocer la personalidad jurídica perjudica la dignidad </w:t>
      </w:r>
      <w:r w:rsidR="00B73E46" w:rsidRPr="00A16D62">
        <w:rPr>
          <w:rFonts w:ascii="Cambria" w:eastAsia="Times New Roman" w:hAnsi="Cambria"/>
          <w:bCs/>
          <w:sz w:val="20"/>
          <w:szCs w:val="20"/>
          <w:bdr w:val="none" w:sz="0" w:space="0" w:color="auto"/>
          <w:lang w:val="es-ES"/>
        </w:rPr>
        <w:t>human</w:t>
      </w:r>
      <w:r w:rsidR="00712515" w:rsidRPr="00A16D62">
        <w:rPr>
          <w:rFonts w:ascii="Cambria" w:eastAsia="Times New Roman" w:hAnsi="Cambria"/>
          <w:bCs/>
          <w:sz w:val="20"/>
          <w:szCs w:val="20"/>
          <w:bdr w:val="none" w:sz="0" w:space="0" w:color="auto"/>
          <w:lang w:val="es-ES"/>
        </w:rPr>
        <w:t xml:space="preserve">a porque vuelve a la persona </w:t>
      </w:r>
      <w:r w:rsidR="001748F6" w:rsidRPr="00A16D62">
        <w:rPr>
          <w:rFonts w:ascii="Cambria" w:eastAsia="Times New Roman" w:hAnsi="Cambria"/>
          <w:bCs/>
          <w:sz w:val="20"/>
          <w:szCs w:val="20"/>
          <w:bdr w:val="none" w:sz="0" w:space="0" w:color="auto"/>
          <w:lang w:val="es-ES"/>
        </w:rPr>
        <w:t xml:space="preserve">vulnerable </w:t>
      </w:r>
      <w:r w:rsidR="00712515" w:rsidRPr="00A16D62">
        <w:rPr>
          <w:rFonts w:ascii="Cambria" w:eastAsia="Times New Roman" w:hAnsi="Cambria"/>
          <w:bCs/>
          <w:sz w:val="20"/>
          <w:szCs w:val="20"/>
          <w:bdr w:val="none" w:sz="0" w:space="0" w:color="auto"/>
          <w:lang w:val="es-ES"/>
        </w:rPr>
        <w:t xml:space="preserve">a la inobservancia de sus derechos por </w:t>
      </w:r>
      <w:r w:rsidR="00180125" w:rsidRPr="00A16D62">
        <w:rPr>
          <w:rFonts w:ascii="Cambria" w:eastAsia="Times New Roman" w:hAnsi="Cambria"/>
          <w:bCs/>
          <w:sz w:val="20"/>
          <w:szCs w:val="20"/>
          <w:bdr w:val="none" w:sz="0" w:space="0" w:color="auto"/>
          <w:lang w:val="es-ES"/>
        </w:rPr>
        <w:t>el Estado</w:t>
      </w:r>
      <w:r w:rsidR="001748F6" w:rsidRPr="00A16D62">
        <w:rPr>
          <w:rFonts w:ascii="Cambria" w:eastAsia="Times New Roman" w:hAnsi="Cambria"/>
          <w:bCs/>
          <w:sz w:val="20"/>
          <w:szCs w:val="20"/>
          <w:bdr w:val="none" w:sz="0" w:space="0" w:color="auto"/>
          <w:lang w:val="es-ES"/>
        </w:rPr>
        <w:t xml:space="preserve"> o</w:t>
      </w:r>
      <w:r w:rsidR="00712515" w:rsidRPr="00A16D62">
        <w:rPr>
          <w:rFonts w:ascii="Cambria" w:eastAsia="Times New Roman" w:hAnsi="Cambria"/>
          <w:bCs/>
          <w:sz w:val="20"/>
          <w:szCs w:val="20"/>
          <w:bdr w:val="none" w:sz="0" w:space="0" w:color="auto"/>
          <w:lang w:val="es-ES"/>
        </w:rPr>
        <w:t xml:space="preserve"> por otros</w:t>
      </w:r>
      <w:r w:rsidR="001748F6" w:rsidRPr="00A16D62">
        <w:rPr>
          <w:rStyle w:val="FootnoteReference"/>
          <w:rFonts w:ascii="Cambria" w:eastAsia="Times New Roman" w:hAnsi="Cambria"/>
          <w:bCs/>
          <w:sz w:val="20"/>
          <w:szCs w:val="20"/>
          <w:bdr w:val="none" w:sz="0" w:space="0" w:color="auto"/>
          <w:lang w:val="es-ES"/>
        </w:rPr>
        <w:footnoteReference w:id="114"/>
      </w:r>
      <w:r w:rsidR="00712515" w:rsidRPr="00A16D62">
        <w:rPr>
          <w:rFonts w:ascii="Cambria" w:eastAsia="Times New Roman" w:hAnsi="Cambria"/>
          <w:bCs/>
          <w:sz w:val="20"/>
          <w:szCs w:val="20"/>
          <w:bdr w:val="none" w:sz="0" w:space="0" w:color="auto"/>
          <w:lang w:val="es-ES"/>
        </w:rPr>
        <w:t>.</w:t>
      </w:r>
    </w:p>
    <w:p w:rsidR="00B73E46" w:rsidRPr="00A16D62" w:rsidRDefault="00B73E46" w:rsidP="00B73E46">
      <w:pPr>
        <w:pStyle w:val="ListParagraph"/>
        <w:rPr>
          <w:rFonts w:eastAsia="Times New Roman"/>
          <w:bCs/>
          <w:sz w:val="20"/>
          <w:szCs w:val="20"/>
          <w:bdr w:val="none" w:sz="0" w:space="0" w:color="auto"/>
          <w:lang w:val="es-ES"/>
        </w:rPr>
      </w:pPr>
    </w:p>
    <w:p w:rsidR="00AF6703" w:rsidRPr="00A16D62" w:rsidRDefault="00180125" w:rsidP="0032681C">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A16D62">
        <w:rPr>
          <w:rFonts w:ascii="Cambria" w:eastAsia="Times New Roman" w:hAnsi="Cambria"/>
          <w:bCs/>
          <w:sz w:val="20"/>
          <w:szCs w:val="20"/>
          <w:bdr w:val="none" w:sz="0" w:space="0" w:color="auto"/>
          <w:lang w:val="es-ES"/>
        </w:rPr>
        <w:t>La Comisión</w:t>
      </w:r>
      <w:r w:rsidR="008A20BD" w:rsidRPr="00A16D62">
        <w:rPr>
          <w:rFonts w:ascii="Cambria" w:eastAsia="Times New Roman" w:hAnsi="Cambria"/>
          <w:bCs/>
          <w:sz w:val="20"/>
          <w:szCs w:val="20"/>
          <w:bdr w:val="none" w:sz="0" w:space="0" w:color="auto"/>
          <w:lang w:val="es-ES"/>
        </w:rPr>
        <w:t xml:space="preserve"> </w:t>
      </w:r>
      <w:r w:rsidR="00712515" w:rsidRPr="00A16D62">
        <w:rPr>
          <w:rFonts w:ascii="Cambria" w:eastAsia="Times New Roman" w:hAnsi="Cambria"/>
          <w:bCs/>
          <w:sz w:val="20"/>
          <w:szCs w:val="20"/>
          <w:bdr w:val="none" w:sz="0" w:space="0" w:color="auto"/>
          <w:lang w:val="es-ES"/>
        </w:rPr>
        <w:t xml:space="preserve">destaca que la </w:t>
      </w:r>
      <w:r w:rsidR="00811F92" w:rsidRPr="00A16D62">
        <w:rPr>
          <w:rFonts w:ascii="Cambria" w:eastAsia="Times New Roman" w:hAnsi="Cambria"/>
          <w:bCs/>
          <w:sz w:val="20"/>
          <w:szCs w:val="20"/>
          <w:bdr w:val="none" w:sz="0" w:space="0" w:color="auto"/>
          <w:lang w:val="es-ES"/>
        </w:rPr>
        <w:t>Declaración Americana</w:t>
      </w:r>
      <w:r w:rsidR="008A20BD" w:rsidRPr="00A16D62">
        <w:rPr>
          <w:rFonts w:ascii="Cambria" w:eastAsia="Times New Roman" w:hAnsi="Cambria"/>
          <w:bCs/>
          <w:sz w:val="20"/>
          <w:szCs w:val="20"/>
          <w:bdr w:val="none" w:sz="0" w:space="0" w:color="auto"/>
          <w:lang w:val="es-ES"/>
        </w:rPr>
        <w:t xml:space="preserve">, </w:t>
      </w:r>
      <w:r w:rsidR="00712515" w:rsidRPr="00A16D62">
        <w:rPr>
          <w:rFonts w:ascii="Cambria" w:eastAsia="Times New Roman" w:hAnsi="Cambria"/>
          <w:bCs/>
          <w:sz w:val="20"/>
          <w:szCs w:val="20"/>
          <w:bdr w:val="none" w:sz="0" w:space="0" w:color="auto"/>
          <w:lang w:val="es-ES"/>
        </w:rPr>
        <w:t>a diferencia de otros instrumentos internacionales</w:t>
      </w:r>
      <w:r w:rsidR="00B73E46" w:rsidRPr="00A16D62">
        <w:rPr>
          <w:rFonts w:ascii="Cambria" w:eastAsia="Times New Roman" w:hAnsi="Cambria"/>
          <w:bCs/>
          <w:sz w:val="20"/>
          <w:szCs w:val="20"/>
          <w:bdr w:val="none" w:sz="0" w:space="0" w:color="auto"/>
          <w:lang w:val="es-ES"/>
        </w:rPr>
        <w:t xml:space="preserve">, </w:t>
      </w:r>
      <w:r w:rsidR="00712515" w:rsidRPr="00A16D62">
        <w:rPr>
          <w:rFonts w:ascii="Cambria" w:eastAsia="Times New Roman" w:hAnsi="Cambria"/>
          <w:bCs/>
          <w:sz w:val="20"/>
          <w:szCs w:val="20"/>
          <w:bdr w:val="none" w:sz="0" w:space="0" w:color="auto"/>
          <w:lang w:val="es-ES"/>
        </w:rPr>
        <w:t xml:space="preserve">incluye específicamente en el </w:t>
      </w:r>
      <w:r w:rsidR="00811F92" w:rsidRPr="00A16D62">
        <w:rPr>
          <w:rFonts w:ascii="Cambria" w:eastAsia="Times New Roman" w:hAnsi="Cambria"/>
          <w:bCs/>
          <w:sz w:val="20"/>
          <w:szCs w:val="20"/>
          <w:bdr w:val="none" w:sz="0" w:space="0" w:color="auto"/>
          <w:lang w:val="es-ES"/>
        </w:rPr>
        <w:t>artículo</w:t>
      </w:r>
      <w:r w:rsidR="00245775" w:rsidRPr="00A16D62">
        <w:rPr>
          <w:rFonts w:ascii="Cambria" w:eastAsia="Times New Roman" w:hAnsi="Cambria"/>
          <w:bCs/>
          <w:sz w:val="20"/>
          <w:szCs w:val="20"/>
          <w:bdr w:val="none" w:sz="0" w:space="0" w:color="auto"/>
          <w:lang w:val="es-ES"/>
        </w:rPr>
        <w:t xml:space="preserve"> XVII </w:t>
      </w:r>
      <w:r w:rsidR="00071BF3" w:rsidRPr="00A16D62">
        <w:rPr>
          <w:rFonts w:ascii="Cambria" w:eastAsia="Times New Roman" w:hAnsi="Cambria"/>
          <w:bCs/>
          <w:sz w:val="20"/>
          <w:szCs w:val="20"/>
          <w:bdr w:val="none" w:sz="0" w:space="0" w:color="auto"/>
          <w:lang w:val="es-ES"/>
        </w:rPr>
        <w:t xml:space="preserve">el derecho </w:t>
      </w:r>
      <w:r w:rsidR="005A64AE" w:rsidRPr="00A16D62">
        <w:rPr>
          <w:rFonts w:ascii="Cambria" w:eastAsia="Times New Roman" w:hAnsi="Cambria"/>
          <w:bCs/>
          <w:sz w:val="20"/>
          <w:szCs w:val="20"/>
          <w:bdr w:val="none" w:sz="0" w:space="0" w:color="auto"/>
          <w:lang w:val="es-ES"/>
        </w:rPr>
        <w:t>a “gozar de los derechos civiles fundamentales”, uno de los cuales es el derecho a trabajar. En la Carta de la Organización de los Estados Americanos (en adelante la “Carta de la OEA” o la “Carta”</w:t>
      </w:r>
      <w:r w:rsidR="00B4625C" w:rsidRPr="00A16D62">
        <w:rPr>
          <w:rFonts w:ascii="Cambria" w:eastAsia="Times New Roman" w:hAnsi="Cambria"/>
          <w:bCs/>
          <w:sz w:val="20"/>
          <w:szCs w:val="20"/>
          <w:bdr w:val="none" w:sz="0" w:space="0" w:color="auto"/>
          <w:lang w:val="es-ES"/>
        </w:rPr>
        <w:t xml:space="preserve">) </w:t>
      </w:r>
      <w:r w:rsidR="005A64AE" w:rsidRPr="00A16D62">
        <w:rPr>
          <w:rFonts w:ascii="Cambria" w:eastAsia="Times New Roman" w:hAnsi="Cambria"/>
          <w:bCs/>
          <w:sz w:val="20"/>
          <w:szCs w:val="20"/>
          <w:bdr w:val="none" w:sz="0" w:space="0" w:color="auto"/>
          <w:lang w:val="es-ES"/>
        </w:rPr>
        <w:t xml:space="preserve">se estableció por primera vez este derecho en el </w:t>
      </w:r>
      <w:r w:rsidR="00811F92" w:rsidRPr="00A16D62">
        <w:rPr>
          <w:rFonts w:ascii="Cambria" w:eastAsia="Times New Roman" w:hAnsi="Cambria"/>
          <w:bCs/>
          <w:sz w:val="20"/>
          <w:szCs w:val="20"/>
          <w:bdr w:val="none" w:sz="0" w:space="0" w:color="auto"/>
          <w:lang w:val="es-ES"/>
        </w:rPr>
        <w:t>artículo</w:t>
      </w:r>
      <w:r w:rsidR="00B4625C" w:rsidRPr="00A16D62">
        <w:rPr>
          <w:rFonts w:ascii="Cambria" w:eastAsia="Times New Roman" w:hAnsi="Cambria"/>
          <w:bCs/>
          <w:sz w:val="20"/>
          <w:szCs w:val="20"/>
          <w:bdr w:val="none" w:sz="0" w:space="0" w:color="auto"/>
          <w:lang w:val="es-ES"/>
        </w:rPr>
        <w:t xml:space="preserve"> 45 (b), </w:t>
      </w:r>
      <w:r w:rsidR="005A64AE" w:rsidRPr="00A16D62">
        <w:rPr>
          <w:rFonts w:ascii="Cambria" w:eastAsia="Times New Roman" w:hAnsi="Cambria"/>
          <w:bCs/>
          <w:sz w:val="20"/>
          <w:szCs w:val="20"/>
          <w:bdr w:val="none" w:sz="0" w:space="0" w:color="auto"/>
          <w:lang w:val="es-ES"/>
        </w:rPr>
        <w:t>que dispone que</w:t>
      </w:r>
      <w:r w:rsidR="00B4625C" w:rsidRPr="00A16D62">
        <w:rPr>
          <w:rFonts w:ascii="Cambria" w:eastAsia="Times New Roman" w:hAnsi="Cambria"/>
          <w:bCs/>
          <w:sz w:val="20"/>
          <w:szCs w:val="20"/>
          <w:bdr w:val="none" w:sz="0" w:space="0" w:color="auto"/>
          <w:lang w:val="es-ES"/>
        </w:rPr>
        <w:t xml:space="preserve"> “[</w:t>
      </w:r>
      <w:r w:rsidR="005A64AE" w:rsidRPr="00A16D62">
        <w:rPr>
          <w:rFonts w:ascii="Cambria" w:eastAsia="Times New Roman" w:hAnsi="Cambria"/>
          <w:bCs/>
          <w:sz w:val="20"/>
          <w:szCs w:val="20"/>
          <w:bdr w:val="none" w:sz="0" w:space="0" w:color="auto"/>
          <w:lang w:val="es-ES"/>
        </w:rPr>
        <w:t>e</w:t>
      </w:r>
      <w:r w:rsidR="00B4625C" w:rsidRPr="00A16D62">
        <w:rPr>
          <w:rFonts w:ascii="Cambria" w:eastAsia="Times New Roman" w:hAnsi="Cambria"/>
          <w:bCs/>
          <w:sz w:val="20"/>
          <w:szCs w:val="20"/>
          <w:bdr w:val="none" w:sz="0" w:space="0" w:color="auto"/>
          <w:lang w:val="es-ES"/>
        </w:rPr>
        <w:t>]</w:t>
      </w:r>
      <w:r w:rsidR="005A64AE" w:rsidRPr="00A16D62">
        <w:rPr>
          <w:rFonts w:ascii="Cambria" w:eastAsia="Times New Roman" w:hAnsi="Cambria"/>
          <w:bCs/>
          <w:sz w:val="20"/>
          <w:szCs w:val="20"/>
          <w:bdr w:val="none" w:sz="0" w:space="0" w:color="auto"/>
          <w:lang w:val="es-ES"/>
        </w:rPr>
        <w:t>l trabajo es un derecho y un deber social</w:t>
      </w:r>
      <w:r w:rsidR="009C682E" w:rsidRPr="00A16D62">
        <w:rPr>
          <w:rFonts w:ascii="Cambria" w:eastAsia="Times New Roman" w:hAnsi="Cambria"/>
          <w:bCs/>
          <w:sz w:val="20"/>
          <w:szCs w:val="20"/>
          <w:bdr w:val="none" w:sz="0" w:space="0" w:color="auto"/>
          <w:lang w:val="es-ES"/>
        </w:rPr>
        <w:t>”</w:t>
      </w:r>
      <w:r w:rsidR="005A64AE" w:rsidRPr="00A16D62">
        <w:rPr>
          <w:rFonts w:ascii="Cambria" w:eastAsia="Times New Roman" w:hAnsi="Cambria"/>
          <w:bCs/>
          <w:sz w:val="20"/>
          <w:szCs w:val="20"/>
          <w:bdr w:val="none" w:sz="0" w:space="0" w:color="auto"/>
          <w:lang w:val="es-ES"/>
        </w:rPr>
        <w:t xml:space="preserve">. Asimismo, la Carta señala que este derecho debe observarse en </w:t>
      </w:r>
      <w:r w:rsidR="00AF6703" w:rsidRPr="00A16D62">
        <w:rPr>
          <w:rFonts w:ascii="Cambria" w:eastAsia="Times New Roman" w:hAnsi="Cambria"/>
          <w:bCs/>
          <w:sz w:val="20"/>
          <w:szCs w:val="20"/>
          <w:bdr w:val="none" w:sz="0" w:space="0" w:color="auto"/>
          <w:lang w:val="es-ES"/>
        </w:rPr>
        <w:t>“</w:t>
      </w:r>
      <w:r w:rsidR="005A64AE" w:rsidRPr="00A16D62">
        <w:rPr>
          <w:rFonts w:ascii="Cambria" w:eastAsia="Times New Roman" w:hAnsi="Cambria"/>
          <w:bCs/>
          <w:sz w:val="20"/>
          <w:szCs w:val="20"/>
          <w:bdr w:val="none" w:sz="0" w:space="0" w:color="auto"/>
          <w:lang w:val="es-ES"/>
        </w:rPr>
        <w:t>condiciones aceptables</w:t>
      </w:r>
      <w:r w:rsidR="00AF6703" w:rsidRPr="00A16D62">
        <w:rPr>
          <w:rFonts w:ascii="Cambria" w:eastAsia="Times New Roman" w:hAnsi="Cambria"/>
          <w:bCs/>
          <w:sz w:val="20"/>
          <w:szCs w:val="20"/>
          <w:bdr w:val="none" w:sz="0" w:space="0" w:color="auto"/>
          <w:lang w:val="es-ES"/>
        </w:rPr>
        <w:t>”</w:t>
      </w:r>
      <w:r w:rsidR="005A64AE" w:rsidRPr="00A16D62">
        <w:rPr>
          <w:rFonts w:ascii="Cambria" w:eastAsia="Times New Roman" w:hAnsi="Cambria"/>
          <w:bCs/>
          <w:sz w:val="20"/>
          <w:szCs w:val="20"/>
          <w:bdr w:val="none" w:sz="0" w:space="0" w:color="auto"/>
          <w:lang w:val="es-ES"/>
        </w:rPr>
        <w:t>, es decir, las que “aseguren la vida, la salud y un nivel económico decoroso para el trabajador y su familia, tanto en sus años de trabajo como en su vejez, o cuando cualquier circunstancia lo prive de la posibilidad de trabajar</w:t>
      </w:r>
      <w:r w:rsidR="005A12ED">
        <w:rPr>
          <w:rFonts w:ascii="Cambria" w:eastAsia="Times New Roman" w:hAnsi="Cambria"/>
          <w:bCs/>
          <w:sz w:val="20"/>
          <w:szCs w:val="20"/>
          <w:bdr w:val="none" w:sz="0" w:space="0" w:color="auto"/>
          <w:lang w:val="es-ES"/>
        </w:rPr>
        <w:t>”</w:t>
      </w:r>
      <w:r w:rsidR="00AF6703" w:rsidRPr="00A16D62">
        <w:rPr>
          <w:rStyle w:val="FootnoteReference"/>
          <w:rFonts w:ascii="Cambria" w:eastAsia="Times New Roman" w:hAnsi="Cambria"/>
          <w:bCs/>
          <w:sz w:val="20"/>
          <w:szCs w:val="20"/>
          <w:bdr w:val="none" w:sz="0" w:space="0" w:color="auto"/>
          <w:lang w:val="es-ES"/>
        </w:rPr>
        <w:footnoteReference w:id="115"/>
      </w:r>
      <w:r w:rsidR="005A64AE" w:rsidRPr="00A16D62">
        <w:rPr>
          <w:rFonts w:ascii="Cambria" w:eastAsia="Times New Roman" w:hAnsi="Cambria"/>
          <w:bCs/>
          <w:sz w:val="20"/>
          <w:szCs w:val="20"/>
          <w:bdr w:val="none" w:sz="0" w:space="0" w:color="auto"/>
          <w:lang w:val="es-ES"/>
        </w:rPr>
        <w:t xml:space="preserve">. </w:t>
      </w:r>
    </w:p>
    <w:p w:rsidR="00AF6703" w:rsidRPr="00A16D62" w:rsidRDefault="00AF6703" w:rsidP="00AF6703">
      <w:pPr>
        <w:pStyle w:val="ListParagraph"/>
        <w:rPr>
          <w:rFonts w:eastAsia="Times New Roman"/>
          <w:bCs/>
          <w:sz w:val="20"/>
          <w:szCs w:val="20"/>
          <w:bdr w:val="none" w:sz="0" w:space="0" w:color="auto"/>
          <w:lang w:val="es-ES"/>
        </w:rPr>
      </w:pPr>
    </w:p>
    <w:p w:rsidR="009D5A67" w:rsidRPr="00A16D62" w:rsidRDefault="00F05BED" w:rsidP="0032681C">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En el caso de autos, </w:t>
      </w:r>
      <w:r w:rsidR="00180125" w:rsidRPr="00A16D62">
        <w:rPr>
          <w:rFonts w:ascii="Cambria" w:eastAsia="Times New Roman" w:hAnsi="Cambria"/>
          <w:bCs/>
          <w:sz w:val="20"/>
          <w:szCs w:val="20"/>
          <w:bdr w:val="none" w:sz="0" w:space="0" w:color="auto"/>
          <w:lang w:val="es-ES"/>
        </w:rPr>
        <w:t>la Comisión</w:t>
      </w:r>
      <w:r w:rsidR="00DE61F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observa que los programas de </w:t>
      </w:r>
      <w:r w:rsidR="007B4310" w:rsidRPr="00A16D62">
        <w:rPr>
          <w:rFonts w:ascii="Cambria" w:eastAsia="Times New Roman" w:hAnsi="Cambria"/>
          <w:bCs/>
          <w:sz w:val="20"/>
          <w:szCs w:val="20"/>
          <w:bdr w:val="none" w:sz="0" w:space="0" w:color="auto"/>
          <w:lang w:val="es-ES"/>
        </w:rPr>
        <w:t>indemnización por accidentes de trabajo</w:t>
      </w:r>
      <w:r w:rsidR="0072535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y las prestaciones que se proveen por medio de ellos se encuadran plenamente en el</w:t>
      </w:r>
      <w:r w:rsidR="0072535D" w:rsidRPr="00A16D62">
        <w:rPr>
          <w:rFonts w:ascii="Cambria" w:eastAsia="Times New Roman" w:hAnsi="Cambria"/>
          <w:bCs/>
          <w:sz w:val="20"/>
          <w:szCs w:val="20"/>
          <w:bdr w:val="none" w:sz="0" w:space="0" w:color="auto"/>
          <w:lang w:val="es-ES"/>
        </w:rPr>
        <w:t xml:space="preserve"> concept</w:t>
      </w:r>
      <w:r w:rsidRPr="00A16D62">
        <w:rPr>
          <w:rFonts w:ascii="Cambria" w:eastAsia="Times New Roman" w:hAnsi="Cambria"/>
          <w:bCs/>
          <w:sz w:val="20"/>
          <w:szCs w:val="20"/>
          <w:bdr w:val="none" w:sz="0" w:space="0" w:color="auto"/>
          <w:lang w:val="es-ES"/>
        </w:rPr>
        <w:t xml:space="preserve">o de </w:t>
      </w:r>
      <w:r w:rsidR="0072535D" w:rsidRPr="00A16D62">
        <w:rPr>
          <w:rFonts w:ascii="Cambria" w:eastAsia="Times New Roman" w:hAnsi="Cambria"/>
          <w:bCs/>
          <w:sz w:val="20"/>
          <w:szCs w:val="20"/>
          <w:bdr w:val="none" w:sz="0" w:space="0" w:color="auto"/>
          <w:lang w:val="es-ES"/>
        </w:rPr>
        <w:t>“</w:t>
      </w:r>
      <w:r w:rsidR="005A64AE" w:rsidRPr="00A16D62">
        <w:rPr>
          <w:rFonts w:ascii="Cambria" w:eastAsia="Times New Roman" w:hAnsi="Cambria"/>
          <w:bCs/>
          <w:sz w:val="20"/>
          <w:szCs w:val="20"/>
          <w:bdr w:val="none" w:sz="0" w:space="0" w:color="auto"/>
          <w:lang w:val="es-ES"/>
        </w:rPr>
        <w:t>condiciones aceptables</w:t>
      </w:r>
      <w:r w:rsidR="0072535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prescrito en la Carta de la OEA</w:t>
      </w:r>
      <w:r w:rsidR="0072535D"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Los pagos de gastos de atención médica por lesiones sufridas en el trabajo y los pagos por discapacidad, entre otros, son justamente los tipos de condiciones que aseguran la vida, la salud y un nivel económico decoroso cuando una circunstancia tal como </w:t>
      </w:r>
      <w:r w:rsidRPr="00A16D62">
        <w:rPr>
          <w:rFonts w:ascii="Cambria" w:eastAsia="Times New Roman" w:hAnsi="Cambria"/>
          <w:bCs/>
          <w:sz w:val="20"/>
          <w:szCs w:val="20"/>
          <w:bdr w:val="none" w:sz="0" w:space="0" w:color="auto"/>
          <w:lang w:val="es-ES"/>
        </w:rPr>
        <w:lastRenderedPageBreak/>
        <w:t xml:space="preserve">un accidente priva al </w:t>
      </w:r>
      <w:r w:rsidR="00F7719D" w:rsidRPr="00A16D62">
        <w:rPr>
          <w:rFonts w:ascii="Cambria" w:eastAsia="Times New Roman" w:hAnsi="Cambria"/>
          <w:bCs/>
          <w:sz w:val="20"/>
          <w:szCs w:val="20"/>
          <w:bdr w:val="none" w:sz="0" w:space="0" w:color="auto"/>
          <w:lang w:val="es-ES"/>
        </w:rPr>
        <w:t>trabajador</w:t>
      </w:r>
      <w:r w:rsidR="00973E5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 la posibilidad de trabajar. Además, no corregir el agravio con una reparación correcta o proporcional </w:t>
      </w:r>
      <w:r w:rsidR="00F27C80" w:rsidRPr="00A16D62">
        <w:rPr>
          <w:rFonts w:ascii="Cambria" w:eastAsia="Times New Roman" w:hAnsi="Cambria"/>
          <w:bCs/>
          <w:sz w:val="20"/>
          <w:szCs w:val="20"/>
          <w:bdr w:val="none" w:sz="0" w:space="0" w:color="auto"/>
          <w:lang w:val="es-ES"/>
        </w:rPr>
        <w:t xml:space="preserve">en el caso de estos </w:t>
      </w:r>
      <w:r w:rsidR="00C038BF" w:rsidRPr="00A16D62">
        <w:rPr>
          <w:rFonts w:ascii="Cambria" w:eastAsia="Times New Roman" w:hAnsi="Cambria"/>
          <w:bCs/>
          <w:sz w:val="20"/>
          <w:szCs w:val="20"/>
          <w:bdr w:val="none" w:sz="0" w:space="0" w:color="auto"/>
          <w:lang w:val="es-ES"/>
        </w:rPr>
        <w:t>trabajadores indocumentados</w:t>
      </w:r>
      <w:r w:rsidR="007A1C55" w:rsidRPr="00A16D62">
        <w:rPr>
          <w:rFonts w:ascii="Cambria" w:eastAsia="Times New Roman" w:hAnsi="Cambria"/>
          <w:bCs/>
          <w:sz w:val="20"/>
          <w:szCs w:val="20"/>
          <w:bdr w:val="none" w:sz="0" w:space="0" w:color="auto"/>
          <w:lang w:val="es-ES"/>
        </w:rPr>
        <w:t xml:space="preserve"> constitu</w:t>
      </w:r>
      <w:r w:rsidR="00F27C80" w:rsidRPr="00A16D62">
        <w:rPr>
          <w:rFonts w:ascii="Cambria" w:eastAsia="Times New Roman" w:hAnsi="Cambria"/>
          <w:bCs/>
          <w:sz w:val="20"/>
          <w:szCs w:val="20"/>
          <w:bdr w:val="none" w:sz="0" w:space="0" w:color="auto"/>
          <w:lang w:val="es-ES"/>
        </w:rPr>
        <w:t xml:space="preserve">ye una falta de reconocimiento impermisible de su personalidad jurídica. En efecto, este desconocimiento crea un </w:t>
      </w:r>
      <w:r w:rsidR="007A1C55" w:rsidRPr="00A16D62">
        <w:rPr>
          <w:rFonts w:ascii="Cambria" w:eastAsia="Times New Roman" w:hAnsi="Cambria"/>
          <w:bCs/>
          <w:sz w:val="20"/>
          <w:szCs w:val="20"/>
          <w:bdr w:val="none" w:sz="0" w:space="0" w:color="auto"/>
          <w:lang w:val="es-ES"/>
        </w:rPr>
        <w:t xml:space="preserve">limbo </w:t>
      </w:r>
      <w:r w:rsidR="00F27C80" w:rsidRPr="00A16D62">
        <w:rPr>
          <w:rFonts w:ascii="Cambria" w:eastAsia="Times New Roman" w:hAnsi="Cambria"/>
          <w:bCs/>
          <w:sz w:val="20"/>
          <w:szCs w:val="20"/>
          <w:bdr w:val="none" w:sz="0" w:space="0" w:color="auto"/>
          <w:lang w:val="es-ES"/>
        </w:rPr>
        <w:t>jurídico en el cual las violaciones cometidas en contra de ellos no se reconocen con arreglo a derecho</w:t>
      </w:r>
      <w:r w:rsidR="001567A7" w:rsidRPr="00A16D62">
        <w:rPr>
          <w:rFonts w:ascii="Cambria" w:eastAsia="Times New Roman" w:hAnsi="Cambria"/>
          <w:bCs/>
          <w:sz w:val="20"/>
          <w:szCs w:val="20"/>
          <w:bdr w:val="none" w:sz="0" w:space="0" w:color="auto"/>
          <w:lang w:val="es-ES"/>
        </w:rPr>
        <w:t xml:space="preserve">. </w:t>
      </w:r>
    </w:p>
    <w:p w:rsidR="009D5A67" w:rsidRPr="00A16D62" w:rsidRDefault="009D5A67" w:rsidP="009D5A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892571" w:rsidRPr="00A16D62" w:rsidRDefault="00194DCD" w:rsidP="00DE61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Bas</w:t>
      </w:r>
      <w:r w:rsidR="00D6790D" w:rsidRPr="00A16D62">
        <w:rPr>
          <w:rFonts w:ascii="Cambria" w:eastAsia="Times New Roman" w:hAnsi="Cambria"/>
          <w:bCs/>
          <w:sz w:val="20"/>
          <w:szCs w:val="20"/>
          <w:bdr w:val="none" w:sz="0" w:space="0" w:color="auto"/>
          <w:lang w:val="es-ES"/>
        </w:rPr>
        <w:t xml:space="preserve">ándose en un examen de las decisiones de </w:t>
      </w:r>
      <w:r w:rsidR="00F27C80" w:rsidRPr="00A16D62">
        <w:rPr>
          <w:rFonts w:ascii="Cambria" w:eastAsia="Times New Roman" w:hAnsi="Cambria"/>
          <w:bCs/>
          <w:sz w:val="20"/>
          <w:szCs w:val="20"/>
          <w:bdr w:val="none" w:sz="0" w:space="0" w:color="auto"/>
          <w:lang w:val="es-ES"/>
        </w:rPr>
        <w:t>esta Comisión</w:t>
      </w:r>
      <w:r w:rsidR="00D6790D" w:rsidRPr="00A16D62">
        <w:rPr>
          <w:rFonts w:ascii="Cambria" w:eastAsia="Times New Roman" w:hAnsi="Cambria"/>
          <w:bCs/>
          <w:sz w:val="20"/>
          <w:szCs w:val="20"/>
          <w:bdr w:val="none" w:sz="0" w:space="0" w:color="auto"/>
          <w:lang w:val="es-ES"/>
        </w:rPr>
        <w:t xml:space="preserve"> y los </w:t>
      </w:r>
      <w:r w:rsidR="00E86DEF" w:rsidRPr="00A16D62">
        <w:rPr>
          <w:rFonts w:ascii="Cambria" w:eastAsia="Times New Roman" w:hAnsi="Cambria"/>
          <w:bCs/>
          <w:sz w:val="20"/>
          <w:szCs w:val="20"/>
          <w:bdr w:val="none" w:sz="0" w:space="0" w:color="auto"/>
          <w:lang w:val="es-ES"/>
        </w:rPr>
        <w:t>principios</w:t>
      </w:r>
      <w:r w:rsidRPr="00A16D62">
        <w:rPr>
          <w:rFonts w:ascii="Cambria" w:eastAsia="Times New Roman" w:hAnsi="Cambria"/>
          <w:bCs/>
          <w:sz w:val="20"/>
          <w:szCs w:val="20"/>
          <w:bdr w:val="none" w:sz="0" w:space="0" w:color="auto"/>
          <w:lang w:val="es-ES"/>
        </w:rPr>
        <w:t xml:space="preserve"> </w:t>
      </w:r>
      <w:r w:rsidR="00D6790D" w:rsidRPr="00A16D62">
        <w:rPr>
          <w:rFonts w:ascii="Cambria" w:eastAsia="Times New Roman" w:hAnsi="Cambria"/>
          <w:bCs/>
          <w:sz w:val="20"/>
          <w:szCs w:val="20"/>
          <w:bdr w:val="none" w:sz="0" w:space="0" w:color="auto"/>
          <w:lang w:val="es-ES"/>
        </w:rPr>
        <w:t>del</w:t>
      </w:r>
      <w:r w:rsidRPr="00A16D62">
        <w:rPr>
          <w:rFonts w:ascii="Cambria" w:eastAsia="Times New Roman" w:hAnsi="Cambria"/>
          <w:bCs/>
          <w:sz w:val="20"/>
          <w:szCs w:val="20"/>
          <w:bdr w:val="none" w:sz="0" w:space="0" w:color="auto"/>
          <w:lang w:val="es-ES"/>
        </w:rPr>
        <w:t xml:space="preserve"> </w:t>
      </w:r>
      <w:r w:rsidR="00D6790D" w:rsidRPr="00A16D62">
        <w:rPr>
          <w:rFonts w:ascii="Cambria" w:eastAsia="Times New Roman" w:hAnsi="Cambria"/>
          <w:bCs/>
          <w:sz w:val="20"/>
          <w:szCs w:val="20"/>
          <w:bdr w:val="none" w:sz="0" w:space="0" w:color="auto"/>
          <w:lang w:val="es-ES"/>
        </w:rPr>
        <w:t>derecho internacional</w:t>
      </w:r>
      <w:r w:rsidRPr="00A16D62">
        <w:rPr>
          <w:rFonts w:ascii="Cambria" w:eastAsia="Times New Roman" w:hAnsi="Cambria"/>
          <w:bCs/>
          <w:sz w:val="20"/>
          <w:szCs w:val="20"/>
          <w:bdr w:val="none" w:sz="0" w:space="0" w:color="auto"/>
          <w:lang w:val="es-ES"/>
        </w:rPr>
        <w:t xml:space="preserve">, </w:t>
      </w:r>
      <w:r w:rsidR="001C1F5D" w:rsidRPr="00A16D62">
        <w:rPr>
          <w:rFonts w:ascii="Cambria" w:eastAsia="Times New Roman" w:hAnsi="Cambria"/>
          <w:bCs/>
          <w:sz w:val="20"/>
          <w:szCs w:val="20"/>
          <w:bdr w:val="none" w:sz="0" w:space="0" w:color="auto"/>
          <w:lang w:val="es-ES"/>
        </w:rPr>
        <w:t>la CIDH</w:t>
      </w:r>
      <w:r w:rsidRPr="00A16D62">
        <w:rPr>
          <w:rFonts w:ascii="Cambria" w:eastAsia="Times New Roman" w:hAnsi="Cambria"/>
          <w:bCs/>
          <w:sz w:val="20"/>
          <w:szCs w:val="20"/>
          <w:bdr w:val="none" w:sz="0" w:space="0" w:color="auto"/>
          <w:lang w:val="es-ES"/>
        </w:rPr>
        <w:t xml:space="preserve"> consider</w:t>
      </w:r>
      <w:r w:rsidR="00D6790D" w:rsidRPr="00A16D62">
        <w:rPr>
          <w:rFonts w:ascii="Cambria" w:eastAsia="Times New Roman" w:hAnsi="Cambria"/>
          <w:bCs/>
          <w:sz w:val="20"/>
          <w:szCs w:val="20"/>
          <w:bdr w:val="none" w:sz="0" w:space="0" w:color="auto"/>
          <w:lang w:val="es-ES"/>
        </w:rPr>
        <w:t xml:space="preserve">a que el Estado no debe negar a los </w:t>
      </w:r>
      <w:r w:rsidR="00C038BF" w:rsidRPr="00A16D62">
        <w:rPr>
          <w:rFonts w:ascii="Cambria" w:eastAsia="Times New Roman" w:hAnsi="Cambria"/>
          <w:bCs/>
          <w:sz w:val="20"/>
          <w:szCs w:val="20"/>
          <w:bdr w:val="none" w:sz="0" w:space="0" w:color="auto"/>
          <w:lang w:val="es-ES"/>
        </w:rPr>
        <w:t>trabajadores indocumentados</w:t>
      </w:r>
      <w:r w:rsidRPr="00A16D62">
        <w:rPr>
          <w:rFonts w:ascii="Cambria" w:eastAsia="Times New Roman" w:hAnsi="Cambria"/>
          <w:bCs/>
          <w:sz w:val="20"/>
          <w:szCs w:val="20"/>
          <w:bdr w:val="none" w:sz="0" w:space="0" w:color="auto"/>
          <w:lang w:val="es-ES"/>
        </w:rPr>
        <w:t xml:space="preserve"> </w:t>
      </w:r>
      <w:r w:rsidR="00D6790D" w:rsidRPr="00A16D62">
        <w:rPr>
          <w:rFonts w:ascii="Cambria" w:eastAsia="Times New Roman" w:hAnsi="Cambria"/>
          <w:bCs/>
          <w:sz w:val="20"/>
          <w:szCs w:val="20"/>
          <w:bdr w:val="none" w:sz="0" w:space="0" w:color="auto"/>
          <w:lang w:val="es-ES"/>
        </w:rPr>
        <w:t xml:space="preserve">la protección de sus </w:t>
      </w:r>
      <w:r w:rsidR="006F4DC1" w:rsidRPr="00A16D62">
        <w:rPr>
          <w:rFonts w:ascii="Cambria" w:eastAsia="Times New Roman" w:hAnsi="Cambria"/>
          <w:bCs/>
          <w:sz w:val="20"/>
          <w:szCs w:val="20"/>
          <w:bdr w:val="none" w:sz="0" w:space="0" w:color="auto"/>
          <w:lang w:val="es-ES"/>
        </w:rPr>
        <w:t>derechos humanos</w:t>
      </w:r>
      <w:r w:rsidRPr="00A16D62">
        <w:rPr>
          <w:rFonts w:ascii="Cambria" w:eastAsia="Times New Roman" w:hAnsi="Cambria"/>
          <w:bCs/>
          <w:sz w:val="20"/>
          <w:szCs w:val="20"/>
          <w:bdr w:val="none" w:sz="0" w:space="0" w:color="auto"/>
          <w:lang w:val="es-ES"/>
        </w:rPr>
        <w:t xml:space="preserve"> </w:t>
      </w:r>
      <w:r w:rsidR="00D6790D" w:rsidRPr="00A16D62">
        <w:rPr>
          <w:rFonts w:ascii="Cambria" w:eastAsia="Times New Roman" w:hAnsi="Cambria"/>
          <w:bCs/>
          <w:sz w:val="20"/>
          <w:szCs w:val="20"/>
          <w:bdr w:val="none" w:sz="0" w:space="0" w:color="auto"/>
          <w:lang w:val="es-ES"/>
        </w:rPr>
        <w:t xml:space="preserve">debido a infracciones de normas </w:t>
      </w:r>
      <w:r w:rsidR="00912083" w:rsidRPr="00A16D62">
        <w:rPr>
          <w:rFonts w:ascii="Cambria" w:eastAsia="Times New Roman" w:hAnsi="Cambria"/>
          <w:bCs/>
          <w:sz w:val="20"/>
          <w:szCs w:val="20"/>
          <w:bdr w:val="none" w:sz="0" w:space="0" w:color="auto"/>
          <w:lang w:val="es-ES"/>
        </w:rPr>
        <w:t>de inmigraciones. En otras palabras, no se deduce que una infracción de leyes internas</w:t>
      </w:r>
      <w:r w:rsidR="0095413A" w:rsidRPr="00A16D62">
        <w:rPr>
          <w:rFonts w:ascii="Cambria" w:eastAsia="Times New Roman" w:hAnsi="Cambria"/>
          <w:bCs/>
          <w:sz w:val="20"/>
          <w:szCs w:val="20"/>
          <w:bdr w:val="none" w:sz="0" w:space="0" w:color="auto"/>
          <w:lang w:val="es-ES"/>
        </w:rPr>
        <w:t xml:space="preserve"> (civil</w:t>
      </w:r>
      <w:r w:rsidR="00912083" w:rsidRPr="00A16D62">
        <w:rPr>
          <w:rFonts w:ascii="Cambria" w:eastAsia="Times New Roman" w:hAnsi="Cambria"/>
          <w:bCs/>
          <w:sz w:val="20"/>
          <w:szCs w:val="20"/>
          <w:bdr w:val="none" w:sz="0" w:space="0" w:color="auto"/>
          <w:lang w:val="es-ES"/>
        </w:rPr>
        <w:t>es</w:t>
      </w:r>
      <w:r w:rsidR="0095413A" w:rsidRPr="00A16D62">
        <w:rPr>
          <w:rFonts w:ascii="Cambria" w:eastAsia="Times New Roman" w:hAnsi="Cambria"/>
          <w:bCs/>
          <w:sz w:val="20"/>
          <w:szCs w:val="20"/>
          <w:bdr w:val="none" w:sz="0" w:space="0" w:color="auto"/>
          <w:lang w:val="es-ES"/>
        </w:rPr>
        <w:t xml:space="preserve">) </w:t>
      </w:r>
      <w:r w:rsidR="00912083" w:rsidRPr="00A16D62">
        <w:rPr>
          <w:rFonts w:ascii="Cambria" w:eastAsia="Times New Roman" w:hAnsi="Cambria"/>
          <w:bCs/>
          <w:sz w:val="20"/>
          <w:szCs w:val="20"/>
          <w:bdr w:val="none" w:sz="0" w:space="0" w:color="auto"/>
          <w:lang w:val="es-ES"/>
        </w:rPr>
        <w:t>en un campo pueda usarse para privar a la persona de la protección de sus derechos en otro campo</w:t>
      </w:r>
      <w:r w:rsidR="0095413A" w:rsidRPr="00A16D62">
        <w:rPr>
          <w:rFonts w:ascii="Cambria" w:eastAsia="Times New Roman" w:hAnsi="Cambria"/>
          <w:bCs/>
          <w:sz w:val="20"/>
          <w:szCs w:val="20"/>
          <w:bdr w:val="none" w:sz="0" w:space="0" w:color="auto"/>
          <w:lang w:val="es-ES"/>
        </w:rPr>
        <w:t xml:space="preserve">. </w:t>
      </w:r>
      <w:r w:rsidR="001C1F5D" w:rsidRPr="00A16D62">
        <w:rPr>
          <w:rFonts w:ascii="Cambria" w:eastAsia="Times New Roman" w:hAnsi="Cambria"/>
          <w:bCs/>
          <w:sz w:val="20"/>
          <w:szCs w:val="20"/>
          <w:bdr w:val="none" w:sz="0" w:space="0" w:color="auto"/>
          <w:lang w:val="es-ES"/>
        </w:rPr>
        <w:t>La CIDH</w:t>
      </w:r>
      <w:r w:rsidR="0095413A" w:rsidRPr="00A16D62">
        <w:rPr>
          <w:rFonts w:ascii="Cambria" w:eastAsia="Times New Roman" w:hAnsi="Cambria"/>
          <w:bCs/>
          <w:sz w:val="20"/>
          <w:szCs w:val="20"/>
          <w:bdr w:val="none" w:sz="0" w:space="0" w:color="auto"/>
          <w:lang w:val="es-ES"/>
        </w:rPr>
        <w:t xml:space="preserve"> </w:t>
      </w:r>
      <w:r w:rsidR="00912083" w:rsidRPr="00A16D62">
        <w:rPr>
          <w:rFonts w:ascii="Cambria" w:eastAsia="Times New Roman" w:hAnsi="Cambria"/>
          <w:bCs/>
          <w:sz w:val="20"/>
          <w:szCs w:val="20"/>
          <w:bdr w:val="none" w:sz="0" w:space="0" w:color="auto"/>
          <w:lang w:val="es-ES"/>
        </w:rPr>
        <w:t xml:space="preserve">recalca que una infracción de las leyes de inmigraciones de un </w:t>
      </w:r>
      <w:r w:rsidR="00180125" w:rsidRPr="00A16D62">
        <w:rPr>
          <w:rFonts w:ascii="Cambria" w:eastAsia="Times New Roman" w:hAnsi="Cambria"/>
          <w:bCs/>
          <w:sz w:val="20"/>
          <w:szCs w:val="20"/>
          <w:bdr w:val="none" w:sz="0" w:space="0" w:color="auto"/>
          <w:lang w:val="es-ES"/>
        </w:rPr>
        <w:t>Estado</w:t>
      </w:r>
      <w:r w:rsidR="00912083" w:rsidRPr="00A16D62">
        <w:rPr>
          <w:rFonts w:ascii="Cambria" w:eastAsia="Times New Roman" w:hAnsi="Cambria"/>
          <w:bCs/>
          <w:sz w:val="20"/>
          <w:szCs w:val="20"/>
          <w:bdr w:val="none" w:sz="0" w:space="0" w:color="auto"/>
          <w:lang w:val="es-ES"/>
        </w:rPr>
        <w:t xml:space="preserve"> no exime al </w:t>
      </w:r>
      <w:r w:rsidR="00180125" w:rsidRPr="00A16D62">
        <w:rPr>
          <w:rFonts w:ascii="Cambria" w:eastAsia="Times New Roman" w:hAnsi="Cambria"/>
          <w:bCs/>
          <w:sz w:val="20"/>
          <w:szCs w:val="20"/>
          <w:bdr w:val="none" w:sz="0" w:space="0" w:color="auto"/>
          <w:lang w:val="es-ES"/>
        </w:rPr>
        <w:t>Estado</w:t>
      </w:r>
      <w:r w:rsidRPr="00A16D62">
        <w:rPr>
          <w:rFonts w:ascii="Cambria" w:eastAsia="Times New Roman" w:hAnsi="Cambria"/>
          <w:bCs/>
          <w:sz w:val="20"/>
          <w:szCs w:val="20"/>
          <w:bdr w:val="none" w:sz="0" w:space="0" w:color="auto"/>
          <w:lang w:val="es-ES"/>
        </w:rPr>
        <w:t xml:space="preserve"> </w:t>
      </w:r>
      <w:r w:rsidR="00912083" w:rsidRPr="00A16D62">
        <w:rPr>
          <w:rFonts w:ascii="Cambria" w:eastAsia="Times New Roman" w:hAnsi="Cambria"/>
          <w:bCs/>
          <w:sz w:val="20"/>
          <w:szCs w:val="20"/>
          <w:bdr w:val="none" w:sz="0" w:space="0" w:color="auto"/>
          <w:lang w:val="es-ES"/>
        </w:rPr>
        <w:t xml:space="preserve">del cumplimiento de la obligación que le impone tanto el derecho interno como el </w:t>
      </w:r>
      <w:r w:rsidR="00D6790D" w:rsidRPr="00A16D62">
        <w:rPr>
          <w:rFonts w:ascii="Cambria" w:eastAsia="Times New Roman" w:hAnsi="Cambria"/>
          <w:bCs/>
          <w:sz w:val="20"/>
          <w:szCs w:val="20"/>
          <w:bdr w:val="none" w:sz="0" w:space="0" w:color="auto"/>
          <w:lang w:val="es-ES"/>
        </w:rPr>
        <w:t>derecho internacional</w:t>
      </w:r>
      <w:r w:rsidR="0095413A" w:rsidRPr="00A16D62">
        <w:rPr>
          <w:rFonts w:ascii="Cambria" w:eastAsia="Times New Roman" w:hAnsi="Cambria"/>
          <w:bCs/>
          <w:sz w:val="20"/>
          <w:szCs w:val="20"/>
          <w:bdr w:val="none" w:sz="0" w:space="0" w:color="auto"/>
          <w:lang w:val="es-ES"/>
        </w:rPr>
        <w:t xml:space="preserve"> </w:t>
      </w:r>
      <w:r w:rsidR="00912083" w:rsidRPr="00A16D62">
        <w:rPr>
          <w:rFonts w:ascii="Cambria" w:eastAsia="Times New Roman" w:hAnsi="Cambria"/>
          <w:bCs/>
          <w:sz w:val="20"/>
          <w:szCs w:val="20"/>
          <w:bdr w:val="none" w:sz="0" w:space="0" w:color="auto"/>
          <w:lang w:val="es-ES"/>
        </w:rPr>
        <w:t>de corregir la violación de</w:t>
      </w:r>
      <w:r w:rsidRPr="00A16D62">
        <w:rPr>
          <w:rFonts w:ascii="Cambria" w:eastAsia="Times New Roman" w:hAnsi="Cambria"/>
          <w:bCs/>
          <w:sz w:val="20"/>
          <w:szCs w:val="20"/>
          <w:bdr w:val="none" w:sz="0" w:space="0" w:color="auto"/>
          <w:lang w:val="es-ES"/>
        </w:rPr>
        <w:t xml:space="preserve"> </w:t>
      </w:r>
      <w:r w:rsidR="00593BF9" w:rsidRPr="00A16D62">
        <w:rPr>
          <w:rFonts w:ascii="Cambria" w:eastAsia="Times New Roman" w:hAnsi="Cambria"/>
          <w:bCs/>
          <w:sz w:val="20"/>
          <w:szCs w:val="20"/>
          <w:bdr w:val="none" w:sz="0" w:space="0" w:color="auto"/>
          <w:lang w:val="es-ES"/>
        </w:rPr>
        <w:t>derechos laborales</w:t>
      </w:r>
      <w:r w:rsidRPr="00A16D62">
        <w:rPr>
          <w:rFonts w:ascii="Cambria" w:eastAsia="Times New Roman" w:hAnsi="Cambria"/>
          <w:bCs/>
          <w:sz w:val="20"/>
          <w:szCs w:val="20"/>
          <w:bdr w:val="none" w:sz="0" w:space="0" w:color="auto"/>
          <w:lang w:val="es-ES"/>
        </w:rPr>
        <w:t xml:space="preserve">. </w:t>
      </w:r>
      <w:r w:rsidR="00912083" w:rsidRPr="00A16D62">
        <w:rPr>
          <w:rFonts w:ascii="Cambria" w:eastAsia="Times New Roman" w:hAnsi="Cambria"/>
          <w:bCs/>
          <w:sz w:val="20"/>
          <w:szCs w:val="20"/>
          <w:bdr w:val="none" w:sz="0" w:space="0" w:color="auto"/>
          <w:lang w:val="es-ES"/>
        </w:rPr>
        <w:t xml:space="preserve">Llegar a una conclusión diferente sería proveer una manera indirecta pero sumamente eficaz de discriminar contra </w:t>
      </w:r>
      <w:r w:rsidR="00FF4357" w:rsidRPr="00A16D62">
        <w:rPr>
          <w:rFonts w:ascii="Cambria" w:eastAsia="Times New Roman" w:hAnsi="Cambria"/>
          <w:bCs/>
          <w:sz w:val="20"/>
          <w:szCs w:val="20"/>
          <w:bdr w:val="none" w:sz="0" w:space="0" w:color="auto"/>
          <w:lang w:val="es-ES"/>
        </w:rPr>
        <w:t>trabajadores migrantes</w:t>
      </w:r>
      <w:r w:rsidR="00D26748" w:rsidRPr="00A16D62">
        <w:rPr>
          <w:rFonts w:ascii="Cambria" w:eastAsia="Times New Roman" w:hAnsi="Cambria"/>
          <w:bCs/>
          <w:sz w:val="20"/>
          <w:szCs w:val="20"/>
          <w:bdr w:val="none" w:sz="0" w:space="0" w:color="auto"/>
          <w:lang w:val="es-ES"/>
        </w:rPr>
        <w:t xml:space="preserve"> </w:t>
      </w:r>
      <w:r w:rsidR="00912083" w:rsidRPr="00A16D62">
        <w:rPr>
          <w:rFonts w:ascii="Cambria" w:eastAsia="Times New Roman" w:hAnsi="Cambria"/>
          <w:bCs/>
          <w:sz w:val="20"/>
          <w:szCs w:val="20"/>
          <w:bdr w:val="none" w:sz="0" w:space="0" w:color="auto"/>
          <w:lang w:val="es-ES"/>
        </w:rPr>
        <w:t xml:space="preserve">indocumentados al negarles la personalidad jurídica y al crear la desigualdad jurídica entre </w:t>
      </w:r>
      <w:r w:rsidR="00D26748" w:rsidRPr="00A16D62">
        <w:rPr>
          <w:rFonts w:ascii="Cambria" w:eastAsia="Times New Roman" w:hAnsi="Cambria"/>
          <w:bCs/>
          <w:sz w:val="20"/>
          <w:szCs w:val="20"/>
          <w:bdr w:val="none" w:sz="0" w:space="0" w:color="auto"/>
          <w:lang w:val="es-ES"/>
        </w:rPr>
        <w:t>person</w:t>
      </w:r>
      <w:r w:rsidR="00912083" w:rsidRPr="00A16D62">
        <w:rPr>
          <w:rFonts w:ascii="Cambria" w:eastAsia="Times New Roman" w:hAnsi="Cambria"/>
          <w:bCs/>
          <w:sz w:val="20"/>
          <w:szCs w:val="20"/>
          <w:bdr w:val="none" w:sz="0" w:space="0" w:color="auto"/>
          <w:lang w:val="es-ES"/>
        </w:rPr>
        <w:t>a</w:t>
      </w:r>
      <w:r w:rsidR="00D26748" w:rsidRPr="00A16D62">
        <w:rPr>
          <w:rFonts w:ascii="Cambria" w:eastAsia="Times New Roman" w:hAnsi="Cambria"/>
          <w:bCs/>
          <w:sz w:val="20"/>
          <w:szCs w:val="20"/>
          <w:bdr w:val="none" w:sz="0" w:space="0" w:color="auto"/>
          <w:lang w:val="es-ES"/>
        </w:rPr>
        <w:t>s.</w:t>
      </w:r>
      <w:r w:rsidR="00CC3419">
        <w:rPr>
          <w:rFonts w:ascii="Cambria" w:eastAsia="Times New Roman" w:hAnsi="Cambria"/>
          <w:bCs/>
          <w:sz w:val="20"/>
          <w:szCs w:val="20"/>
          <w:bdr w:val="none" w:sz="0" w:space="0" w:color="auto"/>
          <w:lang w:val="es-ES"/>
        </w:rPr>
        <w:t xml:space="preserve"> </w:t>
      </w:r>
    </w:p>
    <w:p w:rsidR="00B7084B" w:rsidRPr="00A16D62" w:rsidRDefault="00B7084B" w:rsidP="00B7084B">
      <w:pPr>
        <w:pStyle w:val="ListParagraph"/>
        <w:rPr>
          <w:rFonts w:eastAsia="Times New Roman"/>
          <w:bCs/>
          <w:sz w:val="20"/>
          <w:szCs w:val="20"/>
          <w:bdr w:val="none" w:sz="0" w:space="0" w:color="auto"/>
          <w:lang w:val="es-ES"/>
        </w:rPr>
      </w:pPr>
    </w:p>
    <w:p w:rsidR="00AD1988" w:rsidRPr="00A16D62" w:rsidRDefault="00912083" w:rsidP="0095413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Como </w:t>
      </w:r>
      <w:r w:rsidR="00F27C80" w:rsidRPr="00A16D62">
        <w:rPr>
          <w:rFonts w:ascii="Cambria" w:eastAsia="Times New Roman" w:hAnsi="Cambria"/>
          <w:bCs/>
          <w:sz w:val="20"/>
          <w:szCs w:val="20"/>
          <w:bdr w:val="none" w:sz="0" w:space="0" w:color="auto"/>
          <w:lang w:val="es-ES"/>
        </w:rPr>
        <w:t>esta Comisión</w:t>
      </w:r>
      <w:r w:rsidR="0095413A" w:rsidRPr="00A16D62">
        <w:rPr>
          <w:rFonts w:ascii="Cambria" w:eastAsia="Times New Roman" w:hAnsi="Cambria"/>
          <w:bCs/>
          <w:sz w:val="20"/>
          <w:szCs w:val="20"/>
          <w:bdr w:val="none" w:sz="0" w:space="0" w:color="auto"/>
          <w:lang w:val="es-ES"/>
        </w:rPr>
        <w:t xml:space="preserve"> ha</w:t>
      </w:r>
      <w:r w:rsidRPr="00A16D62">
        <w:rPr>
          <w:rFonts w:ascii="Cambria" w:eastAsia="Times New Roman" w:hAnsi="Cambria"/>
          <w:bCs/>
          <w:sz w:val="20"/>
          <w:szCs w:val="20"/>
          <w:bdr w:val="none" w:sz="0" w:space="0" w:color="auto"/>
          <w:lang w:val="es-ES"/>
        </w:rPr>
        <w:t xml:space="preserve"> señalado anteriormente, los </w:t>
      </w:r>
      <w:r w:rsidR="00811F92" w:rsidRPr="00A16D62">
        <w:rPr>
          <w:rFonts w:ascii="Cambria" w:eastAsia="Times New Roman" w:hAnsi="Cambria"/>
          <w:bCs/>
          <w:sz w:val="20"/>
          <w:szCs w:val="20"/>
          <w:bdr w:val="none" w:sz="0" w:space="0" w:color="auto"/>
          <w:lang w:val="es-ES"/>
        </w:rPr>
        <w:t>artículo</w:t>
      </w:r>
      <w:r w:rsidR="0095413A" w:rsidRPr="00A16D62">
        <w:rPr>
          <w:rFonts w:ascii="Cambria" w:eastAsia="Times New Roman" w:hAnsi="Cambria"/>
          <w:bCs/>
          <w:sz w:val="20"/>
          <w:szCs w:val="20"/>
          <w:bdr w:val="none" w:sz="0" w:space="0" w:color="auto"/>
          <w:lang w:val="es-ES"/>
        </w:rPr>
        <w:t xml:space="preserve">s XVII </w:t>
      </w:r>
      <w:r w:rsidRPr="00A16D62">
        <w:rPr>
          <w:rFonts w:ascii="Cambria" w:eastAsia="Times New Roman" w:hAnsi="Cambria"/>
          <w:bCs/>
          <w:sz w:val="20"/>
          <w:szCs w:val="20"/>
          <w:bdr w:val="none" w:sz="0" w:space="0" w:color="auto"/>
          <w:lang w:val="es-ES"/>
        </w:rPr>
        <w:t>y</w:t>
      </w:r>
      <w:r w:rsidR="0095413A" w:rsidRPr="00A16D62">
        <w:rPr>
          <w:rFonts w:ascii="Cambria" w:eastAsia="Times New Roman" w:hAnsi="Cambria"/>
          <w:bCs/>
          <w:sz w:val="20"/>
          <w:szCs w:val="20"/>
          <w:bdr w:val="none" w:sz="0" w:space="0" w:color="auto"/>
          <w:lang w:val="es-ES"/>
        </w:rPr>
        <w:t xml:space="preserve"> XVIII </w:t>
      </w:r>
      <w:r w:rsidRPr="00A16D62">
        <w:rPr>
          <w:rFonts w:ascii="Cambria" w:eastAsia="Times New Roman" w:hAnsi="Cambria"/>
          <w:bCs/>
          <w:sz w:val="20"/>
          <w:szCs w:val="20"/>
          <w:bdr w:val="none" w:sz="0" w:space="0" w:color="auto"/>
          <w:lang w:val="es-ES"/>
        </w:rPr>
        <w:t>se fundamentan en el reconocimiento y la protección por el</w:t>
      </w:r>
      <w:r w:rsidR="0095413A"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Estado</w:t>
      </w:r>
      <w:r w:rsidR="0095413A"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 los derechos </w:t>
      </w:r>
      <w:r w:rsidR="0095413A" w:rsidRPr="00A16D62">
        <w:rPr>
          <w:rFonts w:ascii="Cambria" w:eastAsia="Times New Roman" w:hAnsi="Cambria"/>
          <w:bCs/>
          <w:sz w:val="20"/>
          <w:szCs w:val="20"/>
          <w:bdr w:val="none" w:sz="0" w:space="0" w:color="auto"/>
          <w:lang w:val="es-ES"/>
        </w:rPr>
        <w:t>civil</w:t>
      </w:r>
      <w:r w:rsidRPr="00A16D62">
        <w:rPr>
          <w:rFonts w:ascii="Cambria" w:eastAsia="Times New Roman" w:hAnsi="Cambria"/>
          <w:bCs/>
          <w:sz w:val="20"/>
          <w:szCs w:val="20"/>
          <w:bdr w:val="none" w:sz="0" w:space="0" w:color="auto"/>
          <w:lang w:val="es-ES"/>
        </w:rPr>
        <w:t xml:space="preserve">es y </w:t>
      </w:r>
      <w:r w:rsidR="0095413A" w:rsidRPr="00A16D62">
        <w:rPr>
          <w:rFonts w:ascii="Cambria" w:eastAsia="Times New Roman" w:hAnsi="Cambria"/>
          <w:bCs/>
          <w:sz w:val="20"/>
          <w:szCs w:val="20"/>
          <w:bdr w:val="none" w:sz="0" w:space="0" w:color="auto"/>
          <w:lang w:val="es-ES"/>
        </w:rPr>
        <w:t>constitu</w:t>
      </w:r>
      <w:r w:rsidRPr="00A16D62">
        <w:rPr>
          <w:rFonts w:ascii="Cambria" w:eastAsia="Times New Roman" w:hAnsi="Cambria"/>
          <w:bCs/>
          <w:sz w:val="20"/>
          <w:szCs w:val="20"/>
          <w:bdr w:val="none" w:sz="0" w:space="0" w:color="auto"/>
          <w:lang w:val="es-ES"/>
        </w:rPr>
        <w:t>c</w:t>
      </w:r>
      <w:r w:rsidR="0095413A" w:rsidRPr="00A16D62">
        <w:rPr>
          <w:rFonts w:ascii="Cambria" w:eastAsia="Times New Roman" w:hAnsi="Cambria"/>
          <w:bCs/>
          <w:sz w:val="20"/>
          <w:szCs w:val="20"/>
          <w:bdr w:val="none" w:sz="0" w:space="0" w:color="auto"/>
          <w:lang w:val="es-ES"/>
        </w:rPr>
        <w:t>ional</w:t>
      </w:r>
      <w:r w:rsidRPr="00A16D62">
        <w:rPr>
          <w:rFonts w:ascii="Cambria" w:eastAsia="Times New Roman" w:hAnsi="Cambria"/>
          <w:bCs/>
          <w:sz w:val="20"/>
          <w:szCs w:val="20"/>
          <w:bdr w:val="none" w:sz="0" w:space="0" w:color="auto"/>
          <w:lang w:val="es-ES"/>
        </w:rPr>
        <w:t>es fundamentales de la persona</w:t>
      </w:r>
      <w:r w:rsidR="0095413A"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 xml:space="preserve"> El </w:t>
      </w:r>
      <w:r w:rsidR="00811F92" w:rsidRPr="00A16D62">
        <w:rPr>
          <w:rFonts w:ascii="Cambria" w:eastAsia="Times New Roman" w:hAnsi="Cambria"/>
          <w:bCs/>
          <w:sz w:val="20"/>
          <w:szCs w:val="20"/>
          <w:bdr w:val="none" w:sz="0" w:space="0" w:color="auto"/>
          <w:lang w:val="es-ES"/>
        </w:rPr>
        <w:t>artículo</w:t>
      </w:r>
      <w:r w:rsidR="0095413A" w:rsidRPr="00A16D62">
        <w:rPr>
          <w:rFonts w:ascii="Cambria" w:eastAsia="Times New Roman" w:hAnsi="Cambria"/>
          <w:bCs/>
          <w:sz w:val="20"/>
          <w:szCs w:val="20"/>
          <w:bdr w:val="none" w:sz="0" w:space="0" w:color="auto"/>
          <w:lang w:val="es-ES"/>
        </w:rPr>
        <w:t xml:space="preserve"> XVIII prescribe</w:t>
      </w:r>
      <w:r w:rsidRPr="00A16D62">
        <w:rPr>
          <w:rFonts w:ascii="Cambria" w:eastAsia="Times New Roman" w:hAnsi="Cambria"/>
          <w:bCs/>
          <w:sz w:val="20"/>
          <w:szCs w:val="20"/>
          <w:bdr w:val="none" w:sz="0" w:space="0" w:color="auto"/>
          <w:lang w:val="es-ES"/>
        </w:rPr>
        <w:t xml:space="preserve"> además un papel </w:t>
      </w:r>
      <w:r w:rsidR="0095413A" w:rsidRPr="00A16D62">
        <w:rPr>
          <w:rFonts w:ascii="Cambria" w:eastAsia="Times New Roman" w:hAnsi="Cambria"/>
          <w:bCs/>
          <w:sz w:val="20"/>
          <w:szCs w:val="20"/>
          <w:bdr w:val="none" w:sz="0" w:space="0" w:color="auto"/>
          <w:lang w:val="es-ES"/>
        </w:rPr>
        <w:t xml:space="preserve">fundamental </w:t>
      </w:r>
      <w:r w:rsidRPr="00A16D62">
        <w:rPr>
          <w:rFonts w:ascii="Cambria" w:eastAsia="Times New Roman" w:hAnsi="Cambria"/>
          <w:bCs/>
          <w:sz w:val="20"/>
          <w:szCs w:val="20"/>
          <w:bdr w:val="none" w:sz="0" w:space="0" w:color="auto"/>
          <w:lang w:val="es-ES"/>
        </w:rPr>
        <w:t xml:space="preserve">para los tribunales del </w:t>
      </w:r>
      <w:r w:rsidR="00180125" w:rsidRPr="00A16D62">
        <w:rPr>
          <w:rFonts w:ascii="Cambria" w:eastAsia="Times New Roman" w:hAnsi="Cambria"/>
          <w:bCs/>
          <w:sz w:val="20"/>
          <w:szCs w:val="20"/>
          <w:bdr w:val="none" w:sz="0" w:space="0" w:color="auto"/>
          <w:lang w:val="es-ES"/>
        </w:rPr>
        <w:t>Estado</w:t>
      </w:r>
      <w:r w:rsidRPr="00A16D62">
        <w:rPr>
          <w:rFonts w:ascii="Cambria" w:eastAsia="Times New Roman" w:hAnsi="Cambria"/>
          <w:bCs/>
          <w:sz w:val="20"/>
          <w:szCs w:val="20"/>
          <w:bdr w:val="none" w:sz="0" w:space="0" w:color="auto"/>
          <w:lang w:val="es-ES"/>
        </w:rPr>
        <w:t>, que consiste en asegurar y proteger estos derechos fundamentales</w:t>
      </w:r>
      <w:r w:rsidR="0095413A" w:rsidRPr="00A16D62">
        <w:rPr>
          <w:rStyle w:val="FootnoteReference"/>
          <w:rFonts w:ascii="Cambria" w:eastAsia="Times New Roman" w:hAnsi="Cambria"/>
          <w:bCs/>
          <w:sz w:val="20"/>
          <w:szCs w:val="20"/>
          <w:bdr w:val="none" w:sz="0" w:space="0" w:color="auto"/>
          <w:lang w:val="es-ES"/>
        </w:rPr>
        <w:footnoteReference w:id="116"/>
      </w:r>
      <w:r w:rsidRPr="00A16D62">
        <w:rPr>
          <w:rFonts w:ascii="Cambria" w:eastAsia="Times New Roman" w:hAnsi="Cambria"/>
          <w:bCs/>
          <w:sz w:val="20"/>
          <w:szCs w:val="20"/>
          <w:bdr w:val="none" w:sz="0" w:space="0" w:color="auto"/>
          <w:lang w:val="es-ES"/>
        </w:rPr>
        <w:t>.</w:t>
      </w:r>
      <w:r w:rsidR="0095413A" w:rsidRPr="00A16D62">
        <w:rPr>
          <w:rFonts w:ascii="Cambria" w:eastAsia="Times New Roman" w:hAnsi="Cambria"/>
          <w:bCs/>
          <w:sz w:val="20"/>
          <w:szCs w:val="20"/>
          <w:bdr w:val="none" w:sz="0" w:space="0" w:color="auto"/>
          <w:lang w:val="es-ES"/>
        </w:rPr>
        <w:t xml:space="preserve"> </w:t>
      </w:r>
      <w:r w:rsidR="00DB07C4" w:rsidRPr="00A16D62">
        <w:rPr>
          <w:rFonts w:ascii="Cambria" w:eastAsia="Times New Roman" w:hAnsi="Cambria"/>
          <w:bCs/>
          <w:sz w:val="20"/>
          <w:szCs w:val="20"/>
          <w:bdr w:val="none" w:sz="0" w:space="0" w:color="auto"/>
          <w:lang w:val="es-ES"/>
        </w:rPr>
        <w:t xml:space="preserve">Por su parte, el </w:t>
      </w:r>
      <w:r w:rsidR="00811F92" w:rsidRPr="00A16D62">
        <w:rPr>
          <w:rFonts w:ascii="Cambria" w:eastAsia="Times New Roman" w:hAnsi="Cambria"/>
          <w:bCs/>
          <w:sz w:val="20"/>
          <w:szCs w:val="20"/>
          <w:bdr w:val="none" w:sz="0" w:space="0" w:color="auto"/>
          <w:lang w:val="es-ES"/>
        </w:rPr>
        <w:t>artículo</w:t>
      </w:r>
      <w:r w:rsidR="00AD1988" w:rsidRPr="00A16D62">
        <w:rPr>
          <w:rFonts w:ascii="Cambria" w:eastAsia="Times New Roman" w:hAnsi="Cambria"/>
          <w:bCs/>
          <w:sz w:val="20"/>
          <w:szCs w:val="20"/>
          <w:bdr w:val="none" w:sz="0" w:space="0" w:color="auto"/>
          <w:lang w:val="es-ES"/>
        </w:rPr>
        <w:t xml:space="preserve"> XVIII </w:t>
      </w:r>
      <w:r w:rsidR="00DB07C4"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AD1988" w:rsidRPr="00A16D62">
        <w:rPr>
          <w:rFonts w:ascii="Cambria" w:eastAsia="Times New Roman" w:hAnsi="Cambria"/>
          <w:bCs/>
          <w:sz w:val="20"/>
          <w:szCs w:val="20"/>
          <w:bdr w:val="none" w:sz="0" w:space="0" w:color="auto"/>
          <w:lang w:val="es-ES"/>
        </w:rPr>
        <w:t xml:space="preserve"> establ</w:t>
      </w:r>
      <w:r w:rsidR="00DB07C4" w:rsidRPr="00A16D62">
        <w:rPr>
          <w:rFonts w:ascii="Cambria" w:eastAsia="Times New Roman" w:hAnsi="Cambria"/>
          <w:bCs/>
          <w:sz w:val="20"/>
          <w:szCs w:val="20"/>
          <w:bdr w:val="none" w:sz="0" w:space="0" w:color="auto"/>
          <w:lang w:val="es-ES"/>
        </w:rPr>
        <w:t>ece que todas las personas tienen derecho a recurrir a la justicia cuando sufren violaciones de los de</w:t>
      </w:r>
      <w:r w:rsidR="006F4DC1" w:rsidRPr="00A16D62">
        <w:rPr>
          <w:rFonts w:ascii="Cambria" w:eastAsia="Times New Roman" w:hAnsi="Cambria"/>
          <w:bCs/>
          <w:sz w:val="20"/>
          <w:szCs w:val="20"/>
          <w:bdr w:val="none" w:sz="0" w:space="0" w:color="auto"/>
          <w:lang w:val="es-ES"/>
        </w:rPr>
        <w:t>rechos humanos</w:t>
      </w:r>
      <w:r w:rsidR="00AD1988" w:rsidRPr="00A16D62">
        <w:rPr>
          <w:rFonts w:ascii="Cambria" w:eastAsia="Times New Roman" w:hAnsi="Cambria"/>
          <w:bCs/>
          <w:sz w:val="20"/>
          <w:szCs w:val="20"/>
          <w:bdr w:val="none" w:sz="0" w:space="0" w:color="auto"/>
          <w:vertAlign w:val="superscript"/>
          <w:lang w:val="es-ES"/>
        </w:rPr>
        <w:footnoteReference w:id="117"/>
      </w:r>
      <w:r w:rsidR="00DB07C4" w:rsidRPr="00A16D62">
        <w:rPr>
          <w:rFonts w:ascii="Cambria" w:eastAsia="Times New Roman" w:hAnsi="Cambria"/>
          <w:bCs/>
          <w:sz w:val="20"/>
          <w:szCs w:val="20"/>
          <w:bdr w:val="none" w:sz="0" w:space="0" w:color="auto"/>
          <w:lang w:val="es-ES"/>
        </w:rPr>
        <w:t xml:space="preserve">. Este derecho tiene un alcance </w:t>
      </w:r>
      <w:r w:rsidR="00AD1988" w:rsidRPr="00A16D62">
        <w:rPr>
          <w:rFonts w:ascii="Cambria" w:eastAsia="Times New Roman" w:hAnsi="Cambria"/>
          <w:bCs/>
          <w:sz w:val="20"/>
          <w:szCs w:val="20"/>
          <w:bdr w:val="none" w:sz="0" w:space="0" w:color="auto"/>
          <w:lang w:val="es-ES"/>
        </w:rPr>
        <w:t xml:space="preserve">similar </w:t>
      </w:r>
      <w:r w:rsidR="00DB07C4" w:rsidRPr="00A16D62">
        <w:rPr>
          <w:rFonts w:ascii="Cambria" w:eastAsia="Times New Roman" w:hAnsi="Cambria"/>
          <w:bCs/>
          <w:sz w:val="20"/>
          <w:szCs w:val="20"/>
          <w:bdr w:val="none" w:sz="0" w:space="0" w:color="auto"/>
          <w:lang w:val="es-ES"/>
        </w:rPr>
        <w:t>al derecho a la protección</w:t>
      </w:r>
      <w:r w:rsidR="00AD1988" w:rsidRPr="00A16D62">
        <w:rPr>
          <w:rFonts w:ascii="Cambria" w:eastAsia="Times New Roman" w:hAnsi="Cambria"/>
          <w:bCs/>
          <w:sz w:val="20"/>
          <w:szCs w:val="20"/>
          <w:bdr w:val="none" w:sz="0" w:space="0" w:color="auto"/>
          <w:lang w:val="es-ES"/>
        </w:rPr>
        <w:t xml:space="preserve"> judicial </w:t>
      </w:r>
      <w:r w:rsidR="006136A8" w:rsidRPr="00A16D62">
        <w:rPr>
          <w:rFonts w:ascii="Cambria" w:eastAsia="Times New Roman" w:hAnsi="Cambria"/>
          <w:bCs/>
          <w:sz w:val="20"/>
          <w:szCs w:val="20"/>
          <w:bdr w:val="none" w:sz="0" w:space="0" w:color="auto"/>
          <w:lang w:val="es-ES"/>
        </w:rPr>
        <w:t xml:space="preserve">y las garantías plasmados en el </w:t>
      </w:r>
      <w:r w:rsidR="00811F92" w:rsidRPr="00A16D62">
        <w:rPr>
          <w:rFonts w:ascii="Cambria" w:eastAsia="Times New Roman" w:hAnsi="Cambria"/>
          <w:bCs/>
          <w:sz w:val="20"/>
          <w:szCs w:val="20"/>
          <w:bdr w:val="none" w:sz="0" w:space="0" w:color="auto"/>
          <w:lang w:val="es-ES"/>
        </w:rPr>
        <w:t>artículo</w:t>
      </w:r>
      <w:r w:rsidR="00AD1988" w:rsidRPr="00A16D62">
        <w:rPr>
          <w:rFonts w:ascii="Cambria" w:eastAsia="Times New Roman" w:hAnsi="Cambria"/>
          <w:bCs/>
          <w:sz w:val="20"/>
          <w:szCs w:val="20"/>
          <w:bdr w:val="none" w:sz="0" w:space="0" w:color="auto"/>
          <w:lang w:val="es-ES"/>
        </w:rPr>
        <w:t xml:space="preserve"> 25 </w:t>
      </w:r>
      <w:r w:rsidR="006136A8" w:rsidRPr="00A16D62">
        <w:rPr>
          <w:rFonts w:ascii="Cambria" w:eastAsia="Times New Roman" w:hAnsi="Cambria"/>
          <w:bCs/>
          <w:sz w:val="20"/>
          <w:szCs w:val="20"/>
          <w:bdr w:val="none" w:sz="0" w:space="0" w:color="auto"/>
          <w:lang w:val="es-ES"/>
        </w:rPr>
        <w:t>de la Convención</w:t>
      </w:r>
      <w:r w:rsidR="00AD1988" w:rsidRPr="00A16D62">
        <w:rPr>
          <w:rFonts w:ascii="Cambria" w:eastAsia="Times New Roman" w:hAnsi="Cambria"/>
          <w:bCs/>
          <w:sz w:val="20"/>
          <w:szCs w:val="20"/>
          <w:bdr w:val="none" w:sz="0" w:space="0" w:color="auto"/>
          <w:lang w:val="es-ES"/>
        </w:rPr>
        <w:t xml:space="preserve"> American</w:t>
      </w:r>
      <w:r w:rsidR="006136A8" w:rsidRPr="00A16D62">
        <w:rPr>
          <w:rFonts w:ascii="Cambria" w:eastAsia="Times New Roman" w:hAnsi="Cambria"/>
          <w:bCs/>
          <w:sz w:val="20"/>
          <w:szCs w:val="20"/>
          <w:bdr w:val="none" w:sz="0" w:space="0" w:color="auto"/>
          <w:lang w:val="es-ES"/>
        </w:rPr>
        <w:t xml:space="preserve">a sobre </w:t>
      </w:r>
      <w:r w:rsidR="006F4DC1" w:rsidRPr="00A16D62">
        <w:rPr>
          <w:rFonts w:ascii="Cambria" w:eastAsia="Times New Roman" w:hAnsi="Cambria"/>
          <w:bCs/>
          <w:sz w:val="20"/>
          <w:szCs w:val="20"/>
          <w:bdr w:val="none" w:sz="0" w:space="0" w:color="auto"/>
          <w:lang w:val="es-ES"/>
        </w:rPr>
        <w:t xml:space="preserve">Derechos </w:t>
      </w:r>
      <w:r w:rsidR="006136A8" w:rsidRPr="00A16D62">
        <w:rPr>
          <w:rFonts w:ascii="Cambria" w:eastAsia="Times New Roman" w:hAnsi="Cambria"/>
          <w:bCs/>
          <w:sz w:val="20"/>
          <w:szCs w:val="20"/>
          <w:bdr w:val="none" w:sz="0" w:space="0" w:color="auto"/>
          <w:lang w:val="es-ES"/>
        </w:rPr>
        <w:t>H</w:t>
      </w:r>
      <w:r w:rsidR="006F4DC1" w:rsidRPr="00A16D62">
        <w:rPr>
          <w:rFonts w:ascii="Cambria" w:eastAsia="Times New Roman" w:hAnsi="Cambria"/>
          <w:bCs/>
          <w:sz w:val="20"/>
          <w:szCs w:val="20"/>
          <w:bdr w:val="none" w:sz="0" w:space="0" w:color="auto"/>
          <w:lang w:val="es-ES"/>
        </w:rPr>
        <w:t>umanos</w:t>
      </w:r>
      <w:r w:rsidR="00AD1988" w:rsidRPr="00A16D62">
        <w:rPr>
          <w:rFonts w:ascii="Cambria" w:eastAsia="Times New Roman" w:hAnsi="Cambria"/>
          <w:bCs/>
          <w:sz w:val="20"/>
          <w:szCs w:val="20"/>
          <w:bdr w:val="none" w:sz="0" w:space="0" w:color="auto"/>
          <w:lang w:val="es-ES"/>
        </w:rPr>
        <w:t xml:space="preserve">, </w:t>
      </w:r>
      <w:r w:rsidR="006136A8" w:rsidRPr="00A16D62">
        <w:rPr>
          <w:rFonts w:ascii="Cambria" w:eastAsia="Times New Roman" w:hAnsi="Cambria"/>
          <w:bCs/>
          <w:sz w:val="20"/>
          <w:szCs w:val="20"/>
          <w:bdr w:val="none" w:sz="0" w:space="0" w:color="auto"/>
          <w:lang w:val="es-ES"/>
        </w:rPr>
        <w:t xml:space="preserve">que se entiende que abarca el derecho de toda persona a recurrir a un </w:t>
      </w:r>
      <w:r w:rsidR="00AD1988" w:rsidRPr="00A16D62">
        <w:rPr>
          <w:rFonts w:ascii="Cambria" w:eastAsia="Times New Roman" w:hAnsi="Cambria"/>
          <w:bCs/>
          <w:sz w:val="20"/>
          <w:szCs w:val="20"/>
          <w:bdr w:val="none" w:sz="0" w:space="0" w:color="auto"/>
          <w:lang w:val="es-ES"/>
        </w:rPr>
        <w:t xml:space="preserve">tribunal </w:t>
      </w:r>
      <w:r w:rsidR="006136A8" w:rsidRPr="00A16D62">
        <w:rPr>
          <w:rFonts w:ascii="Cambria" w:eastAsia="Times New Roman" w:hAnsi="Cambria"/>
          <w:bCs/>
          <w:sz w:val="20"/>
          <w:szCs w:val="20"/>
          <w:bdr w:val="none" w:sz="0" w:space="0" w:color="auto"/>
          <w:lang w:val="es-ES"/>
        </w:rPr>
        <w:t xml:space="preserve">cuando se haya violado cualquiera de sus derechos y a que un </w:t>
      </w:r>
      <w:r w:rsidR="00AD1988" w:rsidRPr="00A16D62">
        <w:rPr>
          <w:rFonts w:ascii="Cambria" w:eastAsia="Times New Roman" w:hAnsi="Cambria"/>
          <w:bCs/>
          <w:sz w:val="20"/>
          <w:szCs w:val="20"/>
          <w:bdr w:val="none" w:sz="0" w:space="0" w:color="auto"/>
          <w:lang w:val="es-ES"/>
        </w:rPr>
        <w:t>tribunal</w:t>
      </w:r>
      <w:r w:rsidR="006136A8" w:rsidRPr="00A16D62">
        <w:rPr>
          <w:rFonts w:ascii="Cambria" w:eastAsia="Times New Roman" w:hAnsi="Cambria"/>
          <w:bCs/>
          <w:sz w:val="20"/>
          <w:szCs w:val="20"/>
          <w:bdr w:val="none" w:sz="0" w:space="0" w:color="auto"/>
          <w:lang w:val="es-ES"/>
        </w:rPr>
        <w:t xml:space="preserve"> competente, imparcial e independiente realice una investigación judicial a fin de determinar si se ha cometido una violación de sus derechos, así como el derecho correspondiente a obtener reparaciones por el daño sufrido</w:t>
      </w:r>
      <w:r w:rsidR="00AD1988" w:rsidRPr="00A16D62">
        <w:rPr>
          <w:rFonts w:ascii="Cambria" w:eastAsia="Times New Roman" w:hAnsi="Cambria"/>
          <w:bCs/>
          <w:sz w:val="20"/>
          <w:szCs w:val="20"/>
          <w:bdr w:val="none" w:sz="0" w:space="0" w:color="auto"/>
          <w:vertAlign w:val="superscript"/>
          <w:lang w:val="es-ES"/>
        </w:rPr>
        <w:footnoteReference w:id="118"/>
      </w:r>
      <w:r w:rsidR="006136A8" w:rsidRPr="00A16D62">
        <w:rPr>
          <w:rFonts w:ascii="Cambria" w:eastAsia="Times New Roman" w:hAnsi="Cambria"/>
          <w:bCs/>
          <w:sz w:val="20"/>
          <w:szCs w:val="20"/>
          <w:bdr w:val="none" w:sz="0" w:space="0" w:color="auto"/>
          <w:lang w:val="es-ES"/>
        </w:rPr>
        <w:t>.</w:t>
      </w:r>
    </w:p>
    <w:p w:rsidR="00833F55" w:rsidRPr="00A16D62" w:rsidRDefault="00833F55" w:rsidP="00833F55">
      <w:pPr>
        <w:pStyle w:val="ListParagraph"/>
        <w:rPr>
          <w:rFonts w:eastAsia="Times New Roman"/>
          <w:bCs/>
          <w:sz w:val="20"/>
          <w:szCs w:val="20"/>
          <w:bdr w:val="none" w:sz="0" w:space="0" w:color="auto"/>
          <w:lang w:val="es-ES"/>
        </w:rPr>
      </w:pPr>
    </w:p>
    <w:p w:rsidR="00B3322A" w:rsidRPr="00A16D62" w:rsidRDefault="00180125" w:rsidP="00B332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La Comisión</w:t>
      </w:r>
      <w:r w:rsidR="00AD1988" w:rsidRPr="00A16D62">
        <w:rPr>
          <w:rFonts w:ascii="Cambria" w:eastAsia="Times New Roman" w:hAnsi="Cambria"/>
          <w:bCs/>
          <w:sz w:val="20"/>
          <w:szCs w:val="20"/>
          <w:bdr w:val="none" w:sz="0" w:space="0" w:color="auto"/>
          <w:lang w:val="es-ES"/>
        </w:rPr>
        <w:t xml:space="preserve"> ha</w:t>
      </w:r>
      <w:r w:rsidR="000C4AD5" w:rsidRPr="00A16D62">
        <w:rPr>
          <w:rFonts w:ascii="Cambria" w:eastAsia="Times New Roman" w:hAnsi="Cambria"/>
          <w:bCs/>
          <w:sz w:val="20"/>
          <w:szCs w:val="20"/>
          <w:bdr w:val="none" w:sz="0" w:space="0" w:color="auto"/>
          <w:lang w:val="es-ES"/>
        </w:rPr>
        <w:t xml:space="preserve"> afirmado durante muchos años que no es la existencia </w:t>
      </w:r>
      <w:r w:rsidR="00AD1988" w:rsidRPr="00A16D62">
        <w:rPr>
          <w:rFonts w:ascii="Cambria" w:eastAsia="Times New Roman" w:hAnsi="Cambria"/>
          <w:bCs/>
          <w:sz w:val="20"/>
          <w:szCs w:val="20"/>
          <w:bdr w:val="none" w:sz="0" w:space="0" w:color="auto"/>
          <w:lang w:val="es-ES"/>
        </w:rPr>
        <w:t xml:space="preserve">formal </w:t>
      </w:r>
      <w:r w:rsidR="000C4AD5" w:rsidRPr="00A16D62">
        <w:rPr>
          <w:rFonts w:ascii="Cambria" w:eastAsia="Times New Roman" w:hAnsi="Cambria"/>
          <w:bCs/>
          <w:sz w:val="20"/>
          <w:szCs w:val="20"/>
          <w:bdr w:val="none" w:sz="0" w:space="0" w:color="auto"/>
          <w:lang w:val="es-ES"/>
        </w:rPr>
        <w:t xml:space="preserve">de recursos </w:t>
      </w:r>
      <w:r w:rsidR="00B234DB" w:rsidRPr="00A16D62">
        <w:rPr>
          <w:rFonts w:ascii="Cambria" w:eastAsia="Times New Roman" w:hAnsi="Cambria"/>
          <w:bCs/>
          <w:sz w:val="20"/>
          <w:szCs w:val="20"/>
          <w:bdr w:val="none" w:sz="0" w:space="0" w:color="auto"/>
          <w:lang w:val="es-ES"/>
        </w:rPr>
        <w:t>judicial</w:t>
      </w:r>
      <w:r w:rsidR="000C4AD5" w:rsidRPr="00A16D62">
        <w:rPr>
          <w:rFonts w:ascii="Cambria" w:eastAsia="Times New Roman" w:hAnsi="Cambria"/>
          <w:bCs/>
          <w:sz w:val="20"/>
          <w:szCs w:val="20"/>
          <w:bdr w:val="none" w:sz="0" w:space="0" w:color="auto"/>
          <w:lang w:val="es-ES"/>
        </w:rPr>
        <w:t>es lo que demuestra debida diligencia, sino que estos recursos sean adecuados y efectivos</w:t>
      </w:r>
      <w:r w:rsidR="00AD1988" w:rsidRPr="00A16D62">
        <w:rPr>
          <w:rFonts w:ascii="Cambria" w:eastAsia="Times New Roman" w:hAnsi="Cambria"/>
          <w:bCs/>
          <w:sz w:val="20"/>
          <w:szCs w:val="20"/>
          <w:bdr w:val="none" w:sz="0" w:space="0" w:color="auto"/>
          <w:vertAlign w:val="superscript"/>
          <w:lang w:val="es-ES"/>
        </w:rPr>
        <w:footnoteReference w:id="119"/>
      </w:r>
      <w:r w:rsidR="000C4AD5" w:rsidRPr="00A16D62">
        <w:rPr>
          <w:rFonts w:ascii="Cambria" w:eastAsia="Times New Roman" w:hAnsi="Cambria"/>
          <w:bCs/>
          <w:sz w:val="20"/>
          <w:szCs w:val="20"/>
          <w:bdr w:val="none" w:sz="0" w:space="0" w:color="auto"/>
          <w:lang w:val="es-ES"/>
        </w:rPr>
        <w:t>. La “efectividad</w:t>
      </w:r>
      <w:r w:rsidR="00833F55" w:rsidRPr="00A16D62">
        <w:rPr>
          <w:rFonts w:ascii="Cambria" w:eastAsia="Times New Roman" w:hAnsi="Cambria"/>
          <w:bCs/>
          <w:sz w:val="20"/>
          <w:szCs w:val="20"/>
          <w:bdr w:val="none" w:sz="0" w:space="0" w:color="auto"/>
          <w:lang w:val="es-ES"/>
        </w:rPr>
        <w:t xml:space="preserve">” </w:t>
      </w:r>
      <w:r w:rsidR="000C4AD5" w:rsidRPr="00A16D62">
        <w:rPr>
          <w:rFonts w:ascii="Cambria" w:eastAsia="Times New Roman" w:hAnsi="Cambria"/>
          <w:bCs/>
          <w:sz w:val="20"/>
          <w:szCs w:val="20"/>
          <w:bdr w:val="none" w:sz="0" w:space="0" w:color="auto"/>
          <w:lang w:val="es-ES"/>
        </w:rPr>
        <w:t>de un recurso judicial</w:t>
      </w:r>
      <w:r w:rsidR="00833F55" w:rsidRPr="00A16D62">
        <w:rPr>
          <w:rFonts w:ascii="Cambria" w:eastAsia="Times New Roman" w:hAnsi="Cambria"/>
          <w:bCs/>
          <w:sz w:val="20"/>
          <w:szCs w:val="20"/>
          <w:bdr w:val="none" w:sz="0" w:space="0" w:color="auto"/>
          <w:lang w:val="es-ES"/>
        </w:rPr>
        <w:t xml:space="preserve"> </w:t>
      </w:r>
      <w:r w:rsidR="000C4AD5" w:rsidRPr="00A16D62">
        <w:rPr>
          <w:rFonts w:ascii="Cambria" w:eastAsia="Times New Roman" w:hAnsi="Cambria"/>
          <w:bCs/>
          <w:sz w:val="20"/>
          <w:szCs w:val="20"/>
          <w:bdr w:val="none" w:sz="0" w:space="0" w:color="auto"/>
          <w:lang w:val="es-ES"/>
        </w:rPr>
        <w:t xml:space="preserve">tiene dos </w:t>
      </w:r>
      <w:r w:rsidR="00833F55" w:rsidRPr="00A16D62">
        <w:rPr>
          <w:rFonts w:ascii="Cambria" w:eastAsia="Times New Roman" w:hAnsi="Cambria"/>
          <w:bCs/>
          <w:sz w:val="20"/>
          <w:szCs w:val="20"/>
          <w:bdr w:val="none" w:sz="0" w:space="0" w:color="auto"/>
          <w:lang w:val="es-ES"/>
        </w:rPr>
        <w:t>aspect</w:t>
      </w:r>
      <w:r w:rsidR="000C4AD5" w:rsidRPr="00A16D62">
        <w:rPr>
          <w:rFonts w:ascii="Cambria" w:eastAsia="Times New Roman" w:hAnsi="Cambria"/>
          <w:bCs/>
          <w:sz w:val="20"/>
          <w:szCs w:val="20"/>
          <w:bdr w:val="none" w:sz="0" w:space="0" w:color="auto"/>
          <w:lang w:val="es-ES"/>
        </w:rPr>
        <w:t>o</w:t>
      </w:r>
      <w:r w:rsidR="00833F55" w:rsidRPr="00A16D62">
        <w:rPr>
          <w:rFonts w:ascii="Cambria" w:eastAsia="Times New Roman" w:hAnsi="Cambria"/>
          <w:bCs/>
          <w:sz w:val="20"/>
          <w:szCs w:val="20"/>
          <w:bdr w:val="none" w:sz="0" w:space="0" w:color="auto"/>
          <w:lang w:val="es-ES"/>
        </w:rPr>
        <w:t xml:space="preserve">s: </w:t>
      </w:r>
      <w:r w:rsidR="000C4AD5" w:rsidRPr="00A16D62">
        <w:rPr>
          <w:rFonts w:ascii="Cambria" w:eastAsia="Times New Roman" w:hAnsi="Cambria"/>
          <w:bCs/>
          <w:sz w:val="20"/>
          <w:szCs w:val="20"/>
          <w:bdr w:val="none" w:sz="0" w:space="0" w:color="auto"/>
          <w:lang w:val="es-ES"/>
        </w:rPr>
        <w:t xml:space="preserve">uno </w:t>
      </w:r>
      <w:r w:rsidR="00833F55" w:rsidRPr="00A16D62">
        <w:rPr>
          <w:rFonts w:ascii="Cambria" w:eastAsia="Times New Roman" w:hAnsi="Cambria"/>
          <w:bCs/>
          <w:sz w:val="20"/>
          <w:szCs w:val="20"/>
          <w:bdr w:val="none" w:sz="0" w:space="0" w:color="auto"/>
          <w:lang w:val="es-ES"/>
        </w:rPr>
        <w:t>normativ</w:t>
      </w:r>
      <w:r w:rsidR="000C4AD5" w:rsidRPr="00A16D62">
        <w:rPr>
          <w:rFonts w:ascii="Cambria" w:eastAsia="Times New Roman" w:hAnsi="Cambria"/>
          <w:bCs/>
          <w:sz w:val="20"/>
          <w:szCs w:val="20"/>
          <w:bdr w:val="none" w:sz="0" w:space="0" w:color="auto"/>
          <w:lang w:val="es-ES"/>
        </w:rPr>
        <w:t>o y otro empírico</w:t>
      </w:r>
      <w:r w:rsidR="00833F55" w:rsidRPr="00A16D62">
        <w:rPr>
          <w:rStyle w:val="FootnoteReference"/>
          <w:rFonts w:ascii="Cambria" w:eastAsia="Times New Roman" w:hAnsi="Cambria"/>
          <w:bCs/>
          <w:sz w:val="20"/>
          <w:szCs w:val="20"/>
          <w:bdr w:val="none" w:sz="0" w:space="0" w:color="auto"/>
          <w:lang w:val="es-ES"/>
        </w:rPr>
        <w:footnoteReference w:id="120"/>
      </w:r>
      <w:r w:rsidR="000C4AD5" w:rsidRPr="00A16D62">
        <w:rPr>
          <w:rFonts w:ascii="Cambria" w:eastAsia="Times New Roman" w:hAnsi="Cambria"/>
          <w:bCs/>
          <w:sz w:val="20"/>
          <w:szCs w:val="20"/>
          <w:bdr w:val="none" w:sz="0" w:space="0" w:color="auto"/>
          <w:lang w:val="es-ES"/>
        </w:rPr>
        <w:t xml:space="preserve">. El aspecto </w:t>
      </w:r>
      <w:r w:rsidR="001807A7" w:rsidRPr="00A16D62">
        <w:rPr>
          <w:rFonts w:ascii="Cambria" w:eastAsia="Times New Roman" w:hAnsi="Cambria"/>
          <w:bCs/>
          <w:sz w:val="20"/>
          <w:szCs w:val="20"/>
          <w:bdr w:val="none" w:sz="0" w:space="0" w:color="auto"/>
          <w:lang w:val="es-ES"/>
        </w:rPr>
        <w:t>normativ</w:t>
      </w:r>
      <w:r w:rsidR="000C4AD5" w:rsidRPr="00A16D62">
        <w:rPr>
          <w:rFonts w:ascii="Cambria" w:eastAsia="Times New Roman" w:hAnsi="Cambria"/>
          <w:bCs/>
          <w:sz w:val="20"/>
          <w:szCs w:val="20"/>
          <w:bdr w:val="none" w:sz="0" w:space="0" w:color="auto"/>
          <w:lang w:val="es-ES"/>
        </w:rPr>
        <w:t xml:space="preserve">o se refiere a la idoneidad del recurso, es decir, su capacidad para </w:t>
      </w:r>
      <w:r w:rsidR="00B3322A" w:rsidRPr="00A16D62">
        <w:rPr>
          <w:rFonts w:ascii="Cambria" w:eastAsia="Times New Roman" w:hAnsi="Cambria"/>
          <w:bCs/>
          <w:sz w:val="20"/>
          <w:szCs w:val="20"/>
          <w:bdr w:val="none" w:sz="0" w:space="0" w:color="auto"/>
          <w:lang w:val="es-ES"/>
        </w:rPr>
        <w:t>determin</w:t>
      </w:r>
      <w:r w:rsidR="000C4AD5" w:rsidRPr="00A16D62">
        <w:rPr>
          <w:rFonts w:ascii="Cambria" w:eastAsia="Times New Roman" w:hAnsi="Cambria"/>
          <w:bCs/>
          <w:sz w:val="20"/>
          <w:szCs w:val="20"/>
          <w:bdr w:val="none" w:sz="0" w:space="0" w:color="auto"/>
          <w:lang w:val="es-ES"/>
        </w:rPr>
        <w:t xml:space="preserve">ar si se ha producido una violación de </w:t>
      </w:r>
      <w:r w:rsidR="006F4DC1" w:rsidRPr="00A16D62">
        <w:rPr>
          <w:rFonts w:ascii="Cambria" w:eastAsia="Times New Roman" w:hAnsi="Cambria"/>
          <w:bCs/>
          <w:sz w:val="20"/>
          <w:szCs w:val="20"/>
          <w:bdr w:val="none" w:sz="0" w:space="0" w:color="auto"/>
          <w:lang w:val="es-ES"/>
        </w:rPr>
        <w:t>derechos humanos</w:t>
      </w:r>
      <w:r w:rsidR="00B3322A" w:rsidRPr="00A16D62">
        <w:rPr>
          <w:rFonts w:ascii="Cambria" w:eastAsia="Times New Roman" w:hAnsi="Cambria"/>
          <w:bCs/>
          <w:sz w:val="20"/>
          <w:szCs w:val="20"/>
          <w:bdr w:val="none" w:sz="0" w:space="0" w:color="auto"/>
          <w:lang w:val="es-ES"/>
        </w:rPr>
        <w:t xml:space="preserve"> </w:t>
      </w:r>
      <w:r w:rsidR="000C4AD5" w:rsidRPr="00A16D62">
        <w:rPr>
          <w:rFonts w:ascii="Cambria" w:eastAsia="Times New Roman" w:hAnsi="Cambria"/>
          <w:bCs/>
          <w:sz w:val="20"/>
          <w:szCs w:val="20"/>
          <w:bdr w:val="none" w:sz="0" w:space="0" w:color="auto"/>
          <w:lang w:val="es-ES"/>
        </w:rPr>
        <w:t xml:space="preserve">y para obtener respuestas o resultados positivos, medidos principalmente desde el punto de vista de si ofrece la posibilidad de proporcionar una reparación adecuada para las violaciones de </w:t>
      </w:r>
      <w:r w:rsidR="006F4DC1" w:rsidRPr="00A16D62">
        <w:rPr>
          <w:rFonts w:ascii="Cambria" w:eastAsia="Times New Roman" w:hAnsi="Cambria"/>
          <w:bCs/>
          <w:sz w:val="20"/>
          <w:szCs w:val="20"/>
          <w:bdr w:val="none" w:sz="0" w:space="0" w:color="auto"/>
          <w:lang w:val="es-ES"/>
        </w:rPr>
        <w:t>derechos humanos</w:t>
      </w:r>
      <w:r w:rsidR="00B3322A" w:rsidRPr="00A16D62">
        <w:rPr>
          <w:rStyle w:val="FootnoteReference"/>
          <w:rFonts w:ascii="Cambria" w:eastAsia="Times New Roman" w:hAnsi="Cambria"/>
          <w:bCs/>
          <w:sz w:val="20"/>
          <w:szCs w:val="20"/>
          <w:bdr w:val="none" w:sz="0" w:space="0" w:color="auto"/>
          <w:lang w:val="es-ES"/>
        </w:rPr>
        <w:footnoteReference w:id="121"/>
      </w:r>
      <w:r w:rsidR="000C4AD5" w:rsidRPr="00A16D62">
        <w:rPr>
          <w:rFonts w:ascii="Cambria" w:eastAsia="Times New Roman" w:hAnsi="Cambria"/>
          <w:bCs/>
          <w:sz w:val="20"/>
          <w:szCs w:val="20"/>
          <w:bdr w:val="none" w:sz="0" w:space="0" w:color="auto"/>
          <w:lang w:val="es-ES"/>
        </w:rPr>
        <w:t>.</w:t>
      </w:r>
    </w:p>
    <w:p w:rsidR="00B63FDE" w:rsidRPr="00A16D62" w:rsidRDefault="00B63FDE" w:rsidP="00B63FDE">
      <w:pPr>
        <w:pStyle w:val="ListParagraph"/>
        <w:rPr>
          <w:rFonts w:eastAsia="Times New Roman"/>
          <w:bCs/>
          <w:sz w:val="20"/>
          <w:szCs w:val="20"/>
          <w:bdr w:val="none" w:sz="0" w:space="0" w:color="auto"/>
          <w:lang w:val="es-ES"/>
        </w:rPr>
      </w:pPr>
    </w:p>
    <w:p w:rsidR="00B63FDE" w:rsidRPr="00A16D62" w:rsidRDefault="000C4AD5" w:rsidP="00B332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El segundo aspecto, es decir, la índole </w:t>
      </w:r>
      <w:r w:rsidR="00B63FDE" w:rsidRPr="00A16D62">
        <w:rPr>
          <w:rFonts w:ascii="Cambria" w:eastAsia="Times New Roman" w:hAnsi="Cambria"/>
          <w:bCs/>
          <w:sz w:val="20"/>
          <w:szCs w:val="20"/>
          <w:bdr w:val="none" w:sz="0" w:space="0" w:color="auto"/>
          <w:lang w:val="es-ES"/>
        </w:rPr>
        <w:t>emp</w:t>
      </w:r>
      <w:r w:rsidR="00025EE4" w:rsidRPr="00A16D62">
        <w:rPr>
          <w:rFonts w:ascii="Cambria" w:eastAsia="Times New Roman" w:hAnsi="Cambria"/>
          <w:bCs/>
          <w:sz w:val="20"/>
          <w:szCs w:val="20"/>
          <w:bdr w:val="none" w:sz="0" w:space="0" w:color="auto"/>
          <w:lang w:val="es-ES"/>
        </w:rPr>
        <w:t xml:space="preserve">írica del recurso, se refiere a las condiciones políticas o institucionales que permiten que un recurso legalmente reconocido </w:t>
      </w:r>
      <w:r w:rsidR="00B63FDE" w:rsidRPr="00A16D62">
        <w:rPr>
          <w:rFonts w:ascii="Cambria" w:eastAsia="Times New Roman" w:hAnsi="Cambria"/>
          <w:bCs/>
          <w:sz w:val="20"/>
          <w:szCs w:val="20"/>
          <w:bdr w:val="none" w:sz="0" w:space="0" w:color="auto"/>
          <w:lang w:val="es-ES"/>
        </w:rPr>
        <w:t>“</w:t>
      </w:r>
      <w:r w:rsidR="00025EE4" w:rsidRPr="00A16D62">
        <w:rPr>
          <w:rFonts w:ascii="Cambria" w:eastAsia="Times New Roman" w:hAnsi="Cambria"/>
          <w:bCs/>
          <w:sz w:val="20"/>
          <w:szCs w:val="20"/>
          <w:bdr w:val="none" w:sz="0" w:space="0" w:color="auto"/>
          <w:lang w:val="es-ES"/>
        </w:rPr>
        <w:t>cumpla su propósito</w:t>
      </w:r>
      <w:r w:rsidR="00B63FDE" w:rsidRPr="00A16D62">
        <w:rPr>
          <w:rFonts w:ascii="Cambria" w:eastAsia="Times New Roman" w:hAnsi="Cambria"/>
          <w:bCs/>
          <w:sz w:val="20"/>
          <w:szCs w:val="20"/>
          <w:bdr w:val="none" w:sz="0" w:space="0" w:color="auto"/>
          <w:lang w:val="es-ES"/>
        </w:rPr>
        <w:t>” o “produ</w:t>
      </w:r>
      <w:r w:rsidR="00025EE4" w:rsidRPr="00A16D62">
        <w:rPr>
          <w:rFonts w:ascii="Cambria" w:eastAsia="Times New Roman" w:hAnsi="Cambria"/>
          <w:bCs/>
          <w:sz w:val="20"/>
          <w:szCs w:val="20"/>
          <w:bdr w:val="none" w:sz="0" w:space="0" w:color="auto"/>
          <w:lang w:val="es-ES"/>
        </w:rPr>
        <w:t>zca el resultado previsto</w:t>
      </w:r>
      <w:r w:rsidR="00B63FDE" w:rsidRPr="00A16D62">
        <w:rPr>
          <w:rFonts w:ascii="Cambria" w:eastAsia="Times New Roman" w:hAnsi="Cambria"/>
          <w:bCs/>
          <w:sz w:val="20"/>
          <w:szCs w:val="20"/>
          <w:bdr w:val="none" w:sz="0" w:space="0" w:color="auto"/>
          <w:lang w:val="es-ES"/>
        </w:rPr>
        <w:t>”</w:t>
      </w:r>
      <w:r w:rsidR="00B63FDE" w:rsidRPr="00A16D62">
        <w:rPr>
          <w:rStyle w:val="FootnoteReference"/>
          <w:rFonts w:ascii="Cambria" w:eastAsia="Times New Roman" w:hAnsi="Cambria"/>
          <w:bCs/>
          <w:sz w:val="20"/>
          <w:szCs w:val="20"/>
          <w:bdr w:val="none" w:sz="0" w:space="0" w:color="auto"/>
          <w:lang w:val="es-ES"/>
        </w:rPr>
        <w:footnoteReference w:id="122"/>
      </w:r>
      <w:r w:rsidR="00025EE4" w:rsidRPr="00A16D62">
        <w:rPr>
          <w:rFonts w:ascii="Cambria" w:eastAsia="Times New Roman" w:hAnsi="Cambria"/>
          <w:bCs/>
          <w:sz w:val="20"/>
          <w:szCs w:val="20"/>
          <w:bdr w:val="none" w:sz="0" w:space="0" w:color="auto"/>
          <w:lang w:val="es-ES"/>
        </w:rPr>
        <w:t xml:space="preserve">. En este sentido, tal como </w:t>
      </w:r>
      <w:r w:rsidR="00180125" w:rsidRPr="00A16D62">
        <w:rPr>
          <w:rFonts w:ascii="Cambria" w:eastAsia="Times New Roman" w:hAnsi="Cambria"/>
          <w:bCs/>
          <w:sz w:val="20"/>
          <w:szCs w:val="20"/>
          <w:bdr w:val="none" w:sz="0" w:space="0" w:color="auto"/>
          <w:lang w:val="es-ES"/>
        </w:rPr>
        <w:t>la Comisión</w:t>
      </w:r>
      <w:r w:rsidR="00B63FDE" w:rsidRPr="00A16D62">
        <w:rPr>
          <w:rFonts w:ascii="Cambria" w:eastAsia="Times New Roman" w:hAnsi="Cambria"/>
          <w:bCs/>
          <w:sz w:val="20"/>
          <w:szCs w:val="20"/>
          <w:bdr w:val="none" w:sz="0" w:space="0" w:color="auto"/>
          <w:lang w:val="es-ES"/>
        </w:rPr>
        <w:t xml:space="preserve"> ha</w:t>
      </w:r>
      <w:r w:rsidR="00025EE4" w:rsidRPr="00A16D62">
        <w:rPr>
          <w:rFonts w:ascii="Cambria" w:eastAsia="Times New Roman" w:hAnsi="Cambria"/>
          <w:bCs/>
          <w:sz w:val="20"/>
          <w:szCs w:val="20"/>
          <w:bdr w:val="none" w:sz="0" w:space="0" w:color="auto"/>
          <w:lang w:val="es-ES"/>
        </w:rPr>
        <w:t xml:space="preserve"> señalado anteriormente, un recurso no es efectivo cuando es </w:t>
      </w:r>
      <w:r w:rsidR="00B63FDE" w:rsidRPr="00A16D62">
        <w:rPr>
          <w:rFonts w:ascii="Cambria" w:eastAsia="Times New Roman" w:hAnsi="Cambria"/>
          <w:bCs/>
          <w:sz w:val="20"/>
          <w:szCs w:val="20"/>
          <w:bdr w:val="none" w:sz="0" w:space="0" w:color="auto"/>
          <w:lang w:val="es-ES"/>
        </w:rPr>
        <w:t>“ilusor</w:t>
      </w:r>
      <w:r w:rsidR="00025EE4" w:rsidRPr="00A16D62">
        <w:rPr>
          <w:rFonts w:ascii="Cambria" w:eastAsia="Times New Roman" w:hAnsi="Cambria"/>
          <w:bCs/>
          <w:sz w:val="20"/>
          <w:szCs w:val="20"/>
          <w:bdr w:val="none" w:sz="0" w:space="0" w:color="auto"/>
          <w:lang w:val="es-ES"/>
        </w:rPr>
        <w:t>io</w:t>
      </w:r>
      <w:r w:rsidR="00B63FDE" w:rsidRPr="00A16D62">
        <w:rPr>
          <w:rFonts w:ascii="Cambria" w:eastAsia="Times New Roman" w:hAnsi="Cambria"/>
          <w:bCs/>
          <w:sz w:val="20"/>
          <w:szCs w:val="20"/>
          <w:bdr w:val="none" w:sz="0" w:space="0" w:color="auto"/>
          <w:lang w:val="es-ES"/>
        </w:rPr>
        <w:t>”</w:t>
      </w:r>
      <w:r w:rsidR="00025EE4" w:rsidRPr="00A16D62">
        <w:rPr>
          <w:rFonts w:ascii="Cambria" w:eastAsia="Times New Roman" w:hAnsi="Cambria"/>
          <w:bCs/>
          <w:sz w:val="20"/>
          <w:szCs w:val="20"/>
          <w:bdr w:val="none" w:sz="0" w:space="0" w:color="auto"/>
          <w:lang w:val="es-ES"/>
        </w:rPr>
        <w:t xml:space="preserve"> y</w:t>
      </w:r>
      <w:r w:rsidR="00B63FDE" w:rsidRPr="00A16D62">
        <w:rPr>
          <w:rFonts w:ascii="Cambria" w:eastAsia="Times New Roman" w:hAnsi="Cambria"/>
          <w:bCs/>
          <w:sz w:val="20"/>
          <w:szCs w:val="20"/>
          <w:bdr w:val="none" w:sz="0" w:space="0" w:color="auto"/>
          <w:lang w:val="es-ES"/>
        </w:rPr>
        <w:t xml:space="preserve"> exces</w:t>
      </w:r>
      <w:r w:rsidR="00025EE4" w:rsidRPr="00A16D62">
        <w:rPr>
          <w:rFonts w:ascii="Cambria" w:eastAsia="Times New Roman" w:hAnsi="Cambria"/>
          <w:bCs/>
          <w:sz w:val="20"/>
          <w:szCs w:val="20"/>
          <w:bdr w:val="none" w:sz="0" w:space="0" w:color="auto"/>
          <w:lang w:val="es-ES"/>
        </w:rPr>
        <w:t xml:space="preserve">ivamente oneroso para la víctima o cuando </w:t>
      </w:r>
      <w:r w:rsidR="00180125" w:rsidRPr="00A16D62">
        <w:rPr>
          <w:rFonts w:ascii="Cambria" w:eastAsia="Times New Roman" w:hAnsi="Cambria"/>
          <w:bCs/>
          <w:sz w:val="20"/>
          <w:szCs w:val="20"/>
          <w:bdr w:val="none" w:sz="0" w:space="0" w:color="auto"/>
          <w:lang w:val="es-ES"/>
        </w:rPr>
        <w:t>el Estado</w:t>
      </w:r>
      <w:r w:rsidR="00B63FDE" w:rsidRPr="00A16D62">
        <w:rPr>
          <w:rFonts w:ascii="Cambria" w:eastAsia="Times New Roman" w:hAnsi="Cambria"/>
          <w:bCs/>
          <w:sz w:val="20"/>
          <w:szCs w:val="20"/>
          <w:bdr w:val="none" w:sz="0" w:space="0" w:color="auto"/>
          <w:lang w:val="es-ES"/>
        </w:rPr>
        <w:t xml:space="preserve"> </w:t>
      </w:r>
      <w:r w:rsidR="00025EE4" w:rsidRPr="00A16D62">
        <w:rPr>
          <w:rFonts w:ascii="Cambria" w:eastAsia="Times New Roman" w:hAnsi="Cambria"/>
          <w:bCs/>
          <w:sz w:val="20"/>
          <w:szCs w:val="20"/>
          <w:bdr w:val="none" w:sz="0" w:space="0" w:color="auto"/>
          <w:lang w:val="es-ES"/>
        </w:rPr>
        <w:t xml:space="preserve">no ha asegurado su debida aplicación por las autoridades </w:t>
      </w:r>
      <w:r w:rsidR="00B63FDE" w:rsidRPr="00A16D62">
        <w:rPr>
          <w:rFonts w:ascii="Cambria" w:eastAsia="Times New Roman" w:hAnsi="Cambria"/>
          <w:bCs/>
          <w:sz w:val="20"/>
          <w:szCs w:val="20"/>
          <w:bdr w:val="none" w:sz="0" w:space="0" w:color="auto"/>
          <w:lang w:val="es-ES"/>
        </w:rPr>
        <w:t>judiciale</w:t>
      </w:r>
      <w:r w:rsidR="00025EE4" w:rsidRPr="00A16D62">
        <w:rPr>
          <w:rFonts w:ascii="Cambria" w:eastAsia="Times New Roman" w:hAnsi="Cambria"/>
          <w:bCs/>
          <w:sz w:val="20"/>
          <w:szCs w:val="20"/>
          <w:bdr w:val="none" w:sz="0" w:space="0" w:color="auto"/>
          <w:lang w:val="es-ES"/>
        </w:rPr>
        <w:t>s</w:t>
      </w:r>
      <w:r w:rsidR="00B63FDE" w:rsidRPr="00A16D62">
        <w:rPr>
          <w:rStyle w:val="FootnoteReference"/>
          <w:rFonts w:ascii="Cambria" w:eastAsia="Times New Roman" w:hAnsi="Cambria"/>
          <w:bCs/>
          <w:sz w:val="20"/>
          <w:szCs w:val="20"/>
          <w:bdr w:val="none" w:sz="0" w:space="0" w:color="auto"/>
          <w:lang w:val="es-ES"/>
        </w:rPr>
        <w:footnoteReference w:id="123"/>
      </w:r>
      <w:r w:rsidR="00025EE4" w:rsidRPr="00A16D62">
        <w:rPr>
          <w:rFonts w:ascii="Cambria" w:eastAsia="Times New Roman" w:hAnsi="Cambria"/>
          <w:bCs/>
          <w:sz w:val="20"/>
          <w:szCs w:val="20"/>
          <w:bdr w:val="none" w:sz="0" w:space="0" w:color="auto"/>
          <w:lang w:val="es-ES"/>
        </w:rPr>
        <w:t>.</w:t>
      </w:r>
      <w:r w:rsidR="00B63FDE" w:rsidRPr="00A16D62">
        <w:rPr>
          <w:rFonts w:ascii="Cambria" w:eastAsia="Times New Roman" w:hAnsi="Cambria"/>
          <w:bCs/>
          <w:sz w:val="20"/>
          <w:szCs w:val="20"/>
          <w:bdr w:val="none" w:sz="0" w:space="0" w:color="auto"/>
          <w:lang w:val="es-ES"/>
        </w:rPr>
        <w:t xml:space="preserve"> </w:t>
      </w:r>
    </w:p>
    <w:p w:rsidR="00833F55" w:rsidRPr="00A16D62" w:rsidRDefault="00833F55" w:rsidP="00833F55">
      <w:pPr>
        <w:pStyle w:val="ListParagraph"/>
        <w:rPr>
          <w:rFonts w:eastAsia="Times New Roman"/>
          <w:bCs/>
          <w:sz w:val="20"/>
          <w:szCs w:val="20"/>
          <w:bdr w:val="none" w:sz="0" w:space="0" w:color="auto"/>
          <w:lang w:val="es-ES"/>
        </w:rPr>
      </w:pPr>
    </w:p>
    <w:p w:rsidR="00501C6F" w:rsidRPr="00A16D62" w:rsidRDefault="00025EE4" w:rsidP="0095413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Por lo tanto, cuando el aparato del </w:t>
      </w:r>
      <w:r w:rsidR="00180125" w:rsidRPr="00A16D62">
        <w:rPr>
          <w:rFonts w:ascii="Cambria" w:eastAsia="Times New Roman" w:hAnsi="Cambria"/>
          <w:bCs/>
          <w:sz w:val="20"/>
          <w:szCs w:val="20"/>
          <w:bdr w:val="none" w:sz="0" w:space="0" w:color="auto"/>
          <w:lang w:val="es-ES"/>
        </w:rPr>
        <w:t>Estado</w:t>
      </w:r>
      <w:r w:rsidR="00AD19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deja violaciones de </w:t>
      </w:r>
      <w:r w:rsidR="006F4DC1" w:rsidRPr="00A16D62">
        <w:rPr>
          <w:rFonts w:ascii="Cambria" w:eastAsia="Times New Roman" w:hAnsi="Cambria"/>
          <w:bCs/>
          <w:sz w:val="20"/>
          <w:szCs w:val="20"/>
          <w:bdr w:val="none" w:sz="0" w:space="0" w:color="auto"/>
          <w:lang w:val="es-ES"/>
        </w:rPr>
        <w:t>derechos humanos</w:t>
      </w:r>
      <w:r w:rsidR="00AD19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sin sancionar y no se restablece con prontitud el pleno goce de los </w:t>
      </w:r>
      <w:r w:rsidR="006F4DC1" w:rsidRPr="00A16D62">
        <w:rPr>
          <w:rFonts w:ascii="Cambria" w:eastAsia="Times New Roman" w:hAnsi="Cambria"/>
          <w:bCs/>
          <w:sz w:val="20"/>
          <w:szCs w:val="20"/>
          <w:bdr w:val="none" w:sz="0" w:space="0" w:color="auto"/>
          <w:lang w:val="es-ES"/>
        </w:rPr>
        <w:t>derechos humanos</w:t>
      </w:r>
      <w:r w:rsidR="00AD19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 la víctima, </w:t>
      </w:r>
      <w:r w:rsidR="00180125" w:rsidRPr="00A16D62">
        <w:rPr>
          <w:rFonts w:ascii="Cambria" w:eastAsia="Times New Roman" w:hAnsi="Cambria"/>
          <w:bCs/>
          <w:sz w:val="20"/>
          <w:szCs w:val="20"/>
          <w:bdr w:val="none" w:sz="0" w:space="0" w:color="auto"/>
          <w:lang w:val="es-ES"/>
        </w:rPr>
        <w:t>el Estado</w:t>
      </w:r>
      <w:r w:rsidR="00AD19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no está cumpliendo sus deberes</w:t>
      </w:r>
      <w:r w:rsidR="00AD1988" w:rsidRPr="00A16D62">
        <w:rPr>
          <w:rFonts w:ascii="Cambria" w:eastAsia="Times New Roman" w:hAnsi="Cambria"/>
          <w:bCs/>
          <w:sz w:val="20"/>
          <w:szCs w:val="20"/>
          <w:bdr w:val="none" w:sz="0" w:space="0" w:color="auto"/>
          <w:lang w:val="es-ES"/>
        </w:rPr>
        <w:t xml:space="preserve"> positiv</w:t>
      </w:r>
      <w:r w:rsidRPr="00A16D62">
        <w:rPr>
          <w:rFonts w:ascii="Cambria" w:eastAsia="Times New Roman" w:hAnsi="Cambria"/>
          <w:bCs/>
          <w:sz w:val="20"/>
          <w:szCs w:val="20"/>
          <w:bdr w:val="none" w:sz="0" w:space="0" w:color="auto"/>
          <w:lang w:val="es-ES"/>
        </w:rPr>
        <w:t xml:space="preserve">os con arreglo al </w:t>
      </w:r>
      <w:r w:rsidR="00DD7722" w:rsidRPr="00A16D62">
        <w:rPr>
          <w:rFonts w:ascii="Cambria" w:eastAsia="Times New Roman" w:hAnsi="Cambria"/>
          <w:bCs/>
          <w:sz w:val="20"/>
          <w:szCs w:val="20"/>
          <w:bdr w:val="none" w:sz="0" w:space="0" w:color="auto"/>
          <w:lang w:val="es-ES"/>
        </w:rPr>
        <w:t>derecho internacional de los derechos humanos</w:t>
      </w:r>
      <w:r w:rsidR="00AD1988" w:rsidRPr="00A16D62">
        <w:rPr>
          <w:rFonts w:ascii="Cambria" w:eastAsia="Times New Roman" w:hAnsi="Cambria"/>
          <w:bCs/>
          <w:sz w:val="20"/>
          <w:szCs w:val="20"/>
          <w:bdr w:val="none" w:sz="0" w:space="0" w:color="auto"/>
          <w:vertAlign w:val="superscript"/>
          <w:lang w:val="es-ES"/>
        </w:rPr>
        <w:footnoteReference w:id="124"/>
      </w:r>
      <w:r w:rsidRPr="00A16D62">
        <w:rPr>
          <w:rFonts w:ascii="Cambria" w:eastAsia="Times New Roman" w:hAnsi="Cambria"/>
          <w:bCs/>
          <w:sz w:val="20"/>
          <w:szCs w:val="20"/>
          <w:bdr w:val="none" w:sz="0" w:space="0" w:color="auto"/>
          <w:lang w:val="es-ES"/>
        </w:rPr>
        <w:t>. El mismo principio se aplica cuando el</w:t>
      </w:r>
      <w:r w:rsidR="00AD1988"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Estado</w:t>
      </w:r>
      <w:r w:rsidR="00AD19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permite que los particulares actúen libremente y con impunidad en detrimento de los derechos reconocidos en los instrumentos que rigen el sistema interamericano de derechos humanos.</w:t>
      </w:r>
    </w:p>
    <w:p w:rsidR="00D82092" w:rsidRPr="00A16D62" w:rsidRDefault="00D82092" w:rsidP="00D8209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7F2EE0" w:rsidRPr="00A16D62" w:rsidRDefault="00180125" w:rsidP="007F2E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La Comisión</w:t>
      </w:r>
      <w:r w:rsidR="007F2EE0" w:rsidRPr="00A16D62">
        <w:rPr>
          <w:rFonts w:ascii="Cambria" w:eastAsia="Times New Roman" w:hAnsi="Cambria"/>
          <w:bCs/>
          <w:sz w:val="20"/>
          <w:szCs w:val="20"/>
          <w:bdr w:val="none" w:sz="0" w:space="0" w:color="auto"/>
          <w:lang w:val="es-ES"/>
        </w:rPr>
        <w:t xml:space="preserve"> </w:t>
      </w:r>
      <w:r w:rsidR="00CD6986" w:rsidRPr="00A16D62">
        <w:rPr>
          <w:rFonts w:ascii="Cambria" w:eastAsia="Times New Roman" w:hAnsi="Cambria"/>
          <w:bCs/>
          <w:sz w:val="20"/>
          <w:szCs w:val="20"/>
          <w:bdr w:val="none" w:sz="0" w:space="0" w:color="auto"/>
          <w:lang w:val="es-ES"/>
        </w:rPr>
        <w:t xml:space="preserve">sostiene además que hay una conexión directa entre la idoneidad de los recursos judiciales disponibles, mencionados anteriormente, y la posibilidad real de la observancia de los derechos </w:t>
      </w:r>
      <w:r w:rsidR="007F2EE0" w:rsidRPr="00A16D62">
        <w:rPr>
          <w:rFonts w:ascii="Cambria" w:eastAsia="Times New Roman" w:hAnsi="Cambria"/>
          <w:bCs/>
          <w:sz w:val="20"/>
          <w:szCs w:val="20"/>
          <w:bdr w:val="none" w:sz="0" w:space="0" w:color="auto"/>
          <w:lang w:val="es-ES"/>
        </w:rPr>
        <w:t>econ</w:t>
      </w:r>
      <w:r w:rsidR="00CD6986" w:rsidRPr="00A16D62">
        <w:rPr>
          <w:rFonts w:ascii="Cambria" w:eastAsia="Times New Roman" w:hAnsi="Cambria"/>
          <w:bCs/>
          <w:sz w:val="20"/>
          <w:szCs w:val="20"/>
          <w:bdr w:val="none" w:sz="0" w:space="0" w:color="auto"/>
          <w:lang w:val="es-ES"/>
        </w:rPr>
        <w:t>ó</w:t>
      </w:r>
      <w:r w:rsidR="007F2EE0" w:rsidRPr="00A16D62">
        <w:rPr>
          <w:rFonts w:ascii="Cambria" w:eastAsia="Times New Roman" w:hAnsi="Cambria"/>
          <w:bCs/>
          <w:sz w:val="20"/>
          <w:szCs w:val="20"/>
          <w:bdr w:val="none" w:sz="0" w:space="0" w:color="auto"/>
          <w:lang w:val="es-ES"/>
        </w:rPr>
        <w:t>mic</w:t>
      </w:r>
      <w:r w:rsidR="00CD6986" w:rsidRPr="00A16D62">
        <w:rPr>
          <w:rFonts w:ascii="Cambria" w:eastAsia="Times New Roman" w:hAnsi="Cambria"/>
          <w:bCs/>
          <w:sz w:val="20"/>
          <w:szCs w:val="20"/>
          <w:bdr w:val="none" w:sz="0" w:space="0" w:color="auto"/>
          <w:lang w:val="es-ES"/>
        </w:rPr>
        <w:t>os</w:t>
      </w:r>
      <w:r w:rsidR="007F2EE0" w:rsidRPr="00A16D62">
        <w:rPr>
          <w:rFonts w:ascii="Cambria" w:eastAsia="Times New Roman" w:hAnsi="Cambria"/>
          <w:bCs/>
          <w:sz w:val="20"/>
          <w:szCs w:val="20"/>
          <w:bdr w:val="none" w:sz="0" w:space="0" w:color="auto"/>
          <w:lang w:val="es-ES"/>
        </w:rPr>
        <w:t>, social</w:t>
      </w:r>
      <w:r w:rsidR="00CD6986" w:rsidRPr="00A16D62">
        <w:rPr>
          <w:rFonts w:ascii="Cambria" w:eastAsia="Times New Roman" w:hAnsi="Cambria"/>
          <w:bCs/>
          <w:sz w:val="20"/>
          <w:szCs w:val="20"/>
          <w:bdr w:val="none" w:sz="0" w:space="0" w:color="auto"/>
          <w:lang w:val="es-ES"/>
        </w:rPr>
        <w:t xml:space="preserve">es y </w:t>
      </w:r>
      <w:r w:rsidR="007F2EE0" w:rsidRPr="00A16D62">
        <w:rPr>
          <w:rFonts w:ascii="Cambria" w:eastAsia="Times New Roman" w:hAnsi="Cambria"/>
          <w:bCs/>
          <w:sz w:val="20"/>
          <w:szCs w:val="20"/>
          <w:bdr w:val="none" w:sz="0" w:space="0" w:color="auto"/>
          <w:lang w:val="es-ES"/>
        </w:rPr>
        <w:t>cultural</w:t>
      </w:r>
      <w:r w:rsidR="00CD6986" w:rsidRPr="00A16D62">
        <w:rPr>
          <w:rFonts w:ascii="Cambria" w:eastAsia="Times New Roman" w:hAnsi="Cambria"/>
          <w:bCs/>
          <w:sz w:val="20"/>
          <w:szCs w:val="20"/>
          <w:bdr w:val="none" w:sz="0" w:space="0" w:color="auto"/>
          <w:lang w:val="es-ES"/>
        </w:rPr>
        <w:t>es</w:t>
      </w:r>
      <w:r w:rsidR="007F2EE0" w:rsidRPr="00A16D62">
        <w:rPr>
          <w:rFonts w:ascii="Cambria" w:eastAsia="Times New Roman" w:hAnsi="Cambria"/>
          <w:bCs/>
          <w:sz w:val="20"/>
          <w:szCs w:val="20"/>
          <w:bdr w:val="none" w:sz="0" w:space="0" w:color="auto"/>
          <w:lang w:val="es-ES"/>
        </w:rPr>
        <w:t xml:space="preserve">. </w:t>
      </w:r>
      <w:r w:rsidR="001C1F5D" w:rsidRPr="00A16D62">
        <w:rPr>
          <w:rFonts w:ascii="Cambria" w:eastAsia="Times New Roman" w:hAnsi="Cambria"/>
          <w:bCs/>
          <w:sz w:val="20"/>
          <w:szCs w:val="20"/>
          <w:bdr w:val="none" w:sz="0" w:space="0" w:color="auto"/>
          <w:lang w:val="es-ES"/>
        </w:rPr>
        <w:t>La CIDH</w:t>
      </w:r>
      <w:r w:rsidR="007F2EE0" w:rsidRPr="00A16D62">
        <w:rPr>
          <w:rFonts w:ascii="Cambria" w:eastAsia="Times New Roman" w:hAnsi="Cambria"/>
          <w:bCs/>
          <w:sz w:val="20"/>
          <w:szCs w:val="20"/>
          <w:bdr w:val="none" w:sz="0" w:space="0" w:color="auto"/>
          <w:lang w:val="es-ES"/>
        </w:rPr>
        <w:t xml:space="preserve"> ha</w:t>
      </w:r>
      <w:r w:rsidR="00CD6986" w:rsidRPr="00A16D62">
        <w:rPr>
          <w:rFonts w:ascii="Cambria" w:eastAsia="Times New Roman" w:hAnsi="Cambria"/>
          <w:bCs/>
          <w:sz w:val="20"/>
          <w:szCs w:val="20"/>
          <w:bdr w:val="none" w:sz="0" w:space="0" w:color="auto"/>
          <w:lang w:val="es-ES"/>
        </w:rPr>
        <w:t xml:space="preserve"> señalado que el principio de la igualdad de armas forma parte del </w:t>
      </w:r>
      <w:r w:rsidR="007E4498" w:rsidRPr="00A16D62">
        <w:rPr>
          <w:rFonts w:ascii="Cambria" w:eastAsia="Times New Roman" w:hAnsi="Cambria"/>
          <w:bCs/>
          <w:sz w:val="20"/>
          <w:szCs w:val="20"/>
          <w:bdr w:val="none" w:sz="0" w:space="0" w:color="auto"/>
          <w:lang w:val="es-ES"/>
        </w:rPr>
        <w:t>derecho de justicia</w:t>
      </w:r>
      <w:r w:rsidR="007F2EE0" w:rsidRPr="00A16D62">
        <w:rPr>
          <w:rFonts w:ascii="Cambria" w:eastAsia="Times New Roman" w:hAnsi="Cambria"/>
          <w:bCs/>
          <w:sz w:val="20"/>
          <w:szCs w:val="20"/>
          <w:bdr w:val="none" w:sz="0" w:space="0" w:color="auto"/>
          <w:lang w:val="es-ES"/>
        </w:rPr>
        <w:t xml:space="preserve">, </w:t>
      </w:r>
      <w:r w:rsidR="00CD6986" w:rsidRPr="00A16D62">
        <w:rPr>
          <w:rFonts w:ascii="Cambria" w:eastAsia="Times New Roman" w:hAnsi="Cambria"/>
          <w:bCs/>
          <w:sz w:val="20"/>
          <w:szCs w:val="20"/>
          <w:bdr w:val="none" w:sz="0" w:space="0" w:color="auto"/>
          <w:lang w:val="es-ES"/>
        </w:rPr>
        <w:t>en vista de que los tipos de relaciones que se rigen por derechos</w:t>
      </w:r>
      <w:r w:rsidR="007F2EE0" w:rsidRPr="00A16D62">
        <w:rPr>
          <w:rFonts w:ascii="Cambria" w:eastAsia="Times New Roman" w:hAnsi="Cambria"/>
          <w:bCs/>
          <w:sz w:val="20"/>
          <w:szCs w:val="20"/>
          <w:bdr w:val="none" w:sz="0" w:space="0" w:color="auto"/>
          <w:lang w:val="es-ES"/>
        </w:rPr>
        <w:t xml:space="preserve"> social</w:t>
      </w:r>
      <w:r w:rsidR="00CD6986" w:rsidRPr="00A16D62">
        <w:rPr>
          <w:rFonts w:ascii="Cambria" w:eastAsia="Times New Roman" w:hAnsi="Cambria"/>
          <w:bCs/>
          <w:sz w:val="20"/>
          <w:szCs w:val="20"/>
          <w:bdr w:val="none" w:sz="0" w:space="0" w:color="auto"/>
          <w:lang w:val="es-ES"/>
        </w:rPr>
        <w:t xml:space="preserve">es por lo general generan y presuponen condiciones de desigualdad entre las partes en una controversia, como entre </w:t>
      </w:r>
      <w:r w:rsidR="007B4310" w:rsidRPr="00A16D62">
        <w:rPr>
          <w:rFonts w:ascii="Cambria" w:eastAsia="Times New Roman" w:hAnsi="Cambria"/>
          <w:bCs/>
          <w:sz w:val="20"/>
          <w:szCs w:val="20"/>
          <w:bdr w:val="none" w:sz="0" w:space="0" w:color="auto"/>
          <w:lang w:val="es-ES"/>
        </w:rPr>
        <w:t>trabajadores</w:t>
      </w:r>
      <w:r w:rsidR="007F2EE0" w:rsidRPr="00A16D62">
        <w:rPr>
          <w:rFonts w:ascii="Cambria" w:eastAsia="Times New Roman" w:hAnsi="Cambria"/>
          <w:bCs/>
          <w:sz w:val="20"/>
          <w:szCs w:val="20"/>
          <w:bdr w:val="none" w:sz="0" w:space="0" w:color="auto"/>
          <w:lang w:val="es-ES"/>
        </w:rPr>
        <w:t xml:space="preserve"> </w:t>
      </w:r>
      <w:r w:rsidR="00CD6986" w:rsidRPr="00A16D62">
        <w:rPr>
          <w:rFonts w:ascii="Cambria" w:eastAsia="Times New Roman" w:hAnsi="Cambria"/>
          <w:bCs/>
          <w:sz w:val="20"/>
          <w:szCs w:val="20"/>
          <w:bdr w:val="none" w:sz="0" w:space="0" w:color="auto"/>
          <w:lang w:val="es-ES"/>
        </w:rPr>
        <w:t>y</w:t>
      </w:r>
      <w:r w:rsidR="007F2EE0" w:rsidRPr="00A16D62">
        <w:rPr>
          <w:rFonts w:ascii="Cambria" w:eastAsia="Times New Roman" w:hAnsi="Cambria"/>
          <w:bCs/>
          <w:sz w:val="20"/>
          <w:szCs w:val="20"/>
          <w:bdr w:val="none" w:sz="0" w:space="0" w:color="auto"/>
          <w:lang w:val="es-ES"/>
        </w:rPr>
        <w:t xml:space="preserve"> </w:t>
      </w:r>
      <w:r w:rsidR="000F4EF8" w:rsidRPr="00A16D62">
        <w:rPr>
          <w:rFonts w:ascii="Cambria" w:eastAsia="Times New Roman" w:hAnsi="Cambria"/>
          <w:bCs/>
          <w:sz w:val="20"/>
          <w:szCs w:val="20"/>
          <w:bdr w:val="none" w:sz="0" w:space="0" w:color="auto"/>
          <w:lang w:val="es-ES"/>
        </w:rPr>
        <w:t>empleadores</w:t>
      </w:r>
      <w:r w:rsidR="007F2EE0" w:rsidRPr="00A16D62">
        <w:rPr>
          <w:rFonts w:ascii="Cambria" w:eastAsia="Times New Roman" w:hAnsi="Cambria"/>
          <w:bCs/>
          <w:sz w:val="20"/>
          <w:szCs w:val="20"/>
          <w:bdr w:val="none" w:sz="0" w:space="0" w:color="auto"/>
          <w:lang w:val="es-ES"/>
        </w:rPr>
        <w:t xml:space="preserve"> o</w:t>
      </w:r>
      <w:r w:rsidR="00CD6986" w:rsidRPr="00A16D62">
        <w:rPr>
          <w:rFonts w:ascii="Cambria" w:eastAsia="Times New Roman" w:hAnsi="Cambria"/>
          <w:bCs/>
          <w:sz w:val="20"/>
          <w:szCs w:val="20"/>
          <w:bdr w:val="none" w:sz="0" w:space="0" w:color="auto"/>
          <w:lang w:val="es-ES"/>
        </w:rPr>
        <w:t xml:space="preserve"> entre el beneficiario de un servicio </w:t>
      </w:r>
      <w:r w:rsidR="007F2EE0" w:rsidRPr="00A16D62">
        <w:rPr>
          <w:rFonts w:ascii="Cambria" w:eastAsia="Times New Roman" w:hAnsi="Cambria"/>
          <w:bCs/>
          <w:sz w:val="20"/>
          <w:szCs w:val="20"/>
          <w:bdr w:val="none" w:sz="0" w:space="0" w:color="auto"/>
          <w:lang w:val="es-ES"/>
        </w:rPr>
        <w:t xml:space="preserve">social </w:t>
      </w:r>
      <w:r w:rsidR="00CD6986" w:rsidRPr="00A16D62">
        <w:rPr>
          <w:rFonts w:ascii="Cambria" w:eastAsia="Times New Roman" w:hAnsi="Cambria"/>
          <w:bCs/>
          <w:sz w:val="20"/>
          <w:szCs w:val="20"/>
          <w:bdr w:val="none" w:sz="0" w:space="0" w:color="auto"/>
          <w:lang w:val="es-ES"/>
        </w:rPr>
        <w:t xml:space="preserve">y </w:t>
      </w:r>
      <w:r w:rsidRPr="00A16D62">
        <w:rPr>
          <w:rFonts w:ascii="Cambria" w:eastAsia="Times New Roman" w:hAnsi="Cambria"/>
          <w:bCs/>
          <w:sz w:val="20"/>
          <w:szCs w:val="20"/>
          <w:bdr w:val="none" w:sz="0" w:space="0" w:color="auto"/>
          <w:lang w:val="es-ES"/>
        </w:rPr>
        <w:t>el Estado</w:t>
      </w:r>
      <w:r w:rsidR="007F2EE0" w:rsidRPr="00A16D62">
        <w:rPr>
          <w:rFonts w:ascii="Cambria" w:eastAsia="Times New Roman" w:hAnsi="Cambria"/>
          <w:bCs/>
          <w:sz w:val="20"/>
          <w:szCs w:val="20"/>
          <w:bdr w:val="none" w:sz="0" w:space="0" w:color="auto"/>
          <w:lang w:val="es-ES"/>
        </w:rPr>
        <w:t xml:space="preserve"> </w:t>
      </w:r>
      <w:r w:rsidR="00CD6986" w:rsidRPr="00A16D62">
        <w:rPr>
          <w:rFonts w:ascii="Cambria" w:eastAsia="Times New Roman" w:hAnsi="Cambria"/>
          <w:bCs/>
          <w:sz w:val="20"/>
          <w:szCs w:val="20"/>
          <w:bdr w:val="none" w:sz="0" w:space="0" w:color="auto"/>
          <w:lang w:val="es-ES"/>
        </w:rPr>
        <w:t>que lo provee. Esa desigualdad</w:t>
      </w:r>
      <w:r w:rsidR="007F2EE0" w:rsidRPr="00A16D62">
        <w:rPr>
          <w:rFonts w:ascii="Cambria" w:eastAsia="Times New Roman" w:hAnsi="Cambria"/>
          <w:bCs/>
          <w:sz w:val="20"/>
          <w:szCs w:val="20"/>
          <w:bdr w:val="none" w:sz="0" w:space="0" w:color="auto"/>
          <w:lang w:val="es-ES"/>
        </w:rPr>
        <w:t xml:space="preserve"> </w:t>
      </w:r>
      <w:r w:rsidR="00CD6986" w:rsidRPr="00A16D62">
        <w:rPr>
          <w:rFonts w:ascii="Cambria" w:eastAsia="Times New Roman" w:hAnsi="Cambria"/>
          <w:bCs/>
          <w:sz w:val="20"/>
          <w:szCs w:val="20"/>
          <w:bdr w:val="none" w:sz="0" w:space="0" w:color="auto"/>
          <w:lang w:val="es-ES"/>
        </w:rPr>
        <w:t>suele traducirse en desventajas en el marco de los procedimientos</w:t>
      </w:r>
      <w:r w:rsidR="007F2EE0" w:rsidRPr="00A16D62">
        <w:rPr>
          <w:rFonts w:ascii="Cambria" w:eastAsia="Times New Roman" w:hAnsi="Cambria"/>
          <w:bCs/>
          <w:sz w:val="20"/>
          <w:szCs w:val="20"/>
          <w:bdr w:val="none" w:sz="0" w:space="0" w:color="auto"/>
          <w:lang w:val="es-ES"/>
        </w:rPr>
        <w:t xml:space="preserve"> judicial</w:t>
      </w:r>
      <w:r w:rsidR="00CD6986" w:rsidRPr="00A16D62">
        <w:rPr>
          <w:rFonts w:ascii="Cambria" w:eastAsia="Times New Roman" w:hAnsi="Cambria"/>
          <w:bCs/>
          <w:sz w:val="20"/>
          <w:szCs w:val="20"/>
          <w:bdr w:val="none" w:sz="0" w:space="0" w:color="auto"/>
          <w:lang w:val="es-ES"/>
        </w:rPr>
        <w:t>es</w:t>
      </w:r>
      <w:r w:rsidR="007F2EE0" w:rsidRPr="00A16D62">
        <w:rPr>
          <w:rStyle w:val="FootnoteReference"/>
          <w:rFonts w:ascii="Cambria" w:eastAsia="Times New Roman" w:hAnsi="Cambria"/>
          <w:bCs/>
          <w:sz w:val="20"/>
          <w:szCs w:val="20"/>
          <w:bdr w:val="none" w:sz="0" w:space="0" w:color="auto"/>
          <w:lang w:val="es-ES"/>
        </w:rPr>
        <w:footnoteReference w:id="125"/>
      </w:r>
      <w:r w:rsidR="00CD6986" w:rsidRPr="00A16D62">
        <w:rPr>
          <w:rFonts w:ascii="Cambria" w:eastAsia="Times New Roman" w:hAnsi="Cambria"/>
          <w:bCs/>
          <w:sz w:val="20"/>
          <w:szCs w:val="20"/>
          <w:bdr w:val="none" w:sz="0" w:space="0" w:color="auto"/>
          <w:lang w:val="es-ES"/>
        </w:rPr>
        <w:t>.</w:t>
      </w:r>
    </w:p>
    <w:p w:rsidR="007F2EE0" w:rsidRPr="00A16D62" w:rsidRDefault="007F2EE0" w:rsidP="007F2EE0">
      <w:pPr>
        <w:pStyle w:val="ListParagraph"/>
        <w:rPr>
          <w:rFonts w:eastAsia="Times New Roman"/>
          <w:bCs/>
          <w:sz w:val="20"/>
          <w:szCs w:val="20"/>
          <w:bdr w:val="none" w:sz="0" w:space="0" w:color="auto"/>
          <w:lang w:val="es-ES"/>
        </w:rPr>
      </w:pPr>
    </w:p>
    <w:p w:rsidR="007F2EE0" w:rsidRPr="00A16D62" w:rsidRDefault="007F2EE0" w:rsidP="007F2E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 </w:t>
      </w:r>
      <w:r w:rsidR="001C1F5D" w:rsidRPr="00A16D62">
        <w:rPr>
          <w:rFonts w:ascii="Cambria" w:eastAsia="Times New Roman" w:hAnsi="Cambria"/>
          <w:bCs/>
          <w:sz w:val="20"/>
          <w:szCs w:val="20"/>
          <w:bdr w:val="none" w:sz="0" w:space="0" w:color="auto"/>
          <w:lang w:val="es-ES"/>
        </w:rPr>
        <w:t>La CIDH</w:t>
      </w:r>
      <w:r w:rsidR="00627CB1" w:rsidRPr="00A16D62">
        <w:rPr>
          <w:rFonts w:ascii="Cambria" w:eastAsia="Times New Roman" w:hAnsi="Cambria"/>
          <w:bCs/>
          <w:sz w:val="20"/>
          <w:szCs w:val="20"/>
          <w:bdr w:val="none" w:sz="0" w:space="0" w:color="auto"/>
          <w:lang w:val="es-ES"/>
        </w:rPr>
        <w:t xml:space="preserve"> consider</w:t>
      </w:r>
      <w:r w:rsidR="00CD6986" w:rsidRPr="00A16D62">
        <w:rPr>
          <w:rFonts w:ascii="Cambria" w:eastAsia="Times New Roman" w:hAnsi="Cambria"/>
          <w:bCs/>
          <w:sz w:val="20"/>
          <w:szCs w:val="20"/>
          <w:bdr w:val="none" w:sz="0" w:space="0" w:color="auto"/>
          <w:lang w:val="es-ES"/>
        </w:rPr>
        <w:t>a que la desigualdad</w:t>
      </w:r>
      <w:r w:rsidR="00627CB1" w:rsidRPr="00A16D62">
        <w:rPr>
          <w:rFonts w:ascii="Cambria" w:eastAsia="Times New Roman" w:hAnsi="Cambria"/>
          <w:bCs/>
          <w:sz w:val="20"/>
          <w:szCs w:val="20"/>
          <w:bdr w:val="none" w:sz="0" w:space="0" w:color="auto"/>
          <w:lang w:val="es-ES"/>
        </w:rPr>
        <w:t xml:space="preserve"> </w:t>
      </w:r>
      <w:r w:rsidR="00CD6986" w:rsidRPr="00A16D62">
        <w:rPr>
          <w:rFonts w:ascii="Cambria" w:eastAsia="Times New Roman" w:hAnsi="Cambria"/>
          <w:bCs/>
          <w:sz w:val="20"/>
          <w:szCs w:val="20"/>
          <w:bdr w:val="none" w:sz="0" w:space="0" w:color="auto"/>
          <w:lang w:val="es-ES"/>
        </w:rPr>
        <w:t>real entre las partes</w:t>
      </w:r>
      <w:r w:rsidR="00627CB1" w:rsidRPr="00A16D62">
        <w:rPr>
          <w:rFonts w:ascii="Cambria" w:eastAsia="Times New Roman" w:hAnsi="Cambria"/>
          <w:bCs/>
          <w:sz w:val="20"/>
          <w:szCs w:val="20"/>
          <w:bdr w:val="none" w:sz="0" w:space="0" w:color="auto"/>
          <w:lang w:val="es-ES"/>
        </w:rPr>
        <w:t xml:space="preserve"> </w:t>
      </w:r>
      <w:r w:rsidR="00CD6986" w:rsidRPr="00A16D62">
        <w:rPr>
          <w:rFonts w:ascii="Cambria" w:eastAsia="Times New Roman" w:hAnsi="Cambria"/>
          <w:bCs/>
          <w:sz w:val="20"/>
          <w:szCs w:val="20"/>
          <w:bdr w:val="none" w:sz="0" w:space="0" w:color="auto"/>
          <w:lang w:val="es-ES"/>
        </w:rPr>
        <w:t xml:space="preserve">en un procedimiento da lugar al deber del </w:t>
      </w:r>
      <w:r w:rsidR="00180125" w:rsidRPr="00A16D62">
        <w:rPr>
          <w:rFonts w:ascii="Cambria" w:eastAsia="Times New Roman" w:hAnsi="Cambria"/>
          <w:bCs/>
          <w:sz w:val="20"/>
          <w:szCs w:val="20"/>
          <w:bdr w:val="none" w:sz="0" w:space="0" w:color="auto"/>
          <w:lang w:val="es-ES"/>
        </w:rPr>
        <w:t>Estado</w:t>
      </w:r>
      <w:r w:rsidR="00627CB1" w:rsidRPr="00A16D62">
        <w:rPr>
          <w:rFonts w:ascii="Cambria" w:eastAsia="Times New Roman" w:hAnsi="Cambria"/>
          <w:bCs/>
          <w:sz w:val="20"/>
          <w:szCs w:val="20"/>
          <w:bdr w:val="none" w:sz="0" w:space="0" w:color="auto"/>
          <w:lang w:val="es-ES"/>
        </w:rPr>
        <w:t xml:space="preserve"> </w:t>
      </w:r>
      <w:r w:rsidR="00CD6986" w:rsidRPr="00A16D62">
        <w:rPr>
          <w:rFonts w:ascii="Cambria" w:eastAsia="Times New Roman" w:hAnsi="Cambria"/>
          <w:bCs/>
          <w:sz w:val="20"/>
          <w:szCs w:val="20"/>
          <w:bdr w:val="none" w:sz="0" w:space="0" w:color="auto"/>
          <w:lang w:val="es-ES"/>
        </w:rPr>
        <w:t xml:space="preserve">a tomar todas las medidas que sean necesarias para reducir las </w:t>
      </w:r>
      <w:r w:rsidR="00627CB1" w:rsidRPr="00A16D62">
        <w:rPr>
          <w:rFonts w:ascii="Cambria" w:eastAsia="Times New Roman" w:hAnsi="Cambria"/>
          <w:bCs/>
          <w:sz w:val="20"/>
          <w:szCs w:val="20"/>
          <w:bdr w:val="none" w:sz="0" w:space="0" w:color="auto"/>
          <w:lang w:val="es-ES"/>
        </w:rPr>
        <w:t>deficienci</w:t>
      </w:r>
      <w:r w:rsidR="00CD6986" w:rsidRPr="00A16D62">
        <w:rPr>
          <w:rFonts w:ascii="Cambria" w:eastAsia="Times New Roman" w:hAnsi="Cambria"/>
          <w:bCs/>
          <w:sz w:val="20"/>
          <w:szCs w:val="20"/>
          <w:bdr w:val="none" w:sz="0" w:space="0" w:color="auto"/>
          <w:lang w:val="es-ES"/>
        </w:rPr>
        <w:t>as que frustren la protección efectiva de los derechos que están en juego</w:t>
      </w:r>
      <w:r w:rsidR="00627CB1"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 Interamericana</w:t>
      </w:r>
      <w:r w:rsidR="00627CB1" w:rsidRPr="00A16D62">
        <w:rPr>
          <w:rFonts w:ascii="Cambria" w:eastAsia="Times New Roman" w:hAnsi="Cambria"/>
          <w:bCs/>
          <w:sz w:val="20"/>
          <w:szCs w:val="20"/>
          <w:bdr w:val="none" w:sz="0" w:space="0" w:color="auto"/>
          <w:lang w:val="es-ES"/>
        </w:rPr>
        <w:t xml:space="preserve"> ha</w:t>
      </w:r>
      <w:r w:rsidR="00CD6986" w:rsidRPr="00A16D62">
        <w:rPr>
          <w:rFonts w:ascii="Cambria" w:eastAsia="Times New Roman" w:hAnsi="Cambria"/>
          <w:bCs/>
          <w:sz w:val="20"/>
          <w:szCs w:val="20"/>
          <w:bdr w:val="none" w:sz="0" w:space="0" w:color="auto"/>
          <w:lang w:val="es-ES"/>
        </w:rPr>
        <w:t xml:space="preserve"> observado también que las circunstancias </w:t>
      </w:r>
      <w:r w:rsidR="00627CB1" w:rsidRPr="00A16D62">
        <w:rPr>
          <w:rFonts w:ascii="Cambria" w:eastAsia="Times New Roman" w:hAnsi="Cambria"/>
          <w:bCs/>
          <w:sz w:val="20"/>
          <w:szCs w:val="20"/>
          <w:bdr w:val="none" w:sz="0" w:space="0" w:color="auto"/>
          <w:lang w:val="es-ES"/>
        </w:rPr>
        <w:t>particular</w:t>
      </w:r>
      <w:r w:rsidR="00CD6986" w:rsidRPr="00A16D62">
        <w:rPr>
          <w:rFonts w:ascii="Cambria" w:eastAsia="Times New Roman" w:hAnsi="Cambria"/>
          <w:bCs/>
          <w:sz w:val="20"/>
          <w:szCs w:val="20"/>
          <w:bdr w:val="none" w:sz="0" w:space="0" w:color="auto"/>
          <w:lang w:val="es-ES"/>
        </w:rPr>
        <w:t>es de un caso podrían determinar la necesidad de ciertas garantías, además de las prescritas explícitamente en los instrumentos pertinentes de</w:t>
      </w:r>
      <w:r w:rsidR="00627CB1" w:rsidRPr="00A16D62">
        <w:rPr>
          <w:rFonts w:ascii="Cambria" w:eastAsia="Times New Roman" w:hAnsi="Cambria"/>
          <w:bCs/>
          <w:sz w:val="20"/>
          <w:szCs w:val="20"/>
          <w:bdr w:val="none" w:sz="0" w:space="0" w:color="auto"/>
          <w:lang w:val="es-ES"/>
        </w:rPr>
        <w:t xml:space="preserve"> </w:t>
      </w:r>
      <w:r w:rsidR="006F4DC1" w:rsidRPr="00A16D62">
        <w:rPr>
          <w:rFonts w:ascii="Cambria" w:eastAsia="Times New Roman" w:hAnsi="Cambria"/>
          <w:bCs/>
          <w:sz w:val="20"/>
          <w:szCs w:val="20"/>
          <w:bdr w:val="none" w:sz="0" w:space="0" w:color="auto"/>
          <w:lang w:val="es-ES"/>
        </w:rPr>
        <w:t>derechos humanos</w:t>
      </w:r>
      <w:r w:rsidR="00CD6986" w:rsidRPr="00A16D62">
        <w:rPr>
          <w:rFonts w:ascii="Cambria" w:eastAsia="Times New Roman" w:hAnsi="Cambria"/>
          <w:bCs/>
          <w:sz w:val="20"/>
          <w:szCs w:val="20"/>
          <w:bdr w:val="none" w:sz="0" w:space="0" w:color="auto"/>
          <w:lang w:val="es-ES"/>
        </w:rPr>
        <w:t xml:space="preserve">, para que haya un juicio imparcial. Para </w:t>
      </w:r>
      <w:r w:rsidR="001C1F5D" w:rsidRPr="00A16D62">
        <w:rPr>
          <w:rFonts w:ascii="Cambria" w:eastAsia="Times New Roman" w:hAnsi="Cambria"/>
          <w:bCs/>
          <w:sz w:val="20"/>
          <w:szCs w:val="20"/>
          <w:bdr w:val="none" w:sz="0" w:space="0" w:color="auto"/>
          <w:lang w:val="es-ES"/>
        </w:rPr>
        <w:t>la CIDH</w:t>
      </w:r>
      <w:r w:rsidR="00CD6986" w:rsidRPr="00A16D62">
        <w:rPr>
          <w:rFonts w:ascii="Cambria" w:eastAsia="Times New Roman" w:hAnsi="Cambria"/>
          <w:bCs/>
          <w:sz w:val="20"/>
          <w:szCs w:val="20"/>
          <w:bdr w:val="none" w:sz="0" w:space="0" w:color="auto"/>
          <w:lang w:val="es-ES"/>
        </w:rPr>
        <w:t xml:space="preserve">, esas garantías consisten en reconocer y corregir toda desventaja </w:t>
      </w:r>
      <w:r w:rsidR="00627CB1" w:rsidRPr="00A16D62">
        <w:rPr>
          <w:rFonts w:ascii="Cambria" w:eastAsia="Times New Roman" w:hAnsi="Cambria"/>
          <w:bCs/>
          <w:sz w:val="20"/>
          <w:szCs w:val="20"/>
          <w:bdr w:val="none" w:sz="0" w:space="0" w:color="auto"/>
          <w:lang w:val="es-ES"/>
        </w:rPr>
        <w:t xml:space="preserve">real </w:t>
      </w:r>
      <w:r w:rsidR="007C6B2C" w:rsidRPr="00A16D62">
        <w:rPr>
          <w:rFonts w:ascii="Cambria" w:eastAsia="Times New Roman" w:hAnsi="Cambria"/>
          <w:bCs/>
          <w:sz w:val="20"/>
          <w:szCs w:val="20"/>
          <w:bdr w:val="none" w:sz="0" w:space="0" w:color="auto"/>
          <w:lang w:val="es-ES"/>
        </w:rPr>
        <w:t>que las partes en un procedimiento podrían tener, observando de esta forma el principio</w:t>
      </w:r>
      <w:r w:rsidR="00627CB1" w:rsidRPr="00A16D62">
        <w:rPr>
          <w:rFonts w:ascii="Cambria" w:eastAsia="Times New Roman" w:hAnsi="Cambria"/>
          <w:bCs/>
          <w:sz w:val="20"/>
          <w:szCs w:val="20"/>
          <w:bdr w:val="none" w:sz="0" w:space="0" w:color="auto"/>
          <w:lang w:val="es-ES"/>
        </w:rPr>
        <w:t xml:space="preserve"> </w:t>
      </w:r>
      <w:r w:rsidR="007C6B2C" w:rsidRPr="00A16D62">
        <w:rPr>
          <w:rFonts w:ascii="Cambria" w:eastAsia="Times New Roman" w:hAnsi="Cambria"/>
          <w:bCs/>
          <w:sz w:val="20"/>
          <w:szCs w:val="20"/>
          <w:bdr w:val="none" w:sz="0" w:space="0" w:color="auto"/>
          <w:lang w:val="es-ES"/>
        </w:rPr>
        <w:t>de igualdad ante la ley</w:t>
      </w:r>
      <w:r w:rsidR="00627CB1" w:rsidRPr="00A16D62">
        <w:rPr>
          <w:rFonts w:ascii="Cambria" w:eastAsia="Times New Roman" w:hAnsi="Cambria"/>
          <w:bCs/>
          <w:sz w:val="20"/>
          <w:szCs w:val="20"/>
          <w:bdr w:val="none" w:sz="0" w:space="0" w:color="auto"/>
          <w:lang w:val="es-ES"/>
        </w:rPr>
        <w:t xml:space="preserve"> </w:t>
      </w:r>
      <w:r w:rsidR="007C6B2C" w:rsidRPr="00A16D62">
        <w:rPr>
          <w:rFonts w:ascii="Cambria" w:eastAsia="Times New Roman" w:hAnsi="Cambria"/>
          <w:bCs/>
          <w:sz w:val="20"/>
          <w:szCs w:val="20"/>
          <w:bdr w:val="none" w:sz="0" w:space="0" w:color="auto"/>
          <w:lang w:val="es-ES"/>
        </w:rPr>
        <w:t xml:space="preserve">y la prohibición de </w:t>
      </w:r>
      <w:r w:rsidR="00B8732F" w:rsidRPr="00A16D62">
        <w:rPr>
          <w:rFonts w:ascii="Cambria" w:eastAsia="Times New Roman" w:hAnsi="Cambria"/>
          <w:bCs/>
          <w:sz w:val="20"/>
          <w:szCs w:val="20"/>
          <w:bdr w:val="none" w:sz="0" w:space="0" w:color="auto"/>
          <w:lang w:val="es-ES"/>
        </w:rPr>
        <w:t>discrimina</w:t>
      </w:r>
      <w:r w:rsidR="007C6B2C" w:rsidRPr="00A16D62">
        <w:rPr>
          <w:rFonts w:ascii="Cambria" w:eastAsia="Times New Roman" w:hAnsi="Cambria"/>
          <w:bCs/>
          <w:sz w:val="20"/>
          <w:szCs w:val="20"/>
          <w:bdr w:val="none" w:sz="0" w:space="0" w:color="auto"/>
          <w:lang w:val="es-ES"/>
        </w:rPr>
        <w:t>r</w:t>
      </w:r>
      <w:r w:rsidR="00627CB1" w:rsidRPr="00A16D62">
        <w:rPr>
          <w:rStyle w:val="FootnoteReference"/>
          <w:rFonts w:ascii="Cambria" w:eastAsia="Times New Roman" w:hAnsi="Cambria"/>
          <w:bCs/>
          <w:sz w:val="20"/>
          <w:szCs w:val="20"/>
          <w:bdr w:val="none" w:sz="0" w:space="0" w:color="auto"/>
          <w:lang w:val="es-ES"/>
        </w:rPr>
        <w:footnoteReference w:id="126"/>
      </w:r>
      <w:r w:rsidR="007C6B2C" w:rsidRPr="00A16D62">
        <w:rPr>
          <w:rFonts w:ascii="Cambria" w:eastAsia="Times New Roman" w:hAnsi="Cambria"/>
          <w:bCs/>
          <w:sz w:val="20"/>
          <w:szCs w:val="20"/>
          <w:bdr w:val="none" w:sz="0" w:space="0" w:color="auto"/>
          <w:lang w:val="es-ES"/>
        </w:rPr>
        <w:t>.</w:t>
      </w:r>
    </w:p>
    <w:p w:rsidR="00AA4CE0" w:rsidRPr="00A16D62" w:rsidRDefault="00AA4CE0" w:rsidP="00AA4CE0">
      <w:pPr>
        <w:pStyle w:val="ListParagraph"/>
        <w:rPr>
          <w:rFonts w:eastAsia="Times New Roman"/>
          <w:bCs/>
          <w:sz w:val="20"/>
          <w:szCs w:val="20"/>
          <w:bdr w:val="none" w:sz="0" w:space="0" w:color="auto"/>
          <w:lang w:val="es-ES"/>
        </w:rPr>
      </w:pPr>
    </w:p>
    <w:p w:rsidR="00AA4CE0" w:rsidRPr="00A16D62" w:rsidRDefault="007C6B2C" w:rsidP="007F2E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el contexto de este caso en particular</w:t>
      </w:r>
      <w:r w:rsidR="00DC1AA6" w:rsidRPr="00A16D62">
        <w:rPr>
          <w:rFonts w:ascii="Cambria" w:eastAsia="Times New Roman" w:hAnsi="Cambria"/>
          <w:bCs/>
          <w:sz w:val="20"/>
          <w:szCs w:val="20"/>
          <w:bdr w:val="none" w:sz="0" w:space="0" w:color="auto"/>
          <w:lang w:val="es-ES"/>
        </w:rPr>
        <w:t xml:space="preserve">, </w:t>
      </w:r>
      <w:r w:rsidR="00D82092" w:rsidRPr="00A16D62">
        <w:rPr>
          <w:rFonts w:ascii="Cambria" w:eastAsia="Times New Roman" w:hAnsi="Cambria"/>
          <w:bCs/>
          <w:sz w:val="20"/>
          <w:szCs w:val="20"/>
          <w:bdr w:val="none" w:sz="0" w:space="0" w:color="auto"/>
          <w:lang w:val="es-ES"/>
        </w:rPr>
        <w:t>los señores Lizalde y Zumaya</w:t>
      </w:r>
      <w:r w:rsidR="00DC1AA6"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interpusieron una demanda de </w:t>
      </w:r>
      <w:r w:rsidR="007B4310" w:rsidRPr="00A16D62">
        <w:rPr>
          <w:rFonts w:ascii="Cambria" w:eastAsia="Times New Roman" w:hAnsi="Cambria"/>
          <w:bCs/>
          <w:sz w:val="20"/>
          <w:szCs w:val="20"/>
          <w:bdr w:val="none" w:sz="0" w:space="0" w:color="auto"/>
          <w:lang w:val="es-ES"/>
        </w:rPr>
        <w:t>indemnización por accidente de trabajo</w:t>
      </w:r>
      <w:r w:rsidR="00DC1AA6"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a raíz de las graves lesiones que sufrieron en el trabajo y que afectaron su integridad física, dejándoles secuelas persistentes. Los intereses en juego, por lo tanto, no se limitaban a sus derechos </w:t>
      </w:r>
      <w:r w:rsidR="007F3D34" w:rsidRPr="00A16D62">
        <w:rPr>
          <w:rFonts w:ascii="Cambria" w:eastAsia="Times New Roman" w:hAnsi="Cambria"/>
          <w:bCs/>
          <w:sz w:val="20"/>
          <w:szCs w:val="20"/>
          <w:bdr w:val="none" w:sz="0" w:space="0" w:color="auto"/>
          <w:lang w:val="es-ES"/>
        </w:rPr>
        <w:t>social</w:t>
      </w:r>
      <w:r w:rsidRPr="00A16D62">
        <w:rPr>
          <w:rFonts w:ascii="Cambria" w:eastAsia="Times New Roman" w:hAnsi="Cambria"/>
          <w:bCs/>
          <w:sz w:val="20"/>
          <w:szCs w:val="20"/>
          <w:bdr w:val="none" w:sz="0" w:space="0" w:color="auto"/>
          <w:lang w:val="es-ES"/>
        </w:rPr>
        <w:t xml:space="preserve">es y </w:t>
      </w:r>
      <w:r w:rsidR="007F3D34" w:rsidRPr="00A16D62">
        <w:rPr>
          <w:rFonts w:ascii="Cambria" w:eastAsia="Times New Roman" w:hAnsi="Cambria"/>
          <w:bCs/>
          <w:sz w:val="20"/>
          <w:szCs w:val="20"/>
          <w:bdr w:val="none" w:sz="0" w:space="0" w:color="auto"/>
          <w:lang w:val="es-ES"/>
        </w:rPr>
        <w:t>econ</w:t>
      </w:r>
      <w:r w:rsidRPr="00A16D62">
        <w:rPr>
          <w:rFonts w:ascii="Cambria" w:eastAsia="Times New Roman" w:hAnsi="Cambria"/>
          <w:bCs/>
          <w:sz w:val="20"/>
          <w:szCs w:val="20"/>
          <w:bdr w:val="none" w:sz="0" w:space="0" w:color="auto"/>
          <w:lang w:val="es-ES"/>
        </w:rPr>
        <w:t>ó</w:t>
      </w:r>
      <w:r w:rsidR="007F3D34" w:rsidRPr="00A16D62">
        <w:rPr>
          <w:rFonts w:ascii="Cambria" w:eastAsia="Times New Roman" w:hAnsi="Cambria"/>
          <w:bCs/>
          <w:sz w:val="20"/>
          <w:szCs w:val="20"/>
          <w:bdr w:val="none" w:sz="0" w:space="0" w:color="auto"/>
          <w:lang w:val="es-ES"/>
        </w:rPr>
        <w:t>mic</w:t>
      </w:r>
      <w:r w:rsidRPr="00A16D62">
        <w:rPr>
          <w:rFonts w:ascii="Cambria" w:eastAsia="Times New Roman" w:hAnsi="Cambria"/>
          <w:bCs/>
          <w:sz w:val="20"/>
          <w:szCs w:val="20"/>
          <w:bdr w:val="none" w:sz="0" w:space="0" w:color="auto"/>
          <w:lang w:val="es-ES"/>
        </w:rPr>
        <w:t xml:space="preserve">os en general, sino que estaban relacionados muy concretamente con su integridad </w:t>
      </w:r>
      <w:r w:rsidR="00DC1AA6" w:rsidRPr="00A16D62">
        <w:rPr>
          <w:rFonts w:ascii="Cambria" w:eastAsia="Times New Roman" w:hAnsi="Cambria"/>
          <w:bCs/>
          <w:sz w:val="20"/>
          <w:szCs w:val="20"/>
          <w:bdr w:val="none" w:sz="0" w:space="0" w:color="auto"/>
          <w:lang w:val="es-ES"/>
        </w:rPr>
        <w:t xml:space="preserve">personal </w:t>
      </w:r>
      <w:r w:rsidRPr="00A16D62">
        <w:rPr>
          <w:rFonts w:ascii="Cambria" w:eastAsia="Times New Roman" w:hAnsi="Cambria"/>
          <w:bCs/>
          <w:sz w:val="20"/>
          <w:szCs w:val="20"/>
          <w:bdr w:val="none" w:sz="0" w:space="0" w:color="auto"/>
          <w:lang w:val="es-ES"/>
        </w:rPr>
        <w:t>e incluían la necesidad de seguir recibiendo tratamiento médico.</w:t>
      </w:r>
    </w:p>
    <w:p w:rsidR="007F2EE0" w:rsidRPr="00A16D62" w:rsidRDefault="007F2EE0" w:rsidP="007F2EE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5A393A" w:rsidRPr="00A16D62" w:rsidRDefault="002A7BC2" w:rsidP="00C15B5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el caso de autos</w:t>
      </w:r>
      <w:r w:rsidR="005A393A"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5A393A" w:rsidRPr="00A16D62">
        <w:rPr>
          <w:rFonts w:ascii="Cambria" w:eastAsia="Times New Roman" w:hAnsi="Cambria"/>
          <w:bCs/>
          <w:sz w:val="20"/>
          <w:szCs w:val="20"/>
          <w:bdr w:val="none" w:sz="0" w:space="0" w:color="auto"/>
          <w:lang w:val="es-ES"/>
        </w:rPr>
        <w:t xml:space="preserve"> </w:t>
      </w:r>
      <w:r w:rsidR="008B59B6" w:rsidRPr="00A16D62">
        <w:rPr>
          <w:rFonts w:ascii="Cambria" w:eastAsia="Times New Roman" w:hAnsi="Cambria"/>
          <w:bCs/>
          <w:sz w:val="20"/>
          <w:szCs w:val="20"/>
          <w:bdr w:val="none" w:sz="0" w:space="0" w:color="auto"/>
          <w:lang w:val="es-ES"/>
        </w:rPr>
        <w:t>observ</w:t>
      </w:r>
      <w:r w:rsidR="00AF6704" w:rsidRPr="00A16D62">
        <w:rPr>
          <w:rFonts w:ascii="Cambria" w:eastAsia="Times New Roman" w:hAnsi="Cambria"/>
          <w:bCs/>
          <w:sz w:val="20"/>
          <w:szCs w:val="20"/>
          <w:bdr w:val="none" w:sz="0" w:space="0" w:color="auto"/>
          <w:lang w:val="es-ES"/>
        </w:rPr>
        <w:t xml:space="preserve">a que </w:t>
      </w:r>
      <w:r w:rsidR="007F4530" w:rsidRPr="00A16D62">
        <w:rPr>
          <w:rFonts w:ascii="Cambria" w:eastAsia="Times New Roman" w:hAnsi="Cambria"/>
          <w:bCs/>
          <w:sz w:val="20"/>
          <w:szCs w:val="20"/>
          <w:bdr w:val="none" w:sz="0" w:space="0" w:color="auto"/>
          <w:lang w:val="es-ES"/>
        </w:rPr>
        <w:t>el señor</w:t>
      </w:r>
      <w:r w:rsidR="00E72487" w:rsidRPr="00A16D62">
        <w:rPr>
          <w:rFonts w:ascii="Cambria" w:eastAsia="Times New Roman" w:hAnsi="Cambria"/>
          <w:bCs/>
          <w:sz w:val="20"/>
          <w:szCs w:val="20"/>
          <w:bdr w:val="none" w:sz="0" w:space="0" w:color="auto"/>
          <w:lang w:val="es-ES"/>
        </w:rPr>
        <w:t xml:space="preserve"> Lizalde</w:t>
      </w:r>
      <w:r w:rsidR="00B25D05" w:rsidRPr="00A16D62">
        <w:rPr>
          <w:rFonts w:ascii="Cambria" w:eastAsia="Times New Roman" w:hAnsi="Cambria"/>
          <w:bCs/>
          <w:sz w:val="20"/>
          <w:szCs w:val="20"/>
          <w:bdr w:val="none" w:sz="0" w:space="0" w:color="auto"/>
          <w:lang w:val="es-ES"/>
        </w:rPr>
        <w:t xml:space="preserve"> </w:t>
      </w:r>
      <w:r w:rsidR="00AF6704" w:rsidRPr="00A16D62">
        <w:rPr>
          <w:rFonts w:ascii="Cambria" w:eastAsia="Times New Roman" w:hAnsi="Cambria"/>
          <w:bCs/>
          <w:sz w:val="20"/>
          <w:szCs w:val="20"/>
          <w:bdr w:val="none" w:sz="0" w:space="0" w:color="auto"/>
          <w:lang w:val="es-ES"/>
        </w:rPr>
        <w:t xml:space="preserve">no tuvo acceso a una audiencia integral e imparcial en los tribunales. Al principio tuvo acceso a un mecanismo de </w:t>
      </w:r>
      <w:r w:rsidR="007B4310" w:rsidRPr="00A16D62">
        <w:rPr>
          <w:rFonts w:ascii="Cambria" w:eastAsia="Times New Roman" w:hAnsi="Cambria"/>
          <w:bCs/>
          <w:sz w:val="20"/>
          <w:szCs w:val="20"/>
          <w:bdr w:val="none" w:sz="0" w:space="0" w:color="auto"/>
          <w:lang w:val="es-ES"/>
        </w:rPr>
        <w:t>indemnización por accidentes de trabajo</w:t>
      </w:r>
      <w:r w:rsidR="001E45DE" w:rsidRPr="00A16D62">
        <w:rPr>
          <w:rStyle w:val="FootnoteReference"/>
          <w:rFonts w:ascii="Cambria" w:eastAsia="Times New Roman" w:hAnsi="Cambria"/>
          <w:bCs/>
          <w:sz w:val="20"/>
          <w:szCs w:val="20"/>
          <w:bdr w:val="none" w:sz="0" w:space="0" w:color="auto"/>
          <w:lang w:val="es-ES"/>
        </w:rPr>
        <w:footnoteReference w:id="127"/>
      </w:r>
      <w:r w:rsidR="00AF6704" w:rsidRPr="00A16D62">
        <w:rPr>
          <w:rFonts w:ascii="Cambria" w:eastAsia="Times New Roman" w:hAnsi="Cambria"/>
          <w:bCs/>
          <w:sz w:val="20"/>
          <w:szCs w:val="20"/>
          <w:bdr w:val="none" w:sz="0" w:space="0" w:color="auto"/>
          <w:lang w:val="es-ES"/>
        </w:rPr>
        <w:t xml:space="preserve">, pero su deportación antes de que concluyera el procedimiento que había iniciado fue un </w:t>
      </w:r>
      <w:r w:rsidR="002C100F" w:rsidRPr="00A16D62">
        <w:rPr>
          <w:rFonts w:ascii="Cambria" w:eastAsia="Times New Roman" w:hAnsi="Cambria"/>
          <w:bCs/>
          <w:sz w:val="20"/>
          <w:szCs w:val="20"/>
          <w:bdr w:val="none" w:sz="0" w:space="0" w:color="auto"/>
          <w:lang w:val="es-ES"/>
        </w:rPr>
        <w:t xml:space="preserve">factor </w:t>
      </w:r>
      <w:r w:rsidR="00AF6704" w:rsidRPr="00A16D62">
        <w:rPr>
          <w:rFonts w:ascii="Cambria" w:eastAsia="Times New Roman" w:hAnsi="Cambria"/>
          <w:bCs/>
          <w:sz w:val="20"/>
          <w:szCs w:val="20"/>
          <w:bdr w:val="none" w:sz="0" w:space="0" w:color="auto"/>
          <w:lang w:val="es-ES"/>
        </w:rPr>
        <w:t xml:space="preserve">importante que dejó sin efecto el segundo elemento (la índole empírica) del </w:t>
      </w:r>
      <w:r w:rsidR="000C4AD5" w:rsidRPr="00A16D62">
        <w:rPr>
          <w:rFonts w:ascii="Cambria" w:eastAsia="Times New Roman" w:hAnsi="Cambria"/>
          <w:bCs/>
          <w:sz w:val="20"/>
          <w:szCs w:val="20"/>
          <w:bdr w:val="none" w:sz="0" w:space="0" w:color="auto"/>
          <w:lang w:val="es-ES"/>
        </w:rPr>
        <w:t>recurso judicial</w:t>
      </w:r>
      <w:r w:rsidR="00AF6704" w:rsidRPr="00A16D62">
        <w:rPr>
          <w:rFonts w:ascii="Cambria" w:eastAsia="Times New Roman" w:hAnsi="Cambria"/>
          <w:bCs/>
          <w:sz w:val="20"/>
          <w:szCs w:val="20"/>
          <w:bdr w:val="none" w:sz="0" w:space="0" w:color="auto"/>
          <w:lang w:val="es-ES"/>
        </w:rPr>
        <w:t xml:space="preserve">. Cuando lo deportaron, el procedimiento para obtener una </w:t>
      </w:r>
      <w:r w:rsidR="007B4310" w:rsidRPr="00A16D62">
        <w:rPr>
          <w:rFonts w:ascii="Cambria" w:eastAsia="Times New Roman" w:hAnsi="Cambria"/>
          <w:bCs/>
          <w:sz w:val="20"/>
          <w:szCs w:val="20"/>
          <w:bdr w:val="none" w:sz="0" w:space="0" w:color="auto"/>
          <w:lang w:val="es-ES"/>
        </w:rPr>
        <w:t>indemnización por accidente de trabajo</w:t>
      </w:r>
      <w:r w:rsidR="001E5C56" w:rsidRPr="00A16D62">
        <w:rPr>
          <w:rFonts w:ascii="Cambria" w:eastAsia="Times New Roman" w:hAnsi="Cambria"/>
          <w:bCs/>
          <w:sz w:val="20"/>
          <w:szCs w:val="20"/>
          <w:bdr w:val="none" w:sz="0" w:space="0" w:color="auto"/>
          <w:lang w:val="es-ES"/>
        </w:rPr>
        <w:t xml:space="preserve"> </w:t>
      </w:r>
      <w:r w:rsidR="00AF6704" w:rsidRPr="00A16D62">
        <w:rPr>
          <w:rFonts w:ascii="Cambria" w:eastAsia="Times New Roman" w:hAnsi="Cambria"/>
          <w:bCs/>
          <w:sz w:val="20"/>
          <w:szCs w:val="20"/>
          <w:bdr w:val="none" w:sz="0" w:space="0" w:color="auto"/>
          <w:lang w:val="es-ES"/>
        </w:rPr>
        <w:t>no pudo producir el resultado previsto, ya que las leyes de</w:t>
      </w:r>
      <w:r w:rsidR="00CC3419">
        <w:rPr>
          <w:rFonts w:ascii="Cambria" w:eastAsia="Times New Roman" w:hAnsi="Cambria"/>
          <w:bCs/>
          <w:sz w:val="20"/>
          <w:szCs w:val="20"/>
          <w:bdr w:val="none" w:sz="0" w:space="0" w:color="auto"/>
          <w:lang w:val="es-ES"/>
        </w:rPr>
        <w:t xml:space="preserve"> </w:t>
      </w:r>
      <w:r w:rsidR="001E45DE" w:rsidRPr="00A16D62">
        <w:rPr>
          <w:rFonts w:ascii="Cambria" w:eastAsia="Times New Roman" w:hAnsi="Cambria"/>
          <w:bCs/>
          <w:sz w:val="20"/>
          <w:szCs w:val="20"/>
          <w:bdr w:val="none" w:sz="0" w:space="0" w:color="auto"/>
          <w:lang w:val="es-ES"/>
        </w:rPr>
        <w:t xml:space="preserve">Kansas </w:t>
      </w:r>
      <w:r w:rsidR="00AF6704" w:rsidRPr="00A16D62">
        <w:rPr>
          <w:rFonts w:ascii="Cambria" w:eastAsia="Times New Roman" w:hAnsi="Cambria"/>
          <w:bCs/>
          <w:sz w:val="20"/>
          <w:szCs w:val="20"/>
          <w:bdr w:val="none" w:sz="0" w:space="0" w:color="auto"/>
          <w:lang w:val="es-ES"/>
        </w:rPr>
        <w:t xml:space="preserve">exigen que el </w:t>
      </w:r>
      <w:r w:rsidR="00F7719D" w:rsidRPr="00A16D62">
        <w:rPr>
          <w:rFonts w:ascii="Cambria" w:eastAsia="Times New Roman" w:hAnsi="Cambria"/>
          <w:bCs/>
          <w:sz w:val="20"/>
          <w:szCs w:val="20"/>
          <w:bdr w:val="none" w:sz="0" w:space="0" w:color="auto"/>
          <w:lang w:val="es-ES"/>
        </w:rPr>
        <w:t>trabajador</w:t>
      </w:r>
      <w:r w:rsidR="001E5C56" w:rsidRPr="00A16D62">
        <w:rPr>
          <w:rFonts w:ascii="Cambria" w:eastAsia="Times New Roman" w:hAnsi="Cambria"/>
          <w:bCs/>
          <w:sz w:val="20"/>
          <w:szCs w:val="20"/>
          <w:bdr w:val="none" w:sz="0" w:space="0" w:color="auto"/>
          <w:lang w:val="es-ES"/>
        </w:rPr>
        <w:t xml:space="preserve"> </w:t>
      </w:r>
      <w:r w:rsidR="00AF6704" w:rsidRPr="00A16D62">
        <w:rPr>
          <w:rFonts w:ascii="Cambria" w:eastAsia="Times New Roman" w:hAnsi="Cambria"/>
          <w:bCs/>
          <w:sz w:val="20"/>
          <w:szCs w:val="20"/>
          <w:bdr w:val="none" w:sz="0" w:space="0" w:color="auto"/>
          <w:lang w:val="es-ES"/>
        </w:rPr>
        <w:t>esté físicamente presente para continuar su caso. En el caso de</w:t>
      </w:r>
      <w:r w:rsidR="007F4530" w:rsidRPr="00A16D62">
        <w:rPr>
          <w:rFonts w:ascii="Cambria" w:eastAsia="Times New Roman" w:hAnsi="Cambria"/>
          <w:bCs/>
          <w:sz w:val="20"/>
          <w:szCs w:val="20"/>
          <w:bdr w:val="none" w:sz="0" w:space="0" w:color="auto"/>
          <w:lang w:val="es-ES"/>
        </w:rPr>
        <w:t>l señor</w:t>
      </w:r>
      <w:r w:rsidR="00A41F6F" w:rsidRPr="00A16D62">
        <w:rPr>
          <w:rFonts w:ascii="Cambria" w:eastAsia="Times New Roman" w:hAnsi="Cambria"/>
          <w:bCs/>
          <w:sz w:val="20"/>
          <w:szCs w:val="20"/>
          <w:bdr w:val="none" w:sz="0" w:space="0" w:color="auto"/>
          <w:lang w:val="es-ES"/>
        </w:rPr>
        <w:t xml:space="preserve"> Zumaya</w:t>
      </w:r>
      <w:r w:rsidR="00AF6704" w:rsidRPr="00A16D62">
        <w:rPr>
          <w:rFonts w:ascii="Cambria" w:eastAsia="Times New Roman" w:hAnsi="Cambria"/>
          <w:bCs/>
          <w:sz w:val="20"/>
          <w:szCs w:val="20"/>
          <w:bdr w:val="none" w:sz="0" w:space="0" w:color="auto"/>
          <w:lang w:val="es-ES"/>
        </w:rPr>
        <w:t xml:space="preserve">, su abogado le aconsejó que aceptara un arreglo con su </w:t>
      </w:r>
      <w:r w:rsidR="007F4530" w:rsidRPr="00A16D62">
        <w:rPr>
          <w:rFonts w:ascii="Cambria" w:eastAsia="Times New Roman" w:hAnsi="Cambria"/>
          <w:bCs/>
          <w:sz w:val="20"/>
          <w:szCs w:val="20"/>
          <w:bdr w:val="none" w:sz="0" w:space="0" w:color="auto"/>
          <w:lang w:val="es-ES"/>
        </w:rPr>
        <w:lastRenderedPageBreak/>
        <w:t>empleador</w:t>
      </w:r>
      <w:r w:rsidR="00A41F6F" w:rsidRPr="00A16D62">
        <w:rPr>
          <w:rFonts w:ascii="Cambria" w:eastAsia="Times New Roman" w:hAnsi="Cambria"/>
          <w:bCs/>
          <w:sz w:val="20"/>
          <w:szCs w:val="20"/>
          <w:bdr w:val="none" w:sz="0" w:space="0" w:color="auto"/>
          <w:lang w:val="es-ES"/>
        </w:rPr>
        <w:t xml:space="preserve"> </w:t>
      </w:r>
      <w:r w:rsidR="00AF6704" w:rsidRPr="00A16D62">
        <w:rPr>
          <w:rFonts w:ascii="Cambria" w:eastAsia="Times New Roman" w:hAnsi="Cambria"/>
          <w:bCs/>
          <w:sz w:val="20"/>
          <w:szCs w:val="20"/>
          <w:bdr w:val="none" w:sz="0" w:space="0" w:color="auto"/>
          <w:lang w:val="es-ES"/>
        </w:rPr>
        <w:t xml:space="preserve">por una suma inferior a la que los expertos </w:t>
      </w:r>
      <w:r w:rsidR="00A41F6F" w:rsidRPr="00A16D62">
        <w:rPr>
          <w:rFonts w:ascii="Cambria" w:eastAsia="Times New Roman" w:hAnsi="Cambria"/>
          <w:bCs/>
          <w:sz w:val="20"/>
          <w:szCs w:val="20"/>
          <w:bdr w:val="none" w:sz="0" w:space="0" w:color="auto"/>
          <w:lang w:val="es-ES"/>
        </w:rPr>
        <w:t>estima</w:t>
      </w:r>
      <w:r w:rsidR="00AF6704" w:rsidRPr="00A16D62">
        <w:rPr>
          <w:rFonts w:ascii="Cambria" w:eastAsia="Times New Roman" w:hAnsi="Cambria"/>
          <w:bCs/>
          <w:sz w:val="20"/>
          <w:szCs w:val="20"/>
          <w:bdr w:val="none" w:sz="0" w:space="0" w:color="auto"/>
          <w:lang w:val="es-ES"/>
        </w:rPr>
        <w:t>n que habría recibido si hubiera sido ciudadano estadounidense</w:t>
      </w:r>
      <w:r w:rsidR="001E45DE" w:rsidRPr="00A16D62">
        <w:rPr>
          <w:rStyle w:val="FootnoteReference"/>
          <w:rFonts w:ascii="Cambria" w:eastAsia="Times New Roman" w:hAnsi="Cambria"/>
          <w:bCs/>
          <w:sz w:val="20"/>
          <w:szCs w:val="20"/>
          <w:bdr w:val="none" w:sz="0" w:space="0" w:color="auto"/>
          <w:lang w:val="es-ES"/>
        </w:rPr>
        <w:footnoteReference w:id="128"/>
      </w:r>
      <w:r w:rsidR="00AF6704" w:rsidRPr="00A16D62">
        <w:rPr>
          <w:rFonts w:ascii="Cambria" w:eastAsia="Times New Roman" w:hAnsi="Cambria"/>
          <w:bCs/>
          <w:sz w:val="20"/>
          <w:szCs w:val="20"/>
          <w:bdr w:val="none" w:sz="0" w:space="0" w:color="auto"/>
          <w:lang w:val="es-ES"/>
        </w:rPr>
        <w:t>.</w:t>
      </w:r>
    </w:p>
    <w:p w:rsidR="00A41F6F" w:rsidRPr="00A16D62" w:rsidRDefault="00A41F6F" w:rsidP="001E5C56">
      <w:pPr>
        <w:pStyle w:val="ListParagraph"/>
        <w:rPr>
          <w:rFonts w:eastAsia="Times New Roman"/>
          <w:bCs/>
          <w:sz w:val="20"/>
          <w:szCs w:val="20"/>
          <w:bdr w:val="none" w:sz="0" w:space="0" w:color="auto"/>
          <w:lang w:val="es-ES"/>
        </w:rPr>
      </w:pPr>
    </w:p>
    <w:p w:rsidR="004961FE" w:rsidRPr="00A16D62" w:rsidRDefault="00E31650" w:rsidP="00C15B5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Con respecto a la situación d</w:t>
      </w:r>
      <w:r w:rsidR="007F4530" w:rsidRPr="00A16D62">
        <w:rPr>
          <w:rFonts w:ascii="Cambria" w:eastAsia="Times New Roman" w:hAnsi="Cambria"/>
          <w:bCs/>
          <w:sz w:val="20"/>
          <w:szCs w:val="20"/>
          <w:bdr w:val="none" w:sz="0" w:space="0" w:color="auto"/>
          <w:lang w:val="es-ES"/>
        </w:rPr>
        <w:t>el señor</w:t>
      </w:r>
      <w:r w:rsidR="00793E70" w:rsidRPr="00A16D62">
        <w:rPr>
          <w:rFonts w:ascii="Cambria" w:eastAsia="Times New Roman" w:hAnsi="Cambria"/>
          <w:bCs/>
          <w:sz w:val="20"/>
          <w:szCs w:val="20"/>
          <w:bdr w:val="none" w:sz="0" w:space="0" w:color="auto"/>
          <w:lang w:val="es-ES"/>
        </w:rPr>
        <w:t xml:space="preserve"> Lizalde, </w:t>
      </w:r>
      <w:r w:rsidR="00180125" w:rsidRPr="00A16D62">
        <w:rPr>
          <w:rFonts w:ascii="Cambria" w:eastAsia="Times New Roman" w:hAnsi="Cambria"/>
          <w:bCs/>
          <w:sz w:val="20"/>
          <w:szCs w:val="20"/>
          <w:bdr w:val="none" w:sz="0" w:space="0" w:color="auto"/>
          <w:lang w:val="es-ES"/>
        </w:rPr>
        <w:t>el Estado</w:t>
      </w:r>
      <w:r w:rsidR="00A41F6F" w:rsidRPr="00A16D62">
        <w:rPr>
          <w:rFonts w:ascii="Cambria" w:eastAsia="Times New Roman" w:hAnsi="Cambria"/>
          <w:bCs/>
          <w:sz w:val="20"/>
          <w:szCs w:val="20"/>
          <w:bdr w:val="none" w:sz="0" w:space="0" w:color="auto"/>
          <w:lang w:val="es-ES"/>
        </w:rPr>
        <w:t xml:space="preserve"> a</w:t>
      </w:r>
      <w:r w:rsidRPr="00A16D62">
        <w:rPr>
          <w:rFonts w:ascii="Cambria" w:eastAsia="Times New Roman" w:hAnsi="Cambria"/>
          <w:bCs/>
          <w:sz w:val="20"/>
          <w:szCs w:val="20"/>
          <w:bdr w:val="none" w:sz="0" w:space="0" w:color="auto"/>
          <w:lang w:val="es-ES"/>
        </w:rPr>
        <w:t xml:space="preserve">lega que, aunque posiblemente sea más difícil, no es imposible para un </w:t>
      </w:r>
      <w:r w:rsidR="00F7719D" w:rsidRPr="00A16D62">
        <w:rPr>
          <w:rFonts w:ascii="Cambria" w:eastAsia="Times New Roman" w:hAnsi="Cambria"/>
          <w:bCs/>
          <w:sz w:val="20"/>
          <w:szCs w:val="20"/>
          <w:bdr w:val="none" w:sz="0" w:space="0" w:color="auto"/>
          <w:lang w:val="es-ES"/>
        </w:rPr>
        <w:t>trabajador</w:t>
      </w:r>
      <w:r w:rsidRPr="00A16D62">
        <w:rPr>
          <w:rFonts w:ascii="Cambria" w:eastAsia="Times New Roman" w:hAnsi="Cambria"/>
          <w:bCs/>
          <w:sz w:val="20"/>
          <w:szCs w:val="20"/>
          <w:bdr w:val="none" w:sz="0" w:space="0" w:color="auto"/>
          <w:lang w:val="es-ES"/>
        </w:rPr>
        <w:t xml:space="preserve"> continuar con un reclamo después de ser deportado y que, de todas maneras, </w:t>
      </w:r>
      <w:r w:rsidR="007F4530" w:rsidRPr="00A16D62">
        <w:rPr>
          <w:rFonts w:ascii="Cambria" w:eastAsia="Times New Roman" w:hAnsi="Cambria"/>
          <w:bCs/>
          <w:sz w:val="20"/>
          <w:szCs w:val="20"/>
          <w:bdr w:val="none" w:sz="0" w:space="0" w:color="auto"/>
          <w:lang w:val="es-ES"/>
        </w:rPr>
        <w:t>el señor</w:t>
      </w:r>
      <w:r w:rsidR="00A41F6F" w:rsidRPr="00A16D62">
        <w:rPr>
          <w:rFonts w:ascii="Cambria" w:eastAsia="Times New Roman" w:hAnsi="Cambria"/>
          <w:bCs/>
          <w:sz w:val="20"/>
          <w:szCs w:val="20"/>
          <w:bdr w:val="none" w:sz="0" w:space="0" w:color="auto"/>
          <w:lang w:val="es-ES"/>
        </w:rPr>
        <w:t xml:space="preserve"> Lizalde </w:t>
      </w:r>
      <w:r w:rsidRPr="00A16D62">
        <w:rPr>
          <w:rFonts w:ascii="Cambria" w:eastAsia="Times New Roman" w:hAnsi="Cambria"/>
          <w:bCs/>
          <w:sz w:val="20"/>
          <w:szCs w:val="20"/>
          <w:bdr w:val="none" w:sz="0" w:space="0" w:color="auto"/>
          <w:lang w:val="es-ES"/>
        </w:rPr>
        <w:t xml:space="preserve">y sus abogados no trataron de continuar el procedimiento después de la deportación solicitando un permiso de entrada condicional </w:t>
      </w:r>
      <w:r w:rsidR="00B25D05" w:rsidRPr="00A16D62">
        <w:rPr>
          <w:rFonts w:ascii="Cambria" w:eastAsia="Times New Roman" w:hAnsi="Cambria"/>
          <w:bCs/>
          <w:sz w:val="20"/>
          <w:szCs w:val="20"/>
          <w:bdr w:val="none" w:sz="0" w:space="0" w:color="auto"/>
          <w:lang w:val="es-ES"/>
        </w:rPr>
        <w:t>humanitaria</w:t>
      </w:r>
      <w:r w:rsidRPr="00A16D62">
        <w:rPr>
          <w:rFonts w:ascii="Cambria" w:eastAsia="Times New Roman" w:hAnsi="Cambria"/>
          <w:bCs/>
          <w:sz w:val="20"/>
          <w:szCs w:val="20"/>
          <w:bdr w:val="none" w:sz="0" w:space="0" w:color="auto"/>
          <w:lang w:val="es-ES"/>
        </w:rPr>
        <w:t xml:space="preserve"> en Estados Unidos</w:t>
      </w:r>
      <w:r w:rsidR="00B25D05" w:rsidRPr="00A16D62">
        <w:rPr>
          <w:rFonts w:ascii="Cambria" w:eastAsia="Times New Roman" w:hAnsi="Cambria"/>
          <w:bCs/>
          <w:sz w:val="20"/>
          <w:szCs w:val="20"/>
          <w:bdr w:val="none" w:sz="0" w:space="0" w:color="auto"/>
          <w:lang w:val="es-ES"/>
        </w:rPr>
        <w:t>.</w:t>
      </w:r>
    </w:p>
    <w:p w:rsidR="004961FE" w:rsidRPr="00A16D62" w:rsidRDefault="004961FE" w:rsidP="004961FE">
      <w:pPr>
        <w:pStyle w:val="ListParagraph"/>
        <w:rPr>
          <w:rFonts w:eastAsia="Times New Roman"/>
          <w:bCs/>
          <w:sz w:val="20"/>
          <w:szCs w:val="20"/>
          <w:bdr w:val="none" w:sz="0" w:space="0" w:color="auto"/>
          <w:lang w:val="es-ES"/>
        </w:rPr>
      </w:pPr>
    </w:p>
    <w:p w:rsidR="00794245" w:rsidRPr="00A16D62" w:rsidRDefault="00E31650" w:rsidP="00B3533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Al respecto</w:t>
      </w:r>
      <w:r w:rsidR="00B25D05" w:rsidRPr="00A16D62">
        <w:rPr>
          <w:rFonts w:ascii="Cambria" w:eastAsia="Times New Roman" w:hAnsi="Cambria"/>
          <w:bCs/>
          <w:sz w:val="20"/>
          <w:szCs w:val="20"/>
          <w:bdr w:val="none" w:sz="0" w:space="0" w:color="auto"/>
          <w:lang w:val="es-ES"/>
        </w:rPr>
        <w:t xml:space="preserve">, </w:t>
      </w:r>
      <w:r w:rsidR="001C1F5D" w:rsidRPr="00A16D62">
        <w:rPr>
          <w:rFonts w:ascii="Cambria" w:eastAsia="Times New Roman" w:hAnsi="Cambria"/>
          <w:bCs/>
          <w:sz w:val="20"/>
          <w:szCs w:val="20"/>
          <w:bdr w:val="none" w:sz="0" w:space="0" w:color="auto"/>
          <w:lang w:val="es-ES"/>
        </w:rPr>
        <w:t>la CIDH</w:t>
      </w:r>
      <w:r w:rsidR="00B25D05"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observa que una persona deportada puede solicitar una visa de no inmigrante o de entrada condicional humanitaria, que le permite ingresar al país y cumplir el requisito de presencia para continuar un reclamo de </w:t>
      </w:r>
      <w:r w:rsidR="007B4310" w:rsidRPr="00A16D62">
        <w:rPr>
          <w:rFonts w:ascii="Cambria" w:eastAsia="Times New Roman" w:hAnsi="Cambria"/>
          <w:bCs/>
          <w:sz w:val="20"/>
          <w:szCs w:val="20"/>
          <w:bdr w:val="none" w:sz="0" w:space="0" w:color="auto"/>
          <w:lang w:val="es-ES"/>
        </w:rPr>
        <w:t>indemnización por accidente de trabajo</w:t>
      </w:r>
      <w:r w:rsidRPr="00A16D62">
        <w:rPr>
          <w:rFonts w:ascii="Cambria" w:eastAsia="Times New Roman" w:hAnsi="Cambria"/>
          <w:bCs/>
          <w:sz w:val="20"/>
          <w:szCs w:val="20"/>
          <w:bdr w:val="none" w:sz="0" w:space="0" w:color="auto"/>
          <w:lang w:val="es-ES"/>
        </w:rPr>
        <w:t xml:space="preserve">. Sin embargo, </w:t>
      </w:r>
      <w:r w:rsidR="001C1F5D" w:rsidRPr="00A16D62">
        <w:rPr>
          <w:rFonts w:ascii="Cambria" w:eastAsia="Times New Roman" w:hAnsi="Cambria"/>
          <w:bCs/>
          <w:sz w:val="20"/>
          <w:szCs w:val="20"/>
          <w:bdr w:val="none" w:sz="0" w:space="0" w:color="auto"/>
          <w:lang w:val="es-ES"/>
        </w:rPr>
        <w:t>la CIDH</w:t>
      </w:r>
      <w:r w:rsidR="009653F7"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observa también que los </w:t>
      </w:r>
      <w:r w:rsidR="00C038BF" w:rsidRPr="00A16D62">
        <w:rPr>
          <w:rFonts w:ascii="Cambria" w:eastAsia="Times New Roman" w:hAnsi="Cambria"/>
          <w:bCs/>
          <w:sz w:val="20"/>
          <w:szCs w:val="20"/>
          <w:bdr w:val="none" w:sz="0" w:space="0" w:color="auto"/>
          <w:lang w:val="es-ES"/>
        </w:rPr>
        <w:t>trabajadores indocumentados</w:t>
      </w:r>
      <w:r w:rsidR="00CB7F73"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probablemente </w:t>
      </w:r>
      <w:r w:rsidR="00074A47">
        <w:rPr>
          <w:rFonts w:ascii="Cambria" w:eastAsia="Times New Roman" w:hAnsi="Cambria"/>
          <w:bCs/>
          <w:sz w:val="20"/>
          <w:szCs w:val="20"/>
          <w:bdr w:val="none" w:sz="0" w:space="0" w:color="auto"/>
          <w:lang w:val="es-ES"/>
        </w:rPr>
        <w:t xml:space="preserve">tropiecen </w:t>
      </w:r>
      <w:r w:rsidRPr="00A16D62">
        <w:rPr>
          <w:rFonts w:ascii="Cambria" w:eastAsia="Times New Roman" w:hAnsi="Cambria"/>
          <w:bCs/>
          <w:sz w:val="20"/>
          <w:szCs w:val="20"/>
          <w:bdr w:val="none" w:sz="0" w:space="0" w:color="auto"/>
          <w:lang w:val="es-ES"/>
        </w:rPr>
        <w:t xml:space="preserve">con obstáculos para </w:t>
      </w:r>
      <w:r w:rsidR="00074A47">
        <w:rPr>
          <w:rFonts w:ascii="Cambria" w:eastAsia="Times New Roman" w:hAnsi="Cambria"/>
          <w:bCs/>
          <w:sz w:val="20"/>
          <w:szCs w:val="20"/>
          <w:bdr w:val="none" w:sz="0" w:space="0" w:color="auto"/>
          <w:lang w:val="es-ES"/>
        </w:rPr>
        <w:t xml:space="preserve">reingresar </w:t>
      </w:r>
      <w:r w:rsidRPr="00A16D62">
        <w:rPr>
          <w:rFonts w:ascii="Cambria" w:eastAsia="Times New Roman" w:hAnsi="Cambria"/>
          <w:bCs/>
          <w:sz w:val="20"/>
          <w:szCs w:val="20"/>
          <w:bdr w:val="none" w:sz="0" w:space="0" w:color="auto"/>
          <w:lang w:val="es-ES"/>
        </w:rPr>
        <w:t>con una visa de no inmigrante</w:t>
      </w:r>
      <w:r w:rsidR="00592340" w:rsidRPr="00A16D62">
        <w:rPr>
          <w:rStyle w:val="FootnoteReference"/>
          <w:rFonts w:ascii="Cambria" w:eastAsia="Times New Roman" w:hAnsi="Cambria"/>
          <w:bCs/>
          <w:sz w:val="20"/>
          <w:szCs w:val="20"/>
          <w:bdr w:val="none" w:sz="0" w:space="0" w:color="auto"/>
          <w:lang w:val="es-ES"/>
        </w:rPr>
        <w:footnoteReference w:id="129"/>
      </w:r>
      <w:r w:rsidRPr="00A16D62">
        <w:rPr>
          <w:rFonts w:ascii="Cambria" w:eastAsia="Times New Roman" w:hAnsi="Cambria"/>
          <w:bCs/>
          <w:sz w:val="20"/>
          <w:szCs w:val="20"/>
          <w:bdr w:val="none" w:sz="0" w:space="0" w:color="auto"/>
          <w:lang w:val="es-ES"/>
        </w:rPr>
        <w:t xml:space="preserve">. Para superar esos obstáculos, </w:t>
      </w:r>
      <w:r w:rsidR="00C52E4B" w:rsidRPr="00A16D62">
        <w:rPr>
          <w:rFonts w:ascii="Cambria" w:eastAsia="Times New Roman" w:hAnsi="Cambria"/>
          <w:bCs/>
          <w:sz w:val="20"/>
          <w:szCs w:val="20"/>
          <w:bdr w:val="none" w:sz="0" w:space="0" w:color="auto"/>
          <w:lang w:val="es-ES"/>
        </w:rPr>
        <w:t xml:space="preserve">al solicitar una visa de no inmigrante tendrían que presentar también una solicitud de exención de su </w:t>
      </w:r>
      <w:r w:rsidR="00B3533B" w:rsidRPr="00A16D62">
        <w:rPr>
          <w:rFonts w:ascii="Cambria" w:eastAsia="Times New Roman" w:hAnsi="Cambria"/>
          <w:bCs/>
          <w:sz w:val="20"/>
          <w:szCs w:val="20"/>
          <w:bdr w:val="none" w:sz="0" w:space="0" w:color="auto"/>
          <w:lang w:val="es-ES"/>
        </w:rPr>
        <w:t>in</w:t>
      </w:r>
      <w:r w:rsidR="00DC6165" w:rsidRPr="00A16D62">
        <w:rPr>
          <w:rFonts w:ascii="Cambria" w:eastAsia="Times New Roman" w:hAnsi="Cambria"/>
          <w:bCs/>
          <w:sz w:val="20"/>
          <w:szCs w:val="20"/>
          <w:bdr w:val="none" w:sz="0" w:space="0" w:color="auto"/>
          <w:lang w:val="es-ES"/>
        </w:rPr>
        <w:t>admisibilidad</w:t>
      </w:r>
      <w:r w:rsidR="00592340" w:rsidRPr="00A16D62">
        <w:rPr>
          <w:rStyle w:val="FootnoteReference"/>
          <w:rFonts w:ascii="Cambria" w:eastAsia="Times New Roman" w:hAnsi="Cambria"/>
          <w:bCs/>
          <w:sz w:val="20"/>
          <w:szCs w:val="20"/>
          <w:bdr w:val="none" w:sz="0" w:space="0" w:color="auto"/>
          <w:lang w:val="es-ES"/>
        </w:rPr>
        <w:footnoteReference w:id="130"/>
      </w:r>
      <w:r w:rsidR="00C52E4B" w:rsidRPr="00A16D62">
        <w:rPr>
          <w:rFonts w:ascii="Cambria" w:eastAsia="Times New Roman" w:hAnsi="Cambria"/>
          <w:bCs/>
          <w:sz w:val="20"/>
          <w:szCs w:val="20"/>
          <w:bdr w:val="none" w:sz="0" w:space="0" w:color="auto"/>
          <w:lang w:val="es-ES"/>
        </w:rPr>
        <w:t>. Por ejemplo, para solicitar un permiso de entrada condicional humanitaria se requiere lo siguiente</w:t>
      </w:r>
      <w:r w:rsidR="009653F7" w:rsidRPr="00A16D62">
        <w:rPr>
          <w:rFonts w:ascii="Cambria" w:eastAsia="Times New Roman" w:hAnsi="Cambria"/>
          <w:bCs/>
          <w:sz w:val="20"/>
          <w:szCs w:val="20"/>
          <w:bdr w:val="none" w:sz="0" w:space="0" w:color="auto"/>
          <w:lang w:val="es-ES"/>
        </w:rPr>
        <w:t xml:space="preserve">: </w:t>
      </w:r>
      <w:r w:rsidR="00750085" w:rsidRPr="00A16D62">
        <w:rPr>
          <w:rFonts w:ascii="Cambria" w:eastAsia="Times New Roman" w:hAnsi="Cambria"/>
          <w:bCs/>
          <w:sz w:val="20"/>
          <w:szCs w:val="20"/>
          <w:bdr w:val="none" w:sz="0" w:space="0" w:color="auto"/>
          <w:lang w:val="es-ES"/>
        </w:rPr>
        <w:t xml:space="preserve">1) </w:t>
      </w:r>
      <w:r w:rsidR="00C52E4B" w:rsidRPr="00A16D62">
        <w:rPr>
          <w:rFonts w:ascii="Cambria" w:eastAsia="Times New Roman" w:hAnsi="Cambria"/>
          <w:bCs/>
          <w:sz w:val="20"/>
          <w:szCs w:val="20"/>
          <w:bdr w:val="none" w:sz="0" w:space="0" w:color="auto"/>
          <w:lang w:val="es-ES"/>
        </w:rPr>
        <w:t xml:space="preserve">una solicitud de documento de viaje </w:t>
      </w:r>
      <w:r w:rsidR="009653F7" w:rsidRPr="00A16D62">
        <w:rPr>
          <w:rFonts w:ascii="Cambria" w:eastAsia="Times New Roman" w:hAnsi="Cambria"/>
          <w:bCs/>
          <w:sz w:val="20"/>
          <w:szCs w:val="20"/>
          <w:bdr w:val="none" w:sz="0" w:space="0" w:color="auto"/>
          <w:lang w:val="es-ES"/>
        </w:rPr>
        <w:t>(</w:t>
      </w:r>
      <w:r w:rsidR="00C52E4B" w:rsidRPr="00A16D62">
        <w:rPr>
          <w:rFonts w:ascii="Cambria" w:eastAsia="Times New Roman" w:hAnsi="Cambria"/>
          <w:bCs/>
          <w:sz w:val="20"/>
          <w:szCs w:val="20"/>
          <w:bdr w:val="none" w:sz="0" w:space="0" w:color="auto"/>
          <w:lang w:val="es-ES"/>
        </w:rPr>
        <w:t xml:space="preserve">formulario </w:t>
      </w:r>
      <w:r w:rsidR="00750085" w:rsidRPr="00A16D62">
        <w:rPr>
          <w:rFonts w:ascii="Cambria" w:eastAsia="Times New Roman" w:hAnsi="Cambria"/>
          <w:bCs/>
          <w:sz w:val="20"/>
          <w:szCs w:val="20"/>
          <w:bdr w:val="none" w:sz="0" w:space="0" w:color="auto"/>
          <w:lang w:val="es-ES"/>
        </w:rPr>
        <w:t>131</w:t>
      </w:r>
      <w:r w:rsidR="009653F7" w:rsidRPr="00A16D62">
        <w:rPr>
          <w:rFonts w:ascii="Cambria" w:eastAsia="Times New Roman" w:hAnsi="Cambria"/>
          <w:bCs/>
          <w:sz w:val="20"/>
          <w:szCs w:val="20"/>
          <w:bdr w:val="none" w:sz="0" w:space="0" w:color="auto"/>
          <w:lang w:val="es-ES"/>
        </w:rPr>
        <w:t>)</w:t>
      </w:r>
      <w:r w:rsidR="00750085" w:rsidRPr="00A16D62">
        <w:rPr>
          <w:rFonts w:ascii="Cambria" w:eastAsia="Times New Roman" w:hAnsi="Cambria"/>
          <w:bCs/>
          <w:sz w:val="20"/>
          <w:szCs w:val="20"/>
          <w:bdr w:val="none" w:sz="0" w:space="0" w:color="auto"/>
          <w:lang w:val="es-ES"/>
        </w:rPr>
        <w:t xml:space="preserve">, </w:t>
      </w:r>
      <w:r w:rsidR="00C52E4B" w:rsidRPr="00A16D62">
        <w:rPr>
          <w:rFonts w:ascii="Cambria" w:eastAsia="Times New Roman" w:hAnsi="Cambria"/>
          <w:bCs/>
          <w:sz w:val="20"/>
          <w:szCs w:val="20"/>
          <w:bdr w:val="none" w:sz="0" w:space="0" w:color="auto"/>
          <w:lang w:val="es-ES"/>
        </w:rPr>
        <w:t xml:space="preserve">con un costo de tramitación de </w:t>
      </w:r>
      <w:r w:rsidR="00750085" w:rsidRPr="00A16D62">
        <w:rPr>
          <w:rFonts w:ascii="Cambria" w:eastAsia="Times New Roman" w:hAnsi="Cambria"/>
          <w:bCs/>
          <w:sz w:val="20"/>
          <w:szCs w:val="20"/>
          <w:bdr w:val="none" w:sz="0" w:space="0" w:color="auto"/>
          <w:lang w:val="es-ES"/>
        </w:rPr>
        <w:t>$360 p</w:t>
      </w:r>
      <w:r w:rsidR="00C52E4B" w:rsidRPr="00A16D62">
        <w:rPr>
          <w:rFonts w:ascii="Cambria" w:eastAsia="Times New Roman" w:hAnsi="Cambria"/>
          <w:bCs/>
          <w:sz w:val="20"/>
          <w:szCs w:val="20"/>
          <w:bdr w:val="none" w:sz="0" w:space="0" w:color="auto"/>
          <w:lang w:val="es-ES"/>
        </w:rPr>
        <w:t>or solicitante de entrada condicional</w:t>
      </w:r>
      <w:r w:rsidR="00750085" w:rsidRPr="00A16D62">
        <w:rPr>
          <w:rFonts w:ascii="Cambria" w:eastAsia="Times New Roman" w:hAnsi="Cambria"/>
          <w:bCs/>
          <w:sz w:val="20"/>
          <w:szCs w:val="20"/>
          <w:bdr w:val="none" w:sz="0" w:space="0" w:color="auto"/>
          <w:lang w:val="es-ES"/>
        </w:rPr>
        <w:t>;</w:t>
      </w:r>
      <w:r w:rsidR="00003AEB" w:rsidRPr="00A16D62">
        <w:rPr>
          <w:rFonts w:ascii="Cambria" w:eastAsia="Times New Roman" w:hAnsi="Cambria"/>
          <w:bCs/>
          <w:sz w:val="20"/>
          <w:szCs w:val="20"/>
          <w:bdr w:val="none" w:sz="0" w:space="0" w:color="auto"/>
          <w:lang w:val="es-ES"/>
        </w:rPr>
        <w:t xml:space="preserve"> </w:t>
      </w:r>
      <w:r w:rsidR="00750085" w:rsidRPr="00A16D62">
        <w:rPr>
          <w:rFonts w:ascii="Cambria" w:eastAsia="Times New Roman" w:hAnsi="Cambria"/>
          <w:bCs/>
          <w:sz w:val="20"/>
          <w:szCs w:val="20"/>
          <w:bdr w:val="none" w:sz="0" w:space="0" w:color="auto"/>
          <w:lang w:val="es-ES"/>
        </w:rPr>
        <w:t xml:space="preserve">2) </w:t>
      </w:r>
      <w:r w:rsidR="00C52E4B" w:rsidRPr="00A16D62">
        <w:rPr>
          <w:rFonts w:ascii="Cambria" w:eastAsia="Times New Roman" w:hAnsi="Cambria"/>
          <w:bCs/>
          <w:sz w:val="20"/>
          <w:szCs w:val="20"/>
          <w:bdr w:val="none" w:sz="0" w:space="0" w:color="auto"/>
          <w:lang w:val="es-ES"/>
        </w:rPr>
        <w:t xml:space="preserve">como las personas con permiso de entrada condicional no pueden trabajar, tienen que buscar a alguien que los patrocine en Estados Unidos y el patrocinador tiene que llenar y presentar el formulario </w:t>
      </w:r>
      <w:r w:rsidR="00750085" w:rsidRPr="00A16D62">
        <w:rPr>
          <w:rFonts w:ascii="Cambria" w:eastAsia="Times New Roman" w:hAnsi="Cambria"/>
          <w:bCs/>
          <w:sz w:val="20"/>
          <w:szCs w:val="20"/>
          <w:bdr w:val="none" w:sz="0" w:space="0" w:color="auto"/>
          <w:lang w:val="es-ES"/>
        </w:rPr>
        <w:t>I</w:t>
      </w:r>
      <w:r w:rsidR="00003AEB" w:rsidRPr="00A16D62">
        <w:rPr>
          <w:rFonts w:ascii="Cambria" w:eastAsia="Times New Roman" w:hAnsi="Cambria"/>
          <w:bCs/>
          <w:sz w:val="20"/>
          <w:szCs w:val="20"/>
          <w:bdr w:val="none" w:sz="0" w:space="0" w:color="auto"/>
          <w:lang w:val="es-ES"/>
        </w:rPr>
        <w:t xml:space="preserve">-134, </w:t>
      </w:r>
      <w:r w:rsidR="00C52E4B" w:rsidRPr="00A16D62">
        <w:rPr>
          <w:rFonts w:ascii="Cambria" w:eastAsia="Times New Roman" w:hAnsi="Cambria"/>
          <w:bCs/>
          <w:sz w:val="20"/>
          <w:szCs w:val="20"/>
          <w:bdr w:val="none" w:sz="0" w:space="0" w:color="auto"/>
          <w:lang w:val="es-ES"/>
        </w:rPr>
        <w:t xml:space="preserve">Declaración jurada de </w:t>
      </w:r>
      <w:r w:rsidR="00B037C5" w:rsidRPr="00A16D62">
        <w:rPr>
          <w:rFonts w:ascii="Cambria" w:eastAsia="Times New Roman" w:hAnsi="Cambria"/>
          <w:bCs/>
          <w:sz w:val="20"/>
          <w:szCs w:val="20"/>
          <w:bdr w:val="none" w:sz="0" w:space="0" w:color="auto"/>
          <w:lang w:val="es-ES"/>
        </w:rPr>
        <w:t>sostenimiento económico</w:t>
      </w:r>
      <w:r w:rsidR="00003AEB" w:rsidRPr="00A16D62">
        <w:rPr>
          <w:rFonts w:ascii="Cambria" w:eastAsia="Times New Roman" w:hAnsi="Cambria"/>
          <w:bCs/>
          <w:sz w:val="20"/>
          <w:szCs w:val="20"/>
          <w:bdr w:val="none" w:sz="0" w:space="0" w:color="auto"/>
          <w:lang w:val="es-ES"/>
        </w:rPr>
        <w:t xml:space="preserve">; </w:t>
      </w:r>
      <w:r w:rsidR="00B037C5" w:rsidRPr="00A16D62">
        <w:rPr>
          <w:rFonts w:ascii="Cambria" w:eastAsia="Times New Roman" w:hAnsi="Cambria"/>
          <w:bCs/>
          <w:sz w:val="20"/>
          <w:szCs w:val="20"/>
          <w:bdr w:val="none" w:sz="0" w:space="0" w:color="auto"/>
          <w:lang w:val="es-ES"/>
        </w:rPr>
        <w:t xml:space="preserve">y </w:t>
      </w:r>
      <w:r w:rsidR="00003AEB" w:rsidRPr="00A16D62">
        <w:rPr>
          <w:rFonts w:ascii="Cambria" w:eastAsia="Times New Roman" w:hAnsi="Cambria"/>
          <w:bCs/>
          <w:sz w:val="20"/>
          <w:szCs w:val="20"/>
          <w:bdr w:val="none" w:sz="0" w:space="0" w:color="auto"/>
          <w:lang w:val="es-ES"/>
        </w:rPr>
        <w:t xml:space="preserve">3) </w:t>
      </w:r>
      <w:r w:rsidR="00B037C5" w:rsidRPr="00A16D62">
        <w:rPr>
          <w:rFonts w:ascii="Cambria" w:eastAsia="Times New Roman" w:hAnsi="Cambria"/>
          <w:bCs/>
          <w:sz w:val="20"/>
          <w:szCs w:val="20"/>
          <w:bdr w:val="none" w:sz="0" w:space="0" w:color="auto"/>
          <w:lang w:val="es-ES"/>
        </w:rPr>
        <w:t>enviar por correo esos documentos, cargos y una explicación de los motivos por los cuales se debería otorgar permiso de entrada condicional humanitaria</w:t>
      </w:r>
      <w:r w:rsidR="00003AEB" w:rsidRPr="00A16D62">
        <w:rPr>
          <w:rFonts w:ascii="Cambria" w:eastAsia="Times New Roman" w:hAnsi="Cambria"/>
          <w:bCs/>
          <w:sz w:val="20"/>
          <w:szCs w:val="20"/>
          <w:bdr w:val="none" w:sz="0" w:space="0" w:color="auto"/>
          <w:lang w:val="es-ES"/>
        </w:rPr>
        <w:t xml:space="preserve"> </w:t>
      </w:r>
      <w:r w:rsidR="00B037C5" w:rsidRPr="00A16D62">
        <w:rPr>
          <w:rFonts w:ascii="Cambria" w:eastAsia="Times New Roman" w:hAnsi="Cambria"/>
          <w:bCs/>
          <w:sz w:val="20"/>
          <w:szCs w:val="20"/>
          <w:bdr w:val="none" w:sz="0" w:space="0" w:color="auto"/>
          <w:lang w:val="es-ES"/>
        </w:rPr>
        <w:t xml:space="preserve">a uno de dos lugares en el estado de </w:t>
      </w:r>
      <w:r w:rsidR="00003AEB" w:rsidRPr="00A16D62">
        <w:rPr>
          <w:rFonts w:ascii="Cambria" w:eastAsia="Times New Roman" w:hAnsi="Cambria"/>
          <w:bCs/>
          <w:sz w:val="20"/>
          <w:szCs w:val="20"/>
          <w:bdr w:val="none" w:sz="0" w:space="0" w:color="auto"/>
          <w:lang w:val="es-ES"/>
        </w:rPr>
        <w:t>Texas</w:t>
      </w:r>
      <w:r w:rsidR="00383F7A" w:rsidRPr="00A16D62">
        <w:rPr>
          <w:rStyle w:val="FootnoteReference"/>
          <w:rFonts w:ascii="Cambria" w:eastAsia="Times New Roman" w:hAnsi="Cambria"/>
          <w:bCs/>
          <w:sz w:val="20"/>
          <w:szCs w:val="20"/>
          <w:bdr w:val="none" w:sz="0" w:space="0" w:color="auto"/>
          <w:lang w:val="es-ES"/>
        </w:rPr>
        <w:footnoteReference w:id="131"/>
      </w:r>
      <w:r w:rsidR="00B037C5" w:rsidRPr="00A16D62">
        <w:rPr>
          <w:rFonts w:ascii="Cambria" w:eastAsia="Times New Roman" w:hAnsi="Cambria"/>
          <w:bCs/>
          <w:sz w:val="20"/>
          <w:szCs w:val="20"/>
          <w:bdr w:val="none" w:sz="0" w:space="0" w:color="auto"/>
          <w:lang w:val="es-ES"/>
        </w:rPr>
        <w:t xml:space="preserve">. Aunque el Gobierno de Estados Unidos no especifica el plazo para analizar las solicitudes de entrada condicional humanitaria y tomar una decisión al respecto, dice que, si no se recibe una respuesta dentro de los </w:t>
      </w:r>
      <w:r w:rsidR="00003AEB" w:rsidRPr="00A16D62">
        <w:rPr>
          <w:rFonts w:ascii="Cambria" w:eastAsia="Times New Roman" w:hAnsi="Cambria"/>
          <w:bCs/>
          <w:sz w:val="20"/>
          <w:szCs w:val="20"/>
          <w:bdr w:val="none" w:sz="0" w:space="0" w:color="auto"/>
          <w:lang w:val="es-ES"/>
        </w:rPr>
        <w:t>120 d</w:t>
      </w:r>
      <w:r w:rsidR="00B037C5" w:rsidRPr="00A16D62">
        <w:rPr>
          <w:rFonts w:ascii="Cambria" w:eastAsia="Times New Roman" w:hAnsi="Cambria"/>
          <w:bCs/>
          <w:sz w:val="20"/>
          <w:szCs w:val="20"/>
          <w:bdr w:val="none" w:sz="0" w:space="0" w:color="auto"/>
          <w:lang w:val="es-ES"/>
        </w:rPr>
        <w:t>ías siguientes a la presentación de la solicitud,</w:t>
      </w:r>
      <w:r w:rsidR="00003AEB" w:rsidRPr="00A16D62">
        <w:rPr>
          <w:rFonts w:ascii="Cambria" w:eastAsia="Times New Roman" w:hAnsi="Cambria"/>
          <w:bCs/>
          <w:sz w:val="20"/>
          <w:szCs w:val="20"/>
          <w:bdr w:val="none" w:sz="0" w:space="0" w:color="auto"/>
          <w:lang w:val="es-ES"/>
        </w:rPr>
        <w:t xml:space="preserve"> </w:t>
      </w:r>
      <w:r w:rsidR="00B037C5" w:rsidRPr="00A16D62">
        <w:rPr>
          <w:rFonts w:ascii="Cambria" w:eastAsia="Times New Roman" w:hAnsi="Cambria"/>
          <w:bCs/>
          <w:sz w:val="20"/>
          <w:szCs w:val="20"/>
          <w:bdr w:val="none" w:sz="0" w:space="0" w:color="auto"/>
          <w:lang w:val="es-ES"/>
        </w:rPr>
        <w:t xml:space="preserve">el día </w:t>
      </w:r>
      <w:r w:rsidR="00383F7A" w:rsidRPr="00A16D62">
        <w:rPr>
          <w:rFonts w:ascii="Cambria" w:eastAsia="Times New Roman" w:hAnsi="Cambria"/>
          <w:bCs/>
          <w:sz w:val="20"/>
          <w:szCs w:val="20"/>
          <w:bdr w:val="none" w:sz="0" w:space="0" w:color="auto"/>
          <w:lang w:val="es-ES"/>
        </w:rPr>
        <w:t>121</w:t>
      </w:r>
      <w:r w:rsidR="00B037C5" w:rsidRPr="00A16D62">
        <w:rPr>
          <w:rFonts w:ascii="Cambria" w:eastAsia="Times New Roman" w:hAnsi="Cambria"/>
          <w:bCs/>
          <w:sz w:val="20"/>
          <w:szCs w:val="20"/>
          <w:bdr w:val="none" w:sz="0" w:space="0" w:color="auto"/>
          <w:lang w:val="es-ES"/>
        </w:rPr>
        <w:t xml:space="preserve"> o con posterioridad el solicitante podrá, por correo únicamente, contactarse con la Rama de Entrada Condicional, que es la unidad que se encarga de tomar una decisión en relación con estas solicitudes</w:t>
      </w:r>
      <w:r w:rsidR="00003AEB" w:rsidRPr="00A16D62">
        <w:rPr>
          <w:rStyle w:val="FootnoteReference"/>
          <w:rFonts w:ascii="Cambria" w:eastAsia="Times New Roman" w:hAnsi="Cambria"/>
          <w:bCs/>
          <w:sz w:val="20"/>
          <w:szCs w:val="20"/>
          <w:bdr w:val="none" w:sz="0" w:space="0" w:color="auto"/>
          <w:lang w:val="es-ES"/>
        </w:rPr>
        <w:footnoteReference w:id="132"/>
      </w:r>
      <w:r w:rsidR="00B037C5" w:rsidRPr="00A16D62">
        <w:rPr>
          <w:rFonts w:ascii="Cambria" w:eastAsia="Times New Roman" w:hAnsi="Cambria"/>
          <w:bCs/>
          <w:sz w:val="20"/>
          <w:szCs w:val="20"/>
          <w:bdr w:val="none" w:sz="0" w:space="0" w:color="auto"/>
          <w:lang w:val="es-ES"/>
        </w:rPr>
        <w:t>.</w:t>
      </w:r>
      <w:r w:rsidR="00CC3419">
        <w:rPr>
          <w:rFonts w:ascii="Cambria" w:eastAsia="Times New Roman" w:hAnsi="Cambria"/>
          <w:bCs/>
          <w:sz w:val="20"/>
          <w:szCs w:val="20"/>
          <w:bdr w:val="none" w:sz="0" w:space="0" w:color="auto"/>
          <w:lang w:val="es-ES"/>
        </w:rPr>
        <w:t xml:space="preserve"> </w:t>
      </w:r>
    </w:p>
    <w:p w:rsidR="00794245" w:rsidRPr="00A16D62" w:rsidRDefault="00794245" w:rsidP="007942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A41F6F" w:rsidRPr="00A16D62" w:rsidRDefault="00B037C5" w:rsidP="00B3533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En resumen, ambos proce</w:t>
      </w:r>
      <w:r w:rsidR="003D311C" w:rsidRPr="00A16D62">
        <w:rPr>
          <w:rFonts w:ascii="Cambria" w:eastAsia="Times New Roman" w:hAnsi="Cambria"/>
          <w:bCs/>
          <w:sz w:val="20"/>
          <w:szCs w:val="20"/>
          <w:bdr w:val="none" w:sz="0" w:space="0" w:color="auto"/>
          <w:lang w:val="es-ES"/>
        </w:rPr>
        <w:t xml:space="preserve">dimientos </w:t>
      </w:r>
      <w:r w:rsidRPr="00A16D62">
        <w:rPr>
          <w:rFonts w:ascii="Cambria" w:eastAsia="Times New Roman" w:hAnsi="Cambria"/>
          <w:bCs/>
          <w:sz w:val="20"/>
          <w:szCs w:val="20"/>
          <w:bdr w:val="none" w:sz="0" w:space="0" w:color="auto"/>
          <w:lang w:val="es-ES"/>
        </w:rPr>
        <w:t xml:space="preserve">para regresar a </w:t>
      </w:r>
      <w:r w:rsidR="007E4498" w:rsidRPr="00A16D62">
        <w:rPr>
          <w:rFonts w:ascii="Cambria" w:eastAsia="Times New Roman" w:hAnsi="Cambria"/>
          <w:bCs/>
          <w:sz w:val="20"/>
          <w:szCs w:val="20"/>
          <w:bdr w:val="none" w:sz="0" w:space="0" w:color="auto"/>
          <w:lang w:val="es-ES"/>
        </w:rPr>
        <w:t>Estados Unidos</w:t>
      </w:r>
      <w:r w:rsidR="00B3533B"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son complejos y costosos</w:t>
      </w:r>
      <w:r w:rsidR="00794245" w:rsidRPr="00A16D62">
        <w:rPr>
          <w:rStyle w:val="FootnoteReference"/>
          <w:rFonts w:ascii="Cambria" w:eastAsia="Times New Roman" w:hAnsi="Cambria"/>
          <w:bCs/>
          <w:sz w:val="20"/>
          <w:szCs w:val="20"/>
          <w:bdr w:val="none" w:sz="0" w:space="0" w:color="auto"/>
          <w:lang w:val="es-ES"/>
        </w:rPr>
        <w:footnoteReference w:id="133"/>
      </w:r>
      <w:r w:rsidR="003D311C" w:rsidRPr="00A16D62">
        <w:rPr>
          <w:rFonts w:ascii="Cambria" w:eastAsia="Times New Roman" w:hAnsi="Cambria"/>
          <w:bCs/>
          <w:sz w:val="20"/>
          <w:szCs w:val="20"/>
          <w:bdr w:val="none" w:sz="0" w:space="0" w:color="auto"/>
          <w:lang w:val="es-ES"/>
        </w:rPr>
        <w:t xml:space="preserve"> y podrían llevar mucho tiempo, de modo que, para los </w:t>
      </w:r>
      <w:r w:rsidR="007B4310" w:rsidRPr="00A16D62">
        <w:rPr>
          <w:rFonts w:ascii="Cambria" w:eastAsia="Times New Roman" w:hAnsi="Cambria"/>
          <w:bCs/>
          <w:sz w:val="20"/>
          <w:szCs w:val="20"/>
          <w:bdr w:val="none" w:sz="0" w:space="0" w:color="auto"/>
          <w:lang w:val="es-ES"/>
        </w:rPr>
        <w:t>trabajadores</w:t>
      </w:r>
      <w:r w:rsidR="003D311C" w:rsidRPr="00A16D62">
        <w:rPr>
          <w:rFonts w:ascii="Cambria" w:eastAsia="Times New Roman" w:hAnsi="Cambria"/>
          <w:bCs/>
          <w:sz w:val="20"/>
          <w:szCs w:val="20"/>
          <w:bdr w:val="none" w:sz="0" w:space="0" w:color="auto"/>
          <w:lang w:val="es-ES"/>
        </w:rPr>
        <w:t xml:space="preserve"> que se van voluntariamente y ciertamente para los dos </w:t>
      </w:r>
      <w:r w:rsidR="007B4310" w:rsidRPr="00A16D62">
        <w:rPr>
          <w:rFonts w:ascii="Cambria" w:eastAsia="Times New Roman" w:hAnsi="Cambria"/>
          <w:bCs/>
          <w:sz w:val="20"/>
          <w:szCs w:val="20"/>
          <w:bdr w:val="none" w:sz="0" w:space="0" w:color="auto"/>
          <w:lang w:val="es-ES"/>
        </w:rPr>
        <w:t>trabajadores</w:t>
      </w:r>
      <w:r w:rsidR="00794245" w:rsidRPr="00A16D62">
        <w:rPr>
          <w:rFonts w:ascii="Cambria" w:eastAsia="Times New Roman" w:hAnsi="Cambria"/>
          <w:bCs/>
          <w:sz w:val="20"/>
          <w:szCs w:val="20"/>
          <w:bdr w:val="none" w:sz="0" w:space="0" w:color="auto"/>
          <w:lang w:val="es-ES"/>
        </w:rPr>
        <w:t xml:space="preserve"> </w:t>
      </w:r>
      <w:r w:rsidR="003D311C" w:rsidRPr="00A16D62">
        <w:rPr>
          <w:rFonts w:ascii="Cambria" w:eastAsia="Times New Roman" w:hAnsi="Cambria"/>
          <w:bCs/>
          <w:sz w:val="20"/>
          <w:szCs w:val="20"/>
          <w:bdr w:val="none" w:sz="0" w:space="0" w:color="auto"/>
          <w:lang w:val="es-ES"/>
        </w:rPr>
        <w:t>de este caso, son excesivamente onerosos. Asimismo, no hay ninguna garantía de que se acepten las solicitudes</w:t>
      </w:r>
      <w:r w:rsidR="00B3533B" w:rsidRPr="00A16D62">
        <w:rPr>
          <w:rStyle w:val="FootnoteReference"/>
          <w:rFonts w:ascii="Cambria" w:eastAsia="Times New Roman" w:hAnsi="Cambria"/>
          <w:bCs/>
          <w:sz w:val="20"/>
          <w:szCs w:val="20"/>
          <w:bdr w:val="none" w:sz="0" w:space="0" w:color="auto"/>
          <w:lang w:val="es-ES"/>
        </w:rPr>
        <w:footnoteReference w:id="134"/>
      </w:r>
      <w:r w:rsidR="003D311C" w:rsidRPr="00A16D62">
        <w:rPr>
          <w:rFonts w:ascii="Cambria" w:eastAsia="Times New Roman" w:hAnsi="Cambria"/>
          <w:bCs/>
          <w:sz w:val="20"/>
          <w:szCs w:val="20"/>
          <w:bdr w:val="none" w:sz="0" w:space="0" w:color="auto"/>
          <w:lang w:val="es-ES"/>
        </w:rPr>
        <w:t>.</w:t>
      </w:r>
    </w:p>
    <w:p w:rsidR="00466862" w:rsidRPr="00A16D62" w:rsidRDefault="00466862" w:rsidP="007423F8">
      <w:pPr>
        <w:pStyle w:val="ListParagraph"/>
        <w:rPr>
          <w:rFonts w:eastAsia="Times New Roman"/>
          <w:bCs/>
          <w:sz w:val="20"/>
          <w:szCs w:val="20"/>
          <w:bdr w:val="none" w:sz="0" w:space="0" w:color="auto"/>
          <w:lang w:val="es-ES"/>
        </w:rPr>
      </w:pPr>
    </w:p>
    <w:p w:rsidR="00466862" w:rsidRPr="00A16D62" w:rsidRDefault="00180125" w:rsidP="005704BC">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La Comisión</w:t>
      </w:r>
      <w:r w:rsidR="00466862" w:rsidRPr="00A16D62">
        <w:rPr>
          <w:rFonts w:ascii="Cambria" w:eastAsia="Times New Roman" w:hAnsi="Cambria"/>
          <w:bCs/>
          <w:sz w:val="20"/>
          <w:szCs w:val="20"/>
          <w:bdr w:val="none" w:sz="0" w:space="0" w:color="auto"/>
          <w:lang w:val="es-ES"/>
        </w:rPr>
        <w:t xml:space="preserve"> </w:t>
      </w:r>
      <w:r w:rsidR="00DA19C4" w:rsidRPr="00A16D62">
        <w:rPr>
          <w:rFonts w:ascii="Cambria" w:eastAsia="Times New Roman" w:hAnsi="Cambria"/>
          <w:bCs/>
          <w:sz w:val="20"/>
          <w:szCs w:val="20"/>
          <w:bdr w:val="none" w:sz="0" w:space="0" w:color="auto"/>
          <w:lang w:val="es-ES"/>
        </w:rPr>
        <w:t>observa también que estos obstáculos permiten que los</w:t>
      </w:r>
      <w:r w:rsidR="004E41EB"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4E41EB" w:rsidRPr="00A16D62">
        <w:rPr>
          <w:rFonts w:ascii="Cambria" w:eastAsia="Times New Roman" w:hAnsi="Cambria"/>
          <w:bCs/>
          <w:sz w:val="20"/>
          <w:szCs w:val="20"/>
          <w:bdr w:val="none" w:sz="0" w:space="0" w:color="auto"/>
          <w:lang w:val="es-ES"/>
        </w:rPr>
        <w:t xml:space="preserve"> </w:t>
      </w:r>
      <w:r w:rsidR="00DA19C4" w:rsidRPr="00A16D62">
        <w:rPr>
          <w:rFonts w:ascii="Cambria" w:eastAsia="Times New Roman" w:hAnsi="Cambria"/>
          <w:bCs/>
          <w:sz w:val="20"/>
          <w:szCs w:val="20"/>
          <w:bdr w:val="none" w:sz="0" w:space="0" w:color="auto"/>
          <w:lang w:val="es-ES"/>
        </w:rPr>
        <w:t xml:space="preserve">sean explotados y sufran discriminación con pocas garantías, o ninguna, de protección </w:t>
      </w:r>
      <w:r w:rsidR="00383F7A" w:rsidRPr="00A16D62">
        <w:rPr>
          <w:rFonts w:ascii="Cambria" w:eastAsia="Times New Roman" w:hAnsi="Cambria"/>
          <w:bCs/>
          <w:sz w:val="20"/>
          <w:szCs w:val="20"/>
          <w:bdr w:val="none" w:sz="0" w:space="0" w:color="auto"/>
          <w:lang w:val="es-ES"/>
        </w:rPr>
        <w:t>judicial</w:t>
      </w:r>
      <w:r w:rsidR="00DA19C4" w:rsidRPr="00A16D62">
        <w:rPr>
          <w:rFonts w:ascii="Cambria" w:eastAsia="Times New Roman" w:hAnsi="Cambria"/>
          <w:bCs/>
          <w:sz w:val="20"/>
          <w:szCs w:val="20"/>
          <w:bdr w:val="none" w:sz="0" w:space="0" w:color="auto"/>
          <w:lang w:val="es-ES"/>
        </w:rPr>
        <w:t xml:space="preserve">. En ese sentido, </w:t>
      </w:r>
      <w:r w:rsidRPr="00A16D62">
        <w:rPr>
          <w:rFonts w:ascii="Cambria" w:eastAsia="Times New Roman" w:hAnsi="Cambria"/>
          <w:bCs/>
          <w:sz w:val="20"/>
          <w:szCs w:val="20"/>
          <w:bdr w:val="none" w:sz="0" w:space="0" w:color="auto"/>
          <w:lang w:val="es-ES"/>
        </w:rPr>
        <w:t>la Comisión</w:t>
      </w:r>
      <w:r w:rsidR="00383F7A" w:rsidRPr="00A16D62">
        <w:rPr>
          <w:rFonts w:ascii="Cambria" w:eastAsia="Times New Roman" w:hAnsi="Cambria"/>
          <w:bCs/>
          <w:sz w:val="20"/>
          <w:szCs w:val="20"/>
          <w:bdr w:val="none" w:sz="0" w:space="0" w:color="auto"/>
          <w:lang w:val="es-ES"/>
        </w:rPr>
        <w:t xml:space="preserve"> </w:t>
      </w:r>
      <w:r w:rsidR="00CB7F73" w:rsidRPr="00A16D62">
        <w:rPr>
          <w:rFonts w:ascii="Cambria" w:eastAsia="Times New Roman" w:hAnsi="Cambria"/>
          <w:bCs/>
          <w:sz w:val="20"/>
          <w:szCs w:val="20"/>
          <w:bdr w:val="none" w:sz="0" w:space="0" w:color="auto"/>
          <w:lang w:val="es-ES"/>
        </w:rPr>
        <w:t>t</w:t>
      </w:r>
      <w:r w:rsidR="00DA19C4" w:rsidRPr="00A16D62">
        <w:rPr>
          <w:rFonts w:ascii="Cambria" w:eastAsia="Times New Roman" w:hAnsi="Cambria"/>
          <w:bCs/>
          <w:sz w:val="20"/>
          <w:szCs w:val="20"/>
          <w:bdr w:val="none" w:sz="0" w:space="0" w:color="auto"/>
          <w:lang w:val="es-ES"/>
        </w:rPr>
        <w:t xml:space="preserve">oma nota de las opiniones del juez Breyer de la </w:t>
      </w:r>
      <w:r w:rsidR="003E2C91" w:rsidRPr="00A16D62">
        <w:rPr>
          <w:rFonts w:ascii="Cambria" w:eastAsia="Times New Roman" w:hAnsi="Cambria"/>
          <w:bCs/>
          <w:sz w:val="20"/>
          <w:szCs w:val="20"/>
          <w:bdr w:val="none" w:sz="0" w:space="0" w:color="auto"/>
          <w:lang w:val="es-ES"/>
        </w:rPr>
        <w:t>Corte Suprema de Estados Unidos</w:t>
      </w:r>
      <w:r w:rsidR="00383F7A" w:rsidRPr="00A16D62">
        <w:rPr>
          <w:rFonts w:ascii="Cambria" w:eastAsia="Times New Roman" w:hAnsi="Cambria"/>
          <w:bCs/>
          <w:sz w:val="20"/>
          <w:szCs w:val="20"/>
          <w:bdr w:val="none" w:sz="0" w:space="0" w:color="auto"/>
          <w:lang w:val="es-ES"/>
        </w:rPr>
        <w:t xml:space="preserve"> </w:t>
      </w:r>
      <w:r w:rsidR="00DA19C4" w:rsidRPr="00A16D62">
        <w:rPr>
          <w:rFonts w:ascii="Cambria" w:eastAsia="Times New Roman" w:hAnsi="Cambria"/>
          <w:bCs/>
          <w:sz w:val="20"/>
          <w:szCs w:val="20"/>
          <w:bdr w:val="none" w:sz="0" w:space="0" w:color="auto"/>
          <w:lang w:val="es-ES"/>
        </w:rPr>
        <w:t xml:space="preserve">en su voto disidente en el caso </w:t>
      </w:r>
      <w:r w:rsidR="004E41EB" w:rsidRPr="00A16D62">
        <w:rPr>
          <w:rFonts w:ascii="Cambria" w:eastAsia="Times New Roman" w:hAnsi="Cambria"/>
          <w:bCs/>
          <w:i/>
          <w:sz w:val="20"/>
          <w:szCs w:val="20"/>
          <w:bdr w:val="none" w:sz="0" w:space="0" w:color="auto"/>
          <w:lang w:val="es-ES"/>
        </w:rPr>
        <w:t>Hoffman</w:t>
      </w:r>
      <w:r w:rsidR="004E41EB" w:rsidRPr="00A16D62">
        <w:rPr>
          <w:rFonts w:ascii="Cambria" w:eastAsia="Times New Roman" w:hAnsi="Cambria"/>
          <w:bCs/>
          <w:sz w:val="20"/>
          <w:szCs w:val="20"/>
          <w:bdr w:val="none" w:sz="0" w:space="0" w:color="auto"/>
          <w:lang w:val="es-ES"/>
        </w:rPr>
        <w:t xml:space="preserve">, </w:t>
      </w:r>
      <w:r w:rsidR="00DA19C4" w:rsidRPr="00A16D62">
        <w:rPr>
          <w:rFonts w:ascii="Cambria" w:eastAsia="Times New Roman" w:hAnsi="Cambria"/>
          <w:bCs/>
          <w:sz w:val="20"/>
          <w:szCs w:val="20"/>
          <w:bdr w:val="none" w:sz="0" w:space="0" w:color="auto"/>
          <w:lang w:val="es-ES"/>
        </w:rPr>
        <w:t xml:space="preserve">en las cuales reconoció la gran posibilidad de que se explote a los </w:t>
      </w:r>
      <w:r w:rsidR="00C038BF" w:rsidRPr="00A16D62">
        <w:rPr>
          <w:rFonts w:ascii="Cambria" w:eastAsia="Times New Roman" w:hAnsi="Cambria"/>
          <w:bCs/>
          <w:sz w:val="20"/>
          <w:szCs w:val="20"/>
          <w:bdr w:val="none" w:sz="0" w:space="0" w:color="auto"/>
          <w:lang w:val="es-ES"/>
        </w:rPr>
        <w:t>trabajadores indocumentados</w:t>
      </w:r>
      <w:r w:rsidR="004E41EB" w:rsidRPr="00A16D62">
        <w:rPr>
          <w:rFonts w:ascii="Cambria" w:eastAsia="Times New Roman" w:hAnsi="Cambria"/>
          <w:bCs/>
          <w:sz w:val="20"/>
          <w:szCs w:val="20"/>
          <w:bdr w:val="none" w:sz="0" w:space="0" w:color="auto"/>
          <w:lang w:val="es-ES"/>
        </w:rPr>
        <w:t xml:space="preserve"> “</w:t>
      </w:r>
      <w:r w:rsidR="00DA19C4" w:rsidRPr="00A16D62">
        <w:rPr>
          <w:rFonts w:ascii="Cambria" w:eastAsia="Times New Roman" w:hAnsi="Cambria"/>
          <w:bCs/>
          <w:sz w:val="20"/>
          <w:szCs w:val="20"/>
          <w:bdr w:val="none" w:sz="0" w:space="0" w:color="auto"/>
          <w:lang w:val="es-ES"/>
        </w:rPr>
        <w:t xml:space="preserve">si no hay sanciones </w:t>
      </w:r>
      <w:r w:rsidR="004E41EB" w:rsidRPr="00A16D62">
        <w:rPr>
          <w:rFonts w:ascii="Cambria" w:eastAsia="Times New Roman" w:hAnsi="Cambria"/>
          <w:bCs/>
          <w:sz w:val="20"/>
          <w:szCs w:val="20"/>
          <w:bdr w:val="none" w:sz="0" w:space="0" w:color="auto"/>
          <w:lang w:val="es-ES"/>
        </w:rPr>
        <w:t>real</w:t>
      </w:r>
      <w:r w:rsidR="00DA19C4" w:rsidRPr="00A16D62">
        <w:rPr>
          <w:rFonts w:ascii="Cambria" w:eastAsia="Times New Roman" w:hAnsi="Cambria"/>
          <w:bCs/>
          <w:sz w:val="20"/>
          <w:szCs w:val="20"/>
          <w:bdr w:val="none" w:sz="0" w:space="0" w:color="auto"/>
          <w:lang w:val="es-ES"/>
        </w:rPr>
        <w:t>es para las infracciones de las leyes laborales</w:t>
      </w:r>
      <w:r w:rsidR="004E41EB" w:rsidRPr="00A16D62">
        <w:rPr>
          <w:rFonts w:ascii="Cambria" w:eastAsia="Times New Roman" w:hAnsi="Cambria"/>
          <w:bCs/>
          <w:sz w:val="20"/>
          <w:szCs w:val="20"/>
          <w:bdr w:val="none" w:sz="0" w:space="0" w:color="auto"/>
          <w:lang w:val="es-ES"/>
        </w:rPr>
        <w:t xml:space="preserve"> [com</w:t>
      </w:r>
      <w:r w:rsidR="00DA19C4" w:rsidRPr="00A16D62">
        <w:rPr>
          <w:rFonts w:ascii="Cambria" w:eastAsia="Times New Roman" w:hAnsi="Cambria"/>
          <w:bCs/>
          <w:sz w:val="20"/>
          <w:szCs w:val="20"/>
          <w:bdr w:val="none" w:sz="0" w:space="0" w:color="auto"/>
          <w:lang w:val="es-ES"/>
        </w:rPr>
        <w:t xml:space="preserve">etidas contra </w:t>
      </w:r>
      <w:r w:rsidR="00C038BF" w:rsidRPr="00A16D62">
        <w:rPr>
          <w:rFonts w:ascii="Cambria" w:eastAsia="Times New Roman" w:hAnsi="Cambria"/>
          <w:bCs/>
          <w:sz w:val="20"/>
          <w:szCs w:val="20"/>
          <w:bdr w:val="none" w:sz="0" w:space="0" w:color="auto"/>
          <w:lang w:val="es-ES"/>
        </w:rPr>
        <w:t>trabajadores indocumentados</w:t>
      </w:r>
      <w:r w:rsidR="004E41EB" w:rsidRPr="00A16D62">
        <w:rPr>
          <w:rFonts w:ascii="Cambria" w:eastAsia="Times New Roman" w:hAnsi="Cambria"/>
          <w:bCs/>
          <w:sz w:val="20"/>
          <w:szCs w:val="20"/>
          <w:bdr w:val="none" w:sz="0" w:space="0" w:color="auto"/>
          <w:lang w:val="es-ES"/>
        </w:rPr>
        <w:t xml:space="preserve">] </w:t>
      </w:r>
      <w:r w:rsidR="00DA19C4" w:rsidRPr="00A16D62">
        <w:rPr>
          <w:rFonts w:ascii="Cambria" w:eastAsia="Times New Roman" w:hAnsi="Cambria"/>
          <w:bCs/>
          <w:sz w:val="20"/>
          <w:szCs w:val="20"/>
          <w:bdr w:val="none" w:sz="0" w:space="0" w:color="auto"/>
          <w:lang w:val="es-ES"/>
        </w:rPr>
        <w:t>fuera del anuncio</w:t>
      </w:r>
      <w:r w:rsidR="00383F7A" w:rsidRPr="00A16D62">
        <w:rPr>
          <w:rFonts w:ascii="Cambria" w:eastAsia="Times New Roman" w:hAnsi="Cambria"/>
          <w:bCs/>
          <w:sz w:val="20"/>
          <w:szCs w:val="20"/>
          <w:bdr w:val="none" w:sz="0" w:space="0" w:color="auto"/>
          <w:lang w:val="es-ES"/>
        </w:rPr>
        <w:t xml:space="preserve"> [</w:t>
      </w:r>
      <w:r w:rsidR="00DA19C4" w:rsidRPr="00A16D62">
        <w:rPr>
          <w:rFonts w:ascii="Cambria" w:eastAsia="Times New Roman" w:hAnsi="Cambria"/>
          <w:bCs/>
          <w:sz w:val="20"/>
          <w:szCs w:val="20"/>
          <w:bdr w:val="none" w:sz="0" w:space="0" w:color="auto"/>
          <w:lang w:val="es-ES"/>
        </w:rPr>
        <w:t xml:space="preserve">de órdenes de </w:t>
      </w:r>
      <w:r w:rsidR="00CD520F" w:rsidRPr="00A16D62">
        <w:rPr>
          <w:rFonts w:ascii="Cambria" w:eastAsia="Times New Roman" w:hAnsi="Cambria"/>
          <w:bCs/>
          <w:sz w:val="20"/>
          <w:szCs w:val="20"/>
          <w:bdr w:val="none" w:sz="0" w:space="0" w:color="auto"/>
          <w:lang w:val="es-ES"/>
        </w:rPr>
        <w:t>cesar y desistir</w:t>
      </w:r>
      <w:r w:rsidR="00383F7A" w:rsidRPr="00A16D62">
        <w:rPr>
          <w:rFonts w:ascii="Cambria" w:eastAsia="Times New Roman" w:hAnsi="Cambria"/>
          <w:bCs/>
          <w:sz w:val="20"/>
          <w:szCs w:val="20"/>
          <w:bdr w:val="none" w:sz="0" w:space="0" w:color="auto"/>
          <w:lang w:val="es-ES"/>
        </w:rPr>
        <w:t>]</w:t>
      </w:r>
      <w:r w:rsidR="004E41EB" w:rsidRPr="00A16D62">
        <w:rPr>
          <w:rFonts w:ascii="Cambria" w:eastAsia="Times New Roman" w:hAnsi="Cambria"/>
          <w:bCs/>
          <w:sz w:val="20"/>
          <w:szCs w:val="20"/>
          <w:bdr w:val="none" w:sz="0" w:space="0" w:color="auto"/>
          <w:lang w:val="es-ES"/>
        </w:rPr>
        <w:t xml:space="preserve"> </w:t>
      </w:r>
      <w:r w:rsidR="004F1878" w:rsidRPr="00A16D62">
        <w:rPr>
          <w:rFonts w:ascii="Cambria" w:eastAsia="Times New Roman" w:hAnsi="Cambria"/>
          <w:bCs/>
          <w:sz w:val="20"/>
          <w:szCs w:val="20"/>
          <w:bdr w:val="none" w:sz="0" w:space="0" w:color="auto"/>
          <w:lang w:val="es-ES"/>
        </w:rPr>
        <w:t>y la posibilidad de que a los infractores reincidentes se les acuse de desacato</w:t>
      </w:r>
      <w:r w:rsidR="004E41EB" w:rsidRPr="00A16D62">
        <w:rPr>
          <w:rFonts w:ascii="Cambria" w:eastAsia="Times New Roman" w:hAnsi="Cambria"/>
          <w:bCs/>
          <w:sz w:val="20"/>
          <w:szCs w:val="20"/>
          <w:bdr w:val="none" w:sz="0" w:space="0" w:color="auto"/>
          <w:lang w:val="es-ES"/>
        </w:rPr>
        <w:t>”</w:t>
      </w:r>
      <w:r w:rsidR="004E41EB" w:rsidRPr="00A16D62">
        <w:rPr>
          <w:rStyle w:val="FootnoteReference"/>
          <w:rFonts w:ascii="Cambria" w:eastAsia="Times New Roman" w:hAnsi="Cambria"/>
          <w:bCs/>
          <w:sz w:val="20"/>
          <w:szCs w:val="20"/>
          <w:bdr w:val="none" w:sz="0" w:space="0" w:color="auto"/>
          <w:lang w:val="es-ES"/>
        </w:rPr>
        <w:footnoteReference w:id="135"/>
      </w:r>
      <w:r w:rsidR="004F1878" w:rsidRPr="00A16D62">
        <w:rPr>
          <w:rFonts w:ascii="Cambria" w:eastAsia="Times New Roman" w:hAnsi="Cambria"/>
          <w:bCs/>
          <w:sz w:val="20"/>
          <w:szCs w:val="20"/>
          <w:bdr w:val="none" w:sz="0" w:space="0" w:color="auto"/>
          <w:lang w:val="es-ES"/>
        </w:rPr>
        <w:t>.</w:t>
      </w:r>
    </w:p>
    <w:p w:rsidR="004961FE" w:rsidRPr="00A16D62" w:rsidRDefault="004961FE" w:rsidP="00496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BF3E3F" w:rsidRPr="00A16D62" w:rsidRDefault="0046759D" w:rsidP="00C15B5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Basándose en su examen del </w:t>
      </w:r>
      <w:r w:rsidR="00D6790D" w:rsidRPr="00A16D62">
        <w:rPr>
          <w:rFonts w:ascii="Cambria" w:eastAsia="Times New Roman" w:hAnsi="Cambria"/>
          <w:bCs/>
          <w:sz w:val="20"/>
          <w:szCs w:val="20"/>
          <w:bdr w:val="none" w:sz="0" w:space="0" w:color="auto"/>
          <w:lang w:val="es-ES"/>
        </w:rPr>
        <w:t>derecho internacional</w:t>
      </w:r>
      <w:r w:rsidR="006462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y los </w:t>
      </w:r>
      <w:r w:rsidR="00646288" w:rsidRPr="00A16D62">
        <w:rPr>
          <w:rFonts w:ascii="Cambria" w:eastAsia="Times New Roman" w:hAnsi="Cambria"/>
          <w:bCs/>
          <w:sz w:val="20"/>
          <w:szCs w:val="20"/>
          <w:bdr w:val="none" w:sz="0" w:space="0" w:color="auto"/>
          <w:lang w:val="es-ES"/>
        </w:rPr>
        <w:t>precedent</w:t>
      </w:r>
      <w:r w:rsidRPr="00A16D62">
        <w:rPr>
          <w:rFonts w:ascii="Cambria" w:eastAsia="Times New Roman" w:hAnsi="Cambria"/>
          <w:bCs/>
          <w:sz w:val="20"/>
          <w:szCs w:val="20"/>
          <w:bdr w:val="none" w:sz="0" w:space="0" w:color="auto"/>
          <w:lang w:val="es-ES"/>
        </w:rPr>
        <w:t>e</w:t>
      </w:r>
      <w:r w:rsidR="00646288" w:rsidRPr="00A16D62">
        <w:rPr>
          <w:rFonts w:ascii="Cambria" w:eastAsia="Times New Roman" w:hAnsi="Cambria"/>
          <w:bCs/>
          <w:sz w:val="20"/>
          <w:szCs w:val="20"/>
          <w:bdr w:val="none" w:sz="0" w:space="0" w:color="auto"/>
          <w:lang w:val="es-ES"/>
        </w:rPr>
        <w:t xml:space="preserve">s </w:t>
      </w:r>
      <w:r w:rsidRPr="00A16D62">
        <w:rPr>
          <w:rFonts w:ascii="Cambria" w:eastAsia="Times New Roman" w:hAnsi="Cambria"/>
          <w:bCs/>
          <w:sz w:val="20"/>
          <w:szCs w:val="20"/>
          <w:bdr w:val="none" w:sz="0" w:space="0" w:color="auto"/>
          <w:lang w:val="es-ES"/>
        </w:rPr>
        <w:t>del sistema interamericano</w:t>
      </w:r>
      <w:r w:rsidR="00BF3E3F" w:rsidRPr="00A16D62">
        <w:rPr>
          <w:rStyle w:val="FootnoteReference"/>
          <w:rFonts w:ascii="Cambria" w:eastAsia="Times New Roman" w:hAnsi="Cambria"/>
          <w:bCs/>
          <w:sz w:val="20"/>
          <w:szCs w:val="20"/>
          <w:bdr w:val="none" w:sz="0" w:space="0" w:color="auto"/>
          <w:lang w:val="es-ES"/>
        </w:rPr>
        <w:footnoteReference w:id="136"/>
      </w:r>
      <w:r w:rsidR="00646288" w:rsidRPr="00A16D62">
        <w:rPr>
          <w:rFonts w:ascii="Cambria" w:eastAsia="Times New Roman" w:hAnsi="Cambria"/>
          <w:bCs/>
          <w:sz w:val="20"/>
          <w:szCs w:val="20"/>
          <w:bdr w:val="none" w:sz="0" w:space="0" w:color="auto"/>
          <w:lang w:val="es-ES"/>
        </w:rPr>
        <w:t xml:space="preserve">, </w:t>
      </w:r>
      <w:r w:rsidR="001C1F5D" w:rsidRPr="00A16D62">
        <w:rPr>
          <w:rFonts w:ascii="Cambria" w:eastAsia="Times New Roman" w:hAnsi="Cambria"/>
          <w:bCs/>
          <w:sz w:val="20"/>
          <w:szCs w:val="20"/>
          <w:bdr w:val="none" w:sz="0" w:space="0" w:color="auto"/>
          <w:lang w:val="es-ES"/>
        </w:rPr>
        <w:t>la CIDH</w:t>
      </w:r>
      <w:r w:rsidR="006462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concluye que cuando una persona</w:t>
      </w:r>
      <w:r w:rsidR="0064628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independientemente de su situación migratoria y tenga o no autorización para trabajar, entabla una relación de empleo, tiene los mismos derechos que todos los demás</w:t>
      </w:r>
      <w:r w:rsidR="00367BAE"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trabajadores</w:t>
      </w:r>
      <w:r w:rsidRPr="00A16D62">
        <w:rPr>
          <w:rFonts w:ascii="Cambria" w:eastAsia="Times New Roman" w:hAnsi="Cambria"/>
          <w:bCs/>
          <w:sz w:val="20"/>
          <w:szCs w:val="20"/>
          <w:bdr w:val="none" w:sz="0" w:space="0" w:color="auto"/>
          <w:lang w:val="es-ES"/>
        </w:rPr>
        <w:t xml:space="preserve"> y los Estados están obligados a respetar</w:t>
      </w:r>
      <w:r w:rsidR="007D773E" w:rsidRPr="00A16D62">
        <w:rPr>
          <w:rFonts w:ascii="Cambria" w:eastAsia="Times New Roman" w:hAnsi="Cambria"/>
          <w:bCs/>
          <w:sz w:val="20"/>
          <w:szCs w:val="20"/>
          <w:bdr w:val="none" w:sz="0" w:space="0" w:color="auto"/>
          <w:lang w:val="es-ES"/>
        </w:rPr>
        <w:t>, prote</w:t>
      </w:r>
      <w:r w:rsidRPr="00A16D62">
        <w:rPr>
          <w:rFonts w:ascii="Cambria" w:eastAsia="Times New Roman" w:hAnsi="Cambria"/>
          <w:bCs/>
          <w:sz w:val="20"/>
          <w:szCs w:val="20"/>
          <w:bdr w:val="none" w:sz="0" w:space="0" w:color="auto"/>
          <w:lang w:val="es-ES"/>
        </w:rPr>
        <w:t>ger y garantizar esos derechos</w:t>
      </w:r>
      <w:r w:rsidR="00367BAE" w:rsidRPr="00A16D62">
        <w:rPr>
          <w:rFonts w:ascii="Cambria" w:eastAsia="Times New Roman" w:hAnsi="Cambria"/>
          <w:bCs/>
          <w:sz w:val="20"/>
          <w:szCs w:val="20"/>
          <w:bdr w:val="none" w:sz="0" w:space="0" w:color="auto"/>
          <w:lang w:val="es-ES"/>
        </w:rPr>
        <w:t xml:space="preserve">. </w:t>
      </w:r>
    </w:p>
    <w:p w:rsidR="00BF3E3F" w:rsidRPr="00A16D62" w:rsidRDefault="00BF3E3F" w:rsidP="00BF3E3F">
      <w:pPr>
        <w:pStyle w:val="ListParagraph"/>
        <w:rPr>
          <w:rFonts w:eastAsia="Times New Roman"/>
          <w:bCs/>
          <w:sz w:val="20"/>
          <w:szCs w:val="20"/>
          <w:bdr w:val="none" w:sz="0" w:space="0" w:color="auto"/>
          <w:lang w:val="es-ES"/>
        </w:rPr>
      </w:pPr>
    </w:p>
    <w:p w:rsidR="007E3143" w:rsidRPr="00A16D62" w:rsidRDefault="00C66018" w:rsidP="00BF3E3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El análisis realizado por l</w:t>
      </w:r>
      <w:r w:rsidR="00180125" w:rsidRPr="00A16D62">
        <w:rPr>
          <w:rFonts w:ascii="Cambria" w:eastAsia="Times New Roman" w:hAnsi="Cambria"/>
          <w:bCs/>
          <w:sz w:val="20"/>
          <w:szCs w:val="20"/>
          <w:bdr w:val="none" w:sz="0" w:space="0" w:color="auto"/>
          <w:lang w:val="es-ES"/>
        </w:rPr>
        <w:t>a Comisión</w:t>
      </w:r>
      <w:r w:rsidRPr="00A16D62">
        <w:rPr>
          <w:rFonts w:ascii="Cambria" w:eastAsia="Times New Roman" w:hAnsi="Cambria"/>
          <w:bCs/>
          <w:sz w:val="20"/>
          <w:szCs w:val="20"/>
          <w:bdr w:val="none" w:sz="0" w:space="0" w:color="auto"/>
          <w:lang w:val="es-ES"/>
        </w:rPr>
        <w:t xml:space="preserve"> del fondo de este caso </w:t>
      </w:r>
      <w:r w:rsidR="00BF3E3F" w:rsidRPr="00A16D62">
        <w:rPr>
          <w:rFonts w:ascii="Cambria" w:eastAsia="Times New Roman" w:hAnsi="Cambria"/>
          <w:bCs/>
          <w:sz w:val="20"/>
          <w:szCs w:val="20"/>
          <w:bdr w:val="none" w:sz="0" w:space="0" w:color="auto"/>
          <w:lang w:val="es-ES"/>
        </w:rPr>
        <w:t>indica</w:t>
      </w:r>
      <w:r w:rsidRPr="00A16D62">
        <w:rPr>
          <w:rFonts w:ascii="Cambria" w:eastAsia="Times New Roman" w:hAnsi="Cambria"/>
          <w:bCs/>
          <w:sz w:val="20"/>
          <w:szCs w:val="20"/>
          <w:bdr w:val="none" w:sz="0" w:space="0" w:color="auto"/>
          <w:lang w:val="es-ES"/>
        </w:rPr>
        <w:t xml:space="preserve"> que la rama </w:t>
      </w:r>
      <w:r w:rsidR="00BF3E3F" w:rsidRPr="00A16D62">
        <w:rPr>
          <w:rFonts w:ascii="Cambria" w:eastAsia="Times New Roman" w:hAnsi="Cambria"/>
          <w:bCs/>
          <w:sz w:val="20"/>
          <w:szCs w:val="20"/>
          <w:bdr w:val="none" w:sz="0" w:space="0" w:color="auto"/>
          <w:lang w:val="es-ES"/>
        </w:rPr>
        <w:t xml:space="preserve">judicial </w:t>
      </w:r>
      <w:r w:rsidRPr="00A16D62">
        <w:rPr>
          <w:rFonts w:ascii="Cambria" w:eastAsia="Times New Roman" w:hAnsi="Cambria"/>
          <w:bCs/>
          <w:sz w:val="20"/>
          <w:szCs w:val="20"/>
          <w:bdr w:val="none" w:sz="0" w:space="0" w:color="auto"/>
          <w:lang w:val="es-ES"/>
        </w:rPr>
        <w:t>d</w:t>
      </w:r>
      <w:r w:rsidR="00180125" w:rsidRPr="00A16D62">
        <w:rPr>
          <w:rFonts w:ascii="Cambria" w:eastAsia="Times New Roman" w:hAnsi="Cambria"/>
          <w:bCs/>
          <w:sz w:val="20"/>
          <w:szCs w:val="20"/>
          <w:bdr w:val="none" w:sz="0" w:space="0" w:color="auto"/>
          <w:lang w:val="es-ES"/>
        </w:rPr>
        <w:t>el Estado</w:t>
      </w:r>
      <w:r w:rsidR="00BF3E3F"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no </w:t>
      </w:r>
      <w:r w:rsidR="00BF3E3F" w:rsidRPr="00A16D62">
        <w:rPr>
          <w:rFonts w:ascii="Cambria" w:eastAsia="Times New Roman" w:hAnsi="Cambria"/>
          <w:bCs/>
          <w:sz w:val="20"/>
          <w:szCs w:val="20"/>
          <w:bdr w:val="none" w:sz="0" w:space="0" w:color="auto"/>
          <w:lang w:val="es-ES"/>
        </w:rPr>
        <w:t>ha</w:t>
      </w:r>
      <w:r w:rsidRPr="00A16D62">
        <w:rPr>
          <w:rFonts w:ascii="Cambria" w:eastAsia="Times New Roman" w:hAnsi="Cambria"/>
          <w:bCs/>
          <w:sz w:val="20"/>
          <w:szCs w:val="20"/>
          <w:bdr w:val="none" w:sz="0" w:space="0" w:color="auto"/>
          <w:lang w:val="es-ES"/>
        </w:rPr>
        <w:t xml:space="preserve"> reconocido plenamente el derecho de las víctimas a la </w:t>
      </w:r>
      <w:r w:rsidR="00BF3E3F" w:rsidRPr="00A16D62">
        <w:rPr>
          <w:rFonts w:ascii="Cambria" w:eastAsia="Times New Roman" w:hAnsi="Cambria"/>
          <w:bCs/>
          <w:sz w:val="20"/>
          <w:szCs w:val="20"/>
          <w:bdr w:val="none" w:sz="0" w:space="0" w:color="auto"/>
          <w:lang w:val="es-ES"/>
        </w:rPr>
        <w:t>no</w:t>
      </w:r>
      <w:r w:rsidRPr="00A16D62">
        <w:rPr>
          <w:rFonts w:ascii="Cambria" w:eastAsia="Times New Roman" w:hAnsi="Cambria"/>
          <w:bCs/>
          <w:sz w:val="20"/>
          <w:szCs w:val="20"/>
          <w:bdr w:val="none" w:sz="0" w:space="0" w:color="auto"/>
          <w:lang w:val="es-ES"/>
        </w:rPr>
        <w:t xml:space="preserve"> </w:t>
      </w:r>
      <w:r w:rsidR="00B8732F" w:rsidRPr="00A16D62">
        <w:rPr>
          <w:rFonts w:ascii="Cambria" w:eastAsia="Times New Roman" w:hAnsi="Cambria"/>
          <w:bCs/>
          <w:sz w:val="20"/>
          <w:szCs w:val="20"/>
          <w:bdr w:val="none" w:sz="0" w:space="0" w:color="auto"/>
          <w:lang w:val="es-ES"/>
        </w:rPr>
        <w:t>discriminación</w:t>
      </w:r>
      <w:r w:rsidR="00BF3E3F" w:rsidRPr="00A16D62">
        <w:rPr>
          <w:rFonts w:ascii="Cambria" w:eastAsia="Times New Roman" w:hAnsi="Cambria"/>
          <w:bCs/>
          <w:sz w:val="20"/>
          <w:szCs w:val="20"/>
          <w:bdr w:val="none" w:sz="0" w:space="0" w:color="auto"/>
          <w:lang w:val="es-ES"/>
        </w:rPr>
        <w:t xml:space="preserve"> </w:t>
      </w:r>
      <w:r w:rsidR="00EB2759" w:rsidRPr="00A16D62">
        <w:rPr>
          <w:rFonts w:ascii="Cambria" w:eastAsia="Times New Roman" w:hAnsi="Cambria"/>
          <w:bCs/>
          <w:sz w:val="20"/>
          <w:szCs w:val="20"/>
          <w:bdr w:val="none" w:sz="0" w:space="0" w:color="auto"/>
          <w:lang w:val="es-ES"/>
        </w:rPr>
        <w:t>y el derecho d</w:t>
      </w:r>
      <w:r w:rsidR="007F4530" w:rsidRPr="00A16D62">
        <w:rPr>
          <w:rFonts w:ascii="Cambria" w:eastAsia="Times New Roman" w:hAnsi="Cambria"/>
          <w:bCs/>
          <w:sz w:val="20"/>
          <w:szCs w:val="20"/>
          <w:bdr w:val="none" w:sz="0" w:space="0" w:color="auto"/>
          <w:lang w:val="es-ES"/>
        </w:rPr>
        <w:t>el señor</w:t>
      </w:r>
      <w:r w:rsidR="00E72487" w:rsidRPr="00A16D62">
        <w:rPr>
          <w:rFonts w:ascii="Cambria" w:eastAsia="Times New Roman" w:hAnsi="Cambria"/>
          <w:bCs/>
          <w:sz w:val="20"/>
          <w:szCs w:val="20"/>
          <w:bdr w:val="none" w:sz="0" w:space="0" w:color="auto"/>
          <w:lang w:val="es-ES"/>
        </w:rPr>
        <w:t xml:space="preserve"> Lizalde</w:t>
      </w:r>
      <w:r w:rsidR="00EB2759" w:rsidRPr="00A16D62">
        <w:rPr>
          <w:rFonts w:ascii="Cambria" w:eastAsia="Times New Roman" w:hAnsi="Cambria"/>
          <w:bCs/>
          <w:sz w:val="20"/>
          <w:szCs w:val="20"/>
          <w:bdr w:val="none" w:sz="0" w:space="0" w:color="auto"/>
          <w:lang w:val="es-ES"/>
        </w:rPr>
        <w:t xml:space="preserve"> a la personalidad jurídica ni ha protegido de manera adecuada o efectiva los derechos de las víctimas como </w:t>
      </w:r>
      <w:r w:rsidR="007B4310" w:rsidRPr="00A16D62">
        <w:rPr>
          <w:rFonts w:ascii="Cambria" w:eastAsia="Times New Roman" w:hAnsi="Cambria"/>
          <w:bCs/>
          <w:sz w:val="20"/>
          <w:szCs w:val="20"/>
          <w:bdr w:val="none" w:sz="0" w:space="0" w:color="auto"/>
          <w:lang w:val="es-ES"/>
        </w:rPr>
        <w:t>trabajadores</w:t>
      </w:r>
      <w:r w:rsidR="00BF3E3F" w:rsidRPr="00A16D62">
        <w:rPr>
          <w:rFonts w:ascii="Cambria" w:eastAsia="Times New Roman" w:hAnsi="Cambria"/>
          <w:bCs/>
          <w:sz w:val="20"/>
          <w:szCs w:val="20"/>
          <w:bdr w:val="none" w:sz="0" w:space="0" w:color="auto"/>
          <w:lang w:val="es-ES"/>
        </w:rPr>
        <w:t xml:space="preserve"> </w:t>
      </w:r>
      <w:r w:rsidR="00EB2759" w:rsidRPr="00A16D62">
        <w:rPr>
          <w:rFonts w:ascii="Cambria" w:eastAsia="Times New Roman" w:hAnsi="Cambria"/>
          <w:bCs/>
          <w:sz w:val="20"/>
          <w:szCs w:val="20"/>
          <w:bdr w:val="none" w:sz="0" w:space="0" w:color="auto"/>
          <w:lang w:val="es-ES"/>
        </w:rPr>
        <w:t xml:space="preserve">de acuerdo con lo dispuesto en la </w:t>
      </w:r>
      <w:r w:rsidR="00811F92" w:rsidRPr="00A16D62">
        <w:rPr>
          <w:rFonts w:ascii="Cambria" w:eastAsia="Times New Roman" w:hAnsi="Cambria"/>
          <w:bCs/>
          <w:sz w:val="20"/>
          <w:szCs w:val="20"/>
          <w:bdr w:val="none" w:sz="0" w:space="0" w:color="auto"/>
          <w:lang w:val="es-ES"/>
        </w:rPr>
        <w:t>Declaración Americana</w:t>
      </w:r>
      <w:r w:rsidR="00BF3E3F" w:rsidRPr="00A16D62">
        <w:rPr>
          <w:rFonts w:ascii="Cambria" w:eastAsia="Times New Roman" w:hAnsi="Cambria"/>
          <w:bCs/>
          <w:sz w:val="20"/>
          <w:szCs w:val="20"/>
          <w:bdr w:val="none" w:sz="0" w:space="0" w:color="auto"/>
          <w:lang w:val="es-ES"/>
        </w:rPr>
        <w:t xml:space="preserve">. </w:t>
      </w:r>
      <w:r w:rsidR="00EB2759" w:rsidRPr="00A16D62">
        <w:rPr>
          <w:rFonts w:ascii="Cambria" w:eastAsia="Times New Roman" w:hAnsi="Cambria"/>
          <w:bCs/>
          <w:sz w:val="20"/>
          <w:szCs w:val="20"/>
          <w:bdr w:val="none" w:sz="0" w:space="0" w:color="auto"/>
          <w:lang w:val="es-ES"/>
        </w:rPr>
        <w:t xml:space="preserve">Aunque las víctimas lograron interponer demandas de </w:t>
      </w:r>
      <w:r w:rsidR="007B4310" w:rsidRPr="00A16D62">
        <w:rPr>
          <w:rFonts w:ascii="Cambria" w:eastAsia="Times New Roman" w:hAnsi="Cambria"/>
          <w:bCs/>
          <w:sz w:val="20"/>
          <w:szCs w:val="20"/>
          <w:bdr w:val="none" w:sz="0" w:space="0" w:color="auto"/>
          <w:lang w:val="es-ES"/>
        </w:rPr>
        <w:t>indemnización por accidente de trabajo</w:t>
      </w:r>
      <w:r w:rsidR="00BF3E3F" w:rsidRPr="00A16D62">
        <w:rPr>
          <w:rFonts w:ascii="Cambria" w:eastAsia="Times New Roman" w:hAnsi="Cambria"/>
          <w:bCs/>
          <w:sz w:val="20"/>
          <w:szCs w:val="20"/>
          <w:bdr w:val="none" w:sz="0" w:space="0" w:color="auto"/>
          <w:lang w:val="es-ES"/>
        </w:rPr>
        <w:t xml:space="preserve"> </w:t>
      </w:r>
      <w:r w:rsidR="00EB2759" w:rsidRPr="00A16D62">
        <w:rPr>
          <w:rFonts w:ascii="Cambria" w:eastAsia="Times New Roman" w:hAnsi="Cambria"/>
          <w:bCs/>
          <w:sz w:val="20"/>
          <w:szCs w:val="20"/>
          <w:bdr w:val="none" w:sz="0" w:space="0" w:color="auto"/>
          <w:lang w:val="es-ES"/>
        </w:rPr>
        <w:t xml:space="preserve">y entablar juicio contra los </w:t>
      </w:r>
      <w:r w:rsidR="000F4EF8" w:rsidRPr="00A16D62">
        <w:rPr>
          <w:rFonts w:ascii="Cambria" w:eastAsia="Times New Roman" w:hAnsi="Cambria"/>
          <w:bCs/>
          <w:sz w:val="20"/>
          <w:szCs w:val="20"/>
          <w:bdr w:val="none" w:sz="0" w:space="0" w:color="auto"/>
          <w:lang w:val="es-ES"/>
        </w:rPr>
        <w:t>empleadores</w:t>
      </w:r>
      <w:r w:rsidR="00BF3E3F" w:rsidRPr="00A16D62">
        <w:rPr>
          <w:rFonts w:ascii="Cambria" w:eastAsia="Times New Roman" w:hAnsi="Cambria"/>
          <w:bCs/>
          <w:sz w:val="20"/>
          <w:szCs w:val="20"/>
          <w:bdr w:val="none" w:sz="0" w:space="0" w:color="auto"/>
          <w:lang w:val="es-ES"/>
        </w:rPr>
        <w:t xml:space="preserve"> </w:t>
      </w:r>
      <w:r w:rsidR="00EB2759" w:rsidRPr="00A16D62">
        <w:rPr>
          <w:rFonts w:ascii="Cambria" w:eastAsia="Times New Roman" w:hAnsi="Cambria"/>
          <w:bCs/>
          <w:sz w:val="20"/>
          <w:szCs w:val="20"/>
          <w:bdr w:val="none" w:sz="0" w:space="0" w:color="auto"/>
          <w:lang w:val="es-ES"/>
        </w:rPr>
        <w:t xml:space="preserve">por incumplimiento de las condiciones de la </w:t>
      </w:r>
      <w:r w:rsidR="007B4310" w:rsidRPr="00A16D62">
        <w:rPr>
          <w:rFonts w:ascii="Cambria" w:eastAsia="Times New Roman" w:hAnsi="Cambria"/>
          <w:bCs/>
          <w:sz w:val="20"/>
          <w:szCs w:val="20"/>
          <w:bdr w:val="none" w:sz="0" w:space="0" w:color="auto"/>
          <w:lang w:val="es-ES"/>
        </w:rPr>
        <w:t>indemnización por accidentes de trabajo</w:t>
      </w:r>
      <w:r w:rsidR="00BF3E3F" w:rsidRPr="00A16D62">
        <w:rPr>
          <w:rFonts w:ascii="Cambria" w:eastAsia="Times New Roman" w:hAnsi="Cambria"/>
          <w:bCs/>
          <w:sz w:val="20"/>
          <w:szCs w:val="20"/>
          <w:bdr w:val="none" w:sz="0" w:space="0" w:color="auto"/>
          <w:lang w:val="es-ES"/>
        </w:rPr>
        <w:t xml:space="preserve">, </w:t>
      </w:r>
      <w:r w:rsidR="00EB2759" w:rsidRPr="00A16D62">
        <w:rPr>
          <w:rFonts w:ascii="Cambria" w:eastAsia="Times New Roman" w:hAnsi="Cambria"/>
          <w:bCs/>
          <w:sz w:val="20"/>
          <w:szCs w:val="20"/>
          <w:bdr w:val="none" w:sz="0" w:space="0" w:color="auto"/>
          <w:lang w:val="es-ES"/>
        </w:rPr>
        <w:t xml:space="preserve">toda reparación que pueden otorgar los tribunales está condicionada, reducida o denegada debido a la situación migratoria de los </w:t>
      </w:r>
      <w:r w:rsidR="007B4310" w:rsidRPr="00A16D62">
        <w:rPr>
          <w:rFonts w:ascii="Cambria" w:eastAsia="Times New Roman" w:hAnsi="Cambria"/>
          <w:bCs/>
          <w:sz w:val="20"/>
          <w:szCs w:val="20"/>
          <w:bdr w:val="none" w:sz="0" w:space="0" w:color="auto"/>
          <w:lang w:val="es-ES"/>
        </w:rPr>
        <w:t>trabajadores</w:t>
      </w:r>
      <w:r w:rsidR="00BF3E3F" w:rsidRPr="00A16D62">
        <w:rPr>
          <w:rFonts w:ascii="Cambria" w:eastAsia="Times New Roman" w:hAnsi="Cambria"/>
          <w:bCs/>
          <w:sz w:val="20"/>
          <w:szCs w:val="20"/>
          <w:bdr w:val="none" w:sz="0" w:space="0" w:color="auto"/>
          <w:lang w:val="es-ES"/>
        </w:rPr>
        <w:t xml:space="preserve">, </w:t>
      </w:r>
      <w:r w:rsidR="00EB2759" w:rsidRPr="00A16D62">
        <w:rPr>
          <w:rFonts w:ascii="Cambria" w:eastAsia="Times New Roman" w:hAnsi="Cambria"/>
          <w:bCs/>
          <w:sz w:val="20"/>
          <w:szCs w:val="20"/>
          <w:bdr w:val="none" w:sz="0" w:space="0" w:color="auto"/>
          <w:lang w:val="es-ES"/>
        </w:rPr>
        <w:t xml:space="preserve">condición que no puede usarse legítimamente para privar a los </w:t>
      </w:r>
      <w:r w:rsidR="007B4310" w:rsidRPr="00A16D62">
        <w:rPr>
          <w:rFonts w:ascii="Cambria" w:eastAsia="Times New Roman" w:hAnsi="Cambria"/>
          <w:bCs/>
          <w:sz w:val="20"/>
          <w:szCs w:val="20"/>
          <w:bdr w:val="none" w:sz="0" w:space="0" w:color="auto"/>
          <w:lang w:val="es-ES"/>
        </w:rPr>
        <w:t>trabajadores</w:t>
      </w:r>
      <w:r w:rsidR="00CB7F73" w:rsidRPr="00A16D62">
        <w:rPr>
          <w:rFonts w:ascii="Cambria" w:eastAsia="Times New Roman" w:hAnsi="Cambria"/>
          <w:bCs/>
          <w:sz w:val="20"/>
          <w:szCs w:val="20"/>
          <w:bdr w:val="none" w:sz="0" w:space="0" w:color="auto"/>
          <w:lang w:val="es-ES"/>
        </w:rPr>
        <w:t xml:space="preserve"> </w:t>
      </w:r>
      <w:r w:rsidR="00EB2759" w:rsidRPr="00A16D62">
        <w:rPr>
          <w:rFonts w:ascii="Cambria" w:eastAsia="Times New Roman" w:hAnsi="Cambria"/>
          <w:bCs/>
          <w:sz w:val="20"/>
          <w:szCs w:val="20"/>
          <w:bdr w:val="none" w:sz="0" w:space="0" w:color="auto"/>
          <w:lang w:val="es-ES"/>
        </w:rPr>
        <w:t>perjudicados en el trabajo del derecho a recibir una reparación por una lesión grave</w:t>
      </w:r>
      <w:r w:rsidR="00CB7F73" w:rsidRPr="00A16D62">
        <w:rPr>
          <w:rFonts w:ascii="Cambria" w:eastAsia="Times New Roman" w:hAnsi="Cambria"/>
          <w:bCs/>
          <w:sz w:val="20"/>
          <w:szCs w:val="20"/>
          <w:bdr w:val="none" w:sz="0" w:space="0" w:color="auto"/>
          <w:lang w:val="es-ES"/>
        </w:rPr>
        <w:t>.</w:t>
      </w:r>
      <w:r w:rsidR="00BF3E3F" w:rsidRPr="00A16D62">
        <w:rPr>
          <w:rFonts w:ascii="Cambria" w:eastAsia="Times New Roman" w:hAnsi="Cambria"/>
          <w:bCs/>
          <w:sz w:val="20"/>
          <w:szCs w:val="20"/>
          <w:bdr w:val="none" w:sz="0" w:space="0" w:color="auto"/>
          <w:lang w:val="es-ES"/>
        </w:rPr>
        <w:t xml:space="preserve"> </w:t>
      </w:r>
    </w:p>
    <w:p w:rsidR="007E3143" w:rsidRPr="00A16D62" w:rsidRDefault="007E3143" w:rsidP="007E3143">
      <w:pPr>
        <w:pStyle w:val="ListParagraph"/>
        <w:rPr>
          <w:rFonts w:eastAsia="Times New Roman"/>
          <w:bCs/>
          <w:sz w:val="20"/>
          <w:szCs w:val="20"/>
          <w:bdr w:val="none" w:sz="0" w:space="0" w:color="auto"/>
          <w:lang w:val="es-ES"/>
        </w:rPr>
      </w:pPr>
    </w:p>
    <w:p w:rsidR="00D818D2" w:rsidRPr="00A16D62" w:rsidRDefault="00A76EE6" w:rsidP="00BF3E3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Al llegar a esta conclusión</w:t>
      </w:r>
      <w:r w:rsidR="007E3143"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7E3143" w:rsidRPr="00A16D62">
        <w:rPr>
          <w:rFonts w:ascii="Cambria" w:eastAsia="Times New Roman" w:hAnsi="Cambria"/>
          <w:bCs/>
          <w:sz w:val="20"/>
          <w:szCs w:val="20"/>
          <w:bdr w:val="none" w:sz="0" w:space="0" w:color="auto"/>
          <w:lang w:val="es-ES"/>
        </w:rPr>
        <w:t xml:space="preserve"> t</w:t>
      </w:r>
      <w:r w:rsidRPr="00A16D62">
        <w:rPr>
          <w:rFonts w:ascii="Cambria" w:eastAsia="Times New Roman" w:hAnsi="Cambria"/>
          <w:bCs/>
          <w:sz w:val="20"/>
          <w:szCs w:val="20"/>
          <w:bdr w:val="none" w:sz="0" w:space="0" w:color="auto"/>
          <w:lang w:val="es-ES"/>
        </w:rPr>
        <w:t xml:space="preserve">oma en consideración la situación de ambos </w:t>
      </w:r>
      <w:r w:rsidR="007B4310" w:rsidRPr="00A16D62">
        <w:rPr>
          <w:rFonts w:ascii="Cambria" w:eastAsia="Times New Roman" w:hAnsi="Cambria"/>
          <w:bCs/>
          <w:sz w:val="20"/>
          <w:szCs w:val="20"/>
          <w:bdr w:val="none" w:sz="0" w:space="0" w:color="auto"/>
          <w:lang w:val="es-ES"/>
        </w:rPr>
        <w:t>trabajadores</w:t>
      </w:r>
      <w:r w:rsidR="007E3143"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En el caso d</w:t>
      </w:r>
      <w:r w:rsidR="007F4530" w:rsidRPr="00A16D62">
        <w:rPr>
          <w:rFonts w:ascii="Cambria" w:eastAsia="Times New Roman" w:hAnsi="Cambria"/>
          <w:bCs/>
          <w:sz w:val="20"/>
          <w:szCs w:val="20"/>
          <w:bdr w:val="none" w:sz="0" w:space="0" w:color="auto"/>
          <w:lang w:val="es-ES"/>
        </w:rPr>
        <w:t>el señor</w:t>
      </w:r>
      <w:r w:rsidR="007D773E" w:rsidRPr="00A16D62">
        <w:rPr>
          <w:rFonts w:ascii="Cambria" w:eastAsia="Times New Roman" w:hAnsi="Cambria"/>
          <w:bCs/>
          <w:sz w:val="20"/>
          <w:szCs w:val="20"/>
          <w:bdr w:val="none" w:sz="0" w:space="0" w:color="auto"/>
          <w:lang w:val="es-ES"/>
        </w:rPr>
        <w:t xml:space="preserve"> Lizalde, </w:t>
      </w:r>
      <w:r w:rsidR="00973B2B" w:rsidRPr="00A16D62">
        <w:rPr>
          <w:rFonts w:ascii="Cambria" w:eastAsia="Times New Roman" w:hAnsi="Cambria"/>
          <w:bCs/>
          <w:sz w:val="20"/>
          <w:szCs w:val="20"/>
          <w:bdr w:val="none" w:sz="0" w:space="0" w:color="auto"/>
          <w:lang w:val="es-ES"/>
        </w:rPr>
        <w:t xml:space="preserve">que no pudo obtener </w:t>
      </w:r>
      <w:r w:rsidR="00256794" w:rsidRPr="00A16D62">
        <w:rPr>
          <w:rFonts w:ascii="Cambria" w:eastAsia="Times New Roman" w:hAnsi="Cambria"/>
          <w:bCs/>
          <w:sz w:val="20"/>
          <w:szCs w:val="20"/>
          <w:bdr w:val="none" w:sz="0" w:space="0" w:color="auto"/>
          <w:lang w:val="es-ES"/>
        </w:rPr>
        <w:t>prestaciones médicas</w:t>
      </w:r>
      <w:r w:rsidR="005B7EF0" w:rsidRPr="00A16D62">
        <w:rPr>
          <w:rFonts w:ascii="Cambria" w:eastAsia="Times New Roman" w:hAnsi="Cambria"/>
          <w:bCs/>
          <w:sz w:val="20"/>
          <w:szCs w:val="20"/>
          <w:bdr w:val="none" w:sz="0" w:space="0" w:color="auto"/>
          <w:lang w:val="es-ES"/>
        </w:rPr>
        <w:t xml:space="preserve"> </w:t>
      </w:r>
      <w:r w:rsidR="00973B2B" w:rsidRPr="00A16D62">
        <w:rPr>
          <w:rFonts w:ascii="Cambria" w:eastAsia="Times New Roman" w:hAnsi="Cambria"/>
          <w:bCs/>
          <w:sz w:val="20"/>
          <w:szCs w:val="20"/>
          <w:bdr w:val="none" w:sz="0" w:space="0" w:color="auto"/>
          <w:lang w:val="es-ES"/>
        </w:rPr>
        <w:t xml:space="preserve">completas y que, a diferencia del </w:t>
      </w:r>
      <w:r w:rsidR="007F4530" w:rsidRPr="00A16D62">
        <w:rPr>
          <w:rFonts w:ascii="Cambria" w:eastAsia="Times New Roman" w:hAnsi="Cambria"/>
          <w:bCs/>
          <w:sz w:val="20"/>
          <w:szCs w:val="20"/>
          <w:bdr w:val="none" w:sz="0" w:space="0" w:color="auto"/>
          <w:lang w:val="es-ES"/>
        </w:rPr>
        <w:t>señor</w:t>
      </w:r>
      <w:r w:rsidR="005B7EF0" w:rsidRPr="00A16D62">
        <w:rPr>
          <w:rFonts w:ascii="Cambria" w:eastAsia="Times New Roman" w:hAnsi="Cambria"/>
          <w:bCs/>
          <w:sz w:val="20"/>
          <w:szCs w:val="20"/>
          <w:bdr w:val="none" w:sz="0" w:space="0" w:color="auto"/>
          <w:lang w:val="es-ES"/>
        </w:rPr>
        <w:t xml:space="preserve"> Zumaya</w:t>
      </w:r>
      <w:r w:rsidR="00973B2B" w:rsidRPr="00A16D62">
        <w:rPr>
          <w:rFonts w:ascii="Cambria" w:eastAsia="Times New Roman" w:hAnsi="Cambria"/>
          <w:bCs/>
          <w:sz w:val="20"/>
          <w:szCs w:val="20"/>
          <w:bdr w:val="none" w:sz="0" w:space="0" w:color="auto"/>
          <w:lang w:val="es-ES"/>
        </w:rPr>
        <w:t xml:space="preserve">, no llegó a un arreglo con su </w:t>
      </w:r>
      <w:r w:rsidR="007F4530" w:rsidRPr="00A16D62">
        <w:rPr>
          <w:rFonts w:ascii="Cambria" w:eastAsia="Times New Roman" w:hAnsi="Cambria"/>
          <w:bCs/>
          <w:sz w:val="20"/>
          <w:szCs w:val="20"/>
          <w:bdr w:val="none" w:sz="0" w:space="0" w:color="auto"/>
          <w:lang w:val="es-ES"/>
        </w:rPr>
        <w:t>empleador</w:t>
      </w:r>
      <w:r w:rsidR="007E3143"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el Estado</w:t>
      </w:r>
      <w:r w:rsidR="007D773E" w:rsidRPr="00A16D62">
        <w:rPr>
          <w:rFonts w:ascii="Cambria" w:eastAsia="Times New Roman" w:hAnsi="Cambria"/>
          <w:bCs/>
          <w:sz w:val="20"/>
          <w:szCs w:val="20"/>
          <w:bdr w:val="none" w:sz="0" w:space="0" w:color="auto"/>
          <w:lang w:val="es-ES"/>
        </w:rPr>
        <w:t xml:space="preserve"> ha</w:t>
      </w:r>
      <w:r w:rsidR="00973B2B" w:rsidRPr="00A16D62">
        <w:rPr>
          <w:rFonts w:ascii="Cambria" w:eastAsia="Times New Roman" w:hAnsi="Cambria"/>
          <w:bCs/>
          <w:sz w:val="20"/>
          <w:szCs w:val="20"/>
          <w:bdr w:val="none" w:sz="0" w:space="0" w:color="auto"/>
          <w:lang w:val="es-ES"/>
        </w:rPr>
        <w:t xml:space="preserve"> demostrado que la existencia de un juicio entablado por un</w:t>
      </w:r>
      <w:r w:rsidR="007D773E" w:rsidRPr="00A16D62">
        <w:rPr>
          <w:rFonts w:ascii="Cambria" w:eastAsia="Times New Roman" w:hAnsi="Cambria"/>
          <w:bCs/>
          <w:sz w:val="20"/>
          <w:szCs w:val="20"/>
          <w:bdr w:val="none" w:sz="0" w:space="0" w:color="auto"/>
          <w:lang w:val="es-ES"/>
        </w:rPr>
        <w:t xml:space="preserve"> </w:t>
      </w:r>
      <w:r w:rsidR="00F7719D" w:rsidRPr="00A16D62">
        <w:rPr>
          <w:rFonts w:ascii="Cambria" w:eastAsia="Times New Roman" w:hAnsi="Cambria"/>
          <w:bCs/>
          <w:sz w:val="20"/>
          <w:szCs w:val="20"/>
          <w:bdr w:val="none" w:sz="0" w:space="0" w:color="auto"/>
          <w:lang w:val="es-ES"/>
        </w:rPr>
        <w:t>trabajador</w:t>
      </w:r>
      <w:r w:rsidR="00973B2B" w:rsidRPr="00A16D62">
        <w:rPr>
          <w:rFonts w:ascii="Cambria" w:eastAsia="Times New Roman" w:hAnsi="Cambria"/>
          <w:bCs/>
          <w:sz w:val="20"/>
          <w:szCs w:val="20"/>
          <w:bdr w:val="none" w:sz="0" w:space="0" w:color="auto"/>
          <w:lang w:val="es-ES"/>
        </w:rPr>
        <w:t xml:space="preserve"> para recibir indemnización no basta para suspender la deportación, lo cual aumenta el riesgo de que no se hagan valer los derechos de los </w:t>
      </w:r>
      <w:r w:rsidR="00C038BF" w:rsidRPr="00A16D62">
        <w:rPr>
          <w:rFonts w:ascii="Cambria" w:eastAsia="Times New Roman" w:hAnsi="Cambria"/>
          <w:bCs/>
          <w:sz w:val="20"/>
          <w:szCs w:val="20"/>
          <w:bdr w:val="none" w:sz="0" w:space="0" w:color="auto"/>
          <w:lang w:val="es-ES"/>
        </w:rPr>
        <w:t>trabajadores indocumentados</w:t>
      </w:r>
      <w:r w:rsidR="00973B2B" w:rsidRPr="00A16D62">
        <w:rPr>
          <w:rFonts w:ascii="Cambria" w:eastAsia="Times New Roman" w:hAnsi="Cambria"/>
          <w:bCs/>
          <w:sz w:val="20"/>
          <w:szCs w:val="20"/>
          <w:bdr w:val="none" w:sz="0" w:space="0" w:color="auto"/>
          <w:lang w:val="es-ES"/>
        </w:rPr>
        <w:t xml:space="preserve"> de manera adecuada en el sistema </w:t>
      </w:r>
      <w:r w:rsidR="007D773E" w:rsidRPr="00A16D62">
        <w:rPr>
          <w:rFonts w:ascii="Cambria" w:eastAsia="Times New Roman" w:hAnsi="Cambria"/>
          <w:bCs/>
          <w:sz w:val="20"/>
          <w:szCs w:val="20"/>
          <w:bdr w:val="none" w:sz="0" w:space="0" w:color="auto"/>
          <w:lang w:val="es-ES"/>
        </w:rPr>
        <w:t>judicial</w:t>
      </w:r>
      <w:r w:rsidR="00973B2B" w:rsidRPr="00A16D62">
        <w:rPr>
          <w:rFonts w:ascii="Cambria" w:eastAsia="Times New Roman" w:hAnsi="Cambria"/>
          <w:bCs/>
          <w:sz w:val="20"/>
          <w:szCs w:val="20"/>
          <w:bdr w:val="none" w:sz="0" w:space="0" w:color="auto"/>
          <w:lang w:val="es-ES"/>
        </w:rPr>
        <w:t xml:space="preserve">. En el caso del </w:t>
      </w:r>
      <w:r w:rsidR="007F4530" w:rsidRPr="00A16D62">
        <w:rPr>
          <w:rFonts w:ascii="Cambria" w:eastAsia="Times New Roman" w:hAnsi="Cambria"/>
          <w:bCs/>
          <w:sz w:val="20"/>
          <w:szCs w:val="20"/>
          <w:bdr w:val="none" w:sz="0" w:space="0" w:color="auto"/>
          <w:lang w:val="es-ES"/>
        </w:rPr>
        <w:t>señor</w:t>
      </w:r>
      <w:r w:rsidR="005B7EF0" w:rsidRPr="00A16D62">
        <w:rPr>
          <w:rFonts w:ascii="Cambria" w:eastAsia="Times New Roman" w:hAnsi="Cambria"/>
          <w:bCs/>
          <w:sz w:val="20"/>
          <w:szCs w:val="20"/>
          <w:bdr w:val="none" w:sz="0" w:space="0" w:color="auto"/>
          <w:lang w:val="es-ES"/>
        </w:rPr>
        <w:t xml:space="preserve"> Zumaya, </w:t>
      </w:r>
      <w:r w:rsidR="00180125" w:rsidRPr="00A16D62">
        <w:rPr>
          <w:rFonts w:ascii="Cambria" w:eastAsia="Times New Roman" w:hAnsi="Cambria"/>
          <w:bCs/>
          <w:sz w:val="20"/>
          <w:szCs w:val="20"/>
          <w:bdr w:val="none" w:sz="0" w:space="0" w:color="auto"/>
          <w:lang w:val="es-ES"/>
        </w:rPr>
        <w:t>la Comisión</w:t>
      </w:r>
      <w:r w:rsidR="005B7EF0" w:rsidRPr="00A16D62">
        <w:rPr>
          <w:rFonts w:ascii="Cambria" w:eastAsia="Times New Roman" w:hAnsi="Cambria"/>
          <w:bCs/>
          <w:sz w:val="20"/>
          <w:szCs w:val="20"/>
          <w:bdr w:val="none" w:sz="0" w:space="0" w:color="auto"/>
          <w:lang w:val="es-ES"/>
        </w:rPr>
        <w:t xml:space="preserve"> t</w:t>
      </w:r>
      <w:r w:rsidR="00973B2B" w:rsidRPr="00A16D62">
        <w:rPr>
          <w:rFonts w:ascii="Cambria" w:eastAsia="Times New Roman" w:hAnsi="Cambria"/>
          <w:bCs/>
          <w:sz w:val="20"/>
          <w:szCs w:val="20"/>
          <w:bdr w:val="none" w:sz="0" w:space="0" w:color="auto"/>
          <w:lang w:val="es-ES"/>
        </w:rPr>
        <w:t xml:space="preserve">iene en cuenta los alegatos de </w:t>
      </w:r>
      <w:r w:rsidR="00180125" w:rsidRPr="00A16D62">
        <w:rPr>
          <w:rFonts w:ascii="Cambria" w:eastAsia="Times New Roman" w:hAnsi="Cambria"/>
          <w:bCs/>
          <w:sz w:val="20"/>
          <w:szCs w:val="20"/>
          <w:bdr w:val="none" w:sz="0" w:space="0" w:color="auto"/>
          <w:lang w:val="es-ES"/>
        </w:rPr>
        <w:t>los peticionarios</w:t>
      </w:r>
      <w:r w:rsidR="005B7EF0" w:rsidRPr="00A16D62">
        <w:rPr>
          <w:rFonts w:ascii="Cambria" w:eastAsia="Times New Roman" w:hAnsi="Cambria"/>
          <w:bCs/>
          <w:sz w:val="20"/>
          <w:szCs w:val="20"/>
          <w:bdr w:val="none" w:sz="0" w:space="0" w:color="auto"/>
          <w:lang w:val="es-ES"/>
        </w:rPr>
        <w:t xml:space="preserve"> </w:t>
      </w:r>
      <w:r w:rsidR="00973B2B" w:rsidRPr="00A16D62">
        <w:rPr>
          <w:rFonts w:ascii="Cambria" w:eastAsia="Times New Roman" w:hAnsi="Cambria"/>
          <w:bCs/>
          <w:sz w:val="20"/>
          <w:szCs w:val="20"/>
          <w:bdr w:val="none" w:sz="0" w:space="0" w:color="auto"/>
          <w:lang w:val="es-ES"/>
        </w:rPr>
        <w:t>y d</w:t>
      </w:r>
      <w:r w:rsidR="00180125" w:rsidRPr="00A16D62">
        <w:rPr>
          <w:rFonts w:ascii="Cambria" w:eastAsia="Times New Roman" w:hAnsi="Cambria"/>
          <w:bCs/>
          <w:sz w:val="20"/>
          <w:szCs w:val="20"/>
          <w:bdr w:val="none" w:sz="0" w:space="0" w:color="auto"/>
          <w:lang w:val="es-ES"/>
        </w:rPr>
        <w:t>el Estado</w:t>
      </w:r>
      <w:r w:rsidR="00973B2B" w:rsidRPr="00A16D62">
        <w:rPr>
          <w:rFonts w:ascii="Cambria" w:eastAsia="Times New Roman" w:hAnsi="Cambria"/>
          <w:bCs/>
          <w:sz w:val="20"/>
          <w:szCs w:val="20"/>
          <w:bdr w:val="none" w:sz="0" w:space="0" w:color="auto"/>
          <w:lang w:val="es-ES"/>
        </w:rPr>
        <w:t xml:space="preserve"> pero considera que no tiene suficientes elementos para determinar que se infringieron los derechos d</w:t>
      </w:r>
      <w:r w:rsidR="007F4530" w:rsidRPr="00A16D62">
        <w:rPr>
          <w:rFonts w:ascii="Cambria" w:eastAsia="Times New Roman" w:hAnsi="Cambria"/>
          <w:bCs/>
          <w:sz w:val="20"/>
          <w:szCs w:val="20"/>
          <w:bdr w:val="none" w:sz="0" w:space="0" w:color="auto"/>
          <w:lang w:val="es-ES"/>
        </w:rPr>
        <w:t>el señor</w:t>
      </w:r>
      <w:r w:rsidR="005B7EF0" w:rsidRPr="00A16D62">
        <w:rPr>
          <w:rFonts w:ascii="Cambria" w:eastAsia="Times New Roman" w:hAnsi="Cambria"/>
          <w:bCs/>
          <w:sz w:val="20"/>
          <w:szCs w:val="20"/>
          <w:bdr w:val="none" w:sz="0" w:space="0" w:color="auto"/>
          <w:lang w:val="es-ES"/>
        </w:rPr>
        <w:t xml:space="preserve"> Zumaya</w:t>
      </w:r>
      <w:r w:rsidR="00973B2B" w:rsidRPr="00A16D62">
        <w:rPr>
          <w:rFonts w:ascii="Cambria" w:eastAsia="Times New Roman" w:hAnsi="Cambria"/>
          <w:bCs/>
          <w:sz w:val="20"/>
          <w:szCs w:val="20"/>
          <w:bdr w:val="none" w:sz="0" w:space="0" w:color="auto"/>
          <w:lang w:val="es-ES"/>
        </w:rPr>
        <w:t xml:space="preserve"> de conformidad con los</w:t>
      </w:r>
      <w:r w:rsidR="005B7EF0" w:rsidRPr="00A16D62">
        <w:rPr>
          <w:rFonts w:ascii="Cambria" w:eastAsia="Times New Roman" w:hAnsi="Cambria"/>
          <w:bCs/>
          <w:sz w:val="20"/>
          <w:szCs w:val="20"/>
          <w:bdr w:val="none" w:sz="0" w:space="0" w:color="auto"/>
          <w:lang w:val="es-ES"/>
        </w:rPr>
        <w:t xml:space="preserve"> </w:t>
      </w:r>
      <w:r w:rsidR="00811F92" w:rsidRPr="00A16D62">
        <w:rPr>
          <w:rFonts w:ascii="Cambria" w:eastAsia="Times New Roman" w:hAnsi="Cambria"/>
          <w:bCs/>
          <w:sz w:val="20"/>
          <w:szCs w:val="20"/>
          <w:bdr w:val="none" w:sz="0" w:space="0" w:color="auto"/>
          <w:lang w:val="es-ES"/>
        </w:rPr>
        <w:t>artículo</w:t>
      </w:r>
      <w:r w:rsidR="005B7EF0" w:rsidRPr="00A16D62">
        <w:rPr>
          <w:rFonts w:ascii="Cambria" w:eastAsia="Times New Roman" w:hAnsi="Cambria"/>
          <w:bCs/>
          <w:sz w:val="20"/>
          <w:szCs w:val="20"/>
          <w:bdr w:val="none" w:sz="0" w:space="0" w:color="auto"/>
          <w:lang w:val="es-ES"/>
        </w:rPr>
        <w:t xml:space="preserve">s XVII </w:t>
      </w:r>
      <w:r w:rsidR="00973B2B" w:rsidRPr="00A16D62">
        <w:rPr>
          <w:rFonts w:ascii="Cambria" w:eastAsia="Times New Roman" w:hAnsi="Cambria"/>
          <w:bCs/>
          <w:sz w:val="20"/>
          <w:szCs w:val="20"/>
          <w:bdr w:val="none" w:sz="0" w:space="0" w:color="auto"/>
          <w:lang w:val="es-ES"/>
        </w:rPr>
        <w:t>y</w:t>
      </w:r>
      <w:r w:rsidR="005B7EF0" w:rsidRPr="00A16D62">
        <w:rPr>
          <w:rFonts w:ascii="Cambria" w:eastAsia="Times New Roman" w:hAnsi="Cambria"/>
          <w:bCs/>
          <w:sz w:val="20"/>
          <w:szCs w:val="20"/>
          <w:bdr w:val="none" w:sz="0" w:space="0" w:color="auto"/>
          <w:lang w:val="es-ES"/>
        </w:rPr>
        <w:t xml:space="preserve"> XVIII </w:t>
      </w:r>
      <w:r w:rsidR="00973B2B"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5B7EF0" w:rsidRPr="00A16D62">
        <w:rPr>
          <w:rFonts w:ascii="Cambria" w:eastAsia="Times New Roman" w:hAnsi="Cambria"/>
          <w:bCs/>
          <w:sz w:val="20"/>
          <w:szCs w:val="20"/>
          <w:bdr w:val="none" w:sz="0" w:space="0" w:color="auto"/>
          <w:lang w:val="es-ES"/>
        </w:rPr>
        <w:t xml:space="preserve">. </w:t>
      </w:r>
      <w:r w:rsidR="00973B2B" w:rsidRPr="00A16D62">
        <w:rPr>
          <w:rFonts w:ascii="Cambria" w:eastAsia="Times New Roman" w:hAnsi="Cambria"/>
          <w:bCs/>
          <w:sz w:val="20"/>
          <w:szCs w:val="20"/>
          <w:bdr w:val="none" w:sz="0" w:space="0" w:color="auto"/>
          <w:lang w:val="es-ES"/>
        </w:rPr>
        <w:t>Concretamente, no tiene información sobre las condiciones y las razones del arreglo al que llegó con su</w:t>
      </w:r>
      <w:r w:rsidR="00D818D2" w:rsidRPr="00A16D62">
        <w:rPr>
          <w:rFonts w:ascii="Cambria" w:eastAsia="Times New Roman" w:hAnsi="Cambria"/>
          <w:bCs/>
          <w:sz w:val="20"/>
          <w:szCs w:val="20"/>
          <w:bdr w:val="none" w:sz="0" w:space="0" w:color="auto"/>
          <w:lang w:val="es-ES"/>
        </w:rPr>
        <w:t xml:space="preserve"> </w:t>
      </w:r>
      <w:r w:rsidR="007F4530" w:rsidRPr="00A16D62">
        <w:rPr>
          <w:rFonts w:ascii="Cambria" w:eastAsia="Times New Roman" w:hAnsi="Cambria"/>
          <w:bCs/>
          <w:sz w:val="20"/>
          <w:szCs w:val="20"/>
          <w:bdr w:val="none" w:sz="0" w:space="0" w:color="auto"/>
          <w:lang w:val="es-ES"/>
        </w:rPr>
        <w:t>empleador</w:t>
      </w:r>
      <w:r w:rsidR="0049544F" w:rsidRPr="00A16D62">
        <w:rPr>
          <w:rFonts w:ascii="Cambria" w:eastAsia="Times New Roman" w:hAnsi="Cambria"/>
          <w:bCs/>
          <w:sz w:val="20"/>
          <w:szCs w:val="20"/>
          <w:bdr w:val="none" w:sz="0" w:space="0" w:color="auto"/>
          <w:lang w:val="es-ES"/>
        </w:rPr>
        <w:t xml:space="preserve"> </w:t>
      </w:r>
      <w:r w:rsidR="00973B2B" w:rsidRPr="00A16D62">
        <w:rPr>
          <w:rFonts w:ascii="Cambria" w:eastAsia="Times New Roman" w:hAnsi="Cambria"/>
          <w:bCs/>
          <w:sz w:val="20"/>
          <w:szCs w:val="20"/>
          <w:bdr w:val="none" w:sz="0" w:space="0" w:color="auto"/>
          <w:lang w:val="es-ES"/>
        </w:rPr>
        <w:t xml:space="preserve">ni sobre las repercusiones de este arreglo en los reclamos presentados a </w:t>
      </w:r>
      <w:r w:rsidR="001C1F5D" w:rsidRPr="00A16D62">
        <w:rPr>
          <w:rFonts w:ascii="Cambria" w:eastAsia="Times New Roman" w:hAnsi="Cambria"/>
          <w:bCs/>
          <w:sz w:val="20"/>
          <w:szCs w:val="20"/>
          <w:bdr w:val="none" w:sz="0" w:space="0" w:color="auto"/>
          <w:lang w:val="es-ES"/>
        </w:rPr>
        <w:t>la CIDH</w:t>
      </w:r>
      <w:r w:rsidR="0049544F" w:rsidRPr="00A16D62">
        <w:rPr>
          <w:rFonts w:ascii="Cambria" w:eastAsia="Times New Roman" w:hAnsi="Cambria"/>
          <w:bCs/>
          <w:sz w:val="20"/>
          <w:szCs w:val="20"/>
          <w:bdr w:val="none" w:sz="0" w:space="0" w:color="auto"/>
          <w:lang w:val="es-ES"/>
        </w:rPr>
        <w:t xml:space="preserve">. </w:t>
      </w:r>
      <w:r w:rsidR="00973B2B" w:rsidRPr="00A16D62">
        <w:rPr>
          <w:rFonts w:ascii="Cambria" w:eastAsia="Times New Roman" w:hAnsi="Cambria"/>
          <w:bCs/>
          <w:sz w:val="20"/>
          <w:szCs w:val="20"/>
          <w:bdr w:val="none" w:sz="0" w:space="0" w:color="auto"/>
          <w:lang w:val="es-ES"/>
        </w:rPr>
        <w:t>A pesar de la falta de información con respecto a</w:t>
      </w:r>
      <w:r w:rsidR="007F4530" w:rsidRPr="00A16D62">
        <w:rPr>
          <w:rFonts w:ascii="Cambria" w:eastAsia="Times New Roman" w:hAnsi="Cambria"/>
          <w:bCs/>
          <w:sz w:val="20"/>
          <w:szCs w:val="20"/>
          <w:bdr w:val="none" w:sz="0" w:space="0" w:color="auto"/>
          <w:lang w:val="es-ES"/>
        </w:rPr>
        <w:t xml:space="preserve">l </w:t>
      </w:r>
      <w:r w:rsidR="00973B2B" w:rsidRPr="00A16D62">
        <w:rPr>
          <w:rFonts w:ascii="Cambria" w:eastAsia="Times New Roman" w:hAnsi="Cambria"/>
          <w:bCs/>
          <w:sz w:val="20"/>
          <w:szCs w:val="20"/>
          <w:bdr w:val="none" w:sz="0" w:space="0" w:color="auto"/>
          <w:lang w:val="es-ES"/>
        </w:rPr>
        <w:t xml:space="preserve">arreglo del </w:t>
      </w:r>
      <w:r w:rsidR="007F4530" w:rsidRPr="00A16D62">
        <w:rPr>
          <w:rFonts w:ascii="Cambria" w:eastAsia="Times New Roman" w:hAnsi="Cambria"/>
          <w:bCs/>
          <w:sz w:val="20"/>
          <w:szCs w:val="20"/>
          <w:bdr w:val="none" w:sz="0" w:space="0" w:color="auto"/>
          <w:lang w:val="es-ES"/>
        </w:rPr>
        <w:t>señor</w:t>
      </w:r>
      <w:r w:rsidR="0049544F" w:rsidRPr="00A16D62">
        <w:rPr>
          <w:rFonts w:ascii="Cambria" w:eastAsia="Times New Roman" w:hAnsi="Cambria"/>
          <w:bCs/>
          <w:sz w:val="20"/>
          <w:szCs w:val="20"/>
          <w:bdr w:val="none" w:sz="0" w:space="0" w:color="auto"/>
          <w:lang w:val="es-ES"/>
        </w:rPr>
        <w:t xml:space="preserve"> Zumaya</w:t>
      </w:r>
      <w:r w:rsidR="00973B2B" w:rsidRPr="00A16D62">
        <w:rPr>
          <w:rFonts w:ascii="Cambria" w:eastAsia="Times New Roman" w:hAnsi="Cambria"/>
          <w:bCs/>
          <w:sz w:val="20"/>
          <w:szCs w:val="20"/>
          <w:bdr w:val="none" w:sz="0" w:space="0" w:color="auto"/>
          <w:lang w:val="es-ES"/>
        </w:rPr>
        <w:t xml:space="preserve">, las partes presentaron suficientes pruebas de la incertidumbre que enfrentan los </w:t>
      </w:r>
      <w:r w:rsidR="00C038BF" w:rsidRPr="00A16D62">
        <w:rPr>
          <w:rFonts w:ascii="Cambria" w:eastAsia="Times New Roman" w:hAnsi="Cambria"/>
          <w:bCs/>
          <w:sz w:val="20"/>
          <w:szCs w:val="20"/>
          <w:bdr w:val="none" w:sz="0" w:space="0" w:color="auto"/>
          <w:lang w:val="es-ES"/>
        </w:rPr>
        <w:t>trabajadores indocumentados</w:t>
      </w:r>
      <w:r w:rsidR="0049544F" w:rsidRPr="00A16D62">
        <w:rPr>
          <w:rFonts w:ascii="Cambria" w:eastAsia="Times New Roman" w:hAnsi="Cambria"/>
          <w:bCs/>
          <w:sz w:val="20"/>
          <w:szCs w:val="20"/>
          <w:bdr w:val="none" w:sz="0" w:space="0" w:color="auto"/>
          <w:lang w:val="es-ES"/>
        </w:rPr>
        <w:t xml:space="preserve"> </w:t>
      </w:r>
      <w:r w:rsidR="00973B2B" w:rsidRPr="00A16D62">
        <w:rPr>
          <w:rFonts w:ascii="Cambria" w:eastAsia="Times New Roman" w:hAnsi="Cambria"/>
          <w:bCs/>
          <w:sz w:val="20"/>
          <w:szCs w:val="20"/>
          <w:bdr w:val="none" w:sz="0" w:space="0" w:color="auto"/>
          <w:lang w:val="es-ES"/>
        </w:rPr>
        <w:t>con respecto al resultado de sus reclamos</w:t>
      </w:r>
      <w:r w:rsidR="0049544F" w:rsidRPr="00A16D62">
        <w:rPr>
          <w:rFonts w:ascii="Cambria" w:eastAsia="Times New Roman" w:hAnsi="Cambria"/>
          <w:bCs/>
          <w:sz w:val="20"/>
          <w:szCs w:val="20"/>
          <w:bdr w:val="none" w:sz="0" w:space="0" w:color="auto"/>
          <w:lang w:val="es-ES"/>
        </w:rPr>
        <w:t xml:space="preserve">. </w:t>
      </w:r>
      <w:r w:rsidR="00973B2B" w:rsidRPr="00A16D62">
        <w:rPr>
          <w:rFonts w:ascii="Cambria" w:eastAsia="Times New Roman" w:hAnsi="Cambria"/>
          <w:bCs/>
          <w:sz w:val="20"/>
          <w:szCs w:val="20"/>
          <w:bdr w:val="none" w:sz="0" w:space="0" w:color="auto"/>
          <w:lang w:val="es-ES"/>
        </w:rPr>
        <w:t>En ese sentido</w:t>
      </w:r>
      <w:r w:rsidR="0049544F"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49544F" w:rsidRPr="00A16D62">
        <w:rPr>
          <w:rFonts w:ascii="Cambria" w:eastAsia="Times New Roman" w:hAnsi="Cambria"/>
          <w:bCs/>
          <w:sz w:val="20"/>
          <w:szCs w:val="20"/>
          <w:bdr w:val="none" w:sz="0" w:space="0" w:color="auto"/>
          <w:lang w:val="es-ES"/>
        </w:rPr>
        <w:t xml:space="preserve"> reco</w:t>
      </w:r>
      <w:r w:rsidR="00973B2B" w:rsidRPr="00A16D62">
        <w:rPr>
          <w:rFonts w:ascii="Cambria" w:eastAsia="Times New Roman" w:hAnsi="Cambria"/>
          <w:bCs/>
          <w:sz w:val="20"/>
          <w:szCs w:val="20"/>
          <w:bdr w:val="none" w:sz="0" w:space="0" w:color="auto"/>
          <w:lang w:val="es-ES"/>
        </w:rPr>
        <w:t>noce que lo</w:t>
      </w:r>
      <w:r w:rsidR="00AB20A2" w:rsidRPr="00A16D62">
        <w:rPr>
          <w:rFonts w:ascii="Cambria" w:eastAsia="Times New Roman" w:hAnsi="Cambria"/>
          <w:bCs/>
          <w:sz w:val="20"/>
          <w:szCs w:val="20"/>
          <w:bdr w:val="none" w:sz="0" w:space="0" w:color="auto"/>
          <w:lang w:val="es-ES"/>
        </w:rPr>
        <w:t>s resultados obtenidos por los</w:t>
      </w:r>
      <w:r w:rsidR="0049544F" w:rsidRPr="00A16D62">
        <w:rPr>
          <w:rFonts w:ascii="Cambria" w:eastAsia="Times New Roman" w:hAnsi="Cambria"/>
          <w:bCs/>
          <w:sz w:val="20"/>
          <w:szCs w:val="20"/>
          <w:bdr w:val="none" w:sz="0" w:space="0" w:color="auto"/>
          <w:lang w:val="es-ES"/>
        </w:rPr>
        <w:t xml:space="preserve"> </w:t>
      </w:r>
      <w:r w:rsidR="00C038BF" w:rsidRPr="00A16D62">
        <w:rPr>
          <w:rFonts w:ascii="Cambria" w:eastAsia="Times New Roman" w:hAnsi="Cambria"/>
          <w:bCs/>
          <w:sz w:val="20"/>
          <w:szCs w:val="20"/>
          <w:bdr w:val="none" w:sz="0" w:space="0" w:color="auto"/>
          <w:lang w:val="es-ES"/>
        </w:rPr>
        <w:t>trabajadores indocumentados</w:t>
      </w:r>
      <w:r w:rsidR="0049544F" w:rsidRPr="00A16D62">
        <w:rPr>
          <w:rFonts w:ascii="Cambria" w:eastAsia="Times New Roman" w:hAnsi="Cambria"/>
          <w:bCs/>
          <w:sz w:val="20"/>
          <w:szCs w:val="20"/>
          <w:bdr w:val="none" w:sz="0" w:space="0" w:color="auto"/>
          <w:lang w:val="es-ES"/>
        </w:rPr>
        <w:t xml:space="preserve"> </w:t>
      </w:r>
      <w:r w:rsidR="00AB20A2" w:rsidRPr="00A16D62">
        <w:rPr>
          <w:rFonts w:ascii="Cambria" w:eastAsia="Times New Roman" w:hAnsi="Cambria"/>
          <w:bCs/>
          <w:sz w:val="20"/>
          <w:szCs w:val="20"/>
          <w:bdr w:val="none" w:sz="0" w:space="0" w:color="auto"/>
          <w:lang w:val="es-ES"/>
        </w:rPr>
        <w:t xml:space="preserve">con sus reclamos han sido mixtos, en vista de que el sistema de </w:t>
      </w:r>
      <w:r w:rsidR="007B4310" w:rsidRPr="00A16D62">
        <w:rPr>
          <w:rFonts w:ascii="Cambria" w:eastAsia="Times New Roman" w:hAnsi="Cambria"/>
          <w:bCs/>
          <w:sz w:val="20"/>
          <w:szCs w:val="20"/>
          <w:bdr w:val="none" w:sz="0" w:space="0" w:color="auto"/>
          <w:lang w:val="es-ES"/>
        </w:rPr>
        <w:t>indemnización por accidentes de trabajo</w:t>
      </w:r>
      <w:r w:rsidR="0049544F" w:rsidRPr="00A16D62">
        <w:rPr>
          <w:rFonts w:ascii="Cambria" w:eastAsia="Times New Roman" w:hAnsi="Cambria"/>
          <w:bCs/>
          <w:sz w:val="20"/>
          <w:szCs w:val="20"/>
          <w:bdr w:val="none" w:sz="0" w:space="0" w:color="auto"/>
          <w:lang w:val="es-ES"/>
        </w:rPr>
        <w:t xml:space="preserve"> </w:t>
      </w:r>
      <w:r w:rsidR="00AB20A2" w:rsidRPr="00A16D62">
        <w:rPr>
          <w:rFonts w:ascii="Cambria" w:eastAsia="Times New Roman" w:hAnsi="Cambria"/>
          <w:bCs/>
          <w:sz w:val="20"/>
          <w:szCs w:val="20"/>
          <w:bdr w:val="none" w:sz="0" w:space="0" w:color="auto"/>
          <w:lang w:val="es-ES"/>
        </w:rPr>
        <w:t xml:space="preserve">en </w:t>
      </w:r>
      <w:r w:rsidR="007E4498" w:rsidRPr="00A16D62">
        <w:rPr>
          <w:rFonts w:ascii="Cambria" w:eastAsia="Times New Roman" w:hAnsi="Cambria"/>
          <w:bCs/>
          <w:sz w:val="20"/>
          <w:szCs w:val="20"/>
          <w:bdr w:val="none" w:sz="0" w:space="0" w:color="auto"/>
          <w:lang w:val="es-ES"/>
        </w:rPr>
        <w:t>Estados Unidos</w:t>
      </w:r>
      <w:r w:rsidR="0049544F" w:rsidRPr="00A16D62">
        <w:rPr>
          <w:rFonts w:ascii="Cambria" w:eastAsia="Times New Roman" w:hAnsi="Cambria"/>
          <w:bCs/>
          <w:sz w:val="20"/>
          <w:szCs w:val="20"/>
          <w:bdr w:val="none" w:sz="0" w:space="0" w:color="auto"/>
          <w:lang w:val="es-ES"/>
        </w:rPr>
        <w:t xml:space="preserve"> </w:t>
      </w:r>
      <w:r w:rsidR="00AB20A2" w:rsidRPr="00A16D62">
        <w:rPr>
          <w:rFonts w:ascii="Cambria" w:eastAsia="Times New Roman" w:hAnsi="Cambria"/>
          <w:bCs/>
          <w:sz w:val="20"/>
          <w:szCs w:val="20"/>
          <w:bdr w:val="none" w:sz="0" w:space="0" w:color="auto"/>
          <w:lang w:val="es-ES"/>
        </w:rPr>
        <w:t xml:space="preserve">es un collage de cincuenta sistemas diferentes con distintas interpretaciones de la decisión en el caso </w:t>
      </w:r>
      <w:r w:rsidR="00D818D2" w:rsidRPr="00A16D62">
        <w:rPr>
          <w:rFonts w:ascii="Cambria" w:eastAsia="Times New Roman" w:hAnsi="Cambria"/>
          <w:bCs/>
          <w:i/>
          <w:sz w:val="20"/>
          <w:szCs w:val="20"/>
          <w:bdr w:val="none" w:sz="0" w:space="0" w:color="auto"/>
          <w:lang w:val="es-ES"/>
        </w:rPr>
        <w:t>Hoffman</w:t>
      </w:r>
      <w:r w:rsidR="00D818D2" w:rsidRPr="00A16D62">
        <w:rPr>
          <w:rFonts w:ascii="Cambria" w:eastAsia="Times New Roman" w:hAnsi="Cambria"/>
          <w:bCs/>
          <w:sz w:val="20"/>
          <w:szCs w:val="20"/>
          <w:bdr w:val="none" w:sz="0" w:space="0" w:color="auto"/>
          <w:lang w:val="es-ES"/>
        </w:rPr>
        <w:t>.</w:t>
      </w:r>
      <w:r w:rsidR="00CC3419">
        <w:rPr>
          <w:rFonts w:ascii="Cambria" w:eastAsia="Times New Roman" w:hAnsi="Cambria"/>
          <w:bCs/>
          <w:sz w:val="20"/>
          <w:szCs w:val="20"/>
          <w:bdr w:val="none" w:sz="0" w:space="0" w:color="auto"/>
          <w:lang w:val="es-ES"/>
        </w:rPr>
        <w:t xml:space="preserve"> </w:t>
      </w:r>
    </w:p>
    <w:p w:rsidR="00BF3E3F" w:rsidRPr="00A16D62" w:rsidRDefault="00BF3E3F" w:rsidP="00D818D2">
      <w:pPr>
        <w:rPr>
          <w:rFonts w:eastAsia="Times New Roman"/>
          <w:bCs/>
          <w:sz w:val="20"/>
          <w:szCs w:val="20"/>
          <w:bdr w:val="none" w:sz="0" w:space="0" w:color="auto"/>
          <w:lang w:val="es-ES"/>
        </w:rPr>
      </w:pPr>
    </w:p>
    <w:p w:rsidR="00BF3E3F" w:rsidRPr="00A16D62" w:rsidRDefault="005B5DA2" w:rsidP="00BF3E3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En ese sentido, </w:t>
      </w:r>
      <w:r w:rsidR="00180125" w:rsidRPr="00A16D62">
        <w:rPr>
          <w:rFonts w:ascii="Cambria" w:eastAsia="Times New Roman" w:hAnsi="Cambria"/>
          <w:bCs/>
          <w:sz w:val="20"/>
          <w:szCs w:val="20"/>
          <w:bdr w:val="none" w:sz="0" w:space="0" w:color="auto"/>
          <w:lang w:val="es-ES"/>
        </w:rPr>
        <w:t>la Comisión</w:t>
      </w:r>
      <w:r w:rsidR="00BF3E3F"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señala las observaciones finales del </w:t>
      </w:r>
      <w:r w:rsidR="00973B2B" w:rsidRPr="00A16D62">
        <w:rPr>
          <w:rFonts w:ascii="Cambria" w:eastAsia="Times New Roman" w:hAnsi="Cambria"/>
          <w:bCs/>
          <w:sz w:val="20"/>
          <w:szCs w:val="20"/>
          <w:bdr w:val="none" w:sz="0" w:space="0" w:color="auto"/>
          <w:lang w:val="es-ES"/>
        </w:rPr>
        <w:t>Comité para la Eliminación de la Discriminación Racial</w:t>
      </w:r>
      <w:r w:rsidR="00BF3E3F" w:rsidRPr="00A16D62">
        <w:rPr>
          <w:rFonts w:ascii="Cambria" w:eastAsia="Times New Roman" w:hAnsi="Cambria"/>
          <w:bCs/>
          <w:sz w:val="20"/>
          <w:szCs w:val="20"/>
          <w:bdr w:val="none" w:sz="0" w:space="0" w:color="auto"/>
          <w:lang w:val="es-ES"/>
        </w:rPr>
        <w:t xml:space="preserve"> (CERD)</w:t>
      </w:r>
      <w:r w:rsidRPr="00A16D62">
        <w:rPr>
          <w:rFonts w:ascii="Cambria" w:eastAsia="Times New Roman" w:hAnsi="Cambria"/>
          <w:bCs/>
          <w:sz w:val="20"/>
          <w:szCs w:val="20"/>
          <w:bdr w:val="none" w:sz="0" w:space="0" w:color="auto"/>
          <w:lang w:val="es-ES"/>
        </w:rPr>
        <w:t xml:space="preserve">, de las Naciones Unidas, en relación con </w:t>
      </w:r>
      <w:r w:rsidR="007E4498" w:rsidRPr="00A16D62">
        <w:rPr>
          <w:rFonts w:ascii="Cambria" w:eastAsia="Times New Roman" w:hAnsi="Cambria"/>
          <w:bCs/>
          <w:sz w:val="20"/>
          <w:szCs w:val="20"/>
          <w:bdr w:val="none" w:sz="0" w:space="0" w:color="auto"/>
          <w:lang w:val="es-ES"/>
        </w:rPr>
        <w:t>Estados Unidos</w:t>
      </w:r>
      <w:r w:rsidR="00BF3E3F"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que respaldan su conclusión </w:t>
      </w:r>
      <w:r w:rsidR="002A7BC2" w:rsidRPr="00A16D62">
        <w:rPr>
          <w:rFonts w:ascii="Cambria" w:eastAsia="Times New Roman" w:hAnsi="Cambria"/>
          <w:bCs/>
          <w:sz w:val="20"/>
          <w:szCs w:val="20"/>
          <w:bdr w:val="none" w:sz="0" w:space="0" w:color="auto"/>
          <w:lang w:val="es-ES"/>
        </w:rPr>
        <w:t>en el caso de autos</w:t>
      </w:r>
      <w:r w:rsidR="00BF3E3F"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la parte </w:t>
      </w:r>
      <w:r w:rsidR="00BF3E3F" w:rsidRPr="00A16D62">
        <w:rPr>
          <w:rFonts w:ascii="Cambria" w:eastAsia="Times New Roman" w:hAnsi="Cambria"/>
          <w:bCs/>
          <w:sz w:val="20"/>
          <w:szCs w:val="20"/>
          <w:bdr w:val="none" w:sz="0" w:space="0" w:color="auto"/>
          <w:lang w:val="es-ES"/>
        </w:rPr>
        <w:t>pertinent</w:t>
      </w:r>
      <w:r w:rsidRPr="00A16D62">
        <w:rPr>
          <w:rFonts w:ascii="Cambria" w:eastAsia="Times New Roman" w:hAnsi="Cambria"/>
          <w:bCs/>
          <w:sz w:val="20"/>
          <w:szCs w:val="20"/>
          <w:bdr w:val="none" w:sz="0" w:space="0" w:color="auto"/>
          <w:lang w:val="es-ES"/>
        </w:rPr>
        <w:t xml:space="preserve">e, el Comité recalca que las decisiones de la Corte </w:t>
      </w:r>
      <w:r w:rsidRPr="00A16D62">
        <w:rPr>
          <w:rFonts w:ascii="Cambria" w:eastAsia="Times New Roman" w:hAnsi="Cambria"/>
          <w:bCs/>
          <w:sz w:val="20"/>
          <w:szCs w:val="20"/>
          <w:bdr w:val="none" w:sz="0" w:space="0" w:color="auto"/>
          <w:lang w:val="es-ES"/>
        </w:rPr>
        <w:lastRenderedPageBreak/>
        <w:t xml:space="preserve">Suprema de Estados Unidos como la emitida en el caso </w:t>
      </w:r>
      <w:r w:rsidR="00BF3E3F" w:rsidRPr="00A16D62">
        <w:rPr>
          <w:rFonts w:ascii="Cambria" w:eastAsia="Times New Roman" w:hAnsi="Cambria"/>
          <w:bCs/>
          <w:i/>
          <w:sz w:val="20"/>
          <w:szCs w:val="20"/>
          <w:bdr w:val="none" w:sz="0" w:space="0" w:color="auto"/>
          <w:lang w:val="es-ES"/>
        </w:rPr>
        <w:t>Hoffman</w:t>
      </w:r>
      <w:r w:rsidR="00BF3E3F" w:rsidRPr="00A16D62">
        <w:rPr>
          <w:rFonts w:ascii="Cambria" w:eastAsia="Times New Roman" w:hAnsi="Cambria"/>
          <w:bCs/>
          <w:sz w:val="20"/>
          <w:szCs w:val="20"/>
          <w:bdr w:val="none" w:sz="0" w:space="0" w:color="auto"/>
          <w:lang w:val="es-ES"/>
        </w:rPr>
        <w:t xml:space="preserve"> “ha</w:t>
      </w:r>
      <w:r w:rsidRPr="00A16D62">
        <w:rPr>
          <w:rFonts w:ascii="Cambria" w:eastAsia="Times New Roman" w:hAnsi="Cambria"/>
          <w:bCs/>
          <w:sz w:val="20"/>
          <w:szCs w:val="20"/>
          <w:bdr w:val="none" w:sz="0" w:space="0" w:color="auto"/>
          <w:lang w:val="es-ES"/>
        </w:rPr>
        <w:t xml:space="preserve">n </w:t>
      </w:r>
      <w:r w:rsidR="00F84BF4" w:rsidRPr="00A16D62">
        <w:rPr>
          <w:rFonts w:ascii="Cambria" w:eastAsia="Times New Roman" w:hAnsi="Cambria"/>
          <w:bCs/>
          <w:sz w:val="20"/>
          <w:szCs w:val="20"/>
          <w:bdr w:val="none" w:sz="0" w:space="0" w:color="auto"/>
          <w:lang w:val="es-ES"/>
        </w:rPr>
        <w:t>socava</w:t>
      </w:r>
      <w:r w:rsidRPr="00A16D62">
        <w:rPr>
          <w:rFonts w:ascii="Cambria" w:eastAsia="Times New Roman" w:hAnsi="Cambria"/>
          <w:bCs/>
          <w:sz w:val="20"/>
          <w:szCs w:val="20"/>
          <w:bdr w:val="none" w:sz="0" w:space="0" w:color="auto"/>
          <w:lang w:val="es-ES"/>
        </w:rPr>
        <w:t>do aún más la capacidad de los</w:t>
      </w:r>
      <w:r w:rsidR="00BF3E3F"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trabajadores</w:t>
      </w:r>
      <w:r w:rsidR="00BF3E3F" w:rsidRPr="00A16D62">
        <w:rPr>
          <w:rFonts w:ascii="Cambria" w:eastAsia="Times New Roman" w:hAnsi="Cambria"/>
          <w:bCs/>
          <w:sz w:val="20"/>
          <w:szCs w:val="20"/>
          <w:bdr w:val="none" w:sz="0" w:space="0" w:color="auto"/>
          <w:lang w:val="es-ES"/>
        </w:rPr>
        <w:t xml:space="preserve"> </w:t>
      </w:r>
      <w:r w:rsidR="00F84BF4" w:rsidRPr="00A16D62">
        <w:rPr>
          <w:rFonts w:ascii="Cambria" w:eastAsia="Times New Roman" w:hAnsi="Cambria"/>
          <w:bCs/>
          <w:sz w:val="20"/>
          <w:szCs w:val="20"/>
          <w:bdr w:val="none" w:sz="0" w:space="0" w:color="auto"/>
          <w:lang w:val="es-ES"/>
        </w:rPr>
        <w:t xml:space="preserve">de minorías </w:t>
      </w:r>
      <w:r w:rsidR="00BF3E3F" w:rsidRPr="00A16D62">
        <w:rPr>
          <w:rFonts w:ascii="Cambria" w:eastAsia="Times New Roman" w:hAnsi="Cambria"/>
          <w:bCs/>
          <w:sz w:val="20"/>
          <w:szCs w:val="20"/>
          <w:bdr w:val="none" w:sz="0" w:space="0" w:color="auto"/>
          <w:lang w:val="es-ES"/>
        </w:rPr>
        <w:t>racial</w:t>
      </w:r>
      <w:r w:rsidR="00F84BF4" w:rsidRPr="00A16D62">
        <w:rPr>
          <w:rFonts w:ascii="Cambria" w:eastAsia="Times New Roman" w:hAnsi="Cambria"/>
          <w:bCs/>
          <w:sz w:val="20"/>
          <w:szCs w:val="20"/>
          <w:bdr w:val="none" w:sz="0" w:space="0" w:color="auto"/>
          <w:lang w:val="es-ES"/>
        </w:rPr>
        <w:t>es, étnicas y nacionales para obtener protección jurídica y reparación en casos de trato discriminatorio en el trabajo, salarios impagos o retenidos, o lesiones o enfermedades relacionados con el trabajo</w:t>
      </w:r>
      <w:r w:rsidR="00BF3E3F" w:rsidRPr="00A16D62">
        <w:rPr>
          <w:rFonts w:ascii="Cambria" w:eastAsia="Times New Roman" w:hAnsi="Cambria"/>
          <w:bCs/>
          <w:sz w:val="20"/>
          <w:szCs w:val="20"/>
          <w:bdr w:val="none" w:sz="0" w:space="0" w:color="auto"/>
          <w:lang w:val="es-ES"/>
        </w:rPr>
        <w:t>”</w:t>
      </w:r>
      <w:r w:rsidR="00BF3E3F" w:rsidRPr="00A16D62">
        <w:rPr>
          <w:rStyle w:val="FootnoteReference"/>
          <w:rFonts w:ascii="Cambria" w:eastAsia="Times New Roman" w:hAnsi="Cambria"/>
          <w:bCs/>
          <w:sz w:val="20"/>
          <w:szCs w:val="20"/>
          <w:bdr w:val="none" w:sz="0" w:space="0" w:color="auto"/>
          <w:lang w:val="es-ES"/>
        </w:rPr>
        <w:footnoteReference w:id="137"/>
      </w:r>
      <w:r w:rsidR="00F84BF4" w:rsidRPr="00A16D62">
        <w:rPr>
          <w:rFonts w:ascii="Cambria" w:eastAsia="Times New Roman" w:hAnsi="Cambria"/>
          <w:bCs/>
          <w:sz w:val="20"/>
          <w:szCs w:val="20"/>
          <w:bdr w:val="none" w:sz="0" w:space="0" w:color="auto"/>
          <w:lang w:val="es-ES"/>
        </w:rPr>
        <w:t>.</w:t>
      </w:r>
      <w:r w:rsidR="00BF3E3F" w:rsidRPr="00A16D62">
        <w:rPr>
          <w:rFonts w:ascii="Cambria" w:eastAsia="Times New Roman" w:hAnsi="Cambria"/>
          <w:bCs/>
          <w:sz w:val="20"/>
          <w:szCs w:val="20"/>
          <w:bdr w:val="none" w:sz="0" w:space="0" w:color="auto"/>
          <w:lang w:val="es-ES"/>
        </w:rPr>
        <w:t xml:space="preserve"> </w:t>
      </w:r>
    </w:p>
    <w:p w:rsidR="00BF3E3F" w:rsidRPr="00A16D62" w:rsidRDefault="00BF3E3F" w:rsidP="00BF3E3F">
      <w:pPr>
        <w:pStyle w:val="ListParagraph"/>
        <w:rPr>
          <w:rFonts w:eastAsia="Times New Roman"/>
          <w:bCs/>
          <w:sz w:val="20"/>
          <w:szCs w:val="20"/>
          <w:bdr w:val="none" w:sz="0" w:space="0" w:color="auto"/>
          <w:lang w:val="es-ES"/>
        </w:rPr>
      </w:pPr>
    </w:p>
    <w:p w:rsidR="00BF3E3F" w:rsidRPr="00A16D62" w:rsidRDefault="00B72500" w:rsidP="00BF3E3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Sobre la base de lo que antecede</w:t>
      </w:r>
      <w:r w:rsidR="00BF3E3F"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BF3E3F"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concluye que </w:t>
      </w:r>
      <w:r w:rsidR="00180125" w:rsidRPr="00A16D62">
        <w:rPr>
          <w:rFonts w:ascii="Cambria" w:eastAsia="Times New Roman" w:hAnsi="Cambria"/>
          <w:bCs/>
          <w:sz w:val="20"/>
          <w:szCs w:val="20"/>
          <w:bdr w:val="none" w:sz="0" w:space="0" w:color="auto"/>
          <w:lang w:val="es-ES"/>
        </w:rPr>
        <w:t>el Estado</w:t>
      </w:r>
      <w:r w:rsidR="00BF3E3F"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es responsable de la violación de los derechos d</w:t>
      </w:r>
      <w:r w:rsidR="007F4530" w:rsidRPr="00A16D62">
        <w:rPr>
          <w:rFonts w:ascii="Cambria" w:eastAsia="Times New Roman" w:hAnsi="Cambria"/>
          <w:bCs/>
          <w:sz w:val="20"/>
          <w:szCs w:val="20"/>
          <w:bdr w:val="none" w:sz="0" w:space="0" w:color="auto"/>
          <w:lang w:val="es-ES"/>
        </w:rPr>
        <w:t>el señor</w:t>
      </w:r>
      <w:r w:rsidR="00D818D2" w:rsidRPr="00A16D62">
        <w:rPr>
          <w:rFonts w:ascii="Cambria" w:eastAsia="Times New Roman" w:hAnsi="Cambria"/>
          <w:bCs/>
          <w:sz w:val="20"/>
          <w:szCs w:val="20"/>
          <w:bdr w:val="none" w:sz="0" w:space="0" w:color="auto"/>
          <w:lang w:val="es-ES"/>
        </w:rPr>
        <w:t xml:space="preserve"> Lizalde</w:t>
      </w:r>
      <w:r w:rsidRPr="00A16D62">
        <w:rPr>
          <w:rFonts w:ascii="Cambria" w:eastAsia="Times New Roman" w:hAnsi="Cambria"/>
          <w:bCs/>
          <w:sz w:val="20"/>
          <w:szCs w:val="20"/>
          <w:bdr w:val="none" w:sz="0" w:space="0" w:color="auto"/>
          <w:lang w:val="es-ES"/>
        </w:rPr>
        <w:t xml:space="preserve"> amparados por los </w:t>
      </w:r>
      <w:r w:rsidR="00811F92" w:rsidRPr="00A16D62">
        <w:rPr>
          <w:rFonts w:ascii="Cambria" w:eastAsia="Times New Roman" w:hAnsi="Cambria"/>
          <w:bCs/>
          <w:sz w:val="20"/>
          <w:szCs w:val="20"/>
          <w:bdr w:val="none" w:sz="0" w:space="0" w:color="auto"/>
          <w:lang w:val="es-ES"/>
        </w:rPr>
        <w:t>artículo</w:t>
      </w:r>
      <w:r w:rsidR="007423F8" w:rsidRPr="00A16D62">
        <w:rPr>
          <w:rFonts w:ascii="Cambria" w:eastAsia="Times New Roman" w:hAnsi="Cambria"/>
          <w:bCs/>
          <w:sz w:val="20"/>
          <w:szCs w:val="20"/>
          <w:bdr w:val="none" w:sz="0" w:space="0" w:color="auto"/>
          <w:lang w:val="es-ES"/>
        </w:rPr>
        <w:t xml:space="preserve">s XVII </w:t>
      </w:r>
      <w:r w:rsidR="00E86DEF" w:rsidRPr="00A16D62">
        <w:rPr>
          <w:rFonts w:ascii="Cambria" w:eastAsia="Times New Roman" w:hAnsi="Cambria"/>
          <w:bCs/>
          <w:sz w:val="20"/>
          <w:szCs w:val="20"/>
          <w:bdr w:val="none" w:sz="0" w:space="0" w:color="auto"/>
          <w:lang w:val="es-ES"/>
        </w:rPr>
        <w:t xml:space="preserve">y </w:t>
      </w:r>
      <w:r w:rsidR="00BF3E3F" w:rsidRPr="00A16D62">
        <w:rPr>
          <w:rFonts w:ascii="Cambria" w:eastAsia="Times New Roman" w:hAnsi="Cambria"/>
          <w:bCs/>
          <w:sz w:val="20"/>
          <w:szCs w:val="20"/>
          <w:bdr w:val="none" w:sz="0" w:space="0" w:color="auto"/>
          <w:lang w:val="es-ES"/>
        </w:rPr>
        <w:t xml:space="preserve">XVIII </w:t>
      </w:r>
      <w:r w:rsidR="00E86DEF"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BF3E3F" w:rsidRPr="00A16D62">
        <w:rPr>
          <w:rFonts w:ascii="Cambria" w:eastAsia="Times New Roman" w:hAnsi="Cambria"/>
          <w:bCs/>
          <w:sz w:val="20"/>
          <w:szCs w:val="20"/>
          <w:bdr w:val="none" w:sz="0" w:space="0" w:color="auto"/>
          <w:lang w:val="es-ES"/>
        </w:rPr>
        <w:t xml:space="preserve">. </w:t>
      </w:r>
    </w:p>
    <w:p w:rsidR="00D07A23" w:rsidRPr="00A16D62" w:rsidRDefault="00D07A23" w:rsidP="00BF3E3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D07A23" w:rsidRPr="00A16D62" w:rsidRDefault="007E4498" w:rsidP="00A76BB1">
      <w:pPr>
        <w:pStyle w:val="Heading2"/>
        <w:ind w:left="1440" w:hanging="720"/>
        <w:rPr>
          <w:lang w:val="es-ES"/>
        </w:rPr>
      </w:pPr>
      <w:bookmarkStart w:id="28" w:name="_Toc467138450"/>
      <w:r w:rsidRPr="00A16D62">
        <w:rPr>
          <w:lang w:val="es-ES"/>
        </w:rPr>
        <w:t>Derecho a la seguridad social</w:t>
      </w:r>
      <w:r w:rsidR="00D07A23" w:rsidRPr="00A16D62">
        <w:rPr>
          <w:lang w:val="es-ES"/>
        </w:rPr>
        <w:t xml:space="preserve"> (</w:t>
      </w:r>
      <w:r w:rsidR="00811F92" w:rsidRPr="00A16D62">
        <w:rPr>
          <w:lang w:val="es-ES"/>
        </w:rPr>
        <w:t>artículo</w:t>
      </w:r>
      <w:r w:rsidR="00D07A23" w:rsidRPr="00A16D62">
        <w:rPr>
          <w:lang w:val="es-ES"/>
        </w:rPr>
        <w:t xml:space="preserve"> XVI </w:t>
      </w:r>
      <w:r w:rsidRPr="00A16D62">
        <w:rPr>
          <w:lang w:val="es-ES"/>
        </w:rPr>
        <w:t xml:space="preserve">de la </w:t>
      </w:r>
      <w:r w:rsidR="00811F92" w:rsidRPr="00A16D62">
        <w:rPr>
          <w:lang w:val="es-ES"/>
        </w:rPr>
        <w:t>Declaración Americana</w:t>
      </w:r>
      <w:r w:rsidR="00D07A23" w:rsidRPr="00A16D62">
        <w:rPr>
          <w:lang w:val="es-ES"/>
        </w:rPr>
        <w:t>)</w:t>
      </w:r>
      <w:bookmarkEnd w:id="28"/>
    </w:p>
    <w:p w:rsidR="00D07A23" w:rsidRPr="00A16D62" w:rsidRDefault="00D07A23" w:rsidP="00D07A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D07A23" w:rsidRPr="00A16D62" w:rsidRDefault="00721523" w:rsidP="0072152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El </w:t>
      </w:r>
      <w:r w:rsidR="00811F92" w:rsidRPr="00A16D62">
        <w:rPr>
          <w:rFonts w:ascii="Cambria" w:eastAsia="Times New Roman" w:hAnsi="Cambria"/>
          <w:bCs/>
          <w:sz w:val="20"/>
          <w:szCs w:val="20"/>
          <w:bdr w:val="none" w:sz="0" w:space="0" w:color="auto"/>
          <w:lang w:val="es-ES"/>
        </w:rPr>
        <w:t>artículo</w:t>
      </w:r>
      <w:r w:rsidR="003C20AC" w:rsidRPr="00A16D62">
        <w:rPr>
          <w:rFonts w:ascii="Cambria" w:eastAsia="Times New Roman" w:hAnsi="Cambria"/>
          <w:bCs/>
          <w:sz w:val="20"/>
          <w:szCs w:val="20"/>
          <w:bdr w:val="none" w:sz="0" w:space="0" w:color="auto"/>
          <w:lang w:val="es-ES"/>
        </w:rPr>
        <w:t xml:space="preserve"> XVI </w:t>
      </w:r>
      <w:r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3C20AC"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dispone lo siguiente: </w:t>
      </w:r>
      <w:r w:rsidR="003C20AC" w:rsidRPr="00A16D62">
        <w:rPr>
          <w:rFonts w:ascii="Cambria" w:eastAsia="Times New Roman" w:hAnsi="Cambria"/>
          <w:bCs/>
          <w:sz w:val="20"/>
          <w:szCs w:val="20"/>
          <w:bdr w:val="none" w:sz="0" w:space="0" w:color="auto"/>
          <w:lang w:val="es-ES"/>
        </w:rPr>
        <w:t>“</w:t>
      </w:r>
      <w:r w:rsidR="007E4498" w:rsidRPr="00A16D62">
        <w:rPr>
          <w:rFonts w:ascii="Cambria" w:eastAsia="Times New Roman" w:hAnsi="Cambria"/>
          <w:bCs/>
          <w:sz w:val="20"/>
          <w:szCs w:val="20"/>
          <w:bdr w:val="none" w:sz="0" w:space="0" w:color="auto"/>
          <w:lang w:val="es-ES"/>
        </w:rPr>
        <w:t>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r w:rsidR="003C20AC"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w:t>
      </w:r>
    </w:p>
    <w:p w:rsidR="003C20AC" w:rsidRPr="00A16D62" w:rsidRDefault="003C20AC" w:rsidP="003C20A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9D7528" w:rsidRPr="00A16D62" w:rsidRDefault="004E3418" w:rsidP="00F13FC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Como se explica en la sección precedente</w:t>
      </w:r>
      <w:r w:rsidR="00B34889" w:rsidRPr="00A16D62">
        <w:rPr>
          <w:rFonts w:ascii="Cambria" w:eastAsia="Times New Roman" w:hAnsi="Cambria"/>
          <w:bCs/>
          <w:sz w:val="20"/>
          <w:szCs w:val="20"/>
          <w:bdr w:val="none" w:sz="0" w:space="0" w:color="auto"/>
          <w:lang w:val="es-ES"/>
        </w:rPr>
        <w:t xml:space="preserve">, </w:t>
      </w:r>
      <w:r w:rsidR="00F7719D" w:rsidRPr="00A16D62">
        <w:rPr>
          <w:rFonts w:ascii="Cambria" w:eastAsia="Times New Roman" w:hAnsi="Cambria"/>
          <w:bCs/>
          <w:sz w:val="20"/>
          <w:szCs w:val="20"/>
          <w:bdr w:val="none" w:sz="0" w:space="0" w:color="auto"/>
          <w:lang w:val="es-ES"/>
        </w:rPr>
        <w:t xml:space="preserve">la Carta de la OEA dispone en el </w:t>
      </w:r>
      <w:r w:rsidR="00811F92" w:rsidRPr="00A16D62">
        <w:rPr>
          <w:rFonts w:ascii="Cambria" w:eastAsia="Times New Roman" w:hAnsi="Cambria"/>
          <w:bCs/>
          <w:sz w:val="20"/>
          <w:szCs w:val="20"/>
          <w:bdr w:val="none" w:sz="0" w:space="0" w:color="auto"/>
          <w:lang w:val="es-ES"/>
        </w:rPr>
        <w:t>artículo</w:t>
      </w:r>
      <w:r w:rsidR="009D7528" w:rsidRPr="00A16D62">
        <w:rPr>
          <w:rFonts w:ascii="Cambria" w:eastAsia="Times New Roman" w:hAnsi="Cambria"/>
          <w:bCs/>
          <w:sz w:val="20"/>
          <w:szCs w:val="20"/>
          <w:bdr w:val="none" w:sz="0" w:space="0" w:color="auto"/>
          <w:lang w:val="es-ES"/>
        </w:rPr>
        <w:t xml:space="preserve"> 45 (b)</w:t>
      </w:r>
      <w:r w:rsidR="00B34889" w:rsidRPr="00A16D62">
        <w:rPr>
          <w:rFonts w:ascii="Cambria" w:eastAsia="Times New Roman" w:hAnsi="Cambria"/>
          <w:bCs/>
          <w:sz w:val="20"/>
          <w:szCs w:val="20"/>
          <w:bdr w:val="none" w:sz="0" w:space="0" w:color="auto"/>
          <w:lang w:val="es-ES"/>
        </w:rPr>
        <w:t xml:space="preserve"> </w:t>
      </w:r>
      <w:r w:rsidR="00F7719D" w:rsidRPr="00A16D62">
        <w:rPr>
          <w:rFonts w:ascii="Cambria" w:eastAsia="Times New Roman" w:hAnsi="Cambria"/>
          <w:bCs/>
          <w:sz w:val="20"/>
          <w:szCs w:val="20"/>
          <w:bdr w:val="none" w:sz="0" w:space="0" w:color="auto"/>
          <w:lang w:val="es-ES"/>
        </w:rPr>
        <w:t>que las condiciones de trabajo a</w:t>
      </w:r>
      <w:r w:rsidR="005A64AE" w:rsidRPr="00A16D62">
        <w:rPr>
          <w:rFonts w:ascii="Cambria" w:eastAsia="Times New Roman" w:hAnsi="Cambria"/>
          <w:bCs/>
          <w:sz w:val="20"/>
          <w:szCs w:val="20"/>
          <w:bdr w:val="none" w:sz="0" w:space="0" w:color="auto"/>
          <w:lang w:val="es-ES"/>
        </w:rPr>
        <w:t xml:space="preserve">ceptables </w:t>
      </w:r>
      <w:r w:rsidR="00F7719D" w:rsidRPr="00A16D62">
        <w:rPr>
          <w:rFonts w:ascii="Cambria" w:eastAsia="Times New Roman" w:hAnsi="Cambria"/>
          <w:bCs/>
          <w:sz w:val="20"/>
          <w:szCs w:val="20"/>
          <w:bdr w:val="none" w:sz="0" w:space="0" w:color="auto"/>
          <w:lang w:val="es-ES"/>
        </w:rPr>
        <w:t xml:space="preserve">son aquellas que </w:t>
      </w:r>
      <w:r w:rsidR="00B34889" w:rsidRPr="00A16D62">
        <w:rPr>
          <w:rFonts w:ascii="Cambria" w:eastAsia="Times New Roman" w:hAnsi="Cambria"/>
          <w:bCs/>
          <w:sz w:val="20"/>
          <w:szCs w:val="20"/>
          <w:bdr w:val="none" w:sz="0" w:space="0" w:color="auto"/>
          <w:lang w:val="es-ES"/>
        </w:rPr>
        <w:t>“</w:t>
      </w:r>
      <w:r w:rsidR="00F7719D" w:rsidRPr="00A16D62">
        <w:rPr>
          <w:rFonts w:ascii="Cambria" w:eastAsia="Times New Roman" w:hAnsi="Cambria"/>
          <w:bCs/>
          <w:sz w:val="20"/>
          <w:szCs w:val="20"/>
          <w:bdr w:val="none" w:sz="0" w:space="0" w:color="auto"/>
          <w:lang w:val="es-ES"/>
        </w:rPr>
        <w:t>aseguren la vida, la salud y un nivel económico decoroso para el trabajador y su familia, tanto en sus años de trabajo como en su vejez, o cuando cualquier circunstancia lo prive de la posibilidad de trabajar</w:t>
      </w:r>
      <w:r w:rsidR="009D13F1" w:rsidRPr="00A16D62">
        <w:rPr>
          <w:rFonts w:ascii="Cambria" w:eastAsia="Times New Roman" w:hAnsi="Cambria"/>
          <w:bCs/>
          <w:sz w:val="20"/>
          <w:szCs w:val="20"/>
          <w:bdr w:val="none" w:sz="0" w:space="0" w:color="auto"/>
          <w:lang w:val="es-ES"/>
        </w:rPr>
        <w:t>”</w:t>
      </w:r>
      <w:r w:rsidR="009D13F1" w:rsidRPr="00A16D62">
        <w:rPr>
          <w:rStyle w:val="FootnoteReference"/>
          <w:rFonts w:ascii="Cambria" w:eastAsia="Times New Roman" w:hAnsi="Cambria"/>
          <w:bCs/>
          <w:sz w:val="20"/>
          <w:szCs w:val="20"/>
          <w:bdr w:val="none" w:sz="0" w:space="0" w:color="auto"/>
          <w:lang w:val="es-ES"/>
        </w:rPr>
        <w:footnoteReference w:id="138"/>
      </w:r>
      <w:r w:rsidRPr="00A16D62">
        <w:rPr>
          <w:rFonts w:ascii="Cambria" w:eastAsia="Times New Roman" w:hAnsi="Cambria"/>
          <w:bCs/>
          <w:sz w:val="20"/>
          <w:szCs w:val="20"/>
          <w:bdr w:val="none" w:sz="0" w:space="0" w:color="auto"/>
          <w:lang w:val="es-ES"/>
        </w:rPr>
        <w:t>.</w:t>
      </w:r>
      <w:r w:rsidR="009D13F1"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9D752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también considera procedente señalar en este sentido que en el </w:t>
      </w:r>
      <w:r w:rsidR="00811F92" w:rsidRPr="00A16D62">
        <w:rPr>
          <w:rFonts w:ascii="Cambria" w:eastAsia="Times New Roman" w:hAnsi="Cambria"/>
          <w:bCs/>
          <w:sz w:val="20"/>
          <w:szCs w:val="20"/>
          <w:bdr w:val="none" w:sz="0" w:space="0" w:color="auto"/>
          <w:lang w:val="es-ES"/>
        </w:rPr>
        <w:t>artículo</w:t>
      </w:r>
      <w:r w:rsidR="009D7528" w:rsidRPr="00A16D62">
        <w:rPr>
          <w:rFonts w:ascii="Cambria" w:eastAsia="Times New Roman" w:hAnsi="Cambria"/>
          <w:bCs/>
          <w:sz w:val="20"/>
          <w:szCs w:val="20"/>
          <w:bdr w:val="none" w:sz="0" w:space="0" w:color="auto"/>
          <w:lang w:val="es-ES"/>
        </w:rPr>
        <w:t xml:space="preserve"> 45 (h) </w:t>
      </w:r>
      <w:r w:rsidRPr="00A16D62">
        <w:rPr>
          <w:rFonts w:ascii="Cambria" w:eastAsia="Times New Roman" w:hAnsi="Cambria"/>
          <w:bCs/>
          <w:sz w:val="20"/>
          <w:szCs w:val="20"/>
          <w:bdr w:val="none" w:sz="0" w:space="0" w:color="auto"/>
          <w:lang w:val="es-ES"/>
        </w:rPr>
        <w:t xml:space="preserve">de la Carta se hace un llamamiento explícito al </w:t>
      </w:r>
      <w:r w:rsidR="009D7528" w:rsidRPr="00A16D62">
        <w:rPr>
          <w:rFonts w:ascii="Cambria" w:eastAsia="Times New Roman" w:hAnsi="Cambria"/>
          <w:bCs/>
          <w:sz w:val="20"/>
          <w:szCs w:val="20"/>
          <w:bdr w:val="none" w:sz="0" w:space="0" w:color="auto"/>
          <w:lang w:val="es-ES"/>
        </w:rPr>
        <w:t>“de</w:t>
      </w:r>
      <w:r w:rsidRPr="00A16D62">
        <w:rPr>
          <w:rFonts w:ascii="Cambria" w:eastAsia="Times New Roman" w:hAnsi="Cambria"/>
          <w:bCs/>
          <w:sz w:val="20"/>
          <w:szCs w:val="20"/>
          <w:bdr w:val="none" w:sz="0" w:space="0" w:color="auto"/>
          <w:lang w:val="es-ES"/>
        </w:rPr>
        <w:t>sarrollo de una política eficiente de seguridad social</w:t>
      </w:r>
      <w:r w:rsidR="009D7528"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 xml:space="preserve">, en tanto que en el </w:t>
      </w:r>
      <w:r w:rsidR="00811F92" w:rsidRPr="00A16D62">
        <w:rPr>
          <w:rFonts w:ascii="Cambria" w:eastAsia="Times New Roman" w:hAnsi="Cambria"/>
          <w:bCs/>
          <w:sz w:val="20"/>
          <w:szCs w:val="20"/>
          <w:bdr w:val="none" w:sz="0" w:space="0" w:color="auto"/>
          <w:lang w:val="es-ES"/>
        </w:rPr>
        <w:t>artículo</w:t>
      </w:r>
      <w:r w:rsidR="009D7528" w:rsidRPr="00A16D62">
        <w:rPr>
          <w:rFonts w:ascii="Cambria" w:eastAsia="Times New Roman" w:hAnsi="Cambria"/>
          <w:bCs/>
          <w:sz w:val="20"/>
          <w:szCs w:val="20"/>
          <w:bdr w:val="none" w:sz="0" w:space="0" w:color="auto"/>
          <w:lang w:val="es-ES"/>
        </w:rPr>
        <w:t xml:space="preserve"> 46, </w:t>
      </w:r>
      <w:r w:rsidRPr="00A16D62">
        <w:rPr>
          <w:rFonts w:ascii="Cambria" w:eastAsia="Times New Roman" w:hAnsi="Cambria"/>
          <w:bCs/>
          <w:sz w:val="20"/>
          <w:szCs w:val="20"/>
          <w:bdr w:val="none" w:sz="0" w:space="0" w:color="auto"/>
          <w:lang w:val="es-ES"/>
        </w:rPr>
        <w:t>sobre el tema de la integración</w:t>
      </w:r>
      <w:r w:rsidR="009D7528" w:rsidRPr="00A16D62">
        <w:rPr>
          <w:rFonts w:ascii="Cambria" w:eastAsia="Times New Roman" w:hAnsi="Cambria"/>
          <w:bCs/>
          <w:sz w:val="20"/>
          <w:szCs w:val="20"/>
          <w:bdr w:val="none" w:sz="0" w:space="0" w:color="auto"/>
          <w:lang w:val="es-ES"/>
        </w:rPr>
        <w:t xml:space="preserve"> regional, </w:t>
      </w:r>
      <w:r w:rsidRPr="00A16D62">
        <w:rPr>
          <w:rFonts w:ascii="Cambria" w:eastAsia="Times New Roman" w:hAnsi="Cambria"/>
          <w:bCs/>
          <w:sz w:val="20"/>
          <w:szCs w:val="20"/>
          <w:bdr w:val="none" w:sz="0" w:space="0" w:color="auto"/>
          <w:lang w:val="es-ES"/>
        </w:rPr>
        <w:t xml:space="preserve">los Estados Miembros consideran que es necesario </w:t>
      </w:r>
      <w:r w:rsidR="009D7528"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armonizar la legislación social [...] especialmente en el campo laboral y de la seguridad social, a fin de que los derechos de los trabajadores sean igualmente protegidos</w:t>
      </w:r>
      <w:r w:rsidR="009D7528" w:rsidRPr="00A16D62">
        <w:rPr>
          <w:rFonts w:ascii="Cambria" w:eastAsia="Times New Roman" w:hAnsi="Cambria"/>
          <w:bCs/>
          <w:sz w:val="20"/>
          <w:szCs w:val="20"/>
          <w:bdr w:val="none" w:sz="0" w:space="0" w:color="auto"/>
          <w:lang w:val="es-ES"/>
        </w:rPr>
        <w:t>”</w:t>
      </w:r>
      <w:r w:rsidRPr="00A16D62">
        <w:rPr>
          <w:rFonts w:ascii="Cambria" w:eastAsia="Times New Roman" w:hAnsi="Cambria"/>
          <w:bCs/>
          <w:sz w:val="20"/>
          <w:szCs w:val="20"/>
          <w:bdr w:val="none" w:sz="0" w:space="0" w:color="auto"/>
          <w:lang w:val="es-ES"/>
        </w:rPr>
        <w:t>.</w:t>
      </w:r>
      <w:r w:rsidR="009D7528" w:rsidRPr="00A16D62">
        <w:rPr>
          <w:rFonts w:ascii="Cambria" w:eastAsia="Times New Roman" w:hAnsi="Cambria"/>
          <w:bCs/>
          <w:sz w:val="20"/>
          <w:szCs w:val="20"/>
          <w:bdr w:val="none" w:sz="0" w:space="0" w:color="auto"/>
          <w:lang w:val="es-ES"/>
        </w:rPr>
        <w:t xml:space="preserve"> </w:t>
      </w:r>
    </w:p>
    <w:p w:rsidR="009D7528" w:rsidRPr="00A16D62" w:rsidRDefault="009D7528" w:rsidP="009D752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3C20AC" w:rsidRPr="00A16D62" w:rsidRDefault="00180125" w:rsidP="00F13FC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La Comisión</w:t>
      </w:r>
      <w:r w:rsidR="009D13F1" w:rsidRPr="00A16D62">
        <w:rPr>
          <w:rFonts w:ascii="Cambria" w:eastAsia="Times New Roman" w:hAnsi="Cambria"/>
          <w:bCs/>
          <w:sz w:val="20"/>
          <w:szCs w:val="20"/>
          <w:bdr w:val="none" w:sz="0" w:space="0" w:color="auto"/>
          <w:lang w:val="es-ES"/>
        </w:rPr>
        <w:t xml:space="preserve"> consider</w:t>
      </w:r>
      <w:r w:rsidR="00F3647F" w:rsidRPr="00A16D62">
        <w:rPr>
          <w:rFonts w:ascii="Cambria" w:eastAsia="Times New Roman" w:hAnsi="Cambria"/>
          <w:bCs/>
          <w:sz w:val="20"/>
          <w:szCs w:val="20"/>
          <w:bdr w:val="none" w:sz="0" w:space="0" w:color="auto"/>
          <w:lang w:val="es-ES"/>
        </w:rPr>
        <w:t xml:space="preserve">a que el derecho de todos los </w:t>
      </w:r>
      <w:r w:rsidR="007B4310" w:rsidRPr="00A16D62">
        <w:rPr>
          <w:rFonts w:ascii="Cambria" w:eastAsia="Times New Roman" w:hAnsi="Cambria"/>
          <w:bCs/>
          <w:sz w:val="20"/>
          <w:szCs w:val="20"/>
          <w:bdr w:val="none" w:sz="0" w:space="0" w:color="auto"/>
          <w:lang w:val="es-ES"/>
        </w:rPr>
        <w:t>trabajadores</w:t>
      </w:r>
      <w:r w:rsidR="009D13F1" w:rsidRPr="00A16D62">
        <w:rPr>
          <w:rFonts w:ascii="Cambria" w:eastAsia="Times New Roman" w:hAnsi="Cambria"/>
          <w:bCs/>
          <w:sz w:val="20"/>
          <w:szCs w:val="20"/>
          <w:bdr w:val="none" w:sz="0" w:space="0" w:color="auto"/>
          <w:lang w:val="es-ES"/>
        </w:rPr>
        <w:t xml:space="preserve"> </w:t>
      </w:r>
      <w:r w:rsidR="00F3647F" w:rsidRPr="00A16D62">
        <w:rPr>
          <w:rFonts w:ascii="Cambria" w:eastAsia="Times New Roman" w:hAnsi="Cambria"/>
          <w:bCs/>
          <w:sz w:val="20"/>
          <w:szCs w:val="20"/>
          <w:bdr w:val="none" w:sz="0" w:space="0" w:color="auto"/>
          <w:lang w:val="es-ES"/>
        </w:rPr>
        <w:t>a recibir prestaciones emanadas de la relación laboral</w:t>
      </w:r>
      <w:r w:rsidR="009D13F1" w:rsidRPr="00A16D62">
        <w:rPr>
          <w:rFonts w:ascii="Cambria" w:eastAsia="Times New Roman" w:hAnsi="Cambria"/>
          <w:bCs/>
          <w:sz w:val="20"/>
          <w:szCs w:val="20"/>
          <w:bdr w:val="none" w:sz="0" w:space="0" w:color="auto"/>
          <w:lang w:val="es-ES"/>
        </w:rPr>
        <w:t xml:space="preserve">, </w:t>
      </w:r>
      <w:r w:rsidR="00F3647F" w:rsidRPr="00A16D62">
        <w:rPr>
          <w:rFonts w:ascii="Cambria" w:eastAsia="Times New Roman" w:hAnsi="Cambria"/>
          <w:bCs/>
          <w:sz w:val="20"/>
          <w:szCs w:val="20"/>
          <w:bdr w:val="none" w:sz="0" w:space="0" w:color="auto"/>
          <w:lang w:val="es-ES"/>
        </w:rPr>
        <w:t xml:space="preserve">como las que están comprendidas en los sistemas de </w:t>
      </w:r>
      <w:r w:rsidR="007B4310" w:rsidRPr="00A16D62">
        <w:rPr>
          <w:rFonts w:ascii="Cambria" w:eastAsia="Times New Roman" w:hAnsi="Cambria"/>
          <w:bCs/>
          <w:sz w:val="20"/>
          <w:szCs w:val="20"/>
          <w:bdr w:val="none" w:sz="0" w:space="0" w:color="auto"/>
          <w:lang w:val="es-ES"/>
        </w:rPr>
        <w:t>indemnización por accidentes de trabajo</w:t>
      </w:r>
      <w:r w:rsidR="009D7528" w:rsidRPr="00A16D62">
        <w:rPr>
          <w:rFonts w:ascii="Cambria" w:eastAsia="Times New Roman" w:hAnsi="Cambria"/>
          <w:bCs/>
          <w:sz w:val="20"/>
          <w:szCs w:val="20"/>
          <w:bdr w:val="none" w:sz="0" w:space="0" w:color="auto"/>
          <w:lang w:val="es-ES"/>
        </w:rPr>
        <w:t>,</w:t>
      </w:r>
      <w:r w:rsidR="009D13F1" w:rsidRPr="00A16D62">
        <w:rPr>
          <w:rFonts w:ascii="Cambria" w:eastAsia="Times New Roman" w:hAnsi="Cambria"/>
          <w:bCs/>
          <w:sz w:val="20"/>
          <w:szCs w:val="20"/>
          <w:bdr w:val="none" w:sz="0" w:space="0" w:color="auto"/>
          <w:lang w:val="es-ES"/>
        </w:rPr>
        <w:t xml:space="preserve"> </w:t>
      </w:r>
      <w:r w:rsidR="00F3647F" w:rsidRPr="00A16D62">
        <w:rPr>
          <w:rFonts w:ascii="Cambria" w:eastAsia="Times New Roman" w:hAnsi="Cambria"/>
          <w:bCs/>
          <w:sz w:val="20"/>
          <w:szCs w:val="20"/>
          <w:bdr w:val="none" w:sz="0" w:space="0" w:color="auto"/>
          <w:lang w:val="es-ES"/>
        </w:rPr>
        <w:t xml:space="preserve">forma parte de un grupo de derechos económicos y </w:t>
      </w:r>
      <w:r w:rsidR="00B02551" w:rsidRPr="00A16D62">
        <w:rPr>
          <w:rFonts w:ascii="Cambria" w:eastAsia="Times New Roman" w:hAnsi="Cambria"/>
          <w:bCs/>
          <w:sz w:val="20"/>
          <w:szCs w:val="20"/>
          <w:bdr w:val="none" w:sz="0" w:space="0" w:color="auto"/>
          <w:lang w:val="es-ES"/>
        </w:rPr>
        <w:t>social</w:t>
      </w:r>
      <w:r w:rsidR="00F3647F" w:rsidRPr="00A16D62">
        <w:rPr>
          <w:rFonts w:ascii="Cambria" w:eastAsia="Times New Roman" w:hAnsi="Cambria"/>
          <w:bCs/>
          <w:sz w:val="20"/>
          <w:szCs w:val="20"/>
          <w:bdr w:val="none" w:sz="0" w:space="0" w:color="auto"/>
          <w:lang w:val="es-ES"/>
        </w:rPr>
        <w:t>es que deben acompañar a las libertades c</w:t>
      </w:r>
      <w:r w:rsidR="00B02551" w:rsidRPr="00A16D62">
        <w:rPr>
          <w:rFonts w:ascii="Cambria" w:eastAsia="Times New Roman" w:hAnsi="Cambria"/>
          <w:bCs/>
          <w:sz w:val="20"/>
          <w:szCs w:val="20"/>
          <w:bdr w:val="none" w:sz="0" w:space="0" w:color="auto"/>
          <w:lang w:val="es-ES"/>
        </w:rPr>
        <w:t>ivil</w:t>
      </w:r>
      <w:r w:rsidR="00F3647F" w:rsidRPr="00A16D62">
        <w:rPr>
          <w:rFonts w:ascii="Cambria" w:eastAsia="Times New Roman" w:hAnsi="Cambria"/>
          <w:bCs/>
          <w:sz w:val="20"/>
          <w:szCs w:val="20"/>
          <w:bdr w:val="none" w:sz="0" w:space="0" w:color="auto"/>
          <w:lang w:val="es-ES"/>
        </w:rPr>
        <w:t xml:space="preserve">es y políticas para la plena protección de los </w:t>
      </w:r>
      <w:r w:rsidR="006F4DC1" w:rsidRPr="00A16D62">
        <w:rPr>
          <w:rFonts w:ascii="Cambria" w:eastAsia="Times New Roman" w:hAnsi="Cambria"/>
          <w:bCs/>
          <w:sz w:val="20"/>
          <w:szCs w:val="20"/>
          <w:bdr w:val="none" w:sz="0" w:space="0" w:color="auto"/>
          <w:lang w:val="es-ES"/>
        </w:rPr>
        <w:t>derechos humanos</w:t>
      </w:r>
      <w:r w:rsidR="00B02551" w:rsidRPr="00A16D62">
        <w:rPr>
          <w:rFonts w:ascii="Cambria" w:eastAsia="Times New Roman" w:hAnsi="Cambria"/>
          <w:bCs/>
          <w:sz w:val="20"/>
          <w:szCs w:val="20"/>
          <w:bdr w:val="none" w:sz="0" w:space="0" w:color="auto"/>
          <w:lang w:val="es-ES"/>
        </w:rPr>
        <w:t xml:space="preserve">, </w:t>
      </w:r>
      <w:r w:rsidR="004E4229" w:rsidRPr="00A16D62">
        <w:rPr>
          <w:rFonts w:ascii="Cambria" w:eastAsia="Times New Roman" w:hAnsi="Cambria"/>
          <w:bCs/>
          <w:sz w:val="20"/>
          <w:szCs w:val="20"/>
          <w:bdr w:val="none" w:sz="0" w:space="0" w:color="auto"/>
          <w:lang w:val="es-ES"/>
        </w:rPr>
        <w:t xml:space="preserve">como los derechos a la propiedad o a la </w:t>
      </w:r>
      <w:r w:rsidR="00EB2759" w:rsidRPr="00A16D62">
        <w:rPr>
          <w:rFonts w:ascii="Cambria" w:eastAsia="Times New Roman" w:hAnsi="Cambria"/>
          <w:bCs/>
          <w:sz w:val="20"/>
          <w:szCs w:val="20"/>
          <w:bdr w:val="none" w:sz="0" w:space="0" w:color="auto"/>
          <w:lang w:val="es-ES"/>
        </w:rPr>
        <w:t>personalidad jurídica</w:t>
      </w:r>
      <w:r w:rsidR="009D13F1" w:rsidRPr="00A16D62">
        <w:rPr>
          <w:rStyle w:val="FootnoteReference"/>
          <w:rFonts w:ascii="Cambria" w:eastAsia="Times New Roman" w:hAnsi="Cambria"/>
          <w:bCs/>
          <w:sz w:val="20"/>
          <w:szCs w:val="20"/>
          <w:bdr w:val="none" w:sz="0" w:space="0" w:color="auto"/>
          <w:lang w:val="es-ES"/>
        </w:rPr>
        <w:footnoteReference w:id="139"/>
      </w:r>
      <w:r w:rsidR="004E4229" w:rsidRPr="00A16D62">
        <w:rPr>
          <w:rFonts w:ascii="Cambria" w:eastAsia="Times New Roman" w:hAnsi="Cambria"/>
          <w:bCs/>
          <w:sz w:val="20"/>
          <w:szCs w:val="20"/>
          <w:bdr w:val="none" w:sz="0" w:space="0" w:color="auto"/>
          <w:lang w:val="es-ES"/>
        </w:rPr>
        <w:t xml:space="preserve">. Las prestaciones tales como el </w:t>
      </w:r>
      <w:r w:rsidR="009D13F1" w:rsidRPr="00A16D62">
        <w:rPr>
          <w:rFonts w:ascii="Cambria" w:eastAsia="Times New Roman" w:hAnsi="Cambria"/>
          <w:bCs/>
          <w:sz w:val="20"/>
          <w:szCs w:val="20"/>
          <w:bdr w:val="none" w:sz="0" w:space="0" w:color="auto"/>
          <w:lang w:val="es-ES"/>
        </w:rPr>
        <w:t>acces</w:t>
      </w:r>
      <w:r w:rsidR="004E4229" w:rsidRPr="00A16D62">
        <w:rPr>
          <w:rFonts w:ascii="Cambria" w:eastAsia="Times New Roman" w:hAnsi="Cambria"/>
          <w:bCs/>
          <w:sz w:val="20"/>
          <w:szCs w:val="20"/>
          <w:bdr w:val="none" w:sz="0" w:space="0" w:color="auto"/>
          <w:lang w:val="es-ES"/>
        </w:rPr>
        <w:t xml:space="preserve">o a tratamientos y servicios médicos pagados por el </w:t>
      </w:r>
      <w:r w:rsidR="007F4530" w:rsidRPr="00A16D62">
        <w:rPr>
          <w:rFonts w:ascii="Cambria" w:eastAsia="Times New Roman" w:hAnsi="Cambria"/>
          <w:bCs/>
          <w:sz w:val="20"/>
          <w:szCs w:val="20"/>
          <w:bdr w:val="none" w:sz="0" w:space="0" w:color="auto"/>
          <w:lang w:val="es-ES"/>
        </w:rPr>
        <w:t>empleador</w:t>
      </w:r>
      <w:r w:rsidR="009D13F1" w:rsidRPr="00A16D62">
        <w:rPr>
          <w:rFonts w:ascii="Cambria" w:eastAsia="Times New Roman" w:hAnsi="Cambria"/>
          <w:bCs/>
          <w:sz w:val="20"/>
          <w:szCs w:val="20"/>
          <w:bdr w:val="none" w:sz="0" w:space="0" w:color="auto"/>
          <w:lang w:val="es-ES"/>
        </w:rPr>
        <w:t xml:space="preserve"> </w:t>
      </w:r>
      <w:r w:rsidR="004E4229" w:rsidRPr="00A16D62">
        <w:rPr>
          <w:rFonts w:ascii="Cambria" w:eastAsia="Times New Roman" w:hAnsi="Cambria"/>
          <w:bCs/>
          <w:sz w:val="20"/>
          <w:szCs w:val="20"/>
          <w:bdr w:val="none" w:sz="0" w:space="0" w:color="auto"/>
          <w:lang w:val="es-ES"/>
        </w:rPr>
        <w:t xml:space="preserve">para sufragar el costo de la curación de lesiones sufridas en el trabajo, así como los pagos por discapacidad para proporcionar una fuente de ingresos al </w:t>
      </w:r>
      <w:r w:rsidR="00F7719D" w:rsidRPr="00A16D62">
        <w:rPr>
          <w:rFonts w:ascii="Cambria" w:eastAsia="Times New Roman" w:hAnsi="Cambria"/>
          <w:bCs/>
          <w:sz w:val="20"/>
          <w:szCs w:val="20"/>
          <w:bdr w:val="none" w:sz="0" w:space="0" w:color="auto"/>
          <w:lang w:val="es-ES"/>
        </w:rPr>
        <w:t>trabajador</w:t>
      </w:r>
      <w:r w:rsidR="009D13F1" w:rsidRPr="00A16D62">
        <w:rPr>
          <w:rFonts w:ascii="Cambria" w:eastAsia="Times New Roman" w:hAnsi="Cambria"/>
          <w:bCs/>
          <w:sz w:val="20"/>
          <w:szCs w:val="20"/>
          <w:bdr w:val="none" w:sz="0" w:space="0" w:color="auto"/>
          <w:lang w:val="es-ES"/>
        </w:rPr>
        <w:t xml:space="preserve"> </w:t>
      </w:r>
      <w:r w:rsidR="004E4229" w:rsidRPr="00A16D62">
        <w:rPr>
          <w:rFonts w:ascii="Cambria" w:eastAsia="Times New Roman" w:hAnsi="Cambria"/>
          <w:bCs/>
          <w:sz w:val="20"/>
          <w:szCs w:val="20"/>
          <w:bdr w:val="none" w:sz="0" w:space="0" w:color="auto"/>
          <w:lang w:val="es-ES"/>
        </w:rPr>
        <w:t xml:space="preserve">lesionado a fin de que pueda mantenerse durante el tiempo en que la discapacidad le impida trabajar, son cruciales y necesarias para cumplir las normas de seguridad </w:t>
      </w:r>
      <w:r w:rsidR="009D7528" w:rsidRPr="00A16D62">
        <w:rPr>
          <w:rFonts w:ascii="Cambria" w:eastAsia="Times New Roman" w:hAnsi="Cambria"/>
          <w:bCs/>
          <w:sz w:val="20"/>
          <w:szCs w:val="20"/>
          <w:bdr w:val="none" w:sz="0" w:space="0" w:color="auto"/>
          <w:lang w:val="es-ES"/>
        </w:rPr>
        <w:t xml:space="preserve">social </w:t>
      </w:r>
      <w:r w:rsidR="00E937E8" w:rsidRPr="00A16D62">
        <w:rPr>
          <w:rFonts w:ascii="Cambria" w:eastAsia="Times New Roman" w:hAnsi="Cambria"/>
          <w:bCs/>
          <w:sz w:val="20"/>
          <w:szCs w:val="20"/>
          <w:bdr w:val="none" w:sz="0" w:space="0" w:color="auto"/>
          <w:lang w:val="es-ES"/>
        </w:rPr>
        <w:t xml:space="preserve">establecidas en </w:t>
      </w:r>
      <w:r w:rsidR="00E9739D" w:rsidRPr="00A16D62">
        <w:rPr>
          <w:rFonts w:ascii="Cambria" w:eastAsia="Times New Roman" w:hAnsi="Cambria"/>
          <w:bCs/>
          <w:sz w:val="20"/>
          <w:szCs w:val="20"/>
          <w:bdr w:val="none" w:sz="0" w:space="0" w:color="auto"/>
          <w:lang w:val="es-ES"/>
        </w:rPr>
        <w:t>la Carta de la OEA</w:t>
      </w:r>
      <w:r w:rsidR="009D13F1" w:rsidRPr="00A16D62">
        <w:rPr>
          <w:rFonts w:ascii="Cambria" w:eastAsia="Times New Roman" w:hAnsi="Cambria"/>
          <w:bCs/>
          <w:sz w:val="20"/>
          <w:szCs w:val="20"/>
          <w:bdr w:val="none" w:sz="0" w:space="0" w:color="auto"/>
          <w:lang w:val="es-ES"/>
        </w:rPr>
        <w:t xml:space="preserve"> </w:t>
      </w:r>
      <w:r w:rsidR="00E937E8" w:rsidRPr="00A16D62">
        <w:rPr>
          <w:rFonts w:ascii="Cambria" w:eastAsia="Times New Roman" w:hAnsi="Cambria"/>
          <w:bCs/>
          <w:sz w:val="20"/>
          <w:szCs w:val="20"/>
          <w:bdr w:val="none" w:sz="0" w:space="0" w:color="auto"/>
          <w:lang w:val="es-ES"/>
        </w:rPr>
        <w:t xml:space="preserve">y en el </w:t>
      </w:r>
      <w:r w:rsidR="00811F92" w:rsidRPr="00A16D62">
        <w:rPr>
          <w:rFonts w:ascii="Cambria" w:eastAsia="Times New Roman" w:hAnsi="Cambria"/>
          <w:bCs/>
          <w:sz w:val="20"/>
          <w:szCs w:val="20"/>
          <w:bdr w:val="none" w:sz="0" w:space="0" w:color="auto"/>
          <w:lang w:val="es-ES"/>
        </w:rPr>
        <w:t>artículo</w:t>
      </w:r>
      <w:r w:rsidR="009D13F1" w:rsidRPr="00A16D62">
        <w:rPr>
          <w:rFonts w:ascii="Cambria" w:eastAsia="Times New Roman" w:hAnsi="Cambria"/>
          <w:bCs/>
          <w:sz w:val="20"/>
          <w:szCs w:val="20"/>
          <w:bdr w:val="none" w:sz="0" w:space="0" w:color="auto"/>
          <w:lang w:val="es-ES"/>
        </w:rPr>
        <w:t xml:space="preserve"> XVI </w:t>
      </w:r>
      <w:r w:rsidR="00E937E8"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9D13F1" w:rsidRPr="00A16D62">
        <w:rPr>
          <w:rFonts w:ascii="Cambria" w:eastAsia="Times New Roman" w:hAnsi="Cambria"/>
          <w:bCs/>
          <w:sz w:val="20"/>
          <w:szCs w:val="20"/>
          <w:bdr w:val="none" w:sz="0" w:space="0" w:color="auto"/>
          <w:lang w:val="es-ES"/>
        </w:rPr>
        <w:t xml:space="preserve">. </w:t>
      </w:r>
      <w:r w:rsidR="00E937E8" w:rsidRPr="00A16D62">
        <w:rPr>
          <w:rFonts w:ascii="Cambria" w:eastAsia="Times New Roman" w:hAnsi="Cambria"/>
          <w:bCs/>
          <w:sz w:val="20"/>
          <w:szCs w:val="20"/>
          <w:bdr w:val="none" w:sz="0" w:space="0" w:color="auto"/>
          <w:lang w:val="es-ES"/>
        </w:rPr>
        <w:t>El acceso a tratamientos y servicios médicos</w:t>
      </w:r>
      <w:r w:rsidR="00BD73C1" w:rsidRPr="00A16D62">
        <w:rPr>
          <w:rFonts w:ascii="Cambria" w:eastAsia="Times New Roman" w:hAnsi="Cambria"/>
          <w:bCs/>
          <w:sz w:val="20"/>
          <w:szCs w:val="20"/>
          <w:bdr w:val="none" w:sz="0" w:space="0" w:color="auto"/>
          <w:lang w:val="es-ES"/>
        </w:rPr>
        <w:t xml:space="preserve"> </w:t>
      </w:r>
      <w:r w:rsidR="00E937E8" w:rsidRPr="00A16D62">
        <w:rPr>
          <w:rFonts w:ascii="Cambria" w:eastAsia="Times New Roman" w:hAnsi="Cambria"/>
          <w:bCs/>
          <w:sz w:val="20"/>
          <w:szCs w:val="20"/>
          <w:bdr w:val="none" w:sz="0" w:space="0" w:color="auto"/>
          <w:lang w:val="es-ES"/>
        </w:rPr>
        <w:t>también está relacionado con el derecho a la integridad</w:t>
      </w:r>
      <w:r w:rsidR="00BD73C1" w:rsidRPr="00A16D62">
        <w:rPr>
          <w:rFonts w:ascii="Cambria" w:eastAsia="Times New Roman" w:hAnsi="Cambria"/>
          <w:bCs/>
          <w:sz w:val="20"/>
          <w:szCs w:val="20"/>
          <w:bdr w:val="none" w:sz="0" w:space="0" w:color="auto"/>
          <w:lang w:val="es-ES"/>
        </w:rPr>
        <w:t xml:space="preserve"> personal. </w:t>
      </w:r>
      <w:r w:rsidR="00E937E8" w:rsidRPr="00A16D62">
        <w:rPr>
          <w:rFonts w:ascii="Cambria" w:eastAsia="Times New Roman" w:hAnsi="Cambria"/>
          <w:bCs/>
          <w:sz w:val="20"/>
          <w:szCs w:val="20"/>
          <w:bdr w:val="none" w:sz="0" w:space="0" w:color="auto"/>
          <w:lang w:val="es-ES"/>
        </w:rPr>
        <w:t>Los</w:t>
      </w:r>
      <w:r w:rsidR="009D7528"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trabajadores</w:t>
      </w:r>
      <w:r w:rsidR="009D7528" w:rsidRPr="00A16D62">
        <w:rPr>
          <w:rFonts w:ascii="Cambria" w:eastAsia="Times New Roman" w:hAnsi="Cambria"/>
          <w:bCs/>
          <w:sz w:val="20"/>
          <w:szCs w:val="20"/>
          <w:bdr w:val="none" w:sz="0" w:space="0" w:color="auto"/>
          <w:lang w:val="es-ES"/>
        </w:rPr>
        <w:t xml:space="preserve"> </w:t>
      </w:r>
      <w:r w:rsidR="00E937E8" w:rsidRPr="00A16D62">
        <w:rPr>
          <w:rFonts w:ascii="Cambria" w:eastAsia="Times New Roman" w:hAnsi="Cambria"/>
          <w:bCs/>
          <w:sz w:val="20"/>
          <w:szCs w:val="20"/>
          <w:bdr w:val="none" w:sz="0" w:space="0" w:color="auto"/>
          <w:lang w:val="es-ES"/>
        </w:rPr>
        <w:t xml:space="preserve">ganan estas prestaciones, que forman parte de la </w:t>
      </w:r>
      <w:r w:rsidR="007B4310" w:rsidRPr="00A16D62">
        <w:rPr>
          <w:rFonts w:ascii="Cambria" w:eastAsia="Times New Roman" w:hAnsi="Cambria"/>
          <w:bCs/>
          <w:sz w:val="20"/>
          <w:szCs w:val="20"/>
          <w:bdr w:val="none" w:sz="0" w:space="0" w:color="auto"/>
          <w:lang w:val="es-ES"/>
        </w:rPr>
        <w:t>indemnización por accidentes de trabajo</w:t>
      </w:r>
      <w:r w:rsidR="00281076" w:rsidRPr="00A16D62">
        <w:rPr>
          <w:rFonts w:ascii="Cambria" w:eastAsia="Times New Roman" w:hAnsi="Cambria"/>
          <w:bCs/>
          <w:sz w:val="20"/>
          <w:szCs w:val="20"/>
          <w:bdr w:val="none" w:sz="0" w:space="0" w:color="auto"/>
          <w:lang w:val="es-ES"/>
        </w:rPr>
        <w:t xml:space="preserve">. </w:t>
      </w:r>
      <w:r w:rsidR="00E937E8" w:rsidRPr="00A16D62">
        <w:rPr>
          <w:rFonts w:ascii="Cambria" w:eastAsia="Times New Roman" w:hAnsi="Cambria"/>
          <w:bCs/>
          <w:sz w:val="20"/>
          <w:szCs w:val="20"/>
          <w:bdr w:val="none" w:sz="0" w:space="0" w:color="auto"/>
          <w:lang w:val="es-ES"/>
        </w:rPr>
        <w:t>Por lo tanto, l</w:t>
      </w:r>
      <w:r w:rsidRPr="00A16D62">
        <w:rPr>
          <w:rFonts w:ascii="Cambria" w:eastAsia="Times New Roman" w:hAnsi="Cambria"/>
          <w:bCs/>
          <w:sz w:val="20"/>
          <w:szCs w:val="20"/>
          <w:bdr w:val="none" w:sz="0" w:space="0" w:color="auto"/>
          <w:lang w:val="es-ES"/>
        </w:rPr>
        <w:t>a Comisión</w:t>
      </w:r>
      <w:r w:rsidR="00281076" w:rsidRPr="00A16D62">
        <w:rPr>
          <w:rFonts w:ascii="Cambria" w:eastAsia="Times New Roman" w:hAnsi="Cambria"/>
          <w:bCs/>
          <w:sz w:val="20"/>
          <w:szCs w:val="20"/>
          <w:bdr w:val="none" w:sz="0" w:space="0" w:color="auto"/>
          <w:lang w:val="es-ES"/>
        </w:rPr>
        <w:t xml:space="preserve"> consider</w:t>
      </w:r>
      <w:r w:rsidR="00E937E8" w:rsidRPr="00A16D62">
        <w:rPr>
          <w:rFonts w:ascii="Cambria" w:eastAsia="Times New Roman" w:hAnsi="Cambria"/>
          <w:bCs/>
          <w:sz w:val="20"/>
          <w:szCs w:val="20"/>
          <w:bdr w:val="none" w:sz="0" w:space="0" w:color="auto"/>
          <w:lang w:val="es-ES"/>
        </w:rPr>
        <w:t>a que los programas de i</w:t>
      </w:r>
      <w:r w:rsidR="007B4310" w:rsidRPr="00A16D62">
        <w:rPr>
          <w:rFonts w:ascii="Cambria" w:eastAsia="Times New Roman" w:hAnsi="Cambria"/>
          <w:bCs/>
          <w:sz w:val="20"/>
          <w:szCs w:val="20"/>
          <w:bdr w:val="none" w:sz="0" w:space="0" w:color="auto"/>
          <w:lang w:val="es-ES"/>
        </w:rPr>
        <w:t>ndemnización por accidentes de trabajo</w:t>
      </w:r>
      <w:r w:rsidR="00281076" w:rsidRPr="00A16D62">
        <w:rPr>
          <w:rFonts w:ascii="Cambria" w:eastAsia="Times New Roman" w:hAnsi="Cambria"/>
          <w:bCs/>
          <w:sz w:val="20"/>
          <w:szCs w:val="20"/>
          <w:bdr w:val="none" w:sz="0" w:space="0" w:color="auto"/>
          <w:lang w:val="es-ES"/>
        </w:rPr>
        <w:t xml:space="preserve"> </w:t>
      </w:r>
      <w:r w:rsidR="00E937E8" w:rsidRPr="00A16D62">
        <w:rPr>
          <w:rFonts w:ascii="Cambria" w:eastAsia="Times New Roman" w:hAnsi="Cambria"/>
          <w:bCs/>
          <w:sz w:val="20"/>
          <w:szCs w:val="20"/>
          <w:bdr w:val="none" w:sz="0" w:space="0" w:color="auto"/>
          <w:lang w:val="es-ES"/>
        </w:rPr>
        <w:t xml:space="preserve">en general, en la forma que tienen en los estados de </w:t>
      </w:r>
      <w:r w:rsidR="007E4498" w:rsidRPr="00A16D62">
        <w:rPr>
          <w:rFonts w:ascii="Cambria" w:eastAsia="Times New Roman" w:hAnsi="Cambria"/>
          <w:bCs/>
          <w:sz w:val="20"/>
          <w:szCs w:val="20"/>
          <w:bdr w:val="none" w:sz="0" w:space="0" w:color="auto"/>
          <w:lang w:val="es-ES"/>
        </w:rPr>
        <w:t>Estados Unidos</w:t>
      </w:r>
      <w:r w:rsidR="00203C0B" w:rsidRPr="00A16D62">
        <w:rPr>
          <w:rFonts w:ascii="Cambria" w:eastAsia="Times New Roman" w:hAnsi="Cambria"/>
          <w:bCs/>
          <w:sz w:val="20"/>
          <w:szCs w:val="20"/>
          <w:bdr w:val="none" w:sz="0" w:space="0" w:color="auto"/>
          <w:lang w:val="es-ES"/>
        </w:rPr>
        <w:t>,</w:t>
      </w:r>
      <w:r w:rsidR="00281076" w:rsidRPr="00A16D62">
        <w:rPr>
          <w:rFonts w:ascii="Cambria" w:eastAsia="Times New Roman" w:hAnsi="Cambria"/>
          <w:bCs/>
          <w:sz w:val="20"/>
          <w:szCs w:val="20"/>
          <w:bdr w:val="none" w:sz="0" w:space="0" w:color="auto"/>
          <w:lang w:val="es-ES"/>
        </w:rPr>
        <w:t xml:space="preserve"> </w:t>
      </w:r>
      <w:r w:rsidR="00E937E8" w:rsidRPr="00A16D62">
        <w:rPr>
          <w:rFonts w:ascii="Cambria" w:eastAsia="Times New Roman" w:hAnsi="Cambria"/>
          <w:bCs/>
          <w:sz w:val="20"/>
          <w:szCs w:val="20"/>
          <w:bdr w:val="none" w:sz="0" w:space="0" w:color="auto"/>
          <w:lang w:val="es-ES"/>
        </w:rPr>
        <w:t xml:space="preserve">procuran ofrecer protecciones a los </w:t>
      </w:r>
      <w:r w:rsidR="007B4310" w:rsidRPr="00A16D62">
        <w:rPr>
          <w:rFonts w:ascii="Cambria" w:eastAsia="Times New Roman" w:hAnsi="Cambria"/>
          <w:bCs/>
          <w:sz w:val="20"/>
          <w:szCs w:val="20"/>
          <w:bdr w:val="none" w:sz="0" w:space="0" w:color="auto"/>
          <w:lang w:val="es-ES"/>
        </w:rPr>
        <w:t>trabajadores</w:t>
      </w:r>
      <w:r w:rsidR="00203C0B" w:rsidRPr="00A16D62">
        <w:rPr>
          <w:rFonts w:ascii="Cambria" w:eastAsia="Times New Roman" w:hAnsi="Cambria"/>
          <w:bCs/>
          <w:sz w:val="20"/>
          <w:szCs w:val="20"/>
          <w:bdr w:val="none" w:sz="0" w:space="0" w:color="auto"/>
          <w:lang w:val="es-ES"/>
        </w:rPr>
        <w:t xml:space="preserve"> </w:t>
      </w:r>
      <w:r w:rsidR="00E937E8" w:rsidRPr="00A16D62">
        <w:rPr>
          <w:rFonts w:ascii="Cambria" w:eastAsia="Times New Roman" w:hAnsi="Cambria"/>
          <w:bCs/>
          <w:sz w:val="20"/>
          <w:szCs w:val="20"/>
          <w:bdr w:val="none" w:sz="0" w:space="0" w:color="auto"/>
          <w:lang w:val="es-ES"/>
        </w:rPr>
        <w:t>en momentos de vulnerabilidad y, por consiguiente, se encuadran plenamente en el ámbito de la</w:t>
      </w:r>
      <w:r w:rsidR="009D7528" w:rsidRPr="00A16D62">
        <w:rPr>
          <w:rFonts w:ascii="Cambria" w:eastAsia="Times New Roman" w:hAnsi="Cambria"/>
          <w:bCs/>
          <w:sz w:val="20"/>
          <w:szCs w:val="20"/>
          <w:bdr w:val="none" w:sz="0" w:space="0" w:color="auto"/>
          <w:lang w:val="es-ES"/>
        </w:rPr>
        <w:t xml:space="preserve"> “</w:t>
      </w:r>
      <w:r w:rsidR="00E937E8" w:rsidRPr="00A16D62">
        <w:rPr>
          <w:rFonts w:ascii="Cambria" w:eastAsia="Times New Roman" w:hAnsi="Cambria"/>
          <w:bCs/>
          <w:sz w:val="20"/>
          <w:szCs w:val="20"/>
          <w:bdr w:val="none" w:sz="0" w:space="0" w:color="auto"/>
          <w:lang w:val="es-ES"/>
        </w:rPr>
        <w:t xml:space="preserve">seguridad </w:t>
      </w:r>
      <w:r w:rsidR="009D7528" w:rsidRPr="00A16D62">
        <w:rPr>
          <w:rFonts w:ascii="Cambria" w:eastAsia="Times New Roman" w:hAnsi="Cambria"/>
          <w:bCs/>
          <w:sz w:val="20"/>
          <w:szCs w:val="20"/>
          <w:bdr w:val="none" w:sz="0" w:space="0" w:color="auto"/>
          <w:lang w:val="es-ES"/>
        </w:rPr>
        <w:t>social</w:t>
      </w:r>
      <w:r w:rsidR="00203C0B" w:rsidRPr="00A16D62">
        <w:rPr>
          <w:rFonts w:ascii="Cambria" w:eastAsia="Times New Roman" w:hAnsi="Cambria"/>
          <w:bCs/>
          <w:sz w:val="20"/>
          <w:szCs w:val="20"/>
          <w:bdr w:val="none" w:sz="0" w:space="0" w:color="auto"/>
          <w:lang w:val="es-ES"/>
        </w:rPr>
        <w:t>”</w:t>
      </w:r>
      <w:r w:rsidR="00E937E8" w:rsidRPr="00A16D62">
        <w:rPr>
          <w:rFonts w:ascii="Cambria" w:eastAsia="Times New Roman" w:hAnsi="Cambria"/>
          <w:bCs/>
          <w:sz w:val="20"/>
          <w:szCs w:val="20"/>
          <w:bdr w:val="none" w:sz="0" w:space="0" w:color="auto"/>
          <w:lang w:val="es-ES"/>
        </w:rPr>
        <w:t>.</w:t>
      </w:r>
    </w:p>
    <w:p w:rsidR="00B83E5C" w:rsidRPr="00A16D62" w:rsidRDefault="00B83E5C" w:rsidP="00B83E5C">
      <w:pPr>
        <w:pStyle w:val="ListParagraph"/>
        <w:rPr>
          <w:rFonts w:eastAsia="Times New Roman"/>
          <w:bCs/>
          <w:sz w:val="20"/>
          <w:szCs w:val="20"/>
          <w:bdr w:val="none" w:sz="0" w:space="0" w:color="auto"/>
          <w:lang w:val="es-ES"/>
        </w:rPr>
      </w:pPr>
    </w:p>
    <w:p w:rsidR="001C3785" w:rsidRPr="00A16D62" w:rsidRDefault="00D22C92" w:rsidP="00F13FC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La </w:t>
      </w:r>
      <w:r w:rsidR="00E9739D" w:rsidRPr="00A16D62">
        <w:rPr>
          <w:rFonts w:ascii="Cambria" w:eastAsia="Times New Roman" w:hAnsi="Cambria"/>
          <w:bCs/>
          <w:sz w:val="20"/>
          <w:szCs w:val="20"/>
          <w:bdr w:val="none" w:sz="0" w:space="0" w:color="auto"/>
          <w:lang w:val="es-ES"/>
        </w:rPr>
        <w:t>Corte Interamericana</w:t>
      </w:r>
      <w:r w:rsidR="001C3785" w:rsidRPr="00A16D62">
        <w:rPr>
          <w:rFonts w:ascii="Cambria" w:eastAsia="Times New Roman" w:hAnsi="Cambria"/>
          <w:bCs/>
          <w:sz w:val="20"/>
          <w:szCs w:val="20"/>
          <w:bdr w:val="none" w:sz="0" w:space="0" w:color="auto"/>
          <w:lang w:val="es-ES"/>
        </w:rPr>
        <w:t xml:space="preserve"> ha</w:t>
      </w:r>
      <w:r w:rsidRPr="00A16D62">
        <w:rPr>
          <w:rFonts w:ascii="Cambria" w:eastAsia="Times New Roman" w:hAnsi="Cambria"/>
          <w:bCs/>
          <w:sz w:val="20"/>
          <w:szCs w:val="20"/>
          <w:bdr w:val="none" w:sz="0" w:space="0" w:color="auto"/>
          <w:lang w:val="es-ES"/>
        </w:rPr>
        <w:t xml:space="preserve"> refrendado una posición </w:t>
      </w:r>
      <w:r w:rsidR="001C3785" w:rsidRPr="00A16D62">
        <w:rPr>
          <w:rFonts w:ascii="Cambria" w:eastAsia="Times New Roman" w:hAnsi="Cambria"/>
          <w:bCs/>
          <w:sz w:val="20"/>
          <w:szCs w:val="20"/>
          <w:bdr w:val="none" w:sz="0" w:space="0" w:color="auto"/>
          <w:lang w:val="es-ES"/>
        </w:rPr>
        <w:t>similar</w:t>
      </w:r>
      <w:r w:rsidRPr="00A16D62">
        <w:rPr>
          <w:rFonts w:ascii="Cambria" w:eastAsia="Times New Roman" w:hAnsi="Cambria"/>
          <w:bCs/>
          <w:sz w:val="20"/>
          <w:szCs w:val="20"/>
          <w:bdr w:val="none" w:sz="0" w:space="0" w:color="auto"/>
          <w:lang w:val="es-ES"/>
        </w:rPr>
        <w:t xml:space="preserve">. En su opinión consultiva sobre la </w:t>
      </w:r>
      <w:r w:rsidRPr="00A16D62">
        <w:rPr>
          <w:rFonts w:ascii="Cambria" w:eastAsia="Times New Roman" w:hAnsi="Cambria"/>
          <w:bCs/>
          <w:i/>
          <w:sz w:val="20"/>
          <w:szCs w:val="20"/>
          <w:bdr w:val="none" w:sz="0" w:space="0" w:color="auto"/>
          <w:lang w:val="es-ES"/>
        </w:rPr>
        <w:t>Condición jurídica y derechos de los migrantes indocumentados</w:t>
      </w:r>
      <w:r w:rsidR="001C3785" w:rsidRPr="00A16D62">
        <w:rPr>
          <w:rFonts w:ascii="Cambria" w:eastAsia="Times New Roman" w:hAnsi="Cambria"/>
          <w:bCs/>
          <w:sz w:val="20"/>
          <w:szCs w:val="20"/>
          <w:bdr w:val="none" w:sz="0" w:space="0" w:color="auto"/>
          <w:lang w:val="es-ES"/>
        </w:rPr>
        <w:t xml:space="preserve">, </w:t>
      </w:r>
      <w:r w:rsidR="00E25038" w:rsidRPr="00A16D62">
        <w:rPr>
          <w:rFonts w:ascii="Cambria" w:eastAsia="Times New Roman" w:hAnsi="Cambria"/>
          <w:bCs/>
          <w:sz w:val="20"/>
          <w:szCs w:val="20"/>
          <w:bdr w:val="none" w:sz="0" w:space="0" w:color="auto"/>
          <w:lang w:val="es-ES"/>
        </w:rPr>
        <w:t xml:space="preserve">mencionó la seguridad </w:t>
      </w:r>
      <w:r w:rsidR="001C3785" w:rsidRPr="00A16D62">
        <w:rPr>
          <w:rFonts w:ascii="Cambria" w:eastAsia="Times New Roman" w:hAnsi="Cambria"/>
          <w:bCs/>
          <w:sz w:val="20"/>
          <w:szCs w:val="20"/>
          <w:bdr w:val="none" w:sz="0" w:space="0" w:color="auto"/>
          <w:lang w:val="es-ES"/>
        </w:rPr>
        <w:t xml:space="preserve">social </w:t>
      </w:r>
      <w:r w:rsidR="00E25038" w:rsidRPr="00A16D62">
        <w:rPr>
          <w:rFonts w:ascii="Cambria" w:eastAsia="Times New Roman" w:hAnsi="Cambria"/>
          <w:bCs/>
          <w:sz w:val="20"/>
          <w:szCs w:val="20"/>
          <w:bdr w:val="none" w:sz="0" w:space="0" w:color="auto"/>
          <w:lang w:val="es-ES"/>
        </w:rPr>
        <w:t xml:space="preserve">como un </w:t>
      </w:r>
      <w:r w:rsidR="00E25038" w:rsidRPr="00A16D62">
        <w:rPr>
          <w:rFonts w:ascii="Cambria" w:eastAsia="Times New Roman" w:hAnsi="Cambria"/>
          <w:bCs/>
          <w:sz w:val="20"/>
          <w:szCs w:val="20"/>
          <w:bdr w:val="none" w:sz="0" w:space="0" w:color="auto"/>
          <w:lang w:val="es-ES"/>
        </w:rPr>
        <w:lastRenderedPageBreak/>
        <w:t>derecho que poseen todos los</w:t>
      </w:r>
      <w:r w:rsidR="00C079D8"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trabajadores</w:t>
      </w:r>
      <w:r w:rsidR="00E25038" w:rsidRPr="00A16D62">
        <w:rPr>
          <w:rFonts w:ascii="Cambria" w:eastAsia="Times New Roman" w:hAnsi="Cambria"/>
          <w:bCs/>
          <w:sz w:val="20"/>
          <w:szCs w:val="20"/>
          <w:bdr w:val="none" w:sz="0" w:space="0" w:color="auto"/>
          <w:lang w:val="es-ES"/>
        </w:rPr>
        <w:t xml:space="preserve">, independientemente de su situación migratoria, que reviste una </w:t>
      </w:r>
      <w:r w:rsidR="001C3785" w:rsidRPr="00A16D62">
        <w:rPr>
          <w:rFonts w:ascii="Cambria" w:eastAsia="Times New Roman" w:hAnsi="Cambria"/>
          <w:bCs/>
          <w:sz w:val="20"/>
          <w:szCs w:val="20"/>
          <w:bdr w:val="none" w:sz="0" w:space="0" w:color="auto"/>
          <w:lang w:val="es-ES"/>
        </w:rPr>
        <w:t>“</w:t>
      </w:r>
      <w:r w:rsidR="00E25038" w:rsidRPr="00A16D62">
        <w:rPr>
          <w:rFonts w:ascii="Cambria" w:eastAsia="Times New Roman" w:hAnsi="Cambria"/>
          <w:bCs/>
          <w:sz w:val="20"/>
          <w:szCs w:val="20"/>
          <w:bdr w:val="none" w:sz="0" w:space="0" w:color="auto"/>
          <w:lang w:val="es-ES"/>
        </w:rPr>
        <w:t xml:space="preserve">importancia </w:t>
      </w:r>
      <w:r w:rsidR="00C079D8" w:rsidRPr="00A16D62">
        <w:rPr>
          <w:rFonts w:ascii="Cambria" w:eastAsia="Times New Roman" w:hAnsi="Cambria"/>
          <w:bCs/>
          <w:sz w:val="20"/>
          <w:szCs w:val="20"/>
          <w:bdr w:val="none" w:sz="0" w:space="0" w:color="auto"/>
          <w:lang w:val="es-ES"/>
        </w:rPr>
        <w:t xml:space="preserve">fundamental </w:t>
      </w:r>
      <w:r w:rsidR="001C3785" w:rsidRPr="00A16D62">
        <w:rPr>
          <w:rFonts w:ascii="Cambria" w:eastAsia="Times New Roman" w:hAnsi="Cambria"/>
          <w:bCs/>
          <w:sz w:val="20"/>
          <w:szCs w:val="20"/>
          <w:bdr w:val="none" w:sz="0" w:space="0" w:color="auto"/>
          <w:lang w:val="es-ES"/>
        </w:rPr>
        <w:t>[</w:t>
      </w:r>
      <w:r w:rsidR="00E25038" w:rsidRPr="00A16D62">
        <w:rPr>
          <w:rFonts w:ascii="Cambria" w:eastAsia="Times New Roman" w:hAnsi="Cambria"/>
          <w:bCs/>
          <w:sz w:val="20"/>
          <w:szCs w:val="20"/>
          <w:bdr w:val="none" w:sz="0" w:space="0" w:color="auto"/>
          <w:lang w:val="es-ES"/>
        </w:rPr>
        <w:t>...</w:t>
      </w:r>
      <w:r w:rsidR="001C3785" w:rsidRPr="00A16D62">
        <w:rPr>
          <w:rFonts w:ascii="Cambria" w:eastAsia="Times New Roman" w:hAnsi="Cambria"/>
          <w:bCs/>
          <w:sz w:val="20"/>
          <w:szCs w:val="20"/>
          <w:bdr w:val="none" w:sz="0" w:space="0" w:color="auto"/>
          <w:lang w:val="es-ES"/>
        </w:rPr>
        <w:t xml:space="preserve">] </w:t>
      </w:r>
      <w:r w:rsidR="00E25038" w:rsidRPr="00A16D62">
        <w:rPr>
          <w:rFonts w:ascii="Cambria" w:eastAsia="Times New Roman" w:hAnsi="Cambria"/>
          <w:bCs/>
          <w:sz w:val="20"/>
          <w:szCs w:val="20"/>
          <w:bdr w:val="none" w:sz="0" w:space="0" w:color="auto"/>
          <w:lang w:val="es-ES"/>
        </w:rPr>
        <w:t>pero se lo infringe con frecuencia</w:t>
      </w:r>
      <w:r w:rsidR="001C3785" w:rsidRPr="00A16D62">
        <w:rPr>
          <w:rFonts w:ascii="Cambria" w:eastAsia="Times New Roman" w:hAnsi="Cambria"/>
          <w:bCs/>
          <w:sz w:val="20"/>
          <w:szCs w:val="20"/>
          <w:bdr w:val="none" w:sz="0" w:space="0" w:color="auto"/>
          <w:lang w:val="es-ES"/>
        </w:rPr>
        <w:t>”</w:t>
      </w:r>
      <w:r w:rsidR="001C3785" w:rsidRPr="00A16D62">
        <w:rPr>
          <w:rStyle w:val="FootnoteReference"/>
          <w:rFonts w:ascii="Cambria" w:eastAsia="Times New Roman" w:hAnsi="Cambria"/>
          <w:bCs/>
          <w:sz w:val="20"/>
          <w:szCs w:val="20"/>
          <w:bdr w:val="none" w:sz="0" w:space="0" w:color="auto"/>
          <w:lang w:val="es-ES"/>
        </w:rPr>
        <w:footnoteReference w:id="140"/>
      </w:r>
      <w:r w:rsidR="00E25038" w:rsidRPr="00A16D62">
        <w:rPr>
          <w:rFonts w:ascii="Cambria" w:eastAsia="Times New Roman" w:hAnsi="Cambria"/>
          <w:bCs/>
          <w:sz w:val="20"/>
          <w:szCs w:val="20"/>
          <w:bdr w:val="none" w:sz="0" w:space="0" w:color="auto"/>
          <w:lang w:val="es-ES"/>
        </w:rPr>
        <w:t>.</w:t>
      </w:r>
      <w:r w:rsidR="001C3785"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17605C" w:rsidRPr="00A16D62">
        <w:rPr>
          <w:rFonts w:ascii="Cambria" w:eastAsia="Times New Roman" w:hAnsi="Cambria"/>
          <w:bCs/>
          <w:sz w:val="20"/>
          <w:szCs w:val="20"/>
          <w:bdr w:val="none" w:sz="0" w:space="0" w:color="auto"/>
          <w:lang w:val="es-ES"/>
        </w:rPr>
        <w:t xml:space="preserve"> </w:t>
      </w:r>
      <w:r w:rsidR="00E25038" w:rsidRPr="00A16D62">
        <w:rPr>
          <w:rFonts w:ascii="Cambria" w:eastAsia="Times New Roman" w:hAnsi="Cambria"/>
          <w:bCs/>
          <w:sz w:val="20"/>
          <w:szCs w:val="20"/>
          <w:bdr w:val="none" w:sz="0" w:space="0" w:color="auto"/>
          <w:lang w:val="es-ES"/>
        </w:rPr>
        <w:t xml:space="preserve">considera ilustrativa la opinión del juez </w:t>
      </w:r>
      <w:r w:rsidR="00E87702" w:rsidRPr="00A16D62">
        <w:rPr>
          <w:rFonts w:ascii="Cambria" w:hAnsi="Cambria"/>
          <w:sz w:val="20"/>
          <w:szCs w:val="22"/>
          <w:lang w:val="es-ES"/>
        </w:rPr>
        <w:t>Sergio García Ramírez</w:t>
      </w:r>
      <w:r w:rsidR="00E87702" w:rsidRPr="00A16D62">
        <w:rPr>
          <w:rFonts w:asciiTheme="majorHAnsi" w:hAnsiTheme="majorHAnsi"/>
          <w:sz w:val="20"/>
          <w:szCs w:val="22"/>
          <w:lang w:val="es-ES"/>
        </w:rPr>
        <w:t xml:space="preserve"> </w:t>
      </w:r>
      <w:r w:rsidR="00E25038" w:rsidRPr="00A16D62">
        <w:rPr>
          <w:rFonts w:asciiTheme="majorHAnsi" w:hAnsiTheme="majorHAnsi"/>
          <w:sz w:val="20"/>
          <w:szCs w:val="22"/>
          <w:lang w:val="es-ES"/>
        </w:rPr>
        <w:t>en su voto conc</w:t>
      </w:r>
      <w:r w:rsidR="00B97C51" w:rsidRPr="00A16D62">
        <w:rPr>
          <w:rFonts w:asciiTheme="majorHAnsi" w:hAnsiTheme="majorHAnsi"/>
          <w:sz w:val="20"/>
          <w:szCs w:val="22"/>
          <w:lang w:val="es-ES"/>
        </w:rPr>
        <w:t>urrente</w:t>
      </w:r>
      <w:r w:rsidR="0017605C" w:rsidRPr="00A16D62">
        <w:rPr>
          <w:rFonts w:ascii="Cambria" w:eastAsia="Times New Roman" w:hAnsi="Cambria"/>
          <w:bCs/>
          <w:sz w:val="20"/>
          <w:szCs w:val="20"/>
          <w:bdr w:val="none" w:sz="0" w:space="0" w:color="auto"/>
          <w:lang w:val="es-ES"/>
        </w:rPr>
        <w:t>,</w:t>
      </w:r>
      <w:r w:rsidR="00DD336D" w:rsidRPr="00A16D62">
        <w:rPr>
          <w:rFonts w:ascii="Cambria" w:eastAsia="Times New Roman" w:hAnsi="Cambria"/>
          <w:bCs/>
          <w:sz w:val="20"/>
          <w:szCs w:val="20"/>
          <w:bdr w:val="none" w:sz="0" w:space="0" w:color="auto"/>
          <w:lang w:val="es-ES"/>
        </w:rPr>
        <w:t xml:space="preserve"> </w:t>
      </w:r>
      <w:r w:rsidR="00E25038" w:rsidRPr="00A16D62">
        <w:rPr>
          <w:rFonts w:ascii="Cambria" w:eastAsia="Times New Roman" w:hAnsi="Cambria"/>
          <w:bCs/>
          <w:sz w:val="20"/>
          <w:szCs w:val="20"/>
          <w:bdr w:val="none" w:sz="0" w:space="0" w:color="auto"/>
          <w:lang w:val="es-ES"/>
        </w:rPr>
        <w:t xml:space="preserve">en </w:t>
      </w:r>
      <w:r w:rsidR="005F6D4C">
        <w:rPr>
          <w:rFonts w:ascii="Cambria" w:eastAsia="Times New Roman" w:hAnsi="Cambria"/>
          <w:bCs/>
          <w:sz w:val="20"/>
          <w:szCs w:val="20"/>
          <w:bdr w:val="none" w:sz="0" w:space="0" w:color="auto"/>
          <w:lang w:val="es-ES"/>
        </w:rPr>
        <w:t>el</w:t>
      </w:r>
      <w:r w:rsidR="00E25038" w:rsidRPr="00A16D62">
        <w:rPr>
          <w:rFonts w:ascii="Cambria" w:eastAsia="Times New Roman" w:hAnsi="Cambria"/>
          <w:bCs/>
          <w:sz w:val="20"/>
          <w:szCs w:val="20"/>
          <w:bdr w:val="none" w:sz="0" w:space="0" w:color="auto"/>
          <w:lang w:val="es-ES"/>
        </w:rPr>
        <w:t xml:space="preserve"> cual menciona la seguridad </w:t>
      </w:r>
      <w:r w:rsidR="0017605C" w:rsidRPr="00A16D62">
        <w:rPr>
          <w:rFonts w:ascii="Cambria" w:eastAsia="Times New Roman" w:hAnsi="Cambria"/>
          <w:bCs/>
          <w:sz w:val="20"/>
          <w:szCs w:val="20"/>
          <w:bdr w:val="none" w:sz="0" w:space="0" w:color="auto"/>
          <w:lang w:val="es-ES"/>
        </w:rPr>
        <w:t xml:space="preserve">social </w:t>
      </w:r>
      <w:r w:rsidR="00E25038" w:rsidRPr="00A16D62">
        <w:rPr>
          <w:rFonts w:ascii="Cambria" w:eastAsia="Times New Roman" w:hAnsi="Cambria"/>
          <w:bCs/>
          <w:sz w:val="20"/>
          <w:szCs w:val="20"/>
          <w:bdr w:val="none" w:sz="0" w:space="0" w:color="auto"/>
          <w:lang w:val="es-ES"/>
        </w:rPr>
        <w:t xml:space="preserve">como derecho </w:t>
      </w:r>
      <w:r w:rsidR="0017605C" w:rsidRPr="00A16D62">
        <w:rPr>
          <w:rFonts w:ascii="Cambria" w:eastAsia="Times New Roman" w:hAnsi="Cambria"/>
          <w:bCs/>
          <w:sz w:val="20"/>
          <w:szCs w:val="20"/>
          <w:bdr w:val="none" w:sz="0" w:space="0" w:color="auto"/>
          <w:lang w:val="es-ES"/>
        </w:rPr>
        <w:t>“particular</w:t>
      </w:r>
      <w:r w:rsidR="00E25038" w:rsidRPr="00A16D62">
        <w:rPr>
          <w:rFonts w:ascii="Cambria" w:eastAsia="Times New Roman" w:hAnsi="Cambria"/>
          <w:bCs/>
          <w:sz w:val="20"/>
          <w:szCs w:val="20"/>
          <w:bdr w:val="none" w:sz="0" w:space="0" w:color="auto"/>
          <w:lang w:val="es-ES"/>
        </w:rPr>
        <w:t xml:space="preserve">mente </w:t>
      </w:r>
      <w:r w:rsidR="0017605C" w:rsidRPr="00A16D62">
        <w:rPr>
          <w:rFonts w:ascii="Cambria" w:eastAsia="Times New Roman" w:hAnsi="Cambria"/>
          <w:bCs/>
          <w:sz w:val="20"/>
          <w:szCs w:val="20"/>
          <w:bdr w:val="none" w:sz="0" w:space="0" w:color="auto"/>
          <w:lang w:val="es-ES"/>
        </w:rPr>
        <w:t>important</w:t>
      </w:r>
      <w:r w:rsidR="00E25038" w:rsidRPr="00A16D62">
        <w:rPr>
          <w:rFonts w:ascii="Cambria" w:eastAsia="Times New Roman" w:hAnsi="Cambria"/>
          <w:bCs/>
          <w:sz w:val="20"/>
          <w:szCs w:val="20"/>
          <w:bdr w:val="none" w:sz="0" w:space="0" w:color="auto"/>
          <w:lang w:val="es-ES"/>
        </w:rPr>
        <w:t>e</w:t>
      </w:r>
      <w:r w:rsidR="0017605C" w:rsidRPr="00A16D62">
        <w:rPr>
          <w:rFonts w:ascii="Cambria" w:eastAsia="Times New Roman" w:hAnsi="Cambria"/>
          <w:bCs/>
          <w:sz w:val="20"/>
          <w:szCs w:val="20"/>
          <w:bdr w:val="none" w:sz="0" w:space="0" w:color="auto"/>
          <w:lang w:val="es-ES"/>
        </w:rPr>
        <w:t>”</w:t>
      </w:r>
      <w:r w:rsidR="00E25038" w:rsidRPr="00A16D62">
        <w:rPr>
          <w:rFonts w:ascii="Cambria" w:eastAsia="Times New Roman" w:hAnsi="Cambria"/>
          <w:bCs/>
          <w:sz w:val="20"/>
          <w:szCs w:val="20"/>
          <w:bdr w:val="none" w:sz="0" w:space="0" w:color="auto"/>
          <w:lang w:val="es-ES"/>
        </w:rPr>
        <w:t xml:space="preserve"> que ayuda a determinar el </w:t>
      </w:r>
      <w:r w:rsidR="00E87702" w:rsidRPr="00A16D62">
        <w:rPr>
          <w:rFonts w:ascii="Cambria" w:eastAsia="Times New Roman" w:hAnsi="Cambria"/>
          <w:bCs/>
          <w:sz w:val="20"/>
          <w:szCs w:val="20"/>
          <w:bdr w:val="none" w:sz="0" w:space="0" w:color="auto"/>
          <w:lang w:val="es-ES"/>
        </w:rPr>
        <w:t>“</w:t>
      </w:r>
      <w:r w:rsidR="00E25038" w:rsidRPr="00A16D62">
        <w:rPr>
          <w:rFonts w:ascii="Cambria" w:eastAsia="Times New Roman" w:hAnsi="Cambria"/>
          <w:bCs/>
          <w:sz w:val="20"/>
          <w:szCs w:val="20"/>
          <w:bdr w:val="none" w:sz="0" w:space="0" w:color="auto"/>
          <w:lang w:val="es-ES"/>
        </w:rPr>
        <w:t xml:space="preserve">marco </w:t>
      </w:r>
      <w:r w:rsidR="00E87702" w:rsidRPr="00A16D62">
        <w:rPr>
          <w:rFonts w:ascii="Cambria" w:eastAsia="Times New Roman" w:hAnsi="Cambria"/>
          <w:bCs/>
          <w:sz w:val="20"/>
          <w:szCs w:val="20"/>
          <w:bdr w:val="none" w:sz="0" w:space="0" w:color="auto"/>
          <w:lang w:val="es-ES"/>
        </w:rPr>
        <w:t xml:space="preserve">general </w:t>
      </w:r>
      <w:r w:rsidR="00E25038" w:rsidRPr="00A16D62">
        <w:rPr>
          <w:rFonts w:ascii="Cambria" w:eastAsia="Times New Roman" w:hAnsi="Cambria"/>
          <w:bCs/>
          <w:sz w:val="20"/>
          <w:szCs w:val="20"/>
          <w:bdr w:val="none" w:sz="0" w:space="0" w:color="auto"/>
          <w:lang w:val="es-ES"/>
        </w:rPr>
        <w:t>para la prestación de servicios y la protección y el bienestar de aquellos que los proporcionan</w:t>
      </w:r>
      <w:r w:rsidR="00E87702" w:rsidRPr="00A16D62">
        <w:rPr>
          <w:rFonts w:ascii="Cambria" w:eastAsia="Times New Roman" w:hAnsi="Cambria"/>
          <w:bCs/>
          <w:sz w:val="20"/>
          <w:szCs w:val="20"/>
          <w:bdr w:val="none" w:sz="0" w:space="0" w:color="auto"/>
          <w:lang w:val="es-ES"/>
        </w:rPr>
        <w:t>”</w:t>
      </w:r>
      <w:r w:rsidR="00E87702" w:rsidRPr="00A16D62">
        <w:rPr>
          <w:rStyle w:val="FootnoteReference"/>
          <w:rFonts w:ascii="Cambria" w:eastAsia="Times New Roman" w:hAnsi="Cambria"/>
          <w:bCs/>
          <w:sz w:val="20"/>
          <w:szCs w:val="20"/>
          <w:bdr w:val="none" w:sz="0" w:space="0" w:color="auto"/>
          <w:lang w:val="es-ES"/>
        </w:rPr>
        <w:footnoteReference w:id="141"/>
      </w:r>
      <w:r w:rsidR="00E25038" w:rsidRPr="00A16D62">
        <w:rPr>
          <w:rFonts w:ascii="Cambria" w:eastAsia="Times New Roman" w:hAnsi="Cambria"/>
          <w:bCs/>
          <w:sz w:val="20"/>
          <w:szCs w:val="20"/>
          <w:bdr w:val="none" w:sz="0" w:space="0" w:color="auto"/>
          <w:lang w:val="es-ES"/>
        </w:rPr>
        <w:t>.</w:t>
      </w:r>
    </w:p>
    <w:p w:rsidR="001C3785" w:rsidRPr="00A16D62" w:rsidRDefault="001C3785" w:rsidP="00923948">
      <w:pPr>
        <w:rPr>
          <w:rFonts w:eastAsia="Times New Roman"/>
          <w:bCs/>
          <w:sz w:val="20"/>
          <w:szCs w:val="20"/>
          <w:bdr w:val="none" w:sz="0" w:space="0" w:color="auto"/>
          <w:lang w:val="es-ES"/>
        </w:rPr>
      </w:pPr>
    </w:p>
    <w:p w:rsidR="00923948" w:rsidRPr="00A16D62" w:rsidRDefault="00D736DC" w:rsidP="0092394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Los d</w:t>
      </w:r>
      <w:r w:rsidR="00593BF9" w:rsidRPr="00A16D62">
        <w:rPr>
          <w:rFonts w:ascii="Cambria" w:eastAsia="Times New Roman" w:hAnsi="Cambria"/>
          <w:bCs/>
          <w:sz w:val="20"/>
          <w:szCs w:val="20"/>
          <w:bdr w:val="none" w:sz="0" w:space="0" w:color="auto"/>
          <w:lang w:val="es-ES"/>
        </w:rPr>
        <w:t>erechos laborales</w:t>
      </w:r>
      <w:r w:rsidR="009D752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son también </w:t>
      </w:r>
      <w:r w:rsidR="006F4DC1" w:rsidRPr="00A16D62">
        <w:rPr>
          <w:rFonts w:ascii="Cambria" w:eastAsia="Times New Roman" w:hAnsi="Cambria"/>
          <w:bCs/>
          <w:sz w:val="20"/>
          <w:szCs w:val="20"/>
          <w:bdr w:val="none" w:sz="0" w:space="0" w:color="auto"/>
          <w:lang w:val="es-ES"/>
        </w:rPr>
        <w:t>derechos humanos</w:t>
      </w:r>
      <w:r w:rsidR="009D7528" w:rsidRPr="00A16D62">
        <w:rPr>
          <w:rStyle w:val="FootnoteReference"/>
          <w:rFonts w:ascii="Cambria" w:eastAsia="Times New Roman" w:hAnsi="Cambria"/>
          <w:bCs/>
          <w:sz w:val="20"/>
          <w:szCs w:val="20"/>
          <w:bdr w:val="none" w:sz="0" w:space="0" w:color="auto"/>
          <w:lang w:val="es-ES"/>
        </w:rPr>
        <w:footnoteReference w:id="142"/>
      </w:r>
      <w:r w:rsidRPr="00A16D62">
        <w:rPr>
          <w:rFonts w:ascii="Cambria" w:eastAsia="Times New Roman" w:hAnsi="Cambria"/>
          <w:bCs/>
          <w:sz w:val="20"/>
          <w:szCs w:val="20"/>
          <w:bdr w:val="none" w:sz="0" w:space="0" w:color="auto"/>
          <w:lang w:val="es-ES"/>
        </w:rPr>
        <w:t>.</w:t>
      </w:r>
      <w:r w:rsidR="009D7528"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92394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observa que el </w:t>
      </w:r>
      <w:r w:rsidR="007E4498" w:rsidRPr="00A16D62">
        <w:rPr>
          <w:rFonts w:ascii="Cambria" w:eastAsia="Times New Roman" w:hAnsi="Cambria"/>
          <w:bCs/>
          <w:sz w:val="20"/>
          <w:szCs w:val="20"/>
          <w:bdr w:val="none" w:sz="0" w:space="0" w:color="auto"/>
          <w:lang w:val="es-ES"/>
        </w:rPr>
        <w:t>derecho a la seguridad social</w:t>
      </w:r>
      <w:r w:rsidR="0092394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entre otros</w:t>
      </w:r>
      <w:r w:rsidR="0092394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w:t>
      </w:r>
      <w:r w:rsidR="00923948" w:rsidRPr="00A16D62">
        <w:rPr>
          <w:rFonts w:ascii="Cambria" w:eastAsia="Times New Roman" w:hAnsi="Cambria"/>
          <w:bCs/>
          <w:sz w:val="20"/>
          <w:szCs w:val="20"/>
          <w:bdr w:val="none" w:sz="0" w:space="0" w:color="auto"/>
          <w:lang w:val="es-ES"/>
        </w:rPr>
        <w:t xml:space="preserve">s similar </w:t>
      </w:r>
      <w:r w:rsidRPr="00A16D62">
        <w:rPr>
          <w:rFonts w:ascii="Cambria" w:eastAsia="Times New Roman" w:hAnsi="Cambria"/>
          <w:bCs/>
          <w:sz w:val="20"/>
          <w:szCs w:val="20"/>
          <w:bdr w:val="none" w:sz="0" w:space="0" w:color="auto"/>
          <w:lang w:val="es-ES"/>
        </w:rPr>
        <w:t xml:space="preserve">a lo dispuesto en otros </w:t>
      </w:r>
      <w:r w:rsidR="00712515" w:rsidRPr="00A16D62">
        <w:rPr>
          <w:rFonts w:ascii="Cambria" w:eastAsia="Times New Roman" w:hAnsi="Cambria"/>
          <w:bCs/>
          <w:sz w:val="20"/>
          <w:szCs w:val="20"/>
          <w:bdr w:val="none" w:sz="0" w:space="0" w:color="auto"/>
          <w:lang w:val="es-ES"/>
        </w:rPr>
        <w:t>instrumentos internacionales</w:t>
      </w:r>
      <w:r w:rsidR="0092394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w:t>
      </w:r>
      <w:r w:rsidR="00923948" w:rsidRPr="00A16D62">
        <w:rPr>
          <w:rFonts w:ascii="Cambria" w:eastAsia="Times New Roman" w:hAnsi="Cambria"/>
          <w:bCs/>
          <w:sz w:val="20"/>
          <w:szCs w:val="20"/>
          <w:bdr w:val="none" w:sz="0" w:space="0" w:color="auto"/>
          <w:lang w:val="es-ES"/>
        </w:rPr>
        <w:t xml:space="preserve">n </w:t>
      </w:r>
      <w:r w:rsidRPr="00A16D62">
        <w:rPr>
          <w:rFonts w:ascii="Cambria" w:eastAsia="Times New Roman" w:hAnsi="Cambria"/>
          <w:bCs/>
          <w:sz w:val="20"/>
          <w:szCs w:val="20"/>
          <w:bdr w:val="none" w:sz="0" w:space="0" w:color="auto"/>
          <w:lang w:val="es-ES"/>
        </w:rPr>
        <w:t>este sentido. Por ejemplo,</w:t>
      </w:r>
      <w:r w:rsidR="00923948" w:rsidRPr="00A16D62">
        <w:rPr>
          <w:rFonts w:ascii="Cambria" w:eastAsia="Times New Roman" w:hAnsi="Cambria"/>
          <w:bCs/>
          <w:sz w:val="20"/>
          <w:szCs w:val="20"/>
          <w:bdr w:val="none" w:sz="0" w:space="0" w:color="auto"/>
          <w:lang w:val="es-ES"/>
        </w:rPr>
        <w:t xml:space="preserve"> </w:t>
      </w:r>
      <w:r w:rsidR="007E4498" w:rsidRPr="00A16D62">
        <w:rPr>
          <w:rFonts w:ascii="Cambria" w:eastAsia="Times New Roman" w:hAnsi="Cambria"/>
          <w:bCs/>
          <w:sz w:val="20"/>
          <w:szCs w:val="20"/>
          <w:bdr w:val="none" w:sz="0" w:space="0" w:color="auto"/>
          <w:lang w:val="es-ES"/>
        </w:rPr>
        <w:t>Estados Unidos</w:t>
      </w:r>
      <w:r w:rsidR="0092394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es miembro de la Organización Internacional del Trabajo (OIT), organismo especializado de las Naciones Unidas</w:t>
      </w:r>
      <w:r w:rsidR="00923948" w:rsidRPr="00A16D62">
        <w:rPr>
          <w:rStyle w:val="FootnoteReference"/>
          <w:rFonts w:ascii="Cambria" w:eastAsia="Times New Roman" w:hAnsi="Cambria"/>
          <w:bCs/>
          <w:sz w:val="20"/>
          <w:szCs w:val="20"/>
          <w:bdr w:val="none" w:sz="0" w:space="0" w:color="auto"/>
          <w:lang w:val="es-ES"/>
        </w:rPr>
        <w:footnoteReference w:id="143"/>
      </w:r>
      <w:r w:rsidRPr="00A16D62">
        <w:rPr>
          <w:rFonts w:ascii="Cambria" w:eastAsia="Times New Roman" w:hAnsi="Cambria"/>
          <w:bCs/>
          <w:sz w:val="20"/>
          <w:szCs w:val="20"/>
          <w:bdr w:val="none" w:sz="0" w:space="0" w:color="auto"/>
          <w:lang w:val="es-ES"/>
        </w:rPr>
        <w:t>.</w:t>
      </w:r>
      <w:r w:rsidR="00923948" w:rsidRPr="00A16D62">
        <w:rPr>
          <w:rFonts w:ascii="Cambria" w:eastAsia="Times New Roman" w:hAnsi="Cambria"/>
          <w:bCs/>
          <w:sz w:val="20"/>
          <w:szCs w:val="20"/>
          <w:bdr w:val="none" w:sz="0" w:space="0" w:color="auto"/>
          <w:lang w:val="es-ES"/>
        </w:rPr>
        <w:t xml:space="preserve"> </w:t>
      </w:r>
    </w:p>
    <w:p w:rsidR="00923948" w:rsidRPr="00A16D62" w:rsidRDefault="00923948" w:rsidP="00923948">
      <w:pPr>
        <w:pStyle w:val="ListParagraph"/>
        <w:rPr>
          <w:rFonts w:eastAsia="Times New Roman"/>
          <w:bCs/>
          <w:sz w:val="20"/>
          <w:szCs w:val="20"/>
          <w:bdr w:val="none" w:sz="0" w:space="0" w:color="auto"/>
          <w:lang w:val="es-ES"/>
        </w:rPr>
      </w:pPr>
    </w:p>
    <w:p w:rsidR="00923948" w:rsidRPr="00A16D62" w:rsidRDefault="00404D9C" w:rsidP="00E6253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En su </w:t>
      </w:r>
      <w:r w:rsidR="00923948" w:rsidRPr="00A16D62">
        <w:rPr>
          <w:rFonts w:ascii="Cambria" w:eastAsia="Times New Roman" w:hAnsi="Cambria"/>
          <w:bCs/>
          <w:i/>
          <w:sz w:val="20"/>
          <w:szCs w:val="20"/>
          <w:bdr w:val="none" w:sz="0" w:space="0" w:color="auto"/>
          <w:lang w:val="es-ES"/>
        </w:rPr>
        <w:t>Note on the Dignity and Rights of Migrant Workers in an Irregular Situation</w:t>
      </w:r>
      <w:r w:rsidR="00960654" w:rsidRPr="00A16D62">
        <w:rPr>
          <w:rFonts w:ascii="Cambria" w:eastAsia="Times New Roman" w:hAnsi="Cambria"/>
          <w:bCs/>
          <w:sz w:val="20"/>
          <w:szCs w:val="20"/>
          <w:bdr w:val="none" w:sz="0" w:space="0" w:color="auto"/>
          <w:lang w:val="es-ES"/>
        </w:rPr>
        <w:t xml:space="preserve"> [Nota sobre la dignidad y los derechos de los trabajadores migrantes en situación irregular]</w:t>
      </w:r>
      <w:r w:rsidR="00923948" w:rsidRPr="00A16D62">
        <w:rPr>
          <w:rFonts w:ascii="Cambria" w:eastAsia="Times New Roman" w:hAnsi="Cambria"/>
          <w:bCs/>
          <w:sz w:val="20"/>
          <w:szCs w:val="20"/>
          <w:bdr w:val="none" w:sz="0" w:space="0" w:color="auto"/>
          <w:lang w:val="es-ES"/>
        </w:rPr>
        <w:t xml:space="preserve">, </w:t>
      </w:r>
      <w:r w:rsidR="00960654" w:rsidRPr="00A16D62">
        <w:rPr>
          <w:rFonts w:ascii="Cambria" w:eastAsia="Times New Roman" w:hAnsi="Cambria"/>
          <w:bCs/>
          <w:sz w:val="20"/>
          <w:szCs w:val="20"/>
          <w:bdr w:val="none" w:sz="0" w:space="0" w:color="auto"/>
          <w:lang w:val="es-ES"/>
        </w:rPr>
        <w:t xml:space="preserve">la OIT ha aclarado que </w:t>
      </w:r>
      <w:r w:rsidR="00923948" w:rsidRPr="00A16D62">
        <w:rPr>
          <w:rFonts w:ascii="Cambria" w:eastAsia="Times New Roman" w:hAnsi="Cambria"/>
          <w:bCs/>
          <w:sz w:val="20"/>
          <w:szCs w:val="20"/>
          <w:bdr w:val="none" w:sz="0" w:space="0" w:color="auto"/>
          <w:lang w:val="es-ES"/>
        </w:rPr>
        <w:t>“</w:t>
      </w:r>
      <w:r w:rsidR="00960654" w:rsidRPr="00A16D62">
        <w:rPr>
          <w:rFonts w:ascii="Cambria" w:eastAsia="Times New Roman" w:hAnsi="Cambria"/>
          <w:bCs/>
          <w:sz w:val="20"/>
          <w:szCs w:val="20"/>
          <w:bdr w:val="none" w:sz="0" w:space="0" w:color="auto"/>
          <w:lang w:val="es-ES"/>
        </w:rPr>
        <w:t xml:space="preserve">salvo que se indique otra cosa, todas las normas internacionales del trabajo abarcan a todos los </w:t>
      </w:r>
      <w:r w:rsidR="007B4310" w:rsidRPr="00A16D62">
        <w:rPr>
          <w:rFonts w:ascii="Cambria" w:eastAsia="Times New Roman" w:hAnsi="Cambria"/>
          <w:bCs/>
          <w:sz w:val="20"/>
          <w:szCs w:val="20"/>
          <w:bdr w:val="none" w:sz="0" w:space="0" w:color="auto"/>
          <w:lang w:val="es-ES"/>
        </w:rPr>
        <w:t>trabajadores</w:t>
      </w:r>
      <w:r w:rsidR="00960654" w:rsidRPr="00A16D62">
        <w:rPr>
          <w:rFonts w:ascii="Cambria" w:eastAsia="Times New Roman" w:hAnsi="Cambria"/>
          <w:bCs/>
          <w:sz w:val="20"/>
          <w:szCs w:val="20"/>
          <w:bdr w:val="none" w:sz="0" w:space="0" w:color="auto"/>
          <w:lang w:val="es-ES"/>
        </w:rPr>
        <w:t xml:space="preserve">, independientemente de su nacionalidad o </w:t>
      </w:r>
      <w:r w:rsidR="00521A6A" w:rsidRPr="00A16D62">
        <w:rPr>
          <w:rFonts w:ascii="Cambria" w:eastAsia="Times New Roman" w:hAnsi="Cambria"/>
          <w:bCs/>
          <w:sz w:val="20"/>
          <w:szCs w:val="20"/>
          <w:bdr w:val="none" w:sz="0" w:space="0" w:color="auto"/>
          <w:lang w:val="es-ES"/>
        </w:rPr>
        <w:t>situación migratoria</w:t>
      </w:r>
      <w:r w:rsidR="00923948" w:rsidRPr="00A16D62">
        <w:rPr>
          <w:rFonts w:ascii="Cambria" w:eastAsia="Times New Roman" w:hAnsi="Cambria"/>
          <w:bCs/>
          <w:sz w:val="20"/>
          <w:szCs w:val="20"/>
          <w:bdr w:val="none" w:sz="0" w:space="0" w:color="auto"/>
          <w:lang w:val="es-ES"/>
        </w:rPr>
        <w:t>. La</w:t>
      </w:r>
      <w:r w:rsidR="007112BB" w:rsidRPr="00A16D62">
        <w:rPr>
          <w:rFonts w:ascii="Cambria" w:eastAsia="Times New Roman" w:hAnsi="Cambria"/>
          <w:bCs/>
          <w:sz w:val="20"/>
          <w:szCs w:val="20"/>
          <w:bdr w:val="none" w:sz="0" w:space="0" w:color="auto"/>
          <w:lang w:val="es-ES"/>
        </w:rPr>
        <w:t xml:space="preserve"> falta de protección </w:t>
      </w:r>
      <w:r w:rsidR="00923948" w:rsidRPr="00A16D62">
        <w:rPr>
          <w:rFonts w:ascii="Cambria" w:eastAsia="Times New Roman" w:hAnsi="Cambria"/>
          <w:bCs/>
          <w:sz w:val="20"/>
          <w:szCs w:val="20"/>
          <w:bdr w:val="none" w:sz="0" w:space="0" w:color="auto"/>
          <w:lang w:val="es-ES"/>
        </w:rPr>
        <w:t>labor</w:t>
      </w:r>
      <w:r w:rsidR="007112BB" w:rsidRPr="00A16D62">
        <w:rPr>
          <w:rFonts w:ascii="Cambria" w:eastAsia="Times New Roman" w:hAnsi="Cambria"/>
          <w:bCs/>
          <w:sz w:val="20"/>
          <w:szCs w:val="20"/>
          <w:bdr w:val="none" w:sz="0" w:space="0" w:color="auto"/>
          <w:lang w:val="es-ES"/>
        </w:rPr>
        <w:t xml:space="preserve">al de los </w:t>
      </w:r>
      <w:r w:rsidR="00FF4357" w:rsidRPr="00A16D62">
        <w:rPr>
          <w:rFonts w:ascii="Cambria" w:eastAsia="Times New Roman" w:hAnsi="Cambria"/>
          <w:bCs/>
          <w:sz w:val="20"/>
          <w:szCs w:val="20"/>
          <w:bdr w:val="none" w:sz="0" w:space="0" w:color="auto"/>
          <w:lang w:val="es-ES"/>
        </w:rPr>
        <w:t>trabajadores migrantes</w:t>
      </w:r>
      <w:r w:rsidR="00923948" w:rsidRPr="00A16D62">
        <w:rPr>
          <w:rFonts w:ascii="Cambria" w:eastAsia="Times New Roman" w:hAnsi="Cambria"/>
          <w:bCs/>
          <w:sz w:val="20"/>
          <w:szCs w:val="20"/>
          <w:bdr w:val="none" w:sz="0" w:space="0" w:color="auto"/>
          <w:lang w:val="es-ES"/>
        </w:rPr>
        <w:t xml:space="preserve"> </w:t>
      </w:r>
      <w:r w:rsidR="007112BB" w:rsidRPr="00A16D62">
        <w:rPr>
          <w:rFonts w:ascii="Cambria" w:eastAsia="Times New Roman" w:hAnsi="Cambria"/>
          <w:bCs/>
          <w:sz w:val="20"/>
          <w:szCs w:val="20"/>
          <w:bdr w:val="none" w:sz="0" w:space="0" w:color="auto"/>
          <w:lang w:val="es-ES"/>
        </w:rPr>
        <w:t>en situación irregular</w:t>
      </w:r>
      <w:r w:rsidR="00923948" w:rsidRPr="00A16D62">
        <w:rPr>
          <w:rFonts w:ascii="Cambria" w:eastAsia="Times New Roman" w:hAnsi="Cambria"/>
          <w:bCs/>
          <w:sz w:val="20"/>
          <w:szCs w:val="20"/>
          <w:bdr w:val="none" w:sz="0" w:space="0" w:color="auto"/>
          <w:lang w:val="es-ES"/>
        </w:rPr>
        <w:t xml:space="preserve"> </w:t>
      </w:r>
      <w:r w:rsidR="007112BB" w:rsidRPr="00A16D62">
        <w:rPr>
          <w:rFonts w:ascii="Cambria" w:eastAsia="Times New Roman" w:hAnsi="Cambria"/>
          <w:bCs/>
          <w:sz w:val="20"/>
          <w:szCs w:val="20"/>
          <w:bdr w:val="none" w:sz="0" w:space="0" w:color="auto"/>
          <w:lang w:val="es-ES"/>
        </w:rPr>
        <w:t xml:space="preserve">socava la protección en general para los </w:t>
      </w:r>
      <w:r w:rsidR="00FF4357" w:rsidRPr="00A16D62">
        <w:rPr>
          <w:rFonts w:ascii="Cambria" w:eastAsia="Times New Roman" w:hAnsi="Cambria"/>
          <w:bCs/>
          <w:sz w:val="20"/>
          <w:szCs w:val="20"/>
          <w:bdr w:val="none" w:sz="0" w:space="0" w:color="auto"/>
          <w:lang w:val="es-ES"/>
        </w:rPr>
        <w:t>trabajadores migrantes</w:t>
      </w:r>
      <w:r w:rsidR="007112BB" w:rsidRPr="00A16D62">
        <w:rPr>
          <w:rFonts w:ascii="Cambria" w:eastAsia="Times New Roman" w:hAnsi="Cambria"/>
          <w:bCs/>
          <w:sz w:val="20"/>
          <w:szCs w:val="20"/>
          <w:bdr w:val="none" w:sz="0" w:space="0" w:color="auto"/>
          <w:lang w:val="es-ES"/>
        </w:rPr>
        <w:t xml:space="preserve"> legalmente residentes y para los </w:t>
      </w:r>
      <w:r w:rsidR="007B4310" w:rsidRPr="00A16D62">
        <w:rPr>
          <w:rFonts w:ascii="Cambria" w:eastAsia="Times New Roman" w:hAnsi="Cambria"/>
          <w:bCs/>
          <w:sz w:val="20"/>
          <w:szCs w:val="20"/>
          <w:bdr w:val="none" w:sz="0" w:space="0" w:color="auto"/>
          <w:lang w:val="es-ES"/>
        </w:rPr>
        <w:t>trabajadores</w:t>
      </w:r>
      <w:r w:rsidR="007112BB" w:rsidRPr="00A16D62">
        <w:rPr>
          <w:rFonts w:ascii="Cambria" w:eastAsia="Times New Roman" w:hAnsi="Cambria"/>
          <w:bCs/>
          <w:sz w:val="20"/>
          <w:szCs w:val="20"/>
          <w:bdr w:val="none" w:sz="0" w:space="0" w:color="auto"/>
          <w:lang w:val="es-ES"/>
        </w:rPr>
        <w:t xml:space="preserve"> que son ciudadanos del país</w:t>
      </w:r>
      <w:r w:rsidR="00923948" w:rsidRPr="00A16D62">
        <w:rPr>
          <w:rFonts w:ascii="Cambria" w:eastAsia="Times New Roman" w:hAnsi="Cambria"/>
          <w:bCs/>
          <w:sz w:val="20"/>
          <w:szCs w:val="20"/>
          <w:bdr w:val="none" w:sz="0" w:space="0" w:color="auto"/>
          <w:lang w:val="es-ES"/>
        </w:rPr>
        <w:t>”</w:t>
      </w:r>
      <w:r w:rsidR="00923948" w:rsidRPr="00A16D62">
        <w:rPr>
          <w:rStyle w:val="FootnoteReference"/>
          <w:rFonts w:ascii="Cambria" w:eastAsia="Times New Roman" w:hAnsi="Cambria"/>
          <w:bCs/>
          <w:sz w:val="20"/>
          <w:szCs w:val="20"/>
          <w:bdr w:val="none" w:sz="0" w:space="0" w:color="auto"/>
          <w:lang w:val="es-ES"/>
        </w:rPr>
        <w:footnoteReference w:id="144"/>
      </w:r>
      <w:r w:rsidR="007112BB" w:rsidRPr="00A16D62">
        <w:rPr>
          <w:rFonts w:ascii="Cambria" w:eastAsia="Times New Roman" w:hAnsi="Cambria"/>
          <w:bCs/>
          <w:sz w:val="20"/>
          <w:szCs w:val="20"/>
          <w:bdr w:val="none" w:sz="0" w:space="0" w:color="auto"/>
          <w:lang w:val="es-ES"/>
        </w:rPr>
        <w:t>.</w:t>
      </w:r>
      <w:r w:rsidR="00923948" w:rsidRPr="00A16D62">
        <w:rPr>
          <w:rFonts w:ascii="Cambria" w:eastAsia="Times New Roman" w:hAnsi="Cambria"/>
          <w:bCs/>
          <w:sz w:val="20"/>
          <w:szCs w:val="20"/>
          <w:bdr w:val="none" w:sz="0" w:space="0" w:color="auto"/>
          <w:lang w:val="es-ES"/>
        </w:rPr>
        <w:t xml:space="preserve"> </w:t>
      </w:r>
      <w:r w:rsidR="007112BB" w:rsidRPr="00A16D62">
        <w:rPr>
          <w:rFonts w:ascii="Cambria" w:eastAsia="Times New Roman" w:hAnsi="Cambria"/>
          <w:bCs/>
          <w:sz w:val="20"/>
          <w:szCs w:val="20"/>
          <w:bdr w:val="none" w:sz="0" w:space="0" w:color="auto"/>
          <w:lang w:val="es-ES"/>
        </w:rPr>
        <w:t xml:space="preserve">Asimismo, </w:t>
      </w:r>
      <w:r w:rsidR="007E4498" w:rsidRPr="00A16D62">
        <w:rPr>
          <w:rFonts w:ascii="Cambria" w:eastAsia="Times New Roman" w:hAnsi="Cambria"/>
          <w:bCs/>
          <w:sz w:val="20"/>
          <w:szCs w:val="20"/>
          <w:bdr w:val="none" w:sz="0" w:space="0" w:color="auto"/>
          <w:lang w:val="es-ES"/>
        </w:rPr>
        <w:t>Estados Unidos</w:t>
      </w:r>
      <w:r w:rsidR="00923948" w:rsidRPr="00A16D62">
        <w:rPr>
          <w:rFonts w:ascii="Cambria" w:eastAsia="Times New Roman" w:hAnsi="Cambria"/>
          <w:bCs/>
          <w:sz w:val="20"/>
          <w:szCs w:val="20"/>
          <w:bdr w:val="none" w:sz="0" w:space="0" w:color="auto"/>
          <w:lang w:val="es-ES"/>
        </w:rPr>
        <w:t xml:space="preserve">, </w:t>
      </w:r>
      <w:r w:rsidR="007112BB" w:rsidRPr="00A16D62">
        <w:rPr>
          <w:rFonts w:ascii="Cambria" w:eastAsia="Times New Roman" w:hAnsi="Cambria"/>
          <w:bCs/>
          <w:sz w:val="20"/>
          <w:szCs w:val="20"/>
          <w:bdr w:val="none" w:sz="0" w:space="0" w:color="auto"/>
          <w:lang w:val="es-ES"/>
        </w:rPr>
        <w:t xml:space="preserve">en calidad de miembro de la OIT, está obligado a </w:t>
      </w:r>
      <w:r w:rsidR="00923948" w:rsidRPr="00A16D62">
        <w:rPr>
          <w:rFonts w:ascii="Cambria" w:eastAsia="Times New Roman" w:hAnsi="Cambria"/>
          <w:bCs/>
          <w:sz w:val="20"/>
          <w:szCs w:val="20"/>
          <w:bdr w:val="none" w:sz="0" w:space="0" w:color="auto"/>
          <w:lang w:val="es-ES"/>
        </w:rPr>
        <w:t>“</w:t>
      </w:r>
      <w:r w:rsidR="007112BB" w:rsidRPr="00A16D62">
        <w:rPr>
          <w:rFonts w:ascii="Cambria" w:eastAsia="Times New Roman" w:hAnsi="Cambria"/>
          <w:bCs/>
          <w:sz w:val="20"/>
          <w:szCs w:val="20"/>
          <w:bdr w:val="none" w:sz="0" w:space="0" w:color="auto"/>
          <w:lang w:val="es-ES"/>
        </w:rPr>
        <w:t>respetar, promover y hacer realidad</w:t>
      </w:r>
      <w:r w:rsidR="00923948" w:rsidRPr="00A16D62">
        <w:rPr>
          <w:rFonts w:ascii="Cambria" w:eastAsia="Times New Roman" w:hAnsi="Cambria"/>
          <w:bCs/>
          <w:sz w:val="20"/>
          <w:szCs w:val="20"/>
          <w:bdr w:val="none" w:sz="0" w:space="0" w:color="auto"/>
          <w:lang w:val="es-ES"/>
        </w:rPr>
        <w:t xml:space="preserve">” </w:t>
      </w:r>
      <w:r w:rsidR="007112BB" w:rsidRPr="00A16D62">
        <w:rPr>
          <w:rFonts w:ascii="Cambria" w:eastAsia="Times New Roman" w:hAnsi="Cambria"/>
          <w:bCs/>
          <w:sz w:val="20"/>
          <w:szCs w:val="20"/>
          <w:bdr w:val="none" w:sz="0" w:space="0" w:color="auto"/>
          <w:lang w:val="es-ES"/>
        </w:rPr>
        <w:t xml:space="preserve">los </w:t>
      </w:r>
      <w:r w:rsidR="00E86DEF" w:rsidRPr="00A16D62">
        <w:rPr>
          <w:rFonts w:ascii="Cambria" w:eastAsia="Times New Roman" w:hAnsi="Cambria"/>
          <w:bCs/>
          <w:sz w:val="20"/>
          <w:szCs w:val="20"/>
          <w:bdr w:val="none" w:sz="0" w:space="0" w:color="auto"/>
          <w:lang w:val="es-ES"/>
        </w:rPr>
        <w:t>principios</w:t>
      </w:r>
      <w:r w:rsidR="00923948" w:rsidRPr="00A16D62">
        <w:rPr>
          <w:rFonts w:ascii="Cambria" w:eastAsia="Times New Roman" w:hAnsi="Cambria"/>
          <w:bCs/>
          <w:sz w:val="20"/>
          <w:szCs w:val="20"/>
          <w:bdr w:val="none" w:sz="0" w:space="0" w:color="auto"/>
          <w:lang w:val="es-ES"/>
        </w:rPr>
        <w:t xml:space="preserve"> </w:t>
      </w:r>
      <w:r w:rsidR="007112BB" w:rsidRPr="00A16D62">
        <w:rPr>
          <w:rFonts w:ascii="Cambria" w:eastAsia="Times New Roman" w:hAnsi="Cambria"/>
          <w:bCs/>
          <w:sz w:val="20"/>
          <w:szCs w:val="20"/>
          <w:bdr w:val="none" w:sz="0" w:space="0" w:color="auto"/>
          <w:lang w:val="es-ES"/>
        </w:rPr>
        <w:t>contenidos en la Declaración de la OIT relativa a los principios y derechos fundamentales en el trabajo</w:t>
      </w:r>
      <w:r w:rsidR="00923948" w:rsidRPr="00A16D62">
        <w:rPr>
          <w:rFonts w:ascii="Cambria" w:eastAsia="Times New Roman" w:hAnsi="Cambria"/>
          <w:bCs/>
          <w:sz w:val="20"/>
          <w:szCs w:val="20"/>
          <w:bdr w:val="none" w:sz="0" w:space="0" w:color="auto"/>
          <w:lang w:val="es-ES"/>
        </w:rPr>
        <w:t xml:space="preserve">, </w:t>
      </w:r>
      <w:r w:rsidR="007112BB" w:rsidRPr="00A16D62">
        <w:rPr>
          <w:rFonts w:ascii="Cambria" w:eastAsia="Times New Roman" w:hAnsi="Cambria"/>
          <w:bCs/>
          <w:sz w:val="20"/>
          <w:szCs w:val="20"/>
          <w:bdr w:val="none" w:sz="0" w:space="0" w:color="auto"/>
          <w:lang w:val="es-ES"/>
        </w:rPr>
        <w:t>que fue adoptada en 1</w:t>
      </w:r>
      <w:r w:rsidR="00923948" w:rsidRPr="00A16D62">
        <w:rPr>
          <w:rFonts w:ascii="Cambria" w:eastAsia="Times New Roman" w:hAnsi="Cambria"/>
          <w:bCs/>
          <w:sz w:val="20"/>
          <w:szCs w:val="20"/>
          <w:bdr w:val="none" w:sz="0" w:space="0" w:color="auto"/>
          <w:lang w:val="es-ES"/>
        </w:rPr>
        <w:t>998 (“</w:t>
      </w:r>
      <w:r w:rsidR="007112BB" w:rsidRPr="00A16D62">
        <w:rPr>
          <w:rFonts w:ascii="Cambria" w:eastAsia="Times New Roman" w:hAnsi="Cambria"/>
          <w:bCs/>
          <w:sz w:val="20"/>
          <w:szCs w:val="20"/>
          <w:bdr w:val="none" w:sz="0" w:space="0" w:color="auto"/>
          <w:lang w:val="es-ES"/>
        </w:rPr>
        <w:t xml:space="preserve">Declaración de la OIT de </w:t>
      </w:r>
      <w:r w:rsidR="00923948" w:rsidRPr="00A16D62">
        <w:rPr>
          <w:rFonts w:ascii="Cambria" w:eastAsia="Times New Roman" w:hAnsi="Cambria"/>
          <w:bCs/>
          <w:sz w:val="20"/>
          <w:szCs w:val="20"/>
          <w:bdr w:val="none" w:sz="0" w:space="0" w:color="auto"/>
          <w:lang w:val="es-ES"/>
        </w:rPr>
        <w:t>1998”)</w:t>
      </w:r>
      <w:r w:rsidR="00923948" w:rsidRPr="00A16D62">
        <w:rPr>
          <w:rStyle w:val="FootnoteReference"/>
          <w:rFonts w:ascii="Cambria" w:eastAsia="Times New Roman" w:hAnsi="Cambria"/>
          <w:bCs/>
          <w:sz w:val="20"/>
          <w:szCs w:val="20"/>
          <w:bdr w:val="none" w:sz="0" w:space="0" w:color="auto"/>
          <w:lang w:val="es-ES"/>
        </w:rPr>
        <w:footnoteReference w:id="145"/>
      </w:r>
      <w:r w:rsidR="007112BB" w:rsidRPr="00A16D62">
        <w:rPr>
          <w:rFonts w:ascii="Cambria" w:eastAsia="Times New Roman" w:hAnsi="Cambria"/>
          <w:bCs/>
          <w:sz w:val="20"/>
          <w:szCs w:val="20"/>
          <w:bdr w:val="none" w:sz="0" w:space="0" w:color="auto"/>
          <w:lang w:val="es-ES"/>
        </w:rPr>
        <w:t>. Uno de estos principios fundamentales</w:t>
      </w:r>
      <w:r w:rsidR="00E6253E" w:rsidRPr="00A16D62">
        <w:rPr>
          <w:rFonts w:ascii="Cambria" w:eastAsia="Times New Roman" w:hAnsi="Cambria"/>
          <w:bCs/>
          <w:sz w:val="20"/>
          <w:szCs w:val="20"/>
          <w:bdr w:val="none" w:sz="0" w:space="0" w:color="auto"/>
          <w:lang w:val="es-ES"/>
        </w:rPr>
        <w:t xml:space="preserve"> </w:t>
      </w:r>
      <w:r w:rsidR="007112BB" w:rsidRPr="00A16D62">
        <w:rPr>
          <w:rFonts w:ascii="Cambria" w:eastAsia="Times New Roman" w:hAnsi="Cambria"/>
          <w:bCs/>
          <w:sz w:val="20"/>
          <w:szCs w:val="20"/>
          <w:bdr w:val="none" w:sz="0" w:space="0" w:color="auto"/>
          <w:lang w:val="es-ES"/>
        </w:rPr>
        <w:t xml:space="preserve">es la eliminación de la </w:t>
      </w:r>
      <w:r w:rsidR="00B8732F" w:rsidRPr="00A16D62">
        <w:rPr>
          <w:rFonts w:ascii="Cambria" w:eastAsia="Times New Roman" w:hAnsi="Cambria"/>
          <w:bCs/>
          <w:sz w:val="20"/>
          <w:szCs w:val="20"/>
          <w:bdr w:val="none" w:sz="0" w:space="0" w:color="auto"/>
          <w:lang w:val="es-ES"/>
        </w:rPr>
        <w:t>discriminación</w:t>
      </w:r>
      <w:r w:rsidR="00E6253E" w:rsidRPr="00A16D62">
        <w:rPr>
          <w:rFonts w:ascii="Cambria" w:eastAsia="Times New Roman" w:hAnsi="Cambria"/>
          <w:bCs/>
          <w:sz w:val="20"/>
          <w:szCs w:val="20"/>
          <w:bdr w:val="none" w:sz="0" w:space="0" w:color="auto"/>
          <w:lang w:val="es-ES"/>
        </w:rPr>
        <w:t xml:space="preserve"> </w:t>
      </w:r>
      <w:r w:rsidR="007112BB" w:rsidRPr="00A16D62">
        <w:rPr>
          <w:rFonts w:ascii="Cambria" w:eastAsia="Times New Roman" w:hAnsi="Cambria"/>
          <w:bCs/>
          <w:sz w:val="20"/>
          <w:szCs w:val="20"/>
          <w:bdr w:val="none" w:sz="0" w:space="0" w:color="auto"/>
          <w:lang w:val="es-ES"/>
        </w:rPr>
        <w:t>en la contratación, la asignación de tareas, las condiciones de trabajo, la remuneración</w:t>
      </w:r>
      <w:r w:rsidR="00E6253E" w:rsidRPr="00A16D62">
        <w:rPr>
          <w:rFonts w:ascii="Cambria" w:eastAsia="Times New Roman" w:hAnsi="Cambria"/>
          <w:bCs/>
          <w:sz w:val="20"/>
          <w:szCs w:val="20"/>
          <w:bdr w:val="none" w:sz="0" w:space="0" w:color="auto"/>
          <w:lang w:val="es-ES"/>
        </w:rPr>
        <w:t xml:space="preserve">, </w:t>
      </w:r>
      <w:r w:rsidR="007112BB" w:rsidRPr="00A16D62">
        <w:rPr>
          <w:rFonts w:ascii="Cambria" w:eastAsia="Times New Roman" w:hAnsi="Cambria"/>
          <w:bCs/>
          <w:sz w:val="20"/>
          <w:szCs w:val="20"/>
          <w:bdr w:val="none" w:sz="0" w:space="0" w:color="auto"/>
          <w:lang w:val="es-ES"/>
        </w:rPr>
        <w:t xml:space="preserve">las prestaciones, los ascensos, las cesantías y </w:t>
      </w:r>
      <w:r w:rsidR="007D4720" w:rsidRPr="00A16D62">
        <w:rPr>
          <w:rFonts w:ascii="Cambria" w:eastAsia="Times New Roman" w:hAnsi="Cambria"/>
          <w:bCs/>
          <w:sz w:val="20"/>
          <w:szCs w:val="20"/>
          <w:bdr w:val="none" w:sz="0" w:space="0" w:color="auto"/>
          <w:lang w:val="es-ES"/>
        </w:rPr>
        <w:t>la conclusión de la relación laboral</w:t>
      </w:r>
      <w:r w:rsidR="00E6253E" w:rsidRPr="00A16D62">
        <w:rPr>
          <w:rStyle w:val="FootnoteReference"/>
          <w:rFonts w:ascii="Cambria" w:eastAsia="Times New Roman" w:hAnsi="Cambria"/>
          <w:bCs/>
          <w:sz w:val="20"/>
          <w:szCs w:val="20"/>
          <w:bdr w:val="none" w:sz="0" w:space="0" w:color="auto"/>
          <w:lang w:val="es-ES"/>
        </w:rPr>
        <w:footnoteReference w:id="146"/>
      </w:r>
      <w:r w:rsidR="007D4720" w:rsidRPr="00A16D62">
        <w:rPr>
          <w:rFonts w:ascii="Cambria" w:eastAsia="Times New Roman" w:hAnsi="Cambria"/>
          <w:bCs/>
          <w:sz w:val="20"/>
          <w:szCs w:val="20"/>
          <w:bdr w:val="none" w:sz="0" w:space="0" w:color="auto"/>
          <w:lang w:val="es-ES"/>
        </w:rPr>
        <w:t>.</w:t>
      </w:r>
      <w:r w:rsidR="00E6253E" w:rsidRPr="00A16D62">
        <w:rPr>
          <w:rFonts w:ascii="Cambria" w:eastAsia="Times New Roman" w:hAnsi="Cambria"/>
          <w:bCs/>
          <w:sz w:val="20"/>
          <w:szCs w:val="20"/>
          <w:bdr w:val="none" w:sz="0" w:space="0" w:color="auto"/>
          <w:lang w:val="es-ES"/>
        </w:rPr>
        <w:t> </w:t>
      </w:r>
    </w:p>
    <w:p w:rsidR="00923948" w:rsidRPr="00A16D62" w:rsidRDefault="00923948" w:rsidP="00923948">
      <w:pPr>
        <w:pStyle w:val="ListParagraph"/>
        <w:rPr>
          <w:rFonts w:eastAsia="Times New Roman"/>
          <w:bCs/>
          <w:sz w:val="20"/>
          <w:szCs w:val="20"/>
          <w:bdr w:val="none" w:sz="0" w:space="0" w:color="auto"/>
          <w:lang w:val="es-ES"/>
        </w:rPr>
      </w:pPr>
    </w:p>
    <w:p w:rsidR="00923948" w:rsidRPr="00A16D62" w:rsidRDefault="00B105B9" w:rsidP="0092394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Ad</w:t>
      </w:r>
      <w:r w:rsidR="007D4720" w:rsidRPr="00A16D62">
        <w:rPr>
          <w:rFonts w:ascii="Cambria" w:eastAsia="Times New Roman" w:hAnsi="Cambria"/>
          <w:bCs/>
          <w:sz w:val="20"/>
          <w:szCs w:val="20"/>
          <w:bdr w:val="none" w:sz="0" w:space="0" w:color="auto"/>
          <w:lang w:val="es-ES"/>
        </w:rPr>
        <w:t xml:space="preserve">emás, </w:t>
      </w:r>
      <w:r w:rsidR="00180125" w:rsidRPr="00A16D62">
        <w:rPr>
          <w:rFonts w:ascii="Cambria" w:eastAsia="Times New Roman" w:hAnsi="Cambria"/>
          <w:bCs/>
          <w:sz w:val="20"/>
          <w:szCs w:val="20"/>
          <w:bdr w:val="none" w:sz="0" w:space="0" w:color="auto"/>
          <w:lang w:val="es-ES"/>
        </w:rPr>
        <w:t>la Comisión</w:t>
      </w:r>
      <w:r w:rsidR="00923948" w:rsidRPr="00A16D62">
        <w:rPr>
          <w:rFonts w:ascii="Cambria" w:eastAsia="Times New Roman" w:hAnsi="Cambria"/>
          <w:bCs/>
          <w:sz w:val="20"/>
          <w:szCs w:val="20"/>
          <w:bdr w:val="none" w:sz="0" w:space="0" w:color="auto"/>
          <w:lang w:val="es-ES"/>
        </w:rPr>
        <w:t xml:space="preserve"> </w:t>
      </w:r>
      <w:r w:rsidR="007D4720" w:rsidRPr="00A16D62">
        <w:rPr>
          <w:rFonts w:ascii="Cambria" w:eastAsia="Times New Roman" w:hAnsi="Cambria"/>
          <w:bCs/>
          <w:sz w:val="20"/>
          <w:szCs w:val="20"/>
          <w:bdr w:val="none" w:sz="0" w:space="0" w:color="auto"/>
          <w:lang w:val="es-ES"/>
        </w:rPr>
        <w:t xml:space="preserve">observa que </w:t>
      </w:r>
      <w:r w:rsidR="007E4498" w:rsidRPr="00A16D62">
        <w:rPr>
          <w:rFonts w:ascii="Cambria" w:eastAsia="Times New Roman" w:hAnsi="Cambria"/>
          <w:bCs/>
          <w:sz w:val="20"/>
          <w:szCs w:val="20"/>
          <w:bdr w:val="none" w:sz="0" w:space="0" w:color="auto"/>
          <w:lang w:val="es-ES"/>
        </w:rPr>
        <w:t>Estados Unidos</w:t>
      </w:r>
      <w:r w:rsidR="002374B8" w:rsidRPr="00A16D62">
        <w:rPr>
          <w:rFonts w:ascii="Cambria" w:eastAsia="Times New Roman" w:hAnsi="Cambria"/>
          <w:bCs/>
          <w:sz w:val="20"/>
          <w:szCs w:val="20"/>
          <w:bdr w:val="none" w:sz="0" w:space="0" w:color="auto"/>
          <w:lang w:val="es-ES"/>
        </w:rPr>
        <w:t xml:space="preserve"> </w:t>
      </w:r>
      <w:r w:rsidR="007D4720" w:rsidRPr="00A16D62">
        <w:rPr>
          <w:rFonts w:ascii="Cambria" w:eastAsia="Times New Roman" w:hAnsi="Cambria"/>
          <w:bCs/>
          <w:sz w:val="20"/>
          <w:szCs w:val="20"/>
          <w:bdr w:val="none" w:sz="0" w:space="0" w:color="auto"/>
          <w:lang w:val="es-ES"/>
        </w:rPr>
        <w:t>es signatario del Acuerdo de Cooperación Laboral de América del Norte</w:t>
      </w:r>
      <w:r w:rsidR="00923948" w:rsidRPr="00A16D62">
        <w:rPr>
          <w:rFonts w:ascii="Cambria" w:eastAsia="Times New Roman" w:hAnsi="Cambria"/>
          <w:bCs/>
          <w:sz w:val="20"/>
          <w:szCs w:val="20"/>
          <w:bdr w:val="none" w:sz="0" w:space="0" w:color="auto"/>
          <w:lang w:val="es-ES"/>
        </w:rPr>
        <w:t xml:space="preserve"> (</w:t>
      </w:r>
      <w:r w:rsidR="007D4720" w:rsidRPr="00A16D62">
        <w:rPr>
          <w:rFonts w:ascii="Cambria" w:eastAsia="Times New Roman" w:hAnsi="Cambria"/>
          <w:bCs/>
          <w:sz w:val="20"/>
          <w:szCs w:val="20"/>
          <w:bdr w:val="none" w:sz="0" w:space="0" w:color="auto"/>
          <w:lang w:val="es-ES"/>
        </w:rPr>
        <w:t>ACLAN</w:t>
      </w:r>
      <w:r w:rsidR="00923948" w:rsidRPr="00A16D62">
        <w:rPr>
          <w:rFonts w:ascii="Cambria" w:eastAsia="Times New Roman" w:hAnsi="Cambria"/>
          <w:bCs/>
          <w:sz w:val="20"/>
          <w:szCs w:val="20"/>
          <w:bdr w:val="none" w:sz="0" w:space="0" w:color="auto"/>
          <w:lang w:val="es-ES"/>
        </w:rPr>
        <w:t xml:space="preserve">), </w:t>
      </w:r>
      <w:r w:rsidR="007D4720" w:rsidRPr="00A16D62">
        <w:rPr>
          <w:rFonts w:ascii="Cambria" w:eastAsia="Times New Roman" w:hAnsi="Cambria"/>
          <w:bCs/>
          <w:sz w:val="20"/>
          <w:szCs w:val="20"/>
          <w:bdr w:val="none" w:sz="0" w:space="0" w:color="auto"/>
          <w:lang w:val="es-ES"/>
        </w:rPr>
        <w:t>que complementa el Tratado de Libre Comercio de América del Norte</w:t>
      </w:r>
      <w:r w:rsidR="00923948" w:rsidRPr="00A16D62">
        <w:rPr>
          <w:rFonts w:ascii="Cambria" w:eastAsia="Times New Roman" w:hAnsi="Cambria"/>
          <w:bCs/>
          <w:sz w:val="20"/>
          <w:szCs w:val="20"/>
          <w:bdr w:val="none" w:sz="0" w:space="0" w:color="auto"/>
          <w:lang w:val="es-ES"/>
        </w:rPr>
        <w:t xml:space="preserve"> (</w:t>
      </w:r>
      <w:r w:rsidR="007D4720" w:rsidRPr="00A16D62">
        <w:rPr>
          <w:rFonts w:ascii="Cambria" w:eastAsia="Times New Roman" w:hAnsi="Cambria"/>
          <w:bCs/>
          <w:sz w:val="20"/>
          <w:szCs w:val="20"/>
          <w:bdr w:val="none" w:sz="0" w:space="0" w:color="auto"/>
          <w:lang w:val="es-ES"/>
        </w:rPr>
        <w:t>TLCAN</w:t>
      </w:r>
      <w:r w:rsidR="00923948" w:rsidRPr="00A16D62">
        <w:rPr>
          <w:rFonts w:ascii="Cambria" w:eastAsia="Times New Roman" w:hAnsi="Cambria"/>
          <w:bCs/>
          <w:sz w:val="20"/>
          <w:szCs w:val="20"/>
          <w:bdr w:val="none" w:sz="0" w:space="0" w:color="auto"/>
          <w:lang w:val="es-ES"/>
        </w:rPr>
        <w:t>)</w:t>
      </w:r>
      <w:r w:rsidR="00893C67" w:rsidRPr="00A16D62">
        <w:rPr>
          <w:rStyle w:val="FootnoteReference"/>
          <w:rFonts w:ascii="Cambria" w:eastAsia="Times New Roman" w:hAnsi="Cambria"/>
          <w:bCs/>
          <w:sz w:val="20"/>
          <w:szCs w:val="20"/>
          <w:bdr w:val="none" w:sz="0" w:space="0" w:color="auto"/>
          <w:lang w:val="es-ES"/>
        </w:rPr>
        <w:footnoteReference w:id="147"/>
      </w:r>
      <w:r w:rsidR="007D4720" w:rsidRPr="00A16D62">
        <w:rPr>
          <w:rFonts w:ascii="Cambria" w:eastAsia="Times New Roman" w:hAnsi="Cambria"/>
          <w:bCs/>
          <w:sz w:val="20"/>
          <w:szCs w:val="20"/>
          <w:bdr w:val="none" w:sz="0" w:space="0" w:color="auto"/>
          <w:lang w:val="es-ES"/>
        </w:rPr>
        <w:t xml:space="preserve">. Los tres </w:t>
      </w:r>
      <w:r w:rsidR="002374B8" w:rsidRPr="00A16D62">
        <w:rPr>
          <w:rFonts w:ascii="Cambria" w:eastAsia="Times New Roman" w:hAnsi="Cambria"/>
          <w:bCs/>
          <w:sz w:val="20"/>
          <w:szCs w:val="20"/>
          <w:bdr w:val="none" w:sz="0" w:space="0" w:color="auto"/>
          <w:lang w:val="es-ES"/>
        </w:rPr>
        <w:t>signat</w:t>
      </w:r>
      <w:r w:rsidR="007D4720" w:rsidRPr="00A16D62">
        <w:rPr>
          <w:rFonts w:ascii="Cambria" w:eastAsia="Times New Roman" w:hAnsi="Cambria"/>
          <w:bCs/>
          <w:sz w:val="20"/>
          <w:szCs w:val="20"/>
          <w:bdr w:val="none" w:sz="0" w:space="0" w:color="auto"/>
          <w:lang w:val="es-ES"/>
        </w:rPr>
        <w:t>a</w:t>
      </w:r>
      <w:r w:rsidR="002374B8" w:rsidRPr="00A16D62">
        <w:rPr>
          <w:rFonts w:ascii="Cambria" w:eastAsia="Times New Roman" w:hAnsi="Cambria"/>
          <w:bCs/>
          <w:sz w:val="20"/>
          <w:szCs w:val="20"/>
          <w:bdr w:val="none" w:sz="0" w:space="0" w:color="auto"/>
          <w:lang w:val="es-ES"/>
        </w:rPr>
        <w:t>ri</w:t>
      </w:r>
      <w:r w:rsidR="007D4720" w:rsidRPr="00A16D62">
        <w:rPr>
          <w:rFonts w:ascii="Cambria" w:eastAsia="Times New Roman" w:hAnsi="Cambria"/>
          <w:bCs/>
          <w:sz w:val="20"/>
          <w:szCs w:val="20"/>
          <w:bdr w:val="none" w:sz="0" w:space="0" w:color="auto"/>
          <w:lang w:val="es-ES"/>
        </w:rPr>
        <w:t>o</w:t>
      </w:r>
      <w:r w:rsidR="002374B8" w:rsidRPr="00A16D62">
        <w:rPr>
          <w:rFonts w:ascii="Cambria" w:eastAsia="Times New Roman" w:hAnsi="Cambria"/>
          <w:bCs/>
          <w:sz w:val="20"/>
          <w:szCs w:val="20"/>
          <w:bdr w:val="none" w:sz="0" w:space="0" w:color="auto"/>
          <w:lang w:val="es-ES"/>
        </w:rPr>
        <w:t>s</w:t>
      </w:r>
      <w:r w:rsidR="007D4720" w:rsidRPr="00A16D62">
        <w:rPr>
          <w:rFonts w:ascii="Cambria" w:eastAsia="Times New Roman" w:hAnsi="Cambria"/>
          <w:bCs/>
          <w:sz w:val="20"/>
          <w:szCs w:val="20"/>
          <w:bdr w:val="none" w:sz="0" w:space="0" w:color="auto"/>
          <w:lang w:val="es-ES"/>
        </w:rPr>
        <w:t xml:space="preserve"> (</w:t>
      </w:r>
      <w:r w:rsidR="002374B8" w:rsidRPr="00A16D62">
        <w:rPr>
          <w:rFonts w:ascii="Cambria" w:eastAsia="Times New Roman" w:hAnsi="Cambria"/>
          <w:bCs/>
          <w:sz w:val="20"/>
          <w:szCs w:val="20"/>
          <w:bdr w:val="none" w:sz="0" w:space="0" w:color="auto"/>
          <w:lang w:val="es-ES"/>
        </w:rPr>
        <w:t>Canad</w:t>
      </w:r>
      <w:r w:rsidR="007D4720" w:rsidRPr="00A16D62">
        <w:rPr>
          <w:rFonts w:ascii="Cambria" w:eastAsia="Times New Roman" w:hAnsi="Cambria"/>
          <w:bCs/>
          <w:sz w:val="20"/>
          <w:szCs w:val="20"/>
          <w:bdr w:val="none" w:sz="0" w:space="0" w:color="auto"/>
          <w:lang w:val="es-ES"/>
        </w:rPr>
        <w:t>á</w:t>
      </w:r>
      <w:r w:rsidR="002374B8" w:rsidRPr="00A16D62">
        <w:rPr>
          <w:rFonts w:ascii="Cambria" w:eastAsia="Times New Roman" w:hAnsi="Cambria"/>
          <w:bCs/>
          <w:sz w:val="20"/>
          <w:szCs w:val="20"/>
          <w:bdr w:val="none" w:sz="0" w:space="0" w:color="auto"/>
          <w:lang w:val="es-ES"/>
        </w:rPr>
        <w:t xml:space="preserve">, </w:t>
      </w:r>
      <w:r w:rsidR="00001DB6" w:rsidRPr="00A16D62">
        <w:rPr>
          <w:rFonts w:ascii="Cambria" w:eastAsia="Times New Roman" w:hAnsi="Cambria"/>
          <w:bCs/>
          <w:sz w:val="20"/>
          <w:szCs w:val="20"/>
          <w:bdr w:val="none" w:sz="0" w:space="0" w:color="auto"/>
          <w:lang w:val="es-ES"/>
        </w:rPr>
        <w:t>México</w:t>
      </w:r>
      <w:r w:rsidR="007D4720" w:rsidRPr="00A16D62">
        <w:rPr>
          <w:rFonts w:ascii="Cambria" w:eastAsia="Times New Roman" w:hAnsi="Cambria"/>
          <w:bCs/>
          <w:sz w:val="20"/>
          <w:szCs w:val="20"/>
          <w:bdr w:val="none" w:sz="0" w:space="0" w:color="auto"/>
          <w:lang w:val="es-ES"/>
        </w:rPr>
        <w:t xml:space="preserve"> y </w:t>
      </w:r>
      <w:r w:rsidR="007E4498" w:rsidRPr="00A16D62">
        <w:rPr>
          <w:rFonts w:ascii="Cambria" w:eastAsia="Times New Roman" w:hAnsi="Cambria"/>
          <w:bCs/>
          <w:sz w:val="20"/>
          <w:szCs w:val="20"/>
          <w:bdr w:val="none" w:sz="0" w:space="0" w:color="auto"/>
          <w:lang w:val="es-ES"/>
        </w:rPr>
        <w:t>Estados Unidos</w:t>
      </w:r>
      <w:r w:rsidR="007D4720" w:rsidRPr="00A16D62">
        <w:rPr>
          <w:rFonts w:ascii="Cambria" w:eastAsia="Times New Roman" w:hAnsi="Cambria"/>
          <w:bCs/>
          <w:sz w:val="20"/>
          <w:szCs w:val="20"/>
          <w:bdr w:val="none" w:sz="0" w:space="0" w:color="auto"/>
          <w:lang w:val="es-ES"/>
        </w:rPr>
        <w:t>) decidieron en el</w:t>
      </w:r>
      <w:r w:rsidR="007248DB" w:rsidRPr="00A16D62">
        <w:rPr>
          <w:rFonts w:ascii="Cambria" w:eastAsia="Times New Roman" w:hAnsi="Cambria"/>
          <w:bCs/>
          <w:sz w:val="20"/>
          <w:szCs w:val="20"/>
          <w:bdr w:val="none" w:sz="0" w:space="0" w:color="auto"/>
          <w:lang w:val="es-ES"/>
        </w:rPr>
        <w:t xml:space="preserve"> </w:t>
      </w:r>
      <w:r w:rsidR="007D4720" w:rsidRPr="00A16D62">
        <w:rPr>
          <w:rFonts w:ascii="Cambria" w:eastAsia="Times New Roman" w:hAnsi="Cambria"/>
          <w:bCs/>
          <w:sz w:val="20"/>
          <w:szCs w:val="20"/>
          <w:bdr w:val="none" w:sz="0" w:space="0" w:color="auto"/>
          <w:lang w:val="es-ES"/>
        </w:rPr>
        <w:t>ACLAN</w:t>
      </w:r>
      <w:r w:rsidR="002374B8" w:rsidRPr="00A16D62">
        <w:rPr>
          <w:rFonts w:ascii="Cambria" w:eastAsia="Times New Roman" w:hAnsi="Cambria"/>
          <w:bCs/>
          <w:sz w:val="20"/>
          <w:szCs w:val="20"/>
          <w:bdr w:val="none" w:sz="0" w:space="0" w:color="auto"/>
          <w:lang w:val="es-ES"/>
        </w:rPr>
        <w:t xml:space="preserve"> </w:t>
      </w:r>
      <w:r w:rsidR="007D4720" w:rsidRPr="00A16D62">
        <w:rPr>
          <w:rFonts w:ascii="Cambria" w:eastAsia="Times New Roman" w:hAnsi="Cambria"/>
          <w:bCs/>
          <w:sz w:val="20"/>
          <w:szCs w:val="20"/>
          <w:bdr w:val="none" w:sz="0" w:space="0" w:color="auto"/>
          <w:lang w:val="es-ES"/>
        </w:rPr>
        <w:t xml:space="preserve">comprometerse a promover </w:t>
      </w:r>
      <w:r w:rsidR="007248DB" w:rsidRPr="00A16D62">
        <w:rPr>
          <w:rFonts w:ascii="Cambria" w:eastAsia="Times New Roman" w:hAnsi="Cambria"/>
          <w:bCs/>
          <w:sz w:val="20"/>
          <w:szCs w:val="20"/>
          <w:bdr w:val="none" w:sz="0" w:space="0" w:color="auto"/>
          <w:lang w:val="es-ES"/>
        </w:rPr>
        <w:t xml:space="preserve">11 </w:t>
      </w:r>
      <w:r w:rsidR="00E86DEF" w:rsidRPr="00A16D62">
        <w:rPr>
          <w:rFonts w:ascii="Cambria" w:eastAsia="Times New Roman" w:hAnsi="Cambria"/>
          <w:bCs/>
          <w:sz w:val="20"/>
          <w:szCs w:val="20"/>
          <w:bdr w:val="none" w:sz="0" w:space="0" w:color="auto"/>
          <w:lang w:val="es-ES"/>
        </w:rPr>
        <w:t>principios</w:t>
      </w:r>
      <w:r w:rsidR="00893C67" w:rsidRPr="00A16D62">
        <w:rPr>
          <w:rFonts w:ascii="Cambria" w:eastAsia="Times New Roman" w:hAnsi="Cambria"/>
          <w:bCs/>
          <w:sz w:val="20"/>
          <w:szCs w:val="20"/>
          <w:bdr w:val="none" w:sz="0" w:space="0" w:color="auto"/>
          <w:lang w:val="es-ES"/>
        </w:rPr>
        <w:t xml:space="preserve"> </w:t>
      </w:r>
      <w:r w:rsidR="007D4720" w:rsidRPr="00A16D62">
        <w:rPr>
          <w:rFonts w:ascii="Cambria" w:eastAsia="Times New Roman" w:hAnsi="Cambria"/>
          <w:bCs/>
          <w:sz w:val="20"/>
          <w:szCs w:val="20"/>
          <w:bdr w:val="none" w:sz="0" w:space="0" w:color="auto"/>
          <w:lang w:val="es-ES"/>
        </w:rPr>
        <w:t xml:space="preserve">laborales que se aplican a los </w:t>
      </w:r>
      <w:r w:rsidR="00893C67" w:rsidRPr="00A16D62">
        <w:rPr>
          <w:rFonts w:ascii="Cambria" w:eastAsia="Times New Roman" w:hAnsi="Cambria"/>
          <w:bCs/>
          <w:sz w:val="20"/>
          <w:szCs w:val="20"/>
          <w:bdr w:val="none" w:sz="0" w:space="0" w:color="auto"/>
          <w:lang w:val="es-ES"/>
        </w:rPr>
        <w:t>“</w:t>
      </w:r>
      <w:r w:rsidR="007B4310" w:rsidRPr="00A16D62">
        <w:rPr>
          <w:rFonts w:ascii="Cambria" w:eastAsia="Times New Roman" w:hAnsi="Cambria"/>
          <w:bCs/>
          <w:sz w:val="20"/>
          <w:szCs w:val="20"/>
          <w:bdr w:val="none" w:sz="0" w:space="0" w:color="auto"/>
          <w:lang w:val="es-ES"/>
        </w:rPr>
        <w:t>trabajadores</w:t>
      </w:r>
      <w:r w:rsidR="00893C67" w:rsidRPr="00A16D62">
        <w:rPr>
          <w:rFonts w:ascii="Cambria" w:eastAsia="Times New Roman" w:hAnsi="Cambria"/>
          <w:bCs/>
          <w:sz w:val="20"/>
          <w:szCs w:val="20"/>
          <w:bdr w:val="none" w:sz="0" w:space="0" w:color="auto"/>
          <w:lang w:val="es-ES"/>
        </w:rPr>
        <w:t>” (inclu</w:t>
      </w:r>
      <w:r w:rsidR="007D4720" w:rsidRPr="00A16D62">
        <w:rPr>
          <w:rFonts w:ascii="Cambria" w:eastAsia="Times New Roman" w:hAnsi="Cambria"/>
          <w:bCs/>
          <w:sz w:val="20"/>
          <w:szCs w:val="20"/>
          <w:bdr w:val="none" w:sz="0" w:space="0" w:color="auto"/>
          <w:lang w:val="es-ES"/>
        </w:rPr>
        <w:t>idos los que no son ciudadanos</w:t>
      </w:r>
      <w:r w:rsidR="00893C67" w:rsidRPr="00A16D62">
        <w:rPr>
          <w:rFonts w:ascii="Cambria" w:eastAsia="Times New Roman" w:hAnsi="Cambria"/>
          <w:bCs/>
          <w:sz w:val="20"/>
          <w:szCs w:val="20"/>
          <w:bdr w:val="none" w:sz="0" w:space="0" w:color="auto"/>
          <w:lang w:val="es-ES"/>
        </w:rPr>
        <w:t>)</w:t>
      </w:r>
      <w:r w:rsidR="00546CDA" w:rsidRPr="00A16D62">
        <w:rPr>
          <w:rFonts w:ascii="Cambria" w:eastAsia="Times New Roman" w:hAnsi="Cambria"/>
          <w:bCs/>
          <w:sz w:val="20"/>
          <w:szCs w:val="20"/>
          <w:bdr w:val="none" w:sz="0" w:space="0" w:color="auto"/>
          <w:lang w:val="es-ES"/>
        </w:rPr>
        <w:t xml:space="preserve">, entre ellos </w:t>
      </w:r>
      <w:r w:rsidR="007D4720" w:rsidRPr="00A16D62">
        <w:rPr>
          <w:rFonts w:ascii="Cambria" w:eastAsia="Times New Roman" w:hAnsi="Cambria"/>
          <w:bCs/>
          <w:sz w:val="20"/>
          <w:szCs w:val="20"/>
          <w:bdr w:val="none" w:sz="0" w:space="0" w:color="auto"/>
          <w:lang w:val="es-ES"/>
        </w:rPr>
        <w:t>la prevención de lesiones y enfermedades ocupacionales</w:t>
      </w:r>
      <w:r w:rsidR="00893C67" w:rsidRPr="00A16D62">
        <w:rPr>
          <w:rFonts w:ascii="Cambria" w:eastAsia="Times New Roman" w:hAnsi="Cambria"/>
          <w:bCs/>
          <w:sz w:val="20"/>
          <w:szCs w:val="20"/>
          <w:bdr w:val="none" w:sz="0" w:space="0" w:color="auto"/>
          <w:lang w:val="es-ES"/>
        </w:rPr>
        <w:t xml:space="preserve">; </w:t>
      </w:r>
      <w:r w:rsidR="00982B79">
        <w:rPr>
          <w:rFonts w:ascii="Cambria" w:eastAsia="Times New Roman" w:hAnsi="Cambria"/>
          <w:bCs/>
          <w:sz w:val="20"/>
          <w:szCs w:val="20"/>
          <w:bdr w:val="none" w:sz="0" w:space="0" w:color="auto"/>
          <w:lang w:val="es-ES"/>
        </w:rPr>
        <w:t>la i</w:t>
      </w:r>
      <w:r w:rsidR="00546CDA" w:rsidRPr="00A16D62">
        <w:rPr>
          <w:rFonts w:ascii="Cambria" w:eastAsia="Times New Roman" w:hAnsi="Cambria"/>
          <w:bCs/>
          <w:sz w:val="20"/>
          <w:szCs w:val="20"/>
          <w:bdr w:val="none" w:sz="0" w:space="0" w:color="auto"/>
          <w:lang w:val="es-ES"/>
        </w:rPr>
        <w:t xml:space="preserve">ndemnización en los casos de lesiones </w:t>
      </w:r>
      <w:r w:rsidR="00546CDA" w:rsidRPr="00A16D62">
        <w:rPr>
          <w:rFonts w:ascii="Cambria" w:eastAsia="Times New Roman" w:hAnsi="Cambria"/>
          <w:bCs/>
          <w:sz w:val="20"/>
          <w:szCs w:val="20"/>
          <w:bdr w:val="none" w:sz="0" w:space="0" w:color="auto"/>
          <w:lang w:val="es-ES"/>
        </w:rPr>
        <w:lastRenderedPageBreak/>
        <w:t xml:space="preserve">de trabajo o enfermedades ocupacionales y la protección de los </w:t>
      </w:r>
      <w:r w:rsidR="00FF4357" w:rsidRPr="00A16D62">
        <w:rPr>
          <w:rFonts w:ascii="Cambria" w:eastAsia="Times New Roman" w:hAnsi="Cambria"/>
          <w:bCs/>
          <w:sz w:val="20"/>
          <w:szCs w:val="20"/>
          <w:bdr w:val="none" w:sz="0" w:space="0" w:color="auto"/>
          <w:lang w:val="es-ES"/>
        </w:rPr>
        <w:t>trabajadores migrantes</w:t>
      </w:r>
      <w:r w:rsidR="004F4B24" w:rsidRPr="00A16D62">
        <w:rPr>
          <w:rStyle w:val="FootnoteReference"/>
          <w:rFonts w:ascii="Cambria" w:eastAsia="Times New Roman" w:hAnsi="Cambria"/>
          <w:bCs/>
          <w:sz w:val="20"/>
          <w:szCs w:val="20"/>
          <w:bdr w:val="none" w:sz="0" w:space="0" w:color="auto"/>
          <w:lang w:val="es-ES"/>
        </w:rPr>
        <w:footnoteReference w:id="148"/>
      </w:r>
      <w:r w:rsidR="00AE7FB4" w:rsidRPr="00A16D62">
        <w:rPr>
          <w:rFonts w:ascii="Cambria" w:eastAsia="Times New Roman" w:hAnsi="Cambria"/>
          <w:bCs/>
          <w:sz w:val="20"/>
          <w:szCs w:val="20"/>
          <w:bdr w:val="none" w:sz="0" w:space="0" w:color="auto"/>
          <w:lang w:val="es-ES"/>
        </w:rPr>
        <w:t>.</w:t>
      </w:r>
      <w:r w:rsidR="00893C67" w:rsidRPr="00A16D62">
        <w:rPr>
          <w:rFonts w:ascii="Cambria" w:eastAsia="Times New Roman" w:hAnsi="Cambria"/>
          <w:bCs/>
          <w:sz w:val="20"/>
          <w:szCs w:val="20"/>
          <w:bdr w:val="none" w:sz="0" w:space="0" w:color="auto"/>
          <w:lang w:val="es-ES"/>
        </w:rPr>
        <w:t xml:space="preserve"> </w:t>
      </w:r>
      <w:r w:rsidR="00AE7FB4" w:rsidRPr="00A16D62">
        <w:rPr>
          <w:rFonts w:ascii="Cambria" w:eastAsia="Times New Roman" w:hAnsi="Cambria"/>
          <w:bCs/>
          <w:sz w:val="20"/>
          <w:szCs w:val="20"/>
          <w:bdr w:val="none" w:sz="0" w:space="0" w:color="auto"/>
          <w:lang w:val="es-ES"/>
        </w:rPr>
        <w:t>Por lo tanto, no solo de acuerdo con las normas interamericanas, sino también sobre la base de otros tratados y convenios internacionales, Estados Unidos tiene la obligación de asegurar que todos los</w:t>
      </w:r>
      <w:r w:rsidR="00E6253E" w:rsidRPr="00A16D62">
        <w:rPr>
          <w:rFonts w:ascii="Cambria" w:eastAsia="Times New Roman" w:hAnsi="Cambria"/>
          <w:bCs/>
          <w:sz w:val="20"/>
          <w:szCs w:val="20"/>
          <w:bdr w:val="none" w:sz="0" w:space="0" w:color="auto"/>
          <w:lang w:val="es-ES"/>
        </w:rPr>
        <w:t xml:space="preserve"> </w:t>
      </w:r>
      <w:r w:rsidR="007B4310" w:rsidRPr="00A16D62">
        <w:rPr>
          <w:rFonts w:ascii="Cambria" w:eastAsia="Times New Roman" w:hAnsi="Cambria"/>
          <w:bCs/>
          <w:sz w:val="20"/>
          <w:szCs w:val="20"/>
          <w:bdr w:val="none" w:sz="0" w:space="0" w:color="auto"/>
          <w:lang w:val="es-ES"/>
        </w:rPr>
        <w:t>trabajadores</w:t>
      </w:r>
      <w:r w:rsidR="00E6253E" w:rsidRPr="00A16D62">
        <w:rPr>
          <w:rFonts w:ascii="Cambria" w:eastAsia="Times New Roman" w:hAnsi="Cambria"/>
          <w:bCs/>
          <w:sz w:val="20"/>
          <w:szCs w:val="20"/>
          <w:bdr w:val="none" w:sz="0" w:space="0" w:color="auto"/>
          <w:lang w:val="es-ES"/>
        </w:rPr>
        <w:t xml:space="preserve"> </w:t>
      </w:r>
      <w:r w:rsidR="00AE7FB4" w:rsidRPr="00A16D62">
        <w:rPr>
          <w:rFonts w:ascii="Cambria" w:eastAsia="Times New Roman" w:hAnsi="Cambria"/>
          <w:bCs/>
          <w:sz w:val="20"/>
          <w:szCs w:val="20"/>
          <w:bdr w:val="none" w:sz="0" w:space="0" w:color="auto"/>
          <w:lang w:val="es-ES"/>
        </w:rPr>
        <w:t>tengan acceso efectivo a programas de seguridad social</w:t>
      </w:r>
      <w:r w:rsidR="00E6253E" w:rsidRPr="00A16D62">
        <w:rPr>
          <w:rFonts w:ascii="Cambria" w:eastAsia="Times New Roman" w:hAnsi="Cambria"/>
          <w:bCs/>
          <w:sz w:val="20"/>
          <w:szCs w:val="20"/>
          <w:bdr w:val="none" w:sz="0" w:space="0" w:color="auto"/>
          <w:lang w:val="es-ES"/>
        </w:rPr>
        <w:t xml:space="preserve"> </w:t>
      </w:r>
      <w:r w:rsidR="00AE7FB4" w:rsidRPr="00A16D62">
        <w:rPr>
          <w:rFonts w:ascii="Cambria" w:eastAsia="Times New Roman" w:hAnsi="Cambria"/>
          <w:bCs/>
          <w:sz w:val="20"/>
          <w:szCs w:val="20"/>
          <w:bdr w:val="none" w:sz="0" w:space="0" w:color="auto"/>
          <w:lang w:val="es-ES"/>
        </w:rPr>
        <w:t xml:space="preserve">que protegen a los </w:t>
      </w:r>
      <w:r w:rsidR="007B4310" w:rsidRPr="00A16D62">
        <w:rPr>
          <w:rFonts w:ascii="Cambria" w:eastAsia="Times New Roman" w:hAnsi="Cambria"/>
          <w:bCs/>
          <w:sz w:val="20"/>
          <w:szCs w:val="20"/>
          <w:bdr w:val="none" w:sz="0" w:space="0" w:color="auto"/>
          <w:lang w:val="es-ES"/>
        </w:rPr>
        <w:t>trabajadores</w:t>
      </w:r>
      <w:r w:rsidR="00E6253E" w:rsidRPr="00A16D62">
        <w:rPr>
          <w:rFonts w:ascii="Cambria" w:eastAsia="Times New Roman" w:hAnsi="Cambria"/>
          <w:bCs/>
          <w:sz w:val="20"/>
          <w:szCs w:val="20"/>
          <w:bdr w:val="none" w:sz="0" w:space="0" w:color="auto"/>
          <w:lang w:val="es-ES"/>
        </w:rPr>
        <w:t xml:space="preserve"> </w:t>
      </w:r>
      <w:r w:rsidR="00AE7FB4" w:rsidRPr="00A16D62">
        <w:rPr>
          <w:rFonts w:ascii="Cambria" w:eastAsia="Times New Roman" w:hAnsi="Cambria"/>
          <w:bCs/>
          <w:sz w:val="20"/>
          <w:szCs w:val="20"/>
          <w:bdr w:val="none" w:sz="0" w:space="0" w:color="auto"/>
          <w:lang w:val="es-ES"/>
        </w:rPr>
        <w:t>que sufren lesiones en el trabajo y les proporcionan reparaciones</w:t>
      </w:r>
      <w:r w:rsidR="00E6253E" w:rsidRPr="00A16D62">
        <w:rPr>
          <w:rFonts w:ascii="Cambria" w:eastAsia="Times New Roman" w:hAnsi="Cambria"/>
          <w:bCs/>
          <w:sz w:val="20"/>
          <w:szCs w:val="20"/>
          <w:bdr w:val="none" w:sz="0" w:space="0" w:color="auto"/>
          <w:lang w:val="es-ES"/>
        </w:rPr>
        <w:t xml:space="preserve">. </w:t>
      </w:r>
    </w:p>
    <w:p w:rsidR="0026548C" w:rsidRPr="00A16D62" w:rsidRDefault="0026548C" w:rsidP="0026548C">
      <w:pPr>
        <w:pStyle w:val="ListParagraph"/>
        <w:rPr>
          <w:rFonts w:eastAsia="Times New Roman"/>
          <w:bCs/>
          <w:sz w:val="20"/>
          <w:szCs w:val="20"/>
          <w:bdr w:val="none" w:sz="0" w:space="0" w:color="auto"/>
          <w:lang w:val="es-ES"/>
        </w:rPr>
      </w:pPr>
    </w:p>
    <w:p w:rsidR="0026548C" w:rsidRPr="00A16D62" w:rsidRDefault="00B7600C" w:rsidP="006056E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Por último</w:t>
      </w:r>
      <w:r w:rsidR="00B105B9"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26548C" w:rsidRPr="00A16D62">
        <w:rPr>
          <w:rFonts w:ascii="Cambria" w:eastAsia="Times New Roman" w:hAnsi="Cambria"/>
          <w:bCs/>
          <w:sz w:val="20"/>
          <w:szCs w:val="20"/>
          <w:bdr w:val="none" w:sz="0" w:space="0" w:color="auto"/>
          <w:lang w:val="es-ES"/>
        </w:rPr>
        <w:t xml:space="preserve"> observ</w:t>
      </w:r>
      <w:r w:rsidRPr="00A16D62">
        <w:rPr>
          <w:rFonts w:ascii="Cambria" w:eastAsia="Times New Roman" w:hAnsi="Cambria"/>
          <w:bCs/>
          <w:sz w:val="20"/>
          <w:szCs w:val="20"/>
          <w:bdr w:val="none" w:sz="0" w:space="0" w:color="auto"/>
          <w:lang w:val="es-ES"/>
        </w:rPr>
        <w:t>a que hay dos programas de la Administración de Seguridad Social de Estados Unidos</w:t>
      </w:r>
      <w:r w:rsidR="008622A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que benefician a los </w:t>
      </w:r>
      <w:r w:rsidR="007B4310" w:rsidRPr="00A16D62">
        <w:rPr>
          <w:rFonts w:ascii="Cambria" w:eastAsia="Times New Roman" w:hAnsi="Cambria"/>
          <w:bCs/>
          <w:sz w:val="20"/>
          <w:szCs w:val="20"/>
          <w:bdr w:val="none" w:sz="0" w:space="0" w:color="auto"/>
          <w:lang w:val="es-ES"/>
        </w:rPr>
        <w:t>trabajadores</w:t>
      </w:r>
      <w:r w:rsidR="008622A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que, debido a lesiones sufridas, no puedan trabajar durante </w:t>
      </w:r>
      <w:r w:rsidR="008622A0" w:rsidRPr="00A16D62">
        <w:rPr>
          <w:rFonts w:ascii="Cambria" w:eastAsia="Times New Roman" w:hAnsi="Cambria"/>
          <w:bCs/>
          <w:sz w:val="20"/>
          <w:szCs w:val="20"/>
          <w:bdr w:val="none" w:sz="0" w:space="0" w:color="auto"/>
          <w:lang w:val="es-ES"/>
        </w:rPr>
        <w:t>12 m</w:t>
      </w:r>
      <w:r w:rsidRPr="00A16D62">
        <w:rPr>
          <w:rFonts w:ascii="Cambria" w:eastAsia="Times New Roman" w:hAnsi="Cambria"/>
          <w:bCs/>
          <w:sz w:val="20"/>
          <w:szCs w:val="20"/>
          <w:bdr w:val="none" w:sz="0" w:space="0" w:color="auto"/>
          <w:lang w:val="es-ES"/>
        </w:rPr>
        <w:t>eses como mínimo, entre otros</w:t>
      </w:r>
      <w:r w:rsidR="008622A0"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Sin embargo,</w:t>
      </w:r>
      <w:r w:rsidR="009066A8"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9066A8" w:rsidRPr="00A16D62">
        <w:rPr>
          <w:rFonts w:ascii="Cambria" w:eastAsia="Times New Roman" w:hAnsi="Cambria"/>
          <w:bCs/>
          <w:sz w:val="20"/>
          <w:szCs w:val="20"/>
          <w:bdr w:val="none" w:sz="0" w:space="0" w:color="auto"/>
          <w:lang w:val="es-ES"/>
        </w:rPr>
        <w:t xml:space="preserve"> observ</w:t>
      </w:r>
      <w:r w:rsidRPr="00A16D62">
        <w:rPr>
          <w:rFonts w:ascii="Cambria" w:eastAsia="Times New Roman" w:hAnsi="Cambria"/>
          <w:bCs/>
          <w:sz w:val="20"/>
          <w:szCs w:val="20"/>
          <w:bdr w:val="none" w:sz="0" w:space="0" w:color="auto"/>
          <w:lang w:val="es-ES"/>
        </w:rPr>
        <w:t xml:space="preserve">a que </w:t>
      </w:r>
      <w:r w:rsidR="00E450D5" w:rsidRPr="00A16D62">
        <w:rPr>
          <w:rFonts w:ascii="Cambria" w:eastAsia="Times New Roman" w:hAnsi="Cambria"/>
          <w:bCs/>
          <w:sz w:val="20"/>
          <w:szCs w:val="20"/>
          <w:bdr w:val="none" w:sz="0" w:space="0" w:color="auto"/>
          <w:lang w:val="es-ES"/>
        </w:rPr>
        <w:t xml:space="preserve">estos programas no estaban al alcance de las dos víctimas y no estarían al alcance de los numerosos </w:t>
      </w:r>
      <w:r w:rsidR="00C038BF" w:rsidRPr="00A16D62">
        <w:rPr>
          <w:rFonts w:ascii="Cambria" w:eastAsia="Times New Roman" w:hAnsi="Cambria"/>
          <w:bCs/>
          <w:sz w:val="20"/>
          <w:szCs w:val="20"/>
          <w:bdr w:val="none" w:sz="0" w:space="0" w:color="auto"/>
          <w:lang w:val="es-ES"/>
        </w:rPr>
        <w:t>trabajadores indocumentados</w:t>
      </w:r>
      <w:r w:rsidR="009066A8" w:rsidRPr="00A16D62">
        <w:rPr>
          <w:rFonts w:ascii="Cambria" w:eastAsia="Times New Roman" w:hAnsi="Cambria"/>
          <w:bCs/>
          <w:sz w:val="20"/>
          <w:szCs w:val="20"/>
          <w:bdr w:val="none" w:sz="0" w:space="0" w:color="auto"/>
          <w:lang w:val="es-ES"/>
        </w:rPr>
        <w:t xml:space="preserve"> </w:t>
      </w:r>
      <w:r w:rsidR="00E450D5" w:rsidRPr="00A16D62">
        <w:rPr>
          <w:rFonts w:ascii="Cambria" w:eastAsia="Times New Roman" w:hAnsi="Cambria"/>
          <w:bCs/>
          <w:sz w:val="20"/>
          <w:szCs w:val="20"/>
          <w:bdr w:val="none" w:sz="0" w:space="0" w:color="auto"/>
          <w:lang w:val="es-ES"/>
        </w:rPr>
        <w:t>que residen en Estados Unidos temporalmente</w:t>
      </w:r>
      <w:r w:rsidR="009066A8" w:rsidRPr="00A16D62">
        <w:rPr>
          <w:rFonts w:ascii="Cambria" w:eastAsia="Times New Roman" w:hAnsi="Cambria"/>
          <w:bCs/>
          <w:sz w:val="20"/>
          <w:szCs w:val="20"/>
          <w:bdr w:val="none" w:sz="0" w:space="0" w:color="auto"/>
          <w:lang w:val="es-ES"/>
        </w:rPr>
        <w:t xml:space="preserve">. </w:t>
      </w:r>
      <w:r w:rsidR="00E450D5" w:rsidRPr="00A16D62">
        <w:rPr>
          <w:rFonts w:ascii="Cambria" w:eastAsia="Times New Roman" w:hAnsi="Cambria"/>
          <w:bCs/>
          <w:sz w:val="20"/>
          <w:szCs w:val="20"/>
          <w:bdr w:val="none" w:sz="0" w:space="0" w:color="auto"/>
          <w:lang w:val="es-ES"/>
        </w:rPr>
        <w:t xml:space="preserve">El primer </w:t>
      </w:r>
      <w:r w:rsidR="00A4387B" w:rsidRPr="00A16D62">
        <w:rPr>
          <w:rFonts w:ascii="Cambria" w:eastAsia="Times New Roman" w:hAnsi="Cambria"/>
          <w:bCs/>
          <w:sz w:val="20"/>
          <w:szCs w:val="20"/>
          <w:bdr w:val="none" w:sz="0" w:space="0" w:color="auto"/>
          <w:lang w:val="es-ES"/>
        </w:rPr>
        <w:t>program</w:t>
      </w:r>
      <w:r w:rsidR="00E450D5" w:rsidRPr="00A16D62">
        <w:rPr>
          <w:rFonts w:ascii="Cambria" w:eastAsia="Times New Roman" w:hAnsi="Cambria"/>
          <w:bCs/>
          <w:sz w:val="20"/>
          <w:szCs w:val="20"/>
          <w:bdr w:val="none" w:sz="0" w:space="0" w:color="auto"/>
          <w:lang w:val="es-ES"/>
        </w:rPr>
        <w:t>a</w:t>
      </w:r>
      <w:r w:rsidR="00A4387B" w:rsidRPr="00A16D62">
        <w:rPr>
          <w:rFonts w:ascii="Cambria" w:eastAsia="Times New Roman" w:hAnsi="Cambria"/>
          <w:bCs/>
          <w:sz w:val="20"/>
          <w:szCs w:val="20"/>
          <w:bdr w:val="none" w:sz="0" w:space="0" w:color="auto"/>
          <w:lang w:val="es-ES"/>
        </w:rPr>
        <w:t xml:space="preserve">, </w:t>
      </w:r>
      <w:r w:rsidR="00C203E5" w:rsidRPr="00A16D62">
        <w:rPr>
          <w:rFonts w:ascii="Cambria" w:eastAsia="Times New Roman" w:hAnsi="Cambria"/>
          <w:bCs/>
          <w:sz w:val="20"/>
          <w:szCs w:val="20"/>
          <w:bdr w:val="none" w:sz="0" w:space="0" w:color="auto"/>
          <w:lang w:val="es-ES"/>
        </w:rPr>
        <w:t xml:space="preserve">Beneficios de </w:t>
      </w:r>
      <w:r w:rsidR="00AE7FB4" w:rsidRPr="00A16D62">
        <w:rPr>
          <w:rFonts w:ascii="Cambria" w:eastAsia="Times New Roman" w:hAnsi="Cambria"/>
          <w:bCs/>
          <w:sz w:val="20"/>
          <w:szCs w:val="20"/>
          <w:bdr w:val="none" w:sz="0" w:space="0" w:color="auto"/>
          <w:lang w:val="es-ES"/>
        </w:rPr>
        <w:t xml:space="preserve">Seguridad </w:t>
      </w:r>
      <w:r w:rsidR="00C203E5" w:rsidRPr="00A16D62">
        <w:rPr>
          <w:rFonts w:ascii="Cambria" w:eastAsia="Times New Roman" w:hAnsi="Cambria"/>
          <w:bCs/>
          <w:sz w:val="20"/>
          <w:szCs w:val="20"/>
          <w:bdr w:val="none" w:sz="0" w:space="0" w:color="auto"/>
          <w:lang w:val="es-ES"/>
        </w:rPr>
        <w:t>S</w:t>
      </w:r>
      <w:r w:rsidR="00AE7FB4" w:rsidRPr="00A16D62">
        <w:rPr>
          <w:rFonts w:ascii="Cambria" w:eastAsia="Times New Roman" w:hAnsi="Cambria"/>
          <w:bCs/>
          <w:sz w:val="20"/>
          <w:szCs w:val="20"/>
          <w:bdr w:val="none" w:sz="0" w:space="0" w:color="auto"/>
          <w:lang w:val="es-ES"/>
        </w:rPr>
        <w:t>ocial</w:t>
      </w:r>
      <w:r w:rsidR="00A4387B" w:rsidRPr="00A16D62">
        <w:rPr>
          <w:rFonts w:ascii="Cambria" w:eastAsia="Times New Roman" w:hAnsi="Cambria"/>
          <w:bCs/>
          <w:sz w:val="20"/>
          <w:szCs w:val="20"/>
          <w:bdr w:val="none" w:sz="0" w:space="0" w:color="auto"/>
          <w:lang w:val="es-ES"/>
        </w:rPr>
        <w:t xml:space="preserve"> </w:t>
      </w:r>
      <w:r w:rsidR="00C203E5" w:rsidRPr="00A16D62">
        <w:rPr>
          <w:rFonts w:ascii="Cambria" w:eastAsia="Times New Roman" w:hAnsi="Cambria"/>
          <w:bCs/>
          <w:sz w:val="20"/>
          <w:szCs w:val="20"/>
          <w:bdr w:val="none" w:sz="0" w:space="0" w:color="auto"/>
          <w:lang w:val="es-ES"/>
        </w:rPr>
        <w:t xml:space="preserve">por Discapacidad </w:t>
      </w:r>
      <w:r w:rsidR="00A4387B" w:rsidRPr="00A16D62">
        <w:rPr>
          <w:rFonts w:ascii="Cambria" w:eastAsia="Times New Roman" w:hAnsi="Cambria"/>
          <w:bCs/>
          <w:sz w:val="20"/>
          <w:szCs w:val="20"/>
          <w:bdr w:val="none" w:sz="0" w:space="0" w:color="auto"/>
          <w:lang w:val="es-ES"/>
        </w:rPr>
        <w:t xml:space="preserve">(SSDI), </w:t>
      </w:r>
      <w:r w:rsidR="00C203E5" w:rsidRPr="00A16D62">
        <w:rPr>
          <w:rFonts w:ascii="Cambria" w:eastAsia="Times New Roman" w:hAnsi="Cambria"/>
          <w:bCs/>
          <w:sz w:val="20"/>
          <w:szCs w:val="20"/>
          <w:bdr w:val="none" w:sz="0" w:space="0" w:color="auto"/>
          <w:lang w:val="es-ES"/>
        </w:rPr>
        <w:t xml:space="preserve">que paga prestaciones a </w:t>
      </w:r>
      <w:r w:rsidR="007B4310" w:rsidRPr="00A16D62">
        <w:rPr>
          <w:rFonts w:ascii="Cambria" w:eastAsia="Times New Roman" w:hAnsi="Cambria"/>
          <w:bCs/>
          <w:sz w:val="20"/>
          <w:szCs w:val="20"/>
          <w:bdr w:val="none" w:sz="0" w:space="0" w:color="auto"/>
          <w:lang w:val="es-ES"/>
        </w:rPr>
        <w:t>trabajadores</w:t>
      </w:r>
      <w:r w:rsidR="00A4387B" w:rsidRPr="00A16D62">
        <w:rPr>
          <w:rFonts w:ascii="Cambria" w:eastAsia="Times New Roman" w:hAnsi="Cambria"/>
          <w:bCs/>
          <w:sz w:val="20"/>
          <w:szCs w:val="20"/>
          <w:bdr w:val="none" w:sz="0" w:space="0" w:color="auto"/>
          <w:lang w:val="es-ES"/>
        </w:rPr>
        <w:t xml:space="preserve"> </w:t>
      </w:r>
      <w:r w:rsidR="00C203E5" w:rsidRPr="00A16D62">
        <w:rPr>
          <w:rFonts w:ascii="Cambria" w:eastAsia="Times New Roman" w:hAnsi="Cambria"/>
          <w:bCs/>
          <w:sz w:val="20"/>
          <w:szCs w:val="20"/>
          <w:bdr w:val="none" w:sz="0" w:space="0" w:color="auto"/>
          <w:lang w:val="es-ES"/>
        </w:rPr>
        <w:t>lesionados y a sus familiares, puede usarse solamente si la persona trabajó el número requerido de trimestres antes de presentar el reclamo</w:t>
      </w:r>
      <w:r w:rsidR="00F766CD" w:rsidRPr="00A16D62">
        <w:rPr>
          <w:rStyle w:val="FootnoteReference"/>
          <w:rFonts w:ascii="Cambria" w:eastAsia="Times New Roman" w:hAnsi="Cambria"/>
          <w:bCs/>
          <w:sz w:val="20"/>
          <w:szCs w:val="20"/>
          <w:bdr w:val="none" w:sz="0" w:space="0" w:color="auto"/>
          <w:lang w:val="es-ES"/>
        </w:rPr>
        <w:footnoteReference w:id="149"/>
      </w:r>
      <w:r w:rsidR="00C203E5" w:rsidRPr="00A16D62">
        <w:rPr>
          <w:rFonts w:ascii="Cambria" w:eastAsia="Times New Roman" w:hAnsi="Cambria"/>
          <w:bCs/>
          <w:sz w:val="20"/>
          <w:szCs w:val="20"/>
          <w:bdr w:val="none" w:sz="0" w:space="0" w:color="auto"/>
          <w:lang w:val="es-ES"/>
        </w:rPr>
        <w:t xml:space="preserve">. El número de trimestres requerido depende de la edad que tenía la persona en el momento en que se produjo el suceso causante de la discapacidad. En los casos de los señores </w:t>
      </w:r>
      <w:r w:rsidR="00F766CD" w:rsidRPr="00A16D62">
        <w:rPr>
          <w:rFonts w:ascii="Cambria" w:eastAsia="Times New Roman" w:hAnsi="Cambria"/>
          <w:bCs/>
          <w:sz w:val="20"/>
          <w:szCs w:val="20"/>
          <w:bdr w:val="none" w:sz="0" w:space="0" w:color="auto"/>
          <w:lang w:val="es-ES"/>
        </w:rPr>
        <w:t xml:space="preserve">Zumaya </w:t>
      </w:r>
      <w:r w:rsidR="00C203E5" w:rsidRPr="00A16D62">
        <w:rPr>
          <w:rFonts w:ascii="Cambria" w:eastAsia="Times New Roman" w:hAnsi="Cambria"/>
          <w:bCs/>
          <w:sz w:val="20"/>
          <w:szCs w:val="20"/>
          <w:bdr w:val="none" w:sz="0" w:space="0" w:color="auto"/>
          <w:lang w:val="es-ES"/>
        </w:rPr>
        <w:t xml:space="preserve">y </w:t>
      </w:r>
      <w:r w:rsidR="00F766CD" w:rsidRPr="00A16D62">
        <w:rPr>
          <w:rFonts w:ascii="Cambria" w:eastAsia="Times New Roman" w:hAnsi="Cambria"/>
          <w:bCs/>
          <w:sz w:val="20"/>
          <w:szCs w:val="20"/>
          <w:bdr w:val="none" w:sz="0" w:space="0" w:color="auto"/>
          <w:lang w:val="es-ES"/>
        </w:rPr>
        <w:t xml:space="preserve">Lizalde, </w:t>
      </w:r>
      <w:r w:rsidR="00C203E5" w:rsidRPr="00A16D62">
        <w:rPr>
          <w:rFonts w:ascii="Cambria" w:eastAsia="Times New Roman" w:hAnsi="Cambria"/>
          <w:bCs/>
          <w:sz w:val="20"/>
          <w:szCs w:val="20"/>
          <w:bdr w:val="none" w:sz="0" w:space="0" w:color="auto"/>
          <w:lang w:val="es-ES"/>
        </w:rPr>
        <w:t xml:space="preserve">el número requerido habría sido </w:t>
      </w:r>
      <w:r w:rsidR="00F766CD" w:rsidRPr="00A16D62">
        <w:rPr>
          <w:rFonts w:ascii="Cambria" w:eastAsia="Times New Roman" w:hAnsi="Cambria"/>
          <w:bCs/>
          <w:sz w:val="20"/>
          <w:szCs w:val="20"/>
          <w:bdr w:val="none" w:sz="0" w:space="0" w:color="auto"/>
          <w:lang w:val="es-ES"/>
        </w:rPr>
        <w:t xml:space="preserve">20 </w:t>
      </w:r>
      <w:r w:rsidR="00C203E5" w:rsidRPr="00A16D62">
        <w:rPr>
          <w:rFonts w:ascii="Cambria" w:eastAsia="Times New Roman" w:hAnsi="Cambria"/>
          <w:bCs/>
          <w:sz w:val="20"/>
          <w:szCs w:val="20"/>
          <w:bdr w:val="none" w:sz="0" w:space="0" w:color="auto"/>
          <w:lang w:val="es-ES"/>
        </w:rPr>
        <w:t>trimestres, es decir, cinco años</w:t>
      </w:r>
      <w:r w:rsidR="00A4387B" w:rsidRPr="00A16D62">
        <w:rPr>
          <w:rStyle w:val="FootnoteReference"/>
          <w:rFonts w:ascii="Cambria" w:eastAsia="Times New Roman" w:hAnsi="Cambria"/>
          <w:bCs/>
          <w:sz w:val="20"/>
          <w:szCs w:val="20"/>
          <w:bdr w:val="none" w:sz="0" w:space="0" w:color="auto"/>
          <w:lang w:val="es-ES"/>
        </w:rPr>
        <w:footnoteReference w:id="150"/>
      </w:r>
      <w:r w:rsidR="00C203E5" w:rsidRPr="00A16D62">
        <w:rPr>
          <w:rFonts w:ascii="Cambria" w:eastAsia="Times New Roman" w:hAnsi="Cambria"/>
          <w:bCs/>
          <w:sz w:val="20"/>
          <w:szCs w:val="20"/>
          <w:bdr w:val="none" w:sz="0" w:space="0" w:color="auto"/>
          <w:lang w:val="es-ES"/>
        </w:rPr>
        <w:t xml:space="preserve">. El segundo programa, </w:t>
      </w:r>
      <w:r w:rsidR="00E450D5" w:rsidRPr="00A16D62">
        <w:rPr>
          <w:rFonts w:ascii="Cambria" w:eastAsia="Times New Roman" w:hAnsi="Cambria"/>
          <w:bCs/>
          <w:sz w:val="20"/>
          <w:szCs w:val="20"/>
          <w:bdr w:val="none" w:sz="0" w:space="0" w:color="auto"/>
          <w:lang w:val="es-ES"/>
        </w:rPr>
        <w:t>Seguridad de Ingreso Suplementario</w:t>
      </w:r>
      <w:r w:rsidR="009F5921" w:rsidRPr="00A16D62">
        <w:rPr>
          <w:rFonts w:ascii="Cambria" w:eastAsia="Times New Roman" w:hAnsi="Cambria"/>
          <w:bCs/>
          <w:sz w:val="20"/>
          <w:szCs w:val="20"/>
          <w:bdr w:val="none" w:sz="0" w:space="0" w:color="auto"/>
          <w:lang w:val="es-ES"/>
        </w:rPr>
        <w:t xml:space="preserve"> (SSI), </w:t>
      </w:r>
      <w:r w:rsidR="00C203E5" w:rsidRPr="00A16D62">
        <w:rPr>
          <w:rFonts w:ascii="Cambria" w:eastAsia="Times New Roman" w:hAnsi="Cambria"/>
          <w:bCs/>
          <w:sz w:val="20"/>
          <w:szCs w:val="20"/>
          <w:bdr w:val="none" w:sz="0" w:space="0" w:color="auto"/>
          <w:lang w:val="es-ES"/>
        </w:rPr>
        <w:t xml:space="preserve">efectúa pagos mensuales a personas que tienen bajos ingresos y escasos recursos y que son mayores de </w:t>
      </w:r>
      <w:r w:rsidR="00855D20" w:rsidRPr="00A16D62">
        <w:rPr>
          <w:rFonts w:ascii="Cambria" w:eastAsia="Times New Roman" w:hAnsi="Cambria"/>
          <w:bCs/>
          <w:sz w:val="20"/>
          <w:szCs w:val="20"/>
          <w:bdr w:val="none" w:sz="0" w:space="0" w:color="auto"/>
          <w:lang w:val="es-ES"/>
        </w:rPr>
        <w:t xml:space="preserve">65 </w:t>
      </w:r>
      <w:r w:rsidR="00C203E5" w:rsidRPr="00A16D62">
        <w:rPr>
          <w:rFonts w:ascii="Cambria" w:eastAsia="Times New Roman" w:hAnsi="Cambria"/>
          <w:bCs/>
          <w:sz w:val="20"/>
          <w:szCs w:val="20"/>
          <w:bdr w:val="none" w:sz="0" w:space="0" w:color="auto"/>
          <w:lang w:val="es-ES"/>
        </w:rPr>
        <w:t>años, ciegas o discapacitadas. Tratándose de una persona que no sea ciudadana</w:t>
      </w:r>
      <w:r w:rsidR="00855D20" w:rsidRPr="00A16D62">
        <w:rPr>
          <w:rFonts w:ascii="Cambria" w:eastAsia="Times New Roman" w:hAnsi="Cambria"/>
          <w:bCs/>
          <w:sz w:val="20"/>
          <w:szCs w:val="20"/>
          <w:bdr w:val="none" w:sz="0" w:space="0" w:color="auto"/>
          <w:lang w:val="es-ES"/>
        </w:rPr>
        <w:t xml:space="preserve">, </w:t>
      </w:r>
      <w:r w:rsidR="00C203E5" w:rsidRPr="00A16D62">
        <w:rPr>
          <w:rFonts w:ascii="Cambria" w:eastAsia="Times New Roman" w:hAnsi="Cambria"/>
          <w:bCs/>
          <w:sz w:val="20"/>
          <w:szCs w:val="20"/>
          <w:bdr w:val="none" w:sz="0" w:space="0" w:color="auto"/>
          <w:lang w:val="es-ES"/>
        </w:rPr>
        <w:t xml:space="preserve">debe demostrar que es </w:t>
      </w:r>
      <w:r w:rsidR="00F93768" w:rsidRPr="00A16D62">
        <w:rPr>
          <w:rFonts w:ascii="Cambria" w:eastAsia="Times New Roman" w:hAnsi="Cambria"/>
          <w:bCs/>
          <w:sz w:val="20"/>
          <w:szCs w:val="20"/>
          <w:bdr w:val="none" w:sz="0" w:space="0" w:color="auto"/>
          <w:lang w:val="es-ES"/>
        </w:rPr>
        <w:t>un “extranjero calificado” y que también cumple una de las condiciones que permite a los extranjeros calificados recibir prestaciones del programa de Seguridad de Ingreso Suplementario</w:t>
      </w:r>
      <w:r w:rsidR="009F5921" w:rsidRPr="00A16D62">
        <w:rPr>
          <w:rStyle w:val="FootnoteReference"/>
          <w:rFonts w:ascii="Cambria" w:eastAsia="Times New Roman" w:hAnsi="Cambria"/>
          <w:bCs/>
          <w:sz w:val="20"/>
          <w:szCs w:val="20"/>
          <w:bdr w:val="none" w:sz="0" w:space="0" w:color="auto"/>
          <w:lang w:val="es-ES"/>
        </w:rPr>
        <w:footnoteReference w:id="151"/>
      </w:r>
      <w:r w:rsidR="00F93768" w:rsidRPr="00A16D62">
        <w:rPr>
          <w:rFonts w:ascii="Cambria" w:eastAsia="Times New Roman" w:hAnsi="Cambria"/>
          <w:bCs/>
          <w:sz w:val="20"/>
          <w:szCs w:val="20"/>
          <w:bdr w:val="none" w:sz="0" w:space="0" w:color="auto"/>
          <w:lang w:val="es-ES"/>
        </w:rPr>
        <w:t>.</w:t>
      </w:r>
      <w:r w:rsidR="009A2DB6" w:rsidRPr="00A16D62">
        <w:rPr>
          <w:rFonts w:ascii="Cambria" w:eastAsia="Times New Roman" w:hAnsi="Cambria"/>
          <w:bCs/>
          <w:sz w:val="20"/>
          <w:szCs w:val="20"/>
          <w:bdr w:val="none" w:sz="0" w:space="0" w:color="auto"/>
          <w:lang w:val="es-ES"/>
        </w:rPr>
        <w:t xml:space="preserve"> </w:t>
      </w:r>
    </w:p>
    <w:p w:rsidR="00923948" w:rsidRPr="00A16D62" w:rsidRDefault="00923948" w:rsidP="0092394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D07A23" w:rsidRPr="00A16D62" w:rsidRDefault="00730647" w:rsidP="00BA43C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A16D62">
        <w:rPr>
          <w:rFonts w:ascii="Cambria" w:eastAsia="Times New Roman" w:hAnsi="Cambria"/>
          <w:bCs/>
          <w:sz w:val="20"/>
          <w:szCs w:val="20"/>
          <w:bdr w:val="none" w:sz="0" w:space="0" w:color="auto"/>
          <w:lang w:val="es-ES"/>
        </w:rPr>
        <w:t xml:space="preserve">Por lo tanto, en vista de que ni </w:t>
      </w:r>
      <w:r w:rsidR="007F4530" w:rsidRPr="00A16D62">
        <w:rPr>
          <w:rFonts w:ascii="Cambria" w:eastAsia="Times New Roman" w:hAnsi="Cambria"/>
          <w:bCs/>
          <w:sz w:val="20"/>
          <w:szCs w:val="20"/>
          <w:bdr w:val="none" w:sz="0" w:space="0" w:color="auto"/>
          <w:lang w:val="es-ES"/>
        </w:rPr>
        <w:t>el señor</w:t>
      </w:r>
      <w:r w:rsidR="00901DB8" w:rsidRPr="00A16D62">
        <w:rPr>
          <w:rFonts w:ascii="Cambria" w:eastAsia="Times New Roman" w:hAnsi="Cambria"/>
          <w:bCs/>
          <w:sz w:val="20"/>
          <w:szCs w:val="20"/>
          <w:bdr w:val="none" w:sz="0" w:space="0" w:color="auto"/>
          <w:lang w:val="es-ES"/>
        </w:rPr>
        <w:t xml:space="preserve"> Zumaya n</w:t>
      </w:r>
      <w:r w:rsidRPr="00A16D62">
        <w:rPr>
          <w:rFonts w:ascii="Cambria" w:eastAsia="Times New Roman" w:hAnsi="Cambria"/>
          <w:bCs/>
          <w:sz w:val="20"/>
          <w:szCs w:val="20"/>
          <w:bdr w:val="none" w:sz="0" w:space="0" w:color="auto"/>
          <w:lang w:val="es-ES"/>
        </w:rPr>
        <w:t xml:space="preserve">i </w:t>
      </w:r>
      <w:r w:rsidR="007F4530" w:rsidRPr="00A16D62">
        <w:rPr>
          <w:rFonts w:ascii="Cambria" w:eastAsia="Times New Roman" w:hAnsi="Cambria"/>
          <w:bCs/>
          <w:sz w:val="20"/>
          <w:szCs w:val="20"/>
          <w:bdr w:val="none" w:sz="0" w:space="0" w:color="auto"/>
          <w:lang w:val="es-ES"/>
        </w:rPr>
        <w:t>el señor</w:t>
      </w:r>
      <w:r w:rsidR="00901DB8" w:rsidRPr="00A16D62">
        <w:rPr>
          <w:rFonts w:ascii="Cambria" w:eastAsia="Times New Roman" w:hAnsi="Cambria"/>
          <w:bCs/>
          <w:sz w:val="20"/>
          <w:szCs w:val="20"/>
          <w:bdr w:val="none" w:sz="0" w:space="0" w:color="auto"/>
          <w:lang w:val="es-ES"/>
        </w:rPr>
        <w:t xml:space="preserve"> Lizalde </w:t>
      </w:r>
      <w:r w:rsidRPr="00A16D62">
        <w:rPr>
          <w:rFonts w:ascii="Cambria" w:eastAsia="Times New Roman" w:hAnsi="Cambria"/>
          <w:bCs/>
          <w:sz w:val="20"/>
          <w:szCs w:val="20"/>
          <w:bdr w:val="none" w:sz="0" w:space="0" w:color="auto"/>
          <w:lang w:val="es-ES"/>
        </w:rPr>
        <w:t xml:space="preserve">podían recibir prestaciones integrales en el marco de los programas de </w:t>
      </w:r>
      <w:r w:rsidR="007B4310" w:rsidRPr="00A16D62">
        <w:rPr>
          <w:rFonts w:ascii="Cambria" w:eastAsia="Times New Roman" w:hAnsi="Cambria"/>
          <w:bCs/>
          <w:sz w:val="20"/>
          <w:szCs w:val="20"/>
          <w:bdr w:val="none" w:sz="0" w:space="0" w:color="auto"/>
          <w:lang w:val="es-ES"/>
        </w:rPr>
        <w:t>indemnización por accidentes de trabajo</w:t>
      </w:r>
      <w:r w:rsidR="00901D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 </w:t>
      </w:r>
      <w:r w:rsidR="003E2C91" w:rsidRPr="00A16D62">
        <w:rPr>
          <w:rFonts w:ascii="Cambria" w:eastAsia="Times New Roman" w:hAnsi="Cambria"/>
          <w:bCs/>
          <w:sz w:val="20"/>
          <w:szCs w:val="20"/>
          <w:bdr w:val="none" w:sz="0" w:space="0" w:color="auto"/>
          <w:lang w:val="es-ES"/>
        </w:rPr>
        <w:t>Pensilvania</w:t>
      </w:r>
      <w:r w:rsidR="00901D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y</w:t>
      </w:r>
      <w:r w:rsidR="00901DB8" w:rsidRPr="00A16D62">
        <w:rPr>
          <w:rFonts w:ascii="Cambria" w:eastAsia="Times New Roman" w:hAnsi="Cambria"/>
          <w:bCs/>
          <w:sz w:val="20"/>
          <w:szCs w:val="20"/>
          <w:bdr w:val="none" w:sz="0" w:space="0" w:color="auto"/>
          <w:lang w:val="es-ES"/>
        </w:rPr>
        <w:t xml:space="preserve"> Kansas, respectiv</w:t>
      </w:r>
      <w:r w:rsidRPr="00A16D62">
        <w:rPr>
          <w:rFonts w:ascii="Cambria" w:eastAsia="Times New Roman" w:hAnsi="Cambria"/>
          <w:bCs/>
          <w:sz w:val="20"/>
          <w:szCs w:val="20"/>
          <w:bdr w:val="none" w:sz="0" w:space="0" w:color="auto"/>
          <w:lang w:val="es-ES"/>
        </w:rPr>
        <w:t>amente</w:t>
      </w:r>
      <w:r w:rsidR="00901D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y debido a las decisiones contrarias emitidas por los tribunales</w:t>
      </w:r>
      <w:r w:rsidR="00901DB8" w:rsidRPr="00A16D62">
        <w:rPr>
          <w:rFonts w:ascii="Cambria" w:eastAsia="Times New Roman" w:hAnsi="Cambria"/>
          <w:bCs/>
          <w:sz w:val="20"/>
          <w:szCs w:val="20"/>
          <w:bdr w:val="none" w:sz="0" w:space="0" w:color="auto"/>
          <w:lang w:val="es-ES"/>
        </w:rPr>
        <w:t xml:space="preserve"> federal</w:t>
      </w:r>
      <w:r w:rsidRPr="00A16D62">
        <w:rPr>
          <w:rFonts w:ascii="Cambria" w:eastAsia="Times New Roman" w:hAnsi="Cambria"/>
          <w:bCs/>
          <w:sz w:val="20"/>
          <w:szCs w:val="20"/>
          <w:bdr w:val="none" w:sz="0" w:space="0" w:color="auto"/>
          <w:lang w:val="es-ES"/>
        </w:rPr>
        <w:t>es y estatales en relación con el asunto</w:t>
      </w:r>
      <w:r w:rsidR="00901DB8" w:rsidRPr="00A16D62">
        <w:rPr>
          <w:rFonts w:ascii="Cambria" w:eastAsia="Times New Roman" w:hAnsi="Cambria"/>
          <w:bCs/>
          <w:sz w:val="20"/>
          <w:szCs w:val="20"/>
          <w:bdr w:val="none" w:sz="0" w:space="0" w:color="auto"/>
          <w:lang w:val="es-ES"/>
        </w:rPr>
        <w:t xml:space="preserve">, </w:t>
      </w:r>
      <w:r w:rsidR="001C1F5D" w:rsidRPr="00A16D62">
        <w:rPr>
          <w:rFonts w:ascii="Cambria" w:eastAsia="Times New Roman" w:hAnsi="Cambria"/>
          <w:bCs/>
          <w:sz w:val="20"/>
          <w:szCs w:val="20"/>
          <w:bdr w:val="none" w:sz="0" w:space="0" w:color="auto"/>
          <w:lang w:val="es-ES"/>
        </w:rPr>
        <w:t>la CIDH</w:t>
      </w:r>
      <w:r w:rsidR="00901D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concluye que</w:t>
      </w:r>
      <w:r w:rsidR="00901DB8" w:rsidRPr="00A16D62">
        <w:rPr>
          <w:rFonts w:ascii="Cambria" w:eastAsia="Times New Roman" w:hAnsi="Cambria"/>
          <w:bCs/>
          <w:sz w:val="20"/>
          <w:szCs w:val="20"/>
          <w:bdr w:val="none" w:sz="0" w:space="0" w:color="auto"/>
          <w:lang w:val="es-ES"/>
        </w:rPr>
        <w:t xml:space="preserve"> </w:t>
      </w:r>
      <w:r w:rsidR="007E4498" w:rsidRPr="00A16D62">
        <w:rPr>
          <w:rFonts w:ascii="Cambria" w:eastAsia="Times New Roman" w:hAnsi="Cambria"/>
          <w:bCs/>
          <w:sz w:val="20"/>
          <w:szCs w:val="20"/>
          <w:bdr w:val="none" w:sz="0" w:space="0" w:color="auto"/>
          <w:lang w:val="es-ES"/>
        </w:rPr>
        <w:t>Estados Unidos</w:t>
      </w:r>
      <w:r w:rsidR="00901D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no ha asegurado el </w:t>
      </w:r>
      <w:r w:rsidR="007E4498" w:rsidRPr="00A16D62">
        <w:rPr>
          <w:rFonts w:ascii="Cambria" w:eastAsia="Times New Roman" w:hAnsi="Cambria"/>
          <w:bCs/>
          <w:sz w:val="20"/>
          <w:szCs w:val="20"/>
          <w:bdr w:val="none" w:sz="0" w:space="0" w:color="auto"/>
          <w:lang w:val="es-ES"/>
        </w:rPr>
        <w:t>derecho a la seguridad social</w:t>
      </w:r>
      <w:r w:rsidR="00901D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de estos dos </w:t>
      </w:r>
      <w:r w:rsidR="007B4310" w:rsidRPr="00A16D62">
        <w:rPr>
          <w:rFonts w:ascii="Cambria" w:eastAsia="Times New Roman" w:hAnsi="Cambria"/>
          <w:bCs/>
          <w:sz w:val="20"/>
          <w:szCs w:val="20"/>
          <w:bdr w:val="none" w:sz="0" w:space="0" w:color="auto"/>
          <w:lang w:val="es-ES"/>
        </w:rPr>
        <w:t>trabajadores</w:t>
      </w:r>
      <w:r w:rsidR="00901D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Por lo tanto</w:t>
      </w:r>
      <w:r w:rsidR="00901DB8" w:rsidRPr="00A16D62">
        <w:rPr>
          <w:rFonts w:ascii="Cambria" w:eastAsia="Times New Roman" w:hAnsi="Cambria"/>
          <w:bCs/>
          <w:sz w:val="20"/>
          <w:szCs w:val="20"/>
          <w:bdr w:val="none" w:sz="0" w:space="0" w:color="auto"/>
          <w:lang w:val="es-ES"/>
        </w:rPr>
        <w:t xml:space="preserve">, </w:t>
      </w:r>
      <w:r w:rsidR="00180125" w:rsidRPr="00A16D62">
        <w:rPr>
          <w:rFonts w:ascii="Cambria" w:eastAsia="Times New Roman" w:hAnsi="Cambria"/>
          <w:bCs/>
          <w:sz w:val="20"/>
          <w:szCs w:val="20"/>
          <w:bdr w:val="none" w:sz="0" w:space="0" w:color="auto"/>
          <w:lang w:val="es-ES"/>
        </w:rPr>
        <w:t>la Comisión</w:t>
      </w:r>
      <w:r w:rsidR="00901D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concluye que </w:t>
      </w:r>
      <w:r w:rsidR="00180125" w:rsidRPr="00A16D62">
        <w:rPr>
          <w:rFonts w:ascii="Cambria" w:eastAsia="Times New Roman" w:hAnsi="Cambria"/>
          <w:bCs/>
          <w:sz w:val="20"/>
          <w:szCs w:val="20"/>
          <w:bdr w:val="none" w:sz="0" w:space="0" w:color="auto"/>
          <w:lang w:val="es-ES"/>
        </w:rPr>
        <w:t>el Estado</w:t>
      </w:r>
      <w:r w:rsidR="00901DB8" w:rsidRPr="00A16D62">
        <w:rPr>
          <w:rFonts w:ascii="Cambria" w:eastAsia="Times New Roman" w:hAnsi="Cambria"/>
          <w:bCs/>
          <w:sz w:val="20"/>
          <w:szCs w:val="20"/>
          <w:bdr w:val="none" w:sz="0" w:space="0" w:color="auto"/>
          <w:lang w:val="es-ES"/>
        </w:rPr>
        <w:t xml:space="preserve"> ha</w:t>
      </w:r>
      <w:r w:rsidRPr="00A16D62">
        <w:rPr>
          <w:rFonts w:ascii="Cambria" w:eastAsia="Times New Roman" w:hAnsi="Cambria"/>
          <w:bCs/>
          <w:sz w:val="20"/>
          <w:szCs w:val="20"/>
          <w:bdr w:val="none" w:sz="0" w:space="0" w:color="auto"/>
          <w:lang w:val="es-ES"/>
        </w:rPr>
        <w:t xml:space="preserve"> violado el </w:t>
      </w:r>
      <w:r w:rsidR="00811F92" w:rsidRPr="00A16D62">
        <w:rPr>
          <w:rFonts w:ascii="Cambria" w:eastAsia="Times New Roman" w:hAnsi="Cambria"/>
          <w:bCs/>
          <w:sz w:val="20"/>
          <w:szCs w:val="20"/>
          <w:bdr w:val="none" w:sz="0" w:space="0" w:color="auto"/>
          <w:lang w:val="es-ES"/>
        </w:rPr>
        <w:t>artículo</w:t>
      </w:r>
      <w:r w:rsidR="00901DB8" w:rsidRPr="00A16D62">
        <w:rPr>
          <w:rFonts w:ascii="Cambria" w:eastAsia="Times New Roman" w:hAnsi="Cambria"/>
          <w:bCs/>
          <w:sz w:val="20"/>
          <w:szCs w:val="20"/>
          <w:bdr w:val="none" w:sz="0" w:space="0" w:color="auto"/>
          <w:lang w:val="es-ES"/>
        </w:rPr>
        <w:t xml:space="preserve"> XVI </w:t>
      </w:r>
      <w:r w:rsidRPr="00A16D62">
        <w:rPr>
          <w:rFonts w:ascii="Cambria" w:eastAsia="Times New Roman" w:hAnsi="Cambria"/>
          <w:bCs/>
          <w:sz w:val="20"/>
          <w:szCs w:val="20"/>
          <w:bdr w:val="none" w:sz="0" w:space="0" w:color="auto"/>
          <w:lang w:val="es-ES"/>
        </w:rPr>
        <w:t xml:space="preserve">de la </w:t>
      </w:r>
      <w:r w:rsidR="00811F92" w:rsidRPr="00A16D62">
        <w:rPr>
          <w:rFonts w:ascii="Cambria" w:eastAsia="Times New Roman" w:hAnsi="Cambria"/>
          <w:bCs/>
          <w:sz w:val="20"/>
          <w:szCs w:val="20"/>
          <w:bdr w:val="none" w:sz="0" w:space="0" w:color="auto"/>
          <w:lang w:val="es-ES"/>
        </w:rPr>
        <w:t>Declaración Americana</w:t>
      </w:r>
      <w:r w:rsidR="00901DB8" w:rsidRPr="00A16D62">
        <w:rPr>
          <w:rFonts w:ascii="Cambria" w:eastAsia="Times New Roman" w:hAnsi="Cambria"/>
          <w:bCs/>
          <w:sz w:val="20"/>
          <w:szCs w:val="20"/>
          <w:bdr w:val="none" w:sz="0" w:space="0" w:color="auto"/>
          <w:lang w:val="es-ES"/>
        </w:rPr>
        <w:t xml:space="preserve"> </w:t>
      </w:r>
      <w:r w:rsidRPr="00A16D62">
        <w:rPr>
          <w:rFonts w:ascii="Cambria" w:eastAsia="Times New Roman" w:hAnsi="Cambria"/>
          <w:bCs/>
          <w:sz w:val="20"/>
          <w:szCs w:val="20"/>
          <w:bdr w:val="none" w:sz="0" w:space="0" w:color="auto"/>
          <w:lang w:val="es-ES"/>
        </w:rPr>
        <w:t xml:space="preserve">en </w:t>
      </w:r>
      <w:r w:rsidR="00901DB8" w:rsidRPr="00A16D62">
        <w:rPr>
          <w:rFonts w:ascii="Cambria" w:eastAsia="Times New Roman" w:hAnsi="Cambria"/>
          <w:bCs/>
          <w:sz w:val="20"/>
          <w:szCs w:val="20"/>
          <w:bdr w:val="none" w:sz="0" w:space="0" w:color="auto"/>
          <w:lang w:val="es-ES"/>
        </w:rPr>
        <w:t>detriment</w:t>
      </w:r>
      <w:r w:rsidRPr="00A16D62">
        <w:rPr>
          <w:rFonts w:ascii="Cambria" w:eastAsia="Times New Roman" w:hAnsi="Cambria"/>
          <w:bCs/>
          <w:sz w:val="20"/>
          <w:szCs w:val="20"/>
          <w:bdr w:val="none" w:sz="0" w:space="0" w:color="auto"/>
          <w:lang w:val="es-ES"/>
        </w:rPr>
        <w:t>o de los</w:t>
      </w:r>
      <w:r w:rsidR="00901DB8" w:rsidRPr="00A16D62">
        <w:rPr>
          <w:rFonts w:ascii="Cambria" w:eastAsia="Times New Roman" w:hAnsi="Cambria"/>
          <w:bCs/>
          <w:sz w:val="20"/>
          <w:szCs w:val="20"/>
          <w:bdr w:val="none" w:sz="0" w:space="0" w:color="auto"/>
          <w:lang w:val="es-ES"/>
        </w:rPr>
        <w:t xml:space="preserve"> </w:t>
      </w:r>
      <w:r w:rsidR="00F7719D" w:rsidRPr="00A16D62">
        <w:rPr>
          <w:rFonts w:ascii="Cambria" w:eastAsia="Times New Roman" w:hAnsi="Cambria"/>
          <w:bCs/>
          <w:sz w:val="20"/>
          <w:szCs w:val="20"/>
          <w:bdr w:val="none" w:sz="0" w:space="0" w:color="auto"/>
          <w:lang w:val="es-ES"/>
        </w:rPr>
        <w:t>señores Zumaya y Lizalde</w:t>
      </w:r>
      <w:r w:rsidR="00901DB8" w:rsidRPr="00A16D62">
        <w:rPr>
          <w:rFonts w:ascii="Cambria" w:eastAsia="Times New Roman" w:hAnsi="Cambria"/>
          <w:bCs/>
          <w:sz w:val="20"/>
          <w:szCs w:val="20"/>
          <w:bdr w:val="none" w:sz="0" w:space="0" w:color="auto"/>
          <w:lang w:val="es-ES"/>
        </w:rPr>
        <w:t xml:space="preserve">. </w:t>
      </w:r>
    </w:p>
    <w:p w:rsidR="000804B8" w:rsidRDefault="000804B8" w:rsidP="000804B8">
      <w:pPr>
        <w:pStyle w:val="ListParagraph"/>
        <w:rPr>
          <w:rFonts w:eastAsia="Times New Roman"/>
          <w:bCs/>
          <w:sz w:val="20"/>
          <w:szCs w:val="20"/>
          <w:bdr w:val="none" w:sz="0" w:space="0" w:color="auto"/>
          <w:lang w:val="es-ES"/>
        </w:rPr>
      </w:pPr>
    </w:p>
    <w:p w:rsidR="00445DF8" w:rsidRPr="00B164EF" w:rsidRDefault="00445DF8" w:rsidP="00445DF8">
      <w:pPr>
        <w:pStyle w:val="Heading1"/>
        <w:keepNext/>
        <w:ind w:firstLine="720"/>
        <w:rPr>
          <w:lang w:val="es-ES"/>
        </w:rPr>
      </w:pPr>
      <w:bookmarkStart w:id="29" w:name="_Toc467138451"/>
      <w:r w:rsidRPr="00B164EF">
        <w:rPr>
          <w:lang w:val="es-ES"/>
        </w:rPr>
        <w:t xml:space="preserve">VII. </w:t>
      </w:r>
      <w:r w:rsidRPr="00B164EF">
        <w:rPr>
          <w:lang w:val="es-ES"/>
        </w:rPr>
        <w:tab/>
        <w:t>MEDIDAS SUBSIGUIENTES AL INFORME No. 83/15</w:t>
      </w:r>
      <w:bookmarkEnd w:id="29"/>
    </w:p>
    <w:p w:rsidR="00445DF8" w:rsidRPr="00B164EF" w:rsidRDefault="00445DF8" w:rsidP="00445DF8">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445DF8" w:rsidRPr="00B164EF" w:rsidRDefault="00445DF8" w:rsidP="00445DF8">
      <w:pPr>
        <w:keepNex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B164EF">
        <w:rPr>
          <w:rFonts w:ascii="Cambria" w:eastAsia="Times New Roman" w:hAnsi="Cambria"/>
          <w:bCs/>
          <w:sz w:val="20"/>
          <w:szCs w:val="20"/>
          <w:bdr w:val="none" w:sz="0" w:space="0" w:color="auto"/>
          <w:lang w:val="es-ES"/>
        </w:rPr>
        <w:t xml:space="preserve">El 29 de diciembre de 2015, la Comisión Interamericana aprobó electrónicamente el Informe No. 83/15 sobre el fondo en este asunto, que abarca los párrafos 1 a 123 </w:t>
      </w:r>
      <w:r w:rsidRPr="00B164EF">
        <w:rPr>
          <w:rFonts w:ascii="Cambria" w:eastAsia="Times New Roman" w:hAnsi="Cambria"/>
          <w:bCs/>
          <w:i/>
          <w:sz w:val="20"/>
          <w:szCs w:val="20"/>
          <w:bdr w:val="none" w:sz="0" w:space="0" w:color="auto"/>
          <w:lang w:val="es-ES"/>
        </w:rPr>
        <w:t>supra</w:t>
      </w:r>
      <w:r w:rsidRPr="00B164EF">
        <w:rPr>
          <w:rFonts w:ascii="Cambria" w:eastAsia="Times New Roman" w:hAnsi="Cambria"/>
          <w:bCs/>
          <w:sz w:val="20"/>
          <w:szCs w:val="20"/>
          <w:bdr w:val="none" w:sz="0" w:space="0" w:color="auto"/>
          <w:lang w:val="es-ES"/>
        </w:rPr>
        <w:t>, con las siguientes recomendaciones para el Estado:</w:t>
      </w:r>
    </w:p>
    <w:p w:rsidR="00445DF8" w:rsidRPr="00A16D62"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445DF8" w:rsidRPr="00A16D62" w:rsidRDefault="00445DF8" w:rsidP="00445DF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A16D62">
        <w:rPr>
          <w:rFonts w:eastAsia="Times New Roman"/>
          <w:bCs/>
          <w:sz w:val="20"/>
          <w:szCs w:val="20"/>
          <w:bdr w:val="none" w:sz="0" w:space="0" w:color="auto"/>
          <w:lang w:val="es-ES"/>
        </w:rPr>
        <w:lastRenderedPageBreak/>
        <w:t xml:space="preserve"> Que otorgue a los señores Zumaya y Lizalde una compensación pecuniaria adecuada para reparar las violaciones que se confirman en el presente informe;</w:t>
      </w:r>
    </w:p>
    <w:p w:rsidR="00445DF8" w:rsidRPr="00A16D62" w:rsidRDefault="00445DF8" w:rsidP="00445D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500" w:firstLine="720"/>
        <w:jc w:val="both"/>
        <w:rPr>
          <w:rFonts w:eastAsia="Times New Roman"/>
          <w:bCs/>
          <w:sz w:val="20"/>
          <w:szCs w:val="20"/>
          <w:bdr w:val="none" w:sz="0" w:space="0" w:color="auto"/>
          <w:lang w:val="es-ES"/>
        </w:rPr>
      </w:pPr>
    </w:p>
    <w:p w:rsidR="00445DF8" w:rsidRPr="00A16D62" w:rsidRDefault="00445DF8" w:rsidP="00445DF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lang w:val="es-ES"/>
        </w:rPr>
      </w:pPr>
      <w:r w:rsidRPr="00A16D62">
        <w:rPr>
          <w:rFonts w:asciiTheme="majorHAnsi" w:eastAsia="Calibri" w:hAnsiTheme="majorHAnsi"/>
          <w:bCs/>
          <w:sz w:val="20"/>
          <w:szCs w:val="22"/>
          <w:bdr w:val="none" w:sz="0" w:space="0" w:color="auto"/>
          <w:lang w:val="es-ES"/>
        </w:rPr>
        <w:t xml:space="preserve">Que todas las leyes y políticas </w:t>
      </w:r>
      <w:r w:rsidRPr="00A16D62">
        <w:rPr>
          <w:rFonts w:asciiTheme="majorHAnsi" w:eastAsia="Calibri" w:hAnsiTheme="majorHAnsi"/>
          <w:sz w:val="20"/>
          <w:szCs w:val="22"/>
          <w:bdr w:val="none" w:sz="0" w:space="0" w:color="auto"/>
          <w:lang w:val="es-ES"/>
        </w:rPr>
        <w:t xml:space="preserve">federales y estatales, en sí mismas y en la práctica, prohíban toda distinción en el empleo y los derechos laborales basada en la situación migratoria y la autorización para trabajar después que una persona comienza a trabajar como empleado; </w:t>
      </w:r>
    </w:p>
    <w:p w:rsidR="00445DF8" w:rsidRPr="00A16D62" w:rsidRDefault="00445DF8" w:rsidP="00445D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860" w:firstLine="720"/>
        <w:jc w:val="both"/>
        <w:rPr>
          <w:rFonts w:asciiTheme="majorHAnsi" w:eastAsia="Calibri" w:hAnsiTheme="majorHAnsi"/>
          <w:sz w:val="20"/>
          <w:szCs w:val="22"/>
          <w:bdr w:val="none" w:sz="0" w:space="0" w:color="auto"/>
          <w:lang w:val="es-ES"/>
        </w:rPr>
      </w:pPr>
    </w:p>
    <w:p w:rsidR="00445DF8" w:rsidRPr="00A16D62" w:rsidRDefault="00445DF8" w:rsidP="00445DF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A16D62">
        <w:rPr>
          <w:rFonts w:eastAsia="Times New Roman"/>
          <w:bCs/>
          <w:sz w:val="20"/>
          <w:szCs w:val="20"/>
          <w:bdr w:val="none" w:sz="0" w:space="0" w:color="auto"/>
          <w:lang w:val="es-ES"/>
        </w:rPr>
        <w:t>Que prohíba que el empleador haga averiguaciones sobre la situación migratoria de un trabajador que esté haciendo valer sus derechos de empleo y sus derechos laborales en un litigio o en reclamos administrativos;</w:t>
      </w:r>
    </w:p>
    <w:p w:rsidR="00445DF8" w:rsidRPr="00A16D62"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lang w:val="es-ES"/>
        </w:rPr>
      </w:pPr>
    </w:p>
    <w:p w:rsidR="00445DF8" w:rsidRPr="00A16D62" w:rsidRDefault="00445DF8" w:rsidP="00445DF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A16D62">
        <w:rPr>
          <w:rFonts w:eastAsia="Times New Roman"/>
          <w:bCs/>
          <w:sz w:val="20"/>
          <w:szCs w:val="20"/>
          <w:bdr w:val="none" w:sz="0" w:space="0" w:color="auto"/>
          <w:lang w:val="es-ES"/>
        </w:rPr>
        <w:t>Que asegure que a los trabajadores indocumentados se les otorgue los mismos derechos y recursos que a los trabajadores documentados frente a violaciones de sus derechos en el lugar de trabajo;</w:t>
      </w:r>
    </w:p>
    <w:p w:rsidR="00445DF8" w:rsidRPr="00A16D62"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lang w:val="es-ES"/>
        </w:rPr>
      </w:pPr>
    </w:p>
    <w:p w:rsidR="00445DF8" w:rsidRPr="00A16D62" w:rsidRDefault="00445DF8" w:rsidP="00445DF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A16D62">
        <w:rPr>
          <w:rFonts w:eastAsia="Times New Roman"/>
          <w:bCs/>
          <w:sz w:val="20"/>
          <w:szCs w:val="20"/>
          <w:bdr w:val="none" w:sz="0" w:space="0" w:color="auto"/>
          <w:lang w:val="es-ES"/>
        </w:rPr>
        <w:t>Que establezca un procedimiento para que los trabajadores indocumentados que participen en procedimientos para pedir indemnización por accidentes de trabajo, o sus representantes, puedan solicitar la suspensión de su deportación hasta que se resuelva el procedimiento y los trabajadores hayan recibido el tratamiento médico apropiado ordenado por los jueces ante los cuales tramiten los casos; y</w:t>
      </w:r>
    </w:p>
    <w:p w:rsidR="00445DF8" w:rsidRPr="00A16D62"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lang w:val="es-ES"/>
        </w:rPr>
      </w:pPr>
    </w:p>
    <w:p w:rsidR="00445DF8" w:rsidRPr="002E79E4" w:rsidRDefault="00445DF8" w:rsidP="00445DF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2E79E4">
        <w:rPr>
          <w:rFonts w:eastAsia="Times New Roman"/>
          <w:bCs/>
          <w:sz w:val="20"/>
          <w:szCs w:val="20"/>
          <w:bdr w:val="none" w:sz="0" w:space="0" w:color="auto"/>
          <w:lang w:val="es-ES"/>
        </w:rPr>
        <w:t>Que mejore y refuerce la detección de empleadores que exploten a los trabajadores indocumentados y violen sus derechos laborales y les imponga sanciones adecuadas.</w:t>
      </w:r>
    </w:p>
    <w:p w:rsidR="00445DF8" w:rsidRPr="002E79E4" w:rsidRDefault="00445DF8" w:rsidP="00445DF8">
      <w:pPr>
        <w:pStyle w:val="ListParagraph"/>
        <w:rPr>
          <w:rFonts w:eastAsia="Times New Roman"/>
          <w:bCs/>
          <w:sz w:val="20"/>
          <w:szCs w:val="20"/>
          <w:bdr w:val="none" w:sz="0" w:space="0" w:color="auto"/>
          <w:lang w:val="es-ES"/>
        </w:rPr>
      </w:pPr>
    </w:p>
    <w:p w:rsidR="00445DF8" w:rsidRPr="002E79E4" w:rsidRDefault="00445DF8" w:rsidP="00445DF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lang w:val="es-ES"/>
        </w:rPr>
      </w:pPr>
      <w:r w:rsidRPr="002E79E4">
        <w:rPr>
          <w:rFonts w:asciiTheme="majorHAnsi" w:eastAsia="Calibri" w:hAnsiTheme="majorHAnsi"/>
          <w:sz w:val="20"/>
          <w:szCs w:val="22"/>
          <w:bdr w:val="none" w:sz="0" w:space="0" w:color="auto"/>
          <w:lang w:val="es-ES"/>
        </w:rPr>
        <w:t xml:space="preserve">El 21 de enero de 2016, el informe fue transmitido al Estado y se le dio un plazo de dos meses para que informara a la Comisión Interamericana sobre las medidas tomadas para cumplir sus recomendaciones. En esa misma fecha se notificó a los peticionarios sobre la adopción del informe. </w:t>
      </w:r>
    </w:p>
    <w:p w:rsidR="00445DF8" w:rsidRPr="002E79E4"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Calibri" w:hAnsiTheme="majorHAnsi"/>
          <w:sz w:val="20"/>
          <w:szCs w:val="22"/>
          <w:bdr w:val="none" w:sz="0" w:space="0" w:color="auto"/>
          <w:lang w:val="es-ES"/>
        </w:rPr>
      </w:pPr>
    </w:p>
    <w:p w:rsidR="00445DF8" w:rsidRPr="002E79E4" w:rsidRDefault="00445DF8" w:rsidP="00445DF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lang w:val="es-ES"/>
        </w:rPr>
      </w:pPr>
      <w:r w:rsidRPr="002E79E4">
        <w:rPr>
          <w:rFonts w:asciiTheme="majorHAnsi" w:eastAsia="Calibri" w:hAnsiTheme="majorHAnsi"/>
          <w:sz w:val="20"/>
          <w:szCs w:val="22"/>
          <w:bdr w:val="none" w:sz="0" w:space="0" w:color="auto"/>
          <w:lang w:val="es-ES"/>
        </w:rPr>
        <w:t>Mediante carta fechada el 18 de marzo de 2016, Estados Unidos presentó su respuesta. En primer lugar, el Estado afirmó que “varias” de las recomendaciones de la Comisión “ya reflejan las leyes, la política y la acción de Estados Unidos en esta área”, tal como señalara en los escritos que presentó durante la etapa de fondo. En general, el Estado indicó que:</w:t>
      </w:r>
    </w:p>
    <w:p w:rsidR="00445DF8" w:rsidRPr="002E79E4" w:rsidRDefault="00445DF8" w:rsidP="00445DF8">
      <w:pPr>
        <w:pStyle w:val="ListParagraph"/>
        <w:rPr>
          <w:rFonts w:asciiTheme="majorHAnsi" w:eastAsia="Calibri" w:hAnsiTheme="majorHAnsi"/>
          <w:sz w:val="20"/>
          <w:szCs w:val="22"/>
          <w:bdr w:val="none" w:sz="0" w:space="0" w:color="auto"/>
          <w:lang w:val="es-ES"/>
        </w:rPr>
      </w:pPr>
    </w:p>
    <w:p w:rsidR="00445DF8" w:rsidRPr="002E79E4"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720" w:right="720"/>
        <w:jc w:val="both"/>
        <w:rPr>
          <w:rFonts w:asciiTheme="majorHAnsi" w:eastAsia="Calibri" w:hAnsiTheme="majorHAnsi"/>
          <w:sz w:val="20"/>
          <w:szCs w:val="22"/>
          <w:bdr w:val="none" w:sz="0" w:space="0" w:color="auto"/>
          <w:lang w:val="es-ES"/>
        </w:rPr>
      </w:pPr>
      <w:r w:rsidRPr="002E79E4">
        <w:rPr>
          <w:rFonts w:asciiTheme="majorHAnsi" w:eastAsia="Calibri" w:hAnsiTheme="majorHAnsi"/>
          <w:sz w:val="20"/>
          <w:szCs w:val="22"/>
          <w:bdr w:val="none" w:sz="0" w:space="0" w:color="auto"/>
          <w:lang w:val="es-US"/>
        </w:rPr>
        <w:t>[</w:t>
      </w:r>
      <w:r w:rsidRPr="002E79E4">
        <w:rPr>
          <w:rFonts w:asciiTheme="majorHAnsi" w:eastAsia="Calibri" w:hAnsiTheme="majorHAnsi"/>
          <w:sz w:val="20"/>
          <w:szCs w:val="22"/>
          <w:bdr w:val="none" w:sz="0" w:space="0" w:color="auto"/>
          <w:lang w:val="es-ES"/>
        </w:rPr>
        <w:t xml:space="preserve">…] incluyen la aplicación enérgica de un sistema robusto de leyes que protegen los derechos de los trabajadores y prohíben muchas formas de discriminación y represalia contra los trabajadores basadas en su condición de indocumentados; las medidas en marcha para combatir los intentos de los empleadores de revelar la situación migratoria de los trabajadores durante los litigios, la investigación de reclamos y los procedimientos en el ámbito contencioso-administrativo; y la realización de investigaciones en lugares de trabajo y la aplicación de las leyes laborales independientemente de la situación migratoria de los trabajadores. Nuestras leyes y políticas de inmigraciones incluyen salvaguardias para la protección de diversas clases de víctimas y personas vulnerables. Asimismo, nuestras autoridades de inmigraciones colaboran con los organismos del trabajo para velar por la aplicación uniforme de las leyes. </w:t>
      </w:r>
    </w:p>
    <w:p w:rsidR="00445DF8" w:rsidRPr="002E79E4" w:rsidRDefault="00445DF8" w:rsidP="00445DF8">
      <w:pPr>
        <w:pStyle w:val="ListParagraph"/>
        <w:rPr>
          <w:rFonts w:asciiTheme="majorHAnsi" w:eastAsia="Calibri" w:hAnsiTheme="majorHAnsi"/>
          <w:sz w:val="20"/>
          <w:szCs w:val="22"/>
          <w:bdr w:val="none" w:sz="0" w:space="0" w:color="auto"/>
          <w:lang w:val="es-ES"/>
        </w:rPr>
      </w:pPr>
    </w:p>
    <w:p w:rsidR="00445DF8" w:rsidRPr="002E79E4" w:rsidRDefault="00445DF8" w:rsidP="00445DF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lang w:val="es-ES"/>
        </w:rPr>
      </w:pPr>
      <w:r w:rsidRPr="002E79E4">
        <w:rPr>
          <w:rFonts w:asciiTheme="majorHAnsi" w:eastAsia="Calibri" w:hAnsiTheme="majorHAnsi"/>
          <w:sz w:val="20"/>
          <w:szCs w:val="22"/>
          <w:bdr w:val="none" w:sz="0" w:space="0" w:color="auto"/>
          <w:lang w:val="es-ES"/>
        </w:rPr>
        <w:t>Por otra parte, el Estado indicó que el cumplimiento de “otras recomendaciones” del Informe 83/15 “no parece ser factible en el plano federal, ya que implican cuestiones abarcadas por las leyes estatales, cuya puesta en práctica está comprendida en el ámbito de las autoridades estatales o que requieren un cambio en la jurisprudencia federal o estatal”.</w:t>
      </w:r>
    </w:p>
    <w:p w:rsidR="00445DF8" w:rsidRPr="002E79E4"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Calibri" w:hAnsiTheme="majorHAnsi"/>
          <w:sz w:val="20"/>
          <w:szCs w:val="22"/>
          <w:bdr w:val="none" w:sz="0" w:space="0" w:color="auto"/>
          <w:lang w:val="es-ES"/>
        </w:rPr>
      </w:pPr>
    </w:p>
    <w:p w:rsidR="00445DF8" w:rsidRPr="00F6699D" w:rsidRDefault="00445DF8" w:rsidP="00445DF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lang w:val="es-ES"/>
        </w:rPr>
      </w:pPr>
      <w:r w:rsidRPr="002E79E4">
        <w:rPr>
          <w:rFonts w:asciiTheme="majorHAnsi" w:eastAsia="Calibri" w:hAnsiTheme="majorHAnsi"/>
          <w:sz w:val="20"/>
          <w:szCs w:val="22"/>
          <w:bdr w:val="none" w:sz="0" w:space="0" w:color="auto"/>
          <w:lang w:val="es-ES"/>
        </w:rPr>
        <w:t xml:space="preserve">El Estado agregó que las recomendaciones de la Comisión “no son requisitos de conformidad con el derecho internacional”. Por último, el Estado reiteró su desacuerdo con la afirmación de la Comisión de </w:t>
      </w:r>
      <w:r w:rsidRPr="00F6699D">
        <w:rPr>
          <w:rFonts w:asciiTheme="majorHAnsi" w:eastAsia="Calibri" w:hAnsiTheme="majorHAnsi"/>
          <w:sz w:val="20"/>
          <w:szCs w:val="22"/>
          <w:bdr w:val="none" w:sz="0" w:space="0" w:color="auto"/>
          <w:lang w:val="es-ES"/>
        </w:rPr>
        <w:t>que ha violado sus obligaciones jurídicas internacionales. El Estado no proporcionó información con respecto a las medidas implementadas respecto de las recomendaciones específicas.</w:t>
      </w:r>
    </w:p>
    <w:p w:rsidR="00445DF8" w:rsidRPr="00F6699D" w:rsidRDefault="00445DF8" w:rsidP="00445DF8">
      <w:pPr>
        <w:pStyle w:val="ListParagraph"/>
        <w:rPr>
          <w:rFonts w:asciiTheme="majorHAnsi" w:eastAsia="Calibri" w:hAnsiTheme="majorHAnsi" w:cs="Times New Roman"/>
          <w:color w:val="auto"/>
          <w:sz w:val="20"/>
          <w:szCs w:val="22"/>
          <w:bdr w:val="none" w:sz="0" w:space="0" w:color="auto"/>
          <w:lang w:val="es-ES" w:eastAsia="en-US"/>
        </w:rPr>
      </w:pPr>
    </w:p>
    <w:p w:rsidR="00445DF8" w:rsidRPr="00F6699D" w:rsidRDefault="00445DF8" w:rsidP="00445DF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lang w:val="es-US"/>
        </w:rPr>
      </w:pPr>
      <w:r w:rsidRPr="00F6699D">
        <w:rPr>
          <w:rFonts w:asciiTheme="majorHAnsi" w:eastAsia="Calibri" w:hAnsiTheme="majorHAnsi"/>
          <w:sz w:val="20"/>
          <w:szCs w:val="22"/>
          <w:bdr w:val="none" w:sz="0" w:space="0" w:color="auto"/>
          <w:lang w:val="es-US"/>
        </w:rPr>
        <w:t xml:space="preserve">Al respecto, como lo ha establecido la Comisión la Declaración Americana es reconocida como fuente de obligación jurídica para los Estados Miembros de la OEA, y estas obligaciones emanan de los </w:t>
      </w:r>
      <w:r w:rsidRPr="00F6699D">
        <w:rPr>
          <w:rFonts w:asciiTheme="majorHAnsi" w:eastAsia="Calibri" w:hAnsiTheme="majorHAnsi"/>
          <w:sz w:val="20"/>
          <w:szCs w:val="22"/>
          <w:bdr w:val="none" w:sz="0" w:space="0" w:color="auto"/>
          <w:lang w:val="es-US"/>
        </w:rPr>
        <w:lastRenderedPageBreak/>
        <w:t xml:space="preserve">deberes pertinentes a los derechos humanos de los Estados Miembros bajo la Carta de la OEA. En ese sentido, la Comisión recuerda que conforme al derecho internacional los Estados deben cumplir con sus obligaciones de buena fe, y como se ha señalado reiteradamente en el caso de Estados Unidos éste está sujeto a la jurisdicción de la Comisión desde que depositó su instrumento de ratificación de la Carta de la OEA, el 19 de junio de 1951.  </w:t>
      </w:r>
    </w:p>
    <w:p w:rsidR="00445DF8" w:rsidRPr="00F6699D" w:rsidRDefault="00445DF8" w:rsidP="00445DF8">
      <w:pPr>
        <w:pStyle w:val="ListParagraph"/>
        <w:rPr>
          <w:rFonts w:asciiTheme="majorHAnsi" w:eastAsia="Calibri" w:hAnsiTheme="majorHAnsi"/>
          <w:sz w:val="20"/>
          <w:szCs w:val="22"/>
          <w:bdr w:val="none" w:sz="0" w:space="0" w:color="auto"/>
          <w:lang w:val="es-US"/>
        </w:rPr>
      </w:pPr>
    </w:p>
    <w:p w:rsidR="00445DF8" w:rsidRPr="00F6699D" w:rsidRDefault="00445DF8" w:rsidP="00445DF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lang w:val="es-US"/>
        </w:rPr>
      </w:pPr>
      <w:r w:rsidRPr="00F6699D">
        <w:rPr>
          <w:rFonts w:asciiTheme="majorHAnsi" w:eastAsia="Calibri" w:hAnsiTheme="majorHAnsi"/>
          <w:sz w:val="20"/>
          <w:szCs w:val="22"/>
          <w:bdr w:val="none" w:sz="0" w:space="0" w:color="auto"/>
          <w:lang w:val="es-US"/>
        </w:rPr>
        <w:t>El Estado no presen</w:t>
      </w:r>
      <w:r w:rsidR="00C12163" w:rsidRPr="00F6699D">
        <w:rPr>
          <w:rFonts w:asciiTheme="majorHAnsi" w:eastAsia="Calibri" w:hAnsiTheme="majorHAnsi"/>
          <w:sz w:val="20"/>
          <w:szCs w:val="22"/>
          <w:bdr w:val="none" w:sz="0" w:space="0" w:color="auto"/>
          <w:lang w:val="es-US"/>
        </w:rPr>
        <w:t>tó información sobre el estado de cumplimiento de las recomendaciones. Asimismo, la CIDH tampoco recibió información de los peticionarios.</w:t>
      </w:r>
    </w:p>
    <w:p w:rsidR="00445DF8" w:rsidRPr="00F6699D" w:rsidRDefault="00445DF8" w:rsidP="00445DF8">
      <w:pPr>
        <w:pStyle w:val="ListParagraph"/>
        <w:rPr>
          <w:rFonts w:asciiTheme="majorHAnsi" w:eastAsia="Calibri" w:hAnsiTheme="majorHAnsi"/>
          <w:sz w:val="20"/>
          <w:szCs w:val="22"/>
          <w:bdr w:val="none" w:sz="0" w:space="0" w:color="auto"/>
          <w:lang w:val="es-US"/>
        </w:rPr>
      </w:pPr>
    </w:p>
    <w:p w:rsidR="00445DF8" w:rsidRPr="00F6699D" w:rsidRDefault="00445DF8" w:rsidP="00445DF8">
      <w:pPr>
        <w:pStyle w:val="Heading1"/>
        <w:ind w:firstLine="720"/>
        <w:rPr>
          <w:lang w:val="es-ES"/>
        </w:rPr>
      </w:pPr>
      <w:bookmarkStart w:id="30" w:name="_Toc467138452"/>
      <w:r w:rsidRPr="00F6699D">
        <w:rPr>
          <w:lang w:val="es-ES"/>
        </w:rPr>
        <w:t>VII.</w:t>
      </w:r>
      <w:r w:rsidRPr="00F6699D">
        <w:rPr>
          <w:lang w:val="es-ES"/>
        </w:rPr>
        <w:tab/>
        <w:t>CONCLUSIONES FINALES Y RECOMENDACIONES</w:t>
      </w:r>
      <w:bookmarkEnd w:id="30"/>
    </w:p>
    <w:p w:rsidR="00445DF8" w:rsidRPr="00F6699D"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lang w:val="es-ES"/>
        </w:rPr>
      </w:pPr>
    </w:p>
    <w:p w:rsidR="00445DF8" w:rsidRPr="00F6699D" w:rsidRDefault="00445DF8" w:rsidP="00445DF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F6699D">
        <w:rPr>
          <w:rFonts w:asciiTheme="majorHAnsi" w:hAnsiTheme="majorHAnsi" w:cs="Cambria"/>
          <w:sz w:val="20"/>
          <w:szCs w:val="20"/>
          <w:lang w:val="es-ES"/>
        </w:rPr>
        <w:t>Sobre la base del análisis precedente</w:t>
      </w:r>
      <w:r w:rsidRPr="00F6699D">
        <w:rPr>
          <w:rFonts w:ascii="Cambria" w:eastAsia="Times New Roman" w:hAnsi="Cambria"/>
          <w:bCs/>
          <w:sz w:val="20"/>
          <w:szCs w:val="20"/>
          <w:bdr w:val="none" w:sz="0" w:space="0" w:color="auto"/>
          <w:lang w:val="es-ES"/>
        </w:rPr>
        <w:t xml:space="preserve">, </w:t>
      </w:r>
      <w:r w:rsidRPr="00F6699D">
        <w:rPr>
          <w:rFonts w:asciiTheme="majorHAnsi" w:eastAsia="Calibri" w:hAnsiTheme="majorHAnsi"/>
          <w:sz w:val="20"/>
          <w:szCs w:val="22"/>
          <w:bdr w:val="none" w:sz="0" w:space="0" w:color="auto"/>
          <w:lang w:val="es-ES"/>
        </w:rPr>
        <w:t xml:space="preserve">la Comisión Interamericana concluye que el Estado es responsable de la violación de los derechos humanos de los señores Zumaya y Lizalde consagrados en los artículos II y XVI de la Declaración Americana al no reconocer plenamente los derechos de las víctimas a la no discriminación y la seguridad social. La Comisión concluye asimismo que, como el señor Lizalde no pudo continuar con su reclamo de indemnización por accidente de trabajo en el sistema judicial, el Estado ha violado también su derecho a la personalidad jurídica y a un juicio imparcial, consagrado en los artículos XVII y XVIII de la Declaración Americana. </w:t>
      </w:r>
    </w:p>
    <w:p w:rsidR="00445DF8" w:rsidRPr="00F6699D"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445DF8" w:rsidRPr="00F6699D" w:rsidRDefault="00445DF8" w:rsidP="00445DF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lang w:val="es-ES"/>
        </w:rPr>
      </w:pPr>
      <w:r w:rsidRPr="00F6699D">
        <w:rPr>
          <w:rFonts w:ascii="Cambria" w:eastAsia="Times New Roman" w:hAnsi="Cambria"/>
          <w:bCs/>
          <w:sz w:val="20"/>
          <w:szCs w:val="20"/>
          <w:bdr w:val="none" w:sz="0" w:space="0" w:color="auto"/>
          <w:lang w:val="es-ES"/>
        </w:rPr>
        <w:t xml:space="preserve">Sobre la base de esas conclusiones, </w:t>
      </w:r>
    </w:p>
    <w:p w:rsidR="00445DF8" w:rsidRPr="00F6699D" w:rsidRDefault="00445DF8" w:rsidP="00F669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Calibri" w:hAnsiTheme="majorHAnsi"/>
          <w:sz w:val="20"/>
          <w:szCs w:val="22"/>
          <w:bdr w:val="none" w:sz="0" w:space="0" w:color="auto"/>
          <w:lang w:val="es-ES"/>
        </w:rPr>
      </w:pPr>
    </w:p>
    <w:p w:rsidR="00F6699D" w:rsidRDefault="00445DF8" w:rsidP="00F6699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center"/>
        <w:rPr>
          <w:rFonts w:asciiTheme="majorHAnsi" w:eastAsia="Calibri" w:hAnsiTheme="majorHAnsi"/>
          <w:b/>
          <w:sz w:val="20"/>
          <w:szCs w:val="22"/>
          <w:bdr w:val="none" w:sz="0" w:space="0" w:color="auto"/>
          <w:lang w:val="es-ES"/>
        </w:rPr>
      </w:pPr>
      <w:r w:rsidRPr="00F6699D">
        <w:rPr>
          <w:rFonts w:asciiTheme="majorHAnsi" w:eastAsia="Calibri" w:hAnsiTheme="majorHAnsi"/>
          <w:b/>
          <w:sz w:val="20"/>
          <w:szCs w:val="22"/>
          <w:bdr w:val="none" w:sz="0" w:space="0" w:color="auto"/>
          <w:lang w:val="es-ES"/>
        </w:rPr>
        <w:t>LA COMISIÓN INTERAMERICANA DE DERECHOS HUMANOS</w:t>
      </w:r>
    </w:p>
    <w:p w:rsidR="00445DF8" w:rsidRPr="00F6699D" w:rsidRDefault="00445DF8" w:rsidP="00F6699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center"/>
        <w:rPr>
          <w:rFonts w:asciiTheme="majorHAnsi" w:eastAsia="Calibri" w:hAnsiTheme="majorHAnsi"/>
          <w:b/>
          <w:sz w:val="20"/>
          <w:szCs w:val="22"/>
          <w:bdr w:val="none" w:sz="0" w:space="0" w:color="auto"/>
          <w:lang w:val="es-ES"/>
        </w:rPr>
      </w:pPr>
      <w:r w:rsidRPr="00F6699D">
        <w:rPr>
          <w:rFonts w:asciiTheme="majorHAnsi" w:eastAsia="Calibri" w:hAnsiTheme="majorHAnsi"/>
          <w:b/>
          <w:sz w:val="20"/>
          <w:szCs w:val="22"/>
          <w:bdr w:val="none" w:sz="0" w:space="0" w:color="auto"/>
          <w:lang w:val="es-ES"/>
        </w:rPr>
        <w:t>REITERA A ESTADOS UNIDOS:</w:t>
      </w:r>
    </w:p>
    <w:p w:rsidR="00445DF8" w:rsidRPr="00F6699D"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lang w:val="es-ES"/>
        </w:rPr>
      </w:pPr>
    </w:p>
    <w:p w:rsidR="00445DF8" w:rsidRPr="00F6699D" w:rsidRDefault="00445DF8" w:rsidP="00445DF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F6699D">
        <w:rPr>
          <w:rFonts w:eastAsia="Times New Roman"/>
          <w:bCs/>
          <w:sz w:val="20"/>
          <w:szCs w:val="20"/>
          <w:bdr w:val="none" w:sz="0" w:space="0" w:color="auto"/>
          <w:lang w:val="es-ES"/>
        </w:rPr>
        <w:t xml:space="preserve"> Que otorgue a los señores Zumaya y Lizalde una compensación pecuniaria adecuada para reparar las violaciones que se confirman en el presente informe;</w:t>
      </w:r>
    </w:p>
    <w:p w:rsidR="00445DF8" w:rsidRPr="00F6699D" w:rsidRDefault="00445DF8" w:rsidP="00445D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500" w:firstLine="720"/>
        <w:jc w:val="both"/>
        <w:rPr>
          <w:rFonts w:eastAsia="Times New Roman"/>
          <w:bCs/>
          <w:sz w:val="20"/>
          <w:szCs w:val="20"/>
          <w:bdr w:val="none" w:sz="0" w:space="0" w:color="auto"/>
          <w:lang w:val="es-ES"/>
        </w:rPr>
      </w:pPr>
    </w:p>
    <w:p w:rsidR="00445DF8" w:rsidRPr="00F6699D" w:rsidRDefault="00445DF8" w:rsidP="00445DF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lang w:val="es-ES"/>
        </w:rPr>
      </w:pPr>
      <w:r w:rsidRPr="00F6699D">
        <w:rPr>
          <w:rFonts w:asciiTheme="majorHAnsi" w:eastAsia="Calibri" w:hAnsiTheme="majorHAnsi"/>
          <w:bCs/>
          <w:sz w:val="20"/>
          <w:szCs w:val="22"/>
          <w:bdr w:val="none" w:sz="0" w:space="0" w:color="auto"/>
          <w:lang w:val="es-ES"/>
        </w:rPr>
        <w:t xml:space="preserve">Que todas las leyes y políticas </w:t>
      </w:r>
      <w:r w:rsidRPr="00F6699D">
        <w:rPr>
          <w:rFonts w:asciiTheme="majorHAnsi" w:eastAsia="Calibri" w:hAnsiTheme="majorHAnsi"/>
          <w:sz w:val="20"/>
          <w:szCs w:val="22"/>
          <w:bdr w:val="none" w:sz="0" w:space="0" w:color="auto"/>
          <w:lang w:val="es-ES"/>
        </w:rPr>
        <w:t xml:space="preserve">federales y estatales, en sí mismas y en la práctica, prohíban toda distinción en el empleo y los derechos laborales basada en la situación migratoria y la autorización para trabajar después que una persona comienza a trabajar como empleado; </w:t>
      </w:r>
    </w:p>
    <w:p w:rsidR="00445DF8" w:rsidRPr="00F6699D" w:rsidRDefault="00445DF8" w:rsidP="00445D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860" w:firstLine="720"/>
        <w:jc w:val="both"/>
        <w:rPr>
          <w:rFonts w:asciiTheme="majorHAnsi" w:eastAsia="Calibri" w:hAnsiTheme="majorHAnsi"/>
          <w:sz w:val="20"/>
          <w:szCs w:val="22"/>
          <w:bdr w:val="none" w:sz="0" w:space="0" w:color="auto"/>
          <w:lang w:val="es-ES"/>
        </w:rPr>
      </w:pPr>
    </w:p>
    <w:p w:rsidR="00445DF8" w:rsidRPr="00F6699D" w:rsidRDefault="00445DF8" w:rsidP="00445DF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F6699D">
        <w:rPr>
          <w:rFonts w:eastAsia="Times New Roman"/>
          <w:bCs/>
          <w:sz w:val="20"/>
          <w:szCs w:val="20"/>
          <w:bdr w:val="none" w:sz="0" w:space="0" w:color="auto"/>
          <w:lang w:val="es-ES"/>
        </w:rPr>
        <w:t>Que prohíba que el empleador haga averiguaciones sobre la situación migratoria de un trabajador que esté haciendo valer sus derechos de empleo y sus derechos laborales en un litigio o en reclamos administrativos;</w:t>
      </w:r>
    </w:p>
    <w:p w:rsidR="00445DF8" w:rsidRPr="00F6699D"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lang w:val="es-ES"/>
        </w:rPr>
      </w:pPr>
    </w:p>
    <w:p w:rsidR="00445DF8" w:rsidRPr="00F6699D" w:rsidRDefault="00445DF8" w:rsidP="00445DF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F6699D">
        <w:rPr>
          <w:rFonts w:eastAsia="Times New Roman"/>
          <w:bCs/>
          <w:sz w:val="20"/>
          <w:szCs w:val="20"/>
          <w:bdr w:val="none" w:sz="0" w:space="0" w:color="auto"/>
          <w:lang w:val="es-ES"/>
        </w:rPr>
        <w:t>Que asegure que a los trabajadores indocumentados se les otorgue los mismos derechos y recursos que a los trabajadores documentados frente a violaciones de sus derechos en el lugar de trabajo;</w:t>
      </w:r>
    </w:p>
    <w:p w:rsidR="00445DF8" w:rsidRPr="00F6699D"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lang w:val="es-ES"/>
        </w:rPr>
      </w:pPr>
    </w:p>
    <w:p w:rsidR="00445DF8" w:rsidRPr="00F6699D" w:rsidRDefault="00445DF8" w:rsidP="00445DF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F6699D">
        <w:rPr>
          <w:rFonts w:eastAsia="Times New Roman"/>
          <w:bCs/>
          <w:sz w:val="20"/>
          <w:szCs w:val="20"/>
          <w:bdr w:val="none" w:sz="0" w:space="0" w:color="auto"/>
          <w:lang w:val="es-ES"/>
        </w:rPr>
        <w:t>Que establezca un procedimiento para que los trabajadores indocumentados que participen en procedimientos para pedir indemnización por accidentes de trabajo, o sus representantes, puedan solicitar la suspensión de su deportación hasta que se resuelva el procedimiento y los trabajadores hayan recibido el tratamiento médico apropiado ordenado por los jueces ante los cuales tramiten los casos; y</w:t>
      </w:r>
    </w:p>
    <w:p w:rsidR="00445DF8" w:rsidRPr="00F6699D" w:rsidRDefault="00445DF8" w:rsidP="00445D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lang w:val="es-ES"/>
        </w:rPr>
      </w:pPr>
    </w:p>
    <w:p w:rsidR="00445DF8" w:rsidRPr="00F6699D" w:rsidRDefault="00445DF8" w:rsidP="00445DF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lang w:val="es-ES"/>
        </w:rPr>
      </w:pPr>
      <w:r w:rsidRPr="00F6699D">
        <w:rPr>
          <w:rFonts w:eastAsia="Times New Roman"/>
          <w:bCs/>
          <w:sz w:val="20"/>
          <w:szCs w:val="20"/>
          <w:bdr w:val="none" w:sz="0" w:space="0" w:color="auto"/>
          <w:lang w:val="es-ES"/>
        </w:rPr>
        <w:t>Que mejore y refuerce la detección de empleadores que exploten a los trabajadores indocumentados y violen sus derechos laborales y les imponga sanciones adecuadas.</w:t>
      </w:r>
    </w:p>
    <w:p w:rsidR="00445DF8" w:rsidRPr="00F6699D" w:rsidRDefault="00445DF8" w:rsidP="00445D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lang w:val="es-ES"/>
        </w:rPr>
      </w:pPr>
    </w:p>
    <w:p w:rsidR="00445DF8" w:rsidRPr="00F6699D" w:rsidRDefault="00445DF8" w:rsidP="00445DF8">
      <w:pPr>
        <w:pStyle w:val="Heading1"/>
        <w:ind w:firstLine="720"/>
        <w:rPr>
          <w:lang w:val="es-ES"/>
        </w:rPr>
      </w:pPr>
      <w:bookmarkStart w:id="31" w:name="_Toc329679568"/>
      <w:bookmarkStart w:id="32" w:name="_Toc345666412"/>
      <w:bookmarkStart w:id="33" w:name="_Toc359416803"/>
      <w:bookmarkStart w:id="34" w:name="_Toc423331143"/>
      <w:bookmarkStart w:id="35" w:name="_Toc467138453"/>
      <w:r w:rsidRPr="00F6699D">
        <w:rPr>
          <w:lang w:val="es-ES"/>
        </w:rPr>
        <w:t>VIII.</w:t>
      </w:r>
      <w:r w:rsidRPr="00F6699D">
        <w:rPr>
          <w:lang w:val="es-ES"/>
        </w:rPr>
        <w:tab/>
      </w:r>
      <w:bookmarkEnd w:id="31"/>
      <w:bookmarkEnd w:id="32"/>
      <w:bookmarkEnd w:id="33"/>
      <w:bookmarkEnd w:id="34"/>
      <w:r w:rsidRPr="00F6699D">
        <w:rPr>
          <w:lang w:val="es-ES"/>
        </w:rPr>
        <w:t>PUBLICACIÓN</w:t>
      </w:r>
      <w:bookmarkEnd w:id="35"/>
    </w:p>
    <w:p w:rsidR="00445DF8" w:rsidRPr="00F6699D" w:rsidRDefault="00445DF8" w:rsidP="00445DF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445DF8" w:rsidRPr="00F6699D" w:rsidRDefault="00C12163" w:rsidP="00C1216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sz w:val="20"/>
          <w:szCs w:val="20"/>
          <w:lang w:val="es-ES"/>
        </w:rPr>
      </w:pPr>
      <w:r w:rsidRPr="00F6699D">
        <w:rPr>
          <w:rFonts w:asciiTheme="majorHAnsi" w:hAnsiTheme="majorHAnsi" w:cs="Cambria"/>
          <w:sz w:val="20"/>
          <w:szCs w:val="20"/>
          <w:lang w:val="es-ES"/>
        </w:rPr>
        <w:t>En virtud de las anteriores consideraciones y de conformidad con el artículo 47.3 de su Reglamento, la Comisión decide hacer público este informe e incluirlo en su Informe Anual a la Asamblea General de la OEA. La Comisión, en cumplimiento de su mandato, continuará evaluando el cumplimiento de Estados Unidos con las recomendaciones reiteradas en este informe hasta que las mismas sean implementadas en forma total.</w:t>
      </w:r>
    </w:p>
    <w:p w:rsidR="00237563" w:rsidRDefault="00237563" w:rsidP="00153A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500"/>
        <w:jc w:val="both"/>
        <w:rPr>
          <w:rFonts w:asciiTheme="majorHAnsi" w:eastAsia="Calibri" w:hAnsiTheme="majorHAnsi"/>
          <w:sz w:val="20"/>
          <w:szCs w:val="22"/>
          <w:bdr w:val="none" w:sz="0" w:space="0" w:color="auto"/>
          <w:lang w:val="es-ES"/>
        </w:rPr>
      </w:pPr>
    </w:p>
    <w:p w:rsidR="00A67D54" w:rsidRPr="004A4702" w:rsidRDefault="00A67D54" w:rsidP="00A67D54">
      <w:pPr>
        <w:jc w:val="both"/>
        <w:rPr>
          <w:rFonts w:ascii="Cambria" w:hAnsi="Cambria"/>
          <w:sz w:val="20"/>
          <w:szCs w:val="20"/>
          <w:lang w:val="es-ES"/>
        </w:rPr>
      </w:pPr>
      <w:r>
        <w:rPr>
          <w:rFonts w:ascii="Cambria" w:hAnsi="Cambria"/>
          <w:sz w:val="20"/>
          <w:szCs w:val="20"/>
          <w:lang w:val="es-ES"/>
        </w:rPr>
        <w:lastRenderedPageBreak/>
        <w:tab/>
      </w:r>
      <w:r w:rsidRPr="004A4702">
        <w:rPr>
          <w:rFonts w:ascii="Cambria" w:hAnsi="Cambria"/>
          <w:sz w:val="20"/>
          <w:szCs w:val="20"/>
          <w:lang w:val="es-ES"/>
        </w:rPr>
        <w:t xml:space="preserve">Dado y firmado en la ciudad de Panamá, a los </w:t>
      </w:r>
      <w:r>
        <w:rPr>
          <w:rFonts w:ascii="Cambria" w:hAnsi="Cambria"/>
          <w:sz w:val="20"/>
          <w:szCs w:val="20"/>
          <w:lang w:val="es-ES"/>
        </w:rPr>
        <w:t>30</w:t>
      </w:r>
      <w:r w:rsidRPr="004A4702">
        <w:rPr>
          <w:rFonts w:ascii="Cambria" w:hAnsi="Cambria"/>
          <w:sz w:val="20"/>
          <w:szCs w:val="20"/>
          <w:lang w:val="es-ES"/>
        </w:rPr>
        <w:t xml:space="preserve"> días del mes de noviembre de 2016.  (Firmado): Francisco José Eguiguren, Primer Vicepresidente; Margarette May Macaulay, Segunda Vicepresidenta; Paulo Vannuchi, Esmeralda E. Arosem</w:t>
      </w:r>
      <w:r>
        <w:rPr>
          <w:rFonts w:ascii="Cambria" w:hAnsi="Cambria"/>
          <w:sz w:val="20"/>
          <w:szCs w:val="20"/>
          <w:lang w:val="es-ES"/>
        </w:rPr>
        <w:t>EN</w:t>
      </w:r>
      <w:r w:rsidRPr="004A4702">
        <w:rPr>
          <w:rFonts w:ascii="Cambria" w:hAnsi="Cambria"/>
          <w:sz w:val="20"/>
          <w:szCs w:val="20"/>
          <w:lang w:val="es-ES"/>
        </w:rPr>
        <w:t xml:space="preserve">a Bernal de Troitiño, y Enrique Gil Botero, Miembros de la Comisión. </w:t>
      </w:r>
    </w:p>
    <w:p w:rsidR="00A67D54" w:rsidRPr="007112BB" w:rsidRDefault="00A67D54" w:rsidP="00153A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500"/>
        <w:jc w:val="both"/>
        <w:rPr>
          <w:rFonts w:asciiTheme="majorHAnsi" w:eastAsia="Calibri" w:hAnsiTheme="majorHAnsi"/>
          <w:sz w:val="20"/>
          <w:szCs w:val="22"/>
          <w:bdr w:val="none" w:sz="0" w:space="0" w:color="auto"/>
          <w:lang w:val="es-ES"/>
        </w:rPr>
      </w:pPr>
    </w:p>
    <w:sectPr w:rsidR="00A67D54" w:rsidRPr="007112BB" w:rsidSect="006311D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59" w:rsidRDefault="00B91D59" w:rsidP="00036A8A">
      <w:r>
        <w:separator/>
      </w:r>
    </w:p>
  </w:endnote>
  <w:endnote w:type="continuationSeparator" w:id="0">
    <w:p w:rsidR="00B91D59" w:rsidRDefault="00B91D5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20" w:rsidRDefault="00B57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8B3F87" w:rsidRPr="006311DA" w:rsidRDefault="008B3F8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837AA">
          <w:rPr>
            <w:noProof/>
            <w:sz w:val="16"/>
          </w:rPr>
          <w:t>1</w:t>
        </w:r>
        <w:r w:rsidRPr="006311DA">
          <w:rPr>
            <w:noProof/>
            <w:sz w:val="16"/>
          </w:rPr>
          <w:fldChar w:fldCharType="end"/>
        </w:r>
      </w:p>
    </w:sdtContent>
  </w:sdt>
  <w:p w:rsidR="008B3F87" w:rsidRDefault="008B3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87" w:rsidRDefault="008B3F87">
    <w:pPr>
      <w:pStyle w:val="Footer"/>
      <w:jc w:val="center"/>
    </w:pPr>
  </w:p>
  <w:p w:rsidR="008B3F87" w:rsidRDefault="008B3F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8B3F87" w:rsidRDefault="008B3F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3F87" w:rsidRDefault="008B3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59" w:rsidRPr="00036A8A" w:rsidRDefault="00B91D5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91D59" w:rsidRPr="00036A8A" w:rsidRDefault="00B91D59" w:rsidP="00036A8A">
      <w:pPr>
        <w:rPr>
          <w:rFonts w:asciiTheme="majorHAnsi" w:hAnsiTheme="majorHAnsi"/>
          <w:sz w:val="16"/>
          <w:szCs w:val="16"/>
        </w:rPr>
      </w:pPr>
      <w:r w:rsidRPr="00036A8A">
        <w:rPr>
          <w:rFonts w:asciiTheme="majorHAnsi" w:hAnsiTheme="majorHAnsi"/>
          <w:sz w:val="16"/>
          <w:szCs w:val="16"/>
        </w:rPr>
        <w:separator/>
      </w:r>
    </w:p>
    <w:p w:rsidR="00B91D59" w:rsidRPr="00036A8A" w:rsidRDefault="00B91D59" w:rsidP="00036A8A">
      <w:pPr>
        <w:pStyle w:val="Footer"/>
        <w:rPr>
          <w:rFonts w:asciiTheme="majorHAnsi" w:hAnsiTheme="majorHAnsi"/>
          <w:sz w:val="16"/>
          <w:szCs w:val="16"/>
        </w:rPr>
      </w:pPr>
      <w:r>
        <w:rPr>
          <w:rFonts w:asciiTheme="majorHAnsi" w:hAnsiTheme="majorHAnsi"/>
          <w:sz w:val="16"/>
          <w:szCs w:val="16"/>
        </w:rPr>
        <w:t>[c</w:t>
      </w:r>
      <w:r w:rsidRPr="00036A8A">
        <w:rPr>
          <w:rFonts w:asciiTheme="majorHAnsi" w:hAnsiTheme="majorHAnsi"/>
          <w:sz w:val="16"/>
          <w:szCs w:val="16"/>
        </w:rPr>
        <w:t>ontinua</w:t>
      </w:r>
      <w:r>
        <w:rPr>
          <w:rFonts w:asciiTheme="majorHAnsi" w:hAnsiTheme="majorHAnsi"/>
          <w:sz w:val="16"/>
          <w:szCs w:val="16"/>
        </w:rPr>
        <w:t>ción]</w:t>
      </w:r>
    </w:p>
  </w:footnote>
  <w:footnote w:type="continuationNotice" w:id="1">
    <w:p w:rsidR="00B91D59" w:rsidRPr="0093441A" w:rsidRDefault="00B91D5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úa]</w:t>
      </w:r>
    </w:p>
  </w:footnote>
  <w:footnote w:id="2">
    <w:p w:rsidR="008B3F87" w:rsidRPr="00256A88" w:rsidRDefault="008B3F87" w:rsidP="00AE2BA4">
      <w:pPr>
        <w:spacing w:after="120"/>
        <w:ind w:firstLine="720"/>
        <w:jc w:val="both"/>
        <w:rPr>
          <w:rFonts w:asciiTheme="majorHAnsi" w:hAnsiTheme="majorHAnsi"/>
          <w:sz w:val="16"/>
          <w:szCs w:val="16"/>
          <w:lang w:val="es-ES"/>
        </w:rPr>
      </w:pPr>
      <w:r w:rsidRPr="00256A88">
        <w:rPr>
          <w:rStyle w:val="FootnoteReference"/>
          <w:rFonts w:asciiTheme="majorHAnsi" w:hAnsiTheme="majorHAnsi"/>
          <w:sz w:val="16"/>
          <w:szCs w:val="16"/>
          <w:lang w:val="es-ES"/>
        </w:rPr>
        <w:sym w:font="Symbol" w:char="F02A"/>
      </w:r>
      <w:r w:rsidRPr="00256A88">
        <w:rPr>
          <w:rFonts w:asciiTheme="majorHAnsi" w:hAnsiTheme="majorHAnsi"/>
          <w:sz w:val="16"/>
          <w:szCs w:val="16"/>
          <w:lang w:val="es-ES"/>
        </w:rPr>
        <w:t xml:space="preserve"> El Comisionado James</w:t>
      </w:r>
      <w:r w:rsidR="00A67D54">
        <w:rPr>
          <w:rFonts w:asciiTheme="majorHAnsi" w:hAnsiTheme="majorHAnsi"/>
          <w:sz w:val="16"/>
          <w:szCs w:val="16"/>
          <w:lang w:val="es-ES"/>
        </w:rPr>
        <w:t xml:space="preserve"> L.</w:t>
      </w:r>
      <w:r w:rsidRPr="00256A88">
        <w:rPr>
          <w:rFonts w:asciiTheme="majorHAnsi" w:hAnsiTheme="majorHAnsi"/>
          <w:sz w:val="16"/>
          <w:szCs w:val="16"/>
          <w:lang w:val="es-ES"/>
        </w:rPr>
        <w:t xml:space="preserve"> Cavallaro, de nacionalidad estadounidense, no participó en el debate y la decisión de este caso, de conformidad con el artículo 17(2)(a) del Reglamento de la CIDH. El Comisionado José de Jesús Orozco Henríquez, de nacionalidad mexicana, consideró que debía abstenerse de participar en el estudio y la decisión de este caso, de conformidad con el artículo 17.3 del Reglamento de la CIDH, observando que las presuntas víctimas en este caso también son de nacionalidad mexicana. La Comisión Interamericana aceptó su decisión de </w:t>
      </w:r>
      <w:r>
        <w:rPr>
          <w:rFonts w:asciiTheme="majorHAnsi" w:hAnsiTheme="majorHAnsi"/>
          <w:sz w:val="16"/>
          <w:szCs w:val="16"/>
          <w:lang w:val="es-ES"/>
        </w:rPr>
        <w:t>abstenerse</w:t>
      </w:r>
      <w:r w:rsidRPr="00256A88">
        <w:rPr>
          <w:rFonts w:asciiTheme="majorHAnsi" w:hAnsiTheme="majorHAnsi"/>
          <w:sz w:val="16"/>
          <w:szCs w:val="16"/>
          <w:lang w:val="es-ES"/>
        </w:rPr>
        <w:t>; en consecuencia, el Comisionado Orozco Henríquez no participó en la deliberación ni en la votación en este caso.</w:t>
      </w:r>
    </w:p>
  </w:footnote>
  <w:footnote w:id="3">
    <w:p w:rsidR="008B3F87" w:rsidRPr="00256A88" w:rsidRDefault="008B3F87" w:rsidP="0057597B">
      <w:pPr>
        <w:pStyle w:val="Footnotes"/>
        <w:rPr>
          <w:rStyle w:val="FootnoteReference"/>
          <w:rFonts w:asciiTheme="majorHAnsi" w:hAnsiTheme="majorHAnsi"/>
          <w:sz w:val="16"/>
          <w:szCs w:val="16"/>
          <w:vertAlign w:val="baseline"/>
          <w:lang w:val="es-ES"/>
        </w:rPr>
      </w:pPr>
      <w:r w:rsidRPr="00256A88">
        <w:rPr>
          <w:rStyle w:val="FootnoteReference"/>
          <w:rFonts w:asciiTheme="majorHAnsi" w:hAnsiTheme="majorHAnsi"/>
          <w:sz w:val="16"/>
          <w:szCs w:val="16"/>
          <w:lang w:val="es-ES"/>
        </w:rPr>
        <w:footnoteRef/>
      </w:r>
      <w:r w:rsidRPr="00256A88">
        <w:rPr>
          <w:rStyle w:val="FootnoteReference"/>
          <w:rFonts w:asciiTheme="majorHAnsi" w:hAnsiTheme="majorHAnsi"/>
          <w:sz w:val="16"/>
          <w:szCs w:val="16"/>
          <w:vertAlign w:val="baseline"/>
          <w:lang w:val="es-ES"/>
        </w:rPr>
        <w:t xml:space="preserve"> La petición </w:t>
      </w:r>
      <w:r w:rsidRPr="00256A88">
        <w:rPr>
          <w:rFonts w:asciiTheme="majorHAnsi" w:hAnsiTheme="majorHAnsi"/>
          <w:sz w:val="16"/>
          <w:szCs w:val="16"/>
          <w:lang w:val="es-ES"/>
        </w:rPr>
        <w:t>fue presentada también en nombre de otras tres</w:t>
      </w:r>
      <w:r w:rsidRPr="00256A88">
        <w:rPr>
          <w:rStyle w:val="FootnoteReference"/>
          <w:rFonts w:asciiTheme="majorHAnsi" w:hAnsiTheme="majorHAnsi"/>
          <w:sz w:val="16"/>
          <w:szCs w:val="16"/>
          <w:vertAlign w:val="baseline"/>
          <w:lang w:val="es-ES"/>
        </w:rPr>
        <w:t xml:space="preserve"> presuntas víctimas. </w:t>
      </w:r>
      <w:r w:rsidRPr="00256A88">
        <w:rPr>
          <w:rFonts w:asciiTheme="majorHAnsi" w:hAnsiTheme="majorHAnsi"/>
          <w:sz w:val="16"/>
          <w:szCs w:val="16"/>
          <w:lang w:val="es-ES"/>
        </w:rPr>
        <w:t xml:space="preserve">Tal como se indica en el párrafo </w:t>
      </w:r>
      <w:r w:rsidRPr="00256A88">
        <w:rPr>
          <w:rStyle w:val="FootnoteReference"/>
          <w:rFonts w:asciiTheme="majorHAnsi" w:hAnsiTheme="majorHAnsi"/>
          <w:sz w:val="16"/>
          <w:szCs w:val="16"/>
          <w:vertAlign w:val="baseline"/>
          <w:lang w:val="es-ES"/>
        </w:rPr>
        <w:t>5 del Informe de Admisibilidad</w:t>
      </w:r>
      <w:r w:rsidRPr="00256A88">
        <w:rPr>
          <w:rFonts w:asciiTheme="majorHAnsi" w:hAnsiTheme="majorHAnsi"/>
          <w:sz w:val="16"/>
          <w:szCs w:val="16"/>
          <w:lang w:val="es-ES"/>
        </w:rPr>
        <w:t xml:space="preserve"> No. 134/11</w:t>
      </w:r>
      <w:r w:rsidRPr="00256A88">
        <w:rPr>
          <w:rStyle w:val="FootnoteReference"/>
          <w:rFonts w:asciiTheme="majorHAnsi" w:hAnsiTheme="majorHAnsi"/>
          <w:sz w:val="16"/>
          <w:szCs w:val="16"/>
          <w:vertAlign w:val="baseline"/>
          <w:lang w:val="es-ES"/>
        </w:rPr>
        <w:t>, la CIDH ha</w:t>
      </w:r>
      <w:r w:rsidRPr="00256A88">
        <w:rPr>
          <w:rFonts w:asciiTheme="majorHAnsi" w:hAnsiTheme="majorHAnsi"/>
          <w:sz w:val="16"/>
          <w:szCs w:val="16"/>
          <w:lang w:val="es-ES"/>
        </w:rPr>
        <w:t xml:space="preserve"> decidido escindir la </w:t>
      </w:r>
      <w:r w:rsidRPr="00256A88">
        <w:rPr>
          <w:rStyle w:val="FootnoteReference"/>
          <w:rFonts w:asciiTheme="majorHAnsi" w:hAnsiTheme="majorHAnsi"/>
          <w:sz w:val="16"/>
          <w:szCs w:val="16"/>
          <w:vertAlign w:val="baseline"/>
          <w:lang w:val="es-ES"/>
        </w:rPr>
        <w:t xml:space="preserve">petición </w:t>
      </w:r>
      <w:r w:rsidRPr="00256A88">
        <w:rPr>
          <w:rFonts w:asciiTheme="majorHAnsi" w:hAnsiTheme="majorHAnsi"/>
          <w:sz w:val="16"/>
          <w:szCs w:val="16"/>
          <w:lang w:val="es-ES"/>
        </w:rPr>
        <w:t>y tramitar la situación de estas</w:t>
      </w:r>
      <w:r w:rsidRPr="00256A88">
        <w:rPr>
          <w:rStyle w:val="FootnoteReference"/>
          <w:rFonts w:asciiTheme="majorHAnsi" w:hAnsiTheme="majorHAnsi"/>
          <w:sz w:val="16"/>
          <w:szCs w:val="16"/>
          <w:vertAlign w:val="baseline"/>
          <w:lang w:val="es-ES"/>
        </w:rPr>
        <w:t xml:space="preserve"> presuntas víctimas</w:t>
      </w:r>
      <w:r w:rsidRPr="00256A88">
        <w:rPr>
          <w:rFonts w:asciiTheme="majorHAnsi" w:hAnsiTheme="majorHAnsi"/>
          <w:sz w:val="16"/>
          <w:szCs w:val="16"/>
          <w:lang w:val="es-ES"/>
        </w:rPr>
        <w:t xml:space="preserve"> por separado</w:t>
      </w:r>
      <w:r w:rsidRPr="00256A88">
        <w:rPr>
          <w:rStyle w:val="FootnoteReference"/>
          <w:rFonts w:asciiTheme="majorHAnsi" w:hAnsiTheme="majorHAnsi"/>
          <w:sz w:val="16"/>
          <w:szCs w:val="16"/>
          <w:vertAlign w:val="baseline"/>
          <w:lang w:val="es-ES"/>
        </w:rPr>
        <w:t>.</w:t>
      </w:r>
    </w:p>
  </w:footnote>
  <w:footnote w:id="4">
    <w:p w:rsidR="008B3F87" w:rsidRPr="00256A88" w:rsidRDefault="008B3F87" w:rsidP="00791116">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La </w:t>
      </w:r>
      <w:r w:rsidRPr="00256A88">
        <w:rPr>
          <w:rFonts w:asciiTheme="majorHAnsi" w:hAnsiTheme="majorHAnsi"/>
          <w:bCs/>
          <w:sz w:val="16"/>
          <w:szCs w:val="16"/>
          <w:lang w:val="es-ES"/>
        </w:rPr>
        <w:t>Ley Nacional de Relaciones Laborales</w:t>
      </w:r>
      <w:r w:rsidRPr="00256A88">
        <w:rPr>
          <w:rFonts w:asciiTheme="majorHAnsi" w:hAnsiTheme="majorHAnsi"/>
          <w:sz w:val="16"/>
          <w:szCs w:val="16"/>
          <w:lang w:val="es-ES"/>
        </w:rPr>
        <w:t xml:space="preserve"> fue promulgada en 1935 con la finalidad de “proteger los derechos de empleados y empleadores, fomentar las negociaciones colectivas y restringir ciertas prácticas laborales y gerenciales del sector privado que pueden perjudicar el bienestar general de los trabajadores, las empresas y la economía estadounidense”. Por medio de esta ley se creó la Junta Nacional de Relaciones Laborales (NLRB), organismo federal independiente que “salvaguarda los derechos de los empleados a sindicalizarse y a determinar si los sindicatos los representarán en las negociaciones. El organismo también actúa para prevenir y corregir prácticas laborales injustas de empleadores y sindicatos del sector privado”. Cuando la NLRB observa que se ha cometido una infracción, insta a las partes a que resuelvan el caso por medio de un arreglo en vez de un litigio; sin embargo, si eso no es posible, se realiza una audiencia ante un juez de lo contencioso-administrativo de la NLRB. La audiencia se realiza en forma de procedimiento judicial, con alegatos, pruebas, testigos y peritos. Después de la audiencia, los jueces emiten una decisión inicial. Esta decisión es pasible de revisión por la Junta (panel de cinco miembros nombrados por el Presidente de Estados Unidos con mandatos de cinco años), y las decisiones de la Junta pueden ser apeladas primero ante una Cámara de Apelaciones de Estados Unidos y después ante la Corte Suprema de Estados Unidos.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NLRB, “National Labor Relations Act” [Ley Nacional de Relaciones Laborales] y “What We Do” [Qué hacemos] en http://www.nlrb.gov/what-we-do (consultado por última vez el 6 de mayo de 2015). </w:t>
      </w:r>
    </w:p>
  </w:footnote>
  <w:footnote w:id="5">
    <w:p w:rsidR="008B3F87" w:rsidRPr="00256A88" w:rsidRDefault="008B3F87" w:rsidP="00153A3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El 20 de octubre de 2011, la CIDH, de conformidad con el artículo 29.1(c) del Reglamento que estaba en vigor en ese momento, decidió escindir la petición y tramitar por separado las demandas presentadas en nombre de tres presuntas víctimas cuyo nombre completo no se había proporcionado a la CIDH.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CIDH, Informe No. 134/11, Caso 12.834, Admisibilidad, </w:t>
      </w:r>
      <w:r w:rsidRPr="00256A88">
        <w:rPr>
          <w:rFonts w:asciiTheme="majorHAnsi" w:hAnsiTheme="majorHAnsi"/>
          <w:i/>
          <w:sz w:val="16"/>
          <w:szCs w:val="16"/>
          <w:lang w:val="es-ES"/>
        </w:rPr>
        <w:t>Trabajadores indocumentados</w:t>
      </w:r>
      <w:r w:rsidRPr="00256A88">
        <w:rPr>
          <w:rFonts w:asciiTheme="majorHAnsi" w:hAnsiTheme="majorHAnsi"/>
          <w:sz w:val="16"/>
          <w:szCs w:val="16"/>
          <w:lang w:val="es-ES"/>
        </w:rPr>
        <w:t>, Estados Unidos, 20 de octubre de 2011, párrs. 5,12.</w:t>
      </w:r>
    </w:p>
  </w:footnote>
  <w:footnote w:id="6">
    <w:p w:rsidR="008B3F87" w:rsidRPr="00256A88" w:rsidRDefault="008B3F87" w:rsidP="004B00B0">
      <w:pPr>
        <w:pStyle w:val="Footnotes"/>
        <w:spacing w:after="0"/>
        <w:rPr>
          <w:rFonts w:asciiTheme="majorHAnsi" w:hAnsiTheme="majorHAnsi"/>
          <w:i/>
          <w:sz w:val="16"/>
          <w:szCs w:val="16"/>
          <w:lang w:val="es-ES"/>
        </w:rPr>
      </w:pPr>
      <w:r w:rsidRPr="00256A88">
        <w:rPr>
          <w:rStyle w:val="FootnoteReference"/>
          <w:rFonts w:asciiTheme="majorHAnsi" w:hAnsiTheme="majorHAnsi"/>
          <w:sz w:val="16"/>
          <w:szCs w:val="16"/>
          <w:lang w:val="es-ES"/>
        </w:rPr>
        <w:footnoteRef/>
      </w:r>
      <w:r w:rsidRPr="00256A88">
        <w:rPr>
          <w:rStyle w:val="FootnoteReference"/>
          <w:rFonts w:asciiTheme="majorHAnsi" w:hAnsiTheme="majorHAnsi"/>
          <w:sz w:val="16"/>
          <w:szCs w:val="16"/>
          <w:vertAlign w:val="baseline"/>
          <w:lang w:val="es-ES"/>
        </w:rPr>
        <w:t xml:space="preserve"> </w:t>
      </w:r>
      <w:r w:rsidRPr="00256A88">
        <w:rPr>
          <w:rFonts w:asciiTheme="majorHAnsi" w:hAnsiTheme="majorHAnsi"/>
          <w:sz w:val="16"/>
          <w:szCs w:val="16"/>
          <w:lang w:val="es-ES"/>
        </w:rPr>
        <w:t xml:space="preserve">Véase el </w:t>
      </w:r>
      <w:r w:rsidRPr="00256A88">
        <w:rPr>
          <w:rStyle w:val="FootnoteReference"/>
          <w:rFonts w:asciiTheme="majorHAnsi" w:hAnsiTheme="majorHAnsi"/>
          <w:sz w:val="16"/>
          <w:szCs w:val="16"/>
          <w:vertAlign w:val="baseline"/>
          <w:lang w:val="es-ES"/>
        </w:rPr>
        <w:t xml:space="preserve">video </w:t>
      </w:r>
      <w:r w:rsidRPr="00256A88">
        <w:rPr>
          <w:rFonts w:asciiTheme="majorHAnsi" w:hAnsiTheme="majorHAnsi"/>
          <w:sz w:val="16"/>
          <w:szCs w:val="16"/>
          <w:lang w:val="es-ES"/>
        </w:rPr>
        <w:t xml:space="preserve">de la audiencia en la sección multimedia del sitio web de la </w:t>
      </w:r>
      <w:r w:rsidRPr="00256A88">
        <w:rPr>
          <w:rStyle w:val="FootnoteReference"/>
          <w:rFonts w:asciiTheme="majorHAnsi" w:hAnsiTheme="majorHAnsi"/>
          <w:sz w:val="16"/>
          <w:szCs w:val="16"/>
          <w:vertAlign w:val="baseline"/>
          <w:lang w:val="es-ES"/>
        </w:rPr>
        <w:t xml:space="preserve">CIDH, </w:t>
      </w:r>
      <w:hyperlink r:id="rId1" w:history="1">
        <w:r w:rsidRPr="00256A88">
          <w:rPr>
            <w:rStyle w:val="Hyperlink"/>
            <w:rFonts w:asciiTheme="majorHAnsi" w:hAnsiTheme="majorHAnsi"/>
            <w:sz w:val="16"/>
            <w:szCs w:val="16"/>
            <w:u w:val="none"/>
            <w:lang w:val="es-ES"/>
          </w:rPr>
          <w:t>http://www.oas.org/es/cidh/multimedia/sesiones/154/default.asp</w:t>
        </w:r>
      </w:hyperlink>
      <w:r w:rsidRPr="00256A88">
        <w:rPr>
          <w:rStyle w:val="FootnoteReference"/>
          <w:rFonts w:asciiTheme="majorHAnsi" w:hAnsiTheme="majorHAnsi"/>
          <w:sz w:val="16"/>
          <w:szCs w:val="16"/>
          <w:vertAlign w:val="baseline"/>
          <w:lang w:val="es-ES"/>
        </w:rPr>
        <w:t xml:space="preserve">; </w:t>
      </w:r>
      <w:r w:rsidRPr="00256A88">
        <w:rPr>
          <w:rStyle w:val="FootnoteReference"/>
          <w:rFonts w:asciiTheme="majorHAnsi" w:hAnsiTheme="majorHAnsi"/>
          <w:i/>
          <w:sz w:val="16"/>
          <w:szCs w:val="16"/>
          <w:vertAlign w:val="baseline"/>
          <w:lang w:val="es-ES"/>
        </w:rPr>
        <w:t>véase también</w:t>
      </w:r>
      <w:r w:rsidRPr="00256A88">
        <w:rPr>
          <w:rStyle w:val="FootnoteReference"/>
          <w:rFonts w:asciiTheme="majorHAnsi" w:hAnsiTheme="majorHAnsi"/>
          <w:sz w:val="16"/>
          <w:szCs w:val="16"/>
          <w:vertAlign w:val="baseline"/>
          <w:lang w:val="es-ES"/>
        </w:rPr>
        <w:t xml:space="preserve"> </w:t>
      </w:r>
      <w:hyperlink r:id="rId2" w:history="1">
        <w:r w:rsidRPr="00256A88">
          <w:rPr>
            <w:rStyle w:val="Hyperlink"/>
            <w:rFonts w:asciiTheme="majorHAnsi" w:hAnsiTheme="majorHAnsi"/>
            <w:sz w:val="16"/>
            <w:szCs w:val="16"/>
            <w:u w:val="none"/>
            <w:lang w:val="es-ES"/>
          </w:rPr>
          <w:t>https://www.youtube.com/ watch?v=GtZumYHuqAU</w:t>
        </w:r>
      </w:hyperlink>
      <w:r w:rsidRPr="00256A88">
        <w:rPr>
          <w:rStyle w:val="FootnoteReference"/>
          <w:rFonts w:asciiTheme="majorHAnsi" w:hAnsiTheme="majorHAnsi"/>
          <w:sz w:val="16"/>
          <w:szCs w:val="16"/>
          <w:vertAlign w:val="baseline"/>
          <w:lang w:val="es-ES"/>
        </w:rPr>
        <w:t>.</w:t>
      </w:r>
    </w:p>
  </w:footnote>
  <w:footnote w:id="7">
    <w:p w:rsidR="008B3F87" w:rsidRPr="00256A88" w:rsidRDefault="008B3F87" w:rsidP="00242AD1">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A efectos del presente informe, la Comisión usará los términos y las definiciones utilizados por los peticionarios, es decir, “trabajadores indocumentados” o “trabajadores no autorizados”, para referirse a los “trabajadores inmigrantes, conocidos también como migrantes irregulares, que no tienen autorización para trabajar de conformidad con las leyes de Estados Unidos y están presentes ilegalmente en el país”. Como los peticionarios correctamente señalan, “este grupo incluye también a los trabajadores que están en Estados Unidos legalmente por varias razones (con visa de estudiante, solicitud de asilo, etc.) pero que no están autorizados a trabajar”. Petición P-1190-06 (1 de noviembre de 2006) (en adelante la “Petición” o el “Documento de los peticionarios fechado el 1 de noviembre de 2006”), FN 1. </w:t>
      </w:r>
    </w:p>
  </w:footnote>
  <w:footnote w:id="8">
    <w:p w:rsidR="008B3F87" w:rsidRPr="00256A88" w:rsidRDefault="008B3F87" w:rsidP="00707FAE">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535 U.S. 137 (2002). </w:t>
      </w:r>
    </w:p>
  </w:footnote>
  <w:footnote w:id="9">
    <w:p w:rsidR="008B3F87" w:rsidRPr="00256A88" w:rsidRDefault="008B3F87" w:rsidP="00BB3430">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Ley de Derechos Civiles de Estados Unidos de 1964, Pub. L. 88-352, 78 Stat. 241 (1964), Título VII. </w:t>
      </w:r>
    </w:p>
  </w:footnote>
  <w:footnote w:id="10">
    <w:p w:rsidR="008B3F87" w:rsidRPr="00256A88" w:rsidRDefault="008B3F87" w:rsidP="002223D8">
      <w:pPr>
        <w:pStyle w:val="Footnotes"/>
        <w:spacing w:after="0"/>
        <w:rPr>
          <w:rFonts w:asciiTheme="majorHAnsi" w:hAnsiTheme="majorHAnsi"/>
          <w:sz w:val="16"/>
          <w:szCs w:val="16"/>
          <w:lang w:val="es-ES"/>
        </w:rPr>
      </w:pPr>
      <w:r w:rsidRPr="00256A88">
        <w:rPr>
          <w:rFonts w:asciiTheme="majorHAnsi" w:hAnsiTheme="majorHAnsi"/>
          <w:sz w:val="16"/>
          <w:szCs w:val="16"/>
          <w:vertAlign w:val="superscript"/>
          <w:lang w:val="es-ES"/>
        </w:rPr>
        <w:footnoteRef/>
      </w:r>
      <w:r w:rsidRPr="00256A88">
        <w:rPr>
          <w:rFonts w:asciiTheme="majorHAnsi" w:hAnsiTheme="majorHAnsi"/>
          <w:sz w:val="16"/>
          <w:szCs w:val="16"/>
          <w:lang w:val="es-ES"/>
        </w:rPr>
        <w:t xml:space="preserve"> La Comisión observa que, en general, la finalidad de los programas de indemnización por accidentes de trabajo es proporcionar diversas prestaciones a los empleados que sufren un accidente de trabajo o contraen una enfermedad ocupacional, según sus necesidades, tales como reemplazo de salarios, tratamiento médico y rehabilitación, entre otras prestaciones. Como ya se dijo, en la mayoría de los casos, los programas de indemnización por accidentes de trabajo se crean exclusivamente en virtud de leyes estatales. La Comisión observa que en Pensilvania se entiende que la indemnización por accidentes de trabajo refleja la responsabilidad del empleador de “indemnizar por lesiones corporales o por la muerte de un empleado acaecida como consecuencia de una lesión sufrida en el transcurso del trabajo. El empleador debe pagar tal indemnización en todos los casos, haya habido o no negligencia” de conformidad con un sistema dispuesto en los artículos 306 y 307 de la Ley de Indemnización por Accidentes de Trabajo de Pensilvania de 1915, P.L. 736, No. 338, art. III, § 301(a) (77 Pa. Cons. Stat. §431). De acuerdo con este sistema, las prestaciones consisten en el pago de salarios no percibidos (“salarios perdidos” o “tiempo perdido”), muerte, pérdida específica (generalmente la pérdida permanente del uso de un miembro o de un sentido o una desfiguración grave y permanente de la cabeza, el rostro o el cuello), atención médica, discapacidad total o parcial, y servicios de solución alternativa de controversias.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Pennsylvania Department of Labor &amp; Industry, “Workers’ Compensation &amp; the Injured Worker” [La indemnización por accidentes de trabajo y el trabajador accidentado], Rev. 09-13, </w:t>
      </w:r>
      <w:hyperlink r:id="rId3" w:anchor="whatcovered" w:history="1">
        <w:r w:rsidRPr="00256A88">
          <w:rPr>
            <w:rStyle w:val="Hyperlink"/>
            <w:rFonts w:asciiTheme="majorHAnsi" w:hAnsiTheme="majorHAnsi"/>
            <w:sz w:val="16"/>
            <w:szCs w:val="16"/>
            <w:u w:val="none"/>
            <w:lang w:val="es-ES"/>
          </w:rPr>
          <w:t>http://www.portal.state.pa.us/portal/server.pt/ community/workers%27_compensation/10386/about_workers%27_compensation/552721#whatcovered</w:t>
        </w:r>
      </w:hyperlink>
      <w:r w:rsidRPr="00256A88">
        <w:rPr>
          <w:rFonts w:asciiTheme="majorHAnsi" w:hAnsiTheme="majorHAnsi"/>
          <w:sz w:val="16"/>
          <w:szCs w:val="16"/>
          <w:lang w:val="es-ES"/>
        </w:rPr>
        <w:t xml:space="preserve"> (consultado por última vez el 8 de diciembre de 2015).</w:t>
      </w:r>
    </w:p>
    <w:p w:rsidR="008B3F87" w:rsidRPr="00256A88" w:rsidRDefault="008B3F87" w:rsidP="00902D36">
      <w:pPr>
        <w:pStyle w:val="Footnotes"/>
        <w:spacing w:after="0"/>
        <w:rPr>
          <w:rFonts w:asciiTheme="majorHAnsi" w:hAnsiTheme="majorHAnsi"/>
          <w:sz w:val="16"/>
          <w:szCs w:val="16"/>
          <w:lang w:val="es-ES"/>
        </w:rPr>
      </w:pPr>
      <w:r w:rsidRPr="00256A88">
        <w:rPr>
          <w:rFonts w:asciiTheme="majorHAnsi" w:hAnsiTheme="majorHAnsi"/>
          <w:sz w:val="16"/>
          <w:szCs w:val="16"/>
          <w:lang w:val="es-ES"/>
        </w:rPr>
        <w:t>En Kansas, la Ley de Indemnización por Accidentes de Trabajo dispone lo siguiente: “Si en cualquier relación de empleo a la cual se aplique la ley de indemnización por accidentes de trabajo un empleado sufre lesiones corporales como consecuencia de un accidente, un traumatismo repetitivo o una enfermedad ocupacional causado por el trabajo o en el transcurso del mismo, el empleador debe indemnizar al empleado de conformidad con las disposiciones de la ley de indemnización por accidentes de trabajo”. Kan. Stat. Ann. § 44-501(b) (2014). El sistema establecido en la Ley de Indemnización por Accidentes de Trabajo de Kansas abarca prestaciones por discapacidad, prestaciones a supérstites (cuando se produce una muerte relacionada con el trabajo), tratamiento médico, ingresos (salarios no percibidos) y servicios de “ombudsman”, mediación y rehabilitación vocacional.</w:t>
      </w:r>
    </w:p>
    <w:p w:rsidR="008B3F87" w:rsidRPr="00256A88" w:rsidRDefault="008B3F87" w:rsidP="003435A6">
      <w:pPr>
        <w:pStyle w:val="Footnotes"/>
        <w:rPr>
          <w:rFonts w:asciiTheme="majorHAnsi" w:hAnsiTheme="majorHAnsi"/>
          <w:sz w:val="16"/>
          <w:szCs w:val="16"/>
          <w:lang w:val="es-ES"/>
        </w:rPr>
      </w:pPr>
      <w:r w:rsidRPr="00256A88">
        <w:rPr>
          <w:rFonts w:asciiTheme="majorHAnsi" w:hAnsiTheme="majorHAnsi"/>
          <w:sz w:val="16"/>
          <w:szCs w:val="16"/>
          <w:lang w:val="es-ES"/>
        </w:rPr>
        <w:t xml:space="preserve">La Comisión usará el término “indemnización por accidentes de trabajo” para referirse a todas estas prestaciones, de forma general y colectiva, salvo que se indique otra cosa, reconociendo que el tipo y el importe de las prestaciones que se reciban en un caso particular dependerán de un análisis y una determinación según las circunstancias del caso. </w:t>
      </w:r>
    </w:p>
  </w:footnote>
  <w:footnote w:id="11">
    <w:p w:rsidR="008B3F87" w:rsidRPr="00256A88" w:rsidRDefault="008B3F87" w:rsidP="001A2F57">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Información complementaria de los peticionarios (5 de marzo de 2010), pág. 2 (en la cual se cita la declaración de Andrew Touchstone, abogado que representó al señor Zumaya en su demanda de indemnización por accidente de trabajo, párr. 9, anexo A (2) (i) del documento de los peticionarios fechado el 1 de noviembre de 2006).</w:t>
      </w:r>
    </w:p>
  </w:footnote>
  <w:footnote w:id="12">
    <w:p w:rsidR="008B3F87" w:rsidRPr="00256A88" w:rsidRDefault="008B3F87" w:rsidP="006752E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Los peticionarios citan el caso </w:t>
      </w:r>
      <w:r w:rsidRPr="00256A88">
        <w:rPr>
          <w:rFonts w:asciiTheme="majorHAnsi" w:hAnsiTheme="majorHAnsi"/>
          <w:i/>
          <w:sz w:val="16"/>
          <w:szCs w:val="16"/>
          <w:lang w:val="es-ES"/>
        </w:rPr>
        <w:t>Reinforced Earth Co. c. Junta de Apelaciones para la Indemnización por Accidentes de Trabajo</w:t>
      </w:r>
      <w:r w:rsidRPr="00256A88">
        <w:rPr>
          <w:rFonts w:asciiTheme="majorHAnsi" w:hAnsiTheme="majorHAnsi"/>
          <w:sz w:val="16"/>
          <w:szCs w:val="16"/>
          <w:lang w:val="es-ES"/>
        </w:rPr>
        <w:t xml:space="preserve">, 570 Pa. 464 (Pa. 2002). </w:t>
      </w:r>
    </w:p>
  </w:footnote>
  <w:footnote w:id="13">
    <w:p w:rsidR="008B3F87" w:rsidRPr="00256A88" w:rsidRDefault="008B3F87" w:rsidP="002861AE">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Los peticionarios citan las instrucciones operativas 287.3a de la Dirección de Aplicación de las Leyes de Inmigración y Aduanas (ICE) para el interrogatorio de personas en el marco de conflictos laborales, instrucciones que ahora se conocen como “ICE Special Agents Field Manual” [Manual para agentes especiales de la Dirección de Aplicación de las Leyes de Inmigración y Aduanas] 33.14(h). </w:t>
      </w:r>
    </w:p>
  </w:footnote>
  <w:footnote w:id="14">
    <w:p w:rsidR="008B3F87" w:rsidRPr="00256A88" w:rsidRDefault="008B3F87" w:rsidP="00F7692E">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Información complementaria de los peticionarios (5 de marzo de 2010), pág. 6, en la cual se cita un informe de la Federación Estadounidense del Trabajo y el Congreso de Organizaciones Industriales (AFL-CIO), American Rights at Work y el Proyecto Nacional de Leyes del Empleo (NELP)</w:t>
      </w:r>
      <w:r w:rsidRPr="00256A88">
        <w:rPr>
          <w:rFonts w:asciiTheme="majorHAnsi" w:hAnsiTheme="majorHAnsi"/>
          <w:i/>
          <w:sz w:val="16"/>
          <w:szCs w:val="16"/>
          <w:lang w:val="es-ES"/>
        </w:rPr>
        <w:t xml:space="preserve"> </w:t>
      </w:r>
      <w:r w:rsidRPr="00256A88">
        <w:rPr>
          <w:rFonts w:asciiTheme="majorHAnsi" w:hAnsiTheme="majorHAnsi"/>
          <w:sz w:val="16"/>
          <w:szCs w:val="16"/>
          <w:lang w:val="es-ES"/>
        </w:rPr>
        <w:t xml:space="preserve">titulado </w:t>
      </w:r>
      <w:r w:rsidRPr="00256A88">
        <w:rPr>
          <w:rFonts w:asciiTheme="majorHAnsi" w:hAnsiTheme="majorHAnsi"/>
          <w:i/>
          <w:sz w:val="16"/>
          <w:szCs w:val="16"/>
          <w:lang w:val="es-ES"/>
        </w:rPr>
        <w:t>Iced Out: How Immigration Enforcement Has Interfered with Workers’ Rights</w:t>
      </w:r>
      <w:r w:rsidRPr="00256A88">
        <w:rPr>
          <w:rFonts w:asciiTheme="majorHAnsi" w:hAnsiTheme="majorHAnsi"/>
          <w:sz w:val="16"/>
          <w:szCs w:val="16"/>
          <w:lang w:val="es-ES"/>
        </w:rPr>
        <w:t xml:space="preserve"> [Congelados: interferencia de la aplicación de las leyes de inmigración en los derechos de los trabajadores] (octubre de 2009). En un ejemplo, los peticionarios señalan que un juez de inmigraciones determinó que los agentes de inmigraciones no habían seguido su propia normativa al hacer una redada en una fábrica de Nueva York e iniciar procedimientos de expulsión de dos trabajadores que participaban en actividades sindicales. Los peticionarios alegan que el abogado de la dirección de inmigraciones en este caso argumentó que la normativa de la Dirección de Aplicación de las Leyes de Inmigración y Aduanas plasmada en el memorando de entendimiento y en el manual eran meras instrucciones y no tenían la misma fuerza de ley que una regla o norma promulgada oficialmente. </w:t>
      </w:r>
      <w:r w:rsidRPr="00256A88">
        <w:rPr>
          <w:rFonts w:asciiTheme="majorHAnsi" w:hAnsiTheme="majorHAnsi"/>
          <w:i/>
          <w:sz w:val="16"/>
          <w:szCs w:val="16"/>
          <w:lang w:val="es-ES"/>
        </w:rPr>
        <w:t>Véase íd.</w:t>
      </w:r>
      <w:r w:rsidRPr="00256A88">
        <w:rPr>
          <w:rFonts w:asciiTheme="majorHAnsi" w:hAnsiTheme="majorHAnsi"/>
          <w:sz w:val="16"/>
          <w:szCs w:val="16"/>
          <w:lang w:val="es-ES"/>
        </w:rPr>
        <w:t xml:space="preserve"> (en el cual se cita </w:t>
      </w:r>
      <w:r w:rsidRPr="00256A88">
        <w:rPr>
          <w:rFonts w:asciiTheme="majorHAnsi" w:hAnsiTheme="majorHAnsi"/>
          <w:i/>
          <w:sz w:val="16"/>
          <w:szCs w:val="16"/>
          <w:lang w:val="es-ES"/>
        </w:rPr>
        <w:t>In the matter of Herrera-Priego</w:t>
      </w:r>
      <w:r w:rsidRPr="00256A88">
        <w:rPr>
          <w:rFonts w:asciiTheme="majorHAnsi" w:hAnsiTheme="majorHAnsi"/>
          <w:sz w:val="16"/>
          <w:szCs w:val="16"/>
          <w:lang w:val="es-ES"/>
        </w:rPr>
        <w:t xml:space="preserve"> [En el caso Herrera-Priego], Consejo de Apelaciones de Inmigración del Departamento de Justicia de Estados Unidos, 10 de julio de 2003). </w:t>
      </w:r>
    </w:p>
  </w:footnote>
  <w:footnote w:id="15">
    <w:p w:rsidR="008B3F87" w:rsidRPr="00256A88" w:rsidRDefault="008B3F87" w:rsidP="00126174">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Información complementaria de los peticionarios (5 de marzo de 2010), págs. 7 y 8 (en la cual se cita el caso </w:t>
      </w:r>
      <w:r w:rsidRPr="00256A88">
        <w:rPr>
          <w:rFonts w:asciiTheme="majorHAnsi" w:hAnsiTheme="majorHAnsi"/>
          <w:i/>
          <w:sz w:val="16"/>
          <w:szCs w:val="16"/>
          <w:lang w:val="es-ES"/>
        </w:rPr>
        <w:t>Lozano c. City of Hazleton</w:t>
      </w:r>
      <w:r w:rsidRPr="00256A88">
        <w:rPr>
          <w:rFonts w:asciiTheme="majorHAnsi" w:hAnsiTheme="majorHAnsi"/>
          <w:sz w:val="16"/>
          <w:szCs w:val="16"/>
          <w:lang w:val="es-ES"/>
        </w:rPr>
        <w:t xml:space="preserve">, 496 F. Supp. 2d 477, 513-14 [M.D. Pa. 2007], en el cual se explica que “los tribunales federales han reconocido que las averiguaciones de la situación migratoria puede tener un efecto </w:t>
      </w:r>
      <w:r w:rsidRPr="00256A88">
        <w:rPr>
          <w:rFonts w:asciiTheme="majorHAnsi" w:hAnsiTheme="majorHAnsi"/>
          <w:i/>
          <w:sz w:val="16"/>
          <w:szCs w:val="16"/>
          <w:lang w:val="es-ES"/>
        </w:rPr>
        <w:t>in terrorem</w:t>
      </w:r>
      <w:r w:rsidRPr="00256A88">
        <w:rPr>
          <w:rFonts w:asciiTheme="majorHAnsi" w:hAnsiTheme="majorHAnsi"/>
          <w:sz w:val="16"/>
          <w:szCs w:val="16"/>
          <w:lang w:val="es-ES"/>
        </w:rPr>
        <w:t xml:space="preserve"> que limita la disposición de los demandantes para hacer valer sus derechos por temor de las consecuencias de exponer su situación”); </w:t>
      </w:r>
      <w:r w:rsidRPr="00256A88">
        <w:rPr>
          <w:rFonts w:asciiTheme="majorHAnsi" w:hAnsiTheme="majorHAnsi"/>
          <w:i/>
          <w:sz w:val="16"/>
          <w:szCs w:val="16"/>
          <w:lang w:val="es-ES"/>
        </w:rPr>
        <w:t>Topo c. Dhir</w:t>
      </w:r>
      <w:r w:rsidRPr="00256A88">
        <w:rPr>
          <w:rFonts w:asciiTheme="majorHAnsi" w:hAnsiTheme="majorHAnsi"/>
          <w:sz w:val="16"/>
          <w:szCs w:val="16"/>
          <w:lang w:val="es-ES"/>
        </w:rPr>
        <w:t xml:space="preserve">, 210 F.R.D. 76, 78-79 (S.D.N.Y. 2002) (en el cual se señala lo siguiente: “Los temores de la demandante de que su situación migratoria inhiba la continuación de sus reclamos son bien fundados. En general, los tribunales han reconocido el efecto </w:t>
      </w:r>
      <w:r w:rsidRPr="00256A88">
        <w:rPr>
          <w:rFonts w:asciiTheme="majorHAnsi" w:hAnsiTheme="majorHAnsi"/>
          <w:i/>
          <w:sz w:val="16"/>
          <w:szCs w:val="16"/>
          <w:lang w:val="es-ES"/>
        </w:rPr>
        <w:t>in terrorem</w:t>
      </w:r>
      <w:r w:rsidRPr="00256A88">
        <w:rPr>
          <w:rFonts w:asciiTheme="majorHAnsi" w:hAnsiTheme="majorHAnsi"/>
          <w:sz w:val="16"/>
          <w:szCs w:val="16"/>
          <w:lang w:val="es-ES"/>
        </w:rPr>
        <w:t xml:space="preserve"> de las averiguaciones de la situación migratoria de una parte en casos en que tal situación no es pertinente para ningún reclamo sustancial”); </w:t>
      </w:r>
      <w:r w:rsidRPr="00256A88">
        <w:rPr>
          <w:rFonts w:asciiTheme="majorHAnsi" w:hAnsiTheme="majorHAnsi"/>
          <w:i/>
          <w:sz w:val="16"/>
          <w:szCs w:val="16"/>
          <w:lang w:val="es-ES"/>
        </w:rPr>
        <w:t>Flores c. Albertsons, Inc</w:t>
      </w:r>
      <w:r w:rsidRPr="00256A88">
        <w:rPr>
          <w:rFonts w:asciiTheme="majorHAnsi" w:hAnsiTheme="majorHAnsi"/>
          <w:sz w:val="16"/>
          <w:szCs w:val="16"/>
          <w:lang w:val="es-ES"/>
        </w:rPr>
        <w:t xml:space="preserve">., No. CV 01-00515 AHM(SHx), 2002 WL 1163623, en *5-6 (C.D. Cal. 2002) (en el cual se niega la solicitud del demandado de documentos relativos a la situación migratoria del demandante debido a que “es muy probable que todo [litigante] indocumentado a quien se le obligue a presentar documentos relacionados con su situación migratoria retire la demanda en vez de presentar tales documentos y enfrentarse con la deportación”). </w:t>
      </w:r>
    </w:p>
  </w:footnote>
  <w:footnote w:id="16">
    <w:p w:rsidR="008B3F87" w:rsidRPr="00256A88" w:rsidRDefault="008B3F87" w:rsidP="00104AA0">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Información complementaria de los peticionarios (5 de marzo de 2010), págs. 8 y 9 (en la cual se cita el caso </w:t>
      </w:r>
      <w:r w:rsidRPr="00256A88">
        <w:rPr>
          <w:rFonts w:asciiTheme="majorHAnsi" w:hAnsiTheme="majorHAnsi"/>
          <w:i/>
          <w:sz w:val="16"/>
          <w:szCs w:val="16"/>
          <w:lang w:val="es-ES"/>
        </w:rPr>
        <w:t>Rivera c. NIBCO, Inc</w:t>
      </w:r>
      <w:r w:rsidRPr="00256A88">
        <w:rPr>
          <w:rFonts w:asciiTheme="majorHAnsi" w:hAnsiTheme="majorHAnsi"/>
          <w:sz w:val="16"/>
          <w:szCs w:val="16"/>
          <w:lang w:val="es-ES"/>
        </w:rPr>
        <w:t xml:space="preserve">. 364 F.3d 1057, 1064 [Noveno Circuito, 2004], en el cual se reafirmó una orden de protección en un caso de discriminación en el trabajo porque era necesaria para evitar “el efecto de enfriamiento que la revelación de la situación migratoria de los demandantes podría tener en su capacidad para hacer valer sus derechos [...] Si tuviéramos que atender los pedidos de revelación de información relacionada con la situación migratoria en todos los casos de discriminación por origen nacional […] innumerables actos ilegales y censurables quedarían sin denunciar”); </w:t>
      </w:r>
      <w:r w:rsidRPr="00256A88">
        <w:rPr>
          <w:rFonts w:asciiTheme="majorHAnsi" w:hAnsiTheme="majorHAnsi"/>
          <w:i/>
          <w:sz w:val="16"/>
          <w:szCs w:val="16"/>
          <w:lang w:val="es-ES"/>
        </w:rPr>
        <w:t>véase también</w:t>
      </w:r>
      <w:r w:rsidRPr="00256A88">
        <w:rPr>
          <w:rFonts w:asciiTheme="majorHAnsi" w:hAnsiTheme="majorHAnsi"/>
          <w:sz w:val="16"/>
          <w:szCs w:val="16"/>
          <w:lang w:val="es-ES"/>
        </w:rPr>
        <w:t xml:space="preserve"> </w:t>
      </w:r>
      <w:r w:rsidRPr="00256A88">
        <w:rPr>
          <w:rFonts w:asciiTheme="majorHAnsi" w:hAnsiTheme="majorHAnsi"/>
          <w:i/>
          <w:sz w:val="16"/>
          <w:szCs w:val="16"/>
          <w:lang w:val="es-ES"/>
        </w:rPr>
        <w:t>In re Reyes</w:t>
      </w:r>
      <w:r w:rsidRPr="00256A88">
        <w:rPr>
          <w:rFonts w:asciiTheme="majorHAnsi" w:hAnsiTheme="majorHAnsi"/>
          <w:sz w:val="16"/>
          <w:szCs w:val="16"/>
          <w:lang w:val="es-ES"/>
        </w:rPr>
        <w:t xml:space="preserve">, 814 F.2d 168, 170 (Quinto Circuito, 1987); </w:t>
      </w:r>
      <w:r w:rsidRPr="00256A88">
        <w:rPr>
          <w:rFonts w:asciiTheme="majorHAnsi" w:hAnsiTheme="majorHAnsi"/>
          <w:i/>
          <w:sz w:val="16"/>
          <w:szCs w:val="16"/>
          <w:lang w:val="es-ES"/>
        </w:rPr>
        <w:t>Trejos c. Editas Bar and Restaurant</w:t>
      </w:r>
      <w:r w:rsidRPr="00256A88">
        <w:rPr>
          <w:rFonts w:asciiTheme="majorHAnsi" w:hAnsiTheme="majorHAnsi"/>
          <w:sz w:val="16"/>
          <w:szCs w:val="16"/>
          <w:lang w:val="es-ES"/>
        </w:rPr>
        <w:t xml:space="preserve">, 2009 WL 749891 (E.D.N.Y. 2009); </w:t>
      </w:r>
      <w:r w:rsidRPr="00256A88">
        <w:rPr>
          <w:rFonts w:asciiTheme="majorHAnsi" w:hAnsiTheme="majorHAnsi"/>
          <w:i/>
          <w:sz w:val="16"/>
          <w:szCs w:val="16"/>
          <w:lang w:val="es-ES"/>
        </w:rPr>
        <w:t>Galaviz-Zamora c. Brady Farms Inc.</w:t>
      </w:r>
      <w:r w:rsidRPr="00256A88">
        <w:rPr>
          <w:rFonts w:asciiTheme="majorHAnsi" w:hAnsiTheme="majorHAnsi"/>
          <w:sz w:val="16"/>
          <w:szCs w:val="16"/>
          <w:lang w:val="es-ES"/>
        </w:rPr>
        <w:t xml:space="preserve">, 230 F.R.D. 499, 501 (W.D. Mich. 2005). </w:t>
      </w:r>
    </w:p>
  </w:footnote>
  <w:footnote w:id="17">
    <w:p w:rsidR="008B3F87" w:rsidRPr="00256A88" w:rsidRDefault="008B3F87" w:rsidP="00504910">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Documento de los peticionarios fechado el 6 de enero de 2015, pág. 17. </w:t>
      </w:r>
    </w:p>
  </w:footnote>
  <w:footnote w:id="18">
    <w:p w:rsidR="008B3F87" w:rsidRPr="00256A88" w:rsidRDefault="008B3F87" w:rsidP="00BC0AB7">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Documento de los peticionarios fechado el 6 de enero de 2015, pág. 17.</w:t>
      </w:r>
    </w:p>
  </w:footnote>
  <w:footnote w:id="19">
    <w:p w:rsidR="008B3F87" w:rsidRPr="00256A88" w:rsidRDefault="008B3F87" w:rsidP="00030CAF">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La Comisión para la Igualdad de Oportunidades en el Empleo vela por el cumplimiento de las leyes federales en todas las dependencias del gobierno federal. En lo que respecta a las dependencias de gobiernos estatales y locales, la Comisión en general puede exigir el cumplimiento de las leyes federales si la dependencia tiene 15 empleados o más que han trabajado en esa dependencia durante 20 días civiles como mínimo. En los casos de queja por discriminación por edad, los organismos estatales y locales están supeditados a las leyes federales, independientemente del número de empleados. Además, están obligados a cumplir la Ley de Igualdad de Remuneración (EPA), en virtud de la cual es ilegal pagar salarios diferentes a hombres y mujeres si están realizando un trabajo sustancialmente igual en el mismo lugar de trabajo. Con respecto a los empleadores del sector privado, la Comisión para la Igualdad de Oportunidades en el Empleo en general tiene jurisdicción sobre un empleador que tiene 15 empleados o más que han trabajado para el empleador por lo menos durante 20 semanas civiles. En los casos de queja por discriminación por edad, la Comisión podría tener jurisdicción sobre un empleador que tiene 20 empleados o más que han trabajado para la compañía durante 20 semanas civiles como mínimo, y “prácticamente todos” los empleadores están obligados a cumplir la Ley de Igualdad de Remuneración. En los casos en que una dependencia de un gobierno estatal o local o un empleador del sector privado no reúna los requisitos para estar bajo la jurisdicción de la Comisión para la Igualdad de Oportunidades en el Empleo, el empleador podría estar supeditado a las leyes estatales y locales contra la discriminación. EEOC, “Coverage” [Cobertura] (consultado por última vez el 15 de mayo de 2015), http://www.eeoc.gov/employers/coverage.cfm. </w:t>
      </w:r>
    </w:p>
  </w:footnote>
  <w:footnote w:id="20">
    <w:p w:rsidR="008B3F87" w:rsidRPr="00256A88" w:rsidRDefault="008B3F87" w:rsidP="007A563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Respuesta del Estado, pág. 7 (en la cual se citan, </w:t>
      </w:r>
      <w:r w:rsidRPr="00256A88">
        <w:rPr>
          <w:rFonts w:asciiTheme="majorHAnsi" w:hAnsiTheme="majorHAnsi"/>
          <w:i/>
          <w:sz w:val="16"/>
          <w:szCs w:val="16"/>
          <w:lang w:val="es-ES"/>
        </w:rPr>
        <w:t>inter alia</w:t>
      </w:r>
      <w:r w:rsidRPr="00256A88">
        <w:rPr>
          <w:rFonts w:asciiTheme="majorHAnsi" w:hAnsiTheme="majorHAnsi"/>
          <w:sz w:val="16"/>
          <w:szCs w:val="16"/>
          <w:lang w:val="es-ES"/>
        </w:rPr>
        <w:t>, el título VII de la Ley de Derechos Civiles de 1964, 42 U.S.C. § 2000e, y siguientes; la Ley de Igualdad de Remuneración de 1963, 29 U.S.C. § 206(d); la Ley contra la Discriminación por Edad en el Empleo de 1987, 29 U.S.C. § 621 y siguientes; la Ley de Protección de los Estadounidenses con Discapacidades de 1990 (ADA), 42 U.S.C. § 12101 y siguientes; y la Ley de No Discriminación por Información Genética de 2008 (GINA), 42 U.S.C. § 2000ff y siguientes).</w:t>
      </w:r>
    </w:p>
  </w:footnote>
  <w:footnote w:id="21">
    <w:p w:rsidR="008B3F87" w:rsidRPr="00256A88" w:rsidRDefault="008B3F87" w:rsidP="0098079D">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467 U.S. 883 (1984). </w:t>
      </w:r>
    </w:p>
  </w:footnote>
  <w:footnote w:id="22">
    <w:p w:rsidR="008B3F87" w:rsidRPr="00256A88" w:rsidRDefault="008B3F87" w:rsidP="0037333F">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Respuesta del Estado, pág. 14.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el memorando del Asesor Jurídico de la </w:t>
      </w:r>
      <w:r w:rsidRPr="00256A88">
        <w:rPr>
          <w:rFonts w:asciiTheme="majorHAnsi" w:hAnsiTheme="majorHAnsi"/>
          <w:bCs/>
          <w:sz w:val="16"/>
          <w:szCs w:val="16"/>
          <w:lang w:val="es-ES"/>
        </w:rPr>
        <w:t>Junta Nacional de Relaciones Laborales</w:t>
      </w:r>
      <w:r w:rsidRPr="00256A88">
        <w:rPr>
          <w:rFonts w:asciiTheme="majorHAnsi" w:hAnsiTheme="majorHAnsi"/>
          <w:sz w:val="16"/>
          <w:szCs w:val="16"/>
          <w:lang w:val="es-ES"/>
        </w:rPr>
        <w:t xml:space="preserve"> GC 02-06 (19 de julio de 2002) (“GC 02-06”), pág. 1 (“En el caso </w:t>
      </w:r>
      <w:r w:rsidRPr="00256A88">
        <w:rPr>
          <w:rFonts w:asciiTheme="majorHAnsi" w:hAnsiTheme="majorHAnsi"/>
          <w:i/>
          <w:sz w:val="16"/>
          <w:szCs w:val="16"/>
          <w:lang w:val="es-ES"/>
        </w:rPr>
        <w:t>Hoffman</w:t>
      </w:r>
      <w:r w:rsidRPr="00256A88">
        <w:rPr>
          <w:rFonts w:asciiTheme="majorHAnsi" w:hAnsiTheme="majorHAnsi"/>
          <w:sz w:val="16"/>
          <w:szCs w:val="16"/>
          <w:lang w:val="es-ES"/>
        </w:rPr>
        <w:t xml:space="preserve">, el tribunal abordó solamente una cuestión de carácter correctivo y, por lo tanto, como se indicó anteriormente, no revoca la jurisprudencia sentada por la Junta y por el tribunal. En consecuencia, las regiones deben seguir oponiéndose a los intentos de una parte acusada de obtener pruebas relativas a la condición de indocumentado alegada en relación con un empleado para evadir la responsabilidad por prácticas laborales desleales”). </w:t>
      </w:r>
    </w:p>
  </w:footnote>
  <w:footnote w:id="23">
    <w:p w:rsidR="008B3F87" w:rsidRPr="00256A88" w:rsidRDefault="008B3F87" w:rsidP="0098579A">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El Estado señala que, en los casos en que “el trabajador ya se ha ido de Estados Unidos” y se le adeudan salarios por trabajo realizado, el Departamento de Trabajo coopera con los consulados de Estados Unidos para localizar al trabajador, a fin de que pueda recibir los salarios percibidos en su nombre. Respuesta del Estado, págs. 15 y 16.</w:t>
      </w:r>
    </w:p>
  </w:footnote>
  <w:footnote w:id="24">
    <w:p w:rsidR="008B3F87" w:rsidRPr="00256A88" w:rsidRDefault="008B3F87" w:rsidP="00C667B5">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Respuesta del Estado, pág. 14. Una orden de desistir es una de las órdenes que la </w:t>
      </w:r>
      <w:r w:rsidRPr="00256A88">
        <w:rPr>
          <w:rFonts w:asciiTheme="majorHAnsi" w:eastAsia="Times New Roman" w:hAnsiTheme="majorHAnsi"/>
          <w:bCs/>
          <w:sz w:val="16"/>
          <w:szCs w:val="16"/>
          <w:bdr w:val="none" w:sz="0" w:space="0" w:color="auto" w:frame="1"/>
          <w:lang w:val="es-ES"/>
        </w:rPr>
        <w:t>Junta Nacional de Relaciones Laborales</w:t>
      </w:r>
      <w:r w:rsidRPr="00256A88">
        <w:rPr>
          <w:rFonts w:asciiTheme="majorHAnsi" w:hAnsiTheme="majorHAnsi"/>
          <w:sz w:val="16"/>
          <w:szCs w:val="16"/>
          <w:lang w:val="es-ES"/>
        </w:rPr>
        <w:t xml:space="preserve"> puede emitir al concluir, sobre la base de la preponderancia del testimonio recibido, que la persona demandada ha empleado prácticas laborales desleales. Por lo tanto, la persona debe suspender tales prácticas desleales y tomar las medidas correctivas positivas que la Junta ordene.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NLRA, 29 U.S.C. §§ 151 – 169, 160(c). </w:t>
      </w:r>
    </w:p>
  </w:footnote>
  <w:footnote w:id="25">
    <w:p w:rsidR="008B3F87" w:rsidRPr="00256A88" w:rsidRDefault="008B3F87" w:rsidP="00934B3D">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Respuesta del Estado, págs. 14 y 15, en la cual se cita el memorando del Asesor Jurídico de la </w:t>
      </w:r>
      <w:r w:rsidRPr="00256A88">
        <w:rPr>
          <w:rFonts w:asciiTheme="majorHAnsi" w:hAnsiTheme="majorHAnsi"/>
          <w:bCs/>
          <w:sz w:val="16"/>
          <w:szCs w:val="16"/>
          <w:lang w:val="es-ES"/>
        </w:rPr>
        <w:t>Junta Nacional de Relaciones Laborales</w:t>
      </w:r>
      <w:r w:rsidRPr="00256A88">
        <w:rPr>
          <w:rFonts w:asciiTheme="majorHAnsi" w:hAnsiTheme="majorHAnsi"/>
          <w:sz w:val="16"/>
          <w:szCs w:val="16"/>
          <w:lang w:val="es-ES"/>
        </w:rPr>
        <w:t xml:space="preserve"> OM 11-62 (7 de junio de 2011) (“OM 11-62”), pág. 3; GC 02-06, pág. 5. </w:t>
      </w:r>
    </w:p>
  </w:footnote>
  <w:footnote w:id="26">
    <w:p w:rsidR="008B3F87" w:rsidRPr="00256A88" w:rsidRDefault="008B3F87" w:rsidP="00B3398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Respuesta del Estado, págs. 17 y 18 (en la cual se citan, </w:t>
      </w:r>
      <w:r w:rsidRPr="00256A88">
        <w:rPr>
          <w:rFonts w:asciiTheme="majorHAnsi" w:hAnsiTheme="majorHAnsi"/>
          <w:i/>
          <w:sz w:val="16"/>
          <w:szCs w:val="16"/>
          <w:lang w:val="es-ES"/>
        </w:rPr>
        <w:t>inter alia</w:t>
      </w:r>
      <w:r w:rsidRPr="00256A88">
        <w:rPr>
          <w:rFonts w:asciiTheme="majorHAnsi" w:hAnsiTheme="majorHAnsi"/>
          <w:sz w:val="16"/>
          <w:szCs w:val="16"/>
          <w:lang w:val="es-ES"/>
        </w:rPr>
        <w:t xml:space="preserve">, Concrete Form Walls, Inc., 346 NLRB 831 </w:t>
      </w:r>
      <w:r w:rsidRPr="00256A88">
        <w:rPr>
          <w:rFonts w:asciiTheme="majorHAnsi" w:hAnsiTheme="majorHAnsi"/>
          <w:sz w:val="16"/>
          <w:szCs w:val="16"/>
          <w:lang w:val="es-US"/>
        </w:rPr>
        <w:t>[</w:t>
      </w:r>
      <w:r w:rsidRPr="00256A88">
        <w:rPr>
          <w:rFonts w:asciiTheme="majorHAnsi" w:hAnsiTheme="majorHAnsi"/>
          <w:sz w:val="16"/>
          <w:szCs w:val="16"/>
          <w:lang w:val="es-ES"/>
        </w:rPr>
        <w:t xml:space="preserve">2006]; </w:t>
      </w:r>
      <w:r w:rsidRPr="00256A88">
        <w:rPr>
          <w:rFonts w:asciiTheme="majorHAnsi" w:hAnsiTheme="majorHAnsi"/>
          <w:i/>
          <w:sz w:val="16"/>
          <w:szCs w:val="16"/>
          <w:lang w:val="es-ES"/>
        </w:rPr>
        <w:t>Chellen c. John Pickle Co.</w:t>
      </w:r>
      <w:r w:rsidRPr="00256A88">
        <w:rPr>
          <w:rFonts w:asciiTheme="majorHAnsi" w:hAnsiTheme="majorHAnsi"/>
          <w:sz w:val="16"/>
          <w:szCs w:val="16"/>
          <w:lang w:val="es-ES"/>
        </w:rPr>
        <w:t xml:space="preserve">, 344 F.Supp.2d 1278 [N.D. Okla. 2004], en el cual se afirma que un trabajador, aunque no esté autorizado a trabajar, está amparado por la Ley de Estándares Laborales Equitativos; </w:t>
      </w:r>
      <w:r w:rsidRPr="00256A88">
        <w:rPr>
          <w:rFonts w:asciiTheme="majorHAnsi" w:hAnsiTheme="majorHAnsi"/>
          <w:i/>
          <w:sz w:val="16"/>
          <w:szCs w:val="16"/>
          <w:lang w:val="es-ES"/>
        </w:rPr>
        <w:t>Flores c. Amigon</w:t>
      </w:r>
      <w:r w:rsidRPr="00256A88">
        <w:rPr>
          <w:rFonts w:asciiTheme="majorHAnsi" w:hAnsiTheme="majorHAnsi"/>
          <w:sz w:val="16"/>
          <w:szCs w:val="16"/>
          <w:lang w:val="es-ES"/>
        </w:rPr>
        <w:t xml:space="preserve">, 233 F.Supp.2d 462, 463 [E.D.N.Y. 2002], en el cual se afirma que la Ley de Estándares Laborales Equitativos se aplica a los empleados independientemente de su situación migratoria). </w:t>
      </w:r>
    </w:p>
  </w:footnote>
  <w:footnote w:id="27">
    <w:p w:rsidR="008B3F87" w:rsidRPr="00256A88" w:rsidRDefault="008B3F87" w:rsidP="00617DB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Respuesta del Estado, pág. 20 (en la cual se cita </w:t>
      </w:r>
      <w:r w:rsidRPr="00256A88">
        <w:rPr>
          <w:rFonts w:asciiTheme="majorHAnsi" w:hAnsiTheme="majorHAnsi"/>
          <w:i/>
          <w:sz w:val="16"/>
          <w:szCs w:val="16"/>
          <w:lang w:val="es-ES"/>
        </w:rPr>
        <w:t>Reinforced Earth Co. c. Junta de Apelaciones para la Indemnización por Accidentes de Trabajo</w:t>
      </w:r>
      <w:r w:rsidRPr="00256A88">
        <w:rPr>
          <w:rFonts w:asciiTheme="majorHAnsi" w:hAnsiTheme="majorHAnsi"/>
          <w:sz w:val="16"/>
          <w:szCs w:val="16"/>
          <w:lang w:val="es-ES"/>
        </w:rPr>
        <w:t>, 570 Pa. 464, 467 [Pa. 2002]).</w:t>
      </w:r>
    </w:p>
  </w:footnote>
  <w:footnote w:id="28">
    <w:p w:rsidR="008B3F87" w:rsidRPr="00256A88" w:rsidRDefault="008B3F87" w:rsidP="00DC6165">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El artículo 43(1) del Reglamento de la Comisión Interamericana de Derechos Humanos dispone lo siguiente: “La Comisión deliberará sobre el fondo del caso, a cuyo efecto preparará un informe en el cual examinará los alegatos, las pruebas suministradas por las partes, y la información obtenida durante audiencias y observaciones </w:t>
      </w:r>
      <w:r w:rsidRPr="00256A88">
        <w:rPr>
          <w:rFonts w:asciiTheme="majorHAnsi" w:hAnsiTheme="majorHAnsi"/>
          <w:i/>
          <w:iCs/>
          <w:sz w:val="16"/>
          <w:szCs w:val="16"/>
          <w:lang w:val="es-ES"/>
        </w:rPr>
        <w:t>in loco</w:t>
      </w:r>
      <w:r w:rsidRPr="00256A88">
        <w:rPr>
          <w:rFonts w:asciiTheme="majorHAnsi" w:hAnsiTheme="majorHAnsi"/>
          <w:sz w:val="16"/>
          <w:szCs w:val="16"/>
          <w:lang w:val="es-ES"/>
        </w:rPr>
        <w:t xml:space="preserve">. Asimismo, la Comisión podrá tener en cuenta otra información de público conocimiento”. </w:t>
      </w:r>
    </w:p>
  </w:footnote>
  <w:footnote w:id="29">
    <w:p w:rsidR="008B3F87" w:rsidRPr="00256A88" w:rsidRDefault="008B3F87" w:rsidP="00DD233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Respuesta del Estado, pág. 4. </w:t>
      </w:r>
    </w:p>
  </w:footnote>
  <w:footnote w:id="30">
    <w:p w:rsidR="008B3F87" w:rsidRPr="00256A88" w:rsidRDefault="008B3F87" w:rsidP="0082031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Anexo A (2) del documento de los peticionarios fechado el 1 de noviembre de 2006, declaración de Leopoldo Zumaya, párrs. 2, 4-5.</w:t>
      </w:r>
    </w:p>
  </w:footnote>
  <w:footnote w:id="31">
    <w:p w:rsidR="008B3F87" w:rsidRPr="00256A88" w:rsidRDefault="008B3F87" w:rsidP="008D5B23">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Documento de los peticionarios fechado el 1 de noviembre de 2006, pág. 24. </w:t>
      </w:r>
    </w:p>
  </w:footnote>
  <w:footnote w:id="32">
    <w:p w:rsidR="008B3F87" w:rsidRPr="00256A88" w:rsidRDefault="008B3F87" w:rsidP="008D5B23">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Anexo A (2) del documento de los peticionarios fechado el 1 de noviembre de 2006, declaración de Leopoldo Zumaya, párr. 8. </w:t>
      </w:r>
    </w:p>
  </w:footnote>
  <w:footnote w:id="33">
    <w:p w:rsidR="008B3F87" w:rsidRPr="00256A88" w:rsidRDefault="008B3F87" w:rsidP="00E2531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 xml:space="preserve">Cf. </w:t>
      </w:r>
      <w:r w:rsidRPr="00256A88">
        <w:rPr>
          <w:rFonts w:asciiTheme="majorHAnsi" w:hAnsiTheme="majorHAnsi"/>
          <w:sz w:val="16"/>
          <w:szCs w:val="16"/>
          <w:lang w:val="es-ES"/>
        </w:rPr>
        <w:t xml:space="preserve">Información complementaria de los peticionarios (5 de marzo de 2010), pág. 2 (en la cual se cita la declaración del abogado del señor Zumaya, Andrew Touchstone, quien en el momento de la declaración tenía 18 años de experiencia en el área de las indemnizaciones por accidentes de trabajo y alegó que el señor Zumaya podría haber recibido entre $85.000 y $100.000 en el arreglo si hubiera sido ciudadano estadounidense). El Estado no refutó directamente esta afirmación, aunque refutó el contexto del argumento. </w:t>
      </w:r>
    </w:p>
  </w:footnote>
  <w:footnote w:id="34">
    <w:p w:rsidR="008B3F87" w:rsidRPr="00256A88" w:rsidRDefault="008B3F87" w:rsidP="00F54030">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Respuesta del Estado, pág. 4. </w:t>
      </w:r>
    </w:p>
  </w:footnote>
  <w:footnote w:id="35">
    <w:p w:rsidR="008B3F87" w:rsidRPr="00256A88" w:rsidRDefault="008B3F87" w:rsidP="00E01A1A">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Anexo A (4) del documento de los peticionarios fechado el 1 de noviembre de 2006, declaración de Francisco Berumen Lizalde, párrs. 5-6.</w:t>
      </w:r>
    </w:p>
  </w:footnote>
  <w:footnote w:id="36">
    <w:p w:rsidR="008B3F87" w:rsidRPr="00256A88" w:rsidRDefault="008B3F87" w:rsidP="004B70C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Documento de los peticionarios fechado el 1 de noviembre de 2006, pág. 25. </w:t>
      </w:r>
    </w:p>
  </w:footnote>
  <w:footnote w:id="37">
    <w:p w:rsidR="008B3F87" w:rsidRPr="00256A88" w:rsidRDefault="008B3F87" w:rsidP="004B70C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Anexo A (4) del documento de los peticionarios fechado el 1 de noviembre de 2006, declaración de Francisco Berumen Lizalde, párr. 9.</w:t>
      </w:r>
    </w:p>
  </w:footnote>
  <w:footnote w:id="38">
    <w:p w:rsidR="008B3F87" w:rsidRPr="00256A88" w:rsidRDefault="008B3F87" w:rsidP="00511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Anexo A (4)(i) del documento de los peticionarios fechado el 1 de noviembre de 2006, declaración de Michael Snider, párrs. 5-8.</w:t>
      </w:r>
    </w:p>
  </w:footnote>
  <w:footnote w:id="39">
    <w:p w:rsidR="008B3F87" w:rsidRPr="00256A88" w:rsidRDefault="008B3F87" w:rsidP="00451903">
      <w:pPr>
        <w:pStyle w:val="FootnoteText"/>
        <w:spacing w:after="120"/>
        <w:ind w:firstLine="720"/>
        <w:jc w:val="both"/>
        <w:rPr>
          <w:rFonts w:asciiTheme="majorHAnsi" w:hAnsiTheme="majorHAnsi"/>
          <w:sz w:val="16"/>
          <w:szCs w:val="16"/>
          <w:lang w:val="es-ES"/>
        </w:rPr>
      </w:pPr>
      <w:r w:rsidRPr="00256A88">
        <w:rPr>
          <w:rFonts w:asciiTheme="majorHAnsi" w:hAnsiTheme="majorHAnsi"/>
          <w:color w:val="auto"/>
          <w:sz w:val="16"/>
          <w:szCs w:val="16"/>
          <w:bdr w:val="none" w:sz="0" w:space="0" w:color="auto"/>
          <w:vertAlign w:val="superscript"/>
          <w:lang w:val="es-ES" w:eastAsia="en-US"/>
        </w:rPr>
        <w:footnoteRef/>
      </w:r>
      <w:r w:rsidRPr="00256A88">
        <w:rPr>
          <w:rFonts w:asciiTheme="majorHAnsi" w:hAnsiTheme="majorHAnsi" w:cs="Times New Roman"/>
          <w:color w:val="auto"/>
          <w:sz w:val="16"/>
          <w:szCs w:val="16"/>
          <w:bdr w:val="none" w:sz="0" w:space="0" w:color="auto"/>
          <w:vertAlign w:val="superscript"/>
          <w:lang w:val="es-ES" w:eastAsia="en-US"/>
        </w:rPr>
        <w:t xml:space="preserve"> </w:t>
      </w:r>
      <w:r w:rsidRPr="00256A88">
        <w:rPr>
          <w:rFonts w:asciiTheme="majorHAnsi" w:hAnsiTheme="majorHAnsi" w:cs="Times New Roman"/>
          <w:color w:val="auto"/>
          <w:sz w:val="16"/>
          <w:szCs w:val="16"/>
          <w:bdr w:val="none" w:sz="0" w:space="0" w:color="auto"/>
          <w:lang w:val="es-ES" w:eastAsia="en-US"/>
        </w:rPr>
        <w:t>En general, por “salarios caídos” la Comisión entiende los salarios anteriores que un empleado tiene derecho a percibir debido a que mediaron prácticas laborales ilegales que resultaron en su imposibilidad de ganar un salario o cobrar salarios devengados en su totalidad, mientras que la indemnización por “salarios no percibidos” tiene como finalidad pagar a los empleados una parte de su salario normal cuando no pueden trabajar como consecuencia de una discapacidad o lesión relacionada con el trabajo.</w:t>
      </w:r>
      <w:r w:rsidRPr="00256A88">
        <w:rPr>
          <w:rFonts w:asciiTheme="majorHAnsi" w:hAnsiTheme="majorHAnsi"/>
          <w:sz w:val="16"/>
          <w:szCs w:val="16"/>
          <w:lang w:val="es-ES"/>
        </w:rPr>
        <w:t xml:space="preserve"> </w:t>
      </w:r>
    </w:p>
  </w:footnote>
  <w:footnote w:id="40">
    <w:p w:rsidR="008B3F87" w:rsidRPr="00256A88" w:rsidRDefault="008B3F87" w:rsidP="00741DE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306 NLRB 100 (1992). </w:t>
      </w:r>
    </w:p>
  </w:footnote>
  <w:footnote w:id="41">
    <w:p w:rsidR="008B3F87" w:rsidRPr="00256A88" w:rsidRDefault="008B3F87" w:rsidP="00741DE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314 NLRB 683, 685-86 (1994). </w:t>
      </w:r>
    </w:p>
  </w:footnote>
  <w:footnote w:id="42">
    <w:p w:rsidR="008B3F87" w:rsidRPr="00256A88" w:rsidRDefault="008B3F87" w:rsidP="00741DE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326 NLRB 1060 (1998).</w:t>
      </w:r>
    </w:p>
  </w:footnote>
  <w:footnote w:id="43">
    <w:p w:rsidR="008B3F87" w:rsidRPr="00256A88" w:rsidRDefault="008B3F87" w:rsidP="0057452C">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Véase </w:t>
      </w:r>
      <w:r w:rsidRPr="00256A88">
        <w:rPr>
          <w:rFonts w:asciiTheme="majorHAnsi" w:hAnsiTheme="majorHAnsi"/>
          <w:i/>
          <w:sz w:val="16"/>
          <w:szCs w:val="16"/>
          <w:lang w:val="es-ES"/>
        </w:rPr>
        <w:t>infra</w:t>
      </w:r>
      <w:r w:rsidRPr="00256A88">
        <w:rPr>
          <w:rFonts w:asciiTheme="majorHAnsi" w:hAnsiTheme="majorHAnsi"/>
          <w:sz w:val="16"/>
          <w:szCs w:val="16"/>
          <w:lang w:val="es-ES"/>
        </w:rPr>
        <w:t xml:space="preserve"> en el párr. 57 más información sobre la Ley de Reforma y Control de la Inmigración. </w:t>
      </w:r>
    </w:p>
  </w:footnote>
  <w:footnote w:id="44">
    <w:p w:rsidR="008B3F87" w:rsidRPr="00256A88" w:rsidRDefault="008B3F87" w:rsidP="00E725C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326 NLRB 1060 (en el cual se cita </w:t>
      </w:r>
      <w:r w:rsidRPr="00256A88">
        <w:rPr>
          <w:rFonts w:asciiTheme="majorHAnsi" w:hAnsiTheme="majorHAnsi"/>
          <w:i/>
          <w:sz w:val="16"/>
          <w:szCs w:val="16"/>
          <w:lang w:val="es-ES"/>
        </w:rPr>
        <w:t>A.P.R.A. Fuel Oil Buyers Group</w:t>
      </w:r>
      <w:r w:rsidRPr="00256A88">
        <w:rPr>
          <w:rFonts w:asciiTheme="majorHAnsi" w:hAnsiTheme="majorHAnsi"/>
          <w:sz w:val="16"/>
          <w:szCs w:val="16"/>
          <w:lang w:val="es-ES"/>
        </w:rPr>
        <w:t xml:space="preserve">, 320 NLRB 408 (1995), en el antedicho 134 F.3d 50 (Segundo Circuito, 1997). </w:t>
      </w:r>
    </w:p>
  </w:footnote>
  <w:footnote w:id="45">
    <w:p w:rsidR="008B3F87" w:rsidRPr="00256A88" w:rsidRDefault="008B3F87" w:rsidP="00E725C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326 NLRB, 1061-062. </w:t>
      </w:r>
    </w:p>
  </w:footnote>
  <w:footnote w:id="46">
    <w:p w:rsidR="008B3F87" w:rsidRPr="00256A88" w:rsidRDefault="008B3F87" w:rsidP="008B63D9">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208 F.3d 229 (D.C. Cir. 2000). </w:t>
      </w:r>
    </w:p>
  </w:footnote>
  <w:footnote w:id="47">
    <w:p w:rsidR="008B3F87" w:rsidRPr="00256A88" w:rsidRDefault="008B3F87" w:rsidP="008B63D9">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237 F.3d 639 (D.C. Cir. 2001). </w:t>
      </w:r>
    </w:p>
  </w:footnote>
  <w:footnote w:id="48">
    <w:p w:rsidR="008B3F87" w:rsidRPr="00256A88" w:rsidRDefault="008B3F87" w:rsidP="007D2AA4">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535 US 137 (2001), Síntesis de la sentencia. </w:t>
      </w:r>
    </w:p>
  </w:footnote>
  <w:footnote w:id="49">
    <w:p w:rsidR="008B3F87" w:rsidRPr="00256A88" w:rsidRDefault="008B3F87" w:rsidP="00540BE5">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467 US 883 (1984).</w:t>
      </w:r>
    </w:p>
  </w:footnote>
  <w:footnote w:id="50">
    <w:p w:rsidR="008B3F87" w:rsidRPr="00256A88" w:rsidRDefault="008B3F87" w:rsidP="00DA5D1D">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467 US 883, Síntesis de la sentencia.</w:t>
      </w:r>
    </w:p>
  </w:footnote>
  <w:footnote w:id="51">
    <w:p w:rsidR="008B3F87" w:rsidRPr="00256A88" w:rsidRDefault="008B3F87" w:rsidP="006F6DA6">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467 US, 899-900, no. 9; </w:t>
      </w:r>
      <w:r w:rsidRPr="00256A88">
        <w:rPr>
          <w:rFonts w:asciiTheme="majorHAnsi" w:hAnsiTheme="majorHAnsi"/>
          <w:i/>
          <w:sz w:val="16"/>
          <w:szCs w:val="16"/>
          <w:lang w:val="es-ES"/>
        </w:rPr>
        <w:t>véase también</w:t>
      </w:r>
      <w:r w:rsidRPr="00256A88">
        <w:rPr>
          <w:rFonts w:asciiTheme="majorHAnsi" w:hAnsiTheme="majorHAnsi"/>
          <w:sz w:val="16"/>
          <w:szCs w:val="16"/>
          <w:lang w:val="es-ES"/>
        </w:rPr>
        <w:t xml:space="preserve"> 237 F.3d 639, 644 (DDC 2001).</w:t>
      </w:r>
    </w:p>
  </w:footnote>
  <w:footnote w:id="52">
    <w:p w:rsidR="008B3F87" w:rsidRPr="00256A88" w:rsidRDefault="008B3F87" w:rsidP="00A869B7">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467 US, 901 n. 11. </w:t>
      </w:r>
    </w:p>
  </w:footnote>
  <w:footnote w:id="53">
    <w:p w:rsidR="008B3F87" w:rsidRPr="00256A88" w:rsidRDefault="008B3F87" w:rsidP="007E7344">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467 US, 903-04. Sin embargo, como sostiene el juez Brennan en su voto disidente en el caso </w:t>
      </w:r>
      <w:r w:rsidRPr="00256A88">
        <w:rPr>
          <w:rFonts w:asciiTheme="majorHAnsi" w:hAnsiTheme="majorHAnsi"/>
          <w:i/>
          <w:sz w:val="16"/>
          <w:szCs w:val="16"/>
          <w:lang w:val="es-ES"/>
        </w:rPr>
        <w:t>Sure-Tan</w:t>
      </w:r>
      <w:r w:rsidRPr="00256A88">
        <w:rPr>
          <w:rFonts w:asciiTheme="majorHAnsi" w:hAnsiTheme="majorHAnsi"/>
          <w:sz w:val="16"/>
          <w:szCs w:val="16"/>
          <w:lang w:val="es-ES"/>
        </w:rPr>
        <w:t xml:space="preserve">, “es evidente que la decisión de la Junta de respaldar el pago de salarios caídos ordenado por el Tribunal de Apelaciones se basa directamente en su propia opinión de que este laudo estima con bastante precisión el período durante el cual estos empleados habrían seguido trabajando si los peticionarios no los hubieran denunciado al </w:t>
      </w:r>
      <w:r w:rsidRPr="00256A88">
        <w:rPr>
          <w:rFonts w:asciiTheme="majorHAnsi" w:hAnsiTheme="majorHAnsi"/>
          <w:bCs/>
          <w:sz w:val="16"/>
          <w:szCs w:val="16"/>
          <w:lang w:val="es-ES"/>
        </w:rPr>
        <w:t>Servicio de Inmigración y Naturalización</w:t>
      </w:r>
      <w:r w:rsidRPr="00256A88">
        <w:rPr>
          <w:rFonts w:asciiTheme="majorHAnsi" w:hAnsiTheme="majorHAnsi"/>
          <w:sz w:val="16"/>
          <w:szCs w:val="16"/>
          <w:lang w:val="es-ES"/>
        </w:rPr>
        <w:t xml:space="preserve">. De hecho, tal como señala la Junta, un laudo de ese tipo no es más especulativo o conjetural que los emitidos en otras situaciones que la Junta enfrenta comúnmente en las cuales no resulta claro cuánto tiempo habría continuado la relación de empleo de no mediar una práctica laboral desleal” (citando el caso </w:t>
      </w:r>
      <w:r w:rsidRPr="00256A88">
        <w:rPr>
          <w:rFonts w:asciiTheme="majorHAnsi" w:hAnsiTheme="majorHAnsi"/>
          <w:i/>
          <w:sz w:val="16"/>
          <w:szCs w:val="16"/>
          <w:lang w:val="es-ES"/>
        </w:rPr>
        <w:t xml:space="preserve">Buncher c. </w:t>
      </w:r>
      <w:r w:rsidRPr="00256A88">
        <w:rPr>
          <w:rFonts w:asciiTheme="majorHAnsi" w:hAnsiTheme="majorHAnsi"/>
          <w:bCs/>
          <w:i/>
          <w:sz w:val="16"/>
          <w:szCs w:val="16"/>
          <w:lang w:val="es-ES"/>
        </w:rPr>
        <w:t>Junta Nacional de Relaciones Laborales</w:t>
      </w:r>
      <w:r w:rsidRPr="00256A88">
        <w:rPr>
          <w:rFonts w:asciiTheme="majorHAnsi" w:hAnsiTheme="majorHAnsi"/>
          <w:sz w:val="16"/>
          <w:szCs w:val="16"/>
          <w:lang w:val="es-ES"/>
        </w:rPr>
        <w:t xml:space="preserve">, 405 F.2d 789-90 </w:t>
      </w:r>
      <w:r w:rsidRPr="00256A88">
        <w:rPr>
          <w:rFonts w:asciiTheme="majorHAnsi" w:hAnsiTheme="majorHAnsi"/>
          <w:sz w:val="16"/>
          <w:szCs w:val="16"/>
          <w:lang w:val="es-US"/>
        </w:rPr>
        <w:t>[</w:t>
      </w:r>
      <w:r w:rsidRPr="00256A88">
        <w:rPr>
          <w:rFonts w:asciiTheme="majorHAnsi" w:hAnsiTheme="majorHAnsi"/>
          <w:sz w:val="16"/>
          <w:szCs w:val="16"/>
          <w:lang w:val="es-ES"/>
        </w:rPr>
        <w:t>Tercer Circuito, 1968</w:t>
      </w:r>
      <w:r w:rsidRPr="00256A88">
        <w:rPr>
          <w:rFonts w:asciiTheme="majorHAnsi" w:hAnsiTheme="majorHAnsi"/>
          <w:sz w:val="16"/>
          <w:szCs w:val="16"/>
          <w:lang w:val="es-US"/>
        </w:rPr>
        <w:t>]</w:t>
      </w:r>
      <w:r w:rsidRPr="00256A88">
        <w:rPr>
          <w:rFonts w:asciiTheme="majorHAnsi" w:hAnsiTheme="majorHAnsi"/>
          <w:sz w:val="16"/>
          <w:szCs w:val="16"/>
          <w:lang w:val="es-ES"/>
        </w:rPr>
        <w:t xml:space="preserve">, al determinar que se deben estimar los ingresos que estos empleados habrían tenido si no fuera por las prácticas laborales desleales de los peticionarios). </w:t>
      </w:r>
    </w:p>
  </w:footnote>
  <w:footnote w:id="54">
    <w:p w:rsidR="008B3F87" w:rsidRPr="00256A88" w:rsidRDefault="008B3F87" w:rsidP="0021470F">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467 US 904-905.</w:t>
      </w:r>
    </w:p>
  </w:footnote>
  <w:footnote w:id="55">
    <w:p w:rsidR="008B3F87" w:rsidRPr="00256A88" w:rsidRDefault="008B3F87" w:rsidP="009268A1">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535 US 137, 149.</w:t>
      </w:r>
    </w:p>
  </w:footnote>
  <w:footnote w:id="56">
    <w:p w:rsidR="008B3F87" w:rsidRPr="00256A88" w:rsidRDefault="008B3F87" w:rsidP="009268A1">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535 US 137, 151.</w:t>
      </w:r>
    </w:p>
  </w:footnote>
  <w:footnote w:id="57">
    <w:p w:rsidR="008B3F87" w:rsidRPr="00256A88" w:rsidRDefault="008B3F87" w:rsidP="00C3153C">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Style w:val="FootnoteReference"/>
          <w:rFonts w:asciiTheme="majorHAnsi" w:hAnsiTheme="majorHAnsi"/>
          <w:sz w:val="16"/>
          <w:szCs w:val="16"/>
          <w:vertAlign w:val="baseline"/>
          <w:lang w:val="es-ES"/>
        </w:rPr>
        <w:t xml:space="preserve"> </w:t>
      </w:r>
      <w:r w:rsidRPr="00256A88">
        <w:rPr>
          <w:rFonts w:asciiTheme="majorHAnsi" w:hAnsiTheme="majorHAnsi"/>
          <w:sz w:val="16"/>
          <w:szCs w:val="16"/>
          <w:lang w:val="es-ES"/>
        </w:rPr>
        <w:t>En el d</w:t>
      </w:r>
      <w:r w:rsidRPr="00256A88">
        <w:rPr>
          <w:rStyle w:val="FootnoteReference"/>
          <w:rFonts w:asciiTheme="majorHAnsi" w:hAnsiTheme="majorHAnsi"/>
          <w:sz w:val="16"/>
          <w:szCs w:val="16"/>
          <w:vertAlign w:val="baseline"/>
          <w:lang w:val="es-ES"/>
        </w:rPr>
        <w:t>ocumento de los peticionarios fechado el 1 de noviembre de 2006, p</w:t>
      </w:r>
      <w:r w:rsidRPr="00256A88">
        <w:rPr>
          <w:rFonts w:asciiTheme="majorHAnsi" w:hAnsiTheme="majorHAnsi"/>
          <w:sz w:val="16"/>
          <w:szCs w:val="16"/>
          <w:lang w:val="es-ES"/>
        </w:rPr>
        <w:t>ág</w:t>
      </w:r>
      <w:r w:rsidRPr="00256A88">
        <w:rPr>
          <w:rStyle w:val="FootnoteReference"/>
          <w:rFonts w:asciiTheme="majorHAnsi" w:hAnsiTheme="majorHAnsi"/>
          <w:sz w:val="16"/>
          <w:szCs w:val="16"/>
          <w:vertAlign w:val="baseline"/>
          <w:lang w:val="es-ES"/>
        </w:rPr>
        <w:t>. 8, los peticionarios cit</w:t>
      </w:r>
      <w:r w:rsidRPr="00256A88">
        <w:rPr>
          <w:rFonts w:asciiTheme="majorHAnsi" w:hAnsiTheme="majorHAnsi"/>
          <w:sz w:val="16"/>
          <w:szCs w:val="16"/>
          <w:lang w:val="es-ES"/>
        </w:rPr>
        <w:t xml:space="preserve">an el Centro </w:t>
      </w:r>
      <w:r w:rsidRPr="00256A88">
        <w:rPr>
          <w:rStyle w:val="FootnoteReference"/>
          <w:rFonts w:asciiTheme="majorHAnsi" w:hAnsiTheme="majorHAnsi"/>
          <w:sz w:val="16"/>
          <w:szCs w:val="16"/>
          <w:vertAlign w:val="baseline"/>
          <w:lang w:val="es-ES"/>
        </w:rPr>
        <w:t>Pew Hispan</w:t>
      </w:r>
      <w:r w:rsidRPr="00256A88">
        <w:rPr>
          <w:rFonts w:asciiTheme="majorHAnsi" w:hAnsiTheme="majorHAnsi"/>
          <w:sz w:val="16"/>
          <w:szCs w:val="16"/>
          <w:lang w:val="es-ES"/>
        </w:rPr>
        <w:t xml:space="preserve">oamericano, el cual estimó que, en marzo de </w:t>
      </w:r>
      <w:r w:rsidRPr="00256A88">
        <w:rPr>
          <w:rStyle w:val="FootnoteReference"/>
          <w:rFonts w:asciiTheme="majorHAnsi" w:hAnsiTheme="majorHAnsi"/>
          <w:sz w:val="16"/>
          <w:szCs w:val="16"/>
          <w:vertAlign w:val="baseline"/>
          <w:lang w:val="es-ES"/>
        </w:rPr>
        <w:t xml:space="preserve">2005, </w:t>
      </w:r>
      <w:r w:rsidRPr="00256A88">
        <w:rPr>
          <w:rFonts w:asciiTheme="majorHAnsi" w:hAnsiTheme="majorHAnsi"/>
          <w:sz w:val="16"/>
          <w:szCs w:val="16"/>
          <w:lang w:val="es-ES"/>
        </w:rPr>
        <w:t xml:space="preserve">había entre </w:t>
      </w:r>
      <w:r w:rsidRPr="00256A88">
        <w:rPr>
          <w:rStyle w:val="FootnoteReference"/>
          <w:rFonts w:asciiTheme="majorHAnsi" w:hAnsiTheme="majorHAnsi"/>
          <w:sz w:val="16"/>
          <w:szCs w:val="16"/>
          <w:vertAlign w:val="baseline"/>
          <w:lang w:val="es-ES"/>
        </w:rPr>
        <w:t>11</w:t>
      </w:r>
      <w:r w:rsidRPr="00256A88">
        <w:rPr>
          <w:rFonts w:asciiTheme="majorHAnsi" w:hAnsiTheme="majorHAnsi"/>
          <w:sz w:val="16"/>
          <w:szCs w:val="16"/>
          <w:lang w:val="es-ES"/>
        </w:rPr>
        <w:t>,</w:t>
      </w:r>
      <w:r w:rsidRPr="00256A88">
        <w:rPr>
          <w:rStyle w:val="FootnoteReference"/>
          <w:rFonts w:asciiTheme="majorHAnsi" w:hAnsiTheme="majorHAnsi"/>
          <w:sz w:val="16"/>
          <w:szCs w:val="16"/>
          <w:vertAlign w:val="baseline"/>
          <w:lang w:val="es-ES"/>
        </w:rPr>
        <w:t>5 millones y 12 mill</w:t>
      </w:r>
      <w:r w:rsidRPr="00256A88">
        <w:rPr>
          <w:rFonts w:asciiTheme="majorHAnsi" w:hAnsiTheme="majorHAnsi"/>
          <w:sz w:val="16"/>
          <w:szCs w:val="16"/>
          <w:lang w:val="es-ES"/>
        </w:rPr>
        <w:t xml:space="preserve">ones de </w:t>
      </w:r>
      <w:r w:rsidRPr="00256A88">
        <w:rPr>
          <w:rStyle w:val="FootnoteReference"/>
          <w:rFonts w:asciiTheme="majorHAnsi" w:hAnsiTheme="majorHAnsi"/>
          <w:sz w:val="16"/>
          <w:szCs w:val="16"/>
          <w:vertAlign w:val="baseline"/>
          <w:lang w:val="es-ES"/>
        </w:rPr>
        <w:t xml:space="preserve">inmigrantes indocumentados </w:t>
      </w:r>
      <w:r w:rsidRPr="00256A88">
        <w:rPr>
          <w:rFonts w:asciiTheme="majorHAnsi" w:hAnsiTheme="majorHAnsi"/>
          <w:sz w:val="16"/>
          <w:szCs w:val="16"/>
          <w:lang w:val="es-ES"/>
        </w:rPr>
        <w:t xml:space="preserve">en </w:t>
      </w:r>
      <w:r w:rsidRPr="00256A88">
        <w:rPr>
          <w:rStyle w:val="FootnoteReference"/>
          <w:rFonts w:asciiTheme="majorHAnsi" w:hAnsiTheme="majorHAnsi"/>
          <w:sz w:val="16"/>
          <w:szCs w:val="16"/>
          <w:vertAlign w:val="baseline"/>
          <w:lang w:val="es-ES"/>
        </w:rPr>
        <w:t>Estados Unidos</w:t>
      </w:r>
      <w:r w:rsidRPr="00256A88">
        <w:rPr>
          <w:rFonts w:asciiTheme="majorHAnsi" w:hAnsiTheme="majorHAnsi"/>
          <w:sz w:val="16"/>
          <w:szCs w:val="16"/>
          <w:lang w:val="es-ES"/>
        </w:rPr>
        <w:t xml:space="preserve">, de los cuales alrededor de </w:t>
      </w:r>
      <w:r w:rsidRPr="00256A88">
        <w:rPr>
          <w:rStyle w:val="FootnoteReference"/>
          <w:rFonts w:asciiTheme="majorHAnsi" w:hAnsiTheme="majorHAnsi"/>
          <w:sz w:val="16"/>
          <w:szCs w:val="16"/>
          <w:vertAlign w:val="baseline"/>
          <w:lang w:val="es-ES"/>
        </w:rPr>
        <w:t>7,2 mill</w:t>
      </w:r>
      <w:r w:rsidRPr="00256A88">
        <w:rPr>
          <w:rFonts w:asciiTheme="majorHAnsi" w:hAnsiTheme="majorHAnsi"/>
          <w:sz w:val="16"/>
          <w:szCs w:val="16"/>
          <w:lang w:val="es-ES"/>
        </w:rPr>
        <w:t xml:space="preserve">ones estaban trabajando en marzo de </w:t>
      </w:r>
      <w:r w:rsidRPr="00256A88">
        <w:rPr>
          <w:rStyle w:val="FootnoteReference"/>
          <w:rFonts w:asciiTheme="majorHAnsi" w:hAnsiTheme="majorHAnsi"/>
          <w:sz w:val="16"/>
          <w:szCs w:val="16"/>
          <w:vertAlign w:val="baseline"/>
          <w:lang w:val="es-ES"/>
        </w:rPr>
        <w:t xml:space="preserve">2005, </w:t>
      </w:r>
      <w:r w:rsidRPr="00256A88">
        <w:rPr>
          <w:rFonts w:asciiTheme="majorHAnsi" w:hAnsiTheme="majorHAnsi"/>
          <w:sz w:val="16"/>
          <w:szCs w:val="16"/>
          <w:lang w:val="es-ES"/>
        </w:rPr>
        <w:t xml:space="preserve">cifra que representa </w:t>
      </w:r>
      <w:r w:rsidRPr="00256A88">
        <w:rPr>
          <w:rStyle w:val="FootnoteReference"/>
          <w:rFonts w:asciiTheme="majorHAnsi" w:hAnsiTheme="majorHAnsi"/>
          <w:sz w:val="16"/>
          <w:szCs w:val="16"/>
          <w:vertAlign w:val="baseline"/>
          <w:lang w:val="es-ES"/>
        </w:rPr>
        <w:t>4,9% d</w:t>
      </w:r>
      <w:r w:rsidRPr="00256A88">
        <w:rPr>
          <w:rFonts w:asciiTheme="majorHAnsi" w:hAnsiTheme="majorHAnsi"/>
          <w:sz w:val="16"/>
          <w:szCs w:val="16"/>
          <w:lang w:val="es-ES"/>
        </w:rPr>
        <w:t>e la fuerza laboral civil</w:t>
      </w:r>
      <w:r w:rsidRPr="00256A88">
        <w:rPr>
          <w:rStyle w:val="FootnoteReference"/>
          <w:rFonts w:asciiTheme="majorHAnsi" w:hAnsiTheme="majorHAnsi"/>
          <w:sz w:val="16"/>
          <w:szCs w:val="16"/>
          <w:vertAlign w:val="baseline"/>
          <w:lang w:val="es-ES"/>
        </w:rPr>
        <w:t xml:space="preserve"> e</w:t>
      </w:r>
      <w:r w:rsidRPr="00256A88">
        <w:rPr>
          <w:rFonts w:asciiTheme="majorHAnsi" w:hAnsiTheme="majorHAnsi"/>
          <w:sz w:val="16"/>
          <w:szCs w:val="16"/>
          <w:lang w:val="es-ES"/>
        </w:rPr>
        <w:t>stadounidense</w:t>
      </w:r>
      <w:r w:rsidRPr="00256A88">
        <w:rPr>
          <w:rStyle w:val="FootnoteReference"/>
          <w:rFonts w:asciiTheme="majorHAnsi" w:hAnsiTheme="majorHAnsi"/>
          <w:sz w:val="16"/>
          <w:szCs w:val="16"/>
          <w:vertAlign w:val="baseline"/>
          <w:lang w:val="es-ES"/>
        </w:rPr>
        <w:t>.</w:t>
      </w:r>
      <w:r w:rsidRPr="00256A88">
        <w:rPr>
          <w:rFonts w:asciiTheme="majorHAnsi" w:hAnsiTheme="majorHAnsi"/>
          <w:sz w:val="16"/>
          <w:szCs w:val="16"/>
          <w:lang w:val="es-ES"/>
        </w:rPr>
        <w:t xml:space="preserve"> Estados Unidos no impugnó estas estimaciones en su respuesta del 26 de junio de 2014.</w:t>
      </w:r>
    </w:p>
  </w:footnote>
  <w:footnote w:id="58">
    <w:p w:rsidR="008B3F87" w:rsidRPr="00256A88" w:rsidRDefault="008B3F87" w:rsidP="002606C3">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Esta frase se usa en el presente informe con el mismo significado que “trabajadores [inmigrantes] indocumentados”. </w:t>
      </w:r>
    </w:p>
  </w:footnote>
  <w:footnote w:id="59">
    <w:p w:rsidR="008B3F87" w:rsidRPr="00256A88" w:rsidRDefault="008B3F87" w:rsidP="00A229B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Migration Policy Institute (MPI), Data Hub, “Unauthorized Immigrant Population: United States” [Población de inmigrantes no autorizados: Estados Unidos], http://www.migrationpolicy.org/data/unauthorized-immigrant-population/state/US (consultado por última vez el 28 de mayo de 2015) (los datos son el producto de un análisis realizado por el Instituto de Política de Migraciones de los datos obtenidos por la Oficina de Censos de Estados Unidos en la Encuesta de Comunidades de Estados Unidos 2013, que abarcó el período 2009-2013, y la Encuesta sobre Ingresos y Participación en Programas de 2008 realizada por James Bachmeier, de la Universidad Temple University, y Jennifer Van Hook, del Instituto de Investigaciones sobre la Población de la Universidad Estatal de Pensilvania). </w:t>
      </w:r>
    </w:p>
  </w:footnote>
  <w:footnote w:id="60">
    <w:p w:rsidR="008B3F87" w:rsidRPr="00256A88" w:rsidRDefault="008B3F87" w:rsidP="00E16CCE">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Íd.</w:t>
      </w:r>
      <w:r w:rsidRPr="00256A88">
        <w:rPr>
          <w:rFonts w:asciiTheme="majorHAnsi" w:hAnsiTheme="majorHAnsi"/>
          <w:sz w:val="16"/>
          <w:szCs w:val="16"/>
          <w:lang w:val="es-ES"/>
        </w:rPr>
        <w:t xml:space="preserve"> </w:t>
      </w:r>
    </w:p>
  </w:footnote>
  <w:footnote w:id="61">
    <w:p w:rsidR="008B3F87" w:rsidRPr="00256A88" w:rsidRDefault="008B3F87" w:rsidP="000B6BB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Jeffrey Passel y D’Vera Cohn, </w:t>
      </w:r>
      <w:r w:rsidRPr="00256A88">
        <w:rPr>
          <w:rFonts w:asciiTheme="majorHAnsi" w:hAnsiTheme="majorHAnsi"/>
          <w:i/>
          <w:sz w:val="16"/>
          <w:szCs w:val="16"/>
          <w:lang w:val="es-ES"/>
        </w:rPr>
        <w:t>Share of Unauthorized Immigrant Workers in Production, Construction Jobs Falls Since 2007: In States, Hospitality, Manufacturing and Construction are Top Industries</w:t>
      </w:r>
      <w:r w:rsidRPr="00256A88">
        <w:rPr>
          <w:rFonts w:asciiTheme="majorHAnsi" w:hAnsiTheme="majorHAnsi"/>
          <w:sz w:val="16"/>
          <w:szCs w:val="16"/>
          <w:lang w:val="es-ES"/>
        </w:rPr>
        <w:t xml:space="preserve"> [Desde 2007 disminuye la proporción de trabajadores inmigrantes no autorizados en empleos en la producción y en la construcción: en los estados, las principales industrias son hotelería, manufacturas y construcción], Centro de Investigaciones Pew (marzo de 2015), págs. 5 y 6. </w:t>
      </w:r>
    </w:p>
  </w:footnote>
  <w:footnote w:id="62">
    <w:p w:rsidR="008B3F87" w:rsidRPr="00256A88" w:rsidRDefault="008B3F87" w:rsidP="001A05E8">
      <w:pPr>
        <w:pStyle w:val="Footnotes"/>
        <w:rPr>
          <w:rFonts w:asciiTheme="majorHAnsi" w:hAnsiTheme="majorHAnsi"/>
          <w:sz w:val="16"/>
          <w:szCs w:val="16"/>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Íd.</w:t>
      </w:r>
      <w:r w:rsidRPr="00256A88">
        <w:rPr>
          <w:rFonts w:asciiTheme="majorHAnsi" w:hAnsiTheme="majorHAnsi"/>
          <w:sz w:val="16"/>
          <w:szCs w:val="16"/>
          <w:lang w:val="es-ES"/>
        </w:rPr>
        <w:t xml:space="preserve">, pág. 5. Nota: Esta cifra varía de un estado a otro: en el oeste y en el nordeste (así como en Florida), la recreación y la hotelería es la industria principal para los trabajadores no autorizados inmigrantes; en la mayoría de los estados del sur, la industria principal es la construcción; en la región centrooccidental, el sector de las manufacturas es el empleador predominante. </w:t>
      </w:r>
      <w:r w:rsidRPr="00256A88">
        <w:rPr>
          <w:rFonts w:asciiTheme="majorHAnsi" w:hAnsiTheme="majorHAnsi"/>
          <w:i/>
          <w:sz w:val="16"/>
          <w:szCs w:val="16"/>
        </w:rPr>
        <w:t>Íd.</w:t>
      </w:r>
      <w:r w:rsidRPr="00256A88">
        <w:rPr>
          <w:rFonts w:asciiTheme="majorHAnsi" w:hAnsiTheme="majorHAnsi"/>
          <w:sz w:val="16"/>
          <w:szCs w:val="16"/>
        </w:rPr>
        <w:t xml:space="preserve">, pág. 6. </w:t>
      </w:r>
    </w:p>
  </w:footnote>
  <w:footnote w:id="63">
    <w:p w:rsidR="008B3F87" w:rsidRPr="00256A88" w:rsidRDefault="008B3F87" w:rsidP="004B0C20">
      <w:pPr>
        <w:pStyle w:val="Footnotes"/>
        <w:rPr>
          <w:rFonts w:asciiTheme="majorHAnsi" w:hAnsiTheme="majorHAnsi"/>
          <w:sz w:val="16"/>
          <w:szCs w:val="16"/>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rPr>
        <w:t xml:space="preserve"> </w:t>
      </w:r>
      <w:r w:rsidRPr="00256A88">
        <w:rPr>
          <w:rFonts w:asciiTheme="majorHAnsi" w:hAnsiTheme="majorHAnsi"/>
          <w:i/>
          <w:sz w:val="16"/>
          <w:szCs w:val="16"/>
        </w:rPr>
        <w:t>Íd.</w:t>
      </w:r>
      <w:r w:rsidRPr="00256A88">
        <w:rPr>
          <w:rFonts w:asciiTheme="majorHAnsi" w:hAnsiTheme="majorHAnsi"/>
          <w:sz w:val="16"/>
          <w:szCs w:val="16"/>
        </w:rPr>
        <w:t>, pág. 4.</w:t>
      </w:r>
    </w:p>
  </w:footnote>
  <w:footnote w:id="64">
    <w:p w:rsidR="008B3F87" w:rsidRPr="00256A88" w:rsidRDefault="008B3F87" w:rsidP="004B0C20">
      <w:pPr>
        <w:pStyle w:val="Footnotes"/>
        <w:rPr>
          <w:rFonts w:asciiTheme="majorHAnsi" w:hAnsiTheme="majorHAnsi"/>
          <w:sz w:val="16"/>
          <w:szCs w:val="16"/>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rPr>
        <w:t xml:space="preserve"> </w:t>
      </w:r>
      <w:r w:rsidRPr="00256A88">
        <w:rPr>
          <w:rFonts w:asciiTheme="majorHAnsi" w:hAnsiTheme="majorHAnsi"/>
          <w:i/>
          <w:sz w:val="16"/>
          <w:szCs w:val="16"/>
        </w:rPr>
        <w:t>Íd.</w:t>
      </w:r>
      <w:r w:rsidRPr="00256A88">
        <w:rPr>
          <w:rFonts w:asciiTheme="majorHAnsi" w:hAnsiTheme="majorHAnsi"/>
          <w:sz w:val="16"/>
          <w:szCs w:val="16"/>
        </w:rPr>
        <w:t xml:space="preserve">, pág. 9. </w:t>
      </w:r>
    </w:p>
  </w:footnote>
  <w:footnote w:id="65">
    <w:p w:rsidR="008B3F87" w:rsidRPr="00256A88" w:rsidRDefault="008B3F87" w:rsidP="00ED5BC0">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rPr>
        <w:t xml:space="preserve"> U.S. Department of Labor, Bureau of Labor Statistics, “Table A-7. Fatal occupational injuries by worker characteristics and event or exposure, all United States, 2013” [Cuadro A/7. </w:t>
      </w:r>
      <w:r w:rsidRPr="00256A88">
        <w:rPr>
          <w:rFonts w:asciiTheme="majorHAnsi" w:hAnsiTheme="majorHAnsi"/>
          <w:sz w:val="16"/>
          <w:szCs w:val="16"/>
          <w:lang w:val="es-ES"/>
        </w:rPr>
        <w:t>Lesiones ocupacionales letales según las características del trabajador y el evento o la exposición, Estados Unidos en su totalidad, 2013] http://www.bls.gov/iif/oshwc/cfoi/cftb0283.pdf (consultado por última vez el 1 de junio de 2015); Bureau of Labor Statistics, “Census of Fatal Occupational Injuries: All Charts” [Censo de lesiones ocupacionales letales: todos los gráficos] (2015), pág. 12, http://www.bls.gov/iif/oshwc/cfoi/cfch0012.pdf.</w:t>
      </w:r>
    </w:p>
  </w:footnote>
  <w:footnote w:id="66">
    <w:p w:rsidR="008B3F87" w:rsidRPr="00256A88" w:rsidRDefault="008B3F87" w:rsidP="003102BE">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Las lesiones letales de trabajadores indocumentados se incluyen en estas cifras si se ciñen a los otros criterios de relación con el trabajo. Sin embargo, la </w:t>
      </w:r>
      <w:r w:rsidRPr="00256A88">
        <w:rPr>
          <w:rFonts w:asciiTheme="majorHAnsi" w:hAnsiTheme="majorHAnsi"/>
          <w:bCs/>
          <w:sz w:val="16"/>
          <w:szCs w:val="16"/>
          <w:lang w:val="es-ES"/>
        </w:rPr>
        <w:t>Oficina de Estadísticas Laborales de Estados Unidos</w:t>
      </w:r>
      <w:r w:rsidRPr="00256A88">
        <w:rPr>
          <w:rFonts w:asciiTheme="majorHAnsi" w:hAnsiTheme="majorHAnsi"/>
          <w:sz w:val="16"/>
          <w:szCs w:val="16"/>
          <w:lang w:val="es-ES"/>
        </w:rPr>
        <w:t xml:space="preserve"> no desglosa sus cifras sobre la base de la situación de los trabajadores afectados en lo que respecta a su autorización para trabajar, de modo que el número de trabajadores extranjeros es aproximado.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U.S. Bureau of Labor Statistics, Injuries, Illnesses, and Fatalities, “Census of Fatal Occupational Injuries (CFOI): Definitions” [Censo de lesiones ocupacionales letales: Definiciones] (modificado por última vez el 22 de abril de 2015), http://www.bls.gov/iif/oshcfdef.htm.</w:t>
      </w:r>
    </w:p>
  </w:footnote>
  <w:footnote w:id="67">
    <w:p w:rsidR="008B3F87" w:rsidRPr="00256A88" w:rsidRDefault="008B3F87" w:rsidP="00C03BD4">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rPr>
        <w:t xml:space="preserve"> U.S. Department of Labor, Bureau of Labor Statistics, Survey of Occupational Injuries and Illnesses in cooperation with participating State agencies, “Table R72. Number and percent distribution of nonfatal occupational injuries and illnesses involving days away from work by selected worker characteristics and number of days away from work, and median number of days away from work, private industry, 2013” [Encuesta de Lesiones y Enfermedades Ocupacionales en cooperación con organismos estatales participantes, Cuadro R72. </w:t>
      </w:r>
      <w:r w:rsidRPr="00256A88">
        <w:rPr>
          <w:rFonts w:asciiTheme="majorHAnsi" w:hAnsiTheme="majorHAnsi"/>
          <w:sz w:val="16"/>
          <w:szCs w:val="16"/>
          <w:lang w:val="es-ES"/>
        </w:rPr>
        <w:t xml:space="preserve">Número y distribución porcentual de lesiones y enfermedades ocupacionales no letales que implicaron días sin poder trabajar según características seleccionadas del trabajador y el número de días sin poder trabajar, y mediana del número de días sin poder trabajar, industria privada, 2013] http://www.bls.gov/iif/oshwc/osh/case/ostb4052.pdf. En total se registraron 917.130 lesiones no letales en la industria privada en 2013. No se indicó la raza o el origen étnico en 336.830 de esos casos y tampoco se registraron los incidentes que se produjeron en fincas con menos de 11 empleados. Por consiguiente, el número de incidentes en los cuales se indicó la raza fue 580.300; de ellos, 124.330 (21,4%) correspondieron a “hispanoamericano y latinoamericano solamente” y 940 a “hispanoamericano y latinoamericano y otra raza” (con un total combinado de 21,6%). Debido a las lagunas en estos datos, incluida la falta de información sobre la situación migratoria de los trabajadores lesionados, el número de incidentes no letales se usa únicamente con fines ilustrativos. </w:t>
      </w:r>
    </w:p>
  </w:footnote>
  <w:footnote w:id="68">
    <w:p w:rsidR="008B3F87" w:rsidRPr="00256A88" w:rsidRDefault="008B3F87" w:rsidP="009F17CC">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U.S. Department of Labor, Strategic Plan Fiscal Years 2014-2018 [</w:t>
      </w:r>
      <w:r w:rsidRPr="00256A88">
        <w:rPr>
          <w:rFonts w:asciiTheme="majorHAnsi" w:hAnsiTheme="majorHAnsi"/>
          <w:bCs/>
          <w:sz w:val="16"/>
          <w:szCs w:val="16"/>
          <w:lang w:val="es-ES"/>
        </w:rPr>
        <w:t>Plan Estratégico para el Ejercicio Fiscal 2014-2018</w:t>
      </w:r>
      <w:r w:rsidRPr="00256A88">
        <w:rPr>
          <w:rFonts w:asciiTheme="majorHAnsi" w:hAnsiTheme="majorHAnsi"/>
          <w:sz w:val="16"/>
          <w:szCs w:val="16"/>
          <w:lang w:val="es-ES"/>
        </w:rPr>
        <w:t xml:space="preserve">], págs. 33 y 34, http://www.dol.gov/_sec/stratplan/FY2014-2018StrategicPlan.pdf; OSHA, Strategic Management Plan 2003-2008 [Plan de Gestión Estratégica 2003-2008], </w:t>
      </w:r>
      <w:hyperlink r:id="rId4" w:history="1">
        <w:r w:rsidRPr="00256A88">
          <w:rPr>
            <w:rStyle w:val="Hyperlink"/>
            <w:rFonts w:asciiTheme="majorHAnsi" w:hAnsiTheme="majorHAnsi"/>
            <w:sz w:val="16"/>
            <w:szCs w:val="16"/>
            <w:u w:val="none"/>
            <w:lang w:val="es-ES"/>
          </w:rPr>
          <w:t>https://www.osha.gov/StratPlanPublic/</w:t>
        </w:r>
      </w:hyperlink>
      <w:r w:rsidRPr="00256A88">
        <w:rPr>
          <w:rFonts w:asciiTheme="majorHAnsi" w:hAnsiTheme="majorHAnsi"/>
          <w:sz w:val="16"/>
          <w:szCs w:val="16"/>
          <w:lang w:val="es-ES"/>
        </w:rPr>
        <w:t xml:space="preserve"> strategicmanagementplan-final.html.</w:t>
      </w:r>
    </w:p>
  </w:footnote>
  <w:footnote w:id="69">
    <w:p w:rsidR="008B3F87" w:rsidRPr="00256A88" w:rsidRDefault="008B3F87" w:rsidP="005C507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Matthew Gardner, Sebastian Johnson and Meg Wiehe, </w:t>
      </w:r>
      <w:r w:rsidRPr="00256A88">
        <w:rPr>
          <w:rFonts w:asciiTheme="majorHAnsi" w:hAnsiTheme="majorHAnsi"/>
          <w:i/>
          <w:sz w:val="16"/>
          <w:szCs w:val="16"/>
          <w:lang w:val="es-ES"/>
        </w:rPr>
        <w:t>Undocumented Immigrants’ State &amp; Local Tax Contributions</w:t>
      </w:r>
      <w:r w:rsidRPr="00256A88">
        <w:rPr>
          <w:rFonts w:asciiTheme="majorHAnsi" w:hAnsiTheme="majorHAnsi"/>
          <w:sz w:val="16"/>
          <w:szCs w:val="16"/>
          <w:lang w:val="es-ES"/>
        </w:rPr>
        <w:t xml:space="preserve"> [Impuestos estatales y locales pagados por inmigrantes indocumentados], Instituto de Tributación y Política Económica (ITEP) (abril de 2015), pág. 1 (“Informe del ITEP”).</w:t>
      </w:r>
    </w:p>
  </w:footnote>
  <w:footnote w:id="70">
    <w:p w:rsidR="008B3F87" w:rsidRPr="00256A88" w:rsidRDefault="008B3F87" w:rsidP="001F603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Informe del ITEP, pág.2</w:t>
      </w:r>
    </w:p>
  </w:footnote>
  <w:footnote w:id="71">
    <w:p w:rsidR="008B3F87" w:rsidRPr="00256A88" w:rsidRDefault="008B3F87" w:rsidP="001F603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Íd.</w:t>
      </w:r>
    </w:p>
  </w:footnote>
  <w:footnote w:id="72">
    <w:p w:rsidR="008B3F87" w:rsidRPr="00256A88" w:rsidRDefault="008B3F87" w:rsidP="005C507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SSA, Office of the Chief Actuary, “Effects of Unauthorized Immigration on the Actuarial Status of the Social Security Trust Funds”, Actuarial Note No. 151 [Efectos de la inmigración no autorizada en la situación actuarial de los fondos fiduciarios de seguridad social, Nota Actuarial No. 151] (abril de 2013), pág. 3, http://www.socialsecurity.gov/OACT/NOTES/pdf_notes/note151.pdf (en la cual se estima que los trabajadores indocumentados contribuyeron hasta $13.000 millones en impuestos sobre la nómina al sistema de seguridad social y solamente alrededor de $1.000 millones en pagos de prestaciones pueden atribuirse a trabajo no autorizado, con lo cual se obtiene el superávit de $12.000 millones). De hecho, la </w:t>
      </w:r>
      <w:r w:rsidRPr="00256A88">
        <w:rPr>
          <w:rFonts w:asciiTheme="majorHAnsi" w:hAnsiTheme="majorHAnsi"/>
          <w:bCs/>
          <w:sz w:val="16"/>
          <w:szCs w:val="16"/>
          <w:lang w:val="es-ES"/>
        </w:rPr>
        <w:t>Administración de Seguridad Social</w:t>
      </w:r>
      <w:r w:rsidRPr="00256A88">
        <w:rPr>
          <w:rFonts w:asciiTheme="majorHAnsi" w:hAnsiTheme="majorHAnsi"/>
          <w:sz w:val="16"/>
          <w:szCs w:val="16"/>
          <w:lang w:val="es-ES"/>
        </w:rPr>
        <w:t xml:space="preserve"> (SSA) ha reconocido que, sin las contribuciones monetarias de los trabajadores indocumentados, se habría </w:t>
      </w:r>
      <w:r w:rsidRPr="00256A88">
        <w:rPr>
          <w:rStyle w:val="FootnoteReference"/>
          <w:rFonts w:asciiTheme="majorHAnsi" w:hAnsiTheme="majorHAnsi"/>
          <w:sz w:val="16"/>
          <w:szCs w:val="16"/>
          <w:vertAlign w:val="baseline"/>
          <w:lang w:val="es-ES"/>
        </w:rPr>
        <w:t>“encontrado en un déficit persistente de i</w:t>
      </w:r>
      <w:r w:rsidRPr="00256A88">
        <w:rPr>
          <w:rFonts w:asciiTheme="majorHAnsi" w:hAnsiTheme="majorHAnsi"/>
          <w:sz w:val="16"/>
          <w:szCs w:val="16"/>
          <w:lang w:val="es-ES"/>
        </w:rPr>
        <w:t xml:space="preserve">ngresos fiscales para cubrir los pagos a partir de </w:t>
      </w:r>
      <w:r w:rsidRPr="00256A88">
        <w:rPr>
          <w:rStyle w:val="FootnoteReference"/>
          <w:rFonts w:asciiTheme="majorHAnsi" w:hAnsiTheme="majorHAnsi"/>
          <w:sz w:val="16"/>
          <w:szCs w:val="16"/>
          <w:vertAlign w:val="baseline"/>
          <w:lang w:val="es-ES"/>
        </w:rPr>
        <w:t>2009</w:t>
      </w:r>
      <w:r w:rsidRPr="00256A88">
        <w:rPr>
          <w:rFonts w:asciiTheme="majorHAnsi" w:hAnsiTheme="majorHAnsi"/>
          <w:sz w:val="16"/>
          <w:szCs w:val="16"/>
          <w:lang w:val="es-ES"/>
        </w:rPr>
        <w:t>”</w:t>
      </w:r>
      <w:r w:rsidRPr="00256A88">
        <w:rPr>
          <w:rStyle w:val="FootnoteReference"/>
          <w:rFonts w:asciiTheme="majorHAnsi" w:hAnsiTheme="majorHAnsi"/>
          <w:sz w:val="16"/>
          <w:szCs w:val="16"/>
          <w:vertAlign w:val="baseline"/>
          <w:lang w:val="es-ES"/>
        </w:rPr>
        <w:t xml:space="preserve">. </w:t>
      </w:r>
      <w:r w:rsidRPr="00256A88">
        <w:rPr>
          <w:rStyle w:val="FootnoteReference"/>
          <w:rFonts w:asciiTheme="majorHAnsi" w:hAnsiTheme="majorHAnsi"/>
          <w:i/>
          <w:sz w:val="16"/>
          <w:szCs w:val="16"/>
          <w:vertAlign w:val="baseline"/>
          <w:lang w:val="es-ES"/>
        </w:rPr>
        <w:t>Véase</w:t>
      </w:r>
      <w:r w:rsidRPr="00256A88">
        <w:rPr>
          <w:rStyle w:val="FootnoteReference"/>
          <w:rFonts w:asciiTheme="majorHAnsi" w:hAnsiTheme="majorHAnsi"/>
          <w:sz w:val="16"/>
          <w:szCs w:val="16"/>
          <w:vertAlign w:val="baseline"/>
          <w:lang w:val="es-ES"/>
        </w:rPr>
        <w:t xml:space="preserve"> Maria Santana, “5 Immigration Myths Debunked” [Cinco mitos relativos a la inmigración </w:t>
      </w:r>
      <w:r w:rsidRPr="00256A88">
        <w:rPr>
          <w:rFonts w:asciiTheme="majorHAnsi" w:hAnsiTheme="majorHAnsi"/>
          <w:sz w:val="16"/>
          <w:szCs w:val="16"/>
          <w:lang w:val="es-ES"/>
        </w:rPr>
        <w:t>disipados</w:t>
      </w:r>
      <w:r w:rsidRPr="00256A88">
        <w:rPr>
          <w:rStyle w:val="FootnoteReference"/>
          <w:rFonts w:asciiTheme="majorHAnsi" w:hAnsiTheme="majorHAnsi"/>
          <w:sz w:val="16"/>
          <w:szCs w:val="16"/>
          <w:vertAlign w:val="baseline"/>
          <w:lang w:val="es-ES"/>
        </w:rPr>
        <w:t>]</w:t>
      </w:r>
      <w:r w:rsidRPr="00256A88">
        <w:rPr>
          <w:rFonts w:asciiTheme="majorHAnsi" w:hAnsiTheme="majorHAnsi"/>
          <w:sz w:val="16"/>
          <w:szCs w:val="16"/>
          <w:lang w:val="es-ES"/>
        </w:rPr>
        <w:t>,</w:t>
      </w:r>
      <w:r w:rsidRPr="00256A88">
        <w:rPr>
          <w:rStyle w:val="FootnoteReference"/>
          <w:rFonts w:asciiTheme="majorHAnsi" w:hAnsiTheme="majorHAnsi"/>
          <w:sz w:val="16"/>
          <w:szCs w:val="16"/>
          <w:vertAlign w:val="baseline"/>
          <w:lang w:val="es-ES"/>
        </w:rPr>
        <w:t xml:space="preserve"> CNN Money (20 de noviembre de 2011), http://money.cnn.com/2014/11/20/news/economy/immigration-myths/ (</w:t>
      </w:r>
      <w:r w:rsidRPr="00256A88">
        <w:rPr>
          <w:rFonts w:asciiTheme="majorHAnsi" w:hAnsiTheme="majorHAnsi"/>
          <w:sz w:val="16"/>
          <w:szCs w:val="16"/>
          <w:lang w:val="es-ES"/>
        </w:rPr>
        <w:t xml:space="preserve">en el cual se cita a </w:t>
      </w:r>
      <w:r w:rsidRPr="00256A88">
        <w:rPr>
          <w:rStyle w:val="FootnoteReference"/>
          <w:rFonts w:asciiTheme="majorHAnsi" w:hAnsiTheme="majorHAnsi"/>
          <w:sz w:val="16"/>
          <w:szCs w:val="16"/>
          <w:vertAlign w:val="baseline"/>
          <w:lang w:val="es-ES"/>
        </w:rPr>
        <w:t xml:space="preserve">Stephen Gross, </w:t>
      </w:r>
      <w:r w:rsidRPr="00256A88">
        <w:rPr>
          <w:rFonts w:asciiTheme="majorHAnsi" w:hAnsiTheme="majorHAnsi"/>
          <w:sz w:val="16"/>
          <w:szCs w:val="16"/>
          <w:lang w:val="es-ES"/>
        </w:rPr>
        <w:t xml:space="preserve">Jefe de Actuarios de la </w:t>
      </w:r>
      <w:r w:rsidRPr="00256A88">
        <w:rPr>
          <w:rFonts w:asciiTheme="majorHAnsi" w:hAnsiTheme="majorHAnsi"/>
          <w:bCs/>
          <w:sz w:val="16"/>
          <w:szCs w:val="16"/>
          <w:lang w:val="es-ES"/>
        </w:rPr>
        <w:t>Administración de Seguridad Social</w:t>
      </w:r>
      <w:r w:rsidRPr="00256A88">
        <w:rPr>
          <w:rStyle w:val="FootnoteReference"/>
          <w:rFonts w:asciiTheme="majorHAnsi" w:hAnsiTheme="majorHAnsi"/>
          <w:sz w:val="16"/>
          <w:szCs w:val="16"/>
          <w:vertAlign w:val="baseline"/>
          <w:lang w:val="es-ES"/>
        </w:rPr>
        <w:t>).</w:t>
      </w:r>
    </w:p>
  </w:footnote>
  <w:footnote w:id="73">
    <w:p w:rsidR="008B3F87" w:rsidRPr="00256A88" w:rsidRDefault="008B3F87" w:rsidP="001A394A">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Otras disposiciones importantes son la legalización de extranjeros indocumentados que habían estado presentes ilegalmente de manera continua desde 1982, la legalización de ciertos trabajadores agrícolas y la intensificación de la aplicación de las leyes en las fronteras de Estados Unidos.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USCIS, “IRCA” [</w:t>
      </w:r>
      <w:r w:rsidRPr="00256A88">
        <w:rPr>
          <w:rFonts w:asciiTheme="majorHAnsi" w:eastAsia="Times New Roman" w:hAnsiTheme="majorHAnsi"/>
          <w:bCs/>
          <w:sz w:val="16"/>
          <w:szCs w:val="16"/>
          <w:bdr w:val="none" w:sz="0" w:space="0" w:color="auto" w:frame="1"/>
          <w:lang w:val="es-ES"/>
        </w:rPr>
        <w:t>Ley de Reforma y Control de la Inmigración</w:t>
      </w:r>
      <w:r w:rsidRPr="00256A88">
        <w:rPr>
          <w:rFonts w:asciiTheme="majorHAnsi" w:hAnsiTheme="majorHAnsi"/>
          <w:sz w:val="16"/>
          <w:szCs w:val="16"/>
          <w:lang w:val="es-ES"/>
        </w:rPr>
        <w:t xml:space="preserve">], http://www.uscis.gov/tools/glossary/immigration-reform-and-control-act-1986-irca (consultado por última vez el 26 de mayo de 2015). </w:t>
      </w:r>
    </w:p>
  </w:footnote>
  <w:footnote w:id="74">
    <w:p w:rsidR="008B3F87" w:rsidRPr="00256A88" w:rsidRDefault="008B3F87" w:rsidP="001A394A">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U.S. Citizenship and Immigration Services (USCIS), I-9 Employment Eligibility Verification [I-9 Verificación de elegibilidad para el empleo] (versión de mayo de 2013), </w:t>
      </w:r>
      <w:hyperlink r:id="rId5" w:history="1">
        <w:r w:rsidRPr="00256A88">
          <w:rPr>
            <w:rStyle w:val="Hyperlink"/>
            <w:rFonts w:asciiTheme="majorHAnsi" w:hAnsiTheme="majorHAnsi"/>
            <w:sz w:val="16"/>
            <w:szCs w:val="16"/>
            <w:u w:val="none"/>
            <w:lang w:val="es-ES"/>
          </w:rPr>
          <w:t>http://www.uscis.gov/i-9</w:t>
        </w:r>
      </w:hyperlink>
      <w:r w:rsidRPr="00256A88">
        <w:rPr>
          <w:rFonts w:asciiTheme="majorHAnsi" w:hAnsiTheme="majorHAnsi"/>
          <w:sz w:val="16"/>
          <w:szCs w:val="16"/>
          <w:lang w:val="es-ES"/>
        </w:rPr>
        <w:t xml:space="preserve">; USCIS, Handbook for Employers: Guidance for Completing I-9, [Manual para empleadores: guía para llenar el formulario I-9] M-274, Rev. 04/30/13, </w:t>
      </w:r>
      <w:hyperlink r:id="rId6" w:history="1">
        <w:r w:rsidRPr="00256A88">
          <w:rPr>
            <w:rStyle w:val="Hyperlink"/>
            <w:rFonts w:asciiTheme="majorHAnsi" w:hAnsiTheme="majorHAnsi"/>
            <w:sz w:val="16"/>
            <w:szCs w:val="16"/>
            <w:u w:val="none"/>
            <w:lang w:val="es-ES"/>
          </w:rPr>
          <w:t>http://www.uscis.gov/sites/default/files/files/form/m-274.pdf</w:t>
        </w:r>
      </w:hyperlink>
      <w:r w:rsidRPr="00256A88">
        <w:rPr>
          <w:rFonts w:asciiTheme="majorHAnsi" w:hAnsiTheme="majorHAnsi"/>
          <w:sz w:val="16"/>
          <w:szCs w:val="16"/>
          <w:lang w:val="es-ES"/>
        </w:rPr>
        <w:t xml:space="preserve">. </w:t>
      </w:r>
    </w:p>
  </w:footnote>
  <w:footnote w:id="75">
    <w:p w:rsidR="008B3F87" w:rsidRPr="00256A88" w:rsidRDefault="008B3F87" w:rsidP="001A394A">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8 U.S.C. § 1324a(b)(1)(A)(ii).</w:t>
      </w:r>
    </w:p>
  </w:footnote>
  <w:footnote w:id="76">
    <w:p w:rsidR="008B3F87" w:rsidRPr="00256A88" w:rsidRDefault="008B3F87" w:rsidP="00EB337B">
      <w:pPr>
        <w:pStyle w:val="Footnotes"/>
        <w:rPr>
          <w:rFonts w:asciiTheme="majorHAnsi" w:hAnsiTheme="majorHAnsi"/>
          <w:b/>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Corte IDH, </w:t>
      </w:r>
      <w:r w:rsidRPr="00256A88">
        <w:rPr>
          <w:rFonts w:asciiTheme="majorHAnsi" w:hAnsiTheme="majorHAnsi"/>
          <w:bCs/>
          <w:i/>
          <w:sz w:val="16"/>
          <w:szCs w:val="16"/>
          <w:lang w:val="es-ES"/>
        </w:rPr>
        <w:t>Interpretación de la Declaración Americana de los Derechos y Deberes del Hombre en el Marco del Artículo 64 de la Convención Americana sobre Derechos Humanos</w:t>
      </w:r>
      <w:r w:rsidRPr="00256A88">
        <w:rPr>
          <w:rFonts w:asciiTheme="majorHAnsi" w:hAnsiTheme="majorHAnsi"/>
          <w:bCs/>
          <w:sz w:val="16"/>
          <w:szCs w:val="16"/>
          <w:lang w:val="es-ES"/>
        </w:rPr>
        <w:t>. Opinión Consultiva OC-10/89 del 14 de julio de 1989. Serie A No. 10</w:t>
      </w:r>
      <w:r w:rsidRPr="00256A88">
        <w:rPr>
          <w:rFonts w:asciiTheme="majorHAnsi" w:hAnsiTheme="majorHAnsi"/>
          <w:sz w:val="16"/>
          <w:szCs w:val="16"/>
          <w:lang w:val="es-ES"/>
        </w:rPr>
        <w:t xml:space="preserve">, párr. 37 (en la cual se señala que, al determinar la condición jurídica de la Declaración Americana, es procedente tener en cuenta el sistema interamericano de hoy a la luz de la evolución experimentada desde la adopción de la Declaración, en vez de examinar el valor normativo y la significación que se crea que ese instrumento haya tenido en 1948). </w:t>
      </w:r>
      <w:r w:rsidRPr="00256A88">
        <w:rPr>
          <w:rFonts w:asciiTheme="majorHAnsi" w:hAnsiTheme="majorHAnsi"/>
          <w:i/>
          <w:sz w:val="16"/>
          <w:szCs w:val="16"/>
          <w:lang w:val="es-ES"/>
        </w:rPr>
        <w:t xml:space="preserve">Véase también </w:t>
      </w:r>
      <w:r w:rsidRPr="00256A88">
        <w:rPr>
          <w:rFonts w:asciiTheme="majorHAnsi" w:hAnsiTheme="majorHAnsi"/>
          <w:sz w:val="16"/>
          <w:szCs w:val="16"/>
          <w:lang w:val="es-ES"/>
        </w:rPr>
        <w:t>ICJ, Legal Consequences for States of the Continued Presence of South Africa in Namibia (South West Africa) notwithstanding Security Council Resolution 276 [Consecuencias jurídicas para los Estados de la continuación de la presencia de Sudáfrica en Namibia (África sudoccidental) pese a la resolución 276 del Consejo de Seguridad] (1970), Opinión Consultiva, Corte Internacional de Justicia, Informes 1971, pág. 16, 31, en la cual se señala que “un instrumento internacional debe ser interpretado y aplicado en el cuadro del conjunto del sistema jurídico en vigor en el momento en que la interpretación tiene lugar”).</w:t>
      </w:r>
    </w:p>
  </w:footnote>
  <w:footnote w:id="77">
    <w:p w:rsidR="008B3F87" w:rsidRPr="00256A88" w:rsidRDefault="008B3F87" w:rsidP="00FE03A1">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 xml:space="preserve">Véase </w:t>
      </w:r>
      <w:r w:rsidRPr="00256A88">
        <w:rPr>
          <w:rFonts w:asciiTheme="majorHAnsi" w:hAnsiTheme="majorHAnsi"/>
          <w:sz w:val="16"/>
          <w:szCs w:val="16"/>
          <w:lang w:val="es-ES"/>
        </w:rPr>
        <w:t xml:space="preserve">CIDH, </w:t>
      </w:r>
      <w:r w:rsidRPr="00256A88">
        <w:rPr>
          <w:rFonts w:asciiTheme="majorHAnsi" w:hAnsiTheme="majorHAnsi"/>
          <w:i/>
          <w:sz w:val="16"/>
          <w:szCs w:val="16"/>
          <w:lang w:val="es-ES"/>
        </w:rPr>
        <w:t>Informe sobre la situación de los derechos humanos de los solicitantes de asilo en el marco del sistema canadiense de determinación de la condición de refugiado</w:t>
      </w:r>
      <w:r w:rsidRPr="00256A88">
        <w:rPr>
          <w:rFonts w:asciiTheme="majorHAnsi" w:hAnsiTheme="majorHAnsi"/>
          <w:sz w:val="16"/>
          <w:szCs w:val="16"/>
          <w:lang w:val="es-ES"/>
        </w:rPr>
        <w:t xml:space="preserve">, Doc. OEA/Ser.L/V/II.106, Doc. 40 rev. (28 de febrero de 2000), párr. 38; CIDH, </w:t>
      </w:r>
      <w:r w:rsidRPr="00256A88">
        <w:rPr>
          <w:rFonts w:asciiTheme="majorHAnsi" w:hAnsiTheme="majorHAnsi"/>
          <w:i/>
          <w:sz w:val="16"/>
          <w:szCs w:val="16"/>
          <w:lang w:val="es-ES"/>
        </w:rPr>
        <w:t>Garza c. Estados Unidos</w:t>
      </w:r>
      <w:r w:rsidRPr="00256A88">
        <w:rPr>
          <w:rFonts w:asciiTheme="majorHAnsi" w:hAnsiTheme="majorHAnsi"/>
          <w:sz w:val="16"/>
          <w:szCs w:val="16"/>
          <w:lang w:val="es-ES"/>
        </w:rPr>
        <w:t>, Caso No. 12.275, Informe Anual de la CIDH 2000, párrs. 88-89.</w:t>
      </w:r>
    </w:p>
  </w:footnote>
  <w:footnote w:id="78">
    <w:p w:rsidR="008B3F87" w:rsidRPr="00256A88" w:rsidRDefault="008B3F87" w:rsidP="006C385C">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cs="Arial"/>
          <w:i/>
          <w:sz w:val="16"/>
          <w:szCs w:val="16"/>
          <w:lang w:val="es-ES"/>
        </w:rPr>
        <w:t>Véase</w:t>
      </w:r>
      <w:r w:rsidRPr="00256A88">
        <w:rPr>
          <w:rFonts w:asciiTheme="majorHAnsi" w:hAnsiTheme="majorHAnsi" w:cs="Arial"/>
          <w:sz w:val="16"/>
          <w:szCs w:val="16"/>
          <w:lang w:val="es-ES"/>
        </w:rPr>
        <w:t xml:space="preserve"> </w:t>
      </w:r>
      <w:r w:rsidRPr="00256A88">
        <w:rPr>
          <w:rFonts w:asciiTheme="majorHAnsi" w:hAnsiTheme="majorHAnsi"/>
          <w:sz w:val="16"/>
          <w:szCs w:val="16"/>
          <w:lang w:val="es-ES"/>
        </w:rPr>
        <w:t xml:space="preserve">CIDH, Informe No. 80/11, Caso 12.626, </w:t>
      </w:r>
      <w:r w:rsidRPr="00256A88">
        <w:rPr>
          <w:rFonts w:asciiTheme="majorHAnsi" w:hAnsiTheme="majorHAnsi"/>
          <w:i/>
          <w:sz w:val="16"/>
          <w:szCs w:val="16"/>
          <w:lang w:val="es-ES"/>
        </w:rPr>
        <w:t>Jessica Lenahan (Gonzales) y otros</w:t>
      </w:r>
      <w:r w:rsidRPr="00256A88">
        <w:rPr>
          <w:rFonts w:asciiTheme="majorHAnsi" w:hAnsiTheme="majorHAnsi"/>
          <w:sz w:val="16"/>
          <w:szCs w:val="16"/>
          <w:lang w:val="es-ES"/>
        </w:rPr>
        <w:t xml:space="preserve"> (Estados Unidos), 21 de julio de 2011, párr. 107; </w:t>
      </w:r>
      <w:r w:rsidRPr="00256A88">
        <w:rPr>
          <w:rFonts w:asciiTheme="majorHAnsi" w:hAnsiTheme="majorHAnsi" w:cs="Arial"/>
          <w:sz w:val="16"/>
          <w:szCs w:val="16"/>
          <w:lang w:val="es-ES"/>
        </w:rPr>
        <w:t>CIDH, Informe</w:t>
      </w:r>
      <w:r w:rsidRPr="00256A88">
        <w:rPr>
          <w:rFonts w:asciiTheme="majorHAnsi" w:hAnsiTheme="majorHAnsi"/>
          <w:sz w:val="16"/>
          <w:szCs w:val="16"/>
          <w:lang w:val="es-ES"/>
        </w:rPr>
        <w:t xml:space="preserve"> 40/04, Caso 12.053, </w:t>
      </w:r>
      <w:r w:rsidRPr="00256A88">
        <w:rPr>
          <w:rFonts w:asciiTheme="majorHAnsi" w:hAnsiTheme="majorHAnsi"/>
          <w:i/>
          <w:sz w:val="16"/>
          <w:szCs w:val="16"/>
          <w:lang w:val="es-ES"/>
        </w:rPr>
        <w:t>Comunidades indígenas mayas del distrito de Toledo</w:t>
      </w:r>
      <w:r w:rsidRPr="00256A88">
        <w:rPr>
          <w:rFonts w:asciiTheme="majorHAnsi" w:hAnsiTheme="majorHAnsi"/>
          <w:sz w:val="16"/>
          <w:szCs w:val="16"/>
          <w:lang w:val="es-ES"/>
        </w:rPr>
        <w:t xml:space="preserve"> (Belice), 12 de octubre de 2004, párr. 163; CIDH, Informe 67/06, Caso 12.476, </w:t>
      </w:r>
      <w:r w:rsidRPr="00256A88">
        <w:rPr>
          <w:rFonts w:asciiTheme="majorHAnsi" w:hAnsiTheme="majorHAnsi"/>
          <w:i/>
          <w:sz w:val="16"/>
          <w:szCs w:val="16"/>
          <w:lang w:val="es-ES"/>
        </w:rPr>
        <w:t>Oscar Elías Bicet y otros</w:t>
      </w:r>
      <w:r w:rsidRPr="00256A88">
        <w:rPr>
          <w:rFonts w:asciiTheme="majorHAnsi" w:hAnsiTheme="majorHAnsi"/>
          <w:sz w:val="16"/>
          <w:szCs w:val="16"/>
          <w:lang w:val="es-ES"/>
        </w:rPr>
        <w:t xml:space="preserve"> (Cuba), 21 de octubre de 2006, párr. 228; CIDH, </w:t>
      </w:r>
      <w:r w:rsidRPr="00256A88">
        <w:rPr>
          <w:rFonts w:asciiTheme="majorHAnsi" w:hAnsiTheme="majorHAnsi"/>
          <w:i/>
          <w:sz w:val="16"/>
          <w:szCs w:val="16"/>
          <w:lang w:val="es-ES"/>
        </w:rPr>
        <w:t>Informe sobre terrorismo y derechos humanos</w:t>
      </w:r>
      <w:r w:rsidRPr="00256A88">
        <w:rPr>
          <w:rFonts w:asciiTheme="majorHAnsi" w:hAnsiTheme="majorHAnsi"/>
          <w:sz w:val="16"/>
          <w:szCs w:val="16"/>
          <w:lang w:val="es-ES"/>
        </w:rPr>
        <w:t>, Doc. OEA/Ser.L./V/II.116 Doc. 5 rev. 1 corr. , 22 de octubre de 2002, párr. 335.</w:t>
      </w:r>
    </w:p>
  </w:footnote>
  <w:footnote w:id="79">
    <w:p w:rsidR="008B3F87" w:rsidRPr="00256A88" w:rsidRDefault="008B3F87" w:rsidP="006C385C">
      <w:pPr>
        <w:pStyle w:val="FootnoteText"/>
        <w:spacing w:after="120"/>
        <w:ind w:firstLine="720"/>
        <w:jc w:val="both"/>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cs="Arial"/>
          <w:i/>
          <w:sz w:val="16"/>
          <w:szCs w:val="16"/>
          <w:lang w:val="es-ES"/>
        </w:rPr>
        <w:t>Véanse, por ejemplo</w:t>
      </w:r>
      <w:r w:rsidRPr="00256A88">
        <w:rPr>
          <w:rFonts w:asciiTheme="majorHAnsi" w:hAnsiTheme="majorHAnsi" w:cs="Arial"/>
          <w:sz w:val="16"/>
          <w:szCs w:val="16"/>
          <w:lang w:val="es-ES"/>
        </w:rPr>
        <w:t>, el Pacto Internacional de Derechos Civiles y Políticos (artículos 2 y 26), el Pacto Internacional de Derechos Económicos, Sociales y Culturales (artículos 2.2 y 3), el Convenio Europeo de Derechos Humanos (artículo 14) y la Carta Africana de Derechos Humanos y de los Pueblos (artículo 2).</w:t>
      </w:r>
    </w:p>
  </w:footnote>
  <w:footnote w:id="80">
    <w:p w:rsidR="008B3F87" w:rsidRPr="00256A88" w:rsidRDefault="008B3F87" w:rsidP="006C385C">
      <w:pPr>
        <w:pStyle w:val="FootnoteText"/>
        <w:spacing w:after="120"/>
        <w:ind w:firstLine="720"/>
        <w:jc w:val="both"/>
        <w:rPr>
          <w:rFonts w:asciiTheme="majorHAnsi" w:hAnsiTheme="majorHAnsi" w:cs="Arial"/>
          <w:sz w:val="16"/>
          <w:szCs w:val="16"/>
          <w:lang w:val="es-ES"/>
        </w:rPr>
      </w:pPr>
      <w:r w:rsidRPr="00256A88">
        <w:rPr>
          <w:rStyle w:val="FootnoteReference"/>
          <w:rFonts w:asciiTheme="majorHAnsi" w:hAnsiTheme="majorHAnsi" w:cs="Arial"/>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cs="Arial"/>
          <w:sz w:val="16"/>
          <w:szCs w:val="16"/>
          <w:lang w:val="es-ES"/>
        </w:rPr>
        <w:t>CIDH, Informe</w:t>
      </w:r>
      <w:r w:rsidRPr="00256A88">
        <w:rPr>
          <w:rFonts w:asciiTheme="majorHAnsi" w:hAnsiTheme="majorHAnsi"/>
          <w:sz w:val="16"/>
          <w:szCs w:val="16"/>
          <w:lang w:val="es-ES"/>
        </w:rPr>
        <w:t xml:space="preserve"> No. 40/04, Caso 12.053, </w:t>
      </w:r>
      <w:r w:rsidRPr="00256A88">
        <w:rPr>
          <w:rFonts w:asciiTheme="majorHAnsi" w:hAnsiTheme="majorHAnsi"/>
          <w:i/>
          <w:sz w:val="16"/>
          <w:szCs w:val="16"/>
          <w:lang w:val="es-ES"/>
        </w:rPr>
        <w:t>Comunidades indígenas mayas del distrito de Toledo</w:t>
      </w:r>
      <w:r w:rsidRPr="00256A88">
        <w:rPr>
          <w:rFonts w:asciiTheme="majorHAnsi" w:hAnsiTheme="majorHAnsi"/>
          <w:sz w:val="16"/>
          <w:szCs w:val="16"/>
          <w:lang w:val="es-ES"/>
        </w:rPr>
        <w:t xml:space="preserve"> (Belice), 12 de octubre de 2004, párr. 162.</w:t>
      </w:r>
    </w:p>
  </w:footnote>
  <w:footnote w:id="81">
    <w:p w:rsidR="008B3F87" w:rsidRPr="00256A88" w:rsidRDefault="008B3F87" w:rsidP="006C385C">
      <w:pPr>
        <w:pStyle w:val="Footnotes"/>
        <w:rPr>
          <w:rFonts w:asciiTheme="majorHAnsi" w:hAnsiTheme="majorHAnsi" w:cs="Arial"/>
          <w:sz w:val="16"/>
          <w:szCs w:val="16"/>
          <w:lang w:val="es-ES"/>
        </w:rPr>
      </w:pPr>
      <w:r w:rsidRPr="00256A88">
        <w:rPr>
          <w:rStyle w:val="FootnoteReference"/>
          <w:rFonts w:asciiTheme="majorHAnsi" w:hAnsiTheme="majorHAnsi" w:cs="Arial"/>
          <w:sz w:val="16"/>
          <w:szCs w:val="16"/>
          <w:lang w:val="es-ES"/>
        </w:rPr>
        <w:footnoteRef/>
      </w:r>
      <w:r w:rsidRPr="00256A88">
        <w:rPr>
          <w:rFonts w:asciiTheme="majorHAnsi" w:hAnsiTheme="majorHAnsi" w:cs="Arial"/>
          <w:sz w:val="16"/>
          <w:szCs w:val="16"/>
          <w:lang w:val="es-ES"/>
        </w:rPr>
        <w:t xml:space="preserve"> </w:t>
      </w:r>
      <w:r w:rsidRPr="00256A88">
        <w:rPr>
          <w:rFonts w:asciiTheme="majorHAnsi" w:hAnsiTheme="majorHAnsi"/>
          <w:sz w:val="16"/>
          <w:szCs w:val="16"/>
          <w:lang w:val="es-ES"/>
        </w:rPr>
        <w:t xml:space="preserve">CIDH, Informe No. 80/11, Caso 12.626, </w:t>
      </w:r>
      <w:r w:rsidRPr="00256A88">
        <w:rPr>
          <w:rFonts w:asciiTheme="majorHAnsi" w:hAnsiTheme="majorHAnsi"/>
          <w:i/>
          <w:sz w:val="16"/>
          <w:szCs w:val="16"/>
          <w:lang w:val="es-ES"/>
        </w:rPr>
        <w:t>Jessica Lenahan (Gonzales) y otros</w:t>
      </w:r>
      <w:r w:rsidRPr="00256A88">
        <w:rPr>
          <w:rFonts w:asciiTheme="majorHAnsi" w:hAnsiTheme="majorHAnsi"/>
          <w:sz w:val="16"/>
          <w:szCs w:val="16"/>
          <w:lang w:val="es-ES"/>
        </w:rPr>
        <w:t xml:space="preserve"> (Estados Unidos), 21 de julio de 2011, párr. 108; </w:t>
      </w:r>
      <w:r w:rsidRPr="00256A88">
        <w:rPr>
          <w:rFonts w:asciiTheme="majorHAnsi" w:hAnsiTheme="majorHAnsi" w:cs="Arial"/>
          <w:sz w:val="16"/>
          <w:szCs w:val="16"/>
          <w:lang w:val="es-ES"/>
        </w:rPr>
        <w:t>CIDH, Informe</w:t>
      </w:r>
      <w:r w:rsidRPr="00256A88">
        <w:rPr>
          <w:rFonts w:asciiTheme="majorHAnsi" w:hAnsiTheme="majorHAnsi"/>
          <w:sz w:val="16"/>
          <w:szCs w:val="16"/>
          <w:lang w:val="es-ES"/>
        </w:rPr>
        <w:t xml:space="preserve"> No.40/04, Caso 12.053, </w:t>
      </w:r>
      <w:r w:rsidRPr="00256A88">
        <w:rPr>
          <w:rFonts w:asciiTheme="majorHAnsi" w:hAnsiTheme="majorHAnsi"/>
          <w:i/>
          <w:sz w:val="16"/>
          <w:szCs w:val="16"/>
          <w:lang w:val="es-ES"/>
        </w:rPr>
        <w:t>Comunidades indígenas mayas del distrito de Toledo</w:t>
      </w:r>
      <w:r w:rsidRPr="00256A88">
        <w:rPr>
          <w:rFonts w:asciiTheme="majorHAnsi" w:hAnsiTheme="majorHAnsi"/>
          <w:sz w:val="16"/>
          <w:szCs w:val="16"/>
          <w:lang w:val="es-ES"/>
        </w:rPr>
        <w:t xml:space="preserve"> (Belice), 12 de octubre de 2004, párr. 162.</w:t>
      </w:r>
    </w:p>
  </w:footnote>
  <w:footnote w:id="82">
    <w:p w:rsidR="008B3F87" w:rsidRPr="00256A88" w:rsidRDefault="008B3F87" w:rsidP="00755CD3">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CIDH, Informe No. 51/01, Caso 9903, </w:t>
      </w:r>
      <w:r w:rsidRPr="00256A88">
        <w:rPr>
          <w:rFonts w:asciiTheme="majorHAnsi" w:hAnsiTheme="majorHAnsi"/>
          <w:i/>
          <w:sz w:val="16"/>
          <w:szCs w:val="16"/>
          <w:lang w:val="es-ES"/>
        </w:rPr>
        <w:t>Rafael Ferrer-Mazorra y otros</w:t>
      </w:r>
      <w:r w:rsidRPr="00256A88">
        <w:rPr>
          <w:rFonts w:asciiTheme="majorHAnsi" w:hAnsiTheme="majorHAnsi"/>
          <w:sz w:val="16"/>
          <w:szCs w:val="16"/>
          <w:lang w:val="es-ES"/>
        </w:rPr>
        <w:t xml:space="preserve">, Estados Unidos, 4 de abril de 2001, párr. 23; CIDH, </w:t>
      </w:r>
      <w:r w:rsidRPr="00256A88">
        <w:rPr>
          <w:rFonts w:asciiTheme="majorHAnsi" w:hAnsiTheme="majorHAnsi"/>
          <w:i/>
          <w:sz w:val="16"/>
          <w:szCs w:val="16"/>
          <w:lang w:val="es-ES"/>
        </w:rPr>
        <w:t>Informe sobre la situación de los derechos humanos de los solicitantes de asilo en el marco del sistema canadiense de determinación de la condición de refugiado</w:t>
      </w:r>
      <w:r w:rsidRPr="00256A88">
        <w:rPr>
          <w:rFonts w:asciiTheme="majorHAnsi" w:hAnsiTheme="majorHAnsi"/>
          <w:sz w:val="16"/>
          <w:szCs w:val="16"/>
          <w:lang w:val="es-ES"/>
        </w:rPr>
        <w:t>, 28 de febrero de 2000, OEA/Ser.L/V/II.106 Doc. 40 rev., párr. 96 (en el cual se cita al Comité Jurídico Interamericano, “Proyecto de Declaración de los derechos y deberes internacionales del hombre e informe acompañante” (1946)); CIDH, Informe No. 51/96, Informe Anual de la CIDH 1996, pág. 550, párrs. 177-178.</w:t>
      </w:r>
    </w:p>
  </w:footnote>
  <w:footnote w:id="83">
    <w:p w:rsidR="008B3F87" w:rsidRPr="00256A88" w:rsidRDefault="008B3F87" w:rsidP="007C174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CIDH, Informe No. 57/96, Caso 11.139, </w:t>
      </w:r>
      <w:r w:rsidRPr="00256A88">
        <w:rPr>
          <w:rFonts w:asciiTheme="majorHAnsi" w:hAnsiTheme="majorHAnsi"/>
          <w:i/>
          <w:sz w:val="16"/>
          <w:szCs w:val="16"/>
          <w:lang w:val="es-ES"/>
        </w:rPr>
        <w:t xml:space="preserve">William Andrews </w:t>
      </w:r>
      <w:r w:rsidRPr="00256A88">
        <w:rPr>
          <w:rFonts w:asciiTheme="majorHAnsi" w:hAnsiTheme="majorHAnsi"/>
          <w:sz w:val="16"/>
          <w:szCs w:val="16"/>
          <w:lang w:val="es-ES"/>
        </w:rPr>
        <w:t xml:space="preserve">(Estados Unidos), 6 de diciembre de 1996, párr. 173. </w:t>
      </w:r>
    </w:p>
  </w:footnote>
  <w:footnote w:id="84">
    <w:p w:rsidR="008B3F87" w:rsidRPr="00256A88" w:rsidRDefault="008B3F87" w:rsidP="007C174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CIDH, Informe No. 67/06, Caso 12.476, </w:t>
      </w:r>
      <w:r w:rsidRPr="00256A88">
        <w:rPr>
          <w:rFonts w:asciiTheme="majorHAnsi" w:hAnsiTheme="majorHAnsi"/>
          <w:i/>
          <w:sz w:val="16"/>
          <w:szCs w:val="16"/>
          <w:lang w:val="es-ES"/>
        </w:rPr>
        <w:t>Oscar Elías Bicet y otros</w:t>
      </w:r>
      <w:r w:rsidRPr="00256A88">
        <w:rPr>
          <w:rFonts w:asciiTheme="majorHAnsi" w:hAnsiTheme="majorHAnsi"/>
          <w:sz w:val="16"/>
          <w:szCs w:val="16"/>
          <w:lang w:val="es-ES"/>
        </w:rPr>
        <w:t xml:space="preserve"> (Cuba), 21 de octubre de 2006, párrs. 228-231; CIDH, Informe No. 40/04, Caso 12.053, </w:t>
      </w:r>
      <w:r w:rsidRPr="00256A88">
        <w:rPr>
          <w:rFonts w:asciiTheme="majorHAnsi" w:hAnsiTheme="majorHAnsi"/>
          <w:i/>
          <w:sz w:val="16"/>
          <w:szCs w:val="16"/>
          <w:lang w:val="es-ES"/>
        </w:rPr>
        <w:t>Comunidades indígenas mayas del distrito de Toledo</w:t>
      </w:r>
      <w:r w:rsidRPr="00256A88">
        <w:rPr>
          <w:rFonts w:asciiTheme="majorHAnsi" w:hAnsiTheme="majorHAnsi"/>
          <w:sz w:val="16"/>
          <w:szCs w:val="16"/>
          <w:lang w:val="es-ES"/>
        </w:rPr>
        <w:t xml:space="preserve"> (Belice), 12 de octubre de 2004, párrs. 162, 166.</w:t>
      </w:r>
    </w:p>
  </w:footnote>
  <w:footnote w:id="85">
    <w:p w:rsidR="008B3F87" w:rsidRPr="009236B8" w:rsidRDefault="008B3F87" w:rsidP="005E4066">
      <w:pPr>
        <w:pStyle w:val="Footnotes"/>
        <w:rPr>
          <w:rFonts w:asciiTheme="majorHAnsi" w:hAnsiTheme="majorHAnsi"/>
          <w:sz w:val="16"/>
          <w:szCs w:val="16"/>
          <w:lang w:val="pt-BR"/>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CIDH, Informe No. 51/01, Caso 9903, </w:t>
      </w:r>
      <w:r w:rsidRPr="00256A88">
        <w:rPr>
          <w:rFonts w:asciiTheme="majorHAnsi" w:hAnsiTheme="majorHAnsi"/>
          <w:i/>
          <w:sz w:val="16"/>
          <w:szCs w:val="16"/>
          <w:lang w:val="es-ES"/>
        </w:rPr>
        <w:t>Rafael Ferrer-Mazorra y otros</w:t>
      </w:r>
      <w:r w:rsidRPr="00256A88">
        <w:rPr>
          <w:rFonts w:asciiTheme="majorHAnsi" w:hAnsiTheme="majorHAnsi"/>
          <w:sz w:val="16"/>
          <w:szCs w:val="16"/>
          <w:lang w:val="es-ES"/>
        </w:rPr>
        <w:t xml:space="preserve">, Estados Unidos, 4 de abril de 2001, párr. 238 (citando para respaldar su posición la Corte Europea de Derechos Humanos, </w:t>
      </w:r>
      <w:r w:rsidRPr="00256A88">
        <w:rPr>
          <w:rFonts w:asciiTheme="majorHAnsi" w:eastAsia="Times New Roman" w:hAnsiTheme="majorHAnsi"/>
          <w:i/>
          <w:iCs/>
          <w:color w:val="000000"/>
          <w:sz w:val="16"/>
          <w:szCs w:val="16"/>
          <w:lang w:val="es-ES"/>
        </w:rPr>
        <w:t>Caso de la Lingüística Belga</w:t>
      </w:r>
      <w:r w:rsidRPr="00256A88">
        <w:rPr>
          <w:rFonts w:asciiTheme="majorHAnsi" w:eastAsia="Times New Roman" w:hAnsiTheme="majorHAnsi"/>
          <w:color w:val="000000"/>
          <w:sz w:val="16"/>
          <w:szCs w:val="16"/>
          <w:lang w:val="es-ES"/>
        </w:rPr>
        <w:t xml:space="preserve">, 23 de julio de 1968, Serie A No. 6, 1 E.H.R.R. 252, pág. 35, párr. </w:t>
      </w:r>
      <w:r w:rsidRPr="009236B8">
        <w:rPr>
          <w:rFonts w:asciiTheme="majorHAnsi" w:eastAsia="Times New Roman" w:hAnsiTheme="majorHAnsi"/>
          <w:color w:val="000000"/>
          <w:sz w:val="16"/>
          <w:szCs w:val="16"/>
          <w:lang w:val="pt-BR"/>
        </w:rPr>
        <w:t xml:space="preserve">10). </w:t>
      </w:r>
    </w:p>
  </w:footnote>
  <w:footnote w:id="86">
    <w:p w:rsidR="008B3F87" w:rsidRPr="00256A88" w:rsidRDefault="008B3F87" w:rsidP="005E4066">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pt-BR"/>
        </w:rPr>
        <w:t xml:space="preserve"> CIDH, Informe No. 113/14, Caso 11.661, Fondo, </w:t>
      </w:r>
      <w:r w:rsidRPr="00256A88">
        <w:rPr>
          <w:rFonts w:asciiTheme="majorHAnsi" w:hAnsiTheme="majorHAnsi"/>
          <w:i/>
          <w:sz w:val="16"/>
          <w:szCs w:val="16"/>
          <w:lang w:val="pt-BR"/>
        </w:rPr>
        <w:t>Manickavasagam Suresh</w:t>
      </w:r>
      <w:r w:rsidRPr="00256A88">
        <w:rPr>
          <w:rFonts w:asciiTheme="majorHAnsi" w:hAnsiTheme="majorHAnsi"/>
          <w:sz w:val="16"/>
          <w:szCs w:val="16"/>
          <w:lang w:val="pt-BR"/>
        </w:rPr>
        <w:t xml:space="preserve">, Canadá, 7 de noviembre de 2014, párr. </w:t>
      </w:r>
      <w:r w:rsidRPr="00256A88">
        <w:rPr>
          <w:rFonts w:asciiTheme="majorHAnsi" w:hAnsiTheme="majorHAnsi"/>
          <w:sz w:val="16"/>
          <w:szCs w:val="16"/>
          <w:lang w:val="es-ES"/>
        </w:rPr>
        <w:t xml:space="preserve">86; CIDH, Informe No. 51/01, Caso 9903, </w:t>
      </w:r>
      <w:r w:rsidRPr="00256A88">
        <w:rPr>
          <w:rFonts w:asciiTheme="majorHAnsi" w:hAnsiTheme="majorHAnsi"/>
          <w:i/>
          <w:sz w:val="16"/>
          <w:szCs w:val="16"/>
          <w:lang w:val="es-ES"/>
        </w:rPr>
        <w:t>Rafael Ferrer-Mazorra y otros</w:t>
      </w:r>
      <w:r w:rsidRPr="00256A88">
        <w:rPr>
          <w:rFonts w:asciiTheme="majorHAnsi" w:hAnsiTheme="majorHAnsi"/>
          <w:sz w:val="16"/>
          <w:szCs w:val="16"/>
          <w:lang w:val="es-ES"/>
        </w:rPr>
        <w:t xml:space="preserve">, Estados Unidos, 4 de abril de 2001, párr. 239. </w:t>
      </w:r>
      <w:r w:rsidRPr="00256A88">
        <w:rPr>
          <w:rFonts w:asciiTheme="majorHAnsi" w:hAnsiTheme="majorHAnsi"/>
          <w:i/>
          <w:sz w:val="16"/>
          <w:szCs w:val="16"/>
          <w:lang w:val="es-ES"/>
        </w:rPr>
        <w:t>Véase también</w:t>
      </w:r>
      <w:r w:rsidRPr="00256A88">
        <w:rPr>
          <w:rFonts w:asciiTheme="majorHAnsi" w:hAnsiTheme="majorHAnsi"/>
          <w:sz w:val="16"/>
          <w:szCs w:val="16"/>
          <w:lang w:val="es-ES"/>
        </w:rPr>
        <w:t xml:space="preserve"> CIDH, </w:t>
      </w:r>
      <w:r w:rsidRPr="00256A88">
        <w:rPr>
          <w:rFonts w:asciiTheme="majorHAnsi" w:hAnsiTheme="majorHAnsi"/>
          <w:i/>
          <w:sz w:val="16"/>
          <w:szCs w:val="16"/>
          <w:lang w:val="es-ES"/>
        </w:rPr>
        <w:t>Informe sobre la situación de los derechos humanos de los solicitantes de asilo en el marco del sistema canadiense de determinación de la condición de refugiado</w:t>
      </w:r>
      <w:r w:rsidRPr="00256A88">
        <w:rPr>
          <w:rFonts w:asciiTheme="majorHAnsi" w:hAnsiTheme="majorHAnsi"/>
          <w:sz w:val="16"/>
          <w:szCs w:val="16"/>
          <w:lang w:val="es-ES"/>
        </w:rPr>
        <w:t xml:space="preserve">, OEA/Ser.L/V/II.106 Doc. 40. rev. (28 de febrero de 2000), párr. 96. </w:t>
      </w:r>
    </w:p>
  </w:footnote>
  <w:footnote w:id="87">
    <w:p w:rsidR="008B3F87" w:rsidRPr="00256A88" w:rsidRDefault="008B3F87" w:rsidP="00FC7B05">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Véase, por ejemplo</w:t>
      </w:r>
      <w:r w:rsidRPr="00256A88">
        <w:rPr>
          <w:rFonts w:asciiTheme="majorHAnsi" w:hAnsiTheme="majorHAnsi"/>
          <w:sz w:val="16"/>
          <w:szCs w:val="16"/>
          <w:lang w:val="es-ES"/>
        </w:rPr>
        <w:t xml:space="preserve">, Naciones Unidas, Comité de Protección de los Derechos de todos los Trabajadores Migrantes y de sus Familiares, Observación general No. 2 sobre los derechos de los trabajadores migratorios en situación irregular y de sus familiares, CMW/C/GC/2 (agosto de 2013), párr. 18 (en la cual se cita al Comité de Derechos Económicos, Sociales y Culturales, Observación general Nº 20 sobre la no discriminación y los derechos económicos, sociales y culturales, E/C.12/GC/20, julio de 2009, párr. 30). </w:t>
      </w:r>
    </w:p>
  </w:footnote>
  <w:footnote w:id="88">
    <w:p w:rsidR="008B3F87" w:rsidRPr="00256A88" w:rsidRDefault="008B3F87" w:rsidP="00AA64E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Comité de Derechos Humanos de las Naciones Unidas, Compilación de observaciones generales y recomendaciones generales adoptadas por los órganos de tratados de derechos humanos, HRI/GEN/1/Rev.1 (1994), Observación General 18, No discriminación, pág. 26. </w:t>
      </w:r>
    </w:p>
  </w:footnote>
  <w:footnote w:id="89">
    <w:p w:rsidR="008B3F87" w:rsidRPr="00256A88" w:rsidRDefault="008B3F87" w:rsidP="00712C4A">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Denominados “trabajadores [extranjeros] indocumentados” en este escrito sobre el fondo. </w:t>
      </w:r>
    </w:p>
  </w:footnote>
  <w:footnote w:id="90">
    <w:p w:rsidR="008B3F87" w:rsidRPr="00256A88" w:rsidRDefault="008B3F87" w:rsidP="00B545D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Corte IDH, </w:t>
      </w:r>
      <w:r w:rsidRPr="00256A88">
        <w:rPr>
          <w:rFonts w:asciiTheme="majorHAnsi" w:hAnsiTheme="majorHAnsi"/>
          <w:i/>
          <w:sz w:val="16"/>
          <w:szCs w:val="16"/>
          <w:lang w:val="es-ES"/>
        </w:rPr>
        <w:t>Condición jurídica y derechos de los migrantes indocumentados</w:t>
      </w:r>
      <w:r w:rsidRPr="00256A88">
        <w:rPr>
          <w:rFonts w:asciiTheme="majorHAnsi" w:hAnsiTheme="majorHAnsi"/>
          <w:sz w:val="16"/>
          <w:szCs w:val="16"/>
          <w:lang w:val="es-ES"/>
        </w:rPr>
        <w:t xml:space="preserve">. Opinión Consultiva OC-18/03 del 17 de septiembre de 2003. Serie A No. 18, párrs. 131-136. </w:t>
      </w:r>
      <w:r w:rsidRPr="00256A88">
        <w:rPr>
          <w:rFonts w:asciiTheme="majorHAnsi" w:hAnsiTheme="majorHAnsi"/>
          <w:i/>
          <w:sz w:val="16"/>
          <w:szCs w:val="16"/>
          <w:lang w:val="es-ES"/>
        </w:rPr>
        <w:t>Véase también</w:t>
      </w:r>
      <w:r w:rsidRPr="00256A88">
        <w:rPr>
          <w:rFonts w:asciiTheme="majorHAnsi" w:hAnsiTheme="majorHAnsi"/>
          <w:sz w:val="16"/>
          <w:szCs w:val="16"/>
          <w:lang w:val="es-ES"/>
        </w:rPr>
        <w:t xml:space="preserve"> Comité para la Eliminación de la Discriminación Racial, Recomendación general No. XXX, La discriminación contra los no ciudadanos, CERD/C/64/Misc.11/rev.3 (2004), párr. 35.</w:t>
      </w:r>
    </w:p>
  </w:footnote>
  <w:footnote w:id="91">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570 Pa. 464 (2002).</w:t>
      </w:r>
    </w:p>
  </w:footnote>
  <w:footnote w:id="92">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570 Pa. 475. </w:t>
      </w:r>
    </w:p>
  </w:footnote>
  <w:footnote w:id="93">
    <w:p w:rsidR="008B3F87" w:rsidRPr="00256A88" w:rsidRDefault="008B3F87" w:rsidP="00742A77">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Style w:val="FootnoteReference"/>
          <w:rFonts w:asciiTheme="majorHAnsi" w:hAnsiTheme="majorHAnsi"/>
          <w:i/>
          <w:sz w:val="16"/>
          <w:szCs w:val="16"/>
          <w:vertAlign w:val="baseline"/>
          <w:lang w:val="es-ES"/>
        </w:rPr>
        <w:t xml:space="preserve">Kachinski c. </w:t>
      </w:r>
      <w:r w:rsidRPr="00256A88">
        <w:rPr>
          <w:rFonts w:asciiTheme="majorHAnsi" w:hAnsiTheme="majorHAnsi"/>
          <w:bCs/>
          <w:i/>
          <w:sz w:val="16"/>
          <w:szCs w:val="16"/>
          <w:lang w:val="es-ES"/>
        </w:rPr>
        <w:t>Junta de Apelaciones para la Indemnización por Accidentes de Trabajo</w:t>
      </w:r>
      <w:r w:rsidRPr="00256A88">
        <w:rPr>
          <w:rStyle w:val="FootnoteReference"/>
          <w:rFonts w:asciiTheme="majorHAnsi" w:hAnsiTheme="majorHAnsi"/>
          <w:sz w:val="16"/>
          <w:szCs w:val="16"/>
          <w:vertAlign w:val="baseline"/>
          <w:lang w:val="es-ES"/>
        </w:rPr>
        <w:t xml:space="preserve"> (Vepco Construction Co.), 516 Pa. 240, 251-252 (1987) (</w:t>
      </w:r>
      <w:r w:rsidRPr="00256A88">
        <w:rPr>
          <w:rFonts w:asciiTheme="majorHAnsi" w:hAnsiTheme="majorHAnsi"/>
          <w:sz w:val="16"/>
          <w:szCs w:val="16"/>
          <w:lang w:val="es-ES"/>
        </w:rPr>
        <w:t xml:space="preserve">estos son los dos primeros elementos de una prueba establecida en este caso, que se conoce como </w:t>
      </w:r>
      <w:r w:rsidRPr="00256A88">
        <w:rPr>
          <w:rStyle w:val="FootnoteReference"/>
          <w:rFonts w:asciiTheme="majorHAnsi" w:hAnsiTheme="majorHAnsi"/>
          <w:sz w:val="16"/>
          <w:szCs w:val="16"/>
          <w:vertAlign w:val="baseline"/>
          <w:lang w:val="es-ES"/>
        </w:rPr>
        <w:t>“</w:t>
      </w:r>
      <w:r w:rsidRPr="00256A88">
        <w:rPr>
          <w:rFonts w:asciiTheme="majorHAnsi" w:hAnsiTheme="majorHAnsi"/>
          <w:sz w:val="16"/>
          <w:szCs w:val="16"/>
          <w:lang w:val="es-ES"/>
        </w:rPr>
        <w:t>la prueba</w:t>
      </w:r>
      <w:r w:rsidRPr="00256A88">
        <w:rPr>
          <w:rStyle w:val="FootnoteReference"/>
          <w:rFonts w:asciiTheme="majorHAnsi" w:hAnsiTheme="majorHAnsi"/>
          <w:sz w:val="16"/>
          <w:szCs w:val="16"/>
          <w:vertAlign w:val="baseline"/>
          <w:lang w:val="es-ES"/>
        </w:rPr>
        <w:t xml:space="preserve"> </w:t>
      </w:r>
      <w:r w:rsidRPr="00256A88">
        <w:rPr>
          <w:rFonts w:asciiTheme="majorHAnsi" w:hAnsiTheme="majorHAnsi"/>
          <w:sz w:val="16"/>
          <w:szCs w:val="16"/>
          <w:lang w:val="es-ES"/>
        </w:rPr>
        <w:t xml:space="preserve">de cuatro puntos de </w:t>
      </w:r>
      <w:r w:rsidRPr="00256A88">
        <w:rPr>
          <w:rStyle w:val="FootnoteReference"/>
          <w:rFonts w:asciiTheme="majorHAnsi" w:hAnsiTheme="majorHAnsi"/>
          <w:sz w:val="16"/>
          <w:szCs w:val="16"/>
          <w:vertAlign w:val="baseline"/>
          <w:lang w:val="es-ES"/>
        </w:rPr>
        <w:t>Kachinski”).</w:t>
      </w:r>
      <w:r w:rsidRPr="00256A88">
        <w:rPr>
          <w:rFonts w:asciiTheme="majorHAnsi" w:hAnsiTheme="majorHAnsi"/>
          <w:sz w:val="16"/>
          <w:szCs w:val="16"/>
          <w:shd w:val="clear" w:color="auto" w:fill="EBEDEE"/>
          <w:lang w:val="es-ES"/>
        </w:rPr>
        <w:t xml:space="preserve"> </w:t>
      </w:r>
    </w:p>
  </w:footnote>
  <w:footnote w:id="94">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570 Pa., 479-480 (en el cual se aclara, en el n. 11, que “no aborda” la cuestión de si la modificación hecha por el tribunal inferior del “punto de disponibilidad de empleo” para cambiar las prestaciones adjudicadas originalmente en </w:t>
      </w:r>
      <w:r w:rsidRPr="00256A88">
        <w:rPr>
          <w:rFonts w:asciiTheme="majorHAnsi" w:hAnsiTheme="majorHAnsi"/>
          <w:i/>
          <w:sz w:val="16"/>
          <w:szCs w:val="16"/>
          <w:lang w:val="es-ES"/>
        </w:rPr>
        <w:t xml:space="preserve">Kachinski c. </w:t>
      </w:r>
      <w:r w:rsidRPr="00256A88">
        <w:rPr>
          <w:rFonts w:asciiTheme="majorHAnsi" w:hAnsiTheme="majorHAnsi"/>
          <w:bCs/>
          <w:i/>
          <w:sz w:val="16"/>
          <w:szCs w:val="16"/>
          <w:lang w:val="es-ES"/>
        </w:rPr>
        <w:t>Junta de Apelaciones para la Indemnización por Accidentes de Trabajo</w:t>
      </w:r>
      <w:r w:rsidRPr="00256A88">
        <w:rPr>
          <w:rFonts w:asciiTheme="majorHAnsi" w:hAnsiTheme="majorHAnsi"/>
          <w:sz w:val="16"/>
          <w:szCs w:val="16"/>
          <w:lang w:val="es-ES"/>
        </w:rPr>
        <w:t xml:space="preserve">, 532 A.2d 374 </w:t>
      </w:r>
      <w:r w:rsidRPr="00256A88">
        <w:rPr>
          <w:rFonts w:asciiTheme="majorHAnsi" w:hAnsiTheme="majorHAnsi"/>
          <w:sz w:val="16"/>
          <w:szCs w:val="16"/>
          <w:lang w:val="es-US"/>
        </w:rPr>
        <w:t>[</w:t>
      </w:r>
      <w:r w:rsidRPr="00256A88">
        <w:rPr>
          <w:rFonts w:asciiTheme="majorHAnsi" w:hAnsiTheme="majorHAnsi"/>
          <w:sz w:val="16"/>
          <w:szCs w:val="16"/>
          <w:lang w:val="es-ES"/>
        </w:rPr>
        <w:t xml:space="preserve">Pa. 1987], al permitir que se compruebe la disponibilidad por medio del testimonio de peritos o avisos publicados en la zona de empleo, sería correcta). </w:t>
      </w:r>
    </w:p>
  </w:footnote>
  <w:footnote w:id="95">
    <w:p w:rsidR="008B3F87" w:rsidRPr="00256A88" w:rsidRDefault="008B3F87" w:rsidP="00B15CF2">
      <w:pPr>
        <w:pStyle w:val="Footnotes"/>
        <w:rPr>
          <w:rFonts w:asciiTheme="majorHAnsi" w:hAnsiTheme="majorHAnsi"/>
          <w:sz w:val="16"/>
          <w:szCs w:val="16"/>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rPr>
        <w:t xml:space="preserve"> 570 Pa., n. 12. </w:t>
      </w:r>
    </w:p>
  </w:footnote>
  <w:footnote w:id="96">
    <w:p w:rsidR="008B3F87" w:rsidRPr="00256A88" w:rsidRDefault="008B3F87" w:rsidP="00B15CF2">
      <w:pPr>
        <w:pStyle w:val="Footnotes"/>
        <w:rPr>
          <w:rFonts w:asciiTheme="majorHAnsi" w:hAnsiTheme="majorHAnsi"/>
          <w:sz w:val="16"/>
          <w:szCs w:val="16"/>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rPr>
        <w:t xml:space="preserve"> 277 Kan. 795 (2004). </w:t>
      </w:r>
    </w:p>
  </w:footnote>
  <w:footnote w:id="97">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rPr>
        <w:t xml:space="preserve"> </w:t>
      </w:r>
      <w:r w:rsidRPr="00256A88">
        <w:rPr>
          <w:rFonts w:asciiTheme="majorHAnsi" w:hAnsiTheme="majorHAnsi"/>
          <w:i/>
          <w:sz w:val="16"/>
          <w:szCs w:val="16"/>
        </w:rPr>
        <w:t>Acosta c. National Beef Packing Co., L.P.</w:t>
      </w:r>
      <w:r w:rsidRPr="00256A88">
        <w:rPr>
          <w:rFonts w:asciiTheme="majorHAnsi" w:hAnsiTheme="majorHAnsi"/>
          <w:sz w:val="16"/>
          <w:szCs w:val="16"/>
        </w:rPr>
        <w:t xml:space="preserve">, 273 Kan. 385 (2002). </w:t>
      </w:r>
      <w:r w:rsidRPr="00256A88">
        <w:rPr>
          <w:rFonts w:asciiTheme="majorHAnsi" w:hAnsiTheme="majorHAnsi"/>
          <w:sz w:val="16"/>
          <w:szCs w:val="16"/>
          <w:lang w:val="es-ES"/>
        </w:rPr>
        <w:t xml:space="preserve">En esta decisión anterior, la Corte Suprema de Kansas determinó que a la señora Butanda (también conocida como Victoria Acosta) se le adeudaban $57.936,72 de los $78.608,38 que le habían adjudicado, suma que su empleador no había pagado y se había negado a pagar incluso antes de que se anulara el monto a raíz del descubrimiento del fraude. </w:t>
      </w:r>
    </w:p>
  </w:footnote>
  <w:footnote w:id="98">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277 Kan., 797.</w:t>
      </w:r>
    </w:p>
  </w:footnote>
  <w:footnote w:id="99">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277 Kan., 799-804.</w:t>
      </w:r>
    </w:p>
  </w:footnote>
  <w:footnote w:id="100">
    <w:p w:rsidR="008B3F87" w:rsidRPr="00256A88" w:rsidRDefault="008B3F87" w:rsidP="009668C5">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Véase </w:t>
      </w:r>
      <w:r w:rsidRPr="00256A88">
        <w:rPr>
          <w:rFonts w:asciiTheme="majorHAnsi" w:hAnsiTheme="majorHAnsi"/>
          <w:i/>
          <w:sz w:val="16"/>
          <w:szCs w:val="16"/>
          <w:lang w:val="es-ES"/>
        </w:rPr>
        <w:t>supra</w:t>
      </w:r>
      <w:r w:rsidRPr="00256A88">
        <w:rPr>
          <w:rFonts w:asciiTheme="majorHAnsi" w:hAnsiTheme="majorHAnsi"/>
          <w:sz w:val="16"/>
          <w:szCs w:val="16"/>
          <w:lang w:val="es-ES"/>
        </w:rPr>
        <w:t xml:space="preserve"> n. 86. Sin embargo, al comienzo del caso, la Corte afirmó que la señora Butanda tenía “derecho legalmente a percibir las prestaciones que [ya] había recibido”. 277 Kan. 795; véase también, supra 273 Kan. 385 (2002) (mediante la cual se confirma el reclamo de la señora Butanda de $57.936,72). </w:t>
      </w:r>
    </w:p>
  </w:footnote>
  <w:footnote w:id="101">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277 Kan. at 807 (al pedir trabajo en el frigorífico, la señora Butanda “reveló que no podía trabajar legalmente en el país debido a la visa o a la situación migratoria”).</w:t>
      </w:r>
    </w:p>
  </w:footnote>
  <w:footnote w:id="102">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277 Kan. 800 (en el cual se cita la conclusión del Tribunal de Distrito sobre la evolución de la preparación y el almacenamiento de expedientes [es decir, la digitalización y la rápida indexación de personas con el número de seguro social], en el sentido de que “sin el nombre y el número de seguro social de una persona, un organismo </w:t>
      </w:r>
      <w:r w:rsidRPr="00256A88">
        <w:rPr>
          <w:rFonts w:asciiTheme="majorHAnsi" w:eastAsia="Times New Roman" w:hAnsiTheme="majorHAnsi"/>
          <w:bCs/>
          <w:sz w:val="16"/>
          <w:szCs w:val="16"/>
          <w:bdr w:val="none" w:sz="0" w:space="0" w:color="auto" w:frame="1"/>
          <w:lang w:val="es-ES"/>
        </w:rPr>
        <w:t>[...]</w:t>
      </w:r>
      <w:r w:rsidRPr="00256A88">
        <w:rPr>
          <w:rFonts w:asciiTheme="majorHAnsi" w:hAnsiTheme="majorHAnsi"/>
          <w:sz w:val="16"/>
          <w:szCs w:val="16"/>
          <w:lang w:val="es-ES"/>
        </w:rPr>
        <w:t xml:space="preserve"> no podría investigar debidamente y recabar información sobre esa persona o, como mínimo, tropezaría con enormes obstáculos para obtener información”).</w:t>
      </w:r>
    </w:p>
  </w:footnote>
  <w:footnote w:id="103">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8 U.S.C. § 1324c(a). </w:t>
      </w:r>
    </w:p>
  </w:footnote>
  <w:footnote w:id="104">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Fritz Ebinger, </w:t>
      </w:r>
      <w:r w:rsidRPr="00256A88">
        <w:rPr>
          <w:rFonts w:asciiTheme="majorHAnsi" w:hAnsiTheme="majorHAnsi"/>
          <w:i/>
          <w:sz w:val="16"/>
          <w:szCs w:val="16"/>
          <w:lang w:val="es-ES"/>
        </w:rPr>
        <w:t>Exposed to the Elements: Workers’ Compensation and Unauthorized Farm Workers in the Midwest</w:t>
      </w:r>
      <w:r w:rsidRPr="00256A88">
        <w:rPr>
          <w:rFonts w:asciiTheme="majorHAnsi" w:hAnsiTheme="majorHAnsi"/>
          <w:sz w:val="16"/>
          <w:szCs w:val="16"/>
          <w:lang w:val="es-ES"/>
        </w:rPr>
        <w:t xml:space="preserve"> [A la intemperie: La indemnización por accidentes de trabajo y los trabajadores agrícolas no autorizados en la región centrooccidental], 13 Drake J. Agric. L. 263, 281 (2008). </w:t>
      </w:r>
      <w:r w:rsidRPr="00256A88">
        <w:rPr>
          <w:rFonts w:asciiTheme="majorHAnsi" w:hAnsiTheme="majorHAnsi"/>
          <w:i/>
          <w:sz w:val="16"/>
          <w:szCs w:val="16"/>
          <w:lang w:val="es-ES"/>
        </w:rPr>
        <w:t xml:space="preserve">Véase también </w:t>
      </w:r>
      <w:r w:rsidRPr="00256A88">
        <w:rPr>
          <w:rFonts w:asciiTheme="majorHAnsi" w:hAnsiTheme="majorHAnsi"/>
          <w:sz w:val="16"/>
          <w:szCs w:val="16"/>
          <w:lang w:val="es-ES"/>
        </w:rPr>
        <w:t xml:space="preserve">el documento de los peticionarios fechado el 1 de noviembre de 2006, págs. 21 y 22 (en el cual se cita a Brent I. Anderson, </w:t>
      </w:r>
      <w:r w:rsidRPr="00256A88">
        <w:rPr>
          <w:rFonts w:asciiTheme="majorHAnsi" w:hAnsiTheme="majorHAnsi"/>
          <w:i/>
          <w:sz w:val="16"/>
          <w:szCs w:val="16"/>
          <w:lang w:val="es-ES"/>
        </w:rPr>
        <w:t>The Perils of U.S. Employment for Falsely Documented Workers (and Whatever You Do, Don’t File a Work Comp Claim)</w:t>
      </w:r>
      <w:r w:rsidRPr="00256A88">
        <w:rPr>
          <w:rFonts w:asciiTheme="majorHAnsi" w:hAnsiTheme="majorHAnsi"/>
          <w:sz w:val="16"/>
          <w:szCs w:val="16"/>
          <w:lang w:val="es-ES"/>
        </w:rPr>
        <w:t xml:space="preserve"> [Los peligros del empleo en Estados Unidos para los trabajadores con documentos falsos, y no se le ocurra presentar un reclamo de indemnización por accidente de trabajo], ponencia presentada en la Reunión de Invierno del Comité de Indemnización por Accidentes de Trabajo de la División de Derecho Laboral de la Federación de Colegios de Abogados de Estados Unidos en marzo de 2006, en la cual se señala que un fiscal federal auxiliar de Wichita, Kansas, hizo pública la práctica de verificar la situación migratoria de los trabajadores que presentan reclamos de indemnización por accidente de trabajo y que los empleadores y las compañías de seguros remiten a la fiscalía federal los casos que llaman la atención; la fiscalía enjuicia a esos empleados por fraude, lo cual en última instancia podría resultar en su deportación). </w:t>
      </w:r>
    </w:p>
  </w:footnote>
  <w:footnote w:id="105">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Fritz Ebinger, </w:t>
      </w:r>
      <w:r w:rsidRPr="00256A88">
        <w:rPr>
          <w:rFonts w:asciiTheme="majorHAnsi" w:hAnsiTheme="majorHAnsi"/>
          <w:i/>
          <w:sz w:val="16"/>
          <w:szCs w:val="16"/>
          <w:lang w:val="es-ES"/>
        </w:rPr>
        <w:t>Exposed to the Elements: Workers’ Compensation and Unauthorized Farm Workers in the Midwest</w:t>
      </w:r>
      <w:r w:rsidRPr="00256A88">
        <w:rPr>
          <w:rFonts w:asciiTheme="majorHAnsi" w:hAnsiTheme="majorHAnsi"/>
          <w:sz w:val="16"/>
          <w:szCs w:val="16"/>
          <w:lang w:val="es-ES"/>
        </w:rPr>
        <w:t xml:space="preserve"> [A la intemperie: La indemnización por accidentes de trabajo y los trabajadores agrícolas no autorizados en la región centrooccidental], 13 Drake J. Agric. L. 263, 281 (2008).</w:t>
      </w:r>
    </w:p>
  </w:footnote>
  <w:footnote w:id="106">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6 N.Y. 3d 338, 350, 370 (2006) (en el cual se afirma la sentencia de la División de Apelaciones, Primer Departamento).</w:t>
      </w:r>
    </w:p>
  </w:footnote>
  <w:footnote w:id="107">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658 N.W.2d 510, 519-21 (Tribunal de Apelaciones de Michigan, 2003), auto de avocación denegado en </w:t>
      </w:r>
      <w:r w:rsidRPr="00256A88">
        <w:rPr>
          <w:rFonts w:asciiTheme="majorHAnsi" w:hAnsiTheme="majorHAnsi"/>
          <w:i/>
          <w:sz w:val="16"/>
          <w:szCs w:val="16"/>
          <w:lang w:val="es-ES"/>
        </w:rPr>
        <w:t>Sanchez c. Eagle Alloy, Inc.</w:t>
      </w:r>
      <w:r w:rsidRPr="00256A88">
        <w:rPr>
          <w:rFonts w:asciiTheme="majorHAnsi" w:hAnsiTheme="majorHAnsi"/>
          <w:sz w:val="16"/>
          <w:szCs w:val="16"/>
          <w:lang w:val="es-ES"/>
        </w:rPr>
        <w:t xml:space="preserve">, 471 Mich. 851 (Mich. 2004). </w:t>
      </w:r>
    </w:p>
  </w:footnote>
  <w:footnote w:id="108">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357 NLRB No. 47 (2011). </w:t>
      </w:r>
    </w:p>
  </w:footnote>
  <w:footnote w:id="109">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357 NLRB, pág. 1, 4. En este caso, el empleador nunca pidió documentación de la autorización para trabajar cuando contrató a los trabajadores que posteriormente fueron despedidos indebidamente. Estos empleados trabajaron para el empleador durante períodos que abarcaron de cinco meses a ocho años y fueron despedidos después de que se quejaron de común acuerdo de prácticas laborales desleales. </w:t>
      </w:r>
    </w:p>
  </w:footnote>
  <w:footnote w:id="110">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357 NLRB, págs. 2 y 3 (en el cual se cita el caso </w:t>
      </w:r>
      <w:r w:rsidRPr="00256A88">
        <w:rPr>
          <w:rFonts w:asciiTheme="majorHAnsi" w:hAnsiTheme="majorHAnsi"/>
          <w:i/>
          <w:sz w:val="16"/>
          <w:szCs w:val="16"/>
          <w:lang w:val="es-ES"/>
        </w:rPr>
        <w:t>Hoffman</w:t>
      </w:r>
      <w:r w:rsidRPr="00256A88">
        <w:rPr>
          <w:rFonts w:asciiTheme="majorHAnsi" w:hAnsiTheme="majorHAnsi"/>
          <w:sz w:val="16"/>
          <w:szCs w:val="16"/>
          <w:lang w:val="es-ES"/>
        </w:rPr>
        <w:t xml:space="preserve">, pág. 148). </w:t>
      </w:r>
    </w:p>
  </w:footnote>
  <w:footnote w:id="111">
    <w:p w:rsidR="008B3F87" w:rsidRPr="00256A88" w:rsidRDefault="008B3F87" w:rsidP="00B15CF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357 NLRB, pág. 3. </w:t>
      </w:r>
    </w:p>
  </w:footnote>
  <w:footnote w:id="112">
    <w:p w:rsidR="008B3F87" w:rsidRPr="00256A88" w:rsidRDefault="008B3F87" w:rsidP="009D33DD">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La CIDH faltaría a su deber si no rechazara aquí el argumento de que la discriminación contra los trabajadores indocumentados los disuade de buscar trabajo en contravención de las leyes estadounidenses. Por el contrario, la Comisión considera que exigir a los empleadores que proporcionen la misma reparación a todos los empleados, sean indocumentados o no, sería más eficaz para alcanzar ese fin. Si a los trabajadores indocumentados se les debe pagar lo mismo, se los debe tratar de la misma manera y se les deben proporcionar las mismas reparaciones con arreglo a derecho, los incentivos para contratarlos son menores. Además, la Comisión observa que medidas tales como la denegación de indemnización por accidentes de trabajo o la denegación de ciertas prestaciones vinculadas a la indemnización por accidentes de trabajo a raíz del caso </w:t>
      </w:r>
      <w:r w:rsidRPr="00256A88">
        <w:rPr>
          <w:rFonts w:asciiTheme="majorHAnsi" w:hAnsiTheme="majorHAnsi"/>
          <w:i/>
          <w:sz w:val="16"/>
          <w:szCs w:val="16"/>
          <w:lang w:val="es-ES"/>
        </w:rPr>
        <w:t>Hoffman</w:t>
      </w:r>
      <w:r w:rsidRPr="00256A88">
        <w:rPr>
          <w:rFonts w:asciiTheme="majorHAnsi" w:hAnsiTheme="majorHAnsi"/>
          <w:sz w:val="16"/>
          <w:szCs w:val="16"/>
          <w:lang w:val="es-ES"/>
        </w:rPr>
        <w:t xml:space="preserve"> no han desincentivado el empleo de trabajadores indocumentados: en 2000 había alrededor de 5,5 millones de trabajadores no autorizados inmigrantes en Estados Unidos, que representaban 3,8% de la fuerza laboral. Con pequeñas variaciones, esta cifra aumentó constantemente hasta fines de 2012, en que el número estimado de trabajadores no autorizados inmigrantes ascendía a 8,1 millones o 5,1% de la fuerza laboral. </w:t>
      </w:r>
      <w:r w:rsidRPr="00256A88">
        <w:rPr>
          <w:rFonts w:asciiTheme="majorHAnsi" w:hAnsiTheme="majorHAnsi"/>
          <w:i/>
          <w:sz w:val="16"/>
          <w:szCs w:val="16"/>
          <w:lang w:val="es-ES"/>
        </w:rPr>
        <w:t>Véanse</w:t>
      </w:r>
      <w:r w:rsidRPr="00256A88">
        <w:rPr>
          <w:rFonts w:asciiTheme="majorHAnsi" w:hAnsiTheme="majorHAnsi"/>
          <w:sz w:val="16"/>
          <w:szCs w:val="16"/>
          <w:lang w:val="es-ES"/>
        </w:rPr>
        <w:t xml:space="preserve"> Jeffrey Passel y D’Vera Cohn, </w:t>
      </w:r>
      <w:r w:rsidRPr="00256A88">
        <w:rPr>
          <w:rFonts w:asciiTheme="majorHAnsi" w:hAnsiTheme="majorHAnsi"/>
          <w:i/>
          <w:sz w:val="16"/>
          <w:szCs w:val="16"/>
          <w:lang w:val="es-ES"/>
        </w:rPr>
        <w:t>Share of Unauthorized Immigrant Workers in Production, Construction Jobs Falls Since 2007: In States, Hospitality, Manufacturing and Construction are Top Industries</w:t>
      </w:r>
      <w:r w:rsidRPr="00256A88">
        <w:rPr>
          <w:rFonts w:asciiTheme="majorHAnsi" w:hAnsiTheme="majorHAnsi"/>
          <w:sz w:val="16"/>
          <w:szCs w:val="16"/>
          <w:lang w:val="es-ES"/>
        </w:rPr>
        <w:t xml:space="preserve"> [Desde 2007 disminuye la proporción de trabajadores inmigrantes no autorizados en empleos en la producción y en la construcción: en los estados, las principales industrias son hotelería, manufacturas y construcción], Centro de Investigaciones Pew (marzo de 2015), pág. 5; Jeffrey Passel y D’Vera Cohn, </w:t>
      </w:r>
      <w:r w:rsidRPr="00256A88">
        <w:rPr>
          <w:rFonts w:asciiTheme="majorHAnsi" w:hAnsiTheme="majorHAnsi"/>
          <w:i/>
          <w:sz w:val="16"/>
          <w:szCs w:val="16"/>
          <w:lang w:val="es-ES"/>
        </w:rPr>
        <w:t>Unauthorized Immigrant Population: National and State Trends, 2010</w:t>
      </w:r>
      <w:r w:rsidRPr="00256A88">
        <w:rPr>
          <w:rFonts w:asciiTheme="majorHAnsi" w:hAnsiTheme="majorHAnsi"/>
          <w:sz w:val="16"/>
          <w:szCs w:val="16"/>
          <w:lang w:val="es-ES"/>
        </w:rPr>
        <w:t xml:space="preserve"> [Inmigrantes no autorizados: tendencias nacionales y estatales] (1 de febrero de 2011), pág. 17.</w:t>
      </w:r>
    </w:p>
  </w:footnote>
  <w:footnote w:id="113">
    <w:p w:rsidR="008B3F87" w:rsidRPr="00256A88" w:rsidRDefault="008B3F87" w:rsidP="008A20BD">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Independientemente de la condición existencial o jurídica de los dos trabajadores indocumentados, la Comisión considera que tienen plena personería jurídica en las circunstancias presentadas. Los señores Zumaya y Lizalde procuraron que se reconocieran los derechos económicos y sociales que tienen como trabajadores de acuerdo con los sistemas de indemnización por accidentes de trabajo a los cuales ambos aportaron, a diferencia del reconocimiento de ciertos derechos políticos, como el derecho a votar en Estados Unidos, que normalmente no se confiere a las personas que no son ciudadanas del país.</w:t>
      </w:r>
    </w:p>
  </w:footnote>
  <w:footnote w:id="114">
    <w:p w:rsidR="008B3F87" w:rsidRPr="00256A88" w:rsidRDefault="008B3F87" w:rsidP="001748F6">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Corte IDH, </w:t>
      </w:r>
      <w:r w:rsidRPr="00256A88">
        <w:rPr>
          <w:rFonts w:asciiTheme="majorHAnsi" w:hAnsiTheme="majorHAnsi"/>
          <w:i/>
          <w:sz w:val="16"/>
          <w:szCs w:val="16"/>
          <w:lang w:val="es-ES"/>
        </w:rPr>
        <w:t>Caso de las Niñas Yean y Bosico vs. República Dominicana</w:t>
      </w:r>
      <w:r w:rsidRPr="00256A88">
        <w:rPr>
          <w:rFonts w:asciiTheme="majorHAnsi" w:hAnsiTheme="majorHAnsi"/>
          <w:sz w:val="16"/>
          <w:szCs w:val="16"/>
          <w:lang w:val="es-ES"/>
        </w:rPr>
        <w:t xml:space="preserve">. </w:t>
      </w:r>
      <w:r w:rsidRPr="00256A88">
        <w:rPr>
          <w:rFonts w:asciiTheme="majorHAnsi" w:hAnsiTheme="majorHAnsi"/>
          <w:bCs/>
          <w:sz w:val="16"/>
          <w:szCs w:val="16"/>
          <w:lang w:val="es-ES"/>
        </w:rPr>
        <w:t>Excepciones preliminares, Fondo, Reparaciones y costas, Sentencia de 8 de septiembre de 2005. Serie C No. 130, párr. 180.</w:t>
      </w:r>
      <w:r w:rsidRPr="00256A88">
        <w:rPr>
          <w:rFonts w:asciiTheme="majorHAnsi" w:hAnsiTheme="majorHAnsi"/>
          <w:b/>
          <w:bCs/>
          <w:sz w:val="16"/>
          <w:szCs w:val="16"/>
          <w:lang w:val="es-ES"/>
        </w:rPr>
        <w:t xml:space="preserve"> </w:t>
      </w:r>
    </w:p>
  </w:footnote>
  <w:footnote w:id="115">
    <w:p w:rsidR="008B3F87" w:rsidRPr="00256A88" w:rsidRDefault="008B3F87" w:rsidP="00AF6703">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Artículos 34 (g) y 45 (b) de la Carta de la OEA; artículo XIV de la Declaración Americana. </w:t>
      </w:r>
    </w:p>
  </w:footnote>
  <w:footnote w:id="116">
    <w:p w:rsidR="008B3F87" w:rsidRPr="00256A88" w:rsidRDefault="008B3F87" w:rsidP="0095413A">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CIDH, Informe</w:t>
      </w:r>
      <w:r w:rsidRPr="00256A88">
        <w:rPr>
          <w:rFonts w:asciiTheme="majorHAnsi" w:hAnsiTheme="majorHAnsi"/>
          <w:sz w:val="16"/>
          <w:szCs w:val="16"/>
          <w:bdr w:val="nil"/>
          <w:lang w:val="es-ES"/>
        </w:rPr>
        <w:t xml:space="preserve"> No. 51/01, Caso 9903, </w:t>
      </w:r>
      <w:r w:rsidRPr="00256A88">
        <w:rPr>
          <w:rFonts w:asciiTheme="majorHAnsi" w:hAnsiTheme="majorHAnsi"/>
          <w:i/>
          <w:sz w:val="16"/>
          <w:szCs w:val="16"/>
          <w:bdr w:val="nil"/>
          <w:lang w:val="es-ES"/>
        </w:rPr>
        <w:t>Rafael Ferrer-Mazorra y otros</w:t>
      </w:r>
      <w:r w:rsidRPr="00256A88">
        <w:rPr>
          <w:rFonts w:asciiTheme="majorHAnsi" w:hAnsiTheme="majorHAnsi"/>
          <w:sz w:val="16"/>
          <w:szCs w:val="16"/>
          <w:bdr w:val="nil"/>
          <w:lang w:val="es-ES"/>
        </w:rPr>
        <w:t xml:space="preserve">, </w:t>
      </w:r>
      <w:r w:rsidRPr="00256A88">
        <w:rPr>
          <w:rFonts w:asciiTheme="majorHAnsi" w:hAnsiTheme="majorHAnsi"/>
          <w:sz w:val="16"/>
          <w:szCs w:val="16"/>
          <w:lang w:val="es-ES"/>
        </w:rPr>
        <w:t>Estados Unidos, 4 de abril de 2001, párr. 243.</w:t>
      </w:r>
    </w:p>
  </w:footnote>
  <w:footnote w:id="117">
    <w:p w:rsidR="008B3F87" w:rsidRPr="00256A88" w:rsidRDefault="008B3F87" w:rsidP="00AD198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CIDH, Informe No. 80/11, Caso 12.626, </w:t>
      </w:r>
      <w:r w:rsidRPr="00256A88">
        <w:rPr>
          <w:rFonts w:asciiTheme="majorHAnsi" w:hAnsiTheme="majorHAnsi"/>
          <w:i/>
          <w:sz w:val="16"/>
          <w:szCs w:val="16"/>
          <w:lang w:val="es-ES"/>
        </w:rPr>
        <w:t>Jessica Lenahan (Gonzales) y otros</w:t>
      </w:r>
      <w:r w:rsidRPr="00256A88">
        <w:rPr>
          <w:rFonts w:asciiTheme="majorHAnsi" w:hAnsiTheme="majorHAnsi"/>
          <w:sz w:val="16"/>
          <w:szCs w:val="16"/>
          <w:lang w:val="es-ES"/>
        </w:rPr>
        <w:t xml:space="preserve"> (Estados Unidos), 21 de julio de 2011, párr. </w:t>
      </w:r>
      <w:r w:rsidRPr="00256A88">
        <w:rPr>
          <w:rFonts w:asciiTheme="majorHAnsi" w:hAnsiTheme="majorHAnsi"/>
          <w:sz w:val="16"/>
          <w:szCs w:val="16"/>
          <w:lang w:val="pt-BR"/>
        </w:rPr>
        <w:t xml:space="preserve">172; CIDH, Informe No. 54/01, Caso 12.051, </w:t>
      </w:r>
      <w:r w:rsidRPr="00256A88">
        <w:rPr>
          <w:rFonts w:asciiTheme="majorHAnsi" w:hAnsiTheme="majorHAnsi"/>
          <w:i/>
          <w:sz w:val="16"/>
          <w:szCs w:val="16"/>
          <w:lang w:val="pt-BR"/>
        </w:rPr>
        <w:t>Maria Da Penha Maia Fernandes</w:t>
      </w:r>
      <w:r w:rsidRPr="00256A88">
        <w:rPr>
          <w:rFonts w:asciiTheme="majorHAnsi" w:hAnsiTheme="majorHAnsi"/>
          <w:sz w:val="16"/>
          <w:szCs w:val="16"/>
          <w:lang w:val="pt-BR"/>
        </w:rPr>
        <w:t xml:space="preserve"> (Brasil), 16 de abril de 2001, párr. </w:t>
      </w:r>
      <w:r w:rsidRPr="00256A88">
        <w:rPr>
          <w:rFonts w:asciiTheme="majorHAnsi" w:hAnsiTheme="majorHAnsi"/>
          <w:sz w:val="16"/>
          <w:szCs w:val="16"/>
          <w:lang w:val="es-ES"/>
        </w:rPr>
        <w:t>37.</w:t>
      </w:r>
    </w:p>
  </w:footnote>
  <w:footnote w:id="118">
    <w:p w:rsidR="008B3F87" w:rsidRPr="00256A88" w:rsidRDefault="008B3F87" w:rsidP="00AD198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CIDH, Informe No. 80/11, Caso 12.626, </w:t>
      </w:r>
      <w:r w:rsidRPr="00256A88">
        <w:rPr>
          <w:rFonts w:asciiTheme="majorHAnsi" w:hAnsiTheme="majorHAnsi"/>
          <w:i/>
          <w:sz w:val="16"/>
          <w:szCs w:val="16"/>
          <w:lang w:val="es-ES"/>
        </w:rPr>
        <w:t>Jessica Lenahan (Gonzales) y otros</w:t>
      </w:r>
      <w:r w:rsidRPr="00256A88">
        <w:rPr>
          <w:rFonts w:asciiTheme="majorHAnsi" w:hAnsiTheme="majorHAnsi"/>
          <w:sz w:val="16"/>
          <w:szCs w:val="16"/>
          <w:lang w:val="es-ES"/>
        </w:rPr>
        <w:t xml:space="preserve"> (Estados Unidos), 21 de julio de 2011, párr. </w:t>
      </w:r>
      <w:r w:rsidRPr="00256A88">
        <w:rPr>
          <w:rFonts w:asciiTheme="majorHAnsi" w:hAnsiTheme="majorHAnsi"/>
          <w:sz w:val="16"/>
          <w:szCs w:val="16"/>
          <w:lang w:val="pt-BR"/>
        </w:rPr>
        <w:t xml:space="preserve">172; CIDH, Informe No. 40/4, Caso 12.053, </w:t>
      </w:r>
      <w:r w:rsidRPr="00256A88">
        <w:rPr>
          <w:rFonts w:asciiTheme="majorHAnsi" w:hAnsiTheme="majorHAnsi"/>
          <w:i/>
          <w:sz w:val="16"/>
          <w:szCs w:val="16"/>
          <w:lang w:val="pt-BR"/>
        </w:rPr>
        <w:t xml:space="preserve">Comunidades indígenas mayas del distrito de Toledo </w:t>
      </w:r>
      <w:r w:rsidRPr="00256A88">
        <w:rPr>
          <w:rFonts w:asciiTheme="majorHAnsi" w:hAnsiTheme="majorHAnsi"/>
          <w:sz w:val="16"/>
          <w:szCs w:val="16"/>
          <w:lang w:val="pt-BR"/>
        </w:rPr>
        <w:t xml:space="preserve">(Belice), párr. 174; CIDH, Informe No. 54/01, Caso 12.051, </w:t>
      </w:r>
      <w:r w:rsidRPr="00256A88">
        <w:rPr>
          <w:rFonts w:asciiTheme="majorHAnsi" w:hAnsiTheme="majorHAnsi"/>
          <w:i/>
          <w:sz w:val="16"/>
          <w:szCs w:val="16"/>
          <w:lang w:val="pt-BR"/>
        </w:rPr>
        <w:t>Maria Da Penha Fernandes</w:t>
      </w:r>
      <w:r w:rsidRPr="00256A88">
        <w:rPr>
          <w:rFonts w:asciiTheme="majorHAnsi" w:hAnsiTheme="majorHAnsi"/>
          <w:sz w:val="16"/>
          <w:szCs w:val="16"/>
          <w:lang w:val="pt-BR"/>
        </w:rPr>
        <w:t xml:space="preserve"> (Brasil), 16 de abril de 2001, párr. </w:t>
      </w:r>
      <w:r w:rsidRPr="00256A88">
        <w:rPr>
          <w:rFonts w:asciiTheme="majorHAnsi" w:hAnsiTheme="majorHAnsi"/>
          <w:sz w:val="16"/>
          <w:szCs w:val="16"/>
          <w:lang w:val="es-ES"/>
        </w:rPr>
        <w:t xml:space="preserve">37. </w:t>
      </w:r>
    </w:p>
  </w:footnote>
  <w:footnote w:id="119">
    <w:p w:rsidR="008B3F87" w:rsidRPr="00256A88" w:rsidRDefault="008B3F87" w:rsidP="00AD198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CIDH, Informe No. 80/11, Caso 12.626, </w:t>
      </w:r>
      <w:r w:rsidRPr="00256A88">
        <w:rPr>
          <w:rFonts w:asciiTheme="majorHAnsi" w:hAnsiTheme="majorHAnsi"/>
          <w:i/>
          <w:sz w:val="16"/>
          <w:szCs w:val="16"/>
          <w:lang w:val="es-ES"/>
        </w:rPr>
        <w:t>Jessica Lenahan (Gonzales) y otros</w:t>
      </w:r>
      <w:r w:rsidRPr="00256A88">
        <w:rPr>
          <w:rFonts w:asciiTheme="majorHAnsi" w:hAnsiTheme="majorHAnsi"/>
          <w:sz w:val="16"/>
          <w:szCs w:val="16"/>
          <w:lang w:val="es-ES"/>
        </w:rPr>
        <w:t xml:space="preserve"> (Estados Unidos), 21 de julio de 2011, párr. 173; CIDH, Informe No. 81/10, Caso 12.562, </w:t>
      </w:r>
      <w:r w:rsidRPr="00256A88">
        <w:rPr>
          <w:rFonts w:asciiTheme="majorHAnsi" w:hAnsiTheme="majorHAnsi"/>
          <w:i/>
          <w:sz w:val="16"/>
          <w:szCs w:val="16"/>
          <w:lang w:val="es-ES"/>
        </w:rPr>
        <w:t>Wayne Smith, Hugo Armendatriz y otros,</w:t>
      </w:r>
      <w:r w:rsidRPr="00256A88">
        <w:rPr>
          <w:rFonts w:asciiTheme="majorHAnsi" w:hAnsiTheme="majorHAnsi"/>
          <w:sz w:val="16"/>
          <w:szCs w:val="16"/>
          <w:lang w:val="es-ES"/>
        </w:rPr>
        <w:t xml:space="preserve"> Estados Unidos, 12 de julio de 2010, párr. 62; CIDH, Informe Admisibilidad No. 52/07, Petición 1490-05, Admisibilidad, </w:t>
      </w:r>
      <w:r w:rsidRPr="00256A88">
        <w:rPr>
          <w:rFonts w:asciiTheme="majorHAnsi" w:hAnsiTheme="majorHAnsi"/>
          <w:i/>
          <w:sz w:val="16"/>
          <w:szCs w:val="16"/>
          <w:lang w:val="es-ES"/>
        </w:rPr>
        <w:t>Jessica Gonzales y otros (Estados Unidos)</w:t>
      </w:r>
      <w:r w:rsidRPr="00256A88">
        <w:rPr>
          <w:rFonts w:asciiTheme="majorHAnsi" w:hAnsiTheme="majorHAnsi"/>
          <w:sz w:val="16"/>
          <w:szCs w:val="16"/>
          <w:lang w:val="es-ES"/>
        </w:rPr>
        <w:t xml:space="preserve">, 24 de julio de 2007, párr. 42; CIDH, </w:t>
      </w:r>
      <w:r w:rsidRPr="00256A88">
        <w:rPr>
          <w:rFonts w:asciiTheme="majorHAnsi" w:hAnsiTheme="majorHAnsi"/>
          <w:i/>
          <w:sz w:val="16"/>
          <w:szCs w:val="16"/>
          <w:lang w:val="es-ES"/>
        </w:rPr>
        <w:t>Acceso a la justicia para mujeres víctimas de violencia sexual en las Américas</w:t>
      </w:r>
      <w:r w:rsidRPr="00256A88">
        <w:rPr>
          <w:rFonts w:asciiTheme="majorHAnsi" w:hAnsiTheme="majorHAnsi"/>
          <w:sz w:val="16"/>
          <w:szCs w:val="16"/>
          <w:lang w:val="es-ES"/>
        </w:rPr>
        <w:t xml:space="preserve">, OEA/Ser.L/V/II, Doc. 68 (20 de enero de 2007), párr. 26. </w:t>
      </w:r>
      <w:r w:rsidRPr="00256A88">
        <w:rPr>
          <w:rFonts w:asciiTheme="majorHAnsi" w:hAnsiTheme="majorHAnsi"/>
          <w:i/>
          <w:sz w:val="16"/>
          <w:szCs w:val="16"/>
          <w:lang w:val="es-ES"/>
        </w:rPr>
        <w:t>Véase también</w:t>
      </w:r>
      <w:r w:rsidRPr="00256A88">
        <w:rPr>
          <w:rFonts w:asciiTheme="majorHAnsi" w:hAnsiTheme="majorHAnsi"/>
          <w:sz w:val="16"/>
          <w:szCs w:val="16"/>
          <w:lang w:val="es-ES"/>
        </w:rPr>
        <w:t xml:space="preserve"> Corte IDH, Caso de los “Niños de la Calle” (Villagrán Morales y otros). Sentencia del 19 de noviembre de 1999. Serie C No. 63, párr. 235; CIDH, Informe No. 105/09, Petición P-592-07, Admisibilidad, </w:t>
      </w:r>
      <w:r w:rsidRPr="00256A88">
        <w:rPr>
          <w:rFonts w:asciiTheme="majorHAnsi" w:hAnsiTheme="majorHAnsi"/>
          <w:i/>
          <w:sz w:val="16"/>
          <w:szCs w:val="16"/>
          <w:lang w:val="es-ES"/>
        </w:rPr>
        <w:t>Grupo de Tratado Hul’Qumi’Num</w:t>
      </w:r>
      <w:r w:rsidRPr="00256A88">
        <w:rPr>
          <w:rFonts w:asciiTheme="majorHAnsi" w:hAnsiTheme="majorHAnsi"/>
          <w:sz w:val="16"/>
          <w:szCs w:val="16"/>
          <w:lang w:val="es-ES"/>
        </w:rPr>
        <w:t xml:space="preserve">, Canadá, 30 de octubre de 2009, párr. 31. </w:t>
      </w:r>
    </w:p>
  </w:footnote>
  <w:footnote w:id="120">
    <w:p w:rsidR="008B3F87" w:rsidRPr="00256A88" w:rsidRDefault="008B3F87" w:rsidP="00833F55">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CIDH, </w:t>
      </w:r>
      <w:r w:rsidRPr="00256A88">
        <w:rPr>
          <w:rFonts w:asciiTheme="majorHAnsi" w:hAnsiTheme="majorHAnsi"/>
          <w:i/>
          <w:sz w:val="16"/>
          <w:szCs w:val="16"/>
          <w:lang w:val="es-ES"/>
        </w:rPr>
        <w:t>El acceso a la justicia como garantía de los derechos económicos, sociales y culturales</w:t>
      </w:r>
      <w:r w:rsidRPr="00256A88">
        <w:rPr>
          <w:rFonts w:asciiTheme="majorHAnsi" w:hAnsiTheme="majorHAnsi"/>
          <w:sz w:val="16"/>
          <w:szCs w:val="16"/>
          <w:lang w:val="es-ES"/>
        </w:rPr>
        <w:t>, OEA/Ser.L/V/II.129 Doc.4 (septiembre de 2007) (en adelante “Informe de la CIDH sobre el acceso a la justicia”), párr. 245, en el cual se cita a Courtis C.,</w:t>
      </w:r>
      <w:r w:rsidRPr="00256A88">
        <w:rPr>
          <w:rStyle w:val="apple-converted-space"/>
          <w:rFonts w:asciiTheme="majorHAnsi" w:hAnsiTheme="majorHAnsi"/>
          <w:color w:val="000000"/>
          <w:sz w:val="16"/>
          <w:szCs w:val="16"/>
          <w:lang w:val="es-ES"/>
        </w:rPr>
        <w:t> </w:t>
      </w:r>
      <w:r w:rsidRPr="00256A88">
        <w:rPr>
          <w:rFonts w:asciiTheme="majorHAnsi" w:hAnsiTheme="majorHAnsi"/>
          <w:i/>
          <w:sz w:val="16"/>
          <w:szCs w:val="16"/>
          <w:lang w:val="es-ES"/>
        </w:rPr>
        <w:t>El derecho a un recurso rápido, sencillo y efectivo frente a afectaciones colectivas de derechos humanos</w:t>
      </w:r>
      <w:r w:rsidRPr="00256A88">
        <w:rPr>
          <w:rFonts w:asciiTheme="majorHAnsi" w:hAnsiTheme="majorHAnsi"/>
          <w:sz w:val="16"/>
          <w:szCs w:val="16"/>
          <w:lang w:val="es-ES"/>
        </w:rPr>
        <w:t>, en Víctor Abramovich, Alberto Bovino y Christian Courtis (comp.) “La aplicación de los tratados de derechos humanos en el ámbito local. La experiencia de una década</w:t>
      </w:r>
      <w:r w:rsidRPr="00256A88">
        <w:rPr>
          <w:rStyle w:val="apple-converted-space"/>
          <w:rFonts w:asciiTheme="majorHAnsi" w:hAnsiTheme="majorHAnsi"/>
          <w:i/>
          <w:iCs/>
          <w:color w:val="000000"/>
          <w:sz w:val="16"/>
          <w:szCs w:val="16"/>
          <w:lang w:val="es-ES"/>
        </w:rPr>
        <w:t> </w:t>
      </w:r>
      <w:r w:rsidRPr="00256A88">
        <w:rPr>
          <w:rFonts w:asciiTheme="majorHAnsi" w:hAnsiTheme="majorHAnsi"/>
          <w:sz w:val="16"/>
          <w:szCs w:val="16"/>
          <w:lang w:val="es-ES"/>
        </w:rPr>
        <w:t>(1994-2005)”, Buenos Aires, CELS y Editores del puerto.</w:t>
      </w:r>
    </w:p>
  </w:footnote>
  <w:footnote w:id="121">
    <w:p w:rsidR="008B3F87" w:rsidRPr="00256A88" w:rsidRDefault="008B3F87" w:rsidP="00B3322A">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Íd.</w:t>
      </w:r>
      <w:r w:rsidRPr="00256A88">
        <w:rPr>
          <w:rFonts w:asciiTheme="majorHAnsi" w:hAnsiTheme="majorHAnsi"/>
          <w:sz w:val="16"/>
          <w:szCs w:val="16"/>
          <w:lang w:val="es-ES"/>
        </w:rPr>
        <w:t xml:space="preserve">, párrs. 246-47. </w:t>
      </w:r>
    </w:p>
  </w:footnote>
  <w:footnote w:id="122">
    <w:p w:rsidR="008B3F87" w:rsidRPr="00256A88" w:rsidRDefault="008B3F87" w:rsidP="00B63FDE">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Íd.</w:t>
      </w:r>
      <w:r w:rsidRPr="00256A88">
        <w:rPr>
          <w:rFonts w:asciiTheme="majorHAnsi" w:hAnsiTheme="majorHAnsi"/>
          <w:sz w:val="16"/>
          <w:szCs w:val="16"/>
          <w:lang w:val="es-ES"/>
        </w:rPr>
        <w:t xml:space="preserve">, párr. 251. </w:t>
      </w:r>
    </w:p>
  </w:footnote>
  <w:footnote w:id="123">
    <w:p w:rsidR="008B3F87" w:rsidRPr="00256A88" w:rsidRDefault="008B3F87" w:rsidP="00B63FDE">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Íd.</w:t>
      </w:r>
      <w:r w:rsidRPr="00256A88">
        <w:rPr>
          <w:rFonts w:asciiTheme="majorHAnsi" w:hAnsiTheme="majorHAnsi"/>
          <w:sz w:val="16"/>
          <w:szCs w:val="16"/>
          <w:lang w:val="es-ES"/>
        </w:rPr>
        <w:t xml:space="preserve"> </w:t>
      </w:r>
    </w:p>
  </w:footnote>
  <w:footnote w:id="124">
    <w:p w:rsidR="008B3F87" w:rsidRPr="00256A88" w:rsidRDefault="008B3F87" w:rsidP="00AD198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vertAlign w:val="superscript"/>
          <w:lang w:val="es-ES"/>
        </w:rPr>
        <w:t xml:space="preserve"> </w:t>
      </w:r>
      <w:r w:rsidRPr="00256A88">
        <w:rPr>
          <w:rFonts w:asciiTheme="majorHAnsi" w:hAnsiTheme="majorHAnsi"/>
          <w:sz w:val="16"/>
          <w:szCs w:val="16"/>
          <w:lang w:val="es-ES"/>
        </w:rPr>
        <w:t xml:space="preserve">CIDH, Informe No. 80/11, Caso 12.626, </w:t>
      </w:r>
      <w:r w:rsidRPr="00256A88">
        <w:rPr>
          <w:rFonts w:asciiTheme="majorHAnsi" w:hAnsiTheme="majorHAnsi"/>
          <w:i/>
          <w:sz w:val="16"/>
          <w:szCs w:val="16"/>
          <w:lang w:val="es-ES"/>
        </w:rPr>
        <w:t>Jessica Lenahan (Gonzales) y otros</w:t>
      </w:r>
      <w:r w:rsidRPr="00256A88">
        <w:rPr>
          <w:rFonts w:asciiTheme="majorHAnsi" w:hAnsiTheme="majorHAnsi"/>
          <w:sz w:val="16"/>
          <w:szCs w:val="16"/>
          <w:lang w:val="es-ES"/>
        </w:rPr>
        <w:t xml:space="preserve"> (Estados Unidos), 21 de julio de 2011, párr. 173; CIDH, </w:t>
      </w:r>
      <w:r w:rsidRPr="00256A88">
        <w:rPr>
          <w:rFonts w:asciiTheme="majorHAnsi" w:hAnsiTheme="majorHAnsi"/>
          <w:i/>
          <w:sz w:val="16"/>
          <w:szCs w:val="16"/>
          <w:lang w:val="es-ES"/>
        </w:rPr>
        <w:t>Situación de los derechos de la mujer en Ciudad Juárez, México</w:t>
      </w:r>
      <w:r w:rsidRPr="00256A88">
        <w:rPr>
          <w:rFonts w:asciiTheme="majorHAnsi" w:hAnsiTheme="majorHAnsi"/>
          <w:sz w:val="16"/>
          <w:szCs w:val="16"/>
          <w:lang w:val="es-ES"/>
        </w:rPr>
        <w:t xml:space="preserve">, OEA/Ser. L/V/II.117. Doc. 44 (7 de marzo de 2003), párr. 51. </w:t>
      </w:r>
    </w:p>
  </w:footnote>
  <w:footnote w:id="125">
    <w:p w:rsidR="008B3F87" w:rsidRPr="00256A88" w:rsidRDefault="008B3F87" w:rsidP="007F2EE0">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Informe de la CIDH sobre el acceso a la justicia, </w:t>
      </w:r>
      <w:r w:rsidRPr="00256A88">
        <w:rPr>
          <w:rFonts w:asciiTheme="majorHAnsi" w:hAnsiTheme="majorHAnsi"/>
          <w:i/>
          <w:sz w:val="16"/>
          <w:szCs w:val="16"/>
          <w:lang w:val="es-ES"/>
        </w:rPr>
        <w:t>supra</w:t>
      </w:r>
      <w:r w:rsidRPr="00256A88">
        <w:rPr>
          <w:rFonts w:asciiTheme="majorHAnsi" w:hAnsiTheme="majorHAnsi"/>
          <w:sz w:val="16"/>
          <w:szCs w:val="16"/>
          <w:lang w:val="es-ES"/>
        </w:rPr>
        <w:t>, párrs. 19 y 20.</w:t>
      </w:r>
    </w:p>
  </w:footnote>
  <w:footnote w:id="126">
    <w:p w:rsidR="008B3F87" w:rsidRPr="00256A88" w:rsidRDefault="008B3F87" w:rsidP="0025212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Informe de la CIDH sobre el acceso a la justicia, </w:t>
      </w:r>
      <w:r w:rsidRPr="00256A88">
        <w:rPr>
          <w:rFonts w:asciiTheme="majorHAnsi" w:hAnsiTheme="majorHAnsi"/>
          <w:i/>
          <w:sz w:val="16"/>
          <w:szCs w:val="16"/>
          <w:lang w:val="es-ES"/>
        </w:rPr>
        <w:t>supra</w:t>
      </w:r>
      <w:r w:rsidRPr="00256A88">
        <w:rPr>
          <w:rFonts w:asciiTheme="majorHAnsi" w:hAnsiTheme="majorHAnsi"/>
          <w:sz w:val="16"/>
          <w:szCs w:val="16"/>
          <w:lang w:val="es-ES"/>
        </w:rPr>
        <w:t xml:space="preserve">, párr. 20. </w:t>
      </w:r>
    </w:p>
  </w:footnote>
  <w:footnote w:id="127">
    <w:p w:rsidR="008B3F87" w:rsidRPr="00256A88" w:rsidRDefault="008B3F87" w:rsidP="001E45DE">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Tanto en Pensilvania como en Kansas, el órgano decisorio es contencioso-administrativo. </w:t>
      </w:r>
    </w:p>
  </w:footnote>
  <w:footnote w:id="128">
    <w:p w:rsidR="008B3F87" w:rsidRPr="00256A88" w:rsidRDefault="008B3F87" w:rsidP="007F14DE">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Esto se basa en el análisis hecho por su abogado de la jurisprudencia que existía en Pensilvania en ese momento. La Comisión observa que algunos expertos han interpretado la decisión en el caso </w:t>
      </w:r>
      <w:r w:rsidRPr="00256A88">
        <w:rPr>
          <w:rFonts w:asciiTheme="majorHAnsi" w:hAnsiTheme="majorHAnsi"/>
          <w:i/>
          <w:sz w:val="16"/>
          <w:szCs w:val="16"/>
          <w:lang w:val="es-ES"/>
        </w:rPr>
        <w:t>Reinforced Earth Co.</w:t>
      </w:r>
      <w:r w:rsidRPr="00256A88">
        <w:rPr>
          <w:rFonts w:asciiTheme="majorHAnsi" w:hAnsiTheme="majorHAnsi"/>
          <w:sz w:val="16"/>
          <w:szCs w:val="16"/>
          <w:lang w:val="es-ES"/>
        </w:rPr>
        <w:t>, 570 Pa. 464 (2002) en el sentido de que prohíbe que los trabajadores indocumentados reciban indemnización por accidentes de trabajo por razones de política pública.</w:t>
      </w:r>
    </w:p>
  </w:footnote>
  <w:footnote w:id="129">
    <w:p w:rsidR="008B3F87" w:rsidRPr="00256A88" w:rsidRDefault="008B3F87" w:rsidP="00592340">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U.S. Department of State, “Visa Ineligibilities” [Motivos de inhabilitación para obtener visas] (consultado por última vez el 11 de diciembre de 2015), http://travel.state.gov/content/visas/en/general/ineligibilities.html#visa (entre ellas, véase la sección 212(a)).</w:t>
      </w:r>
    </w:p>
  </w:footnote>
  <w:footnote w:id="130">
    <w:p w:rsidR="008B3F87" w:rsidRPr="00256A88" w:rsidRDefault="008B3F87" w:rsidP="00B3533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Cabe señalar que el cargo de tramitación de la exención de inadmisibilidad es de $585. Véase más información sobre la solicitud de exención en USCIS, “I-601, Application for Waiver on Grounds of Inadmissibility” [I-601, Solicitud de exención por motivo de inadmisibilidad] (edición del 22 de mayo de 2015), http://www.uscis.gov/i-601.</w:t>
      </w:r>
    </w:p>
  </w:footnote>
  <w:footnote w:id="131">
    <w:p w:rsidR="008B3F87" w:rsidRPr="00256A88" w:rsidRDefault="008B3F87" w:rsidP="00383F7A">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U.S. Department of Homeland Security, U.S. Citizenship and Immigration Services (USCIS), “Humanitarian Parole” [Entrada condicional humanitaria], http://www.uscis.gov/humanitarian/humanitarian-parole (consultado por última vez el 10 de junio de 2015).</w:t>
      </w:r>
    </w:p>
  </w:footnote>
  <w:footnote w:id="132">
    <w:p w:rsidR="008B3F87" w:rsidRPr="00256A88" w:rsidRDefault="008B3F87" w:rsidP="00003AE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U.S. Department of Homeland Security, U.S. Citizenship and Immigration Services (USCIS), “Humanitarian Parole” [Entrada condicional humanitaria], http://www.uscis.gov/humanitarian/humanitarian-parole (consultado por última vez el 10 de junio de 2015). </w:t>
      </w:r>
    </w:p>
  </w:footnote>
  <w:footnote w:id="133">
    <w:p w:rsidR="008B3F87" w:rsidRPr="00256A88" w:rsidRDefault="008B3F87" w:rsidP="007423F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El costo de la tramitación en sí es elevado, pero la Comisión también tiene en cuenta los costos conexos, que también podrían ser elevados, como el envío de los papeles por un servicio de mensajería internacional, la obtención de un pasaporte (si es necesario) y el viaje internacional (transporte, alojamiento, comidas, etc.). </w:t>
      </w:r>
    </w:p>
  </w:footnote>
  <w:footnote w:id="134">
    <w:p w:rsidR="008B3F87" w:rsidRPr="00256A88" w:rsidRDefault="008B3F87" w:rsidP="00794245">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En un estudio realizado por la Contraloría del Gobierno de Estados Unidos (GAO), en el cual se analizaron las decisiones relativas a solicitudes de </w:t>
      </w:r>
      <w:r w:rsidRPr="00256A88">
        <w:rPr>
          <w:rFonts w:asciiTheme="majorHAnsi" w:hAnsiTheme="majorHAnsi"/>
          <w:bCs/>
          <w:sz w:val="16"/>
          <w:szCs w:val="16"/>
          <w:lang w:val="es-ES"/>
        </w:rPr>
        <w:t>entrada condicional humanitaria</w:t>
      </w:r>
      <w:r w:rsidRPr="00256A88">
        <w:rPr>
          <w:rFonts w:asciiTheme="majorHAnsi" w:hAnsiTheme="majorHAnsi"/>
          <w:sz w:val="16"/>
          <w:szCs w:val="16"/>
          <w:lang w:val="es-ES"/>
        </w:rPr>
        <w:t xml:space="preserve"> durante el período del 1 de octubre de 2001 al 30 de junio de 2007, se observó que una de las diez razones principales de la denegación de solicitudes, que representaba 13% de las denegaciones, era que el solicitante había cometido anteriormente una infracción migratoria o un delito. Además, en el mismo estudio se observó que, aunque los ciudadanos mexicanos representaban el mayor número de solicitantes de </w:t>
      </w:r>
      <w:r w:rsidRPr="00256A88">
        <w:rPr>
          <w:rFonts w:asciiTheme="majorHAnsi" w:hAnsiTheme="majorHAnsi"/>
          <w:bCs/>
          <w:sz w:val="16"/>
          <w:szCs w:val="16"/>
          <w:lang w:val="es-ES"/>
        </w:rPr>
        <w:t>entrada condicional humanitaria,</w:t>
      </w:r>
      <w:r w:rsidRPr="00256A88">
        <w:rPr>
          <w:rFonts w:asciiTheme="majorHAnsi" w:hAnsiTheme="majorHAnsi"/>
          <w:sz w:val="16"/>
          <w:szCs w:val="16"/>
          <w:lang w:val="es-ES"/>
        </w:rPr>
        <w:t xml:space="preserve"> a 82% de los solicitantes mexicanos se les negaba el permiso.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U.S. GAO, “Immigration Benefits: Internal Controls for Adjudicating Humanitarian Parole Cases are Generally Effective, but Some Can Be Strengthened” [Prestaciones migratorias: Los controles internos para decidir los casos de entrada condicional humanitaria por lo general son efectivos, pero algunos podrían reforzarse] GAO-08-282 (febrero de 2008), págs. 15-17 (en el cual se señala que la decisión es discrecional y que los funcionarios que se encargan de tomar las decisiones señalaron que “ninguna de las razones en sí lleva automáticamente a la descalificación”), 13, 21.</w:t>
      </w:r>
    </w:p>
  </w:footnote>
  <w:footnote w:id="135">
    <w:p w:rsidR="008B3F87" w:rsidRPr="00256A88" w:rsidRDefault="008B3F87" w:rsidP="004E41EB">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Hoffman</w:t>
      </w:r>
      <w:r w:rsidRPr="00256A88">
        <w:rPr>
          <w:rFonts w:asciiTheme="majorHAnsi" w:hAnsiTheme="majorHAnsi"/>
          <w:sz w:val="16"/>
          <w:szCs w:val="16"/>
          <w:lang w:val="es-ES"/>
        </w:rPr>
        <w:t xml:space="preserve">, 154. </w:t>
      </w:r>
      <w:r w:rsidRPr="00256A88">
        <w:rPr>
          <w:rFonts w:asciiTheme="majorHAnsi" w:hAnsiTheme="majorHAnsi"/>
          <w:i/>
          <w:sz w:val="16"/>
          <w:szCs w:val="16"/>
          <w:lang w:val="es-ES"/>
        </w:rPr>
        <w:t>Véase también</w:t>
      </w:r>
      <w:r w:rsidRPr="00256A88">
        <w:rPr>
          <w:rFonts w:asciiTheme="majorHAnsi" w:hAnsiTheme="majorHAnsi"/>
          <w:sz w:val="16"/>
          <w:szCs w:val="16"/>
          <w:lang w:val="es-ES"/>
        </w:rPr>
        <w:t xml:space="preserve"> Fritz Ebinger, </w:t>
      </w:r>
      <w:r w:rsidRPr="00256A88">
        <w:rPr>
          <w:rFonts w:asciiTheme="majorHAnsi" w:hAnsiTheme="majorHAnsi"/>
          <w:i/>
          <w:sz w:val="16"/>
          <w:szCs w:val="16"/>
          <w:lang w:val="es-ES"/>
        </w:rPr>
        <w:t>Exposed to the Elements: Workers’ Compensation and Unauthorized Farm Workers in the Midwest</w:t>
      </w:r>
      <w:r w:rsidRPr="00256A88">
        <w:rPr>
          <w:rFonts w:asciiTheme="majorHAnsi" w:hAnsiTheme="majorHAnsi"/>
          <w:sz w:val="16"/>
          <w:szCs w:val="16"/>
          <w:lang w:val="es-ES"/>
        </w:rPr>
        <w:t xml:space="preserve"> [A la intemperie: La indemnización por accidentes de trabajo y los trabajadores agrícolas no autorizados en la región centrooccidental], 13 Drake J. Agric. L. 263, 280 (2008) (en el cual concluye que “si los empleadores saben que no serán responsables de los gastos de atención médica de los trabajadores no autorizados que sufran lesiones, naturalmente tendrán un incentivo económico para buscar y contratar trabajadores no autorizados. Como mínimo, algunos empleadores harían la vista gorda y aceptarían documentos falsos a sabiendas con el pretexto de que parecen ‘auténticos dentro de lo razonable’”).</w:t>
      </w:r>
    </w:p>
  </w:footnote>
  <w:footnote w:id="136">
    <w:p w:rsidR="008B3F87" w:rsidRPr="00256A88" w:rsidRDefault="008B3F87" w:rsidP="00383F7A">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Véase, por ejemplo,</w:t>
      </w:r>
      <w:r w:rsidRPr="00256A88">
        <w:rPr>
          <w:rFonts w:asciiTheme="majorHAnsi" w:hAnsiTheme="majorHAnsi"/>
          <w:sz w:val="16"/>
          <w:szCs w:val="16"/>
          <w:lang w:val="es-ES"/>
        </w:rPr>
        <w:t xml:space="preserve"> OC-18/03, párrs. 133-34. </w:t>
      </w:r>
    </w:p>
  </w:footnote>
  <w:footnote w:id="137">
    <w:p w:rsidR="008B3F87" w:rsidRPr="00256A88" w:rsidRDefault="008B3F87" w:rsidP="00BF3E3F">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Naciones Unidas, Comité para la Eliminación de la Discriminación Racial, “Examen de los informes presentados por los Estados Partes de conformidad con el artículo 9 de la Convención. Observaciones finales del Comité para la Eliminación de la Discriminación Racial”, CERD/C/USA/CO/6 (mayo de 2008), párr. 28.</w:t>
      </w:r>
    </w:p>
  </w:footnote>
  <w:footnote w:id="138">
    <w:p w:rsidR="008B3F87" w:rsidRPr="00256A88" w:rsidRDefault="008B3F87" w:rsidP="009D13F1">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Artículos 34 (g) y 45 (b) de la Carta de la OEA; artículo XIV de la Declaración Americana. </w:t>
      </w:r>
    </w:p>
  </w:footnote>
  <w:footnote w:id="139">
    <w:p w:rsidR="008B3F87" w:rsidRPr="00256A88" w:rsidRDefault="008B3F87" w:rsidP="00D22C92">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Véase también</w:t>
      </w:r>
      <w:r w:rsidRPr="00256A88">
        <w:rPr>
          <w:rFonts w:asciiTheme="majorHAnsi" w:hAnsiTheme="majorHAnsi"/>
          <w:sz w:val="16"/>
          <w:szCs w:val="16"/>
          <w:lang w:val="es-ES"/>
        </w:rPr>
        <w:t xml:space="preserve"> Brief for the Academy of Human Rights and International Humanitarian Law of the American University Washington College of Law and the Human Rights Program of the Universidad Iberoamericana de México as Amicus Curiae [Escrito presentado en calidad de amicus curiae para la Academia de Derechos Humanos y Derecho Internacional Humanitario de la Facultad de Derecho Washington de American University y el Programa de Derechos Humanos de la Universidad Iberoamericana de México], págs. 53-59, Corte IDH, </w:t>
      </w:r>
      <w:r w:rsidRPr="00256A88">
        <w:rPr>
          <w:rFonts w:asciiTheme="majorHAnsi" w:hAnsiTheme="majorHAnsi"/>
          <w:bCs/>
          <w:i/>
          <w:sz w:val="16"/>
          <w:szCs w:val="16"/>
          <w:lang w:val="es-ES"/>
        </w:rPr>
        <w:t>Condición jurídica y derechos de los migrantes indocumentados</w:t>
      </w:r>
      <w:r w:rsidRPr="00256A88">
        <w:rPr>
          <w:rFonts w:asciiTheme="majorHAnsi" w:hAnsiTheme="majorHAnsi"/>
          <w:bCs/>
          <w:sz w:val="16"/>
          <w:szCs w:val="16"/>
          <w:lang w:val="es-ES"/>
        </w:rPr>
        <w:t>. Opinión Consultiva OC-18/03 del 17 de septiembre de 2003. Serie A No. 18.</w:t>
      </w:r>
    </w:p>
  </w:footnote>
  <w:footnote w:id="140">
    <w:p w:rsidR="008B3F87" w:rsidRPr="00256A88" w:rsidRDefault="008B3F87" w:rsidP="001C3785">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Corte IDH, </w:t>
      </w:r>
      <w:r w:rsidRPr="00256A88">
        <w:rPr>
          <w:rFonts w:asciiTheme="majorHAnsi" w:hAnsiTheme="majorHAnsi"/>
          <w:bCs/>
          <w:i/>
          <w:sz w:val="16"/>
          <w:szCs w:val="16"/>
          <w:lang w:val="es-ES"/>
        </w:rPr>
        <w:t>Condición jurídica y derechos de los migrantes indocumentados</w:t>
      </w:r>
      <w:r w:rsidRPr="00256A88">
        <w:rPr>
          <w:rFonts w:asciiTheme="majorHAnsi" w:hAnsiTheme="majorHAnsi"/>
          <w:bCs/>
          <w:sz w:val="16"/>
          <w:szCs w:val="16"/>
          <w:lang w:val="es-ES"/>
        </w:rPr>
        <w:t>. Opinión Consultiva OC-18/03 del 17 de septiembre de 2003</w:t>
      </w:r>
      <w:r w:rsidRPr="00256A88">
        <w:rPr>
          <w:rFonts w:asciiTheme="majorHAnsi" w:hAnsiTheme="majorHAnsi"/>
          <w:sz w:val="16"/>
          <w:szCs w:val="16"/>
          <w:lang w:val="es-ES"/>
        </w:rPr>
        <w:t>. Serie A No. 18, párr. 157.</w:t>
      </w:r>
    </w:p>
  </w:footnote>
  <w:footnote w:id="141">
    <w:p w:rsidR="008B3F87" w:rsidRPr="00256A88" w:rsidRDefault="008B3F87" w:rsidP="00DD336D">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Lista no exhaustiva del juez Sergio García de derechos “particularmente importantes”: prohibición del trabajo obligatorio o forzado, eliminación de toda forma de discriminación en las disposiciones laborales, abolición del trabajo de menores, protección de las trabajadoras y los derechos correspondientes a la remuneración, el día laboral, descanso y vacaciones, salud y seguridad en el trabajo, asociación para formar sindicatos y negociaciones colectivas. OC-18/03 Voto concurrente), párr. 33.</w:t>
      </w:r>
    </w:p>
  </w:footnote>
  <w:footnote w:id="142">
    <w:p w:rsidR="008B3F87" w:rsidRPr="00256A88" w:rsidRDefault="008B3F87" w:rsidP="009D752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Corte IDH, </w:t>
      </w:r>
      <w:r w:rsidRPr="00256A88">
        <w:rPr>
          <w:rFonts w:asciiTheme="majorHAnsi" w:hAnsiTheme="majorHAnsi"/>
          <w:bCs/>
          <w:i/>
          <w:sz w:val="16"/>
          <w:szCs w:val="16"/>
          <w:lang w:val="es-ES"/>
        </w:rPr>
        <w:t>Condición jurídica y derechos de los migrantes indocumentados</w:t>
      </w:r>
      <w:r w:rsidRPr="00256A88">
        <w:rPr>
          <w:rFonts w:asciiTheme="majorHAnsi" w:hAnsiTheme="majorHAnsi"/>
          <w:bCs/>
          <w:sz w:val="16"/>
          <w:szCs w:val="16"/>
          <w:lang w:val="es-ES"/>
        </w:rPr>
        <w:t>. Opinión Consultiva OC-18/03 del 17 de septiembre de 2003</w:t>
      </w:r>
      <w:r w:rsidRPr="00256A88">
        <w:rPr>
          <w:rFonts w:asciiTheme="majorHAnsi" w:hAnsiTheme="majorHAnsi"/>
          <w:sz w:val="16"/>
          <w:szCs w:val="16"/>
          <w:lang w:val="es-ES"/>
        </w:rPr>
        <w:t xml:space="preserve">. Serie A No. 18; </w:t>
      </w:r>
      <w:r w:rsidRPr="00256A88">
        <w:rPr>
          <w:rFonts w:asciiTheme="majorHAnsi" w:hAnsiTheme="majorHAnsi"/>
          <w:i/>
          <w:sz w:val="16"/>
          <w:szCs w:val="16"/>
          <w:lang w:val="es-ES"/>
        </w:rPr>
        <w:t>véase también</w:t>
      </w:r>
      <w:r w:rsidRPr="00256A88">
        <w:rPr>
          <w:rFonts w:asciiTheme="majorHAnsi" w:hAnsiTheme="majorHAnsi"/>
          <w:sz w:val="16"/>
          <w:szCs w:val="16"/>
          <w:lang w:val="es-ES"/>
        </w:rPr>
        <w:t xml:space="preserve"> la Declaración Universal de Derechos Humanos, el Pacto Internacional de Derechos Civiles y Políticos y el </w:t>
      </w:r>
      <w:r w:rsidRPr="00256A88">
        <w:rPr>
          <w:rFonts w:asciiTheme="majorHAnsi" w:hAnsiTheme="majorHAnsi"/>
          <w:bCs/>
          <w:sz w:val="16"/>
          <w:szCs w:val="16"/>
          <w:lang w:val="es-ES"/>
        </w:rPr>
        <w:t>Pacto Internacional de Derechos Económicos, Sociales y Culturales </w:t>
      </w:r>
      <w:r w:rsidRPr="00256A88">
        <w:rPr>
          <w:rFonts w:asciiTheme="majorHAnsi" w:hAnsiTheme="majorHAnsi"/>
          <w:sz w:val="16"/>
          <w:szCs w:val="16"/>
          <w:lang w:val="es-ES"/>
        </w:rPr>
        <w:t xml:space="preserve">. </w:t>
      </w:r>
    </w:p>
  </w:footnote>
  <w:footnote w:id="143">
    <w:p w:rsidR="008B3F87" w:rsidRPr="00256A88" w:rsidRDefault="008B3F87" w:rsidP="0092394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ILO, Official Relations Branch, Lista por orden alfabético de los Estados Miembros de la OIT, http://www.ilo.org/public/english/standards/relm/country.htm. </w:t>
      </w:r>
    </w:p>
  </w:footnote>
  <w:footnote w:id="144">
    <w:p w:rsidR="008B3F87" w:rsidRPr="00256A88" w:rsidRDefault="008B3F87" w:rsidP="0092394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ILO, </w:t>
      </w:r>
      <w:r w:rsidRPr="00256A88">
        <w:rPr>
          <w:rFonts w:asciiTheme="majorHAnsi" w:hAnsiTheme="majorHAnsi"/>
          <w:i/>
          <w:sz w:val="16"/>
          <w:szCs w:val="16"/>
          <w:lang w:val="es-ES"/>
        </w:rPr>
        <w:t>Note on the Dignity and Rights of Migrant Workers in an Irregular Situation</w:t>
      </w:r>
      <w:r w:rsidRPr="00256A88">
        <w:rPr>
          <w:rFonts w:asciiTheme="majorHAnsi" w:hAnsiTheme="majorHAnsi"/>
          <w:sz w:val="16"/>
          <w:szCs w:val="16"/>
          <w:lang w:val="es-ES"/>
        </w:rPr>
        <w:t xml:space="preserve"> [Nota sobre la dignidad y los derechos de los trabajadores migrantes en situación irregular], presentada a la OIT en Bruselas (30 de noviembre de 2011).</w:t>
      </w:r>
    </w:p>
  </w:footnote>
  <w:footnote w:id="145">
    <w:p w:rsidR="008B3F87" w:rsidRPr="00256A88" w:rsidRDefault="008B3F87" w:rsidP="00923948">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Los Estados Miembros de la OIT están obligados a hacerlo hayan ratificado o no los convenios pertinentes de la OIT. OIT, “Acerca de la Declaración”, http://www.ilo.org/declaration/thedeclaration/lang--es/index.htm. De los ocho convenios fundamentales, Estados Unidos ha ratificado dos: número 105 sobre el trabajo forzoso y número 182 sobre las peores formas de trabajo infantil.</w:t>
      </w:r>
    </w:p>
  </w:footnote>
  <w:footnote w:id="146">
    <w:p w:rsidR="008B3F87" w:rsidRPr="00256A88" w:rsidRDefault="008B3F87" w:rsidP="00022B31">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OIT, Declaración de la OIT relativa a los principios y derechos fundamentales en el trabajo: </w:t>
      </w:r>
      <w:hyperlink r:id="rId7" w:history="1">
        <w:r w:rsidRPr="00256A88">
          <w:rPr>
            <w:rStyle w:val="Hyperlink"/>
            <w:rFonts w:asciiTheme="majorHAnsi" w:hAnsiTheme="majorHAnsi"/>
            <w:sz w:val="16"/>
            <w:szCs w:val="16"/>
            <w:u w:val="none"/>
            <w:lang w:val="es-ES"/>
          </w:rPr>
          <w:t>La eliminación de la discriminación en materia de empleo y ocupación</w:t>
        </w:r>
      </w:hyperlink>
      <w:r w:rsidRPr="00256A88">
        <w:rPr>
          <w:rFonts w:asciiTheme="majorHAnsi" w:hAnsiTheme="majorHAnsi"/>
          <w:sz w:val="16"/>
          <w:szCs w:val="16"/>
          <w:lang w:val="es-ES"/>
        </w:rPr>
        <w:t xml:space="preserve">, http://www.ilo.org/global/topics/equality-and-discrimination/lang--es/index.htm (consultado por última vez el 10 de junio de 2015). </w:t>
      </w:r>
    </w:p>
  </w:footnote>
  <w:footnote w:id="147">
    <w:p w:rsidR="008B3F87" w:rsidRPr="00256A88" w:rsidRDefault="008B3F87" w:rsidP="004F4B24">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Estados Unidos, México y Canadá firmaron el ACLAN el 14 de septiembre de 1993. El ACLAN, que entró en vigor el 1 de enero de 1994, es uno de los acuerdos complementarios del Tratado de Libre Comercio de América del Norte (TLCAN). Según la Comisión para la Cooperación Laboral, la organización internacional creada en el marco del ACLAN, los tres signatarios procuran mejorar las condiciones de trabajo y los niveles de vida y “proteger, fortalecer y hacer valer los derechos básicos de los trabajadores”. </w:t>
      </w:r>
      <w:r w:rsidRPr="00256A88">
        <w:rPr>
          <w:rFonts w:asciiTheme="majorHAnsi" w:hAnsiTheme="majorHAnsi"/>
          <w:i/>
          <w:sz w:val="16"/>
          <w:szCs w:val="16"/>
          <w:lang w:val="es-ES"/>
        </w:rPr>
        <w:t>Véase</w:t>
      </w:r>
      <w:r w:rsidRPr="00256A88">
        <w:rPr>
          <w:rFonts w:asciiTheme="majorHAnsi" w:hAnsiTheme="majorHAnsi"/>
          <w:sz w:val="16"/>
          <w:szCs w:val="16"/>
          <w:lang w:val="es-ES"/>
        </w:rPr>
        <w:t xml:space="preserve"> Comisión para la Cooperación Laboral, “El Acuerdo de Cooperación Laboral de América del Norte”, http://www.naalc.org/spanish/naalc.shtml. </w:t>
      </w:r>
    </w:p>
  </w:footnote>
  <w:footnote w:id="148">
    <w:p w:rsidR="008B3F87" w:rsidRPr="00256A88" w:rsidRDefault="008B3F87" w:rsidP="004F4B24">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Principios 9 a 11. Comisión para la Cooperación Laboral, “Anexo 1: Principios laborales”, http://www.naalc.org/spanish/agreement9.shtml.</w:t>
      </w:r>
    </w:p>
  </w:footnote>
  <w:footnote w:id="149">
    <w:p w:rsidR="008B3F87" w:rsidRPr="00256A88" w:rsidRDefault="008B3F87" w:rsidP="00F766CD">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SSA, Beneficios por incapacidad (mayo de 2014), pág. 6, https://www.ssa.gov/pubs/ES-05-10929.pdf.</w:t>
      </w:r>
    </w:p>
  </w:footnote>
  <w:footnote w:id="150">
    <w:p w:rsidR="008B3F87" w:rsidRPr="00256A88" w:rsidRDefault="008B3F87" w:rsidP="009F5921">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SSA, Beneficios por incapacidad (mayo de 2014), pág. 6, https://www.ssa.gov/pubs/ES-05-10929.pdf. De acuerdo con sus respectivas declaraciones, en el momento en que sufrieron lesiones en el lugar de trabajo, el señor Zumaya tenía 34 años, y el señor Lizalde, 37. El señor Zumaya declaró que había trabajado un año y dos meses en total; por su parte, el señor Lizalde declaró que había trabajado ocho meses. </w:t>
      </w:r>
    </w:p>
  </w:footnote>
  <w:footnote w:id="151">
    <w:p w:rsidR="008B3F87" w:rsidRPr="00256A88" w:rsidRDefault="008B3F87" w:rsidP="006056E1">
      <w:pPr>
        <w:pStyle w:val="Footnotes"/>
        <w:rPr>
          <w:rFonts w:asciiTheme="majorHAnsi" w:hAnsiTheme="majorHAnsi"/>
          <w:sz w:val="16"/>
          <w:szCs w:val="16"/>
          <w:lang w:val="es-ES"/>
        </w:rPr>
      </w:pPr>
      <w:r w:rsidRPr="00256A88">
        <w:rPr>
          <w:rStyle w:val="FootnoteReference"/>
          <w:rFonts w:asciiTheme="majorHAnsi" w:hAnsiTheme="majorHAnsi"/>
          <w:sz w:val="16"/>
          <w:szCs w:val="16"/>
          <w:lang w:val="es-ES"/>
        </w:rPr>
        <w:footnoteRef/>
      </w:r>
      <w:r w:rsidRPr="00256A88">
        <w:rPr>
          <w:rFonts w:asciiTheme="majorHAnsi" w:hAnsiTheme="majorHAnsi"/>
          <w:sz w:val="16"/>
          <w:szCs w:val="16"/>
          <w:lang w:val="es-ES"/>
        </w:rPr>
        <w:t xml:space="preserve"> SSA, Seguridad de Ingreso Suplementario (SSI) (agosto de 2012), pág. 4, https://www.ssa.gov/pubs/ES-05-11090.pdf; SSA, Requisitos para tener derecho a Seguridad de Ingreso Suplementario – edición de 2015, https://www.ssa.gov/espanol/comprendiendoSSI/requisitos.htm (consultado por última vez el 16 de diciembre de 2015). Las categorías de “extranjeros calificados” son las siguientes: extranjeros que ingresaron legalmente para residir de manera permanente en Estados Unidos; extranjeros cuya entrada condicional fue autorizada de acuerdo con el artículo 203(a)(7) de la Ley de Inmigración y Nacionalidad (INA) que estaba en vigor el 1 de abril de 1980; extranjeros cuya entrada condicional en Estados Unidos fue autorizada de acuerdo con el artículo 212(d)(5) de la Ley de Inmigración y Nacionalidad para un período de un año como mínimo; refugiado cuya entrada en Estados Unidos fue autorizada de acuerdo con el artículo 207 de la Ley de Inmigración y Nacionalidad; extranjeros a quienes se otorgó asilo de acuerdo con el artículo 208 de la Ley de Inmigración y Nacionalidad; extranjero cuya deportación fue suspendida de acuerdo con el artículo 243(h) de la Ley de Inmigración y Nacionalidad que estaba en vigor el 1 de abril de 1997 o cuya expulsión fue suspendida de acuerdo con el artículo 241(b)(3) de la Ley de Inmigración y Nacionalidad; o “cubano o haitiano entrante” de acuerdo con el artículo 501(e) de la Ley de Asistencia para la Educación de Refugiados de 1980 o que se encuentre en una situación en la cual deba ser tratado como “cubano o haitiano entrante” a efectos de la Seguridad de Ingreso Suplementario.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87" w:rsidRDefault="008B3F87" w:rsidP="00F7692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B3F87" w:rsidRDefault="008B3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87" w:rsidRDefault="008B3F87" w:rsidP="002C1641">
    <w:pPr>
      <w:pStyle w:val="Header"/>
      <w:tabs>
        <w:tab w:val="clear" w:pos="4320"/>
        <w:tab w:val="clear" w:pos="8640"/>
      </w:tabs>
      <w:jc w:val="center"/>
      <w:rPr>
        <w:sz w:val="22"/>
        <w:szCs w:val="22"/>
      </w:rPr>
    </w:pPr>
    <w:r>
      <w:rPr>
        <w:noProof/>
        <w:sz w:val="22"/>
        <w:szCs w:val="22"/>
      </w:rPr>
      <w:drawing>
        <wp:inline distT="0" distB="0" distL="0" distR="0" wp14:anchorId="00C1D732" wp14:editId="276948BF">
          <wp:extent cx="1972237" cy="104775"/>
          <wp:effectExtent l="0" t="0" r="9525" b="0"/>
          <wp:docPr id="10" name="Picture 10"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B3F87" w:rsidRPr="00EC7D62" w:rsidRDefault="00B91D59" w:rsidP="002C1641">
    <w:pPr>
      <w:pStyle w:val="Header"/>
      <w:tabs>
        <w:tab w:val="clear" w:pos="4320"/>
        <w:tab w:val="clear" w:pos="8640"/>
      </w:tabs>
      <w:jc w:val="center"/>
      <w:rPr>
        <w:sz w:val="22"/>
        <w:szCs w:val="22"/>
      </w:rPr>
    </w:pPr>
    <w:r>
      <w:rPr>
        <w:sz w:val="22"/>
        <w:szCs w:val="22"/>
      </w:rPr>
      <w:pict w14:anchorId="777BDB5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20" w:rsidRDefault="00B57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03C"/>
    <w:multiLevelType w:val="hybridMultilevel"/>
    <w:tmpl w:val="0B9819EA"/>
    <w:lvl w:ilvl="0" w:tplc="D812B83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9C917DA"/>
    <w:multiLevelType w:val="hybridMultilevel"/>
    <w:tmpl w:val="8B8AA6C4"/>
    <w:lvl w:ilvl="0" w:tplc="D6AE8F54">
      <w:start w:val="1"/>
      <w:numFmt w:val="lowerLetter"/>
      <w:pStyle w:val="Heading4"/>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0C9676B"/>
    <w:multiLevelType w:val="hybridMultilevel"/>
    <w:tmpl w:val="23C21E1E"/>
    <w:lvl w:ilvl="0" w:tplc="DFB4B130">
      <w:start w:val="1"/>
      <w:numFmt w:val="decimal"/>
      <w:pStyle w:val="Heading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143A36"/>
    <w:multiLevelType w:val="hybridMultilevel"/>
    <w:tmpl w:val="0B9819EA"/>
    <w:lvl w:ilvl="0" w:tplc="D812B83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5DD54DE"/>
    <w:multiLevelType w:val="hybridMultilevel"/>
    <w:tmpl w:val="B8B6BC1C"/>
    <w:lvl w:ilvl="0" w:tplc="A946883E">
      <w:start w:val="1"/>
      <w:numFmt w:val="decimal"/>
      <w:lvlText w:val="%1."/>
      <w:lvlJc w:val="left"/>
      <w:pPr>
        <w:tabs>
          <w:tab w:val="num" w:pos="1500"/>
        </w:tabs>
        <w:ind w:left="1500" w:hanging="765"/>
      </w:pPr>
      <w:rPr>
        <w:rFonts w:ascii="Cambria" w:hAnsi="Cambria" w:cs="Arial" w:hint="default"/>
        <w:b w:val="0"/>
        <w:vanish w:val="0"/>
        <w:color w:val="auto"/>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4">
    <w:nsid w:val="59513571"/>
    <w:multiLevelType w:val="hybridMultilevel"/>
    <w:tmpl w:val="7604138C"/>
    <w:lvl w:ilvl="0" w:tplc="45D6A2A4">
      <w:start w:val="1"/>
      <w:numFmt w:val="upperLetter"/>
      <w:pStyle w:val="Heading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713176"/>
    <w:multiLevelType w:val="hybridMultilevel"/>
    <w:tmpl w:val="0B9819EA"/>
    <w:lvl w:ilvl="0" w:tplc="D812B83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4"/>
  </w:num>
  <w:num w:numId="4">
    <w:abstractNumId w:val="23"/>
  </w:num>
  <w:num w:numId="5">
    <w:abstractNumId w:val="48"/>
  </w:num>
  <w:num w:numId="6">
    <w:abstractNumId w:val="28"/>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5"/>
  </w:num>
  <w:num w:numId="14">
    <w:abstractNumId w:val="2"/>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49"/>
  </w:num>
  <w:num w:numId="43">
    <w:abstractNumId w:val="51"/>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2"/>
  </w:num>
  <w:num w:numId="52">
    <w:abstractNumId w:val="41"/>
  </w:num>
  <w:num w:numId="53">
    <w:abstractNumId w:val="46"/>
  </w:num>
  <w:num w:numId="54">
    <w:abstractNumId w:val="43"/>
  </w:num>
  <w:num w:numId="55">
    <w:abstractNumId w:val="44"/>
  </w:num>
  <w:num w:numId="56">
    <w:abstractNumId w:val="13"/>
  </w:num>
  <w:num w:numId="57">
    <w:abstractNumId w:val="3"/>
  </w:num>
  <w:num w:numId="58">
    <w:abstractNumId w:val="44"/>
    <w:lvlOverride w:ilvl="0">
      <w:startOverride w:val="1"/>
    </w:lvlOverride>
  </w:num>
  <w:num w:numId="59">
    <w:abstractNumId w:val="13"/>
    <w:lvlOverride w:ilvl="0">
      <w:startOverride w:val="1"/>
    </w:lvlOverride>
  </w:num>
  <w:num w:numId="60">
    <w:abstractNumId w:val="44"/>
    <w:lvlOverride w:ilvl="0">
      <w:startOverride w:val="1"/>
    </w:lvlOverride>
  </w:num>
  <w:num w:numId="61">
    <w:abstractNumId w:val="50"/>
  </w:num>
  <w:num w:numId="62">
    <w:abstractNumId w:val="19"/>
  </w:num>
  <w:num w:numId="63">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ADF"/>
    <w:rsid w:val="00001DB6"/>
    <w:rsid w:val="00003AEB"/>
    <w:rsid w:val="0000548A"/>
    <w:rsid w:val="000070D7"/>
    <w:rsid w:val="000111A8"/>
    <w:rsid w:val="00011CC3"/>
    <w:rsid w:val="000131FE"/>
    <w:rsid w:val="0001669A"/>
    <w:rsid w:val="00016A9D"/>
    <w:rsid w:val="00016AE5"/>
    <w:rsid w:val="0001788C"/>
    <w:rsid w:val="00021A2D"/>
    <w:rsid w:val="00021D3E"/>
    <w:rsid w:val="000229AB"/>
    <w:rsid w:val="00022B31"/>
    <w:rsid w:val="00023555"/>
    <w:rsid w:val="0002578F"/>
    <w:rsid w:val="00025EE4"/>
    <w:rsid w:val="0002727A"/>
    <w:rsid w:val="00030AE4"/>
    <w:rsid w:val="00030CAF"/>
    <w:rsid w:val="000310E5"/>
    <w:rsid w:val="00032C32"/>
    <w:rsid w:val="00036A8A"/>
    <w:rsid w:val="00040C3A"/>
    <w:rsid w:val="000458D6"/>
    <w:rsid w:val="00045C16"/>
    <w:rsid w:val="00045FB6"/>
    <w:rsid w:val="0004737A"/>
    <w:rsid w:val="000475A6"/>
    <w:rsid w:val="000518DB"/>
    <w:rsid w:val="00052144"/>
    <w:rsid w:val="0005446D"/>
    <w:rsid w:val="00054AC0"/>
    <w:rsid w:val="000550C0"/>
    <w:rsid w:val="00056C4B"/>
    <w:rsid w:val="0006100F"/>
    <w:rsid w:val="000639C0"/>
    <w:rsid w:val="000645ED"/>
    <w:rsid w:val="00064ADD"/>
    <w:rsid w:val="000656EC"/>
    <w:rsid w:val="000668DD"/>
    <w:rsid w:val="00066F3B"/>
    <w:rsid w:val="00070F3A"/>
    <w:rsid w:val="000716C5"/>
    <w:rsid w:val="00071BF3"/>
    <w:rsid w:val="00074A47"/>
    <w:rsid w:val="00075E23"/>
    <w:rsid w:val="000801FA"/>
    <w:rsid w:val="000804B8"/>
    <w:rsid w:val="00082EEC"/>
    <w:rsid w:val="000839D5"/>
    <w:rsid w:val="000861CC"/>
    <w:rsid w:val="0008777B"/>
    <w:rsid w:val="00087946"/>
    <w:rsid w:val="000919B0"/>
    <w:rsid w:val="00092F32"/>
    <w:rsid w:val="0009344A"/>
    <w:rsid w:val="00093DEC"/>
    <w:rsid w:val="00095E1A"/>
    <w:rsid w:val="000960A0"/>
    <w:rsid w:val="000A2421"/>
    <w:rsid w:val="000A25C7"/>
    <w:rsid w:val="000A40E7"/>
    <w:rsid w:val="000A575F"/>
    <w:rsid w:val="000A57B7"/>
    <w:rsid w:val="000A7E3D"/>
    <w:rsid w:val="000B18E7"/>
    <w:rsid w:val="000B3285"/>
    <w:rsid w:val="000B6BBB"/>
    <w:rsid w:val="000B6F33"/>
    <w:rsid w:val="000C1244"/>
    <w:rsid w:val="000C49AD"/>
    <w:rsid w:val="000C4AD5"/>
    <w:rsid w:val="000D10DB"/>
    <w:rsid w:val="000D1C5E"/>
    <w:rsid w:val="000D36C5"/>
    <w:rsid w:val="000D37AB"/>
    <w:rsid w:val="000D3E63"/>
    <w:rsid w:val="000D6C0A"/>
    <w:rsid w:val="000E2236"/>
    <w:rsid w:val="000E2ADC"/>
    <w:rsid w:val="000E4CDB"/>
    <w:rsid w:val="000E6D65"/>
    <w:rsid w:val="000E70A7"/>
    <w:rsid w:val="000E7D77"/>
    <w:rsid w:val="000F4EF8"/>
    <w:rsid w:val="000F5D27"/>
    <w:rsid w:val="000F6FD8"/>
    <w:rsid w:val="000F77D4"/>
    <w:rsid w:val="00101A35"/>
    <w:rsid w:val="00102658"/>
    <w:rsid w:val="00104AA0"/>
    <w:rsid w:val="001062E0"/>
    <w:rsid w:val="001069EB"/>
    <w:rsid w:val="00107DD4"/>
    <w:rsid w:val="00111E32"/>
    <w:rsid w:val="00112AC3"/>
    <w:rsid w:val="00113092"/>
    <w:rsid w:val="001145B8"/>
    <w:rsid w:val="00114DA7"/>
    <w:rsid w:val="00116629"/>
    <w:rsid w:val="001248AE"/>
    <w:rsid w:val="0012542B"/>
    <w:rsid w:val="0012560C"/>
    <w:rsid w:val="00125C0B"/>
    <w:rsid w:val="00126174"/>
    <w:rsid w:val="0012673C"/>
    <w:rsid w:val="00126A59"/>
    <w:rsid w:val="0013104F"/>
    <w:rsid w:val="00137EBA"/>
    <w:rsid w:val="00137F23"/>
    <w:rsid w:val="00141514"/>
    <w:rsid w:val="00141BD3"/>
    <w:rsid w:val="0014296A"/>
    <w:rsid w:val="00142FD9"/>
    <w:rsid w:val="00144C41"/>
    <w:rsid w:val="00144F31"/>
    <w:rsid w:val="00145788"/>
    <w:rsid w:val="00145EDC"/>
    <w:rsid w:val="00153A38"/>
    <w:rsid w:val="001557EC"/>
    <w:rsid w:val="001567A7"/>
    <w:rsid w:val="00160DBB"/>
    <w:rsid w:val="001643E0"/>
    <w:rsid w:val="0016476F"/>
    <w:rsid w:val="00165114"/>
    <w:rsid w:val="00165B60"/>
    <w:rsid w:val="00167A34"/>
    <w:rsid w:val="00167A82"/>
    <w:rsid w:val="001703BE"/>
    <w:rsid w:val="0017202C"/>
    <w:rsid w:val="00172DBE"/>
    <w:rsid w:val="00174259"/>
    <w:rsid w:val="001744FB"/>
    <w:rsid w:val="001748F6"/>
    <w:rsid w:val="0017605C"/>
    <w:rsid w:val="001778E3"/>
    <w:rsid w:val="00177D23"/>
    <w:rsid w:val="00180125"/>
    <w:rsid w:val="0018037F"/>
    <w:rsid w:val="001807A7"/>
    <w:rsid w:val="001845AF"/>
    <w:rsid w:val="00185C60"/>
    <w:rsid w:val="00194DCD"/>
    <w:rsid w:val="00196426"/>
    <w:rsid w:val="001A05E8"/>
    <w:rsid w:val="001A2F57"/>
    <w:rsid w:val="001A394A"/>
    <w:rsid w:val="001A4873"/>
    <w:rsid w:val="001A5F27"/>
    <w:rsid w:val="001A635C"/>
    <w:rsid w:val="001A751B"/>
    <w:rsid w:val="001A7870"/>
    <w:rsid w:val="001A7B25"/>
    <w:rsid w:val="001B0ED8"/>
    <w:rsid w:val="001B2C1B"/>
    <w:rsid w:val="001B4ADC"/>
    <w:rsid w:val="001B51D4"/>
    <w:rsid w:val="001B6E90"/>
    <w:rsid w:val="001B707D"/>
    <w:rsid w:val="001C1B41"/>
    <w:rsid w:val="001C1F5D"/>
    <w:rsid w:val="001C2783"/>
    <w:rsid w:val="001C3336"/>
    <w:rsid w:val="001C3785"/>
    <w:rsid w:val="001C40D1"/>
    <w:rsid w:val="001C4FFF"/>
    <w:rsid w:val="001D1297"/>
    <w:rsid w:val="001D23A5"/>
    <w:rsid w:val="001D3553"/>
    <w:rsid w:val="001D5974"/>
    <w:rsid w:val="001E1A55"/>
    <w:rsid w:val="001E21E9"/>
    <w:rsid w:val="001E367B"/>
    <w:rsid w:val="001E4020"/>
    <w:rsid w:val="001E45DE"/>
    <w:rsid w:val="001E52C2"/>
    <w:rsid w:val="001E55E2"/>
    <w:rsid w:val="001E5C56"/>
    <w:rsid w:val="001F036A"/>
    <w:rsid w:val="001F2E4A"/>
    <w:rsid w:val="001F4DAC"/>
    <w:rsid w:val="001F6032"/>
    <w:rsid w:val="001F6589"/>
    <w:rsid w:val="001F6AFC"/>
    <w:rsid w:val="00203067"/>
    <w:rsid w:val="00203C0B"/>
    <w:rsid w:val="00204F3D"/>
    <w:rsid w:val="00205E66"/>
    <w:rsid w:val="00210E0E"/>
    <w:rsid w:val="00212164"/>
    <w:rsid w:val="0021470F"/>
    <w:rsid w:val="002211D6"/>
    <w:rsid w:val="002223D8"/>
    <w:rsid w:val="002311F6"/>
    <w:rsid w:val="00232BA4"/>
    <w:rsid w:val="00232C43"/>
    <w:rsid w:val="0023585E"/>
    <w:rsid w:val="00237204"/>
    <w:rsid w:val="002374B8"/>
    <w:rsid w:val="00237563"/>
    <w:rsid w:val="00237F77"/>
    <w:rsid w:val="00242AD1"/>
    <w:rsid w:val="00243EED"/>
    <w:rsid w:val="00245775"/>
    <w:rsid w:val="002465C6"/>
    <w:rsid w:val="00247403"/>
    <w:rsid w:val="00247542"/>
    <w:rsid w:val="00247D37"/>
    <w:rsid w:val="0025141D"/>
    <w:rsid w:val="00252128"/>
    <w:rsid w:val="00255C6B"/>
    <w:rsid w:val="00256794"/>
    <w:rsid w:val="00256A88"/>
    <w:rsid w:val="00257893"/>
    <w:rsid w:val="002606C3"/>
    <w:rsid w:val="00261449"/>
    <w:rsid w:val="00261744"/>
    <w:rsid w:val="0026548C"/>
    <w:rsid w:val="00266092"/>
    <w:rsid w:val="00266B61"/>
    <w:rsid w:val="0026712A"/>
    <w:rsid w:val="00270052"/>
    <w:rsid w:val="002704DB"/>
    <w:rsid w:val="00270904"/>
    <w:rsid w:val="00273105"/>
    <w:rsid w:val="002731E6"/>
    <w:rsid w:val="002751C6"/>
    <w:rsid w:val="002760F9"/>
    <w:rsid w:val="00276D67"/>
    <w:rsid w:val="00281076"/>
    <w:rsid w:val="002839AA"/>
    <w:rsid w:val="002861AE"/>
    <w:rsid w:val="00286EC8"/>
    <w:rsid w:val="00291379"/>
    <w:rsid w:val="00291FED"/>
    <w:rsid w:val="00293959"/>
    <w:rsid w:val="002953E1"/>
    <w:rsid w:val="00296464"/>
    <w:rsid w:val="002A317F"/>
    <w:rsid w:val="002A764B"/>
    <w:rsid w:val="002A7BC2"/>
    <w:rsid w:val="002B0A7E"/>
    <w:rsid w:val="002B2E96"/>
    <w:rsid w:val="002B6726"/>
    <w:rsid w:val="002C100F"/>
    <w:rsid w:val="002C1641"/>
    <w:rsid w:val="002C1ACC"/>
    <w:rsid w:val="002C5B1F"/>
    <w:rsid w:val="002C5EB8"/>
    <w:rsid w:val="002D33FF"/>
    <w:rsid w:val="002D5BBC"/>
    <w:rsid w:val="002D6FF4"/>
    <w:rsid w:val="002D7BC9"/>
    <w:rsid w:val="002D7CFC"/>
    <w:rsid w:val="002D7EA2"/>
    <w:rsid w:val="002E1444"/>
    <w:rsid w:val="002E15DF"/>
    <w:rsid w:val="002E187C"/>
    <w:rsid w:val="002E2C86"/>
    <w:rsid w:val="002E317F"/>
    <w:rsid w:val="002E4DA7"/>
    <w:rsid w:val="002E6371"/>
    <w:rsid w:val="002E639A"/>
    <w:rsid w:val="002E6E57"/>
    <w:rsid w:val="002E79E4"/>
    <w:rsid w:val="002F1485"/>
    <w:rsid w:val="002F58F5"/>
    <w:rsid w:val="00301075"/>
    <w:rsid w:val="003010AB"/>
    <w:rsid w:val="00302733"/>
    <w:rsid w:val="00302EE6"/>
    <w:rsid w:val="00310083"/>
    <w:rsid w:val="003102BE"/>
    <w:rsid w:val="00311A4F"/>
    <w:rsid w:val="00313CEE"/>
    <w:rsid w:val="00314078"/>
    <w:rsid w:val="003159BA"/>
    <w:rsid w:val="00322450"/>
    <w:rsid w:val="003246B5"/>
    <w:rsid w:val="0032681C"/>
    <w:rsid w:val="00326AB1"/>
    <w:rsid w:val="0033169F"/>
    <w:rsid w:val="00335A5E"/>
    <w:rsid w:val="00335C69"/>
    <w:rsid w:val="003414AC"/>
    <w:rsid w:val="00343077"/>
    <w:rsid w:val="003435A6"/>
    <w:rsid w:val="00347A03"/>
    <w:rsid w:val="00347F51"/>
    <w:rsid w:val="00354259"/>
    <w:rsid w:val="00356027"/>
    <w:rsid w:val="00356185"/>
    <w:rsid w:val="00360380"/>
    <w:rsid w:val="00362938"/>
    <w:rsid w:val="00363478"/>
    <w:rsid w:val="0036399F"/>
    <w:rsid w:val="003659D7"/>
    <w:rsid w:val="00367BAE"/>
    <w:rsid w:val="00371B0C"/>
    <w:rsid w:val="00371B32"/>
    <w:rsid w:val="00372CDF"/>
    <w:rsid w:val="0037333F"/>
    <w:rsid w:val="00374F5F"/>
    <w:rsid w:val="003767FD"/>
    <w:rsid w:val="00383F7A"/>
    <w:rsid w:val="003845BE"/>
    <w:rsid w:val="00386CF0"/>
    <w:rsid w:val="00387F7F"/>
    <w:rsid w:val="00390692"/>
    <w:rsid w:val="00392FCE"/>
    <w:rsid w:val="003A19C7"/>
    <w:rsid w:val="003A5014"/>
    <w:rsid w:val="003A5E27"/>
    <w:rsid w:val="003B17E4"/>
    <w:rsid w:val="003B3107"/>
    <w:rsid w:val="003B4AA3"/>
    <w:rsid w:val="003B7A67"/>
    <w:rsid w:val="003B7AD2"/>
    <w:rsid w:val="003C0514"/>
    <w:rsid w:val="003C1755"/>
    <w:rsid w:val="003C20AC"/>
    <w:rsid w:val="003C32BC"/>
    <w:rsid w:val="003C3D74"/>
    <w:rsid w:val="003C3FEB"/>
    <w:rsid w:val="003C4176"/>
    <w:rsid w:val="003C54E2"/>
    <w:rsid w:val="003C64B9"/>
    <w:rsid w:val="003D2342"/>
    <w:rsid w:val="003D311C"/>
    <w:rsid w:val="003D4656"/>
    <w:rsid w:val="003D555D"/>
    <w:rsid w:val="003D5DE1"/>
    <w:rsid w:val="003D6AC6"/>
    <w:rsid w:val="003E2C91"/>
    <w:rsid w:val="003E4ABD"/>
    <w:rsid w:val="003F1BBF"/>
    <w:rsid w:val="003F45D6"/>
    <w:rsid w:val="003F5ABE"/>
    <w:rsid w:val="004010A5"/>
    <w:rsid w:val="004015E3"/>
    <w:rsid w:val="0040363D"/>
    <w:rsid w:val="00404CBC"/>
    <w:rsid w:val="00404D9C"/>
    <w:rsid w:val="004121CB"/>
    <w:rsid w:val="00416286"/>
    <w:rsid w:val="004165C2"/>
    <w:rsid w:val="00416C54"/>
    <w:rsid w:val="004215B8"/>
    <w:rsid w:val="00427AA4"/>
    <w:rsid w:val="004347D8"/>
    <w:rsid w:val="00435BF6"/>
    <w:rsid w:val="00437283"/>
    <w:rsid w:val="00443049"/>
    <w:rsid w:val="00444511"/>
    <w:rsid w:val="00445DF8"/>
    <w:rsid w:val="00446047"/>
    <w:rsid w:val="00447797"/>
    <w:rsid w:val="00447E2C"/>
    <w:rsid w:val="0045080C"/>
    <w:rsid w:val="00450A4A"/>
    <w:rsid w:val="00451903"/>
    <w:rsid w:val="004551B8"/>
    <w:rsid w:val="00460666"/>
    <w:rsid w:val="004611D1"/>
    <w:rsid w:val="004632F5"/>
    <w:rsid w:val="00463555"/>
    <w:rsid w:val="00463793"/>
    <w:rsid w:val="00463F8D"/>
    <w:rsid w:val="004666FB"/>
    <w:rsid w:val="00466862"/>
    <w:rsid w:val="00467065"/>
    <w:rsid w:val="0046759D"/>
    <w:rsid w:val="00467718"/>
    <w:rsid w:val="00467B7E"/>
    <w:rsid w:val="00472418"/>
    <w:rsid w:val="00473422"/>
    <w:rsid w:val="0047371A"/>
    <w:rsid w:val="00481785"/>
    <w:rsid w:val="004820BB"/>
    <w:rsid w:val="004836E6"/>
    <w:rsid w:val="00483C87"/>
    <w:rsid w:val="00486733"/>
    <w:rsid w:val="004873E3"/>
    <w:rsid w:val="004876B9"/>
    <w:rsid w:val="004916D7"/>
    <w:rsid w:val="00493F2C"/>
    <w:rsid w:val="0049419D"/>
    <w:rsid w:val="0049438B"/>
    <w:rsid w:val="004952E6"/>
    <w:rsid w:val="0049544F"/>
    <w:rsid w:val="004961FE"/>
    <w:rsid w:val="00496C38"/>
    <w:rsid w:val="004A0ABB"/>
    <w:rsid w:val="004A24D6"/>
    <w:rsid w:val="004A3C28"/>
    <w:rsid w:val="004A617E"/>
    <w:rsid w:val="004B00B0"/>
    <w:rsid w:val="004B0C20"/>
    <w:rsid w:val="004B0CE7"/>
    <w:rsid w:val="004B0F22"/>
    <w:rsid w:val="004B200B"/>
    <w:rsid w:val="004B268B"/>
    <w:rsid w:val="004B2762"/>
    <w:rsid w:val="004B3540"/>
    <w:rsid w:val="004B3CA9"/>
    <w:rsid w:val="004B70CB"/>
    <w:rsid w:val="004B725C"/>
    <w:rsid w:val="004B7EB6"/>
    <w:rsid w:val="004C3407"/>
    <w:rsid w:val="004C45EB"/>
    <w:rsid w:val="004C4B62"/>
    <w:rsid w:val="004C4DC7"/>
    <w:rsid w:val="004D1B0F"/>
    <w:rsid w:val="004D3410"/>
    <w:rsid w:val="004D362E"/>
    <w:rsid w:val="004D46E2"/>
    <w:rsid w:val="004D56C1"/>
    <w:rsid w:val="004D6025"/>
    <w:rsid w:val="004D6DED"/>
    <w:rsid w:val="004D72BC"/>
    <w:rsid w:val="004E135C"/>
    <w:rsid w:val="004E199A"/>
    <w:rsid w:val="004E1EA8"/>
    <w:rsid w:val="004E286F"/>
    <w:rsid w:val="004E3418"/>
    <w:rsid w:val="004E3C74"/>
    <w:rsid w:val="004E41EB"/>
    <w:rsid w:val="004E4229"/>
    <w:rsid w:val="004E4462"/>
    <w:rsid w:val="004E4EE5"/>
    <w:rsid w:val="004E5FED"/>
    <w:rsid w:val="004E65DE"/>
    <w:rsid w:val="004E6957"/>
    <w:rsid w:val="004F03D1"/>
    <w:rsid w:val="004F1878"/>
    <w:rsid w:val="004F4B24"/>
    <w:rsid w:val="004F50C1"/>
    <w:rsid w:val="004F57D8"/>
    <w:rsid w:val="004F68BB"/>
    <w:rsid w:val="00501399"/>
    <w:rsid w:val="00501C6F"/>
    <w:rsid w:val="0050246B"/>
    <w:rsid w:val="00502B0D"/>
    <w:rsid w:val="00504240"/>
    <w:rsid w:val="00504910"/>
    <w:rsid w:val="00506FF3"/>
    <w:rsid w:val="00507BC4"/>
    <w:rsid w:val="00510999"/>
    <w:rsid w:val="00510BFE"/>
    <w:rsid w:val="00511CF2"/>
    <w:rsid w:val="00511E71"/>
    <w:rsid w:val="005128E4"/>
    <w:rsid w:val="0051292D"/>
    <w:rsid w:val="0051688A"/>
    <w:rsid w:val="005206C4"/>
    <w:rsid w:val="00520DFD"/>
    <w:rsid w:val="00521A6A"/>
    <w:rsid w:val="005239C1"/>
    <w:rsid w:val="00525560"/>
    <w:rsid w:val="0052662F"/>
    <w:rsid w:val="005269FD"/>
    <w:rsid w:val="00526D35"/>
    <w:rsid w:val="0052741A"/>
    <w:rsid w:val="00530D2A"/>
    <w:rsid w:val="00530E91"/>
    <w:rsid w:val="00532A63"/>
    <w:rsid w:val="00532E7B"/>
    <w:rsid w:val="00533D57"/>
    <w:rsid w:val="005357A6"/>
    <w:rsid w:val="00536F57"/>
    <w:rsid w:val="005402E3"/>
    <w:rsid w:val="00540BE5"/>
    <w:rsid w:val="00541194"/>
    <w:rsid w:val="005416DF"/>
    <w:rsid w:val="00544C49"/>
    <w:rsid w:val="00545DFC"/>
    <w:rsid w:val="00546CDA"/>
    <w:rsid w:val="00550AA9"/>
    <w:rsid w:val="005526DF"/>
    <w:rsid w:val="00553044"/>
    <w:rsid w:val="00554DB5"/>
    <w:rsid w:val="0055698C"/>
    <w:rsid w:val="00557002"/>
    <w:rsid w:val="00560554"/>
    <w:rsid w:val="00564436"/>
    <w:rsid w:val="00564E60"/>
    <w:rsid w:val="00565206"/>
    <w:rsid w:val="0056703C"/>
    <w:rsid w:val="005704BC"/>
    <w:rsid w:val="005712CE"/>
    <w:rsid w:val="00572847"/>
    <w:rsid w:val="00572D8C"/>
    <w:rsid w:val="0057402A"/>
    <w:rsid w:val="0057452C"/>
    <w:rsid w:val="005753E9"/>
    <w:rsid w:val="0057597B"/>
    <w:rsid w:val="00576CD1"/>
    <w:rsid w:val="005770AE"/>
    <w:rsid w:val="005771D0"/>
    <w:rsid w:val="005837AA"/>
    <w:rsid w:val="00584CF9"/>
    <w:rsid w:val="005878A4"/>
    <w:rsid w:val="0059191A"/>
    <w:rsid w:val="00591A8A"/>
    <w:rsid w:val="005921FF"/>
    <w:rsid w:val="00592340"/>
    <w:rsid w:val="0059316D"/>
    <w:rsid w:val="00593340"/>
    <w:rsid w:val="00593BF9"/>
    <w:rsid w:val="00597F6A"/>
    <w:rsid w:val="005A127B"/>
    <w:rsid w:val="005A12ED"/>
    <w:rsid w:val="005A3615"/>
    <w:rsid w:val="005A393A"/>
    <w:rsid w:val="005A642E"/>
    <w:rsid w:val="005A64AE"/>
    <w:rsid w:val="005A6D0E"/>
    <w:rsid w:val="005B13B0"/>
    <w:rsid w:val="005B222D"/>
    <w:rsid w:val="005B52B0"/>
    <w:rsid w:val="005B5DA2"/>
    <w:rsid w:val="005B6806"/>
    <w:rsid w:val="005B6AA8"/>
    <w:rsid w:val="005B72BA"/>
    <w:rsid w:val="005B739C"/>
    <w:rsid w:val="005B7EF0"/>
    <w:rsid w:val="005C00F9"/>
    <w:rsid w:val="005C11FF"/>
    <w:rsid w:val="005C28E6"/>
    <w:rsid w:val="005C3B56"/>
    <w:rsid w:val="005C4225"/>
    <w:rsid w:val="005C5078"/>
    <w:rsid w:val="005C5540"/>
    <w:rsid w:val="005C775F"/>
    <w:rsid w:val="005C77C4"/>
    <w:rsid w:val="005D1646"/>
    <w:rsid w:val="005D4874"/>
    <w:rsid w:val="005D52D3"/>
    <w:rsid w:val="005D666A"/>
    <w:rsid w:val="005E0020"/>
    <w:rsid w:val="005E011D"/>
    <w:rsid w:val="005E0D6E"/>
    <w:rsid w:val="005E3808"/>
    <w:rsid w:val="005E4066"/>
    <w:rsid w:val="005E666D"/>
    <w:rsid w:val="005E6F22"/>
    <w:rsid w:val="005F0CC4"/>
    <w:rsid w:val="005F0F33"/>
    <w:rsid w:val="005F14BB"/>
    <w:rsid w:val="005F391D"/>
    <w:rsid w:val="005F3F50"/>
    <w:rsid w:val="005F4D83"/>
    <w:rsid w:val="005F6931"/>
    <w:rsid w:val="005F6D4C"/>
    <w:rsid w:val="00600DEB"/>
    <w:rsid w:val="006047AC"/>
    <w:rsid w:val="006056E1"/>
    <w:rsid w:val="00610677"/>
    <w:rsid w:val="00610F61"/>
    <w:rsid w:val="00613027"/>
    <w:rsid w:val="006136A8"/>
    <w:rsid w:val="00614F60"/>
    <w:rsid w:val="006157DF"/>
    <w:rsid w:val="00616FE6"/>
    <w:rsid w:val="00617AFB"/>
    <w:rsid w:val="00617DB2"/>
    <w:rsid w:val="00621D45"/>
    <w:rsid w:val="00625653"/>
    <w:rsid w:val="00627C9F"/>
    <w:rsid w:val="00627CB1"/>
    <w:rsid w:val="006311DA"/>
    <w:rsid w:val="006311E9"/>
    <w:rsid w:val="00632354"/>
    <w:rsid w:val="0063253D"/>
    <w:rsid w:val="00633290"/>
    <w:rsid w:val="00633F5D"/>
    <w:rsid w:val="0063484C"/>
    <w:rsid w:val="00642810"/>
    <w:rsid w:val="00646288"/>
    <w:rsid w:val="00652333"/>
    <w:rsid w:val="0065481B"/>
    <w:rsid w:val="00657AE3"/>
    <w:rsid w:val="00666B61"/>
    <w:rsid w:val="0066759F"/>
    <w:rsid w:val="006700F3"/>
    <w:rsid w:val="00671E3F"/>
    <w:rsid w:val="006752EB"/>
    <w:rsid w:val="00676B15"/>
    <w:rsid w:val="00677C25"/>
    <w:rsid w:val="0068009E"/>
    <w:rsid w:val="006802EE"/>
    <w:rsid w:val="006805FB"/>
    <w:rsid w:val="00681D81"/>
    <w:rsid w:val="006839F2"/>
    <w:rsid w:val="0068561C"/>
    <w:rsid w:val="0068676F"/>
    <w:rsid w:val="006907E4"/>
    <w:rsid w:val="006912E4"/>
    <w:rsid w:val="00691E09"/>
    <w:rsid w:val="00692314"/>
    <w:rsid w:val="00695E52"/>
    <w:rsid w:val="00697791"/>
    <w:rsid w:val="006A17D2"/>
    <w:rsid w:val="006A4253"/>
    <w:rsid w:val="006A73E6"/>
    <w:rsid w:val="006A7A7D"/>
    <w:rsid w:val="006B2D5C"/>
    <w:rsid w:val="006B2DB6"/>
    <w:rsid w:val="006B3BD1"/>
    <w:rsid w:val="006B5786"/>
    <w:rsid w:val="006B6EDB"/>
    <w:rsid w:val="006B7E22"/>
    <w:rsid w:val="006C385C"/>
    <w:rsid w:val="006C4EB1"/>
    <w:rsid w:val="006C5B6C"/>
    <w:rsid w:val="006C6C58"/>
    <w:rsid w:val="006C71A6"/>
    <w:rsid w:val="006C7637"/>
    <w:rsid w:val="006D5DC0"/>
    <w:rsid w:val="006D68FA"/>
    <w:rsid w:val="006E0166"/>
    <w:rsid w:val="006E6993"/>
    <w:rsid w:val="006E6DD0"/>
    <w:rsid w:val="006E7B34"/>
    <w:rsid w:val="006F1E83"/>
    <w:rsid w:val="006F4DC1"/>
    <w:rsid w:val="006F5ECB"/>
    <w:rsid w:val="006F6DA6"/>
    <w:rsid w:val="006F7790"/>
    <w:rsid w:val="0070134E"/>
    <w:rsid w:val="00701B24"/>
    <w:rsid w:val="007024F9"/>
    <w:rsid w:val="00703162"/>
    <w:rsid w:val="00707024"/>
    <w:rsid w:val="00707FAE"/>
    <w:rsid w:val="00710AB6"/>
    <w:rsid w:val="007112BB"/>
    <w:rsid w:val="00712515"/>
    <w:rsid w:val="00712C4A"/>
    <w:rsid w:val="00712E83"/>
    <w:rsid w:val="00720ADB"/>
    <w:rsid w:val="00720BD8"/>
    <w:rsid w:val="00720C34"/>
    <w:rsid w:val="00721523"/>
    <w:rsid w:val="007248DB"/>
    <w:rsid w:val="0072535D"/>
    <w:rsid w:val="00726F85"/>
    <w:rsid w:val="00730647"/>
    <w:rsid w:val="007345CB"/>
    <w:rsid w:val="0073547B"/>
    <w:rsid w:val="00741DE8"/>
    <w:rsid w:val="007423F8"/>
    <w:rsid w:val="00742A77"/>
    <w:rsid w:val="00743642"/>
    <w:rsid w:val="00743A38"/>
    <w:rsid w:val="007443C3"/>
    <w:rsid w:val="00745899"/>
    <w:rsid w:val="00750085"/>
    <w:rsid w:val="007513FC"/>
    <w:rsid w:val="007523B7"/>
    <w:rsid w:val="00755CD3"/>
    <w:rsid w:val="00755F11"/>
    <w:rsid w:val="007607C4"/>
    <w:rsid w:val="00762C69"/>
    <w:rsid w:val="00763E5F"/>
    <w:rsid w:val="00765A63"/>
    <w:rsid w:val="0076643F"/>
    <w:rsid w:val="00772CC6"/>
    <w:rsid w:val="0077326F"/>
    <w:rsid w:val="007748E0"/>
    <w:rsid w:val="00775C58"/>
    <w:rsid w:val="0077643C"/>
    <w:rsid w:val="007810CC"/>
    <w:rsid w:val="0079016B"/>
    <w:rsid w:val="0079048B"/>
    <w:rsid w:val="00791116"/>
    <w:rsid w:val="00791126"/>
    <w:rsid w:val="00793E70"/>
    <w:rsid w:val="00794245"/>
    <w:rsid w:val="0079433D"/>
    <w:rsid w:val="007A1C55"/>
    <w:rsid w:val="007A2D7C"/>
    <w:rsid w:val="007A2F70"/>
    <w:rsid w:val="007A304C"/>
    <w:rsid w:val="007A563B"/>
    <w:rsid w:val="007B1A81"/>
    <w:rsid w:val="007B4310"/>
    <w:rsid w:val="007C0DA5"/>
    <w:rsid w:val="007C1711"/>
    <w:rsid w:val="007C174B"/>
    <w:rsid w:val="007C3334"/>
    <w:rsid w:val="007C52BB"/>
    <w:rsid w:val="007C6B2C"/>
    <w:rsid w:val="007D0320"/>
    <w:rsid w:val="007D0716"/>
    <w:rsid w:val="007D29D5"/>
    <w:rsid w:val="007D2AA4"/>
    <w:rsid w:val="007D2B98"/>
    <w:rsid w:val="007D2E7C"/>
    <w:rsid w:val="007D3202"/>
    <w:rsid w:val="007D34C5"/>
    <w:rsid w:val="007D36B7"/>
    <w:rsid w:val="007D4720"/>
    <w:rsid w:val="007D7324"/>
    <w:rsid w:val="007D7398"/>
    <w:rsid w:val="007D773E"/>
    <w:rsid w:val="007E069E"/>
    <w:rsid w:val="007E07AB"/>
    <w:rsid w:val="007E2394"/>
    <w:rsid w:val="007E3143"/>
    <w:rsid w:val="007E4498"/>
    <w:rsid w:val="007E48F7"/>
    <w:rsid w:val="007E5672"/>
    <w:rsid w:val="007E6DD5"/>
    <w:rsid w:val="007E7344"/>
    <w:rsid w:val="007F0BBF"/>
    <w:rsid w:val="007F14DE"/>
    <w:rsid w:val="007F1AAB"/>
    <w:rsid w:val="007F2EE0"/>
    <w:rsid w:val="007F3D34"/>
    <w:rsid w:val="007F4530"/>
    <w:rsid w:val="007F4B99"/>
    <w:rsid w:val="00803F1C"/>
    <w:rsid w:val="00804ADC"/>
    <w:rsid w:val="0080600E"/>
    <w:rsid w:val="008062F3"/>
    <w:rsid w:val="008105BF"/>
    <w:rsid w:val="00811F92"/>
    <w:rsid w:val="0081237D"/>
    <w:rsid w:val="00812BCE"/>
    <w:rsid w:val="008153C7"/>
    <w:rsid w:val="00817612"/>
    <w:rsid w:val="00817956"/>
    <w:rsid w:val="008202C3"/>
    <w:rsid w:val="00820312"/>
    <w:rsid w:val="0082115B"/>
    <w:rsid w:val="00826A2F"/>
    <w:rsid w:val="008306A1"/>
    <w:rsid w:val="00831A4F"/>
    <w:rsid w:val="0083228D"/>
    <w:rsid w:val="00833F55"/>
    <w:rsid w:val="008352CF"/>
    <w:rsid w:val="00837C45"/>
    <w:rsid w:val="0084403C"/>
    <w:rsid w:val="00851792"/>
    <w:rsid w:val="0085305A"/>
    <w:rsid w:val="00853419"/>
    <w:rsid w:val="00853C39"/>
    <w:rsid w:val="00854D22"/>
    <w:rsid w:val="00854D68"/>
    <w:rsid w:val="00855D20"/>
    <w:rsid w:val="00860082"/>
    <w:rsid w:val="00861716"/>
    <w:rsid w:val="008622A0"/>
    <w:rsid w:val="00862C7E"/>
    <w:rsid w:val="00862F07"/>
    <w:rsid w:val="0086410D"/>
    <w:rsid w:val="008646D3"/>
    <w:rsid w:val="00867520"/>
    <w:rsid w:val="008720D8"/>
    <w:rsid w:val="00873DFB"/>
    <w:rsid w:val="008769E3"/>
    <w:rsid w:val="00880329"/>
    <w:rsid w:val="00886E43"/>
    <w:rsid w:val="00890FC3"/>
    <w:rsid w:val="00892571"/>
    <w:rsid w:val="00893C67"/>
    <w:rsid w:val="00893F86"/>
    <w:rsid w:val="00897E12"/>
    <w:rsid w:val="008A0B8A"/>
    <w:rsid w:val="008A1CE6"/>
    <w:rsid w:val="008A20BD"/>
    <w:rsid w:val="008A5535"/>
    <w:rsid w:val="008A6495"/>
    <w:rsid w:val="008B03BF"/>
    <w:rsid w:val="008B240B"/>
    <w:rsid w:val="008B2E4C"/>
    <w:rsid w:val="008B325E"/>
    <w:rsid w:val="008B3F87"/>
    <w:rsid w:val="008B59B6"/>
    <w:rsid w:val="008B5A47"/>
    <w:rsid w:val="008B5B53"/>
    <w:rsid w:val="008B63D9"/>
    <w:rsid w:val="008C2E48"/>
    <w:rsid w:val="008C3040"/>
    <w:rsid w:val="008C3E9E"/>
    <w:rsid w:val="008D23B5"/>
    <w:rsid w:val="008D43BA"/>
    <w:rsid w:val="008D5B23"/>
    <w:rsid w:val="008D5F91"/>
    <w:rsid w:val="008D61AA"/>
    <w:rsid w:val="008D6586"/>
    <w:rsid w:val="008D736A"/>
    <w:rsid w:val="008D7FE5"/>
    <w:rsid w:val="008E1B58"/>
    <w:rsid w:val="008E20F0"/>
    <w:rsid w:val="008E2C97"/>
    <w:rsid w:val="008E2E80"/>
    <w:rsid w:val="008E3759"/>
    <w:rsid w:val="008E492C"/>
    <w:rsid w:val="008E71E1"/>
    <w:rsid w:val="008F454A"/>
    <w:rsid w:val="008F5F93"/>
    <w:rsid w:val="008F7788"/>
    <w:rsid w:val="008F779C"/>
    <w:rsid w:val="00901DB8"/>
    <w:rsid w:val="00901F87"/>
    <w:rsid w:val="00902047"/>
    <w:rsid w:val="00902D36"/>
    <w:rsid w:val="00902E06"/>
    <w:rsid w:val="009034C2"/>
    <w:rsid w:val="009041DC"/>
    <w:rsid w:val="00906491"/>
    <w:rsid w:val="009066A8"/>
    <w:rsid w:val="009071CB"/>
    <w:rsid w:val="00907326"/>
    <w:rsid w:val="009104B4"/>
    <w:rsid w:val="00912083"/>
    <w:rsid w:val="00916174"/>
    <w:rsid w:val="009171FF"/>
    <w:rsid w:val="00922D8B"/>
    <w:rsid w:val="009236B8"/>
    <w:rsid w:val="00923948"/>
    <w:rsid w:val="00925FCD"/>
    <w:rsid w:val="0092639E"/>
    <w:rsid w:val="0092663C"/>
    <w:rsid w:val="009268A1"/>
    <w:rsid w:val="00927179"/>
    <w:rsid w:val="00927193"/>
    <w:rsid w:val="0093441A"/>
    <w:rsid w:val="00934B3D"/>
    <w:rsid w:val="00934F82"/>
    <w:rsid w:val="009375B5"/>
    <w:rsid w:val="00942264"/>
    <w:rsid w:val="009515CA"/>
    <w:rsid w:val="00952E9C"/>
    <w:rsid w:val="0095413A"/>
    <w:rsid w:val="00954BF7"/>
    <w:rsid w:val="009564CA"/>
    <w:rsid w:val="00960654"/>
    <w:rsid w:val="00960976"/>
    <w:rsid w:val="00963480"/>
    <w:rsid w:val="009653F7"/>
    <w:rsid w:val="009668C5"/>
    <w:rsid w:val="0096706E"/>
    <w:rsid w:val="009705B0"/>
    <w:rsid w:val="00972127"/>
    <w:rsid w:val="00972486"/>
    <w:rsid w:val="00973925"/>
    <w:rsid w:val="00973B2B"/>
    <w:rsid w:val="00973D03"/>
    <w:rsid w:val="00973E58"/>
    <w:rsid w:val="00975D48"/>
    <w:rsid w:val="009769BF"/>
    <w:rsid w:val="00977694"/>
    <w:rsid w:val="0098079D"/>
    <w:rsid w:val="00981FBA"/>
    <w:rsid w:val="00982B79"/>
    <w:rsid w:val="009840AF"/>
    <w:rsid w:val="0098579A"/>
    <w:rsid w:val="009870C7"/>
    <w:rsid w:val="0099404B"/>
    <w:rsid w:val="009A03A0"/>
    <w:rsid w:val="009A27C0"/>
    <w:rsid w:val="009A2DB6"/>
    <w:rsid w:val="009A3F04"/>
    <w:rsid w:val="009A5408"/>
    <w:rsid w:val="009A73E5"/>
    <w:rsid w:val="009B381B"/>
    <w:rsid w:val="009B4519"/>
    <w:rsid w:val="009B4783"/>
    <w:rsid w:val="009B564C"/>
    <w:rsid w:val="009B637F"/>
    <w:rsid w:val="009B78FA"/>
    <w:rsid w:val="009C4EE6"/>
    <w:rsid w:val="009C571E"/>
    <w:rsid w:val="009C5924"/>
    <w:rsid w:val="009C682E"/>
    <w:rsid w:val="009C6A62"/>
    <w:rsid w:val="009C7F33"/>
    <w:rsid w:val="009D13F1"/>
    <w:rsid w:val="009D1B19"/>
    <w:rsid w:val="009D2764"/>
    <w:rsid w:val="009D2DAE"/>
    <w:rsid w:val="009D33DD"/>
    <w:rsid w:val="009D43BE"/>
    <w:rsid w:val="009D4CE2"/>
    <w:rsid w:val="009D5A67"/>
    <w:rsid w:val="009D7528"/>
    <w:rsid w:val="009D7611"/>
    <w:rsid w:val="009E390E"/>
    <w:rsid w:val="009E53DE"/>
    <w:rsid w:val="009E579B"/>
    <w:rsid w:val="009E70BC"/>
    <w:rsid w:val="009E7849"/>
    <w:rsid w:val="009F02C1"/>
    <w:rsid w:val="009F0D5E"/>
    <w:rsid w:val="009F17CC"/>
    <w:rsid w:val="009F303C"/>
    <w:rsid w:val="009F50D3"/>
    <w:rsid w:val="009F5921"/>
    <w:rsid w:val="009F63FC"/>
    <w:rsid w:val="009F6891"/>
    <w:rsid w:val="009F6BE0"/>
    <w:rsid w:val="00A028EA"/>
    <w:rsid w:val="00A02DD5"/>
    <w:rsid w:val="00A03C17"/>
    <w:rsid w:val="00A06BFC"/>
    <w:rsid w:val="00A06CC9"/>
    <w:rsid w:val="00A06EF0"/>
    <w:rsid w:val="00A0795A"/>
    <w:rsid w:val="00A15E01"/>
    <w:rsid w:val="00A15FA6"/>
    <w:rsid w:val="00A16D62"/>
    <w:rsid w:val="00A177F1"/>
    <w:rsid w:val="00A17F94"/>
    <w:rsid w:val="00A20507"/>
    <w:rsid w:val="00A2111D"/>
    <w:rsid w:val="00A2193C"/>
    <w:rsid w:val="00A22522"/>
    <w:rsid w:val="00A229BB"/>
    <w:rsid w:val="00A246DE"/>
    <w:rsid w:val="00A2535D"/>
    <w:rsid w:val="00A2614B"/>
    <w:rsid w:val="00A272EB"/>
    <w:rsid w:val="00A2778D"/>
    <w:rsid w:val="00A30BE7"/>
    <w:rsid w:val="00A3233C"/>
    <w:rsid w:val="00A32BEC"/>
    <w:rsid w:val="00A41F6F"/>
    <w:rsid w:val="00A43458"/>
    <w:rsid w:val="00A4387B"/>
    <w:rsid w:val="00A442AC"/>
    <w:rsid w:val="00A44F9E"/>
    <w:rsid w:val="00A46107"/>
    <w:rsid w:val="00A47FF8"/>
    <w:rsid w:val="00A528D1"/>
    <w:rsid w:val="00A52A10"/>
    <w:rsid w:val="00A63D2C"/>
    <w:rsid w:val="00A63E5A"/>
    <w:rsid w:val="00A64546"/>
    <w:rsid w:val="00A652CB"/>
    <w:rsid w:val="00A66BE5"/>
    <w:rsid w:val="00A66FB7"/>
    <w:rsid w:val="00A6744B"/>
    <w:rsid w:val="00A678E5"/>
    <w:rsid w:val="00A67D54"/>
    <w:rsid w:val="00A73710"/>
    <w:rsid w:val="00A73F72"/>
    <w:rsid w:val="00A76BB1"/>
    <w:rsid w:val="00A76EE6"/>
    <w:rsid w:val="00A76F70"/>
    <w:rsid w:val="00A84562"/>
    <w:rsid w:val="00A869B7"/>
    <w:rsid w:val="00A86C3C"/>
    <w:rsid w:val="00A87528"/>
    <w:rsid w:val="00A87D4A"/>
    <w:rsid w:val="00A941D7"/>
    <w:rsid w:val="00A9439E"/>
    <w:rsid w:val="00A96862"/>
    <w:rsid w:val="00A96C00"/>
    <w:rsid w:val="00AA4CE0"/>
    <w:rsid w:val="00AA5B75"/>
    <w:rsid w:val="00AA64EB"/>
    <w:rsid w:val="00AA7538"/>
    <w:rsid w:val="00AB15FF"/>
    <w:rsid w:val="00AB20A2"/>
    <w:rsid w:val="00AB2B61"/>
    <w:rsid w:val="00AC1B90"/>
    <w:rsid w:val="00AC3EE9"/>
    <w:rsid w:val="00AD0285"/>
    <w:rsid w:val="00AD1988"/>
    <w:rsid w:val="00AD2662"/>
    <w:rsid w:val="00AD37C1"/>
    <w:rsid w:val="00AD44B9"/>
    <w:rsid w:val="00AD5EAA"/>
    <w:rsid w:val="00AD6397"/>
    <w:rsid w:val="00AD7EC5"/>
    <w:rsid w:val="00AE0B78"/>
    <w:rsid w:val="00AE0BEE"/>
    <w:rsid w:val="00AE2BA4"/>
    <w:rsid w:val="00AE37C5"/>
    <w:rsid w:val="00AE3E22"/>
    <w:rsid w:val="00AE5840"/>
    <w:rsid w:val="00AE66EC"/>
    <w:rsid w:val="00AE6F91"/>
    <w:rsid w:val="00AE7FB4"/>
    <w:rsid w:val="00AF1420"/>
    <w:rsid w:val="00AF3A4B"/>
    <w:rsid w:val="00AF5571"/>
    <w:rsid w:val="00AF5F44"/>
    <w:rsid w:val="00AF6703"/>
    <w:rsid w:val="00AF6704"/>
    <w:rsid w:val="00AF71B5"/>
    <w:rsid w:val="00AF77A8"/>
    <w:rsid w:val="00B024D2"/>
    <w:rsid w:val="00B02551"/>
    <w:rsid w:val="00B037C5"/>
    <w:rsid w:val="00B05167"/>
    <w:rsid w:val="00B06623"/>
    <w:rsid w:val="00B105B9"/>
    <w:rsid w:val="00B14B60"/>
    <w:rsid w:val="00B15CF2"/>
    <w:rsid w:val="00B164EF"/>
    <w:rsid w:val="00B16605"/>
    <w:rsid w:val="00B167E9"/>
    <w:rsid w:val="00B17124"/>
    <w:rsid w:val="00B2158B"/>
    <w:rsid w:val="00B234B2"/>
    <w:rsid w:val="00B234DB"/>
    <w:rsid w:val="00B23E76"/>
    <w:rsid w:val="00B25D05"/>
    <w:rsid w:val="00B261E7"/>
    <w:rsid w:val="00B27519"/>
    <w:rsid w:val="00B30FDF"/>
    <w:rsid w:val="00B314DB"/>
    <w:rsid w:val="00B31EBE"/>
    <w:rsid w:val="00B32A7A"/>
    <w:rsid w:val="00B3322A"/>
    <w:rsid w:val="00B3365A"/>
    <w:rsid w:val="00B33988"/>
    <w:rsid w:val="00B34889"/>
    <w:rsid w:val="00B34CE8"/>
    <w:rsid w:val="00B3533B"/>
    <w:rsid w:val="00B36ED8"/>
    <w:rsid w:val="00B3718B"/>
    <w:rsid w:val="00B40DEF"/>
    <w:rsid w:val="00B42066"/>
    <w:rsid w:val="00B43A69"/>
    <w:rsid w:val="00B44A26"/>
    <w:rsid w:val="00B4625C"/>
    <w:rsid w:val="00B4632A"/>
    <w:rsid w:val="00B474F6"/>
    <w:rsid w:val="00B52C24"/>
    <w:rsid w:val="00B545DB"/>
    <w:rsid w:val="00B55537"/>
    <w:rsid w:val="00B5774C"/>
    <w:rsid w:val="00B57920"/>
    <w:rsid w:val="00B60248"/>
    <w:rsid w:val="00B6030D"/>
    <w:rsid w:val="00B60770"/>
    <w:rsid w:val="00B62E6C"/>
    <w:rsid w:val="00B63A34"/>
    <w:rsid w:val="00B63FDE"/>
    <w:rsid w:val="00B7012B"/>
    <w:rsid w:val="00B7084B"/>
    <w:rsid w:val="00B710F6"/>
    <w:rsid w:val="00B72500"/>
    <w:rsid w:val="00B73E46"/>
    <w:rsid w:val="00B74042"/>
    <w:rsid w:val="00B75C0A"/>
    <w:rsid w:val="00B7600C"/>
    <w:rsid w:val="00B77730"/>
    <w:rsid w:val="00B81CE3"/>
    <w:rsid w:val="00B81F0D"/>
    <w:rsid w:val="00B82822"/>
    <w:rsid w:val="00B83E5C"/>
    <w:rsid w:val="00B84C23"/>
    <w:rsid w:val="00B8508E"/>
    <w:rsid w:val="00B8732F"/>
    <w:rsid w:val="00B875AE"/>
    <w:rsid w:val="00B87D1B"/>
    <w:rsid w:val="00B91D59"/>
    <w:rsid w:val="00B92824"/>
    <w:rsid w:val="00B9327F"/>
    <w:rsid w:val="00B97C17"/>
    <w:rsid w:val="00B97C51"/>
    <w:rsid w:val="00BA0116"/>
    <w:rsid w:val="00BA276C"/>
    <w:rsid w:val="00BA3F9E"/>
    <w:rsid w:val="00BA43C8"/>
    <w:rsid w:val="00BA4B2E"/>
    <w:rsid w:val="00BA6832"/>
    <w:rsid w:val="00BA6846"/>
    <w:rsid w:val="00BA7E36"/>
    <w:rsid w:val="00BB04D6"/>
    <w:rsid w:val="00BB306F"/>
    <w:rsid w:val="00BB3430"/>
    <w:rsid w:val="00BB537A"/>
    <w:rsid w:val="00BB72EA"/>
    <w:rsid w:val="00BB7CF6"/>
    <w:rsid w:val="00BC0AB7"/>
    <w:rsid w:val="00BC0B1F"/>
    <w:rsid w:val="00BC0CB3"/>
    <w:rsid w:val="00BC30ED"/>
    <w:rsid w:val="00BC4AEE"/>
    <w:rsid w:val="00BD0225"/>
    <w:rsid w:val="00BD1614"/>
    <w:rsid w:val="00BD232B"/>
    <w:rsid w:val="00BD2F29"/>
    <w:rsid w:val="00BD40C4"/>
    <w:rsid w:val="00BD4B89"/>
    <w:rsid w:val="00BD73C1"/>
    <w:rsid w:val="00BD7528"/>
    <w:rsid w:val="00BD7E56"/>
    <w:rsid w:val="00BF18D9"/>
    <w:rsid w:val="00BF3E3F"/>
    <w:rsid w:val="00BF457B"/>
    <w:rsid w:val="00BF6442"/>
    <w:rsid w:val="00BF7464"/>
    <w:rsid w:val="00C00366"/>
    <w:rsid w:val="00C02230"/>
    <w:rsid w:val="00C038BF"/>
    <w:rsid w:val="00C03BD4"/>
    <w:rsid w:val="00C03FF0"/>
    <w:rsid w:val="00C07483"/>
    <w:rsid w:val="00C079D8"/>
    <w:rsid w:val="00C12163"/>
    <w:rsid w:val="00C127B4"/>
    <w:rsid w:val="00C13325"/>
    <w:rsid w:val="00C142C5"/>
    <w:rsid w:val="00C1552B"/>
    <w:rsid w:val="00C15B52"/>
    <w:rsid w:val="00C15D1E"/>
    <w:rsid w:val="00C16D36"/>
    <w:rsid w:val="00C17FCA"/>
    <w:rsid w:val="00C203E5"/>
    <w:rsid w:val="00C21762"/>
    <w:rsid w:val="00C2180A"/>
    <w:rsid w:val="00C23308"/>
    <w:rsid w:val="00C2363D"/>
    <w:rsid w:val="00C24420"/>
    <w:rsid w:val="00C24515"/>
    <w:rsid w:val="00C24543"/>
    <w:rsid w:val="00C24E42"/>
    <w:rsid w:val="00C25121"/>
    <w:rsid w:val="00C256A2"/>
    <w:rsid w:val="00C2729E"/>
    <w:rsid w:val="00C30A2B"/>
    <w:rsid w:val="00C3153C"/>
    <w:rsid w:val="00C3215D"/>
    <w:rsid w:val="00C3492D"/>
    <w:rsid w:val="00C34F3A"/>
    <w:rsid w:val="00C40B8C"/>
    <w:rsid w:val="00C4236B"/>
    <w:rsid w:val="00C42568"/>
    <w:rsid w:val="00C458A1"/>
    <w:rsid w:val="00C45A6F"/>
    <w:rsid w:val="00C45FA4"/>
    <w:rsid w:val="00C46BFB"/>
    <w:rsid w:val="00C47616"/>
    <w:rsid w:val="00C47652"/>
    <w:rsid w:val="00C47B44"/>
    <w:rsid w:val="00C52E4B"/>
    <w:rsid w:val="00C531D9"/>
    <w:rsid w:val="00C53792"/>
    <w:rsid w:val="00C549FE"/>
    <w:rsid w:val="00C55560"/>
    <w:rsid w:val="00C60101"/>
    <w:rsid w:val="00C607CD"/>
    <w:rsid w:val="00C61A2F"/>
    <w:rsid w:val="00C61C51"/>
    <w:rsid w:val="00C61C7B"/>
    <w:rsid w:val="00C64173"/>
    <w:rsid w:val="00C65810"/>
    <w:rsid w:val="00C66018"/>
    <w:rsid w:val="00C667B5"/>
    <w:rsid w:val="00C66B72"/>
    <w:rsid w:val="00C67ADF"/>
    <w:rsid w:val="00C67C2D"/>
    <w:rsid w:val="00C7044E"/>
    <w:rsid w:val="00C70C3A"/>
    <w:rsid w:val="00C72947"/>
    <w:rsid w:val="00C72D59"/>
    <w:rsid w:val="00C72F44"/>
    <w:rsid w:val="00C74026"/>
    <w:rsid w:val="00C74C68"/>
    <w:rsid w:val="00C75BB4"/>
    <w:rsid w:val="00C80AA8"/>
    <w:rsid w:val="00C82787"/>
    <w:rsid w:val="00C85CB8"/>
    <w:rsid w:val="00C8715D"/>
    <w:rsid w:val="00C8735E"/>
    <w:rsid w:val="00C90A8F"/>
    <w:rsid w:val="00C9403E"/>
    <w:rsid w:val="00C9567A"/>
    <w:rsid w:val="00CA1E9D"/>
    <w:rsid w:val="00CA41A7"/>
    <w:rsid w:val="00CA43CC"/>
    <w:rsid w:val="00CA4BB3"/>
    <w:rsid w:val="00CA68FC"/>
    <w:rsid w:val="00CB2660"/>
    <w:rsid w:val="00CB645A"/>
    <w:rsid w:val="00CB6A76"/>
    <w:rsid w:val="00CB7F73"/>
    <w:rsid w:val="00CC03C0"/>
    <w:rsid w:val="00CC087B"/>
    <w:rsid w:val="00CC1C7E"/>
    <w:rsid w:val="00CC2B4B"/>
    <w:rsid w:val="00CC337C"/>
    <w:rsid w:val="00CC3419"/>
    <w:rsid w:val="00CC5E90"/>
    <w:rsid w:val="00CC798B"/>
    <w:rsid w:val="00CC7E34"/>
    <w:rsid w:val="00CD046C"/>
    <w:rsid w:val="00CD16FC"/>
    <w:rsid w:val="00CD2D1C"/>
    <w:rsid w:val="00CD44A6"/>
    <w:rsid w:val="00CD520F"/>
    <w:rsid w:val="00CD55A3"/>
    <w:rsid w:val="00CD5E31"/>
    <w:rsid w:val="00CD6986"/>
    <w:rsid w:val="00CE1562"/>
    <w:rsid w:val="00CE1B37"/>
    <w:rsid w:val="00CE269C"/>
    <w:rsid w:val="00CE5199"/>
    <w:rsid w:val="00CE66D5"/>
    <w:rsid w:val="00CE702F"/>
    <w:rsid w:val="00CE76D6"/>
    <w:rsid w:val="00CE76E1"/>
    <w:rsid w:val="00CF27CE"/>
    <w:rsid w:val="00CF2B96"/>
    <w:rsid w:val="00CF4165"/>
    <w:rsid w:val="00CF4911"/>
    <w:rsid w:val="00D043B3"/>
    <w:rsid w:val="00D07A23"/>
    <w:rsid w:val="00D1561D"/>
    <w:rsid w:val="00D162AB"/>
    <w:rsid w:val="00D1659F"/>
    <w:rsid w:val="00D16EA8"/>
    <w:rsid w:val="00D1731B"/>
    <w:rsid w:val="00D20725"/>
    <w:rsid w:val="00D208C4"/>
    <w:rsid w:val="00D21117"/>
    <w:rsid w:val="00D21E51"/>
    <w:rsid w:val="00D22C92"/>
    <w:rsid w:val="00D2346A"/>
    <w:rsid w:val="00D241D5"/>
    <w:rsid w:val="00D24B82"/>
    <w:rsid w:val="00D26748"/>
    <w:rsid w:val="00D27AA7"/>
    <w:rsid w:val="00D30F88"/>
    <w:rsid w:val="00D34786"/>
    <w:rsid w:val="00D373BA"/>
    <w:rsid w:val="00D409F5"/>
    <w:rsid w:val="00D40A1E"/>
    <w:rsid w:val="00D4713B"/>
    <w:rsid w:val="00D50109"/>
    <w:rsid w:val="00D502B2"/>
    <w:rsid w:val="00D54544"/>
    <w:rsid w:val="00D563D8"/>
    <w:rsid w:val="00D57CF9"/>
    <w:rsid w:val="00D622CB"/>
    <w:rsid w:val="00D62ABB"/>
    <w:rsid w:val="00D63861"/>
    <w:rsid w:val="00D66C4D"/>
    <w:rsid w:val="00D67526"/>
    <w:rsid w:val="00D6790D"/>
    <w:rsid w:val="00D6791A"/>
    <w:rsid w:val="00D712D3"/>
    <w:rsid w:val="00D71422"/>
    <w:rsid w:val="00D7145E"/>
    <w:rsid w:val="00D72419"/>
    <w:rsid w:val="00D736DC"/>
    <w:rsid w:val="00D73F06"/>
    <w:rsid w:val="00D7558D"/>
    <w:rsid w:val="00D76C58"/>
    <w:rsid w:val="00D818D2"/>
    <w:rsid w:val="00D81D92"/>
    <w:rsid w:val="00D81F3C"/>
    <w:rsid w:val="00D82092"/>
    <w:rsid w:val="00D82D80"/>
    <w:rsid w:val="00D93446"/>
    <w:rsid w:val="00D947AD"/>
    <w:rsid w:val="00DA00E5"/>
    <w:rsid w:val="00DA19C4"/>
    <w:rsid w:val="00DA5D1D"/>
    <w:rsid w:val="00DA60F8"/>
    <w:rsid w:val="00DA7966"/>
    <w:rsid w:val="00DA7B5F"/>
    <w:rsid w:val="00DB07C4"/>
    <w:rsid w:val="00DB0AEE"/>
    <w:rsid w:val="00DB0B3A"/>
    <w:rsid w:val="00DB1119"/>
    <w:rsid w:val="00DB20B9"/>
    <w:rsid w:val="00DB25A4"/>
    <w:rsid w:val="00DB2B3B"/>
    <w:rsid w:val="00DB7BF0"/>
    <w:rsid w:val="00DC1A99"/>
    <w:rsid w:val="00DC1AA6"/>
    <w:rsid w:val="00DC1D5B"/>
    <w:rsid w:val="00DC2CDC"/>
    <w:rsid w:val="00DC58CE"/>
    <w:rsid w:val="00DC5C03"/>
    <w:rsid w:val="00DC6013"/>
    <w:rsid w:val="00DC6165"/>
    <w:rsid w:val="00DC7F6F"/>
    <w:rsid w:val="00DD0C17"/>
    <w:rsid w:val="00DD233B"/>
    <w:rsid w:val="00DD336D"/>
    <w:rsid w:val="00DD7722"/>
    <w:rsid w:val="00DE61FD"/>
    <w:rsid w:val="00DE7789"/>
    <w:rsid w:val="00DF47C1"/>
    <w:rsid w:val="00DF7E11"/>
    <w:rsid w:val="00E01A1A"/>
    <w:rsid w:val="00E02147"/>
    <w:rsid w:val="00E07FE4"/>
    <w:rsid w:val="00E11F24"/>
    <w:rsid w:val="00E134B7"/>
    <w:rsid w:val="00E16CCE"/>
    <w:rsid w:val="00E17723"/>
    <w:rsid w:val="00E17B31"/>
    <w:rsid w:val="00E25038"/>
    <w:rsid w:val="00E251B1"/>
    <w:rsid w:val="00E25318"/>
    <w:rsid w:val="00E31650"/>
    <w:rsid w:val="00E31C75"/>
    <w:rsid w:val="00E34949"/>
    <w:rsid w:val="00E35559"/>
    <w:rsid w:val="00E372C1"/>
    <w:rsid w:val="00E375F5"/>
    <w:rsid w:val="00E403FE"/>
    <w:rsid w:val="00E407A9"/>
    <w:rsid w:val="00E42E03"/>
    <w:rsid w:val="00E43157"/>
    <w:rsid w:val="00E450D5"/>
    <w:rsid w:val="00E46799"/>
    <w:rsid w:val="00E50528"/>
    <w:rsid w:val="00E514FE"/>
    <w:rsid w:val="00E51AC3"/>
    <w:rsid w:val="00E533FF"/>
    <w:rsid w:val="00E56BA9"/>
    <w:rsid w:val="00E5771D"/>
    <w:rsid w:val="00E611F4"/>
    <w:rsid w:val="00E6129C"/>
    <w:rsid w:val="00E6253E"/>
    <w:rsid w:val="00E65394"/>
    <w:rsid w:val="00E701DA"/>
    <w:rsid w:val="00E709B3"/>
    <w:rsid w:val="00E72272"/>
    <w:rsid w:val="00E722D8"/>
    <w:rsid w:val="00E72487"/>
    <w:rsid w:val="00E725CB"/>
    <w:rsid w:val="00E729F1"/>
    <w:rsid w:val="00E75A64"/>
    <w:rsid w:val="00E76C05"/>
    <w:rsid w:val="00E779C6"/>
    <w:rsid w:val="00E859A9"/>
    <w:rsid w:val="00E862CA"/>
    <w:rsid w:val="00E86DEF"/>
    <w:rsid w:val="00E87702"/>
    <w:rsid w:val="00E8789F"/>
    <w:rsid w:val="00E928F4"/>
    <w:rsid w:val="00E937E8"/>
    <w:rsid w:val="00E940E9"/>
    <w:rsid w:val="00E94452"/>
    <w:rsid w:val="00E9739D"/>
    <w:rsid w:val="00E97B71"/>
    <w:rsid w:val="00EA2C21"/>
    <w:rsid w:val="00EA7614"/>
    <w:rsid w:val="00EB0393"/>
    <w:rsid w:val="00EB22B4"/>
    <w:rsid w:val="00EB2759"/>
    <w:rsid w:val="00EB337B"/>
    <w:rsid w:val="00EB3CB3"/>
    <w:rsid w:val="00EB454D"/>
    <w:rsid w:val="00EC12FA"/>
    <w:rsid w:val="00EC68E3"/>
    <w:rsid w:val="00EC6EB2"/>
    <w:rsid w:val="00EC718E"/>
    <w:rsid w:val="00EC7A0E"/>
    <w:rsid w:val="00ED0D8B"/>
    <w:rsid w:val="00ED19BD"/>
    <w:rsid w:val="00ED3FB8"/>
    <w:rsid w:val="00ED48A5"/>
    <w:rsid w:val="00ED575C"/>
    <w:rsid w:val="00ED5BC0"/>
    <w:rsid w:val="00EE1955"/>
    <w:rsid w:val="00EE1E76"/>
    <w:rsid w:val="00EE3522"/>
    <w:rsid w:val="00EE3EF9"/>
    <w:rsid w:val="00EE6296"/>
    <w:rsid w:val="00EE66E3"/>
    <w:rsid w:val="00EE6A88"/>
    <w:rsid w:val="00EE7B94"/>
    <w:rsid w:val="00EF619B"/>
    <w:rsid w:val="00EF7A8B"/>
    <w:rsid w:val="00F00B55"/>
    <w:rsid w:val="00F022A4"/>
    <w:rsid w:val="00F02968"/>
    <w:rsid w:val="00F04BC6"/>
    <w:rsid w:val="00F05BED"/>
    <w:rsid w:val="00F11AE2"/>
    <w:rsid w:val="00F1380F"/>
    <w:rsid w:val="00F13FC4"/>
    <w:rsid w:val="00F149EB"/>
    <w:rsid w:val="00F14F0E"/>
    <w:rsid w:val="00F23460"/>
    <w:rsid w:val="00F23BA2"/>
    <w:rsid w:val="00F23BF2"/>
    <w:rsid w:val="00F24C29"/>
    <w:rsid w:val="00F2517E"/>
    <w:rsid w:val="00F253CC"/>
    <w:rsid w:val="00F25783"/>
    <w:rsid w:val="00F27218"/>
    <w:rsid w:val="00F27C80"/>
    <w:rsid w:val="00F27E43"/>
    <w:rsid w:val="00F30503"/>
    <w:rsid w:val="00F31ADB"/>
    <w:rsid w:val="00F32691"/>
    <w:rsid w:val="00F33188"/>
    <w:rsid w:val="00F33FE1"/>
    <w:rsid w:val="00F3647F"/>
    <w:rsid w:val="00F36794"/>
    <w:rsid w:val="00F36AD9"/>
    <w:rsid w:val="00F402C5"/>
    <w:rsid w:val="00F425B1"/>
    <w:rsid w:val="00F45FA4"/>
    <w:rsid w:val="00F4660C"/>
    <w:rsid w:val="00F47025"/>
    <w:rsid w:val="00F50DCE"/>
    <w:rsid w:val="00F53962"/>
    <w:rsid w:val="00F54030"/>
    <w:rsid w:val="00F5577D"/>
    <w:rsid w:val="00F56097"/>
    <w:rsid w:val="00F56BA5"/>
    <w:rsid w:val="00F56F25"/>
    <w:rsid w:val="00F57366"/>
    <w:rsid w:val="00F57B41"/>
    <w:rsid w:val="00F57FEB"/>
    <w:rsid w:val="00F61D62"/>
    <w:rsid w:val="00F644E6"/>
    <w:rsid w:val="00F6699D"/>
    <w:rsid w:val="00F749E2"/>
    <w:rsid w:val="00F749FB"/>
    <w:rsid w:val="00F74EC3"/>
    <w:rsid w:val="00F766CD"/>
    <w:rsid w:val="00F767E9"/>
    <w:rsid w:val="00F7692E"/>
    <w:rsid w:val="00F7719D"/>
    <w:rsid w:val="00F80B00"/>
    <w:rsid w:val="00F81589"/>
    <w:rsid w:val="00F82006"/>
    <w:rsid w:val="00F823EE"/>
    <w:rsid w:val="00F8451C"/>
    <w:rsid w:val="00F84BF4"/>
    <w:rsid w:val="00F93768"/>
    <w:rsid w:val="00F940BE"/>
    <w:rsid w:val="00F947B3"/>
    <w:rsid w:val="00F957C4"/>
    <w:rsid w:val="00F9653B"/>
    <w:rsid w:val="00F96D5D"/>
    <w:rsid w:val="00F9718D"/>
    <w:rsid w:val="00F9746C"/>
    <w:rsid w:val="00FA4909"/>
    <w:rsid w:val="00FA7BCC"/>
    <w:rsid w:val="00FB0B2A"/>
    <w:rsid w:val="00FB118F"/>
    <w:rsid w:val="00FB1C63"/>
    <w:rsid w:val="00FB2729"/>
    <w:rsid w:val="00FB2762"/>
    <w:rsid w:val="00FB2D13"/>
    <w:rsid w:val="00FB622C"/>
    <w:rsid w:val="00FB62CF"/>
    <w:rsid w:val="00FB6FAD"/>
    <w:rsid w:val="00FB7CBF"/>
    <w:rsid w:val="00FC2068"/>
    <w:rsid w:val="00FC3EB4"/>
    <w:rsid w:val="00FC53AF"/>
    <w:rsid w:val="00FC57C3"/>
    <w:rsid w:val="00FC587E"/>
    <w:rsid w:val="00FC5EA0"/>
    <w:rsid w:val="00FC6C58"/>
    <w:rsid w:val="00FC7B05"/>
    <w:rsid w:val="00FD22A6"/>
    <w:rsid w:val="00FD345C"/>
    <w:rsid w:val="00FD38E3"/>
    <w:rsid w:val="00FD394F"/>
    <w:rsid w:val="00FD6377"/>
    <w:rsid w:val="00FD797C"/>
    <w:rsid w:val="00FE03A1"/>
    <w:rsid w:val="00FE0D7C"/>
    <w:rsid w:val="00FE6B45"/>
    <w:rsid w:val="00FF435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0125"/>
    <w:rPr>
      <w:sz w:val="24"/>
      <w:szCs w:val="24"/>
      <w:lang w:val="en-US" w:eastAsia="en-US"/>
    </w:rPr>
  </w:style>
  <w:style w:type="paragraph" w:styleId="Heading1">
    <w:name w:val="heading 1"/>
    <w:basedOn w:val="Normal"/>
    <w:next w:val="Normal"/>
    <w:link w:val="Heading1Char"/>
    <w:uiPriority w:val="9"/>
    <w:qFormat/>
    <w:rsid w:val="00A32BEC"/>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ascii="Cambria" w:eastAsia="Times New Roman" w:hAnsi="Cambria"/>
      <w:b/>
      <w:bCs/>
      <w:sz w:val="20"/>
      <w:szCs w:val="20"/>
      <w:bdr w:val="none" w:sz="0" w:space="0" w:color="auto"/>
    </w:rPr>
  </w:style>
  <w:style w:type="paragraph" w:styleId="Heading2">
    <w:name w:val="heading 2"/>
    <w:basedOn w:val="Heading1"/>
    <w:next w:val="Normal"/>
    <w:link w:val="Heading2Char"/>
    <w:uiPriority w:val="9"/>
    <w:unhideWhenUsed/>
    <w:qFormat/>
    <w:rsid w:val="004347D8"/>
    <w:pPr>
      <w:numPr>
        <w:numId w:val="55"/>
      </w:numPr>
      <w:outlineLvl w:val="1"/>
    </w:pPr>
  </w:style>
  <w:style w:type="paragraph" w:styleId="Heading3">
    <w:name w:val="heading 3"/>
    <w:basedOn w:val="ListParagraph"/>
    <w:next w:val="Normal"/>
    <w:link w:val="Heading3Char"/>
    <w:uiPriority w:val="9"/>
    <w:unhideWhenUsed/>
    <w:qFormat/>
    <w:rsid w:val="00A32BEC"/>
    <w:pPr>
      <w:numPr>
        <w:numId w:val="56"/>
      </w:numPr>
      <w:outlineLvl w:val="2"/>
    </w:pPr>
    <w:rPr>
      <w:rFonts w:eastAsia="Times New Roman"/>
      <w:b/>
      <w:bCs/>
      <w:sz w:val="20"/>
      <w:szCs w:val="20"/>
      <w:bdr w:val="none" w:sz="0" w:space="0" w:color="auto"/>
    </w:rPr>
  </w:style>
  <w:style w:type="paragraph" w:styleId="Heading4">
    <w:name w:val="heading 4"/>
    <w:basedOn w:val="Normal"/>
    <w:next w:val="Normal"/>
    <w:link w:val="Heading4Char"/>
    <w:uiPriority w:val="9"/>
    <w:unhideWhenUsed/>
    <w:qFormat/>
    <w:rsid w:val="001A2F57"/>
    <w:pPr>
      <w:keepNext/>
      <w:keepLines/>
      <w:numPr>
        <w:numId w:val="57"/>
      </w:numPr>
      <w:ind w:left="2520"/>
      <w:jc w:val="both"/>
      <w:outlineLvl w:val="3"/>
    </w:pPr>
    <w:rPr>
      <w:rFonts w:asciiTheme="majorHAnsi" w:eastAsiaTheme="majorEastAsia" w:hAnsiTheme="majorHAnsi" w:cstheme="majorBidi"/>
      <w:b/>
      <w:bCs/>
      <w:iCs/>
      <w:sz w:val="20"/>
    </w:rPr>
  </w:style>
  <w:style w:type="paragraph" w:styleId="Heading5">
    <w:name w:val="heading 5"/>
    <w:basedOn w:val="Normal"/>
    <w:next w:val="Normal"/>
    <w:link w:val="Heading5Char"/>
    <w:uiPriority w:val="9"/>
    <w:semiHidden/>
    <w:unhideWhenUsed/>
    <w:qFormat/>
    <w:rsid w:val="00022B3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A32BEC"/>
    <w:rPr>
      <w:rFonts w:ascii="Cambria" w:eastAsia="Times New Roman" w:hAnsi="Cambria"/>
      <w:b/>
      <w:bCs/>
      <w:bdr w:val="none" w:sz="0" w:space="0" w:color="auto"/>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A67D54"/>
    <w:pPr>
      <w:tabs>
        <w:tab w:val="left" w:pos="1440"/>
        <w:tab w:val="right" w:leader="dot" w:pos="9350"/>
      </w:tabs>
      <w:ind w:left="1440" w:hanging="720"/>
    </w:pPr>
    <w:rPr>
      <w:rFonts w:asciiTheme="minorHAnsi" w:hAnsiTheme="minorHAnsi"/>
      <w:smallCaps/>
      <w:sz w:val="20"/>
      <w:szCs w:val="20"/>
    </w:rPr>
  </w:style>
  <w:style w:type="paragraph" w:styleId="TOC1">
    <w:name w:val="toc 1"/>
    <w:basedOn w:val="Normal"/>
    <w:next w:val="Normal"/>
    <w:autoRedefine/>
    <w:uiPriority w:val="39"/>
    <w:unhideWhenUsed/>
    <w:qFormat/>
    <w:rsid w:val="005C4225"/>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1F036A"/>
    <w:pPr>
      <w:tabs>
        <w:tab w:val="left" w:pos="960"/>
        <w:tab w:val="right" w:leader="dot" w:pos="9350"/>
      </w:tabs>
      <w:ind w:left="990" w:hanging="510"/>
    </w:pPr>
    <w:rPr>
      <w:rFonts w:asciiTheme="minorHAnsi" w:hAnsiTheme="minorHAnsi"/>
      <w:i/>
      <w:iCs/>
      <w:sz w:val="20"/>
      <w:szCs w:val="20"/>
    </w:rPr>
  </w:style>
  <w:style w:type="paragraph" w:styleId="TOC4">
    <w:name w:val="toc 4"/>
    <w:basedOn w:val="Normal"/>
    <w:next w:val="Normal"/>
    <w:autoRedefine/>
    <w:uiPriority w:val="39"/>
    <w:unhideWhenUsed/>
    <w:rsid w:val="005C4225"/>
    <w:pPr>
      <w:ind w:left="720"/>
    </w:pPr>
    <w:rPr>
      <w:rFonts w:asciiTheme="minorHAnsi" w:hAnsiTheme="minorHAnsi"/>
      <w:sz w:val="18"/>
      <w:szCs w:val="18"/>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Footnotes">
    <w:name w:val="Footnotes"/>
    <w:basedOn w:val="FootnoteText"/>
    <w:qFormat/>
    <w:rsid w:val="0057597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character" w:customStyle="1" w:styleId="Heading2Char">
    <w:name w:val="Heading 2 Char"/>
    <w:basedOn w:val="DefaultParagraphFont"/>
    <w:link w:val="Heading2"/>
    <w:uiPriority w:val="9"/>
    <w:rsid w:val="004347D8"/>
    <w:rPr>
      <w:rFonts w:ascii="Cambria" w:eastAsia="Times New Roman" w:hAnsi="Cambria"/>
      <w:b/>
      <w:bCs/>
      <w:bdr w:val="none" w:sz="0" w:space="0" w:color="auto"/>
      <w:lang w:val="en-US" w:eastAsia="en-US"/>
    </w:rPr>
  </w:style>
  <w:style w:type="paragraph" w:styleId="TOCHeading">
    <w:name w:val="TOC Heading"/>
    <w:basedOn w:val="Heading1"/>
    <w:next w:val="Normal"/>
    <w:uiPriority w:val="39"/>
    <w:semiHidden/>
    <w:unhideWhenUsed/>
    <w:qFormat/>
    <w:rsid w:val="00EE7B94"/>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EE7B94"/>
    <w:pPr>
      <w:ind w:left="960"/>
    </w:pPr>
    <w:rPr>
      <w:rFonts w:asciiTheme="minorHAnsi" w:hAnsiTheme="minorHAnsi"/>
      <w:sz w:val="18"/>
      <w:szCs w:val="18"/>
    </w:rPr>
  </w:style>
  <w:style w:type="paragraph" w:styleId="TOC6">
    <w:name w:val="toc 6"/>
    <w:basedOn w:val="Normal"/>
    <w:next w:val="Normal"/>
    <w:autoRedefine/>
    <w:uiPriority w:val="39"/>
    <w:unhideWhenUsed/>
    <w:rsid w:val="00EE7B94"/>
    <w:pPr>
      <w:ind w:left="1200"/>
    </w:pPr>
    <w:rPr>
      <w:rFonts w:asciiTheme="minorHAnsi" w:hAnsiTheme="minorHAnsi"/>
      <w:sz w:val="18"/>
      <w:szCs w:val="18"/>
    </w:rPr>
  </w:style>
  <w:style w:type="paragraph" w:styleId="TOC7">
    <w:name w:val="toc 7"/>
    <w:basedOn w:val="Normal"/>
    <w:next w:val="Normal"/>
    <w:autoRedefine/>
    <w:uiPriority w:val="39"/>
    <w:unhideWhenUsed/>
    <w:rsid w:val="00EE7B94"/>
    <w:pPr>
      <w:ind w:left="1440"/>
    </w:pPr>
    <w:rPr>
      <w:rFonts w:asciiTheme="minorHAnsi" w:hAnsiTheme="minorHAnsi"/>
      <w:sz w:val="18"/>
      <w:szCs w:val="18"/>
    </w:rPr>
  </w:style>
  <w:style w:type="paragraph" w:styleId="TOC8">
    <w:name w:val="toc 8"/>
    <w:basedOn w:val="Normal"/>
    <w:next w:val="Normal"/>
    <w:autoRedefine/>
    <w:uiPriority w:val="39"/>
    <w:unhideWhenUsed/>
    <w:rsid w:val="00EE7B94"/>
    <w:pPr>
      <w:ind w:left="1680"/>
    </w:pPr>
    <w:rPr>
      <w:rFonts w:asciiTheme="minorHAnsi" w:hAnsiTheme="minorHAnsi"/>
      <w:sz w:val="18"/>
      <w:szCs w:val="18"/>
    </w:rPr>
  </w:style>
  <w:style w:type="paragraph" w:styleId="TOC9">
    <w:name w:val="toc 9"/>
    <w:basedOn w:val="Normal"/>
    <w:next w:val="Normal"/>
    <w:autoRedefine/>
    <w:uiPriority w:val="39"/>
    <w:unhideWhenUsed/>
    <w:rsid w:val="00EE7B94"/>
    <w:pPr>
      <w:ind w:left="1920"/>
    </w:pPr>
    <w:rPr>
      <w:rFonts w:asciiTheme="minorHAnsi" w:hAnsiTheme="minorHAnsi"/>
      <w:sz w:val="18"/>
      <w:szCs w:val="18"/>
    </w:rPr>
  </w:style>
  <w:style w:type="character" w:customStyle="1" w:styleId="Heading3Char">
    <w:name w:val="Heading 3 Char"/>
    <w:basedOn w:val="DefaultParagraphFont"/>
    <w:link w:val="Heading3"/>
    <w:uiPriority w:val="9"/>
    <w:rsid w:val="00A32BEC"/>
    <w:rPr>
      <w:rFonts w:ascii="Cambria" w:eastAsia="Times New Roman" w:hAnsi="Cambria" w:cs="Cambria"/>
      <w:b/>
      <w:bCs/>
      <w:color w:val="000000"/>
      <w:u w:color="000000"/>
      <w:bdr w:val="none" w:sz="0" w:space="0" w:color="auto"/>
      <w:lang w:val="en-US"/>
    </w:rPr>
  </w:style>
  <w:style w:type="character" w:customStyle="1" w:styleId="Heading4Char">
    <w:name w:val="Heading 4 Char"/>
    <w:basedOn w:val="DefaultParagraphFont"/>
    <w:link w:val="Heading4"/>
    <w:uiPriority w:val="9"/>
    <w:rsid w:val="001A2F57"/>
    <w:rPr>
      <w:rFonts w:asciiTheme="majorHAnsi" w:eastAsiaTheme="majorEastAsia" w:hAnsiTheme="majorHAnsi" w:cstheme="majorBidi"/>
      <w:b/>
      <w:bCs/>
      <w:iCs/>
      <w:szCs w:val="24"/>
      <w:lang w:val="en-US" w:eastAsia="en-US"/>
    </w:rPr>
  </w:style>
  <w:style w:type="paragraph" w:styleId="NormalWeb">
    <w:name w:val="Normal (Web)"/>
    <w:basedOn w:val="Normal"/>
    <w:uiPriority w:val="99"/>
    <w:semiHidden/>
    <w:unhideWhenUsed/>
    <w:rsid w:val="00AD5EAA"/>
  </w:style>
  <w:style w:type="character" w:customStyle="1" w:styleId="apple-converted-space">
    <w:name w:val="apple-converted-space"/>
    <w:basedOn w:val="DefaultParagraphFont"/>
    <w:rsid w:val="00755CD3"/>
  </w:style>
  <w:style w:type="paragraph" w:styleId="DocumentMap">
    <w:name w:val="Document Map"/>
    <w:basedOn w:val="Normal"/>
    <w:link w:val="DocumentMapChar"/>
    <w:uiPriority w:val="99"/>
    <w:semiHidden/>
    <w:unhideWhenUsed/>
    <w:rsid w:val="00383F7A"/>
    <w:rPr>
      <w:rFonts w:ascii="Lucida Grande" w:hAnsi="Lucida Grande" w:cs="Lucida Grande"/>
    </w:rPr>
  </w:style>
  <w:style w:type="character" w:customStyle="1" w:styleId="DocumentMapChar">
    <w:name w:val="Document Map Char"/>
    <w:basedOn w:val="DefaultParagraphFont"/>
    <w:link w:val="DocumentMap"/>
    <w:uiPriority w:val="99"/>
    <w:semiHidden/>
    <w:rsid w:val="00383F7A"/>
    <w:rPr>
      <w:rFonts w:ascii="Lucida Grande" w:hAnsi="Lucida Grande" w:cs="Lucida Grande"/>
      <w:sz w:val="24"/>
      <w:szCs w:val="24"/>
      <w:lang w:val="en-US" w:eastAsia="en-US"/>
    </w:rPr>
  </w:style>
  <w:style w:type="character" w:styleId="FollowedHyperlink">
    <w:name w:val="FollowedHyperlink"/>
    <w:basedOn w:val="DefaultParagraphFont"/>
    <w:uiPriority w:val="99"/>
    <w:semiHidden/>
    <w:unhideWhenUsed/>
    <w:rsid w:val="002223D8"/>
    <w:rPr>
      <w:color w:val="800080" w:themeColor="followedHyperlink"/>
      <w:u w:val="single"/>
    </w:rPr>
  </w:style>
  <w:style w:type="character" w:customStyle="1" w:styleId="Heading5Char">
    <w:name w:val="Heading 5 Char"/>
    <w:basedOn w:val="DefaultParagraphFont"/>
    <w:link w:val="Heading5"/>
    <w:uiPriority w:val="9"/>
    <w:semiHidden/>
    <w:rsid w:val="00022B31"/>
    <w:rPr>
      <w:rFonts w:asciiTheme="majorHAnsi" w:eastAsiaTheme="majorEastAsia" w:hAnsiTheme="majorHAnsi" w:cstheme="majorBidi"/>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0125"/>
    <w:rPr>
      <w:sz w:val="24"/>
      <w:szCs w:val="24"/>
      <w:lang w:val="en-US" w:eastAsia="en-US"/>
    </w:rPr>
  </w:style>
  <w:style w:type="paragraph" w:styleId="Heading1">
    <w:name w:val="heading 1"/>
    <w:basedOn w:val="Normal"/>
    <w:next w:val="Normal"/>
    <w:link w:val="Heading1Char"/>
    <w:uiPriority w:val="9"/>
    <w:qFormat/>
    <w:rsid w:val="00A32BEC"/>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ascii="Cambria" w:eastAsia="Times New Roman" w:hAnsi="Cambria"/>
      <w:b/>
      <w:bCs/>
      <w:sz w:val="20"/>
      <w:szCs w:val="20"/>
      <w:bdr w:val="none" w:sz="0" w:space="0" w:color="auto"/>
    </w:rPr>
  </w:style>
  <w:style w:type="paragraph" w:styleId="Heading2">
    <w:name w:val="heading 2"/>
    <w:basedOn w:val="Heading1"/>
    <w:next w:val="Normal"/>
    <w:link w:val="Heading2Char"/>
    <w:uiPriority w:val="9"/>
    <w:unhideWhenUsed/>
    <w:qFormat/>
    <w:rsid w:val="004347D8"/>
    <w:pPr>
      <w:numPr>
        <w:numId w:val="55"/>
      </w:numPr>
      <w:outlineLvl w:val="1"/>
    </w:pPr>
  </w:style>
  <w:style w:type="paragraph" w:styleId="Heading3">
    <w:name w:val="heading 3"/>
    <w:basedOn w:val="ListParagraph"/>
    <w:next w:val="Normal"/>
    <w:link w:val="Heading3Char"/>
    <w:uiPriority w:val="9"/>
    <w:unhideWhenUsed/>
    <w:qFormat/>
    <w:rsid w:val="00A32BEC"/>
    <w:pPr>
      <w:numPr>
        <w:numId w:val="56"/>
      </w:numPr>
      <w:outlineLvl w:val="2"/>
    </w:pPr>
    <w:rPr>
      <w:rFonts w:eastAsia="Times New Roman"/>
      <w:b/>
      <w:bCs/>
      <w:sz w:val="20"/>
      <w:szCs w:val="20"/>
      <w:bdr w:val="none" w:sz="0" w:space="0" w:color="auto"/>
    </w:rPr>
  </w:style>
  <w:style w:type="paragraph" w:styleId="Heading4">
    <w:name w:val="heading 4"/>
    <w:basedOn w:val="Normal"/>
    <w:next w:val="Normal"/>
    <w:link w:val="Heading4Char"/>
    <w:uiPriority w:val="9"/>
    <w:unhideWhenUsed/>
    <w:qFormat/>
    <w:rsid w:val="001A2F57"/>
    <w:pPr>
      <w:keepNext/>
      <w:keepLines/>
      <w:numPr>
        <w:numId w:val="57"/>
      </w:numPr>
      <w:ind w:left="2520"/>
      <w:jc w:val="both"/>
      <w:outlineLvl w:val="3"/>
    </w:pPr>
    <w:rPr>
      <w:rFonts w:asciiTheme="majorHAnsi" w:eastAsiaTheme="majorEastAsia" w:hAnsiTheme="majorHAnsi" w:cstheme="majorBidi"/>
      <w:b/>
      <w:bCs/>
      <w:iCs/>
      <w:sz w:val="20"/>
    </w:rPr>
  </w:style>
  <w:style w:type="paragraph" w:styleId="Heading5">
    <w:name w:val="heading 5"/>
    <w:basedOn w:val="Normal"/>
    <w:next w:val="Normal"/>
    <w:link w:val="Heading5Char"/>
    <w:uiPriority w:val="9"/>
    <w:semiHidden/>
    <w:unhideWhenUsed/>
    <w:qFormat/>
    <w:rsid w:val="00022B3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A32BEC"/>
    <w:rPr>
      <w:rFonts w:ascii="Cambria" w:eastAsia="Times New Roman" w:hAnsi="Cambria"/>
      <w:b/>
      <w:bCs/>
      <w:bdr w:val="none" w:sz="0" w:space="0" w:color="auto"/>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A67D54"/>
    <w:pPr>
      <w:tabs>
        <w:tab w:val="left" w:pos="1440"/>
        <w:tab w:val="right" w:leader="dot" w:pos="9350"/>
      </w:tabs>
      <w:ind w:left="1440" w:hanging="720"/>
    </w:pPr>
    <w:rPr>
      <w:rFonts w:asciiTheme="minorHAnsi" w:hAnsiTheme="minorHAnsi"/>
      <w:smallCaps/>
      <w:sz w:val="20"/>
      <w:szCs w:val="20"/>
    </w:rPr>
  </w:style>
  <w:style w:type="paragraph" w:styleId="TOC1">
    <w:name w:val="toc 1"/>
    <w:basedOn w:val="Normal"/>
    <w:next w:val="Normal"/>
    <w:autoRedefine/>
    <w:uiPriority w:val="39"/>
    <w:unhideWhenUsed/>
    <w:qFormat/>
    <w:rsid w:val="005C4225"/>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1F036A"/>
    <w:pPr>
      <w:tabs>
        <w:tab w:val="left" w:pos="960"/>
        <w:tab w:val="right" w:leader="dot" w:pos="9350"/>
      </w:tabs>
      <w:ind w:left="990" w:hanging="510"/>
    </w:pPr>
    <w:rPr>
      <w:rFonts w:asciiTheme="minorHAnsi" w:hAnsiTheme="minorHAnsi"/>
      <w:i/>
      <w:iCs/>
      <w:sz w:val="20"/>
      <w:szCs w:val="20"/>
    </w:rPr>
  </w:style>
  <w:style w:type="paragraph" w:styleId="TOC4">
    <w:name w:val="toc 4"/>
    <w:basedOn w:val="Normal"/>
    <w:next w:val="Normal"/>
    <w:autoRedefine/>
    <w:uiPriority w:val="39"/>
    <w:unhideWhenUsed/>
    <w:rsid w:val="005C4225"/>
    <w:pPr>
      <w:ind w:left="720"/>
    </w:pPr>
    <w:rPr>
      <w:rFonts w:asciiTheme="minorHAnsi" w:hAnsiTheme="minorHAnsi"/>
      <w:sz w:val="18"/>
      <w:szCs w:val="18"/>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Footnotes">
    <w:name w:val="Footnotes"/>
    <w:basedOn w:val="FootnoteText"/>
    <w:qFormat/>
    <w:rsid w:val="0057597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character" w:customStyle="1" w:styleId="Heading2Char">
    <w:name w:val="Heading 2 Char"/>
    <w:basedOn w:val="DefaultParagraphFont"/>
    <w:link w:val="Heading2"/>
    <w:uiPriority w:val="9"/>
    <w:rsid w:val="004347D8"/>
    <w:rPr>
      <w:rFonts w:ascii="Cambria" w:eastAsia="Times New Roman" w:hAnsi="Cambria"/>
      <w:b/>
      <w:bCs/>
      <w:bdr w:val="none" w:sz="0" w:space="0" w:color="auto"/>
      <w:lang w:val="en-US" w:eastAsia="en-US"/>
    </w:rPr>
  </w:style>
  <w:style w:type="paragraph" w:styleId="TOCHeading">
    <w:name w:val="TOC Heading"/>
    <w:basedOn w:val="Heading1"/>
    <w:next w:val="Normal"/>
    <w:uiPriority w:val="39"/>
    <w:semiHidden/>
    <w:unhideWhenUsed/>
    <w:qFormat/>
    <w:rsid w:val="00EE7B94"/>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EE7B94"/>
    <w:pPr>
      <w:ind w:left="960"/>
    </w:pPr>
    <w:rPr>
      <w:rFonts w:asciiTheme="minorHAnsi" w:hAnsiTheme="minorHAnsi"/>
      <w:sz w:val="18"/>
      <w:szCs w:val="18"/>
    </w:rPr>
  </w:style>
  <w:style w:type="paragraph" w:styleId="TOC6">
    <w:name w:val="toc 6"/>
    <w:basedOn w:val="Normal"/>
    <w:next w:val="Normal"/>
    <w:autoRedefine/>
    <w:uiPriority w:val="39"/>
    <w:unhideWhenUsed/>
    <w:rsid w:val="00EE7B94"/>
    <w:pPr>
      <w:ind w:left="1200"/>
    </w:pPr>
    <w:rPr>
      <w:rFonts w:asciiTheme="minorHAnsi" w:hAnsiTheme="minorHAnsi"/>
      <w:sz w:val="18"/>
      <w:szCs w:val="18"/>
    </w:rPr>
  </w:style>
  <w:style w:type="paragraph" w:styleId="TOC7">
    <w:name w:val="toc 7"/>
    <w:basedOn w:val="Normal"/>
    <w:next w:val="Normal"/>
    <w:autoRedefine/>
    <w:uiPriority w:val="39"/>
    <w:unhideWhenUsed/>
    <w:rsid w:val="00EE7B94"/>
    <w:pPr>
      <w:ind w:left="1440"/>
    </w:pPr>
    <w:rPr>
      <w:rFonts w:asciiTheme="minorHAnsi" w:hAnsiTheme="minorHAnsi"/>
      <w:sz w:val="18"/>
      <w:szCs w:val="18"/>
    </w:rPr>
  </w:style>
  <w:style w:type="paragraph" w:styleId="TOC8">
    <w:name w:val="toc 8"/>
    <w:basedOn w:val="Normal"/>
    <w:next w:val="Normal"/>
    <w:autoRedefine/>
    <w:uiPriority w:val="39"/>
    <w:unhideWhenUsed/>
    <w:rsid w:val="00EE7B94"/>
    <w:pPr>
      <w:ind w:left="1680"/>
    </w:pPr>
    <w:rPr>
      <w:rFonts w:asciiTheme="minorHAnsi" w:hAnsiTheme="minorHAnsi"/>
      <w:sz w:val="18"/>
      <w:szCs w:val="18"/>
    </w:rPr>
  </w:style>
  <w:style w:type="paragraph" w:styleId="TOC9">
    <w:name w:val="toc 9"/>
    <w:basedOn w:val="Normal"/>
    <w:next w:val="Normal"/>
    <w:autoRedefine/>
    <w:uiPriority w:val="39"/>
    <w:unhideWhenUsed/>
    <w:rsid w:val="00EE7B94"/>
    <w:pPr>
      <w:ind w:left="1920"/>
    </w:pPr>
    <w:rPr>
      <w:rFonts w:asciiTheme="minorHAnsi" w:hAnsiTheme="minorHAnsi"/>
      <w:sz w:val="18"/>
      <w:szCs w:val="18"/>
    </w:rPr>
  </w:style>
  <w:style w:type="character" w:customStyle="1" w:styleId="Heading3Char">
    <w:name w:val="Heading 3 Char"/>
    <w:basedOn w:val="DefaultParagraphFont"/>
    <w:link w:val="Heading3"/>
    <w:uiPriority w:val="9"/>
    <w:rsid w:val="00A32BEC"/>
    <w:rPr>
      <w:rFonts w:ascii="Cambria" w:eastAsia="Times New Roman" w:hAnsi="Cambria" w:cs="Cambria"/>
      <w:b/>
      <w:bCs/>
      <w:color w:val="000000"/>
      <w:u w:color="000000"/>
      <w:bdr w:val="none" w:sz="0" w:space="0" w:color="auto"/>
      <w:lang w:val="en-US"/>
    </w:rPr>
  </w:style>
  <w:style w:type="character" w:customStyle="1" w:styleId="Heading4Char">
    <w:name w:val="Heading 4 Char"/>
    <w:basedOn w:val="DefaultParagraphFont"/>
    <w:link w:val="Heading4"/>
    <w:uiPriority w:val="9"/>
    <w:rsid w:val="001A2F57"/>
    <w:rPr>
      <w:rFonts w:asciiTheme="majorHAnsi" w:eastAsiaTheme="majorEastAsia" w:hAnsiTheme="majorHAnsi" w:cstheme="majorBidi"/>
      <w:b/>
      <w:bCs/>
      <w:iCs/>
      <w:szCs w:val="24"/>
      <w:lang w:val="en-US" w:eastAsia="en-US"/>
    </w:rPr>
  </w:style>
  <w:style w:type="paragraph" w:styleId="NormalWeb">
    <w:name w:val="Normal (Web)"/>
    <w:basedOn w:val="Normal"/>
    <w:uiPriority w:val="99"/>
    <w:semiHidden/>
    <w:unhideWhenUsed/>
    <w:rsid w:val="00AD5EAA"/>
  </w:style>
  <w:style w:type="character" w:customStyle="1" w:styleId="apple-converted-space">
    <w:name w:val="apple-converted-space"/>
    <w:basedOn w:val="DefaultParagraphFont"/>
    <w:rsid w:val="00755CD3"/>
  </w:style>
  <w:style w:type="paragraph" w:styleId="DocumentMap">
    <w:name w:val="Document Map"/>
    <w:basedOn w:val="Normal"/>
    <w:link w:val="DocumentMapChar"/>
    <w:uiPriority w:val="99"/>
    <w:semiHidden/>
    <w:unhideWhenUsed/>
    <w:rsid w:val="00383F7A"/>
    <w:rPr>
      <w:rFonts w:ascii="Lucida Grande" w:hAnsi="Lucida Grande" w:cs="Lucida Grande"/>
    </w:rPr>
  </w:style>
  <w:style w:type="character" w:customStyle="1" w:styleId="DocumentMapChar">
    <w:name w:val="Document Map Char"/>
    <w:basedOn w:val="DefaultParagraphFont"/>
    <w:link w:val="DocumentMap"/>
    <w:uiPriority w:val="99"/>
    <w:semiHidden/>
    <w:rsid w:val="00383F7A"/>
    <w:rPr>
      <w:rFonts w:ascii="Lucida Grande" w:hAnsi="Lucida Grande" w:cs="Lucida Grande"/>
      <w:sz w:val="24"/>
      <w:szCs w:val="24"/>
      <w:lang w:val="en-US" w:eastAsia="en-US"/>
    </w:rPr>
  </w:style>
  <w:style w:type="character" w:styleId="FollowedHyperlink">
    <w:name w:val="FollowedHyperlink"/>
    <w:basedOn w:val="DefaultParagraphFont"/>
    <w:uiPriority w:val="99"/>
    <w:semiHidden/>
    <w:unhideWhenUsed/>
    <w:rsid w:val="002223D8"/>
    <w:rPr>
      <w:color w:val="800080" w:themeColor="followedHyperlink"/>
      <w:u w:val="single"/>
    </w:rPr>
  </w:style>
  <w:style w:type="character" w:customStyle="1" w:styleId="Heading5Char">
    <w:name w:val="Heading 5 Char"/>
    <w:basedOn w:val="DefaultParagraphFont"/>
    <w:link w:val="Heading5"/>
    <w:uiPriority w:val="9"/>
    <w:semiHidden/>
    <w:rsid w:val="00022B31"/>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7561">
      <w:bodyDiv w:val="1"/>
      <w:marLeft w:val="0"/>
      <w:marRight w:val="0"/>
      <w:marTop w:val="0"/>
      <w:marBottom w:val="0"/>
      <w:divBdr>
        <w:top w:val="none" w:sz="0" w:space="0" w:color="auto"/>
        <w:left w:val="none" w:sz="0" w:space="0" w:color="auto"/>
        <w:bottom w:val="none" w:sz="0" w:space="0" w:color="auto"/>
        <w:right w:val="none" w:sz="0" w:space="0" w:color="auto"/>
      </w:divBdr>
    </w:div>
    <w:div w:id="428889623">
      <w:bodyDiv w:val="1"/>
      <w:marLeft w:val="0"/>
      <w:marRight w:val="0"/>
      <w:marTop w:val="0"/>
      <w:marBottom w:val="0"/>
      <w:divBdr>
        <w:top w:val="none" w:sz="0" w:space="0" w:color="auto"/>
        <w:left w:val="none" w:sz="0" w:space="0" w:color="auto"/>
        <w:bottom w:val="none" w:sz="0" w:space="0" w:color="auto"/>
        <w:right w:val="none" w:sz="0" w:space="0" w:color="auto"/>
      </w:divBdr>
    </w:div>
    <w:div w:id="540095902">
      <w:bodyDiv w:val="1"/>
      <w:marLeft w:val="0"/>
      <w:marRight w:val="0"/>
      <w:marTop w:val="0"/>
      <w:marBottom w:val="0"/>
      <w:divBdr>
        <w:top w:val="none" w:sz="0" w:space="0" w:color="auto"/>
        <w:left w:val="none" w:sz="0" w:space="0" w:color="auto"/>
        <w:bottom w:val="none" w:sz="0" w:space="0" w:color="auto"/>
        <w:right w:val="none" w:sz="0" w:space="0" w:color="auto"/>
      </w:divBdr>
    </w:div>
    <w:div w:id="585308049">
      <w:bodyDiv w:val="1"/>
      <w:marLeft w:val="0"/>
      <w:marRight w:val="0"/>
      <w:marTop w:val="0"/>
      <w:marBottom w:val="0"/>
      <w:divBdr>
        <w:top w:val="none" w:sz="0" w:space="0" w:color="auto"/>
        <w:left w:val="none" w:sz="0" w:space="0" w:color="auto"/>
        <w:bottom w:val="none" w:sz="0" w:space="0" w:color="auto"/>
        <w:right w:val="none" w:sz="0" w:space="0" w:color="auto"/>
      </w:divBdr>
    </w:div>
    <w:div w:id="763957059">
      <w:bodyDiv w:val="1"/>
      <w:marLeft w:val="0"/>
      <w:marRight w:val="0"/>
      <w:marTop w:val="0"/>
      <w:marBottom w:val="0"/>
      <w:divBdr>
        <w:top w:val="none" w:sz="0" w:space="0" w:color="auto"/>
        <w:left w:val="none" w:sz="0" w:space="0" w:color="auto"/>
        <w:bottom w:val="none" w:sz="0" w:space="0" w:color="auto"/>
        <w:right w:val="none" w:sz="0" w:space="0" w:color="auto"/>
      </w:divBdr>
    </w:div>
    <w:div w:id="935670227">
      <w:bodyDiv w:val="1"/>
      <w:marLeft w:val="0"/>
      <w:marRight w:val="0"/>
      <w:marTop w:val="0"/>
      <w:marBottom w:val="0"/>
      <w:divBdr>
        <w:top w:val="none" w:sz="0" w:space="0" w:color="auto"/>
        <w:left w:val="none" w:sz="0" w:space="0" w:color="auto"/>
        <w:bottom w:val="none" w:sz="0" w:space="0" w:color="auto"/>
        <w:right w:val="none" w:sz="0" w:space="0" w:color="auto"/>
      </w:divBdr>
    </w:div>
    <w:div w:id="962541619">
      <w:bodyDiv w:val="1"/>
      <w:marLeft w:val="0"/>
      <w:marRight w:val="0"/>
      <w:marTop w:val="0"/>
      <w:marBottom w:val="0"/>
      <w:divBdr>
        <w:top w:val="none" w:sz="0" w:space="0" w:color="auto"/>
        <w:left w:val="none" w:sz="0" w:space="0" w:color="auto"/>
        <w:bottom w:val="none" w:sz="0" w:space="0" w:color="auto"/>
        <w:right w:val="none" w:sz="0" w:space="0" w:color="auto"/>
      </w:divBdr>
    </w:div>
    <w:div w:id="988440892">
      <w:bodyDiv w:val="1"/>
      <w:marLeft w:val="0"/>
      <w:marRight w:val="0"/>
      <w:marTop w:val="0"/>
      <w:marBottom w:val="0"/>
      <w:divBdr>
        <w:top w:val="none" w:sz="0" w:space="0" w:color="auto"/>
        <w:left w:val="none" w:sz="0" w:space="0" w:color="auto"/>
        <w:bottom w:val="none" w:sz="0" w:space="0" w:color="auto"/>
        <w:right w:val="none" w:sz="0" w:space="0" w:color="auto"/>
      </w:divBdr>
      <w:divsChild>
        <w:div w:id="300890744">
          <w:marLeft w:val="0"/>
          <w:marRight w:val="0"/>
          <w:marTop w:val="0"/>
          <w:marBottom w:val="0"/>
          <w:divBdr>
            <w:top w:val="none" w:sz="0" w:space="0" w:color="auto"/>
            <w:left w:val="none" w:sz="0" w:space="0" w:color="auto"/>
            <w:bottom w:val="none" w:sz="0" w:space="0" w:color="auto"/>
            <w:right w:val="none" w:sz="0" w:space="0" w:color="auto"/>
          </w:divBdr>
        </w:div>
        <w:div w:id="469708535">
          <w:marLeft w:val="0"/>
          <w:marRight w:val="0"/>
          <w:marTop w:val="0"/>
          <w:marBottom w:val="0"/>
          <w:divBdr>
            <w:top w:val="none" w:sz="0" w:space="0" w:color="auto"/>
            <w:left w:val="none" w:sz="0" w:space="0" w:color="auto"/>
            <w:bottom w:val="none" w:sz="0" w:space="0" w:color="auto"/>
            <w:right w:val="none" w:sz="0" w:space="0" w:color="auto"/>
          </w:divBdr>
        </w:div>
        <w:div w:id="1498499333">
          <w:marLeft w:val="0"/>
          <w:marRight w:val="0"/>
          <w:marTop w:val="0"/>
          <w:marBottom w:val="0"/>
          <w:divBdr>
            <w:top w:val="none" w:sz="0" w:space="0" w:color="auto"/>
            <w:left w:val="none" w:sz="0" w:space="0" w:color="auto"/>
            <w:bottom w:val="none" w:sz="0" w:space="0" w:color="auto"/>
            <w:right w:val="none" w:sz="0" w:space="0" w:color="auto"/>
          </w:divBdr>
        </w:div>
        <w:div w:id="1896820554">
          <w:marLeft w:val="0"/>
          <w:marRight w:val="0"/>
          <w:marTop w:val="0"/>
          <w:marBottom w:val="0"/>
          <w:divBdr>
            <w:top w:val="none" w:sz="0" w:space="0" w:color="auto"/>
            <w:left w:val="none" w:sz="0" w:space="0" w:color="auto"/>
            <w:bottom w:val="none" w:sz="0" w:space="0" w:color="auto"/>
            <w:right w:val="none" w:sz="0" w:space="0" w:color="auto"/>
          </w:divBdr>
        </w:div>
        <w:div w:id="1254703804">
          <w:marLeft w:val="0"/>
          <w:marRight w:val="0"/>
          <w:marTop w:val="0"/>
          <w:marBottom w:val="0"/>
          <w:divBdr>
            <w:top w:val="none" w:sz="0" w:space="0" w:color="auto"/>
            <w:left w:val="none" w:sz="0" w:space="0" w:color="auto"/>
            <w:bottom w:val="none" w:sz="0" w:space="0" w:color="auto"/>
            <w:right w:val="none" w:sz="0" w:space="0" w:color="auto"/>
          </w:divBdr>
        </w:div>
      </w:divsChild>
    </w:div>
    <w:div w:id="1095516461">
      <w:bodyDiv w:val="1"/>
      <w:marLeft w:val="0"/>
      <w:marRight w:val="0"/>
      <w:marTop w:val="0"/>
      <w:marBottom w:val="0"/>
      <w:divBdr>
        <w:top w:val="none" w:sz="0" w:space="0" w:color="auto"/>
        <w:left w:val="none" w:sz="0" w:space="0" w:color="auto"/>
        <w:bottom w:val="none" w:sz="0" w:space="0" w:color="auto"/>
        <w:right w:val="none" w:sz="0" w:space="0" w:color="auto"/>
      </w:divBdr>
    </w:div>
    <w:div w:id="12568675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9176714">
      <w:bodyDiv w:val="1"/>
      <w:marLeft w:val="0"/>
      <w:marRight w:val="0"/>
      <w:marTop w:val="0"/>
      <w:marBottom w:val="0"/>
      <w:divBdr>
        <w:top w:val="none" w:sz="0" w:space="0" w:color="auto"/>
        <w:left w:val="none" w:sz="0" w:space="0" w:color="auto"/>
        <w:bottom w:val="none" w:sz="0" w:space="0" w:color="auto"/>
        <w:right w:val="none" w:sz="0" w:space="0" w:color="auto"/>
      </w:divBdr>
    </w:div>
    <w:div w:id="1812750918">
      <w:bodyDiv w:val="1"/>
      <w:marLeft w:val="0"/>
      <w:marRight w:val="0"/>
      <w:marTop w:val="0"/>
      <w:marBottom w:val="0"/>
      <w:divBdr>
        <w:top w:val="none" w:sz="0" w:space="0" w:color="auto"/>
        <w:left w:val="none" w:sz="0" w:space="0" w:color="auto"/>
        <w:bottom w:val="none" w:sz="0" w:space="0" w:color="auto"/>
        <w:right w:val="none" w:sz="0" w:space="0" w:color="auto"/>
      </w:divBdr>
    </w:div>
    <w:div w:id="1815609815">
      <w:bodyDiv w:val="1"/>
      <w:marLeft w:val="0"/>
      <w:marRight w:val="0"/>
      <w:marTop w:val="0"/>
      <w:marBottom w:val="0"/>
      <w:divBdr>
        <w:top w:val="none" w:sz="0" w:space="0" w:color="auto"/>
        <w:left w:val="none" w:sz="0" w:space="0" w:color="auto"/>
        <w:bottom w:val="none" w:sz="0" w:space="0" w:color="auto"/>
        <w:right w:val="none" w:sz="0" w:space="0" w:color="auto"/>
      </w:divBdr>
    </w:div>
    <w:div w:id="1907255244">
      <w:bodyDiv w:val="1"/>
      <w:marLeft w:val="0"/>
      <w:marRight w:val="0"/>
      <w:marTop w:val="0"/>
      <w:marBottom w:val="0"/>
      <w:divBdr>
        <w:top w:val="none" w:sz="0" w:space="0" w:color="auto"/>
        <w:left w:val="none" w:sz="0" w:space="0" w:color="auto"/>
        <w:bottom w:val="none" w:sz="0" w:space="0" w:color="auto"/>
        <w:right w:val="none" w:sz="0" w:space="0" w:color="auto"/>
      </w:divBdr>
    </w:div>
    <w:div w:id="1986230413">
      <w:bodyDiv w:val="1"/>
      <w:marLeft w:val="0"/>
      <w:marRight w:val="0"/>
      <w:marTop w:val="0"/>
      <w:marBottom w:val="0"/>
      <w:divBdr>
        <w:top w:val="none" w:sz="0" w:space="0" w:color="auto"/>
        <w:left w:val="none" w:sz="0" w:space="0" w:color="auto"/>
        <w:bottom w:val="none" w:sz="0" w:space="0" w:color="auto"/>
        <w:right w:val="none" w:sz="0" w:space="0" w:color="auto"/>
      </w:divBdr>
      <w:divsChild>
        <w:div w:id="1899513212">
          <w:marLeft w:val="0"/>
          <w:marRight w:val="0"/>
          <w:marTop w:val="0"/>
          <w:marBottom w:val="0"/>
          <w:divBdr>
            <w:top w:val="none" w:sz="0" w:space="0" w:color="auto"/>
            <w:left w:val="none" w:sz="0" w:space="0" w:color="auto"/>
            <w:bottom w:val="none" w:sz="0" w:space="0" w:color="auto"/>
            <w:right w:val="none" w:sz="0" w:space="0" w:color="auto"/>
          </w:divBdr>
        </w:div>
        <w:div w:id="1047727899">
          <w:marLeft w:val="0"/>
          <w:marRight w:val="0"/>
          <w:marTop w:val="0"/>
          <w:marBottom w:val="0"/>
          <w:divBdr>
            <w:top w:val="none" w:sz="0" w:space="0" w:color="auto"/>
            <w:left w:val="none" w:sz="0" w:space="0" w:color="auto"/>
            <w:bottom w:val="none" w:sz="0" w:space="0" w:color="auto"/>
            <w:right w:val="none" w:sz="0" w:space="0" w:color="auto"/>
          </w:divBdr>
        </w:div>
        <w:div w:id="482544698">
          <w:marLeft w:val="0"/>
          <w:marRight w:val="0"/>
          <w:marTop w:val="0"/>
          <w:marBottom w:val="0"/>
          <w:divBdr>
            <w:top w:val="none" w:sz="0" w:space="0" w:color="auto"/>
            <w:left w:val="none" w:sz="0" w:space="0" w:color="auto"/>
            <w:bottom w:val="none" w:sz="0" w:space="0" w:color="auto"/>
            <w:right w:val="none" w:sz="0" w:space="0" w:color="auto"/>
          </w:divBdr>
        </w:div>
        <w:div w:id="604463396">
          <w:marLeft w:val="0"/>
          <w:marRight w:val="0"/>
          <w:marTop w:val="0"/>
          <w:marBottom w:val="0"/>
          <w:divBdr>
            <w:top w:val="none" w:sz="0" w:space="0" w:color="auto"/>
            <w:left w:val="none" w:sz="0" w:space="0" w:color="auto"/>
            <w:bottom w:val="none" w:sz="0" w:space="0" w:color="auto"/>
            <w:right w:val="none" w:sz="0" w:space="0" w:color="auto"/>
          </w:divBdr>
        </w:div>
        <w:div w:id="875393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ortal.state.pa.us/portal/server.pt/%20community/workers%27_compensation/10386/about_workers%27_compensation/552721" TargetMode="External"/><Relationship Id="rId7" Type="http://schemas.openxmlformats.org/officeDocument/2006/relationships/hyperlink" Target="http://www.ilo.org/global/topics/equality-and-discrimination/lang--es/index.htm" TargetMode="External"/><Relationship Id="rId2" Type="http://schemas.openxmlformats.org/officeDocument/2006/relationships/hyperlink" Target="https://www.youtube.com/%20watch?v=GtZumYHuqAU" TargetMode="External"/><Relationship Id="rId1" Type="http://schemas.openxmlformats.org/officeDocument/2006/relationships/hyperlink" Target="http://www.oas.org/es/cidh/multimedia/sesiones/154/default.asp" TargetMode="External"/><Relationship Id="rId6" Type="http://schemas.openxmlformats.org/officeDocument/2006/relationships/hyperlink" Target="http://www.uscis.gov/sites/default/files/files/form/m-274.pdf" TargetMode="External"/><Relationship Id="rId5" Type="http://schemas.openxmlformats.org/officeDocument/2006/relationships/hyperlink" Target="http://www.uscis.gov/i-9" TargetMode="External"/><Relationship Id="rId4" Type="http://schemas.openxmlformats.org/officeDocument/2006/relationships/hyperlink" Target="https://www.osha.gov/StratPlanPubl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EB8-7C74-41CF-A0A1-CFF6C36D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16452</Words>
  <Characters>93783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50/16</dc:title>
  <dc:creator/>
  <cp:lastModifiedBy/>
  <cp:revision>1</cp:revision>
  <dcterms:created xsi:type="dcterms:W3CDTF">2017-03-02T14:40:00Z</dcterms:created>
  <dcterms:modified xsi:type="dcterms:W3CDTF">2017-03-02T14:46:00Z</dcterms:modified>
</cp:coreProperties>
</file>