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C1446" w:rsidRDefault="00D306D1" w:rsidP="00071C55">
      <w:pPr>
        <w:jc w:val="both"/>
        <w:rPr>
          <w:rFonts w:asciiTheme="majorHAnsi" w:hAnsiTheme="majorHAnsi" w:cs="Univers"/>
          <w:b/>
          <w:bCs/>
          <w:sz w:val="20"/>
          <w:szCs w:val="20"/>
          <w:lang w:val="es-ES_tradnl"/>
        </w:rPr>
      </w:pPr>
      <w:r w:rsidRPr="000C144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D640D5" wp14:editId="1181F51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C144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1A502D2" wp14:editId="726A0F5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Default="00B47F78" w:rsidP="00AE5488">
                            <w:r>
                              <w:rPr>
                                <w:noProof/>
                              </w:rPr>
                              <w:drawing>
                                <wp:inline distT="0" distB="0" distL="0" distR="0" wp14:anchorId="4730BE01" wp14:editId="33F60D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47F78" w:rsidRDefault="00B47F78" w:rsidP="00AE5488">
                      <w:r>
                        <w:rPr>
                          <w:noProof/>
                        </w:rPr>
                        <w:drawing>
                          <wp:inline distT="0" distB="0" distL="0" distR="0" wp14:anchorId="4730BE01" wp14:editId="33F60D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C1446" w:rsidRDefault="00040C3A" w:rsidP="00071C55">
      <w:pPr>
        <w:tabs>
          <w:tab w:val="center" w:pos="5400"/>
        </w:tabs>
        <w:suppressAutoHyphens/>
        <w:jc w:val="both"/>
        <w:rPr>
          <w:rFonts w:asciiTheme="majorHAnsi" w:hAnsiTheme="majorHAnsi"/>
          <w:sz w:val="20"/>
          <w:szCs w:val="20"/>
          <w:lang w:val="es-ES"/>
        </w:rPr>
      </w:pPr>
    </w:p>
    <w:p w:rsidR="00040C3A" w:rsidRPr="000C1446" w:rsidRDefault="00040C3A" w:rsidP="00071C55">
      <w:pPr>
        <w:tabs>
          <w:tab w:val="center" w:pos="5400"/>
        </w:tabs>
        <w:suppressAutoHyphens/>
        <w:jc w:val="both"/>
        <w:rPr>
          <w:rFonts w:asciiTheme="majorHAnsi" w:hAnsiTheme="majorHAnsi"/>
          <w:sz w:val="20"/>
          <w:szCs w:val="20"/>
          <w:lang w:val="es-ES"/>
        </w:rPr>
      </w:pPr>
    </w:p>
    <w:p w:rsidR="005128E4" w:rsidRPr="000C1446" w:rsidRDefault="005128E4" w:rsidP="00071C55">
      <w:pPr>
        <w:tabs>
          <w:tab w:val="center" w:pos="5400"/>
        </w:tabs>
        <w:suppressAutoHyphens/>
        <w:rPr>
          <w:rFonts w:asciiTheme="majorHAnsi" w:hAnsiTheme="majorHAnsi"/>
          <w:sz w:val="20"/>
          <w:szCs w:val="20"/>
          <w:lang w:val="es-ES_tradnl"/>
        </w:rPr>
      </w:pPr>
    </w:p>
    <w:p w:rsidR="005128E4" w:rsidRPr="000C1446" w:rsidRDefault="005128E4" w:rsidP="00071C55">
      <w:pPr>
        <w:tabs>
          <w:tab w:val="center" w:pos="5400"/>
        </w:tabs>
        <w:suppressAutoHyphens/>
        <w:rPr>
          <w:rFonts w:asciiTheme="majorHAnsi" w:hAnsiTheme="majorHAnsi"/>
          <w:sz w:val="20"/>
          <w:szCs w:val="20"/>
          <w:lang w:val="es-ES_tradnl"/>
        </w:rPr>
      </w:pPr>
    </w:p>
    <w:p w:rsidR="005128E4" w:rsidRPr="000C1446" w:rsidRDefault="005128E4" w:rsidP="00071C55">
      <w:pPr>
        <w:tabs>
          <w:tab w:val="center" w:pos="5400"/>
        </w:tabs>
        <w:suppressAutoHyphens/>
        <w:rPr>
          <w:rFonts w:asciiTheme="majorHAnsi" w:hAnsiTheme="majorHAnsi"/>
          <w:sz w:val="20"/>
          <w:szCs w:val="20"/>
          <w:lang w:val="es-ES_tradnl"/>
        </w:rPr>
      </w:pPr>
    </w:p>
    <w:p w:rsidR="005B52B0" w:rsidRPr="000C1446" w:rsidRDefault="005B52B0" w:rsidP="00071C55">
      <w:pPr>
        <w:tabs>
          <w:tab w:val="center" w:pos="5400"/>
        </w:tabs>
        <w:suppressAutoHyphens/>
        <w:jc w:val="center"/>
        <w:rPr>
          <w:rFonts w:asciiTheme="majorHAnsi" w:hAnsiTheme="majorHAnsi"/>
          <w:sz w:val="20"/>
          <w:szCs w:val="20"/>
          <w:lang w:val="es-ES_tradnl"/>
        </w:rPr>
      </w:pPr>
    </w:p>
    <w:p w:rsidR="005B52B0" w:rsidRPr="000C1446" w:rsidRDefault="005B52B0" w:rsidP="00071C55">
      <w:pPr>
        <w:tabs>
          <w:tab w:val="center" w:pos="5400"/>
        </w:tabs>
        <w:suppressAutoHyphens/>
        <w:jc w:val="center"/>
        <w:rPr>
          <w:rFonts w:asciiTheme="majorHAnsi" w:hAnsiTheme="majorHAnsi"/>
          <w:sz w:val="20"/>
          <w:szCs w:val="20"/>
          <w:lang w:val="es-ES_tradnl"/>
        </w:rPr>
      </w:pPr>
    </w:p>
    <w:p w:rsidR="005B52B0" w:rsidRDefault="005B52B0" w:rsidP="00071C55">
      <w:pPr>
        <w:tabs>
          <w:tab w:val="center" w:pos="5400"/>
        </w:tabs>
        <w:suppressAutoHyphens/>
        <w:jc w:val="center"/>
        <w:rPr>
          <w:rFonts w:asciiTheme="majorHAnsi" w:hAnsiTheme="majorHAnsi"/>
          <w:sz w:val="20"/>
          <w:szCs w:val="20"/>
          <w:lang w:val="es-ES_tradnl"/>
        </w:rPr>
      </w:pPr>
    </w:p>
    <w:p w:rsidR="00206F64" w:rsidRPr="000C1446" w:rsidRDefault="00206F64"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3D3BC2" w:rsidP="00071C55">
      <w:pPr>
        <w:tabs>
          <w:tab w:val="center" w:pos="5400"/>
        </w:tabs>
        <w:suppressAutoHyphens/>
        <w:jc w:val="center"/>
        <w:rPr>
          <w:rFonts w:asciiTheme="majorHAnsi" w:hAnsiTheme="majorHAnsi"/>
          <w:sz w:val="20"/>
          <w:szCs w:val="20"/>
          <w:lang w:val="es-ES_tradnl"/>
        </w:rPr>
      </w:pPr>
      <w:r w:rsidRPr="000C144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90FC4FC" wp14:editId="7D04E3A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Pr="001979E8" w:rsidRDefault="00B47F78" w:rsidP="00997BC5">
                            <w:pPr>
                              <w:spacing w:line="276" w:lineRule="auto"/>
                              <w:rPr>
                                <w:rFonts w:asciiTheme="majorHAnsi" w:hAnsiTheme="majorHAnsi" w:cs="Arial"/>
                                <w:b/>
                                <w:bCs/>
                                <w:color w:val="0D0D0D" w:themeColor="text1" w:themeTint="F2"/>
                                <w:sz w:val="36"/>
                                <w:szCs w:val="22"/>
                                <w:lang w:val="es-ES"/>
                              </w:rPr>
                            </w:pPr>
                            <w:r w:rsidRPr="001979E8">
                              <w:rPr>
                                <w:rFonts w:asciiTheme="majorHAnsi" w:hAnsiTheme="majorHAnsi" w:cs="Arial"/>
                                <w:b/>
                                <w:bCs/>
                                <w:color w:val="0D0D0D" w:themeColor="text1" w:themeTint="F2"/>
                                <w:sz w:val="36"/>
                                <w:szCs w:val="22"/>
                                <w:lang w:val="es-ES"/>
                              </w:rPr>
                              <w:t xml:space="preserve">INFORME </w:t>
                            </w:r>
                            <w:r w:rsidRPr="001979E8">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44</w:t>
                            </w:r>
                            <w:r w:rsidRPr="001979E8">
                              <w:rPr>
                                <w:rFonts w:asciiTheme="majorHAnsi" w:hAnsiTheme="majorHAnsi" w:cs="Arial"/>
                                <w:b/>
                                <w:bCs/>
                                <w:color w:val="0D0D0D" w:themeColor="text1" w:themeTint="F2"/>
                                <w:sz w:val="36"/>
                                <w:szCs w:val="22"/>
                                <w:lang w:val="es-ES"/>
                              </w:rPr>
                              <w:t>/1</w:t>
                            </w:r>
                            <w:r>
                              <w:rPr>
                                <w:rFonts w:asciiTheme="majorHAnsi" w:hAnsiTheme="majorHAnsi" w:cs="Arial"/>
                                <w:b/>
                                <w:bCs/>
                                <w:color w:val="0D0D0D" w:themeColor="text1" w:themeTint="F2"/>
                                <w:sz w:val="36"/>
                                <w:szCs w:val="22"/>
                                <w:lang w:val="es-ES"/>
                              </w:rPr>
                              <w:t>7</w:t>
                            </w:r>
                          </w:p>
                          <w:p w:rsidR="00B47F78" w:rsidRPr="00714497" w:rsidRDefault="00B47F78" w:rsidP="00997BC5">
                            <w:pPr>
                              <w:spacing w:line="276" w:lineRule="auto"/>
                              <w:rPr>
                                <w:rFonts w:asciiTheme="majorHAnsi" w:hAnsiTheme="majorHAnsi" w:cs="Arial"/>
                                <w:b/>
                                <w:color w:val="0D0D0D" w:themeColor="text1" w:themeTint="F2"/>
                                <w:sz w:val="36"/>
                                <w:szCs w:val="22"/>
                                <w:lang w:val="es-ES"/>
                              </w:rPr>
                            </w:pPr>
                            <w:r w:rsidRPr="00714497">
                              <w:rPr>
                                <w:rFonts w:asciiTheme="majorHAnsi" w:hAnsiTheme="majorHAnsi" w:cs="Arial"/>
                                <w:b/>
                                <w:color w:val="0D0D0D" w:themeColor="text1" w:themeTint="F2"/>
                                <w:sz w:val="36"/>
                                <w:szCs w:val="22"/>
                                <w:lang w:val="es-ES"/>
                              </w:rPr>
                              <w:t>CASO 1</w:t>
                            </w:r>
                            <w:r>
                              <w:rPr>
                                <w:rFonts w:asciiTheme="majorHAnsi" w:hAnsiTheme="majorHAnsi" w:cs="Arial"/>
                                <w:b/>
                                <w:color w:val="0D0D0D" w:themeColor="text1" w:themeTint="F2"/>
                                <w:sz w:val="36"/>
                                <w:szCs w:val="22"/>
                                <w:lang w:val="es-ES"/>
                              </w:rPr>
                              <w:t>2</w:t>
                            </w:r>
                            <w:r w:rsidRPr="00714497">
                              <w:rPr>
                                <w:rFonts w:asciiTheme="majorHAnsi" w:hAnsiTheme="majorHAnsi" w:cs="Arial"/>
                                <w:b/>
                                <w:color w:val="0D0D0D" w:themeColor="text1" w:themeTint="F2"/>
                                <w:sz w:val="36"/>
                                <w:szCs w:val="22"/>
                                <w:lang w:val="es-ES"/>
                              </w:rPr>
                              <w:t>.</w:t>
                            </w:r>
                            <w:r>
                              <w:rPr>
                                <w:rFonts w:asciiTheme="majorHAnsi" w:hAnsiTheme="majorHAnsi" w:cs="Arial"/>
                                <w:b/>
                                <w:color w:val="0D0D0D" w:themeColor="text1" w:themeTint="F2"/>
                                <w:sz w:val="36"/>
                                <w:szCs w:val="22"/>
                                <w:lang w:val="es-ES"/>
                              </w:rPr>
                              <w:t>393</w:t>
                            </w:r>
                          </w:p>
                          <w:p w:rsidR="00B47F78" w:rsidRPr="0010736F" w:rsidRDefault="00B47F7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w:t>
                            </w:r>
                            <w:r w:rsidRPr="0010736F">
                              <w:rPr>
                                <w:rFonts w:asciiTheme="majorHAnsi" w:hAnsiTheme="majorHAnsi" w:cs="Arial"/>
                                <w:color w:val="0D0D0D" w:themeColor="text1" w:themeTint="F2"/>
                                <w:szCs w:val="22"/>
                                <w:lang w:val="es-ES_tradnl"/>
                              </w:rPr>
                              <w:t xml:space="preserve">ONDO </w:t>
                            </w:r>
                            <w:r>
                              <w:rPr>
                                <w:rFonts w:asciiTheme="majorHAnsi" w:hAnsiTheme="majorHAnsi" w:cs="Arial"/>
                                <w:color w:val="0D0D0D" w:themeColor="text1" w:themeTint="F2"/>
                                <w:szCs w:val="22"/>
                                <w:lang w:val="es-ES_tradnl"/>
                              </w:rPr>
                              <w:t>(PUBLICACI</w:t>
                            </w:r>
                            <w:r>
                              <w:rPr>
                                <w:rFonts w:asciiTheme="majorHAnsi" w:hAnsiTheme="majorHAnsi" w:cs="Arial"/>
                                <w:color w:val="0D0D0D" w:themeColor="text1" w:themeTint="F2"/>
                                <w:szCs w:val="22"/>
                                <w:lang w:val="es-MX"/>
                              </w:rPr>
                              <w:t>ÓN</w:t>
                            </w:r>
                            <w:r>
                              <w:rPr>
                                <w:rFonts w:asciiTheme="majorHAnsi" w:hAnsiTheme="majorHAnsi" w:cs="Arial"/>
                                <w:color w:val="0D0D0D" w:themeColor="text1" w:themeTint="F2"/>
                                <w:szCs w:val="22"/>
                                <w:lang w:val="es-ES_tradnl"/>
                              </w:rPr>
                              <w:t>)</w:t>
                            </w:r>
                          </w:p>
                          <w:p w:rsidR="00B47F78" w:rsidRPr="0010736F" w:rsidRDefault="00B47F78" w:rsidP="00997BC5">
                            <w:pPr>
                              <w:spacing w:line="276" w:lineRule="auto"/>
                              <w:rPr>
                                <w:rFonts w:asciiTheme="majorHAnsi" w:hAnsiTheme="majorHAnsi" w:cs="Arial"/>
                                <w:color w:val="0D0D0D" w:themeColor="text1" w:themeTint="F2"/>
                                <w:szCs w:val="22"/>
                                <w:lang w:val="es-ES_tradnl"/>
                              </w:rPr>
                            </w:pPr>
                          </w:p>
                          <w:p w:rsidR="00B47F78" w:rsidRPr="0010736F" w:rsidRDefault="00B47F78" w:rsidP="00997BC5">
                            <w:pPr>
                              <w:spacing w:line="276" w:lineRule="auto"/>
                              <w:rPr>
                                <w:rFonts w:asciiTheme="majorHAnsi" w:hAnsiTheme="majorHAnsi" w:cs="Arial"/>
                                <w:color w:val="0D0D0D" w:themeColor="text1" w:themeTint="F2"/>
                                <w:szCs w:val="22"/>
                                <w:lang w:val="es-ES_tradnl"/>
                              </w:rPr>
                            </w:pPr>
                            <w:bookmarkStart w:id="0" w:name="_ftnref1"/>
                          </w:p>
                          <w:p w:rsidR="00B47F78" w:rsidRDefault="00B47F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JAMES JUDGE</w:t>
                            </w:r>
                            <w:bookmarkEnd w:id="0"/>
                          </w:p>
                          <w:p w:rsidR="00B47F78" w:rsidRPr="0010736F" w:rsidRDefault="00B47F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B47F78" w:rsidRPr="00AE5488" w:rsidRDefault="00B47F7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47F78" w:rsidRPr="001979E8" w:rsidRDefault="00B47F78" w:rsidP="00997BC5">
                      <w:pPr>
                        <w:spacing w:line="276" w:lineRule="auto"/>
                        <w:rPr>
                          <w:rFonts w:asciiTheme="majorHAnsi" w:hAnsiTheme="majorHAnsi" w:cs="Arial"/>
                          <w:b/>
                          <w:bCs/>
                          <w:color w:val="0D0D0D" w:themeColor="text1" w:themeTint="F2"/>
                          <w:sz w:val="36"/>
                          <w:szCs w:val="22"/>
                          <w:lang w:val="es-ES"/>
                        </w:rPr>
                      </w:pPr>
                      <w:r w:rsidRPr="001979E8">
                        <w:rPr>
                          <w:rFonts w:asciiTheme="majorHAnsi" w:hAnsiTheme="majorHAnsi" w:cs="Arial"/>
                          <w:b/>
                          <w:bCs/>
                          <w:color w:val="0D0D0D" w:themeColor="text1" w:themeTint="F2"/>
                          <w:sz w:val="36"/>
                          <w:szCs w:val="22"/>
                          <w:lang w:val="es-ES"/>
                        </w:rPr>
                        <w:t xml:space="preserve">INFORME </w:t>
                      </w:r>
                      <w:r w:rsidRPr="001979E8">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44</w:t>
                      </w:r>
                      <w:r w:rsidRPr="001979E8">
                        <w:rPr>
                          <w:rFonts w:asciiTheme="majorHAnsi" w:hAnsiTheme="majorHAnsi" w:cs="Arial"/>
                          <w:b/>
                          <w:bCs/>
                          <w:color w:val="0D0D0D" w:themeColor="text1" w:themeTint="F2"/>
                          <w:sz w:val="36"/>
                          <w:szCs w:val="22"/>
                          <w:lang w:val="es-ES"/>
                        </w:rPr>
                        <w:t>/1</w:t>
                      </w:r>
                      <w:r>
                        <w:rPr>
                          <w:rFonts w:asciiTheme="majorHAnsi" w:hAnsiTheme="majorHAnsi" w:cs="Arial"/>
                          <w:b/>
                          <w:bCs/>
                          <w:color w:val="0D0D0D" w:themeColor="text1" w:themeTint="F2"/>
                          <w:sz w:val="36"/>
                          <w:szCs w:val="22"/>
                          <w:lang w:val="es-ES"/>
                        </w:rPr>
                        <w:t>7</w:t>
                      </w:r>
                    </w:p>
                    <w:p w:rsidR="00B47F78" w:rsidRPr="00714497" w:rsidRDefault="00B47F78" w:rsidP="00997BC5">
                      <w:pPr>
                        <w:spacing w:line="276" w:lineRule="auto"/>
                        <w:rPr>
                          <w:rFonts w:asciiTheme="majorHAnsi" w:hAnsiTheme="majorHAnsi" w:cs="Arial"/>
                          <w:b/>
                          <w:color w:val="0D0D0D" w:themeColor="text1" w:themeTint="F2"/>
                          <w:sz w:val="36"/>
                          <w:szCs w:val="22"/>
                          <w:lang w:val="es-ES"/>
                        </w:rPr>
                      </w:pPr>
                      <w:r w:rsidRPr="00714497">
                        <w:rPr>
                          <w:rFonts w:asciiTheme="majorHAnsi" w:hAnsiTheme="majorHAnsi" w:cs="Arial"/>
                          <w:b/>
                          <w:color w:val="0D0D0D" w:themeColor="text1" w:themeTint="F2"/>
                          <w:sz w:val="36"/>
                          <w:szCs w:val="22"/>
                          <w:lang w:val="es-ES"/>
                        </w:rPr>
                        <w:t>CASO 1</w:t>
                      </w:r>
                      <w:r>
                        <w:rPr>
                          <w:rFonts w:asciiTheme="majorHAnsi" w:hAnsiTheme="majorHAnsi" w:cs="Arial"/>
                          <w:b/>
                          <w:color w:val="0D0D0D" w:themeColor="text1" w:themeTint="F2"/>
                          <w:sz w:val="36"/>
                          <w:szCs w:val="22"/>
                          <w:lang w:val="es-ES"/>
                        </w:rPr>
                        <w:t>2</w:t>
                      </w:r>
                      <w:r w:rsidRPr="00714497">
                        <w:rPr>
                          <w:rFonts w:asciiTheme="majorHAnsi" w:hAnsiTheme="majorHAnsi" w:cs="Arial"/>
                          <w:b/>
                          <w:color w:val="0D0D0D" w:themeColor="text1" w:themeTint="F2"/>
                          <w:sz w:val="36"/>
                          <w:szCs w:val="22"/>
                          <w:lang w:val="es-ES"/>
                        </w:rPr>
                        <w:t>.</w:t>
                      </w:r>
                      <w:r>
                        <w:rPr>
                          <w:rFonts w:asciiTheme="majorHAnsi" w:hAnsiTheme="majorHAnsi" w:cs="Arial"/>
                          <w:b/>
                          <w:color w:val="0D0D0D" w:themeColor="text1" w:themeTint="F2"/>
                          <w:sz w:val="36"/>
                          <w:szCs w:val="22"/>
                          <w:lang w:val="es-ES"/>
                        </w:rPr>
                        <w:t>393</w:t>
                      </w:r>
                    </w:p>
                    <w:p w:rsidR="00B47F78" w:rsidRPr="0010736F" w:rsidRDefault="00B47F7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w:t>
                      </w:r>
                      <w:r w:rsidRPr="0010736F">
                        <w:rPr>
                          <w:rFonts w:asciiTheme="majorHAnsi" w:hAnsiTheme="majorHAnsi" w:cs="Arial"/>
                          <w:color w:val="0D0D0D" w:themeColor="text1" w:themeTint="F2"/>
                          <w:szCs w:val="22"/>
                          <w:lang w:val="es-ES_tradnl"/>
                        </w:rPr>
                        <w:t xml:space="preserve">ONDO </w:t>
                      </w:r>
                      <w:r>
                        <w:rPr>
                          <w:rFonts w:asciiTheme="majorHAnsi" w:hAnsiTheme="majorHAnsi" w:cs="Arial"/>
                          <w:color w:val="0D0D0D" w:themeColor="text1" w:themeTint="F2"/>
                          <w:szCs w:val="22"/>
                          <w:lang w:val="es-ES_tradnl"/>
                        </w:rPr>
                        <w:t>(PUBLICACI</w:t>
                      </w:r>
                      <w:r>
                        <w:rPr>
                          <w:rFonts w:asciiTheme="majorHAnsi" w:hAnsiTheme="majorHAnsi" w:cs="Arial"/>
                          <w:color w:val="0D0D0D" w:themeColor="text1" w:themeTint="F2"/>
                          <w:szCs w:val="22"/>
                          <w:lang w:val="es-MX"/>
                        </w:rPr>
                        <w:t>ÓN</w:t>
                      </w:r>
                      <w:r>
                        <w:rPr>
                          <w:rFonts w:asciiTheme="majorHAnsi" w:hAnsiTheme="majorHAnsi" w:cs="Arial"/>
                          <w:color w:val="0D0D0D" w:themeColor="text1" w:themeTint="F2"/>
                          <w:szCs w:val="22"/>
                          <w:lang w:val="es-ES_tradnl"/>
                        </w:rPr>
                        <w:t>)</w:t>
                      </w:r>
                    </w:p>
                    <w:p w:rsidR="00B47F78" w:rsidRPr="0010736F" w:rsidRDefault="00B47F78" w:rsidP="00997BC5">
                      <w:pPr>
                        <w:spacing w:line="276" w:lineRule="auto"/>
                        <w:rPr>
                          <w:rFonts w:asciiTheme="majorHAnsi" w:hAnsiTheme="majorHAnsi" w:cs="Arial"/>
                          <w:color w:val="0D0D0D" w:themeColor="text1" w:themeTint="F2"/>
                          <w:szCs w:val="22"/>
                          <w:lang w:val="es-ES_tradnl"/>
                        </w:rPr>
                      </w:pPr>
                    </w:p>
                    <w:p w:rsidR="00B47F78" w:rsidRPr="0010736F" w:rsidRDefault="00B47F78" w:rsidP="00997BC5">
                      <w:pPr>
                        <w:spacing w:line="276" w:lineRule="auto"/>
                        <w:rPr>
                          <w:rFonts w:asciiTheme="majorHAnsi" w:hAnsiTheme="majorHAnsi" w:cs="Arial"/>
                          <w:color w:val="0D0D0D" w:themeColor="text1" w:themeTint="F2"/>
                          <w:szCs w:val="22"/>
                          <w:lang w:val="es-ES_tradnl"/>
                        </w:rPr>
                      </w:pPr>
                      <w:bookmarkStart w:id="1" w:name="_ftnref1"/>
                    </w:p>
                    <w:p w:rsidR="00B47F78" w:rsidRDefault="00B47F7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JAMES JUDGE</w:t>
                      </w:r>
                      <w:bookmarkEnd w:id="1"/>
                    </w:p>
                    <w:p w:rsidR="00B47F78" w:rsidRPr="0010736F" w:rsidRDefault="00B47F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B47F78" w:rsidRPr="00AE5488" w:rsidRDefault="00B47F78" w:rsidP="007A5817">
                      <w:pPr>
                        <w:rPr>
                          <w:color w:val="0D0D0D" w:themeColor="text1" w:themeTint="F2"/>
                          <w:lang w:val="es-ES_tradnl"/>
                        </w:rPr>
                      </w:pPr>
                    </w:p>
                  </w:txbxContent>
                </v:textbox>
              </v:shape>
            </w:pict>
          </mc:Fallback>
        </mc:AlternateContent>
      </w:r>
      <w:r w:rsidR="004E2649" w:rsidRPr="000C144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F9EF515" wp14:editId="502CF7E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Pr="00B47F78" w:rsidRDefault="00B47F78" w:rsidP="007A5817">
                            <w:pPr>
                              <w:spacing w:line="276" w:lineRule="auto"/>
                              <w:jc w:val="right"/>
                              <w:rPr>
                                <w:rFonts w:asciiTheme="minorHAnsi" w:hAnsiTheme="minorHAnsi"/>
                                <w:color w:val="FFFFFF" w:themeColor="background1"/>
                                <w:sz w:val="22"/>
                                <w:lang w:val="es-ES"/>
                              </w:rPr>
                            </w:pPr>
                            <w:r w:rsidRPr="00B47F78">
                              <w:rPr>
                                <w:rFonts w:asciiTheme="minorHAnsi" w:hAnsiTheme="minorHAnsi"/>
                                <w:color w:val="FFFFFF" w:themeColor="background1"/>
                                <w:sz w:val="22"/>
                                <w:lang w:val="es-ES"/>
                              </w:rPr>
                              <w:t>OEA/</w:t>
                            </w:r>
                            <w:proofErr w:type="spellStart"/>
                            <w:r w:rsidRPr="00B47F78">
                              <w:rPr>
                                <w:rFonts w:asciiTheme="minorHAnsi" w:hAnsiTheme="minorHAnsi"/>
                                <w:color w:val="FFFFFF" w:themeColor="background1"/>
                                <w:sz w:val="22"/>
                                <w:lang w:val="es-ES"/>
                              </w:rPr>
                              <w:t>Ser.L</w:t>
                            </w:r>
                            <w:proofErr w:type="spellEnd"/>
                            <w:r w:rsidRPr="00B47F78">
                              <w:rPr>
                                <w:rFonts w:asciiTheme="minorHAnsi" w:hAnsiTheme="minorHAnsi"/>
                                <w:color w:val="FFFFFF" w:themeColor="background1"/>
                                <w:sz w:val="22"/>
                                <w:lang w:val="es-ES"/>
                              </w:rPr>
                              <w:t>/V/II.162</w:t>
                            </w:r>
                          </w:p>
                          <w:p w:rsidR="00B47F78" w:rsidRPr="00B47F78" w:rsidRDefault="00B47F78" w:rsidP="007A5817">
                            <w:pPr>
                              <w:spacing w:line="276" w:lineRule="auto"/>
                              <w:jc w:val="right"/>
                              <w:rPr>
                                <w:rFonts w:asciiTheme="minorHAnsi" w:hAnsiTheme="minorHAnsi"/>
                                <w:color w:val="FFFFFF" w:themeColor="background1"/>
                                <w:sz w:val="22"/>
                                <w:lang w:val="es-ES"/>
                              </w:rPr>
                            </w:pPr>
                            <w:r w:rsidRPr="00B47F78">
                              <w:rPr>
                                <w:rFonts w:asciiTheme="minorHAnsi" w:hAnsiTheme="minorHAnsi"/>
                                <w:color w:val="FFFFFF" w:themeColor="background1"/>
                                <w:sz w:val="22"/>
                                <w:lang w:val="es-ES"/>
                              </w:rPr>
                              <w:t>Doc.</w:t>
                            </w:r>
                            <w:r w:rsidR="00166710">
                              <w:rPr>
                                <w:rFonts w:asciiTheme="minorHAnsi" w:hAnsiTheme="minorHAnsi"/>
                                <w:color w:val="FFFFFF" w:themeColor="background1"/>
                                <w:sz w:val="22"/>
                                <w:lang w:val="es-ES"/>
                              </w:rPr>
                              <w:t xml:space="preserve"> 56</w:t>
                            </w:r>
                            <w:r w:rsidRPr="00B47F78">
                              <w:rPr>
                                <w:rFonts w:asciiTheme="minorHAnsi" w:hAnsiTheme="minorHAnsi"/>
                                <w:color w:val="FFFFFF" w:themeColor="background1"/>
                                <w:sz w:val="22"/>
                                <w:lang w:val="es-ES"/>
                              </w:rPr>
                              <w:t xml:space="preserve"> </w:t>
                            </w:r>
                          </w:p>
                          <w:p w:rsidR="00B47F78" w:rsidRPr="00DA7799" w:rsidRDefault="00B47F7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w:t>
                            </w:r>
                            <w:r w:rsidRPr="00DA7799">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mayo</w:t>
                            </w:r>
                            <w:r w:rsidRPr="00DA7799">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7</w:t>
                            </w:r>
                          </w:p>
                          <w:p w:rsidR="00B47F78" w:rsidRPr="00DA7799" w:rsidRDefault="00B47F78" w:rsidP="007A5817">
                            <w:pPr>
                              <w:spacing w:line="276" w:lineRule="auto"/>
                              <w:jc w:val="right"/>
                              <w:rPr>
                                <w:rFonts w:asciiTheme="minorHAnsi" w:hAnsiTheme="minorHAnsi"/>
                                <w:color w:val="FFFFFF" w:themeColor="background1"/>
                                <w:sz w:val="22"/>
                                <w:lang w:val="es-ES"/>
                              </w:rPr>
                            </w:pPr>
                            <w:r w:rsidRPr="00DA7799">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47F78" w:rsidRPr="00B47F78" w:rsidRDefault="00B47F78" w:rsidP="007A5817">
                      <w:pPr>
                        <w:spacing w:line="276" w:lineRule="auto"/>
                        <w:jc w:val="right"/>
                        <w:rPr>
                          <w:rFonts w:asciiTheme="minorHAnsi" w:hAnsiTheme="minorHAnsi"/>
                          <w:color w:val="FFFFFF" w:themeColor="background1"/>
                          <w:sz w:val="22"/>
                          <w:lang w:val="es-ES"/>
                        </w:rPr>
                      </w:pPr>
                      <w:r w:rsidRPr="00B47F78">
                        <w:rPr>
                          <w:rFonts w:asciiTheme="minorHAnsi" w:hAnsiTheme="minorHAnsi"/>
                          <w:color w:val="FFFFFF" w:themeColor="background1"/>
                          <w:sz w:val="22"/>
                          <w:lang w:val="es-ES"/>
                        </w:rPr>
                        <w:t>OEA/</w:t>
                      </w:r>
                      <w:proofErr w:type="spellStart"/>
                      <w:r w:rsidRPr="00B47F78">
                        <w:rPr>
                          <w:rFonts w:asciiTheme="minorHAnsi" w:hAnsiTheme="minorHAnsi"/>
                          <w:color w:val="FFFFFF" w:themeColor="background1"/>
                          <w:sz w:val="22"/>
                          <w:lang w:val="es-ES"/>
                        </w:rPr>
                        <w:t>Ser.L</w:t>
                      </w:r>
                      <w:proofErr w:type="spellEnd"/>
                      <w:r w:rsidRPr="00B47F78">
                        <w:rPr>
                          <w:rFonts w:asciiTheme="minorHAnsi" w:hAnsiTheme="minorHAnsi"/>
                          <w:color w:val="FFFFFF" w:themeColor="background1"/>
                          <w:sz w:val="22"/>
                          <w:lang w:val="es-ES"/>
                        </w:rPr>
                        <w:t>/V/II.162</w:t>
                      </w:r>
                    </w:p>
                    <w:p w:rsidR="00B47F78" w:rsidRPr="00B47F78" w:rsidRDefault="00B47F78" w:rsidP="007A5817">
                      <w:pPr>
                        <w:spacing w:line="276" w:lineRule="auto"/>
                        <w:jc w:val="right"/>
                        <w:rPr>
                          <w:rFonts w:asciiTheme="minorHAnsi" w:hAnsiTheme="minorHAnsi"/>
                          <w:color w:val="FFFFFF" w:themeColor="background1"/>
                          <w:sz w:val="22"/>
                          <w:lang w:val="es-ES"/>
                        </w:rPr>
                      </w:pPr>
                      <w:r w:rsidRPr="00B47F78">
                        <w:rPr>
                          <w:rFonts w:asciiTheme="minorHAnsi" w:hAnsiTheme="minorHAnsi"/>
                          <w:color w:val="FFFFFF" w:themeColor="background1"/>
                          <w:sz w:val="22"/>
                          <w:lang w:val="es-ES"/>
                        </w:rPr>
                        <w:t>Doc.</w:t>
                      </w:r>
                      <w:r w:rsidR="00166710">
                        <w:rPr>
                          <w:rFonts w:asciiTheme="minorHAnsi" w:hAnsiTheme="minorHAnsi"/>
                          <w:color w:val="FFFFFF" w:themeColor="background1"/>
                          <w:sz w:val="22"/>
                          <w:lang w:val="es-ES"/>
                        </w:rPr>
                        <w:t xml:space="preserve"> 56</w:t>
                      </w:r>
                      <w:r w:rsidRPr="00B47F78">
                        <w:rPr>
                          <w:rFonts w:asciiTheme="minorHAnsi" w:hAnsiTheme="minorHAnsi"/>
                          <w:color w:val="FFFFFF" w:themeColor="background1"/>
                          <w:sz w:val="22"/>
                          <w:lang w:val="es-ES"/>
                        </w:rPr>
                        <w:t xml:space="preserve"> </w:t>
                      </w:r>
                    </w:p>
                    <w:p w:rsidR="00B47F78" w:rsidRPr="00DA7799" w:rsidRDefault="00B47F7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w:t>
                      </w:r>
                      <w:r w:rsidRPr="00DA7799">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mayo</w:t>
                      </w:r>
                      <w:r w:rsidRPr="00DA7799">
                        <w:rPr>
                          <w:rFonts w:asciiTheme="minorHAnsi" w:hAnsiTheme="minorHAnsi"/>
                          <w:color w:val="FFFFFF" w:themeColor="background1"/>
                          <w:sz w:val="22"/>
                          <w:lang w:val="es-ES"/>
                        </w:rPr>
                        <w:t xml:space="preserve"> 201</w:t>
                      </w:r>
                      <w:r>
                        <w:rPr>
                          <w:rFonts w:asciiTheme="minorHAnsi" w:hAnsiTheme="minorHAnsi"/>
                          <w:color w:val="FFFFFF" w:themeColor="background1"/>
                          <w:sz w:val="22"/>
                          <w:lang w:val="es-ES"/>
                        </w:rPr>
                        <w:t>7</w:t>
                      </w:r>
                    </w:p>
                    <w:p w:rsidR="00B47F78" w:rsidRPr="00DA7799" w:rsidRDefault="00B47F78" w:rsidP="007A5817">
                      <w:pPr>
                        <w:spacing w:line="276" w:lineRule="auto"/>
                        <w:jc w:val="right"/>
                        <w:rPr>
                          <w:rFonts w:asciiTheme="minorHAnsi" w:hAnsiTheme="minorHAnsi"/>
                          <w:color w:val="FFFFFF" w:themeColor="background1"/>
                          <w:sz w:val="22"/>
                          <w:lang w:val="es-ES"/>
                        </w:rPr>
                      </w:pPr>
                      <w:r w:rsidRPr="00DA7799">
                        <w:rPr>
                          <w:rFonts w:asciiTheme="minorHAnsi" w:hAnsiTheme="minorHAnsi"/>
                          <w:color w:val="FFFFFF" w:themeColor="background1"/>
                          <w:sz w:val="22"/>
                          <w:lang w:val="es-ES"/>
                        </w:rPr>
                        <w:t>Original: español</w:t>
                      </w:r>
                    </w:p>
                  </w:txbxContent>
                </v:textbox>
              </v:shape>
            </w:pict>
          </mc:Fallback>
        </mc:AlternateContent>
      </w: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cs="Arial"/>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5128E4" w:rsidRPr="000C1446" w:rsidRDefault="005128E4"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5128E4" w:rsidRPr="000C1446" w:rsidRDefault="005128E4" w:rsidP="00071C55">
      <w:pPr>
        <w:tabs>
          <w:tab w:val="center" w:pos="5400"/>
        </w:tabs>
        <w:suppressAutoHyphens/>
        <w:jc w:val="center"/>
        <w:rPr>
          <w:rFonts w:asciiTheme="majorHAnsi" w:hAnsiTheme="majorHAnsi"/>
          <w:sz w:val="20"/>
          <w:szCs w:val="20"/>
          <w:lang w:val="es-ES_tradnl"/>
        </w:rPr>
      </w:pPr>
    </w:p>
    <w:p w:rsidR="005128E4" w:rsidRPr="000C1446" w:rsidRDefault="005128E4" w:rsidP="00071C55">
      <w:pPr>
        <w:tabs>
          <w:tab w:val="center" w:pos="5400"/>
        </w:tabs>
        <w:suppressAutoHyphens/>
        <w:jc w:val="center"/>
        <w:rPr>
          <w:rFonts w:asciiTheme="majorHAnsi" w:hAnsiTheme="majorHAnsi"/>
          <w:sz w:val="20"/>
          <w:szCs w:val="20"/>
          <w:lang w:val="es-ES_tradnl"/>
        </w:rPr>
      </w:pPr>
    </w:p>
    <w:p w:rsidR="005128E4" w:rsidRPr="000C1446" w:rsidRDefault="005128E4"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040C3A" w:rsidRPr="000C1446" w:rsidRDefault="00040C3A"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90270B" w:rsidP="00071C55">
      <w:pPr>
        <w:tabs>
          <w:tab w:val="center" w:pos="5400"/>
        </w:tabs>
        <w:suppressAutoHyphens/>
        <w:jc w:val="center"/>
        <w:rPr>
          <w:rFonts w:asciiTheme="majorHAnsi" w:hAnsiTheme="majorHAnsi"/>
          <w:sz w:val="20"/>
          <w:szCs w:val="20"/>
          <w:lang w:val="es-ES_tradnl"/>
        </w:rPr>
      </w:pPr>
      <w:r w:rsidRPr="000C1446">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8301C02" wp14:editId="18AF5B8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Pr="00890650" w:rsidRDefault="00B47F7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2083, celebrada el 23 de mayo de 2017.</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w:t>
                            </w:r>
                            <w:r>
                              <w:rPr>
                                <w:rFonts w:asciiTheme="majorHAnsi" w:hAnsiTheme="majorHAnsi" w:cs="Univers"/>
                                <w:color w:val="0D0D0D" w:themeColor="text1" w:themeTint="F2"/>
                                <w:sz w:val="18"/>
                                <w:szCs w:val="20"/>
                                <w:lang w:val="es-ES_tradnl"/>
                              </w:rPr>
                              <w:t>62</w:t>
                            </w:r>
                            <w:r w:rsidRPr="00890650">
                              <w:rPr>
                                <w:rFonts w:asciiTheme="majorHAnsi" w:hAnsiTheme="majorHAnsi" w:cs="Univers"/>
                                <w:color w:val="0D0D0D" w:themeColor="text1" w:themeTint="F2"/>
                                <w:sz w:val="18"/>
                                <w:szCs w:val="20"/>
                                <w:lang w:val="es-ES_tradnl"/>
                              </w:rPr>
                              <w:t xml:space="preserve"> período</w:t>
                            </w:r>
                            <w:r>
                              <w:rPr>
                                <w:rFonts w:asciiTheme="majorHAnsi" w:hAnsiTheme="majorHAnsi" w:cs="Univers"/>
                                <w:color w:val="0D0D0D" w:themeColor="text1" w:themeTint="F2"/>
                                <w:sz w:val="18"/>
                                <w:szCs w:val="20"/>
                                <w:lang w:val="es-ES_tradnl"/>
                              </w:rPr>
                              <w:t xml:space="preserve"> extra</w:t>
                            </w:r>
                            <w:r w:rsidRPr="00890650">
                              <w:rPr>
                                <w:rFonts w:asciiTheme="majorHAnsi" w:hAnsiTheme="majorHAnsi" w:cs="Univers"/>
                                <w:color w:val="0D0D0D" w:themeColor="text1" w:themeTint="F2"/>
                                <w:sz w:val="18"/>
                                <w:szCs w:val="20"/>
                                <w:lang w:val="es-ES_tradnl"/>
                              </w:rPr>
                              <w:t>ordinario de sesiones</w:t>
                            </w:r>
                            <w:r>
                              <w:rPr>
                                <w:rFonts w:asciiTheme="majorHAnsi" w:hAnsiTheme="majorHAnsi" w:cs="Univers"/>
                                <w:color w:val="0D0D0D" w:themeColor="text1" w:themeTint="F2"/>
                                <w:sz w:val="18"/>
                                <w:szCs w:val="20"/>
                                <w:lang w:val="es-ES_tradnl"/>
                              </w:rPr>
                              <w:t>.</w:t>
                            </w:r>
                          </w:p>
                          <w:p w:rsidR="00B47F78" w:rsidRPr="00B95BC7" w:rsidRDefault="00B47F78"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B47F78" w:rsidRPr="00167A34" w:rsidRDefault="00B47F7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47F78" w:rsidRPr="00890650" w:rsidRDefault="00B47F7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2083, celebrada el 23 de mayo de 2017.</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w:t>
                      </w:r>
                      <w:r>
                        <w:rPr>
                          <w:rFonts w:asciiTheme="majorHAnsi" w:hAnsiTheme="majorHAnsi" w:cs="Univers"/>
                          <w:color w:val="0D0D0D" w:themeColor="text1" w:themeTint="F2"/>
                          <w:sz w:val="18"/>
                          <w:szCs w:val="20"/>
                          <w:lang w:val="es-ES_tradnl"/>
                        </w:rPr>
                        <w:t>62</w:t>
                      </w:r>
                      <w:r w:rsidRPr="00890650">
                        <w:rPr>
                          <w:rFonts w:asciiTheme="majorHAnsi" w:hAnsiTheme="majorHAnsi" w:cs="Univers"/>
                          <w:color w:val="0D0D0D" w:themeColor="text1" w:themeTint="F2"/>
                          <w:sz w:val="18"/>
                          <w:szCs w:val="20"/>
                          <w:lang w:val="es-ES_tradnl"/>
                        </w:rPr>
                        <w:t xml:space="preserve"> período</w:t>
                      </w:r>
                      <w:r>
                        <w:rPr>
                          <w:rFonts w:asciiTheme="majorHAnsi" w:hAnsiTheme="majorHAnsi" w:cs="Univers"/>
                          <w:color w:val="0D0D0D" w:themeColor="text1" w:themeTint="F2"/>
                          <w:sz w:val="18"/>
                          <w:szCs w:val="20"/>
                          <w:lang w:val="es-ES_tradnl"/>
                        </w:rPr>
                        <w:t xml:space="preserve"> extra</w:t>
                      </w:r>
                      <w:r w:rsidRPr="00890650">
                        <w:rPr>
                          <w:rFonts w:asciiTheme="majorHAnsi" w:hAnsiTheme="majorHAnsi" w:cs="Univers"/>
                          <w:color w:val="0D0D0D" w:themeColor="text1" w:themeTint="F2"/>
                          <w:sz w:val="18"/>
                          <w:szCs w:val="20"/>
                          <w:lang w:val="es-ES_tradnl"/>
                        </w:rPr>
                        <w:t>ordinario de sesiones</w:t>
                      </w:r>
                      <w:r>
                        <w:rPr>
                          <w:rFonts w:asciiTheme="majorHAnsi" w:hAnsiTheme="majorHAnsi" w:cs="Univers"/>
                          <w:color w:val="0D0D0D" w:themeColor="text1" w:themeTint="F2"/>
                          <w:sz w:val="18"/>
                          <w:szCs w:val="20"/>
                          <w:lang w:val="es-ES_tradnl"/>
                        </w:rPr>
                        <w:t>.</w:t>
                      </w:r>
                    </w:p>
                    <w:p w:rsidR="00B47F78" w:rsidRPr="00B95BC7" w:rsidRDefault="00B47F78"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B47F78" w:rsidRPr="00167A34" w:rsidRDefault="00B47F7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A50FCF" w:rsidRPr="000C1446" w:rsidRDefault="0090270B" w:rsidP="00071C55">
      <w:pPr>
        <w:tabs>
          <w:tab w:val="center" w:pos="5400"/>
        </w:tabs>
        <w:suppressAutoHyphens/>
        <w:jc w:val="center"/>
        <w:rPr>
          <w:rFonts w:asciiTheme="majorHAnsi" w:hAnsiTheme="majorHAnsi"/>
          <w:sz w:val="20"/>
          <w:szCs w:val="20"/>
          <w:lang w:val="es-ES_tradnl"/>
        </w:rPr>
      </w:pPr>
      <w:r w:rsidRPr="000C1446">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A5846D5" wp14:editId="47A2109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Default="00B47F78" w:rsidP="00113F73">
                            <w:pPr>
                              <w:spacing w:line="276" w:lineRule="auto"/>
                              <w:rPr>
                                <w:rFonts w:asciiTheme="majorHAnsi" w:hAnsiTheme="majorHAnsi"/>
                                <w:color w:val="595959" w:themeColor="text1" w:themeTint="A6"/>
                                <w:sz w:val="18"/>
                                <w:szCs w:val="18"/>
                                <w:lang w:val="es-ES_tradnl"/>
                              </w:rPr>
                            </w:pPr>
                            <w:r w:rsidRPr="0097292A">
                              <w:rPr>
                                <w:rFonts w:asciiTheme="majorHAnsi" w:hAnsiTheme="majorHAnsi"/>
                                <w:b/>
                                <w:color w:val="595959" w:themeColor="text1" w:themeTint="A6"/>
                                <w:sz w:val="18"/>
                                <w:szCs w:val="18"/>
                                <w:lang w:val="es-MX"/>
                              </w:rPr>
                              <w:t>Citar como:</w:t>
                            </w:r>
                            <w:r w:rsidRPr="0097292A">
                              <w:rPr>
                                <w:rFonts w:asciiTheme="majorHAnsi" w:hAnsiTheme="majorHAnsi"/>
                                <w:color w:val="595959" w:themeColor="text1" w:themeTint="A6"/>
                                <w:sz w:val="18"/>
                                <w:szCs w:val="18"/>
                                <w:lang w:val="es-MX"/>
                              </w:rPr>
                              <w:t xml:space="preserve"> CIDH, Informe No. 44</w:t>
                            </w:r>
                            <w:r w:rsidRPr="00B95BC7">
                              <w:rPr>
                                <w:rFonts w:asciiTheme="majorHAnsi" w:hAnsiTheme="majorHAnsi"/>
                                <w:color w:val="595959" w:themeColor="text1" w:themeTint="A6"/>
                                <w:sz w:val="18"/>
                                <w:szCs w:val="18"/>
                                <w:lang w:val="es-MX"/>
                              </w:rPr>
                              <w:t>/1</w:t>
                            </w:r>
                            <w:r>
                              <w:rPr>
                                <w:rFonts w:asciiTheme="majorHAnsi" w:hAnsiTheme="majorHAnsi"/>
                                <w:color w:val="595959" w:themeColor="text1" w:themeTint="A6"/>
                                <w:sz w:val="18"/>
                                <w:szCs w:val="18"/>
                                <w:lang w:val="es-MX"/>
                              </w:rPr>
                              <w:t>7</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12.393 Fondo  (Publicación). James Judge. Ecuador.</w:t>
                            </w:r>
                            <w:r w:rsidRPr="00890650">
                              <w:rPr>
                                <w:rFonts w:asciiTheme="majorHAnsi" w:hAnsiTheme="majorHAnsi"/>
                                <w:color w:val="595959" w:themeColor="text1" w:themeTint="A6"/>
                                <w:sz w:val="18"/>
                                <w:szCs w:val="18"/>
                                <w:lang w:val="es-ES_tradnl"/>
                              </w:rPr>
                              <w:t xml:space="preserve"> </w:t>
                            </w:r>
                          </w:p>
                          <w:p w:rsidR="00B47F78" w:rsidRPr="001979E8" w:rsidRDefault="00B47F7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23 de mayo de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47F78" w:rsidRDefault="00B47F78" w:rsidP="00113F73">
                      <w:pPr>
                        <w:spacing w:line="276" w:lineRule="auto"/>
                        <w:rPr>
                          <w:rFonts w:asciiTheme="majorHAnsi" w:hAnsiTheme="majorHAnsi"/>
                          <w:color w:val="595959" w:themeColor="text1" w:themeTint="A6"/>
                          <w:sz w:val="18"/>
                          <w:szCs w:val="18"/>
                          <w:lang w:val="es-ES_tradnl"/>
                        </w:rPr>
                      </w:pPr>
                      <w:r w:rsidRPr="0097292A">
                        <w:rPr>
                          <w:rFonts w:asciiTheme="majorHAnsi" w:hAnsiTheme="majorHAnsi"/>
                          <w:b/>
                          <w:color w:val="595959" w:themeColor="text1" w:themeTint="A6"/>
                          <w:sz w:val="18"/>
                          <w:szCs w:val="18"/>
                          <w:lang w:val="es-MX"/>
                        </w:rPr>
                        <w:t>Citar como:</w:t>
                      </w:r>
                      <w:r w:rsidRPr="0097292A">
                        <w:rPr>
                          <w:rFonts w:asciiTheme="majorHAnsi" w:hAnsiTheme="majorHAnsi"/>
                          <w:color w:val="595959" w:themeColor="text1" w:themeTint="A6"/>
                          <w:sz w:val="18"/>
                          <w:szCs w:val="18"/>
                          <w:lang w:val="es-MX"/>
                        </w:rPr>
                        <w:t xml:space="preserve"> CIDH, Informe No. 44</w:t>
                      </w:r>
                      <w:r w:rsidRPr="00B95BC7">
                        <w:rPr>
                          <w:rFonts w:asciiTheme="majorHAnsi" w:hAnsiTheme="majorHAnsi"/>
                          <w:color w:val="595959" w:themeColor="text1" w:themeTint="A6"/>
                          <w:sz w:val="18"/>
                          <w:szCs w:val="18"/>
                          <w:lang w:val="es-MX"/>
                        </w:rPr>
                        <w:t>/1</w:t>
                      </w:r>
                      <w:r>
                        <w:rPr>
                          <w:rFonts w:asciiTheme="majorHAnsi" w:hAnsiTheme="majorHAnsi"/>
                          <w:color w:val="595959" w:themeColor="text1" w:themeTint="A6"/>
                          <w:sz w:val="18"/>
                          <w:szCs w:val="18"/>
                          <w:lang w:val="es-MX"/>
                        </w:rPr>
                        <w:t>7</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12.393 Fondo  (Publicación). James Judge. Ecuador.</w:t>
                      </w:r>
                      <w:r w:rsidRPr="00890650">
                        <w:rPr>
                          <w:rFonts w:asciiTheme="majorHAnsi" w:hAnsiTheme="majorHAnsi"/>
                          <w:color w:val="595959" w:themeColor="text1" w:themeTint="A6"/>
                          <w:sz w:val="18"/>
                          <w:szCs w:val="18"/>
                          <w:lang w:val="es-ES_tradnl"/>
                        </w:rPr>
                        <w:t xml:space="preserve"> </w:t>
                      </w:r>
                    </w:p>
                    <w:p w:rsidR="00B47F78" w:rsidRPr="001979E8" w:rsidRDefault="00B47F7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23 de mayo de 2017. </w:t>
                      </w:r>
                    </w:p>
                  </w:txbxContent>
                </v:textbox>
              </v:shape>
            </w:pict>
          </mc:Fallback>
        </mc:AlternateContent>
      </w:r>
    </w:p>
    <w:p w:rsidR="00A50FCF" w:rsidRPr="000C1446" w:rsidRDefault="00A50FCF" w:rsidP="00071C55">
      <w:pPr>
        <w:tabs>
          <w:tab w:val="center" w:pos="5400"/>
        </w:tabs>
        <w:suppressAutoHyphens/>
        <w:jc w:val="center"/>
        <w:rPr>
          <w:rFonts w:asciiTheme="majorHAnsi" w:hAnsiTheme="majorHAnsi"/>
          <w:sz w:val="20"/>
          <w:szCs w:val="20"/>
          <w:lang w:val="es-ES_tradnl"/>
        </w:rPr>
      </w:pPr>
    </w:p>
    <w:p w:rsidR="0090270B" w:rsidRPr="000C1446" w:rsidRDefault="00D306D1" w:rsidP="00071C55">
      <w:pPr>
        <w:tabs>
          <w:tab w:val="center" w:pos="5400"/>
        </w:tabs>
        <w:suppressAutoHyphens/>
        <w:jc w:val="center"/>
        <w:rPr>
          <w:rFonts w:asciiTheme="majorHAnsi" w:hAnsiTheme="majorHAnsi"/>
          <w:b/>
          <w:sz w:val="20"/>
          <w:szCs w:val="20"/>
          <w:lang w:val="es-ES_tradnl"/>
        </w:rPr>
      </w:pPr>
      <w:r w:rsidRPr="000C144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F63B8C4" wp14:editId="1FB4025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Pr="00D72DC6" w:rsidRDefault="00B47F7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246107D" wp14:editId="14F3572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47F78" w:rsidRPr="00D72DC6" w:rsidRDefault="00B47F7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246107D" wp14:editId="14F3572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C144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7CB3E04" wp14:editId="2B16FAF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7F78" w:rsidRPr="004B7EB6" w:rsidRDefault="00B47F7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47F78" w:rsidRPr="004B7EB6" w:rsidRDefault="00B47F7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C1446" w:rsidRDefault="0070697F" w:rsidP="00071C55">
      <w:pPr>
        <w:tabs>
          <w:tab w:val="center" w:pos="5400"/>
        </w:tabs>
        <w:suppressAutoHyphens/>
        <w:jc w:val="center"/>
        <w:rPr>
          <w:rFonts w:asciiTheme="majorHAnsi" w:hAnsiTheme="majorHAnsi"/>
          <w:b/>
          <w:sz w:val="20"/>
          <w:szCs w:val="20"/>
          <w:lang w:val="es-ES_tradnl"/>
        </w:rPr>
        <w:sectPr w:rsidR="0070697F" w:rsidRPr="000C1446"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14497" w:rsidRPr="00707E7B" w:rsidRDefault="00714497" w:rsidP="00071C55">
      <w:pPr>
        <w:tabs>
          <w:tab w:val="center" w:pos="5400"/>
        </w:tabs>
        <w:suppressAutoHyphens/>
        <w:jc w:val="center"/>
        <w:rPr>
          <w:rFonts w:asciiTheme="majorHAnsi" w:hAnsiTheme="majorHAnsi"/>
          <w:b/>
          <w:sz w:val="18"/>
          <w:szCs w:val="18"/>
          <w:lang w:val="es-ES_tradnl"/>
        </w:rPr>
      </w:pPr>
      <w:r w:rsidRPr="00707E7B">
        <w:rPr>
          <w:rFonts w:asciiTheme="majorHAnsi" w:hAnsiTheme="majorHAnsi"/>
          <w:b/>
          <w:sz w:val="18"/>
          <w:szCs w:val="18"/>
          <w:lang w:val="es-ES_tradnl"/>
        </w:rPr>
        <w:lastRenderedPageBreak/>
        <w:t xml:space="preserve">INFORME No. </w:t>
      </w:r>
      <w:r w:rsidR="0097292A">
        <w:rPr>
          <w:rFonts w:asciiTheme="majorHAnsi" w:hAnsiTheme="majorHAnsi"/>
          <w:b/>
          <w:sz w:val="18"/>
          <w:szCs w:val="18"/>
          <w:lang w:val="es-ES_tradnl"/>
        </w:rPr>
        <w:t>44</w:t>
      </w:r>
      <w:r w:rsidRPr="00707E7B">
        <w:rPr>
          <w:rFonts w:asciiTheme="majorHAnsi" w:hAnsiTheme="majorHAnsi"/>
          <w:b/>
          <w:sz w:val="18"/>
          <w:szCs w:val="18"/>
          <w:lang w:val="es-ES_tradnl"/>
        </w:rPr>
        <w:t>/1</w:t>
      </w:r>
      <w:r w:rsidR="00B95BC7">
        <w:rPr>
          <w:rFonts w:asciiTheme="majorHAnsi" w:hAnsiTheme="majorHAnsi"/>
          <w:b/>
          <w:sz w:val="18"/>
          <w:szCs w:val="18"/>
          <w:lang w:val="es-ES_tradnl"/>
        </w:rPr>
        <w:t>7</w:t>
      </w:r>
    </w:p>
    <w:p w:rsidR="00714497" w:rsidRPr="00707E7B" w:rsidRDefault="00BC0142" w:rsidP="00071C55">
      <w:pPr>
        <w:tabs>
          <w:tab w:val="center" w:pos="5400"/>
        </w:tabs>
        <w:suppressAutoHyphens/>
        <w:jc w:val="center"/>
        <w:rPr>
          <w:rFonts w:asciiTheme="majorHAnsi" w:hAnsiTheme="majorHAnsi"/>
          <w:b/>
          <w:sz w:val="18"/>
          <w:szCs w:val="18"/>
          <w:lang w:val="es-ES_tradnl"/>
        </w:rPr>
      </w:pPr>
      <w:r w:rsidRPr="00707E7B">
        <w:rPr>
          <w:rFonts w:asciiTheme="majorHAnsi" w:hAnsiTheme="majorHAnsi"/>
          <w:b/>
          <w:sz w:val="18"/>
          <w:szCs w:val="18"/>
          <w:lang w:val="es-ES_tradnl"/>
        </w:rPr>
        <w:t>CASO 12.393</w:t>
      </w:r>
    </w:p>
    <w:p w:rsidR="00714497" w:rsidRPr="00707E7B" w:rsidRDefault="00714497" w:rsidP="00071C55">
      <w:pPr>
        <w:tabs>
          <w:tab w:val="center" w:pos="5400"/>
        </w:tabs>
        <w:suppressAutoHyphens/>
        <w:jc w:val="center"/>
        <w:rPr>
          <w:rFonts w:asciiTheme="majorHAnsi" w:hAnsiTheme="majorHAnsi"/>
          <w:sz w:val="18"/>
          <w:szCs w:val="18"/>
          <w:lang w:val="es-ES_tradnl"/>
        </w:rPr>
      </w:pPr>
      <w:r w:rsidRPr="00707E7B">
        <w:rPr>
          <w:rFonts w:asciiTheme="majorHAnsi" w:hAnsiTheme="majorHAnsi"/>
          <w:sz w:val="18"/>
          <w:szCs w:val="18"/>
          <w:lang w:val="es-ES_tradnl"/>
        </w:rPr>
        <w:t>FONDO</w:t>
      </w:r>
      <w:r w:rsidR="00B95BC7">
        <w:rPr>
          <w:rFonts w:asciiTheme="majorHAnsi" w:hAnsiTheme="majorHAnsi"/>
          <w:sz w:val="18"/>
          <w:szCs w:val="18"/>
          <w:lang w:val="es-ES_tradnl"/>
        </w:rPr>
        <w:t xml:space="preserve"> </w:t>
      </w:r>
      <w:r w:rsidR="00071C55">
        <w:rPr>
          <w:rFonts w:asciiTheme="majorHAnsi" w:hAnsiTheme="majorHAnsi"/>
          <w:sz w:val="18"/>
          <w:szCs w:val="18"/>
          <w:lang w:val="es-ES_tradnl"/>
        </w:rPr>
        <w:t>(PUBLICACIÓN)</w:t>
      </w:r>
    </w:p>
    <w:p w:rsidR="00714497" w:rsidRPr="00707E7B" w:rsidRDefault="00BC0142" w:rsidP="00071C55">
      <w:pPr>
        <w:tabs>
          <w:tab w:val="center" w:pos="5400"/>
        </w:tabs>
        <w:suppressAutoHyphens/>
        <w:jc w:val="center"/>
        <w:rPr>
          <w:rFonts w:asciiTheme="majorHAnsi" w:hAnsiTheme="majorHAnsi"/>
          <w:sz w:val="18"/>
          <w:szCs w:val="18"/>
          <w:lang w:val="es-ES_tradnl"/>
        </w:rPr>
      </w:pPr>
      <w:r w:rsidRPr="00707E7B">
        <w:rPr>
          <w:rFonts w:asciiTheme="majorHAnsi" w:hAnsiTheme="majorHAnsi"/>
          <w:sz w:val="18"/>
          <w:szCs w:val="18"/>
          <w:lang w:val="es-ES_tradnl"/>
        </w:rPr>
        <w:t>JAMES JUDGE</w:t>
      </w:r>
    </w:p>
    <w:p w:rsidR="00714497" w:rsidRPr="00707E7B" w:rsidRDefault="00BC0142" w:rsidP="00071C55">
      <w:pPr>
        <w:tabs>
          <w:tab w:val="center" w:pos="5400"/>
        </w:tabs>
        <w:suppressAutoHyphens/>
        <w:jc w:val="center"/>
        <w:rPr>
          <w:rFonts w:asciiTheme="majorHAnsi" w:hAnsiTheme="majorHAnsi"/>
          <w:sz w:val="18"/>
          <w:szCs w:val="18"/>
          <w:lang w:val="es-ES_tradnl"/>
        </w:rPr>
      </w:pPr>
      <w:r w:rsidRPr="00707E7B">
        <w:rPr>
          <w:rFonts w:asciiTheme="majorHAnsi" w:hAnsiTheme="majorHAnsi"/>
          <w:sz w:val="18"/>
          <w:szCs w:val="18"/>
          <w:lang w:val="es-ES_tradnl"/>
        </w:rPr>
        <w:t>ECUADOR</w:t>
      </w:r>
    </w:p>
    <w:p w:rsidR="00722C9F" w:rsidRPr="00707E7B" w:rsidRDefault="0097292A" w:rsidP="00071C55">
      <w:pPr>
        <w:tabs>
          <w:tab w:val="center" w:pos="5400"/>
        </w:tabs>
        <w:suppressAutoHyphens/>
        <w:jc w:val="center"/>
        <w:rPr>
          <w:rFonts w:asciiTheme="majorHAnsi" w:hAnsiTheme="majorHAnsi"/>
          <w:sz w:val="18"/>
          <w:szCs w:val="18"/>
          <w:lang w:val="es-ES_tradnl"/>
        </w:rPr>
      </w:pPr>
      <w:r w:rsidRPr="00B47F78">
        <w:rPr>
          <w:rFonts w:asciiTheme="majorHAnsi" w:hAnsiTheme="majorHAnsi"/>
          <w:sz w:val="18"/>
          <w:szCs w:val="18"/>
          <w:lang w:val="es-ES_tradnl"/>
        </w:rPr>
        <w:t xml:space="preserve">23 </w:t>
      </w:r>
      <w:r w:rsidR="00714497" w:rsidRPr="00B47F78">
        <w:rPr>
          <w:rFonts w:asciiTheme="majorHAnsi" w:hAnsiTheme="majorHAnsi"/>
          <w:sz w:val="18"/>
          <w:szCs w:val="18"/>
          <w:lang w:val="es-ES_tradnl"/>
        </w:rPr>
        <w:t xml:space="preserve">DE </w:t>
      </w:r>
      <w:r w:rsidR="00B95BC7" w:rsidRPr="00B47F78">
        <w:rPr>
          <w:rFonts w:asciiTheme="majorHAnsi" w:hAnsiTheme="majorHAnsi"/>
          <w:sz w:val="18"/>
          <w:szCs w:val="18"/>
          <w:lang w:val="es-ES_tradnl"/>
        </w:rPr>
        <w:t>MAYO</w:t>
      </w:r>
      <w:r w:rsidR="00714497" w:rsidRPr="00B47F78">
        <w:rPr>
          <w:rFonts w:asciiTheme="majorHAnsi" w:hAnsiTheme="majorHAnsi"/>
          <w:sz w:val="18"/>
          <w:szCs w:val="18"/>
          <w:lang w:val="es-ES_tradnl"/>
        </w:rPr>
        <w:t xml:space="preserve"> DE 201</w:t>
      </w:r>
      <w:r w:rsidR="00B95BC7" w:rsidRPr="00B47F78">
        <w:rPr>
          <w:rFonts w:asciiTheme="majorHAnsi" w:hAnsiTheme="majorHAnsi"/>
          <w:sz w:val="18"/>
          <w:szCs w:val="18"/>
          <w:lang w:val="es-ES_tradnl"/>
        </w:rPr>
        <w:t>7</w:t>
      </w:r>
    </w:p>
    <w:p w:rsidR="00714497" w:rsidRPr="000C1446" w:rsidRDefault="00714497" w:rsidP="00071C55">
      <w:pPr>
        <w:tabs>
          <w:tab w:val="center" w:pos="5400"/>
        </w:tabs>
        <w:suppressAutoHyphens/>
        <w:spacing w:line="276" w:lineRule="auto"/>
        <w:jc w:val="center"/>
        <w:rPr>
          <w:rFonts w:asciiTheme="majorHAnsi" w:hAnsiTheme="majorHAnsi"/>
          <w:sz w:val="20"/>
          <w:szCs w:val="20"/>
          <w:lang w:val="es-ES_tradnl"/>
        </w:rPr>
      </w:pPr>
    </w:p>
    <w:p w:rsidR="00722C9F" w:rsidRPr="000C1446" w:rsidRDefault="00722C9F" w:rsidP="00071C55">
      <w:pPr>
        <w:tabs>
          <w:tab w:val="center" w:pos="5400"/>
        </w:tabs>
        <w:suppressAutoHyphens/>
        <w:spacing w:line="276" w:lineRule="auto"/>
        <w:jc w:val="center"/>
        <w:rPr>
          <w:rFonts w:asciiTheme="majorHAnsi" w:hAnsiTheme="majorHAnsi"/>
          <w:b/>
          <w:sz w:val="20"/>
          <w:szCs w:val="20"/>
          <w:lang w:val="es-ES_tradnl"/>
        </w:rPr>
      </w:pPr>
      <w:r w:rsidRPr="000C1446">
        <w:rPr>
          <w:rFonts w:asciiTheme="majorHAnsi" w:hAnsiTheme="majorHAnsi"/>
          <w:b/>
          <w:sz w:val="20"/>
          <w:szCs w:val="20"/>
          <w:lang w:val="es-ES_tradnl"/>
        </w:rPr>
        <w:t>ÍNDICE</w:t>
      </w:r>
    </w:p>
    <w:p w:rsidR="0070697F" w:rsidRPr="000C1446" w:rsidRDefault="0070697F" w:rsidP="00071C55">
      <w:pPr>
        <w:tabs>
          <w:tab w:val="center" w:pos="5400"/>
        </w:tabs>
        <w:suppressAutoHyphens/>
        <w:spacing w:line="276" w:lineRule="auto"/>
        <w:rPr>
          <w:rFonts w:asciiTheme="majorHAnsi" w:hAnsiTheme="majorHAnsi"/>
          <w:sz w:val="20"/>
          <w:szCs w:val="20"/>
          <w:lang w:val="es-ES_tradnl"/>
        </w:rPr>
      </w:pPr>
    </w:p>
    <w:p w:rsidR="008D768D" w:rsidRPr="000C1446" w:rsidRDefault="008D768D" w:rsidP="00071C55">
      <w:pPr>
        <w:tabs>
          <w:tab w:val="center" w:pos="5400"/>
        </w:tabs>
        <w:suppressAutoHyphens/>
        <w:spacing w:line="276" w:lineRule="auto"/>
        <w:rPr>
          <w:rFonts w:asciiTheme="majorHAnsi" w:hAnsiTheme="majorHAnsi"/>
          <w:sz w:val="20"/>
          <w:szCs w:val="20"/>
          <w:lang w:val="es-ES_tradnl"/>
        </w:rPr>
      </w:pPr>
    </w:p>
    <w:p w:rsidR="00E6348A" w:rsidRPr="004F0A0E" w:rsidRDefault="00E6348A" w:rsidP="00071C55">
      <w:pPr>
        <w:tabs>
          <w:tab w:val="left" w:pos="720"/>
        </w:tabs>
        <w:rPr>
          <w:rFonts w:asciiTheme="majorHAnsi" w:hAnsiTheme="majorHAnsi"/>
          <w:noProof/>
          <w:sz w:val="20"/>
          <w:szCs w:val="20"/>
        </w:rPr>
      </w:pPr>
      <w:r w:rsidRPr="004F0A0E">
        <w:rPr>
          <w:rFonts w:asciiTheme="majorHAnsi" w:hAnsiTheme="majorHAnsi" w:cs="Calibri"/>
          <w:sz w:val="20"/>
          <w:szCs w:val="20"/>
          <w:lang w:val="es-ES"/>
        </w:rPr>
        <w:fldChar w:fldCharType="begin"/>
      </w:r>
      <w:r w:rsidRPr="004F0A0E">
        <w:rPr>
          <w:rFonts w:asciiTheme="majorHAnsi" w:hAnsiTheme="majorHAnsi" w:cs="Calibri"/>
          <w:sz w:val="20"/>
          <w:szCs w:val="20"/>
          <w:lang w:val="es-ES"/>
        </w:rPr>
        <w:instrText xml:space="preserve"> TOC \o "1-3" \h \z \u </w:instrText>
      </w:r>
      <w:r w:rsidRPr="004F0A0E">
        <w:rPr>
          <w:rFonts w:asciiTheme="majorHAnsi" w:hAnsiTheme="majorHAnsi" w:cs="Calibri"/>
          <w:sz w:val="20"/>
          <w:szCs w:val="20"/>
          <w:lang w:val="es-ES"/>
        </w:rPr>
        <w:fldChar w:fldCharType="separate"/>
      </w:r>
    </w:p>
    <w:p w:rsidR="00E6348A" w:rsidRPr="004F0A0E" w:rsidRDefault="00B47F78" w:rsidP="00071C55">
      <w:pPr>
        <w:pStyle w:val="TOC1"/>
        <w:tabs>
          <w:tab w:val="left" w:pos="720"/>
        </w:tabs>
        <w:rPr>
          <w:rFonts w:eastAsiaTheme="minorEastAsia" w:cstheme="minorBidi"/>
          <w:bdr w:val="none" w:sz="0" w:space="0" w:color="auto"/>
        </w:rPr>
      </w:pPr>
      <w:hyperlink w:anchor="_Toc464481596" w:history="1">
        <w:r w:rsidR="00E6348A" w:rsidRPr="00B47F78">
          <w:rPr>
            <w:rStyle w:val="Hyperlink"/>
            <w:b/>
          </w:rPr>
          <w:t>I.</w:t>
        </w:r>
        <w:r w:rsidR="00E6348A" w:rsidRPr="00B47F78">
          <w:rPr>
            <w:rFonts w:eastAsiaTheme="minorEastAsia" w:cstheme="minorBidi"/>
            <w:b/>
            <w:bdr w:val="none" w:sz="0" w:space="0" w:color="auto"/>
          </w:rPr>
          <w:tab/>
        </w:r>
        <w:r w:rsidR="00E6348A" w:rsidRPr="00B47F78">
          <w:rPr>
            <w:rStyle w:val="Hyperlink"/>
            <w:b/>
          </w:rPr>
          <w:t>RESUMEN</w:t>
        </w:r>
        <w:r w:rsidR="00E6348A" w:rsidRPr="004F0A0E">
          <w:rPr>
            <w:webHidden/>
          </w:rPr>
          <w:tab/>
        </w:r>
        <w:r w:rsidR="00E6348A" w:rsidRPr="004F0A0E">
          <w:rPr>
            <w:webHidden/>
          </w:rPr>
          <w:fldChar w:fldCharType="begin"/>
        </w:r>
        <w:r w:rsidR="00E6348A" w:rsidRPr="004F0A0E">
          <w:rPr>
            <w:webHidden/>
          </w:rPr>
          <w:instrText xml:space="preserve"> PAGEREF _Toc464481596 \h </w:instrText>
        </w:r>
        <w:r w:rsidR="00E6348A" w:rsidRPr="004F0A0E">
          <w:rPr>
            <w:webHidden/>
          </w:rPr>
        </w:r>
        <w:r w:rsidR="00E6348A" w:rsidRPr="004F0A0E">
          <w:rPr>
            <w:webHidden/>
          </w:rPr>
          <w:fldChar w:fldCharType="separate"/>
        </w:r>
        <w:r w:rsidR="00166710">
          <w:rPr>
            <w:webHidden/>
          </w:rPr>
          <w:t>2</w:t>
        </w:r>
        <w:r w:rsidR="00E6348A" w:rsidRPr="004F0A0E">
          <w:rPr>
            <w:webHidden/>
          </w:rPr>
          <w:fldChar w:fldCharType="end"/>
        </w:r>
      </w:hyperlink>
    </w:p>
    <w:p w:rsidR="00E6348A" w:rsidRPr="004F0A0E" w:rsidRDefault="00B47F78" w:rsidP="00071C55">
      <w:pPr>
        <w:pStyle w:val="TOC1"/>
        <w:tabs>
          <w:tab w:val="left" w:pos="720"/>
        </w:tabs>
        <w:rPr>
          <w:rFonts w:eastAsiaTheme="minorEastAsia" w:cstheme="minorBidi"/>
          <w:bdr w:val="none" w:sz="0" w:space="0" w:color="auto"/>
        </w:rPr>
      </w:pPr>
      <w:hyperlink w:anchor="_Toc464481597" w:history="1">
        <w:r w:rsidR="00E6348A" w:rsidRPr="00B47F78">
          <w:rPr>
            <w:rStyle w:val="Hyperlink"/>
            <w:b/>
          </w:rPr>
          <w:t>II.</w:t>
        </w:r>
        <w:r w:rsidR="00E6348A" w:rsidRPr="00B47F78">
          <w:rPr>
            <w:rFonts w:eastAsiaTheme="minorEastAsia" w:cstheme="minorBidi"/>
            <w:b/>
            <w:bdr w:val="none" w:sz="0" w:space="0" w:color="auto"/>
          </w:rPr>
          <w:tab/>
        </w:r>
        <w:r w:rsidR="00E6348A" w:rsidRPr="00B47F78">
          <w:rPr>
            <w:rStyle w:val="Hyperlink"/>
            <w:b/>
          </w:rPr>
          <w:t>TRÁMITE ANTE LA CIDH</w:t>
        </w:r>
        <w:r w:rsidR="00E6348A" w:rsidRPr="004F0A0E">
          <w:rPr>
            <w:webHidden/>
          </w:rPr>
          <w:tab/>
        </w:r>
        <w:r w:rsidR="00E6348A" w:rsidRPr="004F0A0E">
          <w:rPr>
            <w:webHidden/>
          </w:rPr>
          <w:fldChar w:fldCharType="begin"/>
        </w:r>
        <w:r w:rsidR="00E6348A" w:rsidRPr="004F0A0E">
          <w:rPr>
            <w:webHidden/>
          </w:rPr>
          <w:instrText xml:space="preserve"> PAGEREF _Toc464481597 \h </w:instrText>
        </w:r>
        <w:r w:rsidR="00E6348A" w:rsidRPr="004F0A0E">
          <w:rPr>
            <w:webHidden/>
          </w:rPr>
        </w:r>
        <w:r w:rsidR="00E6348A" w:rsidRPr="004F0A0E">
          <w:rPr>
            <w:webHidden/>
          </w:rPr>
          <w:fldChar w:fldCharType="separate"/>
        </w:r>
        <w:r w:rsidR="00166710">
          <w:rPr>
            <w:webHidden/>
          </w:rPr>
          <w:t>2</w:t>
        </w:r>
        <w:r w:rsidR="00E6348A" w:rsidRPr="004F0A0E">
          <w:rPr>
            <w:webHidden/>
          </w:rPr>
          <w:fldChar w:fldCharType="end"/>
        </w:r>
      </w:hyperlink>
    </w:p>
    <w:p w:rsidR="00E6348A" w:rsidRPr="004F0A0E" w:rsidRDefault="00B47F78" w:rsidP="00071C55">
      <w:pPr>
        <w:pStyle w:val="TOC1"/>
        <w:tabs>
          <w:tab w:val="left" w:pos="720"/>
        </w:tabs>
        <w:rPr>
          <w:rFonts w:eastAsiaTheme="minorEastAsia" w:cstheme="minorBidi"/>
          <w:bdr w:val="none" w:sz="0" w:space="0" w:color="auto"/>
        </w:rPr>
      </w:pPr>
      <w:hyperlink w:anchor="_Toc464481598" w:history="1">
        <w:r w:rsidR="00E6348A" w:rsidRPr="00B47F78">
          <w:rPr>
            <w:rStyle w:val="Hyperlink"/>
            <w:b/>
          </w:rPr>
          <w:t>III.</w:t>
        </w:r>
        <w:r w:rsidR="00E6348A" w:rsidRPr="00B47F78">
          <w:rPr>
            <w:rFonts w:eastAsiaTheme="minorEastAsia" w:cstheme="minorBidi"/>
            <w:b/>
            <w:bdr w:val="none" w:sz="0" w:space="0" w:color="auto"/>
          </w:rPr>
          <w:tab/>
        </w:r>
        <w:r w:rsidR="00E6348A" w:rsidRPr="00B47F78">
          <w:rPr>
            <w:rStyle w:val="Hyperlink"/>
            <w:b/>
          </w:rPr>
          <w:t>POSICIÓN DE LAS PARTES</w:t>
        </w:r>
        <w:r w:rsidR="00E6348A" w:rsidRPr="004F0A0E">
          <w:rPr>
            <w:webHidden/>
          </w:rPr>
          <w:tab/>
        </w:r>
        <w:r w:rsidR="00E6348A" w:rsidRPr="004F0A0E">
          <w:rPr>
            <w:webHidden/>
          </w:rPr>
          <w:fldChar w:fldCharType="begin"/>
        </w:r>
        <w:r w:rsidR="00E6348A" w:rsidRPr="004F0A0E">
          <w:rPr>
            <w:webHidden/>
          </w:rPr>
          <w:instrText xml:space="preserve"> PAGEREF _Toc464481598 \h </w:instrText>
        </w:r>
        <w:r w:rsidR="00E6348A" w:rsidRPr="004F0A0E">
          <w:rPr>
            <w:webHidden/>
          </w:rPr>
        </w:r>
        <w:r w:rsidR="00E6348A" w:rsidRPr="004F0A0E">
          <w:rPr>
            <w:webHidden/>
          </w:rPr>
          <w:fldChar w:fldCharType="separate"/>
        </w:r>
        <w:r w:rsidR="00166710">
          <w:rPr>
            <w:webHidden/>
          </w:rPr>
          <w:t>3</w:t>
        </w:r>
        <w:r w:rsidR="00E6348A" w:rsidRPr="004F0A0E">
          <w:rPr>
            <w:webHidden/>
          </w:rPr>
          <w:fldChar w:fldCharType="end"/>
        </w:r>
      </w:hyperlink>
    </w:p>
    <w:p w:rsidR="00E6348A" w:rsidRPr="004F0A0E" w:rsidRDefault="00B47F78" w:rsidP="00071C55">
      <w:pPr>
        <w:pStyle w:val="TOC2"/>
        <w:tabs>
          <w:tab w:val="left" w:pos="720"/>
        </w:tabs>
        <w:rPr>
          <w:rFonts w:asciiTheme="majorHAnsi" w:eastAsiaTheme="minorEastAsia" w:hAnsiTheme="majorHAnsi" w:cstheme="minorBidi"/>
          <w:noProof/>
          <w:sz w:val="20"/>
          <w:szCs w:val="20"/>
          <w:bdr w:val="none" w:sz="0" w:space="0" w:color="auto"/>
        </w:rPr>
      </w:pPr>
      <w:hyperlink w:anchor="_Toc464481599" w:history="1">
        <w:r w:rsidR="00E6348A" w:rsidRPr="004F0A0E">
          <w:rPr>
            <w:rStyle w:val="Hyperlink"/>
            <w:rFonts w:asciiTheme="majorHAnsi" w:hAnsiTheme="majorHAnsi"/>
            <w:noProof/>
            <w:sz w:val="20"/>
            <w:szCs w:val="20"/>
          </w:rPr>
          <w:t>A.</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rPr>
          <w:t>Peticionario</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_Toc464481599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3</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2"/>
        <w:tabs>
          <w:tab w:val="left" w:pos="720"/>
        </w:tabs>
        <w:rPr>
          <w:rFonts w:asciiTheme="majorHAnsi" w:eastAsiaTheme="minorEastAsia" w:hAnsiTheme="majorHAnsi" w:cstheme="minorBidi"/>
          <w:noProof/>
          <w:sz w:val="20"/>
          <w:szCs w:val="20"/>
          <w:bdr w:val="none" w:sz="0" w:space="0" w:color="auto"/>
        </w:rPr>
      </w:pPr>
      <w:hyperlink w:anchor="_Toc464481600" w:history="1">
        <w:r w:rsidR="00E6348A" w:rsidRPr="004F0A0E">
          <w:rPr>
            <w:rStyle w:val="Hyperlink"/>
            <w:rFonts w:asciiTheme="majorHAnsi" w:hAnsiTheme="majorHAnsi"/>
            <w:noProof/>
            <w:sz w:val="20"/>
            <w:szCs w:val="20"/>
          </w:rPr>
          <w:t>B.</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rPr>
          <w:t>El Estado</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_Toc464481600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5</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1"/>
        <w:tabs>
          <w:tab w:val="left" w:pos="720"/>
        </w:tabs>
        <w:rPr>
          <w:rFonts w:eastAsiaTheme="minorEastAsia" w:cstheme="minorBidi"/>
          <w:bdr w:val="none" w:sz="0" w:space="0" w:color="auto"/>
        </w:rPr>
      </w:pPr>
      <w:hyperlink w:anchor="_Toc464481601" w:history="1">
        <w:r w:rsidR="00E6348A" w:rsidRPr="00B47F78">
          <w:rPr>
            <w:rStyle w:val="Hyperlink"/>
            <w:b/>
          </w:rPr>
          <w:t>IV.</w:t>
        </w:r>
        <w:r w:rsidR="00E6348A" w:rsidRPr="00B47F78">
          <w:rPr>
            <w:rFonts w:eastAsiaTheme="minorEastAsia" w:cstheme="minorBidi"/>
            <w:b/>
            <w:bdr w:val="none" w:sz="0" w:space="0" w:color="auto"/>
          </w:rPr>
          <w:tab/>
        </w:r>
        <w:r w:rsidR="00E6348A" w:rsidRPr="00B47F78">
          <w:rPr>
            <w:rStyle w:val="Hyperlink"/>
            <w:b/>
          </w:rPr>
          <w:t>HECHOS</w:t>
        </w:r>
        <w:r w:rsidR="00E6348A" w:rsidRPr="004F0A0E">
          <w:rPr>
            <w:webHidden/>
          </w:rPr>
          <w:tab/>
        </w:r>
        <w:r w:rsidR="00E6348A" w:rsidRPr="004F0A0E">
          <w:rPr>
            <w:webHidden/>
          </w:rPr>
          <w:fldChar w:fldCharType="begin"/>
        </w:r>
        <w:r w:rsidR="00E6348A" w:rsidRPr="004F0A0E">
          <w:rPr>
            <w:webHidden/>
          </w:rPr>
          <w:instrText xml:space="preserve"> PAGEREF _Toc464481601 \h </w:instrText>
        </w:r>
        <w:r w:rsidR="00E6348A" w:rsidRPr="004F0A0E">
          <w:rPr>
            <w:webHidden/>
          </w:rPr>
        </w:r>
        <w:r w:rsidR="00E6348A" w:rsidRPr="004F0A0E">
          <w:rPr>
            <w:webHidden/>
          </w:rPr>
          <w:fldChar w:fldCharType="separate"/>
        </w:r>
        <w:r w:rsidR="00166710">
          <w:rPr>
            <w:webHidden/>
          </w:rPr>
          <w:t>8</w:t>
        </w:r>
        <w:r w:rsidR="00E6348A" w:rsidRPr="004F0A0E">
          <w:rPr>
            <w:webHidden/>
          </w:rPr>
          <w:fldChar w:fldCharType="end"/>
        </w:r>
      </w:hyperlink>
    </w:p>
    <w:p w:rsidR="00E6348A" w:rsidRPr="004F0A0E" w:rsidRDefault="00B47F78" w:rsidP="00071C55">
      <w:pPr>
        <w:pStyle w:val="TOC2"/>
        <w:tabs>
          <w:tab w:val="left" w:pos="720"/>
        </w:tabs>
        <w:rPr>
          <w:rFonts w:asciiTheme="majorHAnsi" w:eastAsiaTheme="minorEastAsia" w:hAnsiTheme="majorHAnsi" w:cstheme="minorBidi"/>
          <w:noProof/>
          <w:sz w:val="20"/>
          <w:szCs w:val="20"/>
          <w:bdr w:val="none" w:sz="0" w:space="0" w:color="auto"/>
        </w:rPr>
      </w:pPr>
      <w:hyperlink w:anchor="_Toc464481602" w:history="1">
        <w:r w:rsidR="00E6348A" w:rsidRPr="004F0A0E">
          <w:rPr>
            <w:rStyle w:val="Hyperlink"/>
            <w:rFonts w:asciiTheme="majorHAnsi" w:hAnsiTheme="majorHAnsi"/>
            <w:noProof/>
            <w:sz w:val="20"/>
            <w:szCs w:val="20"/>
            <w:lang w:val="es-ES"/>
          </w:rPr>
          <w:t>A.</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lang w:val="es-ES"/>
          </w:rPr>
          <w:t>Consideraciones previas</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_Toc464481602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8</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2"/>
        <w:tabs>
          <w:tab w:val="left" w:pos="720"/>
        </w:tabs>
        <w:rPr>
          <w:rFonts w:asciiTheme="majorHAnsi" w:eastAsiaTheme="minorEastAsia" w:hAnsiTheme="majorHAnsi" w:cstheme="minorBidi"/>
          <w:noProof/>
          <w:sz w:val="20"/>
          <w:szCs w:val="20"/>
          <w:bdr w:val="none" w:sz="0" w:space="0" w:color="auto"/>
        </w:rPr>
      </w:pPr>
      <w:hyperlink w:anchor="_Toc464481603" w:history="1">
        <w:r w:rsidR="00E6348A" w:rsidRPr="004F0A0E">
          <w:rPr>
            <w:rStyle w:val="Hyperlink"/>
            <w:rFonts w:asciiTheme="majorHAnsi" w:hAnsiTheme="majorHAnsi"/>
            <w:noProof/>
            <w:sz w:val="20"/>
            <w:szCs w:val="20"/>
            <w:lang w:val="es-ES"/>
          </w:rPr>
          <w:t>B.</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lang w:val="es-ES"/>
          </w:rPr>
          <w:t>Hechos probados</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_Toc464481603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8</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4481604" w:history="1">
        <w:r w:rsidR="00E6348A" w:rsidRPr="004F0A0E">
          <w:rPr>
            <w:rStyle w:val="Hyperlink"/>
            <w:rFonts w:asciiTheme="majorHAnsi" w:hAnsiTheme="majorHAnsi"/>
            <w:noProof/>
            <w:sz w:val="20"/>
            <w:szCs w:val="20"/>
          </w:rPr>
          <w:t>1.</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rPr>
          <w:t>Marco normativo relevante</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_Toc464481604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8</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4481605" w:history="1">
        <w:r w:rsidR="00E6348A" w:rsidRPr="004F0A0E">
          <w:rPr>
            <w:rStyle w:val="Hyperlink"/>
            <w:rFonts w:asciiTheme="majorHAnsi" w:hAnsiTheme="majorHAnsi"/>
            <w:noProof/>
            <w:sz w:val="20"/>
            <w:szCs w:val="20"/>
          </w:rPr>
          <w:t>2.</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rPr>
          <w:t>Sobre el descubrimiento de las piezas arqueológicas</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_Toc464481605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11</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4481606" w:history="1">
        <w:r w:rsidR="00E6348A" w:rsidRPr="004F0A0E">
          <w:rPr>
            <w:rStyle w:val="Hyperlink"/>
            <w:rFonts w:asciiTheme="majorHAnsi" w:hAnsiTheme="majorHAnsi"/>
            <w:noProof/>
            <w:sz w:val="20"/>
            <w:szCs w:val="20"/>
          </w:rPr>
          <w:t>3.</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rPr>
          <w:t>Sobre el Decreto Supremo No. 320</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_Toc464481606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12</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4481607" w:history="1">
        <w:r w:rsidR="00E6348A" w:rsidRPr="004F0A0E">
          <w:rPr>
            <w:rStyle w:val="Hyperlink"/>
            <w:rFonts w:asciiTheme="majorHAnsi" w:hAnsiTheme="majorHAnsi"/>
            <w:noProof/>
            <w:sz w:val="20"/>
            <w:szCs w:val="20"/>
          </w:rPr>
          <w:t>4.</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rPr>
          <w:t>Procesos internos</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_Toc464481607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13</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1"/>
        <w:tabs>
          <w:tab w:val="left" w:pos="720"/>
        </w:tabs>
        <w:rPr>
          <w:rFonts w:eastAsiaTheme="minorEastAsia" w:cstheme="minorBidi"/>
          <w:bdr w:val="none" w:sz="0" w:space="0" w:color="auto"/>
        </w:rPr>
      </w:pPr>
      <w:hyperlink w:anchor="_Toc464481608" w:history="1">
        <w:r w:rsidR="00E6348A" w:rsidRPr="00B47F78">
          <w:rPr>
            <w:rStyle w:val="Hyperlink"/>
            <w:b/>
          </w:rPr>
          <w:t>V.</w:t>
        </w:r>
        <w:r w:rsidR="00E6348A" w:rsidRPr="00B47F78">
          <w:rPr>
            <w:rFonts w:eastAsiaTheme="minorEastAsia" w:cstheme="minorBidi"/>
            <w:b/>
            <w:bdr w:val="none" w:sz="0" w:space="0" w:color="auto"/>
          </w:rPr>
          <w:tab/>
        </w:r>
        <w:r w:rsidR="00E6348A" w:rsidRPr="00B47F78">
          <w:rPr>
            <w:rStyle w:val="Hyperlink"/>
            <w:b/>
          </w:rPr>
          <w:t>ANÁLISIS DE DERECHO</w:t>
        </w:r>
        <w:r w:rsidR="00E6348A" w:rsidRPr="004F0A0E">
          <w:rPr>
            <w:webHidden/>
          </w:rPr>
          <w:tab/>
        </w:r>
        <w:r w:rsidR="00E6348A" w:rsidRPr="004F0A0E">
          <w:rPr>
            <w:webHidden/>
          </w:rPr>
          <w:fldChar w:fldCharType="begin"/>
        </w:r>
        <w:r w:rsidR="00E6348A" w:rsidRPr="004F0A0E">
          <w:rPr>
            <w:webHidden/>
          </w:rPr>
          <w:instrText xml:space="preserve"> PAGEREF _Toc464481608 \h </w:instrText>
        </w:r>
        <w:r w:rsidR="00E6348A" w:rsidRPr="004F0A0E">
          <w:rPr>
            <w:webHidden/>
          </w:rPr>
        </w:r>
        <w:r w:rsidR="00E6348A" w:rsidRPr="004F0A0E">
          <w:rPr>
            <w:webHidden/>
          </w:rPr>
          <w:fldChar w:fldCharType="separate"/>
        </w:r>
        <w:r w:rsidR="00166710">
          <w:rPr>
            <w:webHidden/>
          </w:rPr>
          <w:t>17</w:t>
        </w:r>
        <w:r w:rsidR="00E6348A" w:rsidRPr="004F0A0E">
          <w:rPr>
            <w:webHidden/>
          </w:rPr>
          <w:fldChar w:fldCharType="end"/>
        </w:r>
      </w:hyperlink>
    </w:p>
    <w:p w:rsidR="00E6348A" w:rsidRPr="004F0A0E" w:rsidRDefault="00B47F78" w:rsidP="00071C55">
      <w:pPr>
        <w:pStyle w:val="TOC2"/>
        <w:tabs>
          <w:tab w:val="left" w:pos="720"/>
        </w:tabs>
        <w:rPr>
          <w:rFonts w:asciiTheme="majorHAnsi" w:eastAsiaTheme="minorEastAsia" w:hAnsiTheme="majorHAnsi" w:cstheme="minorBidi"/>
          <w:noProof/>
          <w:sz w:val="20"/>
          <w:szCs w:val="20"/>
          <w:bdr w:val="none" w:sz="0" w:space="0" w:color="auto"/>
        </w:rPr>
      </w:pPr>
      <w:hyperlink w:anchor="_Toc464481609" w:history="1">
        <w:r w:rsidR="00E6348A" w:rsidRPr="004F0A0E">
          <w:rPr>
            <w:rStyle w:val="Hyperlink"/>
            <w:rFonts w:asciiTheme="majorHAnsi" w:hAnsiTheme="majorHAnsi"/>
            <w:noProof/>
            <w:sz w:val="20"/>
            <w:szCs w:val="20"/>
            <w:lang w:val="es-CO"/>
          </w:rPr>
          <w:t>A.</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lang w:val="es-CO"/>
          </w:rPr>
          <w:t>Derecho a la propiedad privada (Artículo 21 de la Convención Americana en relación con el artículo 1.1 del mismo instrumento)</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_Toc464481609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17</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2"/>
        <w:tabs>
          <w:tab w:val="left" w:pos="720"/>
        </w:tabs>
        <w:rPr>
          <w:rFonts w:asciiTheme="majorHAnsi" w:eastAsiaTheme="minorEastAsia" w:hAnsiTheme="majorHAnsi" w:cstheme="minorBidi"/>
          <w:noProof/>
          <w:sz w:val="20"/>
          <w:szCs w:val="20"/>
          <w:bdr w:val="none" w:sz="0" w:space="0" w:color="auto"/>
        </w:rPr>
      </w:pPr>
      <w:hyperlink w:anchor="_Toc464481610" w:history="1">
        <w:r w:rsidR="00E6348A" w:rsidRPr="004F0A0E">
          <w:rPr>
            <w:rStyle w:val="Hyperlink"/>
            <w:rFonts w:asciiTheme="majorHAnsi" w:hAnsiTheme="majorHAnsi"/>
            <w:noProof/>
            <w:sz w:val="20"/>
            <w:szCs w:val="20"/>
            <w:lang w:val="es-ES"/>
          </w:rPr>
          <w:t>B.</w:t>
        </w:r>
        <w:r w:rsidR="00E6348A" w:rsidRPr="004F0A0E">
          <w:rPr>
            <w:rFonts w:asciiTheme="majorHAnsi" w:eastAsiaTheme="minorEastAsia" w:hAnsiTheme="majorHAnsi" w:cstheme="minorBidi"/>
            <w:noProof/>
            <w:sz w:val="20"/>
            <w:szCs w:val="20"/>
            <w:bdr w:val="none" w:sz="0" w:space="0" w:color="auto"/>
          </w:rPr>
          <w:tab/>
        </w:r>
        <w:r w:rsidR="00E6348A" w:rsidRPr="004F0A0E">
          <w:rPr>
            <w:rStyle w:val="Hyperlink"/>
            <w:rFonts w:asciiTheme="majorHAnsi" w:hAnsiTheme="majorHAnsi"/>
            <w:noProof/>
            <w:sz w:val="20"/>
            <w:szCs w:val="20"/>
            <w:lang w:val="es-ES"/>
          </w:rPr>
          <w:t xml:space="preserve">Derechos a las garantías judiciales y a la protección judicial (artículos 8.1 y 25 de la Convención </w:t>
        </w:r>
        <w:r w:rsidR="00E6348A" w:rsidRPr="004F0A0E">
          <w:rPr>
            <w:rStyle w:val="Hyperlink"/>
            <w:rFonts w:asciiTheme="majorHAnsi" w:hAnsiTheme="majorHAnsi"/>
            <w:noProof/>
            <w:sz w:val="20"/>
            <w:szCs w:val="20"/>
            <w:lang w:val="es-MX"/>
          </w:rPr>
          <w:t>Americana en relación con el artículo 1.1 del mismo instrumento</w:t>
        </w:r>
        <w:r w:rsidR="00E6348A" w:rsidRPr="004F0A0E">
          <w:rPr>
            <w:rStyle w:val="Hyperlink"/>
            <w:rFonts w:asciiTheme="majorHAnsi" w:hAnsiTheme="majorHAnsi"/>
            <w:noProof/>
            <w:sz w:val="20"/>
            <w:szCs w:val="20"/>
            <w:lang w:val="es-ES"/>
          </w:rPr>
          <w:t>)</w:t>
        </w:r>
        <w:r w:rsidR="00E6348A" w:rsidRPr="004F0A0E">
          <w:rPr>
            <w:rFonts w:asciiTheme="majorHAnsi" w:hAnsiTheme="majorHAnsi"/>
            <w:noProof/>
            <w:webHidden/>
            <w:sz w:val="20"/>
            <w:szCs w:val="20"/>
          </w:rPr>
          <w:tab/>
        </w:r>
        <w:r w:rsidR="00E6348A" w:rsidRPr="004F0A0E">
          <w:rPr>
            <w:rFonts w:asciiTheme="majorHAnsi" w:hAnsiTheme="majorHAnsi"/>
            <w:noProof/>
            <w:webHidden/>
            <w:sz w:val="20"/>
            <w:szCs w:val="20"/>
          </w:rPr>
          <w:fldChar w:fldCharType="begin"/>
        </w:r>
        <w:r w:rsidR="00E6348A" w:rsidRPr="004F0A0E">
          <w:rPr>
            <w:rFonts w:asciiTheme="majorHAnsi" w:hAnsiTheme="majorHAnsi"/>
            <w:noProof/>
            <w:webHidden/>
            <w:sz w:val="20"/>
            <w:szCs w:val="20"/>
          </w:rPr>
          <w:instrText xml:space="preserve"> PAGEREF _Toc464481610 \h </w:instrText>
        </w:r>
        <w:r w:rsidR="00E6348A" w:rsidRPr="004F0A0E">
          <w:rPr>
            <w:rFonts w:asciiTheme="majorHAnsi" w:hAnsiTheme="majorHAnsi"/>
            <w:noProof/>
            <w:webHidden/>
            <w:sz w:val="20"/>
            <w:szCs w:val="20"/>
          </w:rPr>
        </w:r>
        <w:r w:rsidR="00E6348A" w:rsidRPr="004F0A0E">
          <w:rPr>
            <w:rFonts w:asciiTheme="majorHAnsi" w:hAnsiTheme="majorHAnsi"/>
            <w:noProof/>
            <w:webHidden/>
            <w:sz w:val="20"/>
            <w:szCs w:val="20"/>
          </w:rPr>
          <w:fldChar w:fldCharType="separate"/>
        </w:r>
        <w:r w:rsidR="00166710">
          <w:rPr>
            <w:rFonts w:asciiTheme="majorHAnsi" w:hAnsiTheme="majorHAnsi"/>
            <w:noProof/>
            <w:webHidden/>
            <w:sz w:val="20"/>
            <w:szCs w:val="20"/>
          </w:rPr>
          <w:t>20</w:t>
        </w:r>
        <w:r w:rsidR="00E6348A" w:rsidRPr="004F0A0E">
          <w:rPr>
            <w:rFonts w:asciiTheme="majorHAnsi" w:hAnsiTheme="majorHAnsi"/>
            <w:noProof/>
            <w:webHidden/>
            <w:sz w:val="20"/>
            <w:szCs w:val="20"/>
          </w:rPr>
          <w:fldChar w:fldCharType="end"/>
        </w:r>
      </w:hyperlink>
    </w:p>
    <w:p w:rsidR="00E6348A" w:rsidRPr="004F0A0E" w:rsidRDefault="00B47F78" w:rsidP="00071C55">
      <w:pPr>
        <w:pStyle w:val="TOC1"/>
        <w:tabs>
          <w:tab w:val="left" w:pos="720"/>
        </w:tabs>
        <w:rPr>
          <w:rFonts w:eastAsiaTheme="minorEastAsia" w:cstheme="minorBidi"/>
          <w:bdr w:val="none" w:sz="0" w:space="0" w:color="auto"/>
        </w:rPr>
      </w:pPr>
      <w:hyperlink w:anchor="_Toc464481611" w:history="1">
        <w:r w:rsidR="00E6348A" w:rsidRPr="00B47F78">
          <w:rPr>
            <w:rStyle w:val="Hyperlink"/>
            <w:b/>
          </w:rPr>
          <w:t>VI.</w:t>
        </w:r>
        <w:r w:rsidR="00E6348A" w:rsidRPr="00B47F78">
          <w:rPr>
            <w:rFonts w:eastAsiaTheme="minorEastAsia" w:cstheme="minorBidi"/>
            <w:b/>
            <w:bdr w:val="none" w:sz="0" w:space="0" w:color="auto"/>
          </w:rPr>
          <w:tab/>
        </w:r>
        <w:r w:rsidR="00E6348A" w:rsidRPr="00B47F78">
          <w:rPr>
            <w:rStyle w:val="Hyperlink"/>
            <w:b/>
          </w:rPr>
          <w:t>CONCLUSIONES</w:t>
        </w:r>
        <w:r w:rsidR="00E6348A" w:rsidRPr="004F0A0E">
          <w:rPr>
            <w:webHidden/>
          </w:rPr>
          <w:tab/>
        </w:r>
        <w:r w:rsidR="00E6348A" w:rsidRPr="004F0A0E">
          <w:rPr>
            <w:webHidden/>
          </w:rPr>
          <w:fldChar w:fldCharType="begin"/>
        </w:r>
        <w:r w:rsidR="00E6348A" w:rsidRPr="004F0A0E">
          <w:rPr>
            <w:webHidden/>
          </w:rPr>
          <w:instrText xml:space="preserve"> PAGEREF _Toc464481611 \h </w:instrText>
        </w:r>
        <w:r w:rsidR="00E6348A" w:rsidRPr="004F0A0E">
          <w:rPr>
            <w:webHidden/>
          </w:rPr>
        </w:r>
        <w:r w:rsidR="00E6348A" w:rsidRPr="004F0A0E">
          <w:rPr>
            <w:webHidden/>
          </w:rPr>
          <w:fldChar w:fldCharType="separate"/>
        </w:r>
        <w:r w:rsidR="00166710">
          <w:rPr>
            <w:webHidden/>
          </w:rPr>
          <w:t>23</w:t>
        </w:r>
        <w:r w:rsidR="00E6348A" w:rsidRPr="004F0A0E">
          <w:rPr>
            <w:webHidden/>
          </w:rPr>
          <w:fldChar w:fldCharType="end"/>
        </w:r>
      </w:hyperlink>
    </w:p>
    <w:p w:rsidR="00E6348A" w:rsidRPr="004F0A0E" w:rsidRDefault="00B47F78" w:rsidP="00071C55">
      <w:pPr>
        <w:pStyle w:val="TOC1"/>
        <w:tabs>
          <w:tab w:val="left" w:pos="720"/>
        </w:tabs>
        <w:rPr>
          <w:rFonts w:eastAsiaTheme="minorEastAsia" w:cstheme="minorBidi"/>
          <w:bdr w:val="none" w:sz="0" w:space="0" w:color="auto"/>
        </w:rPr>
      </w:pPr>
      <w:hyperlink w:anchor="_Toc464481612" w:history="1">
        <w:r w:rsidR="00E6348A" w:rsidRPr="00B47F78">
          <w:rPr>
            <w:rStyle w:val="Hyperlink"/>
            <w:b/>
          </w:rPr>
          <w:t>VII.</w:t>
        </w:r>
        <w:r w:rsidR="00E6348A" w:rsidRPr="00B47F78">
          <w:rPr>
            <w:rFonts w:eastAsiaTheme="minorEastAsia" w:cstheme="minorBidi"/>
            <w:b/>
            <w:bdr w:val="none" w:sz="0" w:space="0" w:color="auto"/>
          </w:rPr>
          <w:tab/>
        </w:r>
        <w:r w:rsidR="00E6348A" w:rsidRPr="00B47F78">
          <w:rPr>
            <w:rStyle w:val="Hyperlink"/>
            <w:b/>
          </w:rPr>
          <w:t>RECOMENDACIONES</w:t>
        </w:r>
        <w:r w:rsidR="00E6348A" w:rsidRPr="004F0A0E">
          <w:rPr>
            <w:webHidden/>
          </w:rPr>
          <w:tab/>
        </w:r>
        <w:r w:rsidR="00E6348A" w:rsidRPr="004F0A0E">
          <w:rPr>
            <w:webHidden/>
          </w:rPr>
          <w:fldChar w:fldCharType="begin"/>
        </w:r>
        <w:r w:rsidR="00E6348A" w:rsidRPr="004F0A0E">
          <w:rPr>
            <w:webHidden/>
          </w:rPr>
          <w:instrText xml:space="preserve"> PAGEREF _Toc464481612 \h </w:instrText>
        </w:r>
        <w:r w:rsidR="00E6348A" w:rsidRPr="004F0A0E">
          <w:rPr>
            <w:webHidden/>
          </w:rPr>
          <w:fldChar w:fldCharType="separate"/>
        </w:r>
        <w:r w:rsidR="00166710">
          <w:rPr>
            <w:b/>
            <w:bCs/>
            <w:webHidden/>
          </w:rPr>
          <w:t>Error! Bookmark not defined.</w:t>
        </w:r>
        <w:r w:rsidR="00E6348A" w:rsidRPr="004F0A0E">
          <w:rPr>
            <w:webHidden/>
          </w:rPr>
          <w:fldChar w:fldCharType="end"/>
        </w:r>
      </w:hyperlink>
    </w:p>
    <w:p w:rsidR="00722C9F" w:rsidRPr="000C1446" w:rsidRDefault="00E6348A" w:rsidP="00071C55">
      <w:pPr>
        <w:tabs>
          <w:tab w:val="left" w:pos="720"/>
        </w:tabs>
        <w:rPr>
          <w:rFonts w:asciiTheme="majorHAnsi" w:hAnsiTheme="majorHAnsi" w:cs="Calibri"/>
          <w:sz w:val="20"/>
          <w:szCs w:val="20"/>
          <w:lang w:val="es-ES"/>
        </w:rPr>
      </w:pPr>
      <w:r w:rsidRPr="004F0A0E">
        <w:rPr>
          <w:rFonts w:asciiTheme="majorHAnsi" w:hAnsiTheme="majorHAnsi" w:cs="Calibri"/>
          <w:sz w:val="20"/>
          <w:szCs w:val="20"/>
          <w:lang w:val="es-ES"/>
        </w:rPr>
        <w:fldChar w:fldCharType="end"/>
      </w:r>
    </w:p>
    <w:p w:rsidR="00E6348A" w:rsidRPr="000C1446" w:rsidRDefault="00E6348A" w:rsidP="00071C55">
      <w:pPr>
        <w:rPr>
          <w:rFonts w:asciiTheme="majorHAnsi" w:hAnsiTheme="majorHAnsi" w:cs="Calibri"/>
          <w:sz w:val="20"/>
          <w:szCs w:val="20"/>
          <w:lang w:val="es-ES"/>
        </w:rPr>
      </w:pPr>
    </w:p>
    <w:p w:rsidR="00E6348A" w:rsidRPr="000C1446" w:rsidRDefault="00E6348A" w:rsidP="00071C55">
      <w:pPr>
        <w:rPr>
          <w:rFonts w:asciiTheme="majorHAnsi" w:hAnsiTheme="majorHAnsi" w:cs="Calibri"/>
          <w:sz w:val="20"/>
          <w:szCs w:val="20"/>
          <w:lang w:val="es-ES"/>
        </w:rPr>
      </w:pPr>
    </w:p>
    <w:p w:rsidR="00E6348A" w:rsidRPr="000C1446" w:rsidRDefault="00E6348A" w:rsidP="00071C55">
      <w:pPr>
        <w:rPr>
          <w:rFonts w:asciiTheme="majorHAnsi" w:hAnsiTheme="majorHAnsi" w:cs="Calibri"/>
          <w:sz w:val="20"/>
          <w:szCs w:val="20"/>
          <w:lang w:val="es-ES"/>
        </w:rPr>
      </w:pPr>
    </w:p>
    <w:p w:rsidR="00E6348A" w:rsidRPr="000C1446" w:rsidRDefault="00E6348A" w:rsidP="00071C55">
      <w:pPr>
        <w:rPr>
          <w:rFonts w:asciiTheme="majorHAnsi" w:hAnsiTheme="majorHAnsi" w:cs="Calibri"/>
          <w:sz w:val="20"/>
          <w:szCs w:val="20"/>
          <w:lang w:val="es-ES"/>
        </w:rPr>
      </w:pPr>
    </w:p>
    <w:p w:rsidR="00E6348A" w:rsidRPr="000C1446" w:rsidRDefault="00E6348A" w:rsidP="00071C55">
      <w:pPr>
        <w:rPr>
          <w:rFonts w:asciiTheme="majorHAnsi" w:hAnsiTheme="majorHAnsi" w:cs="Calibri"/>
          <w:sz w:val="20"/>
          <w:szCs w:val="20"/>
          <w:lang w:val="es-ES"/>
        </w:rPr>
      </w:pPr>
      <w:r w:rsidRPr="000C1446">
        <w:rPr>
          <w:rFonts w:asciiTheme="majorHAnsi" w:hAnsiTheme="majorHAnsi" w:cs="Calibri"/>
          <w:sz w:val="20"/>
          <w:szCs w:val="20"/>
          <w:lang w:val="es-ES"/>
        </w:rPr>
        <w:br w:type="page"/>
      </w:r>
    </w:p>
    <w:p w:rsidR="00B84AF0" w:rsidRPr="00707E7B" w:rsidRDefault="00206F64" w:rsidP="00071C55">
      <w:pPr>
        <w:suppressAutoHyphens/>
        <w:jc w:val="center"/>
        <w:rPr>
          <w:rFonts w:asciiTheme="majorHAnsi" w:hAnsiTheme="majorHAnsi"/>
          <w:b/>
          <w:sz w:val="18"/>
          <w:szCs w:val="18"/>
          <w:lang w:val="es-ES"/>
        </w:rPr>
      </w:pPr>
      <w:r>
        <w:rPr>
          <w:rFonts w:asciiTheme="majorHAnsi" w:hAnsiTheme="majorHAnsi"/>
          <w:b/>
          <w:sz w:val="18"/>
          <w:szCs w:val="18"/>
          <w:lang w:val="es-ES"/>
        </w:rPr>
        <w:t xml:space="preserve">INFORME No. </w:t>
      </w:r>
      <w:r w:rsidR="0097292A">
        <w:rPr>
          <w:rFonts w:asciiTheme="majorHAnsi" w:hAnsiTheme="majorHAnsi"/>
          <w:b/>
          <w:sz w:val="18"/>
          <w:szCs w:val="18"/>
          <w:lang w:val="es-ES"/>
        </w:rPr>
        <w:t>44</w:t>
      </w:r>
      <w:r w:rsidR="00B84AF0" w:rsidRPr="00707E7B">
        <w:rPr>
          <w:rFonts w:asciiTheme="majorHAnsi" w:hAnsiTheme="majorHAnsi"/>
          <w:b/>
          <w:sz w:val="18"/>
          <w:szCs w:val="18"/>
          <w:lang w:val="es-ES"/>
        </w:rPr>
        <w:t>/1</w:t>
      </w:r>
      <w:r w:rsidR="0097292A">
        <w:rPr>
          <w:rFonts w:asciiTheme="majorHAnsi" w:hAnsiTheme="majorHAnsi"/>
          <w:b/>
          <w:sz w:val="18"/>
          <w:szCs w:val="18"/>
          <w:lang w:val="es-ES"/>
        </w:rPr>
        <w:t>7</w:t>
      </w:r>
    </w:p>
    <w:p w:rsidR="00B84AF0" w:rsidRPr="00707E7B" w:rsidRDefault="00BC0142" w:rsidP="00071C55">
      <w:pPr>
        <w:suppressAutoHyphens/>
        <w:jc w:val="center"/>
        <w:rPr>
          <w:rFonts w:asciiTheme="majorHAnsi" w:hAnsiTheme="majorHAnsi"/>
          <w:sz w:val="18"/>
          <w:szCs w:val="18"/>
          <w:lang w:val="es-ES"/>
        </w:rPr>
      </w:pPr>
      <w:r w:rsidRPr="00707E7B">
        <w:rPr>
          <w:rFonts w:asciiTheme="majorHAnsi" w:hAnsiTheme="majorHAnsi"/>
          <w:sz w:val="18"/>
          <w:szCs w:val="18"/>
          <w:lang w:val="es-ES"/>
        </w:rPr>
        <w:t>CASO 12.393</w:t>
      </w:r>
    </w:p>
    <w:p w:rsidR="00B84AF0" w:rsidRPr="00707E7B" w:rsidRDefault="00B84AF0" w:rsidP="00071C55">
      <w:pPr>
        <w:suppressAutoHyphens/>
        <w:jc w:val="center"/>
        <w:rPr>
          <w:rFonts w:asciiTheme="majorHAnsi" w:hAnsiTheme="majorHAnsi"/>
          <w:sz w:val="18"/>
          <w:szCs w:val="18"/>
          <w:lang w:val="es-ES"/>
        </w:rPr>
      </w:pPr>
      <w:r w:rsidRPr="00B47F78">
        <w:rPr>
          <w:rFonts w:asciiTheme="majorHAnsi" w:hAnsiTheme="majorHAnsi"/>
          <w:sz w:val="18"/>
          <w:szCs w:val="18"/>
          <w:lang w:val="es-ES"/>
        </w:rPr>
        <w:t>FONDO</w:t>
      </w:r>
      <w:r w:rsidR="009942B2" w:rsidRPr="00B47F78">
        <w:rPr>
          <w:rFonts w:asciiTheme="majorHAnsi" w:hAnsiTheme="majorHAnsi"/>
          <w:sz w:val="18"/>
          <w:szCs w:val="18"/>
          <w:lang w:val="es-ES"/>
        </w:rPr>
        <w:t xml:space="preserve"> (</w:t>
      </w:r>
      <w:r w:rsidR="00071C55" w:rsidRPr="00B47F78">
        <w:rPr>
          <w:rFonts w:asciiTheme="majorHAnsi" w:hAnsiTheme="majorHAnsi"/>
          <w:sz w:val="18"/>
          <w:szCs w:val="18"/>
          <w:lang w:val="es-ES"/>
        </w:rPr>
        <w:t>PUBLICACIÓN</w:t>
      </w:r>
      <w:r w:rsidR="009942B2" w:rsidRPr="00B47F78">
        <w:rPr>
          <w:rFonts w:asciiTheme="majorHAnsi" w:hAnsiTheme="majorHAnsi"/>
          <w:sz w:val="18"/>
          <w:szCs w:val="18"/>
          <w:lang w:val="es-ES"/>
        </w:rPr>
        <w:t>)</w:t>
      </w:r>
    </w:p>
    <w:p w:rsidR="00BC0142" w:rsidRPr="00707E7B" w:rsidRDefault="00BC0142" w:rsidP="00071C55">
      <w:pPr>
        <w:pStyle w:val="Subtitle"/>
        <w:suppressAutoHyphens/>
        <w:spacing w:after="0"/>
        <w:outlineLvl w:val="9"/>
        <w:rPr>
          <w:rFonts w:asciiTheme="majorHAnsi" w:hAnsiTheme="majorHAnsi"/>
          <w:sz w:val="18"/>
          <w:szCs w:val="18"/>
          <w:lang w:val="es-ES"/>
        </w:rPr>
      </w:pPr>
      <w:r w:rsidRPr="00707E7B">
        <w:rPr>
          <w:rFonts w:asciiTheme="majorHAnsi" w:hAnsiTheme="majorHAnsi"/>
          <w:sz w:val="18"/>
          <w:szCs w:val="18"/>
          <w:lang w:val="es-ES"/>
        </w:rPr>
        <w:t>JAMES JUDGE</w:t>
      </w:r>
    </w:p>
    <w:p w:rsidR="00B84AF0" w:rsidRPr="00707E7B" w:rsidRDefault="00BC0142" w:rsidP="00071C55">
      <w:pPr>
        <w:pStyle w:val="Subtitle"/>
        <w:suppressAutoHyphens/>
        <w:spacing w:after="0"/>
        <w:outlineLvl w:val="9"/>
        <w:rPr>
          <w:rFonts w:asciiTheme="majorHAnsi" w:hAnsiTheme="majorHAnsi"/>
          <w:sz w:val="18"/>
          <w:szCs w:val="18"/>
          <w:lang w:val="es-ES"/>
        </w:rPr>
      </w:pPr>
      <w:r w:rsidRPr="00707E7B">
        <w:rPr>
          <w:rFonts w:asciiTheme="majorHAnsi" w:hAnsiTheme="majorHAnsi"/>
          <w:sz w:val="18"/>
          <w:szCs w:val="18"/>
          <w:lang w:val="es-ES"/>
        </w:rPr>
        <w:t>ECUADOR</w:t>
      </w:r>
    </w:p>
    <w:p w:rsidR="00B84AF0" w:rsidRPr="00707E7B" w:rsidRDefault="0097292A" w:rsidP="00071C55">
      <w:pPr>
        <w:pStyle w:val="Subtitle"/>
        <w:suppressAutoHyphens/>
        <w:spacing w:after="0"/>
        <w:outlineLvl w:val="9"/>
        <w:rPr>
          <w:rFonts w:asciiTheme="majorHAnsi" w:hAnsiTheme="majorHAnsi"/>
          <w:sz w:val="18"/>
          <w:szCs w:val="18"/>
          <w:lang w:val="es-ES"/>
        </w:rPr>
      </w:pPr>
      <w:r>
        <w:rPr>
          <w:rFonts w:asciiTheme="majorHAnsi" w:hAnsiTheme="majorHAnsi"/>
          <w:sz w:val="18"/>
          <w:szCs w:val="18"/>
          <w:lang w:val="es-ES"/>
        </w:rPr>
        <w:t>23</w:t>
      </w:r>
      <w:r w:rsidR="00BC0142" w:rsidRPr="00707E7B">
        <w:rPr>
          <w:rFonts w:asciiTheme="majorHAnsi" w:hAnsiTheme="majorHAnsi"/>
          <w:sz w:val="18"/>
          <w:szCs w:val="18"/>
          <w:lang w:val="es-ES"/>
        </w:rPr>
        <w:t xml:space="preserve"> DE </w:t>
      </w:r>
      <w:r w:rsidR="009942B2">
        <w:rPr>
          <w:rFonts w:asciiTheme="majorHAnsi" w:hAnsiTheme="majorHAnsi"/>
          <w:sz w:val="18"/>
          <w:szCs w:val="18"/>
          <w:lang w:val="es-ES"/>
        </w:rPr>
        <w:t>MAYO</w:t>
      </w:r>
      <w:r w:rsidR="00206F64">
        <w:rPr>
          <w:rFonts w:asciiTheme="majorHAnsi" w:hAnsiTheme="majorHAnsi"/>
          <w:sz w:val="18"/>
          <w:szCs w:val="18"/>
          <w:lang w:val="es-ES"/>
        </w:rPr>
        <w:t xml:space="preserve"> </w:t>
      </w:r>
      <w:r w:rsidR="00BC0142" w:rsidRPr="00707E7B">
        <w:rPr>
          <w:rFonts w:asciiTheme="majorHAnsi" w:hAnsiTheme="majorHAnsi"/>
          <w:sz w:val="18"/>
          <w:szCs w:val="18"/>
          <w:lang w:val="es-ES"/>
        </w:rPr>
        <w:t>DE 201</w:t>
      </w:r>
      <w:r w:rsidR="009942B2">
        <w:rPr>
          <w:rFonts w:asciiTheme="majorHAnsi" w:hAnsiTheme="majorHAnsi"/>
          <w:sz w:val="18"/>
          <w:szCs w:val="18"/>
          <w:lang w:val="es-ES"/>
        </w:rPr>
        <w:t>7</w:t>
      </w:r>
      <w:r w:rsidR="00F67C12">
        <w:rPr>
          <w:rFonts w:asciiTheme="majorHAnsi" w:hAnsiTheme="majorHAnsi"/>
          <w:sz w:val="18"/>
          <w:szCs w:val="18"/>
          <w:lang w:val="es-ES"/>
        </w:rPr>
        <w:t xml:space="preserve"> (*)</w:t>
      </w:r>
    </w:p>
    <w:p w:rsidR="00B84AF0" w:rsidRPr="000C1446" w:rsidRDefault="00B84AF0" w:rsidP="00071C55">
      <w:pPr>
        <w:rPr>
          <w:rFonts w:asciiTheme="majorHAnsi" w:hAnsiTheme="majorHAnsi"/>
          <w:sz w:val="20"/>
          <w:szCs w:val="20"/>
          <w:lang w:val="es-ES"/>
        </w:rPr>
      </w:pPr>
    </w:p>
    <w:p w:rsidR="001979E8" w:rsidRPr="000C1446" w:rsidRDefault="001979E8" w:rsidP="00071C55">
      <w:pPr>
        <w:rPr>
          <w:rFonts w:asciiTheme="majorHAnsi" w:hAnsiTheme="majorHAnsi"/>
          <w:sz w:val="20"/>
          <w:szCs w:val="20"/>
          <w:lang w:val="es-ES"/>
        </w:rPr>
      </w:pPr>
    </w:p>
    <w:p w:rsidR="00B84AF0" w:rsidRPr="000C1446" w:rsidRDefault="003D4143" w:rsidP="00071C55">
      <w:pPr>
        <w:pStyle w:val="Heading1"/>
        <w:ind w:left="1440" w:hanging="720"/>
      </w:pPr>
      <w:bookmarkStart w:id="2" w:name="_Toc464481596"/>
      <w:r w:rsidRPr="000C1446">
        <w:t>RESUMEN</w:t>
      </w:r>
      <w:bookmarkEnd w:id="2"/>
    </w:p>
    <w:p w:rsidR="00B84AF0" w:rsidRPr="000C1446" w:rsidRDefault="00B84AF0" w:rsidP="00071C55">
      <w:pPr>
        <w:rPr>
          <w:rFonts w:asciiTheme="majorHAnsi" w:hAnsiTheme="majorHAnsi"/>
          <w:sz w:val="20"/>
          <w:szCs w:val="20"/>
          <w:lang w:val="es-ES"/>
        </w:rPr>
      </w:pPr>
    </w:p>
    <w:p w:rsidR="009372C5" w:rsidRPr="000C1446" w:rsidRDefault="00B84AF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E</w:t>
      </w:r>
      <w:r w:rsidR="00BC0142" w:rsidRPr="000C1446">
        <w:rPr>
          <w:rFonts w:asciiTheme="majorHAnsi" w:hAnsiTheme="majorHAnsi"/>
          <w:sz w:val="20"/>
          <w:szCs w:val="20"/>
          <w:lang w:val="es-ES"/>
        </w:rPr>
        <w:t xml:space="preserve">l 7 de mayo de 2001 </w:t>
      </w:r>
      <w:r w:rsidRPr="000C1446">
        <w:rPr>
          <w:rFonts w:asciiTheme="majorHAnsi" w:hAnsiTheme="majorHAnsi"/>
          <w:sz w:val="20"/>
          <w:szCs w:val="20"/>
          <w:lang w:val="es-ES"/>
        </w:rPr>
        <w:t>la Comisión Interamericana de Derechos Humanos (en adelante “la Comisión Interamericana”, “la Co</w:t>
      </w:r>
      <w:bookmarkStart w:id="3" w:name="_GoBack"/>
      <w:bookmarkEnd w:id="3"/>
      <w:r w:rsidRPr="000C1446">
        <w:rPr>
          <w:rFonts w:asciiTheme="majorHAnsi" w:hAnsiTheme="majorHAnsi"/>
          <w:sz w:val="20"/>
          <w:szCs w:val="20"/>
          <w:lang w:val="es-ES"/>
        </w:rPr>
        <w:t>misión” o “la CIDH”) recibió una denuncia presentada por</w:t>
      </w:r>
      <w:r w:rsidR="00BC0142" w:rsidRPr="000C1446">
        <w:rPr>
          <w:rFonts w:asciiTheme="majorHAnsi" w:hAnsiTheme="majorHAnsi"/>
          <w:sz w:val="20"/>
          <w:szCs w:val="20"/>
          <w:lang w:val="es-ES"/>
        </w:rPr>
        <w:t xml:space="preserve"> el señor James Judge</w:t>
      </w:r>
      <w:r w:rsidR="005A220E" w:rsidRPr="000C1446">
        <w:rPr>
          <w:rStyle w:val="FootnoteReference"/>
          <w:rFonts w:asciiTheme="majorHAnsi" w:hAnsiTheme="majorHAnsi"/>
          <w:sz w:val="20"/>
          <w:szCs w:val="20"/>
          <w:lang w:val="es-ES"/>
        </w:rPr>
        <w:footnoteReference w:id="2"/>
      </w:r>
      <w:r w:rsidR="0015041F" w:rsidRPr="000C1446">
        <w:rPr>
          <w:rFonts w:asciiTheme="majorHAnsi" w:hAnsiTheme="majorHAnsi"/>
          <w:sz w:val="20"/>
          <w:szCs w:val="20"/>
          <w:lang w:val="es-ES"/>
        </w:rPr>
        <w:t>,</w:t>
      </w:r>
      <w:r w:rsidR="00FE1154" w:rsidRPr="000C1446">
        <w:rPr>
          <w:rFonts w:asciiTheme="majorHAnsi" w:hAnsiTheme="majorHAnsi"/>
          <w:sz w:val="20"/>
          <w:szCs w:val="20"/>
          <w:lang w:val="es-ES"/>
        </w:rPr>
        <w:t xml:space="preserve"> en representación propia,</w:t>
      </w:r>
      <w:r w:rsidRPr="000C1446">
        <w:rPr>
          <w:rFonts w:asciiTheme="majorHAnsi" w:hAnsiTheme="majorHAnsi"/>
          <w:sz w:val="20"/>
          <w:szCs w:val="20"/>
          <w:lang w:val="es-ES"/>
        </w:rPr>
        <w:t xml:space="preserve"> por la</w:t>
      </w:r>
      <w:r w:rsidR="004549E3" w:rsidRPr="000C1446">
        <w:rPr>
          <w:rFonts w:asciiTheme="majorHAnsi" w:hAnsiTheme="majorHAnsi"/>
          <w:sz w:val="20"/>
          <w:szCs w:val="20"/>
          <w:lang w:val="es-ES"/>
        </w:rPr>
        <w:t xml:space="preserve"> supuesta</w:t>
      </w:r>
      <w:r w:rsidR="00493E29" w:rsidRPr="000C1446">
        <w:rPr>
          <w:rFonts w:asciiTheme="majorHAnsi" w:hAnsiTheme="majorHAnsi"/>
          <w:sz w:val="20"/>
          <w:szCs w:val="20"/>
          <w:lang w:val="es-ES"/>
        </w:rPr>
        <w:t xml:space="preserve"> </w:t>
      </w:r>
      <w:r w:rsidRPr="000C1446">
        <w:rPr>
          <w:rFonts w:asciiTheme="majorHAnsi" w:hAnsiTheme="majorHAnsi"/>
          <w:sz w:val="20"/>
          <w:szCs w:val="20"/>
          <w:lang w:val="es-ES"/>
        </w:rPr>
        <w:t xml:space="preserve">violación de los derechos a </w:t>
      </w:r>
      <w:r w:rsidR="006B5AB5" w:rsidRPr="000C1446">
        <w:rPr>
          <w:rFonts w:asciiTheme="majorHAnsi" w:hAnsiTheme="majorHAnsi"/>
          <w:sz w:val="20"/>
          <w:szCs w:val="20"/>
          <w:lang w:val="es-ES"/>
        </w:rPr>
        <w:t xml:space="preserve">las </w:t>
      </w:r>
      <w:r w:rsidRPr="000C1446">
        <w:rPr>
          <w:rFonts w:asciiTheme="majorHAnsi" w:hAnsiTheme="majorHAnsi"/>
          <w:sz w:val="20"/>
          <w:szCs w:val="20"/>
          <w:lang w:val="es-ES"/>
        </w:rPr>
        <w:t>garantías judiciales</w:t>
      </w:r>
      <w:r w:rsidR="00CE73E4" w:rsidRPr="000C1446">
        <w:rPr>
          <w:rFonts w:asciiTheme="majorHAnsi" w:hAnsiTheme="majorHAnsi"/>
          <w:sz w:val="20"/>
          <w:szCs w:val="20"/>
          <w:lang w:val="es-ES"/>
        </w:rPr>
        <w:t>,</w:t>
      </w:r>
      <w:r w:rsidR="004549E3" w:rsidRPr="000C1446">
        <w:rPr>
          <w:rFonts w:asciiTheme="majorHAnsi" w:hAnsiTheme="majorHAnsi"/>
          <w:sz w:val="20"/>
          <w:szCs w:val="20"/>
          <w:lang w:val="es-ES"/>
        </w:rPr>
        <w:t xml:space="preserve"> a la </w:t>
      </w:r>
      <w:r w:rsidR="00CE73E4" w:rsidRPr="000C1446">
        <w:rPr>
          <w:rFonts w:asciiTheme="majorHAnsi" w:hAnsiTheme="majorHAnsi"/>
          <w:sz w:val="20"/>
          <w:szCs w:val="20"/>
          <w:lang w:val="es-ES"/>
        </w:rPr>
        <w:t xml:space="preserve">propiedad privada </w:t>
      </w:r>
      <w:r w:rsidRPr="000C1446">
        <w:rPr>
          <w:rFonts w:asciiTheme="majorHAnsi" w:hAnsiTheme="majorHAnsi"/>
          <w:sz w:val="20"/>
          <w:szCs w:val="20"/>
          <w:lang w:val="es-ES"/>
        </w:rPr>
        <w:t>y</w:t>
      </w:r>
      <w:r w:rsidR="004549E3" w:rsidRPr="000C1446">
        <w:rPr>
          <w:rFonts w:asciiTheme="majorHAnsi" w:hAnsiTheme="majorHAnsi"/>
          <w:sz w:val="20"/>
          <w:szCs w:val="20"/>
          <w:lang w:val="es-ES"/>
        </w:rPr>
        <w:t xml:space="preserve"> a la </w:t>
      </w:r>
      <w:r w:rsidRPr="000C1446">
        <w:rPr>
          <w:rFonts w:asciiTheme="majorHAnsi" w:hAnsiTheme="majorHAnsi"/>
          <w:sz w:val="20"/>
          <w:szCs w:val="20"/>
          <w:lang w:val="es-ES"/>
        </w:rPr>
        <w:t xml:space="preserve">protección judicial, consagrados en los artículos  8, </w:t>
      </w:r>
      <w:r w:rsidR="00CE73E4" w:rsidRPr="000C1446">
        <w:rPr>
          <w:rFonts w:asciiTheme="majorHAnsi" w:hAnsiTheme="majorHAnsi"/>
          <w:sz w:val="20"/>
          <w:szCs w:val="20"/>
          <w:lang w:val="es-ES"/>
        </w:rPr>
        <w:t xml:space="preserve">21 </w:t>
      </w:r>
      <w:r w:rsidRPr="000C1446">
        <w:rPr>
          <w:rFonts w:asciiTheme="majorHAnsi" w:hAnsiTheme="majorHAnsi"/>
          <w:sz w:val="20"/>
          <w:szCs w:val="20"/>
          <w:lang w:val="es-ES"/>
        </w:rPr>
        <w:t>y 25 de la Convención Americana sobre Derechos Humanos (en adelante “la Convención Americana”</w:t>
      </w:r>
      <w:r w:rsidR="004549E3" w:rsidRPr="000C1446">
        <w:rPr>
          <w:rFonts w:asciiTheme="majorHAnsi" w:hAnsiTheme="majorHAnsi"/>
          <w:sz w:val="20"/>
          <w:szCs w:val="20"/>
          <w:lang w:val="es-ES"/>
        </w:rPr>
        <w:t xml:space="preserve"> o</w:t>
      </w:r>
      <w:r w:rsidRPr="000C1446">
        <w:rPr>
          <w:rFonts w:asciiTheme="majorHAnsi" w:hAnsiTheme="majorHAnsi"/>
          <w:sz w:val="20"/>
          <w:szCs w:val="20"/>
          <w:lang w:val="es-ES"/>
        </w:rPr>
        <w:t xml:space="preserve"> “la Convención”), con relación a</w:t>
      </w:r>
      <w:r w:rsidR="004549E3" w:rsidRPr="000C1446">
        <w:rPr>
          <w:rFonts w:asciiTheme="majorHAnsi" w:hAnsiTheme="majorHAnsi"/>
          <w:sz w:val="20"/>
          <w:szCs w:val="20"/>
          <w:lang w:val="es-ES"/>
        </w:rPr>
        <w:t xml:space="preserve"> las obligaciones establecidas en el </w:t>
      </w:r>
      <w:r w:rsidRPr="000C1446">
        <w:rPr>
          <w:rFonts w:asciiTheme="majorHAnsi" w:hAnsiTheme="majorHAnsi"/>
          <w:sz w:val="20"/>
          <w:szCs w:val="20"/>
          <w:lang w:val="es-ES"/>
        </w:rPr>
        <w:t xml:space="preserve">artículo 1.1 de dicho tratado, por parte </w:t>
      </w:r>
      <w:r w:rsidRPr="000C1446">
        <w:rPr>
          <w:rFonts w:asciiTheme="majorHAnsi" w:hAnsiTheme="majorHAnsi"/>
          <w:spacing w:val="-2"/>
          <w:sz w:val="20"/>
          <w:szCs w:val="20"/>
          <w:lang w:val="es-ES"/>
        </w:rPr>
        <w:t>de la República de</w:t>
      </w:r>
      <w:r w:rsidR="00CE73E4" w:rsidRPr="000C1446">
        <w:rPr>
          <w:rFonts w:asciiTheme="majorHAnsi" w:hAnsiTheme="majorHAnsi"/>
          <w:spacing w:val="-2"/>
          <w:sz w:val="20"/>
          <w:szCs w:val="20"/>
          <w:lang w:val="es-ES"/>
        </w:rPr>
        <w:t xml:space="preserve">l Ecuador </w:t>
      </w:r>
      <w:r w:rsidRPr="000C1446">
        <w:rPr>
          <w:rFonts w:asciiTheme="majorHAnsi" w:hAnsiTheme="majorHAnsi"/>
          <w:spacing w:val="-2"/>
          <w:sz w:val="20"/>
          <w:szCs w:val="20"/>
          <w:lang w:val="es-ES"/>
        </w:rPr>
        <w:t xml:space="preserve">(en adelante "el Estado </w:t>
      </w:r>
      <w:r w:rsidR="00CE73E4" w:rsidRPr="000C1446">
        <w:rPr>
          <w:rFonts w:asciiTheme="majorHAnsi" w:hAnsiTheme="majorHAnsi"/>
          <w:spacing w:val="-2"/>
          <w:sz w:val="20"/>
          <w:szCs w:val="20"/>
          <w:lang w:val="es-ES"/>
        </w:rPr>
        <w:t>ecuatoriano</w:t>
      </w:r>
      <w:r w:rsidRPr="000C1446">
        <w:rPr>
          <w:rFonts w:asciiTheme="majorHAnsi" w:hAnsiTheme="majorHAnsi"/>
          <w:spacing w:val="-2"/>
          <w:sz w:val="20"/>
          <w:szCs w:val="20"/>
          <w:lang w:val="es-ES"/>
        </w:rPr>
        <w:t>", “el Estado” o “</w:t>
      </w:r>
      <w:r w:rsidR="00CE73E4" w:rsidRPr="000C1446">
        <w:rPr>
          <w:rFonts w:asciiTheme="majorHAnsi" w:hAnsiTheme="majorHAnsi"/>
          <w:spacing w:val="-2"/>
          <w:sz w:val="20"/>
          <w:szCs w:val="20"/>
          <w:lang w:val="es-ES"/>
        </w:rPr>
        <w:t>Ecuador</w:t>
      </w:r>
      <w:r w:rsidR="009372C5" w:rsidRPr="000C1446">
        <w:rPr>
          <w:rFonts w:asciiTheme="majorHAnsi" w:hAnsiTheme="majorHAnsi"/>
          <w:spacing w:val="-2"/>
          <w:sz w:val="20"/>
          <w:szCs w:val="20"/>
          <w:lang w:val="es-ES"/>
        </w:rPr>
        <w:t xml:space="preserve">”). </w:t>
      </w:r>
    </w:p>
    <w:p w:rsidR="009372C5" w:rsidRPr="000C1446" w:rsidRDefault="009372C5"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B84AF0" w:rsidRPr="000C1446" w:rsidRDefault="009372C5"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pacing w:val="-2"/>
          <w:sz w:val="20"/>
          <w:szCs w:val="20"/>
          <w:lang w:val="es-ES"/>
        </w:rPr>
        <w:t xml:space="preserve">El peticionario alega que el Estado, a través de un Decreto Supremo emitido en 1975, durante el gobierno militar, confiscó unas piezas arqueológicas de su propiedad, sin que se le hubiera indemnizado como era debido. Asimismo, argumenta que presentó los correspondientes recursos internos en contra de dicho Decreto Supremo, sin que a la fecha </w:t>
      </w:r>
      <w:r w:rsidR="00B91E8C" w:rsidRPr="000C1446">
        <w:rPr>
          <w:rFonts w:asciiTheme="majorHAnsi" w:hAnsiTheme="majorHAnsi"/>
          <w:spacing w:val="-2"/>
          <w:sz w:val="20"/>
          <w:szCs w:val="20"/>
          <w:lang w:val="es-ES"/>
        </w:rPr>
        <w:t xml:space="preserve">de aprobación del presente informe </w:t>
      </w:r>
      <w:r w:rsidRPr="000C1446">
        <w:rPr>
          <w:rFonts w:asciiTheme="majorHAnsi" w:hAnsiTheme="majorHAnsi"/>
          <w:spacing w:val="-2"/>
          <w:sz w:val="20"/>
          <w:szCs w:val="20"/>
          <w:lang w:val="es-ES"/>
        </w:rPr>
        <w:t xml:space="preserve">cuente con una decisión definitiva de las autoridades jurisdiccionales </w:t>
      </w:r>
      <w:r w:rsidR="001A570D" w:rsidRPr="000C1446">
        <w:rPr>
          <w:rFonts w:asciiTheme="majorHAnsi" w:hAnsiTheme="majorHAnsi"/>
          <w:spacing w:val="-2"/>
          <w:sz w:val="20"/>
          <w:szCs w:val="20"/>
          <w:lang w:val="es-ES"/>
        </w:rPr>
        <w:t>en</w:t>
      </w:r>
      <w:r w:rsidRPr="000C1446">
        <w:rPr>
          <w:rFonts w:asciiTheme="majorHAnsi" w:hAnsiTheme="majorHAnsi"/>
          <w:spacing w:val="-2"/>
          <w:sz w:val="20"/>
          <w:szCs w:val="20"/>
          <w:lang w:val="es-ES"/>
        </w:rPr>
        <w:t xml:space="preserve"> Ecuador. </w:t>
      </w:r>
    </w:p>
    <w:p w:rsidR="00B84AF0" w:rsidRPr="000C1446" w:rsidRDefault="00B84AF0"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7F56C1" w:rsidRPr="000C1446" w:rsidRDefault="00B84AF0" w:rsidP="00071C55">
      <w:pPr>
        <w:pStyle w:val="Style2"/>
        <w:rPr>
          <w:rFonts w:asciiTheme="majorHAnsi" w:hAnsiTheme="majorHAnsi"/>
        </w:rPr>
      </w:pPr>
      <w:r w:rsidRPr="000C1446">
        <w:rPr>
          <w:rFonts w:asciiTheme="majorHAnsi" w:hAnsiTheme="majorHAnsi"/>
          <w:spacing w:val="-2"/>
        </w:rPr>
        <w:t xml:space="preserve">Por su parte, el Estado </w:t>
      </w:r>
      <w:r w:rsidR="007F56C1" w:rsidRPr="000C1446">
        <w:rPr>
          <w:rFonts w:asciiTheme="majorHAnsi" w:hAnsiTheme="majorHAnsi"/>
        </w:rPr>
        <w:t xml:space="preserve">afirma que el presente caso trata de una excavación ilegal de piezas arqueológicas que son parte del patrimonio cultural ecuatoriano; que los objetos arqueológicos relativos al caso fueron ilegalmente removidos por el señor James Judge sin contar con las </w:t>
      </w:r>
      <w:r w:rsidR="006B5AB5" w:rsidRPr="000C1446">
        <w:rPr>
          <w:rFonts w:asciiTheme="majorHAnsi" w:hAnsiTheme="majorHAnsi"/>
        </w:rPr>
        <w:t>autorizaciones correspondientes</w:t>
      </w:r>
      <w:r w:rsidR="00892761" w:rsidRPr="000C1446">
        <w:rPr>
          <w:rFonts w:asciiTheme="majorHAnsi" w:hAnsiTheme="majorHAnsi"/>
        </w:rPr>
        <w:t>;</w:t>
      </w:r>
      <w:r w:rsidR="006B5AB5" w:rsidRPr="000C1446">
        <w:rPr>
          <w:rFonts w:asciiTheme="majorHAnsi" w:hAnsiTheme="majorHAnsi"/>
        </w:rPr>
        <w:t xml:space="preserve"> y que las autoridades competentes conocieron de los alegatos del peticionario y resolvieron al respecto. </w:t>
      </w:r>
    </w:p>
    <w:p w:rsidR="00B84AF0" w:rsidRPr="000C1446" w:rsidRDefault="00B84AF0"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B84AF0" w:rsidRPr="000C1446" w:rsidRDefault="00B84AF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cs="Arial"/>
          <w:sz w:val="20"/>
          <w:szCs w:val="20"/>
          <w:lang w:val="es-ES"/>
        </w:rPr>
        <w:t xml:space="preserve">Tras analizar la posición de las partes, la Comisión Interamericana concluyó que el Estado de </w:t>
      </w:r>
      <w:r w:rsidR="00CE73E4" w:rsidRPr="000C1446">
        <w:rPr>
          <w:rFonts w:asciiTheme="majorHAnsi" w:hAnsiTheme="majorHAnsi" w:cs="Arial"/>
          <w:sz w:val="20"/>
          <w:szCs w:val="20"/>
          <w:lang w:val="es-ES"/>
        </w:rPr>
        <w:t xml:space="preserve">Ecuador </w:t>
      </w:r>
      <w:r w:rsidRPr="000C1446">
        <w:rPr>
          <w:rFonts w:asciiTheme="majorHAnsi" w:hAnsiTheme="majorHAnsi" w:cs="Arial"/>
          <w:sz w:val="20"/>
          <w:szCs w:val="20"/>
          <w:lang w:val="es-ES"/>
        </w:rPr>
        <w:t xml:space="preserve">es responsable </w:t>
      </w:r>
      <w:r w:rsidRPr="000C1446">
        <w:rPr>
          <w:rFonts w:asciiTheme="majorHAnsi" w:hAnsiTheme="majorHAnsi"/>
          <w:sz w:val="20"/>
          <w:szCs w:val="20"/>
          <w:lang w:val="es-ES"/>
        </w:rPr>
        <w:t>por la violación de los der</w:t>
      </w:r>
      <w:r w:rsidRPr="000C1446">
        <w:rPr>
          <w:rFonts w:asciiTheme="majorHAnsi" w:hAnsiTheme="majorHAnsi" w:cs="Arial"/>
          <w:sz w:val="20"/>
          <w:szCs w:val="20"/>
          <w:lang w:val="es-ES"/>
        </w:rPr>
        <w:t>ec</w:t>
      </w:r>
      <w:r w:rsidR="009372C5" w:rsidRPr="000C1446">
        <w:rPr>
          <w:rFonts w:asciiTheme="majorHAnsi" w:hAnsiTheme="majorHAnsi" w:cs="Arial"/>
          <w:sz w:val="20"/>
          <w:szCs w:val="20"/>
          <w:lang w:val="es-ES"/>
        </w:rPr>
        <w:t>hos a las garantías judiciales y</w:t>
      </w:r>
      <w:r w:rsidRPr="000C1446">
        <w:rPr>
          <w:rFonts w:asciiTheme="majorHAnsi" w:hAnsiTheme="majorHAnsi" w:cs="Arial"/>
          <w:sz w:val="20"/>
          <w:szCs w:val="20"/>
          <w:lang w:val="es-ES"/>
        </w:rPr>
        <w:t xml:space="preserve"> a la protección judicial consagrados en los artículos </w:t>
      </w:r>
      <w:r w:rsidR="009372C5" w:rsidRPr="000C1446">
        <w:rPr>
          <w:rFonts w:asciiTheme="majorHAnsi" w:hAnsiTheme="majorHAnsi" w:cs="Arial"/>
          <w:sz w:val="20"/>
          <w:szCs w:val="20"/>
          <w:lang w:val="es-ES"/>
        </w:rPr>
        <w:t>8</w:t>
      </w:r>
      <w:r w:rsidR="00892761" w:rsidRPr="000C1446">
        <w:rPr>
          <w:rFonts w:asciiTheme="majorHAnsi" w:hAnsiTheme="majorHAnsi" w:cs="Arial"/>
          <w:sz w:val="20"/>
          <w:szCs w:val="20"/>
          <w:lang w:val="es-ES"/>
        </w:rPr>
        <w:t>.1</w:t>
      </w:r>
      <w:r w:rsidR="009372C5"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y 25</w:t>
      </w:r>
      <w:r w:rsidR="00892761" w:rsidRPr="000C1446">
        <w:rPr>
          <w:rFonts w:asciiTheme="majorHAnsi" w:hAnsiTheme="majorHAnsi" w:cs="Arial"/>
          <w:sz w:val="20"/>
          <w:szCs w:val="20"/>
          <w:lang w:val="es-ES"/>
        </w:rPr>
        <w:t>.1</w:t>
      </w:r>
      <w:r w:rsidRPr="000C1446">
        <w:rPr>
          <w:rFonts w:asciiTheme="majorHAnsi" w:hAnsiTheme="majorHAnsi" w:cs="Arial"/>
          <w:sz w:val="20"/>
          <w:szCs w:val="20"/>
          <w:lang w:val="es-ES"/>
        </w:rPr>
        <w:t xml:space="preserve"> de la Convención Americana en relación con las obligaciones establecidas en el artículo 1.1 </w:t>
      </w:r>
      <w:r w:rsidR="00CE73E4" w:rsidRPr="000C1446">
        <w:rPr>
          <w:rFonts w:asciiTheme="majorHAnsi" w:hAnsiTheme="majorHAnsi" w:cs="Arial"/>
          <w:sz w:val="20"/>
          <w:szCs w:val="20"/>
          <w:lang w:val="es-ES"/>
        </w:rPr>
        <w:t xml:space="preserve">del </w:t>
      </w:r>
      <w:r w:rsidRPr="000C1446">
        <w:rPr>
          <w:rFonts w:asciiTheme="majorHAnsi" w:hAnsiTheme="majorHAnsi" w:cs="Arial"/>
          <w:sz w:val="20"/>
          <w:szCs w:val="20"/>
          <w:lang w:val="es-ES"/>
        </w:rPr>
        <w:t xml:space="preserve">mismo instrumento, en perjuicio del señor </w:t>
      </w:r>
      <w:r w:rsidR="00CE73E4" w:rsidRPr="000C1446">
        <w:rPr>
          <w:rFonts w:asciiTheme="majorHAnsi" w:hAnsiTheme="majorHAnsi" w:cs="Arial"/>
          <w:sz w:val="20"/>
          <w:szCs w:val="20"/>
          <w:lang w:val="es-ES"/>
        </w:rPr>
        <w:t>James Judge</w:t>
      </w:r>
      <w:r w:rsidRPr="000C1446">
        <w:rPr>
          <w:rFonts w:asciiTheme="majorHAnsi" w:hAnsiTheme="majorHAnsi" w:cs="Arial"/>
          <w:sz w:val="20"/>
          <w:szCs w:val="20"/>
          <w:lang w:val="es-ES"/>
        </w:rPr>
        <w:t xml:space="preserve">. </w:t>
      </w:r>
      <w:r w:rsidR="001A570D" w:rsidRPr="000C1446">
        <w:rPr>
          <w:rFonts w:asciiTheme="majorHAnsi" w:hAnsiTheme="majorHAnsi" w:cs="Arial"/>
          <w:sz w:val="20"/>
          <w:szCs w:val="20"/>
          <w:lang w:val="es-ES"/>
        </w:rPr>
        <w:t>Por otra parte, l</w:t>
      </w:r>
      <w:r w:rsidR="009372C5" w:rsidRPr="000C1446">
        <w:rPr>
          <w:rFonts w:asciiTheme="majorHAnsi" w:hAnsiTheme="majorHAnsi" w:cs="Arial"/>
          <w:sz w:val="20"/>
          <w:szCs w:val="20"/>
          <w:lang w:val="es-ES"/>
        </w:rPr>
        <w:t xml:space="preserve">a Comisión concluyó que </w:t>
      </w:r>
      <w:r w:rsidR="001E0172" w:rsidRPr="000C1446">
        <w:rPr>
          <w:rFonts w:asciiTheme="majorHAnsi" w:hAnsiTheme="majorHAnsi" w:cs="Arial"/>
          <w:sz w:val="20"/>
          <w:szCs w:val="20"/>
          <w:lang w:val="es-ES"/>
        </w:rPr>
        <w:t xml:space="preserve">el peticionario no demostró que </w:t>
      </w:r>
      <w:r w:rsidR="009372C5" w:rsidRPr="000C1446">
        <w:rPr>
          <w:rFonts w:asciiTheme="majorHAnsi" w:hAnsiTheme="majorHAnsi" w:cs="Arial"/>
          <w:sz w:val="20"/>
          <w:szCs w:val="20"/>
          <w:lang w:val="es-ES"/>
        </w:rPr>
        <w:t>el Estado de Ecuador violó el derecho a la propiedad</w:t>
      </w:r>
      <w:r w:rsidR="001A570D" w:rsidRPr="000C1446">
        <w:rPr>
          <w:rFonts w:asciiTheme="majorHAnsi" w:hAnsiTheme="majorHAnsi" w:cs="Arial"/>
          <w:sz w:val="20"/>
          <w:szCs w:val="20"/>
          <w:lang w:val="es-ES"/>
        </w:rPr>
        <w:t xml:space="preserve"> consagrado en el artículo 21 de la Convención, en perjuicio </w:t>
      </w:r>
      <w:r w:rsidR="009372C5" w:rsidRPr="000C1446">
        <w:rPr>
          <w:rFonts w:asciiTheme="majorHAnsi" w:hAnsiTheme="majorHAnsi" w:cs="Arial"/>
          <w:sz w:val="20"/>
          <w:szCs w:val="20"/>
          <w:lang w:val="es-ES"/>
        </w:rPr>
        <w:t xml:space="preserve">del señor James Judge. </w:t>
      </w:r>
    </w:p>
    <w:p w:rsidR="00B84AF0" w:rsidRPr="000C1446" w:rsidRDefault="00B84AF0" w:rsidP="00071C55">
      <w:pPr>
        <w:jc w:val="both"/>
        <w:rPr>
          <w:rFonts w:asciiTheme="majorHAnsi" w:hAnsiTheme="majorHAnsi"/>
          <w:sz w:val="20"/>
          <w:szCs w:val="20"/>
          <w:lang w:val="es-ES"/>
        </w:rPr>
      </w:pPr>
    </w:p>
    <w:p w:rsidR="00B84AF0" w:rsidRPr="000C1446" w:rsidRDefault="00B84AF0" w:rsidP="00071C55">
      <w:pPr>
        <w:pStyle w:val="Heading1"/>
        <w:ind w:left="1440" w:hanging="720"/>
      </w:pPr>
      <w:bookmarkStart w:id="4" w:name="_Toc395298768"/>
      <w:bookmarkStart w:id="5" w:name="_Toc418254623"/>
      <w:bookmarkStart w:id="6" w:name="_Toc464481597"/>
      <w:r w:rsidRPr="000C1446">
        <w:t>TRÁMITE ANTE LA CIDH</w:t>
      </w:r>
      <w:bookmarkEnd w:id="4"/>
      <w:bookmarkEnd w:id="5"/>
      <w:bookmarkEnd w:id="6"/>
      <w:r w:rsidRPr="000C1446">
        <w:t xml:space="preserve"> </w:t>
      </w:r>
    </w:p>
    <w:p w:rsidR="00B84AF0" w:rsidRPr="000C1446" w:rsidRDefault="00B84AF0" w:rsidP="00071C55">
      <w:pPr>
        <w:jc w:val="both"/>
        <w:rPr>
          <w:rFonts w:asciiTheme="majorHAnsi" w:hAnsiTheme="majorHAnsi"/>
          <w:b/>
          <w:sz w:val="20"/>
          <w:szCs w:val="20"/>
          <w:lang w:val="es-ES"/>
        </w:rPr>
      </w:pPr>
    </w:p>
    <w:p w:rsidR="00B84AF0" w:rsidRPr="000C1446" w:rsidRDefault="00CE73E4"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sz w:val="20"/>
          <w:szCs w:val="20"/>
          <w:lang w:val="es-ES"/>
        </w:rPr>
        <w:t>El 7 de mayo de 2001</w:t>
      </w:r>
      <w:r w:rsidR="00B84AF0" w:rsidRPr="000C1446">
        <w:rPr>
          <w:rFonts w:asciiTheme="majorHAnsi" w:hAnsiTheme="majorHAnsi"/>
          <w:sz w:val="20"/>
          <w:szCs w:val="20"/>
          <w:lang w:val="es-ES"/>
        </w:rPr>
        <w:t xml:space="preserve"> se recibió la petición inicial. El trámite desde la presentación de la petición hasta la decisión sobre admisibilidad se encuentra explicado en detalle en el informe de admisibilidad 10/</w:t>
      </w:r>
      <w:r w:rsidR="00E16CB7" w:rsidRPr="000C1446">
        <w:rPr>
          <w:rFonts w:asciiTheme="majorHAnsi" w:hAnsiTheme="majorHAnsi"/>
          <w:sz w:val="20"/>
          <w:szCs w:val="20"/>
          <w:lang w:val="es-ES"/>
        </w:rPr>
        <w:t>02</w:t>
      </w:r>
      <w:r w:rsidR="00B84AF0" w:rsidRPr="000C1446">
        <w:rPr>
          <w:rFonts w:asciiTheme="majorHAnsi" w:hAnsiTheme="majorHAnsi"/>
          <w:sz w:val="20"/>
          <w:szCs w:val="20"/>
          <w:lang w:val="es-ES"/>
        </w:rPr>
        <w:t xml:space="preserve"> emitido el 2</w:t>
      </w:r>
      <w:r w:rsidR="00E16CB7" w:rsidRPr="000C1446">
        <w:rPr>
          <w:rFonts w:asciiTheme="majorHAnsi" w:hAnsiTheme="majorHAnsi"/>
          <w:sz w:val="20"/>
          <w:szCs w:val="20"/>
          <w:lang w:val="es-ES"/>
        </w:rPr>
        <w:t>7</w:t>
      </w:r>
      <w:r w:rsidR="00B84AF0" w:rsidRPr="000C1446">
        <w:rPr>
          <w:rFonts w:asciiTheme="majorHAnsi" w:hAnsiTheme="majorHAnsi"/>
          <w:sz w:val="20"/>
          <w:szCs w:val="20"/>
          <w:lang w:val="es-ES"/>
        </w:rPr>
        <w:t xml:space="preserve"> de </w:t>
      </w:r>
      <w:r w:rsidR="00E16CB7" w:rsidRPr="000C1446">
        <w:rPr>
          <w:rFonts w:asciiTheme="majorHAnsi" w:hAnsiTheme="majorHAnsi"/>
          <w:sz w:val="20"/>
          <w:szCs w:val="20"/>
          <w:lang w:val="es-ES"/>
        </w:rPr>
        <w:t xml:space="preserve">febrero </w:t>
      </w:r>
      <w:r w:rsidR="00B84AF0" w:rsidRPr="000C1446">
        <w:rPr>
          <w:rFonts w:asciiTheme="majorHAnsi" w:hAnsiTheme="majorHAnsi"/>
          <w:sz w:val="20"/>
          <w:szCs w:val="20"/>
          <w:lang w:val="es-ES"/>
        </w:rPr>
        <w:t>de 20</w:t>
      </w:r>
      <w:r w:rsidR="00E16CB7" w:rsidRPr="000C1446">
        <w:rPr>
          <w:rFonts w:asciiTheme="majorHAnsi" w:hAnsiTheme="majorHAnsi"/>
          <w:sz w:val="20"/>
          <w:szCs w:val="20"/>
          <w:lang w:val="es-ES"/>
        </w:rPr>
        <w:t>02</w:t>
      </w:r>
      <w:r w:rsidR="00B84AF0" w:rsidRPr="000C1446">
        <w:rPr>
          <w:rStyle w:val="FootnoteReference"/>
          <w:rFonts w:asciiTheme="majorHAnsi" w:hAnsiTheme="majorHAnsi"/>
          <w:sz w:val="20"/>
          <w:szCs w:val="20"/>
          <w:lang w:val="es-ES"/>
        </w:rPr>
        <w:footnoteReference w:id="3"/>
      </w:r>
      <w:r w:rsidR="00B84AF0" w:rsidRPr="000C1446">
        <w:rPr>
          <w:rFonts w:asciiTheme="majorHAnsi" w:hAnsiTheme="majorHAnsi"/>
          <w:sz w:val="20"/>
          <w:szCs w:val="20"/>
          <w:lang w:val="es-ES"/>
        </w:rPr>
        <w:t xml:space="preserve">. </w:t>
      </w:r>
    </w:p>
    <w:p w:rsidR="00B84AF0" w:rsidRPr="000C1446" w:rsidRDefault="00B84AF0" w:rsidP="00071C55">
      <w:pPr>
        <w:ind w:left="720"/>
        <w:jc w:val="both"/>
        <w:rPr>
          <w:rFonts w:asciiTheme="majorHAnsi" w:hAnsiTheme="majorHAnsi" w:cs="Arial"/>
          <w:sz w:val="20"/>
          <w:szCs w:val="20"/>
          <w:lang w:val="es-ES"/>
        </w:rPr>
      </w:pPr>
    </w:p>
    <w:p w:rsidR="00B84AF0" w:rsidRPr="000C1446" w:rsidRDefault="00B84AF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spacing w:val="-2"/>
          <w:sz w:val="20"/>
          <w:szCs w:val="20"/>
          <w:lang w:val="es-ES"/>
        </w:rPr>
        <w:t xml:space="preserve">En dicho informe, la Comisión se declaró competente para conocer de la petición y declaró que los hechos planteados en la misma podrían caracterizar violaciones de los derechos establecidos en los artículos 8, </w:t>
      </w:r>
      <w:r w:rsidR="00E16CB7" w:rsidRPr="000C1446">
        <w:rPr>
          <w:rFonts w:asciiTheme="majorHAnsi" w:hAnsiTheme="majorHAnsi"/>
          <w:spacing w:val="-2"/>
          <w:sz w:val="20"/>
          <w:szCs w:val="20"/>
          <w:lang w:val="es-ES"/>
        </w:rPr>
        <w:t>2</w:t>
      </w:r>
      <w:r w:rsidRPr="000C1446">
        <w:rPr>
          <w:rFonts w:asciiTheme="majorHAnsi" w:hAnsiTheme="majorHAnsi"/>
          <w:spacing w:val="-2"/>
          <w:sz w:val="20"/>
          <w:szCs w:val="20"/>
          <w:lang w:val="es-ES"/>
        </w:rPr>
        <w:t xml:space="preserve">1 y 25 de la Convención Americana en relación con las obligaciones contempladas en el artículo 1.1 del mismo instrumento.  </w:t>
      </w:r>
    </w:p>
    <w:p w:rsidR="00B84AF0" w:rsidRPr="000C1446" w:rsidRDefault="00B84AF0" w:rsidP="00071C55">
      <w:pPr>
        <w:jc w:val="both"/>
        <w:rPr>
          <w:rFonts w:asciiTheme="majorHAnsi" w:hAnsiTheme="majorHAnsi"/>
          <w:sz w:val="20"/>
          <w:szCs w:val="20"/>
          <w:lang w:val="es-ES"/>
        </w:rPr>
      </w:pPr>
    </w:p>
    <w:p w:rsidR="00DD5354" w:rsidRPr="000C1446" w:rsidRDefault="00B84AF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El 2</w:t>
      </w:r>
      <w:r w:rsidR="001C75C9" w:rsidRPr="000C1446">
        <w:rPr>
          <w:rFonts w:asciiTheme="majorHAnsi" w:hAnsiTheme="majorHAnsi"/>
          <w:sz w:val="20"/>
          <w:szCs w:val="20"/>
          <w:lang w:val="es-ES"/>
        </w:rPr>
        <w:t>9</w:t>
      </w:r>
      <w:r w:rsidRPr="000C1446">
        <w:rPr>
          <w:rFonts w:asciiTheme="majorHAnsi" w:hAnsiTheme="majorHAnsi"/>
          <w:sz w:val="20"/>
          <w:szCs w:val="20"/>
          <w:lang w:val="es-ES"/>
        </w:rPr>
        <w:t xml:space="preserve"> de </w:t>
      </w:r>
      <w:r w:rsidR="001C75C9" w:rsidRPr="000C1446">
        <w:rPr>
          <w:rFonts w:asciiTheme="majorHAnsi" w:hAnsiTheme="majorHAnsi"/>
          <w:sz w:val="20"/>
          <w:szCs w:val="20"/>
          <w:lang w:val="es-ES"/>
        </w:rPr>
        <w:t xml:space="preserve">marzo </w:t>
      </w:r>
      <w:r w:rsidRPr="000C1446">
        <w:rPr>
          <w:rFonts w:asciiTheme="majorHAnsi" w:hAnsiTheme="majorHAnsi"/>
          <w:sz w:val="20"/>
          <w:szCs w:val="20"/>
          <w:lang w:val="es-ES"/>
        </w:rPr>
        <w:t>de 20</w:t>
      </w:r>
      <w:r w:rsidR="001C75C9" w:rsidRPr="000C1446">
        <w:rPr>
          <w:rFonts w:asciiTheme="majorHAnsi" w:hAnsiTheme="majorHAnsi"/>
          <w:sz w:val="20"/>
          <w:szCs w:val="20"/>
          <w:lang w:val="es-ES"/>
        </w:rPr>
        <w:t>02</w:t>
      </w:r>
      <w:r w:rsidRPr="000C1446">
        <w:rPr>
          <w:rFonts w:asciiTheme="majorHAnsi" w:hAnsiTheme="majorHAnsi"/>
          <w:sz w:val="20"/>
          <w:szCs w:val="20"/>
          <w:lang w:val="es-ES"/>
        </w:rPr>
        <w:t xml:space="preserve"> la Comisión notificó su informe de admisibilidad a las partes y, en virtud del artículo 3</w:t>
      </w:r>
      <w:r w:rsidR="001C75C9" w:rsidRPr="000C1446">
        <w:rPr>
          <w:rFonts w:asciiTheme="majorHAnsi" w:hAnsiTheme="majorHAnsi"/>
          <w:sz w:val="20"/>
          <w:szCs w:val="20"/>
          <w:lang w:val="es-ES"/>
        </w:rPr>
        <w:t>8</w:t>
      </w:r>
      <w:r w:rsidRPr="000C1446">
        <w:rPr>
          <w:rFonts w:asciiTheme="majorHAnsi" w:hAnsiTheme="majorHAnsi"/>
          <w:sz w:val="20"/>
          <w:szCs w:val="20"/>
          <w:lang w:val="es-ES"/>
        </w:rPr>
        <w:t>.</w:t>
      </w:r>
      <w:r w:rsidR="001C75C9" w:rsidRPr="000C1446">
        <w:rPr>
          <w:rFonts w:asciiTheme="majorHAnsi" w:hAnsiTheme="majorHAnsi"/>
          <w:sz w:val="20"/>
          <w:szCs w:val="20"/>
          <w:lang w:val="es-ES"/>
        </w:rPr>
        <w:t>1</w:t>
      </w:r>
      <w:r w:rsidRPr="000C1446">
        <w:rPr>
          <w:rFonts w:asciiTheme="majorHAnsi" w:hAnsiTheme="majorHAnsi"/>
          <w:sz w:val="20"/>
          <w:szCs w:val="20"/>
          <w:lang w:val="es-ES"/>
        </w:rPr>
        <w:t xml:space="preserve"> de su Reglamento</w:t>
      </w:r>
      <w:r w:rsidR="00411A6C" w:rsidRPr="000C1446">
        <w:rPr>
          <w:rFonts w:asciiTheme="majorHAnsi" w:hAnsiTheme="majorHAnsi"/>
          <w:sz w:val="20"/>
          <w:szCs w:val="20"/>
          <w:lang w:val="es-ES"/>
        </w:rPr>
        <w:t xml:space="preserve"> entonces</w:t>
      </w:r>
      <w:r w:rsidRPr="000C1446">
        <w:rPr>
          <w:rFonts w:asciiTheme="majorHAnsi" w:hAnsiTheme="majorHAnsi"/>
          <w:sz w:val="20"/>
          <w:szCs w:val="20"/>
          <w:lang w:val="es-ES"/>
        </w:rPr>
        <w:t xml:space="preserve"> </w:t>
      </w:r>
      <w:r w:rsidR="001C75C9" w:rsidRPr="000C1446">
        <w:rPr>
          <w:rFonts w:asciiTheme="majorHAnsi" w:hAnsiTheme="majorHAnsi"/>
          <w:sz w:val="20"/>
          <w:szCs w:val="20"/>
          <w:lang w:val="es-ES"/>
        </w:rPr>
        <w:t xml:space="preserve">vigente, </w:t>
      </w:r>
      <w:r w:rsidRPr="000C1446">
        <w:rPr>
          <w:rFonts w:asciiTheme="majorHAnsi" w:hAnsiTheme="majorHAnsi"/>
          <w:sz w:val="20"/>
          <w:szCs w:val="20"/>
          <w:lang w:val="es-ES"/>
        </w:rPr>
        <w:t xml:space="preserve">fijó un plazo de </w:t>
      </w:r>
      <w:r w:rsidR="001C75C9" w:rsidRPr="000C1446">
        <w:rPr>
          <w:rFonts w:asciiTheme="majorHAnsi" w:hAnsiTheme="majorHAnsi"/>
          <w:sz w:val="20"/>
          <w:szCs w:val="20"/>
          <w:lang w:val="es-ES"/>
        </w:rPr>
        <w:t>dos</w:t>
      </w:r>
      <w:r w:rsidRPr="000C1446">
        <w:rPr>
          <w:rFonts w:asciiTheme="majorHAnsi" w:hAnsiTheme="majorHAnsi"/>
          <w:sz w:val="20"/>
          <w:szCs w:val="20"/>
          <w:lang w:val="es-ES"/>
        </w:rPr>
        <w:t xml:space="preserve"> meses para que </w:t>
      </w:r>
      <w:r w:rsidR="005B02E4" w:rsidRPr="000C1446">
        <w:rPr>
          <w:rFonts w:asciiTheme="majorHAnsi" w:hAnsiTheme="majorHAnsi"/>
          <w:sz w:val="20"/>
          <w:szCs w:val="20"/>
          <w:lang w:val="es-ES"/>
        </w:rPr>
        <w:t>el</w:t>
      </w:r>
      <w:r w:rsidRPr="000C1446">
        <w:rPr>
          <w:rFonts w:asciiTheme="majorHAnsi" w:hAnsiTheme="majorHAnsi"/>
          <w:sz w:val="20"/>
          <w:szCs w:val="20"/>
          <w:lang w:val="es-ES"/>
        </w:rPr>
        <w:t xml:space="preserve"> peticionario presentara sus observaciones adicionales sobre el fondo del asunto. Asimismo, de conformidad con el artículo 48.1 f) de la Convención Americana, la Comisión se puso a disposición de las partes a fin de llegar a una solución amistosa.  </w:t>
      </w:r>
    </w:p>
    <w:p w:rsidR="00DD5354" w:rsidRPr="000C1446" w:rsidRDefault="00DD5354" w:rsidP="00071C55">
      <w:pPr>
        <w:pStyle w:val="ListParagraph"/>
        <w:rPr>
          <w:rFonts w:asciiTheme="majorHAnsi" w:hAnsiTheme="majorHAnsi"/>
          <w:sz w:val="20"/>
          <w:szCs w:val="20"/>
          <w:lang w:val="es-ES"/>
        </w:rPr>
      </w:pPr>
    </w:p>
    <w:p w:rsidR="00B84AF0" w:rsidRPr="000C1446" w:rsidRDefault="00896B09"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 xml:space="preserve">Mediante comunicación del </w:t>
      </w:r>
      <w:r w:rsidR="00B84AF0" w:rsidRPr="000C1446">
        <w:rPr>
          <w:rFonts w:asciiTheme="majorHAnsi" w:hAnsiTheme="majorHAnsi"/>
          <w:sz w:val="20"/>
          <w:szCs w:val="20"/>
          <w:lang w:val="es-ES"/>
        </w:rPr>
        <w:t>2</w:t>
      </w:r>
      <w:r w:rsidRPr="000C1446">
        <w:rPr>
          <w:rFonts w:asciiTheme="majorHAnsi" w:hAnsiTheme="majorHAnsi"/>
          <w:sz w:val="20"/>
          <w:szCs w:val="20"/>
          <w:lang w:val="es-ES"/>
        </w:rPr>
        <w:t xml:space="preserve">0 </w:t>
      </w:r>
      <w:r w:rsidR="00B84AF0" w:rsidRPr="000C1446">
        <w:rPr>
          <w:rFonts w:asciiTheme="majorHAnsi" w:hAnsiTheme="majorHAnsi"/>
          <w:sz w:val="20"/>
          <w:szCs w:val="20"/>
          <w:lang w:val="es-ES"/>
        </w:rPr>
        <w:t xml:space="preserve">de </w:t>
      </w:r>
      <w:r w:rsidRPr="000C1446">
        <w:rPr>
          <w:rFonts w:asciiTheme="majorHAnsi" w:hAnsiTheme="majorHAnsi"/>
          <w:sz w:val="20"/>
          <w:szCs w:val="20"/>
          <w:lang w:val="es-ES"/>
        </w:rPr>
        <w:t xml:space="preserve">mayo de 2002 </w:t>
      </w:r>
      <w:r w:rsidR="00841577" w:rsidRPr="000C1446">
        <w:rPr>
          <w:rFonts w:asciiTheme="majorHAnsi" w:hAnsiTheme="majorHAnsi"/>
          <w:sz w:val="20"/>
          <w:szCs w:val="20"/>
          <w:lang w:val="es-ES"/>
        </w:rPr>
        <w:t xml:space="preserve">el peticionario envió sus observaciones de fondo y </w:t>
      </w:r>
      <w:r w:rsidR="00B84AF0" w:rsidRPr="000C1446">
        <w:rPr>
          <w:rFonts w:asciiTheme="majorHAnsi" w:hAnsiTheme="majorHAnsi"/>
          <w:sz w:val="20"/>
          <w:szCs w:val="20"/>
          <w:lang w:val="es-ES"/>
        </w:rPr>
        <w:t>manifest</w:t>
      </w:r>
      <w:r w:rsidR="00841577" w:rsidRPr="000C1446">
        <w:rPr>
          <w:rFonts w:asciiTheme="majorHAnsi" w:hAnsiTheme="majorHAnsi"/>
          <w:sz w:val="20"/>
          <w:szCs w:val="20"/>
          <w:lang w:val="es-ES"/>
        </w:rPr>
        <w:t>ó</w:t>
      </w:r>
      <w:r w:rsidR="00B84AF0" w:rsidRPr="000C1446">
        <w:rPr>
          <w:rFonts w:asciiTheme="majorHAnsi" w:hAnsiTheme="majorHAnsi"/>
          <w:sz w:val="20"/>
          <w:szCs w:val="20"/>
          <w:lang w:val="es-ES"/>
        </w:rPr>
        <w:t xml:space="preserve"> su interés </w:t>
      </w:r>
      <w:r w:rsidR="00841577" w:rsidRPr="000C1446">
        <w:rPr>
          <w:rFonts w:asciiTheme="majorHAnsi" w:hAnsiTheme="majorHAnsi"/>
          <w:sz w:val="20"/>
          <w:szCs w:val="20"/>
          <w:lang w:val="es-ES"/>
        </w:rPr>
        <w:t xml:space="preserve">en </w:t>
      </w:r>
      <w:r w:rsidR="00B84AF0" w:rsidRPr="000C1446">
        <w:rPr>
          <w:rFonts w:asciiTheme="majorHAnsi" w:hAnsiTheme="majorHAnsi"/>
          <w:sz w:val="20"/>
          <w:szCs w:val="20"/>
          <w:lang w:val="es-ES"/>
        </w:rPr>
        <w:t xml:space="preserve">iniciar un proceso de solución amistosa. </w:t>
      </w:r>
      <w:r w:rsidR="00925AB8" w:rsidRPr="000C1446">
        <w:rPr>
          <w:rFonts w:asciiTheme="majorHAnsi" w:hAnsiTheme="majorHAnsi"/>
          <w:sz w:val="20"/>
          <w:szCs w:val="20"/>
          <w:lang w:val="es-ES"/>
        </w:rPr>
        <w:t xml:space="preserve">Mediante Nota No. 4-2-246, del 26 de noviembre </w:t>
      </w:r>
      <w:r w:rsidR="00DD5354" w:rsidRPr="000C1446">
        <w:rPr>
          <w:rFonts w:asciiTheme="majorHAnsi" w:hAnsiTheme="majorHAnsi"/>
          <w:sz w:val="20"/>
          <w:szCs w:val="20"/>
          <w:lang w:val="es-ES"/>
        </w:rPr>
        <w:t>de 2002</w:t>
      </w:r>
      <w:r w:rsidR="00925AB8" w:rsidRPr="000C1446">
        <w:rPr>
          <w:rFonts w:asciiTheme="majorHAnsi" w:hAnsiTheme="majorHAnsi"/>
          <w:sz w:val="20"/>
          <w:szCs w:val="20"/>
          <w:lang w:val="es-ES"/>
        </w:rPr>
        <w:t>,</w:t>
      </w:r>
      <w:r w:rsidR="00DD5354" w:rsidRPr="000C1446">
        <w:rPr>
          <w:rFonts w:asciiTheme="majorHAnsi" w:hAnsiTheme="majorHAnsi"/>
          <w:sz w:val="20"/>
          <w:szCs w:val="20"/>
          <w:lang w:val="es-ES"/>
        </w:rPr>
        <w:t xml:space="preserve"> el </w:t>
      </w:r>
      <w:r w:rsidR="00413BBC" w:rsidRPr="000C1446">
        <w:rPr>
          <w:rFonts w:asciiTheme="majorHAnsi" w:hAnsiTheme="majorHAnsi"/>
          <w:sz w:val="20"/>
          <w:szCs w:val="20"/>
          <w:lang w:val="es-ES"/>
        </w:rPr>
        <w:t xml:space="preserve">Estado envió sus observaciones al informe de admisibilidad y no se pronunció </w:t>
      </w:r>
      <w:r w:rsidR="00281300" w:rsidRPr="000C1446">
        <w:rPr>
          <w:rFonts w:asciiTheme="majorHAnsi" w:hAnsiTheme="majorHAnsi"/>
          <w:sz w:val="20"/>
          <w:szCs w:val="20"/>
          <w:lang w:val="es-ES"/>
        </w:rPr>
        <w:t xml:space="preserve">respecto de </w:t>
      </w:r>
      <w:r w:rsidR="00413BBC" w:rsidRPr="000C1446">
        <w:rPr>
          <w:rFonts w:asciiTheme="majorHAnsi" w:hAnsiTheme="majorHAnsi"/>
          <w:sz w:val="20"/>
          <w:szCs w:val="20"/>
          <w:lang w:val="es-ES"/>
        </w:rPr>
        <w:t>la propuesta de</w:t>
      </w:r>
      <w:r w:rsidR="006B5AB5" w:rsidRPr="000C1446">
        <w:rPr>
          <w:rFonts w:asciiTheme="majorHAnsi" w:hAnsiTheme="majorHAnsi"/>
          <w:sz w:val="20"/>
          <w:szCs w:val="20"/>
          <w:lang w:val="es-ES"/>
        </w:rPr>
        <w:t xml:space="preserve"> </w:t>
      </w:r>
      <w:r w:rsidR="00DD5354" w:rsidRPr="000C1446">
        <w:rPr>
          <w:rFonts w:asciiTheme="majorHAnsi" w:hAnsiTheme="majorHAnsi"/>
          <w:sz w:val="20"/>
          <w:szCs w:val="20"/>
          <w:lang w:val="es-ES"/>
        </w:rPr>
        <w:t>un proceso de solución amistosa.</w:t>
      </w:r>
    </w:p>
    <w:p w:rsidR="00B84AF0" w:rsidRPr="000C1446" w:rsidRDefault="00B84AF0" w:rsidP="00071C55">
      <w:pPr>
        <w:jc w:val="both"/>
        <w:rPr>
          <w:rFonts w:asciiTheme="majorHAnsi" w:hAnsiTheme="majorHAnsi"/>
          <w:sz w:val="20"/>
          <w:szCs w:val="20"/>
          <w:lang w:val="es-ES"/>
        </w:rPr>
      </w:pPr>
    </w:p>
    <w:p w:rsidR="00B84AF0" w:rsidRPr="000C1446" w:rsidRDefault="00B3220B"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ES"/>
        </w:rPr>
      </w:pPr>
      <w:r w:rsidRPr="000C1446">
        <w:rPr>
          <w:rFonts w:asciiTheme="majorHAnsi" w:hAnsiTheme="majorHAnsi"/>
          <w:sz w:val="20"/>
          <w:szCs w:val="20"/>
          <w:lang w:val="es-ES"/>
        </w:rPr>
        <w:t>E</w:t>
      </w:r>
      <w:r w:rsidR="00281300" w:rsidRPr="000C1446">
        <w:rPr>
          <w:rFonts w:asciiTheme="majorHAnsi" w:hAnsiTheme="majorHAnsi"/>
          <w:sz w:val="20"/>
          <w:szCs w:val="20"/>
          <w:lang w:val="es-ES"/>
        </w:rPr>
        <w:t>l peticionario presentó comunicaciones</w:t>
      </w:r>
      <w:r w:rsidRPr="000C1446">
        <w:rPr>
          <w:rFonts w:asciiTheme="majorHAnsi" w:hAnsiTheme="majorHAnsi"/>
          <w:sz w:val="20"/>
          <w:szCs w:val="20"/>
          <w:lang w:val="es-ES"/>
        </w:rPr>
        <w:t xml:space="preserve"> adicionales el 18 de septiembre de 2002</w:t>
      </w:r>
      <w:r w:rsidR="00B3667B" w:rsidRPr="000C1446">
        <w:rPr>
          <w:rFonts w:asciiTheme="majorHAnsi" w:hAnsiTheme="majorHAnsi"/>
          <w:sz w:val="20"/>
          <w:szCs w:val="20"/>
          <w:lang w:val="es-ES"/>
        </w:rPr>
        <w:t>;</w:t>
      </w:r>
      <w:r w:rsidRPr="000C1446">
        <w:rPr>
          <w:rFonts w:asciiTheme="majorHAnsi" w:hAnsiTheme="majorHAnsi"/>
          <w:sz w:val="20"/>
          <w:szCs w:val="20"/>
          <w:lang w:val="es-ES"/>
        </w:rPr>
        <w:t xml:space="preserve"> 24 de marzo de 2003</w:t>
      </w:r>
      <w:r w:rsidR="00B3667B" w:rsidRPr="000C1446">
        <w:rPr>
          <w:rFonts w:asciiTheme="majorHAnsi" w:hAnsiTheme="majorHAnsi"/>
          <w:sz w:val="20"/>
          <w:szCs w:val="20"/>
          <w:lang w:val="es-ES"/>
        </w:rPr>
        <w:t>;</w:t>
      </w:r>
      <w:r w:rsidRPr="000C1446">
        <w:rPr>
          <w:rFonts w:asciiTheme="majorHAnsi" w:hAnsiTheme="majorHAnsi"/>
          <w:sz w:val="20"/>
          <w:szCs w:val="20"/>
          <w:lang w:val="es-ES"/>
        </w:rPr>
        <w:t xml:space="preserve"> 6 de junio </w:t>
      </w:r>
      <w:r w:rsidR="0065414C" w:rsidRPr="000C1446">
        <w:rPr>
          <w:rFonts w:asciiTheme="majorHAnsi" w:hAnsiTheme="majorHAnsi"/>
          <w:sz w:val="20"/>
          <w:szCs w:val="20"/>
          <w:lang w:val="es-ES"/>
        </w:rPr>
        <w:t xml:space="preserve">y 7 de septiembre </w:t>
      </w:r>
      <w:r w:rsidR="00B3667B" w:rsidRPr="000C1446">
        <w:rPr>
          <w:rFonts w:asciiTheme="majorHAnsi" w:hAnsiTheme="majorHAnsi"/>
          <w:sz w:val="20"/>
          <w:szCs w:val="20"/>
          <w:lang w:val="es-ES"/>
        </w:rPr>
        <w:t>de 2006;</w:t>
      </w:r>
      <w:r w:rsidRPr="000C1446">
        <w:rPr>
          <w:rFonts w:asciiTheme="majorHAnsi" w:hAnsiTheme="majorHAnsi"/>
          <w:sz w:val="20"/>
          <w:szCs w:val="20"/>
          <w:lang w:val="es-ES"/>
        </w:rPr>
        <w:t xml:space="preserve"> </w:t>
      </w:r>
      <w:r w:rsidR="0065414C" w:rsidRPr="000C1446">
        <w:rPr>
          <w:rFonts w:asciiTheme="majorHAnsi" w:hAnsiTheme="majorHAnsi"/>
          <w:sz w:val="20"/>
          <w:szCs w:val="20"/>
          <w:lang w:val="es-ES"/>
        </w:rPr>
        <w:t>10 y 14 de marzo de 2008</w:t>
      </w:r>
      <w:r w:rsidR="00B3667B" w:rsidRPr="000C1446">
        <w:rPr>
          <w:rFonts w:asciiTheme="majorHAnsi" w:hAnsiTheme="majorHAnsi"/>
          <w:sz w:val="20"/>
          <w:szCs w:val="20"/>
          <w:lang w:val="es-ES"/>
        </w:rPr>
        <w:t>;</w:t>
      </w:r>
      <w:r w:rsidR="0065414C" w:rsidRPr="000C1446">
        <w:rPr>
          <w:rFonts w:asciiTheme="majorHAnsi" w:hAnsiTheme="majorHAnsi"/>
          <w:sz w:val="20"/>
          <w:szCs w:val="20"/>
          <w:lang w:val="es-ES"/>
        </w:rPr>
        <w:t xml:space="preserve"> 6 de enero de 2009</w:t>
      </w:r>
      <w:r w:rsidR="00B3667B" w:rsidRPr="000C1446">
        <w:rPr>
          <w:rFonts w:asciiTheme="majorHAnsi" w:hAnsiTheme="majorHAnsi"/>
          <w:sz w:val="20"/>
          <w:szCs w:val="20"/>
          <w:lang w:val="es-ES"/>
        </w:rPr>
        <w:t>;</w:t>
      </w:r>
      <w:r w:rsidR="0065414C" w:rsidRPr="000C1446">
        <w:rPr>
          <w:rFonts w:asciiTheme="majorHAnsi" w:hAnsiTheme="majorHAnsi"/>
          <w:sz w:val="20"/>
          <w:szCs w:val="20"/>
          <w:lang w:val="es-ES"/>
        </w:rPr>
        <w:t xml:space="preserve"> 30 de diciembre de 2013</w:t>
      </w:r>
      <w:r w:rsidR="00B3667B" w:rsidRPr="000C1446">
        <w:rPr>
          <w:rFonts w:asciiTheme="majorHAnsi" w:hAnsiTheme="majorHAnsi"/>
          <w:sz w:val="20"/>
          <w:szCs w:val="20"/>
          <w:lang w:val="es-ES"/>
        </w:rPr>
        <w:t>; y</w:t>
      </w:r>
      <w:r w:rsidR="0065414C" w:rsidRPr="000C1446">
        <w:rPr>
          <w:rFonts w:asciiTheme="majorHAnsi" w:hAnsiTheme="majorHAnsi"/>
          <w:sz w:val="20"/>
          <w:szCs w:val="20"/>
          <w:lang w:val="es-ES"/>
        </w:rPr>
        <w:t xml:space="preserve"> 31 de enero, 7 de febrero y 31 de octubre de 2014, </w:t>
      </w:r>
      <w:r w:rsidR="00281300" w:rsidRPr="000C1446">
        <w:rPr>
          <w:rFonts w:asciiTheme="majorHAnsi" w:hAnsiTheme="majorHAnsi"/>
          <w:sz w:val="20"/>
          <w:szCs w:val="20"/>
          <w:lang w:val="es-ES"/>
        </w:rPr>
        <w:t xml:space="preserve">que fueron oportunamente trasladadas al Estado. </w:t>
      </w:r>
      <w:r w:rsidR="00DD5354" w:rsidRPr="000C1446">
        <w:rPr>
          <w:rFonts w:asciiTheme="majorHAnsi" w:hAnsiTheme="majorHAnsi"/>
          <w:sz w:val="20"/>
          <w:szCs w:val="20"/>
          <w:lang w:val="es-ES"/>
        </w:rPr>
        <w:t>Mediante comunicación del 23 de octubre de 2015, el Estado presentó observaciones adicionales sobre el fondo,</w:t>
      </w:r>
      <w:r w:rsidR="00411A6C" w:rsidRPr="000C1446">
        <w:rPr>
          <w:rFonts w:asciiTheme="majorHAnsi" w:hAnsiTheme="majorHAnsi"/>
          <w:sz w:val="20"/>
          <w:szCs w:val="20"/>
          <w:lang w:val="es-ES"/>
        </w:rPr>
        <w:t xml:space="preserve"> las cuales</w:t>
      </w:r>
      <w:r w:rsidR="00DD5354" w:rsidRPr="000C1446">
        <w:rPr>
          <w:rFonts w:asciiTheme="majorHAnsi" w:hAnsiTheme="majorHAnsi"/>
          <w:sz w:val="20"/>
          <w:szCs w:val="20"/>
          <w:lang w:val="es-ES"/>
        </w:rPr>
        <w:t xml:space="preserve"> fueron trasladadas al peticionario</w:t>
      </w:r>
      <w:r w:rsidR="00B84AF0" w:rsidRPr="000C1446">
        <w:rPr>
          <w:rFonts w:asciiTheme="majorHAnsi" w:hAnsiTheme="majorHAnsi"/>
          <w:sz w:val="20"/>
          <w:szCs w:val="20"/>
          <w:lang w:val="es-ES"/>
        </w:rPr>
        <w:t xml:space="preserve"> para su conocimiento. </w:t>
      </w:r>
    </w:p>
    <w:p w:rsidR="00B84AF0" w:rsidRPr="000C1446" w:rsidRDefault="00B84AF0" w:rsidP="00071C55">
      <w:pPr>
        <w:rPr>
          <w:rFonts w:asciiTheme="majorHAnsi" w:eastAsia="MS Gothic" w:hAnsiTheme="majorHAnsi"/>
          <w:b/>
          <w:bCs/>
          <w:sz w:val="20"/>
          <w:szCs w:val="20"/>
          <w:lang w:val="es-ES"/>
        </w:rPr>
      </w:pPr>
    </w:p>
    <w:p w:rsidR="00B84AF0" w:rsidRPr="000C1446" w:rsidRDefault="00B84AF0" w:rsidP="00071C55">
      <w:pPr>
        <w:pStyle w:val="Heading1"/>
        <w:ind w:left="1440" w:hanging="720"/>
      </w:pPr>
      <w:bookmarkStart w:id="7" w:name="_Toc395298771"/>
      <w:bookmarkStart w:id="8" w:name="_Toc418254624"/>
      <w:bookmarkStart w:id="9" w:name="_Toc464481598"/>
      <w:r w:rsidRPr="000C1446">
        <w:t>POSICIÓN DE LAS PARTES</w:t>
      </w:r>
      <w:bookmarkEnd w:id="7"/>
      <w:bookmarkEnd w:id="8"/>
      <w:bookmarkEnd w:id="9"/>
    </w:p>
    <w:p w:rsidR="00B84AF0" w:rsidRPr="000C1446" w:rsidRDefault="00B84AF0" w:rsidP="00071C55">
      <w:pPr>
        <w:jc w:val="both"/>
        <w:rPr>
          <w:rFonts w:asciiTheme="majorHAnsi" w:hAnsiTheme="majorHAnsi"/>
          <w:b/>
          <w:sz w:val="20"/>
          <w:szCs w:val="20"/>
          <w:u w:val="single"/>
          <w:lang w:val="es-ES"/>
        </w:rPr>
      </w:pPr>
    </w:p>
    <w:p w:rsidR="00B84AF0" w:rsidRPr="000C1446" w:rsidRDefault="00B04CAF" w:rsidP="00071C55">
      <w:pPr>
        <w:pStyle w:val="Heading2"/>
      </w:pPr>
      <w:bookmarkStart w:id="10" w:name="_Toc395298772"/>
      <w:bookmarkStart w:id="11" w:name="_Toc418254625"/>
      <w:bookmarkStart w:id="12" w:name="_Toc464481599"/>
      <w:r w:rsidRPr="00B47F78">
        <w:rPr>
          <w:lang w:val="es-ES_tradnl"/>
        </w:rPr>
        <w:t>P</w:t>
      </w:r>
      <w:r w:rsidR="00B84AF0" w:rsidRPr="00B47F78">
        <w:rPr>
          <w:lang w:val="es-ES_tradnl"/>
        </w:rPr>
        <w:t>eticionario</w:t>
      </w:r>
      <w:bookmarkEnd w:id="10"/>
      <w:bookmarkEnd w:id="11"/>
      <w:bookmarkEnd w:id="12"/>
    </w:p>
    <w:p w:rsidR="00B84AF0" w:rsidRPr="000C1446" w:rsidRDefault="00B84AF0" w:rsidP="00071C55">
      <w:pPr>
        <w:pStyle w:val="BodyTextIndent2"/>
        <w:spacing w:after="0" w:line="240" w:lineRule="auto"/>
        <w:ind w:left="0"/>
        <w:jc w:val="both"/>
        <w:rPr>
          <w:rFonts w:asciiTheme="majorHAnsi" w:hAnsiTheme="majorHAnsi"/>
          <w:spacing w:val="-2"/>
          <w:sz w:val="20"/>
          <w:szCs w:val="20"/>
          <w:lang w:val="es-ES"/>
        </w:rPr>
      </w:pPr>
    </w:p>
    <w:p w:rsidR="000C7383" w:rsidRPr="000C1446" w:rsidRDefault="00B04CAF"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 xml:space="preserve">El peticionario señala que el 23 de mayo de 1967, la Casa de la Cultura Ecuatoriana autorizó al ingeniero Virgilio Vélez a realizar excavaciones en la Isla de la Tolita, Cantón de Eloy Alfaro, Provincia de Esmeraldas. </w:t>
      </w:r>
      <w:r w:rsidR="000C7383" w:rsidRPr="000C1446">
        <w:rPr>
          <w:rFonts w:asciiTheme="majorHAnsi" w:hAnsiTheme="majorHAnsi"/>
          <w:sz w:val="20"/>
          <w:szCs w:val="20"/>
          <w:lang w:val="es-MX"/>
        </w:rPr>
        <w:t xml:space="preserve">El peticionario añade que el 21 de septiembre de 1968, el ingeniero Vélez le confirió por escrito la dirección general de las exploraciones y prospecciones, siendo el peticionario quien, el 20 de enero de 1969, descubrió varias piezas arqueológicas, entre las que </w:t>
      </w:r>
      <w:r w:rsidR="000C7383" w:rsidRPr="000C1446">
        <w:rPr>
          <w:rFonts w:asciiTheme="majorHAnsi" w:hAnsiTheme="majorHAnsi"/>
          <w:sz w:val="20"/>
          <w:szCs w:val="20"/>
          <w:lang w:val="es-ES"/>
        </w:rPr>
        <w:t>destacaba una máscara de oro con ojos móviles de platino.</w:t>
      </w:r>
    </w:p>
    <w:p w:rsidR="000C7383" w:rsidRPr="000C1446" w:rsidRDefault="000C7383"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0C7383" w:rsidRPr="000C1446" w:rsidRDefault="000C7383" w:rsidP="00071C55">
      <w:pPr>
        <w:pStyle w:val="Style2"/>
      </w:pPr>
      <w:r w:rsidRPr="000C1446">
        <w:t>Indica que el 30 de mayo de</w:t>
      </w:r>
      <w:r w:rsidR="00FE1154" w:rsidRPr="000C1446">
        <w:t xml:space="preserve"> </w:t>
      </w:r>
      <w:r w:rsidRPr="000C1446">
        <w:t xml:space="preserve">1969, el ingeniero Vélez </w:t>
      </w:r>
      <w:r w:rsidR="002A73FE" w:rsidRPr="000C1446">
        <w:t xml:space="preserve">le </w:t>
      </w:r>
      <w:r w:rsidR="009474A6" w:rsidRPr="000C1446">
        <w:t>“</w:t>
      </w:r>
      <w:r w:rsidRPr="000C1446">
        <w:t>entregó</w:t>
      </w:r>
      <w:r w:rsidR="002A73FE" w:rsidRPr="000C1446">
        <w:t xml:space="preserve"> hasta el </w:t>
      </w:r>
      <w:r w:rsidRPr="000C1446">
        <w:t>50% correspondiente a todos los hallazgos mineros, agrícolas y arqueológicos que se pu</w:t>
      </w:r>
      <w:r w:rsidR="002A73FE" w:rsidRPr="000C1446">
        <w:t>edan</w:t>
      </w:r>
      <w:r w:rsidRPr="000C1446">
        <w:t xml:space="preserve"> originar en La Tolita, sobre la base de la autorización conferida por la Casa de la Cultura Ecuatoriana</w:t>
      </w:r>
      <w:r w:rsidR="002A73FE" w:rsidRPr="000C1446">
        <w:t>”</w:t>
      </w:r>
      <w:r w:rsidRPr="000C1446">
        <w:t>. Agrega que, el 20 de junio de ese mismo año, el ingeniero Vélez le informó que sus derechos para realizar prospecciones y exploraciones en La Tolita, válidos hasta el 19 de junio de 1969, no habían sido renovados por parte de la Casa de la Cultura Ecuatoriana y, por tanto, renunciaba a todos los derechos y beneficios del descubrimiento de la máscara de oro y de los demás objetos descubiertos por el peticionario. El peticionario informa que fue así que</w:t>
      </w:r>
      <w:r w:rsidR="00B35703" w:rsidRPr="000C1446">
        <w:t>,</w:t>
      </w:r>
      <w:r w:rsidRPr="000C1446">
        <w:t xml:space="preserve"> el </w:t>
      </w:r>
      <w:r w:rsidRPr="000C1446">
        <w:rPr>
          <w:rFonts w:asciiTheme="majorHAnsi" w:hAnsiTheme="majorHAnsi"/>
        </w:rPr>
        <w:t>20 de junio de 1969, el ingeniero Vélez cedió</w:t>
      </w:r>
      <w:r w:rsidR="001A570D" w:rsidRPr="000C1446">
        <w:rPr>
          <w:rFonts w:asciiTheme="majorHAnsi" w:hAnsiTheme="majorHAnsi"/>
        </w:rPr>
        <w:t xml:space="preserve"> a su favor y ante </w:t>
      </w:r>
      <w:r w:rsidRPr="000C1446">
        <w:rPr>
          <w:rFonts w:asciiTheme="majorHAnsi" w:hAnsiTheme="majorHAnsi"/>
        </w:rPr>
        <w:t>notario público, todos los derechos de la excavación.</w:t>
      </w:r>
    </w:p>
    <w:p w:rsidR="000C7383" w:rsidRPr="000C1446" w:rsidRDefault="000C7383" w:rsidP="00071C55">
      <w:pPr>
        <w:pStyle w:val="ListParagraph"/>
        <w:rPr>
          <w:lang w:val="es-ES"/>
        </w:rPr>
      </w:pPr>
    </w:p>
    <w:p w:rsidR="000C7383" w:rsidRPr="000C1446" w:rsidRDefault="000C7383" w:rsidP="00071C55">
      <w:pPr>
        <w:pStyle w:val="Style2"/>
      </w:pPr>
      <w:r w:rsidRPr="000C1446">
        <w:t>Agrega que</w:t>
      </w:r>
      <w:r w:rsidR="00CB3369" w:rsidRPr="000C1446">
        <w:t>,</w:t>
      </w:r>
      <w:r w:rsidRPr="000C1446">
        <w:t xml:space="preserve"> el 20 de febrero de 1970</w:t>
      </w:r>
      <w:r w:rsidR="00CB3369" w:rsidRPr="000C1446">
        <w:t>,</w:t>
      </w:r>
      <w:r w:rsidRPr="000C1446">
        <w:t xml:space="preserve"> solicitó al Intendente General de Policía que depositara la máscara de oro y otros objetos arqueológicos</w:t>
      </w:r>
      <w:r w:rsidR="00CB3369" w:rsidRPr="000C1446">
        <w:t xml:space="preserve"> en el Museo del Banco Central. </w:t>
      </w:r>
      <w:r w:rsidR="00E572CA" w:rsidRPr="000C1446">
        <w:t>Señala que e</w:t>
      </w:r>
      <w:r w:rsidRPr="000C1446">
        <w:t xml:space="preserve">l Intendente así lo hizo, dejando asentado por escrito que todos los objetos descritos en el recibo de depósito fueron recuperados por el peticionario y depositados a su solicitud. Alega que </w:t>
      </w:r>
      <w:r w:rsidR="00CB3369" w:rsidRPr="000C1446">
        <w:t>“</w:t>
      </w:r>
      <w:r w:rsidRPr="000C1446">
        <w:t>fue así como la dictadura militar se enteró de la existencia de la máscara</w:t>
      </w:r>
      <w:r w:rsidR="00CB3369" w:rsidRPr="000C1446">
        <w:t>”</w:t>
      </w:r>
      <w:r w:rsidRPr="000C1446">
        <w:t>.</w:t>
      </w:r>
    </w:p>
    <w:p w:rsidR="000C7383" w:rsidRPr="000C1446" w:rsidRDefault="000C7383" w:rsidP="00071C55">
      <w:pPr>
        <w:pStyle w:val="ListParagraph"/>
        <w:rPr>
          <w:lang w:val="es-ES"/>
        </w:rPr>
      </w:pPr>
    </w:p>
    <w:p w:rsidR="001F0FD6" w:rsidRPr="000C1446" w:rsidRDefault="000C7383" w:rsidP="00071C55">
      <w:pPr>
        <w:pStyle w:val="Style2"/>
        <w:rPr>
          <w:rFonts w:asciiTheme="majorHAnsi" w:hAnsiTheme="majorHAnsi"/>
        </w:rPr>
      </w:pPr>
      <w:r w:rsidRPr="000C1446">
        <w:t xml:space="preserve">Alega que, mediante Decreto Supremo </w:t>
      </w:r>
      <w:r w:rsidR="00096201" w:rsidRPr="000C1446">
        <w:t xml:space="preserve">No. </w:t>
      </w:r>
      <w:r w:rsidRPr="000C1446">
        <w:t xml:space="preserve">320 promulgado en el Registro Oficial No. 796 de 6 de mayo de 1975, </w:t>
      </w:r>
      <w:r w:rsidR="00E572CA" w:rsidRPr="000C1446">
        <w:t xml:space="preserve">durante </w:t>
      </w:r>
      <w:r w:rsidRPr="000C1446">
        <w:t xml:space="preserve">la dictadura militar, </w:t>
      </w:r>
      <w:r w:rsidR="00496D2F" w:rsidRPr="000C1446">
        <w:t>se declaró</w:t>
      </w:r>
      <w:r w:rsidRPr="000C1446">
        <w:t xml:space="preserve"> que la máscara es </w:t>
      </w:r>
      <w:r w:rsidR="00E572CA" w:rsidRPr="000C1446">
        <w:t xml:space="preserve">parte del </w:t>
      </w:r>
      <w:r w:rsidRPr="000C1446">
        <w:t xml:space="preserve">patrimonio nacional, sin que el </w:t>
      </w:r>
      <w:r w:rsidR="00CB3369" w:rsidRPr="000C1446">
        <w:t xml:space="preserve">peticionario </w:t>
      </w:r>
      <w:r w:rsidRPr="000C1446">
        <w:t xml:space="preserve">hubiera recibido indemnización </w:t>
      </w:r>
      <w:r w:rsidR="00CB3369" w:rsidRPr="000C1446">
        <w:t>alguna</w:t>
      </w:r>
      <w:r w:rsidRPr="000C1446">
        <w:t>.</w:t>
      </w:r>
      <w:r w:rsidR="00496D2F" w:rsidRPr="000C1446">
        <w:rPr>
          <w:rFonts w:asciiTheme="majorHAnsi" w:hAnsiTheme="majorHAnsi"/>
        </w:rPr>
        <w:t xml:space="preserve"> El </w:t>
      </w:r>
      <w:r w:rsidR="00CB3369" w:rsidRPr="000C1446">
        <w:rPr>
          <w:rFonts w:asciiTheme="majorHAnsi" w:hAnsiTheme="majorHAnsi"/>
        </w:rPr>
        <w:t xml:space="preserve">señor James Judge </w:t>
      </w:r>
      <w:r w:rsidR="00496D2F" w:rsidRPr="000C1446">
        <w:rPr>
          <w:rFonts w:asciiTheme="majorHAnsi" w:hAnsiTheme="majorHAnsi"/>
        </w:rPr>
        <w:t xml:space="preserve">agrega que el Decreto 320 se aplicó de manera retroactiva y declaró que la máscara fue extraída en forma ilegítima; no obstante que se contaba con autorización de la Casa de la Cultura Ecuatoriana a favor del ingeniero Virgilio Vélez. Indica que la propiedad o dominio de la máscara y los beneficios de su descubrimiento se encuentran justificados con abundante documentación, protocolizada en la notaría quinta de Quito. </w:t>
      </w:r>
      <w:r w:rsidR="001F0FD6" w:rsidRPr="000C1446">
        <w:rPr>
          <w:rFonts w:asciiTheme="majorHAnsi" w:hAnsiTheme="majorHAnsi"/>
        </w:rPr>
        <w:t xml:space="preserve">Alega que la legislación ecuatoriana no prohíbe la transferencia de derechos que el ingeniero Vélez hiciera, en contra de lo alegado por el Estado. </w:t>
      </w:r>
    </w:p>
    <w:p w:rsidR="000C7383" w:rsidRPr="000C1446" w:rsidRDefault="000C7383" w:rsidP="00071C55">
      <w:pPr>
        <w:pStyle w:val="Style2"/>
        <w:numPr>
          <w:ilvl w:val="0"/>
          <w:numId w:val="0"/>
        </w:numPr>
        <w:ind w:left="720"/>
        <w:rPr>
          <w:rFonts w:asciiTheme="majorHAnsi" w:hAnsiTheme="majorHAnsi"/>
        </w:rPr>
      </w:pPr>
    </w:p>
    <w:p w:rsidR="006B5AB5" w:rsidRPr="000C1446" w:rsidRDefault="000C7383" w:rsidP="00071C55">
      <w:pPr>
        <w:pStyle w:val="Style2"/>
        <w:rPr>
          <w:rFonts w:asciiTheme="majorHAnsi" w:hAnsiTheme="majorHAnsi"/>
        </w:rPr>
      </w:pPr>
      <w:r w:rsidRPr="000C1446">
        <w:rPr>
          <w:rFonts w:asciiTheme="majorHAnsi" w:hAnsiTheme="majorHAnsi"/>
        </w:rPr>
        <w:t xml:space="preserve">Agrega </w:t>
      </w:r>
      <w:r w:rsidR="006B5AB5" w:rsidRPr="000C1446">
        <w:rPr>
          <w:rFonts w:asciiTheme="majorHAnsi" w:hAnsiTheme="majorHAnsi"/>
        </w:rPr>
        <w:t xml:space="preserve">que </w:t>
      </w:r>
      <w:r w:rsidR="00496D2F" w:rsidRPr="000C1446">
        <w:rPr>
          <w:rFonts w:asciiTheme="majorHAnsi" w:hAnsiTheme="majorHAnsi"/>
        </w:rPr>
        <w:t xml:space="preserve">el </w:t>
      </w:r>
      <w:r w:rsidR="006B5AB5" w:rsidRPr="000C1446">
        <w:rPr>
          <w:rFonts w:asciiTheme="majorHAnsi" w:hAnsiTheme="majorHAnsi"/>
        </w:rPr>
        <w:t>decreto declara la máscara de propiedad del Patrimonio Nacional pero en el artículo 2 concede el derecho de propiedad a la Casa de la Cultura Ecuatoriana. E</w:t>
      </w:r>
      <w:r w:rsidR="00496D2F" w:rsidRPr="000C1446">
        <w:rPr>
          <w:rFonts w:asciiTheme="majorHAnsi" w:hAnsiTheme="majorHAnsi"/>
        </w:rPr>
        <w:t xml:space="preserve">l peticionario señala que, con esto, el Estado </w:t>
      </w:r>
      <w:r w:rsidR="006B5AB5" w:rsidRPr="000C1446">
        <w:rPr>
          <w:rFonts w:asciiTheme="majorHAnsi" w:hAnsiTheme="majorHAnsi"/>
        </w:rPr>
        <w:t>entreg</w:t>
      </w:r>
      <w:r w:rsidR="00496D2F" w:rsidRPr="000C1446">
        <w:rPr>
          <w:rFonts w:asciiTheme="majorHAnsi" w:hAnsiTheme="majorHAnsi"/>
        </w:rPr>
        <w:t>ó</w:t>
      </w:r>
      <w:r w:rsidR="006B5AB5" w:rsidRPr="000C1446">
        <w:rPr>
          <w:rFonts w:asciiTheme="majorHAnsi" w:hAnsiTheme="majorHAnsi"/>
        </w:rPr>
        <w:t xml:space="preserve"> la máscara a dos propietarios diferentes</w:t>
      </w:r>
      <w:r w:rsidR="00496D2F" w:rsidRPr="000C1446">
        <w:rPr>
          <w:rFonts w:asciiTheme="majorHAnsi" w:hAnsiTheme="majorHAnsi"/>
        </w:rPr>
        <w:t xml:space="preserve">. </w:t>
      </w:r>
      <w:r w:rsidR="00D230B7" w:rsidRPr="000C1446">
        <w:rPr>
          <w:rFonts w:asciiTheme="majorHAnsi" w:hAnsiTheme="majorHAnsi"/>
        </w:rPr>
        <w:t xml:space="preserve">Indica que </w:t>
      </w:r>
      <w:r w:rsidR="00496D2F" w:rsidRPr="000C1446">
        <w:rPr>
          <w:rFonts w:asciiTheme="majorHAnsi" w:hAnsiTheme="majorHAnsi"/>
        </w:rPr>
        <w:t>e</w:t>
      </w:r>
      <w:r w:rsidR="006B5AB5" w:rsidRPr="000C1446">
        <w:rPr>
          <w:rFonts w:asciiTheme="majorHAnsi" w:hAnsiTheme="majorHAnsi"/>
        </w:rPr>
        <w:t>l artículo 4 del decreto deja sin efecto y sin valor cualquier reclamación o resolución que tenga relación con la máscara de oro</w:t>
      </w:r>
      <w:r w:rsidR="00D230B7" w:rsidRPr="000C1446">
        <w:rPr>
          <w:rFonts w:asciiTheme="majorHAnsi" w:hAnsiTheme="majorHAnsi"/>
        </w:rPr>
        <w:t>,</w:t>
      </w:r>
      <w:r w:rsidR="006B5AB5" w:rsidRPr="000C1446">
        <w:rPr>
          <w:rFonts w:asciiTheme="majorHAnsi" w:hAnsiTheme="majorHAnsi"/>
        </w:rPr>
        <w:t xml:space="preserve"> </w:t>
      </w:r>
      <w:r w:rsidR="00D230B7" w:rsidRPr="000C1446">
        <w:rPr>
          <w:rFonts w:asciiTheme="majorHAnsi" w:hAnsiTheme="majorHAnsi"/>
        </w:rPr>
        <w:t>c</w:t>
      </w:r>
      <w:r w:rsidR="006B5AB5" w:rsidRPr="000C1446">
        <w:rPr>
          <w:rFonts w:asciiTheme="majorHAnsi" w:hAnsiTheme="majorHAnsi"/>
        </w:rPr>
        <w:t xml:space="preserve">onsumando con ello el despojo de las piezas arqueológicas. </w:t>
      </w:r>
    </w:p>
    <w:p w:rsidR="00A223CC" w:rsidRPr="000C1446" w:rsidRDefault="00A223CC" w:rsidP="00071C55">
      <w:pPr>
        <w:pStyle w:val="ListParagraph"/>
        <w:rPr>
          <w:rFonts w:asciiTheme="majorHAnsi" w:hAnsiTheme="majorHAnsi"/>
          <w:sz w:val="20"/>
          <w:szCs w:val="20"/>
          <w:lang w:val="es-ES"/>
        </w:rPr>
      </w:pPr>
    </w:p>
    <w:p w:rsidR="006E1AEF" w:rsidRPr="000C1446" w:rsidRDefault="006E1AEF"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El peticionario alega que el Decreto contravi</w:t>
      </w:r>
      <w:r w:rsidR="006B5AB5" w:rsidRPr="000C1446">
        <w:rPr>
          <w:rFonts w:asciiTheme="majorHAnsi" w:hAnsiTheme="majorHAnsi"/>
          <w:sz w:val="20"/>
          <w:szCs w:val="20"/>
          <w:lang w:val="es-ES"/>
        </w:rPr>
        <w:t xml:space="preserve">no </w:t>
      </w:r>
      <w:r w:rsidRPr="000C1446">
        <w:rPr>
          <w:rFonts w:asciiTheme="majorHAnsi" w:hAnsiTheme="majorHAnsi"/>
          <w:sz w:val="20"/>
          <w:szCs w:val="20"/>
          <w:lang w:val="es-ES"/>
        </w:rPr>
        <w:t>lo dispuesto en los artículo</w:t>
      </w:r>
      <w:r w:rsidR="006B5AB5" w:rsidRPr="000C1446">
        <w:rPr>
          <w:rFonts w:asciiTheme="majorHAnsi" w:hAnsiTheme="majorHAnsi"/>
          <w:sz w:val="20"/>
          <w:szCs w:val="20"/>
          <w:lang w:val="es-ES"/>
        </w:rPr>
        <w:t>s</w:t>
      </w:r>
      <w:r w:rsidRPr="000C1446">
        <w:rPr>
          <w:rFonts w:asciiTheme="majorHAnsi" w:hAnsiTheme="majorHAnsi"/>
          <w:sz w:val="20"/>
          <w:szCs w:val="20"/>
          <w:lang w:val="es-ES"/>
        </w:rPr>
        <w:t xml:space="preserve"> 146 y 147 de la </w:t>
      </w:r>
      <w:r w:rsidR="00D230B7" w:rsidRPr="000C1446">
        <w:rPr>
          <w:rFonts w:asciiTheme="majorHAnsi" w:hAnsiTheme="majorHAnsi"/>
          <w:sz w:val="20"/>
          <w:szCs w:val="20"/>
          <w:lang w:val="es-ES"/>
        </w:rPr>
        <w:t>C</w:t>
      </w:r>
      <w:r w:rsidRPr="000C1446">
        <w:rPr>
          <w:rFonts w:asciiTheme="majorHAnsi" w:hAnsiTheme="majorHAnsi"/>
          <w:sz w:val="20"/>
          <w:szCs w:val="20"/>
          <w:lang w:val="es-ES"/>
        </w:rPr>
        <w:t>onstitución Política de 1945. Indica que dicho</w:t>
      </w:r>
      <w:r w:rsidR="006B5AB5" w:rsidRPr="000C1446">
        <w:rPr>
          <w:rFonts w:asciiTheme="majorHAnsi" w:hAnsiTheme="majorHAnsi"/>
          <w:sz w:val="20"/>
          <w:szCs w:val="20"/>
          <w:lang w:val="es-ES"/>
        </w:rPr>
        <w:t>s</w:t>
      </w:r>
      <w:r w:rsidRPr="000C1446">
        <w:rPr>
          <w:rFonts w:asciiTheme="majorHAnsi" w:hAnsiTheme="majorHAnsi"/>
          <w:sz w:val="20"/>
          <w:szCs w:val="20"/>
          <w:lang w:val="es-ES"/>
        </w:rPr>
        <w:t xml:space="preserve"> artículos tratan del dominio del Estado y </w:t>
      </w:r>
      <w:r w:rsidR="006B5AB5" w:rsidRPr="000C1446">
        <w:rPr>
          <w:rFonts w:asciiTheme="majorHAnsi" w:hAnsiTheme="majorHAnsi"/>
          <w:sz w:val="20"/>
          <w:szCs w:val="20"/>
          <w:lang w:val="es-ES"/>
        </w:rPr>
        <w:t xml:space="preserve">establecen </w:t>
      </w:r>
      <w:r w:rsidRPr="000C1446">
        <w:rPr>
          <w:rFonts w:asciiTheme="majorHAnsi" w:hAnsiTheme="majorHAnsi"/>
          <w:sz w:val="20"/>
          <w:szCs w:val="20"/>
          <w:lang w:val="es-ES"/>
        </w:rPr>
        <w:t>“Igual dominio tendrá sobre los tesoros arqueológicos sin perjuicio del derecho de los particulares a la parte que, según la Ley les corresponda por su hallazgo y denuncia” y “el Estado garantiza la propiedad de los descubrimientos, inventos y obras científicas, literarias y artísticas, en los términos prescritos por las leyes”.</w:t>
      </w:r>
      <w:r w:rsidR="006D7CD8" w:rsidRPr="000C1446">
        <w:rPr>
          <w:rFonts w:asciiTheme="majorHAnsi" w:hAnsiTheme="majorHAnsi"/>
          <w:sz w:val="20"/>
          <w:szCs w:val="20"/>
          <w:lang w:val="es-ES"/>
        </w:rPr>
        <w:t xml:space="preserve"> Agrega que el Código Civil Ecuatoriano, vigente a esa fecha, </w:t>
      </w:r>
      <w:r w:rsidR="006B5AB5" w:rsidRPr="000C1446">
        <w:rPr>
          <w:rFonts w:asciiTheme="majorHAnsi" w:hAnsiTheme="majorHAnsi"/>
          <w:sz w:val="20"/>
          <w:szCs w:val="20"/>
          <w:lang w:val="es-ES"/>
        </w:rPr>
        <w:t xml:space="preserve">dispone </w:t>
      </w:r>
      <w:r w:rsidR="006D7CD8" w:rsidRPr="000C1446">
        <w:rPr>
          <w:rFonts w:asciiTheme="majorHAnsi" w:hAnsiTheme="majorHAnsi"/>
          <w:sz w:val="20"/>
          <w:szCs w:val="20"/>
          <w:lang w:val="es-ES"/>
        </w:rPr>
        <w:t>en sus artículos 660 y 661 que el descubrimiento de un tesoro es una especie de invención o hallazgo y que el tesoro encontrado en terreno ajeno, debe dividirse entre el dueño del terreno y la</w:t>
      </w:r>
      <w:r w:rsidR="006B5AB5" w:rsidRPr="000C1446">
        <w:rPr>
          <w:rFonts w:asciiTheme="majorHAnsi" w:hAnsiTheme="majorHAnsi"/>
          <w:sz w:val="20"/>
          <w:szCs w:val="20"/>
          <w:lang w:val="es-ES"/>
        </w:rPr>
        <w:t xml:space="preserve"> </w:t>
      </w:r>
      <w:r w:rsidR="006D7CD8" w:rsidRPr="000C1446">
        <w:rPr>
          <w:rFonts w:asciiTheme="majorHAnsi" w:hAnsiTheme="majorHAnsi"/>
          <w:sz w:val="20"/>
          <w:szCs w:val="20"/>
          <w:lang w:val="es-ES"/>
        </w:rPr>
        <w:t xml:space="preserve">persona que haya hecho el descubrimiento.  </w:t>
      </w:r>
    </w:p>
    <w:p w:rsidR="006D7CD8" w:rsidRPr="000C1446" w:rsidRDefault="006D7CD8" w:rsidP="00071C55">
      <w:pPr>
        <w:pStyle w:val="ListParagraph"/>
        <w:rPr>
          <w:rFonts w:asciiTheme="majorHAnsi" w:hAnsiTheme="majorHAnsi"/>
          <w:sz w:val="20"/>
          <w:szCs w:val="20"/>
          <w:lang w:val="es-ES"/>
        </w:rPr>
      </w:pPr>
    </w:p>
    <w:p w:rsidR="00B04CAF" w:rsidRPr="000C1446" w:rsidRDefault="00B04CAF"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Informa que</w:t>
      </w:r>
      <w:r w:rsidR="00735A06" w:rsidRPr="000C1446">
        <w:rPr>
          <w:rFonts w:asciiTheme="majorHAnsi" w:hAnsiTheme="majorHAnsi"/>
          <w:sz w:val="20"/>
          <w:szCs w:val="20"/>
          <w:lang w:val="es-ES"/>
        </w:rPr>
        <w:t>, a la fecha, no existe una sentenc</w:t>
      </w:r>
      <w:r w:rsidR="00C51B6A" w:rsidRPr="000C1446">
        <w:rPr>
          <w:rFonts w:asciiTheme="majorHAnsi" w:hAnsiTheme="majorHAnsi"/>
          <w:sz w:val="20"/>
          <w:szCs w:val="20"/>
          <w:lang w:val="es-ES"/>
        </w:rPr>
        <w:t>ia o fallo definitivo concediend</w:t>
      </w:r>
      <w:r w:rsidR="00735A06" w:rsidRPr="000C1446">
        <w:rPr>
          <w:rFonts w:asciiTheme="majorHAnsi" w:hAnsiTheme="majorHAnsi"/>
          <w:sz w:val="20"/>
          <w:szCs w:val="20"/>
          <w:lang w:val="es-ES"/>
        </w:rPr>
        <w:t xml:space="preserve">o o rechazando sus justas pretensiones en contra del </w:t>
      </w:r>
      <w:r w:rsidR="00CB3369" w:rsidRPr="000C1446">
        <w:rPr>
          <w:rFonts w:asciiTheme="majorHAnsi" w:hAnsiTheme="majorHAnsi"/>
          <w:sz w:val="20"/>
          <w:szCs w:val="20"/>
          <w:lang w:val="es-ES"/>
        </w:rPr>
        <w:t>D</w:t>
      </w:r>
      <w:r w:rsidR="00735A06" w:rsidRPr="000C1446">
        <w:rPr>
          <w:rFonts w:asciiTheme="majorHAnsi" w:hAnsiTheme="majorHAnsi"/>
          <w:sz w:val="20"/>
          <w:szCs w:val="20"/>
          <w:lang w:val="es-ES"/>
        </w:rPr>
        <w:t xml:space="preserve">ecreto </w:t>
      </w:r>
      <w:r w:rsidR="00CB3369" w:rsidRPr="000C1446">
        <w:rPr>
          <w:rFonts w:asciiTheme="majorHAnsi" w:hAnsiTheme="majorHAnsi"/>
          <w:sz w:val="20"/>
          <w:szCs w:val="20"/>
          <w:lang w:val="es-ES"/>
        </w:rPr>
        <w:t xml:space="preserve">Supremo </w:t>
      </w:r>
      <w:r w:rsidR="00735A06" w:rsidRPr="000C1446">
        <w:rPr>
          <w:rFonts w:asciiTheme="majorHAnsi" w:hAnsiTheme="majorHAnsi"/>
          <w:sz w:val="20"/>
          <w:szCs w:val="20"/>
          <w:lang w:val="es-ES"/>
        </w:rPr>
        <w:t>No</w:t>
      </w:r>
      <w:r w:rsidR="00CB3369" w:rsidRPr="000C1446">
        <w:rPr>
          <w:rFonts w:asciiTheme="majorHAnsi" w:hAnsiTheme="majorHAnsi"/>
          <w:sz w:val="20"/>
          <w:szCs w:val="20"/>
          <w:lang w:val="es-ES"/>
        </w:rPr>
        <w:t>.</w:t>
      </w:r>
      <w:r w:rsidR="00735A06" w:rsidRPr="000C1446">
        <w:rPr>
          <w:rFonts w:asciiTheme="majorHAnsi" w:hAnsiTheme="majorHAnsi"/>
          <w:sz w:val="20"/>
          <w:szCs w:val="20"/>
          <w:lang w:val="es-ES"/>
        </w:rPr>
        <w:t xml:space="preserve"> 320. </w:t>
      </w:r>
      <w:r w:rsidR="00C51B6A" w:rsidRPr="000C1446">
        <w:rPr>
          <w:rFonts w:asciiTheme="majorHAnsi" w:hAnsiTheme="majorHAnsi"/>
          <w:sz w:val="20"/>
          <w:szCs w:val="20"/>
          <w:lang w:val="es-ES"/>
        </w:rPr>
        <w:t>Así</w:t>
      </w:r>
      <w:r w:rsidR="006B5AB5" w:rsidRPr="000C1446">
        <w:rPr>
          <w:rFonts w:asciiTheme="majorHAnsi" w:hAnsiTheme="majorHAnsi"/>
          <w:sz w:val="20"/>
          <w:szCs w:val="20"/>
          <w:lang w:val="es-ES"/>
        </w:rPr>
        <w:t>,</w:t>
      </w:r>
      <w:r w:rsidR="003B5E85" w:rsidRPr="000C1446">
        <w:rPr>
          <w:rFonts w:asciiTheme="majorHAnsi" w:hAnsiTheme="majorHAnsi"/>
          <w:sz w:val="20"/>
          <w:szCs w:val="20"/>
          <w:lang w:val="es-ES"/>
        </w:rPr>
        <w:t xml:space="preserve"> </w:t>
      </w:r>
      <w:r w:rsidR="00735A06" w:rsidRPr="000C1446">
        <w:rPr>
          <w:rFonts w:asciiTheme="majorHAnsi" w:hAnsiTheme="majorHAnsi"/>
          <w:sz w:val="20"/>
          <w:szCs w:val="20"/>
          <w:lang w:val="es-ES"/>
        </w:rPr>
        <w:t>indica que</w:t>
      </w:r>
      <w:r w:rsidRPr="000C1446">
        <w:rPr>
          <w:rFonts w:asciiTheme="majorHAnsi" w:hAnsiTheme="majorHAnsi"/>
          <w:sz w:val="20"/>
          <w:szCs w:val="20"/>
          <w:lang w:val="es-ES"/>
        </w:rPr>
        <w:t xml:space="preserve"> presentó una acción de inconstitucionalidad contra el </w:t>
      </w:r>
      <w:r w:rsidR="00CB3369" w:rsidRPr="000C1446">
        <w:rPr>
          <w:rFonts w:asciiTheme="majorHAnsi" w:hAnsiTheme="majorHAnsi"/>
          <w:sz w:val="20"/>
          <w:szCs w:val="20"/>
          <w:lang w:val="es-ES"/>
        </w:rPr>
        <w:t>decreto</w:t>
      </w:r>
      <w:r w:rsidRPr="000C1446">
        <w:rPr>
          <w:rFonts w:asciiTheme="majorHAnsi" w:hAnsiTheme="majorHAnsi"/>
          <w:sz w:val="20"/>
          <w:szCs w:val="20"/>
          <w:lang w:val="es-ES"/>
        </w:rPr>
        <w:t xml:space="preserve"> ante el Tribunal de Garantías Constitucionales,</w:t>
      </w:r>
      <w:r w:rsidR="00735A06" w:rsidRPr="000C1446">
        <w:rPr>
          <w:rFonts w:asciiTheme="majorHAnsi" w:hAnsiTheme="majorHAnsi"/>
          <w:sz w:val="20"/>
          <w:szCs w:val="20"/>
          <w:lang w:val="es-ES"/>
        </w:rPr>
        <w:t xml:space="preserve"> hoy Tribunal Constitucional,</w:t>
      </w:r>
      <w:r w:rsidRPr="000C1446">
        <w:rPr>
          <w:rFonts w:asciiTheme="majorHAnsi" w:hAnsiTheme="majorHAnsi"/>
          <w:sz w:val="20"/>
          <w:szCs w:val="20"/>
          <w:lang w:val="es-ES"/>
        </w:rPr>
        <w:t xml:space="preserve"> el cual falló en contra del peticionario el 27 de diciembre de 1995. </w:t>
      </w:r>
      <w:r w:rsidR="001E6AF4" w:rsidRPr="000C1446">
        <w:rPr>
          <w:rFonts w:asciiTheme="majorHAnsi" w:hAnsiTheme="majorHAnsi"/>
          <w:sz w:val="20"/>
          <w:szCs w:val="20"/>
          <w:lang w:val="es-ES"/>
        </w:rPr>
        <w:t>E</w:t>
      </w:r>
      <w:r w:rsidRPr="000C1446">
        <w:rPr>
          <w:rFonts w:asciiTheme="majorHAnsi" w:hAnsiTheme="majorHAnsi"/>
          <w:sz w:val="20"/>
          <w:szCs w:val="20"/>
          <w:lang w:val="es-ES"/>
        </w:rPr>
        <w:t xml:space="preserve">l peticionario </w:t>
      </w:r>
      <w:r w:rsidR="00496D2F" w:rsidRPr="000C1446">
        <w:rPr>
          <w:rFonts w:asciiTheme="majorHAnsi" w:hAnsiTheme="majorHAnsi"/>
          <w:sz w:val="20"/>
          <w:szCs w:val="20"/>
          <w:lang w:val="es-ES"/>
        </w:rPr>
        <w:t>indica que</w:t>
      </w:r>
      <w:r w:rsidR="001E6AF4" w:rsidRPr="000C1446">
        <w:rPr>
          <w:rFonts w:asciiTheme="majorHAnsi" w:hAnsiTheme="majorHAnsi"/>
          <w:sz w:val="20"/>
          <w:szCs w:val="20"/>
          <w:lang w:val="es-ES"/>
        </w:rPr>
        <w:t xml:space="preserve"> contra dicha decisión</w:t>
      </w:r>
      <w:r w:rsidR="00496D2F" w:rsidRPr="000C1446">
        <w:rPr>
          <w:rFonts w:asciiTheme="majorHAnsi" w:hAnsiTheme="majorHAnsi"/>
          <w:sz w:val="20"/>
          <w:szCs w:val="20"/>
          <w:lang w:val="es-ES"/>
        </w:rPr>
        <w:t xml:space="preserve"> </w:t>
      </w:r>
      <w:r w:rsidRPr="000C1446">
        <w:rPr>
          <w:rFonts w:asciiTheme="majorHAnsi" w:hAnsiTheme="majorHAnsi"/>
          <w:sz w:val="20"/>
          <w:szCs w:val="20"/>
          <w:lang w:val="es-ES"/>
        </w:rPr>
        <w:t xml:space="preserve">presentó un recurso de casación ante la Sala de lo Constitucional de la </w:t>
      </w:r>
      <w:r w:rsidR="006B5AB5" w:rsidRPr="000C1446">
        <w:rPr>
          <w:rFonts w:asciiTheme="majorHAnsi" w:hAnsiTheme="majorHAnsi"/>
          <w:sz w:val="20"/>
          <w:szCs w:val="20"/>
          <w:lang w:val="es-ES"/>
        </w:rPr>
        <w:t>C</w:t>
      </w:r>
      <w:r w:rsidRPr="000C1446">
        <w:rPr>
          <w:rFonts w:asciiTheme="majorHAnsi" w:hAnsiTheme="majorHAnsi"/>
          <w:sz w:val="20"/>
          <w:szCs w:val="20"/>
          <w:lang w:val="es-ES"/>
        </w:rPr>
        <w:t xml:space="preserve">orte Suprema de </w:t>
      </w:r>
      <w:r w:rsidR="006B5AB5" w:rsidRPr="000C1446">
        <w:rPr>
          <w:rFonts w:asciiTheme="majorHAnsi" w:hAnsiTheme="majorHAnsi"/>
          <w:sz w:val="20"/>
          <w:szCs w:val="20"/>
          <w:lang w:val="es-ES"/>
        </w:rPr>
        <w:t>J</w:t>
      </w:r>
      <w:r w:rsidRPr="000C1446">
        <w:rPr>
          <w:rFonts w:asciiTheme="majorHAnsi" w:hAnsiTheme="majorHAnsi"/>
          <w:sz w:val="20"/>
          <w:szCs w:val="20"/>
          <w:lang w:val="es-ES"/>
        </w:rPr>
        <w:t xml:space="preserve">usticia. </w:t>
      </w:r>
      <w:r w:rsidR="00CB3369" w:rsidRPr="000C1446">
        <w:rPr>
          <w:rFonts w:asciiTheme="majorHAnsi" w:hAnsiTheme="majorHAnsi"/>
          <w:sz w:val="20"/>
          <w:szCs w:val="20"/>
          <w:lang w:val="es-ES"/>
        </w:rPr>
        <w:t>Sin embargo, agrega, d</w:t>
      </w:r>
      <w:r w:rsidRPr="000C1446">
        <w:rPr>
          <w:rFonts w:asciiTheme="majorHAnsi" w:hAnsiTheme="majorHAnsi"/>
          <w:sz w:val="20"/>
          <w:szCs w:val="20"/>
          <w:lang w:val="es-ES"/>
        </w:rPr>
        <w:t xml:space="preserve">icha Sala desapareció en 1997 a causa de una reforma </w:t>
      </w:r>
      <w:r w:rsidR="00800A60" w:rsidRPr="000C1446">
        <w:rPr>
          <w:rFonts w:asciiTheme="majorHAnsi" w:hAnsiTheme="majorHAnsi"/>
          <w:sz w:val="20"/>
          <w:szCs w:val="20"/>
          <w:lang w:val="es-ES"/>
        </w:rPr>
        <w:t>constitucional</w:t>
      </w:r>
      <w:r w:rsidRPr="000C1446">
        <w:rPr>
          <w:rFonts w:asciiTheme="majorHAnsi" w:hAnsiTheme="majorHAnsi"/>
          <w:sz w:val="20"/>
          <w:szCs w:val="20"/>
          <w:lang w:val="es-ES"/>
        </w:rPr>
        <w:t xml:space="preserve">, sin que se llegara a dictar sentencia, haciéndose cargo del asunto la Sala de lo Contencioso Administrativo de la Corte </w:t>
      </w:r>
      <w:r w:rsidR="00800A60" w:rsidRPr="000C1446">
        <w:rPr>
          <w:rFonts w:asciiTheme="majorHAnsi" w:hAnsiTheme="majorHAnsi"/>
          <w:sz w:val="20"/>
          <w:szCs w:val="20"/>
          <w:lang w:val="es-ES"/>
        </w:rPr>
        <w:t>Suprema</w:t>
      </w:r>
      <w:r w:rsidR="006B5AB5" w:rsidRPr="000C1446">
        <w:rPr>
          <w:rFonts w:asciiTheme="majorHAnsi" w:hAnsiTheme="majorHAnsi"/>
          <w:sz w:val="20"/>
          <w:szCs w:val="20"/>
          <w:lang w:val="es-ES"/>
        </w:rPr>
        <w:t xml:space="preserve"> de J</w:t>
      </w:r>
      <w:r w:rsidRPr="000C1446">
        <w:rPr>
          <w:rFonts w:asciiTheme="majorHAnsi" w:hAnsiTheme="majorHAnsi"/>
          <w:sz w:val="20"/>
          <w:szCs w:val="20"/>
          <w:lang w:val="es-ES"/>
        </w:rPr>
        <w:t xml:space="preserve">usticia, </w:t>
      </w:r>
      <w:r w:rsidR="001E6AF4" w:rsidRPr="000C1446">
        <w:rPr>
          <w:rFonts w:asciiTheme="majorHAnsi" w:hAnsiTheme="majorHAnsi"/>
          <w:sz w:val="20"/>
          <w:szCs w:val="20"/>
          <w:lang w:val="es-ES"/>
        </w:rPr>
        <w:t xml:space="preserve">la cual </w:t>
      </w:r>
      <w:r w:rsidRPr="000C1446">
        <w:rPr>
          <w:rFonts w:asciiTheme="majorHAnsi" w:hAnsiTheme="majorHAnsi"/>
          <w:sz w:val="20"/>
          <w:szCs w:val="20"/>
          <w:lang w:val="es-ES"/>
        </w:rPr>
        <w:t xml:space="preserve">tampoco resolvió el asunto. </w:t>
      </w:r>
    </w:p>
    <w:p w:rsidR="00496D2F" w:rsidRPr="000C1446" w:rsidRDefault="00496D2F" w:rsidP="00071C55">
      <w:pPr>
        <w:pStyle w:val="ListParagraph"/>
        <w:rPr>
          <w:rFonts w:asciiTheme="majorHAnsi" w:hAnsiTheme="majorHAnsi"/>
          <w:sz w:val="20"/>
          <w:szCs w:val="20"/>
          <w:lang w:val="es-ES"/>
        </w:rPr>
      </w:pPr>
    </w:p>
    <w:p w:rsidR="00496D2F" w:rsidRPr="000C1446" w:rsidRDefault="00496D2F" w:rsidP="00071C55">
      <w:pPr>
        <w:pStyle w:val="Style2"/>
        <w:rPr>
          <w:rFonts w:asciiTheme="majorHAnsi" w:hAnsiTheme="majorHAnsi"/>
        </w:rPr>
      </w:pPr>
      <w:r w:rsidRPr="000C1446">
        <w:rPr>
          <w:rFonts w:asciiTheme="majorHAnsi" w:hAnsiTheme="majorHAnsi"/>
        </w:rPr>
        <w:t>Reitera que, desde la misma época del descubrimiento de las piezas arqueológicas,</w:t>
      </w:r>
      <w:r w:rsidR="001E6AF4" w:rsidRPr="000C1446">
        <w:rPr>
          <w:rFonts w:asciiTheme="majorHAnsi" w:hAnsiTheme="majorHAnsi"/>
        </w:rPr>
        <w:t xml:space="preserve"> ha realizado </w:t>
      </w:r>
      <w:r w:rsidRPr="000C1446">
        <w:rPr>
          <w:rFonts w:asciiTheme="majorHAnsi" w:hAnsiTheme="majorHAnsi"/>
        </w:rPr>
        <w:t xml:space="preserve">continuas y permanentes actuaciones para que se respete su derecho a la propiedad y al debido proceso, </w:t>
      </w:r>
      <w:r w:rsidR="001E6AF4" w:rsidRPr="000C1446">
        <w:rPr>
          <w:rFonts w:asciiTheme="majorHAnsi" w:hAnsiTheme="majorHAnsi"/>
        </w:rPr>
        <w:t>el</w:t>
      </w:r>
      <w:r w:rsidRPr="000C1446">
        <w:rPr>
          <w:rFonts w:asciiTheme="majorHAnsi" w:hAnsiTheme="majorHAnsi"/>
        </w:rPr>
        <w:t xml:space="preserve"> cual ha sido deliberada y sistemáticamente violentado por el Estado </w:t>
      </w:r>
      <w:r w:rsidR="001F0FD6" w:rsidRPr="000C1446">
        <w:rPr>
          <w:rFonts w:asciiTheme="majorHAnsi" w:hAnsiTheme="majorHAnsi"/>
        </w:rPr>
        <w:t>e</w:t>
      </w:r>
      <w:r w:rsidRPr="000C1446">
        <w:rPr>
          <w:rFonts w:asciiTheme="majorHAnsi" w:hAnsiTheme="majorHAnsi"/>
        </w:rPr>
        <w:t>cuatoriano a través de sus instituciones administrativas y judiciales</w:t>
      </w:r>
      <w:r w:rsidR="001E6AF4" w:rsidRPr="000C1446">
        <w:rPr>
          <w:rFonts w:asciiTheme="majorHAnsi" w:hAnsiTheme="majorHAnsi"/>
        </w:rPr>
        <w:t xml:space="preserve">. Destacó que </w:t>
      </w:r>
      <w:r w:rsidRPr="000C1446">
        <w:rPr>
          <w:rFonts w:asciiTheme="majorHAnsi" w:hAnsiTheme="majorHAnsi"/>
        </w:rPr>
        <w:t>durante 32 años y hasta la presenta fecha no existe un fallo que tenga carácter ejecutoriado, inamovible y obligatorio para las partes. Afirma que no se respetan las garantías judiciales cuando las autoridades judiciales y constitucionales no emiten una r</w:t>
      </w:r>
      <w:r w:rsidR="001F0FD6" w:rsidRPr="000C1446">
        <w:rPr>
          <w:rFonts w:asciiTheme="majorHAnsi" w:hAnsiTheme="majorHAnsi"/>
        </w:rPr>
        <w:t xml:space="preserve">esolución en última instancia. </w:t>
      </w:r>
    </w:p>
    <w:p w:rsidR="00C5385C" w:rsidRPr="000C1446" w:rsidRDefault="00C5385C" w:rsidP="00071C55">
      <w:pPr>
        <w:pStyle w:val="ListParagraph"/>
        <w:rPr>
          <w:rFonts w:asciiTheme="majorHAnsi" w:hAnsiTheme="majorHAnsi"/>
          <w:sz w:val="20"/>
          <w:szCs w:val="20"/>
          <w:lang w:val="es-ES"/>
        </w:rPr>
      </w:pPr>
    </w:p>
    <w:p w:rsidR="00C5385C" w:rsidRPr="000C1446" w:rsidRDefault="00C5385C"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 xml:space="preserve">El señor Judge alega haber sido </w:t>
      </w:r>
      <w:r w:rsidR="00DE2A29" w:rsidRPr="000C1446">
        <w:rPr>
          <w:rFonts w:asciiTheme="majorHAnsi" w:hAnsiTheme="majorHAnsi"/>
          <w:sz w:val="20"/>
          <w:szCs w:val="20"/>
          <w:lang w:val="es-ES"/>
        </w:rPr>
        <w:t>víctima</w:t>
      </w:r>
      <w:r w:rsidRPr="000C1446">
        <w:rPr>
          <w:rFonts w:asciiTheme="majorHAnsi" w:hAnsiTheme="majorHAnsi"/>
          <w:sz w:val="20"/>
          <w:szCs w:val="20"/>
          <w:lang w:val="es-ES"/>
        </w:rPr>
        <w:t xml:space="preserve"> de persecución </w:t>
      </w:r>
      <w:r w:rsidR="001F0FD6" w:rsidRPr="000C1446">
        <w:rPr>
          <w:rFonts w:asciiTheme="majorHAnsi" w:hAnsiTheme="majorHAnsi"/>
          <w:sz w:val="20"/>
          <w:szCs w:val="20"/>
          <w:lang w:val="es-ES"/>
        </w:rPr>
        <w:t xml:space="preserve">y </w:t>
      </w:r>
      <w:r w:rsidRPr="000C1446">
        <w:rPr>
          <w:rFonts w:asciiTheme="majorHAnsi" w:hAnsiTheme="majorHAnsi"/>
          <w:sz w:val="20"/>
          <w:szCs w:val="20"/>
          <w:lang w:val="es-ES"/>
        </w:rPr>
        <w:t>deportación ilegal</w:t>
      </w:r>
      <w:r w:rsidR="007D16F0" w:rsidRPr="000C1446">
        <w:rPr>
          <w:rFonts w:asciiTheme="majorHAnsi" w:hAnsiTheme="majorHAnsi"/>
          <w:sz w:val="20"/>
          <w:szCs w:val="20"/>
          <w:lang w:val="es-ES"/>
        </w:rPr>
        <w:t xml:space="preserve"> y que se le ha causado un</w:t>
      </w:r>
      <w:r w:rsidR="001F0FD6" w:rsidRPr="000C1446">
        <w:rPr>
          <w:rFonts w:asciiTheme="majorHAnsi" w:hAnsiTheme="majorHAnsi"/>
          <w:sz w:val="20"/>
          <w:szCs w:val="20"/>
          <w:lang w:val="es-ES"/>
        </w:rPr>
        <w:t xml:space="preserve"> d</w:t>
      </w:r>
      <w:r w:rsidR="00DE2A29" w:rsidRPr="000C1446">
        <w:rPr>
          <w:rFonts w:asciiTheme="majorHAnsi" w:hAnsiTheme="majorHAnsi"/>
          <w:sz w:val="20"/>
          <w:szCs w:val="20"/>
          <w:lang w:val="es-ES"/>
        </w:rPr>
        <w:t>año</w:t>
      </w:r>
      <w:r w:rsidRPr="000C1446">
        <w:rPr>
          <w:rFonts w:asciiTheme="majorHAnsi" w:hAnsiTheme="majorHAnsi"/>
          <w:sz w:val="20"/>
          <w:szCs w:val="20"/>
          <w:lang w:val="es-ES"/>
        </w:rPr>
        <w:t xml:space="preserve"> moral a </w:t>
      </w:r>
      <w:r w:rsidR="00B83A04" w:rsidRPr="000C1446">
        <w:rPr>
          <w:rFonts w:asciiTheme="majorHAnsi" w:hAnsiTheme="majorHAnsi"/>
          <w:sz w:val="20"/>
          <w:szCs w:val="20"/>
          <w:lang w:val="es-ES"/>
        </w:rPr>
        <w:t>él</w:t>
      </w:r>
      <w:r w:rsidRPr="000C1446">
        <w:rPr>
          <w:rFonts w:asciiTheme="majorHAnsi" w:hAnsiTheme="majorHAnsi"/>
          <w:sz w:val="20"/>
          <w:szCs w:val="20"/>
          <w:lang w:val="es-ES"/>
        </w:rPr>
        <w:t xml:space="preserve"> y a su familia durante el proceso</w:t>
      </w:r>
      <w:r w:rsidR="00CB3369" w:rsidRPr="000C1446">
        <w:rPr>
          <w:rFonts w:asciiTheme="majorHAnsi" w:hAnsiTheme="majorHAnsi"/>
          <w:sz w:val="20"/>
          <w:szCs w:val="20"/>
          <w:lang w:val="es-ES"/>
        </w:rPr>
        <w:t xml:space="preserve"> por </w:t>
      </w:r>
      <w:r w:rsidRPr="000C1446">
        <w:rPr>
          <w:rFonts w:asciiTheme="majorHAnsi" w:hAnsiTheme="majorHAnsi"/>
          <w:sz w:val="20"/>
          <w:szCs w:val="20"/>
          <w:lang w:val="es-ES"/>
        </w:rPr>
        <w:t xml:space="preserve"> falsas acusaciones, allanamiento</w:t>
      </w:r>
      <w:r w:rsidR="00CB3369" w:rsidRPr="000C1446">
        <w:rPr>
          <w:rFonts w:asciiTheme="majorHAnsi" w:hAnsiTheme="majorHAnsi"/>
          <w:sz w:val="20"/>
          <w:szCs w:val="20"/>
          <w:lang w:val="es-ES"/>
        </w:rPr>
        <w:t>s en su casa y</w:t>
      </w:r>
      <w:r w:rsidRPr="000C1446">
        <w:rPr>
          <w:rFonts w:asciiTheme="majorHAnsi" w:hAnsiTheme="majorHAnsi"/>
          <w:sz w:val="20"/>
          <w:szCs w:val="20"/>
          <w:lang w:val="es-ES"/>
        </w:rPr>
        <w:t xml:space="preserve"> falsa propaganda en su contra en la prensa. </w:t>
      </w:r>
      <w:r w:rsidR="006B5AB5" w:rsidRPr="000C1446">
        <w:rPr>
          <w:rFonts w:asciiTheme="majorHAnsi" w:hAnsiTheme="majorHAnsi"/>
          <w:sz w:val="20"/>
          <w:szCs w:val="20"/>
          <w:lang w:val="es-ES"/>
        </w:rPr>
        <w:t xml:space="preserve">Todo ello, afirma, </w:t>
      </w:r>
      <w:r w:rsidRPr="000C1446">
        <w:rPr>
          <w:rFonts w:asciiTheme="majorHAnsi" w:hAnsiTheme="majorHAnsi"/>
          <w:sz w:val="20"/>
          <w:szCs w:val="20"/>
          <w:lang w:val="es-ES"/>
        </w:rPr>
        <w:t>lo oblig</w:t>
      </w:r>
      <w:r w:rsidR="006B5AB5" w:rsidRPr="000C1446">
        <w:rPr>
          <w:rFonts w:asciiTheme="majorHAnsi" w:hAnsiTheme="majorHAnsi"/>
          <w:sz w:val="20"/>
          <w:szCs w:val="20"/>
          <w:lang w:val="es-ES"/>
        </w:rPr>
        <w:t>ó</w:t>
      </w:r>
      <w:r w:rsidRPr="000C1446">
        <w:rPr>
          <w:rFonts w:asciiTheme="majorHAnsi" w:hAnsiTheme="majorHAnsi"/>
          <w:sz w:val="20"/>
          <w:szCs w:val="20"/>
          <w:lang w:val="es-ES"/>
        </w:rPr>
        <w:t xml:space="preserve"> a dejar su trabajo y conformarse para sobrevivir con un trabajo en una galería. </w:t>
      </w:r>
    </w:p>
    <w:p w:rsidR="001F0FD6" w:rsidRPr="000C1446" w:rsidRDefault="001F0FD6" w:rsidP="00071C55">
      <w:pPr>
        <w:pStyle w:val="ListParagraph"/>
        <w:rPr>
          <w:rFonts w:asciiTheme="majorHAnsi" w:hAnsiTheme="majorHAnsi"/>
          <w:sz w:val="20"/>
          <w:szCs w:val="20"/>
          <w:lang w:val="es-ES"/>
        </w:rPr>
      </w:pPr>
    </w:p>
    <w:p w:rsidR="001F0FD6" w:rsidRPr="000C1446" w:rsidRDefault="001F0FD6" w:rsidP="00071C55">
      <w:pPr>
        <w:pStyle w:val="Style2"/>
        <w:rPr>
          <w:rFonts w:asciiTheme="majorHAnsi" w:hAnsiTheme="majorHAnsi"/>
        </w:rPr>
      </w:pPr>
      <w:r w:rsidRPr="000C1446">
        <w:rPr>
          <w:rFonts w:asciiTheme="majorHAnsi" w:hAnsiTheme="majorHAnsi"/>
        </w:rPr>
        <w:t>El peticionario afirma haber sido víctima de tres intentos de deportación sin fundamentación legal</w:t>
      </w:r>
      <w:r w:rsidR="004D1D43" w:rsidRPr="000C1446">
        <w:rPr>
          <w:rFonts w:asciiTheme="majorHAnsi" w:hAnsiTheme="majorHAnsi"/>
        </w:rPr>
        <w:t>, de los cuales uno se materializó</w:t>
      </w:r>
      <w:r w:rsidR="00CB3369" w:rsidRPr="000C1446">
        <w:rPr>
          <w:rFonts w:asciiTheme="majorHAnsi" w:hAnsiTheme="majorHAnsi"/>
        </w:rPr>
        <w:t>; q</w:t>
      </w:r>
      <w:r w:rsidRPr="000C1446">
        <w:rPr>
          <w:rFonts w:asciiTheme="majorHAnsi" w:hAnsiTheme="majorHAnsi"/>
        </w:rPr>
        <w:t>ue su domicilio fue violado por más de 60 policías de inmigración fuertemente armados, sin orden leg</w:t>
      </w:r>
      <w:r w:rsidR="007D16F0" w:rsidRPr="000C1446">
        <w:rPr>
          <w:rFonts w:asciiTheme="majorHAnsi" w:hAnsiTheme="majorHAnsi"/>
        </w:rPr>
        <w:t>í</w:t>
      </w:r>
      <w:r w:rsidRPr="000C1446">
        <w:rPr>
          <w:rFonts w:asciiTheme="majorHAnsi" w:hAnsiTheme="majorHAnsi"/>
        </w:rPr>
        <w:t>tima de autoridad competente</w:t>
      </w:r>
      <w:r w:rsidR="00CB3369" w:rsidRPr="000C1446">
        <w:rPr>
          <w:rFonts w:asciiTheme="majorHAnsi" w:hAnsiTheme="majorHAnsi"/>
        </w:rPr>
        <w:t xml:space="preserve"> y </w:t>
      </w:r>
      <w:r w:rsidRPr="000C1446">
        <w:rPr>
          <w:rFonts w:asciiTheme="majorHAnsi" w:hAnsiTheme="majorHAnsi"/>
        </w:rPr>
        <w:t xml:space="preserve">que solamente respondían a una llamada telefónica del señor Rodrigo Borja, en ese entonces Secretario de la Casa de la Cultura Ecuatoriana. </w:t>
      </w:r>
      <w:r w:rsidR="00CB3369" w:rsidRPr="000C1446">
        <w:rPr>
          <w:rFonts w:asciiTheme="majorHAnsi" w:hAnsiTheme="majorHAnsi"/>
        </w:rPr>
        <w:t>Agrega que e</w:t>
      </w:r>
      <w:r w:rsidRPr="000C1446">
        <w:rPr>
          <w:rFonts w:asciiTheme="majorHAnsi" w:hAnsiTheme="majorHAnsi"/>
        </w:rPr>
        <w:t xml:space="preserve">n tres oportunidades registraron su hogar y confiscaron piezas de arte colonial, las mismas que </w:t>
      </w:r>
      <w:r w:rsidR="00CB3369" w:rsidRPr="000C1446">
        <w:rPr>
          <w:rFonts w:asciiTheme="majorHAnsi" w:hAnsiTheme="majorHAnsi"/>
        </w:rPr>
        <w:t xml:space="preserve">le </w:t>
      </w:r>
      <w:r w:rsidRPr="000C1446">
        <w:rPr>
          <w:rFonts w:asciiTheme="majorHAnsi" w:hAnsiTheme="majorHAnsi"/>
        </w:rPr>
        <w:t xml:space="preserve">fueron devueltas a través de procesos legales. Alega que </w:t>
      </w:r>
      <w:r w:rsidR="00CB3369" w:rsidRPr="000C1446">
        <w:rPr>
          <w:rFonts w:asciiTheme="majorHAnsi" w:hAnsiTheme="majorHAnsi"/>
        </w:rPr>
        <w:t xml:space="preserve">todo ello le </w:t>
      </w:r>
      <w:r w:rsidRPr="000C1446">
        <w:rPr>
          <w:rFonts w:asciiTheme="majorHAnsi" w:hAnsiTheme="majorHAnsi"/>
        </w:rPr>
        <w:t>ocasion</w:t>
      </w:r>
      <w:r w:rsidR="00CB3369" w:rsidRPr="000C1446">
        <w:rPr>
          <w:rFonts w:asciiTheme="majorHAnsi" w:hAnsiTheme="majorHAnsi"/>
        </w:rPr>
        <w:t>ó</w:t>
      </w:r>
      <w:r w:rsidRPr="000C1446">
        <w:rPr>
          <w:rFonts w:asciiTheme="majorHAnsi" w:hAnsiTheme="majorHAnsi"/>
        </w:rPr>
        <w:t xml:space="preserve"> muchos gastos por concepto de honorarios legales. </w:t>
      </w:r>
      <w:r w:rsidR="00CB3369" w:rsidRPr="000C1446">
        <w:rPr>
          <w:rFonts w:asciiTheme="majorHAnsi" w:hAnsiTheme="majorHAnsi"/>
        </w:rPr>
        <w:t>Asimismo, agrega que</w:t>
      </w:r>
      <w:r w:rsidRPr="000C1446">
        <w:rPr>
          <w:rFonts w:asciiTheme="majorHAnsi" w:hAnsiTheme="majorHAnsi"/>
        </w:rPr>
        <w:t xml:space="preserve"> después de nueve meses</w:t>
      </w:r>
      <w:r w:rsidR="00CB3369" w:rsidRPr="000C1446">
        <w:rPr>
          <w:rFonts w:asciiTheme="majorHAnsi" w:hAnsiTheme="majorHAnsi"/>
        </w:rPr>
        <w:t xml:space="preserve"> (no proporciona fechas)</w:t>
      </w:r>
      <w:r w:rsidRPr="000C1446">
        <w:rPr>
          <w:rFonts w:asciiTheme="majorHAnsi" w:hAnsiTheme="majorHAnsi"/>
        </w:rPr>
        <w:t xml:space="preserve"> regresó del exilio para enfrentar cargos criminales </w:t>
      </w:r>
      <w:r w:rsidR="00CB3369" w:rsidRPr="000C1446">
        <w:rPr>
          <w:rFonts w:asciiTheme="majorHAnsi" w:hAnsiTheme="majorHAnsi"/>
        </w:rPr>
        <w:t xml:space="preserve">fundamentados en falsos cargos </w:t>
      </w:r>
      <w:r w:rsidRPr="000C1446">
        <w:rPr>
          <w:rFonts w:asciiTheme="majorHAnsi" w:hAnsiTheme="majorHAnsi"/>
        </w:rPr>
        <w:t>y</w:t>
      </w:r>
      <w:r w:rsidR="00CB3369" w:rsidRPr="000C1446">
        <w:rPr>
          <w:rFonts w:asciiTheme="majorHAnsi" w:hAnsiTheme="majorHAnsi"/>
        </w:rPr>
        <w:t xml:space="preserve">, </w:t>
      </w:r>
      <w:r w:rsidRPr="000C1446">
        <w:rPr>
          <w:rFonts w:asciiTheme="majorHAnsi" w:hAnsiTheme="majorHAnsi"/>
        </w:rPr>
        <w:t>luego de un largo juicio</w:t>
      </w:r>
      <w:r w:rsidR="00CB3369" w:rsidRPr="000C1446">
        <w:rPr>
          <w:rFonts w:asciiTheme="majorHAnsi" w:hAnsiTheme="majorHAnsi"/>
        </w:rPr>
        <w:t>,</w:t>
      </w:r>
      <w:r w:rsidRPr="000C1446">
        <w:rPr>
          <w:rFonts w:asciiTheme="majorHAnsi" w:hAnsiTheme="majorHAnsi"/>
        </w:rPr>
        <w:t xml:space="preserve"> el caso fue desestimado. </w:t>
      </w:r>
    </w:p>
    <w:p w:rsidR="006B5AB5" w:rsidRPr="000C1446" w:rsidRDefault="006B5AB5" w:rsidP="00071C55">
      <w:pPr>
        <w:pStyle w:val="ListParagraph"/>
        <w:rPr>
          <w:rFonts w:asciiTheme="majorHAnsi" w:hAnsiTheme="majorHAnsi"/>
          <w:sz w:val="20"/>
          <w:szCs w:val="20"/>
          <w:lang w:val="es-ES"/>
        </w:rPr>
      </w:pPr>
    </w:p>
    <w:p w:rsidR="00E602B3" w:rsidRPr="000C1446" w:rsidRDefault="00E602B3"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 xml:space="preserve">El </w:t>
      </w:r>
      <w:r w:rsidR="00CB3369" w:rsidRPr="000C1446">
        <w:rPr>
          <w:rFonts w:asciiTheme="majorHAnsi" w:hAnsiTheme="majorHAnsi"/>
          <w:sz w:val="20"/>
          <w:szCs w:val="20"/>
          <w:lang w:val="es-ES"/>
        </w:rPr>
        <w:t xml:space="preserve">señor Judge </w:t>
      </w:r>
      <w:r w:rsidRPr="000C1446">
        <w:rPr>
          <w:rFonts w:asciiTheme="majorHAnsi" w:hAnsiTheme="majorHAnsi"/>
          <w:sz w:val="20"/>
          <w:szCs w:val="20"/>
          <w:lang w:val="es-ES"/>
        </w:rPr>
        <w:t xml:space="preserve">alega que el </w:t>
      </w:r>
      <w:r w:rsidR="00DE2A29" w:rsidRPr="000C1446">
        <w:rPr>
          <w:rFonts w:asciiTheme="majorHAnsi" w:hAnsiTheme="majorHAnsi"/>
          <w:sz w:val="20"/>
          <w:szCs w:val="20"/>
          <w:lang w:val="es-ES"/>
        </w:rPr>
        <w:t>director</w:t>
      </w:r>
      <w:r w:rsidRPr="000C1446">
        <w:rPr>
          <w:rFonts w:asciiTheme="majorHAnsi" w:hAnsiTheme="majorHAnsi"/>
          <w:sz w:val="20"/>
          <w:szCs w:val="20"/>
          <w:lang w:val="es-ES"/>
        </w:rPr>
        <w:t xml:space="preserve"> del Museo del Banco Central del Ecuador exhibi</w:t>
      </w:r>
      <w:r w:rsidR="00496D2F" w:rsidRPr="000C1446">
        <w:rPr>
          <w:rFonts w:asciiTheme="majorHAnsi" w:hAnsiTheme="majorHAnsi"/>
          <w:sz w:val="20"/>
          <w:szCs w:val="20"/>
          <w:lang w:val="es-ES"/>
        </w:rPr>
        <w:t>ó</w:t>
      </w:r>
      <w:r w:rsidRPr="000C1446">
        <w:rPr>
          <w:rFonts w:asciiTheme="majorHAnsi" w:hAnsiTheme="majorHAnsi"/>
          <w:sz w:val="20"/>
          <w:szCs w:val="20"/>
          <w:lang w:val="es-ES"/>
        </w:rPr>
        <w:t xml:space="preserve"> la </w:t>
      </w:r>
      <w:r w:rsidR="00DE2A29" w:rsidRPr="000C1446">
        <w:rPr>
          <w:rFonts w:asciiTheme="majorHAnsi" w:hAnsiTheme="majorHAnsi"/>
          <w:sz w:val="20"/>
          <w:szCs w:val="20"/>
          <w:lang w:val="es-ES"/>
        </w:rPr>
        <w:t>máscara</w:t>
      </w:r>
      <w:r w:rsidR="00496D2F" w:rsidRPr="000C1446">
        <w:rPr>
          <w:rFonts w:asciiTheme="majorHAnsi" w:hAnsiTheme="majorHAnsi"/>
          <w:sz w:val="20"/>
          <w:szCs w:val="20"/>
          <w:lang w:val="es-ES"/>
        </w:rPr>
        <w:t>, que tenía</w:t>
      </w:r>
      <w:r w:rsidRPr="000C1446">
        <w:rPr>
          <w:rFonts w:asciiTheme="majorHAnsi" w:hAnsiTheme="majorHAnsi"/>
          <w:sz w:val="20"/>
          <w:szCs w:val="20"/>
          <w:lang w:val="es-ES"/>
        </w:rPr>
        <w:t xml:space="preserve"> en </w:t>
      </w:r>
      <w:r w:rsidR="00DE2A29" w:rsidRPr="000C1446">
        <w:rPr>
          <w:rFonts w:asciiTheme="majorHAnsi" w:hAnsiTheme="majorHAnsi"/>
          <w:sz w:val="20"/>
          <w:szCs w:val="20"/>
          <w:lang w:val="es-ES"/>
        </w:rPr>
        <w:t>depósito</w:t>
      </w:r>
      <w:r w:rsidR="00496D2F" w:rsidRPr="000C1446">
        <w:rPr>
          <w:rFonts w:asciiTheme="majorHAnsi" w:hAnsiTheme="majorHAnsi"/>
          <w:sz w:val="20"/>
          <w:szCs w:val="20"/>
          <w:lang w:val="es-ES"/>
        </w:rPr>
        <w:t>,</w:t>
      </w:r>
      <w:r w:rsidRPr="000C1446">
        <w:rPr>
          <w:rFonts w:asciiTheme="majorHAnsi" w:hAnsiTheme="majorHAnsi"/>
          <w:sz w:val="20"/>
          <w:szCs w:val="20"/>
          <w:lang w:val="es-ES"/>
        </w:rPr>
        <w:t xml:space="preserve"> sin permiso del </w:t>
      </w:r>
      <w:r w:rsidR="00CB3369" w:rsidRPr="000C1446">
        <w:rPr>
          <w:rFonts w:asciiTheme="majorHAnsi" w:hAnsiTheme="majorHAnsi"/>
          <w:sz w:val="20"/>
          <w:szCs w:val="20"/>
          <w:lang w:val="es-ES"/>
        </w:rPr>
        <w:t>peticionario</w:t>
      </w:r>
      <w:r w:rsidRPr="000C1446">
        <w:rPr>
          <w:rFonts w:asciiTheme="majorHAnsi" w:hAnsiTheme="majorHAnsi"/>
          <w:sz w:val="20"/>
          <w:szCs w:val="20"/>
          <w:lang w:val="es-ES"/>
        </w:rPr>
        <w:t xml:space="preserve">, instruyendo a los </w:t>
      </w:r>
      <w:r w:rsidR="00DE2A29" w:rsidRPr="000C1446">
        <w:rPr>
          <w:rFonts w:asciiTheme="majorHAnsi" w:hAnsiTheme="majorHAnsi"/>
          <w:sz w:val="20"/>
          <w:szCs w:val="20"/>
          <w:lang w:val="es-ES"/>
        </w:rPr>
        <w:t>guías</w:t>
      </w:r>
      <w:r w:rsidRPr="000C1446">
        <w:rPr>
          <w:rFonts w:asciiTheme="majorHAnsi" w:hAnsiTheme="majorHAnsi"/>
          <w:sz w:val="20"/>
          <w:szCs w:val="20"/>
          <w:lang w:val="es-ES"/>
        </w:rPr>
        <w:t xml:space="preserve"> de turismo con</w:t>
      </w:r>
      <w:r w:rsidR="00DE2A29" w:rsidRPr="000C1446">
        <w:rPr>
          <w:rFonts w:asciiTheme="majorHAnsi" w:hAnsiTheme="majorHAnsi"/>
          <w:sz w:val="20"/>
          <w:szCs w:val="20"/>
          <w:lang w:val="es-ES"/>
        </w:rPr>
        <w:t xml:space="preserve"> una falsa información acerca d</w:t>
      </w:r>
      <w:r w:rsidRPr="000C1446">
        <w:rPr>
          <w:rFonts w:asciiTheme="majorHAnsi" w:hAnsiTheme="majorHAnsi"/>
          <w:sz w:val="20"/>
          <w:szCs w:val="20"/>
          <w:lang w:val="es-ES"/>
        </w:rPr>
        <w:t>e</w:t>
      </w:r>
      <w:r w:rsidR="00DE2A29" w:rsidRPr="000C1446">
        <w:rPr>
          <w:rFonts w:asciiTheme="majorHAnsi" w:hAnsiTheme="majorHAnsi"/>
          <w:sz w:val="20"/>
          <w:szCs w:val="20"/>
          <w:lang w:val="es-ES"/>
        </w:rPr>
        <w:t xml:space="preserve"> </w:t>
      </w:r>
      <w:r w:rsidRPr="000C1446">
        <w:rPr>
          <w:rFonts w:asciiTheme="majorHAnsi" w:hAnsiTheme="majorHAnsi"/>
          <w:sz w:val="20"/>
          <w:szCs w:val="20"/>
          <w:lang w:val="es-ES"/>
        </w:rPr>
        <w:t xml:space="preserve">su descubrimiento. </w:t>
      </w:r>
      <w:r w:rsidR="005E2028" w:rsidRPr="000C1446">
        <w:rPr>
          <w:rFonts w:asciiTheme="majorHAnsi" w:hAnsiTheme="majorHAnsi"/>
          <w:sz w:val="20"/>
          <w:szCs w:val="20"/>
          <w:lang w:val="es-ES"/>
        </w:rPr>
        <w:t>De igual manera, agrega que “s</w:t>
      </w:r>
      <w:r w:rsidRPr="000C1446">
        <w:rPr>
          <w:rFonts w:asciiTheme="majorHAnsi" w:hAnsiTheme="majorHAnsi"/>
          <w:sz w:val="20"/>
          <w:szCs w:val="20"/>
          <w:lang w:val="es-ES"/>
        </w:rPr>
        <w:t xml:space="preserve">e </w:t>
      </w:r>
      <w:r w:rsidR="00DE2A29" w:rsidRPr="000C1446">
        <w:rPr>
          <w:rFonts w:asciiTheme="majorHAnsi" w:hAnsiTheme="majorHAnsi"/>
          <w:sz w:val="20"/>
          <w:szCs w:val="20"/>
          <w:lang w:val="es-ES"/>
        </w:rPr>
        <w:t>sorprendió</w:t>
      </w:r>
      <w:r w:rsidRPr="000C1446">
        <w:rPr>
          <w:rFonts w:asciiTheme="majorHAnsi" w:hAnsiTheme="majorHAnsi"/>
          <w:sz w:val="20"/>
          <w:szCs w:val="20"/>
          <w:lang w:val="es-ES"/>
        </w:rPr>
        <w:t xml:space="preserve"> al Ministro de </w:t>
      </w:r>
      <w:r w:rsidR="00DE2A29" w:rsidRPr="000C1446">
        <w:rPr>
          <w:rFonts w:asciiTheme="majorHAnsi" w:hAnsiTheme="majorHAnsi"/>
          <w:sz w:val="20"/>
          <w:szCs w:val="20"/>
          <w:lang w:val="es-ES"/>
        </w:rPr>
        <w:t>Educación</w:t>
      </w:r>
      <w:r w:rsidRPr="000C1446">
        <w:rPr>
          <w:rFonts w:asciiTheme="majorHAnsi" w:hAnsiTheme="majorHAnsi"/>
          <w:sz w:val="20"/>
          <w:szCs w:val="20"/>
          <w:lang w:val="es-ES"/>
        </w:rPr>
        <w:t xml:space="preserve"> de ese entonces, General Guillermo Duran </w:t>
      </w:r>
      <w:proofErr w:type="spellStart"/>
      <w:r w:rsidRPr="000C1446">
        <w:rPr>
          <w:rFonts w:asciiTheme="majorHAnsi" w:hAnsiTheme="majorHAnsi"/>
          <w:sz w:val="20"/>
          <w:szCs w:val="20"/>
          <w:lang w:val="es-ES"/>
        </w:rPr>
        <w:t>Acentales</w:t>
      </w:r>
      <w:proofErr w:type="spellEnd"/>
      <w:r w:rsidRPr="000C1446">
        <w:rPr>
          <w:rFonts w:asciiTheme="majorHAnsi" w:hAnsiTheme="majorHAnsi"/>
          <w:sz w:val="20"/>
          <w:szCs w:val="20"/>
          <w:lang w:val="es-ES"/>
        </w:rPr>
        <w:t xml:space="preserve">, durante el </w:t>
      </w:r>
      <w:r w:rsidR="005E2028" w:rsidRPr="000C1446">
        <w:rPr>
          <w:rFonts w:asciiTheme="majorHAnsi" w:hAnsiTheme="majorHAnsi"/>
          <w:sz w:val="20"/>
          <w:szCs w:val="20"/>
          <w:lang w:val="es-ES"/>
        </w:rPr>
        <w:t>g</w:t>
      </w:r>
      <w:r w:rsidRPr="000C1446">
        <w:rPr>
          <w:rFonts w:asciiTheme="majorHAnsi" w:hAnsiTheme="majorHAnsi"/>
          <w:sz w:val="20"/>
          <w:szCs w:val="20"/>
          <w:lang w:val="es-ES"/>
        </w:rPr>
        <w:t xml:space="preserve">obierno militar de facto, al archivar una petición para un decreto del General Guillermo </w:t>
      </w:r>
      <w:r w:rsidR="00DE2A29" w:rsidRPr="000C1446">
        <w:rPr>
          <w:rFonts w:asciiTheme="majorHAnsi" w:hAnsiTheme="majorHAnsi"/>
          <w:sz w:val="20"/>
          <w:szCs w:val="20"/>
          <w:lang w:val="es-ES"/>
        </w:rPr>
        <w:t>Rodríguez</w:t>
      </w:r>
      <w:r w:rsidRPr="000C1446">
        <w:rPr>
          <w:rFonts w:asciiTheme="majorHAnsi" w:hAnsiTheme="majorHAnsi"/>
          <w:sz w:val="20"/>
          <w:szCs w:val="20"/>
          <w:lang w:val="es-ES"/>
        </w:rPr>
        <w:t xml:space="preserve"> Lara, que decía: confiscar la propiedad del norteamericano James Judge</w:t>
      </w:r>
      <w:r w:rsidR="005E2028" w:rsidRPr="000C1446">
        <w:rPr>
          <w:rFonts w:asciiTheme="majorHAnsi" w:hAnsiTheme="majorHAnsi"/>
          <w:sz w:val="20"/>
          <w:szCs w:val="20"/>
          <w:lang w:val="es-ES"/>
        </w:rPr>
        <w:t>”</w:t>
      </w:r>
      <w:r w:rsidRPr="000C1446">
        <w:rPr>
          <w:rFonts w:asciiTheme="majorHAnsi" w:hAnsiTheme="majorHAnsi"/>
          <w:sz w:val="20"/>
          <w:szCs w:val="20"/>
          <w:lang w:val="es-ES"/>
        </w:rPr>
        <w:t xml:space="preserve">. </w:t>
      </w:r>
    </w:p>
    <w:p w:rsidR="00622E0C" w:rsidRPr="000C1446" w:rsidRDefault="00622E0C" w:rsidP="00071C55">
      <w:pPr>
        <w:pStyle w:val="ListParagraph"/>
        <w:rPr>
          <w:rFonts w:asciiTheme="majorHAnsi" w:hAnsiTheme="majorHAnsi"/>
          <w:sz w:val="20"/>
          <w:szCs w:val="20"/>
          <w:lang w:val="es-ES"/>
        </w:rPr>
      </w:pPr>
    </w:p>
    <w:p w:rsidR="00496D2F" w:rsidRPr="000C1446" w:rsidRDefault="00622E0C"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 xml:space="preserve">Indica que la </w:t>
      </w:r>
      <w:r w:rsidR="006B5AB5" w:rsidRPr="000C1446">
        <w:rPr>
          <w:rFonts w:asciiTheme="majorHAnsi" w:hAnsiTheme="majorHAnsi"/>
          <w:sz w:val="20"/>
          <w:szCs w:val="20"/>
          <w:lang w:val="es-ES"/>
        </w:rPr>
        <w:t>máscara</w:t>
      </w:r>
      <w:r w:rsidRPr="000C1446">
        <w:rPr>
          <w:rFonts w:asciiTheme="majorHAnsi" w:hAnsiTheme="majorHAnsi"/>
          <w:sz w:val="20"/>
          <w:szCs w:val="20"/>
          <w:lang w:val="es-ES"/>
        </w:rPr>
        <w:t xml:space="preserve"> de oro ha sido publicitada en repetidas ocasiones en libros, </w:t>
      </w:r>
      <w:r w:rsidR="006B5AB5" w:rsidRPr="000C1446">
        <w:rPr>
          <w:rFonts w:asciiTheme="majorHAnsi" w:hAnsiTheme="majorHAnsi"/>
          <w:sz w:val="20"/>
          <w:szCs w:val="20"/>
          <w:lang w:val="es-ES"/>
        </w:rPr>
        <w:t>catálogos</w:t>
      </w:r>
      <w:r w:rsidRPr="000C1446">
        <w:rPr>
          <w:rFonts w:asciiTheme="majorHAnsi" w:hAnsiTheme="majorHAnsi"/>
          <w:sz w:val="20"/>
          <w:szCs w:val="20"/>
          <w:lang w:val="es-ES"/>
        </w:rPr>
        <w:t xml:space="preserve">, revistas y periódicos, con autorización del Banco Central. </w:t>
      </w:r>
      <w:r w:rsidR="00490881" w:rsidRPr="000C1446">
        <w:rPr>
          <w:rFonts w:asciiTheme="majorHAnsi" w:hAnsiTheme="majorHAnsi"/>
          <w:sz w:val="20"/>
          <w:szCs w:val="20"/>
          <w:lang w:val="es-ES"/>
        </w:rPr>
        <w:t xml:space="preserve">Agrega que del 15 de septiembre al 27 de diciembre de 1992, a solicitud del gobierno de </w:t>
      </w:r>
      <w:r w:rsidR="006B5AB5" w:rsidRPr="000C1446">
        <w:rPr>
          <w:rFonts w:asciiTheme="majorHAnsi" w:hAnsiTheme="majorHAnsi"/>
          <w:sz w:val="20"/>
          <w:szCs w:val="20"/>
          <w:lang w:val="es-ES"/>
        </w:rPr>
        <w:t>Bélgica</w:t>
      </w:r>
      <w:r w:rsidR="00490881" w:rsidRPr="000C1446">
        <w:rPr>
          <w:rFonts w:asciiTheme="majorHAnsi" w:hAnsiTheme="majorHAnsi"/>
          <w:sz w:val="20"/>
          <w:szCs w:val="20"/>
          <w:lang w:val="es-ES"/>
        </w:rPr>
        <w:t xml:space="preserve">, la </w:t>
      </w:r>
      <w:r w:rsidR="006B5AB5" w:rsidRPr="000C1446">
        <w:rPr>
          <w:rFonts w:asciiTheme="majorHAnsi" w:hAnsiTheme="majorHAnsi"/>
          <w:sz w:val="20"/>
          <w:szCs w:val="20"/>
          <w:lang w:val="es-ES"/>
        </w:rPr>
        <w:t>máscara</w:t>
      </w:r>
      <w:r w:rsidR="00490881" w:rsidRPr="000C1446">
        <w:rPr>
          <w:rFonts w:asciiTheme="majorHAnsi" w:hAnsiTheme="majorHAnsi"/>
          <w:sz w:val="20"/>
          <w:szCs w:val="20"/>
          <w:lang w:val="es-ES"/>
        </w:rPr>
        <w:t xml:space="preserve"> fue exhibida en </w:t>
      </w:r>
      <w:r w:rsidR="002225EF" w:rsidRPr="000C1446">
        <w:rPr>
          <w:rFonts w:asciiTheme="majorHAnsi" w:hAnsiTheme="majorHAnsi"/>
          <w:sz w:val="20"/>
          <w:szCs w:val="20"/>
          <w:lang w:val="es-ES"/>
        </w:rPr>
        <w:t>dicho país</w:t>
      </w:r>
      <w:r w:rsidR="00490881" w:rsidRPr="000C1446">
        <w:rPr>
          <w:rFonts w:asciiTheme="majorHAnsi" w:hAnsiTheme="majorHAnsi"/>
          <w:sz w:val="20"/>
          <w:szCs w:val="20"/>
          <w:lang w:val="es-ES"/>
        </w:rPr>
        <w:t xml:space="preserve"> como complemento de la presentación del libro</w:t>
      </w:r>
      <w:r w:rsidR="00496D2F" w:rsidRPr="000C1446">
        <w:rPr>
          <w:rFonts w:asciiTheme="majorHAnsi" w:hAnsiTheme="majorHAnsi"/>
          <w:sz w:val="20"/>
          <w:szCs w:val="20"/>
          <w:lang w:val="es-ES"/>
        </w:rPr>
        <w:t xml:space="preserve"> “</w:t>
      </w:r>
      <w:proofErr w:type="spellStart"/>
      <w:r w:rsidR="00496D2F" w:rsidRPr="00F86DCE">
        <w:rPr>
          <w:rFonts w:asciiTheme="majorHAnsi" w:hAnsiTheme="majorHAnsi"/>
          <w:i/>
          <w:sz w:val="20"/>
          <w:szCs w:val="20"/>
          <w:lang w:val="es-ES"/>
        </w:rPr>
        <w:t>Schatten</w:t>
      </w:r>
      <w:proofErr w:type="spellEnd"/>
      <w:r w:rsidR="00496D2F" w:rsidRPr="00F86DCE">
        <w:rPr>
          <w:rFonts w:asciiTheme="majorHAnsi" w:hAnsiTheme="majorHAnsi"/>
          <w:i/>
          <w:sz w:val="20"/>
          <w:szCs w:val="20"/>
          <w:lang w:val="es-ES"/>
        </w:rPr>
        <w:t xml:space="preserve"> </w:t>
      </w:r>
      <w:proofErr w:type="spellStart"/>
      <w:r w:rsidR="00496D2F" w:rsidRPr="00F86DCE">
        <w:rPr>
          <w:rFonts w:asciiTheme="majorHAnsi" w:hAnsiTheme="majorHAnsi"/>
          <w:i/>
          <w:sz w:val="20"/>
          <w:szCs w:val="20"/>
          <w:lang w:val="es-ES"/>
        </w:rPr>
        <w:t>uir</w:t>
      </w:r>
      <w:proofErr w:type="spellEnd"/>
      <w:r w:rsidR="00496D2F" w:rsidRPr="00F86DCE">
        <w:rPr>
          <w:rFonts w:asciiTheme="majorHAnsi" w:hAnsiTheme="majorHAnsi"/>
          <w:i/>
          <w:sz w:val="20"/>
          <w:szCs w:val="20"/>
          <w:lang w:val="es-ES"/>
        </w:rPr>
        <w:t xml:space="preserve"> De </w:t>
      </w:r>
      <w:proofErr w:type="spellStart"/>
      <w:r w:rsidR="00496D2F" w:rsidRPr="00F86DCE">
        <w:rPr>
          <w:rFonts w:asciiTheme="majorHAnsi" w:hAnsiTheme="majorHAnsi"/>
          <w:i/>
          <w:sz w:val="20"/>
          <w:szCs w:val="20"/>
          <w:lang w:val="es-ES"/>
        </w:rPr>
        <w:t>Wereld</w:t>
      </w:r>
      <w:proofErr w:type="spellEnd"/>
      <w:r w:rsidR="00496D2F" w:rsidRPr="000C1446">
        <w:rPr>
          <w:rFonts w:asciiTheme="majorHAnsi" w:hAnsiTheme="majorHAnsi"/>
          <w:sz w:val="20"/>
          <w:szCs w:val="20"/>
          <w:lang w:val="es-ES"/>
        </w:rPr>
        <w:t>”</w:t>
      </w:r>
      <w:r w:rsidR="00962520" w:rsidRPr="000C1446">
        <w:rPr>
          <w:rFonts w:asciiTheme="majorHAnsi" w:hAnsiTheme="majorHAnsi"/>
          <w:sz w:val="20"/>
          <w:szCs w:val="20"/>
          <w:lang w:val="es-ES"/>
        </w:rPr>
        <w:t>.</w:t>
      </w:r>
    </w:p>
    <w:p w:rsidR="00496D2F" w:rsidRPr="000C1446" w:rsidRDefault="00496D2F" w:rsidP="00071C55">
      <w:pPr>
        <w:pStyle w:val="ListParagraph"/>
        <w:rPr>
          <w:rFonts w:asciiTheme="majorHAnsi" w:hAnsiTheme="majorHAnsi"/>
          <w:sz w:val="20"/>
          <w:szCs w:val="20"/>
          <w:lang w:val="es-ES"/>
        </w:rPr>
      </w:pPr>
    </w:p>
    <w:p w:rsidR="00496D2F" w:rsidRPr="000C1446" w:rsidRDefault="001F0FD6"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0C1446">
        <w:rPr>
          <w:rFonts w:asciiTheme="majorHAnsi" w:hAnsiTheme="majorHAnsi"/>
          <w:sz w:val="20"/>
          <w:szCs w:val="20"/>
          <w:lang w:val="es-ES"/>
        </w:rPr>
        <w:t>Así, e</w:t>
      </w:r>
      <w:r w:rsidR="00496D2F" w:rsidRPr="000C1446">
        <w:rPr>
          <w:rFonts w:asciiTheme="majorHAnsi" w:hAnsiTheme="majorHAnsi"/>
          <w:sz w:val="20"/>
          <w:szCs w:val="20"/>
          <w:lang w:val="es-ES"/>
        </w:rPr>
        <w:t xml:space="preserve">l peticionario alega que se violaron sus derechos a la propiedad privada, a la </w:t>
      </w:r>
      <w:r w:rsidR="0088389D" w:rsidRPr="000C1446">
        <w:rPr>
          <w:rFonts w:asciiTheme="majorHAnsi" w:hAnsiTheme="majorHAnsi"/>
          <w:sz w:val="20"/>
          <w:szCs w:val="20"/>
          <w:lang w:val="es-ES"/>
        </w:rPr>
        <w:t>“</w:t>
      </w:r>
      <w:r w:rsidR="00496D2F" w:rsidRPr="000C1446">
        <w:rPr>
          <w:rFonts w:asciiTheme="majorHAnsi" w:hAnsiTheme="majorHAnsi"/>
          <w:sz w:val="20"/>
          <w:szCs w:val="20"/>
          <w:lang w:val="es-ES"/>
        </w:rPr>
        <w:t>integridad moral</w:t>
      </w:r>
      <w:r w:rsidR="0088389D" w:rsidRPr="000C1446">
        <w:rPr>
          <w:rFonts w:asciiTheme="majorHAnsi" w:hAnsiTheme="majorHAnsi"/>
          <w:sz w:val="20"/>
          <w:szCs w:val="20"/>
          <w:lang w:val="es-ES"/>
        </w:rPr>
        <w:t>”</w:t>
      </w:r>
      <w:r w:rsidR="00496D2F" w:rsidRPr="000C1446">
        <w:rPr>
          <w:rFonts w:asciiTheme="majorHAnsi" w:hAnsiTheme="majorHAnsi"/>
          <w:sz w:val="20"/>
          <w:szCs w:val="20"/>
          <w:lang w:val="es-ES"/>
        </w:rPr>
        <w:t xml:space="preserve">, al honor y a la </w:t>
      </w:r>
      <w:r w:rsidR="0088389D" w:rsidRPr="000C1446">
        <w:rPr>
          <w:rFonts w:asciiTheme="majorHAnsi" w:hAnsiTheme="majorHAnsi"/>
          <w:sz w:val="20"/>
          <w:szCs w:val="20"/>
          <w:lang w:val="es-ES"/>
        </w:rPr>
        <w:t>“</w:t>
      </w:r>
      <w:r w:rsidR="00496D2F" w:rsidRPr="000C1446">
        <w:rPr>
          <w:rFonts w:asciiTheme="majorHAnsi" w:hAnsiTheme="majorHAnsi"/>
          <w:sz w:val="20"/>
          <w:szCs w:val="20"/>
          <w:lang w:val="es-ES"/>
        </w:rPr>
        <w:t>buena fama</w:t>
      </w:r>
      <w:r w:rsidR="0088389D" w:rsidRPr="000C1446">
        <w:rPr>
          <w:rFonts w:asciiTheme="majorHAnsi" w:hAnsiTheme="majorHAnsi"/>
          <w:sz w:val="20"/>
          <w:szCs w:val="20"/>
          <w:lang w:val="es-ES"/>
        </w:rPr>
        <w:t>”</w:t>
      </w:r>
      <w:r w:rsidR="00496D2F" w:rsidRPr="000C1446">
        <w:rPr>
          <w:rFonts w:asciiTheme="majorHAnsi" w:hAnsiTheme="majorHAnsi"/>
          <w:sz w:val="20"/>
          <w:szCs w:val="20"/>
          <w:lang w:val="es-ES"/>
        </w:rPr>
        <w:t xml:space="preserve">, así como su derecho al trabajo. Alega que </w:t>
      </w:r>
      <w:r w:rsidRPr="000C1446">
        <w:rPr>
          <w:rFonts w:asciiTheme="majorHAnsi" w:hAnsiTheme="majorHAnsi"/>
          <w:sz w:val="20"/>
          <w:szCs w:val="20"/>
          <w:lang w:val="es-ES"/>
        </w:rPr>
        <w:t>“</w:t>
      </w:r>
      <w:r w:rsidR="00496D2F" w:rsidRPr="000C1446">
        <w:rPr>
          <w:rFonts w:asciiTheme="majorHAnsi" w:hAnsiTheme="majorHAnsi"/>
          <w:sz w:val="20"/>
          <w:szCs w:val="20"/>
          <w:lang w:val="es-ES"/>
        </w:rPr>
        <w:t>el punto de partida jurídico y legal de su reclam</w:t>
      </w:r>
      <w:r w:rsidR="00F86DCE">
        <w:rPr>
          <w:rFonts w:asciiTheme="majorHAnsi" w:hAnsiTheme="majorHAnsi"/>
          <w:sz w:val="20"/>
          <w:szCs w:val="20"/>
          <w:lang w:val="es-ES"/>
        </w:rPr>
        <w:t>o</w:t>
      </w:r>
      <w:r w:rsidR="00496D2F" w:rsidRPr="000C1446">
        <w:rPr>
          <w:rFonts w:asciiTheme="majorHAnsi" w:hAnsiTheme="majorHAnsi"/>
          <w:sz w:val="20"/>
          <w:szCs w:val="20"/>
          <w:lang w:val="es-ES"/>
        </w:rPr>
        <w:t xml:space="preserve"> es el Decreto Dictatorial”</w:t>
      </w:r>
      <w:r w:rsidRPr="000C1446">
        <w:rPr>
          <w:rFonts w:asciiTheme="majorHAnsi" w:hAnsiTheme="majorHAnsi"/>
          <w:sz w:val="20"/>
          <w:szCs w:val="20"/>
          <w:lang w:val="es-ES"/>
        </w:rPr>
        <w:t>;</w:t>
      </w:r>
      <w:r w:rsidR="00496D2F" w:rsidRPr="000C1446">
        <w:rPr>
          <w:rFonts w:asciiTheme="majorHAnsi" w:hAnsiTheme="majorHAnsi"/>
          <w:sz w:val="20"/>
          <w:szCs w:val="20"/>
          <w:lang w:val="es-ES"/>
        </w:rPr>
        <w:t xml:space="preserve"> las consecuencias que de él se derivaron</w:t>
      </w:r>
      <w:r w:rsidRPr="000C1446">
        <w:rPr>
          <w:rFonts w:asciiTheme="majorHAnsi" w:hAnsiTheme="majorHAnsi"/>
          <w:sz w:val="20"/>
          <w:szCs w:val="20"/>
          <w:lang w:val="es-ES"/>
        </w:rPr>
        <w:t>, y</w:t>
      </w:r>
      <w:r w:rsidR="00496D2F" w:rsidRPr="000C1446">
        <w:rPr>
          <w:rFonts w:asciiTheme="majorHAnsi" w:hAnsiTheme="majorHAnsi"/>
          <w:sz w:val="20"/>
          <w:szCs w:val="20"/>
          <w:lang w:val="es-ES"/>
        </w:rPr>
        <w:t xml:space="preserve"> la falta de pronunciamiento de las di</w:t>
      </w:r>
      <w:r w:rsidR="006F12B7" w:rsidRPr="000C1446">
        <w:rPr>
          <w:rFonts w:asciiTheme="majorHAnsi" w:hAnsiTheme="majorHAnsi"/>
          <w:sz w:val="20"/>
          <w:szCs w:val="20"/>
          <w:lang w:val="es-ES"/>
        </w:rPr>
        <w:t>ferentes instancias judiciales</w:t>
      </w:r>
      <w:r w:rsidR="00496D2F" w:rsidRPr="000C1446">
        <w:rPr>
          <w:rFonts w:asciiTheme="majorHAnsi" w:hAnsiTheme="majorHAnsi"/>
          <w:sz w:val="20"/>
          <w:szCs w:val="20"/>
          <w:lang w:val="es-ES"/>
        </w:rPr>
        <w:t xml:space="preserve">. </w:t>
      </w:r>
    </w:p>
    <w:p w:rsidR="00B84AF0" w:rsidRPr="000C1446" w:rsidRDefault="00B84AF0" w:rsidP="00071C55">
      <w:pPr>
        <w:jc w:val="both"/>
        <w:rPr>
          <w:rFonts w:asciiTheme="majorHAnsi" w:hAnsiTheme="majorHAnsi"/>
          <w:sz w:val="20"/>
          <w:szCs w:val="20"/>
          <w:lang w:val="es-ES"/>
        </w:rPr>
      </w:pPr>
    </w:p>
    <w:p w:rsidR="00B84AF0" w:rsidRPr="000C1446" w:rsidRDefault="00B84AF0" w:rsidP="00071C55">
      <w:pPr>
        <w:pStyle w:val="Heading2"/>
      </w:pPr>
      <w:bookmarkStart w:id="13" w:name="_Toc395298773"/>
      <w:bookmarkStart w:id="14" w:name="_Toc418254626"/>
      <w:bookmarkStart w:id="15" w:name="_Toc464481600"/>
      <w:r w:rsidRPr="000C1446">
        <w:t>El Estado</w:t>
      </w:r>
      <w:bookmarkEnd w:id="13"/>
      <w:bookmarkEnd w:id="14"/>
      <w:bookmarkEnd w:id="15"/>
    </w:p>
    <w:p w:rsidR="00B84AF0" w:rsidRPr="000C1446" w:rsidRDefault="00B84AF0" w:rsidP="00071C55">
      <w:pPr>
        <w:tabs>
          <w:tab w:val="left" w:pos="1440"/>
        </w:tabs>
        <w:ind w:left="720"/>
        <w:jc w:val="both"/>
        <w:rPr>
          <w:rFonts w:asciiTheme="majorHAnsi" w:hAnsiTheme="majorHAnsi"/>
          <w:sz w:val="20"/>
          <w:szCs w:val="20"/>
          <w:lang w:val="es-ES"/>
        </w:rPr>
      </w:pPr>
    </w:p>
    <w:p w:rsidR="00B04CAF" w:rsidRPr="000C1446" w:rsidRDefault="00800A6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En el </w:t>
      </w:r>
      <w:r w:rsidR="0088389D" w:rsidRPr="000C1446">
        <w:rPr>
          <w:rFonts w:asciiTheme="majorHAnsi" w:hAnsiTheme="majorHAnsi" w:cs="Arial"/>
          <w:sz w:val="20"/>
          <w:szCs w:val="20"/>
          <w:lang w:val="es-ES"/>
        </w:rPr>
        <w:t xml:space="preserve">trámite previo </w:t>
      </w:r>
      <w:r w:rsidRPr="000C1446">
        <w:rPr>
          <w:rFonts w:asciiTheme="majorHAnsi" w:hAnsiTheme="majorHAnsi" w:cs="Arial"/>
          <w:sz w:val="20"/>
          <w:szCs w:val="20"/>
          <w:lang w:val="es-ES"/>
        </w:rPr>
        <w:t>a la aprobación de</w:t>
      </w:r>
      <w:r w:rsidR="002A152F" w:rsidRPr="000C1446">
        <w:rPr>
          <w:rFonts w:asciiTheme="majorHAnsi" w:hAnsiTheme="majorHAnsi" w:cs="Arial"/>
          <w:sz w:val="20"/>
          <w:szCs w:val="20"/>
          <w:lang w:val="es-ES"/>
        </w:rPr>
        <w:t>l informe de</w:t>
      </w:r>
      <w:r w:rsidRPr="000C1446">
        <w:rPr>
          <w:rFonts w:asciiTheme="majorHAnsi" w:hAnsiTheme="majorHAnsi" w:cs="Arial"/>
          <w:sz w:val="20"/>
          <w:szCs w:val="20"/>
          <w:lang w:val="es-ES"/>
        </w:rPr>
        <w:t xml:space="preserve"> admisibilidad, el Estado no presentó comunicación </w:t>
      </w:r>
      <w:r w:rsidR="00A223CC" w:rsidRPr="000C1446">
        <w:rPr>
          <w:rFonts w:asciiTheme="majorHAnsi" w:hAnsiTheme="majorHAnsi" w:cs="Arial"/>
          <w:sz w:val="20"/>
          <w:szCs w:val="20"/>
          <w:lang w:val="es-ES"/>
        </w:rPr>
        <w:t xml:space="preserve">alguna </w:t>
      </w:r>
      <w:r w:rsidRPr="000C1446">
        <w:rPr>
          <w:rFonts w:asciiTheme="majorHAnsi" w:hAnsiTheme="majorHAnsi" w:cs="Arial"/>
          <w:sz w:val="20"/>
          <w:szCs w:val="20"/>
          <w:lang w:val="es-ES"/>
        </w:rPr>
        <w:t xml:space="preserve">ni expresó su posición respecto de los hechos denunciados. </w:t>
      </w:r>
    </w:p>
    <w:p w:rsidR="00A223CC" w:rsidRPr="000C1446" w:rsidRDefault="00A223CC"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800A60" w:rsidRPr="000C1446" w:rsidRDefault="00800A6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Mediante Nota No. 4-2-246 del 26 de noviembre de 2002, posterior al informe de admisibilidad, el Estado argument</w:t>
      </w:r>
      <w:r w:rsidR="008406F1" w:rsidRPr="000C1446">
        <w:rPr>
          <w:rFonts w:asciiTheme="majorHAnsi" w:hAnsiTheme="majorHAnsi" w:cs="Arial"/>
          <w:sz w:val="20"/>
          <w:szCs w:val="20"/>
          <w:lang w:val="es-ES"/>
        </w:rPr>
        <w:t>a</w:t>
      </w:r>
      <w:r w:rsidRPr="000C1446">
        <w:rPr>
          <w:rFonts w:asciiTheme="majorHAnsi" w:hAnsiTheme="majorHAnsi" w:cs="Arial"/>
          <w:sz w:val="20"/>
          <w:szCs w:val="20"/>
          <w:lang w:val="es-ES"/>
        </w:rPr>
        <w:t xml:space="preserve"> </w:t>
      </w:r>
      <w:r w:rsidR="00661071" w:rsidRPr="000C1446">
        <w:rPr>
          <w:rFonts w:asciiTheme="majorHAnsi" w:hAnsiTheme="majorHAnsi" w:cs="Arial"/>
          <w:sz w:val="20"/>
          <w:szCs w:val="20"/>
          <w:lang w:val="es-ES"/>
        </w:rPr>
        <w:t xml:space="preserve">la falta de competencia </w:t>
      </w:r>
      <w:r w:rsidRPr="000C1446">
        <w:rPr>
          <w:rFonts w:asciiTheme="majorHAnsi" w:hAnsiTheme="majorHAnsi" w:cs="Arial"/>
          <w:sz w:val="20"/>
          <w:szCs w:val="20"/>
          <w:lang w:val="es-ES"/>
        </w:rPr>
        <w:t>de la CIDH para conocer el caso por tratarse de hechos que</w:t>
      </w:r>
      <w:r w:rsidR="00B3667B"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habrían ocurrido y se habrían consumado</w:t>
      </w:r>
      <w:r w:rsidR="00D60CAF"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con anterioridad a la fecha del depósito de ratificación de la Convención Americana</w:t>
      </w:r>
      <w:r w:rsidR="00AC0AE0" w:rsidRPr="000C1446">
        <w:rPr>
          <w:rFonts w:asciiTheme="majorHAnsi" w:hAnsiTheme="majorHAnsi" w:cs="Arial"/>
          <w:sz w:val="20"/>
          <w:szCs w:val="20"/>
          <w:lang w:val="es-ES"/>
        </w:rPr>
        <w:t xml:space="preserve">. Agrega el Estado que los hechos </w:t>
      </w:r>
      <w:r w:rsidRPr="000C1446">
        <w:rPr>
          <w:rFonts w:asciiTheme="majorHAnsi" w:hAnsiTheme="majorHAnsi" w:cs="Arial"/>
          <w:sz w:val="20"/>
          <w:szCs w:val="20"/>
          <w:lang w:val="es-ES"/>
        </w:rPr>
        <w:t>no pueden considerarse de carácter continuado</w:t>
      </w:r>
      <w:r w:rsidR="00111ED7" w:rsidRPr="000C1446">
        <w:rPr>
          <w:rFonts w:asciiTheme="majorHAnsi" w:hAnsiTheme="majorHAnsi" w:cs="Arial"/>
          <w:sz w:val="20"/>
          <w:szCs w:val="20"/>
          <w:lang w:val="es-ES"/>
        </w:rPr>
        <w:t xml:space="preserve">. </w:t>
      </w:r>
      <w:r w:rsidR="00AC0AE0" w:rsidRPr="000C1446">
        <w:rPr>
          <w:rFonts w:asciiTheme="majorHAnsi" w:hAnsiTheme="majorHAnsi" w:cs="Arial"/>
          <w:sz w:val="20"/>
          <w:szCs w:val="20"/>
          <w:lang w:val="es-ES"/>
        </w:rPr>
        <w:t>M</w:t>
      </w:r>
      <w:r w:rsidR="00C37B2C" w:rsidRPr="000C1446">
        <w:rPr>
          <w:rFonts w:asciiTheme="majorHAnsi" w:hAnsiTheme="majorHAnsi" w:cs="Arial"/>
          <w:sz w:val="20"/>
          <w:szCs w:val="20"/>
          <w:lang w:val="es-ES"/>
        </w:rPr>
        <w:t xml:space="preserve">ediante </w:t>
      </w:r>
      <w:r w:rsidR="00111ED7" w:rsidRPr="000C1446">
        <w:rPr>
          <w:rFonts w:asciiTheme="majorHAnsi" w:hAnsiTheme="majorHAnsi" w:cs="Arial"/>
          <w:sz w:val="20"/>
          <w:szCs w:val="20"/>
          <w:lang w:val="es-ES"/>
        </w:rPr>
        <w:t>escrito de 23 de octubre de 2015, el Estado reitera que ratificó la Convención Americana el 12 de agosto de 1977, por lo</w:t>
      </w:r>
      <w:r w:rsidR="00C5385C" w:rsidRPr="000C1446">
        <w:rPr>
          <w:rFonts w:asciiTheme="majorHAnsi" w:hAnsiTheme="majorHAnsi" w:cs="Arial"/>
          <w:sz w:val="20"/>
          <w:szCs w:val="20"/>
          <w:lang w:val="es-ES"/>
        </w:rPr>
        <w:t xml:space="preserve"> q</w:t>
      </w:r>
      <w:r w:rsidR="00111ED7" w:rsidRPr="000C1446">
        <w:rPr>
          <w:rFonts w:asciiTheme="majorHAnsi" w:hAnsiTheme="majorHAnsi" w:cs="Arial"/>
          <w:sz w:val="20"/>
          <w:szCs w:val="20"/>
          <w:lang w:val="es-ES"/>
        </w:rPr>
        <w:t>u</w:t>
      </w:r>
      <w:r w:rsidR="00C5385C" w:rsidRPr="000C1446">
        <w:rPr>
          <w:rFonts w:asciiTheme="majorHAnsi" w:hAnsiTheme="majorHAnsi" w:cs="Arial"/>
          <w:sz w:val="20"/>
          <w:szCs w:val="20"/>
          <w:lang w:val="es-ES"/>
        </w:rPr>
        <w:t>e</w:t>
      </w:r>
      <w:r w:rsidR="00111ED7" w:rsidRPr="000C1446">
        <w:rPr>
          <w:rFonts w:asciiTheme="majorHAnsi" w:hAnsiTheme="majorHAnsi" w:cs="Arial"/>
          <w:sz w:val="20"/>
          <w:szCs w:val="20"/>
          <w:lang w:val="es-ES"/>
        </w:rPr>
        <w:t xml:space="preserve"> las obligaciones del Estado relacionadas</w:t>
      </w:r>
      <w:r w:rsidR="00AC0AE0" w:rsidRPr="000C1446">
        <w:rPr>
          <w:rFonts w:asciiTheme="majorHAnsi" w:hAnsiTheme="majorHAnsi" w:cs="Arial"/>
          <w:sz w:val="20"/>
          <w:szCs w:val="20"/>
          <w:lang w:val="es-ES"/>
        </w:rPr>
        <w:t xml:space="preserve"> con</w:t>
      </w:r>
      <w:r w:rsidR="00111ED7" w:rsidRPr="000C1446">
        <w:rPr>
          <w:rFonts w:asciiTheme="majorHAnsi" w:hAnsiTheme="majorHAnsi" w:cs="Arial"/>
          <w:sz w:val="20"/>
          <w:szCs w:val="20"/>
          <w:lang w:val="es-ES"/>
        </w:rPr>
        <w:t xml:space="preserve"> la Convención Americana</w:t>
      </w:r>
      <w:r w:rsidR="00AC0AE0" w:rsidRPr="000C1446">
        <w:rPr>
          <w:rFonts w:asciiTheme="majorHAnsi" w:hAnsiTheme="majorHAnsi" w:cs="Arial"/>
          <w:sz w:val="20"/>
          <w:szCs w:val="20"/>
          <w:lang w:val="es-ES"/>
        </w:rPr>
        <w:t xml:space="preserve"> fueron asumidas con posterioridad </w:t>
      </w:r>
      <w:r w:rsidR="00111ED7" w:rsidRPr="000C1446">
        <w:rPr>
          <w:rFonts w:asciiTheme="majorHAnsi" w:hAnsiTheme="majorHAnsi" w:cs="Arial"/>
          <w:sz w:val="20"/>
          <w:szCs w:val="20"/>
          <w:lang w:val="es-ES"/>
        </w:rPr>
        <w:t>a los hechos de</w:t>
      </w:r>
      <w:r w:rsidR="002A152F" w:rsidRPr="000C1446">
        <w:rPr>
          <w:rFonts w:asciiTheme="majorHAnsi" w:hAnsiTheme="majorHAnsi" w:cs="Arial"/>
          <w:sz w:val="20"/>
          <w:szCs w:val="20"/>
          <w:lang w:val="es-ES"/>
        </w:rPr>
        <w:t>l presente</w:t>
      </w:r>
      <w:r w:rsidR="00111ED7" w:rsidRPr="000C1446">
        <w:rPr>
          <w:rFonts w:asciiTheme="majorHAnsi" w:hAnsiTheme="majorHAnsi" w:cs="Arial"/>
          <w:sz w:val="20"/>
          <w:szCs w:val="20"/>
          <w:lang w:val="es-ES"/>
        </w:rPr>
        <w:t xml:space="preserve"> caso. </w:t>
      </w:r>
    </w:p>
    <w:p w:rsidR="00A223CC" w:rsidRPr="000C1446" w:rsidRDefault="00A223CC" w:rsidP="00071C55">
      <w:pPr>
        <w:pStyle w:val="ListParagraph"/>
        <w:rPr>
          <w:rFonts w:asciiTheme="majorHAnsi" w:hAnsiTheme="majorHAnsi" w:cs="Arial"/>
          <w:sz w:val="20"/>
          <w:szCs w:val="20"/>
          <w:lang w:val="es-ES"/>
        </w:rPr>
      </w:pPr>
    </w:p>
    <w:p w:rsidR="00F56E69" w:rsidRPr="000C1446" w:rsidRDefault="00C37B2C" w:rsidP="00071C55">
      <w:pPr>
        <w:pStyle w:val="Style2"/>
        <w:rPr>
          <w:rFonts w:asciiTheme="majorHAnsi" w:hAnsiTheme="majorHAnsi" w:cs="Arial"/>
        </w:rPr>
      </w:pPr>
      <w:r w:rsidRPr="000C1446">
        <w:t>Respecto de los hechos alegados, e</w:t>
      </w:r>
      <w:r w:rsidR="007F56C1" w:rsidRPr="000C1446">
        <w:t xml:space="preserve">l Estado </w:t>
      </w:r>
      <w:r w:rsidR="00035264" w:rsidRPr="000C1446">
        <w:t xml:space="preserve">indica que </w:t>
      </w:r>
      <w:r w:rsidR="007F56C1" w:rsidRPr="000C1446">
        <w:t xml:space="preserve">el 23 de mayo de 1967, la Casa de la Cultura Ecuatoriana al amparo de la Ley </w:t>
      </w:r>
      <w:r w:rsidR="00F56E69" w:rsidRPr="000C1446">
        <w:t>de Patrimonio Artístico y</w:t>
      </w:r>
      <w:r w:rsidR="007F56C1" w:rsidRPr="000C1446">
        <w:t xml:space="preserve"> mediante Oficio no. 1173-SG, autorizó al señor ingeniero Virgilio Vélez a realizar únicamente trabajos de </w:t>
      </w:r>
      <w:r w:rsidR="00F56E69" w:rsidRPr="000C1446">
        <w:t xml:space="preserve">exploración y </w:t>
      </w:r>
      <w:r w:rsidR="007F56C1" w:rsidRPr="000C1446">
        <w:t>prospección arqueológica en la Isla La Tolita ubicada</w:t>
      </w:r>
      <w:r w:rsidR="00584B52" w:rsidRPr="000C1446">
        <w:t xml:space="preserve"> en la provincia de Esmeraldas</w:t>
      </w:r>
      <w:r w:rsidR="007F56C1" w:rsidRPr="000C1446">
        <w:t>, condicionando a que “la autorización se contraiga primeramente a s</w:t>
      </w:r>
      <w:r w:rsidRPr="000C1446">
        <w:t>ó</w:t>
      </w:r>
      <w:r w:rsidR="007F56C1" w:rsidRPr="000C1446">
        <w:t>lo los trabajos de prospección con detectores técnicos que en nada remuevan mecánicamente las existencias arqueológicas subyacentes; labores previas que, si mostrasen prometedores resultados, deberían ser la base para que la Casa de la Cultura Ecuatoriana conceda autorización de</w:t>
      </w:r>
      <w:r w:rsidRPr="000C1446">
        <w:t xml:space="preserve">finitiva para la excavación…”. Asimismo, señala que se estipuló que </w:t>
      </w:r>
      <w:r w:rsidR="007F56C1" w:rsidRPr="000C1446">
        <w:t>“se prescinda de la intervención de técnicos extranjeros y se utilicen sólo expertos ecuatorianos en ambas labores: en la prospección y en la de excavación si llega a este caso.”</w:t>
      </w:r>
      <w:r w:rsidR="001F0FD6" w:rsidRPr="000C1446">
        <w:t xml:space="preserve"> El Estado alega que</w:t>
      </w:r>
      <w:r w:rsidR="00F56E69" w:rsidRPr="000C1446">
        <w:t>,</w:t>
      </w:r>
      <w:r w:rsidR="001F0FD6" w:rsidRPr="000C1446">
        <w:t xml:space="preserve"> claramente</w:t>
      </w:r>
      <w:r w:rsidR="00F56E69" w:rsidRPr="000C1446">
        <w:t>,</w:t>
      </w:r>
      <w:r w:rsidR="001F0FD6" w:rsidRPr="000C1446">
        <w:t xml:space="preserve"> dicha autorización no facultaba a excavar, sino a solicitar una posterior autorización para hacerlo.  </w:t>
      </w:r>
    </w:p>
    <w:p w:rsidR="007F56C1" w:rsidRPr="000C1446" w:rsidRDefault="007F56C1"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946468" w:rsidRPr="000C1446" w:rsidRDefault="00C37B2C"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Estado agrega que,</w:t>
      </w:r>
      <w:r w:rsidR="007F56C1" w:rsidRPr="000C1446">
        <w:rPr>
          <w:rFonts w:asciiTheme="majorHAnsi" w:hAnsiTheme="majorHAnsi" w:cs="Arial"/>
          <w:sz w:val="20"/>
          <w:szCs w:val="20"/>
          <w:lang w:val="es-ES"/>
        </w:rPr>
        <w:t xml:space="preserve"> </w:t>
      </w:r>
      <w:r w:rsidR="00035264" w:rsidRPr="000C1446">
        <w:rPr>
          <w:rFonts w:asciiTheme="majorHAnsi" w:hAnsiTheme="majorHAnsi" w:cs="Arial"/>
          <w:sz w:val="20"/>
          <w:szCs w:val="20"/>
          <w:lang w:val="es-ES"/>
        </w:rPr>
        <w:t>según dichos del mismo peticionario</w:t>
      </w:r>
      <w:r w:rsidR="00584B52" w:rsidRPr="000C1446">
        <w:rPr>
          <w:rFonts w:asciiTheme="majorHAnsi" w:hAnsiTheme="majorHAnsi" w:cs="Arial"/>
          <w:sz w:val="20"/>
          <w:szCs w:val="20"/>
          <w:lang w:val="es-ES"/>
        </w:rPr>
        <w:t>,</w:t>
      </w:r>
      <w:r w:rsidR="00035264" w:rsidRPr="000C1446">
        <w:rPr>
          <w:rFonts w:asciiTheme="majorHAnsi" w:hAnsiTheme="majorHAnsi" w:cs="Arial"/>
          <w:sz w:val="20"/>
          <w:szCs w:val="20"/>
          <w:lang w:val="es-ES"/>
        </w:rPr>
        <w:t xml:space="preserve"> </w:t>
      </w:r>
      <w:r w:rsidR="007F56C1" w:rsidRPr="000C1446">
        <w:rPr>
          <w:rFonts w:asciiTheme="majorHAnsi" w:hAnsiTheme="majorHAnsi" w:cs="Arial"/>
          <w:sz w:val="20"/>
          <w:szCs w:val="20"/>
          <w:lang w:val="es-ES"/>
        </w:rPr>
        <w:t>el 20 de enero de 1969, el señor James Judge realizó excavaciones arqueológicas en la Isla de la Tolita</w:t>
      </w:r>
      <w:r w:rsidR="00035264" w:rsidRPr="000C1446">
        <w:rPr>
          <w:rFonts w:asciiTheme="majorHAnsi" w:hAnsiTheme="majorHAnsi" w:cs="Arial"/>
          <w:sz w:val="20"/>
          <w:szCs w:val="20"/>
          <w:lang w:val="es-ES"/>
        </w:rPr>
        <w:t xml:space="preserve">, fecha en que extrajo </w:t>
      </w:r>
      <w:r w:rsidRPr="000C1446">
        <w:rPr>
          <w:rFonts w:asciiTheme="majorHAnsi" w:hAnsiTheme="majorHAnsi" w:cs="Arial"/>
          <w:sz w:val="20"/>
          <w:szCs w:val="20"/>
          <w:lang w:val="es-ES"/>
        </w:rPr>
        <w:t>132</w:t>
      </w:r>
      <w:r w:rsidR="00035264" w:rsidRPr="000C1446">
        <w:rPr>
          <w:rFonts w:asciiTheme="majorHAnsi" w:hAnsiTheme="majorHAnsi" w:cs="Arial"/>
          <w:sz w:val="20"/>
          <w:szCs w:val="20"/>
          <w:lang w:val="es-ES"/>
        </w:rPr>
        <w:t xml:space="preserve"> piezas de patrimonio arqueológico del país, de las que destaca una máscara de oro con ojos de platino; ello, </w:t>
      </w:r>
      <w:r w:rsidR="007F56C1" w:rsidRPr="000C1446">
        <w:rPr>
          <w:rFonts w:asciiTheme="majorHAnsi" w:hAnsiTheme="majorHAnsi" w:cs="Arial"/>
          <w:sz w:val="20"/>
          <w:szCs w:val="20"/>
          <w:lang w:val="es-ES"/>
        </w:rPr>
        <w:t>sin ninguna autorización p</w:t>
      </w:r>
      <w:r w:rsidR="00035264" w:rsidRPr="000C1446">
        <w:rPr>
          <w:rFonts w:asciiTheme="majorHAnsi" w:hAnsiTheme="majorHAnsi" w:cs="Arial"/>
          <w:sz w:val="20"/>
          <w:szCs w:val="20"/>
          <w:lang w:val="es-ES"/>
        </w:rPr>
        <w:t xml:space="preserve">or parte del Estado ecuatoriano. El Estado afirma que dichas acciones no contaron con el </w:t>
      </w:r>
      <w:r w:rsidR="006B5AB5" w:rsidRPr="000C1446">
        <w:rPr>
          <w:rFonts w:asciiTheme="majorHAnsi" w:hAnsiTheme="majorHAnsi" w:cs="Arial"/>
          <w:sz w:val="20"/>
          <w:szCs w:val="20"/>
          <w:lang w:val="es-ES"/>
        </w:rPr>
        <w:t>conocimiento</w:t>
      </w:r>
      <w:r w:rsidR="00035264" w:rsidRPr="000C1446">
        <w:rPr>
          <w:rFonts w:asciiTheme="majorHAnsi" w:hAnsiTheme="majorHAnsi" w:cs="Arial"/>
          <w:sz w:val="20"/>
          <w:szCs w:val="20"/>
          <w:lang w:val="es-ES"/>
        </w:rPr>
        <w:t xml:space="preserve"> ni la correspondiente autorización de la Casa de</w:t>
      </w:r>
      <w:r w:rsidR="003E553A" w:rsidRPr="000C1446">
        <w:rPr>
          <w:rFonts w:asciiTheme="majorHAnsi" w:hAnsiTheme="majorHAnsi" w:cs="Arial"/>
          <w:sz w:val="20"/>
          <w:szCs w:val="20"/>
          <w:lang w:val="es-ES"/>
        </w:rPr>
        <w:t xml:space="preserve"> </w:t>
      </w:r>
      <w:r w:rsidR="00035264" w:rsidRPr="000C1446">
        <w:rPr>
          <w:rFonts w:asciiTheme="majorHAnsi" w:hAnsiTheme="majorHAnsi" w:cs="Arial"/>
          <w:sz w:val="20"/>
          <w:szCs w:val="20"/>
          <w:lang w:val="es-ES"/>
        </w:rPr>
        <w:t>la Cultura Ecuatoriana</w:t>
      </w:r>
      <w:r w:rsidR="00A31856" w:rsidRPr="000C1446">
        <w:rPr>
          <w:rFonts w:asciiTheme="majorHAnsi" w:hAnsiTheme="majorHAnsi" w:cs="Arial"/>
          <w:sz w:val="20"/>
          <w:szCs w:val="20"/>
          <w:lang w:val="es-ES"/>
        </w:rPr>
        <w:t xml:space="preserve"> y,</w:t>
      </w:r>
      <w:r w:rsidR="00035264" w:rsidRPr="000C1446">
        <w:rPr>
          <w:rFonts w:asciiTheme="majorHAnsi" w:hAnsiTheme="majorHAnsi" w:cs="Arial"/>
          <w:sz w:val="20"/>
          <w:szCs w:val="20"/>
          <w:lang w:val="es-ES"/>
        </w:rPr>
        <w:t xml:space="preserve"> consecuentemente</w:t>
      </w:r>
      <w:r w:rsidR="00A31856" w:rsidRPr="000C1446">
        <w:rPr>
          <w:rFonts w:asciiTheme="majorHAnsi" w:hAnsiTheme="majorHAnsi" w:cs="Arial"/>
          <w:sz w:val="20"/>
          <w:szCs w:val="20"/>
          <w:lang w:val="es-ES"/>
        </w:rPr>
        <w:t>,</w:t>
      </w:r>
      <w:r w:rsidR="00035264" w:rsidRPr="000C1446">
        <w:rPr>
          <w:rFonts w:asciiTheme="majorHAnsi" w:hAnsiTheme="majorHAnsi" w:cs="Arial"/>
          <w:sz w:val="20"/>
          <w:szCs w:val="20"/>
          <w:lang w:val="es-ES"/>
        </w:rPr>
        <w:t xml:space="preserve"> contrariaron lo dispuesto en la Ley de Patrimonio Artístico respecto a que ninguna persona o entidad podía realizar en el Ecuador trabajos de </w:t>
      </w:r>
      <w:r w:rsidR="006B5AB5" w:rsidRPr="000C1446">
        <w:rPr>
          <w:rFonts w:asciiTheme="majorHAnsi" w:hAnsiTheme="majorHAnsi" w:cs="Arial"/>
          <w:sz w:val="20"/>
          <w:szCs w:val="20"/>
          <w:lang w:val="es-ES"/>
        </w:rPr>
        <w:t>excavación</w:t>
      </w:r>
      <w:r w:rsidR="00035264" w:rsidRPr="000C1446">
        <w:rPr>
          <w:rFonts w:asciiTheme="majorHAnsi" w:hAnsiTheme="majorHAnsi" w:cs="Arial"/>
          <w:sz w:val="20"/>
          <w:szCs w:val="20"/>
          <w:lang w:val="es-ES"/>
        </w:rPr>
        <w:t xml:space="preserve"> arqueológica, sin el conocimiento </w:t>
      </w:r>
      <w:r w:rsidRPr="000C1446">
        <w:rPr>
          <w:rFonts w:asciiTheme="majorHAnsi" w:hAnsiTheme="majorHAnsi" w:cs="Arial"/>
          <w:sz w:val="20"/>
          <w:szCs w:val="20"/>
          <w:lang w:val="es-ES"/>
        </w:rPr>
        <w:t>y</w:t>
      </w:r>
      <w:r w:rsidR="00035264" w:rsidRPr="000C1446">
        <w:rPr>
          <w:rFonts w:asciiTheme="majorHAnsi" w:hAnsiTheme="majorHAnsi" w:cs="Arial"/>
          <w:sz w:val="20"/>
          <w:szCs w:val="20"/>
          <w:lang w:val="es-ES"/>
        </w:rPr>
        <w:t xml:space="preserve"> la correspondiente autorización de la Casa de la Cultura Ecuatoriana. </w:t>
      </w:r>
      <w:r w:rsidR="00946468" w:rsidRPr="000C1446">
        <w:rPr>
          <w:rFonts w:asciiTheme="majorHAnsi" w:hAnsiTheme="majorHAnsi" w:cs="Arial"/>
          <w:sz w:val="20"/>
          <w:szCs w:val="20"/>
          <w:lang w:val="es-ES"/>
        </w:rPr>
        <w:t>Afirma que las acciones fueron también contrarias a la autorización expresamente concedida al ingeniero Vélez, en el sentido que únicamente le estaba permitido realizar trabajos de prospección.</w:t>
      </w:r>
      <w:r w:rsidR="001F0FD6" w:rsidRPr="000C1446">
        <w:rPr>
          <w:rFonts w:asciiTheme="majorHAnsi" w:hAnsiTheme="majorHAnsi" w:cs="Arial"/>
          <w:sz w:val="20"/>
          <w:szCs w:val="20"/>
          <w:lang w:val="es-ES"/>
        </w:rPr>
        <w:t xml:space="preserve"> </w:t>
      </w:r>
    </w:p>
    <w:p w:rsidR="00584B52" w:rsidRPr="000C1446" w:rsidRDefault="00584B52"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112EAC" w:rsidRPr="000C1446" w:rsidRDefault="00946468" w:rsidP="00071C55">
      <w:pPr>
        <w:pStyle w:val="Style2"/>
        <w:rPr>
          <w:rFonts w:asciiTheme="majorHAnsi" w:hAnsiTheme="majorHAnsi" w:cs="Arial"/>
        </w:rPr>
      </w:pPr>
      <w:r w:rsidRPr="000C1446">
        <w:t>El Estado indica que el 21 de marzo de 1969, la Junta General de la Casa de la Cultura canceló la autorización de los trabajos de prospección concedida al ingeniero Vélez</w:t>
      </w:r>
      <w:r w:rsidR="00C37B2C" w:rsidRPr="000C1446">
        <w:t xml:space="preserve"> y que, e</w:t>
      </w:r>
      <w:r w:rsidR="00D469E1" w:rsidRPr="000C1446">
        <w:t>l 20 de junio de 1969,  meses después del descubrimiento de las piezas arqueológicas, los señores Vélez</w:t>
      </w:r>
      <w:r w:rsidR="00493E29" w:rsidRPr="000C1446">
        <w:t xml:space="preserve"> y Judge celebraron un convenio, mediante el cual </w:t>
      </w:r>
      <w:r w:rsidR="001F0FD6" w:rsidRPr="000C1446">
        <w:t>e</w:t>
      </w:r>
      <w:r w:rsidR="00D469E1" w:rsidRPr="000C1446">
        <w:t>l ingeniero Virgilio Vélez renunci</w:t>
      </w:r>
      <w:r w:rsidR="00493E29" w:rsidRPr="000C1446">
        <w:t>ó</w:t>
      </w:r>
      <w:r w:rsidR="00D469E1" w:rsidRPr="000C1446">
        <w:t xml:space="preserve"> en favor del señor Judge, a todos los beneficios que se derivaren del encuentro de una máscara de oro y otros objetos arqueológicos hallados por el </w:t>
      </w:r>
      <w:r w:rsidR="006B5AB5" w:rsidRPr="000C1446">
        <w:t>señor</w:t>
      </w:r>
      <w:r w:rsidR="00D469E1" w:rsidRPr="000C1446">
        <w:t xml:space="preserve"> Judge en la Tolita</w:t>
      </w:r>
      <w:r w:rsidR="00112EAC" w:rsidRPr="000C1446">
        <w:t xml:space="preserve">.  </w:t>
      </w:r>
      <w:r w:rsidR="00C37B2C" w:rsidRPr="000C1446">
        <w:rPr>
          <w:rFonts w:asciiTheme="majorHAnsi" w:hAnsiTheme="majorHAnsi" w:cs="Arial"/>
        </w:rPr>
        <w:t>El Estado afirma que l</w:t>
      </w:r>
      <w:r w:rsidR="00112EAC" w:rsidRPr="000C1446">
        <w:rPr>
          <w:rFonts w:asciiTheme="majorHAnsi" w:hAnsiTheme="majorHAnsi" w:cs="Arial"/>
        </w:rPr>
        <w:t xml:space="preserve">a cesión de derechos no contenía ni objeto ni causa lícita, por lo que </w:t>
      </w:r>
      <w:r w:rsidR="00C37B2C" w:rsidRPr="000C1446">
        <w:rPr>
          <w:rFonts w:asciiTheme="majorHAnsi" w:hAnsiTheme="majorHAnsi" w:cs="Arial"/>
        </w:rPr>
        <w:t xml:space="preserve">la misma resulta </w:t>
      </w:r>
      <w:r w:rsidR="00112EAC" w:rsidRPr="000C1446">
        <w:rPr>
          <w:rFonts w:asciiTheme="majorHAnsi" w:hAnsiTheme="majorHAnsi" w:cs="Arial"/>
        </w:rPr>
        <w:t>nula, de nulidad absoluta, de conformidad con lo establecido por el Código Civil de 1950.</w:t>
      </w:r>
    </w:p>
    <w:p w:rsidR="00D469E1" w:rsidRPr="000C1446" w:rsidRDefault="00D469E1" w:rsidP="00071C55">
      <w:pPr>
        <w:pStyle w:val="ListParagraph"/>
        <w:rPr>
          <w:rFonts w:asciiTheme="majorHAnsi" w:hAnsiTheme="majorHAnsi" w:cs="Arial"/>
          <w:sz w:val="20"/>
          <w:szCs w:val="20"/>
          <w:lang w:val="es-ES"/>
        </w:rPr>
      </w:pPr>
    </w:p>
    <w:p w:rsidR="00D469E1" w:rsidRPr="000C1446" w:rsidRDefault="00457F28"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Estado señala que e</w:t>
      </w:r>
      <w:r w:rsidR="00D469E1" w:rsidRPr="000C1446">
        <w:rPr>
          <w:rFonts w:asciiTheme="majorHAnsi" w:hAnsiTheme="majorHAnsi" w:cs="Arial"/>
          <w:sz w:val="20"/>
          <w:szCs w:val="20"/>
          <w:lang w:val="es-ES"/>
        </w:rPr>
        <w:t xml:space="preserve">sta cesión de derechos se protocolizó en la </w:t>
      </w:r>
      <w:r w:rsidR="00027D58" w:rsidRPr="000C1446">
        <w:rPr>
          <w:rFonts w:asciiTheme="majorHAnsi" w:hAnsiTheme="majorHAnsi" w:cs="Arial"/>
          <w:sz w:val="20"/>
          <w:szCs w:val="20"/>
          <w:lang w:val="es-ES"/>
        </w:rPr>
        <w:t>N</w:t>
      </w:r>
      <w:r w:rsidR="00D469E1" w:rsidRPr="000C1446">
        <w:rPr>
          <w:rFonts w:asciiTheme="majorHAnsi" w:hAnsiTheme="majorHAnsi" w:cs="Arial"/>
          <w:sz w:val="20"/>
          <w:szCs w:val="20"/>
          <w:lang w:val="es-ES"/>
        </w:rPr>
        <w:t xml:space="preserve">otaría Quinta el 13 de octubre de 1969. El Estado reitera y aclara que la extracción de los objetos no se amparó en esta cesión de derechos ya que los objetos fueron removidos meses antes, en enero de 1969.  </w:t>
      </w:r>
      <w:r w:rsidR="00027D58" w:rsidRPr="000C1446">
        <w:rPr>
          <w:rFonts w:asciiTheme="majorHAnsi" w:hAnsiTheme="majorHAnsi" w:cs="Arial"/>
          <w:sz w:val="20"/>
          <w:szCs w:val="20"/>
          <w:lang w:val="es-ES"/>
        </w:rPr>
        <w:t>E</w:t>
      </w:r>
      <w:r w:rsidR="00D469E1" w:rsidRPr="000C1446">
        <w:rPr>
          <w:rFonts w:asciiTheme="majorHAnsi" w:hAnsiTheme="majorHAnsi" w:cs="Arial"/>
          <w:sz w:val="20"/>
          <w:szCs w:val="20"/>
          <w:lang w:val="es-ES"/>
        </w:rPr>
        <w:t>l Estado reitera que</w:t>
      </w:r>
      <w:r w:rsidR="00027D58" w:rsidRPr="000C1446">
        <w:rPr>
          <w:rFonts w:asciiTheme="majorHAnsi" w:hAnsiTheme="majorHAnsi" w:cs="Arial"/>
          <w:sz w:val="20"/>
          <w:szCs w:val="20"/>
          <w:lang w:val="es-ES"/>
        </w:rPr>
        <w:t>, en todo caso,</w:t>
      </w:r>
      <w:r w:rsidR="00D469E1" w:rsidRPr="000C1446">
        <w:rPr>
          <w:rFonts w:asciiTheme="majorHAnsi" w:hAnsiTheme="majorHAnsi" w:cs="Arial"/>
          <w:sz w:val="20"/>
          <w:szCs w:val="20"/>
          <w:lang w:val="es-ES"/>
        </w:rPr>
        <w:t xml:space="preserve"> ni el señor Vélez ni el señor Judge tenían permiso para realizar la excavación.</w:t>
      </w:r>
      <w:r w:rsidR="00F12D83" w:rsidRPr="000C1446">
        <w:rPr>
          <w:rFonts w:asciiTheme="majorHAnsi" w:hAnsiTheme="majorHAnsi" w:cs="Arial"/>
          <w:sz w:val="20"/>
          <w:szCs w:val="20"/>
          <w:lang w:val="es-ES"/>
        </w:rPr>
        <w:t xml:space="preserve"> Agrega que el permiso de prospección y exploración fue cancelado antes de la celebración del convenio, con lo que los celebrantes en su instrumento notariado, cedieron derechos que no existían.</w:t>
      </w:r>
    </w:p>
    <w:p w:rsidR="00F12D83" w:rsidRPr="000C1446" w:rsidRDefault="00F12D83"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F12D83" w:rsidRPr="000C1446" w:rsidRDefault="00F12D83"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w:t>
      </w:r>
      <w:r w:rsidR="00C37B2C" w:rsidRPr="000C1446">
        <w:rPr>
          <w:rFonts w:asciiTheme="majorHAnsi" w:hAnsiTheme="majorHAnsi" w:cs="Arial"/>
          <w:sz w:val="20"/>
          <w:szCs w:val="20"/>
          <w:lang w:val="es-ES"/>
        </w:rPr>
        <w:t xml:space="preserve">Estado indica que, el </w:t>
      </w:r>
      <w:r w:rsidRPr="000C1446">
        <w:rPr>
          <w:rFonts w:asciiTheme="majorHAnsi" w:hAnsiTheme="majorHAnsi" w:cs="Arial"/>
          <w:sz w:val="20"/>
          <w:szCs w:val="20"/>
          <w:lang w:val="es-ES"/>
        </w:rPr>
        <w:t xml:space="preserve">6 de mayo de 1975 se publicó el Decreto Supremo No. 320 en el Registro Oficial No. 796. </w:t>
      </w:r>
      <w:r w:rsidR="00027D58" w:rsidRPr="000C1446">
        <w:rPr>
          <w:rFonts w:asciiTheme="majorHAnsi" w:hAnsiTheme="majorHAnsi" w:cs="Arial"/>
          <w:sz w:val="20"/>
          <w:szCs w:val="20"/>
          <w:lang w:val="es-ES"/>
        </w:rPr>
        <w:t>Señala que e</w:t>
      </w:r>
      <w:r w:rsidRPr="000C1446">
        <w:rPr>
          <w:rFonts w:asciiTheme="majorHAnsi" w:hAnsiTheme="majorHAnsi" w:cs="Arial"/>
          <w:sz w:val="20"/>
          <w:szCs w:val="20"/>
          <w:lang w:val="es-ES"/>
        </w:rPr>
        <w:t>ste Decreto Supremo</w:t>
      </w:r>
      <w:r w:rsidR="00C37B2C" w:rsidRPr="000C1446">
        <w:rPr>
          <w:rFonts w:asciiTheme="majorHAnsi" w:hAnsiTheme="majorHAnsi" w:cs="Arial"/>
          <w:sz w:val="20"/>
          <w:szCs w:val="20"/>
          <w:lang w:val="es-ES"/>
        </w:rPr>
        <w:t xml:space="preserve">, que </w:t>
      </w:r>
      <w:r w:rsidRPr="000C1446">
        <w:rPr>
          <w:rFonts w:asciiTheme="majorHAnsi" w:hAnsiTheme="majorHAnsi" w:cs="Arial"/>
          <w:sz w:val="20"/>
          <w:szCs w:val="20"/>
          <w:lang w:val="es-ES"/>
        </w:rPr>
        <w:t>regul</w:t>
      </w:r>
      <w:r w:rsidR="00C37B2C" w:rsidRPr="000C1446">
        <w:rPr>
          <w:rFonts w:asciiTheme="majorHAnsi" w:hAnsiTheme="majorHAnsi" w:cs="Arial"/>
          <w:sz w:val="20"/>
          <w:szCs w:val="20"/>
          <w:lang w:val="es-ES"/>
        </w:rPr>
        <w:t>a</w:t>
      </w:r>
      <w:r w:rsidRPr="000C1446">
        <w:rPr>
          <w:rFonts w:asciiTheme="majorHAnsi" w:hAnsiTheme="majorHAnsi" w:cs="Arial"/>
          <w:sz w:val="20"/>
          <w:szCs w:val="20"/>
          <w:lang w:val="es-ES"/>
        </w:rPr>
        <w:t xml:space="preserve"> la situación de</w:t>
      </w:r>
      <w:r w:rsidR="00C37B2C"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la </w:t>
      </w:r>
      <w:r w:rsidR="00584B52" w:rsidRPr="000C1446">
        <w:rPr>
          <w:rFonts w:asciiTheme="majorHAnsi" w:hAnsiTheme="majorHAnsi" w:cs="Arial"/>
          <w:sz w:val="20"/>
          <w:szCs w:val="20"/>
          <w:lang w:val="es-ES"/>
        </w:rPr>
        <w:t>máscara</w:t>
      </w:r>
      <w:r w:rsidRPr="000C1446">
        <w:rPr>
          <w:rFonts w:asciiTheme="majorHAnsi" w:hAnsiTheme="majorHAnsi" w:cs="Arial"/>
          <w:sz w:val="20"/>
          <w:szCs w:val="20"/>
          <w:lang w:val="es-ES"/>
        </w:rPr>
        <w:t xml:space="preserve"> de oro</w:t>
      </w:r>
      <w:r w:rsidR="00C37B2C"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tiene un rango equivalente a una ley y no se trata de un acto administrativo emitido por una autoridad pública. </w:t>
      </w:r>
      <w:r w:rsidR="00C37B2C" w:rsidRPr="000C1446">
        <w:rPr>
          <w:rFonts w:asciiTheme="majorHAnsi" w:hAnsiTheme="majorHAnsi" w:cs="Arial"/>
          <w:sz w:val="20"/>
          <w:szCs w:val="20"/>
          <w:lang w:val="es-ES"/>
        </w:rPr>
        <w:t>Agrega que e</w:t>
      </w:r>
      <w:r w:rsidR="008639EA" w:rsidRPr="000C1446">
        <w:rPr>
          <w:rFonts w:asciiTheme="majorHAnsi" w:hAnsiTheme="majorHAnsi" w:cs="Arial"/>
          <w:sz w:val="20"/>
          <w:szCs w:val="20"/>
          <w:lang w:val="es-ES"/>
        </w:rPr>
        <w:t xml:space="preserve">l 26 de junio de 1975 se transfirieron </w:t>
      </w:r>
      <w:r w:rsidR="00C37B2C" w:rsidRPr="000C1446">
        <w:rPr>
          <w:rFonts w:asciiTheme="majorHAnsi" w:hAnsiTheme="majorHAnsi" w:cs="Arial"/>
          <w:sz w:val="20"/>
          <w:szCs w:val="20"/>
          <w:lang w:val="es-ES"/>
        </w:rPr>
        <w:t>a</w:t>
      </w:r>
      <w:r w:rsidR="008639EA" w:rsidRPr="000C1446">
        <w:rPr>
          <w:rFonts w:asciiTheme="majorHAnsi" w:hAnsiTheme="majorHAnsi" w:cs="Arial"/>
          <w:sz w:val="20"/>
          <w:szCs w:val="20"/>
          <w:lang w:val="es-ES"/>
        </w:rPr>
        <w:t xml:space="preserve"> custodia al Banco Central del Ecuador objetos provenientes del Museo Arqueológico y de la Intendencia </w:t>
      </w:r>
      <w:r w:rsidR="00D83C99" w:rsidRPr="000C1446">
        <w:rPr>
          <w:rFonts w:asciiTheme="majorHAnsi" w:hAnsiTheme="majorHAnsi" w:cs="Arial"/>
          <w:sz w:val="20"/>
          <w:szCs w:val="20"/>
          <w:lang w:val="es-ES"/>
        </w:rPr>
        <w:t>General</w:t>
      </w:r>
      <w:r w:rsidR="008639EA" w:rsidRPr="000C1446">
        <w:rPr>
          <w:rFonts w:asciiTheme="majorHAnsi" w:hAnsiTheme="majorHAnsi" w:cs="Arial"/>
          <w:sz w:val="20"/>
          <w:szCs w:val="20"/>
          <w:lang w:val="es-ES"/>
        </w:rPr>
        <w:t xml:space="preserve"> de Pichincha, entre los que se encuentra la máscara de oro y platino del presente caso. </w:t>
      </w:r>
    </w:p>
    <w:p w:rsidR="008639EA" w:rsidRPr="000C1446" w:rsidRDefault="008639EA" w:rsidP="00071C55">
      <w:pPr>
        <w:pStyle w:val="ListParagraph"/>
        <w:rPr>
          <w:rFonts w:asciiTheme="majorHAnsi" w:hAnsiTheme="majorHAnsi" w:cs="Arial"/>
          <w:sz w:val="20"/>
          <w:szCs w:val="20"/>
          <w:lang w:val="es-ES"/>
        </w:rPr>
      </w:pPr>
    </w:p>
    <w:p w:rsidR="00BB61F7" w:rsidRPr="000C1446" w:rsidRDefault="00BB61F7"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Respecto de los procesos seguidos en jurisdicción interna, el Estado indicó que se siguió uno ante el Tribunal de lo Contencioso Administrativo y otro ante el Tribunal de Garantías Constitucionales. Respecto del primero, indicó que el 22 de julio de 1980 el señor Judge presentó una demanda impugnando el Decreto Supremo No. 320, que reguló la máscara de oro. </w:t>
      </w:r>
      <w:r w:rsidR="005955A7" w:rsidRPr="000C1446">
        <w:rPr>
          <w:rFonts w:asciiTheme="majorHAnsi" w:hAnsiTheme="majorHAnsi" w:cs="Arial"/>
          <w:sz w:val="20"/>
          <w:szCs w:val="20"/>
          <w:lang w:val="es-ES"/>
        </w:rPr>
        <w:t xml:space="preserve">El Estado señala que </w:t>
      </w:r>
      <w:r w:rsidR="00F60B10" w:rsidRPr="000C1446">
        <w:rPr>
          <w:rFonts w:asciiTheme="majorHAnsi" w:hAnsiTheme="majorHAnsi" w:cs="Arial"/>
          <w:sz w:val="20"/>
          <w:szCs w:val="20"/>
          <w:lang w:val="es-ES"/>
        </w:rPr>
        <w:t>el señor Judge basó su argumento en la emisión del Decreto Supremo No. 3683-A del 30 de julio de 1979</w:t>
      </w:r>
      <w:r w:rsidR="00503819" w:rsidRPr="000C1446">
        <w:rPr>
          <w:rFonts w:asciiTheme="majorHAnsi" w:hAnsiTheme="majorHAnsi" w:cs="Arial"/>
          <w:sz w:val="20"/>
          <w:szCs w:val="20"/>
          <w:lang w:val="es-ES"/>
        </w:rPr>
        <w:t>,</w:t>
      </w:r>
      <w:r w:rsidR="00F60B10" w:rsidRPr="000C1446">
        <w:rPr>
          <w:rFonts w:asciiTheme="majorHAnsi" w:hAnsiTheme="majorHAnsi" w:cs="Arial"/>
          <w:sz w:val="20"/>
          <w:szCs w:val="20"/>
          <w:lang w:val="es-ES"/>
        </w:rPr>
        <w:t xml:space="preserve"> mediante el cual </w:t>
      </w:r>
      <w:r w:rsidR="006B5AB5" w:rsidRPr="000C1446">
        <w:rPr>
          <w:rFonts w:asciiTheme="majorHAnsi" w:hAnsiTheme="majorHAnsi" w:cs="Arial"/>
          <w:sz w:val="20"/>
          <w:szCs w:val="20"/>
          <w:lang w:val="es-ES"/>
        </w:rPr>
        <w:t xml:space="preserve">se </w:t>
      </w:r>
      <w:r w:rsidR="00F60B10" w:rsidRPr="000C1446">
        <w:rPr>
          <w:rFonts w:asciiTheme="majorHAnsi" w:hAnsiTheme="majorHAnsi" w:cs="Arial"/>
          <w:sz w:val="20"/>
          <w:szCs w:val="20"/>
          <w:lang w:val="es-ES"/>
        </w:rPr>
        <w:t>dispuso que toda persona que se creyere perjudicada o lesionada por un acto de gobierno o de otros órganos del Estado, podría proponer o reiterar su acción ante el Tribunal de lo Contencioso Administrativo.  El Estado indica que el Tribunal consideró que las personas podían plantear sus reclamos relacionados a un “acto de gobierno” “en la órbita administrativa que no involucra ni puede involucrar los actos legislativos” y</w:t>
      </w:r>
      <w:r w:rsidR="000100EE" w:rsidRPr="000C1446">
        <w:rPr>
          <w:rFonts w:asciiTheme="majorHAnsi" w:hAnsiTheme="majorHAnsi" w:cs="Arial"/>
          <w:sz w:val="20"/>
          <w:szCs w:val="20"/>
          <w:lang w:val="es-ES"/>
        </w:rPr>
        <w:t>,</w:t>
      </w:r>
      <w:r w:rsidR="00F60B10" w:rsidRPr="000C1446">
        <w:rPr>
          <w:rFonts w:asciiTheme="majorHAnsi" w:hAnsiTheme="majorHAnsi" w:cs="Arial"/>
          <w:sz w:val="20"/>
          <w:szCs w:val="20"/>
          <w:lang w:val="es-ES"/>
        </w:rPr>
        <w:t xml:space="preserve"> por tanto, el Decreto Supremo No. 320 no podía ser derogado sino por el Congreso Nacional. </w:t>
      </w:r>
      <w:r w:rsidR="00B86214" w:rsidRPr="000C1446">
        <w:rPr>
          <w:rFonts w:asciiTheme="majorHAnsi" w:hAnsiTheme="majorHAnsi" w:cs="Arial"/>
          <w:sz w:val="20"/>
          <w:szCs w:val="20"/>
          <w:lang w:val="es-ES"/>
        </w:rPr>
        <w:t>Agrega que</w:t>
      </w:r>
      <w:r w:rsidR="00F60B10" w:rsidRPr="000C1446">
        <w:rPr>
          <w:rFonts w:asciiTheme="majorHAnsi" w:hAnsiTheme="majorHAnsi" w:cs="Arial"/>
          <w:sz w:val="20"/>
          <w:szCs w:val="20"/>
          <w:lang w:val="es-ES"/>
        </w:rPr>
        <w:t xml:space="preserve"> el Tribunal de lo Contencioso Administrativo emitió su sentencia de 18 de </w:t>
      </w:r>
      <w:r w:rsidR="00FA57E1" w:rsidRPr="000C1446">
        <w:rPr>
          <w:rFonts w:asciiTheme="majorHAnsi" w:hAnsiTheme="majorHAnsi" w:cs="Arial"/>
          <w:sz w:val="20"/>
          <w:szCs w:val="20"/>
          <w:lang w:val="es-ES"/>
        </w:rPr>
        <w:t>marzo</w:t>
      </w:r>
      <w:r w:rsidR="00F60B10" w:rsidRPr="000C1446">
        <w:rPr>
          <w:rFonts w:asciiTheme="majorHAnsi" w:hAnsiTheme="majorHAnsi" w:cs="Arial"/>
          <w:sz w:val="20"/>
          <w:szCs w:val="20"/>
          <w:lang w:val="es-ES"/>
        </w:rPr>
        <w:t xml:space="preserve"> de 1985, fundamentada en los artículos 37, 38 y 39 del Código Civil y desechó la demanda por improcedente y por falta de jurisdicción del</w:t>
      </w:r>
      <w:r w:rsidR="00FA57E1" w:rsidRPr="000C1446">
        <w:rPr>
          <w:rFonts w:asciiTheme="majorHAnsi" w:hAnsiTheme="majorHAnsi" w:cs="Arial"/>
          <w:sz w:val="20"/>
          <w:szCs w:val="20"/>
          <w:lang w:val="es-ES"/>
        </w:rPr>
        <w:t xml:space="preserve"> Tribunal. </w:t>
      </w:r>
    </w:p>
    <w:p w:rsidR="00F60B10" w:rsidRPr="000C1446" w:rsidRDefault="00F60B10"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AF3B34" w:rsidRPr="000C1446" w:rsidRDefault="00F60B1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En cuanto a</w:t>
      </w:r>
      <w:r w:rsidR="00AC35A2"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l</w:t>
      </w:r>
      <w:r w:rsidR="00AC35A2" w:rsidRPr="000C1446">
        <w:rPr>
          <w:rFonts w:asciiTheme="majorHAnsi" w:hAnsiTheme="majorHAnsi" w:cs="Arial"/>
          <w:sz w:val="20"/>
          <w:szCs w:val="20"/>
          <w:lang w:val="es-ES"/>
        </w:rPr>
        <w:t xml:space="preserve">a acción de </w:t>
      </w:r>
      <w:r w:rsidR="00AF3B34" w:rsidRPr="000C1446">
        <w:rPr>
          <w:rFonts w:asciiTheme="majorHAnsi" w:hAnsiTheme="majorHAnsi" w:cs="Arial"/>
          <w:sz w:val="20"/>
          <w:szCs w:val="20"/>
          <w:lang w:val="es-ES"/>
        </w:rPr>
        <w:t>inconstitucionalidad en contra del Decreto No. 320</w:t>
      </w:r>
      <w:r w:rsidR="00AC35A2" w:rsidRPr="000C1446">
        <w:rPr>
          <w:rFonts w:asciiTheme="majorHAnsi" w:hAnsiTheme="majorHAnsi" w:cs="Arial"/>
          <w:sz w:val="20"/>
          <w:szCs w:val="20"/>
          <w:lang w:val="es-ES"/>
        </w:rPr>
        <w:t>, el Estado indicó que</w:t>
      </w:r>
      <w:r w:rsidR="00AF3B34" w:rsidRPr="000C1446">
        <w:rPr>
          <w:rFonts w:asciiTheme="majorHAnsi" w:hAnsiTheme="majorHAnsi" w:cs="Arial"/>
          <w:sz w:val="20"/>
          <w:szCs w:val="20"/>
          <w:lang w:val="es-ES"/>
        </w:rPr>
        <w:t xml:space="preserve"> fue presentada ante e</w:t>
      </w:r>
      <w:r w:rsidR="00AC35A2" w:rsidRPr="000C1446">
        <w:rPr>
          <w:rFonts w:asciiTheme="majorHAnsi" w:hAnsiTheme="majorHAnsi" w:cs="Arial"/>
          <w:sz w:val="20"/>
          <w:szCs w:val="20"/>
          <w:lang w:val="es-ES"/>
        </w:rPr>
        <w:t>l entonces Tribunal de Garant</w:t>
      </w:r>
      <w:r w:rsidR="00163141" w:rsidRPr="000C1446">
        <w:rPr>
          <w:rFonts w:asciiTheme="majorHAnsi" w:hAnsiTheme="majorHAnsi" w:cs="Arial"/>
          <w:sz w:val="20"/>
          <w:szCs w:val="20"/>
          <w:lang w:val="es-ES"/>
        </w:rPr>
        <w:t xml:space="preserve">ías Constitucionales </w:t>
      </w:r>
      <w:r w:rsidR="00AF3B34" w:rsidRPr="000C1446">
        <w:rPr>
          <w:rFonts w:asciiTheme="majorHAnsi" w:hAnsiTheme="majorHAnsi" w:cs="Arial"/>
          <w:sz w:val="20"/>
          <w:szCs w:val="20"/>
          <w:lang w:val="es-ES"/>
        </w:rPr>
        <w:t xml:space="preserve">el 12 de febrero de </w:t>
      </w:r>
      <w:r w:rsidR="00503819" w:rsidRPr="000C1446">
        <w:rPr>
          <w:rFonts w:asciiTheme="majorHAnsi" w:hAnsiTheme="majorHAnsi" w:cs="Arial"/>
          <w:sz w:val="20"/>
          <w:szCs w:val="20"/>
          <w:lang w:val="es-ES"/>
        </w:rPr>
        <w:t xml:space="preserve">1993 por el señor James Judge. </w:t>
      </w:r>
      <w:r w:rsidR="00AF3B34" w:rsidRPr="000C1446">
        <w:rPr>
          <w:rFonts w:asciiTheme="majorHAnsi" w:hAnsiTheme="majorHAnsi" w:cs="Arial"/>
          <w:sz w:val="20"/>
          <w:szCs w:val="20"/>
          <w:lang w:val="es-ES"/>
        </w:rPr>
        <w:t xml:space="preserve"> </w:t>
      </w:r>
      <w:r w:rsidR="001F0FD6" w:rsidRPr="000C1446">
        <w:rPr>
          <w:rFonts w:asciiTheme="majorHAnsi" w:hAnsiTheme="majorHAnsi" w:cs="Arial"/>
          <w:sz w:val="20"/>
          <w:szCs w:val="20"/>
          <w:lang w:val="es-ES"/>
        </w:rPr>
        <w:t xml:space="preserve">El Estado resalta que dicha acción fue interpuesta 18 años después de emitido el </w:t>
      </w:r>
      <w:r w:rsidR="00503819" w:rsidRPr="000C1446">
        <w:rPr>
          <w:rFonts w:asciiTheme="majorHAnsi" w:hAnsiTheme="majorHAnsi" w:cs="Arial"/>
          <w:sz w:val="20"/>
          <w:szCs w:val="20"/>
          <w:lang w:val="es-ES"/>
        </w:rPr>
        <w:t>Decreto</w:t>
      </w:r>
      <w:r w:rsidR="001F0FD6" w:rsidRPr="000C1446">
        <w:rPr>
          <w:rFonts w:asciiTheme="majorHAnsi" w:hAnsiTheme="majorHAnsi" w:cs="Arial"/>
          <w:sz w:val="20"/>
          <w:szCs w:val="20"/>
          <w:lang w:val="es-ES"/>
        </w:rPr>
        <w:t xml:space="preserve"> </w:t>
      </w:r>
      <w:r w:rsidR="00503819" w:rsidRPr="000C1446">
        <w:rPr>
          <w:rFonts w:asciiTheme="majorHAnsi" w:hAnsiTheme="majorHAnsi" w:cs="Arial"/>
          <w:sz w:val="20"/>
          <w:szCs w:val="20"/>
          <w:lang w:val="es-ES"/>
        </w:rPr>
        <w:t>N</w:t>
      </w:r>
      <w:r w:rsidR="001F0FD6" w:rsidRPr="000C1446">
        <w:rPr>
          <w:rFonts w:asciiTheme="majorHAnsi" w:hAnsiTheme="majorHAnsi" w:cs="Arial"/>
          <w:sz w:val="20"/>
          <w:szCs w:val="20"/>
          <w:lang w:val="es-ES"/>
        </w:rPr>
        <w:t>o. 320. Señala que e</w:t>
      </w:r>
      <w:r w:rsidR="00AF3B34" w:rsidRPr="000C1446">
        <w:rPr>
          <w:rFonts w:asciiTheme="majorHAnsi" w:hAnsiTheme="majorHAnsi" w:cs="Arial"/>
          <w:sz w:val="20"/>
          <w:szCs w:val="20"/>
          <w:lang w:val="es-ES"/>
        </w:rPr>
        <w:t xml:space="preserve">l 27 de diciembre de 1995, mediante Resolución No. 248-95-CP, el Tribunal desechó la acción y señaló que el Decreto Supremo No. 320 no contravenía el artículo 47 de la constitución de la época que prohibía toda confiscación puesto que el señor Judge nunca adquirió el dominio de lo hallado, debido a que sus actos carecieron de la buena fe exigida por las leyes por no haber pedido autorización a la Casa de la Cultura Ecuatoriana para realizar las excavaciones pertinentes. </w:t>
      </w:r>
      <w:r w:rsidR="002F76E1" w:rsidRPr="000C1446">
        <w:rPr>
          <w:rFonts w:asciiTheme="majorHAnsi" w:hAnsiTheme="majorHAnsi" w:cs="Arial"/>
          <w:sz w:val="20"/>
          <w:szCs w:val="20"/>
          <w:lang w:val="es-ES"/>
        </w:rPr>
        <w:t xml:space="preserve">Agrega que </w:t>
      </w:r>
      <w:r w:rsidR="00AF3B34" w:rsidRPr="000C1446">
        <w:rPr>
          <w:rFonts w:asciiTheme="majorHAnsi" w:hAnsiTheme="majorHAnsi" w:cs="Arial"/>
          <w:sz w:val="20"/>
          <w:szCs w:val="20"/>
          <w:lang w:val="es-ES"/>
        </w:rPr>
        <w:t xml:space="preserve">la Resolución </w:t>
      </w:r>
      <w:r w:rsidR="002F76E1" w:rsidRPr="000C1446">
        <w:rPr>
          <w:rFonts w:asciiTheme="majorHAnsi" w:hAnsiTheme="majorHAnsi" w:cs="Arial"/>
          <w:sz w:val="20"/>
          <w:szCs w:val="20"/>
          <w:lang w:val="es-ES"/>
        </w:rPr>
        <w:t xml:space="preserve">también </w:t>
      </w:r>
      <w:r w:rsidR="00AF3B34" w:rsidRPr="000C1446">
        <w:rPr>
          <w:rFonts w:asciiTheme="majorHAnsi" w:hAnsiTheme="majorHAnsi" w:cs="Arial"/>
          <w:sz w:val="20"/>
          <w:szCs w:val="20"/>
          <w:lang w:val="es-ES"/>
        </w:rPr>
        <w:t xml:space="preserve">indicó que “no se ha demostrado que sobre las mencionadas piezas arqueológicas haya dominio privado, peor en favor del demandante James Judge”. </w:t>
      </w:r>
    </w:p>
    <w:p w:rsidR="00AC35A2" w:rsidRPr="000C1446" w:rsidRDefault="00AC35A2" w:rsidP="00071C55">
      <w:pPr>
        <w:pStyle w:val="ListParagraph"/>
        <w:rPr>
          <w:rFonts w:asciiTheme="majorHAnsi" w:hAnsiTheme="majorHAnsi" w:cs="Arial"/>
          <w:sz w:val="20"/>
          <w:szCs w:val="20"/>
          <w:lang w:val="es-ES"/>
        </w:rPr>
      </w:pPr>
    </w:p>
    <w:p w:rsidR="00AC35A2" w:rsidRPr="000C1446" w:rsidRDefault="00AC35A2"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Estado aclara que, por mandato constitucional de aquella época, la resolución del Tribunal de Garantías Constitucionales no tenía un carácter definitivo y debía ser remitida a la Sala de lo Constitucional de la Corte Suprema de Justicia para la resolución final, lo que se hizo así; sin embargo, el caso no fue conocido por dicha Sala puesto que se produjeron reformas constitucionales en los años 1995</w:t>
      </w:r>
      <w:r w:rsidR="006C1791" w:rsidRPr="000C1446">
        <w:rPr>
          <w:rFonts w:asciiTheme="majorHAnsi" w:hAnsiTheme="majorHAnsi" w:cs="Arial"/>
          <w:sz w:val="20"/>
          <w:szCs w:val="20"/>
          <w:lang w:val="es-ES"/>
        </w:rPr>
        <w:t xml:space="preserve"> y</w:t>
      </w:r>
      <w:r w:rsidRPr="000C1446">
        <w:rPr>
          <w:rFonts w:asciiTheme="majorHAnsi" w:hAnsiTheme="majorHAnsi" w:cs="Arial"/>
          <w:sz w:val="20"/>
          <w:szCs w:val="20"/>
          <w:lang w:val="es-ES"/>
        </w:rPr>
        <w:t xml:space="preserve"> 1996 mediante las cuales se creó el Tribunal Constitucional, en sustitución del Tribunal de Garantías Constitucionales, cuyas decisiones son definitivas e inapelables. </w:t>
      </w:r>
      <w:r w:rsidR="006C1791" w:rsidRPr="000C1446">
        <w:rPr>
          <w:rFonts w:asciiTheme="majorHAnsi" w:hAnsiTheme="majorHAnsi" w:cs="Arial"/>
          <w:sz w:val="20"/>
          <w:szCs w:val="20"/>
          <w:lang w:val="es-ES"/>
        </w:rPr>
        <w:t>Indica que t</w:t>
      </w:r>
      <w:r w:rsidRPr="000C1446">
        <w:rPr>
          <w:rFonts w:asciiTheme="majorHAnsi" w:hAnsiTheme="majorHAnsi" w:cs="Arial"/>
          <w:sz w:val="20"/>
          <w:szCs w:val="20"/>
          <w:lang w:val="es-ES"/>
        </w:rPr>
        <w:t>ransitoriamente se estableció que la Sala de lo Administrativo de la Corte Suprema de Justicia se encargar</w:t>
      </w:r>
      <w:r w:rsidR="00114CEC" w:rsidRPr="000C1446">
        <w:rPr>
          <w:rFonts w:asciiTheme="majorHAnsi" w:hAnsiTheme="majorHAnsi" w:cs="Arial"/>
          <w:sz w:val="20"/>
          <w:szCs w:val="20"/>
          <w:lang w:val="es-ES"/>
        </w:rPr>
        <w:t>ía</w:t>
      </w:r>
      <w:r w:rsidRPr="000C1446">
        <w:rPr>
          <w:rFonts w:asciiTheme="majorHAnsi" w:hAnsiTheme="majorHAnsi" w:cs="Arial"/>
          <w:sz w:val="20"/>
          <w:szCs w:val="20"/>
          <w:lang w:val="es-ES"/>
        </w:rPr>
        <w:t xml:space="preserve"> hasta su conclusión de los procesos que se sustanciaban en la Sala de lo Constitucional de la Corte Suprema de Justicia y los procesos  por recursos de resoluci</w:t>
      </w:r>
      <w:r w:rsidR="00FA57E1" w:rsidRPr="000C1446">
        <w:rPr>
          <w:rFonts w:asciiTheme="majorHAnsi" w:hAnsiTheme="majorHAnsi" w:cs="Arial"/>
          <w:sz w:val="20"/>
          <w:szCs w:val="20"/>
          <w:lang w:val="es-ES"/>
        </w:rPr>
        <w:t xml:space="preserve">ones del Tribunal de Garantías Constitucionales, hasta que se conformara el Tribunal Constitucional. </w:t>
      </w:r>
    </w:p>
    <w:p w:rsidR="00FA57E1" w:rsidRPr="000C1446" w:rsidRDefault="00FA57E1" w:rsidP="00071C55">
      <w:pPr>
        <w:pStyle w:val="ListParagraph"/>
        <w:rPr>
          <w:rFonts w:asciiTheme="majorHAnsi" w:hAnsiTheme="majorHAnsi" w:cs="Arial"/>
          <w:sz w:val="20"/>
          <w:szCs w:val="20"/>
          <w:lang w:val="es-ES"/>
        </w:rPr>
      </w:pPr>
    </w:p>
    <w:p w:rsidR="00FA57E1" w:rsidRPr="000C1446" w:rsidRDefault="00976953"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Estado indica que, s</w:t>
      </w:r>
      <w:r w:rsidR="00FA57E1" w:rsidRPr="000C1446">
        <w:rPr>
          <w:rFonts w:asciiTheme="majorHAnsi" w:hAnsiTheme="majorHAnsi" w:cs="Arial"/>
          <w:sz w:val="20"/>
          <w:szCs w:val="20"/>
          <w:lang w:val="es-ES"/>
        </w:rPr>
        <w:t xml:space="preserve">in embargo, la Sala de lo Administrativo de la Corte Suprema de Justicia expidió auto inhibitorio el 8 de febrero de 1999, en el cual argumenta que perdió competencia para conocer las resoluciones del Tribunal de Garantías Constitucionales, por cuanto para esa fecha ya había entrado en vigor </w:t>
      </w:r>
      <w:r w:rsidR="0060364E" w:rsidRPr="000C1446">
        <w:rPr>
          <w:rFonts w:asciiTheme="majorHAnsi" w:hAnsiTheme="majorHAnsi" w:cs="Arial"/>
          <w:sz w:val="20"/>
          <w:szCs w:val="20"/>
          <w:lang w:val="es-ES"/>
        </w:rPr>
        <w:t>el</w:t>
      </w:r>
      <w:r w:rsidR="00FA57E1" w:rsidRPr="000C1446">
        <w:rPr>
          <w:rFonts w:asciiTheme="majorHAnsi" w:hAnsiTheme="majorHAnsi" w:cs="Arial"/>
          <w:sz w:val="20"/>
          <w:szCs w:val="20"/>
          <w:lang w:val="es-ES"/>
        </w:rPr>
        <w:t xml:space="preserve"> nuevo texto constitucional de 1998</w:t>
      </w:r>
      <w:r w:rsidR="0060364E" w:rsidRPr="000C1446">
        <w:rPr>
          <w:rFonts w:asciiTheme="majorHAnsi" w:hAnsiTheme="majorHAnsi" w:cs="Arial"/>
          <w:sz w:val="20"/>
          <w:szCs w:val="20"/>
          <w:lang w:val="es-ES"/>
        </w:rPr>
        <w:t xml:space="preserve"> que creó el Tribunal Constitucional en reemplazo del Tribunal de Garantías Constitucionales. </w:t>
      </w:r>
      <w:r w:rsidR="00FA57E1" w:rsidRPr="000C1446">
        <w:rPr>
          <w:rFonts w:asciiTheme="majorHAnsi" w:hAnsiTheme="majorHAnsi" w:cs="Arial"/>
          <w:sz w:val="20"/>
          <w:szCs w:val="20"/>
          <w:lang w:val="es-ES"/>
        </w:rPr>
        <w:t xml:space="preserve"> El Estado afirma que, por ello, la resolución del Tribunal de Garantías Constitucionales quedó firme, agotando los recursos de jurisdicción interna. </w:t>
      </w:r>
    </w:p>
    <w:p w:rsidR="00AF3B34" w:rsidRPr="000C1446" w:rsidRDefault="00AF3B34" w:rsidP="00071C55">
      <w:pPr>
        <w:pStyle w:val="ListParagraph"/>
        <w:rPr>
          <w:rFonts w:asciiTheme="majorHAnsi" w:hAnsiTheme="majorHAnsi" w:cs="Arial"/>
          <w:sz w:val="20"/>
          <w:szCs w:val="20"/>
          <w:lang w:val="es-ES"/>
        </w:rPr>
      </w:pPr>
    </w:p>
    <w:p w:rsidR="006914F5" w:rsidRPr="000C1446" w:rsidRDefault="006914F5"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Así el Estado afirma que el señor Judge no fue ni es propietario de los bienes arqueológicos que reclama.  </w:t>
      </w:r>
      <w:r w:rsidR="00976953" w:rsidRPr="000C1446">
        <w:rPr>
          <w:rFonts w:asciiTheme="majorHAnsi" w:hAnsiTheme="majorHAnsi" w:cs="Arial"/>
          <w:sz w:val="20"/>
          <w:szCs w:val="20"/>
          <w:lang w:val="es-ES"/>
        </w:rPr>
        <w:t xml:space="preserve"> Señala</w:t>
      </w:r>
      <w:r w:rsidR="005C2A29" w:rsidRPr="000C1446">
        <w:rPr>
          <w:rFonts w:asciiTheme="majorHAnsi" w:hAnsiTheme="majorHAnsi" w:cs="Arial"/>
          <w:sz w:val="20"/>
          <w:szCs w:val="20"/>
          <w:lang w:val="es-ES"/>
        </w:rPr>
        <w:t xml:space="preserve"> que f</w:t>
      </w:r>
      <w:r w:rsidRPr="000C1446">
        <w:rPr>
          <w:rFonts w:asciiTheme="majorHAnsi" w:hAnsiTheme="majorHAnsi" w:cs="Arial"/>
          <w:sz w:val="20"/>
          <w:szCs w:val="20"/>
          <w:lang w:val="es-ES"/>
        </w:rPr>
        <w:t>ue gracias a la intervención de la Policía Nacional</w:t>
      </w:r>
      <w:r w:rsidR="005C2A29"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 que recuperó las piezas que le fueron robadas al señor Judge</w:t>
      </w:r>
      <w:r w:rsidR="005C2A29"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 que se tuvo conocimiento de las piezas arqueológicas ya que hasta ese momento no había informado a la Casa de la Cultura que las tenía en su poder, violando el artículo 2 de la  Ley de Patrimonio Artístico que disponía que: </w:t>
      </w:r>
    </w:p>
    <w:p w:rsidR="006914F5" w:rsidRPr="000C1446" w:rsidRDefault="006914F5" w:rsidP="00071C55">
      <w:pPr>
        <w:pStyle w:val="ListParagraph"/>
        <w:rPr>
          <w:rFonts w:asciiTheme="majorHAnsi" w:hAnsiTheme="majorHAnsi" w:cs="Arial"/>
          <w:sz w:val="20"/>
          <w:szCs w:val="20"/>
          <w:lang w:val="es-ES"/>
        </w:rPr>
      </w:pPr>
    </w:p>
    <w:p w:rsidR="006914F5" w:rsidRPr="000C1446" w:rsidRDefault="006914F5"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Los […] tenedores de objetos comprendidos en la enumeración del artículo anterior, están obligados a poner en conocimiento de la Casa de la Cultura Ecuatoriana, la </w:t>
      </w:r>
      <w:r w:rsidR="006B5AB5" w:rsidRPr="000C1446">
        <w:rPr>
          <w:rFonts w:asciiTheme="majorHAnsi" w:hAnsiTheme="majorHAnsi" w:cs="Arial"/>
          <w:sz w:val="20"/>
          <w:szCs w:val="20"/>
          <w:lang w:val="es-ES"/>
        </w:rPr>
        <w:t>existencia</w:t>
      </w:r>
      <w:r w:rsidRPr="000C1446">
        <w:rPr>
          <w:rFonts w:asciiTheme="majorHAnsi" w:hAnsiTheme="majorHAnsi" w:cs="Arial"/>
          <w:sz w:val="20"/>
          <w:szCs w:val="20"/>
          <w:lang w:val="es-ES"/>
        </w:rPr>
        <w:t xml:space="preserve"> de </w:t>
      </w:r>
      <w:r w:rsidR="006B5AB5" w:rsidRPr="000C1446">
        <w:rPr>
          <w:rFonts w:asciiTheme="majorHAnsi" w:hAnsiTheme="majorHAnsi" w:cs="Arial"/>
          <w:sz w:val="20"/>
          <w:szCs w:val="20"/>
          <w:lang w:val="es-ES"/>
        </w:rPr>
        <w:t>dichos</w:t>
      </w:r>
      <w:r w:rsidRPr="000C1446">
        <w:rPr>
          <w:rFonts w:asciiTheme="majorHAnsi" w:hAnsiTheme="majorHAnsi" w:cs="Arial"/>
          <w:sz w:val="20"/>
          <w:szCs w:val="20"/>
          <w:lang w:val="es-ES"/>
        </w:rPr>
        <w:t xml:space="preserve"> objetos que se encontraren en el Ecuador… </w:t>
      </w:r>
    </w:p>
    <w:p w:rsidR="006914F5" w:rsidRPr="000C1446" w:rsidRDefault="006914F5" w:rsidP="00071C55">
      <w:pPr>
        <w:pStyle w:val="ListParagraph"/>
        <w:rPr>
          <w:rFonts w:asciiTheme="majorHAnsi" w:hAnsiTheme="majorHAnsi" w:cs="Arial"/>
          <w:sz w:val="20"/>
          <w:szCs w:val="20"/>
          <w:lang w:val="es-ES"/>
        </w:rPr>
      </w:pPr>
    </w:p>
    <w:p w:rsidR="00073FCB" w:rsidRPr="000C1446" w:rsidRDefault="00073FCB"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Estado insiste en que además de las acciones ilegales  cometidas por el peticionario, se </w:t>
      </w:r>
      <w:r w:rsidR="004133F2" w:rsidRPr="000C1446">
        <w:rPr>
          <w:rFonts w:asciiTheme="majorHAnsi" w:hAnsiTheme="majorHAnsi" w:cs="Arial"/>
          <w:sz w:val="20"/>
          <w:szCs w:val="20"/>
          <w:lang w:val="es-ES"/>
        </w:rPr>
        <w:t xml:space="preserve">debe tener en cuenta que </w:t>
      </w:r>
      <w:r w:rsidRPr="000C1446">
        <w:rPr>
          <w:rFonts w:asciiTheme="majorHAnsi" w:hAnsiTheme="majorHAnsi" w:cs="Arial"/>
          <w:sz w:val="20"/>
          <w:szCs w:val="20"/>
          <w:lang w:val="es-ES"/>
        </w:rPr>
        <w:t xml:space="preserve">la autorización de prospección fue concedida por la Casa de la Cultura </w:t>
      </w:r>
      <w:r w:rsidR="00442B01" w:rsidRPr="000C1446">
        <w:rPr>
          <w:rFonts w:asciiTheme="majorHAnsi" w:hAnsiTheme="majorHAnsi" w:cs="Arial"/>
          <w:sz w:val="20"/>
          <w:szCs w:val="20"/>
          <w:lang w:val="es-ES"/>
        </w:rPr>
        <w:t xml:space="preserve">a otra persona y no </w:t>
      </w:r>
      <w:r w:rsidRPr="000C1446">
        <w:rPr>
          <w:rFonts w:asciiTheme="majorHAnsi" w:hAnsiTheme="majorHAnsi" w:cs="Arial"/>
          <w:sz w:val="20"/>
          <w:szCs w:val="20"/>
          <w:lang w:val="es-ES"/>
        </w:rPr>
        <w:t xml:space="preserve">al señor Judge, sobre quien no se había realizado ninguna evaluación para probar su idoneidad. </w:t>
      </w:r>
    </w:p>
    <w:p w:rsidR="00051CFA" w:rsidRPr="000C1446" w:rsidRDefault="00051CFA" w:rsidP="00071C55">
      <w:pPr>
        <w:pStyle w:val="ListParagraph"/>
        <w:rPr>
          <w:rFonts w:asciiTheme="majorHAnsi" w:hAnsiTheme="majorHAnsi" w:cs="Arial"/>
          <w:sz w:val="20"/>
          <w:szCs w:val="20"/>
          <w:lang w:val="es-ES"/>
        </w:rPr>
      </w:pPr>
    </w:p>
    <w:p w:rsidR="00051CFA" w:rsidRPr="000C1446" w:rsidRDefault="00051CFA"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Agrega que el</w:t>
      </w:r>
      <w:r w:rsidR="00E73D21" w:rsidRPr="000C1446">
        <w:rPr>
          <w:rFonts w:asciiTheme="majorHAnsi" w:hAnsiTheme="majorHAnsi" w:cs="Arial"/>
          <w:sz w:val="20"/>
          <w:szCs w:val="20"/>
          <w:lang w:val="es-ES"/>
        </w:rPr>
        <w:t xml:space="preserve"> peticionario basa su reclamo, </w:t>
      </w:r>
      <w:r w:rsidRPr="000C1446">
        <w:rPr>
          <w:rFonts w:asciiTheme="majorHAnsi" w:hAnsiTheme="majorHAnsi" w:cs="Arial"/>
          <w:sz w:val="20"/>
          <w:szCs w:val="20"/>
          <w:lang w:val="es-ES"/>
        </w:rPr>
        <w:t>respecto de que le corresponde la mitad del tesoro encontrado, en el Código Civil de 1970 que, además, es posterior al hallazgo de los bienes que</w:t>
      </w:r>
      <w:r w:rsidR="00493E29"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fueron </w:t>
      </w:r>
      <w:r w:rsidR="001F0FD6" w:rsidRPr="000C1446">
        <w:rPr>
          <w:rFonts w:asciiTheme="majorHAnsi" w:hAnsiTheme="majorHAnsi" w:cs="Arial"/>
          <w:sz w:val="20"/>
          <w:szCs w:val="20"/>
          <w:lang w:val="es-ES"/>
        </w:rPr>
        <w:t>descubiertos</w:t>
      </w:r>
      <w:r w:rsidRPr="000C1446">
        <w:rPr>
          <w:rFonts w:asciiTheme="majorHAnsi" w:hAnsiTheme="majorHAnsi" w:cs="Arial"/>
          <w:sz w:val="20"/>
          <w:szCs w:val="20"/>
          <w:lang w:val="es-ES"/>
        </w:rPr>
        <w:t xml:space="preserve"> el 20 de enero de 1969. </w:t>
      </w:r>
      <w:r w:rsidR="00442B01" w:rsidRPr="000C1446">
        <w:rPr>
          <w:rFonts w:asciiTheme="majorHAnsi" w:hAnsiTheme="majorHAnsi" w:cs="Arial"/>
          <w:sz w:val="20"/>
          <w:szCs w:val="20"/>
          <w:lang w:val="es-ES"/>
        </w:rPr>
        <w:t>Señala que, a</w:t>
      </w:r>
      <w:r w:rsidR="00E73D21" w:rsidRPr="000C1446">
        <w:rPr>
          <w:rFonts w:asciiTheme="majorHAnsi" w:hAnsiTheme="majorHAnsi" w:cs="Arial"/>
          <w:sz w:val="20"/>
          <w:szCs w:val="20"/>
          <w:lang w:val="es-ES"/>
        </w:rPr>
        <w:t>demás, se encontraba vigente la mencionada Ley de Patrimonio Artístico, rigiendo la ley especial sobre la general. Agrega que a la fecha de los hechos, aplicaba la Constitución de 1967, que en su artículo 58 establecía que:</w:t>
      </w:r>
    </w:p>
    <w:p w:rsidR="00E73D21" w:rsidRPr="000C1446" w:rsidRDefault="00E73D21" w:rsidP="00071C55">
      <w:pPr>
        <w:pStyle w:val="ListParagraph"/>
        <w:rPr>
          <w:rFonts w:asciiTheme="majorHAnsi" w:hAnsiTheme="majorHAnsi" w:cs="Arial"/>
          <w:sz w:val="20"/>
          <w:szCs w:val="20"/>
          <w:lang w:val="es-ES"/>
        </w:rPr>
      </w:pPr>
    </w:p>
    <w:p w:rsidR="00E73D21" w:rsidRPr="000C1446" w:rsidRDefault="00E73D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La riqueza artística y la arqueológica, igual que los documentos fundamentales para la historia del país, sean quienes fueren sus dueños, constituyen patrimonio cultural de la nación y están bajo el control del Estado, el cual podrá prohibir o reglamentar su enajenación o exportación y decretar las expropiaciones que estimare oportunas para su defensa, con arreglo en la ley</w:t>
      </w:r>
      <w:r w:rsidR="002C58D0" w:rsidRPr="000C1446">
        <w:rPr>
          <w:rFonts w:asciiTheme="majorHAnsi" w:hAnsiTheme="majorHAnsi" w:cs="Arial"/>
          <w:sz w:val="20"/>
          <w:szCs w:val="20"/>
          <w:lang w:val="es-ES"/>
        </w:rPr>
        <w:t>.</w:t>
      </w:r>
      <w:r w:rsidRPr="000C1446">
        <w:rPr>
          <w:rFonts w:asciiTheme="majorHAnsi" w:hAnsiTheme="majorHAnsi" w:cs="Arial"/>
          <w:sz w:val="20"/>
          <w:szCs w:val="20"/>
          <w:lang w:val="es-ES"/>
        </w:rPr>
        <w:t xml:space="preserve"> </w:t>
      </w:r>
    </w:p>
    <w:p w:rsidR="00051CFA" w:rsidRPr="000C1446" w:rsidRDefault="00051CFA" w:rsidP="00071C55">
      <w:pPr>
        <w:pStyle w:val="ListParagraph"/>
        <w:rPr>
          <w:rFonts w:asciiTheme="majorHAnsi" w:hAnsiTheme="majorHAnsi" w:cs="Arial"/>
          <w:sz w:val="20"/>
          <w:szCs w:val="20"/>
          <w:lang w:val="es-ES"/>
        </w:rPr>
      </w:pPr>
    </w:p>
    <w:p w:rsidR="00051CFA" w:rsidRPr="000C1446" w:rsidRDefault="00EB68B4"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Estado </w:t>
      </w:r>
      <w:r w:rsidR="00545116">
        <w:rPr>
          <w:rFonts w:asciiTheme="majorHAnsi" w:hAnsiTheme="majorHAnsi" w:cs="Arial"/>
          <w:sz w:val="20"/>
          <w:szCs w:val="20"/>
          <w:lang w:val="es-ES"/>
        </w:rPr>
        <w:t>argumenta</w:t>
      </w:r>
      <w:r w:rsidRPr="000C1446">
        <w:rPr>
          <w:rFonts w:asciiTheme="majorHAnsi" w:hAnsiTheme="majorHAnsi" w:cs="Arial"/>
          <w:sz w:val="20"/>
          <w:szCs w:val="20"/>
          <w:lang w:val="es-ES"/>
        </w:rPr>
        <w:t xml:space="preserve"> que a pesar de que las piezas arqueológicas extraídas ilegalmente por el señor Judge no encajan </w:t>
      </w:r>
      <w:r w:rsidR="006B5AB5" w:rsidRPr="000C1446">
        <w:rPr>
          <w:rFonts w:asciiTheme="majorHAnsi" w:hAnsiTheme="majorHAnsi" w:cs="Arial"/>
          <w:sz w:val="20"/>
          <w:szCs w:val="20"/>
          <w:lang w:val="es-ES"/>
        </w:rPr>
        <w:t>dentro de la calificación de te</w:t>
      </w:r>
      <w:r w:rsidRPr="000C1446">
        <w:rPr>
          <w:rFonts w:asciiTheme="majorHAnsi" w:hAnsiTheme="majorHAnsi" w:cs="Arial"/>
          <w:sz w:val="20"/>
          <w:szCs w:val="20"/>
          <w:lang w:val="es-ES"/>
        </w:rPr>
        <w:t>soro realizada por el Código Civil de 1950 – vigente a la época de los hechos</w:t>
      </w:r>
      <w:r w:rsidR="002C58D0" w:rsidRPr="000C1446">
        <w:rPr>
          <w:rFonts w:asciiTheme="majorHAnsi" w:hAnsiTheme="majorHAnsi" w:cs="Arial"/>
          <w:sz w:val="20"/>
          <w:szCs w:val="20"/>
          <w:lang w:val="es-ES"/>
        </w:rPr>
        <w:t xml:space="preserve"> </w:t>
      </w:r>
      <w:r w:rsidR="006F086A" w:rsidRPr="000C1446">
        <w:rPr>
          <w:rFonts w:asciiTheme="majorHAnsi" w:hAnsiTheme="majorHAnsi" w:cs="Arial"/>
          <w:sz w:val="20"/>
          <w:szCs w:val="20"/>
          <w:lang w:val="es-ES"/>
        </w:rPr>
        <w:t>–</w:t>
      </w:r>
      <w:r w:rsidRPr="000C1446">
        <w:rPr>
          <w:rFonts w:asciiTheme="majorHAnsi" w:hAnsiTheme="majorHAnsi" w:cs="Arial"/>
          <w:sz w:val="20"/>
          <w:szCs w:val="20"/>
          <w:lang w:val="es-ES"/>
        </w:rPr>
        <w:t xml:space="preserve">  incluso para reclamar un tesoro privado, las condiciones establecidas indicaban que no haya indicio de su dueño, que el descubrimiento sea fortuito o se haya realizado la búsqueda con permiso del dueño</w:t>
      </w:r>
      <w:r w:rsidR="006F086A" w:rsidRPr="000C1446">
        <w:rPr>
          <w:rFonts w:asciiTheme="majorHAnsi" w:hAnsiTheme="majorHAnsi" w:cs="Arial"/>
          <w:sz w:val="20"/>
          <w:szCs w:val="20"/>
          <w:lang w:val="es-ES"/>
        </w:rPr>
        <w:t>.</w:t>
      </w:r>
      <w:r w:rsidRPr="000C1446">
        <w:rPr>
          <w:rFonts w:asciiTheme="majorHAnsi" w:hAnsiTheme="majorHAnsi" w:cs="Arial"/>
          <w:sz w:val="20"/>
          <w:szCs w:val="20"/>
          <w:lang w:val="es-ES"/>
        </w:rPr>
        <w:t xml:space="preserve"> </w:t>
      </w:r>
      <w:r w:rsidR="006F086A" w:rsidRPr="000C1446">
        <w:rPr>
          <w:rFonts w:asciiTheme="majorHAnsi" w:hAnsiTheme="majorHAnsi" w:cs="Arial"/>
          <w:sz w:val="20"/>
          <w:szCs w:val="20"/>
          <w:lang w:val="es-ES"/>
        </w:rPr>
        <w:t>E</w:t>
      </w:r>
      <w:r w:rsidR="00C27E39" w:rsidRPr="000C1446">
        <w:rPr>
          <w:rFonts w:asciiTheme="majorHAnsi" w:hAnsiTheme="majorHAnsi" w:cs="Arial"/>
          <w:sz w:val="20"/>
          <w:szCs w:val="20"/>
          <w:lang w:val="es-ES"/>
        </w:rPr>
        <w:t xml:space="preserve">l Estado afirma que </w:t>
      </w:r>
      <w:r w:rsidRPr="000C1446">
        <w:rPr>
          <w:rFonts w:asciiTheme="majorHAnsi" w:hAnsiTheme="majorHAnsi" w:cs="Arial"/>
          <w:sz w:val="20"/>
          <w:szCs w:val="20"/>
          <w:lang w:val="es-ES"/>
        </w:rPr>
        <w:t xml:space="preserve">las piezas estaban en control del Estado y no se encontraban abandonadas. </w:t>
      </w:r>
    </w:p>
    <w:p w:rsidR="006914F5" w:rsidRPr="000C1446" w:rsidRDefault="006914F5" w:rsidP="00071C55">
      <w:pPr>
        <w:pStyle w:val="ListParagraph"/>
        <w:rPr>
          <w:rFonts w:asciiTheme="majorHAnsi" w:hAnsiTheme="majorHAnsi" w:cs="Arial"/>
          <w:sz w:val="20"/>
          <w:szCs w:val="20"/>
          <w:lang w:val="es-ES"/>
        </w:rPr>
      </w:pPr>
    </w:p>
    <w:p w:rsidR="00F60B10" w:rsidRPr="000C1446" w:rsidRDefault="00AB3D0B"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w:t>
      </w:r>
      <w:r w:rsidR="00C27E39" w:rsidRPr="000C1446">
        <w:rPr>
          <w:rFonts w:asciiTheme="majorHAnsi" w:hAnsiTheme="majorHAnsi" w:cs="Arial"/>
          <w:sz w:val="20"/>
          <w:szCs w:val="20"/>
          <w:lang w:val="es-ES"/>
        </w:rPr>
        <w:t>Estado</w:t>
      </w:r>
      <w:r w:rsidR="00936E4D" w:rsidRPr="000C1446">
        <w:rPr>
          <w:rFonts w:asciiTheme="majorHAnsi" w:hAnsiTheme="majorHAnsi" w:cs="Arial"/>
          <w:sz w:val="20"/>
          <w:szCs w:val="20"/>
          <w:lang w:val="es-ES"/>
        </w:rPr>
        <w:t xml:space="preserve"> indica </w:t>
      </w:r>
      <w:r w:rsidR="00C27E39" w:rsidRPr="000C1446">
        <w:rPr>
          <w:rFonts w:asciiTheme="majorHAnsi" w:hAnsiTheme="majorHAnsi" w:cs="Arial"/>
          <w:sz w:val="20"/>
          <w:szCs w:val="20"/>
          <w:lang w:val="es-ES"/>
        </w:rPr>
        <w:t xml:space="preserve">que, según el </w:t>
      </w:r>
      <w:r w:rsidRPr="000C1446">
        <w:rPr>
          <w:rFonts w:asciiTheme="majorHAnsi" w:hAnsiTheme="majorHAnsi" w:cs="Arial"/>
          <w:sz w:val="20"/>
          <w:szCs w:val="20"/>
          <w:lang w:val="es-ES"/>
        </w:rPr>
        <w:t>peticionario la legislación de la época no prohibía hacer la transferencia de derechos</w:t>
      </w:r>
      <w:r w:rsidR="007112CC" w:rsidRPr="000C1446">
        <w:rPr>
          <w:rFonts w:asciiTheme="majorHAnsi" w:hAnsiTheme="majorHAnsi" w:cs="Arial"/>
          <w:sz w:val="20"/>
          <w:szCs w:val="20"/>
          <w:lang w:val="es-ES"/>
        </w:rPr>
        <w:t xml:space="preserve">; </w:t>
      </w:r>
      <w:r w:rsidR="006F086A" w:rsidRPr="000C1446">
        <w:rPr>
          <w:rFonts w:asciiTheme="majorHAnsi" w:hAnsiTheme="majorHAnsi" w:cs="Arial"/>
          <w:sz w:val="20"/>
          <w:szCs w:val="20"/>
          <w:lang w:val="es-ES"/>
        </w:rPr>
        <w:t>si</w:t>
      </w:r>
      <w:r w:rsidRPr="000C1446">
        <w:rPr>
          <w:rFonts w:asciiTheme="majorHAnsi" w:hAnsiTheme="majorHAnsi" w:cs="Arial"/>
          <w:sz w:val="20"/>
          <w:szCs w:val="20"/>
          <w:lang w:val="es-ES"/>
        </w:rPr>
        <w:t>n embargo, en el análisis realizado por el Tribunal de Garantías Constitucionales se concluye que “… se habría realizado la cesión contra la prohibición del artículo 5 de la Ley de Patrimonio Artístico y contra la naturaleza jurídica del permiso conferido por la Casa de la Cultura, indudableme</w:t>
      </w:r>
      <w:r w:rsidR="00503819" w:rsidRPr="000C1446">
        <w:rPr>
          <w:rFonts w:asciiTheme="majorHAnsi" w:hAnsiTheme="majorHAnsi" w:cs="Arial"/>
          <w:sz w:val="20"/>
          <w:szCs w:val="20"/>
          <w:lang w:val="es-ES"/>
        </w:rPr>
        <w:t>nte personal e intransferible”.</w:t>
      </w:r>
      <w:r w:rsidR="00AF3B34" w:rsidRPr="000C1446">
        <w:rPr>
          <w:rFonts w:asciiTheme="majorHAnsi" w:hAnsiTheme="majorHAnsi" w:cs="Arial"/>
          <w:sz w:val="20"/>
          <w:szCs w:val="20"/>
          <w:lang w:val="es-ES"/>
        </w:rPr>
        <w:t xml:space="preserve"> </w:t>
      </w:r>
    </w:p>
    <w:p w:rsidR="00751E21" w:rsidRPr="000C1446" w:rsidRDefault="00751E21" w:rsidP="00071C55">
      <w:pPr>
        <w:pStyle w:val="ListParagraph"/>
        <w:rPr>
          <w:rFonts w:asciiTheme="majorHAnsi" w:hAnsiTheme="majorHAnsi" w:cs="Arial"/>
          <w:sz w:val="20"/>
          <w:szCs w:val="20"/>
          <w:lang w:val="es-ES"/>
        </w:rPr>
      </w:pPr>
    </w:p>
    <w:p w:rsidR="00F80788" w:rsidRPr="000C1446" w:rsidRDefault="00F80788"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Estado afirma que el proceso se llevó a cabo en el marco del debido proceso, en el cual, tanto el accionante como el Estado, a través de sus representantes legales como accionados, presentaron sus argumentos escritos a lo largo de la tramitación. </w:t>
      </w:r>
      <w:r w:rsidR="00791617" w:rsidRPr="000C1446">
        <w:rPr>
          <w:rFonts w:asciiTheme="majorHAnsi" w:hAnsiTheme="majorHAnsi" w:cs="Arial"/>
          <w:sz w:val="20"/>
          <w:szCs w:val="20"/>
          <w:lang w:val="es-ES"/>
        </w:rPr>
        <w:t>Señala que, e</w:t>
      </w:r>
      <w:r w:rsidRPr="000C1446">
        <w:rPr>
          <w:rFonts w:asciiTheme="majorHAnsi" w:hAnsiTheme="majorHAnsi" w:cs="Arial"/>
          <w:sz w:val="20"/>
          <w:szCs w:val="20"/>
          <w:lang w:val="es-ES"/>
        </w:rPr>
        <w:t>n esa perspectiva, el Tribunal de Garantías Constitucionales emitió la Resolución No. 248-95-CP del 27 de diciembre de 1995, mediante la cual desechó la demanda formulada por el peticionario</w:t>
      </w:r>
      <w:r w:rsidR="00791617" w:rsidRPr="000C1446">
        <w:rPr>
          <w:rFonts w:asciiTheme="majorHAnsi" w:hAnsiTheme="majorHAnsi" w:cs="Arial"/>
          <w:sz w:val="20"/>
          <w:szCs w:val="20"/>
          <w:lang w:val="es-ES"/>
        </w:rPr>
        <w:t xml:space="preserve">, decisión que </w:t>
      </w:r>
      <w:r w:rsidRPr="000C1446">
        <w:rPr>
          <w:rFonts w:asciiTheme="majorHAnsi" w:hAnsiTheme="majorHAnsi" w:cs="Arial"/>
          <w:sz w:val="20"/>
          <w:szCs w:val="20"/>
          <w:lang w:val="es-ES"/>
        </w:rPr>
        <w:t>estuvo debidamente motivada</w:t>
      </w:r>
      <w:r w:rsidR="00F27FDB" w:rsidRPr="000C1446">
        <w:rPr>
          <w:rFonts w:asciiTheme="majorHAnsi" w:hAnsiTheme="majorHAnsi" w:cs="Arial"/>
          <w:sz w:val="20"/>
          <w:szCs w:val="20"/>
          <w:lang w:val="es-ES"/>
        </w:rPr>
        <w:t xml:space="preserve">. </w:t>
      </w:r>
      <w:r w:rsidR="00791617" w:rsidRPr="000C1446">
        <w:rPr>
          <w:rFonts w:asciiTheme="majorHAnsi" w:hAnsiTheme="majorHAnsi" w:cs="Arial"/>
          <w:sz w:val="20"/>
          <w:szCs w:val="20"/>
          <w:lang w:val="es-ES"/>
        </w:rPr>
        <w:t>Según el Estado, e</w:t>
      </w:r>
      <w:r w:rsidR="00F27FDB" w:rsidRPr="000C1446">
        <w:rPr>
          <w:rFonts w:asciiTheme="majorHAnsi" w:hAnsiTheme="majorHAnsi" w:cs="Arial"/>
          <w:sz w:val="20"/>
          <w:szCs w:val="20"/>
          <w:lang w:val="es-ES"/>
        </w:rPr>
        <w:t xml:space="preserve">l procedimiento que resolvió la acción de inconstitucionalidad se desarrolló dentro del principio de legalidad y el peticionario fue oído con las debidas garantías y dentro de un plazo razonable por un tribunal competente establecido por la ley. </w:t>
      </w:r>
    </w:p>
    <w:p w:rsidR="00F27FDB" w:rsidRPr="000C1446" w:rsidRDefault="00F27FDB"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F27FDB" w:rsidRPr="000C1446" w:rsidRDefault="00791617"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Agrega que e</w:t>
      </w:r>
      <w:r w:rsidR="00884513" w:rsidRPr="000C1446">
        <w:rPr>
          <w:rFonts w:asciiTheme="majorHAnsi" w:hAnsiTheme="majorHAnsi" w:cs="Arial"/>
          <w:sz w:val="20"/>
          <w:szCs w:val="20"/>
          <w:lang w:val="es-ES"/>
        </w:rPr>
        <w:t xml:space="preserve">l proceso </w:t>
      </w:r>
      <w:r w:rsidR="00C37B2C" w:rsidRPr="000C1446">
        <w:rPr>
          <w:rFonts w:asciiTheme="majorHAnsi" w:hAnsiTheme="majorHAnsi" w:cs="Arial"/>
          <w:sz w:val="20"/>
          <w:szCs w:val="20"/>
          <w:lang w:val="es-ES"/>
        </w:rPr>
        <w:t xml:space="preserve">contencioso administrativo </w:t>
      </w:r>
      <w:r w:rsidR="00884513" w:rsidRPr="000C1446">
        <w:rPr>
          <w:rFonts w:asciiTheme="majorHAnsi" w:hAnsiTheme="majorHAnsi" w:cs="Arial"/>
          <w:sz w:val="20"/>
          <w:szCs w:val="20"/>
          <w:lang w:val="es-ES"/>
        </w:rPr>
        <w:t xml:space="preserve">se desarrolló en el marco de la legalidad y el debido proceso y el mismo fue sustanciado cumpliendo todas las formalidades procesales que establece la ley para los juicios de esta naturaleza. </w:t>
      </w:r>
      <w:r w:rsidRPr="000C1446">
        <w:rPr>
          <w:rFonts w:asciiTheme="majorHAnsi" w:hAnsiTheme="majorHAnsi" w:cs="Arial"/>
          <w:sz w:val="20"/>
          <w:szCs w:val="20"/>
          <w:lang w:val="es-ES"/>
        </w:rPr>
        <w:t xml:space="preserve">Alega que </w:t>
      </w:r>
      <w:r w:rsidR="00884513" w:rsidRPr="000C1446">
        <w:rPr>
          <w:rFonts w:asciiTheme="majorHAnsi" w:hAnsiTheme="majorHAnsi" w:cs="Arial"/>
          <w:sz w:val="20"/>
          <w:szCs w:val="20"/>
          <w:lang w:val="es-ES"/>
        </w:rPr>
        <w:t>el peticionario tuvo la posibilidad de</w:t>
      </w:r>
      <w:r w:rsidR="00F75DE4" w:rsidRPr="000C1446">
        <w:rPr>
          <w:rFonts w:asciiTheme="majorHAnsi" w:hAnsiTheme="majorHAnsi" w:cs="Arial"/>
          <w:sz w:val="20"/>
          <w:szCs w:val="20"/>
          <w:lang w:val="es-ES"/>
        </w:rPr>
        <w:t xml:space="preserve"> tener</w:t>
      </w:r>
      <w:r w:rsidR="00884513" w:rsidRPr="000C1446">
        <w:rPr>
          <w:rFonts w:asciiTheme="majorHAnsi" w:hAnsiTheme="majorHAnsi" w:cs="Arial"/>
          <w:sz w:val="20"/>
          <w:szCs w:val="20"/>
          <w:lang w:val="es-ES"/>
        </w:rPr>
        <w:t xml:space="preserve"> acceso a la justicia al presentar la demanda ante los tribunales ecuatorianos. </w:t>
      </w:r>
    </w:p>
    <w:p w:rsidR="00884513" w:rsidRPr="000C1446" w:rsidRDefault="00884513" w:rsidP="00071C55">
      <w:pPr>
        <w:pStyle w:val="ListParagraph"/>
        <w:rPr>
          <w:rFonts w:asciiTheme="majorHAnsi" w:hAnsiTheme="majorHAnsi" w:cs="Arial"/>
          <w:sz w:val="20"/>
          <w:szCs w:val="20"/>
          <w:lang w:val="es-ES"/>
        </w:rPr>
      </w:pPr>
    </w:p>
    <w:p w:rsidR="00884513" w:rsidRPr="000C1446" w:rsidRDefault="00390711"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Estado argumenta que e</w:t>
      </w:r>
      <w:r w:rsidR="00884513" w:rsidRPr="000C1446">
        <w:rPr>
          <w:rFonts w:asciiTheme="majorHAnsi" w:hAnsiTheme="majorHAnsi" w:cs="Arial"/>
          <w:sz w:val="20"/>
          <w:szCs w:val="20"/>
          <w:lang w:val="es-ES"/>
        </w:rPr>
        <w:t>l recurso de inconstitucionalidad al que tuvo acceso el peticionario, fue el recurso adecuado y efectivo que la legislación ecuatoriana instituyó para la posibilidad de que los efectos de un acto normativo sea</w:t>
      </w:r>
      <w:r w:rsidR="00F75DE4" w:rsidRPr="000C1446">
        <w:rPr>
          <w:rFonts w:asciiTheme="majorHAnsi" w:hAnsiTheme="majorHAnsi" w:cs="Arial"/>
          <w:sz w:val="20"/>
          <w:szCs w:val="20"/>
          <w:lang w:val="es-ES"/>
        </w:rPr>
        <w:t>n</w:t>
      </w:r>
      <w:r w:rsidR="00884513" w:rsidRPr="000C1446">
        <w:rPr>
          <w:rFonts w:asciiTheme="majorHAnsi" w:hAnsiTheme="majorHAnsi" w:cs="Arial"/>
          <w:sz w:val="20"/>
          <w:szCs w:val="20"/>
          <w:lang w:val="es-ES"/>
        </w:rPr>
        <w:t xml:space="preserve"> suspendido</w:t>
      </w:r>
      <w:r w:rsidR="00F75DE4" w:rsidRPr="000C1446">
        <w:rPr>
          <w:rFonts w:asciiTheme="majorHAnsi" w:hAnsiTheme="majorHAnsi" w:cs="Arial"/>
          <w:sz w:val="20"/>
          <w:szCs w:val="20"/>
          <w:lang w:val="es-ES"/>
        </w:rPr>
        <w:t>s</w:t>
      </w:r>
      <w:r w:rsidR="00884513" w:rsidRPr="000C1446">
        <w:rPr>
          <w:rFonts w:asciiTheme="majorHAnsi" w:hAnsiTheme="majorHAnsi" w:cs="Arial"/>
          <w:sz w:val="20"/>
          <w:szCs w:val="20"/>
          <w:lang w:val="es-ES"/>
        </w:rPr>
        <w:t xml:space="preserve"> si fuere</w:t>
      </w:r>
      <w:r w:rsidR="00F75DE4" w:rsidRPr="000C1446">
        <w:rPr>
          <w:rFonts w:asciiTheme="majorHAnsi" w:hAnsiTheme="majorHAnsi" w:cs="Arial"/>
          <w:sz w:val="20"/>
          <w:szCs w:val="20"/>
          <w:lang w:val="es-ES"/>
        </w:rPr>
        <w:t>n</w:t>
      </w:r>
      <w:r w:rsidR="00884513" w:rsidRPr="000C1446">
        <w:rPr>
          <w:rFonts w:asciiTheme="majorHAnsi" w:hAnsiTheme="majorHAnsi" w:cs="Arial"/>
          <w:sz w:val="20"/>
          <w:szCs w:val="20"/>
          <w:lang w:val="es-ES"/>
        </w:rPr>
        <w:t xml:space="preserve"> inconstitucional</w:t>
      </w:r>
      <w:r w:rsidR="00F75DE4" w:rsidRPr="000C1446">
        <w:rPr>
          <w:rFonts w:asciiTheme="majorHAnsi" w:hAnsiTheme="majorHAnsi" w:cs="Arial"/>
          <w:sz w:val="20"/>
          <w:szCs w:val="20"/>
          <w:lang w:val="es-ES"/>
        </w:rPr>
        <w:t>es</w:t>
      </w:r>
      <w:r w:rsidR="00884513" w:rsidRPr="000C1446">
        <w:rPr>
          <w:rFonts w:asciiTheme="majorHAnsi" w:hAnsiTheme="majorHAnsi" w:cs="Arial"/>
          <w:sz w:val="20"/>
          <w:szCs w:val="20"/>
          <w:lang w:val="es-ES"/>
        </w:rPr>
        <w:t xml:space="preserve"> por el fondo o por la forma. </w:t>
      </w:r>
      <w:r w:rsidRPr="000C1446">
        <w:rPr>
          <w:rFonts w:asciiTheme="majorHAnsi" w:hAnsiTheme="majorHAnsi" w:cs="Arial"/>
          <w:sz w:val="20"/>
          <w:szCs w:val="20"/>
          <w:lang w:val="es-ES"/>
        </w:rPr>
        <w:t>Indica que e</w:t>
      </w:r>
      <w:r w:rsidR="00884513" w:rsidRPr="000C1446">
        <w:rPr>
          <w:rFonts w:asciiTheme="majorHAnsi" w:hAnsiTheme="majorHAnsi" w:cs="Arial"/>
          <w:sz w:val="20"/>
          <w:szCs w:val="20"/>
          <w:lang w:val="es-ES"/>
        </w:rPr>
        <w:t xml:space="preserve">l recurso se encontraba previsto y fue resuelto de acuerdo a la Constitución ecuatoriana </w:t>
      </w:r>
      <w:r w:rsidR="00BA7914" w:rsidRPr="000C1446">
        <w:rPr>
          <w:rFonts w:asciiTheme="majorHAnsi" w:hAnsiTheme="majorHAnsi" w:cs="Arial"/>
          <w:sz w:val="20"/>
          <w:szCs w:val="20"/>
          <w:lang w:val="es-ES"/>
        </w:rPr>
        <w:t>de 1993 que reconocía al Tribunal de Garantías Constitucionales como entidad competente, la cual</w:t>
      </w:r>
      <w:r w:rsidRPr="000C1446">
        <w:rPr>
          <w:rFonts w:asciiTheme="majorHAnsi" w:hAnsiTheme="majorHAnsi" w:cs="Arial"/>
          <w:sz w:val="20"/>
          <w:szCs w:val="20"/>
          <w:lang w:val="es-ES"/>
        </w:rPr>
        <w:t>, insiste,</w:t>
      </w:r>
      <w:r w:rsidR="00BA7914" w:rsidRPr="000C1446">
        <w:rPr>
          <w:rFonts w:asciiTheme="majorHAnsi" w:hAnsiTheme="majorHAnsi" w:cs="Arial"/>
          <w:sz w:val="20"/>
          <w:szCs w:val="20"/>
          <w:lang w:val="es-ES"/>
        </w:rPr>
        <w:t xml:space="preserve"> emitió una decisión dentro de un debido proceso.  </w:t>
      </w:r>
    </w:p>
    <w:p w:rsidR="00884513" w:rsidRPr="000C1446" w:rsidRDefault="00884513" w:rsidP="00071C55">
      <w:pPr>
        <w:pStyle w:val="ListParagraph"/>
        <w:rPr>
          <w:rFonts w:asciiTheme="majorHAnsi" w:hAnsiTheme="majorHAnsi" w:cs="Arial"/>
          <w:sz w:val="20"/>
          <w:szCs w:val="20"/>
          <w:lang w:val="es-ES"/>
        </w:rPr>
      </w:pPr>
    </w:p>
    <w:p w:rsidR="00884513" w:rsidRPr="000C1446" w:rsidRDefault="00884513"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Estado alega que el peticionario pretende hacer uso del Sistema Interamericano como si se tratare de una cuarta instancia, en razón de no estar conforme con los resultados que ha venido obteniendo en la jurisdicción interna. </w:t>
      </w:r>
    </w:p>
    <w:p w:rsidR="00800A60" w:rsidRPr="000C1446" w:rsidRDefault="00800A60" w:rsidP="0007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B84AF0" w:rsidRPr="000C1446" w:rsidRDefault="00B84AF0" w:rsidP="00071C55">
      <w:pPr>
        <w:pStyle w:val="Heading1"/>
        <w:ind w:left="1440" w:hanging="720"/>
      </w:pPr>
      <w:bookmarkStart w:id="16" w:name="_Toc464481601"/>
      <w:bookmarkStart w:id="17" w:name="_Toc395298774"/>
      <w:bookmarkStart w:id="18" w:name="_Toc418254627"/>
      <w:r w:rsidRPr="000C1446">
        <w:t>HECHOS</w:t>
      </w:r>
      <w:bookmarkEnd w:id="16"/>
      <w:r w:rsidRPr="000C1446">
        <w:t xml:space="preserve"> </w:t>
      </w:r>
      <w:bookmarkEnd w:id="17"/>
      <w:bookmarkEnd w:id="18"/>
    </w:p>
    <w:p w:rsidR="008E09F8" w:rsidRPr="000C1446" w:rsidRDefault="008E09F8" w:rsidP="00071C55">
      <w:pPr>
        <w:rPr>
          <w:lang w:val="es-ES"/>
        </w:rPr>
      </w:pPr>
    </w:p>
    <w:p w:rsidR="00AA212C" w:rsidRPr="00707E7B" w:rsidRDefault="006B5AB5" w:rsidP="00071C55">
      <w:pPr>
        <w:pStyle w:val="Heading2"/>
        <w:numPr>
          <w:ilvl w:val="0"/>
          <w:numId w:val="62"/>
        </w:numPr>
        <w:ind w:hanging="720"/>
        <w:rPr>
          <w:lang w:val="es-ES"/>
        </w:rPr>
      </w:pPr>
      <w:bookmarkStart w:id="19" w:name="_Toc464481602"/>
      <w:r w:rsidRPr="00707E7B">
        <w:rPr>
          <w:lang w:val="es-ES"/>
        </w:rPr>
        <w:t>C</w:t>
      </w:r>
      <w:r w:rsidR="004B2506" w:rsidRPr="00707E7B">
        <w:rPr>
          <w:lang w:val="es-ES"/>
        </w:rPr>
        <w:t xml:space="preserve">uestión previa </w:t>
      </w:r>
      <w:bookmarkEnd w:id="19"/>
      <w:r w:rsidR="004B2506" w:rsidRPr="00707E7B">
        <w:rPr>
          <w:lang w:val="es-ES"/>
        </w:rPr>
        <w:t xml:space="preserve">sobre la </w:t>
      </w:r>
      <w:r w:rsidR="0017131E" w:rsidRPr="00707E7B">
        <w:rPr>
          <w:lang w:val="es-ES"/>
        </w:rPr>
        <w:t>delimitación del objeto del presente caso</w:t>
      </w:r>
    </w:p>
    <w:p w:rsidR="00AA212C" w:rsidRPr="000C1446" w:rsidRDefault="00AA212C" w:rsidP="00071C55">
      <w:pPr>
        <w:pStyle w:val="ListParagraph"/>
        <w:ind w:left="1440"/>
        <w:rPr>
          <w:b/>
          <w:lang w:val="es-ES"/>
        </w:rPr>
      </w:pPr>
    </w:p>
    <w:p w:rsidR="00AA212C" w:rsidRPr="000C1446" w:rsidRDefault="000E24D4" w:rsidP="00071C55">
      <w:pPr>
        <w:pStyle w:val="Style2"/>
      </w:pPr>
      <w:r w:rsidRPr="000C1446">
        <w:t>La Comisión observa que el peticionario alegó</w:t>
      </w:r>
      <w:r w:rsidR="005C6C44" w:rsidRPr="000C1446">
        <w:t xml:space="preserve"> – ver </w:t>
      </w:r>
      <w:r w:rsidR="005C6C44" w:rsidRPr="000C1446">
        <w:rPr>
          <w:i/>
        </w:rPr>
        <w:t xml:space="preserve">supra </w:t>
      </w:r>
      <w:proofErr w:type="spellStart"/>
      <w:r w:rsidR="005C6C44" w:rsidRPr="000C1446">
        <w:t>párrs</w:t>
      </w:r>
      <w:proofErr w:type="spellEnd"/>
      <w:r w:rsidR="005C6C44" w:rsidRPr="000C1446">
        <w:t>. 18 y 19 –</w:t>
      </w:r>
      <w:r w:rsidRPr="000C1446">
        <w:t xml:space="preserve"> una</w:t>
      </w:r>
      <w:r w:rsidR="005C6C44" w:rsidRPr="000C1446">
        <w:t xml:space="preserve"> </w:t>
      </w:r>
      <w:r w:rsidRPr="000C1446">
        <w:t xml:space="preserve">serie de supuestas violaciones a sus derechos humanos que calificó como </w:t>
      </w:r>
      <w:r w:rsidR="005C6C44" w:rsidRPr="000C1446">
        <w:t xml:space="preserve">una forma de persecución. </w:t>
      </w:r>
      <w:r w:rsidR="00B23495" w:rsidRPr="000C1446">
        <w:t xml:space="preserve"> </w:t>
      </w:r>
      <w:r w:rsidR="00B23495" w:rsidRPr="000C1446">
        <w:rPr>
          <w:lang w:val="es-CO"/>
        </w:rPr>
        <w:t xml:space="preserve">Con relación a los hechos descritos en tales párrafos, el peticionario no formuló argumentos </w:t>
      </w:r>
      <w:r w:rsidR="00F75DE4" w:rsidRPr="000C1446">
        <w:rPr>
          <w:lang w:val="es-CO"/>
        </w:rPr>
        <w:t xml:space="preserve">ni presentó información </w:t>
      </w:r>
      <w:r w:rsidR="00B23495" w:rsidRPr="000C1446">
        <w:rPr>
          <w:lang w:val="es-CO"/>
        </w:rPr>
        <w:t>que permitan e</w:t>
      </w:r>
      <w:r w:rsidR="00E2577A" w:rsidRPr="000C1446">
        <w:rPr>
          <w:lang w:val="es-CO"/>
        </w:rPr>
        <w:t xml:space="preserve">stablecer </w:t>
      </w:r>
      <w:r w:rsidR="00B23495" w:rsidRPr="000C1446">
        <w:rPr>
          <w:lang w:val="es-CO"/>
        </w:rPr>
        <w:t xml:space="preserve">la relación de conexidad con la alegada expropiación arbitraria y denegación de justicia – materia del caso admitido por la CIDH. </w:t>
      </w:r>
      <w:r w:rsidR="00F75DE4" w:rsidRPr="000C1446">
        <w:rPr>
          <w:lang w:val="es-CO"/>
        </w:rPr>
        <w:t xml:space="preserve">El señor Judge no presentó información respecto de fechas, circunstancias o posibles denuncias o recursos presentados y, en este sentido, la Comisión considera que son alegatos de contexto pero sin tener el grado de especificidad necesario para analizarlos directamente. </w:t>
      </w:r>
      <w:r w:rsidR="00B23495" w:rsidRPr="000C1446">
        <w:rPr>
          <w:lang w:val="es-CO"/>
        </w:rPr>
        <w:t>En consecuencia, la Comisión no efectuará a  continuación determinaciones de hecho ni de derecho con relación a este</w:t>
      </w:r>
      <w:r w:rsidR="00036991" w:rsidRPr="000C1446">
        <w:rPr>
          <w:lang w:val="es-CO"/>
        </w:rPr>
        <w:t xml:space="preserve"> grupo de alega</w:t>
      </w:r>
      <w:r w:rsidR="00833561" w:rsidRPr="000C1446">
        <w:rPr>
          <w:lang w:val="es-CO"/>
        </w:rPr>
        <w:t>t</w:t>
      </w:r>
      <w:r w:rsidR="00036991" w:rsidRPr="000C1446">
        <w:rPr>
          <w:lang w:val="es-CO"/>
        </w:rPr>
        <w:t xml:space="preserve">os. </w:t>
      </w:r>
    </w:p>
    <w:p w:rsidR="0017131E" w:rsidRPr="000C1446" w:rsidRDefault="0017131E" w:rsidP="00071C55">
      <w:pPr>
        <w:pStyle w:val="ListParagraph"/>
        <w:rPr>
          <w:lang w:val="es-MX"/>
        </w:rPr>
      </w:pPr>
    </w:p>
    <w:p w:rsidR="00A351F6" w:rsidRPr="00707E7B" w:rsidRDefault="00A351F6" w:rsidP="00071C55">
      <w:pPr>
        <w:pStyle w:val="Heading2"/>
        <w:numPr>
          <w:ilvl w:val="0"/>
          <w:numId w:val="62"/>
        </w:numPr>
        <w:ind w:hanging="720"/>
        <w:rPr>
          <w:lang w:val="es-ES"/>
        </w:rPr>
      </w:pPr>
      <w:bookmarkStart w:id="20" w:name="_Toc464481603"/>
      <w:r w:rsidRPr="00707E7B">
        <w:rPr>
          <w:lang w:val="es-ES"/>
        </w:rPr>
        <w:t>Hechos probados</w:t>
      </w:r>
      <w:bookmarkEnd w:id="20"/>
      <w:r w:rsidRPr="00707E7B">
        <w:rPr>
          <w:lang w:val="es-ES"/>
        </w:rPr>
        <w:t xml:space="preserve"> </w:t>
      </w:r>
    </w:p>
    <w:p w:rsidR="00D92144" w:rsidRPr="000C1446" w:rsidRDefault="00D92144" w:rsidP="00071C55">
      <w:pPr>
        <w:jc w:val="both"/>
        <w:rPr>
          <w:rFonts w:asciiTheme="majorHAnsi" w:hAnsiTheme="majorHAnsi"/>
          <w:b/>
          <w:sz w:val="20"/>
          <w:szCs w:val="20"/>
          <w:lang w:val="es-ES"/>
        </w:rPr>
      </w:pPr>
      <w:r w:rsidRPr="000C1446">
        <w:rPr>
          <w:rFonts w:asciiTheme="majorHAnsi" w:hAnsiTheme="majorHAnsi"/>
          <w:b/>
          <w:sz w:val="20"/>
          <w:szCs w:val="20"/>
          <w:lang w:val="es-ES"/>
        </w:rPr>
        <w:t xml:space="preserve"> </w:t>
      </w:r>
    </w:p>
    <w:p w:rsidR="00D92144" w:rsidRPr="000C1446" w:rsidRDefault="00D92144" w:rsidP="00071C55">
      <w:pPr>
        <w:pStyle w:val="Heading3"/>
        <w:ind w:firstLine="0"/>
      </w:pPr>
      <w:bookmarkStart w:id="21" w:name="_Toc464481604"/>
      <w:r w:rsidRPr="000C1446">
        <w:t>Marco normativo relevante</w:t>
      </w:r>
      <w:bookmarkEnd w:id="21"/>
      <w:r w:rsidRPr="000C1446">
        <w:t xml:space="preserve"> </w:t>
      </w:r>
    </w:p>
    <w:p w:rsidR="00D92144" w:rsidRPr="000C1446" w:rsidRDefault="00D92144" w:rsidP="00071C55">
      <w:pPr>
        <w:pStyle w:val="Heading4"/>
        <w:numPr>
          <w:ilvl w:val="1"/>
          <w:numId w:val="58"/>
        </w:numPr>
        <w:ind w:hanging="720"/>
        <w:rPr>
          <w:i w:val="0"/>
          <w:color w:val="auto"/>
          <w:sz w:val="20"/>
          <w:szCs w:val="20"/>
          <w:lang w:val="es-MX"/>
        </w:rPr>
      </w:pPr>
      <w:r w:rsidRPr="000C1446">
        <w:rPr>
          <w:i w:val="0"/>
          <w:color w:val="auto"/>
          <w:sz w:val="20"/>
          <w:szCs w:val="20"/>
          <w:lang w:val="es-MX"/>
        </w:rPr>
        <w:t>Respecto al derecho de propiedad</w:t>
      </w:r>
    </w:p>
    <w:p w:rsidR="00D92144" w:rsidRPr="000C1446" w:rsidRDefault="00D92144" w:rsidP="00071C55">
      <w:pPr>
        <w:rPr>
          <w:rFonts w:asciiTheme="majorHAnsi" w:hAnsiTheme="majorHAnsi"/>
          <w:sz w:val="22"/>
          <w:szCs w:val="22"/>
          <w:lang w:val="es-ES"/>
        </w:rPr>
      </w:pPr>
    </w:p>
    <w:p w:rsidR="00D92144" w:rsidRPr="000C1446" w:rsidRDefault="00D92144" w:rsidP="00071C55">
      <w:pPr>
        <w:pStyle w:val="Style2"/>
      </w:pPr>
      <w:r w:rsidRPr="000C1446">
        <w:t xml:space="preserve">Los artículos 146 y 147 de la Constitución Política de la República del Ecuador de 1945, </w:t>
      </w:r>
      <w:r w:rsidR="00931DF3" w:rsidRPr="000C1446">
        <w:t xml:space="preserve"> citados por el peticionario, </w:t>
      </w:r>
      <w:r w:rsidRPr="000C1446">
        <w:t>establecían que:</w:t>
      </w:r>
    </w:p>
    <w:p w:rsidR="00D92144" w:rsidRPr="000C1446" w:rsidRDefault="00D92144" w:rsidP="00071C55">
      <w:pPr>
        <w:pStyle w:val="Style2"/>
        <w:numPr>
          <w:ilvl w:val="0"/>
          <w:numId w:val="0"/>
        </w:numPr>
        <w:ind w:left="720"/>
      </w:pPr>
    </w:p>
    <w:p w:rsidR="00D92144" w:rsidRPr="000C1446" w:rsidRDefault="00D92144" w:rsidP="00071C55">
      <w:pPr>
        <w:pStyle w:val="Style2"/>
        <w:numPr>
          <w:ilvl w:val="0"/>
          <w:numId w:val="0"/>
        </w:numPr>
        <w:ind w:left="720" w:right="720"/>
      </w:pPr>
      <w:r w:rsidRPr="000C1446">
        <w:t xml:space="preserve">Art. 146: </w:t>
      </w:r>
    </w:p>
    <w:p w:rsidR="00D92144" w:rsidRPr="000C1446" w:rsidRDefault="00D92144" w:rsidP="00071C55">
      <w:pPr>
        <w:pStyle w:val="Style2"/>
        <w:numPr>
          <w:ilvl w:val="0"/>
          <w:numId w:val="0"/>
        </w:numPr>
        <w:ind w:left="720" w:right="720"/>
      </w:pPr>
      <w:r w:rsidRPr="000C1446">
        <w:t xml:space="preserve">[…] </w:t>
      </w:r>
    </w:p>
    <w:p w:rsidR="00D92144" w:rsidRPr="000C1446" w:rsidRDefault="00D92144" w:rsidP="00071C55">
      <w:pPr>
        <w:pStyle w:val="Style2"/>
        <w:numPr>
          <w:ilvl w:val="0"/>
          <w:numId w:val="0"/>
        </w:numPr>
        <w:ind w:left="720" w:right="720"/>
      </w:pPr>
      <w:r w:rsidRPr="000C1446">
        <w:t>Corresponde al Estado el dominio directo de todos los minerales o substancias que, en vetas, mantos o yacimientos, constituyan depósitos o concentraciones cuya naturaleza sea diversa de la del suelo. Este dominio es inalienable e imprescriptible.</w:t>
      </w:r>
    </w:p>
    <w:p w:rsidR="00D92144" w:rsidRPr="000C1446" w:rsidRDefault="00D92144" w:rsidP="00071C55">
      <w:pPr>
        <w:pStyle w:val="Style2"/>
        <w:numPr>
          <w:ilvl w:val="0"/>
          <w:numId w:val="0"/>
        </w:numPr>
        <w:ind w:left="720" w:right="720"/>
      </w:pPr>
    </w:p>
    <w:p w:rsidR="00D92144" w:rsidRPr="000C1446" w:rsidRDefault="00D92144" w:rsidP="00071C55">
      <w:pPr>
        <w:pStyle w:val="Style2"/>
        <w:numPr>
          <w:ilvl w:val="0"/>
          <w:numId w:val="0"/>
        </w:numPr>
        <w:ind w:left="720" w:right="720"/>
      </w:pPr>
      <w:r w:rsidRPr="000C1446">
        <w:t>Igual dominio tendrá sobre los tesoros arqueológicos sin perjuicio del derecho de los particulares a la parte que, según la Ley les corresponda por su hallazgo y denuncia</w:t>
      </w:r>
    </w:p>
    <w:p w:rsidR="00D92144" w:rsidRPr="000C1446" w:rsidRDefault="00D92144" w:rsidP="00071C55">
      <w:pPr>
        <w:pStyle w:val="Style2"/>
        <w:numPr>
          <w:ilvl w:val="0"/>
          <w:numId w:val="0"/>
        </w:numPr>
        <w:ind w:left="720" w:right="720"/>
      </w:pPr>
    </w:p>
    <w:p w:rsidR="00D92144" w:rsidRPr="000C1446" w:rsidRDefault="00D92144" w:rsidP="00071C55">
      <w:pPr>
        <w:pStyle w:val="Style2"/>
        <w:numPr>
          <w:ilvl w:val="0"/>
          <w:numId w:val="0"/>
        </w:numPr>
        <w:ind w:left="720" w:right="720"/>
      </w:pPr>
      <w:r w:rsidRPr="000C1446">
        <w:t>[…]</w:t>
      </w:r>
    </w:p>
    <w:p w:rsidR="00D92144" w:rsidRPr="000C1446" w:rsidRDefault="00D92144" w:rsidP="00071C55">
      <w:pPr>
        <w:pStyle w:val="Style2"/>
        <w:numPr>
          <w:ilvl w:val="0"/>
          <w:numId w:val="0"/>
        </w:numPr>
        <w:ind w:left="720" w:right="720"/>
      </w:pPr>
    </w:p>
    <w:p w:rsidR="00D92144" w:rsidRPr="000C1446" w:rsidRDefault="00D92144" w:rsidP="00071C55">
      <w:pPr>
        <w:pStyle w:val="Style2"/>
        <w:numPr>
          <w:ilvl w:val="0"/>
          <w:numId w:val="0"/>
        </w:numPr>
        <w:ind w:left="720" w:right="720"/>
      </w:pPr>
      <w:r w:rsidRPr="000C1446">
        <w:t xml:space="preserve">Art. 147: </w:t>
      </w:r>
    </w:p>
    <w:p w:rsidR="00D92144" w:rsidRPr="000C1446" w:rsidRDefault="00D92144" w:rsidP="00071C55">
      <w:pPr>
        <w:pStyle w:val="Style2"/>
        <w:numPr>
          <w:ilvl w:val="0"/>
          <w:numId w:val="0"/>
        </w:numPr>
        <w:ind w:left="720" w:right="720"/>
      </w:pPr>
    </w:p>
    <w:p w:rsidR="00D92144" w:rsidRPr="000C1446" w:rsidRDefault="00D92144" w:rsidP="00071C55">
      <w:pPr>
        <w:pStyle w:val="Style2"/>
        <w:numPr>
          <w:ilvl w:val="0"/>
          <w:numId w:val="0"/>
        </w:numPr>
        <w:ind w:left="720" w:right="720"/>
      </w:pPr>
      <w:r w:rsidRPr="000C1446">
        <w:t>El Estado garantiza la propiedad de los descubrimientos, inventos y obras científicas, literarias y artísticas, en los términos prescritos por las leyes</w:t>
      </w:r>
      <w:r w:rsidRPr="000C1446">
        <w:rPr>
          <w:rStyle w:val="FootnoteReference"/>
        </w:rPr>
        <w:footnoteReference w:id="4"/>
      </w:r>
      <w:r w:rsidR="00931DF3" w:rsidRPr="000C1446">
        <w:t>.</w:t>
      </w:r>
    </w:p>
    <w:p w:rsidR="00D72229" w:rsidRPr="000C1446" w:rsidRDefault="00D72229" w:rsidP="00071C55">
      <w:pPr>
        <w:pStyle w:val="Style2"/>
        <w:numPr>
          <w:ilvl w:val="0"/>
          <w:numId w:val="0"/>
        </w:numPr>
        <w:ind w:left="1440" w:right="720"/>
      </w:pPr>
    </w:p>
    <w:p w:rsidR="00D72229" w:rsidRPr="000C1446" w:rsidRDefault="00D72229" w:rsidP="00071C55">
      <w:pPr>
        <w:pStyle w:val="Style2"/>
      </w:pPr>
      <w:r w:rsidRPr="000C1446">
        <w:t>La Comisión entiende que estas normas no estaban vigentes al momento de los hechos</w:t>
      </w:r>
      <w:r w:rsidR="00337473" w:rsidRPr="000C1446">
        <w:t>. Sin embargo, dado que el peticionario las invocó reiteradamente como sustento de sus alegatos, la Comisión las incluye en esta sección.</w:t>
      </w:r>
      <w:r w:rsidRPr="000C1446">
        <w:t xml:space="preserve"> </w:t>
      </w:r>
    </w:p>
    <w:p w:rsidR="00D92144" w:rsidRPr="000C1446" w:rsidRDefault="00D92144" w:rsidP="00071C55">
      <w:pPr>
        <w:pStyle w:val="Style2"/>
        <w:numPr>
          <w:ilvl w:val="0"/>
          <w:numId w:val="0"/>
        </w:numPr>
        <w:ind w:left="1440"/>
      </w:pPr>
    </w:p>
    <w:p w:rsidR="00D92144" w:rsidRPr="000C1446" w:rsidRDefault="00D92144" w:rsidP="00071C55">
      <w:pPr>
        <w:pStyle w:val="Style2"/>
      </w:pPr>
      <w:r w:rsidRPr="000C1446">
        <w:t xml:space="preserve">El artículo 58 de la Constitución Política del Estado Ecuatoriano de 1967, vigente al  momento del descubrimiento de las piezas arqueológicas, establecía que: </w:t>
      </w:r>
    </w:p>
    <w:p w:rsidR="00D92144" w:rsidRPr="000C1446" w:rsidRDefault="00D92144" w:rsidP="00071C55">
      <w:pPr>
        <w:pStyle w:val="Style2"/>
        <w:numPr>
          <w:ilvl w:val="0"/>
          <w:numId w:val="0"/>
        </w:numPr>
        <w:ind w:left="720"/>
      </w:pPr>
    </w:p>
    <w:p w:rsidR="00D92144" w:rsidRPr="000C1446" w:rsidRDefault="00D92144" w:rsidP="00071C55">
      <w:pPr>
        <w:pStyle w:val="Style2"/>
        <w:numPr>
          <w:ilvl w:val="0"/>
          <w:numId w:val="0"/>
        </w:numPr>
        <w:ind w:left="720" w:right="720"/>
      </w:pPr>
      <w:r w:rsidRPr="000C1446">
        <w:t>La riqueza artística y la arqueológica, igual que los documentos fundamentales para la historia del país, sean quienes fueren sus dueños, constituyen patrimonio cultural de la nación y están bajo control del Estado, el cual podrá prohibir o reglamentar su enajenación o exportación y decretar las expropiaciones que estimare oportunas para su defensa, con arreglo a la ley</w:t>
      </w:r>
      <w:r w:rsidRPr="000C1446">
        <w:rPr>
          <w:rStyle w:val="FootnoteReference"/>
        </w:rPr>
        <w:footnoteReference w:id="5"/>
      </w:r>
      <w:r w:rsidRPr="000C1446">
        <w:t>.</w:t>
      </w:r>
    </w:p>
    <w:p w:rsidR="00D92144" w:rsidRPr="000C1446" w:rsidRDefault="00D92144" w:rsidP="00071C55">
      <w:pPr>
        <w:pStyle w:val="Style2"/>
        <w:numPr>
          <w:ilvl w:val="0"/>
          <w:numId w:val="0"/>
        </w:numPr>
        <w:ind w:left="1440"/>
      </w:pPr>
    </w:p>
    <w:p w:rsidR="00756ED1" w:rsidRPr="000C1446" w:rsidRDefault="00756ED1" w:rsidP="00071C55">
      <w:pPr>
        <w:pStyle w:val="Style2"/>
      </w:pPr>
      <w:r w:rsidRPr="000C1446">
        <w:t xml:space="preserve">Por su parte, el artículo 47 de la Constitución Política del Estado Ecuatoriano de 1979, establecía que: </w:t>
      </w:r>
    </w:p>
    <w:p w:rsidR="00756ED1" w:rsidRPr="000C1446" w:rsidRDefault="00756ED1" w:rsidP="00071C55">
      <w:pPr>
        <w:pStyle w:val="Style2"/>
        <w:numPr>
          <w:ilvl w:val="0"/>
          <w:numId w:val="0"/>
        </w:numPr>
        <w:ind w:left="720"/>
      </w:pPr>
    </w:p>
    <w:p w:rsidR="00B579C4" w:rsidRPr="000C1446" w:rsidRDefault="00756ED1" w:rsidP="00071C55">
      <w:pPr>
        <w:pStyle w:val="Style2"/>
        <w:numPr>
          <w:ilvl w:val="0"/>
          <w:numId w:val="0"/>
        </w:numPr>
        <w:ind w:left="720" w:right="720"/>
      </w:pPr>
      <w:r w:rsidRPr="000C1446">
        <w:t xml:space="preserve">Para fines de orden social, el sector público, mediante el procedimiento y forma de pago que indique la ley, puede nacionalizar o expropiar, en su caso, previa justa indemnización, los bienes, derechos y actividades que pertenezcan a los otros sectores, para sí o para </w:t>
      </w:r>
      <w:proofErr w:type="gramStart"/>
      <w:r w:rsidRPr="000C1446">
        <w:t>cualesquiera</w:t>
      </w:r>
      <w:proofErr w:type="gramEnd"/>
      <w:r w:rsidRPr="000C1446">
        <w:t xml:space="preserve"> de los demás sectores mencionados</w:t>
      </w:r>
      <w:r w:rsidR="00B579C4" w:rsidRPr="000C1446">
        <w:t>.</w:t>
      </w:r>
    </w:p>
    <w:p w:rsidR="00B579C4" w:rsidRPr="000C1446" w:rsidRDefault="00B579C4" w:rsidP="00071C55">
      <w:pPr>
        <w:pStyle w:val="Style2"/>
        <w:numPr>
          <w:ilvl w:val="0"/>
          <w:numId w:val="0"/>
        </w:numPr>
        <w:ind w:left="1440"/>
      </w:pPr>
    </w:p>
    <w:p w:rsidR="00756ED1" w:rsidRPr="000C1446" w:rsidRDefault="00B579C4" w:rsidP="00071C55">
      <w:pPr>
        <w:pStyle w:val="Style2"/>
        <w:numPr>
          <w:ilvl w:val="0"/>
          <w:numId w:val="0"/>
        </w:numPr>
        <w:ind w:left="720" w:right="720"/>
      </w:pPr>
      <w:r w:rsidRPr="000C1446">
        <w:t>Se prohíbe toda confiscación</w:t>
      </w:r>
      <w:r w:rsidRPr="000C1446">
        <w:rPr>
          <w:rStyle w:val="FootnoteReference"/>
        </w:rPr>
        <w:footnoteReference w:id="6"/>
      </w:r>
      <w:r w:rsidR="00756ED1" w:rsidRPr="000C1446">
        <w:t xml:space="preserve">. </w:t>
      </w:r>
    </w:p>
    <w:p w:rsidR="00756ED1" w:rsidRPr="000C1446" w:rsidRDefault="00756ED1" w:rsidP="00071C55">
      <w:pPr>
        <w:pStyle w:val="Style2"/>
        <w:numPr>
          <w:ilvl w:val="0"/>
          <w:numId w:val="0"/>
        </w:numPr>
        <w:ind w:left="720"/>
      </w:pPr>
    </w:p>
    <w:p w:rsidR="00D92144" w:rsidRPr="000C1446" w:rsidRDefault="00D92144" w:rsidP="00071C55">
      <w:pPr>
        <w:pStyle w:val="Style2"/>
      </w:pPr>
      <w:r w:rsidRPr="000C1446">
        <w:t>El peticionario ha afirmado que el Código Civil vigente a la fecha de los hechos, en sus artículos 660 y 661 establecía que “el tesoro encontrado en terreno ajeno, debe dividirse entre el dueño del terreno y la persona que haya hecho el descubrimiento”</w:t>
      </w:r>
      <w:r w:rsidRPr="000C1446">
        <w:rPr>
          <w:rStyle w:val="FootnoteReference"/>
        </w:rPr>
        <w:footnoteReference w:id="7"/>
      </w:r>
      <w:r w:rsidRPr="000C1446">
        <w:t xml:space="preserve">. </w:t>
      </w:r>
    </w:p>
    <w:p w:rsidR="00D92144" w:rsidRPr="000C1446" w:rsidRDefault="00D92144" w:rsidP="00071C55">
      <w:pPr>
        <w:pStyle w:val="Style2"/>
        <w:numPr>
          <w:ilvl w:val="0"/>
          <w:numId w:val="0"/>
        </w:numPr>
        <w:ind w:left="720"/>
      </w:pPr>
    </w:p>
    <w:p w:rsidR="00D92144" w:rsidRPr="000C1446" w:rsidRDefault="00D92144" w:rsidP="00071C55">
      <w:pPr>
        <w:pStyle w:val="Style2"/>
      </w:pPr>
      <w:r w:rsidRPr="000C1446">
        <w:t>Por su parte, la Ley de Patrimonio Artístico de 1945, codificada nuevamente el 20 de agosto de 1960, declara como tesoros pertenecientes al Patrimonio Artístico Nacional:</w:t>
      </w:r>
    </w:p>
    <w:p w:rsidR="00D92144" w:rsidRPr="000C1446" w:rsidRDefault="00D92144" w:rsidP="00071C55">
      <w:pPr>
        <w:pStyle w:val="ListParagraph"/>
        <w:rPr>
          <w:lang w:val="es-ES"/>
        </w:rPr>
      </w:pPr>
    </w:p>
    <w:p w:rsidR="00D92144" w:rsidRPr="000C1446" w:rsidRDefault="00D92144" w:rsidP="00071C55">
      <w:pPr>
        <w:pStyle w:val="Style2"/>
        <w:numPr>
          <w:ilvl w:val="0"/>
          <w:numId w:val="0"/>
        </w:numPr>
        <w:tabs>
          <w:tab w:val="left" w:pos="1440"/>
          <w:tab w:val="left" w:pos="8640"/>
        </w:tabs>
        <w:ind w:left="720" w:right="720"/>
      </w:pPr>
      <w:r w:rsidRPr="000C1446">
        <w:t xml:space="preserve">Art. 1: </w:t>
      </w:r>
    </w:p>
    <w:p w:rsidR="00D92144" w:rsidRPr="000C1446" w:rsidRDefault="00D92144" w:rsidP="00071C55">
      <w:pPr>
        <w:pStyle w:val="Style2"/>
        <w:numPr>
          <w:ilvl w:val="0"/>
          <w:numId w:val="0"/>
        </w:numPr>
        <w:tabs>
          <w:tab w:val="left" w:pos="1440"/>
          <w:tab w:val="left" w:pos="8640"/>
        </w:tabs>
        <w:ind w:left="720" w:right="720"/>
      </w:pPr>
      <w:r w:rsidRPr="000C1446">
        <w:t xml:space="preserve">[…] los objetos arqueológicos de cerámica, metal, piedra o cualquier otro material y las ruinas de fortificaciones, templos y cementerios indígenas </w:t>
      </w:r>
      <w:proofErr w:type="spellStart"/>
      <w:r w:rsidRPr="000C1446">
        <w:t>precoloniales</w:t>
      </w:r>
      <w:proofErr w:type="spellEnd"/>
      <w:r w:rsidRPr="000C1446">
        <w:t xml:space="preserve"> […] y, en general, todo objeto que tenga mérito artístico o valor histórico declarado por la Casa de la Cultura Ecuatoriana, sea que esté en poder de comunidades religiosas o pertenezca a sociedad o personas particulares. </w:t>
      </w:r>
    </w:p>
    <w:p w:rsidR="00D92144" w:rsidRPr="000C1446" w:rsidRDefault="00D92144" w:rsidP="00071C55">
      <w:pPr>
        <w:pStyle w:val="Style2"/>
        <w:numPr>
          <w:ilvl w:val="0"/>
          <w:numId w:val="0"/>
        </w:numPr>
        <w:tabs>
          <w:tab w:val="left" w:pos="1440"/>
          <w:tab w:val="left" w:pos="8640"/>
        </w:tabs>
        <w:ind w:left="720" w:right="720"/>
      </w:pPr>
    </w:p>
    <w:p w:rsidR="00D92144" w:rsidRPr="000C1446" w:rsidRDefault="00D92144" w:rsidP="00071C55">
      <w:pPr>
        <w:pStyle w:val="Style2"/>
        <w:numPr>
          <w:ilvl w:val="0"/>
          <w:numId w:val="0"/>
        </w:numPr>
        <w:tabs>
          <w:tab w:val="left" w:pos="1440"/>
          <w:tab w:val="left" w:pos="8640"/>
        </w:tabs>
        <w:ind w:left="720" w:right="720"/>
      </w:pPr>
      <w:r w:rsidRPr="000C1446">
        <w:t xml:space="preserve">Art. 5: </w:t>
      </w:r>
    </w:p>
    <w:p w:rsidR="00D92144" w:rsidRPr="000C1446" w:rsidRDefault="00D92144" w:rsidP="00071C55">
      <w:pPr>
        <w:pStyle w:val="Style2"/>
        <w:numPr>
          <w:ilvl w:val="0"/>
          <w:numId w:val="0"/>
        </w:numPr>
        <w:tabs>
          <w:tab w:val="left" w:pos="1440"/>
          <w:tab w:val="left" w:pos="8640"/>
        </w:tabs>
        <w:ind w:left="720" w:right="720"/>
      </w:pPr>
      <w:r w:rsidRPr="000C1446">
        <w:t xml:space="preserve">No se podrá transferir el dominio de los objetos pertenecientes al Patrimonio Artístico Nacional, a título gratuito u oneroso, ni cambiar de sitio tales objetos, sin permiso de la Casa de la Cultura Ecuatoriana, la cual, atenta la necesidad de conservar el Patrimonio Artístico, podrá negar la autorización. </w:t>
      </w:r>
    </w:p>
    <w:p w:rsidR="00D92144" w:rsidRPr="000C1446" w:rsidRDefault="00D92144" w:rsidP="00071C55">
      <w:pPr>
        <w:pStyle w:val="Style2"/>
        <w:numPr>
          <w:ilvl w:val="0"/>
          <w:numId w:val="0"/>
        </w:numPr>
        <w:tabs>
          <w:tab w:val="left" w:pos="1440"/>
          <w:tab w:val="left" w:pos="8640"/>
        </w:tabs>
        <w:ind w:left="720" w:right="720"/>
      </w:pPr>
    </w:p>
    <w:p w:rsidR="00D92144" w:rsidRPr="000C1446" w:rsidRDefault="00D92144" w:rsidP="00071C55">
      <w:pPr>
        <w:pStyle w:val="Style2"/>
        <w:numPr>
          <w:ilvl w:val="0"/>
          <w:numId w:val="0"/>
        </w:numPr>
        <w:tabs>
          <w:tab w:val="left" w:pos="1440"/>
          <w:tab w:val="left" w:pos="8640"/>
        </w:tabs>
        <w:ind w:left="720" w:right="720"/>
      </w:pPr>
      <w:r w:rsidRPr="000C1446">
        <w:t xml:space="preserve">Art.13: </w:t>
      </w:r>
    </w:p>
    <w:p w:rsidR="00D92144" w:rsidRPr="000C1446" w:rsidRDefault="00D92144" w:rsidP="00071C55">
      <w:pPr>
        <w:pStyle w:val="Style2"/>
        <w:numPr>
          <w:ilvl w:val="0"/>
          <w:numId w:val="0"/>
        </w:numPr>
        <w:tabs>
          <w:tab w:val="left" w:pos="1440"/>
          <w:tab w:val="left" w:pos="8640"/>
        </w:tabs>
        <w:ind w:left="720" w:right="720"/>
      </w:pPr>
      <w:r w:rsidRPr="000C1446">
        <w:t xml:space="preserve">No se pueden realizar trabajos de excavación con fines arqueológicos o paleontológicos, sin autorización de la Casa de la Cultura Ecuatoriana, la misma que puede suspenderlos cuando crea que peligran objetos de valor artístico o histórico. </w:t>
      </w:r>
    </w:p>
    <w:p w:rsidR="00D92144" w:rsidRDefault="00D92144" w:rsidP="00071C55">
      <w:pPr>
        <w:pStyle w:val="Style2"/>
        <w:numPr>
          <w:ilvl w:val="0"/>
          <w:numId w:val="0"/>
        </w:numPr>
        <w:tabs>
          <w:tab w:val="left" w:pos="1440"/>
          <w:tab w:val="left" w:pos="8640"/>
        </w:tabs>
        <w:ind w:left="720" w:right="720"/>
      </w:pPr>
    </w:p>
    <w:p w:rsidR="00F67C12" w:rsidRPr="000C1446" w:rsidRDefault="00F67C12" w:rsidP="00071C55">
      <w:pPr>
        <w:pStyle w:val="Style2"/>
        <w:numPr>
          <w:ilvl w:val="0"/>
          <w:numId w:val="0"/>
        </w:numPr>
        <w:tabs>
          <w:tab w:val="left" w:pos="1440"/>
          <w:tab w:val="left" w:pos="8640"/>
        </w:tabs>
        <w:ind w:left="720" w:right="720"/>
      </w:pPr>
    </w:p>
    <w:p w:rsidR="00D92144" w:rsidRPr="000C1446" w:rsidRDefault="00D92144" w:rsidP="00071C55">
      <w:pPr>
        <w:pStyle w:val="Style2"/>
        <w:numPr>
          <w:ilvl w:val="0"/>
          <w:numId w:val="0"/>
        </w:numPr>
        <w:tabs>
          <w:tab w:val="left" w:pos="1440"/>
          <w:tab w:val="left" w:pos="8640"/>
        </w:tabs>
        <w:ind w:left="720" w:right="720"/>
      </w:pPr>
      <w:r w:rsidRPr="000C1446">
        <w:t xml:space="preserve">Art. 14: </w:t>
      </w:r>
    </w:p>
    <w:p w:rsidR="00D92144" w:rsidRPr="000C1446" w:rsidRDefault="00D92144" w:rsidP="00071C55">
      <w:pPr>
        <w:pStyle w:val="Style2"/>
        <w:numPr>
          <w:ilvl w:val="0"/>
          <w:numId w:val="0"/>
        </w:numPr>
        <w:tabs>
          <w:tab w:val="left" w:pos="1440"/>
          <w:tab w:val="left" w:pos="8640"/>
        </w:tabs>
        <w:ind w:left="720" w:right="720"/>
      </w:pPr>
      <w:r w:rsidRPr="000C1446">
        <w:t xml:space="preserve">La </w:t>
      </w:r>
      <w:r w:rsidR="005F190D" w:rsidRPr="000C1446">
        <w:t>C</w:t>
      </w:r>
      <w:r w:rsidRPr="000C1446">
        <w:t>asa de la Cultura Ecuatoriana podrá autorizar los trabajos a que se refiere el artículo precedente, sólo a las personas o instituciones que, a su juicio, reúnan las condiciones necesarias para hacerlos debidamente, y podrá, siempre que lo crea oportuno, vigilarlos de acuerdo con los reglamentos que se expidieren</w:t>
      </w:r>
      <w:r w:rsidRPr="000C1446">
        <w:rPr>
          <w:rStyle w:val="FootnoteReference"/>
        </w:rPr>
        <w:footnoteReference w:id="8"/>
      </w:r>
      <w:r w:rsidRPr="000C1446">
        <w:t xml:space="preserve">. </w:t>
      </w:r>
    </w:p>
    <w:p w:rsidR="00D92144" w:rsidRPr="000C1446" w:rsidRDefault="00D92144" w:rsidP="00071C55">
      <w:pPr>
        <w:pStyle w:val="Heading4"/>
        <w:numPr>
          <w:ilvl w:val="1"/>
          <w:numId w:val="58"/>
        </w:numPr>
        <w:ind w:hanging="720"/>
        <w:rPr>
          <w:b w:val="0"/>
          <w:lang w:val="es-MX"/>
        </w:rPr>
      </w:pPr>
      <w:r w:rsidRPr="000C1446">
        <w:rPr>
          <w:i w:val="0"/>
          <w:color w:val="auto"/>
          <w:sz w:val="20"/>
          <w:szCs w:val="20"/>
          <w:lang w:val="es-MX"/>
        </w:rPr>
        <w:t xml:space="preserve">  Respecto a la acción </w:t>
      </w:r>
      <w:proofErr w:type="gramStart"/>
      <w:r w:rsidRPr="000C1446">
        <w:rPr>
          <w:i w:val="0"/>
          <w:color w:val="auto"/>
          <w:sz w:val="20"/>
          <w:szCs w:val="20"/>
          <w:lang w:val="es-MX"/>
        </w:rPr>
        <w:t>contencioso</w:t>
      </w:r>
      <w:proofErr w:type="gramEnd"/>
      <w:r w:rsidRPr="000C1446">
        <w:rPr>
          <w:i w:val="0"/>
          <w:color w:val="auto"/>
          <w:sz w:val="20"/>
          <w:szCs w:val="20"/>
          <w:lang w:val="es-MX"/>
        </w:rPr>
        <w:t xml:space="preserve"> administrativa </w:t>
      </w:r>
    </w:p>
    <w:p w:rsidR="00D92144" w:rsidRPr="000C1446" w:rsidRDefault="00D92144" w:rsidP="00071C55">
      <w:pPr>
        <w:pStyle w:val="Style2"/>
        <w:numPr>
          <w:ilvl w:val="0"/>
          <w:numId w:val="0"/>
        </w:numPr>
        <w:ind w:left="1080"/>
      </w:pPr>
    </w:p>
    <w:p w:rsidR="00D92144" w:rsidRPr="000C1446" w:rsidRDefault="00D92144" w:rsidP="00071C55">
      <w:pPr>
        <w:pStyle w:val="Style2"/>
      </w:pPr>
      <w:r w:rsidRPr="000C1446">
        <w:t>El Decreto Supremo No. 3683-A del 30 de julio de 1979, fue publicado en el Registro Oficial No. 4 de 16 de agosto de 1979</w:t>
      </w:r>
      <w:r w:rsidRPr="000C1446">
        <w:rPr>
          <w:rStyle w:val="FootnoteReference"/>
        </w:rPr>
        <w:footnoteReference w:id="9"/>
      </w:r>
      <w:r w:rsidRPr="000C1446">
        <w:t>.  Dicho Decreto señala:</w:t>
      </w:r>
    </w:p>
    <w:p w:rsidR="00D92144" w:rsidRPr="000C1446" w:rsidRDefault="00D92144" w:rsidP="00071C55">
      <w:pPr>
        <w:pStyle w:val="Style2"/>
        <w:numPr>
          <w:ilvl w:val="0"/>
          <w:numId w:val="0"/>
        </w:numPr>
        <w:ind w:left="720" w:firstLine="720"/>
      </w:pPr>
    </w:p>
    <w:p w:rsidR="00D92144" w:rsidRPr="000C1446" w:rsidRDefault="00D92144" w:rsidP="00071C55">
      <w:pPr>
        <w:pStyle w:val="Style2"/>
        <w:numPr>
          <w:ilvl w:val="0"/>
          <w:numId w:val="0"/>
        </w:numPr>
        <w:ind w:left="720" w:right="720"/>
      </w:pPr>
      <w:r w:rsidRPr="000C1446">
        <w:t>Art 1°.- Toda persona que se considera afectada o lesionada por un acto del Gobierno o de otros órganos del Estado, recaído a partir del 22 de junio de 1970 inclusive, podrá proponer o reiterar su acción ante el Tribunal de lo Contencioso Administrativo para que se le conozca y se resuelva sobre la misma, siempre que formal y oportunamente hubiere impugnado su legitimidad o legalidad, ante los competentes organismos administrativos o jurisdiccionales.</w:t>
      </w:r>
    </w:p>
    <w:p w:rsidR="00D92144" w:rsidRPr="000C1446" w:rsidRDefault="00D92144" w:rsidP="00071C55">
      <w:pPr>
        <w:pStyle w:val="Style2"/>
        <w:numPr>
          <w:ilvl w:val="0"/>
          <w:numId w:val="0"/>
        </w:numPr>
        <w:ind w:left="720" w:right="720"/>
      </w:pPr>
      <w:r w:rsidRPr="000C1446">
        <w:t xml:space="preserve">Podrá hacerse valer el derecho que se concede por este Decreto cuando no se hubiere dado resolución o </w:t>
      </w:r>
      <w:proofErr w:type="gramStart"/>
      <w:r w:rsidRPr="000C1446">
        <w:t>expedido</w:t>
      </w:r>
      <w:proofErr w:type="gramEnd"/>
      <w:r w:rsidRPr="000C1446">
        <w:t xml:space="preserve"> sentencia, o cuando en la resolución o sentencia recaída se hubiere negado la reclamación administrativa o la demanda contencioso-administrativa, por razones formales sin resolver sobre lo sustantivo de la reclamación o demanda. </w:t>
      </w:r>
    </w:p>
    <w:p w:rsidR="00D92144" w:rsidRPr="000C1446" w:rsidRDefault="00D92144" w:rsidP="00071C55">
      <w:pPr>
        <w:pStyle w:val="Style2"/>
        <w:numPr>
          <w:ilvl w:val="0"/>
          <w:numId w:val="0"/>
        </w:numPr>
        <w:ind w:left="720" w:right="720"/>
      </w:pPr>
      <w:r w:rsidRPr="000C1446">
        <w:t>[…]</w:t>
      </w:r>
    </w:p>
    <w:p w:rsidR="00D92144" w:rsidRPr="000C1446" w:rsidRDefault="00D92144" w:rsidP="00071C55">
      <w:pPr>
        <w:pStyle w:val="Style2"/>
        <w:numPr>
          <w:ilvl w:val="0"/>
          <w:numId w:val="0"/>
        </w:numPr>
        <w:ind w:left="1080"/>
      </w:pPr>
    </w:p>
    <w:p w:rsidR="00D92144" w:rsidRPr="000C1446" w:rsidRDefault="00D92144" w:rsidP="00071C55">
      <w:pPr>
        <w:pStyle w:val="Style2"/>
        <w:numPr>
          <w:ilvl w:val="1"/>
          <w:numId w:val="58"/>
        </w:numPr>
        <w:ind w:hanging="720"/>
        <w:rPr>
          <w:b/>
        </w:rPr>
      </w:pPr>
      <w:r w:rsidRPr="000C1446">
        <w:rPr>
          <w:b/>
        </w:rPr>
        <w:t xml:space="preserve"> Respecto a la acción de inconstitucionalidad</w:t>
      </w:r>
    </w:p>
    <w:p w:rsidR="00D92144" w:rsidRPr="000C1446" w:rsidRDefault="00D92144" w:rsidP="00071C55">
      <w:pPr>
        <w:pStyle w:val="Style2"/>
        <w:numPr>
          <w:ilvl w:val="0"/>
          <w:numId w:val="0"/>
        </w:numPr>
        <w:ind w:left="1440"/>
      </w:pPr>
    </w:p>
    <w:p w:rsidR="00961D9E" w:rsidRPr="000C1446" w:rsidRDefault="00D92144" w:rsidP="00071C55">
      <w:pPr>
        <w:pStyle w:val="Style2"/>
        <w:rPr>
          <w:rFonts w:asciiTheme="majorHAnsi" w:hAnsiTheme="majorHAnsi"/>
        </w:rPr>
      </w:pPr>
      <w:r w:rsidRPr="000C1446">
        <w:rPr>
          <w:bdr w:val="none" w:sz="0" w:space="0" w:color="auto"/>
        </w:rPr>
        <w:t>La Constitución Política de la República del Ecuador de</w:t>
      </w:r>
      <w:r w:rsidR="00961D9E" w:rsidRPr="000C1446">
        <w:rPr>
          <w:bdr w:val="none" w:sz="0" w:space="0" w:color="auto"/>
        </w:rPr>
        <w:t xml:space="preserve"> </w:t>
      </w:r>
      <w:r w:rsidR="00FF22C6" w:rsidRPr="000C1446">
        <w:rPr>
          <w:bdr w:val="none" w:sz="0" w:space="0" w:color="auto"/>
        </w:rPr>
        <w:t xml:space="preserve">1984, vigente al </w:t>
      </w:r>
      <w:r w:rsidR="00A81C7B" w:rsidRPr="000C1446">
        <w:rPr>
          <w:bdr w:val="none" w:sz="0" w:space="0" w:color="auto"/>
        </w:rPr>
        <w:t xml:space="preserve">momento </w:t>
      </w:r>
      <w:r w:rsidR="00FF22C6" w:rsidRPr="000C1446">
        <w:rPr>
          <w:bdr w:val="none" w:sz="0" w:space="0" w:color="auto"/>
        </w:rPr>
        <w:t>de presentación de la acción de inconstitucionalidad,</w:t>
      </w:r>
      <w:r w:rsidR="00225D31" w:rsidRPr="000C1446">
        <w:rPr>
          <w:bdr w:val="none" w:sz="0" w:space="0" w:color="auto"/>
        </w:rPr>
        <w:t xml:space="preserve"> por parte del señor James Judge,</w:t>
      </w:r>
      <w:r w:rsidR="00FF22C6" w:rsidRPr="000C1446">
        <w:rPr>
          <w:bdr w:val="none" w:sz="0" w:space="0" w:color="auto"/>
        </w:rPr>
        <w:t xml:space="preserve"> </w:t>
      </w:r>
      <w:r w:rsidR="00961D9E" w:rsidRPr="000C1446">
        <w:rPr>
          <w:rFonts w:asciiTheme="majorHAnsi" w:hAnsiTheme="majorHAnsi"/>
        </w:rPr>
        <w:t xml:space="preserve">establecía: </w:t>
      </w:r>
    </w:p>
    <w:p w:rsidR="00961D9E" w:rsidRPr="000C1446" w:rsidRDefault="00961D9E" w:rsidP="0007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 </w:t>
      </w:r>
    </w:p>
    <w:p w:rsidR="00961D9E" w:rsidRPr="000C1446" w:rsidRDefault="00961D9E" w:rsidP="00071C55">
      <w:pPr>
        <w:pStyle w:val="Style2"/>
        <w:numPr>
          <w:ilvl w:val="0"/>
          <w:numId w:val="0"/>
        </w:numPr>
        <w:ind w:left="720" w:right="720"/>
        <w:rPr>
          <w:rFonts w:asciiTheme="majorHAnsi" w:hAnsiTheme="majorHAnsi" w:cs="Arial"/>
        </w:rPr>
      </w:pPr>
      <w:r w:rsidRPr="000C1446">
        <w:rPr>
          <w:rFonts w:asciiTheme="majorHAnsi" w:hAnsiTheme="majorHAnsi" w:cs="Arial"/>
        </w:rPr>
        <w:t xml:space="preserve">Art. 141.- Compete al Tribunal de Garantías Constitucionales: </w:t>
      </w:r>
    </w:p>
    <w:p w:rsidR="00961D9E" w:rsidRPr="000C1446" w:rsidRDefault="00961D9E" w:rsidP="00071C55">
      <w:pPr>
        <w:pStyle w:val="Style2"/>
        <w:numPr>
          <w:ilvl w:val="0"/>
          <w:numId w:val="0"/>
        </w:numPr>
        <w:ind w:left="720" w:right="720"/>
        <w:rPr>
          <w:rFonts w:asciiTheme="majorHAnsi" w:hAnsiTheme="majorHAnsi" w:cs="Arial"/>
        </w:rPr>
      </w:pPr>
    </w:p>
    <w:p w:rsidR="005F7BA8" w:rsidRDefault="005F7BA8" w:rsidP="00071C55">
      <w:pPr>
        <w:pStyle w:val="Style2"/>
        <w:numPr>
          <w:ilvl w:val="0"/>
          <w:numId w:val="0"/>
        </w:numPr>
        <w:ind w:left="720" w:right="720"/>
        <w:rPr>
          <w:rFonts w:asciiTheme="majorHAnsi" w:hAnsiTheme="majorHAnsi" w:cs="Arial"/>
        </w:rPr>
      </w:pPr>
      <w:r>
        <w:rPr>
          <w:rFonts w:asciiTheme="majorHAnsi" w:hAnsiTheme="majorHAnsi" w:cs="Arial"/>
        </w:rPr>
        <w:t>[…]</w:t>
      </w:r>
    </w:p>
    <w:p w:rsidR="005F7BA8" w:rsidRDefault="005F7BA8" w:rsidP="00071C55">
      <w:pPr>
        <w:pStyle w:val="Style2"/>
        <w:numPr>
          <w:ilvl w:val="0"/>
          <w:numId w:val="0"/>
        </w:numPr>
        <w:ind w:left="720" w:right="720"/>
        <w:rPr>
          <w:rFonts w:asciiTheme="majorHAnsi" w:hAnsiTheme="majorHAnsi" w:cs="Arial"/>
        </w:rPr>
      </w:pPr>
    </w:p>
    <w:p w:rsidR="00961D9E" w:rsidRPr="000C1446" w:rsidRDefault="00961D9E" w:rsidP="00071C55">
      <w:pPr>
        <w:pStyle w:val="Style2"/>
        <w:numPr>
          <w:ilvl w:val="0"/>
          <w:numId w:val="0"/>
        </w:numPr>
        <w:tabs>
          <w:tab w:val="left" w:pos="1440"/>
        </w:tabs>
        <w:ind w:left="720" w:right="720"/>
        <w:rPr>
          <w:rFonts w:asciiTheme="majorHAnsi" w:hAnsiTheme="majorHAnsi" w:cs="Arial"/>
        </w:rPr>
      </w:pPr>
      <w:r w:rsidRPr="000C1446">
        <w:rPr>
          <w:rFonts w:asciiTheme="majorHAnsi" w:hAnsiTheme="majorHAnsi" w:cs="Arial"/>
        </w:rPr>
        <w:t>4. Suspender, total o parcialmente, en cualquier tiempo de oficio o a petición de parte, los efectos de leyes, decretos, acuerdos, reglamentos, ordenanzas o resoluciones que fueren inconstitucionales por la forma o por el fondo […].</w:t>
      </w:r>
    </w:p>
    <w:p w:rsidR="00961D9E" w:rsidRPr="000C1446" w:rsidRDefault="00961D9E"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cs="Arial"/>
          <w:sz w:val="20"/>
          <w:szCs w:val="20"/>
          <w:bdr w:val="none" w:sz="0" w:space="0" w:color="auto"/>
          <w:lang w:val="es-ES"/>
        </w:rPr>
      </w:pPr>
    </w:p>
    <w:p w:rsidR="00D92144" w:rsidRPr="000C1446" w:rsidRDefault="00D92144"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Arial"/>
          <w:sz w:val="20"/>
          <w:szCs w:val="20"/>
          <w:bdr w:val="none" w:sz="0" w:space="0" w:color="auto"/>
          <w:lang w:val="es-ES"/>
        </w:rPr>
      </w:pPr>
      <w:r w:rsidRPr="000C1446">
        <w:rPr>
          <w:rFonts w:ascii="Cambria" w:eastAsia="Calibri" w:hAnsi="Cambria" w:cs="Arial"/>
          <w:sz w:val="20"/>
          <w:szCs w:val="20"/>
          <w:bdr w:val="none" w:sz="0" w:space="0" w:color="auto"/>
          <w:lang w:val="es-ES"/>
        </w:rPr>
        <w:t xml:space="preserve"> </w:t>
      </w:r>
      <w:r w:rsidR="00123938" w:rsidRPr="000C1446">
        <w:rPr>
          <w:rFonts w:ascii="Cambria" w:eastAsia="Calibri" w:hAnsi="Cambria" w:cs="Arial"/>
          <w:sz w:val="20"/>
          <w:szCs w:val="20"/>
          <w:bdr w:val="none" w:sz="0" w:space="0" w:color="auto"/>
          <w:lang w:val="es-ES"/>
        </w:rPr>
        <w:t xml:space="preserve">Durante la tramitación de la acción de inconstitucionalidad, presentada por el </w:t>
      </w:r>
      <w:r w:rsidR="00A81C7B" w:rsidRPr="000C1446">
        <w:rPr>
          <w:rFonts w:ascii="Cambria" w:eastAsia="Calibri" w:hAnsi="Cambria" w:cs="Arial"/>
          <w:sz w:val="20"/>
          <w:szCs w:val="20"/>
          <w:bdr w:val="none" w:sz="0" w:space="0" w:color="auto"/>
          <w:lang w:val="es-ES"/>
        </w:rPr>
        <w:t>peticionario</w:t>
      </w:r>
      <w:r w:rsidR="00123938" w:rsidRPr="000C1446">
        <w:rPr>
          <w:rFonts w:ascii="Cambria" w:eastAsia="Calibri" w:hAnsi="Cambria" w:cs="Arial"/>
          <w:sz w:val="20"/>
          <w:szCs w:val="20"/>
          <w:bdr w:val="none" w:sz="0" w:space="0" w:color="auto"/>
          <w:lang w:val="es-ES"/>
        </w:rPr>
        <w:t xml:space="preserve">, entró en vigor la </w:t>
      </w:r>
      <w:r w:rsidR="00961D9E" w:rsidRPr="000C1446">
        <w:rPr>
          <w:rFonts w:asciiTheme="majorHAnsi" w:hAnsiTheme="majorHAnsi"/>
          <w:sz w:val="20"/>
          <w:szCs w:val="20"/>
          <w:bdr w:val="none" w:sz="0" w:space="0" w:color="auto"/>
          <w:lang w:val="es-MX"/>
        </w:rPr>
        <w:t xml:space="preserve">la Constitución Política de la República del Ecuador </w:t>
      </w:r>
      <w:r w:rsidR="00123938" w:rsidRPr="000C1446">
        <w:rPr>
          <w:rFonts w:asciiTheme="majorHAnsi" w:eastAsia="Calibri" w:hAnsiTheme="majorHAnsi" w:cs="Arial"/>
          <w:sz w:val="20"/>
          <w:szCs w:val="20"/>
          <w:bdr w:val="none" w:sz="0" w:space="0" w:color="auto"/>
          <w:lang w:val="es-ES"/>
        </w:rPr>
        <w:t>1993</w:t>
      </w:r>
      <w:r w:rsidR="00A81C7B" w:rsidRPr="000C1446">
        <w:rPr>
          <w:rFonts w:asciiTheme="majorHAnsi" w:eastAsia="Calibri" w:hAnsiTheme="majorHAnsi" w:cs="Arial"/>
          <w:sz w:val="20"/>
          <w:szCs w:val="20"/>
          <w:bdr w:val="none" w:sz="0" w:space="0" w:color="auto"/>
          <w:lang w:val="es-ES"/>
        </w:rPr>
        <w:t>. Esta Constitución se encontraba v</w:t>
      </w:r>
      <w:r w:rsidRPr="000C1446">
        <w:rPr>
          <w:rFonts w:asciiTheme="majorHAnsi" w:eastAsia="Calibri" w:hAnsiTheme="majorHAnsi" w:cs="Arial"/>
          <w:sz w:val="20"/>
          <w:szCs w:val="20"/>
          <w:bdr w:val="none" w:sz="0" w:space="0" w:color="auto"/>
          <w:lang w:val="es-ES"/>
        </w:rPr>
        <w:t>ige</w:t>
      </w:r>
      <w:r w:rsidRPr="000C1446">
        <w:rPr>
          <w:rFonts w:ascii="Cambria" w:eastAsia="Calibri" w:hAnsi="Cambria" w:cs="Arial"/>
          <w:sz w:val="20"/>
          <w:szCs w:val="20"/>
          <w:bdr w:val="none" w:sz="0" w:space="0" w:color="auto"/>
          <w:lang w:val="es-ES"/>
        </w:rPr>
        <w:t xml:space="preserve">nte a la fecha de resolución de </w:t>
      </w:r>
      <w:r w:rsidR="00A81C7B" w:rsidRPr="000C1446">
        <w:rPr>
          <w:rFonts w:ascii="Cambria" w:eastAsia="Calibri" w:hAnsi="Cambria" w:cs="Arial"/>
          <w:sz w:val="20"/>
          <w:szCs w:val="20"/>
          <w:bdr w:val="none" w:sz="0" w:space="0" w:color="auto"/>
          <w:lang w:val="es-ES"/>
        </w:rPr>
        <w:t xml:space="preserve">dicha </w:t>
      </w:r>
      <w:r w:rsidRPr="000C1446">
        <w:rPr>
          <w:rFonts w:ascii="Cambria" w:eastAsia="Calibri" w:hAnsi="Cambria" w:cs="Arial"/>
          <w:sz w:val="20"/>
          <w:szCs w:val="20"/>
          <w:bdr w:val="none" w:sz="0" w:space="0" w:color="auto"/>
          <w:lang w:val="es-ES"/>
        </w:rPr>
        <w:t>acción</w:t>
      </w:r>
      <w:r w:rsidR="00A81C7B" w:rsidRPr="000C1446">
        <w:rPr>
          <w:rFonts w:ascii="Cambria" w:eastAsia="Calibri" w:hAnsi="Cambria" w:cs="Arial"/>
          <w:sz w:val="20"/>
          <w:szCs w:val="20"/>
          <w:bdr w:val="none" w:sz="0" w:space="0" w:color="auto"/>
          <w:lang w:val="es-ES"/>
        </w:rPr>
        <w:t xml:space="preserve"> y, respecto a</w:t>
      </w:r>
      <w:r w:rsidRPr="000C1446">
        <w:rPr>
          <w:rFonts w:ascii="Cambria" w:eastAsia="Calibri" w:hAnsi="Cambria" w:cs="Arial"/>
          <w:sz w:val="20"/>
          <w:szCs w:val="20"/>
          <w:bdr w:val="none" w:sz="0" w:space="0" w:color="auto"/>
          <w:lang w:val="es-ES"/>
        </w:rPr>
        <w:t xml:space="preserve"> la competencia del Tribunal de Garantías Constitucionales</w:t>
      </w:r>
      <w:r w:rsidR="00A81C7B" w:rsidRPr="000C1446">
        <w:rPr>
          <w:rFonts w:ascii="Cambria" w:eastAsia="Calibri" w:hAnsi="Cambria" w:cs="Arial"/>
          <w:sz w:val="20"/>
          <w:szCs w:val="20"/>
          <w:bdr w:val="none" w:sz="0" w:space="0" w:color="auto"/>
          <w:lang w:val="es-ES"/>
        </w:rPr>
        <w:t>, establecía</w:t>
      </w:r>
      <w:r w:rsidR="005F190D" w:rsidRPr="000C1446">
        <w:rPr>
          <w:rFonts w:ascii="Cambria" w:eastAsia="Calibri" w:hAnsi="Cambria" w:cs="Arial"/>
          <w:sz w:val="20"/>
          <w:szCs w:val="20"/>
          <w:bdr w:val="none" w:sz="0" w:space="0" w:color="auto"/>
          <w:lang w:val="es-ES"/>
        </w:rPr>
        <w:t>:</w:t>
      </w:r>
      <w:r w:rsidRPr="000C1446">
        <w:rPr>
          <w:rFonts w:ascii="Cambria" w:eastAsia="Calibri" w:hAnsi="Cambria" w:cs="Arial"/>
          <w:sz w:val="20"/>
          <w:szCs w:val="20"/>
          <w:bdr w:val="none" w:sz="0" w:space="0" w:color="auto"/>
          <w:lang w:val="es-ES"/>
        </w:rPr>
        <w:t xml:space="preserve"> </w:t>
      </w:r>
    </w:p>
    <w:p w:rsidR="00D92144" w:rsidRPr="000C1446" w:rsidRDefault="00D92144" w:rsidP="00071C55">
      <w:pPr>
        <w:widowControl w:val="0"/>
        <w:autoSpaceDE w:val="0"/>
        <w:autoSpaceDN w:val="0"/>
        <w:adjustRightInd w:val="0"/>
        <w:jc w:val="both"/>
        <w:rPr>
          <w:rFonts w:ascii="Verdana" w:hAnsi="Verdana" w:cs="Courier New"/>
          <w:sz w:val="16"/>
          <w:szCs w:val="16"/>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Art. 146.- Compete al Tribunal de Garantías Constitucionales:</w:t>
      </w:r>
    </w:p>
    <w:p w:rsidR="00D92144" w:rsidRPr="000C1446" w:rsidRDefault="00D92144" w:rsidP="00071C55">
      <w:pPr>
        <w:ind w:left="720" w:right="720"/>
        <w:jc w:val="both"/>
        <w:rPr>
          <w:rFonts w:asciiTheme="majorHAnsi" w:hAnsiTheme="majorHAnsi" w:cs="Courier New"/>
          <w:sz w:val="20"/>
          <w:szCs w:val="20"/>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1.  Conocer  y  resolver  las  demandas  que se presentaren sobre leyes,  decreto - leyes, decretos, resoluciones, acuerdos u ordenanzas que  fueren inconstitucionales por el fondo o por la forma y suspender total o parcialmente sus efectos;</w:t>
      </w:r>
    </w:p>
    <w:p w:rsidR="00D92144" w:rsidRPr="000C1446" w:rsidRDefault="00D92144" w:rsidP="00071C55">
      <w:pPr>
        <w:ind w:left="720" w:right="720"/>
        <w:jc w:val="both"/>
        <w:rPr>
          <w:rFonts w:asciiTheme="majorHAnsi" w:hAnsiTheme="majorHAnsi" w:cs="Courier New"/>
          <w:sz w:val="20"/>
          <w:szCs w:val="20"/>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El Tribunal someterá su resolución a la Sala Constitucional de la Corte  Suprema  de  Justicia  en  el  plazo  máximo  de  ocho días. La resolución  de  la  Sala  Constitucional  será definitiva y de efectos generales.</w:t>
      </w:r>
    </w:p>
    <w:p w:rsidR="00D92144" w:rsidRPr="000C1446" w:rsidRDefault="00D92144" w:rsidP="00071C55">
      <w:pPr>
        <w:ind w:left="720" w:right="720"/>
        <w:jc w:val="both"/>
        <w:rPr>
          <w:rFonts w:asciiTheme="majorHAnsi" w:hAnsiTheme="majorHAnsi" w:cs="Courier New"/>
          <w:sz w:val="20"/>
          <w:szCs w:val="20"/>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Las  resoluciones  del  Tribunal  y  de la Sala Constitucional no tendrán efecto retroactivo;</w:t>
      </w:r>
    </w:p>
    <w:p w:rsidR="00D92144" w:rsidRPr="000C1446" w:rsidRDefault="00D92144" w:rsidP="00071C55">
      <w:pPr>
        <w:widowControl w:val="0"/>
        <w:autoSpaceDE w:val="0"/>
        <w:autoSpaceDN w:val="0"/>
        <w:adjustRightInd w:val="0"/>
        <w:ind w:left="720" w:right="720"/>
        <w:jc w:val="both"/>
        <w:rPr>
          <w:rFonts w:asciiTheme="majorHAnsi" w:hAnsiTheme="majorHAnsi" w:cs="Courier New"/>
          <w:sz w:val="20"/>
          <w:szCs w:val="20"/>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2.  Conocer  las quejas que formulare cualquier persona natural o jurídica contra los actos de las autoridades públicas que violaren sus derechos y libertades garantizados por la Constitución;</w:t>
      </w:r>
    </w:p>
    <w:p w:rsidR="00D92144" w:rsidRPr="000C1446" w:rsidRDefault="00D92144" w:rsidP="00071C55">
      <w:pPr>
        <w:ind w:left="720" w:right="720"/>
        <w:jc w:val="both"/>
        <w:rPr>
          <w:rFonts w:asciiTheme="majorHAnsi" w:hAnsiTheme="majorHAnsi" w:cs="Courier New"/>
          <w:sz w:val="20"/>
          <w:szCs w:val="20"/>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Si  el  Tribunal  encontrare  fundado  el reclamo, observará a la respectiva autoridad. Si se incumpliere su resolución, podrá solicitar al  órgano  competente  la remoción del funcionario y la aplicación de las demás sanciones contempladas en la Ley, sin perjuicio de la acción penal a que hubiere lugar; y,</w:t>
      </w:r>
    </w:p>
    <w:p w:rsidR="00D92144" w:rsidRPr="000C1446" w:rsidRDefault="00D92144" w:rsidP="00071C55">
      <w:pPr>
        <w:ind w:left="720" w:right="720"/>
        <w:jc w:val="both"/>
        <w:rPr>
          <w:rFonts w:asciiTheme="majorHAnsi" w:hAnsiTheme="majorHAnsi" w:cs="Courier New"/>
          <w:sz w:val="20"/>
          <w:szCs w:val="20"/>
          <w:lang w:val="es-MX"/>
        </w:rPr>
      </w:pPr>
    </w:p>
    <w:p w:rsidR="00D92144" w:rsidRPr="000C1446" w:rsidRDefault="00D92144" w:rsidP="00071C55">
      <w:pPr>
        <w:ind w:left="720" w:right="720"/>
        <w:jc w:val="both"/>
        <w:rPr>
          <w:rFonts w:asciiTheme="majorHAnsi" w:hAnsiTheme="majorHAnsi" w:cs="Courier New"/>
          <w:sz w:val="20"/>
          <w:szCs w:val="20"/>
          <w:lang w:val="es-MX"/>
        </w:rPr>
      </w:pPr>
      <w:r w:rsidRPr="000C1446">
        <w:rPr>
          <w:rFonts w:asciiTheme="majorHAnsi" w:hAnsiTheme="majorHAnsi" w:cs="Courier New"/>
          <w:sz w:val="20"/>
          <w:szCs w:val="20"/>
          <w:lang w:val="es-MX"/>
        </w:rPr>
        <w:t xml:space="preserve"> 3. Ejercer las demás atribuciones que le confiere la Constitución y  la  Ley</w:t>
      </w:r>
      <w:r w:rsidR="004249D6" w:rsidRPr="000C1446">
        <w:rPr>
          <w:rStyle w:val="FootnoteReference"/>
          <w:rFonts w:asciiTheme="majorHAnsi" w:hAnsiTheme="majorHAnsi" w:cs="Courier New"/>
          <w:sz w:val="20"/>
          <w:szCs w:val="20"/>
          <w:lang w:val="es-MX"/>
        </w:rPr>
        <w:footnoteReference w:id="10"/>
      </w:r>
      <w:r w:rsidRPr="000C1446">
        <w:rPr>
          <w:rFonts w:asciiTheme="majorHAnsi" w:hAnsiTheme="majorHAnsi" w:cs="Courier New"/>
          <w:sz w:val="20"/>
          <w:szCs w:val="20"/>
          <w:lang w:val="es-MX"/>
        </w:rPr>
        <w:t xml:space="preserve">. </w:t>
      </w:r>
    </w:p>
    <w:p w:rsidR="00D92144" w:rsidRPr="000C1446" w:rsidRDefault="00D92144" w:rsidP="00071C55">
      <w:pPr>
        <w:widowControl w:val="0"/>
        <w:autoSpaceDE w:val="0"/>
        <w:autoSpaceDN w:val="0"/>
        <w:adjustRightInd w:val="0"/>
        <w:ind w:left="720" w:right="720"/>
        <w:jc w:val="both"/>
        <w:rPr>
          <w:rFonts w:asciiTheme="majorHAnsi" w:hAnsiTheme="majorHAnsi" w:cs="Courier New"/>
          <w:sz w:val="20"/>
          <w:szCs w:val="20"/>
          <w:lang w:val="es-MX"/>
        </w:rPr>
      </w:pPr>
    </w:p>
    <w:p w:rsidR="00464866" w:rsidRPr="000C1446" w:rsidRDefault="00D92144"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Arial"/>
          <w:sz w:val="20"/>
          <w:szCs w:val="20"/>
          <w:bdr w:val="none" w:sz="0" w:space="0" w:color="auto"/>
          <w:lang w:val="es-ES"/>
        </w:rPr>
      </w:pPr>
      <w:r w:rsidRPr="000C1446">
        <w:rPr>
          <w:rFonts w:ascii="Cambria" w:eastAsia="Calibri" w:hAnsi="Cambria" w:cs="Arial"/>
          <w:sz w:val="20"/>
          <w:szCs w:val="20"/>
          <w:bdr w:val="none" w:sz="0" w:space="0" w:color="auto"/>
          <w:lang w:val="es-ES"/>
        </w:rPr>
        <w:t xml:space="preserve">Según información presentada por el Estado, en los años 1995 y 1996 se llevaron a cabo reformas constitucionales, mediante las cuales se creó el Tribunal Constitucional, en sustitución del Tribunal de Garantías Constitucionales. </w:t>
      </w:r>
      <w:r w:rsidR="00464866" w:rsidRPr="000C1446">
        <w:rPr>
          <w:rFonts w:ascii="Cambria" w:eastAsia="Calibri" w:hAnsi="Cambria" w:cs="Arial"/>
          <w:sz w:val="20"/>
          <w:szCs w:val="20"/>
          <w:bdr w:val="none" w:sz="0" w:space="0" w:color="auto"/>
          <w:lang w:val="es-ES"/>
        </w:rPr>
        <w:t>Conforme a la nueva normativa y a diferencia de lo establecido anteriormente sobre el Tribunal de Garantías Constitucionales, l</w:t>
      </w:r>
      <w:r w:rsidRPr="000C1446">
        <w:rPr>
          <w:rFonts w:ascii="Cambria" w:eastAsia="Calibri" w:hAnsi="Cambria" w:cs="Arial"/>
          <w:sz w:val="20"/>
          <w:szCs w:val="20"/>
          <w:bdr w:val="none" w:sz="0" w:space="0" w:color="auto"/>
          <w:lang w:val="es-ES"/>
        </w:rPr>
        <w:t xml:space="preserve">as decisiones del Tribunal Constitucional son definitivas e inapelables. </w:t>
      </w:r>
    </w:p>
    <w:p w:rsidR="00464866" w:rsidRPr="000C1446" w:rsidRDefault="0046486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libri" w:hAnsi="Cambria" w:cs="Arial"/>
          <w:sz w:val="20"/>
          <w:szCs w:val="20"/>
          <w:bdr w:val="none" w:sz="0" w:space="0" w:color="auto"/>
          <w:lang w:val="es-ES"/>
        </w:rPr>
      </w:pPr>
    </w:p>
    <w:p w:rsidR="00D92144" w:rsidRPr="000C1446" w:rsidRDefault="00464866"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libri" w:hAnsi="Cambria" w:cs="Arial"/>
          <w:sz w:val="20"/>
          <w:szCs w:val="20"/>
          <w:bdr w:val="none" w:sz="0" w:space="0" w:color="auto"/>
          <w:lang w:val="es-ES"/>
        </w:rPr>
      </w:pPr>
      <w:r w:rsidRPr="000C1446">
        <w:rPr>
          <w:rFonts w:ascii="Cambria" w:eastAsia="Calibri" w:hAnsi="Cambria" w:cs="Arial"/>
          <w:sz w:val="20"/>
          <w:szCs w:val="20"/>
          <w:bdr w:val="none" w:sz="0" w:space="0" w:color="auto"/>
          <w:lang w:val="es-ES"/>
        </w:rPr>
        <w:t>El Estado también precisó que, t</w:t>
      </w:r>
      <w:r w:rsidR="00D92144" w:rsidRPr="000C1446">
        <w:rPr>
          <w:rFonts w:ascii="Cambria" w:eastAsia="Calibri" w:hAnsi="Cambria" w:cs="Arial"/>
          <w:sz w:val="20"/>
          <w:szCs w:val="20"/>
          <w:bdr w:val="none" w:sz="0" w:space="0" w:color="auto"/>
          <w:lang w:val="es-ES"/>
        </w:rPr>
        <w:t>ransitoriamente, se estableció que la Sala de lo Administrativo de la Corte Suprema de Justicia se encargaría, hasta su conclusión, de los procesos que se sustanciaban en la Sala de lo Constitucional de la Corte Suprema de Justicia y los procesos  por recursos de resoluciones del Tribunal de Garantías Constitucionales, hasta que se conformara el Tribunal Constitucional</w:t>
      </w:r>
      <w:r w:rsidR="00D92144" w:rsidRPr="000C1446">
        <w:rPr>
          <w:rStyle w:val="FootnoteReference"/>
          <w:rFonts w:ascii="Cambria" w:eastAsia="Calibri" w:hAnsi="Cambria" w:cs="Arial"/>
          <w:sz w:val="20"/>
          <w:szCs w:val="20"/>
          <w:bdr w:val="none" w:sz="0" w:space="0" w:color="auto"/>
          <w:lang w:val="es-ES"/>
        </w:rPr>
        <w:footnoteReference w:id="11"/>
      </w:r>
      <w:r w:rsidR="00D92144" w:rsidRPr="000C1446">
        <w:rPr>
          <w:rFonts w:ascii="Cambria" w:eastAsia="Calibri" w:hAnsi="Cambria" w:cs="Arial"/>
          <w:sz w:val="20"/>
          <w:szCs w:val="20"/>
          <w:bdr w:val="none" w:sz="0" w:space="0" w:color="auto"/>
          <w:lang w:val="es-ES"/>
        </w:rPr>
        <w:t xml:space="preserve">. </w:t>
      </w:r>
    </w:p>
    <w:p w:rsidR="00A20059" w:rsidRPr="000C1446" w:rsidRDefault="00A20059" w:rsidP="00071C55">
      <w:pPr>
        <w:rPr>
          <w:lang w:val="es-ES"/>
        </w:rPr>
      </w:pPr>
    </w:p>
    <w:p w:rsidR="006D7CD8" w:rsidRPr="000C1446" w:rsidRDefault="006D7CD8" w:rsidP="00071C55">
      <w:pPr>
        <w:pStyle w:val="Heading3"/>
        <w:ind w:firstLine="0"/>
      </w:pPr>
      <w:bookmarkStart w:id="22" w:name="_Toc464481605"/>
      <w:r w:rsidRPr="000C1446">
        <w:t>Sobre el descubrimiento de las piezas arqueológicas</w:t>
      </w:r>
      <w:bookmarkEnd w:id="22"/>
    </w:p>
    <w:p w:rsidR="006D7CD8" w:rsidRPr="000C1446" w:rsidRDefault="006D7CD8"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6B22E3" w:rsidRPr="000C1446" w:rsidRDefault="006B22E3" w:rsidP="00071C55">
      <w:pPr>
        <w:pStyle w:val="Style2"/>
        <w:rPr>
          <w:rFonts w:asciiTheme="majorHAnsi" w:hAnsiTheme="majorHAnsi" w:cs="Arial"/>
        </w:rPr>
      </w:pPr>
      <w:r w:rsidRPr="000C1446">
        <w:rPr>
          <w:rFonts w:asciiTheme="majorHAnsi" w:hAnsiTheme="majorHAnsi" w:cs="Arial"/>
        </w:rPr>
        <w:t xml:space="preserve">El señor James Judge </w:t>
      </w:r>
      <w:r w:rsidR="00836F34" w:rsidRPr="000C1446">
        <w:rPr>
          <w:rFonts w:asciiTheme="majorHAnsi" w:hAnsiTheme="majorHAnsi" w:cs="Arial"/>
        </w:rPr>
        <w:t>es arqueólogo</w:t>
      </w:r>
      <w:r w:rsidR="00470A28" w:rsidRPr="000C1446">
        <w:rPr>
          <w:rFonts w:asciiTheme="majorHAnsi" w:hAnsiTheme="majorHAnsi" w:cs="Arial"/>
        </w:rPr>
        <w:t xml:space="preserve"> estadounidense</w:t>
      </w:r>
      <w:r w:rsidR="00836F34" w:rsidRPr="000C1446">
        <w:rPr>
          <w:rFonts w:asciiTheme="majorHAnsi" w:hAnsiTheme="majorHAnsi" w:cs="Arial"/>
        </w:rPr>
        <w:t xml:space="preserve"> </w:t>
      </w:r>
      <w:r w:rsidRPr="000C1446">
        <w:rPr>
          <w:rFonts w:asciiTheme="majorHAnsi" w:hAnsiTheme="majorHAnsi" w:cs="Arial"/>
        </w:rPr>
        <w:t>residente en el Ecuador desde septiembre de 1968</w:t>
      </w:r>
      <w:r w:rsidRPr="000C1446">
        <w:rPr>
          <w:rStyle w:val="FootnoteReference"/>
          <w:rFonts w:asciiTheme="majorHAnsi" w:hAnsiTheme="majorHAnsi" w:cs="Arial"/>
        </w:rPr>
        <w:footnoteReference w:id="12"/>
      </w:r>
      <w:r w:rsidRPr="000C1446">
        <w:rPr>
          <w:rFonts w:asciiTheme="majorHAnsi" w:hAnsiTheme="majorHAnsi" w:cs="Arial"/>
        </w:rPr>
        <w:t>.</w:t>
      </w:r>
      <w:r w:rsidR="00996699" w:rsidRPr="000C1446">
        <w:t xml:space="preserve"> </w:t>
      </w:r>
    </w:p>
    <w:p w:rsidR="007B7309" w:rsidRPr="000C1446" w:rsidRDefault="007B7309" w:rsidP="00071C55">
      <w:pPr>
        <w:pStyle w:val="Style2"/>
        <w:numPr>
          <w:ilvl w:val="0"/>
          <w:numId w:val="0"/>
        </w:numPr>
        <w:ind w:left="720"/>
        <w:rPr>
          <w:rFonts w:asciiTheme="majorHAnsi" w:hAnsiTheme="majorHAnsi" w:cs="Arial"/>
        </w:rPr>
      </w:pPr>
    </w:p>
    <w:p w:rsidR="009922C5" w:rsidRPr="000C1446" w:rsidRDefault="009922C5" w:rsidP="00071C55">
      <w:pPr>
        <w:pStyle w:val="Style2"/>
        <w:rPr>
          <w:rFonts w:asciiTheme="majorHAnsi" w:hAnsiTheme="majorHAnsi"/>
        </w:rPr>
      </w:pPr>
      <w:r w:rsidRPr="000C1446">
        <w:rPr>
          <w:rFonts w:asciiTheme="majorHAnsi" w:hAnsiTheme="majorHAnsi"/>
        </w:rPr>
        <w:t xml:space="preserve">En </w:t>
      </w:r>
      <w:r w:rsidR="007B7309" w:rsidRPr="000C1446">
        <w:rPr>
          <w:rFonts w:asciiTheme="majorHAnsi" w:hAnsiTheme="majorHAnsi"/>
        </w:rPr>
        <w:t xml:space="preserve">la demanda de inconstitucionalidad, </w:t>
      </w:r>
      <w:r w:rsidRPr="000C1446">
        <w:rPr>
          <w:rFonts w:asciiTheme="majorHAnsi" w:hAnsiTheme="majorHAnsi"/>
        </w:rPr>
        <w:t xml:space="preserve">presentada </w:t>
      </w:r>
      <w:r w:rsidR="00F549E3" w:rsidRPr="000C1446">
        <w:rPr>
          <w:rFonts w:asciiTheme="majorHAnsi" w:hAnsiTheme="majorHAnsi"/>
        </w:rPr>
        <w:t xml:space="preserve">por </w:t>
      </w:r>
      <w:r w:rsidR="001435CE" w:rsidRPr="000C1446">
        <w:rPr>
          <w:rFonts w:asciiTheme="majorHAnsi" w:hAnsiTheme="majorHAnsi"/>
        </w:rPr>
        <w:t xml:space="preserve">el </w:t>
      </w:r>
      <w:r w:rsidR="006900EC" w:rsidRPr="000C1446">
        <w:rPr>
          <w:rFonts w:asciiTheme="majorHAnsi" w:hAnsiTheme="majorHAnsi"/>
        </w:rPr>
        <w:t xml:space="preserve">señor </w:t>
      </w:r>
      <w:r w:rsidRPr="000C1446">
        <w:rPr>
          <w:rFonts w:asciiTheme="majorHAnsi" w:hAnsiTheme="majorHAnsi"/>
        </w:rPr>
        <w:t>Judge</w:t>
      </w:r>
      <w:r w:rsidR="00F549E3" w:rsidRPr="000C1446">
        <w:rPr>
          <w:rFonts w:asciiTheme="majorHAnsi" w:hAnsiTheme="majorHAnsi"/>
        </w:rPr>
        <w:t>, éste</w:t>
      </w:r>
      <w:r w:rsidRPr="000C1446">
        <w:rPr>
          <w:rFonts w:asciiTheme="majorHAnsi" w:hAnsiTheme="majorHAnsi"/>
        </w:rPr>
        <w:t xml:space="preserve"> </w:t>
      </w:r>
      <w:r w:rsidR="00D86274" w:rsidRPr="000C1446">
        <w:rPr>
          <w:rFonts w:asciiTheme="majorHAnsi" w:hAnsiTheme="majorHAnsi"/>
        </w:rPr>
        <w:t>efectúa un recuento d</w:t>
      </w:r>
      <w:r w:rsidR="007B7309" w:rsidRPr="000C1446">
        <w:rPr>
          <w:rFonts w:asciiTheme="majorHAnsi" w:hAnsiTheme="majorHAnsi"/>
        </w:rPr>
        <w:t>el descubrimiento de las piezas arqueológicas</w:t>
      </w:r>
      <w:r w:rsidR="00F549E3" w:rsidRPr="000C1446">
        <w:rPr>
          <w:rFonts w:asciiTheme="majorHAnsi" w:hAnsiTheme="majorHAnsi"/>
        </w:rPr>
        <w:t xml:space="preserve">, indicando que </w:t>
      </w:r>
      <w:r w:rsidR="007B7309" w:rsidRPr="000C1446">
        <w:rPr>
          <w:rFonts w:asciiTheme="majorHAnsi" w:hAnsiTheme="majorHAnsi"/>
        </w:rPr>
        <w:t>“</w:t>
      </w:r>
      <w:r w:rsidRPr="000C1446">
        <w:rPr>
          <w:rFonts w:asciiTheme="majorHAnsi" w:hAnsiTheme="majorHAnsi"/>
        </w:rPr>
        <w:t>e</w:t>
      </w:r>
      <w:r w:rsidR="006B22E3" w:rsidRPr="000C1446">
        <w:rPr>
          <w:rFonts w:asciiTheme="majorHAnsi" w:hAnsiTheme="majorHAnsi"/>
        </w:rPr>
        <w:t xml:space="preserve">n el mes de enero de 1969, en unión de varios trabajadores, se encontraba realizando excavaciones en la ribera del Rio Santiago, frente al sitio conocido con el nombre de  La Tolita, en la isla del mismo nombre en la Provincia de Esmeraldas, cuando realiza el hallazgo de objetos arqueológicos, entre otros, la </w:t>
      </w:r>
      <w:r w:rsidR="00987EB8" w:rsidRPr="000C1446">
        <w:rPr>
          <w:rFonts w:asciiTheme="majorHAnsi" w:hAnsiTheme="majorHAnsi"/>
        </w:rPr>
        <w:t>máscara</w:t>
      </w:r>
      <w:r w:rsidR="006B22E3" w:rsidRPr="000C1446">
        <w:rPr>
          <w:rFonts w:asciiTheme="majorHAnsi" w:hAnsiTheme="majorHAnsi"/>
        </w:rPr>
        <w:t xml:space="preserve"> de oro</w:t>
      </w:r>
      <w:r w:rsidR="007B7309" w:rsidRPr="000C1446">
        <w:rPr>
          <w:rFonts w:asciiTheme="majorHAnsi" w:hAnsiTheme="majorHAnsi"/>
        </w:rPr>
        <w:t>”</w:t>
      </w:r>
      <w:r w:rsidR="006B22E3" w:rsidRPr="000C1446">
        <w:rPr>
          <w:rStyle w:val="FootnoteReference"/>
          <w:rFonts w:asciiTheme="majorHAnsi" w:hAnsiTheme="majorHAnsi" w:cs="Arial"/>
        </w:rPr>
        <w:footnoteReference w:id="13"/>
      </w:r>
      <w:r w:rsidR="006B22E3" w:rsidRPr="000C1446">
        <w:rPr>
          <w:rFonts w:asciiTheme="majorHAnsi" w:hAnsiTheme="majorHAnsi"/>
        </w:rPr>
        <w:t>.</w:t>
      </w:r>
      <w:r w:rsidR="007B7309" w:rsidRPr="000C1446">
        <w:rPr>
          <w:rFonts w:asciiTheme="majorHAnsi" w:hAnsiTheme="majorHAnsi"/>
        </w:rPr>
        <w:t xml:space="preserve"> </w:t>
      </w:r>
    </w:p>
    <w:p w:rsidR="007B7309" w:rsidRPr="000C1446" w:rsidRDefault="007B7309" w:rsidP="00071C55">
      <w:pPr>
        <w:pStyle w:val="ListParagraph"/>
        <w:rPr>
          <w:rFonts w:asciiTheme="majorHAnsi" w:hAnsiTheme="majorHAnsi"/>
          <w:lang w:val="es-MX"/>
        </w:rPr>
      </w:pPr>
    </w:p>
    <w:p w:rsidR="009922C5" w:rsidRPr="000C1446" w:rsidRDefault="009433B9" w:rsidP="00071C55">
      <w:pPr>
        <w:pStyle w:val="Style2"/>
        <w:rPr>
          <w:rFonts w:asciiTheme="majorHAnsi" w:hAnsiTheme="majorHAnsi"/>
        </w:rPr>
      </w:pPr>
      <w:r w:rsidRPr="000C1446">
        <w:rPr>
          <w:rFonts w:asciiTheme="majorHAnsi" w:hAnsiTheme="majorHAnsi"/>
        </w:rPr>
        <w:t>En el mismo documento in</w:t>
      </w:r>
      <w:r w:rsidR="009922C5" w:rsidRPr="000C1446">
        <w:rPr>
          <w:rFonts w:asciiTheme="majorHAnsi" w:hAnsiTheme="majorHAnsi"/>
        </w:rPr>
        <w:t>dic</w:t>
      </w:r>
      <w:r w:rsidR="00F549E3" w:rsidRPr="000C1446">
        <w:rPr>
          <w:rFonts w:asciiTheme="majorHAnsi" w:hAnsiTheme="majorHAnsi"/>
        </w:rPr>
        <w:t>ó</w:t>
      </w:r>
      <w:r w:rsidRPr="000C1446">
        <w:rPr>
          <w:rFonts w:asciiTheme="majorHAnsi" w:hAnsiTheme="majorHAnsi"/>
        </w:rPr>
        <w:t xml:space="preserve"> </w:t>
      </w:r>
      <w:r w:rsidR="00DD4B8F" w:rsidRPr="000C1446">
        <w:rPr>
          <w:rFonts w:asciiTheme="majorHAnsi" w:hAnsiTheme="majorHAnsi"/>
        </w:rPr>
        <w:t xml:space="preserve">que </w:t>
      </w:r>
      <w:r w:rsidR="009922C5" w:rsidRPr="000C1446">
        <w:rPr>
          <w:rFonts w:asciiTheme="majorHAnsi" w:hAnsiTheme="majorHAnsi"/>
        </w:rPr>
        <w:t xml:space="preserve">tal </w:t>
      </w:r>
      <w:r w:rsidR="00987EB8" w:rsidRPr="000C1446">
        <w:rPr>
          <w:rFonts w:asciiTheme="majorHAnsi" w:hAnsiTheme="majorHAnsi"/>
        </w:rPr>
        <w:t>excavación</w:t>
      </w:r>
      <w:r w:rsidR="009922C5" w:rsidRPr="000C1446">
        <w:rPr>
          <w:rFonts w:asciiTheme="majorHAnsi" w:hAnsiTheme="majorHAnsi"/>
        </w:rPr>
        <w:t xml:space="preserve"> contaba con la autorización de</w:t>
      </w:r>
      <w:r w:rsidR="00987EB8" w:rsidRPr="000C1446">
        <w:rPr>
          <w:rFonts w:asciiTheme="majorHAnsi" w:hAnsiTheme="majorHAnsi"/>
        </w:rPr>
        <w:t xml:space="preserve"> </w:t>
      </w:r>
      <w:r w:rsidR="009922C5" w:rsidRPr="000C1446">
        <w:rPr>
          <w:rFonts w:asciiTheme="majorHAnsi" w:hAnsiTheme="majorHAnsi"/>
        </w:rPr>
        <w:t xml:space="preserve">la Casa de la Cultura Ecuatoriana, concedida </w:t>
      </w:r>
      <w:r w:rsidR="00D86274" w:rsidRPr="000C1446">
        <w:rPr>
          <w:rFonts w:asciiTheme="majorHAnsi" w:hAnsiTheme="majorHAnsi"/>
        </w:rPr>
        <w:t xml:space="preserve">en primer lugar </w:t>
      </w:r>
      <w:r w:rsidR="009922C5" w:rsidRPr="000C1446">
        <w:rPr>
          <w:rFonts w:asciiTheme="majorHAnsi" w:hAnsiTheme="majorHAnsi"/>
        </w:rPr>
        <w:t xml:space="preserve">a favor del ingeniero Virgilio </w:t>
      </w:r>
      <w:r w:rsidR="00987EB8" w:rsidRPr="000C1446">
        <w:rPr>
          <w:rFonts w:asciiTheme="majorHAnsi" w:hAnsiTheme="majorHAnsi"/>
        </w:rPr>
        <w:t>Vélez</w:t>
      </w:r>
      <w:r w:rsidR="009922C5" w:rsidRPr="000C1446">
        <w:rPr>
          <w:rFonts w:asciiTheme="majorHAnsi" w:hAnsiTheme="majorHAnsi"/>
        </w:rPr>
        <w:t xml:space="preserve"> quien, posteriormente, confi</w:t>
      </w:r>
      <w:r w:rsidR="00987EB8" w:rsidRPr="000C1446">
        <w:rPr>
          <w:rFonts w:asciiTheme="majorHAnsi" w:hAnsiTheme="majorHAnsi"/>
        </w:rPr>
        <w:t>rió por escrito al señor James J</w:t>
      </w:r>
      <w:r w:rsidR="009922C5" w:rsidRPr="000C1446">
        <w:rPr>
          <w:rFonts w:asciiTheme="majorHAnsi" w:hAnsiTheme="majorHAnsi"/>
        </w:rPr>
        <w:t xml:space="preserve">udge la dirección general de las operaciones de exploración y prospección de los depósitos </w:t>
      </w:r>
      <w:r w:rsidR="00987EB8" w:rsidRPr="000C1446">
        <w:rPr>
          <w:rFonts w:asciiTheme="majorHAnsi" w:hAnsiTheme="majorHAnsi"/>
        </w:rPr>
        <w:t>arqueológicos</w:t>
      </w:r>
      <w:r w:rsidRPr="000C1446">
        <w:rPr>
          <w:rFonts w:asciiTheme="majorHAnsi" w:hAnsiTheme="majorHAnsi"/>
        </w:rPr>
        <w:t xml:space="preserve"> existentes en La Tolita. Agreg</w:t>
      </w:r>
      <w:r w:rsidR="001678C4" w:rsidRPr="000C1446">
        <w:rPr>
          <w:rFonts w:asciiTheme="majorHAnsi" w:hAnsiTheme="majorHAnsi"/>
        </w:rPr>
        <w:t>a</w:t>
      </w:r>
      <w:r w:rsidRPr="000C1446">
        <w:rPr>
          <w:rFonts w:asciiTheme="majorHAnsi" w:hAnsiTheme="majorHAnsi"/>
        </w:rPr>
        <w:t xml:space="preserve"> que</w:t>
      </w:r>
      <w:r w:rsidR="009922C5" w:rsidRPr="000C1446">
        <w:rPr>
          <w:rFonts w:asciiTheme="majorHAnsi" w:hAnsiTheme="majorHAnsi"/>
        </w:rPr>
        <w:t xml:space="preserve"> el descubridor de los tesoros es el ingeniero Virgilio </w:t>
      </w:r>
      <w:r w:rsidR="00987EB8" w:rsidRPr="000C1446">
        <w:rPr>
          <w:rFonts w:asciiTheme="majorHAnsi" w:hAnsiTheme="majorHAnsi"/>
        </w:rPr>
        <w:t>Vélez</w:t>
      </w:r>
      <w:r w:rsidR="009922C5" w:rsidRPr="000C1446">
        <w:rPr>
          <w:rFonts w:asciiTheme="majorHAnsi" w:hAnsiTheme="majorHAnsi"/>
        </w:rPr>
        <w:t xml:space="preserve"> quien, por su propia voluntad, en acuerdo suscrito con fecha 21 de septiembre de 1968 con el señor Judge, declara que los beneficios de tal hallazgo se repartirán por partes iguales; es decir, entre el ingeniero </w:t>
      </w:r>
      <w:r w:rsidR="00987EB8" w:rsidRPr="000C1446">
        <w:rPr>
          <w:rFonts w:asciiTheme="majorHAnsi" w:hAnsiTheme="majorHAnsi"/>
        </w:rPr>
        <w:t>Vélez</w:t>
      </w:r>
      <w:r w:rsidR="009922C5" w:rsidRPr="000C1446">
        <w:rPr>
          <w:rFonts w:asciiTheme="majorHAnsi" w:hAnsiTheme="majorHAnsi"/>
        </w:rPr>
        <w:t xml:space="preserve"> y el señor Judge por la mitad del tesoro, pues la otra mitad pertenece al Estado. Contin</w:t>
      </w:r>
      <w:r w:rsidR="00D86274" w:rsidRPr="000C1446">
        <w:rPr>
          <w:rFonts w:asciiTheme="majorHAnsi" w:hAnsiTheme="majorHAnsi"/>
        </w:rPr>
        <w:t>ú</w:t>
      </w:r>
      <w:r w:rsidR="009922C5" w:rsidRPr="000C1446">
        <w:rPr>
          <w:rFonts w:asciiTheme="majorHAnsi" w:hAnsiTheme="majorHAnsi"/>
        </w:rPr>
        <w:t xml:space="preserve">a indicando que con fecha 20 de junio de 1969, el Ingeniero </w:t>
      </w:r>
      <w:r w:rsidR="00987EB8" w:rsidRPr="000C1446">
        <w:rPr>
          <w:rFonts w:asciiTheme="majorHAnsi" w:hAnsiTheme="majorHAnsi"/>
        </w:rPr>
        <w:t>Vélez</w:t>
      </w:r>
      <w:r w:rsidR="009922C5" w:rsidRPr="000C1446">
        <w:rPr>
          <w:rFonts w:asciiTheme="majorHAnsi" w:hAnsiTheme="majorHAnsi"/>
        </w:rPr>
        <w:t xml:space="preserve"> renunci</w:t>
      </w:r>
      <w:r w:rsidR="001678C4" w:rsidRPr="000C1446">
        <w:rPr>
          <w:rFonts w:asciiTheme="majorHAnsi" w:hAnsiTheme="majorHAnsi"/>
        </w:rPr>
        <w:t>ó</w:t>
      </w:r>
      <w:r w:rsidR="009922C5" w:rsidRPr="000C1446">
        <w:rPr>
          <w:rFonts w:asciiTheme="majorHAnsi" w:hAnsiTheme="majorHAnsi"/>
        </w:rPr>
        <w:t xml:space="preserve"> en favor del señor Judge todos los beneficios que se derivaren del encuentro de una </w:t>
      </w:r>
      <w:r w:rsidR="00987EB8" w:rsidRPr="000C1446">
        <w:rPr>
          <w:rFonts w:asciiTheme="majorHAnsi" w:hAnsiTheme="majorHAnsi"/>
        </w:rPr>
        <w:t>máscara</w:t>
      </w:r>
      <w:r w:rsidR="009922C5" w:rsidRPr="000C1446">
        <w:rPr>
          <w:rFonts w:asciiTheme="majorHAnsi" w:hAnsiTheme="majorHAnsi"/>
        </w:rPr>
        <w:t xml:space="preserve"> de oro y otros objetos arqueológicos hallados en La Tolita, depositados en el Banco Central del Ecuador</w:t>
      </w:r>
      <w:r w:rsidR="009922C5" w:rsidRPr="000C1446">
        <w:rPr>
          <w:rStyle w:val="FootnoteReference"/>
          <w:rFonts w:asciiTheme="majorHAnsi" w:hAnsiTheme="majorHAnsi"/>
        </w:rPr>
        <w:footnoteReference w:id="14"/>
      </w:r>
      <w:r w:rsidR="009922C5" w:rsidRPr="000C1446">
        <w:rPr>
          <w:rFonts w:asciiTheme="majorHAnsi" w:hAnsiTheme="majorHAnsi"/>
        </w:rPr>
        <w:t xml:space="preserve">. </w:t>
      </w:r>
    </w:p>
    <w:p w:rsidR="001435CE" w:rsidRPr="000C1446" w:rsidRDefault="001435CE" w:rsidP="00071C55">
      <w:pPr>
        <w:pStyle w:val="ListParagraph"/>
        <w:rPr>
          <w:rFonts w:asciiTheme="majorHAnsi" w:hAnsiTheme="majorHAnsi"/>
          <w:lang w:val="es-MX"/>
        </w:rPr>
      </w:pPr>
    </w:p>
    <w:p w:rsidR="001435CE" w:rsidRPr="000C1446" w:rsidRDefault="001435CE" w:rsidP="00071C55">
      <w:pPr>
        <w:pStyle w:val="Style2"/>
        <w:rPr>
          <w:rFonts w:asciiTheme="majorHAnsi" w:hAnsiTheme="majorHAnsi"/>
        </w:rPr>
      </w:pPr>
      <w:r w:rsidRPr="000C1446">
        <w:rPr>
          <w:rFonts w:asciiTheme="majorHAnsi" w:hAnsiTheme="majorHAnsi"/>
        </w:rPr>
        <w:t>Esta narrativa efectuada por el peticionario en su demanda de inconstitucionalidad, no fue controvertida por el Estado. Como se deriva de la posición del Estado, la controversia radica en la interpretación de tales hechos. Los ar</w:t>
      </w:r>
      <w:r w:rsidR="00EB2FDB" w:rsidRPr="000C1446">
        <w:rPr>
          <w:rFonts w:asciiTheme="majorHAnsi" w:hAnsiTheme="majorHAnsi"/>
        </w:rPr>
        <w:t>gu</w:t>
      </w:r>
      <w:r w:rsidRPr="000C1446">
        <w:rPr>
          <w:rFonts w:asciiTheme="majorHAnsi" w:hAnsiTheme="majorHAnsi"/>
        </w:rPr>
        <w:t xml:space="preserve">mentos del Estado, que serán debidamente analizados en la sección de derecho del presente informe, apuntan a demostrar que las piezas arqueológicas no ingresaron al patrimonio del señor Judge. </w:t>
      </w:r>
    </w:p>
    <w:p w:rsidR="00F549E3" w:rsidRPr="000C1446" w:rsidRDefault="00F549E3" w:rsidP="00071C55">
      <w:pPr>
        <w:pStyle w:val="ListParagraph"/>
        <w:rPr>
          <w:rFonts w:asciiTheme="majorHAnsi" w:hAnsiTheme="majorHAnsi"/>
          <w:lang w:val="es-ES"/>
        </w:rPr>
      </w:pPr>
    </w:p>
    <w:p w:rsidR="00326F7C" w:rsidRPr="000C1446" w:rsidRDefault="008978DA" w:rsidP="00071C55">
      <w:pPr>
        <w:pStyle w:val="Style2"/>
        <w:rPr>
          <w:rFonts w:asciiTheme="majorHAnsi" w:hAnsiTheme="majorHAnsi" w:cs="Arial"/>
        </w:rPr>
      </w:pPr>
      <w:r w:rsidRPr="000C1446">
        <w:rPr>
          <w:rFonts w:asciiTheme="majorHAnsi" w:hAnsiTheme="majorHAnsi" w:cs="Arial"/>
        </w:rPr>
        <w:t>De la documentación disponible</w:t>
      </w:r>
      <w:r w:rsidR="009D3E67" w:rsidRPr="000C1446">
        <w:rPr>
          <w:rFonts w:asciiTheme="majorHAnsi" w:hAnsiTheme="majorHAnsi" w:cs="Arial"/>
        </w:rPr>
        <w:t>,</w:t>
      </w:r>
      <w:r w:rsidRPr="000C1446">
        <w:rPr>
          <w:rFonts w:asciiTheme="majorHAnsi" w:hAnsiTheme="majorHAnsi" w:cs="Arial"/>
        </w:rPr>
        <w:t xml:space="preserve"> l</w:t>
      </w:r>
      <w:r w:rsidR="00F549E3" w:rsidRPr="000C1446">
        <w:rPr>
          <w:rFonts w:asciiTheme="majorHAnsi" w:hAnsiTheme="majorHAnsi" w:cs="Arial"/>
        </w:rPr>
        <w:t>a Comisión observa que, e</w:t>
      </w:r>
      <w:r w:rsidR="00ED6F0B" w:rsidRPr="000C1446">
        <w:rPr>
          <w:rFonts w:asciiTheme="majorHAnsi" w:hAnsiTheme="majorHAnsi" w:cs="Arial"/>
        </w:rPr>
        <w:t xml:space="preserve">fectivamente, el permiso concedido al ingeniero Virgilio </w:t>
      </w:r>
      <w:r w:rsidR="00987EB8" w:rsidRPr="000C1446">
        <w:rPr>
          <w:rFonts w:asciiTheme="majorHAnsi" w:hAnsiTheme="majorHAnsi" w:cs="Arial"/>
        </w:rPr>
        <w:t>Vélez</w:t>
      </w:r>
      <w:r w:rsidR="00ED6F0B" w:rsidRPr="000C1446">
        <w:rPr>
          <w:rFonts w:asciiTheme="majorHAnsi" w:hAnsiTheme="majorHAnsi" w:cs="Arial"/>
        </w:rPr>
        <w:t xml:space="preserve"> mediante oficio 1173-SG de 23 de mayo de 1967, </w:t>
      </w:r>
      <w:r w:rsidR="00F549E3" w:rsidRPr="000C1446">
        <w:rPr>
          <w:rFonts w:asciiTheme="majorHAnsi" w:hAnsiTheme="majorHAnsi" w:cs="Arial"/>
        </w:rPr>
        <w:t>establece</w:t>
      </w:r>
      <w:r w:rsidR="00B546DA" w:rsidRPr="000C1446">
        <w:rPr>
          <w:rFonts w:asciiTheme="majorHAnsi" w:hAnsiTheme="majorHAnsi" w:cs="Arial"/>
        </w:rPr>
        <w:t xml:space="preserve"> lo siguiente:</w:t>
      </w:r>
    </w:p>
    <w:p w:rsidR="00ED6F0B" w:rsidRPr="000C1446" w:rsidRDefault="00ED6F0B" w:rsidP="00071C55">
      <w:pPr>
        <w:pStyle w:val="ListParagraph"/>
        <w:rPr>
          <w:rFonts w:asciiTheme="majorHAnsi" w:hAnsiTheme="majorHAnsi" w:cs="Arial"/>
          <w:sz w:val="20"/>
          <w:szCs w:val="20"/>
          <w:lang w:val="es-ES"/>
        </w:rPr>
      </w:pPr>
    </w:p>
    <w:p w:rsidR="00ED6F0B" w:rsidRDefault="00ED6F0B" w:rsidP="00071C5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sz w:val="20"/>
          <w:szCs w:val="20"/>
          <w:lang w:val="es-ES"/>
        </w:rPr>
      </w:pPr>
      <w:r w:rsidRPr="000C1446">
        <w:rPr>
          <w:rFonts w:asciiTheme="majorHAnsi" w:hAnsiTheme="majorHAnsi" w:cs="Arial"/>
          <w:sz w:val="20"/>
          <w:szCs w:val="20"/>
          <w:lang w:val="es-ES"/>
        </w:rPr>
        <w:t>Que la autorización se contraiga primeramente a s</w:t>
      </w:r>
      <w:r w:rsidR="00F07DAE" w:rsidRPr="000C1446">
        <w:rPr>
          <w:rFonts w:asciiTheme="majorHAnsi" w:hAnsiTheme="majorHAnsi" w:cs="Arial"/>
          <w:sz w:val="20"/>
          <w:szCs w:val="20"/>
          <w:lang w:val="es-ES"/>
        </w:rPr>
        <w:t>ó</w:t>
      </w:r>
      <w:r w:rsidRPr="000C1446">
        <w:rPr>
          <w:rFonts w:asciiTheme="majorHAnsi" w:hAnsiTheme="majorHAnsi" w:cs="Arial"/>
          <w:sz w:val="20"/>
          <w:szCs w:val="20"/>
          <w:lang w:val="es-ES"/>
        </w:rPr>
        <w:t xml:space="preserve">lo los trabajos de prospección con detectores técnicos que en nada remuevan mecánicamente las existencias arqueológicas subyacentes; labores previas que, si mostrasen prometedores resultados, </w:t>
      </w:r>
      <w:r w:rsidR="00987EB8" w:rsidRPr="000C1446">
        <w:rPr>
          <w:rFonts w:asciiTheme="majorHAnsi" w:hAnsiTheme="majorHAnsi" w:cs="Arial"/>
          <w:sz w:val="20"/>
          <w:szCs w:val="20"/>
          <w:lang w:val="es-ES"/>
        </w:rPr>
        <w:t>deberían</w:t>
      </w:r>
      <w:r w:rsidRPr="000C1446">
        <w:rPr>
          <w:rFonts w:asciiTheme="majorHAnsi" w:hAnsiTheme="majorHAnsi" w:cs="Arial"/>
          <w:sz w:val="20"/>
          <w:szCs w:val="20"/>
          <w:lang w:val="es-ES"/>
        </w:rPr>
        <w:t xml:space="preserve"> ser la base para que la </w:t>
      </w:r>
      <w:r w:rsidR="00987EB8" w:rsidRPr="000C1446">
        <w:rPr>
          <w:rFonts w:asciiTheme="majorHAnsi" w:hAnsiTheme="majorHAnsi" w:cs="Arial"/>
          <w:sz w:val="20"/>
          <w:szCs w:val="20"/>
          <w:lang w:val="es-ES"/>
        </w:rPr>
        <w:t>Casa</w:t>
      </w:r>
      <w:r w:rsidRPr="000C1446">
        <w:rPr>
          <w:rFonts w:asciiTheme="majorHAnsi" w:hAnsiTheme="majorHAnsi" w:cs="Arial"/>
          <w:sz w:val="20"/>
          <w:szCs w:val="20"/>
          <w:lang w:val="es-ES"/>
        </w:rPr>
        <w:t xml:space="preserve"> de la Cultura Ecuatoriana conceda la autorización definitiva para la </w:t>
      </w:r>
      <w:r w:rsidR="00987EB8" w:rsidRPr="000C1446">
        <w:rPr>
          <w:rFonts w:asciiTheme="majorHAnsi" w:hAnsiTheme="majorHAnsi" w:cs="Arial"/>
          <w:sz w:val="20"/>
          <w:szCs w:val="20"/>
          <w:lang w:val="es-ES"/>
        </w:rPr>
        <w:t>excavación</w:t>
      </w:r>
      <w:r w:rsidRPr="000C1446">
        <w:rPr>
          <w:rFonts w:asciiTheme="majorHAnsi" w:hAnsiTheme="majorHAnsi" w:cs="Arial"/>
          <w:sz w:val="20"/>
          <w:szCs w:val="20"/>
          <w:lang w:val="es-ES"/>
        </w:rPr>
        <w:t xml:space="preserve">  misma de tales yacimientos arqueológicos</w:t>
      </w:r>
      <w:r w:rsidR="00D86274" w:rsidRPr="000C1446">
        <w:rPr>
          <w:rFonts w:asciiTheme="majorHAnsi" w:hAnsiTheme="majorHAnsi" w:cs="Arial"/>
          <w:sz w:val="20"/>
          <w:szCs w:val="20"/>
          <w:lang w:val="es-ES"/>
        </w:rPr>
        <w:t>.</w:t>
      </w:r>
    </w:p>
    <w:p w:rsidR="00093A2D" w:rsidRP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
        </w:rPr>
      </w:pPr>
    </w:p>
    <w:p w:rsidR="00ED6F0B" w:rsidRPr="000C1446" w:rsidRDefault="00ED6F0B" w:rsidP="00071C5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cs="Arial"/>
          <w:sz w:val="20"/>
          <w:szCs w:val="20"/>
          <w:lang w:val="es-ES"/>
        </w:rPr>
      </w:pPr>
      <w:r w:rsidRPr="000C1446">
        <w:rPr>
          <w:rFonts w:asciiTheme="majorHAnsi" w:hAnsiTheme="majorHAnsi" w:cs="Arial"/>
          <w:sz w:val="20"/>
          <w:szCs w:val="20"/>
          <w:lang w:val="es-ES"/>
        </w:rPr>
        <w:t>Que, en defensa de estos bienes arqueológicos nacionales del Ecuador, de doble valor</w:t>
      </w:r>
      <w:r w:rsidR="00D86274"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 ya</w:t>
      </w:r>
      <w:r w:rsidR="00D86274"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del prehistórico como del de los ricos metales labrados que regularmente contienen – estos yacimientos de La Tolita, se prescinda de la intervención de técnicos extranjeros y se utilice solo expertos ecuatorianos […]</w:t>
      </w:r>
      <w:r w:rsidRPr="000C1446">
        <w:rPr>
          <w:rStyle w:val="FootnoteReference"/>
          <w:rFonts w:asciiTheme="majorHAnsi" w:hAnsiTheme="majorHAnsi" w:cs="Arial"/>
          <w:sz w:val="20"/>
          <w:szCs w:val="20"/>
          <w:lang w:val="es-ES"/>
        </w:rPr>
        <w:footnoteReference w:id="15"/>
      </w:r>
      <w:r w:rsidRPr="000C1446">
        <w:rPr>
          <w:rFonts w:asciiTheme="majorHAnsi" w:hAnsiTheme="majorHAnsi" w:cs="Arial"/>
          <w:sz w:val="20"/>
          <w:szCs w:val="20"/>
          <w:lang w:val="es-ES"/>
        </w:rPr>
        <w:t>.</w:t>
      </w:r>
    </w:p>
    <w:p w:rsidR="00ED6F0B" w:rsidRPr="000C1446" w:rsidRDefault="00ED6F0B" w:rsidP="00071C55">
      <w:pPr>
        <w:pStyle w:val="ListParagraph"/>
        <w:rPr>
          <w:rFonts w:asciiTheme="majorHAnsi" w:hAnsiTheme="majorHAnsi" w:cs="Arial"/>
          <w:sz w:val="20"/>
          <w:szCs w:val="20"/>
          <w:lang w:val="es-ES"/>
        </w:rPr>
      </w:pPr>
    </w:p>
    <w:p w:rsidR="00ED6F0B" w:rsidRPr="000C1446" w:rsidRDefault="00ED6F0B"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En el m</w:t>
      </w:r>
      <w:r w:rsidR="00D86274" w:rsidRPr="000C1446">
        <w:rPr>
          <w:rFonts w:asciiTheme="majorHAnsi" w:hAnsiTheme="majorHAnsi" w:cs="Arial"/>
          <w:sz w:val="20"/>
          <w:szCs w:val="20"/>
          <w:lang w:val="es-ES"/>
        </w:rPr>
        <w:t>ismo sentido, consta el oficio N</w:t>
      </w:r>
      <w:r w:rsidRPr="000C1446">
        <w:rPr>
          <w:rFonts w:asciiTheme="majorHAnsi" w:hAnsiTheme="majorHAnsi" w:cs="Arial"/>
          <w:sz w:val="20"/>
          <w:szCs w:val="20"/>
          <w:lang w:val="es-ES"/>
        </w:rPr>
        <w:t>o. 1.174-SG de 23 de mayo de 1967 del Secretario General de la Casa</w:t>
      </w:r>
      <w:r w:rsidR="007B7309"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de la Cultura Ecuatoriana, dirigid</w:t>
      </w:r>
      <w:r w:rsidR="00470A28" w:rsidRPr="000C1446">
        <w:rPr>
          <w:rFonts w:asciiTheme="majorHAnsi" w:hAnsiTheme="majorHAnsi" w:cs="Arial"/>
          <w:sz w:val="20"/>
          <w:szCs w:val="20"/>
          <w:lang w:val="es-ES"/>
        </w:rPr>
        <w:t>o</w:t>
      </w:r>
      <w:r w:rsidRPr="000C1446">
        <w:rPr>
          <w:rFonts w:asciiTheme="majorHAnsi" w:hAnsiTheme="majorHAnsi" w:cs="Arial"/>
          <w:sz w:val="20"/>
          <w:szCs w:val="20"/>
          <w:lang w:val="es-ES"/>
        </w:rPr>
        <w:t xml:space="preserve"> al Ministro de Gobierno, mediante el cual informa de la autorización concedida al ingeniero </w:t>
      </w:r>
      <w:r w:rsidR="007B7309" w:rsidRPr="000C1446">
        <w:rPr>
          <w:rFonts w:asciiTheme="majorHAnsi" w:hAnsiTheme="majorHAnsi" w:cs="Arial"/>
          <w:sz w:val="20"/>
          <w:szCs w:val="20"/>
          <w:lang w:val="es-ES"/>
        </w:rPr>
        <w:t>Vélez</w:t>
      </w:r>
      <w:r w:rsidRPr="000C1446">
        <w:rPr>
          <w:rFonts w:asciiTheme="majorHAnsi" w:hAnsiTheme="majorHAnsi" w:cs="Arial"/>
          <w:sz w:val="20"/>
          <w:szCs w:val="20"/>
          <w:lang w:val="es-ES"/>
        </w:rPr>
        <w:t xml:space="preserve"> “para que realice trabajos de prospección en los yacimientos arqueológicos de La Tolita, Provincia de Esmeraldas”</w:t>
      </w:r>
      <w:r w:rsidRPr="000C1446">
        <w:rPr>
          <w:rStyle w:val="FootnoteReference"/>
          <w:rFonts w:asciiTheme="majorHAnsi" w:hAnsiTheme="majorHAnsi" w:cs="Arial"/>
          <w:sz w:val="20"/>
          <w:szCs w:val="20"/>
          <w:lang w:val="es-ES"/>
        </w:rPr>
        <w:footnoteReference w:id="16"/>
      </w:r>
      <w:r w:rsidRPr="000C1446">
        <w:rPr>
          <w:rFonts w:asciiTheme="majorHAnsi" w:hAnsiTheme="majorHAnsi" w:cs="Arial"/>
          <w:sz w:val="20"/>
          <w:szCs w:val="20"/>
          <w:lang w:val="es-ES"/>
        </w:rPr>
        <w:t>.</w:t>
      </w:r>
      <w:r w:rsidR="0002196C" w:rsidRPr="000C1446">
        <w:rPr>
          <w:rFonts w:asciiTheme="majorHAnsi" w:hAnsiTheme="majorHAnsi" w:cs="Arial"/>
          <w:sz w:val="20"/>
          <w:szCs w:val="20"/>
          <w:lang w:val="es-ES"/>
        </w:rPr>
        <w:t xml:space="preserve"> El</w:t>
      </w:r>
      <w:r w:rsidR="00D03EDA" w:rsidRPr="000C1446">
        <w:rPr>
          <w:rFonts w:asciiTheme="majorHAnsi" w:hAnsiTheme="majorHAnsi" w:cs="Arial"/>
          <w:sz w:val="20"/>
          <w:szCs w:val="20"/>
          <w:lang w:val="es-ES"/>
        </w:rPr>
        <w:t xml:space="preserve"> peticionario</w:t>
      </w:r>
      <w:r w:rsidR="0002196C" w:rsidRPr="000C1446">
        <w:rPr>
          <w:rFonts w:asciiTheme="majorHAnsi" w:hAnsiTheme="majorHAnsi" w:cs="Arial"/>
          <w:sz w:val="20"/>
          <w:szCs w:val="20"/>
          <w:lang w:val="es-ES"/>
        </w:rPr>
        <w:t xml:space="preserve"> afirma que el 21 de septiembre de 1968 el señor Virgilio Vélez le confirió por escrito la dirección general de las exploraciones y prospecciones; sin embargo, la Comisión no cuenta con sustento documental de esta afirmación</w:t>
      </w:r>
      <w:r w:rsidR="0002196C" w:rsidRPr="000C1446">
        <w:rPr>
          <w:rStyle w:val="FootnoteReference"/>
          <w:rFonts w:asciiTheme="majorHAnsi" w:hAnsiTheme="majorHAnsi" w:cs="Arial"/>
          <w:sz w:val="20"/>
          <w:szCs w:val="20"/>
          <w:lang w:val="es-ES"/>
        </w:rPr>
        <w:footnoteReference w:id="17"/>
      </w:r>
      <w:r w:rsidR="0002196C" w:rsidRPr="000C1446">
        <w:rPr>
          <w:rFonts w:asciiTheme="majorHAnsi" w:hAnsiTheme="majorHAnsi" w:cs="Arial"/>
          <w:sz w:val="20"/>
          <w:szCs w:val="20"/>
          <w:lang w:val="es-ES"/>
        </w:rPr>
        <w:t xml:space="preserve">. </w:t>
      </w:r>
    </w:p>
    <w:p w:rsidR="009F00A7" w:rsidRPr="000C1446" w:rsidRDefault="009F00A7"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1F0FD6" w:rsidRPr="000C1446" w:rsidRDefault="001F0FD6" w:rsidP="00071C55">
      <w:pPr>
        <w:pStyle w:val="Style2"/>
        <w:rPr>
          <w:rFonts w:asciiTheme="majorHAnsi" w:hAnsiTheme="majorHAnsi" w:cs="Arial"/>
        </w:rPr>
      </w:pPr>
      <w:r w:rsidRPr="000C1446">
        <w:rPr>
          <w:rFonts w:asciiTheme="majorHAnsi" w:hAnsiTheme="majorHAnsi" w:cs="Arial"/>
        </w:rPr>
        <w:t xml:space="preserve">El </w:t>
      </w:r>
      <w:r w:rsidR="00F549E3" w:rsidRPr="000C1446">
        <w:rPr>
          <w:rFonts w:asciiTheme="majorHAnsi" w:hAnsiTheme="majorHAnsi" w:cs="Arial"/>
        </w:rPr>
        <w:t xml:space="preserve">convenio celebrado el </w:t>
      </w:r>
      <w:r w:rsidRPr="000C1446">
        <w:rPr>
          <w:rFonts w:asciiTheme="majorHAnsi" w:hAnsiTheme="majorHAnsi" w:cs="Arial"/>
        </w:rPr>
        <w:t xml:space="preserve">20 de junio de 1969, </w:t>
      </w:r>
      <w:r w:rsidR="00F549E3" w:rsidRPr="000C1446">
        <w:rPr>
          <w:rFonts w:asciiTheme="majorHAnsi" w:hAnsiTheme="majorHAnsi" w:cs="Arial"/>
        </w:rPr>
        <w:t xml:space="preserve">entre </w:t>
      </w:r>
      <w:r w:rsidRPr="000C1446">
        <w:rPr>
          <w:rFonts w:asciiTheme="majorHAnsi" w:hAnsiTheme="majorHAnsi" w:cs="Arial"/>
        </w:rPr>
        <w:t xml:space="preserve">los señores </w:t>
      </w:r>
      <w:r w:rsidR="00F549E3" w:rsidRPr="000C1446">
        <w:rPr>
          <w:rFonts w:asciiTheme="majorHAnsi" w:hAnsiTheme="majorHAnsi"/>
        </w:rPr>
        <w:t>Virgilio</w:t>
      </w:r>
      <w:r w:rsidR="00F549E3" w:rsidRPr="000C1446">
        <w:rPr>
          <w:rFonts w:asciiTheme="majorHAnsi" w:hAnsiTheme="majorHAnsi" w:cs="Arial"/>
        </w:rPr>
        <w:t xml:space="preserve"> </w:t>
      </w:r>
      <w:r w:rsidRPr="000C1446">
        <w:rPr>
          <w:rFonts w:asciiTheme="majorHAnsi" w:hAnsiTheme="majorHAnsi" w:cs="Arial"/>
        </w:rPr>
        <w:t xml:space="preserve">Vélez y </w:t>
      </w:r>
      <w:r w:rsidR="00F549E3" w:rsidRPr="000C1446">
        <w:rPr>
          <w:rFonts w:asciiTheme="majorHAnsi" w:hAnsiTheme="majorHAnsi" w:cs="Arial"/>
        </w:rPr>
        <w:t>James Judge señala</w:t>
      </w:r>
      <w:r w:rsidRPr="000C1446">
        <w:rPr>
          <w:rFonts w:asciiTheme="majorHAnsi" w:hAnsiTheme="majorHAnsi" w:cs="Arial"/>
        </w:rPr>
        <w:t xml:space="preserve"> que:</w:t>
      </w:r>
    </w:p>
    <w:p w:rsidR="001F0FD6" w:rsidRPr="000C1446" w:rsidRDefault="001F0FD6" w:rsidP="00071C55">
      <w:pPr>
        <w:pStyle w:val="Style2"/>
        <w:numPr>
          <w:ilvl w:val="0"/>
          <w:numId w:val="0"/>
        </w:numPr>
        <w:ind w:left="720"/>
        <w:rPr>
          <w:rFonts w:asciiTheme="majorHAnsi" w:hAnsiTheme="majorHAnsi" w:cs="Arial"/>
        </w:rPr>
      </w:pPr>
    </w:p>
    <w:p w:rsidR="001F0FD6" w:rsidRPr="000C1446" w:rsidRDefault="001F0FD6" w:rsidP="00071C55">
      <w:pPr>
        <w:pStyle w:val="Style2"/>
        <w:numPr>
          <w:ilvl w:val="0"/>
          <w:numId w:val="0"/>
        </w:numPr>
        <w:ind w:left="720" w:right="720"/>
        <w:rPr>
          <w:rFonts w:asciiTheme="majorHAnsi" w:hAnsiTheme="majorHAnsi" w:cs="Arial"/>
        </w:rPr>
      </w:pPr>
      <w:r w:rsidRPr="000C1446">
        <w:rPr>
          <w:rFonts w:asciiTheme="majorHAnsi" w:hAnsiTheme="majorHAnsi" w:cs="Arial"/>
        </w:rPr>
        <w:t>El ingeniero Virgilio Vélez renuncia en favor del señor Judge, a todos los beneficios que se derivaren del encuentro de una máscara de oro y otros objetos arqueológicos hallados por el señor Judge en la Tolita</w:t>
      </w:r>
      <w:r w:rsidR="00836F34" w:rsidRPr="000C1446">
        <w:rPr>
          <w:rFonts w:asciiTheme="majorHAnsi" w:hAnsiTheme="majorHAnsi" w:cs="Arial"/>
        </w:rPr>
        <w:t xml:space="preserve"> y se hallan depositados en el Banco Central del Ecuador</w:t>
      </w:r>
      <w:r w:rsidR="00836F34" w:rsidRPr="000C1446">
        <w:rPr>
          <w:rStyle w:val="FootnoteReference"/>
          <w:rFonts w:asciiTheme="majorHAnsi" w:hAnsiTheme="majorHAnsi" w:cs="Arial"/>
        </w:rPr>
        <w:footnoteReference w:id="18"/>
      </w:r>
      <w:r w:rsidR="00D86274" w:rsidRPr="000C1446">
        <w:rPr>
          <w:rFonts w:asciiTheme="majorHAnsi" w:hAnsiTheme="majorHAnsi" w:cs="Arial"/>
        </w:rPr>
        <w:t>.</w:t>
      </w:r>
      <w:r w:rsidRPr="000C1446">
        <w:rPr>
          <w:rFonts w:asciiTheme="majorHAnsi" w:hAnsiTheme="majorHAnsi" w:cs="Arial"/>
        </w:rPr>
        <w:t xml:space="preserve"> </w:t>
      </w:r>
    </w:p>
    <w:p w:rsidR="006C16FC" w:rsidRPr="000C1446" w:rsidRDefault="006C16FC" w:rsidP="00071C55">
      <w:pPr>
        <w:pStyle w:val="ListParagraph"/>
        <w:rPr>
          <w:rFonts w:asciiTheme="majorHAnsi" w:hAnsiTheme="majorHAnsi" w:cs="Arial"/>
          <w:sz w:val="20"/>
          <w:szCs w:val="20"/>
          <w:lang w:val="es-ES"/>
        </w:rPr>
      </w:pPr>
    </w:p>
    <w:p w:rsidR="006C16FC" w:rsidRPr="000C1446" w:rsidRDefault="006C16FC" w:rsidP="00071C55">
      <w:pPr>
        <w:pStyle w:val="Heading3"/>
        <w:ind w:left="1440" w:hanging="720"/>
      </w:pPr>
      <w:bookmarkStart w:id="23" w:name="_Toc464481606"/>
      <w:r w:rsidRPr="000C1446">
        <w:t xml:space="preserve">Sobre el Decreto Supremo </w:t>
      </w:r>
      <w:r w:rsidR="003D2F6F" w:rsidRPr="000C1446">
        <w:t xml:space="preserve">No. </w:t>
      </w:r>
      <w:r w:rsidRPr="000C1446">
        <w:t>320</w:t>
      </w:r>
      <w:bookmarkEnd w:id="23"/>
      <w:r w:rsidRPr="000C1446">
        <w:t xml:space="preserve"> </w:t>
      </w:r>
    </w:p>
    <w:p w:rsidR="006C16FC" w:rsidRPr="000C1446" w:rsidRDefault="006C16FC"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6C16FC" w:rsidRPr="000C1446" w:rsidRDefault="006C16FC"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Decreto Supremo </w:t>
      </w:r>
      <w:r w:rsidR="007B7309" w:rsidRPr="000C1446">
        <w:rPr>
          <w:rFonts w:asciiTheme="majorHAnsi" w:hAnsiTheme="majorHAnsi" w:cs="Arial"/>
          <w:sz w:val="20"/>
          <w:szCs w:val="20"/>
          <w:lang w:val="es-ES"/>
        </w:rPr>
        <w:t xml:space="preserve">No. </w:t>
      </w:r>
      <w:r w:rsidRPr="000C1446">
        <w:rPr>
          <w:rFonts w:asciiTheme="majorHAnsi" w:hAnsiTheme="majorHAnsi" w:cs="Arial"/>
          <w:sz w:val="20"/>
          <w:szCs w:val="20"/>
          <w:lang w:val="es-ES"/>
        </w:rPr>
        <w:t>320</w:t>
      </w:r>
      <w:r w:rsidR="003D2F6F" w:rsidRPr="000C1446">
        <w:rPr>
          <w:rFonts w:asciiTheme="majorHAnsi" w:hAnsiTheme="majorHAnsi" w:cs="Arial"/>
          <w:sz w:val="20"/>
          <w:szCs w:val="20"/>
          <w:lang w:val="es-ES"/>
        </w:rPr>
        <w:t>, de 25 de abril de 1975,</w:t>
      </w:r>
      <w:r w:rsidRPr="000C1446">
        <w:rPr>
          <w:rFonts w:asciiTheme="majorHAnsi" w:hAnsiTheme="majorHAnsi" w:cs="Arial"/>
          <w:sz w:val="20"/>
          <w:szCs w:val="20"/>
          <w:lang w:val="es-ES"/>
        </w:rPr>
        <w:t xml:space="preserve"> fue publicado en el Registro Oficial No. 796 de 6 de mayo de 1975</w:t>
      </w:r>
      <w:r w:rsidR="007B7309" w:rsidRPr="000C1446">
        <w:rPr>
          <w:rStyle w:val="FootnoteReference"/>
          <w:rFonts w:asciiTheme="majorHAnsi" w:hAnsiTheme="majorHAnsi" w:cs="Arial"/>
          <w:sz w:val="20"/>
          <w:szCs w:val="20"/>
          <w:lang w:val="es-ES"/>
        </w:rPr>
        <w:footnoteReference w:id="19"/>
      </w:r>
      <w:r w:rsidRPr="000C1446">
        <w:rPr>
          <w:rFonts w:asciiTheme="majorHAnsi" w:hAnsiTheme="majorHAnsi" w:cs="Arial"/>
          <w:sz w:val="20"/>
          <w:szCs w:val="20"/>
          <w:lang w:val="es-ES"/>
        </w:rPr>
        <w:t>.</w:t>
      </w:r>
    </w:p>
    <w:p w:rsidR="00093A2D" w:rsidRDefault="00093A2D" w:rsidP="00071C55">
      <w:pPr>
        <w:rPr>
          <w:rFonts w:asciiTheme="majorHAnsi" w:hAnsiTheme="majorHAnsi" w:cs="Arial"/>
          <w:sz w:val="20"/>
          <w:szCs w:val="20"/>
          <w:lang w:val="es-ES"/>
        </w:rPr>
      </w:pPr>
    </w:p>
    <w:p w:rsidR="006C16FC" w:rsidRPr="000C1446" w:rsidRDefault="006C16FC"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Di</w:t>
      </w:r>
      <w:r w:rsidR="00B36E21" w:rsidRPr="000C1446">
        <w:rPr>
          <w:rFonts w:asciiTheme="majorHAnsi" w:hAnsiTheme="majorHAnsi" w:cs="Arial"/>
          <w:sz w:val="20"/>
          <w:szCs w:val="20"/>
          <w:lang w:val="es-ES"/>
        </w:rPr>
        <w:t>cho Decreto, en transcripción completa, señala:</w:t>
      </w: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Considerando:</w:t>
      </w:r>
    </w:p>
    <w:p w:rsidR="0034660B" w:rsidRPr="000C1446" w:rsidRDefault="0034660B"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Que es obligación del Gobierno Nacional precautelar la conservación de todo aquello que forma parte de los Bienes Culturales de la nación;</w:t>
      </w:r>
    </w:p>
    <w:p w:rsid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Que en el </w:t>
      </w:r>
      <w:r w:rsidR="007B7309" w:rsidRPr="000C1446">
        <w:rPr>
          <w:rFonts w:asciiTheme="majorHAnsi" w:hAnsiTheme="majorHAnsi" w:cs="Arial"/>
          <w:sz w:val="20"/>
          <w:szCs w:val="20"/>
          <w:lang w:val="es-ES"/>
        </w:rPr>
        <w:t>año</w:t>
      </w:r>
      <w:r w:rsidRPr="000C1446">
        <w:rPr>
          <w:rFonts w:asciiTheme="majorHAnsi" w:hAnsiTheme="majorHAnsi" w:cs="Arial"/>
          <w:sz w:val="20"/>
          <w:szCs w:val="20"/>
          <w:lang w:val="es-ES"/>
        </w:rPr>
        <w:t xml:space="preserve"> 1969 en virtud de una información periodística que lleg</w:t>
      </w:r>
      <w:r w:rsidR="00D86274" w:rsidRPr="000C1446">
        <w:rPr>
          <w:rFonts w:asciiTheme="majorHAnsi" w:hAnsiTheme="majorHAnsi" w:cs="Arial"/>
          <w:sz w:val="20"/>
          <w:szCs w:val="20"/>
          <w:lang w:val="es-ES"/>
        </w:rPr>
        <w:t>ó</w:t>
      </w:r>
      <w:r w:rsidRPr="000C1446">
        <w:rPr>
          <w:rFonts w:asciiTheme="majorHAnsi" w:hAnsiTheme="majorHAnsi" w:cs="Arial"/>
          <w:sz w:val="20"/>
          <w:szCs w:val="20"/>
          <w:lang w:val="es-ES"/>
        </w:rPr>
        <w:t xml:space="preserve"> a conocer la mórfica con ojos móviles de plati</w:t>
      </w:r>
      <w:r w:rsidR="009C47C8" w:rsidRPr="000C1446">
        <w:rPr>
          <w:rFonts w:asciiTheme="majorHAnsi" w:hAnsiTheme="majorHAnsi" w:cs="Arial"/>
          <w:sz w:val="20"/>
          <w:szCs w:val="20"/>
          <w:lang w:val="es-ES"/>
        </w:rPr>
        <w:t>n</w:t>
      </w:r>
      <w:r w:rsidRPr="000C1446">
        <w:rPr>
          <w:rFonts w:asciiTheme="majorHAnsi" w:hAnsiTheme="majorHAnsi" w:cs="Arial"/>
          <w:sz w:val="20"/>
          <w:szCs w:val="20"/>
          <w:lang w:val="es-ES"/>
        </w:rPr>
        <w:t xml:space="preserve">o, </w:t>
      </w:r>
      <w:r w:rsidR="007B7309" w:rsidRPr="000C1446">
        <w:rPr>
          <w:rFonts w:asciiTheme="majorHAnsi" w:hAnsiTheme="majorHAnsi" w:cs="Arial"/>
          <w:sz w:val="20"/>
          <w:szCs w:val="20"/>
          <w:lang w:val="es-ES"/>
        </w:rPr>
        <w:t>extraída</w:t>
      </w:r>
      <w:r w:rsidRPr="000C1446">
        <w:rPr>
          <w:rFonts w:asciiTheme="majorHAnsi" w:hAnsiTheme="majorHAnsi" w:cs="Arial"/>
          <w:sz w:val="20"/>
          <w:szCs w:val="20"/>
          <w:lang w:val="es-ES"/>
        </w:rPr>
        <w:t xml:space="preserve"> en forma </w:t>
      </w:r>
      <w:r w:rsidR="007B7309" w:rsidRPr="000C1446">
        <w:rPr>
          <w:rFonts w:asciiTheme="majorHAnsi" w:hAnsiTheme="majorHAnsi" w:cs="Arial"/>
          <w:sz w:val="20"/>
          <w:szCs w:val="20"/>
          <w:lang w:val="es-ES"/>
        </w:rPr>
        <w:t>ilegítima</w:t>
      </w:r>
      <w:r w:rsidRPr="000C1446">
        <w:rPr>
          <w:rFonts w:asciiTheme="majorHAnsi" w:hAnsiTheme="majorHAnsi" w:cs="Arial"/>
          <w:sz w:val="20"/>
          <w:szCs w:val="20"/>
          <w:lang w:val="es-ES"/>
        </w:rPr>
        <w:t>, infringiendo expresas disposiciones legales</w:t>
      </w:r>
      <w:r w:rsidR="007B7309" w:rsidRPr="000C1446">
        <w:rPr>
          <w:rFonts w:asciiTheme="majorHAnsi" w:hAnsiTheme="majorHAnsi" w:cs="Arial"/>
          <w:sz w:val="20"/>
          <w:szCs w:val="20"/>
          <w:lang w:val="es-ES"/>
        </w:rPr>
        <w:t>;</w:t>
      </w:r>
      <w:r w:rsidRPr="000C1446">
        <w:rPr>
          <w:rFonts w:asciiTheme="majorHAnsi" w:hAnsiTheme="majorHAnsi" w:cs="Arial"/>
          <w:sz w:val="20"/>
          <w:szCs w:val="20"/>
          <w:lang w:val="es-ES"/>
        </w:rPr>
        <w:t xml:space="preserve"> </w:t>
      </w:r>
    </w:p>
    <w:p w:rsid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Que en la búsqueda y hallazgo de este importantísimo testimonio de la prehistoria ecuatoriana no se ha observado lo dispuesto en la Ley de Patrimonio Nacional, y, </w:t>
      </w: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En uso de las atribuciones que se halla investido, </w:t>
      </w: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Decreta</w:t>
      </w: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7B7309"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Art.1 – Declá</w:t>
      </w:r>
      <w:r w:rsidR="00B36E21" w:rsidRPr="000C1446">
        <w:rPr>
          <w:rFonts w:asciiTheme="majorHAnsi" w:hAnsiTheme="majorHAnsi" w:cs="Arial"/>
          <w:sz w:val="20"/>
          <w:szCs w:val="20"/>
          <w:lang w:val="es-ES"/>
        </w:rPr>
        <w:t xml:space="preserve">rase de propiedad del Patrimonio Nacional la </w:t>
      </w:r>
      <w:r w:rsidRPr="000C1446">
        <w:rPr>
          <w:rFonts w:asciiTheme="majorHAnsi" w:hAnsiTheme="majorHAnsi" w:cs="Arial"/>
          <w:sz w:val="20"/>
          <w:szCs w:val="20"/>
          <w:lang w:val="es-ES"/>
        </w:rPr>
        <w:t>máscara</w:t>
      </w:r>
      <w:r w:rsidR="00B36E21" w:rsidRPr="000C1446">
        <w:rPr>
          <w:rFonts w:asciiTheme="majorHAnsi" w:hAnsiTheme="majorHAnsi" w:cs="Arial"/>
          <w:sz w:val="20"/>
          <w:szCs w:val="20"/>
          <w:lang w:val="es-ES"/>
        </w:rPr>
        <w:t xml:space="preserve"> de oro que se halla en custodia del Banco Central, </w:t>
      </w:r>
      <w:r w:rsidRPr="000C1446">
        <w:rPr>
          <w:rFonts w:asciiTheme="majorHAnsi" w:hAnsiTheme="majorHAnsi" w:cs="Arial"/>
          <w:sz w:val="20"/>
          <w:szCs w:val="20"/>
          <w:lang w:val="es-ES"/>
        </w:rPr>
        <w:t>así</w:t>
      </w:r>
      <w:r w:rsidR="00B36E21" w:rsidRPr="000C1446">
        <w:rPr>
          <w:rFonts w:asciiTheme="majorHAnsi" w:hAnsiTheme="majorHAnsi" w:cs="Arial"/>
          <w:sz w:val="20"/>
          <w:szCs w:val="20"/>
          <w:lang w:val="es-ES"/>
        </w:rPr>
        <w:t xml:space="preserve"> como las piezas arqueológicas que son parte de la misma y tiene como elementos de identificación </w:t>
      </w:r>
      <w:r w:rsidRPr="000C1446">
        <w:rPr>
          <w:rFonts w:asciiTheme="majorHAnsi" w:hAnsiTheme="majorHAnsi" w:cs="Arial"/>
          <w:sz w:val="20"/>
          <w:szCs w:val="20"/>
          <w:lang w:val="es-ES"/>
        </w:rPr>
        <w:t>su</w:t>
      </w:r>
      <w:r w:rsidR="00B36E21" w:rsidRPr="000C1446">
        <w:rPr>
          <w:rFonts w:asciiTheme="majorHAnsi" w:hAnsiTheme="majorHAnsi" w:cs="Arial"/>
          <w:sz w:val="20"/>
          <w:szCs w:val="20"/>
          <w:lang w:val="es-ES"/>
        </w:rPr>
        <w:t xml:space="preserve"> carácter antropomórfico y la presencia de ojos móviles de platino.</w:t>
      </w:r>
    </w:p>
    <w:p w:rsid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C46843"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Art.</w:t>
      </w:r>
      <w:r w:rsidR="00B36E21" w:rsidRPr="000C1446">
        <w:rPr>
          <w:rFonts w:asciiTheme="majorHAnsi" w:hAnsiTheme="majorHAnsi" w:cs="Arial"/>
          <w:sz w:val="20"/>
          <w:szCs w:val="20"/>
          <w:lang w:val="es-ES"/>
        </w:rPr>
        <w:t>2 -</w:t>
      </w:r>
      <w:r w:rsidR="00B36E21" w:rsidRPr="000C1446">
        <w:rPr>
          <w:rFonts w:asciiTheme="majorHAnsi" w:hAnsiTheme="majorHAnsi" w:cs="Arial"/>
          <w:sz w:val="20"/>
          <w:szCs w:val="20"/>
          <w:lang w:val="es-ES"/>
        </w:rPr>
        <w:tab/>
        <w:t xml:space="preserve">El derecho de propiedad sobre dicha mascara tendrá la Casa de la Cultura Ecuatoriana, sin que esta </w:t>
      </w:r>
      <w:r w:rsidR="007B7309" w:rsidRPr="000C1446">
        <w:rPr>
          <w:rFonts w:asciiTheme="majorHAnsi" w:hAnsiTheme="majorHAnsi" w:cs="Arial"/>
          <w:sz w:val="20"/>
          <w:szCs w:val="20"/>
          <w:lang w:val="es-ES"/>
        </w:rPr>
        <w:t>Institución</w:t>
      </w:r>
      <w:r w:rsidR="00B36E21" w:rsidRPr="000C1446">
        <w:rPr>
          <w:rFonts w:asciiTheme="majorHAnsi" w:hAnsiTheme="majorHAnsi" w:cs="Arial"/>
          <w:sz w:val="20"/>
          <w:szCs w:val="20"/>
          <w:lang w:val="es-ES"/>
        </w:rPr>
        <w:t xml:space="preserve"> este obligada a abona</w:t>
      </w:r>
      <w:r w:rsidR="00631B93" w:rsidRPr="000C1446">
        <w:rPr>
          <w:rFonts w:asciiTheme="majorHAnsi" w:hAnsiTheme="majorHAnsi" w:cs="Arial"/>
          <w:sz w:val="20"/>
          <w:szCs w:val="20"/>
          <w:lang w:val="es-ES"/>
        </w:rPr>
        <w:t>r</w:t>
      </w:r>
      <w:r w:rsidR="00B36E21" w:rsidRPr="000C1446">
        <w:rPr>
          <w:rFonts w:asciiTheme="majorHAnsi" w:hAnsiTheme="majorHAnsi" w:cs="Arial"/>
          <w:sz w:val="20"/>
          <w:szCs w:val="20"/>
          <w:lang w:val="es-ES"/>
        </w:rPr>
        <w:t xml:space="preserve"> valor al</w:t>
      </w:r>
      <w:r w:rsidR="00CD40A7">
        <w:rPr>
          <w:rFonts w:asciiTheme="majorHAnsi" w:hAnsiTheme="majorHAnsi" w:cs="Arial"/>
          <w:sz w:val="20"/>
          <w:szCs w:val="20"/>
          <w:lang w:val="es-ES"/>
        </w:rPr>
        <w:t>g</w:t>
      </w:r>
      <w:r w:rsidR="00B36E21" w:rsidRPr="000C1446">
        <w:rPr>
          <w:rFonts w:asciiTheme="majorHAnsi" w:hAnsiTheme="majorHAnsi" w:cs="Arial"/>
          <w:sz w:val="20"/>
          <w:szCs w:val="20"/>
          <w:lang w:val="es-ES"/>
        </w:rPr>
        <w:t>uno como precio de indemnización</w:t>
      </w:r>
      <w:r w:rsidR="00631B93" w:rsidRPr="000C1446">
        <w:rPr>
          <w:rFonts w:asciiTheme="majorHAnsi" w:hAnsiTheme="majorHAnsi" w:cs="Arial"/>
          <w:sz w:val="20"/>
          <w:szCs w:val="20"/>
          <w:lang w:val="es-ES"/>
        </w:rPr>
        <w:t>.</w:t>
      </w:r>
      <w:r w:rsidR="00B36E21" w:rsidRPr="000C1446">
        <w:rPr>
          <w:rFonts w:asciiTheme="majorHAnsi" w:hAnsiTheme="majorHAnsi" w:cs="Arial"/>
          <w:sz w:val="20"/>
          <w:szCs w:val="20"/>
          <w:lang w:val="es-ES"/>
        </w:rPr>
        <w:t xml:space="preserve"> </w:t>
      </w:r>
    </w:p>
    <w:p w:rsid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B36E21" w:rsidRPr="000C1446" w:rsidRDefault="00B36E21"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Art.3 - Hasta que la Casa de la Cultura Ecuatoriana, organice </w:t>
      </w:r>
      <w:r w:rsidR="007B7309" w:rsidRPr="000C1446">
        <w:rPr>
          <w:rFonts w:asciiTheme="majorHAnsi" w:hAnsiTheme="majorHAnsi" w:cs="Arial"/>
          <w:sz w:val="20"/>
          <w:szCs w:val="20"/>
          <w:lang w:val="es-ES"/>
        </w:rPr>
        <w:t>debidamente</w:t>
      </w:r>
      <w:r w:rsidRPr="000C1446">
        <w:rPr>
          <w:rFonts w:asciiTheme="majorHAnsi" w:hAnsiTheme="majorHAnsi" w:cs="Arial"/>
          <w:sz w:val="20"/>
          <w:szCs w:val="20"/>
          <w:lang w:val="es-ES"/>
        </w:rPr>
        <w:t xml:space="preserve"> su propio Museo, </w:t>
      </w:r>
      <w:proofErr w:type="spellStart"/>
      <w:r w:rsidRPr="000C1446">
        <w:rPr>
          <w:rFonts w:asciiTheme="majorHAnsi" w:hAnsiTheme="majorHAnsi" w:cs="Arial"/>
          <w:sz w:val="20"/>
          <w:szCs w:val="20"/>
          <w:lang w:val="es-ES"/>
        </w:rPr>
        <w:t>enc</w:t>
      </w:r>
      <w:r w:rsidR="00631B93" w:rsidRPr="000C1446">
        <w:rPr>
          <w:rFonts w:asciiTheme="majorHAnsi" w:hAnsiTheme="majorHAnsi" w:cs="Arial"/>
          <w:sz w:val="20"/>
          <w:szCs w:val="20"/>
          <w:lang w:val="es-ES"/>
        </w:rPr>
        <w:t>á</w:t>
      </w:r>
      <w:r w:rsidRPr="000C1446">
        <w:rPr>
          <w:rFonts w:asciiTheme="majorHAnsi" w:hAnsiTheme="majorHAnsi" w:cs="Arial"/>
          <w:sz w:val="20"/>
          <w:szCs w:val="20"/>
          <w:lang w:val="es-ES"/>
        </w:rPr>
        <w:t>rgase</w:t>
      </w:r>
      <w:proofErr w:type="spellEnd"/>
      <w:r w:rsidR="00936E4D" w:rsidRPr="000C1446">
        <w:rPr>
          <w:rFonts w:asciiTheme="majorHAnsi" w:hAnsiTheme="majorHAnsi" w:cs="Arial"/>
          <w:sz w:val="20"/>
          <w:szCs w:val="20"/>
          <w:lang w:val="es-ES"/>
        </w:rPr>
        <w:t xml:space="preserve"> (sic)</w:t>
      </w:r>
      <w:r w:rsidRPr="000C1446">
        <w:rPr>
          <w:rFonts w:asciiTheme="majorHAnsi" w:hAnsiTheme="majorHAnsi" w:cs="Arial"/>
          <w:sz w:val="20"/>
          <w:szCs w:val="20"/>
          <w:lang w:val="es-ES"/>
        </w:rPr>
        <w:t xml:space="preserve"> la tenencia y mantenimiento de dicha mascara, al Museo </w:t>
      </w:r>
      <w:r w:rsidR="007B7309" w:rsidRPr="000C1446">
        <w:rPr>
          <w:rFonts w:asciiTheme="majorHAnsi" w:hAnsiTheme="majorHAnsi" w:cs="Arial"/>
          <w:sz w:val="20"/>
          <w:szCs w:val="20"/>
          <w:lang w:val="es-ES"/>
        </w:rPr>
        <w:t>Arqueológico</w:t>
      </w:r>
      <w:r w:rsidRPr="000C1446">
        <w:rPr>
          <w:rFonts w:asciiTheme="majorHAnsi" w:hAnsiTheme="majorHAnsi" w:cs="Arial"/>
          <w:sz w:val="20"/>
          <w:szCs w:val="20"/>
          <w:lang w:val="es-ES"/>
        </w:rPr>
        <w:t xml:space="preserve"> del Banco Central del Ecuador.</w:t>
      </w:r>
    </w:p>
    <w:p w:rsid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C46843" w:rsidRPr="000C1446" w:rsidRDefault="00C46843"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Art.4</w:t>
      </w:r>
      <w:r w:rsidR="00B36E21"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 </w:t>
      </w:r>
      <w:r w:rsidR="007B7309" w:rsidRPr="000C1446">
        <w:rPr>
          <w:rFonts w:asciiTheme="majorHAnsi" w:hAnsiTheme="majorHAnsi" w:cs="Arial"/>
          <w:sz w:val="20"/>
          <w:szCs w:val="20"/>
          <w:lang w:val="es-ES"/>
        </w:rPr>
        <w:t>Declárese</w:t>
      </w:r>
      <w:r w:rsidRPr="000C1446">
        <w:rPr>
          <w:rFonts w:asciiTheme="majorHAnsi" w:hAnsiTheme="majorHAnsi" w:cs="Arial"/>
          <w:sz w:val="20"/>
          <w:szCs w:val="20"/>
          <w:lang w:val="es-ES"/>
        </w:rPr>
        <w:t xml:space="preserve"> sin valor alguno todas las tramitaciones judiciales, providencias, resoluciones y sentencias que respecto a la mencionada mascara de oro se hubieren actuado o expedido, en su caso, en cualesquiera de las judicaturas de la Rep</w:t>
      </w:r>
      <w:r w:rsidR="00631B93" w:rsidRPr="000C1446">
        <w:rPr>
          <w:rFonts w:asciiTheme="majorHAnsi" w:hAnsiTheme="majorHAnsi" w:cs="Arial"/>
          <w:sz w:val="20"/>
          <w:szCs w:val="20"/>
          <w:lang w:val="es-ES"/>
        </w:rPr>
        <w:t>ú</w:t>
      </w:r>
      <w:r w:rsidRPr="000C1446">
        <w:rPr>
          <w:rFonts w:asciiTheme="majorHAnsi" w:hAnsiTheme="majorHAnsi" w:cs="Arial"/>
          <w:sz w:val="20"/>
          <w:szCs w:val="20"/>
          <w:lang w:val="es-ES"/>
        </w:rPr>
        <w:t>blica.</w:t>
      </w:r>
    </w:p>
    <w:p w:rsidR="00C46843" w:rsidRPr="000C1446" w:rsidRDefault="007B7309"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roofErr w:type="spellStart"/>
      <w:r w:rsidRPr="000C1446">
        <w:rPr>
          <w:rFonts w:asciiTheme="majorHAnsi" w:hAnsiTheme="majorHAnsi" w:cs="Arial"/>
          <w:sz w:val="20"/>
          <w:szCs w:val="20"/>
          <w:lang w:val="es-ES"/>
        </w:rPr>
        <w:t>Dispó</w:t>
      </w:r>
      <w:r w:rsidR="00C46843" w:rsidRPr="000C1446">
        <w:rPr>
          <w:rFonts w:asciiTheme="majorHAnsi" w:hAnsiTheme="majorHAnsi" w:cs="Arial"/>
          <w:sz w:val="20"/>
          <w:szCs w:val="20"/>
          <w:lang w:val="es-ES"/>
        </w:rPr>
        <w:t>nese</w:t>
      </w:r>
      <w:proofErr w:type="spellEnd"/>
      <w:r w:rsidR="00936E4D" w:rsidRPr="000C1446">
        <w:rPr>
          <w:rFonts w:asciiTheme="majorHAnsi" w:hAnsiTheme="majorHAnsi" w:cs="Arial"/>
          <w:sz w:val="20"/>
          <w:szCs w:val="20"/>
          <w:lang w:val="es-ES"/>
        </w:rPr>
        <w:t xml:space="preserve"> (sic)</w:t>
      </w:r>
      <w:r w:rsidR="00C46843" w:rsidRPr="000C1446">
        <w:rPr>
          <w:rFonts w:asciiTheme="majorHAnsi" w:hAnsiTheme="majorHAnsi" w:cs="Arial"/>
          <w:sz w:val="20"/>
          <w:szCs w:val="20"/>
          <w:lang w:val="es-ES"/>
        </w:rPr>
        <w:t xml:space="preserve"> asimismo que no podrán continuar tramitándose las causas que en tormo al mencionado objeto arqueológico se hubieran propuesto en  dichas judicaturas, causas, que, en consecuencia, serán archivadas. </w:t>
      </w:r>
    </w:p>
    <w:p w:rsidR="00093A2D" w:rsidRDefault="00093A2D"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C46843" w:rsidRDefault="00C46843"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Art. 5 – De la ejecución del presente Decreto que entrar</w:t>
      </w:r>
      <w:r w:rsidR="0056440D" w:rsidRPr="000C1446">
        <w:rPr>
          <w:rFonts w:asciiTheme="majorHAnsi" w:hAnsiTheme="majorHAnsi" w:cs="Arial"/>
          <w:sz w:val="20"/>
          <w:szCs w:val="20"/>
          <w:lang w:val="es-ES"/>
        </w:rPr>
        <w:t>á</w:t>
      </w:r>
      <w:r w:rsidRPr="000C1446">
        <w:rPr>
          <w:rFonts w:asciiTheme="majorHAnsi" w:hAnsiTheme="majorHAnsi" w:cs="Arial"/>
          <w:sz w:val="20"/>
          <w:szCs w:val="20"/>
          <w:lang w:val="es-ES"/>
        </w:rPr>
        <w:t xml:space="preserve"> en vigencia a parti</w:t>
      </w:r>
      <w:r w:rsidR="00252B19" w:rsidRPr="000C1446">
        <w:rPr>
          <w:rFonts w:asciiTheme="majorHAnsi" w:hAnsiTheme="majorHAnsi" w:cs="Arial"/>
          <w:sz w:val="20"/>
          <w:szCs w:val="20"/>
          <w:lang w:val="es-ES"/>
        </w:rPr>
        <w:t>r</w:t>
      </w:r>
      <w:r w:rsidRPr="000C1446">
        <w:rPr>
          <w:rFonts w:asciiTheme="majorHAnsi" w:hAnsiTheme="majorHAnsi" w:cs="Arial"/>
          <w:sz w:val="20"/>
          <w:szCs w:val="20"/>
          <w:lang w:val="es-ES"/>
        </w:rPr>
        <w:t xml:space="preserve"> de su publicación en el Registro Oficial, encárguese el señor Ministro de </w:t>
      </w:r>
      <w:r w:rsidR="007B7309" w:rsidRPr="000C1446">
        <w:rPr>
          <w:rFonts w:asciiTheme="majorHAnsi" w:hAnsiTheme="majorHAnsi" w:cs="Arial"/>
          <w:sz w:val="20"/>
          <w:szCs w:val="20"/>
          <w:lang w:val="es-ES"/>
        </w:rPr>
        <w:t>Educación</w:t>
      </w:r>
      <w:r w:rsidRPr="000C1446">
        <w:rPr>
          <w:rFonts w:asciiTheme="majorHAnsi" w:hAnsiTheme="majorHAnsi" w:cs="Arial"/>
          <w:sz w:val="20"/>
          <w:szCs w:val="20"/>
          <w:lang w:val="es-ES"/>
        </w:rPr>
        <w:t xml:space="preserve"> P</w:t>
      </w:r>
      <w:r w:rsidR="00252B19" w:rsidRPr="000C1446">
        <w:rPr>
          <w:rFonts w:asciiTheme="majorHAnsi" w:hAnsiTheme="majorHAnsi" w:cs="Arial"/>
          <w:sz w:val="20"/>
          <w:szCs w:val="20"/>
          <w:lang w:val="es-ES"/>
        </w:rPr>
        <w:t>ú</w:t>
      </w:r>
      <w:r w:rsidRPr="000C1446">
        <w:rPr>
          <w:rFonts w:asciiTheme="majorHAnsi" w:hAnsiTheme="majorHAnsi" w:cs="Arial"/>
          <w:sz w:val="20"/>
          <w:szCs w:val="20"/>
          <w:lang w:val="es-ES"/>
        </w:rPr>
        <w:t>blica.</w:t>
      </w:r>
    </w:p>
    <w:p w:rsidR="002B7F5A" w:rsidRPr="000C1446" w:rsidRDefault="002B7F5A"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p>
    <w:p w:rsidR="0099483A" w:rsidRDefault="00006823"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Dado en el Palacio</w:t>
      </w:r>
      <w:r w:rsidR="00C46843" w:rsidRPr="000C1446">
        <w:rPr>
          <w:rFonts w:asciiTheme="majorHAnsi" w:hAnsiTheme="majorHAnsi" w:cs="Arial"/>
          <w:sz w:val="20"/>
          <w:szCs w:val="20"/>
          <w:lang w:val="es-ES"/>
        </w:rPr>
        <w:t xml:space="preserve"> Naciona</w:t>
      </w:r>
      <w:r w:rsidRPr="000C1446">
        <w:rPr>
          <w:rFonts w:asciiTheme="majorHAnsi" w:hAnsiTheme="majorHAnsi" w:cs="Arial"/>
          <w:sz w:val="20"/>
          <w:szCs w:val="20"/>
          <w:lang w:val="es-ES"/>
        </w:rPr>
        <w:t>l</w:t>
      </w:r>
      <w:r w:rsidR="00C46843" w:rsidRPr="000C1446">
        <w:rPr>
          <w:rFonts w:asciiTheme="majorHAnsi" w:hAnsiTheme="majorHAnsi" w:cs="Arial"/>
          <w:sz w:val="20"/>
          <w:szCs w:val="20"/>
          <w:lang w:val="es-ES"/>
        </w:rPr>
        <w:t>, en Quito, a 25 de abril de 1975</w:t>
      </w:r>
      <w:r w:rsidR="00133314" w:rsidRPr="000C1446">
        <w:rPr>
          <w:rStyle w:val="FootnoteReference"/>
          <w:rFonts w:asciiTheme="majorHAnsi" w:hAnsiTheme="majorHAnsi" w:cs="Arial"/>
          <w:sz w:val="20"/>
          <w:szCs w:val="20"/>
          <w:lang w:val="es-ES"/>
        </w:rPr>
        <w:footnoteReference w:id="20"/>
      </w:r>
      <w:r w:rsidR="007B7309" w:rsidRPr="000C1446">
        <w:rPr>
          <w:rFonts w:asciiTheme="majorHAnsi" w:hAnsiTheme="majorHAnsi" w:cs="Arial"/>
          <w:sz w:val="20"/>
          <w:szCs w:val="20"/>
          <w:lang w:val="es-ES"/>
        </w:rPr>
        <w:t>.</w:t>
      </w:r>
    </w:p>
    <w:p w:rsidR="0022603C" w:rsidRPr="000C1446" w:rsidRDefault="0022603C" w:rsidP="00071C55">
      <w:pPr>
        <w:pStyle w:val="Style2"/>
        <w:numPr>
          <w:ilvl w:val="0"/>
          <w:numId w:val="0"/>
        </w:numPr>
        <w:ind w:left="720"/>
      </w:pPr>
    </w:p>
    <w:p w:rsidR="00627863" w:rsidRPr="000C1446" w:rsidRDefault="00627863" w:rsidP="00071C55">
      <w:pPr>
        <w:pStyle w:val="Heading3"/>
        <w:ind w:left="1440" w:hanging="720"/>
      </w:pPr>
      <w:bookmarkStart w:id="24" w:name="_Toc464481607"/>
      <w:r w:rsidRPr="000C1446">
        <w:t>Procesos internos</w:t>
      </w:r>
      <w:bookmarkEnd w:id="24"/>
    </w:p>
    <w:p w:rsidR="00627863" w:rsidRPr="000C1446" w:rsidRDefault="00FE25A8" w:rsidP="00071C55">
      <w:pPr>
        <w:pStyle w:val="Heading4"/>
        <w:ind w:firstLine="720"/>
        <w:rPr>
          <w:rFonts w:cs="Arial"/>
          <w:b w:val="0"/>
          <w:sz w:val="20"/>
          <w:szCs w:val="20"/>
          <w:lang w:val="es-ES"/>
        </w:rPr>
      </w:pPr>
      <w:r w:rsidRPr="000C1446">
        <w:rPr>
          <w:i w:val="0"/>
          <w:color w:val="auto"/>
          <w:sz w:val="20"/>
          <w:szCs w:val="20"/>
          <w:lang w:val="es-ES"/>
        </w:rPr>
        <w:t>4</w:t>
      </w:r>
      <w:r w:rsidR="00627863" w:rsidRPr="000C1446">
        <w:rPr>
          <w:i w:val="0"/>
          <w:color w:val="auto"/>
          <w:sz w:val="20"/>
          <w:szCs w:val="20"/>
          <w:lang w:val="es-ES"/>
        </w:rPr>
        <w:t xml:space="preserve">.1 </w:t>
      </w:r>
      <w:r w:rsidR="00627863" w:rsidRPr="000C1446">
        <w:rPr>
          <w:i w:val="0"/>
          <w:color w:val="auto"/>
          <w:sz w:val="20"/>
          <w:szCs w:val="20"/>
          <w:lang w:val="es-ES"/>
        </w:rPr>
        <w:tab/>
        <w:t>Ante el Tribunal de lo Contencioso Administrativo</w:t>
      </w:r>
    </w:p>
    <w:p w:rsidR="00627863" w:rsidRPr="000C1446" w:rsidRDefault="00627863" w:rsidP="0007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3D2F6F" w:rsidRPr="000C1446" w:rsidRDefault="00627863"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22 de julio de 1980 el señor James Judge</w:t>
      </w:r>
      <w:r w:rsidR="003D2F6F" w:rsidRPr="000C1446">
        <w:rPr>
          <w:rFonts w:asciiTheme="majorHAnsi" w:hAnsiTheme="majorHAnsi" w:cs="Arial"/>
          <w:sz w:val="20"/>
          <w:szCs w:val="20"/>
          <w:lang w:val="es-ES"/>
        </w:rPr>
        <w:t xml:space="preserve"> interpuso</w:t>
      </w:r>
      <w:r w:rsidRPr="000C1446">
        <w:rPr>
          <w:rFonts w:asciiTheme="majorHAnsi" w:hAnsiTheme="majorHAnsi" w:cs="Arial"/>
          <w:sz w:val="20"/>
          <w:szCs w:val="20"/>
          <w:lang w:val="es-ES"/>
        </w:rPr>
        <w:t xml:space="preserve"> demanda ante el Tribunal de lo Contencioso Administrativo, contentiva de un recurso de plena jurisdicción</w:t>
      </w:r>
      <w:r w:rsidR="003D2F6F" w:rsidRPr="000C1446">
        <w:rPr>
          <w:rFonts w:asciiTheme="majorHAnsi" w:hAnsiTheme="majorHAnsi" w:cs="Arial"/>
          <w:sz w:val="20"/>
          <w:szCs w:val="20"/>
          <w:lang w:val="es-ES"/>
        </w:rPr>
        <w:t xml:space="preserve"> o subjetivo, por el que impugnó</w:t>
      </w:r>
      <w:r w:rsidRPr="000C1446">
        <w:rPr>
          <w:rFonts w:asciiTheme="majorHAnsi" w:hAnsiTheme="majorHAnsi" w:cs="Arial"/>
          <w:sz w:val="20"/>
          <w:szCs w:val="20"/>
          <w:lang w:val="es-ES"/>
        </w:rPr>
        <w:t xml:space="preserve"> el Decreto Supremo No. 320 de 25 de abril de 1975, promulgado en el Registro Oficial No. 796 de 6 de mayo del mismo </w:t>
      </w:r>
      <w:r w:rsidR="003D2F6F" w:rsidRPr="000C1446">
        <w:rPr>
          <w:rFonts w:asciiTheme="majorHAnsi" w:hAnsiTheme="majorHAnsi" w:cs="Arial"/>
          <w:sz w:val="20"/>
          <w:szCs w:val="20"/>
          <w:lang w:val="es-ES"/>
        </w:rPr>
        <w:t>año</w:t>
      </w:r>
      <w:r w:rsidRPr="000C1446">
        <w:rPr>
          <w:rFonts w:asciiTheme="majorHAnsi" w:hAnsiTheme="majorHAnsi" w:cs="Arial"/>
          <w:sz w:val="20"/>
          <w:szCs w:val="20"/>
          <w:lang w:val="es-ES"/>
        </w:rPr>
        <w:t>.</w:t>
      </w:r>
      <w:r w:rsidR="001A3DED" w:rsidRPr="000C1446">
        <w:rPr>
          <w:rFonts w:asciiTheme="majorHAnsi" w:hAnsiTheme="majorHAnsi" w:cs="Arial"/>
          <w:sz w:val="20"/>
          <w:szCs w:val="20"/>
          <w:lang w:val="es-ES"/>
        </w:rPr>
        <w:t xml:space="preserve"> La acción fue presentada en contra del Procurador General de la </w:t>
      </w:r>
      <w:r w:rsidR="003D2F6F" w:rsidRPr="000C1446">
        <w:rPr>
          <w:rFonts w:asciiTheme="majorHAnsi" w:hAnsiTheme="majorHAnsi" w:cs="Arial"/>
          <w:sz w:val="20"/>
          <w:szCs w:val="20"/>
          <w:lang w:val="es-ES"/>
        </w:rPr>
        <w:t>Nación</w:t>
      </w:r>
      <w:r w:rsidR="001A3DED" w:rsidRPr="000C1446">
        <w:rPr>
          <w:rFonts w:asciiTheme="majorHAnsi" w:hAnsiTheme="majorHAnsi" w:cs="Arial"/>
          <w:sz w:val="20"/>
          <w:szCs w:val="20"/>
          <w:lang w:val="es-ES"/>
        </w:rPr>
        <w:t xml:space="preserve"> en su calidad de representante judicial del Estado</w:t>
      </w:r>
      <w:r w:rsidR="00EC71CB" w:rsidRPr="000C1446">
        <w:rPr>
          <w:rFonts w:asciiTheme="majorHAnsi" w:hAnsiTheme="majorHAnsi" w:cs="Arial"/>
          <w:sz w:val="20"/>
          <w:szCs w:val="20"/>
          <w:lang w:val="es-ES"/>
        </w:rPr>
        <w:t xml:space="preserve">. </w:t>
      </w:r>
      <w:r w:rsidR="001678C4" w:rsidRPr="000C1446">
        <w:rPr>
          <w:rFonts w:asciiTheme="majorHAnsi" w:hAnsiTheme="majorHAnsi" w:cs="Arial"/>
          <w:sz w:val="20"/>
          <w:szCs w:val="20"/>
          <w:lang w:val="es-ES"/>
        </w:rPr>
        <w:t xml:space="preserve">En su demanda, indicó </w:t>
      </w:r>
      <w:r w:rsidR="00EC71CB" w:rsidRPr="000C1446">
        <w:rPr>
          <w:rFonts w:asciiTheme="majorHAnsi" w:hAnsiTheme="majorHAnsi" w:cs="Arial"/>
          <w:sz w:val="20"/>
          <w:szCs w:val="20"/>
          <w:lang w:val="es-ES"/>
        </w:rPr>
        <w:t>que los actos que impugna emanaron de la Jefatura del Estado ejercida por el General Guillermo Rodríguez Lara y del Director del Museo del Banco Central</w:t>
      </w:r>
      <w:r w:rsidR="00EC71CB" w:rsidRPr="000C1446">
        <w:rPr>
          <w:rStyle w:val="FootnoteReference"/>
          <w:rFonts w:asciiTheme="majorHAnsi" w:hAnsiTheme="majorHAnsi" w:cs="Arial"/>
          <w:sz w:val="20"/>
          <w:szCs w:val="20"/>
          <w:lang w:val="es-ES"/>
        </w:rPr>
        <w:footnoteReference w:id="21"/>
      </w:r>
      <w:r w:rsidR="001A3DED" w:rsidRPr="000C1446">
        <w:rPr>
          <w:rFonts w:asciiTheme="majorHAnsi" w:hAnsiTheme="majorHAnsi" w:cs="Arial"/>
          <w:sz w:val="20"/>
          <w:szCs w:val="20"/>
          <w:lang w:val="es-ES"/>
        </w:rPr>
        <w:t xml:space="preserve">. </w:t>
      </w:r>
    </w:p>
    <w:p w:rsidR="003D2F6F" w:rsidRPr="000C1446" w:rsidRDefault="003D2F6F"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DD4B8F" w:rsidRPr="000C1446" w:rsidRDefault="00DD4B8F"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Como fundamentos de derecho  consignó: a) el Decreto Supremo No. 3683-A dictado por el Consejo Supremo de Gobierno el 30 de julio de 197</w:t>
      </w:r>
      <w:r w:rsidR="00BA6DE4" w:rsidRPr="000C1446">
        <w:rPr>
          <w:rFonts w:asciiTheme="majorHAnsi" w:hAnsiTheme="majorHAnsi" w:cs="Arial"/>
          <w:sz w:val="20"/>
          <w:szCs w:val="20"/>
          <w:lang w:val="es-ES"/>
        </w:rPr>
        <w:t>9</w:t>
      </w:r>
      <w:r w:rsidRPr="000C1446">
        <w:rPr>
          <w:rFonts w:asciiTheme="majorHAnsi" w:hAnsiTheme="majorHAnsi" w:cs="Arial"/>
          <w:sz w:val="20"/>
          <w:szCs w:val="20"/>
          <w:lang w:val="es-ES"/>
        </w:rPr>
        <w:t xml:space="preserve"> que concede el plazo de un año, desde su vigencia, para que las personas que se crean asistidas del derecho que se establece en su artículo 1°, acudan con su demanda al Tribunal de lo Contencioso Administrativo; b) que, como se halla asistido de derecho, por haber sido perjudicado, lesionado y afectado por el Decreto 320 y, concretamente, por el acto de Gobierno que comporta, lo impugna por inconstitucional, ilegal y atentatorio a la justicia; […] d) que formal y oportunamente, inici</w:t>
      </w:r>
      <w:r w:rsidR="00FE25A8" w:rsidRPr="000C1446">
        <w:rPr>
          <w:rFonts w:asciiTheme="majorHAnsi" w:hAnsiTheme="majorHAnsi" w:cs="Arial"/>
          <w:sz w:val="20"/>
          <w:szCs w:val="20"/>
          <w:lang w:val="es-ES"/>
        </w:rPr>
        <w:t>ó</w:t>
      </w:r>
      <w:r w:rsidRPr="000C1446">
        <w:rPr>
          <w:rFonts w:asciiTheme="majorHAnsi" w:hAnsiTheme="majorHAnsi" w:cs="Arial"/>
          <w:sz w:val="20"/>
          <w:szCs w:val="20"/>
          <w:lang w:val="es-ES"/>
        </w:rPr>
        <w:t xml:space="preserve"> reclamaciones contra los actos administrativos que desembocaron e</w:t>
      </w:r>
      <w:r w:rsidR="00FE25A8" w:rsidRPr="000C1446">
        <w:rPr>
          <w:rFonts w:asciiTheme="majorHAnsi" w:hAnsiTheme="majorHAnsi" w:cs="Arial"/>
          <w:sz w:val="20"/>
          <w:szCs w:val="20"/>
          <w:lang w:val="es-ES"/>
        </w:rPr>
        <w:t>n la</w:t>
      </w:r>
      <w:r w:rsidRPr="000C1446">
        <w:rPr>
          <w:rFonts w:asciiTheme="majorHAnsi" w:hAnsiTheme="majorHAnsi" w:cs="Arial"/>
          <w:sz w:val="20"/>
          <w:szCs w:val="20"/>
          <w:lang w:val="es-ES"/>
        </w:rPr>
        <w:t xml:space="preserve"> dictación del Decreto Supremo</w:t>
      </w:r>
      <w:r w:rsidR="00096201" w:rsidRPr="000C1446">
        <w:rPr>
          <w:rFonts w:asciiTheme="majorHAnsi" w:hAnsiTheme="majorHAnsi" w:cs="Arial"/>
          <w:sz w:val="20"/>
          <w:szCs w:val="20"/>
          <w:lang w:val="es-ES"/>
        </w:rPr>
        <w:t xml:space="preserve"> No.</w:t>
      </w:r>
      <w:r w:rsidRPr="000C1446">
        <w:rPr>
          <w:rFonts w:asciiTheme="majorHAnsi" w:hAnsiTheme="majorHAnsi" w:cs="Arial"/>
          <w:sz w:val="20"/>
          <w:szCs w:val="20"/>
          <w:lang w:val="es-ES"/>
        </w:rPr>
        <w:t xml:space="preserve"> 320 y no se continuaron, precisamente, debido a que el mismo Decreto Supremo </w:t>
      </w:r>
      <w:r w:rsidR="00096201" w:rsidRPr="000C1446">
        <w:rPr>
          <w:rFonts w:asciiTheme="majorHAnsi" w:hAnsiTheme="majorHAnsi" w:cs="Arial"/>
          <w:sz w:val="20"/>
          <w:szCs w:val="20"/>
          <w:lang w:val="es-ES"/>
        </w:rPr>
        <w:t xml:space="preserve">No. </w:t>
      </w:r>
      <w:r w:rsidRPr="000C1446">
        <w:rPr>
          <w:rFonts w:asciiTheme="majorHAnsi" w:hAnsiTheme="majorHAnsi" w:cs="Arial"/>
          <w:sz w:val="20"/>
          <w:szCs w:val="20"/>
          <w:lang w:val="es-ES"/>
        </w:rPr>
        <w:t>320 lo impidió</w:t>
      </w:r>
      <w:r w:rsidR="00FE25A8" w:rsidRPr="000C1446">
        <w:rPr>
          <w:rFonts w:asciiTheme="majorHAnsi" w:hAnsiTheme="majorHAnsi" w:cs="Arial"/>
          <w:sz w:val="20"/>
          <w:szCs w:val="20"/>
          <w:lang w:val="es-ES"/>
        </w:rPr>
        <w:t>;</w:t>
      </w:r>
      <w:r w:rsidRPr="000C1446">
        <w:rPr>
          <w:rFonts w:asciiTheme="majorHAnsi" w:hAnsiTheme="majorHAnsi" w:cs="Arial"/>
          <w:sz w:val="20"/>
          <w:szCs w:val="20"/>
          <w:lang w:val="es-ES"/>
        </w:rPr>
        <w:t xml:space="preserve"> y e) que los actos administrativos y los actos legislativos son “actos de Gobierno”,  susceptibles de ser impugnados ante el Tribunal de lo Contencioso Administrativo</w:t>
      </w:r>
      <w:r w:rsidR="00EC71CB" w:rsidRPr="000C1446">
        <w:rPr>
          <w:rStyle w:val="FootnoteReference"/>
          <w:rFonts w:asciiTheme="majorHAnsi" w:hAnsiTheme="majorHAnsi" w:cs="Arial"/>
          <w:sz w:val="20"/>
          <w:szCs w:val="20"/>
          <w:lang w:val="es-ES"/>
        </w:rPr>
        <w:footnoteReference w:id="22"/>
      </w:r>
      <w:r w:rsidRPr="000C1446">
        <w:rPr>
          <w:rFonts w:asciiTheme="majorHAnsi" w:hAnsiTheme="majorHAnsi" w:cs="Arial"/>
          <w:sz w:val="20"/>
          <w:szCs w:val="20"/>
          <w:lang w:val="es-ES"/>
        </w:rPr>
        <w:t xml:space="preserve">. </w:t>
      </w:r>
    </w:p>
    <w:p w:rsidR="00DD4B8F" w:rsidRPr="000C1446" w:rsidRDefault="00DD4B8F" w:rsidP="00071C55">
      <w:pPr>
        <w:pStyle w:val="ListParagraph"/>
        <w:rPr>
          <w:rFonts w:asciiTheme="majorHAnsi" w:hAnsiTheme="majorHAnsi" w:cs="Arial"/>
          <w:sz w:val="20"/>
          <w:szCs w:val="20"/>
          <w:lang w:val="es-ES"/>
        </w:rPr>
      </w:pPr>
    </w:p>
    <w:p w:rsidR="00DD4B8F" w:rsidRPr="000C1446" w:rsidRDefault="00DD4B8F"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señor Judge solicitó al Tribunal que se recono</w:t>
      </w:r>
      <w:r w:rsidR="000859A5" w:rsidRPr="000C1446">
        <w:rPr>
          <w:rFonts w:asciiTheme="majorHAnsi" w:hAnsiTheme="majorHAnsi" w:cs="Arial"/>
          <w:sz w:val="20"/>
          <w:szCs w:val="20"/>
          <w:lang w:val="es-ES"/>
        </w:rPr>
        <w:t xml:space="preserve">ciera </w:t>
      </w:r>
      <w:r w:rsidRPr="000C1446">
        <w:rPr>
          <w:rFonts w:asciiTheme="majorHAnsi" w:hAnsiTheme="majorHAnsi" w:cs="Arial"/>
          <w:sz w:val="20"/>
          <w:szCs w:val="20"/>
          <w:lang w:val="es-ES"/>
        </w:rPr>
        <w:t>su derecho como propietario y descubridor de la máscara de oro y demás piezas arqueológicas que se encuentran en custodia en el Banco Central del Ecuador</w:t>
      </w:r>
      <w:r w:rsidR="00FC30E8" w:rsidRPr="000C1446">
        <w:rPr>
          <w:rStyle w:val="FootnoteReference"/>
          <w:rFonts w:asciiTheme="majorHAnsi" w:hAnsiTheme="majorHAnsi" w:cs="Arial"/>
          <w:sz w:val="20"/>
          <w:szCs w:val="20"/>
          <w:lang w:val="es-ES"/>
        </w:rPr>
        <w:footnoteReference w:id="23"/>
      </w:r>
      <w:r w:rsidRPr="000C1446">
        <w:rPr>
          <w:rFonts w:asciiTheme="majorHAnsi" w:hAnsiTheme="majorHAnsi" w:cs="Arial"/>
          <w:sz w:val="20"/>
          <w:szCs w:val="20"/>
          <w:lang w:val="es-ES"/>
        </w:rPr>
        <w:t xml:space="preserve">. </w:t>
      </w:r>
    </w:p>
    <w:p w:rsidR="002839E3" w:rsidRPr="000C1446" w:rsidRDefault="002839E3" w:rsidP="00071C55">
      <w:pPr>
        <w:pStyle w:val="ListParagraph"/>
        <w:rPr>
          <w:rFonts w:asciiTheme="majorHAnsi" w:hAnsiTheme="majorHAnsi" w:cs="Arial"/>
          <w:sz w:val="20"/>
          <w:szCs w:val="20"/>
          <w:lang w:val="es-ES"/>
        </w:rPr>
      </w:pPr>
    </w:p>
    <w:p w:rsidR="00DD4B8F" w:rsidRPr="000C1446" w:rsidRDefault="00DD4B8F"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18 de marzo de 1985 el Tribunal de lo Contencioso Administrativo desechó la demanda interpuesta por el señor James Judge “por improcedente, atenta a su falta de jurisdicción para resolver la impugnación de una ley”</w:t>
      </w:r>
      <w:r w:rsidRPr="000C1446">
        <w:rPr>
          <w:rStyle w:val="FootnoteReference"/>
          <w:rFonts w:asciiTheme="majorHAnsi" w:hAnsiTheme="majorHAnsi" w:cs="Arial"/>
          <w:sz w:val="20"/>
          <w:szCs w:val="20"/>
          <w:lang w:val="es-ES"/>
        </w:rPr>
        <w:footnoteReference w:id="24"/>
      </w:r>
      <w:r w:rsidR="0099483A" w:rsidRPr="000C1446">
        <w:rPr>
          <w:rFonts w:asciiTheme="majorHAnsi" w:hAnsiTheme="majorHAnsi" w:cs="Arial"/>
          <w:sz w:val="20"/>
          <w:szCs w:val="20"/>
          <w:lang w:val="es-ES"/>
        </w:rPr>
        <w:t>.</w:t>
      </w:r>
      <w:r w:rsidR="002839E3" w:rsidRPr="000C1446">
        <w:rPr>
          <w:rFonts w:asciiTheme="majorHAnsi" w:hAnsiTheme="majorHAnsi" w:cs="Arial"/>
          <w:sz w:val="20"/>
          <w:szCs w:val="20"/>
          <w:lang w:val="es-ES"/>
        </w:rPr>
        <w:t xml:space="preserve"> </w:t>
      </w:r>
      <w:r w:rsidR="00B91678" w:rsidRPr="000C1446">
        <w:rPr>
          <w:rFonts w:asciiTheme="majorHAnsi" w:hAnsiTheme="majorHAnsi" w:cs="Arial"/>
          <w:sz w:val="20"/>
          <w:szCs w:val="20"/>
          <w:lang w:val="es-ES"/>
        </w:rPr>
        <w:t>E</w:t>
      </w:r>
      <w:r w:rsidR="002839E3" w:rsidRPr="000C1446">
        <w:rPr>
          <w:rFonts w:asciiTheme="majorHAnsi" w:hAnsiTheme="majorHAnsi" w:cs="Arial"/>
          <w:sz w:val="20"/>
          <w:szCs w:val="20"/>
          <w:lang w:val="es-ES"/>
        </w:rPr>
        <w:t xml:space="preserve">n su fundamentación, el Tribunal </w:t>
      </w:r>
      <w:r w:rsidR="00B91678" w:rsidRPr="000C1446">
        <w:rPr>
          <w:rFonts w:asciiTheme="majorHAnsi" w:hAnsiTheme="majorHAnsi" w:cs="Arial"/>
          <w:sz w:val="20"/>
          <w:szCs w:val="20"/>
          <w:lang w:val="es-ES"/>
        </w:rPr>
        <w:t>indicó</w:t>
      </w:r>
      <w:r w:rsidR="001678C4" w:rsidRPr="000C1446">
        <w:rPr>
          <w:rFonts w:asciiTheme="majorHAnsi" w:hAnsiTheme="majorHAnsi" w:cs="Arial"/>
          <w:sz w:val="20"/>
          <w:szCs w:val="20"/>
          <w:lang w:val="es-ES"/>
        </w:rPr>
        <w:t>, entre otras cuestiones,</w:t>
      </w:r>
      <w:r w:rsidR="002839E3" w:rsidRPr="000C1446">
        <w:rPr>
          <w:rFonts w:asciiTheme="majorHAnsi" w:hAnsiTheme="majorHAnsi" w:cs="Arial"/>
          <w:sz w:val="20"/>
          <w:szCs w:val="20"/>
          <w:lang w:val="es-ES"/>
        </w:rPr>
        <w:t xml:space="preserve"> que</w:t>
      </w:r>
      <w:r w:rsidR="001678C4" w:rsidRPr="000C1446">
        <w:rPr>
          <w:rFonts w:asciiTheme="majorHAnsi" w:hAnsiTheme="majorHAnsi" w:cs="Arial"/>
          <w:sz w:val="20"/>
          <w:szCs w:val="20"/>
          <w:lang w:val="es-ES"/>
        </w:rPr>
        <w:t>:</w:t>
      </w:r>
    </w:p>
    <w:p w:rsidR="002839E3" w:rsidRPr="000C1446" w:rsidRDefault="002839E3" w:rsidP="00071C55">
      <w:pPr>
        <w:pStyle w:val="ListParagraph"/>
        <w:rPr>
          <w:rFonts w:asciiTheme="majorHAnsi" w:hAnsiTheme="majorHAnsi" w:cs="Arial"/>
          <w:sz w:val="20"/>
          <w:szCs w:val="20"/>
          <w:lang w:val="es-ES"/>
        </w:rPr>
      </w:pPr>
    </w:p>
    <w:p w:rsidR="002839E3" w:rsidRPr="000C1446" w:rsidRDefault="002839E3"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w:t>
      </w:r>
    </w:p>
    <w:p w:rsidR="002839E3" w:rsidRPr="000C1446" w:rsidRDefault="002839E3"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Arial"/>
          <w:sz w:val="20"/>
          <w:szCs w:val="20"/>
          <w:lang w:val="es-ES"/>
        </w:rPr>
      </w:pPr>
      <w:r w:rsidRPr="000C1446">
        <w:rPr>
          <w:rFonts w:asciiTheme="majorHAnsi" w:hAnsiTheme="majorHAnsi" w:cs="Arial"/>
          <w:sz w:val="20"/>
          <w:szCs w:val="20"/>
          <w:lang w:val="es-ES"/>
        </w:rPr>
        <w:t>b) […] no siempre la ley puede ser abstracta y general; que existen casos de rareza en que ello no acontece y (ilegible)</w:t>
      </w:r>
      <w:r w:rsidR="00B91678" w:rsidRPr="000C1446">
        <w:rPr>
          <w:rFonts w:asciiTheme="majorHAnsi" w:hAnsiTheme="majorHAnsi" w:cs="Arial"/>
          <w:sz w:val="20"/>
          <w:szCs w:val="20"/>
          <w:lang w:val="es-ES"/>
        </w:rPr>
        <w:t xml:space="preserve"> </w:t>
      </w:r>
      <w:r w:rsidRPr="000C1446">
        <w:rPr>
          <w:rFonts w:asciiTheme="majorHAnsi" w:hAnsiTheme="majorHAnsi" w:cs="Arial"/>
          <w:sz w:val="20"/>
          <w:szCs w:val="20"/>
          <w:lang w:val="es-ES"/>
        </w:rPr>
        <w:t xml:space="preserve">tiene su origen en lo anómalo de su expedición por quien ostenta la doble función de legislador y ejecutor de la ley, como en el caso de las dictaduras en que, bajo el manto de una disposición legal genérica, se legisla particularizando la norma que manda, prohíbe o permite, sin que sea menester entrar a analizar la bondad o no del espíritu que tuvo el legislador-ejecutor para expedirla. Pero, ni la falta de requisitos constitucionales en la elaboración, ni la carencia de </w:t>
      </w:r>
      <w:proofErr w:type="spellStart"/>
      <w:r w:rsidRPr="000C1446">
        <w:rPr>
          <w:rFonts w:asciiTheme="majorHAnsi" w:hAnsiTheme="majorHAnsi" w:cs="Arial"/>
          <w:sz w:val="20"/>
          <w:szCs w:val="20"/>
          <w:lang w:val="es-ES"/>
        </w:rPr>
        <w:t>abstractez</w:t>
      </w:r>
      <w:proofErr w:type="spellEnd"/>
      <w:r w:rsidRPr="000C1446">
        <w:rPr>
          <w:rFonts w:asciiTheme="majorHAnsi" w:hAnsiTheme="majorHAnsi" w:cs="Arial"/>
          <w:sz w:val="20"/>
          <w:szCs w:val="20"/>
          <w:lang w:val="es-ES"/>
        </w:rPr>
        <w:t xml:space="preserve"> y generalidad le quitan o restan la calidad de ley, con todas sus consecuencias, a los Decretos emanados de la voluntad omnímoda del Dictador. Consecuentemente, concluimos en que el D.S. 320 de 25 de abril de 1975, publicado en el R. O.  No. 796 de 6 de mayo de 1975, por defectuoso, mal concebido e injusto que se quiera, constituye, en conformidad a lo previamente expuesto en este fallo, una ley en el Ecuador. </w:t>
      </w:r>
    </w:p>
    <w:p w:rsidR="009C47C8" w:rsidRPr="000C1446" w:rsidRDefault="009C47C8" w:rsidP="00071C55">
      <w:pPr>
        <w:pStyle w:val="ListParagraph"/>
        <w:rPr>
          <w:rFonts w:asciiTheme="majorHAnsi" w:hAnsiTheme="majorHAnsi" w:cs="Arial"/>
          <w:sz w:val="20"/>
          <w:szCs w:val="20"/>
          <w:lang w:val="es-ES"/>
        </w:rPr>
      </w:pPr>
    </w:p>
    <w:p w:rsidR="009C47C8" w:rsidRPr="000C1446" w:rsidRDefault="009C47C8" w:rsidP="00071C55">
      <w:pPr>
        <w:pStyle w:val="Style2"/>
      </w:pPr>
      <w:r w:rsidRPr="000C1446">
        <w:t>El señor James Judge presentó una solicitud de aclaratoria de sentencia y, el 22 de abril de 1985, el Tribunal de lo Contencioso Administrativo resolvió ratificando su decisión</w:t>
      </w:r>
      <w:r w:rsidRPr="000C1446">
        <w:rPr>
          <w:rStyle w:val="FootnoteReference"/>
        </w:rPr>
        <w:footnoteReference w:id="25"/>
      </w:r>
      <w:r w:rsidRPr="000C1446">
        <w:t xml:space="preserve">. </w:t>
      </w:r>
    </w:p>
    <w:p w:rsidR="00093A2D" w:rsidRDefault="00093A2D" w:rsidP="00071C55">
      <w:pPr>
        <w:rPr>
          <w:rFonts w:asciiTheme="majorHAnsi" w:eastAsiaTheme="majorEastAsia" w:hAnsiTheme="majorHAnsi" w:cstheme="majorBidi"/>
          <w:b/>
          <w:bCs/>
          <w:iCs/>
          <w:sz w:val="20"/>
          <w:szCs w:val="20"/>
          <w:lang w:val="es-ES"/>
        </w:rPr>
      </w:pPr>
      <w:r>
        <w:rPr>
          <w:i/>
          <w:sz w:val="20"/>
          <w:szCs w:val="20"/>
          <w:lang w:val="es-ES"/>
        </w:rPr>
        <w:br w:type="page"/>
      </w:r>
    </w:p>
    <w:p w:rsidR="00627863" w:rsidRPr="000C1446" w:rsidRDefault="006F63CA" w:rsidP="00071C55">
      <w:pPr>
        <w:pStyle w:val="Heading4"/>
        <w:ind w:firstLine="720"/>
        <w:rPr>
          <w:i w:val="0"/>
          <w:color w:val="auto"/>
          <w:sz w:val="20"/>
          <w:szCs w:val="20"/>
          <w:lang w:val="es-ES"/>
        </w:rPr>
      </w:pPr>
      <w:r w:rsidRPr="000C1446">
        <w:rPr>
          <w:i w:val="0"/>
          <w:color w:val="auto"/>
          <w:sz w:val="20"/>
          <w:szCs w:val="20"/>
          <w:lang w:val="es-ES"/>
        </w:rPr>
        <w:t>3.2</w:t>
      </w:r>
      <w:r w:rsidR="006B22E3" w:rsidRPr="000C1446">
        <w:rPr>
          <w:i w:val="0"/>
          <w:color w:val="auto"/>
          <w:sz w:val="20"/>
          <w:szCs w:val="20"/>
          <w:lang w:val="es-ES"/>
        </w:rPr>
        <w:tab/>
      </w:r>
      <w:r w:rsidR="00B023BB" w:rsidRPr="000C1446">
        <w:rPr>
          <w:i w:val="0"/>
          <w:color w:val="auto"/>
          <w:sz w:val="20"/>
          <w:szCs w:val="20"/>
          <w:lang w:val="es-ES"/>
        </w:rPr>
        <w:t xml:space="preserve">Ante el </w:t>
      </w:r>
      <w:r w:rsidR="006B22E3" w:rsidRPr="000C1446">
        <w:rPr>
          <w:i w:val="0"/>
          <w:color w:val="auto"/>
          <w:sz w:val="20"/>
          <w:szCs w:val="20"/>
          <w:lang w:val="es-ES"/>
        </w:rPr>
        <w:t xml:space="preserve">Tribunal de </w:t>
      </w:r>
      <w:r w:rsidR="00B023BB" w:rsidRPr="000C1446">
        <w:rPr>
          <w:i w:val="0"/>
          <w:color w:val="auto"/>
          <w:sz w:val="20"/>
          <w:szCs w:val="20"/>
          <w:lang w:val="es-ES"/>
        </w:rPr>
        <w:t>Garantías</w:t>
      </w:r>
      <w:r w:rsidR="006B22E3" w:rsidRPr="000C1446">
        <w:rPr>
          <w:i w:val="0"/>
          <w:color w:val="auto"/>
          <w:sz w:val="20"/>
          <w:szCs w:val="20"/>
          <w:lang w:val="es-ES"/>
        </w:rPr>
        <w:t xml:space="preserve"> Con</w:t>
      </w:r>
      <w:r w:rsidR="00B023BB" w:rsidRPr="000C1446">
        <w:rPr>
          <w:i w:val="0"/>
          <w:color w:val="auto"/>
          <w:sz w:val="20"/>
          <w:szCs w:val="20"/>
          <w:lang w:val="es-ES"/>
        </w:rPr>
        <w:t>s</w:t>
      </w:r>
      <w:r w:rsidR="006B22E3" w:rsidRPr="000C1446">
        <w:rPr>
          <w:i w:val="0"/>
          <w:color w:val="auto"/>
          <w:sz w:val="20"/>
          <w:szCs w:val="20"/>
          <w:lang w:val="es-ES"/>
        </w:rPr>
        <w:t>t</w:t>
      </w:r>
      <w:r w:rsidR="00B023BB" w:rsidRPr="000C1446">
        <w:rPr>
          <w:i w:val="0"/>
          <w:color w:val="auto"/>
          <w:sz w:val="20"/>
          <w:szCs w:val="20"/>
          <w:lang w:val="es-ES"/>
        </w:rPr>
        <w:t xml:space="preserve">itucionales </w:t>
      </w:r>
    </w:p>
    <w:p w:rsidR="006B22E3" w:rsidRPr="000C1446" w:rsidRDefault="006B22E3"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961D9E" w:rsidRPr="000C1446" w:rsidRDefault="006B22E3"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12 de fe</w:t>
      </w:r>
      <w:r w:rsidR="00C94AFA" w:rsidRPr="000C1446">
        <w:rPr>
          <w:rFonts w:asciiTheme="majorHAnsi" w:hAnsiTheme="majorHAnsi" w:cs="Arial"/>
          <w:sz w:val="20"/>
          <w:szCs w:val="20"/>
          <w:lang w:val="es-ES"/>
        </w:rPr>
        <w:t>brero de 1993 el se</w:t>
      </w:r>
      <w:r w:rsidR="002839E3" w:rsidRPr="000C1446">
        <w:rPr>
          <w:rFonts w:asciiTheme="majorHAnsi" w:hAnsiTheme="majorHAnsi" w:cs="Arial"/>
          <w:sz w:val="20"/>
          <w:szCs w:val="20"/>
          <w:lang w:val="es-ES"/>
        </w:rPr>
        <w:t>ñor</w:t>
      </w:r>
      <w:r w:rsidR="00C94AFA" w:rsidRPr="000C1446">
        <w:rPr>
          <w:rFonts w:asciiTheme="majorHAnsi" w:hAnsiTheme="majorHAnsi" w:cs="Arial"/>
          <w:sz w:val="20"/>
          <w:szCs w:val="20"/>
          <w:lang w:val="es-ES"/>
        </w:rPr>
        <w:t xml:space="preserve"> James J</w:t>
      </w:r>
      <w:r w:rsidRPr="000C1446">
        <w:rPr>
          <w:rFonts w:asciiTheme="majorHAnsi" w:hAnsiTheme="majorHAnsi" w:cs="Arial"/>
          <w:sz w:val="20"/>
          <w:szCs w:val="20"/>
          <w:lang w:val="es-ES"/>
        </w:rPr>
        <w:t>udge present</w:t>
      </w:r>
      <w:r w:rsidR="00DD4B8F" w:rsidRPr="000C1446">
        <w:rPr>
          <w:rFonts w:asciiTheme="majorHAnsi" w:hAnsiTheme="majorHAnsi" w:cs="Arial"/>
          <w:sz w:val="20"/>
          <w:szCs w:val="20"/>
          <w:lang w:val="es-ES"/>
        </w:rPr>
        <w:t>ó</w:t>
      </w:r>
      <w:r w:rsidRPr="000C1446">
        <w:rPr>
          <w:rFonts w:asciiTheme="majorHAnsi" w:hAnsiTheme="majorHAnsi" w:cs="Arial"/>
          <w:sz w:val="20"/>
          <w:szCs w:val="20"/>
          <w:lang w:val="es-ES"/>
        </w:rPr>
        <w:t xml:space="preserve"> </w:t>
      </w:r>
      <w:r w:rsidR="001678C4" w:rsidRPr="000C1446">
        <w:rPr>
          <w:rFonts w:asciiTheme="majorHAnsi" w:hAnsiTheme="majorHAnsi" w:cs="Arial"/>
          <w:sz w:val="20"/>
          <w:szCs w:val="20"/>
          <w:lang w:val="es-ES"/>
        </w:rPr>
        <w:t xml:space="preserve">recurso </w:t>
      </w:r>
      <w:r w:rsidRPr="000C1446">
        <w:rPr>
          <w:rFonts w:asciiTheme="majorHAnsi" w:hAnsiTheme="majorHAnsi" w:cs="Arial"/>
          <w:sz w:val="20"/>
          <w:szCs w:val="20"/>
          <w:lang w:val="es-ES"/>
        </w:rPr>
        <w:t>de inconstitucionalidad contra el Decreto Supremo No.</w:t>
      </w:r>
      <w:r w:rsidR="00C94AFA" w:rsidRPr="000C1446">
        <w:rPr>
          <w:rFonts w:asciiTheme="majorHAnsi" w:hAnsiTheme="majorHAnsi" w:cs="Arial"/>
          <w:sz w:val="20"/>
          <w:szCs w:val="20"/>
          <w:lang w:val="es-ES"/>
        </w:rPr>
        <w:t xml:space="preserve"> 320 de 25 de abril de 1975</w:t>
      </w:r>
      <w:r w:rsidR="009C47C8" w:rsidRPr="000C1446">
        <w:rPr>
          <w:rStyle w:val="FootnoteReference"/>
          <w:rFonts w:asciiTheme="majorHAnsi" w:hAnsiTheme="majorHAnsi" w:cs="Arial"/>
          <w:sz w:val="20"/>
          <w:szCs w:val="20"/>
          <w:lang w:val="es-ES"/>
        </w:rPr>
        <w:footnoteReference w:id="26"/>
      </w:r>
      <w:r w:rsidR="00C94AFA" w:rsidRPr="000C1446">
        <w:rPr>
          <w:rFonts w:asciiTheme="majorHAnsi" w:hAnsiTheme="majorHAnsi" w:cs="Arial"/>
          <w:sz w:val="20"/>
          <w:szCs w:val="20"/>
          <w:lang w:val="es-ES"/>
        </w:rPr>
        <w:t>.</w:t>
      </w:r>
      <w:r w:rsidR="001F1FC6" w:rsidRPr="000C1446">
        <w:rPr>
          <w:rFonts w:asciiTheme="majorHAnsi" w:hAnsiTheme="majorHAnsi" w:cs="Arial"/>
          <w:sz w:val="20"/>
          <w:szCs w:val="20"/>
          <w:lang w:val="es-ES"/>
        </w:rPr>
        <w:t xml:space="preserve"> D</w:t>
      </w:r>
      <w:r w:rsidR="001678C4" w:rsidRPr="000C1446">
        <w:rPr>
          <w:rFonts w:asciiTheme="majorHAnsi" w:hAnsiTheme="majorHAnsi" w:cs="Arial"/>
          <w:sz w:val="20"/>
          <w:szCs w:val="20"/>
          <w:lang w:val="es-ES"/>
        </w:rPr>
        <w:t>icho recurso</w:t>
      </w:r>
      <w:r w:rsidR="001F1FC6" w:rsidRPr="000C1446">
        <w:rPr>
          <w:rFonts w:asciiTheme="majorHAnsi" w:hAnsiTheme="majorHAnsi" w:cs="Arial"/>
          <w:sz w:val="20"/>
          <w:szCs w:val="20"/>
          <w:lang w:val="es-ES"/>
        </w:rPr>
        <w:t xml:space="preserve"> fue presentad</w:t>
      </w:r>
      <w:r w:rsidR="001678C4" w:rsidRPr="000C1446">
        <w:rPr>
          <w:rFonts w:asciiTheme="majorHAnsi" w:hAnsiTheme="majorHAnsi" w:cs="Arial"/>
          <w:sz w:val="20"/>
          <w:szCs w:val="20"/>
          <w:lang w:val="es-ES"/>
        </w:rPr>
        <w:t>o</w:t>
      </w:r>
      <w:r w:rsidR="001F1FC6" w:rsidRPr="000C1446">
        <w:rPr>
          <w:rFonts w:asciiTheme="majorHAnsi" w:hAnsiTheme="majorHAnsi" w:cs="Arial"/>
          <w:sz w:val="20"/>
          <w:szCs w:val="20"/>
          <w:lang w:val="es-ES"/>
        </w:rPr>
        <w:t xml:space="preserve"> con base en el numeral 4 del artículo 141 de la Constitución</w:t>
      </w:r>
      <w:r w:rsidR="00186DCA" w:rsidRPr="000C1446">
        <w:rPr>
          <w:rFonts w:asciiTheme="majorHAnsi" w:hAnsiTheme="majorHAnsi" w:cs="Arial"/>
          <w:sz w:val="20"/>
          <w:szCs w:val="20"/>
          <w:lang w:val="es-ES"/>
        </w:rPr>
        <w:t xml:space="preserve"> Política de </w:t>
      </w:r>
      <w:r w:rsidR="00186DCA" w:rsidRPr="000C1446">
        <w:rPr>
          <w:rFonts w:asciiTheme="majorHAnsi" w:hAnsiTheme="majorHAnsi" w:cs="Arial"/>
          <w:sz w:val="20"/>
          <w:szCs w:val="20"/>
          <w:lang w:val="es-MX"/>
        </w:rPr>
        <w:t>1984,</w:t>
      </w:r>
      <w:r w:rsidR="001F1FC6" w:rsidRPr="000C1446">
        <w:rPr>
          <w:rFonts w:asciiTheme="majorHAnsi" w:hAnsiTheme="majorHAnsi" w:cs="Arial"/>
          <w:sz w:val="20"/>
          <w:szCs w:val="20"/>
          <w:lang w:val="es-ES"/>
        </w:rPr>
        <w:t xml:space="preserve"> vigente a esa fecha</w:t>
      </w:r>
      <w:r w:rsidR="00961D9E" w:rsidRPr="000C1446">
        <w:rPr>
          <w:rFonts w:asciiTheme="majorHAnsi" w:hAnsiTheme="majorHAnsi" w:cs="Arial"/>
          <w:sz w:val="20"/>
          <w:szCs w:val="20"/>
          <w:lang w:val="es-ES"/>
        </w:rPr>
        <w:t xml:space="preserve">. </w:t>
      </w:r>
    </w:p>
    <w:p w:rsidR="009C47C8" w:rsidRPr="000C1446" w:rsidRDefault="001F1FC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 </w:t>
      </w:r>
    </w:p>
    <w:p w:rsidR="00C94AFA" w:rsidRPr="000C1446" w:rsidRDefault="001F1FC6"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En su demanda, el señor Judge argumentó que “el Decreto 320 es confuso, contradictorio, infundado y abusivo, y atentatorio  contra las más elementales normas de derecho al declarar sin valor alguno todas las tramitaciones judiciales y sentencias referentes a la máscara de oro, que se hubieran expedido en cualquiera de las Judicaturas de la República. Finalmente, es necesario dejar constancia de que el tantas veces citado Decreto, al ordenar una confiscación sin pago alguno por parte del Estado, viola arbitrariamente lo establecido en el Art. 47 inciso final de la Constitución Política vigente, que prohíbe específicamente la confiscación”</w:t>
      </w:r>
      <w:r w:rsidRPr="000C1446">
        <w:rPr>
          <w:rStyle w:val="FootnoteReference"/>
          <w:rFonts w:asciiTheme="majorHAnsi" w:hAnsiTheme="majorHAnsi" w:cs="Arial"/>
          <w:sz w:val="20"/>
          <w:szCs w:val="20"/>
          <w:lang w:val="es-ES"/>
        </w:rPr>
        <w:footnoteReference w:id="27"/>
      </w:r>
      <w:r w:rsidRPr="000C1446">
        <w:rPr>
          <w:rFonts w:asciiTheme="majorHAnsi" w:hAnsiTheme="majorHAnsi" w:cs="Arial"/>
          <w:sz w:val="20"/>
          <w:szCs w:val="20"/>
          <w:lang w:val="es-ES"/>
        </w:rPr>
        <w:t xml:space="preserve">. </w:t>
      </w:r>
    </w:p>
    <w:p w:rsidR="006B22E3" w:rsidRPr="000C1446" w:rsidRDefault="006B22E3"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501AD6" w:rsidRPr="000C1446" w:rsidRDefault="00501AD6"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27 de diciembre de 1995 el Tribunal de </w:t>
      </w:r>
      <w:r w:rsidR="00B023BB" w:rsidRPr="000C1446">
        <w:rPr>
          <w:rFonts w:asciiTheme="majorHAnsi" w:hAnsiTheme="majorHAnsi" w:cs="Arial"/>
          <w:sz w:val="20"/>
          <w:szCs w:val="20"/>
          <w:lang w:val="es-ES"/>
        </w:rPr>
        <w:t>Garantías</w:t>
      </w:r>
      <w:r w:rsidRPr="000C1446">
        <w:rPr>
          <w:rFonts w:asciiTheme="majorHAnsi" w:hAnsiTheme="majorHAnsi" w:cs="Arial"/>
          <w:sz w:val="20"/>
          <w:szCs w:val="20"/>
          <w:lang w:val="es-ES"/>
        </w:rPr>
        <w:t xml:space="preserve"> Constitucionales </w:t>
      </w:r>
      <w:r w:rsidR="003D2F6F" w:rsidRPr="000C1446">
        <w:rPr>
          <w:rFonts w:asciiTheme="majorHAnsi" w:hAnsiTheme="majorHAnsi" w:cs="Arial"/>
          <w:sz w:val="20"/>
          <w:szCs w:val="20"/>
          <w:lang w:val="es-ES"/>
        </w:rPr>
        <w:t>emitió</w:t>
      </w:r>
      <w:r w:rsidRPr="000C1446">
        <w:rPr>
          <w:rFonts w:asciiTheme="majorHAnsi" w:hAnsiTheme="majorHAnsi" w:cs="Arial"/>
          <w:sz w:val="20"/>
          <w:szCs w:val="20"/>
          <w:lang w:val="es-ES"/>
        </w:rPr>
        <w:t xml:space="preserve"> la </w:t>
      </w:r>
      <w:r w:rsidR="00B023BB" w:rsidRPr="000C1446">
        <w:rPr>
          <w:rFonts w:asciiTheme="majorHAnsi" w:hAnsiTheme="majorHAnsi" w:cs="Arial"/>
          <w:sz w:val="20"/>
          <w:szCs w:val="20"/>
          <w:lang w:val="es-ES"/>
        </w:rPr>
        <w:t>Resolución</w:t>
      </w:r>
      <w:r w:rsidRPr="000C1446">
        <w:rPr>
          <w:rFonts w:asciiTheme="majorHAnsi" w:hAnsiTheme="majorHAnsi" w:cs="Arial"/>
          <w:sz w:val="20"/>
          <w:szCs w:val="20"/>
          <w:lang w:val="es-ES"/>
        </w:rPr>
        <w:t xml:space="preserve"> No. 248-95-CP, mediante la que res</w:t>
      </w:r>
      <w:r w:rsidR="001A570D" w:rsidRPr="000C1446">
        <w:rPr>
          <w:rFonts w:asciiTheme="majorHAnsi" w:hAnsiTheme="majorHAnsi" w:cs="Arial"/>
          <w:sz w:val="20"/>
          <w:szCs w:val="20"/>
          <w:lang w:val="es-ES"/>
        </w:rPr>
        <w:t xml:space="preserve">olvió </w:t>
      </w:r>
      <w:r w:rsidRPr="000C1446">
        <w:rPr>
          <w:rFonts w:asciiTheme="majorHAnsi" w:hAnsiTheme="majorHAnsi" w:cs="Arial"/>
          <w:sz w:val="20"/>
          <w:szCs w:val="20"/>
          <w:lang w:val="es-ES"/>
        </w:rPr>
        <w:t xml:space="preserve">desechar la demanda formulada por el señor James </w:t>
      </w:r>
      <w:r w:rsidR="001A570D" w:rsidRPr="000C1446">
        <w:rPr>
          <w:rFonts w:asciiTheme="majorHAnsi" w:hAnsiTheme="majorHAnsi" w:cs="Arial"/>
          <w:sz w:val="20"/>
          <w:szCs w:val="20"/>
          <w:lang w:val="es-ES"/>
        </w:rPr>
        <w:t xml:space="preserve">Judge. </w:t>
      </w:r>
      <w:r w:rsidRPr="000C1446">
        <w:rPr>
          <w:rFonts w:asciiTheme="majorHAnsi" w:hAnsiTheme="majorHAnsi" w:cs="Arial"/>
          <w:sz w:val="20"/>
          <w:szCs w:val="20"/>
          <w:lang w:val="es-ES"/>
        </w:rPr>
        <w:t xml:space="preserve">El Tribunal de </w:t>
      </w:r>
      <w:r w:rsidR="00B023BB" w:rsidRPr="000C1446">
        <w:rPr>
          <w:rFonts w:asciiTheme="majorHAnsi" w:hAnsiTheme="majorHAnsi" w:cs="Arial"/>
          <w:sz w:val="20"/>
          <w:szCs w:val="20"/>
          <w:lang w:val="es-ES"/>
        </w:rPr>
        <w:t>Garantías</w:t>
      </w:r>
      <w:r w:rsidRPr="000C1446">
        <w:rPr>
          <w:rFonts w:asciiTheme="majorHAnsi" w:hAnsiTheme="majorHAnsi" w:cs="Arial"/>
          <w:sz w:val="20"/>
          <w:szCs w:val="20"/>
          <w:lang w:val="es-ES"/>
        </w:rPr>
        <w:t xml:space="preserve"> Constitucionales</w:t>
      </w:r>
      <w:r w:rsidR="00920BBA" w:rsidRPr="000C1446">
        <w:rPr>
          <w:rFonts w:asciiTheme="majorHAnsi" w:hAnsiTheme="majorHAnsi" w:cs="Arial"/>
          <w:sz w:val="20"/>
          <w:szCs w:val="20"/>
          <w:lang w:val="es-ES"/>
        </w:rPr>
        <w:t xml:space="preserve"> indicó que</w:t>
      </w:r>
      <w:r w:rsidRPr="000C1446">
        <w:rPr>
          <w:rFonts w:asciiTheme="majorHAnsi" w:hAnsiTheme="majorHAnsi" w:cs="Arial"/>
          <w:sz w:val="20"/>
          <w:szCs w:val="20"/>
          <w:lang w:val="es-ES"/>
        </w:rPr>
        <w:t>:</w:t>
      </w:r>
    </w:p>
    <w:p w:rsidR="00501AD6" w:rsidRPr="000C1446" w:rsidRDefault="00501AD6" w:rsidP="0007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501AD6" w:rsidRPr="000C1446" w:rsidRDefault="00501AD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w:t>
      </w:r>
      <w:r w:rsidR="001A570D" w:rsidRPr="000C1446">
        <w:rPr>
          <w:rFonts w:asciiTheme="majorHAnsi" w:hAnsiTheme="majorHAnsi" w:cs="Arial"/>
          <w:sz w:val="20"/>
          <w:szCs w:val="20"/>
          <w:lang w:val="es-ES"/>
        </w:rPr>
        <w:t>D</w:t>
      </w:r>
      <w:r w:rsidRPr="000C1446">
        <w:rPr>
          <w:rFonts w:asciiTheme="majorHAnsi" w:hAnsiTheme="majorHAnsi" w:cs="Arial"/>
          <w:sz w:val="20"/>
          <w:szCs w:val="20"/>
          <w:lang w:val="es-ES"/>
        </w:rPr>
        <w:t xml:space="preserve">ecreto No. 320 no dispone la transferencia de dominio privado de las piezas arqueológicas objeto de esa ley hacia el dominio </w:t>
      </w:r>
      <w:r w:rsidR="003D2F6F" w:rsidRPr="000C1446">
        <w:rPr>
          <w:rFonts w:asciiTheme="majorHAnsi" w:hAnsiTheme="majorHAnsi" w:cs="Arial"/>
          <w:sz w:val="20"/>
          <w:szCs w:val="20"/>
          <w:lang w:val="es-ES"/>
        </w:rPr>
        <w:t>público</w:t>
      </w:r>
      <w:r w:rsidRPr="000C1446">
        <w:rPr>
          <w:rFonts w:asciiTheme="majorHAnsi" w:hAnsiTheme="majorHAnsi" w:cs="Arial"/>
          <w:sz w:val="20"/>
          <w:szCs w:val="20"/>
          <w:lang w:val="es-ES"/>
        </w:rPr>
        <w:t xml:space="preserve">, ni menciona que hayan sido de propiedad del demandante ni de ninguna otra persona, razón por la cual no contraviene la parte final del </w:t>
      </w:r>
      <w:r w:rsidR="00B023BB" w:rsidRPr="000C1446">
        <w:rPr>
          <w:rFonts w:asciiTheme="majorHAnsi" w:hAnsiTheme="majorHAnsi" w:cs="Arial"/>
          <w:sz w:val="20"/>
          <w:szCs w:val="20"/>
          <w:lang w:val="es-ES"/>
        </w:rPr>
        <w:t>artículo</w:t>
      </w:r>
      <w:r w:rsidRPr="000C1446">
        <w:rPr>
          <w:rFonts w:asciiTheme="majorHAnsi" w:hAnsiTheme="majorHAnsi" w:cs="Arial"/>
          <w:sz w:val="20"/>
          <w:szCs w:val="20"/>
          <w:lang w:val="es-ES"/>
        </w:rPr>
        <w:t xml:space="preserve"> 47 de la </w:t>
      </w:r>
      <w:r w:rsidR="00B023BB" w:rsidRPr="000C1446">
        <w:rPr>
          <w:rFonts w:asciiTheme="majorHAnsi" w:hAnsiTheme="majorHAnsi" w:cs="Arial"/>
          <w:sz w:val="20"/>
          <w:szCs w:val="20"/>
          <w:lang w:val="es-ES"/>
        </w:rPr>
        <w:t>Constitución</w:t>
      </w:r>
      <w:r w:rsidRPr="000C1446">
        <w:rPr>
          <w:rFonts w:asciiTheme="majorHAnsi" w:hAnsiTheme="majorHAnsi" w:cs="Arial"/>
          <w:sz w:val="20"/>
          <w:szCs w:val="20"/>
          <w:lang w:val="es-ES"/>
        </w:rPr>
        <w:t xml:space="preserve">,  que prohíbe toda confiscación. </w:t>
      </w:r>
    </w:p>
    <w:p w:rsidR="00501AD6" w:rsidRPr="000C1446" w:rsidRDefault="00501AD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501AD6" w:rsidRPr="000C1446" w:rsidRDefault="00501AD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0C1446">
        <w:rPr>
          <w:rFonts w:asciiTheme="majorHAnsi" w:hAnsiTheme="majorHAnsi" w:cs="Arial"/>
          <w:sz w:val="20"/>
          <w:szCs w:val="20"/>
          <w:lang w:val="es-ES"/>
        </w:rPr>
        <w:t>Que no se ha demostrado que sobre las mencionadas piezas arqueológicas haya dominio privado, peor en favor del demandante James Judge</w:t>
      </w:r>
      <w:r w:rsidR="00454BF4" w:rsidRPr="000C1446">
        <w:rPr>
          <w:rFonts w:asciiTheme="majorHAnsi" w:hAnsiTheme="majorHAnsi" w:cs="Arial"/>
          <w:sz w:val="20"/>
          <w:szCs w:val="20"/>
          <w:lang w:val="es-ES"/>
        </w:rPr>
        <w:t>.</w:t>
      </w:r>
    </w:p>
    <w:p w:rsidR="00501AD6" w:rsidRPr="000C1446" w:rsidRDefault="00501AD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501AD6" w:rsidRPr="000C1446" w:rsidRDefault="00501AD6"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Que las resoluciones del Tribunal de </w:t>
      </w:r>
      <w:r w:rsidR="00B023BB" w:rsidRPr="000C1446">
        <w:rPr>
          <w:rFonts w:asciiTheme="majorHAnsi" w:hAnsiTheme="majorHAnsi" w:cs="Arial"/>
          <w:sz w:val="20"/>
          <w:szCs w:val="20"/>
          <w:lang w:val="es-ES"/>
        </w:rPr>
        <w:t>Garantías</w:t>
      </w:r>
      <w:r w:rsidRPr="000C1446">
        <w:rPr>
          <w:rFonts w:asciiTheme="majorHAnsi" w:hAnsiTheme="majorHAnsi" w:cs="Arial"/>
          <w:sz w:val="20"/>
          <w:szCs w:val="20"/>
          <w:lang w:val="es-ES"/>
        </w:rPr>
        <w:t xml:space="preserve"> Constitucionales adoptadas de conformidad con la disposición del numeral 1 del </w:t>
      </w:r>
      <w:r w:rsidR="00B023BB" w:rsidRPr="000C1446">
        <w:rPr>
          <w:rFonts w:asciiTheme="majorHAnsi" w:hAnsiTheme="majorHAnsi" w:cs="Arial"/>
          <w:sz w:val="20"/>
          <w:szCs w:val="20"/>
          <w:lang w:val="es-ES"/>
        </w:rPr>
        <w:t>artículo</w:t>
      </w:r>
      <w:r w:rsidRPr="000C1446">
        <w:rPr>
          <w:rFonts w:asciiTheme="majorHAnsi" w:hAnsiTheme="majorHAnsi" w:cs="Arial"/>
          <w:sz w:val="20"/>
          <w:szCs w:val="20"/>
          <w:lang w:val="es-ES"/>
        </w:rPr>
        <w:t xml:space="preserve"> 146 de la </w:t>
      </w:r>
      <w:r w:rsidR="00B023BB" w:rsidRPr="000C1446">
        <w:rPr>
          <w:rFonts w:asciiTheme="majorHAnsi" w:hAnsiTheme="majorHAnsi" w:cs="Arial"/>
          <w:sz w:val="20"/>
          <w:szCs w:val="20"/>
          <w:lang w:val="es-ES"/>
        </w:rPr>
        <w:t>Constitución</w:t>
      </w:r>
      <w:r w:rsidRPr="000C1446">
        <w:rPr>
          <w:rFonts w:asciiTheme="majorHAnsi" w:hAnsiTheme="majorHAnsi" w:cs="Arial"/>
          <w:sz w:val="20"/>
          <w:szCs w:val="20"/>
          <w:lang w:val="es-ES"/>
        </w:rPr>
        <w:t xml:space="preserve"> y las sentencias que sobre ellas dicte la Sala Constitucional de la Corte Suprema de Justicia </w:t>
      </w:r>
      <w:r w:rsidR="00970EFA" w:rsidRPr="000C1446">
        <w:rPr>
          <w:rFonts w:asciiTheme="majorHAnsi" w:hAnsiTheme="majorHAnsi" w:cs="Arial"/>
          <w:sz w:val="20"/>
          <w:szCs w:val="20"/>
          <w:lang w:val="es-ES"/>
        </w:rPr>
        <w:t>no tienen efecto retroactivo, y</w:t>
      </w:r>
      <w:r w:rsidRPr="000C1446">
        <w:rPr>
          <w:rFonts w:asciiTheme="majorHAnsi" w:hAnsiTheme="majorHAnsi" w:cs="Arial"/>
          <w:sz w:val="20"/>
          <w:szCs w:val="20"/>
          <w:lang w:val="es-ES"/>
        </w:rPr>
        <w:t>, consecuentemente, este Tribunal no p</w:t>
      </w:r>
      <w:r w:rsidR="009C47C8" w:rsidRPr="000C1446">
        <w:rPr>
          <w:rFonts w:asciiTheme="majorHAnsi" w:hAnsiTheme="majorHAnsi" w:cs="Arial"/>
          <w:sz w:val="20"/>
          <w:szCs w:val="20"/>
          <w:lang w:val="es-ES"/>
        </w:rPr>
        <w:t>uede suspender los efectos del D</w:t>
      </w:r>
      <w:r w:rsidRPr="000C1446">
        <w:rPr>
          <w:rFonts w:asciiTheme="majorHAnsi" w:hAnsiTheme="majorHAnsi" w:cs="Arial"/>
          <w:sz w:val="20"/>
          <w:szCs w:val="20"/>
          <w:lang w:val="es-ES"/>
        </w:rPr>
        <w:t>ecreto No. 320 qu</w:t>
      </w:r>
      <w:r w:rsidR="00970EFA" w:rsidRPr="000C1446">
        <w:rPr>
          <w:rFonts w:asciiTheme="majorHAnsi" w:hAnsiTheme="majorHAnsi" w:cs="Arial"/>
          <w:sz w:val="20"/>
          <w:szCs w:val="20"/>
          <w:lang w:val="es-ES"/>
        </w:rPr>
        <w:t xml:space="preserve">e se consolidaron en el pasado; </w:t>
      </w:r>
    </w:p>
    <w:p w:rsidR="00970EFA" w:rsidRPr="000C1446" w:rsidRDefault="00970EFA"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DD4B8F" w:rsidRPr="000C1446" w:rsidRDefault="00DD4B8F"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0C1446">
        <w:rPr>
          <w:rFonts w:asciiTheme="majorHAnsi" w:hAnsiTheme="majorHAnsi" w:cs="Arial"/>
          <w:sz w:val="20"/>
          <w:szCs w:val="20"/>
          <w:lang w:val="es-ES"/>
        </w:rPr>
        <w:t>Resuelve</w:t>
      </w:r>
    </w:p>
    <w:p w:rsidR="00970EFA" w:rsidRPr="000C1446" w:rsidRDefault="00970EFA"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0C1446">
        <w:rPr>
          <w:rFonts w:asciiTheme="majorHAnsi" w:hAnsiTheme="majorHAnsi" w:cs="Arial"/>
          <w:sz w:val="20"/>
          <w:szCs w:val="20"/>
          <w:lang w:val="es-ES"/>
        </w:rPr>
        <w:t xml:space="preserve"> </w:t>
      </w:r>
    </w:p>
    <w:p w:rsidR="00970EFA" w:rsidRPr="000C1446" w:rsidRDefault="00970EFA" w:rsidP="00071C5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Desechar la </w:t>
      </w:r>
      <w:r w:rsidR="00DD4B8F" w:rsidRPr="000C1446">
        <w:rPr>
          <w:rFonts w:asciiTheme="majorHAnsi" w:hAnsiTheme="majorHAnsi" w:cs="Arial"/>
          <w:sz w:val="20"/>
          <w:szCs w:val="20"/>
          <w:lang w:val="es-ES"/>
        </w:rPr>
        <w:t>demanda formulada por el señor J</w:t>
      </w:r>
      <w:r w:rsidRPr="000C1446">
        <w:rPr>
          <w:rFonts w:asciiTheme="majorHAnsi" w:hAnsiTheme="majorHAnsi" w:cs="Arial"/>
          <w:sz w:val="20"/>
          <w:szCs w:val="20"/>
          <w:lang w:val="es-ES"/>
        </w:rPr>
        <w:t>ames Judge</w:t>
      </w:r>
      <w:r w:rsidR="009D38E9" w:rsidRPr="000C1446">
        <w:rPr>
          <w:rFonts w:asciiTheme="majorHAnsi" w:hAnsiTheme="majorHAnsi" w:cs="Arial"/>
          <w:sz w:val="20"/>
          <w:szCs w:val="20"/>
          <w:lang w:val="es-ES"/>
        </w:rPr>
        <w:t>.</w:t>
      </w:r>
    </w:p>
    <w:p w:rsidR="00DD4B8F" w:rsidRPr="000C1446" w:rsidRDefault="00970EFA" w:rsidP="00071C5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Someter la presente resolución a la Sala Constitucional de la Corte Suprema de Justicia</w:t>
      </w:r>
      <w:r w:rsidR="009D38E9" w:rsidRPr="000C1446">
        <w:rPr>
          <w:rFonts w:asciiTheme="majorHAnsi" w:hAnsiTheme="majorHAnsi" w:cs="Arial"/>
          <w:sz w:val="20"/>
          <w:szCs w:val="20"/>
          <w:lang w:val="es-ES"/>
        </w:rPr>
        <w:t>.</w:t>
      </w:r>
    </w:p>
    <w:p w:rsidR="00970EFA" w:rsidRPr="000C1446" w:rsidRDefault="00DD4B8F" w:rsidP="00071C5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Publíquese en el registro oficial – Notifíquese</w:t>
      </w:r>
      <w:r w:rsidR="0064282C" w:rsidRPr="000C1446">
        <w:rPr>
          <w:rStyle w:val="FootnoteReference"/>
          <w:rFonts w:asciiTheme="majorHAnsi" w:hAnsiTheme="majorHAnsi" w:cs="Arial"/>
          <w:sz w:val="20"/>
          <w:szCs w:val="20"/>
          <w:lang w:val="es-ES"/>
        </w:rPr>
        <w:footnoteReference w:id="28"/>
      </w:r>
      <w:r w:rsidR="00970EFA" w:rsidRPr="000C1446">
        <w:rPr>
          <w:rFonts w:asciiTheme="majorHAnsi" w:hAnsiTheme="majorHAnsi" w:cs="Arial"/>
          <w:sz w:val="20"/>
          <w:szCs w:val="20"/>
          <w:lang w:val="es-ES"/>
        </w:rPr>
        <w:t>.</w:t>
      </w:r>
    </w:p>
    <w:p w:rsidR="00970EFA" w:rsidRPr="000C1446" w:rsidRDefault="00970EFA"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6754FA" w:rsidRPr="000C1446" w:rsidRDefault="006754FA"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El peticionario afirmó que dicha resolución no le fue notificada y sólo tuvo noticia de la misma cuando solicitó información a finales del año 1996</w:t>
      </w:r>
      <w:r w:rsidR="00444506" w:rsidRPr="000C1446">
        <w:rPr>
          <w:rStyle w:val="FootnoteReference"/>
          <w:rFonts w:asciiTheme="majorHAnsi" w:hAnsiTheme="majorHAnsi" w:cs="Arial"/>
          <w:sz w:val="20"/>
          <w:szCs w:val="20"/>
          <w:lang w:val="es-ES"/>
        </w:rPr>
        <w:footnoteReference w:id="29"/>
      </w:r>
      <w:r w:rsidRPr="000C1446">
        <w:rPr>
          <w:rFonts w:asciiTheme="majorHAnsi" w:hAnsiTheme="majorHAnsi" w:cs="Arial"/>
          <w:sz w:val="20"/>
          <w:szCs w:val="20"/>
          <w:lang w:val="es-ES"/>
        </w:rPr>
        <w:t xml:space="preserve">. </w:t>
      </w:r>
      <w:r w:rsidR="001A570D" w:rsidRPr="000C1446">
        <w:rPr>
          <w:rFonts w:asciiTheme="majorHAnsi" w:hAnsiTheme="majorHAnsi" w:cs="Arial"/>
          <w:sz w:val="20"/>
          <w:szCs w:val="20"/>
          <w:lang w:val="es-ES"/>
        </w:rPr>
        <w:t>El Estado no presentó información que contradiga e</w:t>
      </w:r>
      <w:r w:rsidR="009B6D89" w:rsidRPr="000C1446">
        <w:rPr>
          <w:rFonts w:asciiTheme="majorHAnsi" w:hAnsiTheme="majorHAnsi" w:cs="Arial"/>
          <w:sz w:val="20"/>
          <w:szCs w:val="20"/>
          <w:lang w:val="es-ES"/>
        </w:rPr>
        <w:t>ste</w:t>
      </w:r>
      <w:r w:rsidR="001A570D" w:rsidRPr="000C1446">
        <w:rPr>
          <w:rFonts w:asciiTheme="majorHAnsi" w:hAnsiTheme="majorHAnsi" w:cs="Arial"/>
          <w:sz w:val="20"/>
          <w:szCs w:val="20"/>
          <w:lang w:val="es-ES"/>
        </w:rPr>
        <w:t xml:space="preserve"> dicho del peticionario. </w:t>
      </w:r>
    </w:p>
    <w:p w:rsidR="00EA5C8C" w:rsidRPr="000C1446" w:rsidRDefault="00EA5C8C"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p>
    <w:p w:rsidR="00444506" w:rsidRPr="000C1446" w:rsidRDefault="00444506"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 xml:space="preserve">El señor James Judge presentó un escrito ante la Sala de lo Administrativo de la Corte Suprema de Justicia solicitando la revocación de la Resolución No. 243-95-CP dictada por el </w:t>
      </w:r>
      <w:r w:rsidR="009372C5" w:rsidRPr="000C1446">
        <w:rPr>
          <w:rFonts w:asciiTheme="majorHAnsi" w:hAnsiTheme="majorHAnsi" w:cs="Arial"/>
          <w:sz w:val="20"/>
          <w:szCs w:val="20"/>
          <w:lang w:val="es-ES"/>
        </w:rPr>
        <w:t>Tribunal</w:t>
      </w:r>
      <w:r w:rsidRPr="000C1446">
        <w:rPr>
          <w:rFonts w:asciiTheme="majorHAnsi" w:hAnsiTheme="majorHAnsi" w:cs="Arial"/>
          <w:sz w:val="20"/>
          <w:szCs w:val="20"/>
          <w:lang w:val="es-ES"/>
        </w:rPr>
        <w:t xml:space="preserve"> de </w:t>
      </w:r>
      <w:r w:rsidR="009372C5" w:rsidRPr="000C1446">
        <w:rPr>
          <w:rFonts w:asciiTheme="majorHAnsi" w:hAnsiTheme="majorHAnsi" w:cs="Arial"/>
          <w:sz w:val="20"/>
          <w:szCs w:val="20"/>
          <w:lang w:val="es-ES"/>
        </w:rPr>
        <w:t>Garantías</w:t>
      </w:r>
      <w:r w:rsidRPr="000C1446">
        <w:rPr>
          <w:rFonts w:asciiTheme="majorHAnsi" w:hAnsiTheme="majorHAnsi" w:cs="Arial"/>
          <w:sz w:val="20"/>
          <w:szCs w:val="20"/>
          <w:lang w:val="es-ES"/>
        </w:rPr>
        <w:t xml:space="preserve"> Constitucionales y </w:t>
      </w:r>
      <w:r w:rsidR="001678C4" w:rsidRPr="000C1446">
        <w:rPr>
          <w:rFonts w:asciiTheme="majorHAnsi" w:hAnsiTheme="majorHAnsi" w:cs="Arial"/>
          <w:sz w:val="20"/>
          <w:szCs w:val="20"/>
          <w:lang w:val="es-ES"/>
        </w:rPr>
        <w:t xml:space="preserve">que </w:t>
      </w:r>
      <w:r w:rsidRPr="000C1446">
        <w:rPr>
          <w:rFonts w:asciiTheme="majorHAnsi" w:hAnsiTheme="majorHAnsi" w:cs="Arial"/>
          <w:sz w:val="20"/>
          <w:szCs w:val="20"/>
          <w:lang w:val="es-ES"/>
        </w:rPr>
        <w:t>se declar</w:t>
      </w:r>
      <w:r w:rsidR="001678C4" w:rsidRPr="000C1446">
        <w:rPr>
          <w:rFonts w:asciiTheme="majorHAnsi" w:hAnsiTheme="majorHAnsi" w:cs="Arial"/>
          <w:sz w:val="20"/>
          <w:szCs w:val="20"/>
          <w:lang w:val="es-ES"/>
        </w:rPr>
        <w:t>ara</w:t>
      </w:r>
      <w:r w:rsidRPr="000C1446">
        <w:rPr>
          <w:rFonts w:asciiTheme="majorHAnsi" w:hAnsiTheme="majorHAnsi" w:cs="Arial"/>
          <w:sz w:val="20"/>
          <w:szCs w:val="20"/>
          <w:lang w:val="es-ES"/>
        </w:rPr>
        <w:t xml:space="preserve"> inconstitucional el Decreto no. 320</w:t>
      </w:r>
      <w:r w:rsidRPr="000C1446">
        <w:rPr>
          <w:rStyle w:val="FootnoteReference"/>
          <w:rFonts w:asciiTheme="majorHAnsi" w:hAnsiTheme="majorHAnsi" w:cs="Arial"/>
          <w:sz w:val="20"/>
          <w:szCs w:val="20"/>
          <w:lang w:val="es-ES"/>
        </w:rPr>
        <w:footnoteReference w:id="30"/>
      </w:r>
      <w:r w:rsidRPr="000C1446">
        <w:rPr>
          <w:rFonts w:asciiTheme="majorHAnsi" w:hAnsiTheme="majorHAnsi" w:cs="Arial"/>
          <w:sz w:val="20"/>
          <w:szCs w:val="20"/>
          <w:lang w:val="es-ES"/>
        </w:rPr>
        <w:t xml:space="preserve">. </w:t>
      </w:r>
      <w:r w:rsidR="001A570D" w:rsidRPr="000C1446">
        <w:rPr>
          <w:rFonts w:asciiTheme="majorHAnsi" w:hAnsiTheme="majorHAnsi" w:cs="Arial"/>
          <w:sz w:val="20"/>
          <w:szCs w:val="20"/>
          <w:lang w:val="es-ES"/>
        </w:rPr>
        <w:t xml:space="preserve">La Comisión no cuenta con información sobre la </w:t>
      </w:r>
      <w:r w:rsidR="001678C4" w:rsidRPr="000C1446">
        <w:rPr>
          <w:rFonts w:asciiTheme="majorHAnsi" w:hAnsiTheme="majorHAnsi" w:cs="Arial"/>
          <w:sz w:val="20"/>
          <w:szCs w:val="20"/>
          <w:lang w:val="es-ES"/>
        </w:rPr>
        <w:t xml:space="preserve">respuesta o </w:t>
      </w:r>
      <w:r w:rsidR="001A570D" w:rsidRPr="000C1446">
        <w:rPr>
          <w:rFonts w:asciiTheme="majorHAnsi" w:hAnsiTheme="majorHAnsi" w:cs="Arial"/>
          <w:sz w:val="20"/>
          <w:szCs w:val="20"/>
          <w:lang w:val="es-ES"/>
        </w:rPr>
        <w:t xml:space="preserve">resolución que hubiera recaído a tal escrito. </w:t>
      </w:r>
    </w:p>
    <w:p w:rsidR="006754FA" w:rsidRPr="000C1446" w:rsidRDefault="006754FA" w:rsidP="00071C55">
      <w:pPr>
        <w:pStyle w:val="ListParagraph"/>
        <w:rPr>
          <w:rFonts w:asciiTheme="majorHAnsi" w:hAnsiTheme="majorHAnsi" w:cs="Arial"/>
          <w:sz w:val="20"/>
          <w:szCs w:val="20"/>
          <w:lang w:val="es-ES"/>
        </w:rPr>
      </w:pPr>
    </w:p>
    <w:p w:rsidR="001678C4" w:rsidRPr="000C1446" w:rsidRDefault="001678C4"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0C1446">
        <w:rPr>
          <w:rFonts w:asciiTheme="majorHAnsi" w:hAnsiTheme="majorHAnsi" w:cs="Arial"/>
          <w:sz w:val="20"/>
          <w:szCs w:val="20"/>
          <w:lang w:val="es-ES"/>
        </w:rPr>
        <w:t>E</w:t>
      </w:r>
      <w:r w:rsidR="006754FA" w:rsidRPr="000C1446">
        <w:rPr>
          <w:rFonts w:asciiTheme="majorHAnsi" w:hAnsiTheme="majorHAnsi" w:cs="Arial"/>
          <w:sz w:val="20"/>
          <w:szCs w:val="20"/>
          <w:lang w:val="es-ES"/>
        </w:rPr>
        <w:t>n el año 2000</w:t>
      </w:r>
      <w:r w:rsidRPr="000C1446">
        <w:rPr>
          <w:rFonts w:asciiTheme="majorHAnsi" w:hAnsiTheme="majorHAnsi" w:cs="Arial"/>
          <w:sz w:val="20"/>
          <w:szCs w:val="20"/>
          <w:lang w:val="es-ES"/>
        </w:rPr>
        <w:t>,</w:t>
      </w:r>
      <w:r w:rsidR="006754FA" w:rsidRPr="000C1446">
        <w:rPr>
          <w:rFonts w:asciiTheme="majorHAnsi" w:hAnsiTheme="majorHAnsi" w:cs="Arial"/>
          <w:sz w:val="20"/>
          <w:szCs w:val="20"/>
          <w:lang w:val="es-ES"/>
        </w:rPr>
        <w:t xml:space="preserve"> el señor James Judge </w:t>
      </w:r>
      <w:r w:rsidRPr="000C1446">
        <w:rPr>
          <w:rFonts w:asciiTheme="majorHAnsi" w:hAnsiTheme="majorHAnsi" w:cs="Arial"/>
          <w:sz w:val="20"/>
          <w:szCs w:val="20"/>
          <w:lang w:val="es-ES"/>
        </w:rPr>
        <w:t xml:space="preserve">interpuso un escrito </w:t>
      </w:r>
      <w:r w:rsidR="006754FA" w:rsidRPr="000C1446">
        <w:rPr>
          <w:rFonts w:asciiTheme="majorHAnsi" w:hAnsiTheme="majorHAnsi" w:cs="Arial"/>
          <w:sz w:val="20"/>
          <w:szCs w:val="20"/>
          <w:lang w:val="es-ES"/>
        </w:rPr>
        <w:t>ante el Tribunal Constitucional en el que señal</w:t>
      </w:r>
      <w:r w:rsidRPr="000C1446">
        <w:rPr>
          <w:rFonts w:asciiTheme="majorHAnsi" w:hAnsiTheme="majorHAnsi" w:cs="Arial"/>
          <w:sz w:val="20"/>
          <w:szCs w:val="20"/>
          <w:lang w:val="es-ES"/>
        </w:rPr>
        <w:t>ó</w:t>
      </w:r>
      <w:r w:rsidR="006754FA" w:rsidRPr="000C1446">
        <w:rPr>
          <w:rFonts w:asciiTheme="majorHAnsi" w:hAnsiTheme="majorHAnsi" w:cs="Arial"/>
          <w:sz w:val="20"/>
          <w:szCs w:val="20"/>
          <w:lang w:val="es-ES"/>
        </w:rPr>
        <w:t xml:space="preserve"> que la Sala de lo Administrativo de la H. Corte Suprema de Justicia, en providencia del 18 de marzo de 1997, entre otras cosas dispuso “en lo principal, atento el estado de la causa, AUTOS PARA SENTENCIA”. En  dicha comunicación el peticionario subrayó que desde entonces no se habría dictado la correspondiente sentencia, pese a las gestiones tanto escritas como verbales</w:t>
      </w:r>
      <w:r w:rsidR="009B6D89" w:rsidRPr="000C1446">
        <w:rPr>
          <w:rFonts w:asciiTheme="majorHAnsi" w:hAnsiTheme="majorHAnsi" w:cs="Arial"/>
          <w:sz w:val="20"/>
          <w:szCs w:val="20"/>
          <w:lang w:val="es-ES"/>
        </w:rPr>
        <w:t xml:space="preserve"> y </w:t>
      </w:r>
      <w:r w:rsidR="006754FA" w:rsidRPr="000C1446">
        <w:rPr>
          <w:rFonts w:asciiTheme="majorHAnsi" w:hAnsiTheme="majorHAnsi" w:cs="Arial"/>
          <w:sz w:val="20"/>
          <w:szCs w:val="20"/>
          <w:lang w:val="es-ES"/>
        </w:rPr>
        <w:t xml:space="preserve">personales, realizadas para tal efecto. </w:t>
      </w:r>
      <w:r w:rsidRPr="000C1446">
        <w:rPr>
          <w:rFonts w:asciiTheme="majorHAnsi" w:hAnsiTheme="majorHAnsi" w:cs="Arial"/>
          <w:sz w:val="20"/>
          <w:szCs w:val="20"/>
          <w:lang w:val="es-ES"/>
        </w:rPr>
        <w:t>En el mismo escrito, el peticionario indicó qu</w:t>
      </w:r>
      <w:r w:rsidR="006754FA" w:rsidRPr="000C1446">
        <w:rPr>
          <w:rFonts w:asciiTheme="majorHAnsi" w:hAnsiTheme="majorHAnsi" w:cs="Arial"/>
          <w:sz w:val="20"/>
          <w:szCs w:val="20"/>
          <w:lang w:val="es-ES"/>
        </w:rPr>
        <w:t xml:space="preserve">e, extraprocesalmente, se enteró que las actuaciones fueron devueltas al Tribunal Constitucional en marzo de 1999, sin que se le hubiera notificado.  </w:t>
      </w:r>
      <w:r w:rsidRPr="000C1446">
        <w:rPr>
          <w:rFonts w:asciiTheme="majorHAnsi" w:hAnsiTheme="majorHAnsi" w:cs="Arial"/>
          <w:sz w:val="20"/>
          <w:szCs w:val="20"/>
          <w:lang w:val="es-ES"/>
        </w:rPr>
        <w:t>Así, el peticionario s</w:t>
      </w:r>
      <w:r w:rsidR="006754FA" w:rsidRPr="000C1446">
        <w:rPr>
          <w:rFonts w:asciiTheme="majorHAnsi" w:hAnsiTheme="majorHAnsi" w:cs="Arial"/>
          <w:sz w:val="20"/>
          <w:szCs w:val="20"/>
          <w:lang w:val="es-ES"/>
        </w:rPr>
        <w:t xml:space="preserve">olicitó </w:t>
      </w:r>
      <w:r w:rsidRPr="000C1446">
        <w:rPr>
          <w:rFonts w:asciiTheme="majorHAnsi" w:hAnsiTheme="majorHAnsi" w:cs="Arial"/>
          <w:sz w:val="20"/>
          <w:szCs w:val="20"/>
          <w:lang w:val="es-ES"/>
        </w:rPr>
        <w:t xml:space="preserve">al Tribunal Constitucional </w:t>
      </w:r>
      <w:r w:rsidR="006754FA" w:rsidRPr="000C1446">
        <w:rPr>
          <w:rFonts w:asciiTheme="majorHAnsi" w:hAnsiTheme="majorHAnsi" w:cs="Arial"/>
          <w:sz w:val="20"/>
          <w:szCs w:val="20"/>
          <w:lang w:val="es-ES"/>
        </w:rPr>
        <w:t>que “al no corresponder –aparentemente</w:t>
      </w:r>
      <w:r w:rsidR="009B6D89" w:rsidRPr="000C1446">
        <w:rPr>
          <w:rFonts w:asciiTheme="majorHAnsi" w:hAnsiTheme="majorHAnsi" w:cs="Arial"/>
          <w:sz w:val="20"/>
          <w:szCs w:val="20"/>
          <w:lang w:val="es-ES"/>
        </w:rPr>
        <w:t>–</w:t>
      </w:r>
      <w:r w:rsidR="006754FA" w:rsidRPr="000C1446">
        <w:rPr>
          <w:rFonts w:asciiTheme="majorHAnsi" w:hAnsiTheme="majorHAnsi" w:cs="Arial"/>
          <w:sz w:val="20"/>
          <w:szCs w:val="20"/>
          <w:lang w:val="es-ES"/>
        </w:rPr>
        <w:t xml:space="preserve"> a la Corte Suprema de Justicia la resolución de esta causa por mandato del Art. 276 de la Constitución Política del Estado</w:t>
      </w:r>
      <w:r w:rsidR="009B6D89" w:rsidRPr="000C1446">
        <w:rPr>
          <w:rFonts w:asciiTheme="majorHAnsi" w:hAnsiTheme="majorHAnsi" w:cs="Arial"/>
          <w:sz w:val="20"/>
          <w:szCs w:val="20"/>
          <w:lang w:val="es-ES"/>
        </w:rPr>
        <w:t xml:space="preserve"> </w:t>
      </w:r>
      <w:r w:rsidR="006754FA" w:rsidRPr="000C1446">
        <w:rPr>
          <w:rFonts w:asciiTheme="majorHAnsi" w:hAnsiTheme="majorHAnsi" w:cs="Arial"/>
          <w:sz w:val="20"/>
          <w:szCs w:val="20"/>
          <w:lang w:val="es-ES"/>
        </w:rPr>
        <w:t>- publicada en el Registro Oficial No. 1 del 11 de agosto de 1998</w:t>
      </w:r>
      <w:r w:rsidR="009B6D89" w:rsidRPr="000C1446">
        <w:rPr>
          <w:rFonts w:asciiTheme="majorHAnsi" w:hAnsiTheme="majorHAnsi" w:cs="Arial"/>
          <w:sz w:val="20"/>
          <w:szCs w:val="20"/>
          <w:lang w:val="es-ES"/>
        </w:rPr>
        <w:t xml:space="preserve"> </w:t>
      </w:r>
      <w:r w:rsidR="006754FA" w:rsidRPr="000C1446">
        <w:rPr>
          <w:rFonts w:asciiTheme="majorHAnsi" w:hAnsiTheme="majorHAnsi" w:cs="Arial"/>
          <w:sz w:val="20"/>
          <w:szCs w:val="20"/>
          <w:lang w:val="es-ES"/>
        </w:rPr>
        <w:t>- , solicito que revocándose la anterior Resolución dictada por el ex Tribunal de Garantías Constitu</w:t>
      </w:r>
      <w:r w:rsidR="001A570D" w:rsidRPr="000C1446">
        <w:rPr>
          <w:rFonts w:asciiTheme="majorHAnsi" w:hAnsiTheme="majorHAnsi" w:cs="Arial"/>
          <w:sz w:val="20"/>
          <w:szCs w:val="20"/>
          <w:lang w:val="es-ES"/>
        </w:rPr>
        <w:t>cionales, se declare la inconstitu</w:t>
      </w:r>
      <w:r w:rsidR="006754FA" w:rsidRPr="000C1446">
        <w:rPr>
          <w:rFonts w:asciiTheme="majorHAnsi" w:hAnsiTheme="majorHAnsi" w:cs="Arial"/>
          <w:sz w:val="20"/>
          <w:szCs w:val="20"/>
          <w:lang w:val="es-ES"/>
        </w:rPr>
        <w:t>cionalidad del decreto dictatorial 320 expedido por el General Guillermo Rodríguez Lara…”</w:t>
      </w:r>
      <w:r w:rsidR="006754FA" w:rsidRPr="000C1446">
        <w:rPr>
          <w:rStyle w:val="FootnoteReference"/>
          <w:rFonts w:asciiTheme="majorHAnsi" w:hAnsiTheme="majorHAnsi" w:cs="Arial"/>
          <w:sz w:val="20"/>
          <w:szCs w:val="20"/>
          <w:lang w:val="es-ES"/>
        </w:rPr>
        <w:footnoteReference w:id="31"/>
      </w:r>
      <w:r w:rsidRPr="000C1446">
        <w:rPr>
          <w:rFonts w:asciiTheme="majorHAnsi" w:hAnsiTheme="majorHAnsi" w:cs="Arial"/>
          <w:sz w:val="20"/>
          <w:szCs w:val="20"/>
          <w:lang w:val="es-ES"/>
        </w:rPr>
        <w:t>. La Comisión no cuenta con</w:t>
      </w:r>
      <w:r w:rsidR="00EA5C8C" w:rsidRPr="000C1446">
        <w:rPr>
          <w:rFonts w:asciiTheme="majorHAnsi" w:hAnsiTheme="majorHAnsi" w:cs="Arial"/>
          <w:sz w:val="20"/>
          <w:szCs w:val="20"/>
          <w:lang w:val="es-ES"/>
        </w:rPr>
        <w:t xml:space="preserve"> información sobre la resolución que hubiese recaído a esta actuación del señor James Judge. </w:t>
      </w:r>
    </w:p>
    <w:p w:rsidR="001678C4" w:rsidRPr="000C1446" w:rsidRDefault="001678C4" w:rsidP="00071C55">
      <w:pPr>
        <w:pStyle w:val="ListParagraph"/>
        <w:rPr>
          <w:rFonts w:asciiTheme="majorHAnsi" w:hAnsiTheme="majorHAnsi" w:cs="Arial"/>
          <w:sz w:val="20"/>
          <w:szCs w:val="20"/>
          <w:lang w:val="es-ES"/>
        </w:rPr>
      </w:pPr>
    </w:p>
    <w:p w:rsidR="001678C4" w:rsidRPr="000C1446" w:rsidRDefault="001678C4" w:rsidP="00071C55">
      <w:pPr>
        <w:pStyle w:val="Style2"/>
        <w:rPr>
          <w:rFonts w:asciiTheme="majorHAnsi" w:hAnsiTheme="majorHAnsi" w:cs="Arial"/>
        </w:rPr>
      </w:pPr>
      <w:r w:rsidRPr="000C1446">
        <w:t>El Estado, en su comunicación de 23 de octubre de 2015, informó a la Comisión que “por mandato constitucional de aquella época, la resolución del Tribunal de Garantías Constitucionales no tenía un carácter definitivo y debía ser remitida a la Sala de lo Constitucional de la Corte Suprema de Justicia del Ecuador para la resolución final, lo que se hizo así; sin embargo, el caso no fue conocido por dicha Sala puesto que se produjeron reformas constitucionales en los años 1995- 1996 mediante las cuales se creó el Tribunal Constitucional, en sustitución del Tribunal de Garantías Constitucionales, cuyas decisiones son definitivas e inapelables”</w:t>
      </w:r>
      <w:r w:rsidRPr="000C1446">
        <w:rPr>
          <w:rStyle w:val="FootnoteReference"/>
        </w:rPr>
        <w:footnoteReference w:id="32"/>
      </w:r>
      <w:r w:rsidRPr="000C1446">
        <w:t xml:space="preserve"> Agregó que “transitoriamente se estableció que la Sala de lo Administrativo de la Corte Suprema de Justicia se encargara hasta su conclusión de los procesos que se sustanciaban en la Sala de lo Constitucional de la Corte Suprema de Justicia y los procesos  por recursos de resoluciones del Tribunal de Garantías Constitucionales, hasta que se conformara el Tribunal Constitucional”</w:t>
      </w:r>
      <w:r w:rsidRPr="000C1446">
        <w:rPr>
          <w:rStyle w:val="FootnoteReference"/>
        </w:rPr>
        <w:footnoteReference w:id="33"/>
      </w:r>
      <w:r w:rsidRPr="000C1446">
        <w:t xml:space="preserve">. </w:t>
      </w:r>
      <w:r w:rsidRPr="000C1446">
        <w:rPr>
          <w:rFonts w:asciiTheme="majorHAnsi" w:hAnsiTheme="majorHAnsi" w:cs="Arial"/>
        </w:rPr>
        <w:t>Continúa indicando que “sin embargo, la Sala de lo Administrativo de la Corte Suprema de Justicia expidió auto inhibitorio el 8 de febrero de 1999, en el cual argumenta que perdió competencia para conocer las resoluciones del Tribunal de Garantías Constitucionales, por cuanto para esa fecha ya había entrado en vigor un nuevo texto constitucional (el 1 de agosto de 1998)”</w:t>
      </w:r>
      <w:r w:rsidRPr="000C1446">
        <w:rPr>
          <w:rStyle w:val="FootnoteReference"/>
          <w:rFonts w:asciiTheme="majorHAnsi" w:hAnsiTheme="majorHAnsi" w:cs="Arial"/>
        </w:rPr>
        <w:footnoteReference w:id="34"/>
      </w:r>
      <w:r w:rsidRPr="000C1446">
        <w:rPr>
          <w:rFonts w:asciiTheme="majorHAnsi" w:hAnsiTheme="majorHAnsi" w:cs="Arial"/>
        </w:rPr>
        <w:t xml:space="preserve">.  La Comisión no cuenta con copia de </w:t>
      </w:r>
      <w:r w:rsidR="006A019A" w:rsidRPr="000C1446">
        <w:rPr>
          <w:rFonts w:asciiTheme="majorHAnsi" w:hAnsiTheme="majorHAnsi" w:cs="Arial"/>
        </w:rPr>
        <w:t xml:space="preserve">estas </w:t>
      </w:r>
      <w:r w:rsidRPr="000C1446">
        <w:rPr>
          <w:rFonts w:asciiTheme="majorHAnsi" w:hAnsiTheme="majorHAnsi" w:cs="Arial"/>
        </w:rPr>
        <w:t xml:space="preserve">actuaciones judiciales referidas </w:t>
      </w:r>
      <w:r w:rsidR="006A019A" w:rsidRPr="000C1446">
        <w:rPr>
          <w:rFonts w:asciiTheme="majorHAnsi" w:hAnsiTheme="majorHAnsi" w:cs="Arial"/>
        </w:rPr>
        <w:t>por el Estado</w:t>
      </w:r>
      <w:r w:rsidRPr="000C1446">
        <w:rPr>
          <w:rFonts w:asciiTheme="majorHAnsi" w:hAnsiTheme="majorHAnsi" w:cs="Arial"/>
        </w:rPr>
        <w:t xml:space="preserve">. </w:t>
      </w:r>
    </w:p>
    <w:p w:rsidR="00167EAE" w:rsidRPr="000C1446" w:rsidRDefault="00167EAE" w:rsidP="00071C55">
      <w:pPr>
        <w:pStyle w:val="Style2"/>
        <w:numPr>
          <w:ilvl w:val="0"/>
          <w:numId w:val="0"/>
        </w:numPr>
        <w:ind w:left="720"/>
        <w:rPr>
          <w:rFonts w:asciiTheme="majorHAnsi" w:hAnsiTheme="majorHAnsi" w:cs="Arial"/>
        </w:rPr>
      </w:pPr>
    </w:p>
    <w:p w:rsidR="00167EAE" w:rsidRPr="000C1446" w:rsidRDefault="00167EAE" w:rsidP="00071C55">
      <w:pPr>
        <w:pStyle w:val="Style2"/>
        <w:rPr>
          <w:rFonts w:asciiTheme="majorHAnsi" w:hAnsiTheme="majorHAnsi" w:cs="Arial"/>
        </w:rPr>
      </w:pPr>
      <w:r w:rsidRPr="000C1446">
        <w:rPr>
          <w:rFonts w:asciiTheme="majorHAnsi" w:hAnsiTheme="majorHAnsi" w:cs="Arial"/>
        </w:rPr>
        <w:t xml:space="preserve">Conforme a lo anterior, la Comisión entiende que en consideración del Estado, la transición constitucional implicó que el asunto quedó cerrado mediante el auto inhibitorio de 8 de febrero de 1999, mientras que el peticionario considera que </w:t>
      </w:r>
      <w:r w:rsidR="00D24262" w:rsidRPr="000C1446">
        <w:rPr>
          <w:rFonts w:asciiTheme="majorHAnsi" w:hAnsiTheme="majorHAnsi" w:cs="Arial"/>
        </w:rPr>
        <w:t>e</w:t>
      </w:r>
      <w:r w:rsidRPr="000C1446">
        <w:rPr>
          <w:rFonts w:asciiTheme="majorHAnsi" w:hAnsiTheme="majorHAnsi" w:cs="Arial"/>
        </w:rPr>
        <w:t xml:space="preserve">l asunto no contó con decisión definitiva. </w:t>
      </w:r>
      <w:r w:rsidR="00D24262" w:rsidRPr="000C1446">
        <w:rPr>
          <w:rFonts w:asciiTheme="majorHAnsi" w:hAnsiTheme="majorHAnsi" w:cs="Arial"/>
        </w:rPr>
        <w:t xml:space="preserve">Esta controversia será resuelta por la Comisión en el análisis relativo al derecho a la protección judicial. </w:t>
      </w:r>
    </w:p>
    <w:p w:rsidR="00167EAE" w:rsidRPr="000C1446" w:rsidRDefault="00167EAE" w:rsidP="00071C55">
      <w:pPr>
        <w:rPr>
          <w:rFonts w:asciiTheme="majorHAnsi" w:eastAsia="MS Gothic" w:hAnsiTheme="majorHAnsi"/>
          <w:b/>
          <w:bCs/>
          <w:sz w:val="20"/>
          <w:szCs w:val="20"/>
          <w:lang w:val="es-ES"/>
        </w:rPr>
      </w:pPr>
    </w:p>
    <w:p w:rsidR="00093A2D" w:rsidRDefault="00093A2D" w:rsidP="00071C55">
      <w:pPr>
        <w:rPr>
          <w:rFonts w:asciiTheme="majorHAnsi" w:eastAsiaTheme="majorEastAsia" w:hAnsiTheme="majorHAnsi" w:cstheme="majorBidi"/>
          <w:b/>
          <w:bCs/>
          <w:sz w:val="20"/>
          <w:szCs w:val="20"/>
          <w:lang w:val="es-ES"/>
        </w:rPr>
      </w:pPr>
      <w:bookmarkStart w:id="25" w:name="_Toc395298784"/>
      <w:bookmarkStart w:id="26" w:name="_Toc418254634"/>
      <w:bookmarkStart w:id="27" w:name="_Toc464481608"/>
      <w:r w:rsidRPr="00E2666A">
        <w:rPr>
          <w:lang w:val="es-ES"/>
        </w:rPr>
        <w:br w:type="page"/>
      </w:r>
    </w:p>
    <w:p w:rsidR="00B84AF0" w:rsidRPr="000C1446" w:rsidRDefault="00B84AF0" w:rsidP="00071C55">
      <w:pPr>
        <w:pStyle w:val="Heading1"/>
        <w:ind w:left="1440" w:hanging="720"/>
      </w:pPr>
      <w:r w:rsidRPr="000C1446">
        <w:t>ANÁLISIS DE DERECHO</w:t>
      </w:r>
      <w:bookmarkEnd w:id="25"/>
      <w:bookmarkEnd w:id="26"/>
      <w:bookmarkEnd w:id="27"/>
    </w:p>
    <w:p w:rsidR="00B84AF0" w:rsidRPr="000C1446" w:rsidRDefault="00B84AF0" w:rsidP="00071C55">
      <w:pPr>
        <w:pStyle w:val="Heading2"/>
        <w:numPr>
          <w:ilvl w:val="0"/>
          <w:numId w:val="0"/>
        </w:numPr>
        <w:ind w:left="1440"/>
      </w:pPr>
    </w:p>
    <w:p w:rsidR="00BF6030" w:rsidRPr="00707E7B" w:rsidRDefault="00BF6030" w:rsidP="00071C55">
      <w:pPr>
        <w:pStyle w:val="Heading2"/>
        <w:numPr>
          <w:ilvl w:val="0"/>
          <w:numId w:val="65"/>
        </w:numPr>
        <w:ind w:hanging="720"/>
        <w:rPr>
          <w:lang w:val="es-CO"/>
        </w:rPr>
      </w:pPr>
      <w:bookmarkStart w:id="28" w:name="_Toc464481609"/>
      <w:r w:rsidRPr="003C3861">
        <w:rPr>
          <w:lang w:val="es-ES"/>
        </w:rPr>
        <w:t>Derecho</w:t>
      </w:r>
      <w:r w:rsidRPr="00707E7B">
        <w:rPr>
          <w:lang w:val="es-CO"/>
        </w:rPr>
        <w:t xml:space="preserve"> a la propiedad privada (Artículo 21 de la Convención Americana en relación con el artículo 1.1 del mismo instrumento)</w:t>
      </w:r>
      <w:bookmarkEnd w:id="28"/>
    </w:p>
    <w:p w:rsidR="00BF6030" w:rsidRPr="000C1446" w:rsidRDefault="00BF6030" w:rsidP="00071C55">
      <w:pPr>
        <w:pStyle w:val="Style2"/>
        <w:numPr>
          <w:ilvl w:val="0"/>
          <w:numId w:val="0"/>
        </w:numPr>
        <w:ind w:left="720"/>
        <w:rPr>
          <w:lang w:val="es-CO"/>
        </w:rPr>
      </w:pPr>
    </w:p>
    <w:p w:rsidR="00BF6030" w:rsidRPr="000C1446" w:rsidRDefault="00BF6030" w:rsidP="00071C55">
      <w:pPr>
        <w:pStyle w:val="Style2"/>
      </w:pPr>
      <w:r w:rsidRPr="000C1446">
        <w:t xml:space="preserve">El artículo </w:t>
      </w:r>
      <w:r w:rsidRPr="000C1446">
        <w:rPr>
          <w:lang w:val="es-PE"/>
        </w:rPr>
        <w:t>21</w:t>
      </w:r>
      <w:r w:rsidRPr="000C1446">
        <w:t xml:space="preserve"> de la Convención Americana establece, en lo relevante, que:</w:t>
      </w:r>
    </w:p>
    <w:p w:rsidR="00BF6030" w:rsidRPr="000C1446" w:rsidRDefault="00BF6030" w:rsidP="00071C55">
      <w:pPr>
        <w:pStyle w:val="Style2"/>
        <w:numPr>
          <w:ilvl w:val="0"/>
          <w:numId w:val="0"/>
        </w:numPr>
        <w:ind w:left="720"/>
      </w:pPr>
    </w:p>
    <w:p w:rsidR="00BF6030" w:rsidRPr="000C1446" w:rsidRDefault="00BF6030" w:rsidP="00071C55">
      <w:pPr>
        <w:pStyle w:val="NormalWeb"/>
        <w:spacing w:before="0" w:beforeAutospacing="0" w:after="0" w:afterAutospacing="0"/>
        <w:ind w:left="720" w:right="720"/>
        <w:rPr>
          <w:rFonts w:ascii="Cambria" w:hAnsi="Cambria" w:cs="Tahoma"/>
          <w:color w:val="000000"/>
          <w:sz w:val="20"/>
          <w:szCs w:val="20"/>
          <w:lang w:val="es-CO"/>
        </w:rPr>
      </w:pPr>
      <w:r w:rsidRPr="000C1446">
        <w:rPr>
          <w:rFonts w:ascii="Cambria" w:hAnsi="Cambria" w:cs="Tahoma"/>
          <w:color w:val="000000"/>
          <w:sz w:val="20"/>
          <w:szCs w:val="20"/>
          <w:lang w:val="es-CO"/>
        </w:rPr>
        <w:t xml:space="preserve"> 1. Toda persona tiene derecho al uso y goce de sus bienes.  La ley puede subordinar tal uso y goce al interés social. </w:t>
      </w:r>
    </w:p>
    <w:p w:rsidR="00BF6030" w:rsidRPr="000C1446" w:rsidRDefault="00BF6030" w:rsidP="00071C55">
      <w:pPr>
        <w:pStyle w:val="NormalWeb"/>
        <w:spacing w:before="0" w:beforeAutospacing="0" w:after="0" w:afterAutospacing="0"/>
        <w:ind w:left="720" w:right="720"/>
        <w:rPr>
          <w:rFonts w:ascii="Cambria" w:hAnsi="Cambria" w:cs="Tahoma"/>
          <w:color w:val="000000"/>
          <w:sz w:val="20"/>
          <w:szCs w:val="20"/>
          <w:lang w:val="es-CO"/>
        </w:rPr>
      </w:pPr>
      <w:r w:rsidRPr="000C1446">
        <w:rPr>
          <w:rFonts w:ascii="Cambria" w:hAnsi="Cambria" w:cs="Tahoma"/>
          <w:color w:val="000000"/>
          <w:sz w:val="20"/>
          <w:szCs w:val="20"/>
          <w:lang w:val="es-CO"/>
        </w:rPr>
        <w:t xml:space="preserve"> 2. Ninguna persona puede ser privada de sus bienes, excepto mediante el pago de indemnización justa, por razones de utilidad pública o de interés social y en los casos y según las formas establecidas por la ley. </w:t>
      </w:r>
    </w:p>
    <w:p w:rsidR="00BF6030" w:rsidRPr="000C1446" w:rsidRDefault="00BF6030" w:rsidP="00071C55">
      <w:pPr>
        <w:pStyle w:val="Style2"/>
        <w:numPr>
          <w:ilvl w:val="0"/>
          <w:numId w:val="0"/>
        </w:numPr>
        <w:ind w:left="720" w:right="720"/>
        <w:rPr>
          <w:lang w:val="es-CO"/>
        </w:rPr>
      </w:pPr>
    </w:p>
    <w:p w:rsidR="00BF6030" w:rsidRPr="000C1446" w:rsidRDefault="00BF6030" w:rsidP="00071C55">
      <w:pPr>
        <w:pStyle w:val="Style2"/>
        <w:numPr>
          <w:ilvl w:val="0"/>
          <w:numId w:val="0"/>
        </w:numPr>
        <w:ind w:left="720" w:right="720"/>
        <w:rPr>
          <w:lang w:val="es-CO"/>
        </w:rPr>
      </w:pPr>
      <w:r w:rsidRPr="000C1446">
        <w:rPr>
          <w:lang w:val="es-CO"/>
        </w:rPr>
        <w:t>(…)</w:t>
      </w:r>
    </w:p>
    <w:p w:rsidR="00BF6030" w:rsidRPr="000C1446" w:rsidRDefault="00BF6030" w:rsidP="00071C55">
      <w:pPr>
        <w:pStyle w:val="Style2"/>
        <w:numPr>
          <w:ilvl w:val="0"/>
          <w:numId w:val="0"/>
        </w:numPr>
        <w:ind w:left="720"/>
        <w:rPr>
          <w:lang w:val="es-CO"/>
        </w:rPr>
      </w:pPr>
    </w:p>
    <w:p w:rsidR="00BF6030" w:rsidRPr="000C1446" w:rsidRDefault="00BF6030" w:rsidP="00071C55">
      <w:pPr>
        <w:pStyle w:val="Style2"/>
        <w:rPr>
          <w:lang w:val="es-PE"/>
        </w:rPr>
      </w:pPr>
      <w:r w:rsidRPr="000C1446">
        <w:rPr>
          <w:lang w:val="es-PE"/>
        </w:rPr>
        <w:t>El artículo 1.1 establece que</w:t>
      </w:r>
    </w:p>
    <w:p w:rsidR="00BF6030" w:rsidRPr="000C1446" w:rsidRDefault="00BF6030" w:rsidP="00071C55">
      <w:pPr>
        <w:ind w:left="1440"/>
        <w:jc w:val="both"/>
        <w:rPr>
          <w:rFonts w:ascii="Cambria" w:hAnsi="Cambria"/>
          <w:sz w:val="20"/>
          <w:szCs w:val="20"/>
          <w:lang w:val="es-ES"/>
        </w:rPr>
      </w:pPr>
    </w:p>
    <w:p w:rsidR="00BF6030" w:rsidRPr="000C1446" w:rsidRDefault="00BF6030" w:rsidP="00071C55">
      <w:pPr>
        <w:ind w:left="720" w:right="720"/>
        <w:jc w:val="both"/>
        <w:rPr>
          <w:rFonts w:ascii="Cambria" w:hAnsi="Cambria"/>
          <w:sz w:val="20"/>
          <w:szCs w:val="20"/>
          <w:lang w:val="es-ES"/>
        </w:rPr>
      </w:pPr>
      <w:r w:rsidRPr="000C1446">
        <w:rPr>
          <w:rFonts w:ascii="Cambria" w:hAnsi="Cambria"/>
          <w:sz w:val="20"/>
          <w:szCs w:val="20"/>
          <w:lang w:val="es-ES"/>
        </w:rPr>
        <w:t>[</w:t>
      </w:r>
      <w:proofErr w:type="gramStart"/>
      <w:r w:rsidRPr="000C1446">
        <w:rPr>
          <w:rFonts w:ascii="Cambria" w:hAnsi="Cambria"/>
          <w:sz w:val="20"/>
          <w:szCs w:val="20"/>
          <w:lang w:val="es-ES"/>
        </w:rPr>
        <w:t>l]</w:t>
      </w:r>
      <w:proofErr w:type="gramEnd"/>
      <w:r w:rsidRPr="000C1446">
        <w:rPr>
          <w:rFonts w:ascii="Cambria" w:hAnsi="Cambria"/>
          <w:sz w:val="20"/>
          <w:szCs w:val="20"/>
          <w:lang w:val="es-ES"/>
        </w:rPr>
        <w:t>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BF6030" w:rsidRPr="000C1446" w:rsidRDefault="00BF6030" w:rsidP="00071C55">
      <w:pPr>
        <w:pStyle w:val="Style2"/>
        <w:numPr>
          <w:ilvl w:val="0"/>
          <w:numId w:val="0"/>
        </w:numPr>
        <w:ind w:left="720"/>
      </w:pPr>
    </w:p>
    <w:p w:rsidR="00BF6030" w:rsidRPr="000C1446" w:rsidRDefault="00BF6030" w:rsidP="00071C55">
      <w:pPr>
        <w:pStyle w:val="Style2"/>
        <w:numPr>
          <w:ilvl w:val="0"/>
          <w:numId w:val="63"/>
        </w:numPr>
        <w:ind w:left="1440" w:hanging="720"/>
        <w:rPr>
          <w:b/>
        </w:rPr>
      </w:pPr>
      <w:r w:rsidRPr="000C1446">
        <w:rPr>
          <w:b/>
        </w:rPr>
        <w:t>Sobre el carácter continuo de la alegada violación al derecho a la propiedad privada en el presente caso</w:t>
      </w:r>
    </w:p>
    <w:p w:rsidR="00BF6030" w:rsidRPr="000C1446" w:rsidRDefault="00BF6030" w:rsidP="00071C55">
      <w:pPr>
        <w:pStyle w:val="Style2"/>
        <w:numPr>
          <w:ilvl w:val="0"/>
          <w:numId w:val="0"/>
        </w:numPr>
        <w:ind w:left="720"/>
      </w:pPr>
    </w:p>
    <w:p w:rsidR="00C441ED" w:rsidRPr="000C1446" w:rsidRDefault="00CA0F31" w:rsidP="00071C55">
      <w:pPr>
        <w:pStyle w:val="Style2"/>
      </w:pPr>
      <w:r w:rsidRPr="000C1446">
        <w:t xml:space="preserve">Tomando en cuenta el alegato reiterado del Estado sobre la competencia temporal de la Comisión, </w:t>
      </w:r>
      <w:r w:rsidR="00C441ED" w:rsidRPr="000C1446">
        <w:t xml:space="preserve">se considera relevante efectuar algunas consideraciones previas al respecto. </w:t>
      </w:r>
    </w:p>
    <w:p w:rsidR="00C441ED" w:rsidRPr="000C1446" w:rsidRDefault="00C441ED" w:rsidP="00071C55">
      <w:pPr>
        <w:pStyle w:val="Style2"/>
        <w:numPr>
          <w:ilvl w:val="0"/>
          <w:numId w:val="0"/>
        </w:numPr>
        <w:ind w:left="720"/>
      </w:pPr>
    </w:p>
    <w:p w:rsidR="002F0E4D" w:rsidRPr="000C1446" w:rsidRDefault="002F0E4D" w:rsidP="00071C55">
      <w:pPr>
        <w:pStyle w:val="Style2"/>
      </w:pPr>
      <w:r w:rsidRPr="000C1446">
        <w:t>La Comisión recuerda que en su informe de admisibilidad 10/02, del 27 de febrero de 2002, se pronunció sobre el alcance de su competencia temporal en el presente caso y delimitó el examen de los hechos y presuntas violaciones a los hechos que tuvieron lugar a partir del 28 de diciembre de 1977</w:t>
      </w:r>
      <w:r w:rsidRPr="000C1446">
        <w:rPr>
          <w:rStyle w:val="FootnoteReference"/>
        </w:rPr>
        <w:footnoteReference w:id="35"/>
      </w:r>
      <w:r w:rsidRPr="000C1446">
        <w:t>. Esto incluye, conforme a la reiterada jurisprudencia interamericana, aquellas posibles violaciones que hubieran tenido inicio de ejecución antes de dicha fecha pero que continuaron ocurriendo después de la entrada en vigor de la Convención, por parte del Estado concernido</w:t>
      </w:r>
      <w:r w:rsidRPr="000C1446">
        <w:rPr>
          <w:rStyle w:val="FootnoteReference"/>
        </w:rPr>
        <w:footnoteReference w:id="36"/>
      </w:r>
      <w:r w:rsidRPr="000C1446">
        <w:t xml:space="preserve">.  </w:t>
      </w:r>
    </w:p>
    <w:p w:rsidR="002F0E4D" w:rsidRPr="000C1446" w:rsidRDefault="002F0E4D" w:rsidP="00071C55">
      <w:pPr>
        <w:pStyle w:val="ListParagraph"/>
        <w:rPr>
          <w:lang w:val="es-CO"/>
        </w:rPr>
      </w:pPr>
    </w:p>
    <w:p w:rsidR="00364386" w:rsidRPr="000C1446" w:rsidRDefault="00BF6030" w:rsidP="00071C55">
      <w:pPr>
        <w:pStyle w:val="Style2"/>
      </w:pPr>
      <w:r w:rsidRPr="000C1446">
        <w:t>La Comisión considera que para que se configure una violación del artículo 21.2 de la Convención Americana es necesario que exista una privación de los bienes de una persona por razones de utilidad pública o interés social, y que el Estado omita el pago de una justa indemnización. En términos de competencia temporal</w:t>
      </w:r>
      <w:r w:rsidR="00F75DE4" w:rsidRPr="000C1446">
        <w:t xml:space="preserve"> </w:t>
      </w:r>
      <w:r w:rsidR="00364386" w:rsidRPr="000C1446">
        <w:t xml:space="preserve">en casos en los que se invoca dicho artículo, </w:t>
      </w:r>
      <w:r w:rsidRPr="000C1446">
        <w:t xml:space="preserve">la Comisión entiende que pueden existir </w:t>
      </w:r>
      <w:r w:rsidR="00364386" w:rsidRPr="000C1446">
        <w:t>situaciones</w:t>
      </w:r>
      <w:r w:rsidRPr="000C1446">
        <w:t xml:space="preserve"> en l</w:t>
      </w:r>
      <w:r w:rsidR="00364386" w:rsidRPr="000C1446">
        <w:t>a</w:t>
      </w:r>
      <w:r w:rsidRPr="000C1446">
        <w:t>s cuales la privación de los bienes haya tenido lugar antes de la entrada en vigor de la Convención Americana para el Estado respectivo</w:t>
      </w:r>
      <w:r w:rsidR="00364386" w:rsidRPr="000C1446">
        <w:t>,</w:t>
      </w:r>
      <w:r w:rsidRPr="000C1446">
        <w:t xml:space="preserve"> pero la omisión en el pago de una justa indemnización se extienda en el tiempo y continúe al momento de dicha entrada en vigor, convirtiendo la violación del derecho a la propiedad privada en una violación de carácter continuo hasta tanto no se efectúe la respectiva indemnización. </w:t>
      </w:r>
    </w:p>
    <w:p w:rsidR="00364386" w:rsidRPr="00C274B5" w:rsidRDefault="00364386" w:rsidP="00071C55">
      <w:pPr>
        <w:pStyle w:val="ListParagraph"/>
        <w:rPr>
          <w:lang w:val="es-ES"/>
        </w:rPr>
      </w:pPr>
    </w:p>
    <w:p w:rsidR="00BF6030" w:rsidRPr="000C1446" w:rsidRDefault="00BF6030" w:rsidP="00071C55">
      <w:pPr>
        <w:pStyle w:val="Style2"/>
      </w:pPr>
      <w:r w:rsidRPr="000C1446">
        <w:t xml:space="preserve">En tales casos la Comisión tiene competencia temporal para pronunciarse sobre dicha omisión a la luz del artículo </w:t>
      </w:r>
      <w:r w:rsidR="00364386" w:rsidRPr="000C1446">
        <w:t xml:space="preserve">21 de la Convención Americana. </w:t>
      </w:r>
      <w:r w:rsidRPr="000C1446">
        <w:rPr>
          <w:lang w:val="es-CO"/>
        </w:rPr>
        <w:t xml:space="preserve">Tal fue el criterio de la Comisión en el caso de los </w:t>
      </w:r>
      <w:r w:rsidRPr="000C1446">
        <w:rPr>
          <w:i/>
          <w:lang w:val="es-CO"/>
        </w:rPr>
        <w:t xml:space="preserve">Pueblos Indígenas Kuna de </w:t>
      </w:r>
      <w:proofErr w:type="spellStart"/>
      <w:r w:rsidRPr="000C1446">
        <w:rPr>
          <w:i/>
          <w:lang w:val="es-CO"/>
        </w:rPr>
        <w:t>Madungandí</w:t>
      </w:r>
      <w:proofErr w:type="spellEnd"/>
      <w:r w:rsidRPr="000C1446">
        <w:rPr>
          <w:i/>
          <w:lang w:val="es-CO"/>
        </w:rPr>
        <w:t xml:space="preserve"> y </w:t>
      </w:r>
      <w:proofErr w:type="spellStart"/>
      <w:r w:rsidRPr="000C1446">
        <w:rPr>
          <w:i/>
          <w:lang w:val="es-CO"/>
        </w:rPr>
        <w:t>Embera</w:t>
      </w:r>
      <w:proofErr w:type="spellEnd"/>
      <w:r w:rsidRPr="000C1446">
        <w:rPr>
          <w:i/>
          <w:lang w:val="es-CO"/>
        </w:rPr>
        <w:t xml:space="preserve"> de Bayano y sus miembros vs. Panamá</w:t>
      </w:r>
      <w:r w:rsidRPr="000C1446">
        <w:rPr>
          <w:lang w:val="es-CO"/>
        </w:rPr>
        <w:t>, en el cual el despojo de las tierras y territorios de dichos pueblos tuvieron lugar antes de la entrada en vigor de la Convención Americana para el Estado panameño, pero la omisión en indemnizar adecuadamente continuó con posterioridad a tal fecha</w:t>
      </w:r>
      <w:r w:rsidR="00370692" w:rsidRPr="000C1446">
        <w:rPr>
          <w:rStyle w:val="FootnoteReference"/>
          <w:lang w:val="es-CO"/>
        </w:rPr>
        <w:footnoteReference w:id="37"/>
      </w:r>
      <w:r w:rsidR="00370692" w:rsidRPr="000C1446">
        <w:rPr>
          <w:lang w:val="es-CO"/>
        </w:rPr>
        <w:t>.</w:t>
      </w:r>
    </w:p>
    <w:p w:rsidR="00F75DE4" w:rsidRPr="000C1446" w:rsidRDefault="00F75DE4" w:rsidP="00071C55">
      <w:pPr>
        <w:pStyle w:val="ListParagraph"/>
        <w:rPr>
          <w:lang w:val="es-MX"/>
        </w:rPr>
      </w:pPr>
    </w:p>
    <w:p w:rsidR="00BF6030" w:rsidRPr="000C1446" w:rsidRDefault="00BF6030" w:rsidP="00071C55">
      <w:pPr>
        <w:pStyle w:val="Style2"/>
      </w:pPr>
      <w:r w:rsidRPr="000C1446">
        <w:t>En el presente caso, la Comisión observa que el peticionario argumenta que lo ocurrido fue una expropiación de un bien que había ingresado a su patrimonio, sin que el Estado le hubie</w:t>
      </w:r>
      <w:r w:rsidR="00CA0F31" w:rsidRPr="000C1446">
        <w:t>se</w:t>
      </w:r>
      <w:r w:rsidRPr="000C1446">
        <w:t xml:space="preserve"> pagado la indemnización correspondiente conforme al artículo 21.2 de la Convención. Según el peticionario, hasta la fecha el Estado continuaría omitiendo su deber de indemnizarle por lo que él califica como una expropiación. </w:t>
      </w:r>
    </w:p>
    <w:p w:rsidR="00BF6030" w:rsidRPr="000C1446" w:rsidRDefault="00BF6030" w:rsidP="00071C55">
      <w:pPr>
        <w:pStyle w:val="Style2"/>
        <w:numPr>
          <w:ilvl w:val="0"/>
          <w:numId w:val="0"/>
        </w:numPr>
        <w:ind w:left="720"/>
      </w:pPr>
    </w:p>
    <w:p w:rsidR="00C441ED" w:rsidRPr="000C1446" w:rsidRDefault="00BF6030" w:rsidP="00071C55">
      <w:pPr>
        <w:pStyle w:val="Style2"/>
        <w:rPr>
          <w:lang w:val="es-CO"/>
        </w:rPr>
      </w:pPr>
      <w:r w:rsidRPr="000C1446">
        <w:t xml:space="preserve">En virtud de lo anterior, la Comisión </w:t>
      </w:r>
      <w:r w:rsidR="00C441ED" w:rsidRPr="000C1446">
        <w:t xml:space="preserve">ratifica </w:t>
      </w:r>
      <w:r w:rsidRPr="000C1446">
        <w:t>que tiene competencia temporal para pronunciarse sobre la alegada violación del derecho a la propiedad privada en los términos</w:t>
      </w:r>
      <w:r w:rsidR="00C441ED" w:rsidRPr="000C1446">
        <w:t xml:space="preserve"> planteados por el peticionario, análisis que se efectúa a continuación. </w:t>
      </w:r>
    </w:p>
    <w:p w:rsidR="00BF6030" w:rsidRPr="000C1446" w:rsidRDefault="00BF6030" w:rsidP="00071C55">
      <w:pPr>
        <w:pStyle w:val="Style2"/>
        <w:numPr>
          <w:ilvl w:val="0"/>
          <w:numId w:val="0"/>
        </w:numPr>
        <w:rPr>
          <w:lang w:val="es-CO"/>
        </w:rPr>
      </w:pPr>
      <w:r w:rsidRPr="000C1446">
        <w:t xml:space="preserve"> </w:t>
      </w:r>
    </w:p>
    <w:p w:rsidR="00BF6030" w:rsidRPr="000C1446" w:rsidRDefault="00BF6030" w:rsidP="00071C55">
      <w:pPr>
        <w:pStyle w:val="ListParagraph"/>
        <w:numPr>
          <w:ilvl w:val="0"/>
          <w:numId w:val="63"/>
        </w:numPr>
        <w:ind w:left="1440" w:hanging="720"/>
        <w:jc w:val="both"/>
        <w:rPr>
          <w:b/>
          <w:sz w:val="20"/>
          <w:szCs w:val="20"/>
          <w:lang w:val="es-CO"/>
        </w:rPr>
      </w:pPr>
      <w:r w:rsidRPr="000C1446">
        <w:rPr>
          <w:b/>
          <w:sz w:val="20"/>
          <w:szCs w:val="20"/>
          <w:lang w:val="es-CO"/>
        </w:rPr>
        <w:t>Sobre si el Estado es responsable por la violación del derecho a la propiedad privada en perjuicio del señor James Judge</w:t>
      </w:r>
    </w:p>
    <w:p w:rsidR="00BF6030" w:rsidRPr="000C1446" w:rsidRDefault="00BF6030" w:rsidP="00071C55">
      <w:pPr>
        <w:pStyle w:val="ListParagraph"/>
        <w:rPr>
          <w:lang w:val="es-CO"/>
        </w:rPr>
      </w:pPr>
    </w:p>
    <w:p w:rsidR="00BF6030" w:rsidRPr="000C1446" w:rsidRDefault="00BF6030" w:rsidP="00071C55">
      <w:pPr>
        <w:pStyle w:val="Style2"/>
      </w:pPr>
      <w:r w:rsidRPr="000C1446">
        <w:t xml:space="preserve">Sobre el derecho a la propiedad privada, la Corte Interamericana ha establecido que </w:t>
      </w:r>
    </w:p>
    <w:p w:rsidR="00BF6030" w:rsidRPr="000C1446" w:rsidRDefault="00BF6030" w:rsidP="00071C55">
      <w:pPr>
        <w:pStyle w:val="Style2"/>
        <w:numPr>
          <w:ilvl w:val="0"/>
          <w:numId w:val="0"/>
        </w:numPr>
        <w:ind w:left="720"/>
      </w:pPr>
    </w:p>
    <w:p w:rsidR="00BF6030" w:rsidRPr="000C1446" w:rsidRDefault="00BF6030" w:rsidP="00071C55">
      <w:pPr>
        <w:pStyle w:val="Style2"/>
        <w:numPr>
          <w:ilvl w:val="0"/>
          <w:numId w:val="0"/>
        </w:numPr>
        <w:ind w:left="720" w:right="720"/>
        <w:rPr>
          <w:lang w:val="es-CO"/>
        </w:rPr>
      </w:pPr>
      <w:r w:rsidRPr="000C1446">
        <w:rPr>
          <w:lang w:val="es-CO"/>
        </w:rPr>
        <w:t>El primer párrafo del artículo 21 de la Convención Americana consagra el derecho a la propiedad privada, y señala como atributos de la propiedad el uso y goce del bien.  Incluye a su vez una limitación a dichos atributos de la propiedad en razón del interés social.  Este Tribunal ha desarrollado en su jurisprudencia un concepto amplio de propiedad</w:t>
      </w:r>
      <w:r w:rsidRPr="000C1446">
        <w:rPr>
          <w:rStyle w:val="FootnoteReference"/>
        </w:rPr>
        <w:footnoteReference w:id="38"/>
      </w:r>
      <w:r w:rsidRPr="000C1446">
        <w:rPr>
          <w:lang w:val="es-CO"/>
        </w:rPr>
        <w:t xml:space="preserve"> que abarca, entre otros, el uso y goce de los bienes, definidos como cosas materiales apropiables, así como todo derecho que pueda formar parte del patrimonio de una persona.  Dicho concepto comprende todos los muebles e inmuebles, los elementos corporales e incorporales y cualquier otro objeto inmaterial susceptible de valor</w:t>
      </w:r>
      <w:r w:rsidRPr="000C1446">
        <w:rPr>
          <w:vertAlign w:val="superscript"/>
        </w:rPr>
        <w:footnoteReference w:id="39"/>
      </w:r>
      <w:r w:rsidRPr="000C1446">
        <w:rPr>
          <w:lang w:val="es-CO"/>
        </w:rPr>
        <w:t>.  Asimismo, la Corte ha protegido a través del artículo 21 convencional los derechos adquiridos, entendidos como derechos que se han incorporado al patrimonio de las personas</w:t>
      </w:r>
      <w:r w:rsidRPr="000C1446">
        <w:rPr>
          <w:vertAlign w:val="superscript"/>
        </w:rPr>
        <w:footnoteReference w:id="40"/>
      </w:r>
      <w:r w:rsidRPr="000C1446">
        <w:rPr>
          <w:lang w:val="es-CO"/>
        </w:rPr>
        <w:t xml:space="preserve">. </w:t>
      </w:r>
    </w:p>
    <w:p w:rsidR="00BF6030" w:rsidRPr="000C1446" w:rsidRDefault="00BF6030" w:rsidP="00071C55">
      <w:pPr>
        <w:pStyle w:val="ListParagraph"/>
        <w:rPr>
          <w:sz w:val="20"/>
          <w:szCs w:val="20"/>
          <w:lang w:val="es-CO"/>
        </w:rPr>
      </w:pPr>
    </w:p>
    <w:p w:rsidR="00BF6030" w:rsidRPr="000C1446" w:rsidRDefault="00BF6030" w:rsidP="00071C55">
      <w:pPr>
        <w:pStyle w:val="Style2"/>
        <w:rPr>
          <w:lang w:val="es-CO"/>
        </w:rPr>
      </w:pPr>
      <w:r w:rsidRPr="000C1446">
        <w:rPr>
          <w:lang w:val="es-CO"/>
        </w:rPr>
        <w:t>Asimismo, sobre las limitaciones permisibles a tal derecho la Corte ha señalado que “el derecho a la propiedad no es un derecho absoluto, pues en el artículo 21.2 de la Convención se establece que para que la privación de los bienes de una persona sea compatible con el derecho a la propiedad debe fundarse en razones de utilidad pública o de interés social, sujetarse al pago de una justa indemnización, practicarse según los casos y las formas establecidas por la ley y efectuarse de conformidad con la Convención”</w:t>
      </w:r>
      <w:r w:rsidRPr="000C1446">
        <w:rPr>
          <w:rStyle w:val="FootnoteReference"/>
        </w:rPr>
        <w:footnoteReference w:id="41"/>
      </w:r>
      <w:r w:rsidRPr="000C1446">
        <w:rPr>
          <w:lang w:val="es-CO"/>
        </w:rPr>
        <w:t xml:space="preserve">. </w:t>
      </w:r>
    </w:p>
    <w:p w:rsidR="00BF6030" w:rsidRPr="000C1446" w:rsidRDefault="00BF6030" w:rsidP="00071C55">
      <w:pPr>
        <w:pStyle w:val="Style2"/>
        <w:numPr>
          <w:ilvl w:val="0"/>
          <w:numId w:val="0"/>
        </w:numPr>
        <w:rPr>
          <w:rFonts w:ascii="Verdana" w:hAnsi="Verdana"/>
          <w:lang w:val="es-CO"/>
        </w:rPr>
      </w:pPr>
    </w:p>
    <w:p w:rsidR="00BF6030" w:rsidRPr="000C1446" w:rsidRDefault="00BF6030" w:rsidP="00071C55">
      <w:pPr>
        <w:pStyle w:val="Style2"/>
        <w:rPr>
          <w:lang w:val="es-CO"/>
        </w:rPr>
      </w:pPr>
      <w:r w:rsidRPr="000C1446">
        <w:rPr>
          <w:lang w:val="es-CO"/>
        </w:rPr>
        <w:t xml:space="preserve">El análisis de si en un caso concreto se ha producido una expropiación en los términos del artículo 21.2 de la Convención Americana y, por lo tanto, surgió para el Estado una obligación de pagar una justa indemnización, presupone la determinación de que el bien en cuestión efectivamente ha ingresado al patrimonio de la presunta víctima, conforme al marco normativo interno. Así por ejemplo, en el caso de los </w:t>
      </w:r>
      <w:r w:rsidRPr="000C1446">
        <w:rPr>
          <w:i/>
          <w:lang w:val="es-CO"/>
        </w:rPr>
        <w:t>Cinco Pensionistas vs. Perú</w:t>
      </w:r>
      <w:r w:rsidRPr="000C1446">
        <w:rPr>
          <w:lang w:val="es-CO"/>
        </w:rPr>
        <w:t xml:space="preserve">, la Corte señaló que: </w:t>
      </w:r>
    </w:p>
    <w:p w:rsidR="00BF6030" w:rsidRPr="000C1446" w:rsidRDefault="00BF6030" w:rsidP="00071C55">
      <w:pPr>
        <w:pStyle w:val="Style2"/>
        <w:numPr>
          <w:ilvl w:val="0"/>
          <w:numId w:val="0"/>
        </w:numPr>
        <w:rPr>
          <w:lang w:val="es-CO"/>
        </w:rPr>
      </w:pPr>
    </w:p>
    <w:p w:rsidR="00BF6030" w:rsidRPr="000C1446" w:rsidRDefault="00BF6030" w:rsidP="00071C55">
      <w:pPr>
        <w:pStyle w:val="Style2"/>
        <w:numPr>
          <w:ilvl w:val="0"/>
          <w:numId w:val="0"/>
        </w:numPr>
        <w:ind w:left="720" w:right="720"/>
        <w:rPr>
          <w:lang w:val="es-ES_tradnl"/>
        </w:rPr>
      </w:pPr>
      <w:r w:rsidRPr="000C1446">
        <w:rPr>
          <w:lang w:val="es-ES_tradnl"/>
        </w:rPr>
        <w:t>(…) el artículo 21 de la Convención protege el derecho de los cinco pensionistas a recibir una pensión de cesantía nivelada de acuerdo al Decreto-Ley Nº 20530, en el sentido de que se trata de un derecho adquirido, de conformidad con lo dispuesto en la normativa constitucional peruana, o sea, de un derecho que se ha incorporado al patrimonio de las personas</w:t>
      </w:r>
      <w:r w:rsidRPr="000C1446">
        <w:rPr>
          <w:rStyle w:val="FootnoteReference"/>
          <w:lang w:val="es-ES_tradnl"/>
        </w:rPr>
        <w:footnoteReference w:id="42"/>
      </w:r>
      <w:r w:rsidRPr="000C1446">
        <w:rPr>
          <w:lang w:val="es-ES_tradnl"/>
        </w:rPr>
        <w:t xml:space="preserve">. </w:t>
      </w:r>
    </w:p>
    <w:p w:rsidR="00BF6030" w:rsidRPr="000C1446" w:rsidRDefault="00BF6030" w:rsidP="00071C55">
      <w:pPr>
        <w:pStyle w:val="Style2"/>
        <w:numPr>
          <w:ilvl w:val="0"/>
          <w:numId w:val="0"/>
        </w:numPr>
        <w:rPr>
          <w:sz w:val="16"/>
          <w:szCs w:val="16"/>
          <w:lang w:val="es-ES_tradnl"/>
        </w:rPr>
      </w:pPr>
    </w:p>
    <w:p w:rsidR="00BF6030" w:rsidRPr="000C1446" w:rsidRDefault="00BF6030" w:rsidP="00071C55">
      <w:pPr>
        <w:pStyle w:val="Style2"/>
      </w:pPr>
      <w:r w:rsidRPr="000C1446">
        <w:t xml:space="preserve">En el presente caso existe controversia sobre ese presupuesto fundamental para determinar si ocurrió una expropiación conforme al artículo 21.2 de la Convención. Específicamente, la controversia entre las parte se centra en si las piezas arqueológicas ingresaron o no al patrimonio del señor Judge y, por lo tanto, fueron parte de su propiedad privada. El señor </w:t>
      </w:r>
      <w:r w:rsidRPr="000C1446">
        <w:rPr>
          <w:lang w:val="es-CO"/>
        </w:rPr>
        <w:t>Judge</w:t>
      </w:r>
      <w:r w:rsidRPr="000C1446">
        <w:t xml:space="preserve"> argumenta que tenía permiso de las autoridades competentes para realizar los trabajos de excavación que dieron lugar al descubrimiento de las piezas arqueológicas. Asimismo, indica que conforme al marco normativo aplicable dichas piezas ingresaron a su patrimonio en virtud de una cesión de derechos por parte de la persona a quien el Estado le otorgó la autorización. En consecuencia, indica que el Decreto Supremo No. 320 constituyó una expropiación y, por lo tanto, el Estado debió indemnizarle. El Estado, por su parte, afirma que la autorización fue otorgada a otra persona; que autorizaba únicamente a realizar trabajos de </w:t>
      </w:r>
      <w:r w:rsidRPr="000C1446">
        <w:rPr>
          <w:rFonts w:cs="Arial"/>
        </w:rPr>
        <w:t>prospección</w:t>
      </w:r>
      <w:r w:rsidRPr="000C1446">
        <w:t xml:space="preserve"> y no de excavación; que era necesaria una nueva autorización para una eventual excavación; y que se prohibió expresamente la contratación de personal extranjero. Con base en estos elementos, el Estado  afirma que las piezas arqueológicas fueron obtenidas de manera ilegítima e ilegal</w:t>
      </w:r>
      <w:r w:rsidR="00F75DE4" w:rsidRPr="000C1446">
        <w:t>.</w:t>
      </w:r>
      <w:r w:rsidRPr="000C1446">
        <w:t xml:space="preserve"> El Estado indica que, en consecuencia, el Decreto Supremo No. 320 no constituyó una expropiación pues las piezas arqueológicas nunca entraron al patrimonio del señor Judge.</w:t>
      </w:r>
    </w:p>
    <w:p w:rsidR="00BF6030" w:rsidRPr="000C1446" w:rsidRDefault="00BF6030" w:rsidP="00071C55">
      <w:pPr>
        <w:pStyle w:val="Style2"/>
        <w:numPr>
          <w:ilvl w:val="0"/>
          <w:numId w:val="0"/>
        </w:numPr>
        <w:ind w:left="720"/>
      </w:pPr>
    </w:p>
    <w:p w:rsidR="00BF6030" w:rsidRPr="000C1446" w:rsidRDefault="00BF6030" w:rsidP="00071C55">
      <w:pPr>
        <w:pStyle w:val="Style2"/>
      </w:pPr>
      <w:r w:rsidRPr="000C1446">
        <w:t xml:space="preserve">Tal como se estableció en la sección de hechos probados, la Comisión constata que, efectivamente, el permiso de la Casa de la Cultura Ecuatoriana de 23 de mayo de 1967: i) fue otorgado a favor del señor Virgilio Vélez; ii) se contrajo a los “trabajos de prospección con detectores técnicos que en nada remuevan mecánicamente las existencias arqueológicas subyacentes”; iii) precisó que una eventual excavación requería de nueva autorización; y iv) indicó que se prescindiera de la intervención de técnicos extranjeros. </w:t>
      </w:r>
      <w:r w:rsidR="00832E28" w:rsidRPr="000C1446">
        <w:t xml:space="preserve">Estos elementos no son consistentes con los alegatos del peticionario que indican que las piezas ingresaron a su patrimonio. Esta afirmación se encuentra respaldada por el contenido del </w:t>
      </w:r>
      <w:r w:rsidRPr="000C1446">
        <w:t>Decreto Supremo No. 320</w:t>
      </w:r>
      <w:r w:rsidR="00832E28" w:rsidRPr="000C1446">
        <w:t xml:space="preserve">, el cual se limita a declarar </w:t>
      </w:r>
      <w:r w:rsidRPr="000C1446">
        <w:t>que las piezas arqueológicas son propiedad del patrimonio nacional</w:t>
      </w:r>
      <w:r w:rsidR="00397F4C" w:rsidRPr="000C1446">
        <w:t xml:space="preserve">, sin indicación alguna en el sentido de que se tratara de una </w:t>
      </w:r>
      <w:r w:rsidRPr="000C1446">
        <w:t xml:space="preserve">confiscación o </w:t>
      </w:r>
      <w:r w:rsidR="0014484D" w:rsidRPr="000C1446">
        <w:t>expropiación</w:t>
      </w:r>
      <w:r w:rsidR="00FB6AC9">
        <w:rPr>
          <w:rStyle w:val="FootnoteReference"/>
        </w:rPr>
        <w:footnoteReference w:id="43"/>
      </w:r>
      <w:r w:rsidR="00397F4C" w:rsidRPr="000C1446">
        <w:t>.</w:t>
      </w:r>
      <w:r w:rsidRPr="000C1446">
        <w:t xml:space="preserve"> </w:t>
      </w:r>
    </w:p>
    <w:p w:rsidR="00BF6030" w:rsidRPr="000C1446" w:rsidRDefault="00BF6030" w:rsidP="00071C55">
      <w:pPr>
        <w:pStyle w:val="Style2"/>
        <w:numPr>
          <w:ilvl w:val="0"/>
          <w:numId w:val="0"/>
        </w:numPr>
        <w:ind w:left="720"/>
      </w:pPr>
    </w:p>
    <w:p w:rsidR="00BF6030" w:rsidRPr="000C1446" w:rsidRDefault="00BF6030" w:rsidP="00071C55">
      <w:pPr>
        <w:pStyle w:val="Style2"/>
      </w:pPr>
      <w:r w:rsidRPr="000C1446">
        <w:t>A la luz de estos elementos, ni la lectura del marco normativo vigente al momento de los hechos ni las autorizaciones o cesiones de derechos que a título privado hubiera efectuado el señor Virgilio Vélez al señor James Judge, permiten a la Comisión llegar a la convicción de que las piezas arqueológicas ingresaron al patrimonio del señor Judge conforme a la legislación interna. En ese sentido, la Comisión considera que el peticionario no acreditó en el presente caso el presupuesto necesario para considerar que lo ocurrido fue una expropiación en los términos del artículo 21.2 de la Convención y, por lo tanto, no resulta exigible al Estado ecuatoriano el pago de una justa indemnización.</w:t>
      </w:r>
    </w:p>
    <w:p w:rsidR="00BF6030" w:rsidRPr="000C1446" w:rsidRDefault="00BF6030" w:rsidP="00071C55">
      <w:pPr>
        <w:pStyle w:val="ListParagraph"/>
        <w:rPr>
          <w:lang w:val="es-CO"/>
        </w:rPr>
      </w:pPr>
    </w:p>
    <w:p w:rsidR="00BF6030" w:rsidRPr="000C1446" w:rsidRDefault="00BF6030" w:rsidP="00071C55">
      <w:pPr>
        <w:pStyle w:val="Style2"/>
      </w:pPr>
      <w:r w:rsidRPr="000C1446">
        <w:t xml:space="preserve">En virtud de las anteriores consideraciones, la Comisión concluye que el Estado no es responsable por la violación del derecho a la propiedad privada en perjuicio del señor James Judge. </w:t>
      </w:r>
    </w:p>
    <w:p w:rsidR="00BF6030" w:rsidRPr="000C1446" w:rsidRDefault="00BF6030" w:rsidP="00071C55">
      <w:pPr>
        <w:pStyle w:val="Style2"/>
        <w:numPr>
          <w:ilvl w:val="0"/>
          <w:numId w:val="0"/>
        </w:numPr>
        <w:ind w:left="720"/>
        <w:rPr>
          <w:rFonts w:eastAsia="MS Gothic"/>
          <w:b/>
          <w:bCs/>
        </w:rPr>
      </w:pPr>
    </w:p>
    <w:p w:rsidR="00BF6030" w:rsidRPr="000C1446" w:rsidRDefault="00BF6030" w:rsidP="00071C55">
      <w:pPr>
        <w:pStyle w:val="Heading2"/>
        <w:numPr>
          <w:ilvl w:val="2"/>
          <w:numId w:val="64"/>
        </w:numPr>
        <w:tabs>
          <w:tab w:val="clear" w:pos="3060"/>
          <w:tab w:val="num" w:pos="1440"/>
        </w:tabs>
        <w:ind w:left="1440"/>
        <w:rPr>
          <w:lang w:val="es-ES"/>
        </w:rPr>
      </w:pPr>
      <w:bookmarkStart w:id="29" w:name="_Toc418254636"/>
      <w:bookmarkStart w:id="30" w:name="_Toc464481610"/>
      <w:r w:rsidRPr="000C1446">
        <w:rPr>
          <w:lang w:val="es-ES"/>
        </w:rPr>
        <w:t xml:space="preserve">Derechos a las garantías judiciales y a la protección judicial (artículos 8.1 y 25 de la Convención </w:t>
      </w:r>
      <w:r w:rsidRPr="000C1446">
        <w:rPr>
          <w:lang w:val="es-MX"/>
        </w:rPr>
        <w:t>Americana en relación con el artículo 1.1 del mismo instrumento</w:t>
      </w:r>
      <w:r w:rsidRPr="000C1446">
        <w:rPr>
          <w:lang w:val="es-ES"/>
        </w:rPr>
        <w:t>)</w:t>
      </w:r>
      <w:bookmarkEnd w:id="29"/>
      <w:bookmarkEnd w:id="30"/>
      <w:r w:rsidRPr="000C1446">
        <w:rPr>
          <w:lang w:val="es-ES"/>
        </w:rPr>
        <w:t xml:space="preserve"> </w:t>
      </w:r>
    </w:p>
    <w:p w:rsidR="00BF6030" w:rsidRPr="000C1446" w:rsidRDefault="00BF6030" w:rsidP="00071C55">
      <w:pPr>
        <w:ind w:left="720"/>
        <w:jc w:val="both"/>
        <w:rPr>
          <w:rFonts w:ascii="Cambria" w:hAnsi="Cambria"/>
          <w:sz w:val="20"/>
          <w:szCs w:val="20"/>
          <w:lang w:val="es-ES"/>
        </w:rPr>
      </w:pPr>
    </w:p>
    <w:p w:rsidR="00BF6030" w:rsidRPr="000C1446" w:rsidRDefault="00BF603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C1446">
        <w:rPr>
          <w:rFonts w:ascii="Cambria" w:hAnsi="Cambria"/>
          <w:sz w:val="20"/>
          <w:szCs w:val="20"/>
          <w:lang w:val="es-ES"/>
        </w:rPr>
        <w:t xml:space="preserve">El artículo 8 de la Convención Americana señala, en lo pertinente: </w:t>
      </w:r>
    </w:p>
    <w:p w:rsidR="00BF6030" w:rsidRPr="000C1446" w:rsidRDefault="00BF6030" w:rsidP="00071C55">
      <w:pPr>
        <w:ind w:left="720" w:right="720"/>
        <w:jc w:val="both"/>
        <w:rPr>
          <w:rFonts w:ascii="Cambria" w:hAnsi="Cambria"/>
          <w:sz w:val="20"/>
          <w:szCs w:val="20"/>
          <w:lang w:val="es-ES"/>
        </w:rPr>
      </w:pPr>
    </w:p>
    <w:p w:rsidR="00BF6030" w:rsidRPr="000C1446" w:rsidRDefault="00BF6030" w:rsidP="00071C5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rsidR="00BF6030" w:rsidRPr="000C1446" w:rsidRDefault="00BF6030" w:rsidP="00071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sz w:val="20"/>
          <w:szCs w:val="20"/>
          <w:lang w:val="es-ES"/>
        </w:rPr>
      </w:pPr>
      <w:r w:rsidRPr="000C1446">
        <w:rPr>
          <w:sz w:val="20"/>
          <w:szCs w:val="20"/>
          <w:lang w:val="es-ES"/>
        </w:rPr>
        <w:t>(…)</w:t>
      </w:r>
    </w:p>
    <w:p w:rsidR="00BF6030" w:rsidRPr="000C1446" w:rsidRDefault="00BF6030" w:rsidP="00071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sz w:val="20"/>
          <w:szCs w:val="20"/>
          <w:lang w:val="es-ES"/>
        </w:rPr>
      </w:pPr>
    </w:p>
    <w:p w:rsidR="00BF6030" w:rsidRPr="000C1446" w:rsidRDefault="00BF603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C1446">
        <w:rPr>
          <w:rFonts w:ascii="Cambria" w:hAnsi="Cambria"/>
          <w:sz w:val="20"/>
          <w:szCs w:val="20"/>
          <w:lang w:val="es-ES"/>
        </w:rPr>
        <w:t xml:space="preserve">El artículo 25 de la Convención Americana indica, en lo pertinente: </w:t>
      </w:r>
    </w:p>
    <w:p w:rsidR="00BF6030" w:rsidRPr="000C1446" w:rsidRDefault="00BF6030" w:rsidP="00071C55">
      <w:pPr>
        <w:ind w:left="1440" w:right="720"/>
        <w:jc w:val="both"/>
        <w:rPr>
          <w:rFonts w:ascii="Cambria" w:hAnsi="Cambria"/>
          <w:sz w:val="20"/>
          <w:szCs w:val="20"/>
          <w:lang w:val="es-ES"/>
        </w:rPr>
      </w:pPr>
    </w:p>
    <w:p w:rsidR="00BF6030" w:rsidRPr="000C1446" w:rsidRDefault="00BF6030" w:rsidP="00071C55">
      <w:pPr>
        <w:ind w:left="720" w:right="720"/>
        <w:jc w:val="both"/>
        <w:rPr>
          <w:rFonts w:ascii="Cambria" w:hAnsi="Cambria"/>
          <w:sz w:val="20"/>
          <w:szCs w:val="20"/>
          <w:lang w:val="es-ES"/>
        </w:rPr>
      </w:pPr>
      <w:r w:rsidRPr="000C1446">
        <w:rPr>
          <w:rFonts w:ascii="Cambria" w:hAnsi="Cambria"/>
          <w:sz w:val="20"/>
          <w:szCs w:val="20"/>
          <w:lang w:val="es-ES"/>
        </w:rPr>
        <w:t xml:space="preserve">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p w:rsidR="00BF6030" w:rsidRPr="000C1446" w:rsidRDefault="00BF6030" w:rsidP="00071C55">
      <w:pPr>
        <w:ind w:left="1440"/>
        <w:jc w:val="both"/>
        <w:rPr>
          <w:rFonts w:ascii="Cambria" w:hAnsi="Cambria"/>
          <w:sz w:val="20"/>
          <w:szCs w:val="20"/>
          <w:lang w:val="es-ES"/>
        </w:rPr>
      </w:pPr>
    </w:p>
    <w:p w:rsidR="00BF6030" w:rsidRPr="000C1446" w:rsidRDefault="00BF6030" w:rsidP="00071C55">
      <w:pPr>
        <w:pStyle w:val="Style2"/>
        <w:rPr>
          <w:lang w:val="es-PE"/>
        </w:rPr>
      </w:pPr>
      <w:r w:rsidRPr="000C1446">
        <w:rPr>
          <w:lang w:val="es-PE"/>
        </w:rPr>
        <w:t>El artículo 1.1 establece que</w:t>
      </w:r>
    </w:p>
    <w:p w:rsidR="00BF6030" w:rsidRPr="000C1446" w:rsidRDefault="00BF6030" w:rsidP="00071C55">
      <w:pPr>
        <w:ind w:left="1440"/>
        <w:jc w:val="both"/>
        <w:rPr>
          <w:rFonts w:ascii="Cambria" w:hAnsi="Cambria"/>
          <w:sz w:val="20"/>
          <w:szCs w:val="20"/>
          <w:lang w:val="es-ES"/>
        </w:rPr>
      </w:pPr>
    </w:p>
    <w:p w:rsidR="00BF6030" w:rsidRPr="000C1446" w:rsidRDefault="00BF6030" w:rsidP="00071C55">
      <w:pPr>
        <w:ind w:left="720" w:right="720"/>
        <w:jc w:val="both"/>
        <w:rPr>
          <w:rFonts w:ascii="Cambria" w:hAnsi="Cambria"/>
          <w:sz w:val="20"/>
          <w:szCs w:val="20"/>
          <w:lang w:val="es-ES"/>
        </w:rPr>
      </w:pPr>
      <w:r w:rsidRPr="000C1446">
        <w:rPr>
          <w:rFonts w:ascii="Cambria" w:hAnsi="Cambria"/>
          <w:sz w:val="20"/>
          <w:szCs w:val="20"/>
          <w:lang w:val="es-ES"/>
        </w:rPr>
        <w:t>[</w:t>
      </w:r>
      <w:proofErr w:type="gramStart"/>
      <w:r w:rsidRPr="000C1446">
        <w:rPr>
          <w:rFonts w:ascii="Cambria" w:hAnsi="Cambria"/>
          <w:sz w:val="20"/>
          <w:szCs w:val="20"/>
          <w:lang w:val="es-ES"/>
        </w:rPr>
        <w:t>l]</w:t>
      </w:r>
      <w:proofErr w:type="gramEnd"/>
      <w:r w:rsidRPr="000C1446">
        <w:rPr>
          <w:rFonts w:ascii="Cambria" w:hAnsi="Cambria"/>
          <w:sz w:val="20"/>
          <w:szCs w:val="20"/>
          <w:lang w:val="es-ES"/>
        </w:rPr>
        <w:t>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BF6030" w:rsidRPr="000C1446" w:rsidRDefault="00BF6030" w:rsidP="00071C55">
      <w:pPr>
        <w:ind w:left="720"/>
        <w:jc w:val="both"/>
        <w:rPr>
          <w:rFonts w:ascii="Cambria" w:hAnsi="Cambria"/>
          <w:sz w:val="20"/>
          <w:szCs w:val="20"/>
          <w:lang w:val="es-ES"/>
        </w:rPr>
      </w:pPr>
    </w:p>
    <w:p w:rsidR="00BF6030" w:rsidRPr="000C1446" w:rsidRDefault="00BF603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C1446">
        <w:rPr>
          <w:rFonts w:ascii="Cambria" w:hAnsi="Cambria"/>
          <w:spacing w:val="-2"/>
          <w:sz w:val="20"/>
          <w:szCs w:val="20"/>
          <w:lang w:val="es-CR"/>
        </w:rPr>
        <w:t>La Corte ha expresado que los Estados están obligados a proveer recursos judiciales efectivos a las víctimas de violaciones de derechos humanos (artículo 25), los cuales deber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0C1446">
        <w:rPr>
          <w:rStyle w:val="FootnoteReference"/>
          <w:rFonts w:ascii="Cambria" w:hAnsi="Cambria"/>
          <w:spacing w:val="-2"/>
          <w:sz w:val="20"/>
          <w:szCs w:val="20"/>
          <w:lang w:val="es-CR"/>
        </w:rPr>
        <w:footnoteReference w:id="44"/>
      </w:r>
      <w:r w:rsidRPr="000C1446">
        <w:rPr>
          <w:rFonts w:ascii="Cambria" w:hAnsi="Cambria"/>
          <w:spacing w:val="-2"/>
          <w:sz w:val="20"/>
          <w:szCs w:val="20"/>
          <w:lang w:val="es-CR"/>
        </w:rPr>
        <w:t xml:space="preserve">. </w:t>
      </w:r>
      <w:r w:rsidRPr="000C1446">
        <w:rPr>
          <w:rFonts w:ascii="Cambria" w:eastAsia="Times New Roman" w:hAnsi="Cambria"/>
          <w:sz w:val="20"/>
          <w:szCs w:val="20"/>
          <w:lang w:val="es-ES_tradnl"/>
        </w:rPr>
        <w:t>Asimismo, la Comisión ha establecido que el artículo 25 de la Convención Americana guarda relación directa con su artículo 8.1, el cual consagra el derecho de toda persona a ser oída con las debidas garantías y dentro de un plazo razonable, por un juez o tribunal independiente e imparcial</w:t>
      </w:r>
      <w:r w:rsidRPr="000C1446">
        <w:rPr>
          <w:rFonts w:ascii="Cambria" w:eastAsia="Times New Roman" w:hAnsi="Cambria"/>
          <w:sz w:val="20"/>
          <w:szCs w:val="20"/>
          <w:vertAlign w:val="superscript"/>
        </w:rPr>
        <w:footnoteReference w:id="45"/>
      </w:r>
      <w:r w:rsidRPr="000C1446">
        <w:rPr>
          <w:rFonts w:ascii="Cambria" w:eastAsia="Times New Roman" w:hAnsi="Cambria"/>
          <w:sz w:val="20"/>
          <w:szCs w:val="20"/>
          <w:lang w:val="es-ES_tradnl"/>
        </w:rPr>
        <w:t>.</w:t>
      </w:r>
    </w:p>
    <w:p w:rsidR="00DA3D9D" w:rsidRPr="000C1446" w:rsidRDefault="00DA3D9D" w:rsidP="0007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_tradnl"/>
        </w:rPr>
      </w:pPr>
    </w:p>
    <w:p w:rsidR="00DA3D9D" w:rsidRPr="000C1446" w:rsidRDefault="00DA3D9D"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C1446">
        <w:rPr>
          <w:rFonts w:ascii="Cambria" w:hAnsi="Cambria"/>
          <w:sz w:val="20"/>
          <w:szCs w:val="20"/>
          <w:lang w:val="es-ES"/>
        </w:rPr>
        <w:t>Específicamente en cuanto a la garantía de plazo razonable, la jurisprudencia interamericana ha indicado que una demora prolongada puede llegar a constituir, por sí misma, una violación de las garantías judiciales</w:t>
      </w:r>
      <w:r w:rsidRPr="000C1446">
        <w:rPr>
          <w:rStyle w:val="FootnoteReference"/>
          <w:rFonts w:ascii="Cambria" w:hAnsi="Cambria"/>
          <w:sz w:val="20"/>
          <w:szCs w:val="20"/>
          <w:lang w:val="es-ES_tradnl"/>
        </w:rPr>
        <w:footnoteReference w:id="46"/>
      </w:r>
      <w:r w:rsidRPr="000C1446">
        <w:rPr>
          <w:rFonts w:ascii="Cambria" w:hAnsi="Cambria"/>
          <w:sz w:val="20"/>
          <w:szCs w:val="20"/>
          <w:lang w:val="es-ES"/>
        </w:rPr>
        <w:t>, por lo que corresponde al Estado exponer y probar la razón por la cual se ha requerido más tiempo del razonable para dictar sentencia definitiva en un caso particular</w:t>
      </w:r>
      <w:r w:rsidRPr="000C1446">
        <w:rPr>
          <w:rStyle w:val="FootnoteReference"/>
          <w:rFonts w:ascii="Cambria" w:hAnsi="Cambria"/>
          <w:sz w:val="20"/>
          <w:szCs w:val="20"/>
          <w:lang w:val="es-ES_tradnl"/>
        </w:rPr>
        <w:footnoteReference w:id="47"/>
      </w:r>
      <w:r w:rsidRPr="000C1446">
        <w:rPr>
          <w:rFonts w:ascii="Cambria" w:hAnsi="Cambria"/>
          <w:sz w:val="20"/>
          <w:szCs w:val="20"/>
          <w:lang w:val="es-ES"/>
        </w:rPr>
        <w:t xml:space="preserve">. </w:t>
      </w:r>
    </w:p>
    <w:p w:rsidR="00DA3D9D" w:rsidRPr="000C1446" w:rsidRDefault="00DA3D9D" w:rsidP="00071C55">
      <w:pPr>
        <w:pStyle w:val="BodyTextIndent"/>
        <w:tabs>
          <w:tab w:val="left" w:pos="1440"/>
        </w:tabs>
        <w:ind w:firstLine="0"/>
        <w:rPr>
          <w:rFonts w:ascii="Cambria" w:hAnsi="Cambria"/>
          <w:sz w:val="20"/>
          <w:szCs w:val="20"/>
          <w:lang w:val="es-ES"/>
        </w:rPr>
      </w:pPr>
    </w:p>
    <w:p w:rsidR="00DA3D9D" w:rsidRPr="000C1446" w:rsidRDefault="00DA3D9D"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C1446">
        <w:rPr>
          <w:rFonts w:ascii="Cambria" w:hAnsi="Cambria"/>
          <w:sz w:val="20"/>
          <w:szCs w:val="20"/>
          <w:lang w:val="es-ES"/>
        </w:rPr>
        <w:t>En ese sentido, la razonabilidad del plazo se debe apreciar en relación con la duración total del procedimiento</w:t>
      </w:r>
      <w:r w:rsidRPr="000C1446">
        <w:rPr>
          <w:rStyle w:val="FootnoteReference"/>
          <w:rFonts w:ascii="Cambria" w:hAnsi="Cambria"/>
          <w:sz w:val="20"/>
          <w:szCs w:val="20"/>
          <w:lang w:val="es-ES_tradnl"/>
        </w:rPr>
        <w:footnoteReference w:id="48"/>
      </w:r>
      <w:r w:rsidRPr="000C1446">
        <w:rPr>
          <w:rFonts w:ascii="Cambria" w:hAnsi="Cambria"/>
          <w:sz w:val="20"/>
          <w:szCs w:val="20"/>
          <w:lang w:val="es-ES"/>
        </w:rPr>
        <w:t xml:space="preserve">. </w:t>
      </w:r>
      <w:r w:rsidRPr="000C1446">
        <w:rPr>
          <w:rFonts w:ascii="Cambria" w:hAnsi="Cambria"/>
          <w:sz w:val="20"/>
          <w:szCs w:val="20"/>
          <w:lang w:val="es-ES_tradnl"/>
        </w:rPr>
        <w:t>Según los términos del artículo 8.1 de la Convención Americana, la Comisión tomará en consideración, a la luz de las circunstancias concretas del caso, los elementos que los órganos del sistema interamericano han tomado en cuenta, a saber</w:t>
      </w:r>
      <w:r w:rsidRPr="000C1446">
        <w:rPr>
          <w:rFonts w:ascii="Cambria" w:hAnsi="Cambria"/>
          <w:sz w:val="20"/>
          <w:szCs w:val="20"/>
          <w:lang w:val="es-ES"/>
        </w:rPr>
        <w:t>: i) la complejidad del asunto; ii) la actividad procesal del interesado; y iii) la conducta de las autoridades judiciales;</w:t>
      </w:r>
      <w:r w:rsidRPr="000C1446">
        <w:rPr>
          <w:rFonts w:ascii="Cambria" w:hAnsi="Cambria"/>
          <w:sz w:val="20"/>
          <w:szCs w:val="20"/>
          <w:lang w:val="es-ES_tradnl"/>
        </w:rPr>
        <w:t xml:space="preserve"> y iv) afectación generada en la situación jurídica de la persona involucrada en el proceso</w:t>
      </w:r>
      <w:r w:rsidRPr="000C1446">
        <w:rPr>
          <w:rStyle w:val="FootnoteReference"/>
          <w:rFonts w:ascii="Cambria" w:hAnsi="Cambria"/>
          <w:sz w:val="20"/>
          <w:szCs w:val="20"/>
          <w:lang w:val="es-ES_tradnl"/>
        </w:rPr>
        <w:t xml:space="preserve"> </w:t>
      </w:r>
      <w:r w:rsidRPr="000C1446">
        <w:rPr>
          <w:rStyle w:val="FootnoteReference"/>
          <w:rFonts w:ascii="Cambria" w:hAnsi="Cambria"/>
          <w:sz w:val="20"/>
          <w:szCs w:val="20"/>
          <w:lang w:val="es-ES_tradnl"/>
        </w:rPr>
        <w:footnoteReference w:id="49"/>
      </w:r>
      <w:r w:rsidRPr="000C1446">
        <w:rPr>
          <w:rFonts w:ascii="Cambria" w:hAnsi="Cambria"/>
          <w:sz w:val="20"/>
          <w:szCs w:val="20"/>
          <w:lang w:val="es-ES"/>
        </w:rPr>
        <w:t>.</w:t>
      </w:r>
    </w:p>
    <w:p w:rsidR="00BF6030" w:rsidRPr="000C1446" w:rsidRDefault="00BF6030" w:rsidP="00071C55">
      <w:pPr>
        <w:pStyle w:val="ListParagraph"/>
        <w:rPr>
          <w:sz w:val="20"/>
          <w:szCs w:val="20"/>
          <w:lang w:val="es-ES"/>
        </w:rPr>
      </w:pPr>
    </w:p>
    <w:p w:rsidR="00BF6030" w:rsidRPr="000C1446" w:rsidRDefault="00BF6030" w:rsidP="00071C55">
      <w:pPr>
        <w:pStyle w:val="Style2"/>
        <w:rPr>
          <w:rFonts w:eastAsia="Times New Roman"/>
          <w:bdr w:val="none" w:sz="0" w:space="0" w:color="auto"/>
          <w:lang w:val="es-ES_tradnl"/>
        </w:rPr>
      </w:pPr>
      <w:r w:rsidRPr="000C1446">
        <w:rPr>
          <w:bdr w:val="none" w:sz="0" w:space="0" w:color="auto"/>
        </w:rPr>
        <w:t>Asimismo, el derecho a la protección judicial efectiva se encuentra consagrado en el artículo 25 de la Convención Americana.  Al respecto, la Corte ha determinado que la efectividad del recurso “supone que, además de la existencia formal de los recursos, éstos den resultados o respuestas a las violaciones de derechos contemplados ya sea en la Convención, en la Constitución o en las leyes”</w:t>
      </w:r>
      <w:r w:rsidRPr="000C1446">
        <w:rPr>
          <w:bdr w:val="none" w:sz="0" w:space="0" w:color="auto"/>
          <w:vertAlign w:val="superscript"/>
        </w:rPr>
        <w:footnoteReference w:id="50"/>
      </w:r>
      <w:r w:rsidRPr="000C1446">
        <w:rPr>
          <w:bdr w:val="none" w:sz="0" w:space="0" w:color="auto"/>
        </w:rPr>
        <w:t>.  En este sentido, la Corte ha destacado que para que exista un recurso efectivo “se requiere que sea realmente idóneo para establecer si se ha incurrido en una violación a los derechos humanos y proveer lo necesario para remediarla”</w:t>
      </w:r>
      <w:r w:rsidRPr="000C1446">
        <w:rPr>
          <w:bdr w:val="none" w:sz="0" w:space="0" w:color="auto"/>
          <w:vertAlign w:val="superscript"/>
        </w:rPr>
        <w:footnoteReference w:id="51"/>
      </w:r>
      <w:r w:rsidRPr="000C1446">
        <w:rPr>
          <w:bdr w:val="none" w:sz="0" w:space="0" w:color="auto"/>
        </w:rPr>
        <w:t xml:space="preserve">.  </w:t>
      </w:r>
    </w:p>
    <w:p w:rsidR="00BF6030" w:rsidRPr="000C1446" w:rsidRDefault="00BF6030" w:rsidP="00071C55">
      <w:pPr>
        <w:pStyle w:val="ListParagraph"/>
        <w:rPr>
          <w:rFonts w:eastAsia="Times New Roman"/>
          <w:bdr w:val="none" w:sz="0" w:space="0" w:color="auto"/>
          <w:lang w:val="es-ES_tradnl"/>
        </w:rPr>
      </w:pPr>
    </w:p>
    <w:p w:rsidR="00BF6030" w:rsidRPr="000C1446" w:rsidRDefault="00BF6030" w:rsidP="00071C55">
      <w:pPr>
        <w:pStyle w:val="Style2"/>
        <w:rPr>
          <w:bdr w:val="none" w:sz="0" w:space="0" w:color="auto"/>
        </w:rPr>
      </w:pPr>
      <w:r w:rsidRPr="000C1446">
        <w:rPr>
          <w:bdr w:val="none" w:sz="0" w:space="0" w:color="auto"/>
          <w:lang w:val="es-ES_tradnl"/>
        </w:rPr>
        <w:t>De igual manera,</w:t>
      </w:r>
      <w:r w:rsidRPr="000C1446">
        <w:rPr>
          <w:bdr w:val="none" w:sz="0" w:space="0" w:color="auto"/>
        </w:rPr>
        <w:t xml:space="preserve"> la Corte ha establecido que “cualquier norma o medida que impida o dificulte hacer uso del recurso de que se trata constituye una violación del derecho al acceso a la justicia, bajo la modalidad consagrada en el artículo 25 de la Convención Americana”</w:t>
      </w:r>
      <w:r w:rsidRPr="000C1446">
        <w:rPr>
          <w:bdr w:val="none" w:sz="0" w:space="0" w:color="auto"/>
          <w:vertAlign w:val="superscript"/>
        </w:rPr>
        <w:footnoteReference w:id="52"/>
      </w:r>
      <w:r w:rsidRPr="000C1446">
        <w:rPr>
          <w:bdr w:val="none" w:sz="0" w:space="0" w:color="auto"/>
        </w:rPr>
        <w:t xml:space="preserve">. </w:t>
      </w:r>
    </w:p>
    <w:p w:rsidR="00BF6030" w:rsidRPr="000C1446" w:rsidRDefault="00BF6030" w:rsidP="00071C55">
      <w:pPr>
        <w:jc w:val="both"/>
        <w:rPr>
          <w:rFonts w:ascii="Cambria" w:hAnsi="Cambria"/>
          <w:sz w:val="20"/>
          <w:szCs w:val="20"/>
          <w:lang w:val="es-ES"/>
        </w:rPr>
      </w:pPr>
    </w:p>
    <w:p w:rsidR="00E71CF6" w:rsidRPr="000C1446" w:rsidRDefault="003C55C0" w:rsidP="00071C55">
      <w:pPr>
        <w:pStyle w:val="Style2"/>
      </w:pPr>
      <w:r w:rsidRPr="000C1446">
        <w:t xml:space="preserve">En el </w:t>
      </w:r>
      <w:r w:rsidR="00BF6030" w:rsidRPr="000C1446">
        <w:t>presente caso, la Comisión observa que</w:t>
      </w:r>
      <w:r w:rsidR="00A303A9" w:rsidRPr="000C1446">
        <w:t xml:space="preserve"> el señor James Judge interpuso dos recursos a fin de </w:t>
      </w:r>
      <w:r w:rsidR="004B648B" w:rsidRPr="000C1446">
        <w:t xml:space="preserve">impugnar el Decreto Supremo No. 320 y </w:t>
      </w:r>
      <w:r w:rsidR="00A303A9" w:rsidRPr="000C1446">
        <w:t xml:space="preserve">obtener una respuesta judicial en cuanto a su reclamo relativo a la propiedad de las piezas arqueológicas. </w:t>
      </w:r>
      <w:r w:rsidR="008B5E5C" w:rsidRPr="000C1446">
        <w:t xml:space="preserve">El primero fue interpuesto ante el Tribunal de los Contencioso Administrativo el 22 de junio de 1980, el cual fue resuelto </w:t>
      </w:r>
      <w:r w:rsidR="004B648B" w:rsidRPr="000C1446">
        <w:t xml:space="preserve">desfavorablemente </w:t>
      </w:r>
      <w:r w:rsidR="008B5E5C" w:rsidRPr="000C1446">
        <w:t>el 18 de marzo de 1985</w:t>
      </w:r>
      <w:r w:rsidR="00F22699" w:rsidRPr="000C1446">
        <w:t>.</w:t>
      </w:r>
    </w:p>
    <w:p w:rsidR="00E71CF6" w:rsidRPr="000C1446" w:rsidRDefault="00E71CF6" w:rsidP="00071C55">
      <w:pPr>
        <w:pStyle w:val="ListParagraph"/>
        <w:rPr>
          <w:lang w:val="es-CO"/>
        </w:rPr>
      </w:pPr>
    </w:p>
    <w:p w:rsidR="00BF6030" w:rsidRPr="000C1446" w:rsidRDefault="004B648B" w:rsidP="00071C55">
      <w:pPr>
        <w:pStyle w:val="Style2"/>
      </w:pPr>
      <w:r w:rsidRPr="000C1446">
        <w:t xml:space="preserve">Posteriormente, el 12 de febrero de 1993 el señor James Judge interpuso </w:t>
      </w:r>
      <w:r w:rsidR="00BF6030" w:rsidRPr="000C1446">
        <w:t>un recurso de inconstitucionalidad en contra del</w:t>
      </w:r>
      <w:r w:rsidRPr="000C1446">
        <w:t xml:space="preserve"> mismo </w:t>
      </w:r>
      <w:r w:rsidR="00BF6030" w:rsidRPr="000C1446">
        <w:t xml:space="preserve"> Decreto, ante el entonces Tribunal de Garantías Constitucionales. El Tribunal emitió la Resolución No. 248-95-CP el 27 de diciembre de 1995, mediante la que desechó la demanda formulada por el peticionario y la remitió a la Sala de lo Constitucional de la Corte Suprema de Justicia para que se pronunciara en definitiva. </w:t>
      </w:r>
      <w:r w:rsidR="003A6381" w:rsidRPr="000C1446">
        <w:t xml:space="preserve">La Comisión no tiene información sobre la fecha en que se remitió la Resolución No. 248-95-CP a la Sala de lo Constitucional de la Corte Suprema de Justicia; sin embargo, el Estado informó que finalmente ésta no llegó a conocer del caso puesto que se produjeron reformas constitucionales en los años 1995-1996, mediante las que se creó el Tribunal Constitucional, en sustitución del Tribunal de Garantías Constitucionales. El mismo Estado informó que la Sala de lo Contencioso Administrativo de la misma Corte Suprema quedó encargada, transitoriamente, y hasta su conclusión, de los procesos que se sustanciaban en la Sala de lo Constitucional de la Corte Suprema de Justicia y de los procesos  por recursos de resoluciones del Tribunal de Garantías Constitucionales, hasta que se conformara el Tribunal Constitucional. </w:t>
      </w:r>
      <w:r w:rsidR="003A6381" w:rsidRPr="000C1446">
        <w:rPr>
          <w:lang w:val="es-MX"/>
        </w:rPr>
        <w:t xml:space="preserve">Sin embargo, según lo informado por el Estado, </w:t>
      </w:r>
      <w:r w:rsidR="003A6381" w:rsidRPr="000C1446">
        <w:t xml:space="preserve">mediante auto inhibitorio del 8 de febrero de 1999, la </w:t>
      </w:r>
      <w:r w:rsidR="003A6381" w:rsidRPr="000C1446">
        <w:rPr>
          <w:lang w:val="es-MX"/>
        </w:rPr>
        <w:t xml:space="preserve">Sala de lo Administrativo de la Corte Suprema de Justicia </w:t>
      </w:r>
      <w:r w:rsidR="003A6381" w:rsidRPr="000C1446">
        <w:t>argumentó que perdió competencia para conocer de las resoluciones del Tribunal de Garantías Constitucionales, por cuanto para esa fecha ya había entrado en vigor un nuevo texto constitucional.</w:t>
      </w:r>
    </w:p>
    <w:p w:rsidR="00785FA4" w:rsidRPr="000C1446" w:rsidRDefault="00785FA4" w:rsidP="00071C55">
      <w:pPr>
        <w:pStyle w:val="Style2"/>
        <w:numPr>
          <w:ilvl w:val="0"/>
          <w:numId w:val="0"/>
        </w:numPr>
        <w:ind w:left="720"/>
      </w:pPr>
    </w:p>
    <w:p w:rsidR="00785FA4" w:rsidRPr="000C1446" w:rsidRDefault="00785FA4" w:rsidP="00071C55">
      <w:pPr>
        <w:pStyle w:val="Style2"/>
      </w:pPr>
      <w:r w:rsidRPr="000C1446">
        <w:t xml:space="preserve">La Comisión observa en primer lugar que el recurso </w:t>
      </w:r>
      <w:r w:rsidR="00147356" w:rsidRPr="000C1446">
        <w:t>ante el Tribunal de lo Contencioso Administrativo tardó casi cinco años en resolverse. Est</w:t>
      </w:r>
      <w:r w:rsidR="00F75DE4" w:rsidRPr="000C1446">
        <w:t xml:space="preserve">e lapso </w:t>
      </w:r>
      <w:r w:rsidR="00147356" w:rsidRPr="000C1446">
        <w:t xml:space="preserve">no ha sido </w:t>
      </w:r>
      <w:r w:rsidR="00F75DE4" w:rsidRPr="000C1446">
        <w:t>explicado</w:t>
      </w:r>
      <w:r w:rsidR="00147356" w:rsidRPr="000C1446">
        <w:t xml:space="preserve"> por el Estado mediante argumento alguno. </w:t>
      </w:r>
      <w:r w:rsidR="00996EED" w:rsidRPr="000C1446">
        <w:t xml:space="preserve">La Comisión destaca que </w:t>
      </w:r>
      <w:r w:rsidR="00E71D8C" w:rsidRPr="000C1446">
        <w:t>la decisión de</w:t>
      </w:r>
      <w:r w:rsidR="006B275F" w:rsidRPr="000C1446">
        <w:t>l</w:t>
      </w:r>
      <w:r w:rsidR="00E71D8C" w:rsidRPr="000C1446">
        <w:t xml:space="preserve"> Tribunal de lo Contencioso Administrativo se limitó a </w:t>
      </w:r>
      <w:r w:rsidR="006B275F" w:rsidRPr="000C1446">
        <w:t>establecer</w:t>
      </w:r>
      <w:r w:rsidR="00E71D8C" w:rsidRPr="000C1446">
        <w:t xml:space="preserve"> la improcedencia del recu</w:t>
      </w:r>
      <w:r w:rsidR="00DF112C" w:rsidRPr="000C1446">
        <w:t>r</w:t>
      </w:r>
      <w:r w:rsidR="00E71D8C" w:rsidRPr="000C1446">
        <w:t>so por “falta de jurisdicción”</w:t>
      </w:r>
      <w:r w:rsidR="00DF112C" w:rsidRPr="000C1446">
        <w:t xml:space="preserve"> tomando en cuenta la naturaleza del acto impugnado. En ese sentido, además de que el Estado no cumplió con la carga de justificar esta demora, la Comisión constata que no se trató de una determinación de fondo sino una mera declaratoria de improcedencia por cuestiones de competencia. En ese sentido, la Comisión considera que existió una demora injustificada en la tramitación y resolución del recurso ante el Tribunal de lo Contencioso Administrativo, en violación de la garantía de plazo razonable. </w:t>
      </w:r>
    </w:p>
    <w:p w:rsidR="00785FA4" w:rsidRPr="000C1446" w:rsidRDefault="00785FA4" w:rsidP="00071C55">
      <w:pPr>
        <w:pStyle w:val="ListParagraph"/>
        <w:rPr>
          <w:lang w:val="es-ES"/>
        </w:rPr>
      </w:pPr>
    </w:p>
    <w:p w:rsidR="000A4553" w:rsidRPr="000C1446" w:rsidRDefault="00F05B67" w:rsidP="00071C55">
      <w:pPr>
        <w:pStyle w:val="Style2"/>
      </w:pPr>
      <w:r w:rsidRPr="000C1446">
        <w:t>En segundo lugar, y en cuanto al recurso de inconstitucionalidad ante el entonces existente Tribunal de Garantías Constitucionales, l</w:t>
      </w:r>
      <w:r w:rsidR="00BF6030" w:rsidRPr="000C1446">
        <w:t>a Comisión nota que</w:t>
      </w:r>
      <w:r w:rsidR="003C3E8B" w:rsidRPr="000C1446">
        <w:t xml:space="preserve"> desde su interposición el 12 de febrero de 1993 hasta la primera resolución el 27 de diciembre de 1995, pasaron casi tres años que tampoco fueron </w:t>
      </w:r>
      <w:r w:rsidR="00F75DE4" w:rsidRPr="000C1446">
        <w:t>explicados</w:t>
      </w:r>
      <w:r w:rsidR="003C3E8B" w:rsidRPr="000C1446">
        <w:t xml:space="preserve"> por el Estado. La Comisión destaca que este era el mecanismo constitucional que tenía el señor Judge para obtener protección frente a</w:t>
      </w:r>
      <w:r w:rsidR="009E2E98" w:rsidRPr="000C1446">
        <w:t xml:space="preserve"> un Decreto Ley que consideraba violatorio de sus derechos fundamentales.</w:t>
      </w:r>
      <w:r w:rsidR="00FF74D1" w:rsidRPr="000C1446">
        <w:t xml:space="preserve"> En ese sentido, una duración de casi tres años para determinar la constitucionalidad o no de un acto jurídico, sin ninguna justificación por parte del Estado, no resulta compatible con los elementos de rapidez y sencillez establecidos en el artículo 25 de la Convención, ni con la garantía de plazo razonable establecida en el artículo 8.1 del mismo instrumento. </w:t>
      </w:r>
    </w:p>
    <w:p w:rsidR="000A4553" w:rsidRPr="000C1446" w:rsidRDefault="000A4553" w:rsidP="00071C55">
      <w:pPr>
        <w:pStyle w:val="ListParagraph"/>
        <w:rPr>
          <w:lang w:val="es-MX"/>
        </w:rPr>
      </w:pPr>
    </w:p>
    <w:p w:rsidR="009D197D" w:rsidRPr="000C1446" w:rsidRDefault="00777257" w:rsidP="00071C55">
      <w:pPr>
        <w:pStyle w:val="Style2"/>
      </w:pPr>
      <w:r w:rsidRPr="000C1446">
        <w:t xml:space="preserve">Además de ello, </w:t>
      </w:r>
      <w:r w:rsidR="00BF6030" w:rsidRPr="000C1446">
        <w:t xml:space="preserve">pasaron más de tres años entre la fecha de la </w:t>
      </w:r>
      <w:r w:rsidR="00B24938" w:rsidRPr="000C1446">
        <w:t>r</w:t>
      </w:r>
      <w:r w:rsidR="00BF6030" w:rsidRPr="000C1446">
        <w:t>esolución el 27 de diciembre de 199</w:t>
      </w:r>
      <w:r w:rsidR="005E5C2A" w:rsidRPr="000C1446">
        <w:t>5</w:t>
      </w:r>
      <w:r w:rsidR="00BF6030" w:rsidRPr="000C1446">
        <w:t xml:space="preserve"> y el auto inhibitorio de la </w:t>
      </w:r>
      <w:r w:rsidR="00BF6030" w:rsidRPr="000C1446">
        <w:rPr>
          <w:lang w:val="es-MX"/>
        </w:rPr>
        <w:t>Sala de lo Administrativo de la Corte Suprema de Justicia</w:t>
      </w:r>
      <w:r w:rsidR="00BF6030" w:rsidRPr="000C1446">
        <w:t xml:space="preserve">, sin que conste actuación alguna por parte de las autoridades jurisdiccionales. </w:t>
      </w:r>
      <w:r w:rsidR="00B24938" w:rsidRPr="000C1446">
        <w:t>Durante estos más de tres años y conforme al marco normativo aplicable, incluyendo las disposiciones transitorias informadas por el Estado en el marco de las reformas constitucionales, el señor James Judge tenía la expectativa legítima de contar con una revisión de la resolución del Tribunal de Garantías Constitucionales</w:t>
      </w:r>
      <w:r w:rsidR="00FD6123" w:rsidRPr="000C1446">
        <w:t>, la cual no tenía carácter de definitiva.</w:t>
      </w:r>
      <w:r w:rsidR="003D22A4" w:rsidRPr="000C1446">
        <w:t xml:space="preserve"> </w:t>
      </w:r>
    </w:p>
    <w:p w:rsidR="006C3589" w:rsidRPr="000C1446" w:rsidRDefault="006C3589" w:rsidP="00071C55">
      <w:pPr>
        <w:pStyle w:val="ListParagraph"/>
        <w:rPr>
          <w:lang w:val="es-CO"/>
        </w:rPr>
      </w:pPr>
    </w:p>
    <w:p w:rsidR="006C3589" w:rsidRPr="000C1446" w:rsidRDefault="006C3589" w:rsidP="00071C55">
      <w:pPr>
        <w:pStyle w:val="Style2"/>
      </w:pPr>
      <w:r w:rsidRPr="000C1446">
        <w:t xml:space="preserve">La Comisión considera que las demoras descritas en los párrafos precedentes permiten concluir que la totalidad de los recursos intentados por el señor Judge para hacer valer sus alegatos no cumplieron con la garantía de plazo razonable establecida en el artículo 8.1 de la Convención Americana, a la luz de los criterios constantes de la jurisprudencia interamericana reiterado </w:t>
      </w:r>
      <w:r w:rsidRPr="000C1446">
        <w:rPr>
          <w:i/>
        </w:rPr>
        <w:t xml:space="preserve">supra </w:t>
      </w:r>
      <w:r w:rsidRPr="000C1446">
        <w:t xml:space="preserve">párr. 97. </w:t>
      </w:r>
    </w:p>
    <w:p w:rsidR="009D197D" w:rsidRPr="000C1446" w:rsidRDefault="009D197D" w:rsidP="00071C55">
      <w:pPr>
        <w:pStyle w:val="ListParagraph"/>
        <w:rPr>
          <w:lang w:val="es-ES"/>
        </w:rPr>
      </w:pPr>
    </w:p>
    <w:p w:rsidR="00BF6030" w:rsidRPr="000C1446" w:rsidRDefault="003D22A4" w:rsidP="00071C55">
      <w:pPr>
        <w:pStyle w:val="Style2"/>
      </w:pPr>
      <w:r w:rsidRPr="000C1446">
        <w:t xml:space="preserve">Más aún, </w:t>
      </w:r>
      <w:r w:rsidR="00BF6030" w:rsidRPr="000C1446">
        <w:t>la Comisión advierte que, al día de la aprobación del presente informe, han pasado más de 23 años de</w:t>
      </w:r>
      <w:r w:rsidR="007F5596" w:rsidRPr="000C1446">
        <w:t>sde</w:t>
      </w:r>
      <w:r w:rsidR="00BF6030" w:rsidRPr="000C1446">
        <w:t xml:space="preserve"> que el señor James Judge presentó la acción de inconstitucionalidad sin que se cuente con una decisión definitiva respecto de la acción interpuesta.</w:t>
      </w:r>
      <w:r w:rsidR="007F5596" w:rsidRPr="000C1446">
        <w:t xml:space="preserve"> </w:t>
      </w:r>
      <w:r w:rsidR="0058527F" w:rsidRPr="000C1446">
        <w:t>El auto inhibitorio de 8 de febrero de 1999 se limita a indicar que</w:t>
      </w:r>
      <w:r w:rsidR="00660B06" w:rsidRPr="000C1446">
        <w:t xml:space="preserve"> la </w:t>
      </w:r>
      <w:r w:rsidR="00660B06" w:rsidRPr="000C1446">
        <w:rPr>
          <w:lang w:val="es-MX"/>
        </w:rPr>
        <w:t>Sala de lo Administrativo de la Corte Suprema de Justicia</w:t>
      </w:r>
      <w:r w:rsidR="0058527F" w:rsidRPr="000C1446">
        <w:t xml:space="preserve"> </w:t>
      </w:r>
      <w:r w:rsidR="00660B06" w:rsidRPr="000C1446">
        <w:t xml:space="preserve">perdió competencia para pronunciarse sobre causas conocidas por el Tribunal de Garantías Constitucionales, pero no precisa que dicha decisión tuviera carácter definitivo. </w:t>
      </w:r>
      <w:r w:rsidR="007B3C08" w:rsidRPr="000C1446">
        <w:t>En ese sentido, el señor James Judge no ha contado con una respuesta judicial a nivel interno con la seguridad jurídica que exige el der</w:t>
      </w:r>
      <w:r w:rsidR="00AD5ADE" w:rsidRPr="000C1446">
        <w:t>e</w:t>
      </w:r>
      <w:r w:rsidR="007B3C08" w:rsidRPr="000C1446">
        <w:t xml:space="preserve">cho a la protección judicial. </w:t>
      </w:r>
      <w:r w:rsidR="00420541" w:rsidRPr="000C1446">
        <w:t>L</w:t>
      </w:r>
      <w:r w:rsidR="00BF6030" w:rsidRPr="000C1446">
        <w:rPr>
          <w:bCs/>
          <w:lang w:val="es-MX"/>
        </w:rPr>
        <w:t xml:space="preserve">a Comisión considera que, independientemente de las reformas constitucionales que se dieron en los años 1995-1996 y en 1998, que modificaron las Altas Cortes en Ecuador, </w:t>
      </w:r>
      <w:r w:rsidR="00420541" w:rsidRPr="000C1446">
        <w:rPr>
          <w:bCs/>
          <w:lang w:val="es-MX"/>
        </w:rPr>
        <w:t xml:space="preserve">el derecho a la protección judicial imponía al Estado la obligación de disponer e </w:t>
      </w:r>
      <w:r w:rsidR="00BF6030" w:rsidRPr="000C1446">
        <w:rPr>
          <w:bCs/>
          <w:lang w:val="es-MX"/>
        </w:rPr>
        <w:t>implementar las medidas necesarias para garantizar que los procesos judiciales en trámite contaran con una resolución definitiva</w:t>
      </w:r>
      <w:r w:rsidR="00420541" w:rsidRPr="000C1446">
        <w:rPr>
          <w:bCs/>
          <w:lang w:val="es-MX"/>
        </w:rPr>
        <w:t xml:space="preserve"> que otorgara seguridad jurídica a las personas afectadas. </w:t>
      </w:r>
      <w:r w:rsidR="00256D35" w:rsidRPr="000C1446">
        <w:rPr>
          <w:bCs/>
          <w:lang w:val="es-MX"/>
        </w:rPr>
        <w:t xml:space="preserve"> </w:t>
      </w:r>
      <w:r w:rsidR="00BF6030" w:rsidRPr="000C1446">
        <w:rPr>
          <w:bCs/>
          <w:lang w:val="es-MX"/>
        </w:rPr>
        <w:t xml:space="preserve">  </w:t>
      </w:r>
    </w:p>
    <w:p w:rsidR="00BF6030" w:rsidRPr="000C1446" w:rsidRDefault="00BF6030" w:rsidP="00071C55">
      <w:pPr>
        <w:pStyle w:val="ListParagraph"/>
        <w:rPr>
          <w:bCs/>
          <w:sz w:val="20"/>
          <w:szCs w:val="20"/>
          <w:lang w:val="es-ES"/>
        </w:rPr>
      </w:pPr>
    </w:p>
    <w:p w:rsidR="00BF6030" w:rsidRPr="000C1446" w:rsidRDefault="00BF603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C1446">
        <w:rPr>
          <w:rFonts w:ascii="Cambria" w:hAnsi="Cambria"/>
          <w:sz w:val="20"/>
          <w:szCs w:val="20"/>
          <w:lang w:val="es-ES"/>
        </w:rPr>
        <w:t>En virtud de las anteriores consideraciones, la Comisión concluye que el Estado de Ecuador es responsable por la violación de los derechos a las garantías judiciales y a la protección judicial establecidos en los artículos 8.1 y 25 de la Convención Americana, en relación con las obligaciones establecidas en el artículo 1.1 del mismo instrumento, en perjuicio del señor James Judge</w:t>
      </w:r>
      <w:r w:rsidR="00AD5ADE" w:rsidRPr="000C1446">
        <w:rPr>
          <w:rFonts w:ascii="Cambria" w:hAnsi="Cambria"/>
          <w:sz w:val="20"/>
          <w:szCs w:val="20"/>
          <w:lang w:val="es-ES"/>
        </w:rPr>
        <w:t>.</w:t>
      </w:r>
      <w:r w:rsidRPr="000C1446">
        <w:rPr>
          <w:rFonts w:ascii="Cambria" w:hAnsi="Cambria"/>
          <w:sz w:val="20"/>
          <w:szCs w:val="20"/>
          <w:lang w:val="es-ES"/>
        </w:rPr>
        <w:t xml:space="preserve"> </w:t>
      </w:r>
    </w:p>
    <w:p w:rsidR="00BF6030" w:rsidRDefault="00BF6030" w:rsidP="00071C55">
      <w:pPr>
        <w:pStyle w:val="ListParagraph"/>
        <w:rPr>
          <w:sz w:val="20"/>
          <w:szCs w:val="20"/>
          <w:lang w:val="pt-BR"/>
        </w:rPr>
      </w:pPr>
    </w:p>
    <w:p w:rsidR="00B47F78" w:rsidRDefault="00B47F78" w:rsidP="00071C55">
      <w:pPr>
        <w:pStyle w:val="ListParagraph"/>
        <w:rPr>
          <w:sz w:val="20"/>
          <w:szCs w:val="20"/>
          <w:lang w:val="pt-BR"/>
        </w:rPr>
      </w:pPr>
    </w:p>
    <w:p w:rsidR="00B47F78" w:rsidRDefault="00B47F78" w:rsidP="00071C55">
      <w:pPr>
        <w:pStyle w:val="ListParagraph"/>
        <w:rPr>
          <w:sz w:val="20"/>
          <w:szCs w:val="20"/>
          <w:lang w:val="pt-BR"/>
        </w:rPr>
      </w:pPr>
    </w:p>
    <w:p w:rsidR="00B47F78" w:rsidRDefault="00B47F78" w:rsidP="00071C55">
      <w:pPr>
        <w:pStyle w:val="ListParagraph"/>
        <w:rPr>
          <w:sz w:val="20"/>
          <w:szCs w:val="20"/>
          <w:lang w:val="pt-BR"/>
        </w:rPr>
      </w:pPr>
    </w:p>
    <w:p w:rsidR="00B47F78" w:rsidRPr="00B47F78" w:rsidRDefault="00B47F78" w:rsidP="00071C55">
      <w:pPr>
        <w:pStyle w:val="ListParagraph"/>
        <w:rPr>
          <w:sz w:val="20"/>
          <w:szCs w:val="20"/>
          <w:lang w:val="pt-BR"/>
        </w:rPr>
      </w:pPr>
    </w:p>
    <w:p w:rsidR="00BF6030" w:rsidRPr="008C493F" w:rsidRDefault="009942B2" w:rsidP="00071C55">
      <w:pPr>
        <w:pStyle w:val="Heading1"/>
        <w:ind w:left="1440" w:hanging="720"/>
      </w:pPr>
      <w:bookmarkStart w:id="31" w:name="_Toc395298795"/>
      <w:bookmarkStart w:id="32" w:name="_Toc418254641"/>
      <w:bookmarkStart w:id="33" w:name="_Toc464481611"/>
      <w:r w:rsidRPr="008C493F">
        <w:t>INFORME</w:t>
      </w:r>
      <w:r w:rsidR="00DA7799">
        <w:t xml:space="preserve"> No.</w:t>
      </w:r>
      <w:r w:rsidRPr="008C493F">
        <w:t xml:space="preserve"> </w:t>
      </w:r>
      <w:r w:rsidR="001D7BF6" w:rsidRPr="008C493F">
        <w:t>45/16</w:t>
      </w:r>
      <w:bookmarkEnd w:id="31"/>
      <w:bookmarkEnd w:id="32"/>
      <w:bookmarkEnd w:id="33"/>
    </w:p>
    <w:p w:rsidR="00BF6030" w:rsidRPr="003F2827" w:rsidRDefault="00BF6030" w:rsidP="00071C55">
      <w:pPr>
        <w:ind w:firstLine="720"/>
        <w:jc w:val="both"/>
        <w:rPr>
          <w:rFonts w:ascii="Cambria" w:hAnsi="Cambria"/>
          <w:b/>
          <w:sz w:val="20"/>
          <w:szCs w:val="20"/>
          <w:highlight w:val="yellow"/>
          <w:lang w:val="es-ES"/>
        </w:rPr>
      </w:pPr>
    </w:p>
    <w:p w:rsidR="009942B2" w:rsidRPr="00B47F78" w:rsidRDefault="009942B2"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47F78">
        <w:rPr>
          <w:rFonts w:ascii="Cambria" w:hAnsi="Cambria"/>
          <w:sz w:val="20"/>
          <w:szCs w:val="20"/>
          <w:lang w:val="es-ES"/>
        </w:rPr>
        <w:t xml:space="preserve">El </w:t>
      </w:r>
      <w:r w:rsidR="001D7BF6" w:rsidRPr="00B47F78">
        <w:rPr>
          <w:rFonts w:ascii="Cambria" w:hAnsi="Cambria"/>
          <w:sz w:val="20"/>
          <w:szCs w:val="20"/>
          <w:lang w:val="es-ES"/>
        </w:rPr>
        <w:t>29 de noviembre de 2016</w:t>
      </w:r>
      <w:r w:rsidRPr="00B47F78">
        <w:rPr>
          <w:rFonts w:ascii="Cambria" w:hAnsi="Cambria"/>
          <w:sz w:val="20"/>
          <w:szCs w:val="20"/>
          <w:lang w:val="es-ES"/>
        </w:rPr>
        <w:t xml:space="preserve">, en el marco de su </w:t>
      </w:r>
      <w:r w:rsidR="001D7BF6" w:rsidRPr="00B47F78">
        <w:rPr>
          <w:rFonts w:ascii="Cambria" w:hAnsi="Cambria"/>
          <w:sz w:val="20"/>
          <w:szCs w:val="20"/>
          <w:lang w:val="es-ES"/>
        </w:rPr>
        <w:t xml:space="preserve">159 </w:t>
      </w:r>
      <w:r w:rsidRPr="00B47F78">
        <w:rPr>
          <w:rFonts w:ascii="Cambria" w:hAnsi="Cambria"/>
          <w:sz w:val="20"/>
          <w:szCs w:val="20"/>
          <w:lang w:val="es-ES"/>
        </w:rPr>
        <w:t xml:space="preserve">periodo </w:t>
      </w:r>
      <w:r w:rsidR="001D7BF6" w:rsidRPr="00B47F78">
        <w:rPr>
          <w:rFonts w:ascii="Cambria" w:hAnsi="Cambria"/>
          <w:sz w:val="20"/>
          <w:szCs w:val="20"/>
          <w:lang w:val="es-ES"/>
        </w:rPr>
        <w:t xml:space="preserve">ordinario </w:t>
      </w:r>
      <w:r w:rsidRPr="00B47F78">
        <w:rPr>
          <w:rFonts w:ascii="Cambria" w:hAnsi="Cambria"/>
          <w:sz w:val="20"/>
          <w:szCs w:val="20"/>
          <w:lang w:val="es-ES"/>
        </w:rPr>
        <w:t xml:space="preserve">de sesiones, la Comisión aprobó el informe de fondo </w:t>
      </w:r>
      <w:r w:rsidR="001D7BF6" w:rsidRPr="00B47F78">
        <w:rPr>
          <w:rFonts w:ascii="Cambria" w:hAnsi="Cambria"/>
          <w:sz w:val="20"/>
          <w:szCs w:val="20"/>
          <w:lang w:val="es-ES"/>
        </w:rPr>
        <w:t>45/16</w:t>
      </w:r>
      <w:r w:rsidRPr="00B47F78">
        <w:rPr>
          <w:rFonts w:ascii="Cambria" w:hAnsi="Cambria"/>
          <w:sz w:val="20"/>
          <w:szCs w:val="20"/>
          <w:lang w:val="es-ES"/>
        </w:rPr>
        <w:t>, en el que formuló la siguiente recomendación al Estado:</w:t>
      </w:r>
    </w:p>
    <w:p w:rsidR="009942B2" w:rsidRDefault="009942B2"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3F2827" w:rsidRDefault="003F2827" w:rsidP="00071C55">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0C1446">
        <w:rPr>
          <w:rFonts w:ascii="Cambria" w:hAnsi="Cambria"/>
          <w:sz w:val="20"/>
          <w:szCs w:val="20"/>
          <w:lang w:val="es-ES"/>
        </w:rPr>
        <w:t xml:space="preserve">Adoptar las medidas necesarias para que el señor James Judge pueda contar con una decisión definitiva en el marco del recurso de inconstitucionalidad </w:t>
      </w:r>
      <w:r>
        <w:rPr>
          <w:rFonts w:ascii="Cambria" w:hAnsi="Cambria"/>
          <w:sz w:val="20"/>
          <w:szCs w:val="20"/>
          <w:lang w:val="es-ES"/>
        </w:rPr>
        <w:t xml:space="preserve">que presentó </w:t>
      </w:r>
      <w:r w:rsidRPr="000C1446">
        <w:rPr>
          <w:rFonts w:ascii="Cambria" w:hAnsi="Cambria"/>
          <w:sz w:val="20"/>
          <w:szCs w:val="20"/>
          <w:lang w:val="es-ES"/>
        </w:rPr>
        <w:t xml:space="preserve">en 1993. </w:t>
      </w:r>
    </w:p>
    <w:p w:rsidR="003F2827" w:rsidRDefault="003F2827" w:rsidP="00071C55">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sz w:val="20"/>
          <w:szCs w:val="20"/>
          <w:lang w:val="es-ES"/>
        </w:rPr>
      </w:pPr>
    </w:p>
    <w:p w:rsidR="003F2827" w:rsidRPr="008C493F" w:rsidRDefault="003F2827" w:rsidP="00071C55">
      <w:pPr>
        <w:pStyle w:val="Heading1"/>
        <w:ind w:left="1440" w:hanging="720"/>
      </w:pPr>
      <w:r w:rsidRPr="008C493F">
        <w:t>ACC</w:t>
      </w:r>
      <w:r w:rsidR="001D7BF6" w:rsidRPr="008C493F">
        <w:t>IONES POSTERIORES AL INFORME</w:t>
      </w:r>
      <w:r w:rsidR="00DA7799">
        <w:t xml:space="preserve"> No.</w:t>
      </w:r>
      <w:r w:rsidR="001D7BF6" w:rsidRPr="008C493F">
        <w:t xml:space="preserve"> 45/16</w:t>
      </w:r>
    </w:p>
    <w:p w:rsidR="003F2827" w:rsidRPr="006C68FB" w:rsidRDefault="003F2827"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0"/>
          <w:szCs w:val="20"/>
          <w:highlight w:val="yellow"/>
          <w:lang w:val="es-ES"/>
        </w:rPr>
      </w:pPr>
    </w:p>
    <w:p w:rsidR="003F2827" w:rsidRPr="00B47F78" w:rsidRDefault="003F2827"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47F78">
        <w:rPr>
          <w:rFonts w:ascii="Cambria" w:hAnsi="Cambria"/>
          <w:sz w:val="20"/>
          <w:szCs w:val="20"/>
          <w:lang w:val="es-ES"/>
        </w:rPr>
        <w:t xml:space="preserve">El </w:t>
      </w:r>
      <w:r w:rsidR="001D7BF6" w:rsidRPr="00B47F78">
        <w:rPr>
          <w:rFonts w:ascii="Cambria" w:hAnsi="Cambria"/>
          <w:sz w:val="20"/>
          <w:szCs w:val="20"/>
          <w:lang w:val="es-ES"/>
        </w:rPr>
        <w:t>4 de enero de 2017</w:t>
      </w:r>
      <w:r w:rsidRPr="00B47F78">
        <w:rPr>
          <w:rFonts w:ascii="Cambria" w:hAnsi="Cambria"/>
          <w:sz w:val="20"/>
          <w:szCs w:val="20"/>
          <w:lang w:val="es-ES"/>
        </w:rPr>
        <w:t xml:space="preserve"> la Comisión trasladó el informe de fondo al Estado, solicitando que en el plazo de dos meses proporcionara información sobre las medidas tomadas para cumplir con la recomendaci</w:t>
      </w:r>
      <w:r w:rsidR="001D7BF6" w:rsidRPr="00B47F78">
        <w:rPr>
          <w:rFonts w:ascii="Cambria" w:hAnsi="Cambria"/>
          <w:sz w:val="20"/>
          <w:szCs w:val="20"/>
          <w:lang w:val="es-ES"/>
        </w:rPr>
        <w:t>ón</w:t>
      </w:r>
      <w:r w:rsidRPr="00B47F78">
        <w:rPr>
          <w:rFonts w:ascii="Cambria" w:hAnsi="Cambria"/>
          <w:sz w:val="20"/>
          <w:szCs w:val="20"/>
          <w:lang w:val="es-ES"/>
        </w:rPr>
        <w:t xml:space="preserve"> contenida en el informe.  </w:t>
      </w:r>
    </w:p>
    <w:p w:rsidR="003F2827" w:rsidRPr="00B47F78" w:rsidRDefault="003F2827"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3F2827" w:rsidRPr="00B47F78" w:rsidRDefault="003F2827"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47F78">
        <w:rPr>
          <w:rFonts w:ascii="Cambria" w:hAnsi="Cambria"/>
          <w:sz w:val="20"/>
          <w:szCs w:val="20"/>
          <w:lang w:val="es-ES"/>
        </w:rPr>
        <w:t xml:space="preserve">El </w:t>
      </w:r>
      <w:r w:rsidR="00030EF1" w:rsidRPr="00B47F78">
        <w:rPr>
          <w:rFonts w:ascii="Cambria" w:hAnsi="Cambria"/>
          <w:sz w:val="20"/>
          <w:szCs w:val="20"/>
          <w:lang w:val="es-ES"/>
        </w:rPr>
        <w:t xml:space="preserve">3 de marzo de 2017, el Estado </w:t>
      </w:r>
      <w:r w:rsidRPr="00B47F78">
        <w:rPr>
          <w:rFonts w:ascii="Cambria" w:hAnsi="Cambria"/>
          <w:sz w:val="20"/>
          <w:szCs w:val="20"/>
          <w:lang w:val="es-ES"/>
        </w:rPr>
        <w:t>informó a la Comisión qu</w:t>
      </w:r>
      <w:r w:rsidR="00030EF1" w:rsidRPr="00B47F78">
        <w:rPr>
          <w:rFonts w:ascii="Cambria" w:hAnsi="Cambria"/>
          <w:sz w:val="20"/>
          <w:szCs w:val="20"/>
          <w:lang w:val="es-ES"/>
        </w:rPr>
        <w:t>e</w:t>
      </w:r>
      <w:r w:rsidR="00D6060E" w:rsidRPr="00B47F78">
        <w:rPr>
          <w:rFonts w:ascii="Cambria" w:hAnsi="Cambria"/>
          <w:sz w:val="20"/>
          <w:szCs w:val="20"/>
          <w:lang w:val="es-ES"/>
        </w:rPr>
        <w:t xml:space="preserve"> el informe de fondo fue puesto en conocimiento de la Corte Constitucional Ecuatoriana y que ésta convocó a una sesión del pleno para analizar el contenido </w:t>
      </w:r>
      <w:r w:rsidR="00D6060E" w:rsidRPr="00B47F78">
        <w:rPr>
          <w:rFonts w:asciiTheme="majorHAnsi" w:hAnsiTheme="majorHAnsi"/>
          <w:sz w:val="20"/>
          <w:szCs w:val="20"/>
          <w:lang w:val="es-ES"/>
        </w:rPr>
        <w:t xml:space="preserve">de dicho informe. Agregó que la sesión plenaria se llevó a cabo el 9 de febrero de 2017 y se consideraron los siguientes antecedentes: </w:t>
      </w:r>
    </w:p>
    <w:p w:rsidR="00D6060E" w:rsidRPr="00B47F78" w:rsidRDefault="00D6060E" w:rsidP="00071C55">
      <w:pPr>
        <w:pStyle w:val="ListParagraph"/>
        <w:rPr>
          <w:rFonts w:asciiTheme="majorHAnsi" w:hAnsiTheme="majorHAnsi"/>
          <w:sz w:val="20"/>
          <w:szCs w:val="20"/>
          <w:lang w:val="es-ES"/>
        </w:rPr>
      </w:pPr>
    </w:p>
    <w:p w:rsidR="00D6060E" w:rsidRPr="00B47F78" w:rsidRDefault="00D6060E"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ES"/>
        </w:rPr>
      </w:pPr>
      <w:r w:rsidRPr="00B47F78">
        <w:rPr>
          <w:rFonts w:asciiTheme="majorHAnsi" w:hAnsiTheme="majorHAnsi"/>
          <w:sz w:val="20"/>
          <w:szCs w:val="20"/>
          <w:lang w:val="es-ES"/>
        </w:rPr>
        <w:t xml:space="preserve">- </w:t>
      </w:r>
      <w:r w:rsidRPr="00B47F78">
        <w:rPr>
          <w:rFonts w:asciiTheme="majorHAnsi" w:hAnsiTheme="majorHAnsi"/>
          <w:sz w:val="20"/>
          <w:szCs w:val="20"/>
          <w:lang w:val="es-ES"/>
        </w:rPr>
        <w:tab/>
        <w:t>La demanda de inconstitucionalidad presentada por el señor James Judge ante el Tribunal de Garantías Constitucionales, el 12 de febrero de 1993, en contra del Decreto Ejecutivo No. 320</w:t>
      </w:r>
      <w:r w:rsidR="001651EB" w:rsidRPr="00B47F78">
        <w:rPr>
          <w:rFonts w:asciiTheme="majorHAnsi" w:hAnsiTheme="majorHAnsi"/>
          <w:sz w:val="20"/>
          <w:szCs w:val="20"/>
          <w:lang w:val="es-ES"/>
        </w:rPr>
        <w:t>, abriéndose la causa No. 26-93.</w:t>
      </w:r>
    </w:p>
    <w:p w:rsidR="00D6060E" w:rsidRPr="00B47F78" w:rsidRDefault="00D6060E"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ES"/>
        </w:rPr>
      </w:pPr>
    </w:p>
    <w:p w:rsidR="00B5325A" w:rsidRPr="00B47F78" w:rsidRDefault="00D6060E" w:rsidP="00071C5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ES"/>
        </w:rPr>
      </w:pPr>
      <w:r w:rsidRPr="00B47F78">
        <w:rPr>
          <w:rFonts w:asciiTheme="majorHAnsi" w:hAnsiTheme="majorHAnsi"/>
          <w:sz w:val="20"/>
          <w:szCs w:val="20"/>
          <w:lang w:val="es-ES"/>
        </w:rPr>
        <w:t>-</w:t>
      </w:r>
      <w:r w:rsidRPr="00B47F78">
        <w:rPr>
          <w:rFonts w:asciiTheme="majorHAnsi" w:hAnsiTheme="majorHAnsi"/>
          <w:sz w:val="20"/>
          <w:szCs w:val="20"/>
          <w:lang w:val="es-ES"/>
        </w:rPr>
        <w:tab/>
      </w:r>
      <w:r w:rsidR="00B85FB8" w:rsidRPr="00B47F78">
        <w:rPr>
          <w:rFonts w:asciiTheme="majorHAnsi" w:hAnsiTheme="majorHAnsi"/>
          <w:sz w:val="20"/>
          <w:szCs w:val="20"/>
          <w:lang w:val="es-ES"/>
        </w:rPr>
        <w:t xml:space="preserve">La resolución del </w:t>
      </w:r>
      <w:r w:rsidRPr="00B47F78">
        <w:rPr>
          <w:rFonts w:asciiTheme="majorHAnsi" w:hAnsiTheme="majorHAnsi"/>
          <w:sz w:val="20"/>
          <w:szCs w:val="20"/>
          <w:lang w:val="es-ES"/>
        </w:rPr>
        <w:t xml:space="preserve">27 de diciembre de 1995, </w:t>
      </w:r>
      <w:r w:rsidR="00B85FB8" w:rsidRPr="00B47F78">
        <w:rPr>
          <w:rFonts w:asciiTheme="majorHAnsi" w:hAnsiTheme="majorHAnsi"/>
          <w:sz w:val="20"/>
          <w:szCs w:val="20"/>
          <w:lang w:val="es-ES"/>
        </w:rPr>
        <w:t xml:space="preserve">mediante la que </w:t>
      </w:r>
      <w:r w:rsidRPr="00B47F78">
        <w:rPr>
          <w:rFonts w:asciiTheme="majorHAnsi" w:hAnsiTheme="majorHAnsi"/>
          <w:sz w:val="20"/>
          <w:szCs w:val="20"/>
          <w:lang w:val="es-ES"/>
        </w:rPr>
        <w:t>el Tribunal de Garantías Constitucionales resolvió rechazar la demanda de inconstitucional</w:t>
      </w:r>
      <w:r w:rsidR="004945DC" w:rsidRPr="00B47F78">
        <w:rPr>
          <w:rFonts w:asciiTheme="majorHAnsi" w:hAnsiTheme="majorHAnsi"/>
          <w:sz w:val="20"/>
          <w:szCs w:val="20"/>
          <w:lang w:val="es-ES"/>
        </w:rPr>
        <w:t xml:space="preserve"> por no encontrar que el Decreto contradijera el texto constitucional. </w:t>
      </w:r>
      <w:r w:rsidR="00B85FB8" w:rsidRPr="00B47F78">
        <w:rPr>
          <w:rFonts w:asciiTheme="majorHAnsi" w:hAnsiTheme="majorHAnsi"/>
          <w:sz w:val="20"/>
          <w:szCs w:val="20"/>
          <w:lang w:val="es-ES"/>
        </w:rPr>
        <w:t xml:space="preserve">Así como la resolución del mismo Tribunal de </w:t>
      </w:r>
      <w:r w:rsidR="00B5325A" w:rsidRPr="00B47F78">
        <w:rPr>
          <w:rFonts w:asciiTheme="majorHAnsi" w:hAnsiTheme="majorHAnsi"/>
          <w:sz w:val="20"/>
          <w:szCs w:val="20"/>
          <w:lang w:val="es-ES"/>
        </w:rPr>
        <w:t>someter su resolución a la Sala Constitucional de la Corte Suprema de Justicia, por ser un procedimiento de oficio, que no respondía a ningún recurso presentado por las partes procesales, así dispuesto en la Constitución entonces vigente.</w:t>
      </w:r>
    </w:p>
    <w:p w:rsidR="00B5325A" w:rsidRPr="00B47F78" w:rsidRDefault="00B5325A" w:rsidP="00071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hAnsiTheme="majorHAnsi"/>
          <w:sz w:val="20"/>
          <w:szCs w:val="20"/>
          <w:lang w:val="es-ES"/>
        </w:rPr>
      </w:pPr>
    </w:p>
    <w:p w:rsidR="004945DC" w:rsidRPr="00B47F78" w:rsidRDefault="00B5325A" w:rsidP="00071C55">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s-ES"/>
        </w:rPr>
      </w:pPr>
      <w:r w:rsidRPr="00B47F78">
        <w:rPr>
          <w:rFonts w:asciiTheme="majorHAnsi" w:hAnsiTheme="majorHAnsi"/>
          <w:sz w:val="20"/>
          <w:szCs w:val="20"/>
          <w:lang w:val="es-ES"/>
        </w:rPr>
        <w:t xml:space="preserve"> </w:t>
      </w:r>
      <w:r w:rsidR="00B85FB8" w:rsidRPr="00B47F78">
        <w:rPr>
          <w:rFonts w:asciiTheme="majorHAnsi" w:hAnsiTheme="majorHAnsi"/>
          <w:sz w:val="20"/>
          <w:szCs w:val="20"/>
          <w:lang w:val="es-ES"/>
        </w:rPr>
        <w:t xml:space="preserve">La reforma constitucional de </w:t>
      </w:r>
      <w:r w:rsidRPr="00B47F78">
        <w:rPr>
          <w:rFonts w:asciiTheme="majorHAnsi" w:hAnsiTheme="majorHAnsi"/>
          <w:sz w:val="20"/>
          <w:szCs w:val="20"/>
          <w:lang w:val="es-ES"/>
        </w:rPr>
        <w:t xml:space="preserve">junio de 1996 mediante la cual se creó el Tribunal Constitucional y se eliminó la Sala Constitucional de la Corte Suprema de Justicia, </w:t>
      </w:r>
      <w:r w:rsidR="00B85FB8" w:rsidRPr="00B47F78">
        <w:rPr>
          <w:rFonts w:asciiTheme="majorHAnsi" w:hAnsiTheme="majorHAnsi"/>
          <w:sz w:val="20"/>
          <w:szCs w:val="20"/>
          <w:lang w:val="es-ES"/>
        </w:rPr>
        <w:t xml:space="preserve">tomando en cuenta </w:t>
      </w:r>
      <w:r w:rsidRPr="00B47F78">
        <w:rPr>
          <w:rFonts w:asciiTheme="majorHAnsi" w:hAnsiTheme="majorHAnsi"/>
          <w:sz w:val="20"/>
          <w:szCs w:val="20"/>
          <w:lang w:val="es-ES"/>
        </w:rPr>
        <w:t xml:space="preserve">que todos los procesos que se encontraban sustanciándose en dicha Sala, pasaron a conocimiento de la Sala de lo Contencioso Administrativo de la Corte Suprema de Justicia, hasta que el Tribunal Constitucional se integrara. </w:t>
      </w:r>
    </w:p>
    <w:p w:rsidR="00B5325A" w:rsidRPr="00B47F78" w:rsidRDefault="00B5325A" w:rsidP="00071C55">
      <w:pPr>
        <w:pStyle w:val="ListParagraph"/>
        <w:ind w:right="720"/>
        <w:rPr>
          <w:rFonts w:asciiTheme="majorHAnsi" w:hAnsiTheme="majorHAnsi"/>
          <w:sz w:val="20"/>
          <w:szCs w:val="20"/>
          <w:lang w:val="es-ES"/>
        </w:rPr>
      </w:pPr>
    </w:p>
    <w:p w:rsidR="00B5325A" w:rsidRPr="00B47F78" w:rsidRDefault="00B85FB8" w:rsidP="00071C55">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hAnsiTheme="majorHAnsi"/>
          <w:sz w:val="20"/>
          <w:szCs w:val="20"/>
          <w:lang w:val="es-ES"/>
        </w:rPr>
      </w:pPr>
      <w:r w:rsidRPr="00B47F78">
        <w:rPr>
          <w:rFonts w:asciiTheme="majorHAnsi" w:hAnsiTheme="majorHAnsi"/>
          <w:sz w:val="20"/>
          <w:szCs w:val="20"/>
          <w:lang w:val="es-ES"/>
        </w:rPr>
        <w:t>Que e</w:t>
      </w:r>
      <w:r w:rsidR="00B5325A" w:rsidRPr="00B47F78">
        <w:rPr>
          <w:rFonts w:asciiTheme="majorHAnsi" w:hAnsiTheme="majorHAnsi"/>
          <w:sz w:val="20"/>
          <w:szCs w:val="20"/>
          <w:lang w:val="es-ES"/>
        </w:rPr>
        <w:t xml:space="preserve">l 11 de agosto de 1998 entró en vigencia un nuevo texto constitucional, con el que se derogó la Constitución que se encontraba vigente hasta antes de agosto de 1998 y, con ella, la disposición transitoria cuarta que disponía que los procesos que se encontraban sustanciándose en la Sala Constitucional de la Corte Suprema de Justicia, pasaran a conocimiento de la Sala de lo Contencioso Administrativo de la misma Corte Suprema, por lo que con la derogación, la Sala de lo Contencioso Administrativo perdió competencia para seguir conociendo dichos procesos. </w:t>
      </w:r>
      <w:r w:rsidR="006F3A0A" w:rsidRPr="00B47F78">
        <w:rPr>
          <w:rFonts w:asciiTheme="majorHAnsi" w:hAnsiTheme="majorHAnsi"/>
          <w:sz w:val="20"/>
          <w:szCs w:val="20"/>
          <w:lang w:val="es-ES"/>
        </w:rPr>
        <w:t xml:space="preserve"> </w:t>
      </w:r>
      <w:r w:rsidRPr="00B47F78">
        <w:rPr>
          <w:rFonts w:asciiTheme="majorHAnsi" w:hAnsiTheme="majorHAnsi"/>
          <w:sz w:val="20"/>
          <w:szCs w:val="20"/>
          <w:lang w:val="es-ES"/>
        </w:rPr>
        <w:t>Que, e</w:t>
      </w:r>
      <w:r w:rsidR="006F3A0A" w:rsidRPr="00B47F78">
        <w:rPr>
          <w:rFonts w:asciiTheme="majorHAnsi" w:hAnsiTheme="majorHAnsi"/>
          <w:sz w:val="20"/>
          <w:szCs w:val="20"/>
          <w:lang w:val="es-ES"/>
        </w:rPr>
        <w:t>n virtud de ello, mediante providencia del 8 de febrero de 1999, se inhibió de seguir conociendo del proceso vinculado a la demanda de inconstitucionalidad interpuesta por el señor James Judge</w:t>
      </w:r>
      <w:r w:rsidR="00B12B6D" w:rsidRPr="00B47F78">
        <w:rPr>
          <w:rFonts w:asciiTheme="majorHAnsi" w:hAnsiTheme="majorHAnsi"/>
          <w:sz w:val="20"/>
          <w:szCs w:val="20"/>
          <w:lang w:val="es-ES"/>
        </w:rPr>
        <w:t>, por falta de competencia</w:t>
      </w:r>
      <w:r w:rsidR="006F3A0A" w:rsidRPr="00B47F78">
        <w:rPr>
          <w:rFonts w:asciiTheme="majorHAnsi" w:hAnsiTheme="majorHAnsi"/>
          <w:sz w:val="20"/>
          <w:szCs w:val="20"/>
          <w:lang w:val="es-ES"/>
        </w:rPr>
        <w:t xml:space="preserve">. </w:t>
      </w:r>
    </w:p>
    <w:p w:rsidR="006F3A0A" w:rsidRPr="00B47F78" w:rsidRDefault="006F3A0A" w:rsidP="00071C55">
      <w:pPr>
        <w:pStyle w:val="ListParagraph"/>
        <w:ind w:right="720"/>
        <w:rPr>
          <w:rFonts w:asciiTheme="majorHAnsi" w:hAnsiTheme="majorHAnsi"/>
          <w:sz w:val="20"/>
          <w:szCs w:val="20"/>
          <w:lang w:val="es-ES"/>
        </w:rPr>
      </w:pPr>
    </w:p>
    <w:p w:rsidR="006F3A0A" w:rsidRPr="00B47F78" w:rsidRDefault="006F3A0A"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47F78">
        <w:rPr>
          <w:rFonts w:asciiTheme="majorHAnsi" w:hAnsiTheme="majorHAnsi"/>
          <w:sz w:val="20"/>
          <w:szCs w:val="20"/>
          <w:lang w:val="es-ES"/>
        </w:rPr>
        <w:t xml:space="preserve">El Estado informó que el Pleno de la Corte Constitucional, tras analizar dichos antecedentes, en sesión del 9 de febrero de 2017, resolvió: </w:t>
      </w:r>
    </w:p>
    <w:p w:rsidR="001651EB" w:rsidRPr="00B47F78" w:rsidRDefault="001651EB" w:rsidP="00071C5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rPr>
          <w:rFonts w:asciiTheme="majorHAnsi" w:hAnsiTheme="majorHAnsi"/>
          <w:sz w:val="20"/>
          <w:szCs w:val="20"/>
          <w:lang w:val="es-ES"/>
        </w:rPr>
      </w:pPr>
    </w:p>
    <w:p w:rsidR="009B45F9" w:rsidRPr="00B47F78" w:rsidRDefault="001651EB" w:rsidP="00071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sz w:val="20"/>
          <w:szCs w:val="20"/>
          <w:lang w:val="es-ES"/>
        </w:rPr>
      </w:pPr>
      <w:r w:rsidRPr="00B47F78">
        <w:rPr>
          <w:rFonts w:asciiTheme="majorHAnsi" w:hAnsiTheme="majorHAnsi"/>
          <w:sz w:val="20"/>
          <w:szCs w:val="20"/>
          <w:lang w:val="es-ES"/>
        </w:rPr>
        <w:t xml:space="preserve">En la causa No. 26-93 no existe ninguna diligencia o recurso pendiente, estimando que la Sala de lo Contencioso Administrativo de la Corte Suprema de Justicia resolvió la misma emitiendo un auto inhibitorio que deja firme la decisión emitida el 15 de enero de 1996 [sic], por el Tribunal de Garantías Constitucionales y por tanto, esta es la decisión definitiva en la causa No. 26-93. </w:t>
      </w:r>
    </w:p>
    <w:p w:rsidR="009B45F9" w:rsidRPr="00B47F78" w:rsidRDefault="009B45F9" w:rsidP="00071C55">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sz w:val="20"/>
          <w:szCs w:val="20"/>
          <w:lang w:val="es-ES"/>
        </w:rPr>
      </w:pPr>
    </w:p>
    <w:p w:rsidR="001651EB" w:rsidRPr="00B47F78" w:rsidRDefault="001651EB" w:rsidP="00071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sz w:val="20"/>
          <w:szCs w:val="20"/>
          <w:lang w:val="es-ES"/>
        </w:rPr>
      </w:pPr>
      <w:r w:rsidRPr="00B47F78">
        <w:rPr>
          <w:rFonts w:asciiTheme="majorHAnsi" w:hAnsiTheme="majorHAnsi"/>
          <w:sz w:val="20"/>
          <w:szCs w:val="20"/>
          <w:lang w:val="es-ES"/>
        </w:rPr>
        <w:t xml:space="preserve">De acuerdo al vigente marco constitucional que está dado por la actual Constitución de la República de 2008, la Corte Constitucional no tiene competencia de revisar las decisiones emitidas por el Tribunal de Garantías Constitucionales – después el control de constitucionalidad se lo realiza en una única instancia ante el Pleno de la Corte Constitucional.  </w:t>
      </w:r>
    </w:p>
    <w:p w:rsidR="006F3A0A" w:rsidRPr="00B47F78" w:rsidRDefault="006F3A0A"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DB3204" w:rsidRPr="00B47F78" w:rsidRDefault="003F2827"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47F78">
        <w:rPr>
          <w:rFonts w:asciiTheme="majorHAnsi" w:hAnsiTheme="majorHAnsi"/>
          <w:sz w:val="20"/>
          <w:szCs w:val="20"/>
          <w:lang w:val="es-ES"/>
        </w:rPr>
        <w:t xml:space="preserve">El </w:t>
      </w:r>
      <w:r w:rsidR="001651EB" w:rsidRPr="00B47F78">
        <w:rPr>
          <w:rFonts w:asciiTheme="majorHAnsi" w:hAnsiTheme="majorHAnsi"/>
          <w:sz w:val="20"/>
          <w:szCs w:val="20"/>
          <w:lang w:val="es-ES"/>
        </w:rPr>
        <w:t>Estado reiteró que, en ese sentido, la Corte Constitucional como entidad competente, tras analizar en su integridad el expediente No. 26-93, estableció que la decisión emitida por el Tribunal de Garantías Constitucionales el 27 de diciembre de 1995, mediante la cual se rechazó la demanda de inconstitucionalidad</w:t>
      </w:r>
      <w:r w:rsidR="00DB3204" w:rsidRPr="00B47F78">
        <w:rPr>
          <w:rFonts w:asciiTheme="majorHAnsi" w:hAnsiTheme="majorHAnsi"/>
          <w:sz w:val="20"/>
          <w:szCs w:val="20"/>
          <w:lang w:val="es-ES"/>
        </w:rPr>
        <w:t xml:space="preserve">, es la decisión definitiva. </w:t>
      </w:r>
    </w:p>
    <w:p w:rsidR="00DB3204" w:rsidRPr="00B47F78" w:rsidRDefault="00DB3204"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DB3204" w:rsidRPr="00B47F78" w:rsidRDefault="00DB3204"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47F78">
        <w:rPr>
          <w:rFonts w:asciiTheme="majorHAnsi" w:hAnsiTheme="majorHAnsi"/>
          <w:sz w:val="20"/>
          <w:szCs w:val="20"/>
          <w:lang w:val="es-ES"/>
        </w:rPr>
        <w:t xml:space="preserve">El Estado consideró haber dado cumplimiento a la recomendación contenida en el Informe de Fondo No. 45/16 y, en tal sentido, solicitó a la Comisión que luego de declarar el cumplimiento estatal, archive el </w:t>
      </w:r>
      <w:r w:rsidR="00B85FB8" w:rsidRPr="00B47F78">
        <w:rPr>
          <w:rFonts w:asciiTheme="majorHAnsi" w:hAnsiTheme="majorHAnsi"/>
          <w:sz w:val="20"/>
          <w:szCs w:val="20"/>
          <w:lang w:val="es-ES"/>
        </w:rPr>
        <w:t xml:space="preserve">presente </w:t>
      </w:r>
      <w:r w:rsidRPr="00B47F78">
        <w:rPr>
          <w:rFonts w:asciiTheme="majorHAnsi" w:hAnsiTheme="majorHAnsi"/>
          <w:sz w:val="20"/>
          <w:szCs w:val="20"/>
          <w:lang w:val="es-ES"/>
        </w:rPr>
        <w:t xml:space="preserve">caso. </w:t>
      </w:r>
    </w:p>
    <w:p w:rsidR="00DB3204" w:rsidRPr="00B47F78" w:rsidRDefault="00DB3204" w:rsidP="00071C55">
      <w:pPr>
        <w:pStyle w:val="ListParagraph"/>
        <w:rPr>
          <w:rFonts w:asciiTheme="majorHAnsi" w:hAnsiTheme="majorHAnsi"/>
          <w:sz w:val="20"/>
          <w:szCs w:val="20"/>
          <w:lang w:val="es-ES"/>
        </w:rPr>
      </w:pPr>
    </w:p>
    <w:p w:rsidR="00254A16" w:rsidRPr="00B47F78" w:rsidRDefault="002E01AD"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47F78">
        <w:rPr>
          <w:rFonts w:asciiTheme="majorHAnsi" w:hAnsiTheme="majorHAnsi"/>
          <w:sz w:val="20"/>
          <w:szCs w:val="20"/>
          <w:lang w:val="es-ES"/>
        </w:rPr>
        <w:t>El 17 de marzo de 2017, l</w:t>
      </w:r>
      <w:r w:rsidRPr="00B47F78">
        <w:rPr>
          <w:rFonts w:asciiTheme="majorHAnsi" w:hAnsiTheme="majorHAnsi"/>
          <w:sz w:val="20"/>
          <w:szCs w:val="20"/>
          <w:lang w:val="es-CO"/>
        </w:rPr>
        <w:t>a Comisión trasladó la información del Estado al peticionario, solicitándole sus observaciones en el plazo de 5 días. El peticionario presentó comunicación a la Comisión el 21 de marzo de 2017</w:t>
      </w:r>
      <w:r w:rsidR="00254A16" w:rsidRPr="00B47F78">
        <w:rPr>
          <w:rFonts w:asciiTheme="majorHAnsi" w:hAnsiTheme="majorHAnsi"/>
          <w:sz w:val="20"/>
          <w:szCs w:val="20"/>
          <w:lang w:val="es-CO"/>
        </w:rPr>
        <w:t>; sin embargo, no se refirió a lo informado sobre el Estado sino que reiteró las observaciones presentadas durante el trámite de fondo</w:t>
      </w:r>
      <w:r w:rsidRPr="00B47F78">
        <w:rPr>
          <w:rFonts w:asciiTheme="majorHAnsi" w:hAnsiTheme="majorHAnsi"/>
          <w:sz w:val="20"/>
          <w:szCs w:val="20"/>
          <w:lang w:val="es-CO"/>
        </w:rPr>
        <w:t>.</w:t>
      </w:r>
    </w:p>
    <w:p w:rsidR="00254A16" w:rsidRPr="00B47F78" w:rsidRDefault="00254A16" w:rsidP="00071C55">
      <w:pPr>
        <w:pStyle w:val="ListParagraph"/>
        <w:rPr>
          <w:rFonts w:asciiTheme="majorHAnsi" w:hAnsiTheme="majorHAnsi"/>
          <w:sz w:val="20"/>
          <w:szCs w:val="20"/>
          <w:lang w:val="es-CO"/>
        </w:rPr>
      </w:pPr>
    </w:p>
    <w:p w:rsidR="003F2827" w:rsidRPr="00B47F78" w:rsidRDefault="003F2827" w:rsidP="00071C55">
      <w:pPr>
        <w:pStyle w:val="Heading1"/>
        <w:ind w:firstLine="720"/>
      </w:pPr>
      <w:r w:rsidRPr="00B47F78">
        <w:t xml:space="preserve">CONSIDERACIONES Y RECOMENDACIONES FINALES: </w:t>
      </w:r>
    </w:p>
    <w:p w:rsidR="003F2827" w:rsidRPr="00B47F78" w:rsidRDefault="003F2827" w:rsidP="00071C55">
      <w:pPr>
        <w:pStyle w:val="ListParagraph"/>
        <w:rPr>
          <w:rFonts w:asciiTheme="majorHAnsi" w:hAnsiTheme="majorHAnsi"/>
          <w:sz w:val="20"/>
          <w:szCs w:val="20"/>
          <w:lang w:val="es-ES"/>
        </w:rPr>
      </w:pPr>
    </w:p>
    <w:p w:rsidR="001F6B14" w:rsidRPr="00B47F78" w:rsidRDefault="00397F30"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47F78">
        <w:rPr>
          <w:rFonts w:asciiTheme="majorHAnsi" w:hAnsiTheme="majorHAnsi"/>
          <w:sz w:val="20"/>
          <w:szCs w:val="20"/>
          <w:lang w:val="es-CO"/>
        </w:rPr>
        <w:t>La Comisión recuerda que al momento de analizar el derecho a la protección judicial, la Comisión otorgó especial relevancia al hecho de que el señor James Judge no contaba con una</w:t>
      </w:r>
      <w:r w:rsidR="00ED6EDE" w:rsidRPr="00B47F78">
        <w:rPr>
          <w:rFonts w:asciiTheme="majorHAnsi" w:hAnsiTheme="majorHAnsi"/>
          <w:sz w:val="20"/>
          <w:szCs w:val="20"/>
          <w:lang w:val="es-CO"/>
        </w:rPr>
        <w:t xml:space="preserve"> decisión final que le brindara certeza sobre el resultado del proceso judicial.</w:t>
      </w:r>
      <w:r w:rsidRPr="00B47F78">
        <w:rPr>
          <w:rFonts w:asciiTheme="majorHAnsi" w:hAnsiTheme="majorHAnsi"/>
          <w:sz w:val="20"/>
          <w:szCs w:val="20"/>
          <w:lang w:val="es-CO"/>
        </w:rPr>
        <w:t xml:space="preserve"> </w:t>
      </w:r>
      <w:r w:rsidR="00254A16" w:rsidRPr="00B47F78">
        <w:rPr>
          <w:rFonts w:asciiTheme="majorHAnsi" w:hAnsiTheme="majorHAnsi"/>
          <w:sz w:val="20"/>
          <w:szCs w:val="20"/>
          <w:lang w:val="es-CO"/>
        </w:rPr>
        <w:t>Tomando en cuenta el alcance de l</w:t>
      </w:r>
      <w:r w:rsidR="00ED6EDE" w:rsidRPr="00B47F78">
        <w:rPr>
          <w:rFonts w:asciiTheme="majorHAnsi" w:hAnsiTheme="majorHAnsi"/>
          <w:sz w:val="20"/>
          <w:szCs w:val="20"/>
          <w:lang w:val="es-CO"/>
        </w:rPr>
        <w:t>a recomendación que se relaciona precisamente</w:t>
      </w:r>
      <w:r w:rsidR="00254A16" w:rsidRPr="00B47F78">
        <w:rPr>
          <w:rFonts w:asciiTheme="majorHAnsi" w:hAnsiTheme="majorHAnsi"/>
          <w:sz w:val="20"/>
          <w:szCs w:val="20"/>
          <w:lang w:val="es-CO"/>
        </w:rPr>
        <w:t xml:space="preserve"> con la importancia de que el señor Judge tuviera</w:t>
      </w:r>
      <w:r w:rsidR="00ED6EDE" w:rsidRPr="00B47F78">
        <w:rPr>
          <w:rFonts w:asciiTheme="majorHAnsi" w:hAnsiTheme="majorHAnsi"/>
          <w:sz w:val="20"/>
          <w:szCs w:val="20"/>
          <w:lang w:val="es-CO"/>
        </w:rPr>
        <w:t xml:space="preserve"> dicha</w:t>
      </w:r>
      <w:r w:rsidR="00254A16" w:rsidRPr="00B47F78">
        <w:rPr>
          <w:rFonts w:asciiTheme="majorHAnsi" w:hAnsiTheme="majorHAnsi"/>
          <w:sz w:val="20"/>
          <w:szCs w:val="20"/>
          <w:lang w:val="es-CO"/>
        </w:rPr>
        <w:t xml:space="preserve"> certeza y pudiera contar con una decisión definitiva, la Comisión considera que</w:t>
      </w:r>
      <w:r w:rsidR="00B451F6" w:rsidRPr="00B47F78">
        <w:rPr>
          <w:rFonts w:asciiTheme="majorHAnsi" w:hAnsiTheme="majorHAnsi"/>
          <w:sz w:val="20"/>
          <w:szCs w:val="20"/>
          <w:lang w:val="es-CO"/>
        </w:rPr>
        <w:t xml:space="preserve"> mediante la decisión de 9 de</w:t>
      </w:r>
      <w:r w:rsidR="0054330F" w:rsidRPr="00B47F78">
        <w:rPr>
          <w:rFonts w:asciiTheme="majorHAnsi" w:hAnsiTheme="majorHAnsi"/>
          <w:sz w:val="20"/>
          <w:szCs w:val="20"/>
          <w:lang w:val="es-CO"/>
        </w:rPr>
        <w:t xml:space="preserve"> febrero de 2017 de la Corte Co</w:t>
      </w:r>
      <w:r w:rsidRPr="00B47F78">
        <w:rPr>
          <w:rFonts w:asciiTheme="majorHAnsi" w:hAnsiTheme="majorHAnsi"/>
          <w:sz w:val="20"/>
          <w:szCs w:val="20"/>
          <w:lang w:val="es-CO"/>
        </w:rPr>
        <w:t>nstitucional</w:t>
      </w:r>
      <w:r w:rsidR="00254A16" w:rsidRPr="00B47F78">
        <w:rPr>
          <w:rFonts w:asciiTheme="majorHAnsi" w:hAnsiTheme="majorHAnsi"/>
          <w:sz w:val="20"/>
          <w:szCs w:val="20"/>
          <w:lang w:val="es-CO"/>
        </w:rPr>
        <w:t xml:space="preserve"> </w:t>
      </w:r>
      <w:r w:rsidR="009D49B8" w:rsidRPr="00B47F78">
        <w:rPr>
          <w:rFonts w:asciiTheme="majorHAnsi" w:hAnsiTheme="majorHAnsi"/>
          <w:sz w:val="20"/>
          <w:szCs w:val="20"/>
          <w:lang w:val="es-CO"/>
        </w:rPr>
        <w:t xml:space="preserve">el Estado de Ecuador </w:t>
      </w:r>
      <w:r w:rsidR="001B1BC3" w:rsidRPr="00B47F78">
        <w:rPr>
          <w:rFonts w:asciiTheme="majorHAnsi" w:hAnsiTheme="majorHAnsi"/>
          <w:sz w:val="20"/>
          <w:szCs w:val="20"/>
          <w:lang w:val="es-CO"/>
        </w:rPr>
        <w:t xml:space="preserve">puso fin a la incertidumbre y definió el estado procesal del asunto. </w:t>
      </w:r>
    </w:p>
    <w:p w:rsidR="001F6B14" w:rsidRPr="00B47F78" w:rsidRDefault="001F6B14" w:rsidP="00071C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0C0BB2" w:rsidRDefault="009D49B8" w:rsidP="00071C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ahoma"/>
          <w:color w:val="000000"/>
          <w:sz w:val="20"/>
          <w:szCs w:val="20"/>
          <w:lang w:val="es-CO"/>
        </w:rPr>
      </w:pPr>
      <w:r w:rsidRPr="00B47F78">
        <w:rPr>
          <w:rFonts w:asciiTheme="majorHAnsi" w:hAnsiTheme="majorHAnsi"/>
          <w:sz w:val="20"/>
          <w:szCs w:val="20"/>
          <w:lang w:val="es-ES"/>
        </w:rPr>
        <w:t xml:space="preserve">La Comisión considera que </w:t>
      </w:r>
      <w:r w:rsidR="000C0BB2" w:rsidRPr="00B47F78">
        <w:rPr>
          <w:rFonts w:asciiTheme="majorHAnsi" w:hAnsiTheme="majorHAnsi"/>
          <w:sz w:val="20"/>
          <w:szCs w:val="20"/>
          <w:lang w:val="es-ES"/>
        </w:rPr>
        <w:t>d</w:t>
      </w:r>
      <w:proofErr w:type="spellStart"/>
      <w:r w:rsidR="000C0BB2" w:rsidRPr="00B47F78">
        <w:rPr>
          <w:rFonts w:asciiTheme="majorHAnsi" w:eastAsia="Times New Roman" w:hAnsiTheme="majorHAnsi" w:cs="Tahoma"/>
          <w:color w:val="000000"/>
          <w:sz w:val="20"/>
          <w:szCs w:val="20"/>
          <w:lang w:val="es-CO"/>
        </w:rPr>
        <w:t>ado</w:t>
      </w:r>
      <w:proofErr w:type="spellEnd"/>
      <w:r w:rsidR="000C0BB2" w:rsidRPr="00B47F78">
        <w:rPr>
          <w:rFonts w:asciiTheme="majorHAnsi" w:eastAsia="Times New Roman" w:hAnsiTheme="majorHAnsi" w:cs="Tahoma"/>
          <w:color w:val="000000"/>
          <w:sz w:val="20"/>
          <w:szCs w:val="20"/>
          <w:lang w:val="es-CO"/>
        </w:rPr>
        <w:t xml:space="preserve"> el pronunciamiento de la Corte Constitucional, y tomando en cuenta que la etapa pendiente se refiere al sometimiento de la decisión del Tribunal de Garantías Constitucionales a la Corte Suprema como procedimiento de oficio que no dependía de recursos presentados por las partes, la Comisión considera que el proceso se encuentra finalizado y la recomendación se encuentra cumplida. En consecuencia, de conformidad con </w:t>
      </w:r>
      <w:r w:rsidR="000C0BB2" w:rsidRPr="00B47F78">
        <w:rPr>
          <w:rFonts w:asciiTheme="majorHAnsi" w:hAnsiTheme="majorHAnsi"/>
          <w:sz w:val="20"/>
          <w:szCs w:val="20"/>
          <w:lang w:val="es-ES"/>
        </w:rPr>
        <w:t xml:space="preserve">el artículo 51.3 de la Convención Americana y con el artículo 47.3 de su Reglamento, decide publicar el presente informe e incluirlo en su Informe Anual a la Asamblea General de la Organización de los Estados Americanos. </w:t>
      </w:r>
    </w:p>
    <w:p w:rsidR="00B47F78" w:rsidRDefault="00B47F78" w:rsidP="00B47F7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Tahoma"/>
          <w:color w:val="000000"/>
          <w:sz w:val="20"/>
          <w:szCs w:val="20"/>
          <w:lang w:val="es-CO"/>
        </w:rPr>
      </w:pPr>
    </w:p>
    <w:p w:rsidR="00B47F78" w:rsidRPr="00A37B82" w:rsidRDefault="00B47F78" w:rsidP="00B47F7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sidR="00166710">
        <w:rPr>
          <w:rFonts w:asciiTheme="majorHAnsi" w:hAnsiTheme="majorHAnsi" w:cs="Arial"/>
          <w:noProof/>
          <w:spacing w:val="-2"/>
          <w:sz w:val="20"/>
          <w:szCs w:val="20"/>
          <w:lang w:val="es-CL"/>
        </w:rPr>
        <w:t>23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B47F78" w:rsidRPr="00A37B82" w:rsidRDefault="00B47F78" w:rsidP="00B47F78">
      <w:pPr>
        <w:suppressAutoHyphens/>
        <w:ind w:firstLine="720"/>
        <w:jc w:val="both"/>
        <w:rPr>
          <w:rFonts w:asciiTheme="majorHAnsi" w:hAnsiTheme="majorHAnsi" w:cs="Arial"/>
          <w:noProof/>
          <w:spacing w:val="-2"/>
          <w:sz w:val="20"/>
          <w:szCs w:val="20"/>
          <w:lang w:val="es-CL"/>
        </w:rPr>
      </w:pPr>
    </w:p>
    <w:p w:rsidR="00B47F78" w:rsidRPr="00A37B82" w:rsidRDefault="00B47F78" w:rsidP="00B47F78">
      <w:pPr>
        <w:ind w:firstLine="720"/>
        <w:jc w:val="both"/>
        <w:rPr>
          <w:rFonts w:asciiTheme="majorHAnsi" w:hAnsiTheme="majorHAnsi" w:cs="Arial"/>
          <w:noProof/>
          <w:sz w:val="20"/>
          <w:szCs w:val="20"/>
          <w:lang w:val="es-CL"/>
        </w:rPr>
      </w:pPr>
      <w:r w:rsidRPr="00A37B82">
        <w:rPr>
          <w:rFonts w:asciiTheme="majorHAnsi" w:hAnsiTheme="majorHAnsi" w:cs="Arial"/>
          <w:noProof/>
          <w:sz w:val="20"/>
          <w:szCs w:val="20"/>
          <w:lang w:val="es-CL"/>
        </w:rPr>
        <w:t xml:space="preserve">El que suscribe, </w:t>
      </w:r>
      <w:r w:rsidRPr="00D94AF7">
        <w:rPr>
          <w:rFonts w:asciiTheme="majorHAnsi" w:hAnsiTheme="majorHAnsi"/>
          <w:spacing w:val="-2"/>
          <w:sz w:val="20"/>
          <w:szCs w:val="20"/>
          <w:lang w:val="es-SV"/>
        </w:rPr>
        <w:t xml:space="preserve">Paulo </w:t>
      </w:r>
      <w:proofErr w:type="spellStart"/>
      <w:r w:rsidRPr="00D94AF7">
        <w:rPr>
          <w:rFonts w:asciiTheme="majorHAnsi" w:hAnsiTheme="majorHAnsi"/>
          <w:spacing w:val="-2"/>
          <w:sz w:val="20"/>
          <w:szCs w:val="20"/>
          <w:lang w:val="es-SV"/>
        </w:rPr>
        <w:t>Abrão</w:t>
      </w:r>
      <w:proofErr w:type="spellEnd"/>
      <w:r w:rsidRPr="00A37B82">
        <w:rPr>
          <w:rFonts w:asciiTheme="majorHAnsi" w:hAnsiTheme="majorHAnsi" w:cs="Arial"/>
          <w:noProof/>
          <w:sz w:val="20"/>
          <w:szCs w:val="20"/>
          <w:lang w:val="es-CL"/>
        </w:rPr>
        <w:t>, en su carácter de Secretario Ejecutivo de la Comisión Interamericana de Derechos Humanos, de conformidad con el artículo 49 del Reglamento de la Comisión, certifica que es copia fiel del original depositado en los archivos de la Secretaría de la CIDH.</w:t>
      </w:r>
    </w:p>
    <w:p w:rsidR="00B47F78" w:rsidRPr="00A37B82" w:rsidRDefault="00B47F78" w:rsidP="00B47F78">
      <w:pPr>
        <w:suppressAutoHyphens/>
        <w:jc w:val="both"/>
        <w:rPr>
          <w:rFonts w:asciiTheme="majorHAnsi" w:hAnsiTheme="majorHAnsi" w:cs="Arial"/>
          <w:noProof/>
          <w:spacing w:val="-2"/>
          <w:sz w:val="20"/>
          <w:szCs w:val="20"/>
          <w:lang w:val="es-CL"/>
        </w:rPr>
      </w:pPr>
    </w:p>
    <w:p w:rsidR="00B47F78" w:rsidRDefault="00B47F78" w:rsidP="00B47F78">
      <w:pPr>
        <w:ind w:left="720" w:hanging="720"/>
        <w:jc w:val="center"/>
        <w:rPr>
          <w:rFonts w:asciiTheme="majorHAnsi" w:hAnsiTheme="majorHAnsi" w:cs="Arial"/>
          <w:sz w:val="20"/>
          <w:szCs w:val="20"/>
          <w:lang w:val="es-SV"/>
        </w:rPr>
      </w:pPr>
    </w:p>
    <w:p w:rsidR="00B47F78" w:rsidRDefault="00B47F78" w:rsidP="00B47F78">
      <w:pPr>
        <w:ind w:left="720" w:hanging="720"/>
        <w:jc w:val="center"/>
        <w:rPr>
          <w:rFonts w:asciiTheme="majorHAnsi" w:hAnsiTheme="majorHAnsi" w:cs="Arial"/>
          <w:sz w:val="20"/>
          <w:szCs w:val="20"/>
          <w:lang w:val="es-SV"/>
        </w:rPr>
      </w:pPr>
    </w:p>
    <w:p w:rsidR="00B47F78" w:rsidRDefault="00B47F78" w:rsidP="00B47F78">
      <w:pPr>
        <w:ind w:left="720" w:hanging="720"/>
        <w:jc w:val="center"/>
        <w:rPr>
          <w:rFonts w:asciiTheme="majorHAnsi" w:hAnsiTheme="majorHAnsi" w:cs="Arial"/>
          <w:sz w:val="20"/>
          <w:szCs w:val="20"/>
          <w:lang w:val="es-SV"/>
        </w:rPr>
      </w:pPr>
    </w:p>
    <w:p w:rsidR="00B47F78" w:rsidRPr="00A37B82" w:rsidRDefault="00B47F78" w:rsidP="00B47F78">
      <w:pPr>
        <w:ind w:left="720" w:hanging="720"/>
        <w:jc w:val="center"/>
        <w:rPr>
          <w:rFonts w:asciiTheme="majorHAnsi" w:hAnsiTheme="majorHAnsi" w:cs="Arial"/>
          <w:sz w:val="20"/>
          <w:szCs w:val="20"/>
          <w:lang w:val="es-SV"/>
        </w:rPr>
      </w:pPr>
    </w:p>
    <w:p w:rsidR="00B47F78" w:rsidRPr="00A37B82" w:rsidRDefault="00B47F78" w:rsidP="00B47F78">
      <w:pPr>
        <w:suppressAutoHyphens/>
        <w:jc w:val="center"/>
        <w:rPr>
          <w:rFonts w:asciiTheme="majorHAnsi" w:hAnsiTheme="majorHAnsi"/>
          <w:spacing w:val="-2"/>
          <w:sz w:val="20"/>
          <w:szCs w:val="20"/>
          <w:lang w:val="es-SV"/>
        </w:rPr>
      </w:pPr>
      <w:r w:rsidRPr="00D94AF7">
        <w:rPr>
          <w:rFonts w:asciiTheme="majorHAnsi" w:hAnsiTheme="majorHAnsi"/>
          <w:spacing w:val="-2"/>
          <w:sz w:val="20"/>
          <w:szCs w:val="20"/>
          <w:lang w:val="es-SV"/>
        </w:rPr>
        <w:t xml:space="preserve">Paulo </w:t>
      </w:r>
      <w:proofErr w:type="spellStart"/>
      <w:r w:rsidRPr="00D94AF7">
        <w:rPr>
          <w:rFonts w:asciiTheme="majorHAnsi" w:hAnsiTheme="majorHAnsi"/>
          <w:spacing w:val="-2"/>
          <w:sz w:val="20"/>
          <w:szCs w:val="20"/>
          <w:lang w:val="es-SV"/>
        </w:rPr>
        <w:t>Abrão</w:t>
      </w:r>
      <w:proofErr w:type="spellEnd"/>
    </w:p>
    <w:p w:rsidR="00BF6030" w:rsidRPr="00166710" w:rsidRDefault="00B47F78" w:rsidP="00B47F78">
      <w:pPr>
        <w:pBdr>
          <w:top w:val="none" w:sz="0" w:space="0" w:color="auto"/>
          <w:left w:val="none" w:sz="0" w:space="0" w:color="auto"/>
          <w:bottom w:val="none" w:sz="0" w:space="0" w:color="auto"/>
          <w:right w:val="none" w:sz="0" w:space="0" w:color="auto"/>
          <w:between w:val="none" w:sz="0" w:space="0" w:color="auto"/>
          <w:bar w:val="none" w:sz="0" w:color="auto"/>
        </w:pBdr>
        <w:jc w:val="center"/>
        <w:rPr>
          <w:lang w:val="pt-BR"/>
        </w:rPr>
      </w:pPr>
      <w:r w:rsidRPr="00A37B82">
        <w:rPr>
          <w:rFonts w:asciiTheme="majorHAnsi" w:hAnsiTheme="majorHAnsi"/>
          <w:spacing w:val="-2"/>
          <w:sz w:val="20"/>
          <w:szCs w:val="20"/>
          <w:lang w:val="es-SV"/>
        </w:rPr>
        <w:t>Secretario Ejecutivo</w:t>
      </w:r>
    </w:p>
    <w:sectPr w:rsidR="00BF6030" w:rsidRPr="0016671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BD" w:rsidRDefault="009D38BD">
      <w:r>
        <w:separator/>
      </w:r>
    </w:p>
  </w:endnote>
  <w:endnote w:type="continuationSeparator" w:id="0">
    <w:p w:rsidR="009D38BD" w:rsidRDefault="009D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78" w:rsidRDefault="00B47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B47F78" w:rsidRPr="00934A2C" w:rsidRDefault="00B47F7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2323B">
          <w:rPr>
            <w:noProof/>
            <w:sz w:val="16"/>
            <w:szCs w:val="22"/>
          </w:rPr>
          <w:t>2</w:t>
        </w:r>
        <w:r w:rsidRPr="00934A2C">
          <w:rPr>
            <w:noProof/>
            <w:sz w:val="16"/>
            <w:szCs w:val="22"/>
          </w:rPr>
          <w:fldChar w:fldCharType="end"/>
        </w:r>
      </w:p>
    </w:sdtContent>
  </w:sdt>
  <w:p w:rsidR="00B47F78" w:rsidRDefault="00B47F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78" w:rsidRPr="00934A2C" w:rsidRDefault="00B47F78">
    <w:pPr>
      <w:pStyle w:val="Footer"/>
      <w:jc w:val="center"/>
      <w:rPr>
        <w:sz w:val="16"/>
        <w:szCs w:val="22"/>
      </w:rPr>
    </w:pPr>
  </w:p>
  <w:p w:rsidR="00B47F78" w:rsidRDefault="00B4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BD" w:rsidRPr="000F35ED" w:rsidRDefault="009D38B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D38BD" w:rsidRPr="000F35ED" w:rsidRDefault="009D38BD" w:rsidP="000F35ED">
      <w:pPr>
        <w:rPr>
          <w:rFonts w:asciiTheme="majorHAnsi" w:hAnsiTheme="majorHAnsi"/>
          <w:sz w:val="16"/>
          <w:szCs w:val="16"/>
        </w:rPr>
      </w:pPr>
      <w:r w:rsidRPr="000F35ED">
        <w:rPr>
          <w:rFonts w:asciiTheme="majorHAnsi" w:hAnsiTheme="majorHAnsi"/>
          <w:sz w:val="16"/>
          <w:szCs w:val="16"/>
        </w:rPr>
        <w:separator/>
      </w:r>
    </w:p>
    <w:p w:rsidR="009D38BD" w:rsidRPr="000F35ED" w:rsidRDefault="009D38B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D38BD" w:rsidRPr="000F35ED" w:rsidRDefault="009D38B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47F78" w:rsidRPr="00F67C12" w:rsidRDefault="00B47F78" w:rsidP="00135F33">
      <w:pPr>
        <w:pStyle w:val="FootnoteText"/>
        <w:spacing w:after="120"/>
        <w:ind w:firstLine="720"/>
        <w:jc w:val="both"/>
        <w:rPr>
          <w:rFonts w:asciiTheme="majorHAnsi" w:hAnsiTheme="majorHAnsi"/>
          <w:sz w:val="16"/>
          <w:szCs w:val="16"/>
          <w:lang w:val="es-PE"/>
        </w:rPr>
      </w:pPr>
      <w:r w:rsidRPr="00F67C12">
        <w:rPr>
          <w:rFonts w:asciiTheme="majorHAnsi" w:hAnsiTheme="majorHAnsi"/>
          <w:sz w:val="16"/>
          <w:szCs w:val="16"/>
          <w:lang w:val="es-MX"/>
        </w:rPr>
        <w:t xml:space="preserve">(*) </w:t>
      </w:r>
      <w:r w:rsidRPr="00F67C12">
        <w:rPr>
          <w:rFonts w:ascii="Cambria" w:hAnsi="Cambria" w:cs="Tahoma"/>
          <w:sz w:val="16"/>
          <w:szCs w:val="16"/>
          <w:lang w:val="es-PE"/>
        </w:rPr>
        <w:t xml:space="preserve">El Comisionado James Cavallaro, de nacionalidad estadounidense, consideró –con base en el artículo 17.3 del Reglamento de la CIDH— </w:t>
      </w:r>
      <w:r>
        <w:rPr>
          <w:rFonts w:ascii="Cambria" w:hAnsi="Cambria" w:cs="Tahoma"/>
          <w:sz w:val="16"/>
          <w:szCs w:val="16"/>
          <w:lang w:val="es-PE"/>
        </w:rPr>
        <w:t xml:space="preserve">que </w:t>
      </w:r>
      <w:r w:rsidRPr="00F67C12">
        <w:rPr>
          <w:rFonts w:ascii="Cambria" w:hAnsi="Cambria" w:cs="Tahoma"/>
          <w:sz w:val="16"/>
          <w:szCs w:val="16"/>
          <w:lang w:val="es-PE"/>
        </w:rPr>
        <w:t>debía abstenerse de participar en el estudio y decisión de la cuestión en vista de que la presunta víctima en este caso es un nacional estadounidense. La Comisión Interamericana aceptó su decisión de excusarse, por lo que el Comisionado James Cavallaro no participó de la deliberación y voto de este caso</w:t>
      </w:r>
      <w:r w:rsidRPr="00F67C12">
        <w:rPr>
          <w:rFonts w:ascii="Cambria" w:hAnsi="Cambria" w:cs="Tahoma"/>
          <w:lang w:val="es-PE"/>
        </w:rPr>
        <w:t>. </w:t>
      </w:r>
    </w:p>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Con anterioridad a esta presentación, el señor James Judge interpuso ante la Comisión Interamericana la misma petición, en fecha 10 de noviembre de 1994. Mediante comunicación del 10 de abril de 1995,  la Comisión le informó de la imposibilidad de dar trámite a la misma, por el momento, debido a que a esa fecha no se habrían agotado los recursos de la jurisdicción interna.</w:t>
      </w:r>
    </w:p>
  </w:footnote>
  <w:footnote w:id="3">
    <w:p w:rsidR="00B47F78" w:rsidRPr="000C1446" w:rsidRDefault="00B47F78" w:rsidP="00135F33">
      <w:pPr>
        <w:spacing w:after="120"/>
        <w:ind w:firstLine="720"/>
        <w:jc w:val="both"/>
        <w:rPr>
          <w:rFonts w:asciiTheme="majorHAnsi" w:hAnsiTheme="majorHAnsi"/>
          <w:sz w:val="16"/>
          <w:szCs w:val="16"/>
          <w:lang w:val="es-ES"/>
        </w:rPr>
      </w:pPr>
      <w:r w:rsidRPr="000C1446">
        <w:rPr>
          <w:rStyle w:val="FootnoteReference"/>
          <w:rFonts w:asciiTheme="majorHAnsi" w:hAnsiTheme="majorHAnsi"/>
          <w:sz w:val="16"/>
          <w:szCs w:val="16"/>
        </w:rPr>
        <w:footnoteRef/>
      </w:r>
      <w:r w:rsidRPr="000C1446">
        <w:rPr>
          <w:rFonts w:asciiTheme="majorHAnsi" w:hAnsiTheme="majorHAnsi"/>
          <w:sz w:val="16"/>
          <w:szCs w:val="16"/>
          <w:lang w:val="es-ES"/>
        </w:rPr>
        <w:t xml:space="preserve"> CIDH, Informe</w:t>
      </w:r>
      <w:r>
        <w:rPr>
          <w:rFonts w:asciiTheme="majorHAnsi" w:hAnsiTheme="majorHAnsi"/>
          <w:sz w:val="16"/>
          <w:szCs w:val="16"/>
          <w:lang w:val="es-ES"/>
        </w:rPr>
        <w:t xml:space="preserve"> No. 10/02</w:t>
      </w:r>
      <w:r w:rsidRPr="000C1446">
        <w:rPr>
          <w:rFonts w:asciiTheme="majorHAnsi" w:hAnsiTheme="majorHAnsi"/>
          <w:sz w:val="16"/>
          <w:szCs w:val="16"/>
          <w:lang w:val="es-ES"/>
        </w:rPr>
        <w:t xml:space="preserve">, Petición 12.393, </w:t>
      </w:r>
      <w:r>
        <w:rPr>
          <w:rFonts w:asciiTheme="majorHAnsi" w:hAnsiTheme="majorHAnsi"/>
          <w:sz w:val="16"/>
          <w:szCs w:val="16"/>
          <w:lang w:val="es-ES"/>
        </w:rPr>
        <w:t xml:space="preserve">Admisibilidad. </w:t>
      </w:r>
      <w:r>
        <w:rPr>
          <w:rFonts w:asciiTheme="majorHAnsi" w:hAnsiTheme="majorHAnsi"/>
          <w:i/>
          <w:sz w:val="16"/>
          <w:szCs w:val="16"/>
          <w:lang w:val="es-ES"/>
        </w:rPr>
        <w:t xml:space="preserve">James Judge, </w:t>
      </w:r>
      <w:r>
        <w:rPr>
          <w:rFonts w:asciiTheme="majorHAnsi" w:hAnsiTheme="majorHAnsi"/>
          <w:sz w:val="16"/>
          <w:szCs w:val="16"/>
          <w:lang w:val="es-ES"/>
        </w:rPr>
        <w:t>Ecuador</w:t>
      </w:r>
      <w:r w:rsidRPr="000C1446">
        <w:rPr>
          <w:rFonts w:asciiTheme="majorHAnsi" w:hAnsiTheme="majorHAnsi"/>
          <w:sz w:val="16"/>
          <w:szCs w:val="16"/>
          <w:lang w:val="es-ES"/>
        </w:rPr>
        <w:t xml:space="preserve">, 27 de febrero de 2002, </w:t>
      </w:r>
      <w:proofErr w:type="spellStart"/>
      <w:r w:rsidRPr="000C1446">
        <w:rPr>
          <w:rFonts w:asciiTheme="majorHAnsi" w:hAnsiTheme="majorHAnsi"/>
          <w:sz w:val="16"/>
          <w:szCs w:val="16"/>
          <w:lang w:val="es-ES"/>
        </w:rPr>
        <w:t>párrs</w:t>
      </w:r>
      <w:proofErr w:type="spellEnd"/>
      <w:r w:rsidRPr="000C1446">
        <w:rPr>
          <w:rFonts w:asciiTheme="majorHAnsi" w:hAnsiTheme="majorHAnsi"/>
          <w:sz w:val="16"/>
          <w:szCs w:val="16"/>
          <w:lang w:val="es-ES"/>
        </w:rPr>
        <w:t>. 4, 5 y 6.</w:t>
      </w:r>
    </w:p>
  </w:footnote>
  <w:footnote w:id="4">
    <w:p w:rsidR="00B47F78" w:rsidRPr="000C1446" w:rsidRDefault="00B47F78" w:rsidP="00093A2D">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Constitución Política de la República del Ecuador de 1945, disponible en: </w:t>
      </w:r>
      <w:hyperlink r:id="rId1" w:history="1">
        <w:r w:rsidRPr="000C1446">
          <w:rPr>
            <w:rStyle w:val="Hyperlink"/>
            <w:rFonts w:asciiTheme="majorHAnsi" w:hAnsiTheme="majorHAnsi"/>
            <w:sz w:val="16"/>
            <w:szCs w:val="16"/>
            <w:lang w:val="es-MX"/>
          </w:rPr>
          <w:t>http://www.cortenacional.gob.ec/cnj/images/pdf/constituciones/38%201945.pdf</w:t>
        </w:r>
      </w:hyperlink>
    </w:p>
  </w:footnote>
  <w:footnote w:id="5">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 </w:t>
      </w:r>
      <w:r w:rsidRPr="000C1446">
        <w:rPr>
          <w:rFonts w:asciiTheme="majorHAnsi" w:hAnsiTheme="majorHAnsi"/>
          <w:sz w:val="16"/>
          <w:szCs w:val="16"/>
          <w:lang w:val="es-MX"/>
        </w:rPr>
        <w:t>Constitución Política del Estado Ecuatoriano de 1967</w:t>
      </w:r>
      <w:r>
        <w:rPr>
          <w:rFonts w:asciiTheme="majorHAnsi" w:hAnsiTheme="majorHAnsi"/>
          <w:sz w:val="16"/>
          <w:szCs w:val="16"/>
          <w:lang w:val="es-MX"/>
        </w:rPr>
        <w:t>. A</w:t>
      </w:r>
      <w:r w:rsidRPr="000C1446">
        <w:rPr>
          <w:rFonts w:asciiTheme="majorHAnsi" w:hAnsiTheme="majorHAnsi"/>
          <w:sz w:val="16"/>
          <w:szCs w:val="16"/>
          <w:lang w:val="es-MX"/>
        </w:rPr>
        <w:t xml:space="preserve">nexo a comunicación del Estado del 23 de octubre de 2015. </w:t>
      </w:r>
    </w:p>
  </w:footnote>
  <w:footnote w:id="6">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Pr>
          <w:rFonts w:asciiTheme="majorHAnsi" w:hAnsiTheme="majorHAnsi"/>
          <w:sz w:val="16"/>
          <w:szCs w:val="16"/>
          <w:lang w:val="es-MX"/>
        </w:rPr>
        <w:t xml:space="preserve"> Anexo 2. </w:t>
      </w:r>
      <w:r w:rsidRPr="000C1446">
        <w:rPr>
          <w:rFonts w:asciiTheme="majorHAnsi" w:hAnsiTheme="majorHAnsi"/>
          <w:sz w:val="16"/>
          <w:szCs w:val="16"/>
          <w:lang w:val="es-MX"/>
        </w:rPr>
        <w:t>Constitución Política del Estado Ecuatoriano de 1979</w:t>
      </w:r>
      <w:r>
        <w:rPr>
          <w:rFonts w:asciiTheme="majorHAnsi" w:hAnsiTheme="majorHAnsi"/>
          <w:sz w:val="16"/>
          <w:szCs w:val="16"/>
          <w:lang w:val="es-MX"/>
        </w:rPr>
        <w:t>. A</w:t>
      </w:r>
      <w:r w:rsidRPr="000C1446">
        <w:rPr>
          <w:rFonts w:asciiTheme="majorHAnsi" w:hAnsiTheme="majorHAnsi"/>
          <w:sz w:val="16"/>
          <w:szCs w:val="16"/>
          <w:lang w:val="es-MX"/>
        </w:rPr>
        <w:t>nexo a comunicación del Estado del 23 de octubre de 2015</w:t>
      </w:r>
      <w:r>
        <w:rPr>
          <w:rFonts w:asciiTheme="majorHAnsi" w:hAnsiTheme="majorHAnsi"/>
          <w:sz w:val="16"/>
          <w:szCs w:val="16"/>
          <w:lang w:val="es-MX"/>
        </w:rPr>
        <w:t>.</w:t>
      </w:r>
    </w:p>
  </w:footnote>
  <w:footnote w:id="7">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Anexo</w:t>
      </w:r>
      <w:r>
        <w:rPr>
          <w:rFonts w:asciiTheme="majorHAnsi" w:hAnsiTheme="majorHAnsi"/>
          <w:sz w:val="16"/>
          <w:szCs w:val="16"/>
          <w:lang w:val="es-MX"/>
        </w:rPr>
        <w:t xml:space="preserve"> 3</w:t>
      </w:r>
      <w:r w:rsidRPr="000C1446">
        <w:rPr>
          <w:rFonts w:asciiTheme="majorHAnsi" w:hAnsiTheme="majorHAnsi"/>
          <w:sz w:val="16"/>
          <w:szCs w:val="16"/>
          <w:lang w:val="es-MX"/>
        </w:rPr>
        <w:t>. Comunicación del peticionario del 20 de mayo de 2002.</w:t>
      </w:r>
    </w:p>
  </w:footnote>
  <w:footnote w:id="8">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4. </w:t>
      </w:r>
      <w:r w:rsidRPr="000C1446">
        <w:rPr>
          <w:rFonts w:asciiTheme="majorHAnsi" w:hAnsiTheme="majorHAnsi"/>
          <w:sz w:val="16"/>
          <w:szCs w:val="16"/>
          <w:lang w:val="es-MX"/>
        </w:rPr>
        <w:t xml:space="preserve">Ley de Patrimonio Artístico, publicada en Registro Oficial No. 235 de 14 de marzo de 1945 y codificada nuevamente en Registro Oficial Suplemento No. 1202 de 20 de agosto de 1960, derogada el 2 de julio de 1979. Anexo a comunicación del Estado de 23 de octubre de 2015. </w:t>
      </w:r>
    </w:p>
  </w:footnote>
  <w:footnote w:id="9">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5. </w:t>
      </w:r>
      <w:r w:rsidRPr="000C1446">
        <w:rPr>
          <w:rFonts w:asciiTheme="majorHAnsi" w:hAnsiTheme="majorHAnsi"/>
          <w:sz w:val="16"/>
          <w:szCs w:val="16"/>
          <w:lang w:val="es-MX"/>
        </w:rPr>
        <w:t>Decreto Supremo No. 33683-A del 30 de junio de 1979</w:t>
      </w:r>
      <w:r>
        <w:rPr>
          <w:rFonts w:asciiTheme="majorHAnsi" w:hAnsiTheme="majorHAnsi"/>
          <w:sz w:val="16"/>
          <w:szCs w:val="16"/>
          <w:lang w:val="es-MX"/>
        </w:rPr>
        <w:t>. A</w:t>
      </w:r>
      <w:r w:rsidRPr="000C1446">
        <w:rPr>
          <w:rFonts w:asciiTheme="majorHAnsi" w:hAnsiTheme="majorHAnsi"/>
          <w:sz w:val="16"/>
          <w:szCs w:val="16"/>
          <w:lang w:val="es-MX"/>
        </w:rPr>
        <w:t>nexo a comunicación del Estado de 23 de octubre de 2015.</w:t>
      </w:r>
    </w:p>
  </w:footnote>
  <w:footnote w:id="10">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Constitución Política de la República del Ecuador de 1993.</w:t>
      </w:r>
    </w:p>
  </w:footnote>
  <w:footnote w:id="11">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Anexo</w:t>
      </w:r>
      <w:r>
        <w:rPr>
          <w:rFonts w:asciiTheme="majorHAnsi" w:hAnsiTheme="majorHAnsi"/>
          <w:sz w:val="16"/>
          <w:szCs w:val="16"/>
          <w:lang w:val="es-MX"/>
        </w:rPr>
        <w:t xml:space="preserve"> 6</w:t>
      </w:r>
      <w:r w:rsidRPr="000C1446">
        <w:rPr>
          <w:rFonts w:asciiTheme="majorHAnsi" w:hAnsiTheme="majorHAnsi"/>
          <w:sz w:val="16"/>
          <w:szCs w:val="16"/>
          <w:lang w:val="es-MX"/>
        </w:rPr>
        <w:t>. Comunicación del Estado de 23 de octubre de 2015.</w:t>
      </w:r>
    </w:p>
  </w:footnote>
  <w:footnote w:id="12">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7. </w:t>
      </w:r>
      <w:r w:rsidRPr="00076846">
        <w:rPr>
          <w:rFonts w:asciiTheme="majorHAnsi" w:hAnsiTheme="majorHAnsi"/>
          <w:sz w:val="16"/>
          <w:szCs w:val="16"/>
          <w:lang w:val="es-MX"/>
        </w:rPr>
        <w:t>Demanda de inconstitucionalidad interpuesta por el señor James Judge ante el Tribunal de Garantías Constitucionales el 12 de febrero de 1993. Anexo a comunicación del Estado de 23 de octubre de 2015.</w:t>
      </w:r>
    </w:p>
  </w:footnote>
  <w:footnote w:id="13">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Pr>
          <w:rFonts w:asciiTheme="majorHAnsi" w:hAnsiTheme="majorHAnsi"/>
          <w:sz w:val="16"/>
          <w:szCs w:val="16"/>
          <w:lang w:val="es-MX"/>
        </w:rPr>
        <w:t xml:space="preserve">Anexo 7. </w:t>
      </w:r>
      <w:r w:rsidRPr="001F0A3A">
        <w:rPr>
          <w:rFonts w:asciiTheme="majorHAnsi" w:hAnsiTheme="majorHAnsi"/>
          <w:sz w:val="16"/>
          <w:szCs w:val="16"/>
          <w:lang w:val="es-MX"/>
        </w:rPr>
        <w:t>Demanda de inconstitucionalidad interpuesta por el señor James Judge ante el Tribunal de Garantías Constitucionales el 12 de febrero de 1993. Anexo a comunicación del Estado de 23 de octubre de 2015.</w:t>
      </w:r>
    </w:p>
  </w:footnote>
  <w:footnote w:id="14">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7. </w:t>
      </w:r>
      <w:r w:rsidRPr="001F0A3A">
        <w:rPr>
          <w:rFonts w:asciiTheme="majorHAnsi" w:hAnsiTheme="majorHAnsi"/>
          <w:sz w:val="16"/>
          <w:szCs w:val="16"/>
          <w:lang w:val="es-MX"/>
        </w:rPr>
        <w:t>Demanda de inconstitucionalidad interpuesta por el señor James Judge ante el Tribunal de Garantías Constitucionales el 12 de febrero de 1993. Anexo a comunicación del Estado de 23 de octubre de 2015.</w:t>
      </w:r>
    </w:p>
  </w:footnote>
  <w:footnote w:id="15">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8. </w:t>
      </w:r>
      <w:r w:rsidRPr="000C1446">
        <w:rPr>
          <w:rFonts w:asciiTheme="majorHAnsi" w:hAnsiTheme="majorHAnsi"/>
          <w:sz w:val="16"/>
          <w:szCs w:val="16"/>
          <w:lang w:val="es-MX"/>
        </w:rPr>
        <w:t>Oficio No.1173-SG de 23 de mayo de 1967 de la Casa de la Cultura Ecuatoriana, dirigido al ingeniero Virgilio Vélez</w:t>
      </w:r>
      <w:r>
        <w:rPr>
          <w:rFonts w:asciiTheme="majorHAnsi" w:hAnsiTheme="majorHAnsi"/>
          <w:sz w:val="16"/>
          <w:szCs w:val="16"/>
          <w:lang w:val="es-MX"/>
        </w:rPr>
        <w:t>. A</w:t>
      </w:r>
      <w:r w:rsidRPr="000C1446">
        <w:rPr>
          <w:rFonts w:asciiTheme="majorHAnsi" w:hAnsiTheme="majorHAnsi"/>
          <w:sz w:val="16"/>
          <w:szCs w:val="16"/>
          <w:lang w:val="es-MX"/>
        </w:rPr>
        <w:t>nexo a comunicación del Estado del 23 de octubre de 2015.</w:t>
      </w:r>
    </w:p>
  </w:footnote>
  <w:footnote w:id="16">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9. </w:t>
      </w:r>
      <w:r w:rsidRPr="000C1446">
        <w:rPr>
          <w:rFonts w:asciiTheme="majorHAnsi" w:hAnsiTheme="majorHAnsi"/>
          <w:sz w:val="16"/>
          <w:szCs w:val="16"/>
          <w:lang w:val="es-MX"/>
        </w:rPr>
        <w:t>Oficio No. 1174-SG de 23 de mayo de 1967 del Secretario General de la Casa de la Cultura Ecuatoriana, dirigido al Ministro de Gobierno</w:t>
      </w:r>
      <w:r>
        <w:rPr>
          <w:rFonts w:asciiTheme="majorHAnsi" w:hAnsiTheme="majorHAnsi"/>
          <w:sz w:val="16"/>
          <w:szCs w:val="16"/>
          <w:lang w:val="es-MX"/>
        </w:rPr>
        <w:t>. A</w:t>
      </w:r>
      <w:r w:rsidRPr="000C1446">
        <w:rPr>
          <w:rFonts w:asciiTheme="majorHAnsi" w:hAnsiTheme="majorHAnsi"/>
          <w:sz w:val="16"/>
          <w:szCs w:val="16"/>
          <w:lang w:val="es-MX"/>
        </w:rPr>
        <w:t>nexo a comunicación del Estado del 23 de octubre de 2015.</w:t>
      </w:r>
    </w:p>
  </w:footnote>
  <w:footnote w:id="17">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Anexo</w:t>
      </w:r>
      <w:r>
        <w:rPr>
          <w:rFonts w:asciiTheme="majorHAnsi" w:hAnsiTheme="majorHAnsi"/>
          <w:sz w:val="16"/>
          <w:szCs w:val="16"/>
          <w:lang w:val="es-MX"/>
        </w:rPr>
        <w:t xml:space="preserve"> 3</w:t>
      </w:r>
      <w:r w:rsidRPr="000C1446">
        <w:rPr>
          <w:rFonts w:asciiTheme="majorHAnsi" w:hAnsiTheme="majorHAnsi"/>
          <w:sz w:val="16"/>
          <w:szCs w:val="16"/>
          <w:lang w:val="es-MX"/>
        </w:rPr>
        <w:t>. Comunicación del peticionario del 20 de mayo de 2002.</w:t>
      </w:r>
    </w:p>
  </w:footnote>
  <w:footnote w:id="18">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10. </w:t>
      </w:r>
      <w:r w:rsidRPr="000C1446">
        <w:rPr>
          <w:rFonts w:asciiTheme="majorHAnsi" w:hAnsiTheme="majorHAnsi"/>
          <w:sz w:val="16"/>
          <w:szCs w:val="16"/>
          <w:lang w:val="es-MX"/>
        </w:rPr>
        <w:t xml:space="preserve">Protocolización del convenio celebrado el 20 de junio de 1969 entre el señor Virgilio Vélez y el señor James Judge. Anexo a comunicación del Estado de 23 de octubre de 2015. </w:t>
      </w:r>
    </w:p>
  </w:footnote>
  <w:footnote w:id="19">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11. </w:t>
      </w:r>
      <w:r w:rsidRPr="000C1446">
        <w:rPr>
          <w:rFonts w:asciiTheme="majorHAnsi" w:hAnsiTheme="majorHAnsi"/>
          <w:sz w:val="16"/>
          <w:szCs w:val="16"/>
          <w:lang w:val="es-MX"/>
        </w:rPr>
        <w:t>Decreto Supremo No. 320 del 25 de abril de 1975</w:t>
      </w:r>
      <w:r>
        <w:rPr>
          <w:rFonts w:asciiTheme="majorHAnsi" w:hAnsiTheme="majorHAnsi"/>
          <w:sz w:val="16"/>
          <w:szCs w:val="16"/>
          <w:lang w:val="es-MX"/>
        </w:rPr>
        <w:t>. A</w:t>
      </w:r>
      <w:r w:rsidRPr="000C1446">
        <w:rPr>
          <w:rFonts w:asciiTheme="majorHAnsi" w:hAnsiTheme="majorHAnsi"/>
          <w:sz w:val="16"/>
          <w:szCs w:val="16"/>
          <w:lang w:val="es-MX"/>
        </w:rPr>
        <w:t>nexo a comunicación del Estado de 23 de octubre de 2015.</w:t>
      </w:r>
    </w:p>
  </w:footnote>
  <w:footnote w:id="20">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11. </w:t>
      </w:r>
      <w:r w:rsidRPr="000C1446">
        <w:rPr>
          <w:rFonts w:asciiTheme="majorHAnsi" w:hAnsiTheme="majorHAnsi"/>
          <w:sz w:val="16"/>
          <w:szCs w:val="16"/>
          <w:lang w:val="es-MX"/>
        </w:rPr>
        <w:t>Decreto Supremo No. 320 del 25 de abril de 1975</w:t>
      </w:r>
      <w:r>
        <w:rPr>
          <w:rFonts w:asciiTheme="majorHAnsi" w:hAnsiTheme="majorHAnsi"/>
          <w:sz w:val="16"/>
          <w:szCs w:val="16"/>
          <w:lang w:val="es-MX"/>
        </w:rPr>
        <w:t>. A</w:t>
      </w:r>
      <w:r w:rsidRPr="000C1446">
        <w:rPr>
          <w:rFonts w:asciiTheme="majorHAnsi" w:hAnsiTheme="majorHAnsi"/>
          <w:sz w:val="16"/>
          <w:szCs w:val="16"/>
          <w:lang w:val="es-MX"/>
        </w:rPr>
        <w:t>nexo a comunicación del Estado de 23 de octubre de 2015.</w:t>
      </w:r>
    </w:p>
  </w:footnote>
  <w:footnote w:id="21">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12. </w:t>
      </w:r>
      <w:r w:rsidRPr="000C1446">
        <w:rPr>
          <w:rFonts w:asciiTheme="majorHAnsi" w:hAnsiTheme="majorHAnsi"/>
          <w:sz w:val="16"/>
          <w:szCs w:val="16"/>
          <w:lang w:val="es-MX"/>
        </w:rPr>
        <w:t>Resolución del Tribunal de lo Contencioso Administrativo del 18 de marzo de 1982. Anexo a comunicación del Estado de 23 de octubre de 2015.</w:t>
      </w:r>
    </w:p>
  </w:footnote>
  <w:footnote w:id="22">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12. </w:t>
      </w:r>
      <w:r w:rsidRPr="000C1446">
        <w:rPr>
          <w:rFonts w:asciiTheme="majorHAnsi" w:hAnsiTheme="majorHAnsi"/>
          <w:sz w:val="16"/>
          <w:szCs w:val="16"/>
          <w:lang w:val="es-MX"/>
        </w:rPr>
        <w:t>Resolución del Tribunal de lo Contencioso Administrativo del 18 de marzo de 1985. Anexo a comunicación del Estado de 23 de octubre de 2015.</w:t>
      </w:r>
    </w:p>
  </w:footnote>
  <w:footnote w:id="23">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12. </w:t>
      </w:r>
      <w:r w:rsidRPr="000C1446">
        <w:rPr>
          <w:rFonts w:asciiTheme="majorHAnsi" w:hAnsiTheme="majorHAnsi"/>
          <w:sz w:val="16"/>
          <w:szCs w:val="16"/>
          <w:lang w:val="es-MX"/>
        </w:rPr>
        <w:t>Resolución del Tribunal de lo Contencioso Administrativo del 18 de marzo de 1985. Anexo a comunicación del Estado de 23 de octubre de 2015.</w:t>
      </w:r>
    </w:p>
  </w:footnote>
  <w:footnote w:id="24">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12. </w:t>
      </w:r>
      <w:r w:rsidRPr="000C1446">
        <w:rPr>
          <w:rFonts w:asciiTheme="majorHAnsi" w:hAnsiTheme="majorHAnsi"/>
          <w:sz w:val="16"/>
          <w:szCs w:val="16"/>
          <w:lang w:val="es-MX"/>
        </w:rPr>
        <w:t xml:space="preserve">Resolución del Tribunal de lo Contencioso Administrativo del 18 de marzo de 1985. Anexo a comunicación del Estado de 23 de octubre de 2015. </w:t>
      </w:r>
    </w:p>
  </w:footnote>
  <w:footnote w:id="25">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13. </w:t>
      </w:r>
      <w:r w:rsidRPr="000C1446">
        <w:rPr>
          <w:rFonts w:asciiTheme="majorHAnsi" w:hAnsiTheme="majorHAnsi"/>
          <w:sz w:val="16"/>
          <w:szCs w:val="16"/>
          <w:lang w:val="es-MX"/>
        </w:rPr>
        <w:t xml:space="preserve">Resolución  del Tribunal de lo Contencioso Administrativo del 22 de abril de 1985. Anexo a comunicación del </w:t>
      </w:r>
      <w:r>
        <w:rPr>
          <w:rFonts w:asciiTheme="majorHAnsi" w:hAnsiTheme="majorHAnsi"/>
          <w:sz w:val="16"/>
          <w:szCs w:val="16"/>
          <w:lang w:val="es-MX"/>
        </w:rPr>
        <w:t>peticionario de 28 de diciembre de 1995</w:t>
      </w:r>
      <w:r w:rsidRPr="000C1446">
        <w:rPr>
          <w:rFonts w:asciiTheme="majorHAnsi" w:hAnsiTheme="majorHAnsi"/>
          <w:sz w:val="16"/>
          <w:szCs w:val="16"/>
          <w:lang w:val="es-MX"/>
        </w:rPr>
        <w:t xml:space="preserve">. </w:t>
      </w:r>
    </w:p>
  </w:footnote>
  <w:footnote w:id="26">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5. </w:t>
      </w:r>
      <w:r w:rsidRPr="000C1446">
        <w:rPr>
          <w:rFonts w:asciiTheme="majorHAnsi" w:hAnsiTheme="majorHAnsi"/>
          <w:sz w:val="16"/>
          <w:szCs w:val="16"/>
          <w:lang w:val="es-MX"/>
        </w:rPr>
        <w:t>Demanda</w:t>
      </w:r>
      <w:r>
        <w:rPr>
          <w:rFonts w:asciiTheme="majorHAnsi" w:hAnsiTheme="majorHAnsi"/>
          <w:sz w:val="16"/>
          <w:szCs w:val="16"/>
          <w:lang w:val="es-MX"/>
        </w:rPr>
        <w:t xml:space="preserve"> </w:t>
      </w:r>
      <w:r w:rsidRPr="000C1446">
        <w:rPr>
          <w:rFonts w:asciiTheme="majorHAnsi" w:hAnsiTheme="majorHAnsi"/>
          <w:sz w:val="16"/>
          <w:szCs w:val="16"/>
          <w:lang w:val="es-MX"/>
        </w:rPr>
        <w:t xml:space="preserve">de inconstitucionalidad interpuesta por el señor James Judge ante el Tribunal de Garantías Constitucionales el 12 de febrero de 1993. Anexo a comunicación del Estado de 23 de octubre de 2015. </w:t>
      </w:r>
    </w:p>
  </w:footnote>
  <w:footnote w:id="27">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5. </w:t>
      </w:r>
      <w:r w:rsidRPr="000C1446">
        <w:rPr>
          <w:rFonts w:asciiTheme="majorHAnsi" w:hAnsiTheme="majorHAnsi"/>
          <w:sz w:val="16"/>
          <w:szCs w:val="16"/>
          <w:lang w:val="es-MX"/>
        </w:rPr>
        <w:t>Demanda de inconstitucionalidad interpuesta por el señor James Judge ante el Tribunal de Garantías Constitucionales el 12 de febrero de 1993. Anexo a comunicación del Estado de 23 de octubre de 2015.</w:t>
      </w:r>
    </w:p>
  </w:footnote>
  <w:footnote w:id="28">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14. </w:t>
      </w:r>
      <w:r w:rsidRPr="000C1446">
        <w:rPr>
          <w:rFonts w:asciiTheme="majorHAnsi" w:hAnsiTheme="majorHAnsi"/>
          <w:sz w:val="16"/>
          <w:szCs w:val="16"/>
          <w:lang w:val="es-MX"/>
        </w:rPr>
        <w:t>Resolución 248-95-CP de 27 de diciembre de 1995 del Tribunal de Garantías Constitucionales</w:t>
      </w:r>
      <w:r>
        <w:rPr>
          <w:rFonts w:asciiTheme="majorHAnsi" w:hAnsiTheme="majorHAnsi"/>
          <w:sz w:val="16"/>
          <w:szCs w:val="16"/>
          <w:lang w:val="es-MX"/>
        </w:rPr>
        <w:t>.</w:t>
      </w:r>
      <w:r w:rsidRPr="000C1446">
        <w:rPr>
          <w:rFonts w:asciiTheme="majorHAnsi" w:hAnsiTheme="majorHAnsi"/>
          <w:sz w:val="16"/>
          <w:szCs w:val="16"/>
          <w:lang w:val="es-MX"/>
        </w:rPr>
        <w:t xml:space="preserve"> </w:t>
      </w:r>
      <w:r>
        <w:rPr>
          <w:rFonts w:asciiTheme="majorHAnsi" w:hAnsiTheme="majorHAnsi"/>
          <w:sz w:val="16"/>
          <w:szCs w:val="16"/>
          <w:lang w:val="es-MX"/>
        </w:rPr>
        <w:t>A</w:t>
      </w:r>
      <w:r w:rsidRPr="000C1446">
        <w:rPr>
          <w:rFonts w:asciiTheme="majorHAnsi" w:hAnsiTheme="majorHAnsi"/>
          <w:sz w:val="16"/>
          <w:szCs w:val="16"/>
          <w:lang w:val="es-MX"/>
        </w:rPr>
        <w:t>nexo a comunicación del Estado de 23 de octubre de 2015.</w:t>
      </w:r>
    </w:p>
  </w:footnote>
  <w:footnote w:id="29">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Pr>
          <w:rFonts w:asciiTheme="majorHAnsi" w:hAnsiTheme="majorHAnsi"/>
          <w:sz w:val="16"/>
          <w:szCs w:val="16"/>
          <w:lang w:val="es-MX"/>
        </w:rPr>
        <w:t xml:space="preserve"> Anexo 15.  </w:t>
      </w:r>
      <w:r w:rsidRPr="000C1446">
        <w:rPr>
          <w:rFonts w:asciiTheme="majorHAnsi" w:hAnsiTheme="majorHAnsi"/>
          <w:sz w:val="16"/>
          <w:szCs w:val="16"/>
          <w:lang w:val="es-MX"/>
        </w:rPr>
        <w:t>Comunicaci</w:t>
      </w:r>
      <w:r>
        <w:rPr>
          <w:rFonts w:asciiTheme="majorHAnsi" w:hAnsiTheme="majorHAnsi"/>
          <w:sz w:val="16"/>
          <w:szCs w:val="16"/>
          <w:lang w:val="es-MX"/>
        </w:rPr>
        <w:t xml:space="preserve">ones </w:t>
      </w:r>
      <w:r w:rsidRPr="000C1446">
        <w:rPr>
          <w:rFonts w:asciiTheme="majorHAnsi" w:hAnsiTheme="majorHAnsi"/>
          <w:sz w:val="16"/>
          <w:szCs w:val="16"/>
          <w:lang w:val="es-MX"/>
        </w:rPr>
        <w:t>del peticionario de 8 de marzo de 1997</w:t>
      </w:r>
      <w:r>
        <w:rPr>
          <w:rFonts w:asciiTheme="majorHAnsi" w:hAnsiTheme="majorHAnsi"/>
          <w:sz w:val="16"/>
          <w:szCs w:val="16"/>
          <w:lang w:val="es-MX"/>
        </w:rPr>
        <w:t xml:space="preserve"> y 20 de mayo de 2002</w:t>
      </w:r>
      <w:r w:rsidRPr="000C1446">
        <w:rPr>
          <w:rFonts w:asciiTheme="majorHAnsi" w:hAnsiTheme="majorHAnsi"/>
          <w:sz w:val="16"/>
          <w:szCs w:val="16"/>
          <w:lang w:val="es-MX"/>
        </w:rPr>
        <w:t>.</w:t>
      </w:r>
    </w:p>
  </w:footnote>
  <w:footnote w:id="30">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16. </w:t>
      </w:r>
      <w:r w:rsidRPr="000C1446">
        <w:rPr>
          <w:rFonts w:asciiTheme="majorHAnsi" w:hAnsiTheme="majorHAnsi"/>
          <w:sz w:val="16"/>
          <w:szCs w:val="16"/>
          <w:lang w:val="es-MX"/>
        </w:rPr>
        <w:t xml:space="preserve">Escrito presentado por el señor James Judge ante la Sala de lo Administrativo de la Corte Suprema de Justicia.  Anexo a comunicación del peticionario del 22 de abril de 1996. </w:t>
      </w:r>
    </w:p>
  </w:footnote>
  <w:footnote w:id="31">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17. </w:t>
      </w:r>
      <w:r w:rsidRPr="000C1446">
        <w:rPr>
          <w:rFonts w:asciiTheme="majorHAnsi" w:hAnsiTheme="majorHAnsi"/>
          <w:sz w:val="16"/>
          <w:szCs w:val="16"/>
          <w:lang w:val="es-MX"/>
        </w:rPr>
        <w:t xml:space="preserve">Escrito presentado por el señor James Judge ante el Tribunal Constitucional. Anexo a comunicación del peticionario del 26 de mayo de 2000. </w:t>
      </w:r>
    </w:p>
  </w:footnote>
  <w:footnote w:id="32">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6. </w:t>
      </w:r>
      <w:r w:rsidRPr="000C1446">
        <w:rPr>
          <w:rFonts w:asciiTheme="majorHAnsi" w:hAnsiTheme="majorHAnsi"/>
          <w:sz w:val="16"/>
          <w:szCs w:val="16"/>
          <w:lang w:val="es-MX"/>
        </w:rPr>
        <w:t>Comunicación del Estado de 23 de octubre de 2015.</w:t>
      </w:r>
    </w:p>
  </w:footnote>
  <w:footnote w:id="33">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6. </w:t>
      </w:r>
      <w:r w:rsidRPr="000C1446">
        <w:rPr>
          <w:rFonts w:asciiTheme="majorHAnsi" w:hAnsiTheme="majorHAnsi"/>
          <w:sz w:val="16"/>
          <w:szCs w:val="16"/>
          <w:lang w:val="es-MX"/>
        </w:rPr>
        <w:t>Comunicación del Estado de 23 de octubre de 2015.</w:t>
      </w:r>
    </w:p>
  </w:footnote>
  <w:footnote w:id="34">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Pr>
          <w:rFonts w:asciiTheme="majorHAnsi" w:hAnsiTheme="majorHAnsi"/>
          <w:sz w:val="16"/>
          <w:szCs w:val="16"/>
          <w:lang w:val="es-MX"/>
        </w:rPr>
        <w:t xml:space="preserve">Anexo 6. </w:t>
      </w:r>
      <w:r w:rsidRPr="000C1446">
        <w:rPr>
          <w:rFonts w:asciiTheme="majorHAnsi" w:hAnsiTheme="majorHAnsi"/>
          <w:sz w:val="16"/>
          <w:szCs w:val="16"/>
          <w:lang w:val="es-MX"/>
        </w:rPr>
        <w:t>Comunicación del Estado de 23 de octubre de 2015.</w:t>
      </w:r>
    </w:p>
  </w:footnote>
  <w:footnote w:id="35">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w:t>
      </w:r>
      <w:r w:rsidRPr="000C1446">
        <w:rPr>
          <w:rFonts w:asciiTheme="majorHAnsi" w:hAnsiTheme="majorHAnsi"/>
          <w:sz w:val="16"/>
          <w:szCs w:val="16"/>
          <w:lang w:val="es-ES"/>
        </w:rPr>
        <w:t xml:space="preserve">CIDH, </w:t>
      </w:r>
      <w:r>
        <w:rPr>
          <w:rFonts w:asciiTheme="majorHAnsi" w:hAnsiTheme="majorHAnsi"/>
          <w:sz w:val="16"/>
          <w:szCs w:val="16"/>
          <w:lang w:val="es-ES"/>
        </w:rPr>
        <w:t>Informe No. 10/02</w:t>
      </w:r>
      <w:r w:rsidRPr="000C1446">
        <w:rPr>
          <w:rFonts w:asciiTheme="majorHAnsi" w:hAnsiTheme="majorHAnsi"/>
          <w:sz w:val="16"/>
          <w:szCs w:val="16"/>
          <w:lang w:val="es-ES"/>
        </w:rPr>
        <w:t>, Petición 12.393,</w:t>
      </w:r>
      <w:r>
        <w:rPr>
          <w:rFonts w:asciiTheme="majorHAnsi" w:hAnsiTheme="majorHAnsi"/>
          <w:sz w:val="16"/>
          <w:szCs w:val="16"/>
          <w:lang w:val="es-ES"/>
        </w:rPr>
        <w:t xml:space="preserve"> Admisibilidad,</w:t>
      </w:r>
      <w:r w:rsidRPr="000C1446">
        <w:rPr>
          <w:rFonts w:asciiTheme="majorHAnsi" w:hAnsiTheme="majorHAnsi"/>
          <w:sz w:val="16"/>
          <w:szCs w:val="16"/>
          <w:lang w:val="es-ES"/>
        </w:rPr>
        <w:t xml:space="preserve"> </w:t>
      </w:r>
      <w:r>
        <w:rPr>
          <w:rFonts w:asciiTheme="majorHAnsi" w:hAnsiTheme="majorHAnsi"/>
          <w:i/>
          <w:sz w:val="16"/>
          <w:szCs w:val="16"/>
          <w:lang w:val="es-ES"/>
        </w:rPr>
        <w:t xml:space="preserve">James Judge, </w:t>
      </w:r>
      <w:r w:rsidRPr="000C1446">
        <w:rPr>
          <w:rFonts w:asciiTheme="majorHAnsi" w:hAnsiTheme="majorHAnsi"/>
          <w:sz w:val="16"/>
          <w:szCs w:val="16"/>
          <w:lang w:val="es-ES"/>
        </w:rPr>
        <w:t>Ecuador, 27 de febrero de 2002, pár</w:t>
      </w:r>
      <w:r>
        <w:rPr>
          <w:rFonts w:asciiTheme="majorHAnsi" w:hAnsiTheme="majorHAnsi"/>
          <w:sz w:val="16"/>
          <w:szCs w:val="16"/>
          <w:lang w:val="es-ES"/>
        </w:rPr>
        <w:t>r</w:t>
      </w:r>
      <w:r w:rsidRPr="000C1446">
        <w:rPr>
          <w:rFonts w:asciiTheme="majorHAnsi" w:hAnsiTheme="majorHAnsi"/>
          <w:sz w:val="16"/>
          <w:szCs w:val="16"/>
          <w:lang w:val="es-ES"/>
        </w:rPr>
        <w:t>. 16.</w:t>
      </w:r>
    </w:p>
  </w:footnote>
  <w:footnote w:id="36">
    <w:p w:rsidR="00B47F78" w:rsidRPr="000C1446"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Fonts w:asciiTheme="majorHAnsi" w:hAnsiTheme="majorHAnsi"/>
          <w:sz w:val="16"/>
          <w:szCs w:val="16"/>
          <w:lang w:val="es-CO"/>
        </w:rPr>
        <w:t xml:space="preserve"> Cabe mencionar que, aunque la Comisión tendría competencia para pronunciarse sobre hechos anteriores a la entrada en vigor de la Convención Americana, a la luz de la Declaración Americana de Derechos y Deberes del Hombre, en el presente caso no efectuará tal análisis pues desde el inicio de la petición y durante toda su tramitación, el caso no fue alegado ni admitido a la luz de este último instrumento sino exclusivamente a la luz del primero.  </w:t>
      </w:r>
    </w:p>
    <w:p w:rsidR="00B47F78" w:rsidRPr="000C1446" w:rsidRDefault="00B47F78" w:rsidP="00135F33">
      <w:pPr>
        <w:pStyle w:val="FootnoteText"/>
        <w:spacing w:after="120"/>
        <w:jc w:val="both"/>
        <w:rPr>
          <w:rFonts w:asciiTheme="majorHAnsi" w:hAnsiTheme="majorHAnsi"/>
          <w:sz w:val="16"/>
          <w:szCs w:val="16"/>
          <w:lang w:val="es-ES"/>
        </w:rPr>
      </w:pPr>
    </w:p>
  </w:footnote>
  <w:footnote w:id="37">
    <w:p w:rsidR="00B47F78" w:rsidRPr="000C1446" w:rsidRDefault="00B47F78" w:rsidP="00093A2D">
      <w:pPr>
        <w:pStyle w:val="FootnoteText"/>
        <w:spacing w:after="120"/>
        <w:ind w:firstLine="720"/>
        <w:jc w:val="both"/>
        <w:rPr>
          <w:rFonts w:asciiTheme="majorHAnsi" w:hAnsiTheme="majorHAnsi"/>
          <w:sz w:val="16"/>
          <w:szCs w:val="16"/>
          <w:lang w:val="es-MX"/>
        </w:rPr>
      </w:pPr>
      <w:r w:rsidRPr="000C1446">
        <w:rPr>
          <w:rStyle w:val="FootnoteReference"/>
          <w:rFonts w:asciiTheme="majorHAnsi" w:hAnsiTheme="majorHAnsi"/>
          <w:sz w:val="16"/>
          <w:szCs w:val="16"/>
        </w:rPr>
        <w:footnoteRef/>
      </w:r>
      <w:r w:rsidRPr="000C1446">
        <w:rPr>
          <w:rFonts w:asciiTheme="majorHAnsi" w:hAnsiTheme="majorHAnsi"/>
          <w:sz w:val="16"/>
          <w:szCs w:val="16"/>
          <w:lang w:val="es-MX"/>
        </w:rPr>
        <w:t xml:space="preserve"> CIDH. Informe No.125/12. Petición 12.354. Pueblos indígenas Kuna de </w:t>
      </w:r>
      <w:proofErr w:type="spellStart"/>
      <w:r w:rsidRPr="000C1446">
        <w:rPr>
          <w:rFonts w:asciiTheme="majorHAnsi" w:hAnsiTheme="majorHAnsi"/>
          <w:sz w:val="16"/>
          <w:szCs w:val="16"/>
          <w:lang w:val="es-MX"/>
        </w:rPr>
        <w:t>Madungandí</w:t>
      </w:r>
      <w:proofErr w:type="spellEnd"/>
      <w:r w:rsidRPr="000C1446">
        <w:rPr>
          <w:rFonts w:asciiTheme="majorHAnsi" w:hAnsiTheme="majorHAnsi"/>
          <w:sz w:val="16"/>
          <w:szCs w:val="16"/>
          <w:lang w:val="es-MX"/>
        </w:rPr>
        <w:t xml:space="preserve"> y </w:t>
      </w:r>
      <w:proofErr w:type="spellStart"/>
      <w:r w:rsidRPr="000C1446">
        <w:rPr>
          <w:rFonts w:asciiTheme="majorHAnsi" w:hAnsiTheme="majorHAnsi"/>
          <w:sz w:val="16"/>
          <w:szCs w:val="16"/>
          <w:lang w:val="es-MX"/>
        </w:rPr>
        <w:t>Embera</w:t>
      </w:r>
      <w:proofErr w:type="spellEnd"/>
      <w:r w:rsidRPr="000C1446">
        <w:rPr>
          <w:rFonts w:asciiTheme="majorHAnsi" w:hAnsiTheme="majorHAnsi"/>
          <w:sz w:val="16"/>
          <w:szCs w:val="16"/>
          <w:lang w:val="es-MX"/>
        </w:rPr>
        <w:t xml:space="preserve"> de Bayano y sus miembros. Panamá, pár. 191. Disponible en: </w:t>
      </w:r>
      <w:hyperlink r:id="rId2" w:history="1">
        <w:r w:rsidRPr="000C1446">
          <w:rPr>
            <w:rStyle w:val="Hyperlink"/>
            <w:rFonts w:asciiTheme="majorHAnsi" w:hAnsiTheme="majorHAnsi"/>
            <w:sz w:val="16"/>
            <w:szCs w:val="16"/>
            <w:lang w:val="es-MX"/>
          </w:rPr>
          <w:t>http://oas.org/es/decisiones/corte/12.352FondoEsp.pdf</w:t>
        </w:r>
      </w:hyperlink>
      <w:r>
        <w:rPr>
          <w:rStyle w:val="Hyperlink"/>
          <w:rFonts w:asciiTheme="majorHAnsi" w:hAnsiTheme="majorHAnsi"/>
          <w:sz w:val="16"/>
          <w:szCs w:val="16"/>
          <w:lang w:val="es-MX"/>
        </w:rPr>
        <w:t>.</w:t>
      </w:r>
      <w:r w:rsidRPr="000C1446">
        <w:rPr>
          <w:rFonts w:asciiTheme="majorHAnsi" w:hAnsiTheme="majorHAnsi"/>
          <w:sz w:val="16"/>
          <w:szCs w:val="16"/>
          <w:lang w:val="es-MX"/>
        </w:rPr>
        <w:t xml:space="preserve"> </w:t>
      </w:r>
    </w:p>
  </w:footnote>
  <w:footnote w:id="38">
    <w:p w:rsidR="00B47F78" w:rsidRPr="000C1446" w:rsidRDefault="00B47F78" w:rsidP="00135F33">
      <w:pPr>
        <w:pStyle w:val="Style2"/>
        <w:numPr>
          <w:ilvl w:val="0"/>
          <w:numId w:val="0"/>
        </w:numPr>
        <w:spacing w:after="120"/>
        <w:ind w:firstLine="720"/>
        <w:rPr>
          <w:rFonts w:asciiTheme="majorHAnsi" w:hAnsiTheme="majorHAnsi"/>
          <w:b/>
          <w:sz w:val="16"/>
          <w:szCs w:val="16"/>
        </w:rPr>
      </w:pPr>
      <w:r w:rsidRPr="000C1446">
        <w:rPr>
          <w:rStyle w:val="FootnoteReference"/>
          <w:rFonts w:asciiTheme="majorHAnsi" w:hAnsiTheme="majorHAnsi"/>
          <w:sz w:val="16"/>
          <w:szCs w:val="16"/>
        </w:rPr>
        <w:footnoteRef/>
      </w:r>
      <w:r w:rsidRPr="000C1446">
        <w:rPr>
          <w:rFonts w:asciiTheme="majorHAnsi" w:hAnsiTheme="majorHAnsi"/>
          <w:sz w:val="16"/>
          <w:szCs w:val="16"/>
          <w:lang w:val="pt-BR"/>
        </w:rPr>
        <w:t xml:space="preserve"> </w:t>
      </w:r>
      <w:r w:rsidRPr="000C1446">
        <w:rPr>
          <w:rStyle w:val="Strong"/>
          <w:rFonts w:asciiTheme="majorHAnsi" w:hAnsiTheme="majorHAnsi"/>
          <w:b w:val="0"/>
          <w:sz w:val="16"/>
          <w:szCs w:val="16"/>
          <w:lang w:val="pt-BR"/>
        </w:rPr>
        <w:t xml:space="preserve">Corte IDH. </w:t>
      </w:r>
      <w:r w:rsidRPr="00093A2D">
        <w:rPr>
          <w:rStyle w:val="Strong"/>
          <w:rFonts w:asciiTheme="majorHAnsi" w:hAnsiTheme="majorHAnsi"/>
          <w:b w:val="0"/>
          <w:i/>
          <w:sz w:val="16"/>
          <w:szCs w:val="16"/>
          <w:lang w:val="pt-BR"/>
        </w:rPr>
        <w:t xml:space="preserve">Caso Salvador Chiriboga Vs. </w:t>
      </w:r>
      <w:r w:rsidRPr="00093A2D">
        <w:rPr>
          <w:rStyle w:val="Strong"/>
          <w:rFonts w:asciiTheme="majorHAnsi" w:hAnsiTheme="majorHAnsi"/>
          <w:b w:val="0"/>
          <w:i/>
          <w:sz w:val="16"/>
          <w:szCs w:val="16"/>
        </w:rPr>
        <w:t>Ecuador</w:t>
      </w:r>
      <w:r w:rsidRPr="000C1446">
        <w:rPr>
          <w:rStyle w:val="Strong"/>
          <w:rFonts w:asciiTheme="majorHAnsi" w:hAnsiTheme="majorHAnsi"/>
          <w:b w:val="0"/>
          <w:sz w:val="16"/>
          <w:szCs w:val="16"/>
        </w:rPr>
        <w:t xml:space="preserve">. Excepción Preliminar y Fondo. Sentencia de 6 de mayo de 2008. Serie C No. 179. Párr. 55. Citando. </w:t>
      </w:r>
      <w:r w:rsidRPr="000C1446">
        <w:rPr>
          <w:rFonts w:asciiTheme="majorHAnsi" w:hAnsiTheme="majorHAnsi"/>
          <w:sz w:val="16"/>
          <w:szCs w:val="16"/>
          <w:lang w:val="es-CO"/>
        </w:rPr>
        <w:t xml:space="preserve">Cfr. </w:t>
      </w:r>
      <w:r w:rsidRPr="000C1446">
        <w:rPr>
          <w:rFonts w:asciiTheme="majorHAnsi" w:hAnsiTheme="majorHAnsi"/>
          <w:bCs/>
          <w:color w:val="000000"/>
          <w:sz w:val="16"/>
          <w:szCs w:val="16"/>
          <w:lang w:val="es-CO"/>
        </w:rPr>
        <w:t xml:space="preserve">Caso Chaparro Álvarez y Lapo Íñiguez. Vs. Ecuador. </w:t>
      </w:r>
      <w:r w:rsidRPr="000C1446">
        <w:rPr>
          <w:rFonts w:asciiTheme="majorHAnsi" w:hAnsiTheme="majorHAnsi"/>
          <w:color w:val="000000"/>
          <w:sz w:val="16"/>
          <w:szCs w:val="16"/>
          <w:lang w:val="es-CO"/>
        </w:rPr>
        <w:t xml:space="preserve">Excepciones Preliminares, Fondo, Reparaciones y Costas. Sentencia de 21 de noviembre de 2007. Serie C No. 170, </w:t>
      </w:r>
      <w:r w:rsidRPr="000C1446">
        <w:rPr>
          <w:rFonts w:asciiTheme="majorHAnsi" w:hAnsiTheme="majorHAnsi"/>
          <w:sz w:val="16"/>
          <w:szCs w:val="16"/>
          <w:lang w:val="es-CO"/>
        </w:rPr>
        <w:t>párr.  174.</w:t>
      </w:r>
    </w:p>
  </w:footnote>
  <w:footnote w:id="39">
    <w:p w:rsidR="00B47F78" w:rsidRPr="000C1446" w:rsidRDefault="00B47F78" w:rsidP="00135F33">
      <w:pPr>
        <w:pStyle w:val="Style2"/>
        <w:numPr>
          <w:ilvl w:val="0"/>
          <w:numId w:val="0"/>
        </w:numPr>
        <w:spacing w:after="120"/>
        <w:ind w:firstLine="720"/>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Style w:val="Strong"/>
          <w:rFonts w:asciiTheme="majorHAnsi" w:hAnsiTheme="majorHAnsi"/>
          <w:b w:val="0"/>
          <w:sz w:val="16"/>
          <w:szCs w:val="16"/>
          <w:lang w:val="es-CO"/>
        </w:rPr>
        <w:t xml:space="preserve"> Corte IDH. </w:t>
      </w:r>
      <w:r w:rsidRPr="00093A2D">
        <w:rPr>
          <w:rStyle w:val="Strong"/>
          <w:rFonts w:asciiTheme="majorHAnsi" w:hAnsiTheme="majorHAnsi"/>
          <w:b w:val="0"/>
          <w:i/>
          <w:sz w:val="16"/>
          <w:szCs w:val="16"/>
          <w:lang w:val="es-CO"/>
        </w:rPr>
        <w:t>Caso Salvador Chiriboga Vs. Ecuador</w:t>
      </w:r>
      <w:r w:rsidRPr="000C1446">
        <w:rPr>
          <w:rStyle w:val="Strong"/>
          <w:rFonts w:asciiTheme="majorHAnsi" w:hAnsiTheme="majorHAnsi"/>
          <w:b w:val="0"/>
          <w:sz w:val="16"/>
          <w:szCs w:val="16"/>
          <w:lang w:val="es-CO"/>
        </w:rPr>
        <w:t xml:space="preserve">. Excepción Preliminar y Fondo. Sentencia de 6 de mayo de 2008. Serie C No. 179. Párr. 55. Citando. </w:t>
      </w:r>
      <w:r w:rsidRPr="000C1446">
        <w:rPr>
          <w:rFonts w:asciiTheme="majorHAnsi" w:hAnsiTheme="majorHAnsi"/>
          <w:sz w:val="16"/>
          <w:szCs w:val="16"/>
          <w:lang w:val="es-CO"/>
        </w:rPr>
        <w:t xml:space="preserve">Cfr. </w:t>
      </w:r>
      <w:r w:rsidRPr="000C1446">
        <w:rPr>
          <w:rFonts w:asciiTheme="majorHAnsi" w:hAnsiTheme="majorHAnsi"/>
          <w:color w:val="000000"/>
          <w:sz w:val="16"/>
          <w:szCs w:val="16"/>
          <w:lang w:val="es-CO"/>
        </w:rPr>
        <w:t xml:space="preserve">Caso de la Comunidad </w:t>
      </w:r>
      <w:proofErr w:type="spellStart"/>
      <w:r w:rsidRPr="000C1446">
        <w:rPr>
          <w:rFonts w:asciiTheme="majorHAnsi" w:hAnsiTheme="majorHAnsi"/>
          <w:color w:val="000000"/>
          <w:sz w:val="16"/>
          <w:szCs w:val="16"/>
          <w:lang w:val="es-CO"/>
        </w:rPr>
        <w:t>Mayagna</w:t>
      </w:r>
      <w:proofErr w:type="spellEnd"/>
      <w:r w:rsidRPr="000C1446">
        <w:rPr>
          <w:rFonts w:asciiTheme="majorHAnsi" w:hAnsiTheme="majorHAnsi"/>
          <w:color w:val="000000"/>
          <w:sz w:val="16"/>
          <w:szCs w:val="16"/>
          <w:lang w:val="es-CO"/>
        </w:rPr>
        <w:t xml:space="preserve"> (Sumo) </w:t>
      </w:r>
      <w:proofErr w:type="spellStart"/>
      <w:r w:rsidRPr="000C1446">
        <w:rPr>
          <w:rFonts w:asciiTheme="majorHAnsi" w:hAnsiTheme="majorHAnsi"/>
          <w:color w:val="000000"/>
          <w:sz w:val="16"/>
          <w:szCs w:val="16"/>
          <w:lang w:val="es-CO"/>
        </w:rPr>
        <w:t>Awas</w:t>
      </w:r>
      <w:proofErr w:type="spellEnd"/>
      <w:r w:rsidRPr="000C1446">
        <w:rPr>
          <w:rFonts w:asciiTheme="majorHAnsi" w:hAnsiTheme="majorHAnsi"/>
          <w:color w:val="000000"/>
          <w:sz w:val="16"/>
          <w:szCs w:val="16"/>
          <w:lang w:val="es-CO"/>
        </w:rPr>
        <w:t xml:space="preserve"> </w:t>
      </w:r>
      <w:proofErr w:type="spellStart"/>
      <w:r w:rsidRPr="000C1446">
        <w:rPr>
          <w:rFonts w:asciiTheme="majorHAnsi" w:hAnsiTheme="majorHAnsi"/>
          <w:color w:val="000000"/>
          <w:sz w:val="16"/>
          <w:szCs w:val="16"/>
          <w:lang w:val="es-CO"/>
        </w:rPr>
        <w:t>Tingni</w:t>
      </w:r>
      <w:proofErr w:type="spellEnd"/>
      <w:r w:rsidRPr="000C1446">
        <w:rPr>
          <w:rFonts w:asciiTheme="majorHAnsi" w:hAnsiTheme="majorHAnsi"/>
          <w:color w:val="000000"/>
          <w:sz w:val="16"/>
          <w:szCs w:val="16"/>
          <w:lang w:val="es-CO"/>
        </w:rPr>
        <w:t xml:space="preserve"> Vs. Nicaragua. Fondo, Reparaciones y Costas. Sentencia de 31 de agosto de 2001. Serie C No. 79,</w:t>
      </w:r>
      <w:r w:rsidRPr="000C1446">
        <w:rPr>
          <w:rFonts w:asciiTheme="majorHAnsi" w:hAnsiTheme="majorHAnsi"/>
          <w:sz w:val="16"/>
          <w:szCs w:val="16"/>
          <w:lang w:val="es-CO"/>
        </w:rPr>
        <w:t xml:space="preserve"> párr. 144; </w:t>
      </w:r>
      <w:r w:rsidRPr="000C1446">
        <w:rPr>
          <w:rFonts w:asciiTheme="majorHAnsi" w:hAnsiTheme="majorHAnsi"/>
          <w:bCs/>
          <w:color w:val="000000"/>
          <w:sz w:val="16"/>
          <w:szCs w:val="16"/>
          <w:lang w:val="es-CO"/>
        </w:rPr>
        <w:t xml:space="preserve">Caso </w:t>
      </w:r>
      <w:proofErr w:type="spellStart"/>
      <w:r w:rsidRPr="000C1446">
        <w:rPr>
          <w:rFonts w:asciiTheme="majorHAnsi" w:hAnsiTheme="majorHAnsi"/>
          <w:bCs/>
          <w:color w:val="000000"/>
          <w:sz w:val="16"/>
          <w:szCs w:val="16"/>
          <w:lang w:val="es-CO"/>
        </w:rPr>
        <w:t>Palamara</w:t>
      </w:r>
      <w:proofErr w:type="spellEnd"/>
      <w:r w:rsidRPr="000C1446">
        <w:rPr>
          <w:rFonts w:asciiTheme="majorHAnsi" w:hAnsiTheme="majorHAnsi"/>
          <w:bCs/>
          <w:color w:val="000000"/>
          <w:sz w:val="16"/>
          <w:szCs w:val="16"/>
          <w:lang w:val="es-CO"/>
        </w:rPr>
        <w:t xml:space="preserve"> Iribarne Vs. Chile. </w:t>
      </w:r>
      <w:r w:rsidRPr="000C1446">
        <w:rPr>
          <w:rFonts w:asciiTheme="majorHAnsi" w:hAnsiTheme="majorHAnsi"/>
          <w:color w:val="000000"/>
          <w:sz w:val="16"/>
          <w:szCs w:val="16"/>
          <w:lang w:val="es-CO"/>
        </w:rPr>
        <w:t>Fondo, Reparaciones y Costas. Sentencia de 22 de noviembre de 2005. Serie C No. 135</w:t>
      </w:r>
      <w:r w:rsidRPr="000C1446">
        <w:rPr>
          <w:rFonts w:asciiTheme="majorHAnsi" w:hAnsiTheme="majorHAnsi"/>
          <w:sz w:val="16"/>
          <w:szCs w:val="16"/>
          <w:lang w:val="es-CO"/>
        </w:rPr>
        <w:t xml:space="preserve">, párr.102; </w:t>
      </w:r>
      <w:r w:rsidRPr="000C1446">
        <w:rPr>
          <w:rFonts w:asciiTheme="majorHAnsi" w:hAnsiTheme="majorHAnsi"/>
          <w:bCs/>
          <w:color w:val="000000"/>
          <w:sz w:val="16"/>
          <w:szCs w:val="16"/>
          <w:lang w:val="es-CO"/>
        </w:rPr>
        <w:t xml:space="preserve">Caso Comunidad Indígena </w:t>
      </w:r>
      <w:proofErr w:type="spellStart"/>
      <w:r w:rsidRPr="000C1446">
        <w:rPr>
          <w:rFonts w:asciiTheme="majorHAnsi" w:hAnsiTheme="majorHAnsi"/>
          <w:bCs/>
          <w:color w:val="000000"/>
          <w:sz w:val="16"/>
          <w:szCs w:val="16"/>
          <w:lang w:val="es-CO"/>
        </w:rPr>
        <w:t>Yakye</w:t>
      </w:r>
      <w:proofErr w:type="spellEnd"/>
      <w:r w:rsidRPr="000C1446">
        <w:rPr>
          <w:rFonts w:asciiTheme="majorHAnsi" w:hAnsiTheme="majorHAnsi"/>
          <w:bCs/>
          <w:color w:val="000000"/>
          <w:sz w:val="16"/>
          <w:szCs w:val="16"/>
          <w:lang w:val="es-CO"/>
        </w:rPr>
        <w:t xml:space="preserve"> Axa Vs. Paraguay. </w:t>
      </w:r>
      <w:r w:rsidRPr="000C1446">
        <w:rPr>
          <w:rFonts w:asciiTheme="majorHAnsi" w:hAnsiTheme="majorHAnsi"/>
          <w:color w:val="000000"/>
          <w:sz w:val="16"/>
          <w:szCs w:val="16"/>
          <w:lang w:val="es-CO"/>
        </w:rPr>
        <w:t>Fondo Reparaciones y Costas. Sentencia 17 de junio de 2005. Serie C No. 125</w:t>
      </w:r>
      <w:r w:rsidRPr="000C1446">
        <w:rPr>
          <w:rFonts w:asciiTheme="majorHAnsi" w:hAnsiTheme="majorHAnsi"/>
          <w:sz w:val="16"/>
          <w:szCs w:val="16"/>
          <w:lang w:val="es-CO"/>
        </w:rPr>
        <w:t xml:space="preserve">, párr. 137; y </w:t>
      </w:r>
      <w:r w:rsidRPr="000C1446">
        <w:rPr>
          <w:rFonts w:asciiTheme="majorHAnsi" w:hAnsiTheme="majorHAnsi"/>
          <w:bCs/>
          <w:color w:val="000000"/>
          <w:sz w:val="16"/>
          <w:szCs w:val="16"/>
          <w:lang w:val="es-CO"/>
        </w:rPr>
        <w:t xml:space="preserve">Caso de la Comunidad </w:t>
      </w:r>
      <w:proofErr w:type="spellStart"/>
      <w:r w:rsidRPr="000C1446">
        <w:rPr>
          <w:rFonts w:asciiTheme="majorHAnsi" w:hAnsiTheme="majorHAnsi"/>
          <w:bCs/>
          <w:color w:val="000000"/>
          <w:sz w:val="16"/>
          <w:szCs w:val="16"/>
          <w:lang w:val="es-CO"/>
        </w:rPr>
        <w:t>Moiwana</w:t>
      </w:r>
      <w:proofErr w:type="spellEnd"/>
      <w:r w:rsidRPr="000C1446">
        <w:rPr>
          <w:rFonts w:asciiTheme="majorHAnsi" w:hAnsiTheme="majorHAnsi"/>
          <w:bCs/>
          <w:color w:val="000000"/>
          <w:sz w:val="16"/>
          <w:szCs w:val="16"/>
          <w:lang w:val="es-CO"/>
        </w:rPr>
        <w:t xml:space="preserve"> Vs. </w:t>
      </w:r>
      <w:proofErr w:type="spellStart"/>
      <w:r w:rsidRPr="000C1446">
        <w:rPr>
          <w:rFonts w:asciiTheme="majorHAnsi" w:hAnsiTheme="majorHAnsi"/>
          <w:bCs/>
          <w:color w:val="000000"/>
          <w:sz w:val="16"/>
          <w:szCs w:val="16"/>
          <w:lang w:val="es-CO"/>
        </w:rPr>
        <w:t>Suriname</w:t>
      </w:r>
      <w:proofErr w:type="spellEnd"/>
      <w:r w:rsidRPr="000C1446">
        <w:rPr>
          <w:rFonts w:asciiTheme="majorHAnsi" w:hAnsiTheme="majorHAnsi"/>
          <w:bCs/>
          <w:color w:val="000000"/>
          <w:sz w:val="16"/>
          <w:szCs w:val="16"/>
          <w:lang w:val="es-CO"/>
        </w:rPr>
        <w:t xml:space="preserve">. </w:t>
      </w:r>
      <w:r w:rsidRPr="000C1446">
        <w:rPr>
          <w:rFonts w:asciiTheme="majorHAnsi" w:hAnsiTheme="majorHAnsi"/>
          <w:color w:val="000000"/>
          <w:sz w:val="16"/>
          <w:szCs w:val="16"/>
          <w:lang w:val="es-CO"/>
        </w:rPr>
        <w:t>Excepciones Preliminares, Fondo, Reparaciones y Costas. Sentencia 15 de junio de 2005. Serie C No. 124</w:t>
      </w:r>
      <w:r w:rsidRPr="000C1446">
        <w:rPr>
          <w:rFonts w:asciiTheme="majorHAnsi" w:hAnsiTheme="majorHAnsi"/>
          <w:sz w:val="16"/>
          <w:szCs w:val="16"/>
          <w:lang w:val="es-CO"/>
        </w:rPr>
        <w:t xml:space="preserve">, párr. 129. </w:t>
      </w:r>
    </w:p>
  </w:footnote>
  <w:footnote w:id="40">
    <w:p w:rsidR="00B47F78" w:rsidRPr="000C1446"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Fonts w:asciiTheme="majorHAnsi" w:hAnsiTheme="majorHAnsi"/>
          <w:sz w:val="16"/>
          <w:szCs w:val="16"/>
          <w:lang w:val="es-CO"/>
        </w:rPr>
        <w:t xml:space="preserve"> </w:t>
      </w:r>
      <w:r w:rsidRPr="000C1446">
        <w:rPr>
          <w:rStyle w:val="Strong"/>
          <w:rFonts w:asciiTheme="majorHAnsi" w:hAnsiTheme="majorHAnsi"/>
          <w:b w:val="0"/>
          <w:sz w:val="16"/>
          <w:szCs w:val="16"/>
          <w:lang w:val="es-CO"/>
        </w:rPr>
        <w:t xml:space="preserve">Corte IDH. </w:t>
      </w:r>
      <w:r w:rsidRPr="00093A2D">
        <w:rPr>
          <w:rStyle w:val="Strong"/>
          <w:rFonts w:asciiTheme="majorHAnsi" w:hAnsiTheme="majorHAnsi"/>
          <w:b w:val="0"/>
          <w:i/>
          <w:sz w:val="16"/>
          <w:szCs w:val="16"/>
          <w:lang w:val="es-CO"/>
        </w:rPr>
        <w:t>Caso Salvador Chiriboga Vs. Ecuador</w:t>
      </w:r>
      <w:r w:rsidRPr="000C1446">
        <w:rPr>
          <w:rStyle w:val="Strong"/>
          <w:rFonts w:asciiTheme="majorHAnsi" w:hAnsiTheme="majorHAnsi"/>
          <w:b w:val="0"/>
          <w:sz w:val="16"/>
          <w:szCs w:val="16"/>
          <w:lang w:val="es-CO"/>
        </w:rPr>
        <w:t xml:space="preserve">. Excepción Preliminar y Fondo. Sentencia de 6 de mayo de 2008. Serie C No. 179. Párr. 55. Citando. </w:t>
      </w:r>
      <w:r w:rsidRPr="000C1446">
        <w:rPr>
          <w:rFonts w:asciiTheme="majorHAnsi" w:hAnsiTheme="majorHAnsi"/>
          <w:sz w:val="16"/>
          <w:szCs w:val="16"/>
          <w:lang w:val="es-CO"/>
        </w:rPr>
        <w:t xml:space="preserve">Cfr. </w:t>
      </w:r>
      <w:r w:rsidRPr="000C1446">
        <w:rPr>
          <w:rFonts w:asciiTheme="majorHAnsi" w:hAnsiTheme="majorHAnsi"/>
          <w:bCs/>
          <w:sz w:val="16"/>
          <w:szCs w:val="16"/>
          <w:lang w:val="es-CO"/>
        </w:rPr>
        <w:t xml:space="preserve">Caso "Cinco Pensionistas" Vs. Perú. </w:t>
      </w:r>
      <w:r w:rsidRPr="000C1446">
        <w:rPr>
          <w:rFonts w:asciiTheme="majorHAnsi" w:hAnsiTheme="majorHAnsi"/>
          <w:sz w:val="16"/>
          <w:szCs w:val="16"/>
          <w:lang w:val="es-CO"/>
        </w:rPr>
        <w:t>Fondo, Reparaciones y Costas. Sentencia de 28 de febrero de 2003. Serie C No. 98, párr. 102.</w:t>
      </w:r>
    </w:p>
  </w:footnote>
  <w:footnote w:id="41">
    <w:p w:rsidR="00B47F78" w:rsidRPr="000C1446"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Fonts w:asciiTheme="majorHAnsi" w:hAnsiTheme="majorHAnsi"/>
          <w:sz w:val="16"/>
          <w:szCs w:val="16"/>
          <w:lang w:val="es-CO"/>
        </w:rPr>
        <w:t xml:space="preserve"> </w:t>
      </w:r>
      <w:r w:rsidRPr="000C1446">
        <w:rPr>
          <w:rStyle w:val="Strong"/>
          <w:rFonts w:asciiTheme="majorHAnsi" w:hAnsiTheme="majorHAnsi"/>
          <w:b w:val="0"/>
          <w:sz w:val="16"/>
          <w:szCs w:val="16"/>
          <w:lang w:val="es-CO"/>
        </w:rPr>
        <w:t xml:space="preserve">Corte IDH. </w:t>
      </w:r>
      <w:r w:rsidRPr="00093A2D">
        <w:rPr>
          <w:rStyle w:val="Strong"/>
          <w:rFonts w:asciiTheme="majorHAnsi" w:hAnsiTheme="majorHAnsi"/>
          <w:b w:val="0"/>
          <w:i/>
          <w:sz w:val="16"/>
          <w:szCs w:val="16"/>
          <w:lang w:val="es-CO"/>
        </w:rPr>
        <w:t>Caso Salvador Chiriboga Vs. Ecuador</w:t>
      </w:r>
      <w:r w:rsidRPr="000C1446">
        <w:rPr>
          <w:rStyle w:val="Strong"/>
          <w:rFonts w:asciiTheme="majorHAnsi" w:hAnsiTheme="majorHAnsi"/>
          <w:b w:val="0"/>
          <w:sz w:val="16"/>
          <w:szCs w:val="16"/>
          <w:lang w:val="es-CO"/>
        </w:rPr>
        <w:t xml:space="preserve">. Excepción Preliminar y Fondo. Sentencia de 6 de mayo de 2008. Serie C No. 179. Párr. 61. </w:t>
      </w:r>
    </w:p>
  </w:footnote>
  <w:footnote w:id="42">
    <w:p w:rsidR="00B47F78" w:rsidRPr="00FB6AC9" w:rsidRDefault="00B47F78" w:rsidP="00B61E52">
      <w:pPr>
        <w:pStyle w:val="Style2"/>
        <w:numPr>
          <w:ilvl w:val="0"/>
          <w:numId w:val="0"/>
        </w:numPr>
        <w:spacing w:after="120"/>
        <w:ind w:firstLine="720"/>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Fonts w:asciiTheme="majorHAnsi" w:hAnsiTheme="majorHAnsi"/>
          <w:sz w:val="16"/>
          <w:szCs w:val="16"/>
          <w:lang w:val="es-CO"/>
        </w:rPr>
        <w:t xml:space="preserve"> </w:t>
      </w:r>
      <w:r w:rsidRPr="000C1446">
        <w:rPr>
          <w:rStyle w:val="Strong"/>
          <w:rFonts w:asciiTheme="majorHAnsi" w:hAnsiTheme="majorHAnsi"/>
          <w:b w:val="0"/>
          <w:sz w:val="16"/>
          <w:szCs w:val="16"/>
          <w:lang w:val="es-CO"/>
        </w:rPr>
        <w:t xml:space="preserve">Corte IDH. </w:t>
      </w:r>
      <w:r w:rsidRPr="00093A2D">
        <w:rPr>
          <w:rStyle w:val="Strong"/>
          <w:rFonts w:asciiTheme="majorHAnsi" w:hAnsiTheme="majorHAnsi"/>
          <w:b w:val="0"/>
          <w:i/>
          <w:sz w:val="16"/>
          <w:szCs w:val="16"/>
          <w:lang w:val="es-CO"/>
        </w:rPr>
        <w:t xml:space="preserve">Caso "Cinco Pensionistas" Vs. </w:t>
      </w:r>
      <w:r w:rsidRPr="00093A2D">
        <w:rPr>
          <w:rStyle w:val="Strong"/>
          <w:rFonts w:asciiTheme="majorHAnsi" w:hAnsiTheme="majorHAnsi"/>
          <w:b w:val="0"/>
          <w:i/>
          <w:sz w:val="16"/>
          <w:szCs w:val="16"/>
        </w:rPr>
        <w:t>Perú</w:t>
      </w:r>
      <w:r w:rsidRPr="000C1446">
        <w:rPr>
          <w:rStyle w:val="Strong"/>
          <w:rFonts w:asciiTheme="majorHAnsi" w:hAnsiTheme="majorHAnsi"/>
          <w:b w:val="0"/>
          <w:sz w:val="16"/>
          <w:szCs w:val="16"/>
        </w:rPr>
        <w:t xml:space="preserve">. Fondo, Reparaciones y Costas. Sentencia de 28 de febrero de 2003. Serie C No. 98. Párr. 102. </w:t>
      </w:r>
    </w:p>
  </w:footnote>
  <w:footnote w:id="43">
    <w:p w:rsidR="00B47F78" w:rsidRPr="00FB6AC9" w:rsidRDefault="00B47F78" w:rsidP="00FB6AC9">
      <w:pPr>
        <w:pStyle w:val="FootnoteText"/>
        <w:ind w:firstLine="720"/>
        <w:jc w:val="both"/>
        <w:rPr>
          <w:sz w:val="16"/>
          <w:szCs w:val="16"/>
          <w:lang w:val="es-ES"/>
        </w:rPr>
      </w:pPr>
      <w:r w:rsidRPr="00FB6AC9">
        <w:rPr>
          <w:rStyle w:val="FootnoteReference"/>
          <w:sz w:val="16"/>
          <w:szCs w:val="16"/>
        </w:rPr>
        <w:footnoteRef/>
      </w:r>
      <w:r w:rsidRPr="00FB6AC9">
        <w:rPr>
          <w:sz w:val="16"/>
          <w:szCs w:val="16"/>
          <w:lang w:val="es-MX"/>
        </w:rPr>
        <w:t xml:space="preserve"> </w:t>
      </w:r>
      <w:r>
        <w:rPr>
          <w:sz w:val="16"/>
          <w:szCs w:val="16"/>
          <w:lang w:val="es-MX"/>
        </w:rPr>
        <w:t>En ese sentido, l</w:t>
      </w:r>
      <w:r w:rsidRPr="00FB6AC9">
        <w:rPr>
          <w:sz w:val="16"/>
          <w:szCs w:val="16"/>
          <w:lang w:val="es-ES"/>
        </w:rPr>
        <w:t xml:space="preserve">a Convención </w:t>
      </w:r>
      <w:r>
        <w:rPr>
          <w:sz w:val="16"/>
          <w:szCs w:val="16"/>
          <w:lang w:val="es-ES"/>
        </w:rPr>
        <w:t xml:space="preserve">sobre </w:t>
      </w:r>
      <w:r w:rsidRPr="00FB6AC9">
        <w:rPr>
          <w:sz w:val="16"/>
          <w:szCs w:val="16"/>
          <w:lang w:val="es-ES"/>
        </w:rPr>
        <w:t>la Protección del Patrimonio mundial, cultural y natur</w:t>
      </w:r>
      <w:r>
        <w:rPr>
          <w:sz w:val="16"/>
          <w:szCs w:val="16"/>
          <w:lang w:val="es-ES"/>
        </w:rPr>
        <w:t xml:space="preserve">al, aprobada el 16 de noviembre de 1972, por la Conferencia General de la Organización de las Naciones Unidas para la Educación, la Ciencia y la Cultura (UNESCO) hace referencia a la importancia que tiene para todos los pueblos del mundo, la conservación de bienes únicos e irremplazables e indica que incumbe </w:t>
      </w:r>
      <w:r w:rsidRPr="00FB6AC9">
        <w:rPr>
          <w:sz w:val="16"/>
          <w:szCs w:val="16"/>
          <w:lang w:val="es-ES"/>
        </w:rPr>
        <w:t>a cada Estado Parte identificar y delimitar como patrimonio cultural, los diversos bienes situados en su territorio</w:t>
      </w:r>
      <w:r>
        <w:rPr>
          <w:sz w:val="16"/>
          <w:szCs w:val="16"/>
          <w:lang w:val="es-ES"/>
        </w:rPr>
        <w:t xml:space="preserve">. Disponible en </w:t>
      </w:r>
      <w:r w:rsidRPr="00FB6AC9">
        <w:rPr>
          <w:sz w:val="16"/>
          <w:szCs w:val="16"/>
          <w:lang w:val="es-ES"/>
        </w:rPr>
        <w:t xml:space="preserve"> </w:t>
      </w:r>
      <w:hyperlink r:id="rId3" w:history="1">
        <w:r w:rsidRPr="00C91A72">
          <w:rPr>
            <w:rStyle w:val="Hyperlink"/>
            <w:sz w:val="16"/>
            <w:szCs w:val="16"/>
            <w:lang w:val="es-ES"/>
          </w:rPr>
          <w:t>http://whc.unesco.org/archive/convention-es.pdf</w:t>
        </w:r>
      </w:hyperlink>
      <w:r>
        <w:rPr>
          <w:sz w:val="16"/>
          <w:szCs w:val="16"/>
          <w:lang w:val="es-ES"/>
        </w:rPr>
        <w:t xml:space="preserve">. </w:t>
      </w:r>
    </w:p>
    <w:p w:rsidR="00B47F78" w:rsidRPr="00FB6AC9" w:rsidRDefault="00B47F78" w:rsidP="00FB6AC9">
      <w:pPr>
        <w:pStyle w:val="FootnoteText"/>
        <w:ind w:firstLine="720"/>
        <w:rPr>
          <w:lang w:val="es-ES"/>
        </w:rPr>
      </w:pPr>
    </w:p>
  </w:footnote>
  <w:footnote w:id="44">
    <w:p w:rsidR="00B47F78" w:rsidRPr="000C1446" w:rsidRDefault="00B47F78" w:rsidP="00135F33">
      <w:pPr>
        <w:pStyle w:val="FootnoteText"/>
        <w:spacing w:after="120"/>
        <w:ind w:firstLine="720"/>
        <w:jc w:val="both"/>
        <w:rPr>
          <w:rFonts w:asciiTheme="majorHAnsi" w:hAnsiTheme="majorHAnsi"/>
          <w:sz w:val="16"/>
          <w:szCs w:val="16"/>
          <w:lang w:val="es-MX"/>
        </w:rPr>
      </w:pPr>
      <w:r w:rsidRPr="000C1446">
        <w:rPr>
          <w:rStyle w:val="FootnoteReference"/>
          <w:rFonts w:asciiTheme="majorHAnsi" w:eastAsia="Times New Roman" w:hAnsiTheme="majorHAnsi"/>
          <w:sz w:val="16"/>
          <w:szCs w:val="16"/>
        </w:rPr>
        <w:footnoteRef/>
      </w:r>
      <w:r w:rsidRPr="000C1446">
        <w:rPr>
          <w:rFonts w:asciiTheme="majorHAnsi" w:hAnsiTheme="majorHAnsi"/>
          <w:sz w:val="16"/>
          <w:szCs w:val="16"/>
          <w:lang w:val="es-MX"/>
        </w:rPr>
        <w:t xml:space="preserve"> Corte IDH. </w:t>
      </w:r>
      <w:r w:rsidRPr="00093A2D">
        <w:rPr>
          <w:rFonts w:asciiTheme="majorHAnsi" w:hAnsiTheme="majorHAnsi"/>
          <w:i/>
          <w:sz w:val="16"/>
          <w:szCs w:val="16"/>
          <w:lang w:val="es-MX"/>
        </w:rPr>
        <w:t>Caso Velásquez Rodríguez Vs Honduras</w:t>
      </w:r>
      <w:r w:rsidRPr="000C1446">
        <w:rPr>
          <w:rFonts w:asciiTheme="majorHAnsi" w:hAnsiTheme="majorHAnsi"/>
          <w:sz w:val="16"/>
          <w:szCs w:val="16"/>
          <w:lang w:val="es-MX"/>
        </w:rPr>
        <w:t xml:space="preserve">. Excepciones Preliminares. Sentencia de 26 de junio de 1987. Serie C No. 1, párr. 91;  Caso </w:t>
      </w:r>
      <w:r w:rsidRPr="000C1446">
        <w:rPr>
          <w:rStyle w:val="Strong"/>
          <w:rFonts w:asciiTheme="majorHAnsi" w:hAnsiTheme="majorHAnsi"/>
          <w:b w:val="0"/>
          <w:sz w:val="16"/>
          <w:szCs w:val="16"/>
          <w:lang w:val="es-MX"/>
        </w:rPr>
        <w:t xml:space="preserve">Gutiérrez y Familia Vs. Argentina. Fondo, Reparaciones y Costas. Sentencia de 25 de noviembre de 2013. Serie C No. 271, </w:t>
      </w:r>
      <w:r w:rsidRPr="000C1446">
        <w:rPr>
          <w:rFonts w:asciiTheme="majorHAnsi" w:hAnsiTheme="majorHAnsi"/>
          <w:b/>
          <w:sz w:val="16"/>
          <w:szCs w:val="16"/>
          <w:lang w:val="es-MX"/>
        </w:rPr>
        <w:t xml:space="preserve"> </w:t>
      </w:r>
      <w:r w:rsidRPr="000C1446">
        <w:rPr>
          <w:rFonts w:asciiTheme="majorHAnsi" w:hAnsiTheme="majorHAnsi"/>
          <w:sz w:val="16"/>
          <w:szCs w:val="16"/>
          <w:lang w:val="es-MX"/>
        </w:rPr>
        <w:t xml:space="preserve">párr. 97; y Caso Hermanos Landaeta Mejías y otros Vs. Venezuela. Excepciones  Preliminares, Fondo, Reparaciones y Costas. Sentencia de 27 de agosto de 2014. Serie C No. 281, párr. 215. </w:t>
      </w:r>
    </w:p>
  </w:footnote>
  <w:footnote w:id="45">
    <w:p w:rsidR="00B47F78" w:rsidRPr="000C1446"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Pr>
          <w:rFonts w:asciiTheme="majorHAnsi" w:hAnsiTheme="majorHAnsi"/>
          <w:sz w:val="16"/>
          <w:szCs w:val="16"/>
          <w:lang w:val="es-CO"/>
        </w:rPr>
        <w:t xml:space="preserve"> C</w:t>
      </w:r>
      <w:r w:rsidRPr="000C1446">
        <w:rPr>
          <w:rFonts w:asciiTheme="majorHAnsi" w:hAnsiTheme="majorHAnsi"/>
          <w:sz w:val="16"/>
          <w:szCs w:val="16"/>
          <w:lang w:val="es-CO"/>
        </w:rPr>
        <w:t>ID</w:t>
      </w:r>
      <w:r>
        <w:rPr>
          <w:rFonts w:asciiTheme="majorHAnsi" w:hAnsiTheme="majorHAnsi"/>
          <w:sz w:val="16"/>
          <w:szCs w:val="16"/>
          <w:lang w:val="es-CO"/>
        </w:rPr>
        <w:t>H</w:t>
      </w:r>
      <w:r w:rsidRPr="000C1446">
        <w:rPr>
          <w:rFonts w:asciiTheme="majorHAnsi" w:hAnsiTheme="majorHAnsi"/>
          <w:sz w:val="16"/>
          <w:szCs w:val="16"/>
          <w:lang w:val="es-CO"/>
        </w:rPr>
        <w:t>, Informe No</w:t>
      </w:r>
      <w:r>
        <w:rPr>
          <w:rFonts w:asciiTheme="majorHAnsi" w:hAnsiTheme="majorHAnsi"/>
          <w:sz w:val="16"/>
          <w:szCs w:val="16"/>
          <w:lang w:val="es-CO"/>
        </w:rPr>
        <w:t>.</w:t>
      </w:r>
      <w:r w:rsidRPr="000C1446">
        <w:rPr>
          <w:rFonts w:asciiTheme="majorHAnsi" w:hAnsiTheme="majorHAnsi"/>
          <w:sz w:val="16"/>
          <w:szCs w:val="16"/>
          <w:lang w:val="es-CO"/>
        </w:rPr>
        <w:t xml:space="preserve"> 26/09, </w:t>
      </w:r>
      <w:r>
        <w:rPr>
          <w:rFonts w:asciiTheme="majorHAnsi" w:hAnsiTheme="majorHAnsi"/>
          <w:sz w:val="16"/>
          <w:szCs w:val="16"/>
          <w:lang w:val="es-CO"/>
        </w:rPr>
        <w:t>C</w:t>
      </w:r>
      <w:r w:rsidRPr="000C1446">
        <w:rPr>
          <w:rFonts w:asciiTheme="majorHAnsi" w:hAnsiTheme="majorHAnsi"/>
          <w:sz w:val="16"/>
          <w:szCs w:val="16"/>
          <w:lang w:val="es-CO"/>
        </w:rPr>
        <w:t>aso 12.440, Wallace de Almeida, Brasil, 20 de marzo de 2009, párr. 119.</w:t>
      </w:r>
    </w:p>
  </w:footnote>
  <w:footnote w:id="46">
    <w:p w:rsidR="00B47F78" w:rsidRPr="000C1446" w:rsidRDefault="00B47F78" w:rsidP="00135F33">
      <w:pPr>
        <w:pStyle w:val="FootnoteText"/>
        <w:spacing w:after="120"/>
        <w:ind w:firstLine="720"/>
        <w:jc w:val="both"/>
        <w:rPr>
          <w:rFonts w:asciiTheme="majorHAnsi" w:hAnsiTheme="majorHAnsi"/>
          <w:color w:val="auto"/>
          <w:sz w:val="16"/>
          <w:szCs w:val="16"/>
          <w:lang w:val="es-ES"/>
        </w:rPr>
      </w:pPr>
      <w:r w:rsidRPr="000C1446">
        <w:rPr>
          <w:rStyle w:val="FootnoteReference"/>
          <w:rFonts w:asciiTheme="majorHAnsi" w:hAnsiTheme="majorHAnsi"/>
          <w:color w:val="auto"/>
          <w:sz w:val="16"/>
          <w:szCs w:val="16"/>
        </w:rPr>
        <w:footnoteRef/>
      </w:r>
      <w:r w:rsidRPr="000C1446">
        <w:rPr>
          <w:rFonts w:asciiTheme="majorHAnsi" w:hAnsiTheme="majorHAnsi" w:cs="Arial"/>
          <w:color w:val="auto"/>
          <w:sz w:val="16"/>
          <w:szCs w:val="16"/>
          <w:lang w:val="es-ES"/>
        </w:rPr>
        <w:t xml:space="preserve"> </w:t>
      </w:r>
      <w:r w:rsidRPr="000C1446">
        <w:rPr>
          <w:rFonts w:asciiTheme="majorHAnsi" w:hAnsiTheme="majorHAnsi"/>
          <w:color w:val="auto"/>
          <w:sz w:val="16"/>
          <w:szCs w:val="16"/>
          <w:lang w:val="es-ES_tradnl"/>
        </w:rPr>
        <w:t xml:space="preserve">Corte IDH, </w:t>
      </w:r>
      <w:r w:rsidRPr="000C1446">
        <w:rPr>
          <w:rFonts w:asciiTheme="majorHAnsi" w:hAnsiTheme="majorHAnsi"/>
          <w:i/>
          <w:color w:val="auto"/>
          <w:sz w:val="16"/>
          <w:szCs w:val="16"/>
          <w:lang w:val="es-ES_tradnl"/>
        </w:rPr>
        <w:t xml:space="preserve">Caso García </w:t>
      </w:r>
      <w:proofErr w:type="spellStart"/>
      <w:r w:rsidRPr="000C1446">
        <w:rPr>
          <w:rFonts w:asciiTheme="majorHAnsi" w:hAnsiTheme="majorHAnsi"/>
          <w:i/>
          <w:color w:val="auto"/>
          <w:sz w:val="16"/>
          <w:szCs w:val="16"/>
          <w:lang w:val="es-ES_tradnl"/>
        </w:rPr>
        <w:t>Asto</w:t>
      </w:r>
      <w:proofErr w:type="spellEnd"/>
      <w:r w:rsidRPr="000C1446">
        <w:rPr>
          <w:rFonts w:asciiTheme="majorHAnsi" w:hAnsiTheme="majorHAnsi"/>
          <w:i/>
          <w:color w:val="auto"/>
          <w:sz w:val="16"/>
          <w:szCs w:val="16"/>
          <w:lang w:val="es-ES_tradnl"/>
        </w:rPr>
        <w:t xml:space="preserve"> y Ramírez Rojas Vs. Perú</w:t>
      </w:r>
      <w:r w:rsidRPr="000C1446">
        <w:rPr>
          <w:rFonts w:asciiTheme="majorHAnsi" w:hAnsiTheme="majorHAnsi"/>
          <w:color w:val="auto"/>
          <w:sz w:val="16"/>
          <w:szCs w:val="16"/>
          <w:lang w:val="es-ES_tradnl"/>
        </w:rPr>
        <w:t>. Sentencia de 25 de noviembre de 2005. Serie C No. 137</w:t>
      </w:r>
      <w:r w:rsidRPr="000C1446">
        <w:rPr>
          <w:rFonts w:asciiTheme="majorHAnsi" w:hAnsiTheme="majorHAnsi" w:cs="Arial"/>
          <w:iCs/>
          <w:color w:val="auto"/>
          <w:sz w:val="16"/>
          <w:szCs w:val="16"/>
          <w:lang w:val="es-ES"/>
        </w:rPr>
        <w:t xml:space="preserve">, párr. 166; </w:t>
      </w:r>
      <w:r w:rsidRPr="000C1446">
        <w:rPr>
          <w:rFonts w:asciiTheme="majorHAnsi" w:hAnsiTheme="majorHAnsi"/>
          <w:i/>
          <w:color w:val="auto"/>
          <w:sz w:val="16"/>
          <w:szCs w:val="16"/>
          <w:lang w:val="es-ES_tradnl"/>
        </w:rPr>
        <w:t xml:space="preserve">Caso Gómez Palomino Vs. Perú. </w:t>
      </w:r>
      <w:hyperlink r:id="rId4" w:history="1">
        <w:r w:rsidRPr="000C1446">
          <w:rPr>
            <w:rStyle w:val="Hyperlink"/>
            <w:rFonts w:asciiTheme="majorHAnsi" w:hAnsiTheme="majorHAnsi"/>
            <w:color w:val="auto"/>
            <w:sz w:val="16"/>
            <w:szCs w:val="16"/>
            <w:shd w:val="clear" w:color="auto" w:fill="FFFFFF"/>
            <w:lang w:val="es-ES"/>
          </w:rPr>
          <w:t>Fondo, Reparaciones y Costas. Sentencia de 22 de noviembre de 2005. Serie C No. 136</w:t>
        </w:r>
      </w:hyperlink>
      <w:r w:rsidRPr="000C1446">
        <w:rPr>
          <w:rFonts w:asciiTheme="majorHAnsi" w:hAnsiTheme="majorHAnsi"/>
          <w:color w:val="auto"/>
          <w:sz w:val="16"/>
          <w:szCs w:val="16"/>
          <w:lang w:val="es-ES_tradnl"/>
        </w:rPr>
        <w:t>,</w:t>
      </w:r>
      <w:r w:rsidRPr="000C1446">
        <w:rPr>
          <w:rFonts w:asciiTheme="majorHAnsi" w:hAnsiTheme="majorHAnsi"/>
          <w:i/>
          <w:color w:val="auto"/>
          <w:sz w:val="16"/>
          <w:szCs w:val="16"/>
          <w:lang w:val="es-ES_tradnl"/>
        </w:rPr>
        <w:t xml:space="preserve"> </w:t>
      </w:r>
      <w:r w:rsidRPr="000C1446">
        <w:rPr>
          <w:rFonts w:asciiTheme="majorHAnsi" w:hAnsiTheme="majorHAnsi"/>
          <w:color w:val="auto"/>
          <w:sz w:val="16"/>
          <w:szCs w:val="16"/>
          <w:lang w:val="es-ES_tradnl"/>
        </w:rPr>
        <w:t xml:space="preserve">párr. </w:t>
      </w:r>
      <w:r w:rsidRPr="000C1446">
        <w:rPr>
          <w:rFonts w:asciiTheme="majorHAnsi" w:hAnsiTheme="majorHAnsi" w:cs="Arial"/>
          <w:color w:val="auto"/>
          <w:sz w:val="16"/>
          <w:szCs w:val="16"/>
          <w:lang w:val="es-ES"/>
        </w:rPr>
        <w:t xml:space="preserve">85; y </w:t>
      </w:r>
      <w:r w:rsidRPr="000C1446">
        <w:rPr>
          <w:rFonts w:asciiTheme="majorHAnsi" w:hAnsiTheme="majorHAnsi"/>
          <w:color w:val="auto"/>
          <w:sz w:val="16"/>
          <w:szCs w:val="16"/>
          <w:lang w:val="es-ES"/>
        </w:rPr>
        <w:t xml:space="preserve">Corte I.D.H., </w:t>
      </w:r>
      <w:r w:rsidRPr="000C1446">
        <w:rPr>
          <w:rFonts w:asciiTheme="majorHAnsi" w:hAnsiTheme="majorHAnsi"/>
          <w:i/>
          <w:color w:val="auto"/>
          <w:sz w:val="16"/>
          <w:szCs w:val="16"/>
          <w:lang w:val="es-ES"/>
        </w:rPr>
        <w:t xml:space="preserve">Caso de la Comunidad </w:t>
      </w:r>
      <w:proofErr w:type="spellStart"/>
      <w:r w:rsidRPr="000C1446">
        <w:rPr>
          <w:rFonts w:asciiTheme="majorHAnsi" w:hAnsiTheme="majorHAnsi"/>
          <w:i/>
          <w:color w:val="auto"/>
          <w:sz w:val="16"/>
          <w:szCs w:val="16"/>
          <w:lang w:val="es-ES"/>
        </w:rPr>
        <w:t>Moiwana</w:t>
      </w:r>
      <w:proofErr w:type="spellEnd"/>
      <w:r w:rsidRPr="000C1446">
        <w:rPr>
          <w:rFonts w:asciiTheme="majorHAnsi" w:hAnsiTheme="majorHAnsi"/>
          <w:i/>
          <w:color w:val="auto"/>
          <w:sz w:val="16"/>
          <w:szCs w:val="16"/>
          <w:lang w:val="es-ES"/>
        </w:rPr>
        <w:t xml:space="preserve"> Vs. Surinam</w:t>
      </w:r>
      <w:r w:rsidRPr="000C1446">
        <w:rPr>
          <w:rFonts w:asciiTheme="majorHAnsi" w:hAnsiTheme="majorHAnsi"/>
          <w:color w:val="auto"/>
          <w:sz w:val="16"/>
          <w:szCs w:val="16"/>
          <w:lang w:val="es-ES"/>
        </w:rPr>
        <w:t>. Sentencia de 15 de junio de 2005. Serie C No. 124</w:t>
      </w:r>
      <w:r w:rsidRPr="000C1446">
        <w:rPr>
          <w:rFonts w:asciiTheme="majorHAnsi" w:hAnsiTheme="majorHAnsi" w:cs="Arial"/>
          <w:color w:val="auto"/>
          <w:sz w:val="16"/>
          <w:szCs w:val="16"/>
          <w:lang w:val="es-ES"/>
        </w:rPr>
        <w:t>, párr. 160.</w:t>
      </w:r>
    </w:p>
  </w:footnote>
  <w:footnote w:id="47">
    <w:p w:rsidR="00B47F78" w:rsidRPr="000C1446" w:rsidRDefault="00B47F78" w:rsidP="00135F33">
      <w:pPr>
        <w:pStyle w:val="FootnoteText"/>
        <w:spacing w:after="120"/>
        <w:ind w:firstLine="720"/>
        <w:jc w:val="both"/>
        <w:rPr>
          <w:rFonts w:asciiTheme="majorHAnsi" w:hAnsiTheme="majorHAnsi"/>
          <w:color w:val="auto"/>
          <w:sz w:val="16"/>
          <w:szCs w:val="16"/>
          <w:lang w:val="es-ES_tradnl"/>
        </w:rPr>
      </w:pPr>
      <w:r w:rsidRPr="000C1446">
        <w:rPr>
          <w:rStyle w:val="FootnoteReference"/>
          <w:rFonts w:asciiTheme="majorHAnsi" w:hAnsiTheme="majorHAnsi"/>
          <w:color w:val="auto"/>
          <w:sz w:val="16"/>
          <w:szCs w:val="16"/>
        </w:rPr>
        <w:footnoteRef/>
      </w:r>
      <w:r w:rsidRPr="000C1446">
        <w:rPr>
          <w:rFonts w:asciiTheme="majorHAnsi" w:hAnsiTheme="majorHAnsi"/>
          <w:color w:val="auto"/>
          <w:sz w:val="16"/>
          <w:szCs w:val="16"/>
          <w:lang w:val="es-ES_tradnl"/>
        </w:rPr>
        <w:t xml:space="preserve"> Corte IDH, </w:t>
      </w:r>
      <w:r w:rsidRPr="000C1446">
        <w:rPr>
          <w:rFonts w:asciiTheme="majorHAnsi" w:hAnsiTheme="majorHAnsi"/>
          <w:i/>
          <w:color w:val="auto"/>
          <w:sz w:val="16"/>
          <w:szCs w:val="16"/>
          <w:lang w:val="es-ES_tradnl"/>
        </w:rPr>
        <w:t xml:space="preserve">Caso Ricardo </w:t>
      </w:r>
      <w:proofErr w:type="spellStart"/>
      <w:r w:rsidRPr="000C1446">
        <w:rPr>
          <w:rFonts w:asciiTheme="majorHAnsi" w:hAnsiTheme="majorHAnsi"/>
          <w:i/>
          <w:color w:val="auto"/>
          <w:sz w:val="16"/>
          <w:szCs w:val="16"/>
          <w:lang w:val="es-ES_tradnl"/>
        </w:rPr>
        <w:t>Canese</w:t>
      </w:r>
      <w:proofErr w:type="spellEnd"/>
      <w:r w:rsidRPr="000C1446">
        <w:rPr>
          <w:rFonts w:asciiTheme="majorHAnsi" w:hAnsiTheme="majorHAnsi"/>
          <w:i/>
          <w:color w:val="auto"/>
          <w:sz w:val="16"/>
          <w:szCs w:val="16"/>
          <w:lang w:val="es-ES_tradnl"/>
        </w:rPr>
        <w:t xml:space="preserve"> Vs. </w:t>
      </w:r>
      <w:r w:rsidRPr="000C1446">
        <w:rPr>
          <w:rFonts w:asciiTheme="majorHAnsi" w:hAnsiTheme="majorHAnsi"/>
          <w:i/>
          <w:color w:val="auto"/>
          <w:sz w:val="16"/>
          <w:szCs w:val="16"/>
          <w:lang w:val="es-ES"/>
        </w:rPr>
        <w:t>Paraguay</w:t>
      </w:r>
      <w:r w:rsidRPr="000C1446">
        <w:rPr>
          <w:rFonts w:asciiTheme="majorHAnsi" w:hAnsiTheme="majorHAnsi"/>
          <w:color w:val="auto"/>
          <w:sz w:val="16"/>
          <w:szCs w:val="16"/>
          <w:lang w:val="es-ES"/>
        </w:rPr>
        <w:t>. Sentencia de 31 de agosto de 2004. Serie C No. 111</w:t>
      </w:r>
      <w:r w:rsidRPr="000C1446">
        <w:rPr>
          <w:rFonts w:asciiTheme="majorHAnsi" w:hAnsiTheme="majorHAnsi" w:cs="Arial"/>
          <w:color w:val="auto"/>
          <w:sz w:val="16"/>
          <w:szCs w:val="16"/>
          <w:lang w:val="es-ES"/>
        </w:rPr>
        <w:t xml:space="preserve">, </w:t>
      </w:r>
      <w:r w:rsidRPr="000C1446">
        <w:rPr>
          <w:rFonts w:asciiTheme="majorHAnsi" w:hAnsiTheme="majorHAnsi" w:cs="Arial"/>
          <w:color w:val="auto"/>
          <w:sz w:val="16"/>
          <w:szCs w:val="16"/>
          <w:lang w:val="es-ES"/>
        </w:rPr>
        <w:br/>
        <w:t>párr. 142.</w:t>
      </w:r>
    </w:p>
  </w:footnote>
  <w:footnote w:id="48">
    <w:p w:rsidR="00B47F78" w:rsidRPr="000C1446" w:rsidRDefault="00B47F78" w:rsidP="00135F33">
      <w:pPr>
        <w:pStyle w:val="FootnoteText"/>
        <w:spacing w:after="120"/>
        <w:ind w:firstLine="720"/>
        <w:jc w:val="both"/>
        <w:rPr>
          <w:rFonts w:asciiTheme="majorHAnsi" w:hAnsiTheme="majorHAnsi"/>
          <w:color w:val="auto"/>
          <w:sz w:val="16"/>
          <w:szCs w:val="16"/>
          <w:lang w:val="es-ES"/>
        </w:rPr>
      </w:pPr>
      <w:r w:rsidRPr="000C1446">
        <w:rPr>
          <w:rStyle w:val="FootnoteReference"/>
          <w:rFonts w:asciiTheme="majorHAnsi" w:hAnsiTheme="majorHAnsi"/>
          <w:color w:val="auto"/>
          <w:sz w:val="16"/>
          <w:szCs w:val="16"/>
        </w:rPr>
        <w:footnoteRef/>
      </w:r>
      <w:r w:rsidRPr="000C1446">
        <w:rPr>
          <w:rFonts w:asciiTheme="majorHAnsi" w:hAnsiTheme="majorHAnsi" w:cs="Arial"/>
          <w:color w:val="auto"/>
          <w:sz w:val="16"/>
          <w:szCs w:val="16"/>
          <w:lang w:val="es-ES"/>
        </w:rPr>
        <w:t xml:space="preserve"> </w:t>
      </w:r>
      <w:r w:rsidRPr="000C1446">
        <w:rPr>
          <w:rFonts w:asciiTheme="majorHAnsi" w:hAnsiTheme="majorHAnsi"/>
          <w:color w:val="auto"/>
          <w:sz w:val="16"/>
          <w:szCs w:val="16"/>
          <w:lang w:val="es-ES_tradnl"/>
        </w:rPr>
        <w:t xml:space="preserve">Corte IDH, </w:t>
      </w:r>
      <w:r w:rsidRPr="000C1446">
        <w:rPr>
          <w:rFonts w:asciiTheme="majorHAnsi" w:hAnsiTheme="majorHAnsi"/>
          <w:i/>
          <w:color w:val="auto"/>
          <w:sz w:val="16"/>
          <w:szCs w:val="16"/>
          <w:lang w:val="es-ES_tradnl"/>
        </w:rPr>
        <w:t>Caso</w:t>
      </w:r>
      <w:r w:rsidRPr="000C1446">
        <w:rPr>
          <w:rFonts w:asciiTheme="majorHAnsi" w:hAnsiTheme="majorHAnsi"/>
          <w:color w:val="auto"/>
          <w:sz w:val="16"/>
          <w:szCs w:val="16"/>
          <w:lang w:val="es-ES_tradnl"/>
        </w:rPr>
        <w:t xml:space="preserve"> </w:t>
      </w:r>
      <w:r w:rsidRPr="000C1446">
        <w:rPr>
          <w:rFonts w:asciiTheme="majorHAnsi" w:hAnsiTheme="majorHAnsi"/>
          <w:i/>
          <w:color w:val="auto"/>
          <w:sz w:val="16"/>
          <w:szCs w:val="16"/>
          <w:lang w:val="es-ES_tradnl"/>
        </w:rPr>
        <w:t>López Álvarez Vs. Honduras</w:t>
      </w:r>
      <w:r w:rsidRPr="000C1446">
        <w:rPr>
          <w:rFonts w:asciiTheme="majorHAnsi" w:hAnsiTheme="majorHAnsi"/>
          <w:color w:val="auto"/>
          <w:sz w:val="16"/>
          <w:szCs w:val="16"/>
          <w:lang w:val="es-ES_tradnl"/>
        </w:rPr>
        <w:t>. Sentencia de 1 de febrero de 2006. Serie C No. 141</w:t>
      </w:r>
      <w:r w:rsidRPr="000C1446">
        <w:rPr>
          <w:rFonts w:asciiTheme="majorHAnsi" w:hAnsiTheme="majorHAnsi" w:cs="Arial"/>
          <w:color w:val="auto"/>
          <w:sz w:val="16"/>
          <w:szCs w:val="16"/>
          <w:lang w:val="es-ES"/>
        </w:rPr>
        <w:t xml:space="preserve">, párr. 129; </w:t>
      </w:r>
      <w:r w:rsidRPr="000C1446">
        <w:rPr>
          <w:rFonts w:asciiTheme="majorHAnsi" w:hAnsiTheme="majorHAnsi"/>
          <w:i/>
          <w:color w:val="auto"/>
          <w:sz w:val="16"/>
          <w:szCs w:val="16"/>
          <w:lang w:val="es-ES_tradnl"/>
        </w:rPr>
        <w:t>Caso Acosta Calderón Vs. Ecuador</w:t>
      </w:r>
      <w:r w:rsidRPr="000C1446">
        <w:rPr>
          <w:rFonts w:asciiTheme="majorHAnsi" w:hAnsiTheme="majorHAnsi"/>
          <w:color w:val="auto"/>
          <w:sz w:val="16"/>
          <w:szCs w:val="16"/>
          <w:lang w:val="es-ES_tradnl"/>
        </w:rPr>
        <w:t>. Sentencia de 24 de junio de 2005. Serie C No. 129</w:t>
      </w:r>
      <w:r w:rsidRPr="000C1446">
        <w:rPr>
          <w:rFonts w:asciiTheme="majorHAnsi" w:hAnsiTheme="majorHAnsi" w:cs="Arial"/>
          <w:color w:val="auto"/>
          <w:sz w:val="16"/>
          <w:szCs w:val="16"/>
          <w:lang w:val="es-ES"/>
        </w:rPr>
        <w:t>, párr. 104; y</w:t>
      </w:r>
      <w:r w:rsidRPr="000C1446">
        <w:rPr>
          <w:rFonts w:asciiTheme="majorHAnsi" w:hAnsiTheme="majorHAnsi"/>
          <w:color w:val="auto"/>
          <w:sz w:val="16"/>
          <w:szCs w:val="16"/>
          <w:lang w:val="es-ES_tradnl"/>
        </w:rPr>
        <w:t xml:space="preserve"> </w:t>
      </w:r>
      <w:r w:rsidRPr="000C1446">
        <w:rPr>
          <w:rFonts w:asciiTheme="majorHAnsi" w:hAnsiTheme="majorHAnsi"/>
          <w:i/>
          <w:color w:val="auto"/>
          <w:sz w:val="16"/>
          <w:szCs w:val="16"/>
          <w:lang w:val="es-ES_tradnl"/>
        </w:rPr>
        <w:t>Caso Tibi Vs. Ecuador</w:t>
      </w:r>
      <w:r w:rsidRPr="000C1446">
        <w:rPr>
          <w:rFonts w:asciiTheme="majorHAnsi" w:hAnsiTheme="majorHAnsi"/>
          <w:color w:val="auto"/>
          <w:sz w:val="16"/>
          <w:szCs w:val="16"/>
          <w:lang w:val="es-ES_tradnl"/>
        </w:rPr>
        <w:t>. Sentencia de 7 de septiembre de 2004. Serie C No. 114</w:t>
      </w:r>
      <w:r w:rsidRPr="000C1446">
        <w:rPr>
          <w:rFonts w:asciiTheme="majorHAnsi" w:hAnsiTheme="majorHAnsi" w:cs="Arial"/>
          <w:color w:val="auto"/>
          <w:sz w:val="16"/>
          <w:szCs w:val="16"/>
          <w:lang w:val="es-ES"/>
        </w:rPr>
        <w:t xml:space="preserve">, párr. 168. Asimismo, véase: CIDH, Informe No. 77/02, Caso 11.506, Fondo, </w:t>
      </w:r>
      <w:proofErr w:type="spellStart"/>
      <w:r w:rsidRPr="000C1446">
        <w:rPr>
          <w:rFonts w:asciiTheme="majorHAnsi" w:hAnsiTheme="majorHAnsi" w:cs="Arial"/>
          <w:color w:val="auto"/>
          <w:sz w:val="16"/>
          <w:szCs w:val="16"/>
          <w:lang w:val="es-ES"/>
        </w:rPr>
        <w:t>Waldemar</w:t>
      </w:r>
      <w:proofErr w:type="spellEnd"/>
      <w:r w:rsidRPr="000C1446">
        <w:rPr>
          <w:rFonts w:asciiTheme="majorHAnsi" w:hAnsiTheme="majorHAnsi" w:cs="Arial"/>
          <w:color w:val="auto"/>
          <w:sz w:val="16"/>
          <w:szCs w:val="16"/>
          <w:lang w:val="es-ES"/>
        </w:rPr>
        <w:t xml:space="preserve"> Gerónimo </w:t>
      </w:r>
      <w:proofErr w:type="spellStart"/>
      <w:r w:rsidRPr="000C1446">
        <w:rPr>
          <w:rFonts w:asciiTheme="majorHAnsi" w:hAnsiTheme="majorHAnsi" w:cs="Arial"/>
          <w:color w:val="auto"/>
          <w:sz w:val="16"/>
          <w:szCs w:val="16"/>
          <w:lang w:val="es-ES"/>
        </w:rPr>
        <w:t>Pinheiro</w:t>
      </w:r>
      <w:proofErr w:type="spellEnd"/>
      <w:r w:rsidRPr="000C1446">
        <w:rPr>
          <w:rFonts w:asciiTheme="majorHAnsi" w:hAnsiTheme="majorHAnsi" w:cs="Arial"/>
          <w:color w:val="auto"/>
          <w:sz w:val="16"/>
          <w:szCs w:val="16"/>
          <w:lang w:val="es-ES"/>
        </w:rPr>
        <w:t xml:space="preserve"> y José Víctor dos Santos, Paraguay, 27 de diciembre de 2002, párr. 76.</w:t>
      </w:r>
    </w:p>
  </w:footnote>
  <w:footnote w:id="49">
    <w:p w:rsidR="00B47F78" w:rsidRPr="000C1446" w:rsidRDefault="00B47F78" w:rsidP="00135F33">
      <w:pPr>
        <w:pStyle w:val="FootnoteText"/>
        <w:spacing w:after="120"/>
        <w:ind w:firstLine="720"/>
        <w:jc w:val="both"/>
        <w:rPr>
          <w:rFonts w:asciiTheme="majorHAnsi" w:hAnsiTheme="majorHAnsi"/>
          <w:color w:val="auto"/>
          <w:sz w:val="16"/>
          <w:szCs w:val="16"/>
          <w:lang w:val="es-ES_tradnl"/>
        </w:rPr>
      </w:pPr>
      <w:r w:rsidRPr="000C1446">
        <w:rPr>
          <w:rStyle w:val="FootnoteReference"/>
          <w:rFonts w:asciiTheme="majorHAnsi" w:hAnsiTheme="majorHAnsi"/>
          <w:color w:val="auto"/>
          <w:sz w:val="16"/>
          <w:szCs w:val="16"/>
        </w:rPr>
        <w:footnoteRef/>
      </w:r>
      <w:r w:rsidRPr="000C1446">
        <w:rPr>
          <w:rFonts w:asciiTheme="majorHAnsi" w:hAnsiTheme="majorHAnsi" w:cs="Arial"/>
          <w:color w:val="auto"/>
          <w:sz w:val="16"/>
          <w:szCs w:val="16"/>
          <w:lang w:val="es-ES"/>
        </w:rPr>
        <w:t xml:space="preserve"> CIDH, Informe No. 111/10, Caso 12.539, Fondo, Sebastián Claus </w:t>
      </w:r>
      <w:proofErr w:type="spellStart"/>
      <w:r w:rsidRPr="000C1446">
        <w:rPr>
          <w:rFonts w:asciiTheme="majorHAnsi" w:hAnsiTheme="majorHAnsi" w:cs="Arial"/>
          <w:color w:val="auto"/>
          <w:sz w:val="16"/>
          <w:szCs w:val="16"/>
          <w:lang w:val="es-ES"/>
        </w:rPr>
        <w:t>Furlan</w:t>
      </w:r>
      <w:proofErr w:type="spellEnd"/>
      <w:r w:rsidRPr="000C1446">
        <w:rPr>
          <w:rFonts w:asciiTheme="majorHAnsi" w:hAnsiTheme="majorHAnsi" w:cs="Arial"/>
          <w:color w:val="auto"/>
          <w:sz w:val="16"/>
          <w:szCs w:val="16"/>
          <w:lang w:val="es-ES"/>
        </w:rPr>
        <w:t xml:space="preserve"> y familia, Argentina, 21 de octubre de 2010, párr. 100. Corte IDH, </w:t>
      </w:r>
      <w:r w:rsidRPr="000C1446">
        <w:rPr>
          <w:rFonts w:asciiTheme="majorHAnsi" w:hAnsiTheme="majorHAnsi" w:cs="Arial"/>
          <w:i/>
          <w:color w:val="auto"/>
          <w:sz w:val="16"/>
          <w:szCs w:val="16"/>
          <w:shd w:val="clear" w:color="auto" w:fill="FFFFFF"/>
          <w:lang w:val="es-ES"/>
        </w:rPr>
        <w:t xml:space="preserve">Caso Masacre de Santo Domingo Vs. </w:t>
      </w:r>
      <w:r w:rsidRPr="000C1446">
        <w:rPr>
          <w:rFonts w:asciiTheme="majorHAnsi" w:hAnsiTheme="majorHAnsi" w:cs="Arial"/>
          <w:i/>
          <w:color w:val="auto"/>
          <w:sz w:val="16"/>
          <w:szCs w:val="16"/>
          <w:shd w:val="clear" w:color="auto" w:fill="FFFFFF"/>
          <w:lang w:val="es-ES_tradnl"/>
        </w:rPr>
        <w:t>Colombia</w:t>
      </w:r>
      <w:r w:rsidRPr="000C1446">
        <w:rPr>
          <w:rFonts w:asciiTheme="majorHAnsi" w:hAnsiTheme="majorHAnsi" w:cs="Arial"/>
          <w:color w:val="auto"/>
          <w:sz w:val="16"/>
          <w:szCs w:val="16"/>
          <w:shd w:val="clear" w:color="auto" w:fill="FFFFFF"/>
          <w:lang w:val="es-ES_tradnl"/>
        </w:rPr>
        <w:t>. Excepciones Preliminares, Fondo y Reparaciones. Sentencia de 30 de noviembre de 2012. Serie C No. 259,</w:t>
      </w:r>
      <w:r w:rsidRPr="000C1446">
        <w:rPr>
          <w:rFonts w:asciiTheme="majorHAnsi" w:hAnsiTheme="majorHAnsi" w:cs="Arial"/>
          <w:color w:val="auto"/>
          <w:sz w:val="16"/>
          <w:szCs w:val="16"/>
          <w:lang w:val="es-ES_tradnl"/>
        </w:rPr>
        <w:t xml:space="preserve"> párr. </w:t>
      </w:r>
      <w:r w:rsidRPr="000C1446">
        <w:rPr>
          <w:rFonts w:asciiTheme="majorHAnsi" w:hAnsiTheme="majorHAnsi" w:cs="Arial"/>
          <w:color w:val="auto"/>
          <w:sz w:val="16"/>
          <w:szCs w:val="16"/>
          <w:lang w:val="es-ES"/>
        </w:rPr>
        <w:t>164.</w:t>
      </w:r>
    </w:p>
  </w:footnote>
  <w:footnote w:id="50">
    <w:p w:rsidR="00B47F78" w:rsidRPr="000C1446"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Fonts w:asciiTheme="majorHAnsi" w:hAnsiTheme="majorHAnsi"/>
          <w:sz w:val="16"/>
          <w:szCs w:val="16"/>
          <w:lang w:val="es-CO"/>
        </w:rPr>
        <w:t xml:space="preserve"> Corte ID</w:t>
      </w:r>
      <w:r>
        <w:rPr>
          <w:rFonts w:asciiTheme="majorHAnsi" w:hAnsiTheme="majorHAnsi"/>
          <w:sz w:val="16"/>
          <w:szCs w:val="16"/>
          <w:lang w:val="es-CO"/>
        </w:rPr>
        <w:t>H</w:t>
      </w:r>
      <w:r w:rsidRPr="000C1446">
        <w:rPr>
          <w:rFonts w:asciiTheme="majorHAnsi" w:hAnsiTheme="majorHAnsi"/>
          <w:sz w:val="16"/>
          <w:szCs w:val="16"/>
          <w:lang w:val="es-CO"/>
        </w:rPr>
        <w:t xml:space="preserve">, </w:t>
      </w:r>
      <w:r w:rsidRPr="00093A2D">
        <w:rPr>
          <w:rFonts w:asciiTheme="majorHAnsi" w:hAnsiTheme="majorHAnsi"/>
          <w:bCs/>
          <w:i/>
          <w:sz w:val="16"/>
          <w:szCs w:val="16"/>
          <w:lang w:val="es-CO"/>
        </w:rPr>
        <w:t>Caso Acevedo Buendía y otros Vs. Perú</w:t>
      </w:r>
      <w:r w:rsidRPr="000C1446">
        <w:rPr>
          <w:rFonts w:asciiTheme="majorHAnsi" w:hAnsiTheme="majorHAnsi"/>
          <w:bCs/>
          <w:sz w:val="16"/>
          <w:szCs w:val="16"/>
          <w:lang w:val="es-CO"/>
        </w:rPr>
        <w:t>.</w:t>
      </w:r>
      <w:r w:rsidRPr="000C1446">
        <w:rPr>
          <w:rFonts w:asciiTheme="majorHAnsi" w:hAnsiTheme="majorHAnsi"/>
          <w:sz w:val="16"/>
          <w:szCs w:val="16"/>
          <w:lang w:val="es-CO"/>
        </w:rPr>
        <w:t xml:space="preserve"> Sentencia de 1˚ de julio de 2009. Serie C No. 198, párr. 69.</w:t>
      </w:r>
    </w:p>
  </w:footnote>
  <w:footnote w:id="51">
    <w:p w:rsidR="00B47F78" w:rsidRPr="000C1446"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sidRPr="000C1446">
        <w:rPr>
          <w:rFonts w:asciiTheme="majorHAnsi" w:hAnsiTheme="majorHAnsi"/>
          <w:sz w:val="16"/>
          <w:szCs w:val="16"/>
          <w:lang w:val="es-CO"/>
        </w:rPr>
        <w:t xml:space="preserve">Corte IDH, </w:t>
      </w:r>
      <w:r w:rsidRPr="00093A2D">
        <w:rPr>
          <w:rFonts w:asciiTheme="majorHAnsi" w:hAnsiTheme="majorHAnsi"/>
          <w:bCs/>
          <w:i/>
          <w:sz w:val="16"/>
          <w:szCs w:val="16"/>
          <w:lang w:val="es-CO"/>
        </w:rPr>
        <w:t xml:space="preserve">Caso </w:t>
      </w:r>
      <w:proofErr w:type="spellStart"/>
      <w:r w:rsidRPr="00093A2D">
        <w:rPr>
          <w:rFonts w:asciiTheme="majorHAnsi" w:hAnsiTheme="majorHAnsi"/>
          <w:bCs/>
          <w:i/>
          <w:sz w:val="16"/>
          <w:szCs w:val="16"/>
          <w:lang w:val="es-CO"/>
        </w:rPr>
        <w:t>Reverón</w:t>
      </w:r>
      <w:proofErr w:type="spellEnd"/>
      <w:r w:rsidRPr="00093A2D">
        <w:rPr>
          <w:rFonts w:asciiTheme="majorHAnsi" w:hAnsiTheme="majorHAnsi"/>
          <w:bCs/>
          <w:i/>
          <w:sz w:val="16"/>
          <w:szCs w:val="16"/>
          <w:lang w:val="es-CO"/>
        </w:rPr>
        <w:t xml:space="preserve"> Trujillo Vs. Venezuela</w:t>
      </w:r>
      <w:r w:rsidRPr="000C1446">
        <w:rPr>
          <w:rFonts w:asciiTheme="majorHAnsi" w:hAnsiTheme="majorHAnsi"/>
          <w:bCs/>
          <w:sz w:val="16"/>
          <w:szCs w:val="16"/>
          <w:lang w:val="es-CO"/>
        </w:rPr>
        <w:t>.</w:t>
      </w:r>
      <w:r w:rsidRPr="000C1446">
        <w:rPr>
          <w:rFonts w:asciiTheme="majorHAnsi" w:hAnsiTheme="majorHAnsi"/>
          <w:sz w:val="16"/>
          <w:szCs w:val="16"/>
          <w:lang w:val="es-CO"/>
        </w:rPr>
        <w:t xml:space="preserve"> Sentencia de 30 de junio de 2009. Serie C No. 197, párr. 61.</w:t>
      </w:r>
    </w:p>
  </w:footnote>
  <w:footnote w:id="52">
    <w:p w:rsidR="00B47F78" w:rsidRPr="002F0E4D" w:rsidRDefault="00B47F78" w:rsidP="00135F33">
      <w:pPr>
        <w:pStyle w:val="FootnoteText"/>
        <w:spacing w:after="120"/>
        <w:ind w:firstLine="720"/>
        <w:jc w:val="both"/>
        <w:rPr>
          <w:rFonts w:asciiTheme="majorHAnsi" w:hAnsiTheme="majorHAnsi"/>
          <w:sz w:val="16"/>
          <w:szCs w:val="16"/>
          <w:lang w:val="es-CO"/>
        </w:rPr>
      </w:pPr>
      <w:r w:rsidRPr="000C1446">
        <w:rPr>
          <w:rStyle w:val="FootnoteReference"/>
          <w:rFonts w:asciiTheme="majorHAnsi" w:hAnsiTheme="majorHAnsi"/>
          <w:sz w:val="16"/>
          <w:szCs w:val="16"/>
        </w:rPr>
        <w:footnoteRef/>
      </w:r>
      <w:r w:rsidRPr="00093A2D">
        <w:rPr>
          <w:rFonts w:asciiTheme="majorHAnsi" w:hAnsiTheme="majorHAnsi"/>
          <w:sz w:val="16"/>
          <w:szCs w:val="16"/>
          <w:lang w:val="pt-BR"/>
        </w:rPr>
        <w:t xml:space="preserve"> Corte IDH, </w:t>
      </w:r>
      <w:r w:rsidRPr="00093A2D">
        <w:rPr>
          <w:rFonts w:asciiTheme="majorHAnsi" w:hAnsiTheme="majorHAnsi"/>
          <w:bCs/>
          <w:i/>
          <w:sz w:val="16"/>
          <w:szCs w:val="16"/>
          <w:lang w:val="pt-BR"/>
        </w:rPr>
        <w:t xml:space="preserve">Caso Cantos Vs. </w:t>
      </w:r>
      <w:r w:rsidRPr="00093A2D">
        <w:rPr>
          <w:rFonts w:asciiTheme="majorHAnsi" w:hAnsiTheme="majorHAnsi"/>
          <w:bCs/>
          <w:i/>
          <w:sz w:val="16"/>
          <w:szCs w:val="16"/>
          <w:lang w:val="es-CO"/>
        </w:rPr>
        <w:t>Argentina</w:t>
      </w:r>
      <w:r w:rsidRPr="000C1446">
        <w:rPr>
          <w:rFonts w:asciiTheme="majorHAnsi" w:hAnsiTheme="majorHAnsi"/>
          <w:bCs/>
          <w:sz w:val="16"/>
          <w:szCs w:val="16"/>
          <w:lang w:val="es-CO"/>
        </w:rPr>
        <w:t xml:space="preserve">. </w:t>
      </w:r>
      <w:r w:rsidRPr="000C1446">
        <w:rPr>
          <w:rFonts w:asciiTheme="majorHAnsi" w:hAnsiTheme="majorHAnsi"/>
          <w:sz w:val="16"/>
          <w:szCs w:val="16"/>
          <w:lang w:val="es-CO"/>
        </w:rPr>
        <w:t>Sentencia de 28 de noviembre de 2002. Serie C No. 97, párr.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78" w:rsidRDefault="00B47F78" w:rsidP="005545A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47F78" w:rsidRDefault="00B47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78" w:rsidRDefault="00B47F78" w:rsidP="00A50FCF">
    <w:pPr>
      <w:pStyle w:val="Header"/>
      <w:tabs>
        <w:tab w:val="clear" w:pos="4320"/>
        <w:tab w:val="clear" w:pos="8640"/>
      </w:tabs>
      <w:jc w:val="center"/>
      <w:rPr>
        <w:sz w:val="22"/>
        <w:szCs w:val="22"/>
      </w:rPr>
    </w:pPr>
    <w:r>
      <w:rPr>
        <w:noProof/>
        <w:sz w:val="22"/>
        <w:szCs w:val="22"/>
      </w:rPr>
      <w:drawing>
        <wp:inline distT="0" distB="0" distL="0" distR="0" wp14:anchorId="1754EC21" wp14:editId="2FF37BE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47F78" w:rsidRPr="00EC7D62" w:rsidRDefault="00B47F78" w:rsidP="00A50FCF">
    <w:pPr>
      <w:pStyle w:val="Header"/>
      <w:tabs>
        <w:tab w:val="clear" w:pos="4320"/>
        <w:tab w:val="clear" w:pos="8640"/>
      </w:tabs>
      <w:jc w:val="center"/>
      <w:rPr>
        <w:sz w:val="22"/>
        <w:szCs w:val="22"/>
      </w:rPr>
    </w:pPr>
    <w:r>
      <w:rPr>
        <w:sz w:val="22"/>
        <w:szCs w:val="22"/>
      </w:rPr>
      <w:pict w14:anchorId="562775E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78" w:rsidRDefault="00B47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BA27B3"/>
    <w:multiLevelType w:val="hybridMultilevel"/>
    <w:tmpl w:val="67FCA8E2"/>
    <w:lvl w:ilvl="0" w:tplc="0560A4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728042D"/>
    <w:multiLevelType w:val="hybridMultilevel"/>
    <w:tmpl w:val="FBC2FA38"/>
    <w:lvl w:ilvl="0" w:tplc="CA4C6DBA">
      <w:start w:val="8"/>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4580147"/>
    <w:multiLevelType w:val="hybridMultilevel"/>
    <w:tmpl w:val="7F9AB168"/>
    <w:lvl w:ilvl="0" w:tplc="EB885416">
      <w:start w:val="267"/>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ED678A6"/>
    <w:multiLevelType w:val="hybridMultilevel"/>
    <w:tmpl w:val="A124615A"/>
    <w:lvl w:ilvl="0" w:tplc="B040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8E0FDA"/>
    <w:multiLevelType w:val="hybridMultilevel"/>
    <w:tmpl w:val="F13AF3D6"/>
    <w:lvl w:ilvl="0" w:tplc="E7983ECA">
      <w:start w:val="1"/>
      <w:numFmt w:val="upperLetter"/>
      <w:pStyle w:val="Heading2"/>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9DA0D07"/>
    <w:multiLevelType w:val="hybridMultilevel"/>
    <w:tmpl w:val="0DCEE044"/>
    <w:lvl w:ilvl="0" w:tplc="029C8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312E31EC"/>
    <w:lvl w:ilvl="0" w:tplc="77580F88">
      <w:start w:val="1"/>
      <w:numFmt w:val="upperRoman"/>
      <w:pStyle w:val="Heading1"/>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nsid w:val="73943381"/>
    <w:multiLevelType w:val="hybridMultilevel"/>
    <w:tmpl w:val="76A29F28"/>
    <w:lvl w:ilvl="0" w:tplc="93129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3DC1900"/>
    <w:multiLevelType w:val="multilevel"/>
    <w:tmpl w:val="6F00BF00"/>
    <w:lvl w:ilvl="0">
      <w:start w:val="1"/>
      <w:numFmt w:val="decimal"/>
      <w:pStyle w:val="Heading3"/>
      <w:lvlText w:val="%1."/>
      <w:lvlJc w:val="left"/>
      <w:pPr>
        <w:ind w:left="720" w:hanging="360"/>
      </w:pPr>
    </w:lvl>
    <w:lvl w:ilvl="1">
      <w:start w:val="1"/>
      <w:numFmt w:val="decimal"/>
      <w:isLgl/>
      <w:lvlText w:val="%1.%2."/>
      <w:lvlJc w:val="left"/>
      <w:pPr>
        <w:ind w:left="1440" w:hanging="360"/>
      </w:pPr>
      <w:rPr>
        <w:rFonts w:hint="default"/>
        <w:b/>
        <w:i w:val="0"/>
        <w:color w:val="auto"/>
        <w:sz w:val="20"/>
        <w:szCs w:val="2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CC36F6"/>
    <w:multiLevelType w:val="hybridMultilevel"/>
    <w:tmpl w:val="9C9A3942"/>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4">
    <w:nsid w:val="7FAC2F4A"/>
    <w:multiLevelType w:val="hybridMultilevel"/>
    <w:tmpl w:val="73D897C6"/>
    <w:lvl w:ilvl="0" w:tplc="3C560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57"/>
  </w:num>
  <w:num w:numId="4">
    <w:abstractNumId w:val="23"/>
  </w:num>
  <w:num w:numId="5">
    <w:abstractNumId w:val="47"/>
  </w:num>
  <w:num w:numId="6">
    <w:abstractNumId w:val="28"/>
  </w:num>
  <w:num w:numId="7">
    <w:abstractNumId w:val="7"/>
  </w:num>
  <w:num w:numId="8">
    <w:abstractNumId w:val="18"/>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50"/>
  </w:num>
  <w:num w:numId="43">
    <w:abstractNumId w:val="51"/>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3"/>
  </w:num>
  <w:num w:numId="51">
    <w:abstractNumId w:val="22"/>
  </w:num>
  <w:num w:numId="52">
    <w:abstractNumId w:val="42"/>
  </w:num>
  <w:num w:numId="53">
    <w:abstractNumId w:val="52"/>
  </w:num>
  <w:num w:numId="54">
    <w:abstractNumId w:val="45"/>
  </w:num>
  <w:num w:numId="55">
    <w:abstractNumId w:val="62"/>
  </w:num>
  <w:num w:numId="56">
    <w:abstractNumId w:val="48"/>
  </w:num>
  <w:num w:numId="57">
    <w:abstractNumId w:val="29"/>
  </w:num>
  <w:num w:numId="58">
    <w:abstractNumId w:val="54"/>
  </w:num>
  <w:num w:numId="59">
    <w:abstractNumId w:val="4"/>
  </w:num>
  <w:num w:numId="60">
    <w:abstractNumId w:val="49"/>
  </w:num>
  <w:num w:numId="61">
    <w:abstractNumId w:val="21"/>
  </w:num>
  <w:num w:numId="62">
    <w:abstractNumId w:val="29"/>
    <w:lvlOverride w:ilvl="0">
      <w:startOverride w:val="1"/>
    </w:lvlOverride>
  </w:num>
  <w:num w:numId="63">
    <w:abstractNumId w:val="53"/>
  </w:num>
  <w:num w:numId="64">
    <w:abstractNumId w:val="62"/>
    <w:lvlOverride w:ilvl="0">
      <w:startOverride w:val="1"/>
    </w:lvlOverride>
    <w:lvlOverride w:ilvl="1">
      <w:startOverride w:val="4"/>
    </w:lvlOverride>
    <w:lvlOverride w:ilvl="2">
      <w:startOverride w:val="2"/>
    </w:lvlOverride>
  </w:num>
  <w:num w:numId="65">
    <w:abstractNumId w:val="29"/>
    <w:lvlOverride w:ilvl="0">
      <w:startOverride w:val="1"/>
    </w:lvlOverride>
  </w:num>
  <w:num w:numId="66">
    <w:abstractNumId w:val="64"/>
  </w:num>
  <w:num w:numId="67">
    <w:abstractNumId w:val="6"/>
  </w:num>
  <w:num w:numId="6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64F"/>
    <w:rsid w:val="00006823"/>
    <w:rsid w:val="00006E1F"/>
    <w:rsid w:val="000070D7"/>
    <w:rsid w:val="000100EE"/>
    <w:rsid w:val="0001788C"/>
    <w:rsid w:val="0002196C"/>
    <w:rsid w:val="00021D75"/>
    <w:rsid w:val="00023B27"/>
    <w:rsid w:val="000255C8"/>
    <w:rsid w:val="00027D58"/>
    <w:rsid w:val="0003068C"/>
    <w:rsid w:val="00030EF1"/>
    <w:rsid w:val="00034C74"/>
    <w:rsid w:val="00035264"/>
    <w:rsid w:val="00036991"/>
    <w:rsid w:val="00040C3A"/>
    <w:rsid w:val="00047EFA"/>
    <w:rsid w:val="00051A1F"/>
    <w:rsid w:val="00051CFA"/>
    <w:rsid w:val="000716C5"/>
    <w:rsid w:val="0007182F"/>
    <w:rsid w:val="00071C55"/>
    <w:rsid w:val="00072BE2"/>
    <w:rsid w:val="00073FCB"/>
    <w:rsid w:val="000748C1"/>
    <w:rsid w:val="00075E23"/>
    <w:rsid w:val="00076846"/>
    <w:rsid w:val="00081EF9"/>
    <w:rsid w:val="000859A5"/>
    <w:rsid w:val="0009344A"/>
    <w:rsid w:val="00093A2D"/>
    <w:rsid w:val="00096201"/>
    <w:rsid w:val="000A392E"/>
    <w:rsid w:val="000A4553"/>
    <w:rsid w:val="000A575F"/>
    <w:rsid w:val="000A74FA"/>
    <w:rsid w:val="000B4A40"/>
    <w:rsid w:val="000B4F65"/>
    <w:rsid w:val="000B55ED"/>
    <w:rsid w:val="000B7E29"/>
    <w:rsid w:val="000C0BB2"/>
    <w:rsid w:val="000C1446"/>
    <w:rsid w:val="000C7383"/>
    <w:rsid w:val="000D10DB"/>
    <w:rsid w:val="000D314D"/>
    <w:rsid w:val="000D7295"/>
    <w:rsid w:val="000E2315"/>
    <w:rsid w:val="000E24D4"/>
    <w:rsid w:val="000E2682"/>
    <w:rsid w:val="000E5EB5"/>
    <w:rsid w:val="000F35ED"/>
    <w:rsid w:val="000F7C5B"/>
    <w:rsid w:val="0010091F"/>
    <w:rsid w:val="00103E0F"/>
    <w:rsid w:val="00104CC5"/>
    <w:rsid w:val="0010688A"/>
    <w:rsid w:val="00107131"/>
    <w:rsid w:val="0010736F"/>
    <w:rsid w:val="00111ED7"/>
    <w:rsid w:val="00112EAC"/>
    <w:rsid w:val="00113F73"/>
    <w:rsid w:val="00114CEC"/>
    <w:rsid w:val="00121CC2"/>
    <w:rsid w:val="00122FAE"/>
    <w:rsid w:val="00123938"/>
    <w:rsid w:val="00124579"/>
    <w:rsid w:val="001323F3"/>
    <w:rsid w:val="00133314"/>
    <w:rsid w:val="00133EE5"/>
    <w:rsid w:val="00135F33"/>
    <w:rsid w:val="00142646"/>
    <w:rsid w:val="001435CE"/>
    <w:rsid w:val="0014484D"/>
    <w:rsid w:val="00146727"/>
    <w:rsid w:val="00147356"/>
    <w:rsid w:val="0015041F"/>
    <w:rsid w:val="00163141"/>
    <w:rsid w:val="0016351D"/>
    <w:rsid w:val="001651EB"/>
    <w:rsid w:val="00165CC4"/>
    <w:rsid w:val="00166710"/>
    <w:rsid w:val="001678C4"/>
    <w:rsid w:val="00167A34"/>
    <w:rsid w:val="00167EAE"/>
    <w:rsid w:val="0017131E"/>
    <w:rsid w:val="00176C60"/>
    <w:rsid w:val="001834CF"/>
    <w:rsid w:val="001865E3"/>
    <w:rsid w:val="00186DCA"/>
    <w:rsid w:val="0019328E"/>
    <w:rsid w:val="001979E8"/>
    <w:rsid w:val="001A38A8"/>
    <w:rsid w:val="001A3DED"/>
    <w:rsid w:val="001A570D"/>
    <w:rsid w:val="001A7870"/>
    <w:rsid w:val="001B1BC3"/>
    <w:rsid w:val="001B5C0C"/>
    <w:rsid w:val="001C1B41"/>
    <w:rsid w:val="001C647E"/>
    <w:rsid w:val="001C75C9"/>
    <w:rsid w:val="001D65EF"/>
    <w:rsid w:val="001D7BF6"/>
    <w:rsid w:val="001E0172"/>
    <w:rsid w:val="001E6AF4"/>
    <w:rsid w:val="001F0A3A"/>
    <w:rsid w:val="001F0BFF"/>
    <w:rsid w:val="001F0FD6"/>
    <w:rsid w:val="001F1170"/>
    <w:rsid w:val="001F1911"/>
    <w:rsid w:val="001F1FC6"/>
    <w:rsid w:val="001F253B"/>
    <w:rsid w:val="001F32B5"/>
    <w:rsid w:val="001F37D4"/>
    <w:rsid w:val="001F420A"/>
    <w:rsid w:val="001F6B14"/>
    <w:rsid w:val="00206F64"/>
    <w:rsid w:val="00207DDC"/>
    <w:rsid w:val="002225EF"/>
    <w:rsid w:val="00224B57"/>
    <w:rsid w:val="002250A3"/>
    <w:rsid w:val="00225D31"/>
    <w:rsid w:val="0022603C"/>
    <w:rsid w:val="00235217"/>
    <w:rsid w:val="00246D1F"/>
    <w:rsid w:val="00247403"/>
    <w:rsid w:val="00247542"/>
    <w:rsid w:val="0025125F"/>
    <w:rsid w:val="0025226C"/>
    <w:rsid w:val="00252B19"/>
    <w:rsid w:val="00254A16"/>
    <w:rsid w:val="00256D35"/>
    <w:rsid w:val="00266B61"/>
    <w:rsid w:val="00266B90"/>
    <w:rsid w:val="0026712A"/>
    <w:rsid w:val="002704DB"/>
    <w:rsid w:val="0027294E"/>
    <w:rsid w:val="00281300"/>
    <w:rsid w:val="00281513"/>
    <w:rsid w:val="002821D7"/>
    <w:rsid w:val="002839E3"/>
    <w:rsid w:val="00284258"/>
    <w:rsid w:val="00287988"/>
    <w:rsid w:val="002A0AAE"/>
    <w:rsid w:val="002A152F"/>
    <w:rsid w:val="002A5820"/>
    <w:rsid w:val="002A73FE"/>
    <w:rsid w:val="002A7636"/>
    <w:rsid w:val="002B0AD7"/>
    <w:rsid w:val="002B7F58"/>
    <w:rsid w:val="002B7F5A"/>
    <w:rsid w:val="002C58D0"/>
    <w:rsid w:val="002D2B26"/>
    <w:rsid w:val="002D7EA2"/>
    <w:rsid w:val="002E01AD"/>
    <w:rsid w:val="002E187C"/>
    <w:rsid w:val="002E7199"/>
    <w:rsid w:val="002F0E4D"/>
    <w:rsid w:val="002F22A3"/>
    <w:rsid w:val="002F76E1"/>
    <w:rsid w:val="00302733"/>
    <w:rsid w:val="00313FCB"/>
    <w:rsid w:val="00314078"/>
    <w:rsid w:val="0031535D"/>
    <w:rsid w:val="00325892"/>
    <w:rsid w:val="00326F7C"/>
    <w:rsid w:val="0033169F"/>
    <w:rsid w:val="0033476B"/>
    <w:rsid w:val="00337473"/>
    <w:rsid w:val="0034466A"/>
    <w:rsid w:val="0034660B"/>
    <w:rsid w:val="00346C95"/>
    <w:rsid w:val="00346DAF"/>
    <w:rsid w:val="00356185"/>
    <w:rsid w:val="00360380"/>
    <w:rsid w:val="00364386"/>
    <w:rsid w:val="00366EAC"/>
    <w:rsid w:val="00370692"/>
    <w:rsid w:val="00371018"/>
    <w:rsid w:val="00374310"/>
    <w:rsid w:val="0037519E"/>
    <w:rsid w:val="00380E77"/>
    <w:rsid w:val="00380F54"/>
    <w:rsid w:val="00386CF0"/>
    <w:rsid w:val="00390711"/>
    <w:rsid w:val="00393912"/>
    <w:rsid w:val="00397F30"/>
    <w:rsid w:val="00397F4C"/>
    <w:rsid w:val="003A6381"/>
    <w:rsid w:val="003B5E85"/>
    <w:rsid w:val="003C3861"/>
    <w:rsid w:val="003C3E8B"/>
    <w:rsid w:val="003C55C0"/>
    <w:rsid w:val="003C5F97"/>
    <w:rsid w:val="003C676B"/>
    <w:rsid w:val="003D22A4"/>
    <w:rsid w:val="003D24D4"/>
    <w:rsid w:val="003D295D"/>
    <w:rsid w:val="003D2F6F"/>
    <w:rsid w:val="003D3BC2"/>
    <w:rsid w:val="003D4143"/>
    <w:rsid w:val="003D4662"/>
    <w:rsid w:val="003E2360"/>
    <w:rsid w:val="003E553A"/>
    <w:rsid w:val="003E6CA1"/>
    <w:rsid w:val="003F2827"/>
    <w:rsid w:val="00400058"/>
    <w:rsid w:val="00401147"/>
    <w:rsid w:val="00411A6C"/>
    <w:rsid w:val="0041287D"/>
    <w:rsid w:val="004133F2"/>
    <w:rsid w:val="00413BBC"/>
    <w:rsid w:val="00414AAF"/>
    <w:rsid w:val="0041619C"/>
    <w:rsid w:val="004165C2"/>
    <w:rsid w:val="00420541"/>
    <w:rsid w:val="004249D6"/>
    <w:rsid w:val="00440B81"/>
    <w:rsid w:val="00441ECB"/>
    <w:rsid w:val="00442B01"/>
    <w:rsid w:val="0044382B"/>
    <w:rsid w:val="00444506"/>
    <w:rsid w:val="00446D15"/>
    <w:rsid w:val="00446EE6"/>
    <w:rsid w:val="004549E3"/>
    <w:rsid w:val="00454BF4"/>
    <w:rsid w:val="00457F28"/>
    <w:rsid w:val="00463655"/>
    <w:rsid w:val="004642A1"/>
    <w:rsid w:val="00464866"/>
    <w:rsid w:val="00467B7E"/>
    <w:rsid w:val="00470A28"/>
    <w:rsid w:val="00477592"/>
    <w:rsid w:val="004816B3"/>
    <w:rsid w:val="00486F1C"/>
    <w:rsid w:val="00490881"/>
    <w:rsid w:val="00493E29"/>
    <w:rsid w:val="0049419D"/>
    <w:rsid w:val="004945DC"/>
    <w:rsid w:val="00496D2F"/>
    <w:rsid w:val="004A748B"/>
    <w:rsid w:val="004B2506"/>
    <w:rsid w:val="004B648B"/>
    <w:rsid w:val="004C20D2"/>
    <w:rsid w:val="004C4B62"/>
    <w:rsid w:val="004C54C9"/>
    <w:rsid w:val="004D1D43"/>
    <w:rsid w:val="004D3CCC"/>
    <w:rsid w:val="004D493C"/>
    <w:rsid w:val="004D6025"/>
    <w:rsid w:val="004E2649"/>
    <w:rsid w:val="004E4543"/>
    <w:rsid w:val="004F0A0E"/>
    <w:rsid w:val="004F3A85"/>
    <w:rsid w:val="004F73C4"/>
    <w:rsid w:val="00501399"/>
    <w:rsid w:val="00501AD6"/>
    <w:rsid w:val="00503819"/>
    <w:rsid w:val="0050633D"/>
    <w:rsid w:val="00507BC4"/>
    <w:rsid w:val="005115D7"/>
    <w:rsid w:val="005128E4"/>
    <w:rsid w:val="005133DB"/>
    <w:rsid w:val="00520706"/>
    <w:rsid w:val="00520C07"/>
    <w:rsid w:val="00521223"/>
    <w:rsid w:val="00525560"/>
    <w:rsid w:val="00527DB7"/>
    <w:rsid w:val="005331E0"/>
    <w:rsid w:val="00535A27"/>
    <w:rsid w:val="0054330F"/>
    <w:rsid w:val="00544C49"/>
    <w:rsid w:val="00545116"/>
    <w:rsid w:val="005516A1"/>
    <w:rsid w:val="005545A1"/>
    <w:rsid w:val="0055527C"/>
    <w:rsid w:val="00557920"/>
    <w:rsid w:val="00560AEB"/>
    <w:rsid w:val="005620FE"/>
    <w:rsid w:val="0056440D"/>
    <w:rsid w:val="00565D19"/>
    <w:rsid w:val="0057402A"/>
    <w:rsid w:val="005771D0"/>
    <w:rsid w:val="005814E4"/>
    <w:rsid w:val="00582C75"/>
    <w:rsid w:val="00584B52"/>
    <w:rsid w:val="0058527F"/>
    <w:rsid w:val="0059191A"/>
    <w:rsid w:val="005921FF"/>
    <w:rsid w:val="005955A7"/>
    <w:rsid w:val="00596DCB"/>
    <w:rsid w:val="005A220E"/>
    <w:rsid w:val="005A6D0E"/>
    <w:rsid w:val="005B02E4"/>
    <w:rsid w:val="005B19E8"/>
    <w:rsid w:val="005B283F"/>
    <w:rsid w:val="005B2B05"/>
    <w:rsid w:val="005B34A2"/>
    <w:rsid w:val="005B3AC4"/>
    <w:rsid w:val="005B52B0"/>
    <w:rsid w:val="005B6806"/>
    <w:rsid w:val="005C167F"/>
    <w:rsid w:val="005C2A29"/>
    <w:rsid w:val="005C4225"/>
    <w:rsid w:val="005C6C44"/>
    <w:rsid w:val="005E2028"/>
    <w:rsid w:val="005E56D3"/>
    <w:rsid w:val="005E5A8B"/>
    <w:rsid w:val="005E5C2A"/>
    <w:rsid w:val="005E75A3"/>
    <w:rsid w:val="005F0DAD"/>
    <w:rsid w:val="005F0F33"/>
    <w:rsid w:val="005F190D"/>
    <w:rsid w:val="005F7BA8"/>
    <w:rsid w:val="00600DEB"/>
    <w:rsid w:val="00601EAF"/>
    <w:rsid w:val="0060364E"/>
    <w:rsid w:val="00605F05"/>
    <w:rsid w:val="00606889"/>
    <w:rsid w:val="00606908"/>
    <w:rsid w:val="006136C1"/>
    <w:rsid w:val="006141E5"/>
    <w:rsid w:val="006154B1"/>
    <w:rsid w:val="00615DF1"/>
    <w:rsid w:val="00621952"/>
    <w:rsid w:val="00622E0C"/>
    <w:rsid w:val="00625A2D"/>
    <w:rsid w:val="00627863"/>
    <w:rsid w:val="00627C9F"/>
    <w:rsid w:val="006311E9"/>
    <w:rsid w:val="00631B93"/>
    <w:rsid w:val="00632354"/>
    <w:rsid w:val="0063308C"/>
    <w:rsid w:val="00634852"/>
    <w:rsid w:val="006373AD"/>
    <w:rsid w:val="00642810"/>
    <w:rsid w:val="0064282C"/>
    <w:rsid w:val="00645272"/>
    <w:rsid w:val="00646E7E"/>
    <w:rsid w:val="00652333"/>
    <w:rsid w:val="0065260E"/>
    <w:rsid w:val="0065414C"/>
    <w:rsid w:val="006564C4"/>
    <w:rsid w:val="00660B06"/>
    <w:rsid w:val="00661071"/>
    <w:rsid w:val="006623FC"/>
    <w:rsid w:val="006665BD"/>
    <w:rsid w:val="006754FA"/>
    <w:rsid w:val="006773CB"/>
    <w:rsid w:val="0068009E"/>
    <w:rsid w:val="00682777"/>
    <w:rsid w:val="006829F8"/>
    <w:rsid w:val="00687679"/>
    <w:rsid w:val="006900EC"/>
    <w:rsid w:val="00690793"/>
    <w:rsid w:val="006914F5"/>
    <w:rsid w:val="00692219"/>
    <w:rsid w:val="00693A67"/>
    <w:rsid w:val="0069443B"/>
    <w:rsid w:val="006A019A"/>
    <w:rsid w:val="006A17D2"/>
    <w:rsid w:val="006A73E6"/>
    <w:rsid w:val="006B22E3"/>
    <w:rsid w:val="006B2572"/>
    <w:rsid w:val="006B271A"/>
    <w:rsid w:val="006B275F"/>
    <w:rsid w:val="006B2D5C"/>
    <w:rsid w:val="006B5AB5"/>
    <w:rsid w:val="006C16FC"/>
    <w:rsid w:val="006C1791"/>
    <w:rsid w:val="006C3589"/>
    <w:rsid w:val="006C4EB1"/>
    <w:rsid w:val="006C68FB"/>
    <w:rsid w:val="006D0217"/>
    <w:rsid w:val="006D322C"/>
    <w:rsid w:val="006D49CE"/>
    <w:rsid w:val="006D7CD8"/>
    <w:rsid w:val="006E0166"/>
    <w:rsid w:val="006E1AEF"/>
    <w:rsid w:val="006E7B34"/>
    <w:rsid w:val="006F086A"/>
    <w:rsid w:val="006F0F27"/>
    <w:rsid w:val="006F12B7"/>
    <w:rsid w:val="006F3A0A"/>
    <w:rsid w:val="006F63CA"/>
    <w:rsid w:val="0070697F"/>
    <w:rsid w:val="00706F1F"/>
    <w:rsid w:val="00706F4A"/>
    <w:rsid w:val="00707E7B"/>
    <w:rsid w:val="007112CC"/>
    <w:rsid w:val="00714497"/>
    <w:rsid w:val="0072199C"/>
    <w:rsid w:val="00722C9F"/>
    <w:rsid w:val="0072425C"/>
    <w:rsid w:val="007253B8"/>
    <w:rsid w:val="00731703"/>
    <w:rsid w:val="00735A06"/>
    <w:rsid w:val="0073741F"/>
    <w:rsid w:val="00743604"/>
    <w:rsid w:val="0074386F"/>
    <w:rsid w:val="00751E21"/>
    <w:rsid w:val="00756ED1"/>
    <w:rsid w:val="007628D3"/>
    <w:rsid w:val="0076643F"/>
    <w:rsid w:val="00766F37"/>
    <w:rsid w:val="00777257"/>
    <w:rsid w:val="00777F63"/>
    <w:rsid w:val="00785FA4"/>
    <w:rsid w:val="0078631D"/>
    <w:rsid w:val="00791617"/>
    <w:rsid w:val="007960D7"/>
    <w:rsid w:val="007A235D"/>
    <w:rsid w:val="007A482D"/>
    <w:rsid w:val="007A5817"/>
    <w:rsid w:val="007B0B19"/>
    <w:rsid w:val="007B1125"/>
    <w:rsid w:val="007B3C08"/>
    <w:rsid w:val="007B60E9"/>
    <w:rsid w:val="007B6CC3"/>
    <w:rsid w:val="007B7309"/>
    <w:rsid w:val="007C0D99"/>
    <w:rsid w:val="007C3334"/>
    <w:rsid w:val="007D16F0"/>
    <w:rsid w:val="007D2B98"/>
    <w:rsid w:val="007D3C86"/>
    <w:rsid w:val="007E21BC"/>
    <w:rsid w:val="007F5596"/>
    <w:rsid w:val="007F56C1"/>
    <w:rsid w:val="00800A60"/>
    <w:rsid w:val="00803F1C"/>
    <w:rsid w:val="00805788"/>
    <w:rsid w:val="0080600E"/>
    <w:rsid w:val="008064EA"/>
    <w:rsid w:val="008133F6"/>
    <w:rsid w:val="00817612"/>
    <w:rsid w:val="008315F6"/>
    <w:rsid w:val="00832E28"/>
    <w:rsid w:val="00833561"/>
    <w:rsid w:val="008338A4"/>
    <w:rsid w:val="00836F34"/>
    <w:rsid w:val="00837C45"/>
    <w:rsid w:val="008406F1"/>
    <w:rsid w:val="00841577"/>
    <w:rsid w:val="00844730"/>
    <w:rsid w:val="008457C2"/>
    <w:rsid w:val="00853E0A"/>
    <w:rsid w:val="00854339"/>
    <w:rsid w:val="00857A82"/>
    <w:rsid w:val="00861439"/>
    <w:rsid w:val="008639EA"/>
    <w:rsid w:val="00870795"/>
    <w:rsid w:val="00873836"/>
    <w:rsid w:val="0088389D"/>
    <w:rsid w:val="008840F4"/>
    <w:rsid w:val="00884513"/>
    <w:rsid w:val="00885737"/>
    <w:rsid w:val="00886C39"/>
    <w:rsid w:val="00890650"/>
    <w:rsid w:val="00892761"/>
    <w:rsid w:val="00893544"/>
    <w:rsid w:val="00893FFE"/>
    <w:rsid w:val="00896B09"/>
    <w:rsid w:val="008978DA"/>
    <w:rsid w:val="00897E12"/>
    <w:rsid w:val="008A3D2D"/>
    <w:rsid w:val="008A705D"/>
    <w:rsid w:val="008A7E0F"/>
    <w:rsid w:val="008B12F5"/>
    <w:rsid w:val="008B200C"/>
    <w:rsid w:val="008B5E5C"/>
    <w:rsid w:val="008C493F"/>
    <w:rsid w:val="008D275F"/>
    <w:rsid w:val="008D387E"/>
    <w:rsid w:val="008D56B4"/>
    <w:rsid w:val="008D768D"/>
    <w:rsid w:val="008E09F8"/>
    <w:rsid w:val="008E3759"/>
    <w:rsid w:val="008F1912"/>
    <w:rsid w:val="008F2CF3"/>
    <w:rsid w:val="0090270B"/>
    <w:rsid w:val="009041DC"/>
    <w:rsid w:val="009136E7"/>
    <w:rsid w:val="00917B5A"/>
    <w:rsid w:val="00920A58"/>
    <w:rsid w:val="00920A8C"/>
    <w:rsid w:val="00920BBA"/>
    <w:rsid w:val="0092323B"/>
    <w:rsid w:val="00925AB8"/>
    <w:rsid w:val="00931DF3"/>
    <w:rsid w:val="009341C1"/>
    <w:rsid w:val="00934A2C"/>
    <w:rsid w:val="00936E4D"/>
    <w:rsid w:val="009372C5"/>
    <w:rsid w:val="009433B9"/>
    <w:rsid w:val="00946468"/>
    <w:rsid w:val="009474A6"/>
    <w:rsid w:val="00955C04"/>
    <w:rsid w:val="00957153"/>
    <w:rsid w:val="00961D9E"/>
    <w:rsid w:val="00962520"/>
    <w:rsid w:val="0096706E"/>
    <w:rsid w:val="00970EFA"/>
    <w:rsid w:val="0097292A"/>
    <w:rsid w:val="0097442B"/>
    <w:rsid w:val="00975C4E"/>
    <w:rsid w:val="009762AC"/>
    <w:rsid w:val="00976953"/>
    <w:rsid w:val="009818E0"/>
    <w:rsid w:val="00981FBA"/>
    <w:rsid w:val="00985212"/>
    <w:rsid w:val="009858E9"/>
    <w:rsid w:val="00987EB8"/>
    <w:rsid w:val="009922C5"/>
    <w:rsid w:val="009942B2"/>
    <w:rsid w:val="0099483A"/>
    <w:rsid w:val="00996699"/>
    <w:rsid w:val="00996EED"/>
    <w:rsid w:val="00997BC5"/>
    <w:rsid w:val="009A4F41"/>
    <w:rsid w:val="009B381B"/>
    <w:rsid w:val="009B45F9"/>
    <w:rsid w:val="009B6D89"/>
    <w:rsid w:val="009C28F5"/>
    <w:rsid w:val="009C47C8"/>
    <w:rsid w:val="009C500A"/>
    <w:rsid w:val="009C5CBB"/>
    <w:rsid w:val="009D0ED2"/>
    <w:rsid w:val="009D1753"/>
    <w:rsid w:val="009D197D"/>
    <w:rsid w:val="009D38BD"/>
    <w:rsid w:val="009D38E9"/>
    <w:rsid w:val="009D3E67"/>
    <w:rsid w:val="009D42F6"/>
    <w:rsid w:val="009D49B8"/>
    <w:rsid w:val="009D7611"/>
    <w:rsid w:val="009D7C81"/>
    <w:rsid w:val="009E0B61"/>
    <w:rsid w:val="009E2E98"/>
    <w:rsid w:val="009E40E8"/>
    <w:rsid w:val="009E5184"/>
    <w:rsid w:val="009E53DE"/>
    <w:rsid w:val="009F00A7"/>
    <w:rsid w:val="009F5227"/>
    <w:rsid w:val="00A20059"/>
    <w:rsid w:val="00A2094B"/>
    <w:rsid w:val="00A214B2"/>
    <w:rsid w:val="00A223CC"/>
    <w:rsid w:val="00A22A18"/>
    <w:rsid w:val="00A25BE8"/>
    <w:rsid w:val="00A2608F"/>
    <w:rsid w:val="00A27000"/>
    <w:rsid w:val="00A303A9"/>
    <w:rsid w:val="00A31856"/>
    <w:rsid w:val="00A328B3"/>
    <w:rsid w:val="00A33B08"/>
    <w:rsid w:val="00A351F6"/>
    <w:rsid w:val="00A4384C"/>
    <w:rsid w:val="00A5067F"/>
    <w:rsid w:val="00A50FCF"/>
    <w:rsid w:val="00A528D1"/>
    <w:rsid w:val="00A610CD"/>
    <w:rsid w:val="00A73B21"/>
    <w:rsid w:val="00A76A77"/>
    <w:rsid w:val="00A80E31"/>
    <w:rsid w:val="00A81C7B"/>
    <w:rsid w:val="00AA09A2"/>
    <w:rsid w:val="00AA1C21"/>
    <w:rsid w:val="00AA212C"/>
    <w:rsid w:val="00AA7996"/>
    <w:rsid w:val="00AB3D0B"/>
    <w:rsid w:val="00AC0311"/>
    <w:rsid w:val="00AC0AE0"/>
    <w:rsid w:val="00AC19CB"/>
    <w:rsid w:val="00AC2C17"/>
    <w:rsid w:val="00AC35A2"/>
    <w:rsid w:val="00AC35D1"/>
    <w:rsid w:val="00AC7797"/>
    <w:rsid w:val="00AD0935"/>
    <w:rsid w:val="00AD2BD3"/>
    <w:rsid w:val="00AD5ADE"/>
    <w:rsid w:val="00AE5488"/>
    <w:rsid w:val="00AE6F91"/>
    <w:rsid w:val="00AF3B34"/>
    <w:rsid w:val="00AF5571"/>
    <w:rsid w:val="00B023BB"/>
    <w:rsid w:val="00B02D2A"/>
    <w:rsid w:val="00B04CAF"/>
    <w:rsid w:val="00B07341"/>
    <w:rsid w:val="00B12B6D"/>
    <w:rsid w:val="00B14C50"/>
    <w:rsid w:val="00B23495"/>
    <w:rsid w:val="00B24938"/>
    <w:rsid w:val="00B30539"/>
    <w:rsid w:val="00B314DB"/>
    <w:rsid w:val="00B3220B"/>
    <w:rsid w:val="00B35703"/>
    <w:rsid w:val="00B361F2"/>
    <w:rsid w:val="00B3667B"/>
    <w:rsid w:val="00B36E21"/>
    <w:rsid w:val="00B3718B"/>
    <w:rsid w:val="00B451F6"/>
    <w:rsid w:val="00B452FE"/>
    <w:rsid w:val="00B4632A"/>
    <w:rsid w:val="00B46387"/>
    <w:rsid w:val="00B47F78"/>
    <w:rsid w:val="00B530F1"/>
    <w:rsid w:val="00B5325A"/>
    <w:rsid w:val="00B546DA"/>
    <w:rsid w:val="00B55476"/>
    <w:rsid w:val="00B579C4"/>
    <w:rsid w:val="00B61E52"/>
    <w:rsid w:val="00B71AC8"/>
    <w:rsid w:val="00B72A83"/>
    <w:rsid w:val="00B77D30"/>
    <w:rsid w:val="00B80064"/>
    <w:rsid w:val="00B8206C"/>
    <w:rsid w:val="00B823D5"/>
    <w:rsid w:val="00B83591"/>
    <w:rsid w:val="00B83A04"/>
    <w:rsid w:val="00B84AF0"/>
    <w:rsid w:val="00B85FB8"/>
    <w:rsid w:val="00B86214"/>
    <w:rsid w:val="00B87E79"/>
    <w:rsid w:val="00B91678"/>
    <w:rsid w:val="00B91E8C"/>
    <w:rsid w:val="00B923B5"/>
    <w:rsid w:val="00B95BC7"/>
    <w:rsid w:val="00BA276C"/>
    <w:rsid w:val="00BA5760"/>
    <w:rsid w:val="00BA6DE4"/>
    <w:rsid w:val="00BA7914"/>
    <w:rsid w:val="00BB23F8"/>
    <w:rsid w:val="00BB306F"/>
    <w:rsid w:val="00BB4F6F"/>
    <w:rsid w:val="00BB61F7"/>
    <w:rsid w:val="00BC0142"/>
    <w:rsid w:val="00BC3F5E"/>
    <w:rsid w:val="00BD4B89"/>
    <w:rsid w:val="00BD7F09"/>
    <w:rsid w:val="00BF6030"/>
    <w:rsid w:val="00BF6FD8"/>
    <w:rsid w:val="00C03680"/>
    <w:rsid w:val="00C054DF"/>
    <w:rsid w:val="00C12B24"/>
    <w:rsid w:val="00C21762"/>
    <w:rsid w:val="00C24543"/>
    <w:rsid w:val="00C256A2"/>
    <w:rsid w:val="00C262F3"/>
    <w:rsid w:val="00C274B5"/>
    <w:rsid w:val="00C27E39"/>
    <w:rsid w:val="00C37B2C"/>
    <w:rsid w:val="00C4382A"/>
    <w:rsid w:val="00C441ED"/>
    <w:rsid w:val="00C4463D"/>
    <w:rsid w:val="00C46843"/>
    <w:rsid w:val="00C51515"/>
    <w:rsid w:val="00C51B6A"/>
    <w:rsid w:val="00C5385C"/>
    <w:rsid w:val="00C543B5"/>
    <w:rsid w:val="00C55C74"/>
    <w:rsid w:val="00C5660B"/>
    <w:rsid w:val="00C60D0A"/>
    <w:rsid w:val="00C66B72"/>
    <w:rsid w:val="00C67FC8"/>
    <w:rsid w:val="00C809F6"/>
    <w:rsid w:val="00C814F5"/>
    <w:rsid w:val="00C81586"/>
    <w:rsid w:val="00C94AFA"/>
    <w:rsid w:val="00C9567A"/>
    <w:rsid w:val="00CA0F31"/>
    <w:rsid w:val="00CB212D"/>
    <w:rsid w:val="00CB2660"/>
    <w:rsid w:val="00CB3369"/>
    <w:rsid w:val="00CC19B7"/>
    <w:rsid w:val="00CC4F7D"/>
    <w:rsid w:val="00CC5E90"/>
    <w:rsid w:val="00CC6AC9"/>
    <w:rsid w:val="00CD046C"/>
    <w:rsid w:val="00CD40A7"/>
    <w:rsid w:val="00CE076C"/>
    <w:rsid w:val="00CE5199"/>
    <w:rsid w:val="00CE66D5"/>
    <w:rsid w:val="00CE73E4"/>
    <w:rsid w:val="00CF637A"/>
    <w:rsid w:val="00D03EDA"/>
    <w:rsid w:val="00D059DE"/>
    <w:rsid w:val="00D122A8"/>
    <w:rsid w:val="00D13FCE"/>
    <w:rsid w:val="00D213AA"/>
    <w:rsid w:val="00D230B7"/>
    <w:rsid w:val="00D24262"/>
    <w:rsid w:val="00D306D1"/>
    <w:rsid w:val="00D34786"/>
    <w:rsid w:val="00D37BFC"/>
    <w:rsid w:val="00D40646"/>
    <w:rsid w:val="00D469E1"/>
    <w:rsid w:val="00D47A8E"/>
    <w:rsid w:val="00D52113"/>
    <w:rsid w:val="00D524C9"/>
    <w:rsid w:val="00D52D14"/>
    <w:rsid w:val="00D57AA6"/>
    <w:rsid w:val="00D6060E"/>
    <w:rsid w:val="00D60CAF"/>
    <w:rsid w:val="00D712D3"/>
    <w:rsid w:val="00D71422"/>
    <w:rsid w:val="00D72229"/>
    <w:rsid w:val="00D726F7"/>
    <w:rsid w:val="00D72DC6"/>
    <w:rsid w:val="00D74FC7"/>
    <w:rsid w:val="00D7558D"/>
    <w:rsid w:val="00D81D92"/>
    <w:rsid w:val="00D838D3"/>
    <w:rsid w:val="00D83C99"/>
    <w:rsid w:val="00D85A26"/>
    <w:rsid w:val="00D86274"/>
    <w:rsid w:val="00D92144"/>
    <w:rsid w:val="00D92E24"/>
    <w:rsid w:val="00DA3D9D"/>
    <w:rsid w:val="00DA7799"/>
    <w:rsid w:val="00DA7B5F"/>
    <w:rsid w:val="00DB3204"/>
    <w:rsid w:val="00DC11E7"/>
    <w:rsid w:val="00DC7023"/>
    <w:rsid w:val="00DC769A"/>
    <w:rsid w:val="00DD3D86"/>
    <w:rsid w:val="00DD4B8F"/>
    <w:rsid w:val="00DD5354"/>
    <w:rsid w:val="00DD5B1D"/>
    <w:rsid w:val="00DE011F"/>
    <w:rsid w:val="00DE2A29"/>
    <w:rsid w:val="00DF112C"/>
    <w:rsid w:val="00DF1EC4"/>
    <w:rsid w:val="00DF4E33"/>
    <w:rsid w:val="00DF6D72"/>
    <w:rsid w:val="00E0340B"/>
    <w:rsid w:val="00E04A90"/>
    <w:rsid w:val="00E16CB7"/>
    <w:rsid w:val="00E219C7"/>
    <w:rsid w:val="00E2577A"/>
    <w:rsid w:val="00E2666A"/>
    <w:rsid w:val="00E4016E"/>
    <w:rsid w:val="00E43157"/>
    <w:rsid w:val="00E461CE"/>
    <w:rsid w:val="00E53DF7"/>
    <w:rsid w:val="00E572CA"/>
    <w:rsid w:val="00E602B3"/>
    <w:rsid w:val="00E6348A"/>
    <w:rsid w:val="00E64A83"/>
    <w:rsid w:val="00E71CF6"/>
    <w:rsid w:val="00E71D8C"/>
    <w:rsid w:val="00E720CA"/>
    <w:rsid w:val="00E73D21"/>
    <w:rsid w:val="00E830A5"/>
    <w:rsid w:val="00E84EB5"/>
    <w:rsid w:val="00E85662"/>
    <w:rsid w:val="00E86567"/>
    <w:rsid w:val="00E8789F"/>
    <w:rsid w:val="00E8799B"/>
    <w:rsid w:val="00E87B18"/>
    <w:rsid w:val="00E9003B"/>
    <w:rsid w:val="00E916BC"/>
    <w:rsid w:val="00E97B71"/>
    <w:rsid w:val="00E97C03"/>
    <w:rsid w:val="00EA0390"/>
    <w:rsid w:val="00EA3D34"/>
    <w:rsid w:val="00EA5C8C"/>
    <w:rsid w:val="00EB2FDB"/>
    <w:rsid w:val="00EB454D"/>
    <w:rsid w:val="00EB53AC"/>
    <w:rsid w:val="00EB5B3A"/>
    <w:rsid w:val="00EB68B4"/>
    <w:rsid w:val="00EC57C7"/>
    <w:rsid w:val="00EC71CB"/>
    <w:rsid w:val="00ED6EDE"/>
    <w:rsid w:val="00ED6F0B"/>
    <w:rsid w:val="00ED76BE"/>
    <w:rsid w:val="00EE5974"/>
    <w:rsid w:val="00EE613E"/>
    <w:rsid w:val="00EE72EC"/>
    <w:rsid w:val="00EF619B"/>
    <w:rsid w:val="00F00B55"/>
    <w:rsid w:val="00F02AD1"/>
    <w:rsid w:val="00F04BAA"/>
    <w:rsid w:val="00F05B67"/>
    <w:rsid w:val="00F07DAE"/>
    <w:rsid w:val="00F12A04"/>
    <w:rsid w:val="00F12D83"/>
    <w:rsid w:val="00F17C0E"/>
    <w:rsid w:val="00F208C9"/>
    <w:rsid w:val="00F21B24"/>
    <w:rsid w:val="00F22699"/>
    <w:rsid w:val="00F253CC"/>
    <w:rsid w:val="00F27FDB"/>
    <w:rsid w:val="00F32A69"/>
    <w:rsid w:val="00F33082"/>
    <w:rsid w:val="00F3372A"/>
    <w:rsid w:val="00F34897"/>
    <w:rsid w:val="00F36AB7"/>
    <w:rsid w:val="00F37106"/>
    <w:rsid w:val="00F40917"/>
    <w:rsid w:val="00F453A4"/>
    <w:rsid w:val="00F51401"/>
    <w:rsid w:val="00F519CF"/>
    <w:rsid w:val="00F53BBD"/>
    <w:rsid w:val="00F549E3"/>
    <w:rsid w:val="00F56BA5"/>
    <w:rsid w:val="00F56E69"/>
    <w:rsid w:val="00F608CF"/>
    <w:rsid w:val="00F60B10"/>
    <w:rsid w:val="00F60E22"/>
    <w:rsid w:val="00F62E40"/>
    <w:rsid w:val="00F67C12"/>
    <w:rsid w:val="00F72239"/>
    <w:rsid w:val="00F75DE4"/>
    <w:rsid w:val="00F80788"/>
    <w:rsid w:val="00F81395"/>
    <w:rsid w:val="00F83312"/>
    <w:rsid w:val="00F86DCE"/>
    <w:rsid w:val="00F917D1"/>
    <w:rsid w:val="00F932A5"/>
    <w:rsid w:val="00F9653B"/>
    <w:rsid w:val="00FA452D"/>
    <w:rsid w:val="00FA4D31"/>
    <w:rsid w:val="00FA53B4"/>
    <w:rsid w:val="00FA57E1"/>
    <w:rsid w:val="00FB2CAA"/>
    <w:rsid w:val="00FB4D0A"/>
    <w:rsid w:val="00FB62CF"/>
    <w:rsid w:val="00FB6AC9"/>
    <w:rsid w:val="00FB78C9"/>
    <w:rsid w:val="00FC05CE"/>
    <w:rsid w:val="00FC30E8"/>
    <w:rsid w:val="00FD3C3B"/>
    <w:rsid w:val="00FD4FE7"/>
    <w:rsid w:val="00FD6123"/>
    <w:rsid w:val="00FE1154"/>
    <w:rsid w:val="00FE25A8"/>
    <w:rsid w:val="00FE4683"/>
    <w:rsid w:val="00FE6B45"/>
    <w:rsid w:val="00FF22C6"/>
    <w:rsid w:val="00FF55F3"/>
    <w:rsid w:val="00FF5851"/>
    <w:rsid w:val="00FF74D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84AF0"/>
    <w:pPr>
      <w:keepNext/>
      <w:keepLines/>
      <w:numPr>
        <w:numId w:val="53"/>
      </w:numPr>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qFormat/>
    <w:rsid w:val="00707E7B"/>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uiPriority w:val="9"/>
    <w:qFormat/>
    <w:rsid w:val="001979E8"/>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0"/>
      <w:bdr w:val="none" w:sz="0" w:space="0" w:color="auto"/>
      <w:lang w:val="es-ES"/>
    </w:rPr>
  </w:style>
  <w:style w:type="paragraph" w:styleId="Heading4">
    <w:name w:val="heading 4"/>
    <w:basedOn w:val="Normal"/>
    <w:next w:val="Normal"/>
    <w:link w:val="Heading4Char"/>
    <w:uiPriority w:val="9"/>
    <w:unhideWhenUsed/>
    <w:qFormat/>
    <w:rsid w:val="00F833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84AF0"/>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D2BD3"/>
    <w:pPr>
      <w:tabs>
        <w:tab w:val="left" w:pos="1440"/>
        <w:tab w:val="right" w:leader="dot" w:pos="9350"/>
      </w:tabs>
      <w:spacing w:after="100"/>
    </w:pPr>
    <w:rPr>
      <w:rFonts w:asciiTheme="majorHAnsi" w:hAnsiTheme="majorHAnsi"/>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707E7B"/>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uiPriority w:val="9"/>
    <w:rsid w:val="001979E8"/>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MediumShading1-Accent2">
    <w:name w:val="Medium Shading 1 Accent 2"/>
    <w:basedOn w:val="TableNormal"/>
    <w:uiPriority w:val="63"/>
    <w:rsid w:val="00B84AF0"/>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itle">
    <w:name w:val="Subtitle"/>
    <w:basedOn w:val="Normal"/>
    <w:link w:val="SubtitleChar"/>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B84AF0"/>
    <w:rPr>
      <w:rFonts w:ascii="Arial" w:eastAsia="Times New Roman" w:hAnsi="Arial" w:cs="Arial"/>
      <w:sz w:val="24"/>
      <w:szCs w:val="24"/>
      <w:bdr w:val="none" w:sz="0" w:space="0" w:color="auto"/>
      <w:lang w:val="es-ES_tradnl" w:eastAsia="en-US"/>
    </w:rPr>
  </w:style>
  <w:style w:type="paragraph" w:styleId="List2">
    <w:name w:val="List 2"/>
    <w:basedOn w:val="Normal"/>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paragraph" w:customStyle="1" w:styleId="Prrafodelista">
    <w:name w:val="Párrafo de lista"/>
    <w:basedOn w:val="Normal"/>
    <w:qFormat/>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B84AF0"/>
    <w:rPr>
      <w:rFonts w:ascii="Baskerville Old Face" w:hAnsi="Baskerville Old Face"/>
      <w:sz w:val="28"/>
      <w:szCs w:val="28"/>
    </w:rPr>
  </w:style>
  <w:style w:type="paragraph" w:customStyle="1" w:styleId="Normal1">
    <w:name w:val="Normal1"/>
    <w:rsid w:val="00B84AF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s-CO" w:eastAsia="es-CO"/>
    </w:rPr>
  </w:style>
  <w:style w:type="paragraph" w:customStyle="1" w:styleId="2Footnotes">
    <w:name w:val="2. Footnotes"/>
    <w:basedOn w:val="FootnoteText"/>
    <w:autoRedefine/>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1">
    <w:name w:val="Style1"/>
    <w:basedOn w:val="Heading2"/>
    <w:link w:val="Style1Char"/>
    <w:qFormat/>
    <w:rsid w:val="00B84AF0"/>
    <w:pPr>
      <w:keepLines/>
      <w:pBdr>
        <w:top w:val="nil"/>
        <w:left w:val="nil"/>
        <w:bottom w:val="nil"/>
        <w:right w:val="nil"/>
        <w:between w:val="nil"/>
        <w:bar w:val="nil"/>
      </w:pBdr>
      <w:jc w:val="both"/>
    </w:pPr>
    <w:rPr>
      <w:rFonts w:ascii="Cambria" w:eastAsia="MS Gothic" w:hAnsi="Cambria" w:cs="Times New Roman"/>
      <w:i/>
      <w:iCs w:val="0"/>
      <w:bdr w:val="nil"/>
      <w:lang w:val="es-ES_tradnl"/>
    </w:rPr>
  </w:style>
  <w:style w:type="character" w:customStyle="1" w:styleId="Style1Char">
    <w:name w:val="Style1 Char"/>
    <w:link w:val="Style1"/>
    <w:rsid w:val="00B84AF0"/>
    <w:rPr>
      <w:rFonts w:ascii="Cambria" w:eastAsia="MS Gothic" w:hAnsi="Cambria"/>
      <w:b/>
      <w:bCs/>
      <w:i/>
      <w:lang w:val="es-ES_tradnl" w:eastAsia="en-US"/>
    </w:rPr>
  </w:style>
  <w:style w:type="character" w:styleId="CommentReference">
    <w:name w:val="annotation reference"/>
    <w:uiPriority w:val="99"/>
    <w:semiHidden/>
    <w:unhideWhenUsed/>
    <w:rsid w:val="00B84AF0"/>
    <w:rPr>
      <w:sz w:val="16"/>
      <w:szCs w:val="16"/>
    </w:rPr>
  </w:style>
  <w:style w:type="paragraph" w:styleId="CommentText">
    <w:name w:val="annotation text"/>
    <w:basedOn w:val="Normal"/>
    <w:link w:val="CommentTextChar"/>
    <w:uiPriority w:val="99"/>
    <w:semiHidden/>
    <w:unhideWhenUsed/>
    <w:rsid w:val="00B84AF0"/>
    <w:rPr>
      <w:sz w:val="20"/>
      <w:szCs w:val="20"/>
    </w:rPr>
  </w:style>
  <w:style w:type="character" w:customStyle="1" w:styleId="CommentTextChar">
    <w:name w:val="Comment Text Char"/>
    <w:basedOn w:val="DefaultParagraphFont"/>
    <w:link w:val="CommentText"/>
    <w:uiPriority w:val="99"/>
    <w:semiHidden/>
    <w:rsid w:val="00B84AF0"/>
    <w:rPr>
      <w:lang w:val="en-US" w:eastAsia="en-US"/>
    </w:rPr>
  </w:style>
  <w:style w:type="paragraph" w:styleId="CommentSubject">
    <w:name w:val="annotation subject"/>
    <w:basedOn w:val="CommentText"/>
    <w:next w:val="CommentText"/>
    <w:link w:val="CommentSubjectChar"/>
    <w:uiPriority w:val="99"/>
    <w:semiHidden/>
    <w:unhideWhenUsed/>
    <w:rsid w:val="00B84AF0"/>
    <w:rPr>
      <w:b/>
      <w:bCs/>
    </w:rPr>
  </w:style>
  <w:style w:type="character" w:customStyle="1" w:styleId="CommentSubjectChar">
    <w:name w:val="Comment Subject Char"/>
    <w:basedOn w:val="CommentTextChar"/>
    <w:link w:val="CommentSubject"/>
    <w:uiPriority w:val="99"/>
    <w:semiHidden/>
    <w:rsid w:val="00B84AF0"/>
    <w:rPr>
      <w:b/>
      <w:bCs/>
      <w:lang w:val="en-US" w:eastAsia="en-US"/>
    </w:rPr>
  </w:style>
  <w:style w:type="character" w:customStyle="1" w:styleId="apple-converted-space">
    <w:name w:val="apple-converted-space"/>
    <w:basedOn w:val="DefaultParagraphFont"/>
    <w:rsid w:val="00B84AF0"/>
  </w:style>
  <w:style w:type="character" w:customStyle="1" w:styleId="ListParagraphChar">
    <w:name w:val="List Paragraph Char"/>
    <w:aliases w:val="Párrafo de lista1 Char"/>
    <w:link w:val="ListParagraph"/>
    <w:uiPriority w:val="99"/>
    <w:locked/>
    <w:rsid w:val="00B84AF0"/>
    <w:rPr>
      <w:rFonts w:ascii="Cambria" w:eastAsia="Cambria" w:hAnsi="Cambria" w:cs="Cambria"/>
      <w:color w:val="000000"/>
      <w:sz w:val="24"/>
      <w:szCs w:val="24"/>
      <w:u w:color="000000"/>
      <w:lang w:val="en-US"/>
    </w:rPr>
  </w:style>
  <w:style w:type="character" w:styleId="Strong">
    <w:name w:val="Strong"/>
    <w:uiPriority w:val="22"/>
    <w:qFormat/>
    <w:rsid w:val="00B84AF0"/>
    <w:rPr>
      <w:b/>
      <w:bCs/>
    </w:rPr>
  </w:style>
  <w:style w:type="paragraph" w:customStyle="1" w:styleId="Style2">
    <w:name w:val="Style2"/>
    <w:basedOn w:val="Normal"/>
    <w:link w:val="Style2Char"/>
    <w:qFormat/>
    <w:rsid w:val="00B84AF0"/>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B84AF0"/>
    <w:rPr>
      <w:rFonts w:ascii="Cambria" w:hAnsi="Cambria"/>
      <w:lang w:eastAsia="en-US"/>
    </w:rPr>
  </w:style>
  <w:style w:type="character" w:customStyle="1" w:styleId="Heading4Char">
    <w:name w:val="Heading 4 Char"/>
    <w:basedOn w:val="DefaultParagraphFont"/>
    <w:link w:val="Heading4"/>
    <w:uiPriority w:val="9"/>
    <w:rsid w:val="00F83312"/>
    <w:rPr>
      <w:rFonts w:asciiTheme="majorHAnsi" w:eastAsiaTheme="majorEastAsia" w:hAnsiTheme="majorHAnsi" w:cstheme="majorBidi"/>
      <w:b/>
      <w:bCs/>
      <w:i/>
      <w:iCs/>
      <w:color w:val="4F81BD" w:themeColor="accent1"/>
      <w:sz w:val="24"/>
      <w:szCs w:val="24"/>
      <w:lang w:val="en-US" w:eastAsia="en-US"/>
    </w:rPr>
  </w:style>
  <w:style w:type="character" w:customStyle="1" w:styleId="ColorfulList-Accent1Char">
    <w:name w:val="Colorful List - Accent 1 Char"/>
    <w:link w:val="ColorfulList-Accent1"/>
    <w:locked/>
    <w:rsid w:val="006154B1"/>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rsid w:val="006154B1"/>
    <w:rPr>
      <w:rFonts w:ascii="Cambria" w:eastAsia="Cambria" w:hAnsi="Cambria" w:cs="Cambria"/>
      <w:color w:val="000000"/>
      <w:sz w:val="24"/>
      <w:szCs w:val="24"/>
      <w:u w:color="000000"/>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4249D6"/>
    <w:rPr>
      <w:color w:val="800080" w:themeColor="followedHyperlink"/>
      <w:u w:val="single"/>
    </w:rPr>
  </w:style>
  <w:style w:type="paragraph" w:styleId="NormalWeb">
    <w:name w:val="Normal (Web)"/>
    <w:basedOn w:val="Normal"/>
    <w:uiPriority w:val="99"/>
    <w:semiHidden/>
    <w:unhideWhenUsed/>
    <w:rsid w:val="00BF60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sid w:val="002F0E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84AF0"/>
    <w:pPr>
      <w:keepNext/>
      <w:keepLines/>
      <w:numPr>
        <w:numId w:val="53"/>
      </w:numPr>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qFormat/>
    <w:rsid w:val="00707E7B"/>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uiPriority w:val="9"/>
    <w:qFormat/>
    <w:rsid w:val="001979E8"/>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heme="majorHAnsi" w:eastAsia="Times New Roman" w:hAnsiTheme="majorHAnsi" w:cs="Arial"/>
      <w:b/>
      <w:bCs/>
      <w:sz w:val="20"/>
      <w:szCs w:val="20"/>
      <w:bdr w:val="none" w:sz="0" w:space="0" w:color="auto"/>
      <w:lang w:val="es-ES"/>
    </w:rPr>
  </w:style>
  <w:style w:type="paragraph" w:styleId="Heading4">
    <w:name w:val="heading 4"/>
    <w:basedOn w:val="Normal"/>
    <w:next w:val="Normal"/>
    <w:link w:val="Heading4Char"/>
    <w:uiPriority w:val="9"/>
    <w:unhideWhenUsed/>
    <w:qFormat/>
    <w:rsid w:val="00F833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84AF0"/>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D2BD3"/>
    <w:pPr>
      <w:tabs>
        <w:tab w:val="left" w:pos="1440"/>
        <w:tab w:val="right" w:leader="dot" w:pos="9350"/>
      </w:tabs>
      <w:spacing w:after="100"/>
    </w:pPr>
    <w:rPr>
      <w:rFonts w:asciiTheme="majorHAnsi" w:hAnsiTheme="majorHAnsi"/>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707E7B"/>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uiPriority w:val="9"/>
    <w:rsid w:val="001979E8"/>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MediumShading1-Accent2">
    <w:name w:val="Medium Shading 1 Accent 2"/>
    <w:basedOn w:val="TableNormal"/>
    <w:uiPriority w:val="63"/>
    <w:rsid w:val="00B84AF0"/>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itle">
    <w:name w:val="Subtitle"/>
    <w:basedOn w:val="Normal"/>
    <w:link w:val="SubtitleChar"/>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B84AF0"/>
    <w:rPr>
      <w:rFonts w:ascii="Arial" w:eastAsia="Times New Roman" w:hAnsi="Arial" w:cs="Arial"/>
      <w:sz w:val="24"/>
      <w:szCs w:val="24"/>
      <w:bdr w:val="none" w:sz="0" w:space="0" w:color="auto"/>
      <w:lang w:val="es-ES_tradnl" w:eastAsia="en-US"/>
    </w:rPr>
  </w:style>
  <w:style w:type="paragraph" w:styleId="List2">
    <w:name w:val="List 2"/>
    <w:basedOn w:val="Normal"/>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paragraph" w:customStyle="1" w:styleId="Prrafodelista">
    <w:name w:val="Párrafo de lista"/>
    <w:basedOn w:val="Normal"/>
    <w:qFormat/>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B84AF0"/>
    <w:rPr>
      <w:rFonts w:ascii="Baskerville Old Face" w:hAnsi="Baskerville Old Face"/>
      <w:sz w:val="28"/>
      <w:szCs w:val="28"/>
    </w:rPr>
  </w:style>
  <w:style w:type="paragraph" w:customStyle="1" w:styleId="Normal1">
    <w:name w:val="Normal1"/>
    <w:rsid w:val="00B84AF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s-CO" w:eastAsia="es-CO"/>
    </w:rPr>
  </w:style>
  <w:style w:type="paragraph" w:customStyle="1" w:styleId="2Footnotes">
    <w:name w:val="2. Footnotes"/>
    <w:basedOn w:val="FootnoteText"/>
    <w:autoRedefine/>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1">
    <w:name w:val="Style1"/>
    <w:basedOn w:val="Heading2"/>
    <w:link w:val="Style1Char"/>
    <w:qFormat/>
    <w:rsid w:val="00B84AF0"/>
    <w:pPr>
      <w:keepLines/>
      <w:pBdr>
        <w:top w:val="nil"/>
        <w:left w:val="nil"/>
        <w:bottom w:val="nil"/>
        <w:right w:val="nil"/>
        <w:between w:val="nil"/>
        <w:bar w:val="nil"/>
      </w:pBdr>
      <w:jc w:val="both"/>
    </w:pPr>
    <w:rPr>
      <w:rFonts w:ascii="Cambria" w:eastAsia="MS Gothic" w:hAnsi="Cambria" w:cs="Times New Roman"/>
      <w:i/>
      <w:iCs w:val="0"/>
      <w:bdr w:val="nil"/>
      <w:lang w:val="es-ES_tradnl"/>
    </w:rPr>
  </w:style>
  <w:style w:type="character" w:customStyle="1" w:styleId="Style1Char">
    <w:name w:val="Style1 Char"/>
    <w:link w:val="Style1"/>
    <w:rsid w:val="00B84AF0"/>
    <w:rPr>
      <w:rFonts w:ascii="Cambria" w:eastAsia="MS Gothic" w:hAnsi="Cambria"/>
      <w:b/>
      <w:bCs/>
      <w:i/>
      <w:lang w:val="es-ES_tradnl" w:eastAsia="en-US"/>
    </w:rPr>
  </w:style>
  <w:style w:type="character" w:styleId="CommentReference">
    <w:name w:val="annotation reference"/>
    <w:uiPriority w:val="99"/>
    <w:semiHidden/>
    <w:unhideWhenUsed/>
    <w:rsid w:val="00B84AF0"/>
    <w:rPr>
      <w:sz w:val="16"/>
      <w:szCs w:val="16"/>
    </w:rPr>
  </w:style>
  <w:style w:type="paragraph" w:styleId="CommentText">
    <w:name w:val="annotation text"/>
    <w:basedOn w:val="Normal"/>
    <w:link w:val="CommentTextChar"/>
    <w:uiPriority w:val="99"/>
    <w:semiHidden/>
    <w:unhideWhenUsed/>
    <w:rsid w:val="00B84AF0"/>
    <w:rPr>
      <w:sz w:val="20"/>
      <w:szCs w:val="20"/>
    </w:rPr>
  </w:style>
  <w:style w:type="character" w:customStyle="1" w:styleId="CommentTextChar">
    <w:name w:val="Comment Text Char"/>
    <w:basedOn w:val="DefaultParagraphFont"/>
    <w:link w:val="CommentText"/>
    <w:uiPriority w:val="99"/>
    <w:semiHidden/>
    <w:rsid w:val="00B84AF0"/>
    <w:rPr>
      <w:lang w:val="en-US" w:eastAsia="en-US"/>
    </w:rPr>
  </w:style>
  <w:style w:type="paragraph" w:styleId="CommentSubject">
    <w:name w:val="annotation subject"/>
    <w:basedOn w:val="CommentText"/>
    <w:next w:val="CommentText"/>
    <w:link w:val="CommentSubjectChar"/>
    <w:uiPriority w:val="99"/>
    <w:semiHidden/>
    <w:unhideWhenUsed/>
    <w:rsid w:val="00B84AF0"/>
    <w:rPr>
      <w:b/>
      <w:bCs/>
    </w:rPr>
  </w:style>
  <w:style w:type="character" w:customStyle="1" w:styleId="CommentSubjectChar">
    <w:name w:val="Comment Subject Char"/>
    <w:basedOn w:val="CommentTextChar"/>
    <w:link w:val="CommentSubject"/>
    <w:uiPriority w:val="99"/>
    <w:semiHidden/>
    <w:rsid w:val="00B84AF0"/>
    <w:rPr>
      <w:b/>
      <w:bCs/>
      <w:lang w:val="en-US" w:eastAsia="en-US"/>
    </w:rPr>
  </w:style>
  <w:style w:type="character" w:customStyle="1" w:styleId="apple-converted-space">
    <w:name w:val="apple-converted-space"/>
    <w:basedOn w:val="DefaultParagraphFont"/>
    <w:rsid w:val="00B84AF0"/>
  </w:style>
  <w:style w:type="character" w:customStyle="1" w:styleId="ListParagraphChar">
    <w:name w:val="List Paragraph Char"/>
    <w:aliases w:val="Párrafo de lista1 Char"/>
    <w:link w:val="ListParagraph"/>
    <w:uiPriority w:val="99"/>
    <w:locked/>
    <w:rsid w:val="00B84AF0"/>
    <w:rPr>
      <w:rFonts w:ascii="Cambria" w:eastAsia="Cambria" w:hAnsi="Cambria" w:cs="Cambria"/>
      <w:color w:val="000000"/>
      <w:sz w:val="24"/>
      <w:szCs w:val="24"/>
      <w:u w:color="000000"/>
      <w:lang w:val="en-US"/>
    </w:rPr>
  </w:style>
  <w:style w:type="character" w:styleId="Strong">
    <w:name w:val="Strong"/>
    <w:uiPriority w:val="22"/>
    <w:qFormat/>
    <w:rsid w:val="00B84AF0"/>
    <w:rPr>
      <w:b/>
      <w:bCs/>
    </w:rPr>
  </w:style>
  <w:style w:type="paragraph" w:customStyle="1" w:styleId="Style2">
    <w:name w:val="Style2"/>
    <w:basedOn w:val="Normal"/>
    <w:link w:val="Style2Char"/>
    <w:qFormat/>
    <w:rsid w:val="00B84AF0"/>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B84AF0"/>
    <w:rPr>
      <w:rFonts w:ascii="Cambria" w:hAnsi="Cambria"/>
      <w:lang w:eastAsia="en-US"/>
    </w:rPr>
  </w:style>
  <w:style w:type="character" w:customStyle="1" w:styleId="Heading4Char">
    <w:name w:val="Heading 4 Char"/>
    <w:basedOn w:val="DefaultParagraphFont"/>
    <w:link w:val="Heading4"/>
    <w:uiPriority w:val="9"/>
    <w:rsid w:val="00F83312"/>
    <w:rPr>
      <w:rFonts w:asciiTheme="majorHAnsi" w:eastAsiaTheme="majorEastAsia" w:hAnsiTheme="majorHAnsi" w:cstheme="majorBidi"/>
      <w:b/>
      <w:bCs/>
      <w:i/>
      <w:iCs/>
      <w:color w:val="4F81BD" w:themeColor="accent1"/>
      <w:sz w:val="24"/>
      <w:szCs w:val="24"/>
      <w:lang w:val="en-US" w:eastAsia="en-US"/>
    </w:rPr>
  </w:style>
  <w:style w:type="character" w:customStyle="1" w:styleId="ColorfulList-Accent1Char">
    <w:name w:val="Colorful List - Accent 1 Char"/>
    <w:link w:val="ColorfulList-Accent1"/>
    <w:locked/>
    <w:rsid w:val="006154B1"/>
    <w:rPr>
      <w:rFonts w:ascii="Cambria" w:eastAsia="Cambria" w:hAnsi="Cambria" w:cs="Cambria"/>
      <w:color w:val="000000"/>
      <w:sz w:val="24"/>
      <w:szCs w:val="24"/>
      <w:u w:color="000000"/>
      <w:lang w:val="en-US"/>
    </w:rPr>
  </w:style>
  <w:style w:type="table" w:styleId="ColorfulList-Accent1">
    <w:name w:val="Colorful List Accent 1"/>
    <w:basedOn w:val="TableNormal"/>
    <w:link w:val="ColorfulList-Accent1Char"/>
    <w:rsid w:val="006154B1"/>
    <w:rPr>
      <w:rFonts w:ascii="Cambria" w:eastAsia="Cambria" w:hAnsi="Cambria" w:cs="Cambria"/>
      <w:color w:val="000000"/>
      <w:sz w:val="24"/>
      <w:szCs w:val="24"/>
      <w:u w:color="000000"/>
      <w:lang w:val="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4249D6"/>
    <w:rPr>
      <w:color w:val="800080" w:themeColor="followedHyperlink"/>
      <w:u w:val="single"/>
    </w:rPr>
  </w:style>
  <w:style w:type="paragraph" w:styleId="NormalWeb">
    <w:name w:val="Normal (Web)"/>
    <w:basedOn w:val="Normal"/>
    <w:uiPriority w:val="99"/>
    <w:semiHidden/>
    <w:unhideWhenUsed/>
    <w:rsid w:val="00BF60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ndnoteReference">
    <w:name w:val="endnote reference"/>
    <w:basedOn w:val="DefaultParagraphFont"/>
    <w:uiPriority w:val="99"/>
    <w:semiHidden/>
    <w:unhideWhenUsed/>
    <w:rsid w:val="002F0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783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2038974">
      <w:bodyDiv w:val="1"/>
      <w:marLeft w:val="0"/>
      <w:marRight w:val="0"/>
      <w:marTop w:val="0"/>
      <w:marBottom w:val="0"/>
      <w:divBdr>
        <w:top w:val="none" w:sz="0" w:space="0" w:color="auto"/>
        <w:left w:val="none" w:sz="0" w:space="0" w:color="auto"/>
        <w:bottom w:val="none" w:sz="0" w:space="0" w:color="auto"/>
        <w:right w:val="none" w:sz="0" w:space="0" w:color="auto"/>
      </w:divBdr>
    </w:div>
    <w:div w:id="187815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hc.unesco.org/archive/convention-es.pdf" TargetMode="External"/><Relationship Id="rId2" Type="http://schemas.openxmlformats.org/officeDocument/2006/relationships/hyperlink" Target="http://oas.org/es/decisiones/corte/12.352FondoEsp.pdf" TargetMode="External"/><Relationship Id="rId1" Type="http://schemas.openxmlformats.org/officeDocument/2006/relationships/hyperlink" Target="http://www.cortenacional.gob.ec/cnj/images/pdf/constituciones/38%201945.pdf" TargetMode="External"/><Relationship Id="rId4" Type="http://schemas.openxmlformats.org/officeDocument/2006/relationships/hyperlink" Target="http://joomla.corteidh.or.cr:8080/joomla/es/casos-contenciosos/38-jurisprudencia/698-corte-idh-caso-gomez-palomino-vs-peru-fondo-reparaciones-y-costas-sentencia-de-22-de-noviembre-de-2005-serie-c-no-1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4D58-2282-4905-AE8B-7DA28CBF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11765</Words>
  <Characters>67063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2017-06-29T17:09:00Z</dcterms:created>
  <dcterms:modified xsi:type="dcterms:W3CDTF">2017-06-29T17:09:00Z</dcterms:modified>
</cp:coreProperties>
</file>