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B83D6A" w:rsidRDefault="00D306D1" w:rsidP="00627C9F">
      <w:pPr>
        <w:jc w:val="both"/>
        <w:rPr>
          <w:rFonts w:asciiTheme="majorHAnsi" w:hAnsiTheme="majorHAnsi" w:cs="Univers"/>
          <w:b/>
          <w:bCs/>
          <w:sz w:val="22"/>
          <w:szCs w:val="22"/>
          <w:lang w:val="es-ES_tradnl"/>
        </w:rPr>
      </w:pPr>
      <w:bookmarkStart w:id="0" w:name="_GoBack"/>
      <w:bookmarkEnd w:id="0"/>
      <w:r w:rsidRPr="00B83D6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72FE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83D6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B83D6A" w:rsidRDefault="00040C3A" w:rsidP="00040C3A">
      <w:pPr>
        <w:tabs>
          <w:tab w:val="center" w:pos="5400"/>
        </w:tabs>
        <w:suppressAutoHyphens/>
        <w:jc w:val="both"/>
        <w:rPr>
          <w:rFonts w:asciiTheme="majorHAnsi" w:hAnsiTheme="majorHAnsi"/>
          <w:sz w:val="22"/>
          <w:szCs w:val="22"/>
          <w:lang w:val="es-ES"/>
        </w:rPr>
      </w:pPr>
    </w:p>
    <w:p w:rsidR="00040C3A" w:rsidRPr="00B83D6A" w:rsidRDefault="00040C3A" w:rsidP="00040C3A">
      <w:pPr>
        <w:tabs>
          <w:tab w:val="center" w:pos="5400"/>
        </w:tabs>
        <w:suppressAutoHyphens/>
        <w:jc w:val="both"/>
        <w:rPr>
          <w:rFonts w:asciiTheme="majorHAnsi" w:hAnsiTheme="majorHAnsi"/>
          <w:sz w:val="22"/>
          <w:szCs w:val="22"/>
          <w:lang w:val="es-ES"/>
        </w:rPr>
      </w:pPr>
    </w:p>
    <w:p w:rsidR="005128E4" w:rsidRPr="00B83D6A" w:rsidRDefault="005128E4" w:rsidP="00040C3A">
      <w:pPr>
        <w:tabs>
          <w:tab w:val="center" w:pos="5400"/>
        </w:tabs>
        <w:suppressAutoHyphens/>
        <w:rPr>
          <w:rFonts w:asciiTheme="majorHAnsi" w:hAnsiTheme="majorHAnsi"/>
          <w:sz w:val="22"/>
          <w:szCs w:val="22"/>
          <w:lang w:val="es-ES_tradnl"/>
        </w:rPr>
      </w:pPr>
    </w:p>
    <w:p w:rsidR="005128E4" w:rsidRPr="00B83D6A" w:rsidRDefault="005128E4" w:rsidP="00040C3A">
      <w:pPr>
        <w:tabs>
          <w:tab w:val="center" w:pos="5400"/>
        </w:tabs>
        <w:suppressAutoHyphens/>
        <w:rPr>
          <w:rFonts w:asciiTheme="majorHAnsi" w:hAnsiTheme="majorHAnsi"/>
          <w:sz w:val="22"/>
          <w:szCs w:val="22"/>
          <w:lang w:val="es-ES_tradnl"/>
        </w:rPr>
      </w:pPr>
    </w:p>
    <w:p w:rsidR="005128E4" w:rsidRPr="00B83D6A" w:rsidRDefault="005128E4" w:rsidP="00040C3A">
      <w:pPr>
        <w:tabs>
          <w:tab w:val="center" w:pos="5400"/>
        </w:tabs>
        <w:suppressAutoHyphens/>
        <w:rPr>
          <w:rFonts w:asciiTheme="majorHAnsi" w:hAnsiTheme="majorHAnsi"/>
          <w:sz w:val="22"/>
          <w:szCs w:val="22"/>
          <w:lang w:val="es-ES_tradnl"/>
        </w:rPr>
      </w:pPr>
    </w:p>
    <w:p w:rsidR="00040C3A" w:rsidRPr="00B83D6A" w:rsidRDefault="00040C3A" w:rsidP="005128E4">
      <w:pPr>
        <w:tabs>
          <w:tab w:val="center" w:pos="5400"/>
        </w:tabs>
        <w:suppressAutoHyphens/>
        <w:jc w:val="center"/>
        <w:rPr>
          <w:rFonts w:asciiTheme="majorHAnsi" w:hAnsiTheme="majorHAnsi"/>
          <w:sz w:val="22"/>
          <w:szCs w:val="22"/>
          <w:lang w:val="es-ES_tradnl"/>
        </w:rPr>
      </w:pPr>
    </w:p>
    <w:p w:rsidR="00040C3A" w:rsidRPr="00B83D6A" w:rsidRDefault="00040C3A" w:rsidP="005128E4">
      <w:pPr>
        <w:tabs>
          <w:tab w:val="center" w:pos="5400"/>
        </w:tabs>
        <w:suppressAutoHyphens/>
        <w:jc w:val="center"/>
        <w:rPr>
          <w:rFonts w:asciiTheme="majorHAnsi" w:hAnsiTheme="majorHAnsi"/>
          <w:sz w:val="22"/>
          <w:szCs w:val="22"/>
          <w:lang w:val="es-ES_tradnl"/>
        </w:rPr>
      </w:pPr>
    </w:p>
    <w:p w:rsidR="005B52B0" w:rsidRPr="00051E70" w:rsidRDefault="005B52B0" w:rsidP="005128E4">
      <w:pPr>
        <w:tabs>
          <w:tab w:val="center" w:pos="5400"/>
        </w:tabs>
        <w:suppressAutoHyphens/>
        <w:jc w:val="center"/>
        <w:rPr>
          <w:rFonts w:asciiTheme="majorHAnsi" w:hAnsiTheme="majorHAnsi"/>
          <w:sz w:val="22"/>
          <w:szCs w:val="22"/>
          <w:lang w:val="pt-BR"/>
        </w:rPr>
      </w:pPr>
    </w:p>
    <w:p w:rsidR="005B52B0" w:rsidRPr="00B83D6A" w:rsidRDefault="005B52B0" w:rsidP="005128E4">
      <w:pPr>
        <w:tabs>
          <w:tab w:val="center" w:pos="5400"/>
        </w:tabs>
        <w:suppressAutoHyphens/>
        <w:jc w:val="center"/>
        <w:rPr>
          <w:rFonts w:asciiTheme="majorHAnsi" w:hAnsiTheme="majorHAnsi"/>
          <w:sz w:val="22"/>
          <w:szCs w:val="22"/>
          <w:lang w:val="es-ES_tradnl"/>
        </w:rPr>
      </w:pPr>
    </w:p>
    <w:p w:rsidR="005B52B0" w:rsidRPr="00B83D6A" w:rsidRDefault="005B52B0" w:rsidP="005128E4">
      <w:pPr>
        <w:tabs>
          <w:tab w:val="center" w:pos="5400"/>
        </w:tabs>
        <w:suppressAutoHyphens/>
        <w:jc w:val="center"/>
        <w:rPr>
          <w:rFonts w:asciiTheme="majorHAnsi" w:hAnsiTheme="majorHAnsi"/>
          <w:sz w:val="22"/>
          <w:szCs w:val="22"/>
          <w:lang w:val="es-ES_tradnl"/>
        </w:rPr>
      </w:pPr>
    </w:p>
    <w:p w:rsidR="00040C3A" w:rsidRPr="00B83D6A" w:rsidRDefault="00040C3A" w:rsidP="00040C3A">
      <w:pPr>
        <w:tabs>
          <w:tab w:val="center" w:pos="5400"/>
        </w:tabs>
        <w:suppressAutoHyphens/>
        <w:jc w:val="center"/>
        <w:rPr>
          <w:rFonts w:asciiTheme="majorHAnsi" w:hAnsiTheme="majorHAnsi"/>
          <w:sz w:val="22"/>
          <w:szCs w:val="22"/>
          <w:lang w:val="es-ES_tradnl"/>
        </w:rPr>
      </w:pPr>
    </w:p>
    <w:p w:rsidR="00040C3A" w:rsidRPr="00B83D6A" w:rsidRDefault="00040C3A" w:rsidP="00040C3A">
      <w:pPr>
        <w:tabs>
          <w:tab w:val="center" w:pos="5400"/>
        </w:tabs>
        <w:suppressAutoHyphens/>
        <w:jc w:val="center"/>
        <w:rPr>
          <w:rFonts w:asciiTheme="majorHAnsi" w:hAnsiTheme="majorHAnsi"/>
          <w:sz w:val="22"/>
          <w:szCs w:val="22"/>
          <w:lang w:val="es-ES_tradnl"/>
        </w:rPr>
      </w:pPr>
    </w:p>
    <w:p w:rsidR="00040C3A" w:rsidRPr="00B83D6A" w:rsidRDefault="003D3BC2" w:rsidP="00040C3A">
      <w:pPr>
        <w:tabs>
          <w:tab w:val="center" w:pos="5400"/>
        </w:tabs>
        <w:suppressAutoHyphens/>
        <w:jc w:val="center"/>
        <w:rPr>
          <w:rFonts w:asciiTheme="majorHAnsi" w:hAnsiTheme="majorHAnsi"/>
          <w:sz w:val="22"/>
          <w:szCs w:val="22"/>
          <w:lang w:val="es-ES_tradnl"/>
        </w:rPr>
      </w:pPr>
      <w:r w:rsidRPr="00B83D6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C39B7">
                              <w:rPr>
                                <w:rFonts w:asciiTheme="majorHAnsi" w:hAnsiTheme="majorHAnsi" w:cs="Arial"/>
                                <w:b/>
                                <w:bCs/>
                                <w:color w:val="0D0D0D" w:themeColor="text1" w:themeTint="F2"/>
                                <w:sz w:val="36"/>
                                <w:szCs w:val="22"/>
                                <w:lang w:val="es-ES_tradnl"/>
                              </w:rPr>
                              <w:t>39</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10215">
                              <w:rPr>
                                <w:rFonts w:asciiTheme="majorHAnsi" w:hAnsiTheme="majorHAnsi" w:cs="Arial"/>
                                <w:b/>
                                <w:color w:val="0D0D0D" w:themeColor="text1" w:themeTint="F2"/>
                                <w:sz w:val="36"/>
                                <w:szCs w:val="22"/>
                                <w:lang w:val="es-ES_tradnl"/>
                              </w:rPr>
                              <w:t>196</w:t>
                            </w:r>
                            <w:r w:rsidR="00246D1F" w:rsidRPr="004E2649">
                              <w:rPr>
                                <w:rFonts w:asciiTheme="majorHAnsi" w:hAnsiTheme="majorHAnsi" w:cs="Arial"/>
                                <w:b/>
                                <w:color w:val="0D0D0D" w:themeColor="text1" w:themeTint="F2"/>
                                <w:sz w:val="36"/>
                                <w:szCs w:val="22"/>
                                <w:lang w:val="es-ES_tradnl"/>
                              </w:rPr>
                              <w:t>-</w:t>
                            </w:r>
                            <w:r w:rsidR="00E10215">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E10215" w:rsidRDefault="00E10215" w:rsidP="00E1021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RICARDO PARRA HURTADO, FÉLIX ALBERTO PÁEZ SUÁREZ Y FAMILIAS </w:t>
                            </w:r>
                          </w:p>
                          <w:p w:rsidR="00E10215" w:rsidRPr="00FB64E9" w:rsidRDefault="00E10215" w:rsidP="00E1021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C39B7">
                        <w:rPr>
                          <w:rFonts w:asciiTheme="majorHAnsi" w:hAnsiTheme="majorHAnsi" w:cs="Arial"/>
                          <w:b/>
                          <w:bCs/>
                          <w:color w:val="0D0D0D" w:themeColor="text1" w:themeTint="F2"/>
                          <w:sz w:val="36"/>
                          <w:szCs w:val="22"/>
                          <w:lang w:val="es-ES_tradnl"/>
                        </w:rPr>
                        <w:t>39</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10215">
                        <w:rPr>
                          <w:rFonts w:asciiTheme="majorHAnsi" w:hAnsiTheme="majorHAnsi" w:cs="Arial"/>
                          <w:b/>
                          <w:color w:val="0D0D0D" w:themeColor="text1" w:themeTint="F2"/>
                          <w:sz w:val="36"/>
                          <w:szCs w:val="22"/>
                          <w:lang w:val="es-ES_tradnl"/>
                        </w:rPr>
                        <w:t>196</w:t>
                      </w:r>
                      <w:r w:rsidR="00246D1F" w:rsidRPr="004E2649">
                        <w:rPr>
                          <w:rFonts w:asciiTheme="majorHAnsi" w:hAnsiTheme="majorHAnsi" w:cs="Arial"/>
                          <w:b/>
                          <w:color w:val="0D0D0D" w:themeColor="text1" w:themeTint="F2"/>
                          <w:sz w:val="36"/>
                          <w:szCs w:val="22"/>
                          <w:lang w:val="es-ES_tradnl"/>
                        </w:rPr>
                        <w:t>-</w:t>
                      </w:r>
                      <w:r w:rsidR="00E10215">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E10215" w:rsidRDefault="00E10215" w:rsidP="00E1021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RICARDO PARRA HURTADO, FÉLIX ALBERTO PÁEZ SUÁREZ Y FAMILIAS </w:t>
                      </w:r>
                    </w:p>
                    <w:p w:rsidR="00E10215" w:rsidRPr="00FB64E9" w:rsidRDefault="00E10215" w:rsidP="00E1021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B83D6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C39B7">
                              <w:rPr>
                                <w:rFonts w:asciiTheme="minorHAnsi" w:hAnsiTheme="minorHAnsi"/>
                                <w:color w:val="FFFFFF" w:themeColor="background1"/>
                                <w:sz w:val="22"/>
                                <w:lang w:val="pt-BR"/>
                              </w:rPr>
                              <w:t>49</w:t>
                            </w:r>
                          </w:p>
                          <w:p w:rsidR="00627C9F" w:rsidRPr="004E2649" w:rsidRDefault="008C39B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 mayo</w:t>
                            </w:r>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C39B7">
                        <w:rPr>
                          <w:rFonts w:asciiTheme="minorHAnsi" w:hAnsiTheme="minorHAnsi"/>
                          <w:color w:val="FFFFFF" w:themeColor="background1"/>
                          <w:sz w:val="22"/>
                          <w:lang w:val="pt-BR"/>
                        </w:rPr>
                        <w:t>49</w:t>
                      </w:r>
                    </w:p>
                    <w:p w:rsidR="00627C9F" w:rsidRPr="004E2649" w:rsidRDefault="008C39B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 mayo</w:t>
                      </w:r>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B83D6A" w:rsidRDefault="00040C3A" w:rsidP="00040C3A">
      <w:pPr>
        <w:tabs>
          <w:tab w:val="center" w:pos="5400"/>
        </w:tabs>
        <w:suppressAutoHyphens/>
        <w:jc w:val="center"/>
        <w:rPr>
          <w:rFonts w:asciiTheme="majorHAnsi" w:hAnsiTheme="majorHAnsi"/>
          <w:sz w:val="22"/>
          <w:szCs w:val="22"/>
          <w:lang w:val="es-ES_tradnl"/>
        </w:rPr>
      </w:pPr>
    </w:p>
    <w:p w:rsidR="00040C3A" w:rsidRPr="00B83D6A" w:rsidRDefault="00040C3A" w:rsidP="00040C3A">
      <w:pPr>
        <w:tabs>
          <w:tab w:val="center" w:pos="5400"/>
        </w:tabs>
        <w:suppressAutoHyphens/>
        <w:jc w:val="center"/>
        <w:rPr>
          <w:rFonts w:asciiTheme="majorHAnsi" w:hAnsiTheme="majorHAnsi"/>
          <w:sz w:val="22"/>
          <w:szCs w:val="22"/>
          <w:lang w:val="es-ES_tradnl"/>
        </w:rPr>
      </w:pPr>
    </w:p>
    <w:p w:rsidR="00040C3A" w:rsidRPr="00B83D6A" w:rsidRDefault="00040C3A" w:rsidP="00040C3A">
      <w:pPr>
        <w:tabs>
          <w:tab w:val="center" w:pos="5400"/>
        </w:tabs>
        <w:suppressAutoHyphens/>
        <w:jc w:val="center"/>
        <w:rPr>
          <w:rFonts w:asciiTheme="majorHAnsi" w:hAnsiTheme="majorHAnsi" w:cs="Arial"/>
          <w:sz w:val="22"/>
          <w:szCs w:val="22"/>
          <w:lang w:val="es-ES_tradnl"/>
        </w:rPr>
      </w:pPr>
    </w:p>
    <w:p w:rsidR="00040C3A" w:rsidRPr="00B83D6A" w:rsidRDefault="00040C3A" w:rsidP="00040C3A">
      <w:pPr>
        <w:tabs>
          <w:tab w:val="center" w:pos="5400"/>
        </w:tabs>
        <w:suppressAutoHyphens/>
        <w:jc w:val="center"/>
        <w:rPr>
          <w:rFonts w:asciiTheme="majorHAnsi" w:hAnsiTheme="majorHAnsi"/>
          <w:sz w:val="22"/>
          <w:szCs w:val="22"/>
          <w:lang w:val="es-ES_tradnl"/>
        </w:rPr>
      </w:pPr>
    </w:p>
    <w:p w:rsidR="00040C3A" w:rsidRPr="00B83D6A" w:rsidRDefault="00040C3A" w:rsidP="00040C3A">
      <w:pPr>
        <w:tabs>
          <w:tab w:val="center" w:pos="5400"/>
        </w:tabs>
        <w:suppressAutoHyphens/>
        <w:jc w:val="center"/>
        <w:rPr>
          <w:rFonts w:asciiTheme="majorHAnsi" w:hAnsiTheme="majorHAnsi"/>
          <w:sz w:val="22"/>
          <w:szCs w:val="22"/>
          <w:lang w:val="es-ES_tradnl"/>
        </w:rPr>
      </w:pPr>
    </w:p>
    <w:p w:rsidR="00040C3A" w:rsidRPr="00B83D6A" w:rsidRDefault="00040C3A" w:rsidP="00040C3A">
      <w:pPr>
        <w:tabs>
          <w:tab w:val="center" w:pos="5400"/>
        </w:tabs>
        <w:suppressAutoHyphens/>
        <w:jc w:val="center"/>
        <w:rPr>
          <w:rFonts w:asciiTheme="majorHAnsi" w:hAnsiTheme="majorHAnsi"/>
          <w:sz w:val="22"/>
          <w:szCs w:val="22"/>
          <w:lang w:val="es-ES_tradnl"/>
        </w:rPr>
      </w:pPr>
    </w:p>
    <w:p w:rsidR="00040C3A" w:rsidRPr="00B83D6A" w:rsidRDefault="00040C3A" w:rsidP="00040C3A">
      <w:pPr>
        <w:tabs>
          <w:tab w:val="center" w:pos="5400"/>
        </w:tabs>
        <w:suppressAutoHyphens/>
        <w:jc w:val="center"/>
        <w:rPr>
          <w:rFonts w:asciiTheme="majorHAnsi" w:hAnsiTheme="majorHAnsi"/>
          <w:sz w:val="22"/>
          <w:szCs w:val="22"/>
          <w:lang w:val="es-ES_tradnl"/>
        </w:rPr>
      </w:pPr>
    </w:p>
    <w:p w:rsidR="005128E4" w:rsidRPr="00B83D6A" w:rsidRDefault="005128E4" w:rsidP="00040C3A">
      <w:pPr>
        <w:tabs>
          <w:tab w:val="center" w:pos="5400"/>
        </w:tabs>
        <w:suppressAutoHyphens/>
        <w:jc w:val="center"/>
        <w:rPr>
          <w:rFonts w:asciiTheme="majorHAnsi" w:hAnsiTheme="majorHAnsi"/>
          <w:sz w:val="22"/>
          <w:szCs w:val="22"/>
          <w:lang w:val="es-ES_tradnl"/>
        </w:rPr>
      </w:pPr>
    </w:p>
    <w:p w:rsidR="00040C3A" w:rsidRPr="00B83D6A" w:rsidRDefault="00040C3A" w:rsidP="00040C3A">
      <w:pPr>
        <w:tabs>
          <w:tab w:val="center" w:pos="5400"/>
        </w:tabs>
        <w:suppressAutoHyphens/>
        <w:jc w:val="center"/>
        <w:rPr>
          <w:rFonts w:asciiTheme="majorHAnsi" w:hAnsiTheme="majorHAnsi"/>
          <w:sz w:val="22"/>
          <w:szCs w:val="22"/>
          <w:lang w:val="es-ES_tradnl"/>
        </w:rPr>
      </w:pPr>
    </w:p>
    <w:p w:rsidR="005128E4" w:rsidRPr="00B83D6A" w:rsidRDefault="005128E4" w:rsidP="00040C3A">
      <w:pPr>
        <w:tabs>
          <w:tab w:val="center" w:pos="5400"/>
        </w:tabs>
        <w:suppressAutoHyphens/>
        <w:jc w:val="center"/>
        <w:rPr>
          <w:rFonts w:asciiTheme="majorHAnsi" w:hAnsiTheme="majorHAnsi"/>
          <w:sz w:val="22"/>
          <w:szCs w:val="22"/>
          <w:lang w:val="es-ES_tradnl"/>
        </w:rPr>
      </w:pPr>
    </w:p>
    <w:p w:rsidR="005128E4" w:rsidRPr="00B83D6A" w:rsidRDefault="005128E4" w:rsidP="00040C3A">
      <w:pPr>
        <w:tabs>
          <w:tab w:val="center" w:pos="5400"/>
        </w:tabs>
        <w:suppressAutoHyphens/>
        <w:jc w:val="center"/>
        <w:rPr>
          <w:rFonts w:asciiTheme="majorHAnsi" w:hAnsiTheme="majorHAnsi"/>
          <w:sz w:val="22"/>
          <w:szCs w:val="22"/>
          <w:lang w:val="es-ES_tradnl"/>
        </w:rPr>
      </w:pPr>
    </w:p>
    <w:p w:rsidR="005128E4" w:rsidRPr="00B83D6A" w:rsidRDefault="005128E4" w:rsidP="00040C3A">
      <w:pPr>
        <w:tabs>
          <w:tab w:val="center" w:pos="5400"/>
        </w:tabs>
        <w:suppressAutoHyphens/>
        <w:jc w:val="center"/>
        <w:rPr>
          <w:rFonts w:asciiTheme="majorHAnsi" w:hAnsiTheme="majorHAnsi"/>
          <w:sz w:val="22"/>
          <w:szCs w:val="22"/>
          <w:lang w:val="es-ES_tradnl"/>
        </w:rPr>
      </w:pPr>
    </w:p>
    <w:p w:rsidR="00040C3A" w:rsidRPr="00B83D6A" w:rsidRDefault="00040C3A" w:rsidP="00040C3A">
      <w:pPr>
        <w:tabs>
          <w:tab w:val="center" w:pos="5400"/>
        </w:tabs>
        <w:suppressAutoHyphens/>
        <w:jc w:val="center"/>
        <w:rPr>
          <w:rFonts w:asciiTheme="majorHAnsi" w:hAnsiTheme="majorHAnsi"/>
          <w:sz w:val="22"/>
          <w:szCs w:val="22"/>
          <w:lang w:val="es-ES_tradnl"/>
        </w:rPr>
      </w:pPr>
    </w:p>
    <w:p w:rsidR="00040C3A" w:rsidRPr="00B83D6A" w:rsidRDefault="00040C3A" w:rsidP="00040C3A">
      <w:pPr>
        <w:tabs>
          <w:tab w:val="center" w:pos="5400"/>
        </w:tabs>
        <w:suppressAutoHyphens/>
        <w:jc w:val="center"/>
        <w:rPr>
          <w:rFonts w:asciiTheme="majorHAnsi" w:hAnsiTheme="majorHAnsi"/>
          <w:sz w:val="22"/>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90270B" w:rsidP="00040C3A">
      <w:pPr>
        <w:tabs>
          <w:tab w:val="center" w:pos="5400"/>
        </w:tabs>
        <w:suppressAutoHyphens/>
        <w:jc w:val="center"/>
        <w:rPr>
          <w:rFonts w:asciiTheme="majorHAnsi" w:hAnsiTheme="majorHAnsi"/>
          <w:sz w:val="18"/>
          <w:szCs w:val="22"/>
          <w:lang w:val="es-ES_tradnl"/>
        </w:rPr>
      </w:pPr>
      <w:r w:rsidRPr="00B83D6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8C39B7">
                              <w:rPr>
                                <w:rFonts w:asciiTheme="majorHAnsi" w:hAnsiTheme="majorHAnsi"/>
                                <w:color w:val="0D0D0D" w:themeColor="text1" w:themeTint="F2"/>
                                <w:sz w:val="18"/>
                                <w:szCs w:val="20"/>
                                <w:lang w:val="es-ES"/>
                              </w:rPr>
                              <w:t>2126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8C39B7">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E461CE" w:rsidRPr="00890650">
                              <w:rPr>
                                <w:rFonts w:asciiTheme="majorHAnsi" w:hAnsiTheme="majorHAnsi"/>
                                <w:color w:val="0D0D0D" w:themeColor="text1" w:themeTint="F2"/>
                                <w:sz w:val="18"/>
                                <w:szCs w:val="20"/>
                                <w:lang w:val="es-ES"/>
                              </w:rPr>
                              <w:br/>
                            </w:r>
                            <w:r w:rsidR="008C39B7">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8C39B7">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8C39B7">
                        <w:rPr>
                          <w:rFonts w:asciiTheme="majorHAnsi" w:hAnsiTheme="majorHAnsi"/>
                          <w:color w:val="0D0D0D" w:themeColor="text1" w:themeTint="F2"/>
                          <w:sz w:val="18"/>
                          <w:szCs w:val="20"/>
                          <w:lang w:val="es-ES"/>
                        </w:rPr>
                        <w:t>2126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8C39B7">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E461CE" w:rsidRPr="00890650">
                        <w:rPr>
                          <w:rFonts w:asciiTheme="majorHAnsi" w:hAnsiTheme="majorHAnsi"/>
                          <w:color w:val="0D0D0D" w:themeColor="text1" w:themeTint="F2"/>
                          <w:sz w:val="18"/>
                          <w:szCs w:val="20"/>
                          <w:lang w:val="es-ES"/>
                        </w:rPr>
                        <w:br/>
                      </w:r>
                      <w:r w:rsidR="008C39B7">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8C39B7">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A50FCF" w:rsidRPr="00B83D6A" w:rsidRDefault="0090270B" w:rsidP="00040C3A">
      <w:pPr>
        <w:tabs>
          <w:tab w:val="center" w:pos="5400"/>
        </w:tabs>
        <w:suppressAutoHyphens/>
        <w:jc w:val="center"/>
        <w:rPr>
          <w:rFonts w:asciiTheme="majorHAnsi" w:hAnsiTheme="majorHAnsi"/>
          <w:sz w:val="18"/>
          <w:szCs w:val="22"/>
          <w:lang w:val="es-ES_tradnl"/>
        </w:rPr>
      </w:pPr>
      <w:r w:rsidRPr="00B83D6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C39B7" w:rsidRPr="008C39B7">
                              <w:rPr>
                                <w:rFonts w:asciiTheme="majorHAnsi" w:hAnsiTheme="majorHAnsi"/>
                                <w:color w:val="595959" w:themeColor="text1" w:themeTint="A6"/>
                                <w:sz w:val="18"/>
                                <w:szCs w:val="18"/>
                                <w:lang w:val="pt-BR"/>
                              </w:rPr>
                              <w:t>39/18</w:t>
                            </w:r>
                            <w:r w:rsidRPr="008C39B7">
                              <w:rPr>
                                <w:rFonts w:asciiTheme="majorHAnsi" w:hAnsiTheme="majorHAnsi"/>
                                <w:color w:val="595959" w:themeColor="text1" w:themeTint="A6"/>
                                <w:sz w:val="18"/>
                                <w:szCs w:val="18"/>
                                <w:lang w:val="pt-BR"/>
                              </w:rPr>
                              <w:t xml:space="preserve">. </w:t>
                            </w:r>
                            <w:r w:rsidR="0055403B">
                              <w:rPr>
                                <w:rFonts w:asciiTheme="majorHAnsi" w:hAnsiTheme="majorHAnsi"/>
                                <w:color w:val="595959" w:themeColor="text1" w:themeTint="A6"/>
                                <w:sz w:val="18"/>
                                <w:szCs w:val="18"/>
                                <w:lang w:val="es-ES_tradnl"/>
                              </w:rPr>
                              <w:t>Petición</w:t>
                            </w:r>
                            <w:r w:rsidR="000433C9">
                              <w:rPr>
                                <w:rFonts w:asciiTheme="majorHAnsi" w:hAnsiTheme="majorHAnsi"/>
                                <w:color w:val="595959" w:themeColor="text1" w:themeTint="A6"/>
                                <w:sz w:val="18"/>
                                <w:szCs w:val="18"/>
                                <w:lang w:val="es-ES"/>
                              </w:rPr>
                              <w:t xml:space="preserve"> </w:t>
                            </w:r>
                            <w:r w:rsidR="00E10215">
                              <w:rPr>
                                <w:rFonts w:asciiTheme="majorHAnsi" w:hAnsiTheme="majorHAnsi"/>
                                <w:color w:val="595959" w:themeColor="text1" w:themeTint="A6"/>
                                <w:sz w:val="18"/>
                                <w:szCs w:val="18"/>
                                <w:lang w:val="es-ES"/>
                              </w:rPr>
                              <w:t>196</w:t>
                            </w:r>
                            <w:r w:rsidR="000433C9">
                              <w:rPr>
                                <w:rFonts w:asciiTheme="majorHAnsi" w:hAnsiTheme="majorHAnsi"/>
                                <w:color w:val="595959" w:themeColor="text1" w:themeTint="A6"/>
                                <w:sz w:val="18"/>
                                <w:szCs w:val="18"/>
                                <w:lang w:val="es-ES"/>
                              </w:rPr>
                              <w:t>-</w:t>
                            </w:r>
                            <w:r w:rsidR="00E10215">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w:t>
                            </w:r>
                            <w:r w:rsidR="00E10215">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10215">
                              <w:rPr>
                                <w:rFonts w:asciiTheme="majorHAnsi" w:hAnsiTheme="majorHAnsi"/>
                                <w:color w:val="595959" w:themeColor="text1" w:themeTint="A6"/>
                                <w:sz w:val="18"/>
                                <w:szCs w:val="18"/>
                                <w:lang w:val="es-ES_tradnl"/>
                              </w:rPr>
                              <w:t>José Ricardo Parra Hurtado, Félix Alberto Páez Suárez y familias</w:t>
                            </w:r>
                            <w:r w:rsidR="00E10215" w:rsidRPr="00890650">
                              <w:rPr>
                                <w:rFonts w:asciiTheme="majorHAnsi" w:hAnsiTheme="majorHAnsi"/>
                                <w:color w:val="595959" w:themeColor="text1" w:themeTint="A6"/>
                                <w:sz w:val="18"/>
                                <w:szCs w:val="18"/>
                                <w:lang w:val="es-ES_tradnl"/>
                              </w:rPr>
                              <w:t xml:space="preserve">. </w:t>
                            </w:r>
                            <w:r w:rsidR="00E1021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C39B7">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C39B7" w:rsidRPr="008C39B7">
                        <w:rPr>
                          <w:rFonts w:asciiTheme="majorHAnsi" w:hAnsiTheme="majorHAnsi"/>
                          <w:color w:val="595959" w:themeColor="text1" w:themeTint="A6"/>
                          <w:sz w:val="18"/>
                          <w:szCs w:val="18"/>
                          <w:lang w:val="pt-BR"/>
                        </w:rPr>
                        <w:t>39/18</w:t>
                      </w:r>
                      <w:r w:rsidRPr="008C39B7">
                        <w:rPr>
                          <w:rFonts w:asciiTheme="majorHAnsi" w:hAnsiTheme="majorHAnsi"/>
                          <w:color w:val="595959" w:themeColor="text1" w:themeTint="A6"/>
                          <w:sz w:val="18"/>
                          <w:szCs w:val="18"/>
                          <w:lang w:val="pt-BR"/>
                        </w:rPr>
                        <w:t xml:space="preserve">. </w:t>
                      </w:r>
                      <w:r w:rsidR="0055403B">
                        <w:rPr>
                          <w:rFonts w:asciiTheme="majorHAnsi" w:hAnsiTheme="majorHAnsi"/>
                          <w:color w:val="595959" w:themeColor="text1" w:themeTint="A6"/>
                          <w:sz w:val="18"/>
                          <w:szCs w:val="18"/>
                          <w:lang w:val="es-ES_tradnl"/>
                        </w:rPr>
                        <w:t>Petición</w:t>
                      </w:r>
                      <w:r w:rsidR="000433C9">
                        <w:rPr>
                          <w:rFonts w:asciiTheme="majorHAnsi" w:hAnsiTheme="majorHAnsi"/>
                          <w:color w:val="595959" w:themeColor="text1" w:themeTint="A6"/>
                          <w:sz w:val="18"/>
                          <w:szCs w:val="18"/>
                          <w:lang w:val="es-ES"/>
                        </w:rPr>
                        <w:t xml:space="preserve"> </w:t>
                      </w:r>
                      <w:r w:rsidR="00E10215">
                        <w:rPr>
                          <w:rFonts w:asciiTheme="majorHAnsi" w:hAnsiTheme="majorHAnsi"/>
                          <w:color w:val="595959" w:themeColor="text1" w:themeTint="A6"/>
                          <w:sz w:val="18"/>
                          <w:szCs w:val="18"/>
                          <w:lang w:val="es-ES"/>
                        </w:rPr>
                        <w:t>196</w:t>
                      </w:r>
                      <w:r w:rsidR="000433C9">
                        <w:rPr>
                          <w:rFonts w:asciiTheme="majorHAnsi" w:hAnsiTheme="majorHAnsi"/>
                          <w:color w:val="595959" w:themeColor="text1" w:themeTint="A6"/>
                          <w:sz w:val="18"/>
                          <w:szCs w:val="18"/>
                          <w:lang w:val="es-ES"/>
                        </w:rPr>
                        <w:t>-</w:t>
                      </w:r>
                      <w:r w:rsidR="00E10215">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w:t>
                      </w:r>
                      <w:r w:rsidR="00E10215">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10215">
                        <w:rPr>
                          <w:rFonts w:asciiTheme="majorHAnsi" w:hAnsiTheme="majorHAnsi"/>
                          <w:color w:val="595959" w:themeColor="text1" w:themeTint="A6"/>
                          <w:sz w:val="18"/>
                          <w:szCs w:val="18"/>
                          <w:lang w:val="es-ES_tradnl"/>
                        </w:rPr>
                        <w:t>José Ricardo Parra Hurtado, Félix Alberto Páez Suárez y familias</w:t>
                      </w:r>
                      <w:r w:rsidR="00E10215" w:rsidRPr="00890650">
                        <w:rPr>
                          <w:rFonts w:asciiTheme="majorHAnsi" w:hAnsiTheme="majorHAnsi"/>
                          <w:color w:val="595959" w:themeColor="text1" w:themeTint="A6"/>
                          <w:sz w:val="18"/>
                          <w:szCs w:val="18"/>
                          <w:lang w:val="es-ES_tradnl"/>
                        </w:rPr>
                        <w:t xml:space="preserve">. </w:t>
                      </w:r>
                      <w:r w:rsidR="00E1021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C39B7">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B83D6A" w:rsidRDefault="00A50FCF" w:rsidP="00040C3A">
      <w:pPr>
        <w:tabs>
          <w:tab w:val="center" w:pos="5400"/>
        </w:tabs>
        <w:suppressAutoHyphens/>
        <w:jc w:val="center"/>
        <w:rPr>
          <w:rFonts w:asciiTheme="majorHAnsi" w:hAnsiTheme="majorHAnsi"/>
          <w:sz w:val="18"/>
          <w:szCs w:val="22"/>
          <w:lang w:val="es-ES_tradnl"/>
        </w:rPr>
      </w:pPr>
    </w:p>
    <w:p w:rsidR="0090270B" w:rsidRPr="00B83D6A" w:rsidRDefault="00D306D1" w:rsidP="005516A1">
      <w:pPr>
        <w:tabs>
          <w:tab w:val="center" w:pos="5400"/>
        </w:tabs>
        <w:suppressAutoHyphens/>
        <w:jc w:val="center"/>
        <w:rPr>
          <w:rFonts w:asciiTheme="majorHAnsi" w:hAnsiTheme="majorHAnsi"/>
          <w:b/>
          <w:sz w:val="20"/>
          <w:lang w:val="es-ES_tradnl"/>
        </w:rPr>
      </w:pPr>
      <w:r w:rsidRPr="00B83D6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83D6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83D6A" w:rsidRDefault="004A6A54" w:rsidP="005516A1">
      <w:pPr>
        <w:tabs>
          <w:tab w:val="center" w:pos="5400"/>
        </w:tabs>
        <w:suppressAutoHyphens/>
        <w:jc w:val="center"/>
        <w:rPr>
          <w:rFonts w:asciiTheme="majorHAnsi" w:hAnsiTheme="majorHAnsi"/>
          <w:b/>
          <w:sz w:val="20"/>
          <w:lang w:val="es-ES_tradnl"/>
        </w:rPr>
        <w:sectPr w:rsidR="0070697F" w:rsidRPr="00B83D6A"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83D6A">
        <w:rPr>
          <w:rFonts w:asciiTheme="majorHAnsi" w:hAnsiTheme="majorHAnsi"/>
          <w:b/>
          <w:sz w:val="20"/>
          <w:lang w:val="es-ES_tradnl"/>
        </w:rPr>
        <w:tab/>
      </w:r>
    </w:p>
    <w:p w:rsidR="003239B8" w:rsidRPr="00B83D6A" w:rsidRDefault="003239B8" w:rsidP="004A6A54">
      <w:pPr>
        <w:spacing w:after="240"/>
        <w:ind w:firstLine="720"/>
        <w:jc w:val="both"/>
        <w:rPr>
          <w:rFonts w:asciiTheme="majorHAnsi" w:hAnsiTheme="majorHAnsi"/>
          <w:b/>
          <w:bCs/>
          <w:sz w:val="20"/>
          <w:szCs w:val="20"/>
          <w:lang w:val="es-ES"/>
        </w:rPr>
      </w:pPr>
      <w:r w:rsidRPr="00B83D6A">
        <w:rPr>
          <w:rFonts w:asciiTheme="majorHAnsi" w:hAnsiTheme="majorHAnsi"/>
          <w:b/>
          <w:bCs/>
          <w:sz w:val="20"/>
          <w:szCs w:val="20"/>
          <w:lang w:val="es-ES"/>
        </w:rPr>
        <w:lastRenderedPageBreak/>
        <w:t>I.</w:t>
      </w:r>
      <w:r w:rsidRPr="00B83D6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A5F30" w:rsidTr="004A6A54">
        <w:tc>
          <w:tcPr>
            <w:tcW w:w="3600" w:type="dxa"/>
            <w:tcBorders>
              <w:top w:val="single" w:sz="4" w:space="0" w:color="auto"/>
              <w:bottom w:val="single" w:sz="6" w:space="0" w:color="auto"/>
            </w:tcBorders>
            <w:shd w:val="clear" w:color="auto" w:fill="386294"/>
            <w:vAlign w:val="center"/>
          </w:tcPr>
          <w:p w:rsidR="003239B8" w:rsidRPr="00B83D6A" w:rsidRDefault="003239B8" w:rsidP="008D2290">
            <w:pPr>
              <w:jc w:val="center"/>
              <w:rPr>
                <w:rFonts w:ascii="Cambria" w:hAnsi="Cambria"/>
                <w:b/>
                <w:bCs/>
                <w:color w:val="FFFFFF" w:themeColor="background1"/>
                <w:sz w:val="20"/>
                <w:szCs w:val="20"/>
              </w:rPr>
            </w:pPr>
            <w:r w:rsidRPr="00B83D6A">
              <w:rPr>
                <w:rFonts w:ascii="Cambria" w:hAnsi="Cambria"/>
                <w:b/>
                <w:bCs/>
                <w:color w:val="FFFFFF" w:themeColor="background1"/>
                <w:sz w:val="20"/>
                <w:szCs w:val="20"/>
              </w:rPr>
              <w:t xml:space="preserve">Parte </w:t>
            </w:r>
            <w:proofErr w:type="spellStart"/>
            <w:r w:rsidRPr="00B83D6A">
              <w:rPr>
                <w:rFonts w:ascii="Cambria" w:hAnsi="Cambria"/>
                <w:b/>
                <w:bCs/>
                <w:color w:val="FFFFFF" w:themeColor="background1"/>
                <w:sz w:val="20"/>
                <w:szCs w:val="20"/>
              </w:rPr>
              <w:t>peticionaria</w:t>
            </w:r>
            <w:proofErr w:type="spellEnd"/>
            <w:r w:rsidRPr="00B83D6A">
              <w:rPr>
                <w:rFonts w:ascii="Cambria" w:hAnsi="Cambria"/>
                <w:b/>
                <w:bCs/>
                <w:color w:val="FFFFFF" w:themeColor="background1"/>
                <w:sz w:val="20"/>
                <w:szCs w:val="20"/>
              </w:rPr>
              <w:t>:</w:t>
            </w:r>
          </w:p>
        </w:tc>
        <w:tc>
          <w:tcPr>
            <w:tcW w:w="5760" w:type="dxa"/>
            <w:vAlign w:val="center"/>
          </w:tcPr>
          <w:p w:rsidR="003239B8" w:rsidRPr="00B83D6A" w:rsidRDefault="00E10215" w:rsidP="008D2290">
            <w:pPr>
              <w:jc w:val="both"/>
              <w:rPr>
                <w:rFonts w:ascii="Cambria" w:hAnsi="Cambria"/>
                <w:bCs/>
                <w:sz w:val="20"/>
                <w:szCs w:val="20"/>
                <w:lang w:val="es-BO"/>
              </w:rPr>
            </w:pPr>
            <w:r w:rsidRPr="00B83D6A">
              <w:rPr>
                <w:rFonts w:ascii="Cambria" w:hAnsi="Cambria"/>
                <w:bCs/>
                <w:sz w:val="20"/>
                <w:szCs w:val="20"/>
                <w:lang w:val="es-BO"/>
              </w:rPr>
              <w:t xml:space="preserve">Libardo Preciado Camargo, Libardo Preciado Niño y Mónica </w:t>
            </w:r>
            <w:proofErr w:type="spellStart"/>
            <w:r w:rsidRPr="00B83D6A">
              <w:rPr>
                <w:rFonts w:ascii="Cambria" w:hAnsi="Cambria"/>
                <w:bCs/>
                <w:sz w:val="20"/>
                <w:szCs w:val="20"/>
                <w:lang w:val="es-BO"/>
              </w:rPr>
              <w:t>Bachué</w:t>
            </w:r>
            <w:proofErr w:type="spellEnd"/>
            <w:r w:rsidRPr="00B83D6A">
              <w:rPr>
                <w:rFonts w:ascii="Cambria" w:hAnsi="Cambria"/>
                <w:bCs/>
                <w:sz w:val="20"/>
                <w:szCs w:val="20"/>
                <w:lang w:val="es-BO"/>
              </w:rPr>
              <w:t xml:space="preserve"> Peña Mantilla</w:t>
            </w:r>
          </w:p>
        </w:tc>
      </w:tr>
      <w:tr w:rsidR="003239B8" w:rsidRPr="003A5F30" w:rsidTr="004A6A54">
        <w:tc>
          <w:tcPr>
            <w:tcW w:w="3600" w:type="dxa"/>
            <w:tcBorders>
              <w:top w:val="single" w:sz="6" w:space="0" w:color="auto"/>
              <w:bottom w:val="single" w:sz="6" w:space="0" w:color="auto"/>
            </w:tcBorders>
            <w:shd w:val="clear" w:color="auto" w:fill="386294"/>
            <w:vAlign w:val="center"/>
          </w:tcPr>
          <w:p w:rsidR="003239B8" w:rsidRPr="00B83D6A" w:rsidRDefault="0004228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83D6A">
                  <w:rPr>
                    <w:rFonts w:ascii="Cambria" w:hAnsi="Cambria"/>
                    <w:b/>
                    <w:bCs/>
                    <w:color w:val="FFFFFF" w:themeColor="background1"/>
                    <w:sz w:val="20"/>
                    <w:szCs w:val="20"/>
                  </w:rPr>
                  <w:t>Presunta víctima</w:t>
                </w:r>
              </w:sdtContent>
            </w:sdt>
            <w:r w:rsidR="003239B8" w:rsidRPr="00B83D6A">
              <w:rPr>
                <w:rFonts w:ascii="Cambria" w:hAnsi="Cambria"/>
                <w:b/>
                <w:bCs/>
                <w:color w:val="FFFFFF" w:themeColor="background1"/>
                <w:sz w:val="20"/>
                <w:szCs w:val="20"/>
              </w:rPr>
              <w:t>:</w:t>
            </w:r>
          </w:p>
        </w:tc>
        <w:tc>
          <w:tcPr>
            <w:tcW w:w="5760" w:type="dxa"/>
            <w:vAlign w:val="center"/>
          </w:tcPr>
          <w:p w:rsidR="003239B8" w:rsidRPr="00B83D6A" w:rsidRDefault="00E10215" w:rsidP="008D2290">
            <w:pPr>
              <w:jc w:val="both"/>
              <w:rPr>
                <w:rFonts w:ascii="Cambria" w:hAnsi="Cambria"/>
                <w:bCs/>
                <w:sz w:val="20"/>
                <w:szCs w:val="20"/>
                <w:lang w:val="es-ES"/>
              </w:rPr>
            </w:pPr>
            <w:r w:rsidRPr="00B83D6A">
              <w:rPr>
                <w:rFonts w:ascii="Cambria" w:hAnsi="Cambria"/>
                <w:bCs/>
                <w:sz w:val="20"/>
                <w:szCs w:val="20"/>
                <w:lang w:val="es-BO"/>
              </w:rPr>
              <w:t>José Ricardo Parra Hurtado, Félix Alberto Páez Suárez y familias</w:t>
            </w:r>
          </w:p>
        </w:tc>
      </w:tr>
      <w:tr w:rsidR="003239B8" w:rsidRPr="00B83D6A" w:rsidTr="004A6A54">
        <w:tc>
          <w:tcPr>
            <w:tcW w:w="3600" w:type="dxa"/>
            <w:tcBorders>
              <w:top w:val="single" w:sz="6" w:space="0" w:color="auto"/>
              <w:bottom w:val="single" w:sz="6" w:space="0" w:color="auto"/>
            </w:tcBorders>
            <w:shd w:val="clear" w:color="auto" w:fill="386294"/>
            <w:vAlign w:val="center"/>
          </w:tcPr>
          <w:p w:rsidR="003239B8" w:rsidRPr="00B83D6A" w:rsidRDefault="003239B8" w:rsidP="008D2290">
            <w:pPr>
              <w:jc w:val="center"/>
              <w:rPr>
                <w:rFonts w:ascii="Cambria" w:hAnsi="Cambria"/>
                <w:b/>
                <w:bCs/>
                <w:color w:val="FFFFFF" w:themeColor="background1"/>
                <w:sz w:val="20"/>
                <w:szCs w:val="20"/>
              </w:rPr>
            </w:pPr>
            <w:r w:rsidRPr="00B83D6A">
              <w:rPr>
                <w:rFonts w:ascii="Cambria" w:hAnsi="Cambria"/>
                <w:b/>
                <w:bCs/>
                <w:color w:val="FFFFFF" w:themeColor="background1"/>
                <w:sz w:val="20"/>
                <w:szCs w:val="20"/>
              </w:rPr>
              <w:t xml:space="preserve">Estado </w:t>
            </w:r>
            <w:proofErr w:type="spellStart"/>
            <w:r w:rsidRPr="00B83D6A">
              <w:rPr>
                <w:rFonts w:ascii="Cambria" w:hAnsi="Cambria"/>
                <w:b/>
                <w:bCs/>
                <w:color w:val="FFFFFF" w:themeColor="background1"/>
                <w:sz w:val="20"/>
                <w:szCs w:val="20"/>
              </w:rPr>
              <w:t>denunciado</w:t>
            </w:r>
            <w:proofErr w:type="spellEnd"/>
            <w:r w:rsidRPr="00B83D6A">
              <w:rPr>
                <w:rFonts w:ascii="Cambria" w:hAnsi="Cambria"/>
                <w:b/>
                <w:bCs/>
                <w:color w:val="FFFFFF" w:themeColor="background1"/>
                <w:sz w:val="20"/>
                <w:szCs w:val="20"/>
              </w:rPr>
              <w:t>:</w:t>
            </w:r>
          </w:p>
        </w:tc>
        <w:tc>
          <w:tcPr>
            <w:tcW w:w="5760" w:type="dxa"/>
            <w:vAlign w:val="center"/>
          </w:tcPr>
          <w:p w:rsidR="003239B8" w:rsidRPr="00B83D6A" w:rsidRDefault="00E10215" w:rsidP="00E10215">
            <w:pPr>
              <w:jc w:val="both"/>
              <w:rPr>
                <w:rFonts w:ascii="Cambria" w:hAnsi="Cambria"/>
                <w:bCs/>
                <w:sz w:val="20"/>
                <w:szCs w:val="20"/>
              </w:rPr>
            </w:pPr>
            <w:r w:rsidRPr="00B83D6A">
              <w:rPr>
                <w:rFonts w:ascii="Cambria" w:hAnsi="Cambria"/>
                <w:bCs/>
                <w:sz w:val="20"/>
                <w:szCs w:val="20"/>
              </w:rPr>
              <w:t>Colombia</w:t>
            </w:r>
            <w:r w:rsidR="004A6A54" w:rsidRPr="00B83D6A">
              <w:rPr>
                <w:rStyle w:val="FootnoteReference"/>
                <w:rFonts w:ascii="Cambria" w:hAnsi="Cambria"/>
                <w:bCs/>
                <w:sz w:val="20"/>
                <w:szCs w:val="20"/>
              </w:rPr>
              <w:footnoteReference w:id="2"/>
            </w:r>
          </w:p>
        </w:tc>
      </w:tr>
      <w:tr w:rsidR="00223A29" w:rsidRPr="003A5F30" w:rsidTr="004A6A54">
        <w:tc>
          <w:tcPr>
            <w:tcW w:w="3600" w:type="dxa"/>
            <w:tcBorders>
              <w:top w:val="single" w:sz="6" w:space="0" w:color="auto"/>
              <w:bottom w:val="single" w:sz="6" w:space="0" w:color="auto"/>
            </w:tcBorders>
            <w:shd w:val="clear" w:color="auto" w:fill="386294"/>
            <w:vAlign w:val="center"/>
          </w:tcPr>
          <w:p w:rsidR="00223A29" w:rsidRPr="00B83D6A" w:rsidRDefault="001B3A00" w:rsidP="00E4118C">
            <w:pPr>
              <w:jc w:val="center"/>
              <w:rPr>
                <w:rFonts w:ascii="Cambria" w:hAnsi="Cambria"/>
                <w:b/>
                <w:bCs/>
                <w:color w:val="FFFFFF" w:themeColor="background1"/>
                <w:sz w:val="20"/>
                <w:szCs w:val="20"/>
              </w:rPr>
            </w:pPr>
            <w:r w:rsidRPr="00B83D6A">
              <w:rPr>
                <w:rFonts w:ascii="Cambria" w:hAnsi="Cambria"/>
                <w:b/>
                <w:bCs/>
                <w:color w:val="FFFFFF" w:themeColor="background1"/>
                <w:sz w:val="20"/>
                <w:szCs w:val="20"/>
              </w:rPr>
              <w:t xml:space="preserve">Derechos </w:t>
            </w:r>
            <w:proofErr w:type="spellStart"/>
            <w:r w:rsidR="00E4118C" w:rsidRPr="00B83D6A">
              <w:rPr>
                <w:rFonts w:ascii="Cambria" w:hAnsi="Cambria"/>
                <w:b/>
                <w:bCs/>
                <w:color w:val="FFFFFF" w:themeColor="background1"/>
                <w:sz w:val="20"/>
                <w:szCs w:val="20"/>
              </w:rPr>
              <w:t>invocados</w:t>
            </w:r>
            <w:proofErr w:type="spellEnd"/>
            <w:r w:rsidRPr="00B83D6A">
              <w:rPr>
                <w:rFonts w:ascii="Cambria" w:hAnsi="Cambria"/>
                <w:b/>
                <w:bCs/>
                <w:color w:val="FFFFFF" w:themeColor="background1"/>
                <w:sz w:val="20"/>
                <w:szCs w:val="20"/>
              </w:rPr>
              <w:t>:</w:t>
            </w:r>
          </w:p>
        </w:tc>
        <w:tc>
          <w:tcPr>
            <w:tcW w:w="5760" w:type="dxa"/>
            <w:vAlign w:val="center"/>
          </w:tcPr>
          <w:p w:rsidR="00223A29" w:rsidRPr="00B83D6A" w:rsidRDefault="00E10215" w:rsidP="00055D26">
            <w:pPr>
              <w:jc w:val="both"/>
              <w:rPr>
                <w:rFonts w:ascii="Cambria" w:hAnsi="Cambria"/>
                <w:bCs/>
                <w:sz w:val="20"/>
                <w:szCs w:val="20"/>
                <w:lang w:val="es-BO"/>
              </w:rPr>
            </w:pPr>
            <w:r w:rsidRPr="00B83D6A">
              <w:rPr>
                <w:rFonts w:ascii="Cambria" w:hAnsi="Cambria"/>
                <w:bCs/>
                <w:sz w:val="20"/>
                <w:szCs w:val="20"/>
                <w:lang w:val="es-ES"/>
              </w:rPr>
              <w:t xml:space="preserve">Artículos 4 (vida), 5 (integridad personal), 7 (libertad personal), </w:t>
            </w:r>
            <w:r w:rsidRPr="00B83D6A">
              <w:rPr>
                <w:rFonts w:ascii="Cambria" w:hAnsi="Cambria"/>
                <w:sz w:val="20"/>
                <w:szCs w:val="20"/>
                <w:bdr w:val="none" w:sz="0" w:space="0" w:color="auto" w:frame="1"/>
                <w:lang w:val="es-UY"/>
              </w:rPr>
              <w:t xml:space="preserve">8 (garantías judiciales) y 25 (protección judicial) de la Convención Americana </w:t>
            </w:r>
            <w:r w:rsidRPr="00B83D6A">
              <w:rPr>
                <w:rFonts w:ascii="Cambria" w:hAnsi="Cambria"/>
                <w:bCs/>
                <w:sz w:val="20"/>
                <w:szCs w:val="20"/>
                <w:bdr w:val="none" w:sz="0" w:space="0" w:color="auto" w:frame="1"/>
                <w:lang w:val="es-ES"/>
              </w:rPr>
              <w:t>sobre Derechos Humanos</w:t>
            </w:r>
            <w:r w:rsidRPr="00B83D6A">
              <w:rPr>
                <w:rStyle w:val="FootnoteReference"/>
                <w:rFonts w:ascii="Cambria" w:hAnsi="Cambria"/>
                <w:bCs/>
                <w:sz w:val="20"/>
                <w:szCs w:val="20"/>
                <w:bdr w:val="none" w:sz="0" w:space="0" w:color="auto" w:frame="1"/>
                <w:lang w:val="es-ES"/>
              </w:rPr>
              <w:footnoteReference w:id="3"/>
            </w:r>
            <w:r w:rsidRPr="00B83D6A">
              <w:rPr>
                <w:rFonts w:ascii="Cambria" w:hAnsi="Cambria"/>
                <w:bCs/>
                <w:sz w:val="20"/>
                <w:szCs w:val="20"/>
                <w:bdr w:val="none" w:sz="0" w:space="0" w:color="auto" w:frame="1"/>
                <w:lang w:val="es-ES"/>
              </w:rPr>
              <w:t xml:space="preserve">  y otros </w:t>
            </w:r>
            <w:r w:rsidR="00055D26" w:rsidRPr="00B83D6A">
              <w:rPr>
                <w:rFonts w:ascii="Cambria" w:hAnsi="Cambria"/>
                <w:bCs/>
                <w:sz w:val="20"/>
                <w:szCs w:val="20"/>
                <w:bdr w:val="none" w:sz="0" w:space="0" w:color="auto" w:frame="1"/>
                <w:lang w:val="es-ES"/>
              </w:rPr>
              <w:t>tratados</w:t>
            </w:r>
            <w:r w:rsidRPr="00B83D6A">
              <w:rPr>
                <w:rFonts w:ascii="Cambria" w:hAnsi="Cambria"/>
                <w:bCs/>
                <w:sz w:val="20"/>
                <w:szCs w:val="20"/>
                <w:bdr w:val="none" w:sz="0" w:space="0" w:color="auto" w:frame="1"/>
                <w:lang w:val="es-ES"/>
              </w:rPr>
              <w:t xml:space="preserve"> internacionales</w:t>
            </w:r>
            <w:r w:rsidR="00055D26" w:rsidRPr="00B83D6A">
              <w:rPr>
                <w:rStyle w:val="FootnoteReference"/>
                <w:rFonts w:ascii="Cambria" w:hAnsi="Cambria"/>
                <w:bCs/>
                <w:sz w:val="20"/>
                <w:szCs w:val="20"/>
                <w:bdr w:val="none" w:sz="0" w:space="0" w:color="auto" w:frame="1"/>
                <w:lang w:val="es-ES"/>
              </w:rPr>
              <w:footnoteReference w:id="4"/>
            </w:r>
          </w:p>
        </w:tc>
      </w:tr>
    </w:tbl>
    <w:p w:rsidR="003239B8" w:rsidRPr="00B83D6A" w:rsidRDefault="003239B8" w:rsidP="003239B8">
      <w:pPr>
        <w:spacing w:before="240" w:after="240"/>
        <w:ind w:firstLine="720"/>
        <w:jc w:val="both"/>
        <w:rPr>
          <w:rFonts w:asciiTheme="majorHAnsi" w:hAnsiTheme="majorHAnsi"/>
          <w:b/>
          <w:bCs/>
          <w:sz w:val="20"/>
          <w:szCs w:val="20"/>
          <w:lang w:val="es-ES"/>
        </w:rPr>
      </w:pPr>
      <w:r w:rsidRPr="00B83D6A">
        <w:rPr>
          <w:rFonts w:asciiTheme="majorHAnsi" w:hAnsiTheme="majorHAnsi"/>
          <w:b/>
          <w:bCs/>
          <w:sz w:val="20"/>
          <w:szCs w:val="20"/>
          <w:lang w:val="es-ES"/>
        </w:rPr>
        <w:t>II.</w:t>
      </w:r>
      <w:r w:rsidRPr="00B83D6A">
        <w:rPr>
          <w:rFonts w:asciiTheme="majorHAnsi" w:hAnsiTheme="majorHAnsi"/>
          <w:b/>
          <w:bCs/>
          <w:sz w:val="20"/>
          <w:szCs w:val="20"/>
          <w:lang w:val="es-ES"/>
        </w:rPr>
        <w:tab/>
        <w:t>TRÁMITE ANTE LA CIDH</w:t>
      </w:r>
      <w:r w:rsidR="008E3BFE" w:rsidRPr="00B83D6A">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83D6A" w:rsidTr="004A6A54">
        <w:tc>
          <w:tcPr>
            <w:tcW w:w="3600" w:type="dxa"/>
            <w:tcBorders>
              <w:top w:val="single" w:sz="6" w:space="0" w:color="auto"/>
              <w:bottom w:val="single" w:sz="6" w:space="0" w:color="auto"/>
            </w:tcBorders>
            <w:shd w:val="clear" w:color="auto" w:fill="386294"/>
            <w:vAlign w:val="center"/>
          </w:tcPr>
          <w:p w:rsidR="004C2312" w:rsidRPr="00B83D6A" w:rsidRDefault="004A6A54" w:rsidP="00055D26">
            <w:pPr>
              <w:jc w:val="center"/>
              <w:rPr>
                <w:rFonts w:ascii="Cambria" w:hAnsi="Cambria"/>
                <w:b/>
                <w:bCs/>
                <w:color w:val="FFFFFF" w:themeColor="background1"/>
                <w:sz w:val="20"/>
                <w:szCs w:val="20"/>
                <w:lang w:val="es-ES"/>
              </w:rPr>
            </w:pPr>
            <w:r w:rsidRPr="00B83D6A">
              <w:rPr>
                <w:rFonts w:ascii="Cambria" w:hAnsi="Cambria"/>
                <w:b/>
                <w:bCs/>
                <w:color w:val="FFFFFF" w:themeColor="background1"/>
                <w:sz w:val="20"/>
                <w:szCs w:val="20"/>
                <w:lang w:val="es-ES"/>
              </w:rPr>
              <w:t>P</w:t>
            </w:r>
            <w:r w:rsidR="004C2312" w:rsidRPr="00B83D6A">
              <w:rPr>
                <w:rFonts w:ascii="Cambria" w:hAnsi="Cambria"/>
                <w:b/>
                <w:bCs/>
                <w:color w:val="FFFFFF" w:themeColor="background1"/>
                <w:sz w:val="20"/>
                <w:szCs w:val="20"/>
                <w:lang w:val="es-ES"/>
              </w:rPr>
              <w:t>resentación de la petición:</w:t>
            </w:r>
          </w:p>
        </w:tc>
        <w:tc>
          <w:tcPr>
            <w:tcW w:w="5760" w:type="dxa"/>
            <w:vAlign w:val="center"/>
          </w:tcPr>
          <w:p w:rsidR="004C2312" w:rsidRPr="00B83D6A" w:rsidRDefault="00E10215" w:rsidP="002625EA">
            <w:pPr>
              <w:jc w:val="both"/>
              <w:rPr>
                <w:rFonts w:ascii="Cambria" w:hAnsi="Cambria"/>
                <w:bCs/>
                <w:sz w:val="20"/>
                <w:szCs w:val="20"/>
                <w:lang w:val="es-ES"/>
              </w:rPr>
            </w:pPr>
            <w:r w:rsidRPr="00B83D6A">
              <w:rPr>
                <w:rFonts w:ascii="Cambria" w:hAnsi="Cambria"/>
                <w:bCs/>
                <w:sz w:val="20"/>
                <w:szCs w:val="20"/>
                <w:lang w:val="es-ES"/>
              </w:rPr>
              <w:t>22 de febrero de 2007</w:t>
            </w:r>
          </w:p>
        </w:tc>
      </w:tr>
      <w:tr w:rsidR="004C2312" w:rsidRPr="00B83D6A" w:rsidTr="004A6A54">
        <w:tc>
          <w:tcPr>
            <w:tcW w:w="3600" w:type="dxa"/>
            <w:tcBorders>
              <w:top w:val="single" w:sz="6" w:space="0" w:color="auto"/>
              <w:bottom w:val="single" w:sz="6" w:space="0" w:color="auto"/>
            </w:tcBorders>
            <w:shd w:val="clear" w:color="auto" w:fill="386294"/>
            <w:vAlign w:val="center"/>
          </w:tcPr>
          <w:p w:rsidR="004C2312" w:rsidRPr="00B83D6A" w:rsidRDefault="004A6A54" w:rsidP="004A6A54">
            <w:pPr>
              <w:jc w:val="center"/>
              <w:rPr>
                <w:rFonts w:ascii="Cambria" w:hAnsi="Cambria"/>
                <w:b/>
                <w:bCs/>
                <w:color w:val="FFFFFF" w:themeColor="background1"/>
                <w:sz w:val="20"/>
                <w:szCs w:val="20"/>
                <w:lang w:val="es-ES"/>
              </w:rPr>
            </w:pPr>
            <w:r w:rsidRPr="00B83D6A">
              <w:rPr>
                <w:rFonts w:ascii="Cambria" w:hAnsi="Cambria"/>
                <w:b/>
                <w:color w:val="FFFFFF" w:themeColor="background1"/>
                <w:sz w:val="20"/>
                <w:szCs w:val="20"/>
                <w:lang w:val="es-ES"/>
              </w:rPr>
              <w:t>N</w:t>
            </w:r>
            <w:r w:rsidR="004C2312" w:rsidRPr="00B83D6A">
              <w:rPr>
                <w:rFonts w:ascii="Cambria" w:hAnsi="Cambria"/>
                <w:b/>
                <w:color w:val="FFFFFF" w:themeColor="background1"/>
                <w:sz w:val="20"/>
                <w:szCs w:val="20"/>
                <w:lang w:val="es-ES"/>
              </w:rPr>
              <w:t>otificación de la petición al Estado:</w:t>
            </w:r>
          </w:p>
        </w:tc>
        <w:tc>
          <w:tcPr>
            <w:tcW w:w="5760" w:type="dxa"/>
            <w:vAlign w:val="center"/>
          </w:tcPr>
          <w:p w:rsidR="004C2312" w:rsidRPr="00B83D6A" w:rsidRDefault="00E10215" w:rsidP="008D2290">
            <w:pPr>
              <w:jc w:val="both"/>
              <w:rPr>
                <w:rFonts w:ascii="Cambria" w:hAnsi="Cambria"/>
                <w:bCs/>
                <w:sz w:val="20"/>
                <w:szCs w:val="20"/>
                <w:lang w:val="es-ES"/>
              </w:rPr>
            </w:pPr>
            <w:r w:rsidRPr="00B83D6A">
              <w:rPr>
                <w:rFonts w:ascii="Cambria" w:hAnsi="Cambria"/>
                <w:bCs/>
                <w:sz w:val="20"/>
                <w:szCs w:val="20"/>
                <w:lang w:val="es-ES"/>
              </w:rPr>
              <w:t>11 de agosto de 2011</w:t>
            </w:r>
          </w:p>
        </w:tc>
      </w:tr>
      <w:tr w:rsidR="004C2312" w:rsidRPr="00B83D6A" w:rsidTr="004A6A54">
        <w:tc>
          <w:tcPr>
            <w:tcW w:w="3600" w:type="dxa"/>
            <w:tcBorders>
              <w:top w:val="single" w:sz="6" w:space="0" w:color="auto"/>
              <w:bottom w:val="single" w:sz="6" w:space="0" w:color="auto"/>
            </w:tcBorders>
            <w:shd w:val="clear" w:color="auto" w:fill="386294"/>
            <w:vAlign w:val="center"/>
          </w:tcPr>
          <w:p w:rsidR="004C2312" w:rsidRPr="00B83D6A" w:rsidRDefault="004A6A54" w:rsidP="004A6A54">
            <w:pPr>
              <w:jc w:val="center"/>
              <w:rPr>
                <w:rFonts w:ascii="Cambria" w:hAnsi="Cambria"/>
                <w:b/>
                <w:bCs/>
                <w:color w:val="FFFFFF" w:themeColor="background1"/>
                <w:sz w:val="20"/>
                <w:szCs w:val="20"/>
                <w:lang w:val="es-ES"/>
              </w:rPr>
            </w:pPr>
            <w:r w:rsidRPr="00B83D6A">
              <w:rPr>
                <w:rFonts w:ascii="Cambria" w:hAnsi="Cambria"/>
                <w:b/>
                <w:color w:val="FFFFFF" w:themeColor="background1"/>
                <w:sz w:val="20"/>
                <w:szCs w:val="20"/>
                <w:lang w:val="es-ES"/>
              </w:rPr>
              <w:t>P</w:t>
            </w:r>
            <w:r w:rsidR="004C2312" w:rsidRPr="00B83D6A">
              <w:rPr>
                <w:rFonts w:ascii="Cambria" w:hAnsi="Cambria"/>
                <w:b/>
                <w:color w:val="FFFFFF" w:themeColor="background1"/>
                <w:sz w:val="20"/>
                <w:szCs w:val="20"/>
                <w:lang w:val="es-ES"/>
              </w:rPr>
              <w:t>rimera respuesta del Estado:</w:t>
            </w:r>
          </w:p>
        </w:tc>
        <w:tc>
          <w:tcPr>
            <w:tcW w:w="5760" w:type="dxa"/>
            <w:vAlign w:val="center"/>
          </w:tcPr>
          <w:p w:rsidR="004C2312" w:rsidRPr="00B83D6A" w:rsidRDefault="00E10215" w:rsidP="008D2290">
            <w:pPr>
              <w:jc w:val="both"/>
              <w:rPr>
                <w:rFonts w:ascii="Cambria" w:hAnsi="Cambria"/>
                <w:bCs/>
                <w:sz w:val="20"/>
                <w:szCs w:val="20"/>
                <w:lang w:val="es-ES"/>
              </w:rPr>
            </w:pPr>
            <w:r w:rsidRPr="00B83D6A">
              <w:rPr>
                <w:rFonts w:ascii="Cambria" w:hAnsi="Cambria"/>
                <w:bCs/>
                <w:sz w:val="20"/>
                <w:szCs w:val="20"/>
                <w:lang w:val="es-ES"/>
              </w:rPr>
              <w:t>15 de noviembre de 2011</w:t>
            </w:r>
          </w:p>
        </w:tc>
      </w:tr>
      <w:tr w:rsidR="004C2312" w:rsidRPr="00B83D6A" w:rsidTr="004A6A54">
        <w:tc>
          <w:tcPr>
            <w:tcW w:w="3600" w:type="dxa"/>
            <w:tcBorders>
              <w:top w:val="single" w:sz="6" w:space="0" w:color="auto"/>
              <w:bottom w:val="single" w:sz="6" w:space="0" w:color="auto"/>
            </w:tcBorders>
            <w:shd w:val="clear" w:color="auto" w:fill="386294"/>
            <w:vAlign w:val="center"/>
          </w:tcPr>
          <w:p w:rsidR="004C2312" w:rsidRPr="00B83D6A" w:rsidRDefault="008E3BFE" w:rsidP="00A874CE">
            <w:pPr>
              <w:jc w:val="center"/>
              <w:rPr>
                <w:rFonts w:ascii="Cambria" w:hAnsi="Cambria"/>
                <w:b/>
                <w:bCs/>
                <w:color w:val="FFFFFF" w:themeColor="background1"/>
                <w:sz w:val="20"/>
                <w:szCs w:val="20"/>
                <w:lang w:val="es-ES"/>
              </w:rPr>
            </w:pPr>
            <w:r w:rsidRPr="00B83D6A">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B83D6A" w:rsidRDefault="00E10215" w:rsidP="008D2290">
            <w:pPr>
              <w:jc w:val="both"/>
              <w:rPr>
                <w:rFonts w:ascii="Cambria" w:hAnsi="Cambria"/>
                <w:bCs/>
                <w:sz w:val="20"/>
                <w:szCs w:val="20"/>
                <w:lang w:val="es-ES"/>
              </w:rPr>
            </w:pPr>
            <w:r w:rsidRPr="00B83D6A">
              <w:rPr>
                <w:rFonts w:ascii="Cambria" w:hAnsi="Cambria"/>
                <w:bCs/>
                <w:sz w:val="20"/>
                <w:szCs w:val="20"/>
                <w:lang w:val="es-ES"/>
              </w:rPr>
              <w:t>16 de diciembre de 2011</w:t>
            </w:r>
          </w:p>
        </w:tc>
      </w:tr>
      <w:tr w:rsidR="004C2312" w:rsidRPr="00B83D6A" w:rsidTr="004A6A54">
        <w:tc>
          <w:tcPr>
            <w:tcW w:w="3600" w:type="dxa"/>
            <w:tcBorders>
              <w:top w:val="single" w:sz="6" w:space="0" w:color="auto"/>
              <w:bottom w:val="single" w:sz="6" w:space="0" w:color="auto"/>
            </w:tcBorders>
            <w:shd w:val="clear" w:color="auto" w:fill="386294"/>
            <w:vAlign w:val="center"/>
          </w:tcPr>
          <w:p w:rsidR="004C2312" w:rsidRPr="00B83D6A" w:rsidRDefault="004C2312" w:rsidP="008E3BFE">
            <w:pPr>
              <w:jc w:val="center"/>
              <w:rPr>
                <w:rFonts w:ascii="Cambria" w:hAnsi="Cambria"/>
                <w:b/>
                <w:bCs/>
                <w:color w:val="FFFFFF" w:themeColor="background1"/>
                <w:sz w:val="20"/>
                <w:szCs w:val="20"/>
              </w:rPr>
            </w:pPr>
            <w:proofErr w:type="spellStart"/>
            <w:r w:rsidRPr="00B83D6A">
              <w:rPr>
                <w:rFonts w:ascii="Cambria" w:hAnsi="Cambria"/>
                <w:b/>
                <w:bCs/>
                <w:color w:val="FFFFFF" w:themeColor="background1"/>
                <w:sz w:val="20"/>
                <w:szCs w:val="20"/>
              </w:rPr>
              <w:t>Observaciones</w:t>
            </w:r>
            <w:proofErr w:type="spellEnd"/>
            <w:r w:rsidRPr="00B83D6A">
              <w:rPr>
                <w:rFonts w:ascii="Cambria" w:hAnsi="Cambria"/>
                <w:b/>
                <w:bCs/>
                <w:color w:val="FFFFFF" w:themeColor="background1"/>
                <w:sz w:val="20"/>
                <w:szCs w:val="20"/>
              </w:rPr>
              <w:t xml:space="preserve"> </w:t>
            </w:r>
            <w:proofErr w:type="spellStart"/>
            <w:r w:rsidRPr="00B83D6A">
              <w:rPr>
                <w:rFonts w:ascii="Cambria" w:hAnsi="Cambria"/>
                <w:b/>
                <w:bCs/>
                <w:color w:val="FFFFFF" w:themeColor="background1"/>
                <w:sz w:val="20"/>
                <w:szCs w:val="20"/>
              </w:rPr>
              <w:t>adicionales</w:t>
            </w:r>
            <w:proofErr w:type="spellEnd"/>
            <w:r w:rsidRPr="00B83D6A">
              <w:rPr>
                <w:rFonts w:ascii="Cambria" w:hAnsi="Cambria"/>
                <w:b/>
                <w:bCs/>
                <w:color w:val="FFFFFF" w:themeColor="background1"/>
                <w:sz w:val="20"/>
                <w:szCs w:val="20"/>
              </w:rPr>
              <w:t xml:space="preserve"> del Estado:</w:t>
            </w:r>
          </w:p>
        </w:tc>
        <w:tc>
          <w:tcPr>
            <w:tcW w:w="5760" w:type="dxa"/>
            <w:vAlign w:val="center"/>
          </w:tcPr>
          <w:p w:rsidR="004C2312" w:rsidRPr="00B83D6A" w:rsidRDefault="00E10215" w:rsidP="008D2290">
            <w:pPr>
              <w:jc w:val="both"/>
              <w:rPr>
                <w:rFonts w:ascii="Cambria" w:hAnsi="Cambria"/>
                <w:b/>
                <w:bCs/>
                <w:sz w:val="20"/>
                <w:szCs w:val="20"/>
              </w:rPr>
            </w:pPr>
            <w:r w:rsidRPr="00B83D6A">
              <w:rPr>
                <w:rFonts w:ascii="Cambria" w:hAnsi="Cambria"/>
                <w:bCs/>
                <w:sz w:val="20"/>
                <w:szCs w:val="20"/>
              </w:rPr>
              <w:t>13 de julio de 2012</w:t>
            </w:r>
          </w:p>
        </w:tc>
      </w:tr>
    </w:tbl>
    <w:p w:rsidR="003239B8" w:rsidRPr="00B83D6A" w:rsidRDefault="003239B8" w:rsidP="003239B8">
      <w:pPr>
        <w:spacing w:before="240" w:after="240"/>
        <w:ind w:firstLine="720"/>
        <w:jc w:val="both"/>
        <w:rPr>
          <w:rFonts w:asciiTheme="majorHAnsi" w:hAnsiTheme="majorHAnsi"/>
          <w:b/>
          <w:bCs/>
          <w:sz w:val="20"/>
          <w:szCs w:val="20"/>
          <w:lang w:val="es-ES"/>
        </w:rPr>
      </w:pPr>
      <w:r w:rsidRPr="00B83D6A">
        <w:rPr>
          <w:rFonts w:asciiTheme="majorHAnsi" w:hAnsiTheme="majorHAnsi"/>
          <w:b/>
          <w:bCs/>
          <w:sz w:val="20"/>
          <w:szCs w:val="20"/>
          <w:lang w:val="es-ES"/>
        </w:rPr>
        <w:t xml:space="preserve">III. </w:t>
      </w:r>
      <w:r w:rsidRPr="00B83D6A">
        <w:rPr>
          <w:rFonts w:asciiTheme="majorHAnsi" w:hAnsiTheme="majorHAnsi"/>
          <w:b/>
          <w:bCs/>
          <w:sz w:val="20"/>
          <w:szCs w:val="20"/>
          <w:lang w:val="es-ES"/>
        </w:rPr>
        <w:tab/>
        <w:t>COMPETENCIA</w:t>
      </w:r>
      <w:r w:rsidR="00EE00E9" w:rsidRPr="00B83D6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B83D6A" w:rsidTr="004A6A54">
        <w:trPr>
          <w:cantSplit/>
        </w:trPr>
        <w:tc>
          <w:tcPr>
            <w:tcW w:w="3600" w:type="dxa"/>
            <w:tcBorders>
              <w:top w:val="single" w:sz="4" w:space="0" w:color="auto"/>
              <w:bottom w:val="single" w:sz="6" w:space="0" w:color="auto"/>
            </w:tcBorders>
            <w:shd w:val="clear" w:color="auto" w:fill="386294"/>
            <w:vAlign w:val="center"/>
          </w:tcPr>
          <w:p w:rsidR="003239B8" w:rsidRPr="00B83D6A" w:rsidRDefault="003239B8" w:rsidP="008D2290">
            <w:pPr>
              <w:jc w:val="center"/>
              <w:rPr>
                <w:rFonts w:ascii="Cambria" w:hAnsi="Cambria"/>
                <w:b/>
                <w:bCs/>
                <w:i/>
                <w:color w:val="FFFFFF" w:themeColor="background1"/>
                <w:sz w:val="20"/>
                <w:szCs w:val="20"/>
              </w:rPr>
            </w:pPr>
            <w:proofErr w:type="spellStart"/>
            <w:r w:rsidRPr="00B83D6A">
              <w:rPr>
                <w:rFonts w:ascii="Cambria" w:hAnsi="Cambria"/>
                <w:b/>
                <w:bCs/>
                <w:color w:val="FFFFFF" w:themeColor="background1"/>
                <w:sz w:val="20"/>
                <w:szCs w:val="20"/>
              </w:rPr>
              <w:t>Competencia</w:t>
            </w:r>
            <w:proofErr w:type="spellEnd"/>
            <w:r w:rsidRPr="00B83D6A">
              <w:rPr>
                <w:rFonts w:ascii="Cambria" w:hAnsi="Cambria"/>
                <w:b/>
                <w:bCs/>
                <w:i/>
                <w:color w:val="FFFFFF" w:themeColor="background1"/>
                <w:sz w:val="20"/>
                <w:szCs w:val="20"/>
              </w:rPr>
              <w:t xml:space="preserve"> </w:t>
            </w:r>
            <w:proofErr w:type="spellStart"/>
            <w:r w:rsidRPr="00B83D6A">
              <w:rPr>
                <w:rFonts w:ascii="Cambria" w:hAnsi="Cambria"/>
                <w:b/>
                <w:bCs/>
                <w:i/>
                <w:color w:val="FFFFFF" w:themeColor="background1"/>
                <w:sz w:val="20"/>
                <w:szCs w:val="20"/>
              </w:rPr>
              <w:t>Ratione</w:t>
            </w:r>
            <w:proofErr w:type="spellEnd"/>
            <w:r w:rsidRPr="00B83D6A">
              <w:rPr>
                <w:rFonts w:ascii="Cambria" w:hAnsi="Cambria"/>
                <w:b/>
                <w:bCs/>
                <w:i/>
                <w:color w:val="FFFFFF" w:themeColor="background1"/>
                <w:sz w:val="20"/>
                <w:szCs w:val="20"/>
              </w:rPr>
              <w:t xml:space="preserve"> personae:</w:t>
            </w:r>
          </w:p>
        </w:tc>
        <w:tc>
          <w:tcPr>
            <w:tcW w:w="5760" w:type="dxa"/>
            <w:vAlign w:val="center"/>
          </w:tcPr>
          <w:p w:rsidR="003239B8" w:rsidRPr="00B83D6A" w:rsidRDefault="00E10215" w:rsidP="008D2290">
            <w:pPr>
              <w:rPr>
                <w:rFonts w:ascii="Cambria" w:hAnsi="Cambria"/>
                <w:bCs/>
                <w:sz w:val="20"/>
                <w:szCs w:val="20"/>
              </w:rPr>
            </w:pPr>
            <w:proofErr w:type="spellStart"/>
            <w:r w:rsidRPr="00B83D6A">
              <w:rPr>
                <w:rFonts w:ascii="Cambria" w:hAnsi="Cambria"/>
                <w:bCs/>
                <w:sz w:val="20"/>
                <w:szCs w:val="20"/>
              </w:rPr>
              <w:t>Sí</w:t>
            </w:r>
            <w:proofErr w:type="spellEnd"/>
          </w:p>
        </w:tc>
      </w:tr>
      <w:tr w:rsidR="003239B8" w:rsidRPr="00B83D6A" w:rsidTr="004A6A54">
        <w:trPr>
          <w:cantSplit/>
        </w:trPr>
        <w:tc>
          <w:tcPr>
            <w:tcW w:w="3600" w:type="dxa"/>
            <w:tcBorders>
              <w:top w:val="single" w:sz="6" w:space="0" w:color="auto"/>
              <w:bottom w:val="single" w:sz="6" w:space="0" w:color="auto"/>
            </w:tcBorders>
            <w:shd w:val="clear" w:color="auto" w:fill="386294"/>
            <w:vAlign w:val="center"/>
          </w:tcPr>
          <w:p w:rsidR="003239B8" w:rsidRPr="00B83D6A" w:rsidRDefault="003239B8" w:rsidP="008D2290">
            <w:pPr>
              <w:jc w:val="center"/>
              <w:rPr>
                <w:rFonts w:ascii="Cambria" w:hAnsi="Cambria"/>
                <w:b/>
                <w:bCs/>
                <w:color w:val="FFFFFF" w:themeColor="background1"/>
                <w:sz w:val="20"/>
                <w:szCs w:val="20"/>
              </w:rPr>
            </w:pPr>
            <w:proofErr w:type="spellStart"/>
            <w:r w:rsidRPr="00B83D6A">
              <w:rPr>
                <w:rFonts w:ascii="Cambria" w:hAnsi="Cambria"/>
                <w:b/>
                <w:bCs/>
                <w:color w:val="FFFFFF" w:themeColor="background1"/>
                <w:sz w:val="20"/>
                <w:szCs w:val="20"/>
              </w:rPr>
              <w:t>Competencia</w:t>
            </w:r>
            <w:proofErr w:type="spellEnd"/>
            <w:r w:rsidRPr="00B83D6A">
              <w:rPr>
                <w:rFonts w:ascii="Cambria" w:hAnsi="Cambria"/>
                <w:b/>
                <w:bCs/>
                <w:i/>
                <w:color w:val="FFFFFF" w:themeColor="background1"/>
                <w:sz w:val="20"/>
                <w:szCs w:val="20"/>
              </w:rPr>
              <w:t xml:space="preserve"> </w:t>
            </w:r>
            <w:proofErr w:type="spellStart"/>
            <w:r w:rsidRPr="00B83D6A">
              <w:rPr>
                <w:rFonts w:ascii="Cambria" w:hAnsi="Cambria"/>
                <w:b/>
                <w:bCs/>
                <w:i/>
                <w:color w:val="FFFFFF" w:themeColor="background1"/>
                <w:sz w:val="20"/>
                <w:szCs w:val="20"/>
              </w:rPr>
              <w:t>Ratione</w:t>
            </w:r>
            <w:proofErr w:type="spellEnd"/>
            <w:r w:rsidRPr="00B83D6A">
              <w:rPr>
                <w:rFonts w:ascii="Cambria" w:hAnsi="Cambria"/>
                <w:b/>
                <w:bCs/>
                <w:i/>
                <w:color w:val="FFFFFF" w:themeColor="background1"/>
                <w:sz w:val="20"/>
                <w:szCs w:val="20"/>
              </w:rPr>
              <w:t xml:space="preserve"> loci</w:t>
            </w:r>
            <w:r w:rsidRPr="00B83D6A">
              <w:rPr>
                <w:rFonts w:ascii="Cambria" w:hAnsi="Cambria"/>
                <w:b/>
                <w:bCs/>
                <w:color w:val="FFFFFF" w:themeColor="background1"/>
                <w:sz w:val="20"/>
                <w:szCs w:val="20"/>
              </w:rPr>
              <w:t>:</w:t>
            </w:r>
          </w:p>
        </w:tc>
        <w:tc>
          <w:tcPr>
            <w:tcW w:w="5760" w:type="dxa"/>
            <w:vAlign w:val="center"/>
          </w:tcPr>
          <w:p w:rsidR="003239B8" w:rsidRPr="00B83D6A" w:rsidRDefault="00E10215" w:rsidP="008D2290">
            <w:pPr>
              <w:rPr>
                <w:rFonts w:ascii="Cambria" w:hAnsi="Cambria"/>
                <w:bCs/>
                <w:sz w:val="20"/>
                <w:szCs w:val="20"/>
              </w:rPr>
            </w:pPr>
            <w:proofErr w:type="spellStart"/>
            <w:r w:rsidRPr="00B83D6A">
              <w:rPr>
                <w:rFonts w:ascii="Cambria" w:hAnsi="Cambria"/>
                <w:bCs/>
                <w:sz w:val="20"/>
                <w:szCs w:val="20"/>
              </w:rPr>
              <w:t>Sí</w:t>
            </w:r>
            <w:proofErr w:type="spellEnd"/>
          </w:p>
        </w:tc>
      </w:tr>
      <w:tr w:rsidR="003239B8" w:rsidRPr="00B83D6A" w:rsidTr="004A6A54">
        <w:trPr>
          <w:cantSplit/>
        </w:trPr>
        <w:tc>
          <w:tcPr>
            <w:tcW w:w="3600" w:type="dxa"/>
            <w:tcBorders>
              <w:top w:val="single" w:sz="6" w:space="0" w:color="auto"/>
              <w:bottom w:val="single" w:sz="6" w:space="0" w:color="auto"/>
            </w:tcBorders>
            <w:shd w:val="clear" w:color="auto" w:fill="386294"/>
            <w:vAlign w:val="center"/>
          </w:tcPr>
          <w:p w:rsidR="003239B8" w:rsidRPr="00B83D6A" w:rsidRDefault="003239B8" w:rsidP="008D2290">
            <w:pPr>
              <w:jc w:val="center"/>
              <w:rPr>
                <w:rFonts w:ascii="Cambria" w:hAnsi="Cambria"/>
                <w:b/>
                <w:bCs/>
                <w:color w:val="FFFFFF" w:themeColor="background1"/>
                <w:sz w:val="20"/>
                <w:szCs w:val="20"/>
              </w:rPr>
            </w:pPr>
            <w:proofErr w:type="spellStart"/>
            <w:r w:rsidRPr="00B83D6A">
              <w:rPr>
                <w:rFonts w:ascii="Cambria" w:hAnsi="Cambria"/>
                <w:b/>
                <w:bCs/>
                <w:color w:val="FFFFFF" w:themeColor="background1"/>
                <w:sz w:val="20"/>
                <w:szCs w:val="20"/>
              </w:rPr>
              <w:t>Competencia</w:t>
            </w:r>
            <w:proofErr w:type="spellEnd"/>
            <w:r w:rsidRPr="00B83D6A">
              <w:rPr>
                <w:rFonts w:ascii="Cambria" w:hAnsi="Cambria"/>
                <w:b/>
                <w:bCs/>
                <w:i/>
                <w:color w:val="FFFFFF" w:themeColor="background1"/>
                <w:sz w:val="20"/>
                <w:szCs w:val="20"/>
              </w:rPr>
              <w:t xml:space="preserve"> </w:t>
            </w:r>
            <w:proofErr w:type="spellStart"/>
            <w:r w:rsidRPr="00B83D6A">
              <w:rPr>
                <w:rFonts w:ascii="Cambria" w:hAnsi="Cambria"/>
                <w:b/>
                <w:bCs/>
                <w:i/>
                <w:color w:val="FFFFFF" w:themeColor="background1"/>
                <w:sz w:val="20"/>
                <w:szCs w:val="20"/>
              </w:rPr>
              <w:t>Ratione</w:t>
            </w:r>
            <w:proofErr w:type="spellEnd"/>
            <w:r w:rsidRPr="00B83D6A">
              <w:rPr>
                <w:rFonts w:ascii="Cambria" w:hAnsi="Cambria"/>
                <w:b/>
                <w:bCs/>
                <w:i/>
                <w:color w:val="FFFFFF" w:themeColor="background1"/>
                <w:sz w:val="20"/>
                <w:szCs w:val="20"/>
              </w:rPr>
              <w:t xml:space="preserve"> </w:t>
            </w:r>
            <w:proofErr w:type="spellStart"/>
            <w:r w:rsidRPr="00B83D6A">
              <w:rPr>
                <w:rFonts w:ascii="Cambria" w:hAnsi="Cambria"/>
                <w:b/>
                <w:bCs/>
                <w:i/>
                <w:color w:val="FFFFFF" w:themeColor="background1"/>
                <w:sz w:val="20"/>
                <w:szCs w:val="20"/>
              </w:rPr>
              <w:t>temporis</w:t>
            </w:r>
            <w:proofErr w:type="spellEnd"/>
            <w:r w:rsidRPr="00B83D6A">
              <w:rPr>
                <w:rFonts w:ascii="Cambria" w:hAnsi="Cambria"/>
                <w:b/>
                <w:bCs/>
                <w:color w:val="FFFFFF" w:themeColor="background1"/>
                <w:sz w:val="20"/>
                <w:szCs w:val="20"/>
              </w:rPr>
              <w:t>:</w:t>
            </w:r>
          </w:p>
        </w:tc>
        <w:tc>
          <w:tcPr>
            <w:tcW w:w="5760" w:type="dxa"/>
            <w:vAlign w:val="center"/>
          </w:tcPr>
          <w:p w:rsidR="003239B8" w:rsidRPr="00B83D6A" w:rsidRDefault="00E10215" w:rsidP="008D2290">
            <w:pPr>
              <w:rPr>
                <w:bCs/>
                <w:sz w:val="20"/>
                <w:szCs w:val="20"/>
              </w:rPr>
            </w:pPr>
            <w:proofErr w:type="spellStart"/>
            <w:r w:rsidRPr="00B83D6A">
              <w:rPr>
                <w:bCs/>
                <w:sz w:val="20"/>
                <w:szCs w:val="20"/>
              </w:rPr>
              <w:t>Sí</w:t>
            </w:r>
            <w:proofErr w:type="spellEnd"/>
          </w:p>
        </w:tc>
      </w:tr>
      <w:tr w:rsidR="003239B8" w:rsidRPr="003A5F30" w:rsidTr="004A6A54">
        <w:trPr>
          <w:cantSplit/>
        </w:trPr>
        <w:tc>
          <w:tcPr>
            <w:tcW w:w="3600" w:type="dxa"/>
            <w:tcBorders>
              <w:top w:val="single" w:sz="6" w:space="0" w:color="auto"/>
              <w:bottom w:val="single" w:sz="6" w:space="0" w:color="auto"/>
            </w:tcBorders>
            <w:shd w:val="clear" w:color="auto" w:fill="386294"/>
            <w:vAlign w:val="center"/>
          </w:tcPr>
          <w:p w:rsidR="003239B8" w:rsidRPr="00B83D6A" w:rsidRDefault="003239B8" w:rsidP="008D2290">
            <w:pPr>
              <w:jc w:val="center"/>
              <w:rPr>
                <w:rFonts w:ascii="Cambria" w:hAnsi="Cambria"/>
                <w:b/>
                <w:bCs/>
                <w:color w:val="FFFFFF" w:themeColor="background1"/>
                <w:sz w:val="20"/>
                <w:szCs w:val="20"/>
              </w:rPr>
            </w:pPr>
            <w:proofErr w:type="spellStart"/>
            <w:r w:rsidRPr="00B83D6A">
              <w:rPr>
                <w:rFonts w:ascii="Cambria" w:hAnsi="Cambria"/>
                <w:b/>
                <w:bCs/>
                <w:color w:val="FFFFFF" w:themeColor="background1"/>
                <w:sz w:val="20"/>
                <w:szCs w:val="20"/>
              </w:rPr>
              <w:t>Competencia</w:t>
            </w:r>
            <w:proofErr w:type="spellEnd"/>
            <w:r w:rsidRPr="00B83D6A">
              <w:rPr>
                <w:rFonts w:ascii="Cambria" w:hAnsi="Cambria"/>
                <w:b/>
                <w:bCs/>
                <w:i/>
                <w:color w:val="FFFFFF" w:themeColor="background1"/>
                <w:sz w:val="20"/>
                <w:szCs w:val="20"/>
              </w:rPr>
              <w:t xml:space="preserve"> </w:t>
            </w:r>
            <w:proofErr w:type="spellStart"/>
            <w:r w:rsidRPr="00B83D6A">
              <w:rPr>
                <w:rFonts w:ascii="Cambria" w:hAnsi="Cambria"/>
                <w:b/>
                <w:bCs/>
                <w:i/>
                <w:color w:val="FFFFFF" w:themeColor="background1"/>
                <w:sz w:val="20"/>
                <w:szCs w:val="20"/>
              </w:rPr>
              <w:t>Ratione</w:t>
            </w:r>
            <w:proofErr w:type="spellEnd"/>
            <w:r w:rsidRPr="00B83D6A">
              <w:rPr>
                <w:rFonts w:ascii="Cambria" w:hAnsi="Cambria"/>
                <w:b/>
                <w:bCs/>
                <w:i/>
                <w:color w:val="FFFFFF" w:themeColor="background1"/>
                <w:sz w:val="20"/>
                <w:szCs w:val="20"/>
              </w:rPr>
              <w:t xml:space="preserve"> </w:t>
            </w:r>
            <w:proofErr w:type="spellStart"/>
            <w:r w:rsidRPr="00B83D6A">
              <w:rPr>
                <w:rFonts w:ascii="Cambria" w:hAnsi="Cambria"/>
                <w:b/>
                <w:bCs/>
                <w:i/>
                <w:color w:val="FFFFFF" w:themeColor="background1"/>
                <w:sz w:val="20"/>
                <w:szCs w:val="20"/>
              </w:rPr>
              <w:t>materia</w:t>
            </w:r>
            <w:r w:rsidR="00EE00E9" w:rsidRPr="00B83D6A">
              <w:rPr>
                <w:rFonts w:ascii="Cambria" w:hAnsi="Cambria"/>
                <w:b/>
                <w:bCs/>
                <w:i/>
                <w:color w:val="FFFFFF" w:themeColor="background1"/>
                <w:sz w:val="20"/>
                <w:szCs w:val="20"/>
              </w:rPr>
              <w:t>e</w:t>
            </w:r>
            <w:proofErr w:type="spellEnd"/>
            <w:r w:rsidRPr="00B83D6A">
              <w:rPr>
                <w:rFonts w:ascii="Cambria" w:hAnsi="Cambria"/>
                <w:b/>
                <w:bCs/>
                <w:color w:val="FFFFFF" w:themeColor="background1"/>
                <w:sz w:val="20"/>
                <w:szCs w:val="20"/>
              </w:rPr>
              <w:t>:</w:t>
            </w:r>
          </w:p>
        </w:tc>
        <w:tc>
          <w:tcPr>
            <w:tcW w:w="5760" w:type="dxa"/>
            <w:vAlign w:val="center"/>
          </w:tcPr>
          <w:p w:rsidR="003239B8" w:rsidRPr="00B83D6A" w:rsidRDefault="00E10215" w:rsidP="0092644F">
            <w:pPr>
              <w:jc w:val="both"/>
              <w:rPr>
                <w:rFonts w:ascii="Cambria" w:hAnsi="Cambria"/>
                <w:bCs/>
                <w:sz w:val="20"/>
                <w:szCs w:val="20"/>
                <w:lang w:val="es-ES"/>
              </w:rPr>
            </w:pPr>
            <w:r w:rsidRPr="00B83D6A">
              <w:rPr>
                <w:rFonts w:ascii="Cambria" w:hAnsi="Cambria"/>
                <w:bCs/>
                <w:sz w:val="20"/>
                <w:szCs w:val="20"/>
                <w:lang w:val="es-ES"/>
              </w:rPr>
              <w:t>Sí, Convención Americana (depósito de instrumento realizado el 31 de julio de 1973)</w:t>
            </w:r>
            <w:r w:rsidR="0092644F" w:rsidRPr="00B83D6A">
              <w:rPr>
                <w:rFonts w:ascii="Cambria" w:hAnsi="Cambria"/>
                <w:bCs/>
                <w:sz w:val="20"/>
                <w:szCs w:val="20"/>
                <w:lang w:val="es-ES"/>
              </w:rPr>
              <w:t xml:space="preserve"> y </w:t>
            </w:r>
            <w:r w:rsidR="0092644F" w:rsidRPr="00B83D6A">
              <w:rPr>
                <w:rFonts w:asciiTheme="majorHAnsi" w:hAnsiTheme="majorHAnsi"/>
                <w:sz w:val="20"/>
                <w:szCs w:val="20"/>
                <w:lang w:val="es-ES"/>
              </w:rPr>
              <w:t>Convención Interamericana para Prevenir y Sancionar la Tortura (depósito de instrumento realizado el 19 de enero de 1999)</w:t>
            </w:r>
          </w:p>
        </w:tc>
      </w:tr>
    </w:tbl>
    <w:p w:rsidR="003239B8" w:rsidRPr="00B83D6A" w:rsidRDefault="003239B8" w:rsidP="003239B8">
      <w:pPr>
        <w:spacing w:before="240" w:after="240"/>
        <w:ind w:firstLine="720"/>
        <w:jc w:val="both"/>
        <w:rPr>
          <w:rFonts w:asciiTheme="majorHAnsi" w:hAnsiTheme="majorHAnsi"/>
          <w:b/>
          <w:bCs/>
          <w:sz w:val="20"/>
          <w:szCs w:val="20"/>
          <w:lang w:val="es-ES"/>
        </w:rPr>
      </w:pPr>
      <w:r w:rsidRPr="00B83D6A">
        <w:rPr>
          <w:rFonts w:asciiTheme="majorHAnsi" w:hAnsiTheme="majorHAnsi"/>
          <w:b/>
          <w:bCs/>
          <w:sz w:val="20"/>
          <w:szCs w:val="20"/>
          <w:lang w:val="es-ES"/>
        </w:rPr>
        <w:t xml:space="preserve">IV. </w:t>
      </w:r>
      <w:r w:rsidRPr="00B83D6A">
        <w:rPr>
          <w:rFonts w:asciiTheme="majorHAnsi" w:hAnsiTheme="majorHAnsi"/>
          <w:b/>
          <w:bCs/>
          <w:sz w:val="20"/>
          <w:szCs w:val="20"/>
          <w:lang w:val="es-ES"/>
        </w:rPr>
        <w:tab/>
      </w:r>
      <w:r w:rsidR="00EE00E9" w:rsidRPr="00B83D6A">
        <w:rPr>
          <w:rFonts w:asciiTheme="majorHAnsi" w:hAnsiTheme="majorHAnsi"/>
          <w:b/>
          <w:bCs/>
          <w:sz w:val="20"/>
          <w:szCs w:val="20"/>
          <w:lang w:val="es-ES"/>
        </w:rPr>
        <w:t>DUPLICACIÓN</w:t>
      </w:r>
      <w:r w:rsidR="00EE00E9" w:rsidRPr="00B83D6A">
        <w:rPr>
          <w:rFonts w:asciiTheme="majorHAnsi" w:hAnsiTheme="majorHAnsi"/>
          <w:b/>
          <w:bCs/>
          <w:color w:val="FFFFFF" w:themeColor="background1"/>
          <w:sz w:val="20"/>
          <w:szCs w:val="20"/>
          <w:lang w:val="es-ES"/>
        </w:rPr>
        <w:t xml:space="preserve"> </w:t>
      </w:r>
      <w:r w:rsidR="00EE00E9" w:rsidRPr="00B83D6A">
        <w:rPr>
          <w:rFonts w:asciiTheme="majorHAnsi" w:hAnsiTheme="majorHAnsi"/>
          <w:b/>
          <w:bCs/>
          <w:sz w:val="20"/>
          <w:szCs w:val="20"/>
          <w:lang w:val="es-ES"/>
        </w:rPr>
        <w:t>DE PROCEDIMIENTOS Y COSA JUZGADA</w:t>
      </w:r>
      <w:r w:rsidR="00EE00E9" w:rsidRPr="00B83D6A">
        <w:rPr>
          <w:rFonts w:asciiTheme="majorHAnsi" w:hAnsiTheme="majorHAnsi"/>
          <w:b/>
          <w:bCs/>
          <w:i/>
          <w:sz w:val="20"/>
          <w:szCs w:val="20"/>
          <w:lang w:val="es-ES"/>
        </w:rPr>
        <w:t xml:space="preserve"> </w:t>
      </w:r>
      <w:r w:rsidR="00EE00E9" w:rsidRPr="00B83D6A">
        <w:rPr>
          <w:rFonts w:asciiTheme="majorHAnsi" w:hAnsiTheme="majorHAnsi"/>
          <w:b/>
          <w:bCs/>
          <w:sz w:val="20"/>
          <w:szCs w:val="20"/>
          <w:lang w:val="es-ES"/>
        </w:rPr>
        <w:t xml:space="preserve">INTERNACIONAL, </w:t>
      </w:r>
      <w:r w:rsidRPr="00B83D6A">
        <w:rPr>
          <w:rFonts w:asciiTheme="majorHAnsi" w:hAnsiTheme="majorHAnsi"/>
          <w:b/>
          <w:bCs/>
          <w:sz w:val="20"/>
          <w:szCs w:val="20"/>
          <w:lang w:val="es-ES"/>
        </w:rPr>
        <w:t xml:space="preserve"> CARACTERIZACIÓN, </w:t>
      </w:r>
      <w:r w:rsidRPr="00B83D6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B83D6A" w:rsidTr="004A6A54">
        <w:trPr>
          <w:cantSplit/>
        </w:trPr>
        <w:tc>
          <w:tcPr>
            <w:tcW w:w="3600" w:type="dxa"/>
            <w:tcBorders>
              <w:top w:val="single" w:sz="4" w:space="0" w:color="auto"/>
              <w:bottom w:val="single" w:sz="6" w:space="0" w:color="auto"/>
            </w:tcBorders>
            <w:shd w:val="clear" w:color="auto" w:fill="386294"/>
            <w:vAlign w:val="center"/>
          </w:tcPr>
          <w:p w:rsidR="00EE00E9" w:rsidRPr="00B83D6A" w:rsidRDefault="00EE00E9" w:rsidP="008D2290">
            <w:pPr>
              <w:jc w:val="center"/>
              <w:rPr>
                <w:rFonts w:ascii="Cambria" w:hAnsi="Cambria"/>
                <w:b/>
                <w:bCs/>
                <w:color w:val="FFFFFF" w:themeColor="background1"/>
                <w:sz w:val="20"/>
                <w:szCs w:val="20"/>
                <w:lang w:val="es-ES"/>
              </w:rPr>
            </w:pPr>
            <w:r w:rsidRPr="00B83D6A">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B83D6A" w:rsidRDefault="00E10215" w:rsidP="008D2290">
            <w:pPr>
              <w:jc w:val="both"/>
              <w:rPr>
                <w:rFonts w:ascii="Cambria" w:hAnsi="Cambria"/>
                <w:bCs/>
                <w:sz w:val="20"/>
                <w:szCs w:val="20"/>
                <w:lang w:val="es-ES"/>
              </w:rPr>
            </w:pPr>
            <w:r w:rsidRPr="00B83D6A">
              <w:rPr>
                <w:rFonts w:ascii="Cambria" w:hAnsi="Cambria"/>
                <w:bCs/>
                <w:sz w:val="20"/>
                <w:szCs w:val="20"/>
                <w:lang w:val="es-ES"/>
              </w:rPr>
              <w:t>No</w:t>
            </w:r>
          </w:p>
        </w:tc>
      </w:tr>
      <w:tr w:rsidR="003239B8" w:rsidRPr="003A5F30" w:rsidTr="004A6A54">
        <w:trPr>
          <w:cantSplit/>
        </w:trPr>
        <w:tc>
          <w:tcPr>
            <w:tcW w:w="3600" w:type="dxa"/>
            <w:tcBorders>
              <w:top w:val="single" w:sz="4" w:space="0" w:color="auto"/>
              <w:bottom w:val="single" w:sz="6" w:space="0" w:color="auto"/>
            </w:tcBorders>
            <w:shd w:val="clear" w:color="auto" w:fill="386294"/>
            <w:vAlign w:val="center"/>
          </w:tcPr>
          <w:p w:rsidR="003239B8" w:rsidRPr="00B83D6A" w:rsidRDefault="003239B8" w:rsidP="008D2290">
            <w:pPr>
              <w:jc w:val="center"/>
              <w:rPr>
                <w:rFonts w:ascii="Cambria" w:hAnsi="Cambria"/>
                <w:b/>
                <w:bCs/>
                <w:i/>
                <w:color w:val="FFFFFF" w:themeColor="background1"/>
                <w:sz w:val="20"/>
                <w:szCs w:val="20"/>
              </w:rPr>
            </w:pPr>
            <w:r w:rsidRPr="00B83D6A">
              <w:rPr>
                <w:rFonts w:ascii="Cambria" w:hAnsi="Cambria"/>
                <w:b/>
                <w:bCs/>
                <w:color w:val="FFFFFF" w:themeColor="background1"/>
                <w:sz w:val="20"/>
                <w:szCs w:val="20"/>
              </w:rPr>
              <w:t xml:space="preserve">Derechos </w:t>
            </w:r>
            <w:proofErr w:type="spellStart"/>
            <w:r w:rsidRPr="00B83D6A">
              <w:rPr>
                <w:rFonts w:ascii="Cambria" w:hAnsi="Cambria"/>
                <w:b/>
                <w:bCs/>
                <w:color w:val="FFFFFF" w:themeColor="background1"/>
                <w:sz w:val="20"/>
                <w:szCs w:val="20"/>
              </w:rPr>
              <w:t>declarados</w:t>
            </w:r>
            <w:proofErr w:type="spellEnd"/>
            <w:r w:rsidRPr="00B83D6A">
              <w:rPr>
                <w:rFonts w:ascii="Cambria" w:hAnsi="Cambria"/>
                <w:b/>
                <w:bCs/>
                <w:color w:val="FFFFFF" w:themeColor="background1"/>
                <w:sz w:val="20"/>
                <w:szCs w:val="20"/>
              </w:rPr>
              <w:t xml:space="preserve"> </w:t>
            </w:r>
            <w:proofErr w:type="spellStart"/>
            <w:r w:rsidRPr="00B83D6A">
              <w:rPr>
                <w:rFonts w:ascii="Cambria" w:hAnsi="Cambria"/>
                <w:b/>
                <w:bCs/>
                <w:color w:val="FFFFFF" w:themeColor="background1"/>
                <w:sz w:val="20"/>
                <w:szCs w:val="20"/>
              </w:rPr>
              <w:t>admisibles</w:t>
            </w:r>
            <w:proofErr w:type="spellEnd"/>
            <w:r w:rsidRPr="00B83D6A">
              <w:rPr>
                <w:rFonts w:ascii="Cambria" w:hAnsi="Cambria"/>
                <w:b/>
                <w:bCs/>
                <w:i/>
                <w:color w:val="FFFFFF" w:themeColor="background1"/>
                <w:sz w:val="20"/>
                <w:szCs w:val="20"/>
              </w:rPr>
              <w:t>:</w:t>
            </w:r>
          </w:p>
        </w:tc>
        <w:tc>
          <w:tcPr>
            <w:tcW w:w="5760" w:type="dxa"/>
            <w:vAlign w:val="center"/>
          </w:tcPr>
          <w:p w:rsidR="003239B8" w:rsidRPr="00B83D6A" w:rsidRDefault="00E10215" w:rsidP="003836CA">
            <w:pPr>
              <w:jc w:val="both"/>
              <w:rPr>
                <w:rFonts w:ascii="Cambria" w:hAnsi="Cambria"/>
                <w:bCs/>
                <w:sz w:val="20"/>
                <w:szCs w:val="20"/>
                <w:lang w:val="es-BO"/>
              </w:rPr>
            </w:pPr>
            <w:r w:rsidRPr="00B83D6A">
              <w:rPr>
                <w:rFonts w:ascii="Cambria" w:hAnsi="Cambria"/>
                <w:bCs/>
                <w:sz w:val="20"/>
                <w:szCs w:val="20"/>
                <w:lang w:val="es-ES"/>
              </w:rPr>
              <w:t xml:space="preserve">Artículos 4 (vida), 5 (integridad personal), 7 (libertad personal), </w:t>
            </w:r>
            <w:r w:rsidRPr="00B83D6A">
              <w:rPr>
                <w:rFonts w:ascii="Cambria" w:hAnsi="Cambria"/>
                <w:sz w:val="20"/>
                <w:szCs w:val="20"/>
                <w:bdr w:val="none" w:sz="0" w:space="0" w:color="auto" w:frame="1"/>
                <w:lang w:val="es-UY"/>
              </w:rPr>
              <w:t xml:space="preserve">8 (garantías judiciales) y 25 (protección judicial) de la Convención Americana, en relación con su artículo </w:t>
            </w:r>
            <w:r w:rsidRPr="00B83D6A">
              <w:rPr>
                <w:rFonts w:ascii="Cambria" w:hAnsi="Cambria"/>
                <w:sz w:val="20"/>
                <w:szCs w:val="20"/>
                <w:lang w:val="es-ES"/>
              </w:rPr>
              <w:t>1.1</w:t>
            </w:r>
            <w:r w:rsidR="003836CA" w:rsidRPr="00B83D6A">
              <w:rPr>
                <w:rFonts w:ascii="Cambria" w:hAnsi="Cambria"/>
                <w:sz w:val="20"/>
                <w:szCs w:val="20"/>
                <w:lang w:val="es-ES"/>
              </w:rPr>
              <w:t>;</w:t>
            </w:r>
            <w:r w:rsidRPr="00B83D6A">
              <w:rPr>
                <w:rFonts w:ascii="Cambria" w:hAnsi="Cambria"/>
                <w:sz w:val="20"/>
                <w:szCs w:val="20"/>
                <w:lang w:val="es-ES"/>
              </w:rPr>
              <w:t xml:space="preserve"> </w:t>
            </w:r>
            <w:r w:rsidR="0092644F" w:rsidRPr="00B83D6A">
              <w:rPr>
                <w:rFonts w:ascii="Cambria" w:hAnsi="Cambria"/>
                <w:sz w:val="20"/>
                <w:szCs w:val="20"/>
                <w:bdr w:val="none" w:sz="0" w:space="0" w:color="auto" w:frame="1"/>
                <w:lang w:val="es-UY"/>
              </w:rPr>
              <w:t xml:space="preserve">y artículos 1, 6 y 8 de la </w:t>
            </w:r>
            <w:r w:rsidR="005B1682" w:rsidRPr="00B83D6A">
              <w:rPr>
                <w:rFonts w:asciiTheme="majorHAnsi" w:hAnsiTheme="majorHAnsi"/>
                <w:sz w:val="20"/>
                <w:szCs w:val="20"/>
                <w:lang w:val="es-ES"/>
              </w:rPr>
              <w:t>Convención Interamericana para Prevenir y Sancionar la Tortura</w:t>
            </w:r>
          </w:p>
        </w:tc>
      </w:tr>
      <w:tr w:rsidR="003239B8" w:rsidRPr="003A5F30" w:rsidTr="004A6A54">
        <w:trPr>
          <w:cantSplit/>
        </w:trPr>
        <w:tc>
          <w:tcPr>
            <w:tcW w:w="3600" w:type="dxa"/>
            <w:tcBorders>
              <w:top w:val="single" w:sz="6" w:space="0" w:color="auto"/>
              <w:bottom w:val="single" w:sz="6" w:space="0" w:color="auto"/>
            </w:tcBorders>
            <w:shd w:val="clear" w:color="auto" w:fill="386294"/>
            <w:vAlign w:val="center"/>
          </w:tcPr>
          <w:p w:rsidR="003239B8" w:rsidRPr="00B83D6A" w:rsidRDefault="003239B8" w:rsidP="008D2290">
            <w:pPr>
              <w:jc w:val="center"/>
              <w:rPr>
                <w:rFonts w:ascii="Cambria" w:hAnsi="Cambria"/>
                <w:b/>
                <w:bCs/>
                <w:color w:val="FFFFFF" w:themeColor="background1"/>
                <w:sz w:val="20"/>
                <w:szCs w:val="20"/>
                <w:lang w:val="es-ES"/>
              </w:rPr>
            </w:pPr>
            <w:r w:rsidRPr="00B83D6A">
              <w:rPr>
                <w:rFonts w:ascii="Cambria" w:hAnsi="Cambria"/>
                <w:b/>
                <w:bCs/>
                <w:color w:val="FFFFFF" w:themeColor="background1"/>
                <w:sz w:val="20"/>
                <w:szCs w:val="20"/>
                <w:lang w:val="es-ES"/>
              </w:rPr>
              <w:t>Agotamiento de recursos internos</w:t>
            </w:r>
            <w:r w:rsidR="00EE00E9" w:rsidRPr="00B83D6A">
              <w:rPr>
                <w:rFonts w:ascii="Cambria" w:hAnsi="Cambria"/>
                <w:b/>
                <w:bCs/>
                <w:color w:val="FFFFFF" w:themeColor="background1"/>
                <w:sz w:val="20"/>
                <w:szCs w:val="20"/>
                <w:lang w:val="es-ES"/>
              </w:rPr>
              <w:t xml:space="preserve"> o procedencia de una excepción</w:t>
            </w:r>
            <w:r w:rsidRPr="00B83D6A">
              <w:rPr>
                <w:rFonts w:ascii="Cambria" w:hAnsi="Cambria"/>
                <w:b/>
                <w:bCs/>
                <w:color w:val="FFFFFF" w:themeColor="background1"/>
                <w:sz w:val="20"/>
                <w:szCs w:val="20"/>
                <w:lang w:val="es-ES"/>
              </w:rPr>
              <w:t>:</w:t>
            </w:r>
          </w:p>
        </w:tc>
        <w:tc>
          <w:tcPr>
            <w:tcW w:w="5760" w:type="dxa"/>
            <w:vAlign w:val="center"/>
          </w:tcPr>
          <w:p w:rsidR="003239B8" w:rsidRPr="00B83D6A" w:rsidRDefault="00E10215" w:rsidP="008D2290">
            <w:pPr>
              <w:rPr>
                <w:rFonts w:ascii="Cambria" w:hAnsi="Cambria"/>
                <w:bCs/>
                <w:sz w:val="20"/>
                <w:szCs w:val="20"/>
                <w:lang w:val="es-ES"/>
              </w:rPr>
            </w:pPr>
            <w:r w:rsidRPr="00B83D6A">
              <w:rPr>
                <w:rFonts w:ascii="Cambria" w:hAnsi="Cambria"/>
                <w:bCs/>
                <w:sz w:val="20"/>
                <w:szCs w:val="20"/>
                <w:lang w:val="es-ES"/>
              </w:rPr>
              <w:t>Sí</w:t>
            </w:r>
            <w:r w:rsidRPr="00B83D6A">
              <w:rPr>
                <w:rFonts w:ascii="Cambria" w:hAnsi="Cambria"/>
                <w:bCs/>
                <w:sz w:val="20"/>
                <w:szCs w:val="20"/>
                <w:lang w:val="es-BO"/>
              </w:rPr>
              <w:t>, aplica excepción artículo 46.2. c de la CADH</w:t>
            </w:r>
          </w:p>
        </w:tc>
      </w:tr>
      <w:tr w:rsidR="003239B8" w:rsidRPr="003A5F30" w:rsidTr="004A6A54">
        <w:trPr>
          <w:cantSplit/>
        </w:trPr>
        <w:tc>
          <w:tcPr>
            <w:tcW w:w="3600" w:type="dxa"/>
            <w:tcBorders>
              <w:top w:val="single" w:sz="6" w:space="0" w:color="auto"/>
              <w:bottom w:val="single" w:sz="6" w:space="0" w:color="auto"/>
            </w:tcBorders>
            <w:shd w:val="clear" w:color="auto" w:fill="386294"/>
            <w:vAlign w:val="center"/>
          </w:tcPr>
          <w:p w:rsidR="003239B8" w:rsidRPr="00B83D6A" w:rsidRDefault="003239B8" w:rsidP="008D2290">
            <w:pPr>
              <w:jc w:val="center"/>
              <w:rPr>
                <w:rFonts w:ascii="Cambria" w:hAnsi="Cambria"/>
                <w:b/>
                <w:bCs/>
                <w:color w:val="FFFFFF" w:themeColor="background1"/>
                <w:sz w:val="20"/>
                <w:szCs w:val="20"/>
              </w:rPr>
            </w:pPr>
            <w:proofErr w:type="spellStart"/>
            <w:r w:rsidRPr="00B83D6A">
              <w:rPr>
                <w:rFonts w:ascii="Cambria" w:hAnsi="Cambria"/>
                <w:b/>
                <w:bCs/>
                <w:color w:val="FFFFFF" w:themeColor="background1"/>
                <w:sz w:val="20"/>
                <w:szCs w:val="20"/>
              </w:rPr>
              <w:t>Presentación</w:t>
            </w:r>
            <w:proofErr w:type="spellEnd"/>
            <w:r w:rsidRPr="00B83D6A">
              <w:rPr>
                <w:rFonts w:ascii="Cambria" w:hAnsi="Cambria"/>
                <w:b/>
                <w:bCs/>
                <w:color w:val="FFFFFF" w:themeColor="background1"/>
                <w:sz w:val="20"/>
                <w:szCs w:val="20"/>
              </w:rPr>
              <w:t xml:space="preserve"> </w:t>
            </w:r>
            <w:proofErr w:type="spellStart"/>
            <w:r w:rsidRPr="00B83D6A">
              <w:rPr>
                <w:rFonts w:ascii="Cambria" w:hAnsi="Cambria"/>
                <w:b/>
                <w:bCs/>
                <w:color w:val="FFFFFF" w:themeColor="background1"/>
                <w:sz w:val="20"/>
                <w:szCs w:val="20"/>
              </w:rPr>
              <w:t>dentro</w:t>
            </w:r>
            <w:proofErr w:type="spellEnd"/>
            <w:r w:rsidRPr="00B83D6A">
              <w:rPr>
                <w:rFonts w:ascii="Cambria" w:hAnsi="Cambria"/>
                <w:b/>
                <w:bCs/>
                <w:color w:val="FFFFFF" w:themeColor="background1"/>
                <w:sz w:val="20"/>
                <w:szCs w:val="20"/>
              </w:rPr>
              <w:t xml:space="preserve"> de </w:t>
            </w:r>
            <w:proofErr w:type="spellStart"/>
            <w:r w:rsidRPr="00B83D6A">
              <w:rPr>
                <w:rFonts w:ascii="Cambria" w:hAnsi="Cambria"/>
                <w:b/>
                <w:bCs/>
                <w:color w:val="FFFFFF" w:themeColor="background1"/>
                <w:sz w:val="20"/>
                <w:szCs w:val="20"/>
              </w:rPr>
              <w:t>plazo</w:t>
            </w:r>
            <w:proofErr w:type="spellEnd"/>
            <w:r w:rsidRPr="00B83D6A">
              <w:rPr>
                <w:rFonts w:ascii="Cambria" w:hAnsi="Cambria"/>
                <w:b/>
                <w:bCs/>
                <w:color w:val="FFFFFF" w:themeColor="background1"/>
                <w:sz w:val="20"/>
                <w:szCs w:val="20"/>
              </w:rPr>
              <w:t>:</w:t>
            </w:r>
          </w:p>
        </w:tc>
        <w:tc>
          <w:tcPr>
            <w:tcW w:w="5760" w:type="dxa"/>
            <w:vAlign w:val="center"/>
          </w:tcPr>
          <w:p w:rsidR="003239B8" w:rsidRPr="00B83D6A" w:rsidRDefault="00E10215" w:rsidP="008D2290">
            <w:pPr>
              <w:rPr>
                <w:bCs/>
                <w:sz w:val="20"/>
                <w:szCs w:val="20"/>
                <w:lang w:val="es-BO"/>
              </w:rPr>
            </w:pPr>
            <w:r w:rsidRPr="00B83D6A">
              <w:rPr>
                <w:rFonts w:ascii="Cambria" w:hAnsi="Cambria"/>
                <w:bCs/>
                <w:sz w:val="20"/>
                <w:szCs w:val="20"/>
                <w:lang w:val="es-BO"/>
              </w:rPr>
              <w:t>Sí, en los términos de la sección VI</w:t>
            </w:r>
          </w:p>
        </w:tc>
      </w:tr>
    </w:tbl>
    <w:p w:rsidR="003239B8" w:rsidRPr="00B83D6A" w:rsidRDefault="00223A29" w:rsidP="003239B8">
      <w:pPr>
        <w:spacing w:before="240" w:after="240"/>
        <w:ind w:firstLine="720"/>
        <w:jc w:val="both"/>
        <w:rPr>
          <w:rFonts w:asciiTheme="majorHAnsi" w:hAnsiTheme="majorHAnsi"/>
          <w:b/>
          <w:sz w:val="20"/>
          <w:szCs w:val="20"/>
          <w:lang w:val="es-UY"/>
        </w:rPr>
      </w:pPr>
      <w:r w:rsidRPr="00B83D6A">
        <w:rPr>
          <w:rFonts w:asciiTheme="majorHAnsi" w:hAnsiTheme="majorHAnsi"/>
          <w:b/>
          <w:sz w:val="20"/>
          <w:szCs w:val="20"/>
          <w:lang w:val="es-UY"/>
        </w:rPr>
        <w:lastRenderedPageBreak/>
        <w:t xml:space="preserve">V. </w:t>
      </w:r>
      <w:r w:rsidRPr="00B83D6A">
        <w:rPr>
          <w:rFonts w:asciiTheme="majorHAnsi" w:hAnsiTheme="majorHAnsi"/>
          <w:b/>
          <w:sz w:val="20"/>
          <w:szCs w:val="20"/>
          <w:lang w:val="es-UY"/>
        </w:rPr>
        <w:tab/>
      </w:r>
      <w:r w:rsidR="003239B8" w:rsidRPr="00B83D6A">
        <w:rPr>
          <w:rFonts w:asciiTheme="majorHAnsi" w:hAnsiTheme="majorHAnsi"/>
          <w:b/>
          <w:sz w:val="20"/>
          <w:szCs w:val="20"/>
          <w:lang w:val="es-UY"/>
        </w:rPr>
        <w:t xml:space="preserve">HECHOS ALEGADOS </w:t>
      </w:r>
    </w:p>
    <w:p w:rsidR="00E10215" w:rsidRPr="00B83D6A" w:rsidRDefault="00E10215" w:rsidP="00E102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83D6A">
        <w:rPr>
          <w:rFonts w:ascii="Cambria" w:hAnsi="Cambria"/>
          <w:sz w:val="20"/>
          <w:szCs w:val="20"/>
          <w:lang w:val="es-BO"/>
        </w:rPr>
        <w:t>Los peticionarios manifiestan que</w:t>
      </w:r>
      <w:r w:rsidRPr="00B83D6A">
        <w:rPr>
          <w:rFonts w:ascii="Cambria" w:hAnsi="Cambria"/>
          <w:bCs/>
          <w:sz w:val="20"/>
          <w:szCs w:val="20"/>
          <w:lang w:val="es-BO"/>
        </w:rPr>
        <w:t xml:space="preserve"> José Ricardo Parra Hurtado y Félix Alberto Páez Suárez</w:t>
      </w:r>
      <w:r w:rsidR="00A874CE" w:rsidRPr="00B83D6A">
        <w:rPr>
          <w:rFonts w:ascii="Cambria" w:hAnsi="Cambria"/>
          <w:bCs/>
          <w:sz w:val="20"/>
          <w:szCs w:val="20"/>
          <w:lang w:val="es-BO"/>
        </w:rPr>
        <w:t xml:space="preserve"> (en adelante, “las presuntas v</w:t>
      </w:r>
      <w:proofErr w:type="spellStart"/>
      <w:r w:rsidR="00A874CE" w:rsidRPr="00B83D6A">
        <w:rPr>
          <w:rFonts w:ascii="Cambria" w:hAnsi="Cambria"/>
          <w:bCs/>
          <w:sz w:val="20"/>
          <w:szCs w:val="20"/>
          <w:lang w:val="es-ES"/>
        </w:rPr>
        <w:t>íctimas</w:t>
      </w:r>
      <w:proofErr w:type="spellEnd"/>
      <w:r w:rsidR="00A874CE" w:rsidRPr="00B83D6A">
        <w:rPr>
          <w:rFonts w:ascii="Cambria" w:hAnsi="Cambria"/>
          <w:bCs/>
          <w:sz w:val="20"/>
          <w:szCs w:val="20"/>
          <w:lang w:val="es-ES"/>
        </w:rPr>
        <w:t>”)</w:t>
      </w:r>
      <w:r w:rsidRPr="00B83D6A">
        <w:rPr>
          <w:rFonts w:ascii="Cambria" w:hAnsi="Cambria"/>
          <w:bCs/>
          <w:sz w:val="20"/>
          <w:szCs w:val="20"/>
          <w:lang w:val="es-BO"/>
        </w:rPr>
        <w:t>, programaron una reunión para concretar la compra de unas cajas de dinamita</w:t>
      </w:r>
      <w:r w:rsidR="00E30ED0" w:rsidRPr="00B83D6A">
        <w:rPr>
          <w:rFonts w:ascii="Cambria" w:hAnsi="Cambria"/>
          <w:bCs/>
          <w:sz w:val="20"/>
          <w:szCs w:val="20"/>
          <w:lang w:val="es-BO"/>
        </w:rPr>
        <w:t xml:space="preserve"> </w:t>
      </w:r>
      <w:r w:rsidRPr="00B83D6A">
        <w:rPr>
          <w:rFonts w:ascii="Cambria" w:hAnsi="Cambria"/>
          <w:bCs/>
          <w:sz w:val="20"/>
          <w:szCs w:val="20"/>
          <w:lang w:val="es-BO"/>
        </w:rPr>
        <w:t>que les habrían ofrecido un grupo de policías</w:t>
      </w:r>
      <w:r w:rsidR="00A874CE" w:rsidRPr="00B83D6A">
        <w:rPr>
          <w:rFonts w:ascii="Cambria" w:hAnsi="Cambria"/>
          <w:bCs/>
          <w:sz w:val="20"/>
          <w:szCs w:val="20"/>
          <w:lang w:val="es-BO"/>
        </w:rPr>
        <w:t>. S</w:t>
      </w:r>
      <w:r w:rsidR="00DE1BC9" w:rsidRPr="00B83D6A">
        <w:rPr>
          <w:rFonts w:ascii="Cambria" w:hAnsi="Cambria"/>
          <w:bCs/>
          <w:sz w:val="20"/>
          <w:szCs w:val="20"/>
          <w:lang w:val="es-BO"/>
        </w:rPr>
        <w:t>eñalan que las presuntas víctimas pretendían comercializar el material explosivo entre los trabajadores de las minas aledañas al sector. Indican que l</w:t>
      </w:r>
      <w:r w:rsidRPr="00B83D6A">
        <w:rPr>
          <w:rFonts w:ascii="Cambria" w:hAnsi="Cambria"/>
          <w:bCs/>
          <w:sz w:val="20"/>
          <w:szCs w:val="20"/>
          <w:lang w:val="es-BO"/>
        </w:rPr>
        <w:t xml:space="preserve">a cita debía llevarse a cabo la noche del 27 de mayo de 1991 en la ciudad de Chiquinquirá en el Departamento de Boyacá. No obstante, según algunos testigos, los supuestos vendedores no llegaron al punto de encuentro y </w:t>
      </w:r>
      <w:r w:rsidR="00BB3AC9" w:rsidRPr="00B83D6A">
        <w:rPr>
          <w:rFonts w:ascii="Cambria" w:hAnsi="Cambria"/>
          <w:bCs/>
          <w:sz w:val="20"/>
          <w:szCs w:val="20"/>
          <w:lang w:val="es-BO"/>
        </w:rPr>
        <w:t xml:space="preserve">personas no identificadas condujeron </w:t>
      </w:r>
      <w:r w:rsidR="00C213A4" w:rsidRPr="00B83D6A">
        <w:rPr>
          <w:rFonts w:ascii="Cambria" w:hAnsi="Cambria"/>
          <w:bCs/>
          <w:sz w:val="20"/>
          <w:szCs w:val="20"/>
          <w:lang w:val="es-BO"/>
        </w:rPr>
        <w:t xml:space="preserve">por la fuerza a </w:t>
      </w:r>
      <w:r w:rsidRPr="00B83D6A">
        <w:rPr>
          <w:rFonts w:ascii="Cambria" w:hAnsi="Cambria"/>
          <w:bCs/>
          <w:sz w:val="20"/>
          <w:szCs w:val="20"/>
          <w:lang w:val="es-BO"/>
        </w:rPr>
        <w:t xml:space="preserve">las presuntas víctimas con rumbo desconocido, en un vehículo de color rojo y blanco que era de uso oficial de la policía. Indican que al día siguiente, amigos que habían salido a buscarlos encontraron sus cuerpos sin vida y calcinados en la carretera a la localidad de Tunja. Conforme los certificados de las necropsias practicadas, los cadáveres presentaban impactos de arma de fuego y signos de haber sufrido tortura.  </w:t>
      </w:r>
    </w:p>
    <w:p w:rsidR="00A70A57" w:rsidRPr="00B83D6A" w:rsidRDefault="00E10215" w:rsidP="00E766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83D6A">
        <w:rPr>
          <w:rFonts w:ascii="Cambria" w:hAnsi="Cambria"/>
          <w:sz w:val="20"/>
          <w:szCs w:val="20"/>
          <w:lang w:val="es-BO"/>
        </w:rPr>
        <w:t>Refieren que en el marco de las investigaciones</w:t>
      </w:r>
      <w:r w:rsidR="00A71F86" w:rsidRPr="00B83D6A">
        <w:rPr>
          <w:rFonts w:ascii="Cambria" w:hAnsi="Cambria"/>
          <w:sz w:val="20"/>
          <w:szCs w:val="20"/>
          <w:lang w:val="es-BO"/>
        </w:rPr>
        <w:t>,</w:t>
      </w:r>
      <w:r w:rsidR="00857F00" w:rsidRPr="00B83D6A">
        <w:rPr>
          <w:rFonts w:ascii="Cambria" w:hAnsi="Cambria"/>
          <w:sz w:val="20"/>
          <w:szCs w:val="20"/>
          <w:lang w:val="es-BO"/>
        </w:rPr>
        <w:t xml:space="preserve"> el </w:t>
      </w:r>
      <w:r w:rsidR="005C548B" w:rsidRPr="00B83D6A">
        <w:rPr>
          <w:rFonts w:ascii="Cambria" w:hAnsi="Cambria"/>
          <w:sz w:val="20"/>
          <w:szCs w:val="20"/>
          <w:lang w:val="es-BO"/>
        </w:rPr>
        <w:t>fiscal asignado</w:t>
      </w:r>
      <w:r w:rsidR="00857F00" w:rsidRPr="00B83D6A">
        <w:rPr>
          <w:rFonts w:ascii="Cambria" w:hAnsi="Cambria"/>
          <w:sz w:val="20"/>
          <w:szCs w:val="20"/>
          <w:lang w:val="es-BO"/>
        </w:rPr>
        <w:t xml:space="preserve"> emitió una resolución</w:t>
      </w:r>
      <w:r w:rsidRPr="00B83D6A">
        <w:rPr>
          <w:rFonts w:ascii="Cambria" w:hAnsi="Cambria"/>
          <w:sz w:val="20"/>
          <w:szCs w:val="20"/>
          <w:lang w:val="es-BO"/>
        </w:rPr>
        <w:t xml:space="preserve"> implica</w:t>
      </w:r>
      <w:r w:rsidR="00857F00" w:rsidRPr="00B83D6A">
        <w:rPr>
          <w:rFonts w:ascii="Cambria" w:hAnsi="Cambria"/>
          <w:sz w:val="20"/>
          <w:szCs w:val="20"/>
          <w:lang w:val="es-BO"/>
        </w:rPr>
        <w:t>n</w:t>
      </w:r>
      <w:r w:rsidRPr="00B83D6A">
        <w:rPr>
          <w:rFonts w:ascii="Cambria" w:hAnsi="Cambria"/>
          <w:sz w:val="20"/>
          <w:szCs w:val="20"/>
          <w:lang w:val="es-BO"/>
        </w:rPr>
        <w:t xml:space="preserve">do </w:t>
      </w:r>
      <w:r w:rsidR="00857F00" w:rsidRPr="00B83D6A">
        <w:rPr>
          <w:rFonts w:ascii="Cambria" w:hAnsi="Cambria"/>
          <w:sz w:val="20"/>
          <w:szCs w:val="20"/>
          <w:lang w:val="es-BO"/>
        </w:rPr>
        <w:t>a</w:t>
      </w:r>
      <w:r w:rsidRPr="00B83D6A">
        <w:rPr>
          <w:rFonts w:ascii="Cambria" w:hAnsi="Cambria"/>
          <w:sz w:val="20"/>
          <w:szCs w:val="20"/>
          <w:lang w:val="es-BO"/>
        </w:rPr>
        <w:t xml:space="preserve"> dos agentes policiales pertenecientes al departamento F-2 de Tunja y </w:t>
      </w:r>
      <w:r w:rsidR="00B52894" w:rsidRPr="00B83D6A">
        <w:rPr>
          <w:rFonts w:ascii="Cambria" w:hAnsi="Cambria"/>
          <w:sz w:val="20"/>
          <w:szCs w:val="20"/>
          <w:lang w:val="es-BO"/>
        </w:rPr>
        <w:t xml:space="preserve">a </w:t>
      </w:r>
      <w:r w:rsidRPr="00B83D6A">
        <w:rPr>
          <w:rFonts w:ascii="Cambria" w:hAnsi="Cambria"/>
          <w:sz w:val="20"/>
          <w:szCs w:val="20"/>
          <w:lang w:val="es-BO"/>
        </w:rPr>
        <w:t xml:space="preserve">un civil. </w:t>
      </w:r>
      <w:r w:rsidR="00857F00" w:rsidRPr="00B83D6A">
        <w:rPr>
          <w:rFonts w:ascii="Cambria" w:hAnsi="Cambria"/>
          <w:sz w:val="20"/>
          <w:szCs w:val="20"/>
          <w:lang w:val="es-BO"/>
        </w:rPr>
        <w:t xml:space="preserve">No obstante, </w:t>
      </w:r>
      <w:r w:rsidRPr="00B83D6A">
        <w:rPr>
          <w:rFonts w:ascii="Cambria" w:hAnsi="Cambria"/>
          <w:sz w:val="20"/>
          <w:szCs w:val="20"/>
          <w:lang w:val="es-BO"/>
        </w:rPr>
        <w:t>el Juzgado Doce de Instrucción Criminal de Tunja mediante auto de 3 de marzo de 1992</w:t>
      </w:r>
      <w:r w:rsidR="003B6AB4" w:rsidRPr="00B83D6A">
        <w:rPr>
          <w:rFonts w:ascii="Cambria" w:hAnsi="Cambria"/>
          <w:sz w:val="20"/>
          <w:szCs w:val="20"/>
          <w:lang w:val="es-BO"/>
        </w:rPr>
        <w:t>,</w:t>
      </w:r>
      <w:r w:rsidRPr="00B83D6A">
        <w:rPr>
          <w:rFonts w:ascii="Cambria" w:hAnsi="Cambria"/>
          <w:sz w:val="20"/>
          <w:szCs w:val="20"/>
          <w:lang w:val="es-BO"/>
        </w:rPr>
        <w:t xml:space="preserve"> dispuso </w:t>
      </w:r>
      <w:r w:rsidR="003B6AB4" w:rsidRPr="00B83D6A">
        <w:rPr>
          <w:rFonts w:ascii="Cambria" w:hAnsi="Cambria"/>
          <w:sz w:val="20"/>
          <w:szCs w:val="20"/>
          <w:lang w:val="es-BO"/>
        </w:rPr>
        <w:t xml:space="preserve">que </w:t>
      </w:r>
      <w:r w:rsidR="00497D21" w:rsidRPr="00B83D6A">
        <w:rPr>
          <w:rFonts w:ascii="Cambria" w:hAnsi="Cambria"/>
          <w:sz w:val="20"/>
          <w:szCs w:val="20"/>
          <w:lang w:val="es-BO"/>
        </w:rPr>
        <w:t xml:space="preserve">continuaran </w:t>
      </w:r>
      <w:r w:rsidRPr="00B83D6A">
        <w:rPr>
          <w:rFonts w:ascii="Cambria" w:hAnsi="Cambria"/>
          <w:sz w:val="20"/>
          <w:szCs w:val="20"/>
          <w:lang w:val="es-BO"/>
        </w:rPr>
        <w:t>las averiguaciones</w:t>
      </w:r>
      <w:r w:rsidR="003B6AB4" w:rsidRPr="00B83D6A">
        <w:rPr>
          <w:rFonts w:ascii="Cambria" w:hAnsi="Cambria"/>
          <w:sz w:val="20"/>
          <w:szCs w:val="20"/>
          <w:lang w:val="es-BO"/>
        </w:rPr>
        <w:t xml:space="preserve"> aduciendo que no existían elementos suficientes</w:t>
      </w:r>
      <w:r w:rsidRPr="00B83D6A">
        <w:rPr>
          <w:rFonts w:ascii="Cambria" w:hAnsi="Cambria"/>
          <w:sz w:val="20"/>
          <w:szCs w:val="20"/>
          <w:lang w:val="es-BO"/>
        </w:rPr>
        <w:t xml:space="preserve">. El Ministerio Público apeló dicha decisión señalando que se </w:t>
      </w:r>
      <w:r w:rsidR="005C548B" w:rsidRPr="00B83D6A">
        <w:rPr>
          <w:rFonts w:ascii="Cambria" w:hAnsi="Cambria"/>
          <w:sz w:val="20"/>
          <w:szCs w:val="20"/>
          <w:lang w:val="es-BO"/>
        </w:rPr>
        <w:t xml:space="preserve">habían encontrado </w:t>
      </w:r>
      <w:r w:rsidRPr="00B83D6A">
        <w:rPr>
          <w:rFonts w:ascii="Cambria" w:hAnsi="Cambria"/>
          <w:sz w:val="20"/>
          <w:szCs w:val="20"/>
          <w:lang w:val="es-BO"/>
        </w:rPr>
        <w:t>varios indicios de falsas justificaciones, contradicciones e inconsistencias que ha</w:t>
      </w:r>
      <w:r w:rsidR="005C548B" w:rsidRPr="00B83D6A">
        <w:rPr>
          <w:rFonts w:ascii="Cambria" w:hAnsi="Cambria"/>
          <w:sz w:val="20"/>
          <w:szCs w:val="20"/>
          <w:lang w:val="es-BO"/>
        </w:rPr>
        <w:t>c</w:t>
      </w:r>
      <w:r w:rsidRPr="00B83D6A">
        <w:rPr>
          <w:rFonts w:ascii="Cambria" w:hAnsi="Cambria"/>
          <w:sz w:val="20"/>
          <w:szCs w:val="20"/>
          <w:lang w:val="es-BO"/>
        </w:rPr>
        <w:t>ían presumir la culpabilidad de l</w:t>
      </w:r>
      <w:r w:rsidR="005C548B" w:rsidRPr="00B83D6A">
        <w:rPr>
          <w:rFonts w:ascii="Cambria" w:hAnsi="Cambria"/>
          <w:sz w:val="20"/>
          <w:szCs w:val="20"/>
          <w:lang w:val="es-BO"/>
        </w:rPr>
        <w:t>a</w:t>
      </w:r>
      <w:r w:rsidRPr="00B83D6A">
        <w:rPr>
          <w:rFonts w:ascii="Cambria" w:hAnsi="Cambria"/>
          <w:sz w:val="20"/>
          <w:szCs w:val="20"/>
          <w:lang w:val="es-BO"/>
        </w:rPr>
        <w:t xml:space="preserve">s tres </w:t>
      </w:r>
      <w:r w:rsidR="005C548B" w:rsidRPr="00B83D6A">
        <w:rPr>
          <w:rFonts w:ascii="Cambria" w:hAnsi="Cambria"/>
          <w:sz w:val="20"/>
          <w:szCs w:val="20"/>
          <w:lang w:val="es-BO"/>
        </w:rPr>
        <w:t>personas implicadas</w:t>
      </w:r>
      <w:r w:rsidRPr="00B83D6A">
        <w:rPr>
          <w:rFonts w:ascii="Cambria" w:hAnsi="Cambria"/>
          <w:sz w:val="20"/>
          <w:szCs w:val="20"/>
          <w:lang w:val="es-BO"/>
        </w:rPr>
        <w:t>. A</w:t>
      </w:r>
      <w:r w:rsidR="005C548B" w:rsidRPr="00B83D6A">
        <w:rPr>
          <w:rFonts w:ascii="Cambria" w:hAnsi="Cambria"/>
          <w:sz w:val="20"/>
          <w:szCs w:val="20"/>
          <w:lang w:val="es-BO"/>
        </w:rPr>
        <w:t>sí</w:t>
      </w:r>
      <w:r w:rsidRPr="00B83D6A">
        <w:rPr>
          <w:rFonts w:ascii="Cambria" w:hAnsi="Cambria"/>
          <w:sz w:val="20"/>
          <w:szCs w:val="20"/>
          <w:lang w:val="es-BO"/>
        </w:rPr>
        <w:t xml:space="preserve">, el Tribunal Superior del Distrito de Tunja, mediante sentencia de 29 de mayo de 1992, consideró que no se habrían encontrado suficientes razones para presentar una acusación en contra de uno de los policías, por lo que ratificó la decisión de </w:t>
      </w:r>
      <w:r w:rsidR="005C548B" w:rsidRPr="00B83D6A">
        <w:rPr>
          <w:rFonts w:ascii="Cambria" w:hAnsi="Cambria"/>
          <w:sz w:val="20"/>
          <w:szCs w:val="20"/>
          <w:lang w:val="es-BO"/>
        </w:rPr>
        <w:t xml:space="preserve">continuar </w:t>
      </w:r>
      <w:r w:rsidRPr="00B83D6A">
        <w:rPr>
          <w:rFonts w:ascii="Cambria" w:hAnsi="Cambria"/>
          <w:sz w:val="20"/>
          <w:szCs w:val="20"/>
          <w:lang w:val="es-BO"/>
        </w:rPr>
        <w:t>las investigaciones respecto a él para definir mejor su participación en los hechos. Los peticionarios destacan que hasta la fecha la reapertura de dicha investigación no se ha realizado, subsistiendo una evidente impunidad.</w:t>
      </w:r>
      <w:r w:rsidR="005C548B" w:rsidRPr="00B83D6A">
        <w:rPr>
          <w:rFonts w:ascii="Cambria" w:hAnsi="Cambria"/>
          <w:sz w:val="20"/>
          <w:szCs w:val="20"/>
          <w:lang w:val="es-BO"/>
        </w:rPr>
        <w:t xml:space="preserve"> </w:t>
      </w:r>
      <w:r w:rsidR="00A10FEE" w:rsidRPr="00B83D6A">
        <w:rPr>
          <w:rFonts w:ascii="Cambria" w:hAnsi="Cambria"/>
          <w:sz w:val="20"/>
          <w:szCs w:val="20"/>
          <w:lang w:val="es-BO"/>
        </w:rPr>
        <w:t>Por otra parte,</w:t>
      </w:r>
      <w:r w:rsidRPr="00B83D6A">
        <w:rPr>
          <w:rFonts w:ascii="Cambria" w:hAnsi="Cambria"/>
          <w:sz w:val="20"/>
          <w:szCs w:val="20"/>
          <w:lang w:val="es-BO"/>
        </w:rPr>
        <w:t xml:space="preserve"> </w:t>
      </w:r>
      <w:r w:rsidR="001809E0" w:rsidRPr="00B83D6A">
        <w:rPr>
          <w:rFonts w:ascii="Cambria" w:hAnsi="Cambria"/>
          <w:sz w:val="20"/>
          <w:szCs w:val="20"/>
          <w:lang w:val="es-BO"/>
        </w:rPr>
        <w:t>l</w:t>
      </w:r>
      <w:r w:rsidR="005C548B" w:rsidRPr="00B83D6A">
        <w:rPr>
          <w:rFonts w:ascii="Cambria" w:hAnsi="Cambria"/>
          <w:sz w:val="20"/>
          <w:szCs w:val="20"/>
          <w:lang w:val="es-BO"/>
        </w:rPr>
        <w:t xml:space="preserve">a </w:t>
      </w:r>
      <w:r w:rsidRPr="00B83D6A">
        <w:rPr>
          <w:rFonts w:ascii="Cambria" w:hAnsi="Cambria"/>
          <w:sz w:val="20"/>
          <w:szCs w:val="20"/>
          <w:lang w:val="es-BO"/>
        </w:rPr>
        <w:t xml:space="preserve">sentencia </w:t>
      </w:r>
      <w:r w:rsidR="00A10FEE" w:rsidRPr="00B83D6A">
        <w:rPr>
          <w:rFonts w:ascii="Cambria" w:hAnsi="Cambria"/>
          <w:sz w:val="20"/>
          <w:szCs w:val="20"/>
          <w:lang w:val="es-BO"/>
        </w:rPr>
        <w:t xml:space="preserve">encontró los elementos suficientes respecto a los otros dos acusados, la persona civil y el otro policía, y en consecuencia, </w:t>
      </w:r>
      <w:r w:rsidRPr="00B83D6A">
        <w:rPr>
          <w:rFonts w:ascii="Cambria" w:hAnsi="Cambria"/>
          <w:sz w:val="20"/>
          <w:szCs w:val="20"/>
          <w:lang w:val="es-BO"/>
        </w:rPr>
        <w:t>prof</w:t>
      </w:r>
      <w:r w:rsidR="00A10FEE" w:rsidRPr="00B83D6A">
        <w:rPr>
          <w:rFonts w:ascii="Cambria" w:hAnsi="Cambria"/>
          <w:sz w:val="20"/>
          <w:szCs w:val="20"/>
          <w:lang w:val="es-BO"/>
        </w:rPr>
        <w:t>i</w:t>
      </w:r>
      <w:r w:rsidRPr="00B83D6A">
        <w:rPr>
          <w:rFonts w:ascii="Cambria" w:hAnsi="Cambria"/>
          <w:sz w:val="20"/>
          <w:szCs w:val="20"/>
          <w:lang w:val="es-BO"/>
        </w:rPr>
        <w:t>ri</w:t>
      </w:r>
      <w:r w:rsidR="005C548B" w:rsidRPr="00B83D6A">
        <w:rPr>
          <w:rFonts w:ascii="Cambria" w:hAnsi="Cambria"/>
          <w:sz w:val="20"/>
          <w:szCs w:val="20"/>
          <w:lang w:val="es-BO"/>
        </w:rPr>
        <w:t>ó</w:t>
      </w:r>
      <w:r w:rsidRPr="00B83D6A">
        <w:rPr>
          <w:rFonts w:ascii="Cambria" w:hAnsi="Cambria"/>
          <w:sz w:val="20"/>
          <w:szCs w:val="20"/>
          <w:lang w:val="es-BO"/>
        </w:rPr>
        <w:t xml:space="preserve"> </w:t>
      </w:r>
      <w:r w:rsidR="00A10FEE" w:rsidRPr="00B83D6A">
        <w:rPr>
          <w:rFonts w:ascii="Cambria" w:hAnsi="Cambria"/>
          <w:sz w:val="20"/>
          <w:szCs w:val="20"/>
          <w:lang w:val="es-BO"/>
        </w:rPr>
        <w:t xml:space="preserve">las respectivas </w:t>
      </w:r>
      <w:r w:rsidRPr="00B83D6A">
        <w:rPr>
          <w:rFonts w:ascii="Cambria" w:hAnsi="Cambria"/>
          <w:sz w:val="20"/>
          <w:szCs w:val="20"/>
          <w:lang w:val="es-BO"/>
        </w:rPr>
        <w:t>resoluciones de acusación y determin</w:t>
      </w:r>
      <w:r w:rsidR="005C548B" w:rsidRPr="00B83D6A">
        <w:rPr>
          <w:rFonts w:ascii="Cambria" w:hAnsi="Cambria"/>
          <w:sz w:val="20"/>
          <w:szCs w:val="20"/>
          <w:lang w:val="es-BO"/>
        </w:rPr>
        <w:t>ó</w:t>
      </w:r>
      <w:r w:rsidR="00A70A57" w:rsidRPr="00B83D6A">
        <w:rPr>
          <w:rFonts w:ascii="Cambria" w:hAnsi="Cambria"/>
          <w:sz w:val="20"/>
          <w:szCs w:val="20"/>
          <w:lang w:val="es-BO"/>
        </w:rPr>
        <w:t xml:space="preserve"> la</w:t>
      </w:r>
      <w:r w:rsidRPr="00B83D6A">
        <w:rPr>
          <w:rFonts w:ascii="Cambria" w:hAnsi="Cambria"/>
          <w:sz w:val="20"/>
          <w:szCs w:val="20"/>
          <w:lang w:val="es-BO"/>
        </w:rPr>
        <w:t xml:space="preserve"> detención preventiva</w:t>
      </w:r>
      <w:r w:rsidR="00A70A57" w:rsidRPr="00B83D6A">
        <w:rPr>
          <w:rFonts w:ascii="Cambria" w:hAnsi="Cambria"/>
          <w:sz w:val="20"/>
          <w:szCs w:val="20"/>
          <w:lang w:val="es-BO"/>
        </w:rPr>
        <w:t xml:space="preserve"> de ambos</w:t>
      </w:r>
      <w:r w:rsidRPr="00B83D6A">
        <w:rPr>
          <w:rFonts w:ascii="Cambria" w:hAnsi="Cambria"/>
          <w:sz w:val="20"/>
          <w:szCs w:val="20"/>
          <w:lang w:val="es-BO"/>
        </w:rPr>
        <w:t>. No obstante,</w:t>
      </w:r>
      <w:r w:rsidR="00A70A57" w:rsidRPr="00B83D6A">
        <w:rPr>
          <w:rFonts w:ascii="Cambria" w:hAnsi="Cambria"/>
          <w:sz w:val="20"/>
          <w:szCs w:val="20"/>
          <w:lang w:val="es-BO"/>
        </w:rPr>
        <w:t xml:space="preserve"> resaltan que</w:t>
      </w:r>
      <w:r w:rsidRPr="00B83D6A">
        <w:rPr>
          <w:rFonts w:ascii="Cambria" w:hAnsi="Cambria"/>
          <w:sz w:val="20"/>
          <w:szCs w:val="20"/>
          <w:lang w:val="es-BO"/>
        </w:rPr>
        <w:t xml:space="preserve"> </w:t>
      </w:r>
      <w:r w:rsidR="00A70A57" w:rsidRPr="00B83D6A">
        <w:rPr>
          <w:rFonts w:ascii="Cambria" w:hAnsi="Cambria"/>
          <w:sz w:val="20"/>
          <w:szCs w:val="20"/>
          <w:lang w:val="es-BO"/>
        </w:rPr>
        <w:t xml:space="preserve">el </w:t>
      </w:r>
      <w:r w:rsidR="00497D21" w:rsidRPr="00B83D6A">
        <w:rPr>
          <w:rFonts w:ascii="Cambria" w:hAnsi="Cambria"/>
          <w:sz w:val="20"/>
          <w:szCs w:val="20"/>
          <w:lang w:val="es-BO"/>
        </w:rPr>
        <w:t>policía</w:t>
      </w:r>
      <w:r w:rsidR="00A70A57" w:rsidRPr="00B83D6A">
        <w:rPr>
          <w:rFonts w:ascii="Cambria" w:hAnsi="Cambria"/>
          <w:sz w:val="20"/>
          <w:szCs w:val="20"/>
          <w:lang w:val="es-BO"/>
        </w:rPr>
        <w:t xml:space="preserve"> nunca fue detenido</w:t>
      </w:r>
      <w:r w:rsidR="00E61606" w:rsidRPr="00B83D6A">
        <w:rPr>
          <w:rFonts w:ascii="Cambria" w:hAnsi="Cambria"/>
          <w:sz w:val="20"/>
          <w:szCs w:val="20"/>
          <w:lang w:val="es-BO"/>
        </w:rPr>
        <w:t xml:space="preserve"> y</w:t>
      </w:r>
      <w:r w:rsidRPr="00B83D6A">
        <w:rPr>
          <w:rFonts w:ascii="Cambria" w:hAnsi="Cambria"/>
          <w:sz w:val="20"/>
          <w:szCs w:val="20"/>
          <w:lang w:val="es-BO"/>
        </w:rPr>
        <w:t xml:space="preserve"> </w:t>
      </w:r>
      <w:r w:rsidR="00E61606" w:rsidRPr="00B83D6A">
        <w:rPr>
          <w:rFonts w:ascii="Cambria" w:hAnsi="Cambria"/>
          <w:sz w:val="20"/>
          <w:szCs w:val="20"/>
          <w:lang w:val="es-BO"/>
        </w:rPr>
        <w:t xml:space="preserve">fue declarado en rebeldía. Al respecto, especifican que en mayo de 1992, </w:t>
      </w:r>
      <w:r w:rsidRPr="00B83D6A">
        <w:rPr>
          <w:rFonts w:ascii="Cambria" w:hAnsi="Cambria"/>
          <w:sz w:val="20"/>
          <w:szCs w:val="20"/>
          <w:lang w:val="es-BO"/>
        </w:rPr>
        <w:t>el departamento de Policía de Boyacá</w:t>
      </w:r>
      <w:r w:rsidR="00497D21" w:rsidRPr="00B83D6A">
        <w:rPr>
          <w:rFonts w:ascii="Cambria" w:hAnsi="Cambria"/>
          <w:sz w:val="20"/>
          <w:szCs w:val="20"/>
          <w:lang w:val="es-BO"/>
        </w:rPr>
        <w:t>,</w:t>
      </w:r>
      <w:r w:rsidRPr="00B83D6A">
        <w:rPr>
          <w:rFonts w:ascii="Cambria" w:hAnsi="Cambria"/>
          <w:sz w:val="20"/>
          <w:szCs w:val="20"/>
          <w:lang w:val="es-BO"/>
        </w:rPr>
        <w:t xml:space="preserve"> presuntamente favoreciéndolo de manera indebida, indicó que desde enero de </w:t>
      </w:r>
      <w:r w:rsidR="00E61606" w:rsidRPr="00B83D6A">
        <w:rPr>
          <w:rFonts w:ascii="Cambria" w:hAnsi="Cambria"/>
          <w:sz w:val="20"/>
          <w:szCs w:val="20"/>
          <w:lang w:val="es-BO"/>
        </w:rPr>
        <w:t>ese mismo año,</w:t>
      </w:r>
      <w:r w:rsidRPr="00B83D6A">
        <w:rPr>
          <w:rFonts w:ascii="Cambria" w:hAnsi="Cambria"/>
          <w:sz w:val="20"/>
          <w:szCs w:val="20"/>
          <w:lang w:val="es-BO"/>
        </w:rPr>
        <w:t xml:space="preserve"> no tenía </w:t>
      </w:r>
      <w:r w:rsidR="00E61606" w:rsidRPr="00B83D6A">
        <w:rPr>
          <w:rFonts w:ascii="Cambria" w:hAnsi="Cambria"/>
          <w:sz w:val="20"/>
          <w:szCs w:val="20"/>
          <w:lang w:val="es-BO"/>
        </w:rPr>
        <w:t>información ni contacto con él</w:t>
      </w:r>
      <w:r w:rsidRPr="00B83D6A">
        <w:rPr>
          <w:rFonts w:ascii="Cambria" w:hAnsi="Cambria"/>
          <w:sz w:val="20"/>
          <w:szCs w:val="20"/>
          <w:lang w:val="es-BO"/>
        </w:rPr>
        <w:t>.</w:t>
      </w:r>
      <w:r w:rsidR="00E61606" w:rsidRPr="00B83D6A">
        <w:rPr>
          <w:rFonts w:ascii="Cambria" w:hAnsi="Cambria"/>
          <w:sz w:val="20"/>
          <w:szCs w:val="20"/>
          <w:lang w:val="es-BO"/>
        </w:rPr>
        <w:t xml:space="preserve"> Sin embargo, registros policiales obtenidos con posterioridad  dan cuenta que el policía </w:t>
      </w:r>
      <w:r w:rsidR="003778F8" w:rsidRPr="00B83D6A">
        <w:rPr>
          <w:rFonts w:ascii="Cambria" w:hAnsi="Cambria"/>
          <w:sz w:val="20"/>
          <w:szCs w:val="20"/>
          <w:lang w:val="es-BO"/>
        </w:rPr>
        <w:t>mantuvo sus actividades hasta el 23 de febrero de 1992. Por ello, alegan que las autoridades policiales perjudicaron las investigaciones y encubrieron indebidamente al agente policial.</w:t>
      </w:r>
    </w:p>
    <w:p w:rsidR="005029A5" w:rsidRPr="00B83D6A" w:rsidRDefault="00E10215" w:rsidP="007A5B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83D6A">
        <w:rPr>
          <w:rFonts w:ascii="Cambria" w:hAnsi="Cambria"/>
          <w:sz w:val="20"/>
          <w:szCs w:val="20"/>
          <w:lang w:val="es-BO"/>
        </w:rPr>
        <w:t xml:space="preserve">En ese orden de acontecimientos, el 17 de marzo de 1993 el Juzgado Primero Penal del Circuito de Tunja consideró penalmente responsables a los acusados por los delitos de homicidio agravado y hurto calificado y los condenó a 25 años de prisión y al pago solidario de los perjuicios materiales y morales en favor de los familiares de las presuntas víctimas, dentro de los cuatro meses siguientes a la ejecutoria de la sentencia. </w:t>
      </w:r>
    </w:p>
    <w:p w:rsidR="00E10215" w:rsidRPr="00B83D6A" w:rsidRDefault="00E10215" w:rsidP="00AD04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83D6A">
        <w:rPr>
          <w:rFonts w:ascii="Cambria" w:hAnsi="Cambria"/>
          <w:sz w:val="20"/>
          <w:szCs w:val="20"/>
          <w:lang w:val="es-BO"/>
        </w:rPr>
        <w:t xml:space="preserve">Los peticionarios indican que la decisión anterior fue confirmada por el Tribunal Superior de Distrito Judicial de Tunja el 28 de mayo de 1993, pero precisan que no se hizo </w:t>
      </w:r>
      <w:r w:rsidR="001809E0" w:rsidRPr="00B83D6A">
        <w:rPr>
          <w:rFonts w:ascii="Cambria" w:hAnsi="Cambria"/>
          <w:sz w:val="20"/>
          <w:szCs w:val="20"/>
          <w:lang w:val="es-BO"/>
        </w:rPr>
        <w:t xml:space="preserve">totalmente </w:t>
      </w:r>
      <w:r w:rsidRPr="00B83D6A">
        <w:rPr>
          <w:rFonts w:ascii="Cambria" w:hAnsi="Cambria"/>
          <w:sz w:val="20"/>
          <w:szCs w:val="20"/>
          <w:lang w:val="es-BO"/>
        </w:rPr>
        <w:t>efectiva porque</w:t>
      </w:r>
      <w:r w:rsidR="001809E0" w:rsidRPr="00B83D6A">
        <w:rPr>
          <w:rFonts w:ascii="Cambria" w:hAnsi="Cambria"/>
          <w:sz w:val="20"/>
          <w:szCs w:val="20"/>
          <w:lang w:val="es-BO"/>
        </w:rPr>
        <w:t xml:space="preserve"> pese a que la persona civil cumplió </w:t>
      </w:r>
      <w:r w:rsidR="005029A5" w:rsidRPr="00B83D6A">
        <w:rPr>
          <w:rFonts w:ascii="Cambria" w:hAnsi="Cambria"/>
          <w:sz w:val="20"/>
          <w:szCs w:val="20"/>
          <w:lang w:val="es-BO"/>
        </w:rPr>
        <w:t>la pena</w:t>
      </w:r>
      <w:r w:rsidR="001809E0" w:rsidRPr="00B83D6A">
        <w:rPr>
          <w:rFonts w:ascii="Cambria" w:hAnsi="Cambria"/>
          <w:sz w:val="20"/>
          <w:szCs w:val="20"/>
          <w:lang w:val="es-BO"/>
        </w:rPr>
        <w:t xml:space="preserve">, </w:t>
      </w:r>
      <w:r w:rsidRPr="00B83D6A">
        <w:rPr>
          <w:rFonts w:ascii="Cambria" w:hAnsi="Cambria"/>
          <w:sz w:val="20"/>
          <w:szCs w:val="20"/>
          <w:lang w:val="es-BO"/>
        </w:rPr>
        <w:t>el policía condenado incumplió con la sanción penal dispuesta. En ese sentido, a</w:t>
      </w:r>
      <w:r w:rsidR="00AD04D1" w:rsidRPr="00B83D6A">
        <w:rPr>
          <w:rFonts w:ascii="Cambria" w:hAnsi="Cambria"/>
          <w:sz w:val="20"/>
          <w:szCs w:val="20"/>
          <w:lang w:val="es-BO"/>
        </w:rPr>
        <w:t xml:space="preserve">rgumentan </w:t>
      </w:r>
      <w:r w:rsidRPr="00B83D6A">
        <w:rPr>
          <w:rFonts w:ascii="Cambria" w:hAnsi="Cambria"/>
          <w:sz w:val="20"/>
          <w:szCs w:val="20"/>
          <w:lang w:val="es-BO"/>
        </w:rPr>
        <w:t>que tras varias solicitudes</w:t>
      </w:r>
      <w:r w:rsidR="00497D21" w:rsidRPr="00B83D6A">
        <w:rPr>
          <w:rFonts w:ascii="Cambria" w:hAnsi="Cambria"/>
          <w:sz w:val="20"/>
          <w:szCs w:val="20"/>
          <w:lang w:val="es-BO"/>
        </w:rPr>
        <w:t>,</w:t>
      </w:r>
      <w:r w:rsidRPr="00B83D6A">
        <w:rPr>
          <w:rFonts w:ascii="Cambria" w:hAnsi="Cambria"/>
          <w:sz w:val="20"/>
          <w:szCs w:val="20"/>
          <w:lang w:val="es-BO"/>
        </w:rPr>
        <w:t xml:space="preserve"> recién mediante auto de 21 de noviembre de 2005 el Juez Segundo de Ejecución de Penas y Medidas de Seguridad de Tunja reiteró la orden de captura del mencionado agente policial. Asimismo, el 23 de noviembre de 2006 se emitieron las boletas de captura al Departamento Administrativo </w:t>
      </w:r>
      <w:r w:rsidR="00497D21" w:rsidRPr="00B83D6A">
        <w:rPr>
          <w:rFonts w:ascii="Cambria" w:hAnsi="Cambria"/>
          <w:sz w:val="20"/>
          <w:szCs w:val="20"/>
          <w:lang w:val="es-BO"/>
        </w:rPr>
        <w:t>de</w:t>
      </w:r>
      <w:r w:rsidRPr="00B83D6A">
        <w:rPr>
          <w:rFonts w:ascii="Cambria" w:hAnsi="Cambria"/>
          <w:sz w:val="20"/>
          <w:szCs w:val="20"/>
          <w:lang w:val="es-BO"/>
        </w:rPr>
        <w:t xml:space="preserve"> Seguridad, a la Policía Nacional y a la Fiscalía General de la Nación, sin que hasta la fecha haya sido detenido.</w:t>
      </w:r>
      <w:r w:rsidR="005029A5" w:rsidRPr="00B83D6A">
        <w:rPr>
          <w:rFonts w:ascii="Cambria" w:hAnsi="Cambria"/>
          <w:sz w:val="20"/>
          <w:szCs w:val="20"/>
          <w:lang w:val="es-BO"/>
        </w:rPr>
        <w:t xml:space="preserve"> </w:t>
      </w:r>
      <w:r w:rsidR="00AD04D1" w:rsidRPr="00B83D6A">
        <w:rPr>
          <w:rFonts w:ascii="Cambria" w:hAnsi="Cambria"/>
          <w:sz w:val="20"/>
          <w:szCs w:val="20"/>
          <w:lang w:val="es-BO"/>
        </w:rPr>
        <w:t>Alegan que el Estado no ha actuado con diligencia para buscar a la persona prófuga. Adicionalmente,</w:t>
      </w:r>
      <w:r w:rsidR="005029A5" w:rsidRPr="00B83D6A">
        <w:rPr>
          <w:rFonts w:ascii="Cambria" w:hAnsi="Cambria"/>
          <w:sz w:val="20"/>
          <w:szCs w:val="20"/>
          <w:lang w:val="es-BO"/>
        </w:rPr>
        <w:t xml:space="preserve"> a</w:t>
      </w:r>
      <w:r w:rsidR="00AD04D1" w:rsidRPr="00B83D6A">
        <w:rPr>
          <w:rFonts w:ascii="Cambria" w:hAnsi="Cambria"/>
          <w:sz w:val="20"/>
          <w:szCs w:val="20"/>
          <w:lang w:val="es-BO"/>
        </w:rPr>
        <w:t xml:space="preserve">firman </w:t>
      </w:r>
      <w:r w:rsidR="005029A5" w:rsidRPr="00B83D6A">
        <w:rPr>
          <w:rFonts w:ascii="Cambria" w:hAnsi="Cambria"/>
          <w:sz w:val="20"/>
          <w:szCs w:val="20"/>
          <w:lang w:val="es-BO"/>
        </w:rPr>
        <w:t>que los hechos continúan en impunidad pues la única</w:t>
      </w:r>
      <w:r w:rsidR="005029A5" w:rsidRPr="00B83D6A">
        <w:rPr>
          <w:rFonts w:ascii="Cambria" w:hAnsi="Cambria"/>
          <w:sz w:val="20"/>
          <w:szCs w:val="20"/>
          <w:lang w:val="es-ES"/>
        </w:rPr>
        <w:t xml:space="preserve"> sentencia penal </w:t>
      </w:r>
      <w:r w:rsidR="00EC3207" w:rsidRPr="00B83D6A">
        <w:rPr>
          <w:rFonts w:ascii="Cambria" w:hAnsi="Cambria"/>
          <w:sz w:val="20"/>
          <w:szCs w:val="20"/>
          <w:lang w:val="es-ES"/>
        </w:rPr>
        <w:t xml:space="preserve">sobre el caso </w:t>
      </w:r>
      <w:r w:rsidR="005029A5" w:rsidRPr="00B83D6A">
        <w:rPr>
          <w:rFonts w:ascii="Cambria" w:hAnsi="Cambria"/>
          <w:sz w:val="20"/>
          <w:szCs w:val="20"/>
          <w:lang w:val="es-ES"/>
        </w:rPr>
        <w:t>no fue cumplida e</w:t>
      </w:r>
      <w:r w:rsidR="00EC3207" w:rsidRPr="00B83D6A">
        <w:rPr>
          <w:rFonts w:ascii="Cambria" w:hAnsi="Cambria"/>
          <w:sz w:val="20"/>
          <w:szCs w:val="20"/>
          <w:lang w:val="es-ES"/>
        </w:rPr>
        <w:t>n</w:t>
      </w:r>
      <w:r w:rsidR="005029A5" w:rsidRPr="00B83D6A">
        <w:rPr>
          <w:rFonts w:ascii="Cambria" w:hAnsi="Cambria"/>
          <w:sz w:val="20"/>
          <w:szCs w:val="20"/>
          <w:lang w:val="es-ES"/>
        </w:rPr>
        <w:t xml:space="preserve"> su integridad</w:t>
      </w:r>
      <w:r w:rsidR="00EC3207" w:rsidRPr="00B83D6A">
        <w:rPr>
          <w:rFonts w:ascii="Cambria" w:hAnsi="Cambria"/>
          <w:sz w:val="20"/>
          <w:szCs w:val="20"/>
          <w:lang w:val="es-ES"/>
        </w:rPr>
        <w:t>, debido a</w:t>
      </w:r>
      <w:r w:rsidR="005029A5" w:rsidRPr="00B83D6A">
        <w:rPr>
          <w:rFonts w:ascii="Cambria" w:hAnsi="Cambria"/>
          <w:sz w:val="20"/>
          <w:szCs w:val="20"/>
          <w:lang w:val="es-ES"/>
        </w:rPr>
        <w:t xml:space="preserve"> que</w:t>
      </w:r>
      <w:r w:rsidR="00EC3207" w:rsidRPr="00B83D6A">
        <w:rPr>
          <w:rFonts w:ascii="Cambria" w:hAnsi="Cambria"/>
          <w:sz w:val="20"/>
          <w:szCs w:val="20"/>
          <w:lang w:val="es-ES"/>
        </w:rPr>
        <w:t xml:space="preserve"> solamente la persona civil cumplió la condena, el policía sentenciado </w:t>
      </w:r>
      <w:r w:rsidR="005029A5" w:rsidRPr="00B83D6A">
        <w:rPr>
          <w:rFonts w:ascii="Cambria" w:hAnsi="Cambria"/>
          <w:sz w:val="20"/>
          <w:szCs w:val="20"/>
          <w:lang w:val="es-ES"/>
        </w:rPr>
        <w:t>se encuentra prófugo</w:t>
      </w:r>
      <w:r w:rsidR="00EC3207" w:rsidRPr="00B83D6A">
        <w:rPr>
          <w:rFonts w:ascii="Cambria" w:hAnsi="Cambria"/>
          <w:sz w:val="20"/>
          <w:szCs w:val="20"/>
          <w:lang w:val="es-ES"/>
        </w:rPr>
        <w:t>,</w:t>
      </w:r>
      <w:r w:rsidR="005029A5" w:rsidRPr="00B83D6A">
        <w:rPr>
          <w:rFonts w:ascii="Cambria" w:hAnsi="Cambria"/>
          <w:sz w:val="20"/>
          <w:szCs w:val="20"/>
          <w:lang w:val="es-ES"/>
        </w:rPr>
        <w:t xml:space="preserve"> y </w:t>
      </w:r>
      <w:r w:rsidR="00EC3207" w:rsidRPr="00B83D6A">
        <w:rPr>
          <w:rFonts w:ascii="Cambria" w:hAnsi="Cambria"/>
          <w:sz w:val="20"/>
          <w:szCs w:val="20"/>
          <w:lang w:val="es-ES"/>
        </w:rPr>
        <w:t>la responsabilidad de</w:t>
      </w:r>
      <w:r w:rsidR="00766C87" w:rsidRPr="00B83D6A">
        <w:rPr>
          <w:rFonts w:ascii="Cambria" w:hAnsi="Cambria"/>
          <w:sz w:val="20"/>
          <w:szCs w:val="20"/>
          <w:lang w:val="es-ES"/>
        </w:rPr>
        <w:t xml:space="preserve"> un segundo </w:t>
      </w:r>
      <w:r w:rsidR="00EC3207" w:rsidRPr="00B83D6A">
        <w:rPr>
          <w:rFonts w:ascii="Cambria" w:hAnsi="Cambria"/>
          <w:sz w:val="20"/>
          <w:szCs w:val="20"/>
          <w:lang w:val="es-ES"/>
        </w:rPr>
        <w:t xml:space="preserve">agente </w:t>
      </w:r>
      <w:r w:rsidR="00766C87" w:rsidRPr="00B83D6A">
        <w:rPr>
          <w:rFonts w:ascii="Cambria" w:hAnsi="Cambria"/>
          <w:sz w:val="20"/>
          <w:szCs w:val="20"/>
          <w:lang w:val="es-ES"/>
        </w:rPr>
        <w:t>policial no</w:t>
      </w:r>
      <w:r w:rsidR="00EC3207" w:rsidRPr="00B83D6A">
        <w:rPr>
          <w:rFonts w:ascii="Cambria" w:hAnsi="Cambria"/>
          <w:sz w:val="20"/>
          <w:szCs w:val="20"/>
          <w:lang w:val="es-ES"/>
        </w:rPr>
        <w:t xml:space="preserve"> fue esclarecida</w:t>
      </w:r>
      <w:r w:rsidR="005029A5" w:rsidRPr="00B83D6A">
        <w:rPr>
          <w:rFonts w:ascii="Cambria" w:hAnsi="Cambria"/>
          <w:sz w:val="20"/>
          <w:szCs w:val="20"/>
          <w:lang w:val="es-ES"/>
        </w:rPr>
        <w:t xml:space="preserve">. </w:t>
      </w:r>
    </w:p>
    <w:p w:rsidR="00E10215" w:rsidRPr="00B83D6A" w:rsidRDefault="00E10215" w:rsidP="00E102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83D6A">
        <w:rPr>
          <w:rFonts w:ascii="Cambria" w:hAnsi="Cambria"/>
          <w:sz w:val="20"/>
          <w:szCs w:val="20"/>
          <w:lang w:val="es-BO"/>
        </w:rPr>
        <w:t xml:space="preserve">Por otra parte, las familias de las presuntas víctimas presentaron una demanda de reparación directa contra el Ministerio de Defensa y la Policía Nacional ante el Tribunal Administrativo de Boyacá, que mediante sentencia de 20 de noviembre de 1996 determinó el pago parcial de indemnizaciones, argumentando que si bien los hechos dañosos tenían un nexo causal con el servicio policial, la compra clandestina de material </w:t>
      </w:r>
      <w:r w:rsidRPr="00B83D6A">
        <w:rPr>
          <w:rFonts w:ascii="Cambria" w:hAnsi="Cambria"/>
          <w:sz w:val="20"/>
          <w:szCs w:val="20"/>
          <w:lang w:val="es-BO"/>
        </w:rPr>
        <w:lastRenderedPageBreak/>
        <w:t xml:space="preserve">explosivo de circulación restringida originó un riesgo evidente por la ausencia de protección jurídica de negocios de objeto ilícito. Las partes apelaron tal decisión que fue revocada por la Sección Tercera del Consejo de Estado el 13 de septiembre de 2001, rechazando las pretensiones de los familiares y eximiendo de responsabilidad al Estado, pues consideró que no se podía establecer con certeza que los homicidios habían sido cometidos por policías durante su servicio. </w:t>
      </w:r>
    </w:p>
    <w:p w:rsidR="00E10215" w:rsidRPr="00B83D6A" w:rsidRDefault="00E10215" w:rsidP="00E102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83D6A">
        <w:rPr>
          <w:rFonts w:ascii="Cambria" w:hAnsi="Cambria"/>
          <w:sz w:val="20"/>
          <w:szCs w:val="20"/>
          <w:lang w:val="es-BO"/>
        </w:rPr>
        <w:t xml:space="preserve">Ante esta situación, los peticionarios interpusieron un recurso extraordinario de súplica que fue denegado por el Consejo de Estado a través de una providencia el 25 de julio de 2002, debido a que no se habría adjuntado dentro del plazo otorgado, el poder especial de su abogado representante. Sostienen que el 22 de julio de 2002 se presentó ante la Sección Tercera del Consejo de Estado un escrito solicitando la nulidad de lo actuado pues el abogado no pudo hacer seguimiento al caso en ese tiempo debido a una incapacidad médica; dicha solicitud fue desestimada el 1 de noviembre de 2002. Frente a ello, presentaron una acción de tutela indicando que se vulneraba el debido proceso y el derecho a la defensa pues su abogado gozaba de poder desde la presentación de la demanda. El 13 de noviembre de 2003 la Sección Cuarta del Consejo de Estado, desestimó la tutela señalando que dicha acción no procede contra providencias judiciales que dan por terminado un proceso; que el poder conferido para los trámites iniciales no puede extenderse para la presentación de recursos extraordinarios, requiriéndose en consecuencia un poder especial; que la excusa médica presentada mostraba inconsistencias; y además que no se deducía que la enfermedad alegada impedía al accionante allegar al trámite los poderes solicitados. Posteriormente, la tutela fue revisada por la Corte Constitucional que mediante sentencia T-563/2004 de 3 de junio de 2004, confirmó el rechazo de la acción y los argumentos referidos al requerimiento de poderes especiales. </w:t>
      </w:r>
    </w:p>
    <w:p w:rsidR="00E10215" w:rsidRPr="00B83D6A" w:rsidRDefault="00E10215" w:rsidP="00E102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83D6A">
        <w:rPr>
          <w:rFonts w:ascii="Cambria" w:hAnsi="Cambria"/>
          <w:sz w:val="20"/>
          <w:szCs w:val="20"/>
          <w:lang w:val="es-BO"/>
        </w:rPr>
        <w:t>Finalmente, los peticionarios presentaron ante el Tribunal Administrativo de Boyacá un recurso de nulidad adjuntando la historia clínica de su abogado para probar su incapacidad médica durante el tiempo que debió hacer llegar el poder. El Tribunal remitió al expediente ante la Sección Tercera del Consejo de Estado que el 17 de febrero de 2006 emitió un auto declarando improcedente el recurso pues el caso ya se encontraba archivado.</w:t>
      </w:r>
      <w:r w:rsidR="007E7949" w:rsidRPr="00B83D6A">
        <w:rPr>
          <w:rFonts w:ascii="Cambria" w:hAnsi="Cambria"/>
          <w:sz w:val="20"/>
          <w:szCs w:val="20"/>
          <w:lang w:val="es-BO"/>
        </w:rPr>
        <w:t xml:space="preserve"> Alegan que las actuaciones judiciales en la jurisdicción contencioso administrativa  limitaron su derecho de acceso a la justicia y las garantías del debido proceso de los familiares de las presuntas víctimas. </w:t>
      </w:r>
    </w:p>
    <w:p w:rsidR="00E10215" w:rsidRPr="00B83D6A" w:rsidRDefault="00E10215" w:rsidP="00E102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83D6A">
        <w:rPr>
          <w:rFonts w:ascii="Cambria" w:hAnsi="Cambria"/>
          <w:sz w:val="20"/>
          <w:szCs w:val="20"/>
          <w:lang w:val="es-BO"/>
        </w:rPr>
        <w:t>El Estado sostiene que los hechos de la petición no caracterizan violaciones a derechos humanos, pues los delitos cometidos contra las presuntas víctimas no fueron ocasionados por conductas estatales. Señala que si bien se estableció que uno de los autores tenía la calidad de miembro activo de la Policía Nacional, los actos desplegados se encontraban tan alejados de sus funciones oficiales que deben ser valorados como comportamientos de carácter privado, no atribuibles al Estado. Destaca que se cumplió con la obligación referente al acceso a la justicia de los familiares de las presuntas víctimas ya que se desarrollaron los procesos judiciales, tanto penal como contencioso administrativo, en el marco de la normativa interna garantizando sus derechos.</w:t>
      </w:r>
    </w:p>
    <w:p w:rsidR="00E10215" w:rsidRPr="00B83D6A" w:rsidRDefault="00E10215" w:rsidP="00E102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83D6A">
        <w:rPr>
          <w:rFonts w:ascii="Cambria" w:hAnsi="Cambria"/>
          <w:sz w:val="20"/>
          <w:szCs w:val="20"/>
          <w:lang w:val="es-BO"/>
        </w:rPr>
        <w:t xml:space="preserve">Además, refiere que la petición es inadmisible pues se presentó de forma extemporánea habiendo excedido el plazo convencional de seis meses. Detalla que en relación con la acción penal, la decisión definitiva fue la confirmación de la sentencia condenatoria emitida por el Tribunal Superior del Distrito Judicial de Tunja el 17 de marzo de 1993. Por otra parte, el proceso de reparación en la vía contencioso administrativa culminó con el fallo de 13 de septiembre de 2001 pronunciado por la Sección Tercera del Consejo de Estado. </w:t>
      </w:r>
    </w:p>
    <w:p w:rsidR="00E10215" w:rsidRPr="00B83D6A" w:rsidRDefault="00E10215" w:rsidP="00E102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83D6A">
        <w:rPr>
          <w:rFonts w:ascii="Cambria" w:hAnsi="Cambria"/>
          <w:sz w:val="20"/>
          <w:szCs w:val="20"/>
          <w:lang w:val="es-BO"/>
        </w:rPr>
        <w:t>Finalmente</w:t>
      </w:r>
      <w:r w:rsidR="00F35E8C" w:rsidRPr="00B83D6A">
        <w:rPr>
          <w:rFonts w:ascii="Cambria" w:hAnsi="Cambria"/>
          <w:sz w:val="20"/>
          <w:szCs w:val="20"/>
          <w:lang w:val="es-BO"/>
        </w:rPr>
        <w:t>,</w:t>
      </w:r>
      <w:r w:rsidRPr="00B83D6A">
        <w:rPr>
          <w:rFonts w:ascii="Cambria" w:hAnsi="Cambria"/>
          <w:sz w:val="20"/>
          <w:szCs w:val="20"/>
          <w:lang w:val="es-BO"/>
        </w:rPr>
        <w:t xml:space="preserve"> considera que los peticionarios acuden ante la Comisión como una cuarta instancia, ya que buscan controvertir las decisiones adoptadas por las autoridades judiciales internas, aspecto que también determina la inadmisibilidad de la petición.</w:t>
      </w:r>
    </w:p>
    <w:p w:rsidR="00E10215" w:rsidRPr="00B83D6A" w:rsidRDefault="00E10215" w:rsidP="00E10215">
      <w:pPr>
        <w:spacing w:before="240" w:after="240"/>
        <w:ind w:firstLine="720"/>
        <w:jc w:val="both"/>
        <w:rPr>
          <w:rFonts w:ascii="Cambria" w:hAnsi="Cambria"/>
          <w:sz w:val="20"/>
          <w:szCs w:val="20"/>
          <w:lang w:val="es-UY"/>
        </w:rPr>
      </w:pPr>
      <w:r w:rsidRPr="00B83D6A">
        <w:rPr>
          <w:rFonts w:asciiTheme="majorHAnsi" w:eastAsia="Cambria" w:hAnsiTheme="majorHAnsi" w:cs="Cambria"/>
          <w:b/>
          <w:bCs/>
          <w:color w:val="000000"/>
          <w:sz w:val="20"/>
          <w:szCs w:val="20"/>
          <w:u w:color="000000"/>
          <w:lang w:val="es-ES" w:eastAsia="es-ES"/>
        </w:rPr>
        <w:t>VI.</w:t>
      </w:r>
      <w:r w:rsidRPr="00B83D6A">
        <w:rPr>
          <w:rFonts w:asciiTheme="majorHAnsi" w:eastAsia="Cambria" w:hAnsiTheme="majorHAnsi" w:cs="Cambria"/>
          <w:b/>
          <w:bCs/>
          <w:color w:val="000000"/>
          <w:sz w:val="20"/>
          <w:szCs w:val="20"/>
          <w:u w:color="000000"/>
          <w:lang w:val="es-ES" w:eastAsia="es-ES"/>
        </w:rPr>
        <w:tab/>
      </w:r>
      <w:r w:rsidR="005B1682" w:rsidRPr="00B83D6A">
        <w:rPr>
          <w:rFonts w:asciiTheme="majorHAnsi" w:eastAsia="Cambria" w:hAnsiTheme="majorHAnsi" w:cs="Cambria"/>
          <w:b/>
          <w:bCs/>
          <w:color w:val="000000"/>
          <w:sz w:val="20"/>
          <w:szCs w:val="20"/>
          <w:u w:color="000000"/>
          <w:lang w:val="es-ES" w:eastAsia="es-ES"/>
        </w:rPr>
        <w:t xml:space="preserve">ANÁLISIS DE </w:t>
      </w:r>
      <w:r w:rsidRPr="00B83D6A">
        <w:rPr>
          <w:rFonts w:asciiTheme="majorHAnsi" w:hAnsiTheme="majorHAnsi"/>
          <w:b/>
          <w:sz w:val="20"/>
          <w:szCs w:val="20"/>
          <w:lang w:val="es-ES"/>
        </w:rPr>
        <w:t>AGOTAMIENTO DE LOS RECURSOS INTERNOS Y PLAZO DE PRESENTACIÓN</w:t>
      </w:r>
      <w:r w:rsidRPr="00B83D6A">
        <w:rPr>
          <w:rFonts w:asciiTheme="majorHAnsi" w:eastAsia="Cambria" w:hAnsiTheme="majorHAnsi" w:cs="Cambria"/>
          <w:b/>
          <w:bCs/>
          <w:color w:val="000000"/>
          <w:sz w:val="20"/>
          <w:szCs w:val="20"/>
          <w:u w:color="000000"/>
          <w:lang w:val="es-ES" w:eastAsia="es-ES"/>
        </w:rPr>
        <w:t xml:space="preserve"> </w:t>
      </w:r>
    </w:p>
    <w:p w:rsidR="00E10215" w:rsidRPr="00B83D6A" w:rsidRDefault="00E10215" w:rsidP="00E102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ES"/>
        </w:rPr>
        <w:t xml:space="preserve">Los peticionarios señalan que los recursos internos en la vía penal fueron agotados con el proceso penal que determinó la responsabilidad de sólo dos de los autores de la muerte de las presuntas víctimas. No obstante, resaltan que hasta la fecha dicha sentencia no fue cumplida debido a que uno de los sentenciados se encuentra prófugo y que la responsabilidad de un tercer posible autor no fue esclarecida. Al </w:t>
      </w:r>
      <w:r w:rsidRPr="00B83D6A">
        <w:rPr>
          <w:rFonts w:ascii="Cambria" w:hAnsi="Cambria"/>
          <w:sz w:val="20"/>
          <w:szCs w:val="20"/>
          <w:lang w:val="es-ES"/>
        </w:rPr>
        <w:lastRenderedPageBreak/>
        <w:t xml:space="preserve">respecto, indican que la última diligencia del Juzgado Segundo de Ejecución de Penas y Medidas de Seguridad de Tunja fue la reiteración de la orden de captura el 21 de noviembre de 2006. En relación con la vía contencioso administrativa, manifiestan que el 23 de agosto de 2006 les fue notificado el auto de </w:t>
      </w:r>
      <w:r w:rsidRPr="00B83D6A">
        <w:rPr>
          <w:rFonts w:ascii="Cambria" w:hAnsi="Cambria"/>
          <w:sz w:val="20"/>
          <w:szCs w:val="20"/>
          <w:lang w:val="es-BO"/>
        </w:rPr>
        <w:t>17 de febrero de 2006 emitido por el Tribunal Administrativo de Boyacá que declaró improcedente el recurso de nulidad, agotando con ello la vía interna para lograr una reparación. Finalmente, señalan que los recursos internos fueron ilusorios lo que configuraría la excepción prevista en el artículo 46.2.b</w:t>
      </w:r>
      <w:r w:rsidR="00F35E8C" w:rsidRPr="00B83D6A">
        <w:rPr>
          <w:rFonts w:ascii="Cambria" w:hAnsi="Cambria"/>
          <w:sz w:val="20"/>
          <w:szCs w:val="20"/>
          <w:lang w:val="es-BO"/>
        </w:rPr>
        <w:t xml:space="preserve"> de la Convención</w:t>
      </w:r>
      <w:r w:rsidRPr="00B83D6A">
        <w:rPr>
          <w:rFonts w:ascii="Cambria" w:hAnsi="Cambria"/>
          <w:sz w:val="20"/>
          <w:szCs w:val="20"/>
          <w:lang w:val="es-BO"/>
        </w:rPr>
        <w:t xml:space="preserve">. Por su parte, el Estado señala que los recursos fueron agotados en materia penal y en lo contencioso administrativo, pero que la petición fue presentada de manera extemporánea. Además, indica que la excepción contenida en el artículo 46.2.b. no es aplicable al presente caso, pues ésta no fue concebida para liberar a quien acude al Sistema Interamericano de la obligación de presentar la petición en el plazo de seis meses, sino que fue pensada para quienes acuden a la CIDH antes de agotar esos recursos porque no se les ha permitido acceder a los mismos. </w:t>
      </w:r>
    </w:p>
    <w:p w:rsidR="00E10215" w:rsidRPr="00B83D6A" w:rsidRDefault="00E10215" w:rsidP="00E102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BO"/>
        </w:rPr>
        <w:t>La Comisión ha establecido que toda vez que se cometa un delito en el que presuntamente participen autoridades estatales, el Estado tiene la obligación de promover e impulsar el proceso penal y, en esos casos, ésta constituye la vía idónea para esclarecer los hechos, adjudicar cualquier responsabilidad posible y establecer las sanciones penales correspondientes, además de posibilitar otros modos de reparación de tipo pecuniario</w:t>
      </w:r>
      <w:r w:rsidRPr="00B83D6A">
        <w:rPr>
          <w:rStyle w:val="FootnoteReference"/>
          <w:rFonts w:ascii="Cambria" w:hAnsi="Cambria"/>
          <w:sz w:val="20"/>
          <w:szCs w:val="20"/>
          <w:lang w:val="es-BO"/>
        </w:rPr>
        <w:footnoteReference w:id="6"/>
      </w:r>
      <w:r w:rsidRPr="00B83D6A">
        <w:rPr>
          <w:rFonts w:ascii="Cambria" w:hAnsi="Cambria"/>
          <w:sz w:val="20"/>
          <w:szCs w:val="20"/>
          <w:lang w:val="es-BO"/>
        </w:rPr>
        <w:t xml:space="preserve">. En el presente caso, la CIDH </w:t>
      </w:r>
      <w:r w:rsidR="007D2090" w:rsidRPr="00B83D6A">
        <w:rPr>
          <w:rFonts w:ascii="Cambria" w:hAnsi="Cambria"/>
          <w:sz w:val="20"/>
          <w:szCs w:val="20"/>
          <w:lang w:val="es-BO"/>
        </w:rPr>
        <w:t xml:space="preserve">toma nota de </w:t>
      </w:r>
      <w:r w:rsidRPr="00B83D6A">
        <w:rPr>
          <w:rFonts w:ascii="Cambria" w:hAnsi="Cambria"/>
          <w:sz w:val="20"/>
          <w:szCs w:val="20"/>
          <w:lang w:val="es-BO"/>
        </w:rPr>
        <w:t xml:space="preserve">que, según los alegatos de los peticionarios, tres personas estarían involucradas en la muerte de las presuntas víctimas, </w:t>
      </w:r>
      <w:r w:rsidR="00766C87" w:rsidRPr="00B83D6A">
        <w:rPr>
          <w:rFonts w:ascii="Cambria" w:hAnsi="Cambria"/>
          <w:sz w:val="20"/>
          <w:szCs w:val="20"/>
          <w:lang w:val="es-BO"/>
        </w:rPr>
        <w:t>dos</w:t>
      </w:r>
      <w:r w:rsidRPr="00B83D6A">
        <w:rPr>
          <w:rFonts w:ascii="Cambria" w:hAnsi="Cambria"/>
          <w:sz w:val="20"/>
          <w:szCs w:val="20"/>
          <w:lang w:val="es-BO"/>
        </w:rPr>
        <w:t xml:space="preserve"> de ellas agente</w:t>
      </w:r>
      <w:r w:rsidR="00766C87" w:rsidRPr="00B83D6A">
        <w:rPr>
          <w:rFonts w:ascii="Cambria" w:hAnsi="Cambria"/>
          <w:sz w:val="20"/>
          <w:szCs w:val="20"/>
          <w:lang w:val="es-BO"/>
        </w:rPr>
        <w:t>s</w:t>
      </w:r>
      <w:r w:rsidRPr="00B83D6A">
        <w:rPr>
          <w:rFonts w:ascii="Cambria" w:hAnsi="Cambria"/>
          <w:sz w:val="20"/>
          <w:szCs w:val="20"/>
          <w:lang w:val="es-BO"/>
        </w:rPr>
        <w:t xml:space="preserve"> policial</w:t>
      </w:r>
      <w:r w:rsidR="00766C87" w:rsidRPr="00B83D6A">
        <w:rPr>
          <w:rFonts w:ascii="Cambria" w:hAnsi="Cambria"/>
          <w:sz w:val="20"/>
          <w:szCs w:val="20"/>
          <w:lang w:val="es-BO"/>
        </w:rPr>
        <w:t>es</w:t>
      </w:r>
      <w:r w:rsidRPr="00B83D6A">
        <w:rPr>
          <w:rFonts w:ascii="Cambria" w:hAnsi="Cambria"/>
          <w:sz w:val="20"/>
          <w:szCs w:val="20"/>
          <w:lang w:val="es-BO"/>
        </w:rPr>
        <w:t xml:space="preserve">. </w:t>
      </w:r>
      <w:r w:rsidR="007D2090" w:rsidRPr="00B83D6A">
        <w:rPr>
          <w:rFonts w:ascii="Cambria" w:hAnsi="Cambria"/>
          <w:sz w:val="20"/>
          <w:szCs w:val="20"/>
          <w:lang w:val="es-BO"/>
        </w:rPr>
        <w:t>No obstante, d</w:t>
      </w:r>
      <w:r w:rsidRPr="00B83D6A">
        <w:rPr>
          <w:rFonts w:ascii="Cambria" w:hAnsi="Cambria"/>
          <w:sz w:val="20"/>
          <w:szCs w:val="20"/>
          <w:lang w:val="es-BO"/>
        </w:rPr>
        <w:t xml:space="preserve">e acuerdo </w:t>
      </w:r>
      <w:r w:rsidR="00715E44" w:rsidRPr="00B83D6A">
        <w:rPr>
          <w:rFonts w:ascii="Cambria" w:hAnsi="Cambria"/>
          <w:sz w:val="20"/>
          <w:szCs w:val="20"/>
          <w:lang w:val="es-BO"/>
        </w:rPr>
        <w:t>con</w:t>
      </w:r>
      <w:r w:rsidRPr="00B83D6A">
        <w:rPr>
          <w:rFonts w:ascii="Cambria" w:hAnsi="Cambria"/>
          <w:sz w:val="20"/>
          <w:szCs w:val="20"/>
          <w:lang w:val="es-BO"/>
        </w:rPr>
        <w:t xml:space="preserve"> la información </w:t>
      </w:r>
      <w:r w:rsidR="00B52894" w:rsidRPr="00B83D6A">
        <w:rPr>
          <w:rFonts w:ascii="Cambria" w:hAnsi="Cambria"/>
          <w:sz w:val="20"/>
          <w:szCs w:val="20"/>
          <w:lang w:val="es-BO"/>
        </w:rPr>
        <w:t>disponible</w:t>
      </w:r>
      <w:r w:rsidRPr="00B83D6A">
        <w:rPr>
          <w:rFonts w:ascii="Cambria" w:hAnsi="Cambria"/>
          <w:sz w:val="20"/>
          <w:szCs w:val="20"/>
          <w:lang w:val="es-BO"/>
        </w:rPr>
        <w:t>,</w:t>
      </w:r>
      <w:r w:rsidR="007D2090" w:rsidRPr="00B83D6A">
        <w:rPr>
          <w:rFonts w:ascii="Cambria" w:hAnsi="Cambria"/>
          <w:sz w:val="20"/>
          <w:szCs w:val="20"/>
          <w:lang w:val="es-BO"/>
        </w:rPr>
        <w:t xml:space="preserve"> </w:t>
      </w:r>
      <w:r w:rsidR="00715E44" w:rsidRPr="00B83D6A">
        <w:rPr>
          <w:rFonts w:ascii="Cambria" w:hAnsi="Cambria"/>
          <w:sz w:val="20"/>
          <w:szCs w:val="20"/>
          <w:lang w:val="es-BO"/>
        </w:rPr>
        <w:t xml:space="preserve">la Comisión </w:t>
      </w:r>
      <w:r w:rsidR="007D2090" w:rsidRPr="00B83D6A">
        <w:rPr>
          <w:rFonts w:ascii="Cambria" w:hAnsi="Cambria"/>
          <w:sz w:val="20"/>
          <w:szCs w:val="20"/>
          <w:lang w:val="es-BO"/>
        </w:rPr>
        <w:t>observa que</w:t>
      </w:r>
      <w:r w:rsidRPr="00B83D6A">
        <w:rPr>
          <w:rFonts w:ascii="Cambria" w:hAnsi="Cambria"/>
          <w:sz w:val="20"/>
          <w:szCs w:val="20"/>
          <w:lang w:val="es-BO"/>
        </w:rPr>
        <w:t xml:space="preserve"> </w:t>
      </w:r>
      <w:r w:rsidR="007D2090" w:rsidRPr="00B83D6A">
        <w:rPr>
          <w:rFonts w:ascii="Cambria" w:hAnsi="Cambria"/>
          <w:sz w:val="20"/>
          <w:szCs w:val="20"/>
          <w:lang w:val="es-BO"/>
        </w:rPr>
        <w:t>la continuación de las investigaciones</w:t>
      </w:r>
      <w:r w:rsidR="00715E44" w:rsidRPr="00B83D6A">
        <w:rPr>
          <w:rFonts w:ascii="Cambria" w:hAnsi="Cambria"/>
          <w:sz w:val="20"/>
          <w:szCs w:val="20"/>
          <w:lang w:val="es-BO"/>
        </w:rPr>
        <w:t xml:space="preserve"> respecto de uno de los efectivos policiales implicados, dispuesta </w:t>
      </w:r>
      <w:r w:rsidRPr="00B83D6A">
        <w:rPr>
          <w:rFonts w:ascii="Cambria" w:hAnsi="Cambria"/>
          <w:sz w:val="20"/>
          <w:szCs w:val="20"/>
          <w:lang w:val="es-BO"/>
        </w:rPr>
        <w:t xml:space="preserve"> e</w:t>
      </w:r>
      <w:r w:rsidR="00766C87" w:rsidRPr="00B83D6A">
        <w:rPr>
          <w:rFonts w:ascii="Cambria" w:hAnsi="Cambria"/>
          <w:sz w:val="20"/>
          <w:szCs w:val="20"/>
          <w:lang w:val="es-BO"/>
        </w:rPr>
        <w:t xml:space="preserve">l 29 de mayo de </w:t>
      </w:r>
      <w:r w:rsidRPr="00B83D6A">
        <w:rPr>
          <w:rFonts w:ascii="Cambria" w:hAnsi="Cambria"/>
          <w:sz w:val="20"/>
          <w:szCs w:val="20"/>
          <w:lang w:val="es-BO"/>
        </w:rPr>
        <w:t>1992 por el Tribunal Superior del Distrito de Tunja</w:t>
      </w:r>
      <w:r w:rsidR="007D2090" w:rsidRPr="00B83D6A">
        <w:rPr>
          <w:rFonts w:ascii="Cambria" w:hAnsi="Cambria"/>
          <w:sz w:val="20"/>
          <w:szCs w:val="20"/>
          <w:lang w:val="es-BO"/>
        </w:rPr>
        <w:t>,</w:t>
      </w:r>
      <w:r w:rsidRPr="00B83D6A">
        <w:rPr>
          <w:rFonts w:ascii="Cambria" w:hAnsi="Cambria"/>
          <w:sz w:val="20"/>
          <w:szCs w:val="20"/>
          <w:lang w:val="es-BO"/>
        </w:rPr>
        <w:t xml:space="preserve"> </w:t>
      </w:r>
      <w:r w:rsidR="00715E44" w:rsidRPr="00B83D6A">
        <w:rPr>
          <w:rFonts w:ascii="Cambria" w:hAnsi="Cambria"/>
          <w:sz w:val="20"/>
          <w:szCs w:val="20"/>
          <w:lang w:val="es-BO"/>
        </w:rPr>
        <w:t>no se habría desarrollado hasta la fecha.</w:t>
      </w:r>
      <w:r w:rsidRPr="00B83D6A">
        <w:rPr>
          <w:rFonts w:ascii="Cambria" w:hAnsi="Cambria"/>
          <w:sz w:val="20"/>
          <w:szCs w:val="20"/>
          <w:lang w:val="es-BO"/>
        </w:rPr>
        <w:t xml:space="preserve"> En relación con los otros dos responsables,</w:t>
      </w:r>
      <w:r w:rsidR="00B52894" w:rsidRPr="00B83D6A">
        <w:rPr>
          <w:rFonts w:ascii="Cambria" w:hAnsi="Cambria"/>
          <w:sz w:val="20"/>
          <w:szCs w:val="20"/>
          <w:lang w:val="es-BO"/>
        </w:rPr>
        <w:t xml:space="preserve"> la Comisión evidencia que</w:t>
      </w:r>
      <w:r w:rsidRPr="00B83D6A">
        <w:rPr>
          <w:rFonts w:ascii="Cambria" w:hAnsi="Cambria"/>
          <w:sz w:val="20"/>
          <w:szCs w:val="20"/>
          <w:lang w:val="es-BO"/>
        </w:rPr>
        <w:t xml:space="preserve"> si bien fueron condenados el 17 de marzo de 1993 por el homicidio de las presuntas víctimas, uno de ellos, el agente policial, no habría cumplido la pena por permanecer alegadamente prófugo por casi 24 años. Conforme a la información disponible, a pesar del pedido de los familiares de las presuntas víctimas, recién el 21 de noviembre de 2006 el Juez Segundo de Ejecución de Penas y Medidas de Seguridad de Tunja habría reiterado la orden de captura del agente policial condenado, sin obtener ningún resultado hasta la actualidad. En consecuencia, la CIDH concluye que aplica la excepción al agotamiento de los recursos internos, de conformidad con lo establecido en el artículo 46.2.c. de la Convención. </w:t>
      </w:r>
    </w:p>
    <w:p w:rsidR="00E10215" w:rsidRPr="00B83D6A" w:rsidRDefault="00E10215" w:rsidP="007E79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BO"/>
        </w:rPr>
        <w:t xml:space="preserve">Por otra parte, en relación con el proceso de reparación directa iniciado en la jurisdicción contencioso administrativa por los peticionarios, la Comisión </w:t>
      </w:r>
      <w:r w:rsidRPr="00B83D6A">
        <w:rPr>
          <w:rFonts w:ascii="Cambria" w:hAnsi="Cambria"/>
          <w:sz w:val="20"/>
          <w:szCs w:val="20"/>
          <w:lang w:val="es-ES"/>
        </w:rPr>
        <w:t>ha sostenido reiteradamente que dicha vía no constituye un recurso idóneo a efectos de analizar la admisibilidad de un reclamo de la naturaleza del presente</w:t>
      </w:r>
      <w:r w:rsidRPr="00B83D6A">
        <w:rPr>
          <w:rStyle w:val="FootnoteReference"/>
          <w:rFonts w:ascii="Cambria" w:hAnsi="Cambria"/>
          <w:sz w:val="20"/>
          <w:szCs w:val="20"/>
          <w:lang w:val="es-ES"/>
        </w:rPr>
        <w:footnoteReference w:id="7"/>
      </w:r>
      <w:r w:rsidRPr="00B83D6A">
        <w:rPr>
          <w:rFonts w:ascii="Cambria" w:hAnsi="Cambria"/>
          <w:sz w:val="20"/>
          <w:szCs w:val="20"/>
          <w:lang w:val="es-ES"/>
        </w:rPr>
        <w:t xml:space="preserve">, ya que la misma no es adecuada para proporcionar una reparación integral y justicia a los familiares. </w:t>
      </w:r>
      <w:r w:rsidR="007E47D3" w:rsidRPr="00B83D6A">
        <w:rPr>
          <w:rFonts w:ascii="Cambria" w:hAnsi="Cambria"/>
          <w:sz w:val="20"/>
          <w:szCs w:val="20"/>
          <w:lang w:val="es-ES"/>
        </w:rPr>
        <w:t xml:space="preserve">Sin perjuicio de lo mencionado, </w:t>
      </w:r>
      <w:r w:rsidR="007E47D3" w:rsidRPr="00B83D6A">
        <w:rPr>
          <w:rFonts w:asciiTheme="majorHAnsi" w:hAnsiTheme="majorHAnsi"/>
          <w:sz w:val="20"/>
          <w:szCs w:val="20"/>
          <w:lang w:val="es-ES"/>
        </w:rPr>
        <w:t xml:space="preserve">en el presente caso se observa que los peticionarios alegan además violaciones concretas en el marco de la demanda de reparación directa. Por ello, dada la vinculación entre los dos procesos, la CIDH toma en </w:t>
      </w:r>
      <w:r w:rsidR="007E47D3" w:rsidRPr="00B83D6A">
        <w:rPr>
          <w:rFonts w:asciiTheme="majorHAnsi" w:hAnsiTheme="majorHAnsi"/>
          <w:sz w:val="20"/>
          <w:szCs w:val="20"/>
          <w:lang w:val="es-BO"/>
        </w:rPr>
        <w:t xml:space="preserve">cuenta que en la jurisdicción </w:t>
      </w:r>
      <w:proofErr w:type="gramStart"/>
      <w:r w:rsidR="007E47D3" w:rsidRPr="00B83D6A">
        <w:rPr>
          <w:rFonts w:asciiTheme="majorHAnsi" w:hAnsiTheme="majorHAnsi"/>
          <w:sz w:val="20"/>
          <w:szCs w:val="20"/>
          <w:lang w:val="es-BO"/>
        </w:rPr>
        <w:t>contencioso</w:t>
      </w:r>
      <w:proofErr w:type="gramEnd"/>
      <w:r w:rsidR="007E47D3" w:rsidRPr="00B83D6A">
        <w:rPr>
          <w:rFonts w:asciiTheme="majorHAnsi" w:hAnsiTheme="majorHAnsi"/>
          <w:sz w:val="20"/>
          <w:szCs w:val="20"/>
          <w:lang w:val="es-BO"/>
        </w:rPr>
        <w:t xml:space="preserve"> administrativa, los recursos internos se agotaron con la decisión de </w:t>
      </w:r>
      <w:r w:rsidR="007C56BA" w:rsidRPr="00B83D6A">
        <w:rPr>
          <w:rFonts w:asciiTheme="majorHAnsi" w:hAnsiTheme="majorHAnsi"/>
          <w:sz w:val="20"/>
          <w:szCs w:val="20"/>
          <w:lang w:val="es-BO"/>
        </w:rPr>
        <w:t>17 de febrero de 2006</w:t>
      </w:r>
      <w:r w:rsidR="007C56BA">
        <w:rPr>
          <w:rFonts w:asciiTheme="majorHAnsi" w:hAnsiTheme="majorHAnsi"/>
          <w:sz w:val="20"/>
          <w:szCs w:val="20"/>
          <w:lang w:val="es-BO"/>
        </w:rPr>
        <w:t xml:space="preserve"> </w:t>
      </w:r>
      <w:r w:rsidR="007E47D3" w:rsidRPr="00B83D6A">
        <w:rPr>
          <w:rFonts w:asciiTheme="majorHAnsi" w:hAnsiTheme="majorHAnsi"/>
          <w:sz w:val="20"/>
          <w:szCs w:val="20"/>
          <w:lang w:val="es-BO"/>
        </w:rPr>
        <w:t>emitida por el Tribunal Administrativo de Boyacá que declaró improcedente el recurso de nulidad, y que les fue notificada el</w:t>
      </w:r>
      <w:r w:rsidR="007C56BA">
        <w:rPr>
          <w:rFonts w:asciiTheme="majorHAnsi" w:hAnsiTheme="majorHAnsi"/>
          <w:sz w:val="20"/>
          <w:szCs w:val="20"/>
          <w:lang w:val="es-BO"/>
        </w:rPr>
        <w:t xml:space="preserve"> </w:t>
      </w:r>
      <w:r w:rsidR="007C56BA" w:rsidRPr="00B83D6A">
        <w:rPr>
          <w:rFonts w:asciiTheme="majorHAnsi" w:hAnsiTheme="majorHAnsi"/>
          <w:sz w:val="20"/>
          <w:szCs w:val="20"/>
          <w:lang w:val="es-BO"/>
        </w:rPr>
        <w:t>23 de agosto de 2006</w:t>
      </w:r>
      <w:r w:rsidR="007E47D3" w:rsidRPr="00B83D6A">
        <w:rPr>
          <w:rFonts w:asciiTheme="majorHAnsi" w:hAnsiTheme="majorHAnsi"/>
          <w:sz w:val="20"/>
          <w:szCs w:val="20"/>
          <w:lang w:val="es-BO"/>
        </w:rPr>
        <w:t>.</w:t>
      </w:r>
      <w:r w:rsidR="007E47D3" w:rsidRPr="00B83D6A">
        <w:rPr>
          <w:rFonts w:ascii="Cambria" w:hAnsi="Cambria"/>
          <w:sz w:val="20"/>
          <w:szCs w:val="20"/>
          <w:lang w:val="es-BO"/>
        </w:rPr>
        <w:t xml:space="preserve"> </w:t>
      </w:r>
      <w:r w:rsidR="007E47D3" w:rsidRPr="00B83D6A">
        <w:rPr>
          <w:rFonts w:ascii="Cambria" w:hAnsi="Cambria"/>
          <w:sz w:val="20"/>
          <w:szCs w:val="20"/>
          <w:lang w:val="es-ES"/>
        </w:rPr>
        <w:t xml:space="preserve"> </w:t>
      </w:r>
    </w:p>
    <w:p w:rsidR="00E10215" w:rsidRPr="00B83D6A" w:rsidRDefault="00E10215" w:rsidP="00E102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ES"/>
        </w:rPr>
        <w:t>Finalmente</w:t>
      </w:r>
      <w:r w:rsidRPr="00B83D6A">
        <w:rPr>
          <w:rFonts w:ascii="Cambria" w:hAnsi="Cambria"/>
          <w:sz w:val="20"/>
          <w:szCs w:val="20"/>
          <w:bdr w:val="none" w:sz="0" w:space="0" w:color="auto" w:frame="1"/>
          <w:lang w:val="es-UY"/>
        </w:rPr>
        <w:t xml:space="preserve">, </w:t>
      </w:r>
      <w:r w:rsidRPr="00B83D6A">
        <w:rPr>
          <w:rFonts w:ascii="Cambria" w:hAnsi="Cambria"/>
          <w:sz w:val="20"/>
          <w:szCs w:val="20"/>
          <w:lang w:val="es-ES"/>
        </w:rPr>
        <w:t xml:space="preserve">la petición ante la Comisión fue recibida el 22 de febrero de 2007, los </w:t>
      </w:r>
      <w:r w:rsidR="00AD04D1" w:rsidRPr="00B83D6A">
        <w:rPr>
          <w:rFonts w:ascii="Cambria" w:hAnsi="Cambria"/>
          <w:sz w:val="20"/>
          <w:szCs w:val="20"/>
          <w:lang w:val="es-ES"/>
        </w:rPr>
        <w:t>alegados</w:t>
      </w:r>
      <w:r w:rsidRPr="00B83D6A">
        <w:rPr>
          <w:rFonts w:ascii="Cambria" w:hAnsi="Cambria"/>
          <w:sz w:val="20"/>
          <w:szCs w:val="20"/>
          <w:lang w:val="es-ES"/>
        </w:rPr>
        <w:t xml:space="preserve"> hechos materia del reclamo iniciaron el 27 de mayo de 1991, la reiteración de la orden judicial de captura del agente policial condenado habría sido </w:t>
      </w:r>
      <w:r w:rsidR="005879DF" w:rsidRPr="00B83D6A">
        <w:rPr>
          <w:rFonts w:ascii="Cambria" w:hAnsi="Cambria"/>
          <w:sz w:val="20"/>
          <w:szCs w:val="20"/>
          <w:lang w:val="es-ES"/>
        </w:rPr>
        <w:t xml:space="preserve">realizada </w:t>
      </w:r>
      <w:r w:rsidRPr="00B83D6A">
        <w:rPr>
          <w:rFonts w:ascii="Cambria" w:hAnsi="Cambria"/>
          <w:sz w:val="20"/>
          <w:szCs w:val="20"/>
          <w:lang w:val="es-ES"/>
        </w:rPr>
        <w:t xml:space="preserve">el 21 de noviembre de 2006, y </w:t>
      </w:r>
      <w:r w:rsidR="00AD04D1" w:rsidRPr="00B83D6A">
        <w:rPr>
          <w:rFonts w:ascii="Cambria" w:hAnsi="Cambria"/>
          <w:sz w:val="20"/>
          <w:szCs w:val="20"/>
          <w:lang w:val="es-ES"/>
        </w:rPr>
        <w:t>sus presuntos</w:t>
      </w:r>
      <w:r w:rsidRPr="00B83D6A">
        <w:rPr>
          <w:rFonts w:ascii="Cambria" w:hAnsi="Cambria"/>
          <w:sz w:val="20"/>
          <w:szCs w:val="20"/>
          <w:lang w:val="es-ES"/>
        </w:rPr>
        <w:t xml:space="preserve">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Pr="00B83D6A">
        <w:rPr>
          <w:rFonts w:ascii="Cambria" w:hAnsi="Cambria"/>
          <w:sz w:val="20"/>
          <w:szCs w:val="20"/>
          <w:bdr w:val="none" w:sz="0" w:space="0" w:color="auto" w:frame="1"/>
          <w:lang w:val="es-UY"/>
        </w:rPr>
        <w:t>.</w:t>
      </w:r>
    </w:p>
    <w:p w:rsidR="00E10215" w:rsidRPr="00B83D6A" w:rsidRDefault="00E10215" w:rsidP="00E10215">
      <w:pPr>
        <w:pStyle w:val="ListParagraph"/>
        <w:spacing w:before="240" w:after="240"/>
        <w:jc w:val="both"/>
        <w:rPr>
          <w:rFonts w:asciiTheme="majorHAnsi" w:hAnsiTheme="majorHAnsi"/>
          <w:b/>
          <w:sz w:val="20"/>
          <w:szCs w:val="20"/>
          <w:lang w:val="es-ES"/>
        </w:rPr>
      </w:pPr>
      <w:r w:rsidRPr="00B83D6A">
        <w:rPr>
          <w:rFonts w:asciiTheme="majorHAnsi" w:hAnsiTheme="majorHAnsi"/>
          <w:b/>
          <w:bCs/>
          <w:sz w:val="20"/>
          <w:szCs w:val="20"/>
          <w:lang w:val="es-ES"/>
        </w:rPr>
        <w:t>VII.</w:t>
      </w:r>
      <w:r w:rsidRPr="00B83D6A">
        <w:rPr>
          <w:rFonts w:asciiTheme="majorHAnsi" w:hAnsiTheme="majorHAnsi"/>
          <w:b/>
          <w:bCs/>
          <w:sz w:val="20"/>
          <w:szCs w:val="20"/>
          <w:lang w:val="es-ES"/>
        </w:rPr>
        <w:tab/>
      </w:r>
      <w:r w:rsidR="005B1682" w:rsidRPr="00B83D6A">
        <w:rPr>
          <w:rFonts w:asciiTheme="majorHAnsi" w:hAnsiTheme="majorHAnsi"/>
          <w:b/>
          <w:bCs/>
          <w:sz w:val="20"/>
          <w:szCs w:val="20"/>
          <w:lang w:val="es-ES"/>
        </w:rPr>
        <w:t xml:space="preserve">ANÁLISIS DE </w:t>
      </w:r>
      <w:r w:rsidRPr="00B83D6A">
        <w:rPr>
          <w:rFonts w:asciiTheme="majorHAnsi" w:hAnsiTheme="majorHAnsi"/>
          <w:b/>
          <w:bCs/>
          <w:sz w:val="20"/>
          <w:szCs w:val="20"/>
          <w:lang w:val="es-ES"/>
        </w:rPr>
        <w:t xml:space="preserve">CARACTERIZACIÓN </w:t>
      </w:r>
      <w:r w:rsidRPr="00B83D6A">
        <w:rPr>
          <w:rFonts w:asciiTheme="majorHAnsi" w:hAnsiTheme="majorHAnsi"/>
          <w:b/>
          <w:bCs/>
          <w:sz w:val="20"/>
          <w:szCs w:val="20"/>
          <w:lang w:val="es-UY"/>
        </w:rPr>
        <w:t>DE LOS HECHOS ALEGADOS</w:t>
      </w:r>
    </w:p>
    <w:p w:rsidR="00E10215" w:rsidRPr="00B83D6A" w:rsidRDefault="00E10215" w:rsidP="00E102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ES"/>
        </w:rPr>
        <w:t xml:space="preserve">En vista de los elementos de hecho y de derecho expuestos por las partes y la naturaleza del asunto puesto bajo su conocimiento, la Comisión considera que los alegados hechos de tortura y </w:t>
      </w:r>
      <w:r w:rsidR="00AD04D1" w:rsidRPr="00B83D6A">
        <w:rPr>
          <w:rFonts w:ascii="Cambria" w:hAnsi="Cambria"/>
          <w:sz w:val="20"/>
          <w:szCs w:val="20"/>
          <w:lang w:val="es-ES"/>
        </w:rPr>
        <w:t>ejecución</w:t>
      </w:r>
      <w:r w:rsidRPr="00B83D6A">
        <w:rPr>
          <w:rFonts w:ascii="Cambria" w:hAnsi="Cambria"/>
          <w:sz w:val="20"/>
          <w:szCs w:val="20"/>
          <w:lang w:val="es-ES"/>
        </w:rPr>
        <w:t xml:space="preserve"> de las presuntas víctimas por parte de tres personas, entre ellas </w:t>
      </w:r>
      <w:r w:rsidR="002863CE" w:rsidRPr="00B83D6A">
        <w:rPr>
          <w:rFonts w:ascii="Cambria" w:hAnsi="Cambria"/>
          <w:sz w:val="20"/>
          <w:szCs w:val="20"/>
          <w:lang w:val="es-ES"/>
        </w:rPr>
        <w:t>dos</w:t>
      </w:r>
      <w:r w:rsidRPr="00B83D6A">
        <w:rPr>
          <w:rFonts w:ascii="Cambria" w:hAnsi="Cambria"/>
          <w:sz w:val="20"/>
          <w:szCs w:val="20"/>
          <w:lang w:val="es-ES"/>
        </w:rPr>
        <w:t xml:space="preserve"> agente</w:t>
      </w:r>
      <w:r w:rsidR="002863CE" w:rsidRPr="00B83D6A">
        <w:rPr>
          <w:rFonts w:ascii="Cambria" w:hAnsi="Cambria"/>
          <w:sz w:val="20"/>
          <w:szCs w:val="20"/>
          <w:lang w:val="es-ES"/>
        </w:rPr>
        <w:t>s</w:t>
      </w:r>
      <w:r w:rsidRPr="00B83D6A">
        <w:rPr>
          <w:rFonts w:ascii="Cambria" w:hAnsi="Cambria"/>
          <w:sz w:val="20"/>
          <w:szCs w:val="20"/>
          <w:lang w:val="es-ES"/>
        </w:rPr>
        <w:t xml:space="preserve"> policial</w:t>
      </w:r>
      <w:r w:rsidR="002863CE" w:rsidRPr="00B83D6A">
        <w:rPr>
          <w:rFonts w:ascii="Cambria" w:hAnsi="Cambria"/>
          <w:sz w:val="20"/>
          <w:szCs w:val="20"/>
          <w:lang w:val="es-ES"/>
        </w:rPr>
        <w:t>es</w:t>
      </w:r>
      <w:r w:rsidRPr="00B83D6A">
        <w:rPr>
          <w:rFonts w:ascii="Cambria" w:hAnsi="Cambria"/>
          <w:sz w:val="20"/>
          <w:szCs w:val="20"/>
          <w:lang w:val="es-ES"/>
        </w:rPr>
        <w:t xml:space="preserve">, la </w:t>
      </w:r>
      <w:r w:rsidR="002863CE" w:rsidRPr="00B83D6A">
        <w:rPr>
          <w:rFonts w:ascii="Cambria" w:hAnsi="Cambria"/>
          <w:sz w:val="20"/>
          <w:szCs w:val="20"/>
          <w:lang w:val="es-ES"/>
        </w:rPr>
        <w:t xml:space="preserve">subsistente </w:t>
      </w:r>
      <w:r w:rsidRPr="00B83D6A">
        <w:rPr>
          <w:rFonts w:ascii="Cambria" w:hAnsi="Cambria"/>
          <w:sz w:val="20"/>
          <w:szCs w:val="20"/>
          <w:lang w:val="es-ES"/>
        </w:rPr>
        <w:t xml:space="preserve">impunidad </w:t>
      </w:r>
      <w:r w:rsidRPr="00B83D6A">
        <w:rPr>
          <w:rFonts w:ascii="Cambria" w:hAnsi="Cambria"/>
          <w:sz w:val="20"/>
          <w:szCs w:val="20"/>
          <w:lang w:val="es-ES"/>
        </w:rPr>
        <w:lastRenderedPageBreak/>
        <w:t>parcial y falta de protección judicial efectiva</w:t>
      </w:r>
      <w:r w:rsidR="00EA0EB2" w:rsidRPr="00B83D6A">
        <w:rPr>
          <w:rFonts w:ascii="Cambria" w:hAnsi="Cambria"/>
          <w:sz w:val="20"/>
          <w:szCs w:val="20"/>
          <w:lang w:val="es-ES"/>
        </w:rPr>
        <w:t>,</w:t>
      </w:r>
      <w:r w:rsidRPr="00B83D6A">
        <w:rPr>
          <w:rFonts w:ascii="Cambria" w:hAnsi="Cambria"/>
          <w:sz w:val="20"/>
          <w:szCs w:val="20"/>
          <w:lang w:val="es-ES"/>
        </w:rPr>
        <w:t xml:space="preserve"> podrían caracterizar posibles violaciones de los artículos 4 (vida), 5 (integridad personal), 7 (libertad personal), 8 (garantías judiciales) y 25 (protección judicial) de la Convención Americana en relación con su artículo 1.1</w:t>
      </w:r>
      <w:r w:rsidR="003778F8" w:rsidRPr="00B83D6A">
        <w:rPr>
          <w:rFonts w:ascii="Cambria" w:hAnsi="Cambria"/>
          <w:sz w:val="20"/>
          <w:szCs w:val="20"/>
          <w:lang w:val="es-ES"/>
        </w:rPr>
        <w:t xml:space="preserve">; así como </w:t>
      </w:r>
      <w:r w:rsidR="002863CE" w:rsidRPr="00B83D6A">
        <w:rPr>
          <w:rFonts w:asciiTheme="majorHAnsi" w:hAnsiTheme="majorHAnsi"/>
          <w:sz w:val="20"/>
          <w:szCs w:val="20"/>
          <w:lang w:val="es-ES"/>
        </w:rPr>
        <w:t>los artículos 1, 6 y 8 de la Convención Interamericana para Prevenir y Sancionar la Tortura, debido a</w:t>
      </w:r>
      <w:r w:rsidR="003778F8" w:rsidRPr="00B83D6A">
        <w:rPr>
          <w:rFonts w:ascii="Cambria" w:hAnsi="Cambria"/>
          <w:sz w:val="20"/>
          <w:szCs w:val="20"/>
          <w:lang w:val="es-BO"/>
        </w:rPr>
        <w:t xml:space="preserve"> la alegada falta de investigación desde la entrada en vigencia de dicha Convención, </w:t>
      </w:r>
      <w:r w:rsidR="002863CE" w:rsidRPr="00B83D6A">
        <w:rPr>
          <w:rFonts w:ascii="Cambria" w:hAnsi="Cambria"/>
          <w:sz w:val="20"/>
          <w:szCs w:val="20"/>
          <w:lang w:val="es-BO"/>
        </w:rPr>
        <w:t xml:space="preserve"> en perjuicio de</w:t>
      </w:r>
      <w:r w:rsidR="00781829" w:rsidRPr="00B83D6A">
        <w:rPr>
          <w:rFonts w:ascii="Cambria" w:hAnsi="Cambria"/>
          <w:sz w:val="20"/>
          <w:szCs w:val="20"/>
          <w:lang w:val="es-BO"/>
        </w:rPr>
        <w:t xml:space="preserve"> José Ricardo Parra Hurtado y Félix Alberto Páez Suárez; y de los artículos 5 (integridad personal),  </w:t>
      </w:r>
      <w:r w:rsidR="00781829" w:rsidRPr="00B83D6A">
        <w:rPr>
          <w:rFonts w:ascii="Cambria" w:hAnsi="Cambria"/>
          <w:sz w:val="20"/>
          <w:szCs w:val="20"/>
          <w:lang w:val="es-ES"/>
        </w:rPr>
        <w:t>8 (garantías judiciales) y 25 (protección judicial) de la Convención Americana en relación con su artículo 1.1, en perjuicio de sus familiares.</w:t>
      </w:r>
    </w:p>
    <w:p w:rsidR="002863CE" w:rsidRPr="00B83D6A" w:rsidRDefault="002863CE" w:rsidP="002863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rsidR="00E10215" w:rsidRPr="00B83D6A" w:rsidRDefault="00E10215" w:rsidP="00E10215">
      <w:pPr>
        <w:pStyle w:val="ListParagraph"/>
        <w:spacing w:before="240" w:after="240"/>
        <w:jc w:val="both"/>
        <w:rPr>
          <w:rFonts w:asciiTheme="majorHAnsi" w:hAnsiTheme="majorHAnsi"/>
          <w:b/>
          <w:bCs/>
          <w:sz w:val="20"/>
          <w:szCs w:val="20"/>
          <w:lang w:val="es-ES"/>
        </w:rPr>
      </w:pPr>
      <w:r w:rsidRPr="00B83D6A">
        <w:rPr>
          <w:rFonts w:asciiTheme="majorHAnsi" w:hAnsiTheme="majorHAnsi"/>
          <w:b/>
          <w:bCs/>
          <w:sz w:val="20"/>
          <w:szCs w:val="20"/>
          <w:lang w:val="es-ES"/>
        </w:rPr>
        <w:t xml:space="preserve">VIII. </w:t>
      </w:r>
      <w:r w:rsidRPr="00B83D6A">
        <w:rPr>
          <w:rFonts w:asciiTheme="majorHAnsi" w:hAnsiTheme="majorHAnsi"/>
          <w:b/>
          <w:bCs/>
          <w:sz w:val="20"/>
          <w:szCs w:val="20"/>
          <w:lang w:val="es-ES"/>
        </w:rPr>
        <w:tab/>
        <w:t>DECISIÓN</w:t>
      </w:r>
    </w:p>
    <w:p w:rsidR="00E10215" w:rsidRPr="00B83D6A" w:rsidRDefault="00E10215" w:rsidP="00E1021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83D6A">
        <w:rPr>
          <w:rFonts w:asciiTheme="majorHAnsi" w:hAnsiTheme="majorHAnsi"/>
          <w:sz w:val="20"/>
          <w:szCs w:val="20"/>
          <w:lang w:val="es-ES"/>
        </w:rPr>
        <w:t xml:space="preserve">Declarar admisible la presente petición en relación con los artículos 4, 5, 7, 8 y 25 </w:t>
      </w:r>
      <w:r w:rsidR="005879DF" w:rsidRPr="00B83D6A">
        <w:rPr>
          <w:rFonts w:asciiTheme="majorHAnsi" w:hAnsiTheme="majorHAnsi"/>
          <w:sz w:val="20"/>
          <w:szCs w:val="20"/>
          <w:lang w:val="es-ES"/>
        </w:rPr>
        <w:t xml:space="preserve">de la Convención Americana </w:t>
      </w:r>
      <w:r w:rsidRPr="00B83D6A">
        <w:rPr>
          <w:rFonts w:asciiTheme="majorHAnsi" w:hAnsiTheme="majorHAnsi"/>
          <w:sz w:val="20"/>
          <w:szCs w:val="20"/>
          <w:lang w:val="es-ES"/>
        </w:rPr>
        <w:t xml:space="preserve">en concordancia con </w:t>
      </w:r>
      <w:r w:rsidR="005879DF" w:rsidRPr="00B83D6A">
        <w:rPr>
          <w:rFonts w:asciiTheme="majorHAnsi" w:hAnsiTheme="majorHAnsi"/>
          <w:sz w:val="20"/>
          <w:szCs w:val="20"/>
          <w:lang w:val="es-ES"/>
        </w:rPr>
        <w:t>su</w:t>
      </w:r>
      <w:r w:rsidRPr="00B83D6A">
        <w:rPr>
          <w:rFonts w:asciiTheme="majorHAnsi" w:hAnsiTheme="majorHAnsi"/>
          <w:sz w:val="20"/>
          <w:szCs w:val="20"/>
          <w:lang w:val="es-ES"/>
        </w:rPr>
        <w:t xml:space="preserve"> artículo 1.1;</w:t>
      </w:r>
      <w:r w:rsidR="002863CE" w:rsidRPr="00B83D6A">
        <w:rPr>
          <w:rFonts w:asciiTheme="majorHAnsi" w:hAnsiTheme="majorHAnsi"/>
          <w:sz w:val="20"/>
          <w:szCs w:val="20"/>
          <w:lang w:val="es-ES"/>
        </w:rPr>
        <w:t xml:space="preserve"> y </w:t>
      </w:r>
      <w:r w:rsidR="00D178C9" w:rsidRPr="00B83D6A">
        <w:rPr>
          <w:rFonts w:asciiTheme="majorHAnsi" w:hAnsiTheme="majorHAnsi"/>
          <w:sz w:val="20"/>
          <w:szCs w:val="20"/>
          <w:lang w:val="es-ES"/>
        </w:rPr>
        <w:t xml:space="preserve">los </w:t>
      </w:r>
      <w:r w:rsidR="002863CE" w:rsidRPr="00B83D6A">
        <w:rPr>
          <w:rFonts w:asciiTheme="majorHAnsi" w:hAnsiTheme="majorHAnsi"/>
          <w:sz w:val="20"/>
          <w:szCs w:val="20"/>
          <w:lang w:val="es-ES"/>
        </w:rPr>
        <w:t xml:space="preserve">artículos 1, 6 y 8 de la Convención Interamericana para Prevenir y Sancionar la Tortura; </w:t>
      </w:r>
      <w:r w:rsidR="005879DF" w:rsidRPr="00B83D6A">
        <w:rPr>
          <w:rFonts w:asciiTheme="majorHAnsi" w:hAnsiTheme="majorHAnsi"/>
          <w:sz w:val="20"/>
          <w:szCs w:val="20"/>
          <w:lang w:val="es-ES"/>
        </w:rPr>
        <w:t>y</w:t>
      </w:r>
    </w:p>
    <w:p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83D6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65592D" w:rsidRDefault="0065592D" w:rsidP="006559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 xml:space="preserve">4 </w:t>
      </w:r>
      <w:r w:rsidRPr="00E75191">
        <w:rPr>
          <w:rFonts w:asciiTheme="majorHAnsi" w:hAnsiTheme="majorHAnsi"/>
          <w:sz w:val="20"/>
          <w:szCs w:val="20"/>
          <w:lang w:val="es-ES"/>
        </w:rPr>
        <w:t xml:space="preserve">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Margarette May Macaulay, Presidenta; Esmeralda E. Arosemena Bernal de Troitiño, Primera Vicepresidenta; </w:t>
      </w:r>
      <w:r w:rsidR="00A30A3C">
        <w:rPr>
          <w:rFonts w:asciiTheme="majorHAnsi" w:hAnsiTheme="majorHAnsi"/>
          <w:sz w:val="20"/>
          <w:szCs w:val="20"/>
          <w:lang w:val="es-ES"/>
        </w:rPr>
        <w:t xml:space="preserve">Francisco José Eguiguren Praeli </w:t>
      </w:r>
      <w:r w:rsidRPr="00E75191">
        <w:rPr>
          <w:rFonts w:asciiTheme="majorHAnsi" w:hAnsiTheme="majorHAnsi"/>
          <w:sz w:val="20"/>
          <w:szCs w:val="20"/>
          <w:lang w:val="es-ES"/>
        </w:rPr>
        <w:t xml:space="preserve"> y Flávia Piovesan, Miembros de la Comisión.</w:t>
      </w:r>
    </w:p>
    <w:sectPr w:rsidR="0065592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84" w:rsidRDefault="00042284">
      <w:r>
        <w:separator/>
      </w:r>
    </w:p>
  </w:endnote>
  <w:endnote w:type="continuationSeparator" w:id="0">
    <w:p w:rsidR="00042284" w:rsidRDefault="0004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30" w:rsidRDefault="003A5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A5F30">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84" w:rsidRPr="000F35ED" w:rsidRDefault="0004228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42284" w:rsidRPr="000F35ED" w:rsidRDefault="00042284" w:rsidP="000F35ED">
      <w:pPr>
        <w:rPr>
          <w:rFonts w:asciiTheme="majorHAnsi" w:hAnsiTheme="majorHAnsi"/>
          <w:sz w:val="16"/>
          <w:szCs w:val="16"/>
        </w:rPr>
      </w:pPr>
      <w:r w:rsidRPr="000F35ED">
        <w:rPr>
          <w:rFonts w:asciiTheme="majorHAnsi" w:hAnsiTheme="majorHAnsi"/>
          <w:sz w:val="16"/>
          <w:szCs w:val="16"/>
        </w:rPr>
        <w:separator/>
      </w:r>
    </w:p>
    <w:p w:rsidR="00042284" w:rsidRPr="000F35ED" w:rsidRDefault="0004228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42284" w:rsidRPr="000F35ED" w:rsidRDefault="0004228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Default="004A6A54" w:rsidP="005879DF">
      <w:pPr>
        <w:pStyle w:val="FootnoteText"/>
        <w:ind w:firstLine="720"/>
        <w:jc w:val="both"/>
        <w:rPr>
          <w:rFonts w:asciiTheme="majorHAnsi" w:hAnsiTheme="majorHAnsi"/>
          <w:sz w:val="16"/>
          <w:szCs w:val="16"/>
          <w:lang w:val="es-ES"/>
        </w:rPr>
      </w:pPr>
      <w:r w:rsidRPr="00055D26">
        <w:rPr>
          <w:rStyle w:val="FootnoteReference"/>
          <w:rFonts w:asciiTheme="majorHAnsi" w:hAnsiTheme="majorHAnsi"/>
          <w:sz w:val="16"/>
          <w:szCs w:val="16"/>
        </w:rPr>
        <w:footnoteRef/>
      </w:r>
      <w:r w:rsidRPr="00055D26">
        <w:rPr>
          <w:rFonts w:asciiTheme="majorHAnsi" w:hAnsiTheme="majorHAnsi"/>
          <w:sz w:val="16"/>
          <w:szCs w:val="16"/>
          <w:lang w:val="es-ES"/>
        </w:rPr>
        <w:t xml:space="preserve"> Conforme a lo dispuesto en el artículo 17.2.a del Reglamento de la Comisión, el Comisionado </w:t>
      </w:r>
      <w:r w:rsidR="00E10215" w:rsidRPr="00055D26">
        <w:rPr>
          <w:rFonts w:asciiTheme="majorHAnsi" w:hAnsiTheme="majorHAnsi"/>
          <w:sz w:val="16"/>
          <w:szCs w:val="16"/>
          <w:lang w:val="es-ES"/>
        </w:rPr>
        <w:t>Luis Ernesto Vargas Silva</w:t>
      </w:r>
      <w:r w:rsidRPr="00055D26">
        <w:rPr>
          <w:rFonts w:asciiTheme="majorHAnsi" w:hAnsiTheme="majorHAnsi"/>
          <w:sz w:val="16"/>
          <w:szCs w:val="16"/>
          <w:lang w:val="es-ES"/>
        </w:rPr>
        <w:t>, de nacionalidad</w:t>
      </w:r>
      <w:r w:rsidR="00E10215" w:rsidRPr="00055D26">
        <w:rPr>
          <w:rFonts w:asciiTheme="majorHAnsi" w:hAnsiTheme="majorHAnsi"/>
          <w:sz w:val="16"/>
          <w:szCs w:val="16"/>
          <w:lang w:val="es-ES"/>
        </w:rPr>
        <w:t xml:space="preserve"> colombiana</w:t>
      </w:r>
      <w:r w:rsidRPr="00055D26">
        <w:rPr>
          <w:rFonts w:asciiTheme="majorHAnsi" w:hAnsiTheme="majorHAnsi"/>
          <w:sz w:val="16"/>
          <w:szCs w:val="16"/>
          <w:lang w:val="es-ES"/>
        </w:rPr>
        <w:t>, no participó en el debate ni en la decisión del presente asunto.</w:t>
      </w:r>
    </w:p>
    <w:p w:rsidR="00463BEA" w:rsidRPr="00463BEA" w:rsidRDefault="00463BEA" w:rsidP="005879DF">
      <w:pPr>
        <w:pStyle w:val="FootnoteText"/>
        <w:ind w:firstLine="720"/>
        <w:jc w:val="both"/>
        <w:rPr>
          <w:rFonts w:asciiTheme="majorHAnsi" w:hAnsiTheme="majorHAnsi"/>
          <w:sz w:val="16"/>
          <w:szCs w:val="16"/>
          <w:lang w:val="es-NI"/>
        </w:rPr>
      </w:pPr>
      <w:r>
        <w:rPr>
          <w:rFonts w:asciiTheme="majorHAnsi" w:hAnsiTheme="majorHAnsi"/>
          <w:sz w:val="16"/>
          <w:szCs w:val="16"/>
          <w:lang w:val="es-ES"/>
        </w:rPr>
        <w:t>El Comisionado Joel Hernández García  se abstuvo de votar en este caso.</w:t>
      </w:r>
    </w:p>
  </w:footnote>
  <w:footnote w:id="3">
    <w:p w:rsidR="00E10215" w:rsidRPr="005E6F7A" w:rsidRDefault="00E10215" w:rsidP="005879DF">
      <w:pPr>
        <w:pStyle w:val="FootnoteText"/>
        <w:ind w:firstLine="720"/>
        <w:jc w:val="both"/>
        <w:rPr>
          <w:rFonts w:asciiTheme="majorHAnsi" w:hAnsiTheme="majorHAnsi"/>
          <w:sz w:val="16"/>
          <w:szCs w:val="16"/>
          <w:lang w:val="es-BO"/>
        </w:rPr>
      </w:pPr>
      <w:r w:rsidRPr="005E6F7A">
        <w:rPr>
          <w:rStyle w:val="FootnoteReference"/>
          <w:rFonts w:asciiTheme="majorHAnsi" w:hAnsiTheme="majorHAnsi"/>
          <w:sz w:val="16"/>
          <w:szCs w:val="16"/>
        </w:rPr>
        <w:footnoteRef/>
      </w:r>
      <w:r w:rsidR="00A874CE">
        <w:rPr>
          <w:rFonts w:asciiTheme="majorHAnsi" w:hAnsiTheme="majorHAnsi"/>
          <w:sz w:val="16"/>
          <w:szCs w:val="16"/>
          <w:lang w:val="es-ES"/>
        </w:rPr>
        <w:t xml:space="preserve"> </w:t>
      </w:r>
      <w:r w:rsidRPr="005E6F7A">
        <w:rPr>
          <w:rFonts w:asciiTheme="majorHAnsi" w:hAnsiTheme="majorHAnsi"/>
          <w:sz w:val="16"/>
          <w:szCs w:val="16"/>
          <w:lang w:val="es-ES"/>
        </w:rPr>
        <w:t>En adelante “Convención” o “Convención Americana”.</w:t>
      </w:r>
    </w:p>
  </w:footnote>
  <w:footnote w:id="4">
    <w:p w:rsidR="00055D26" w:rsidRPr="005E6F7A" w:rsidRDefault="00055D26" w:rsidP="005879DF">
      <w:pPr>
        <w:pStyle w:val="FootnoteText"/>
        <w:ind w:firstLine="720"/>
        <w:jc w:val="both"/>
        <w:rPr>
          <w:rFonts w:asciiTheme="majorHAnsi" w:hAnsiTheme="majorHAnsi"/>
          <w:sz w:val="16"/>
          <w:szCs w:val="16"/>
          <w:lang w:val="es-BO"/>
        </w:rPr>
      </w:pPr>
      <w:r w:rsidRPr="005E6F7A">
        <w:rPr>
          <w:rStyle w:val="FootnoteReference"/>
          <w:rFonts w:asciiTheme="majorHAnsi" w:hAnsiTheme="majorHAnsi"/>
          <w:sz w:val="16"/>
          <w:szCs w:val="16"/>
        </w:rPr>
        <w:footnoteRef/>
      </w:r>
      <w:r w:rsidRPr="005E6F7A">
        <w:rPr>
          <w:rFonts w:asciiTheme="majorHAnsi" w:hAnsiTheme="majorHAnsi"/>
          <w:sz w:val="16"/>
          <w:szCs w:val="16"/>
          <w:lang w:val="es-BO"/>
        </w:rPr>
        <w:t xml:space="preserve"> </w:t>
      </w:r>
      <w:r w:rsidR="005E6F7A" w:rsidRPr="005E6F7A">
        <w:rPr>
          <w:rFonts w:asciiTheme="majorHAnsi" w:hAnsiTheme="majorHAnsi"/>
          <w:sz w:val="16"/>
          <w:szCs w:val="16"/>
          <w:lang w:val="es-BO"/>
        </w:rPr>
        <w:t xml:space="preserve">Declaración Universal de Derechos Humanos, </w:t>
      </w:r>
      <w:r w:rsidR="0092644F">
        <w:rPr>
          <w:rFonts w:asciiTheme="majorHAnsi" w:hAnsiTheme="majorHAnsi"/>
          <w:sz w:val="16"/>
          <w:szCs w:val="16"/>
          <w:lang w:val="es-BO"/>
        </w:rPr>
        <w:t xml:space="preserve">Declaración Americana de los Derechos y Deberes del Hombre, </w:t>
      </w:r>
      <w:r w:rsidR="005E6F7A" w:rsidRPr="005E6F7A">
        <w:rPr>
          <w:rFonts w:asciiTheme="majorHAnsi" w:hAnsiTheme="majorHAnsi"/>
          <w:sz w:val="16"/>
          <w:szCs w:val="16"/>
          <w:lang w:val="es-BO"/>
        </w:rPr>
        <w:t xml:space="preserve">Pacto Internacional de Derechos Civiles y Políticos, Convención Interamericana para Prevenir y Sancionar la Tortura, Convención Interamericana sobre Desaparición Forzada de Personas y otros instrumentos internacionales. </w:t>
      </w:r>
    </w:p>
  </w:footnote>
  <w:footnote w:id="5">
    <w:p w:rsidR="008E3BFE" w:rsidRPr="00055D26" w:rsidRDefault="008E3BFE" w:rsidP="005879DF">
      <w:pPr>
        <w:pStyle w:val="FootnoteText"/>
        <w:ind w:firstLine="720"/>
        <w:jc w:val="both"/>
        <w:rPr>
          <w:rFonts w:asciiTheme="majorHAnsi" w:hAnsiTheme="majorHAnsi"/>
          <w:sz w:val="16"/>
          <w:szCs w:val="16"/>
          <w:lang w:val="es-ES"/>
        </w:rPr>
      </w:pPr>
      <w:r w:rsidRPr="005E6F7A">
        <w:rPr>
          <w:rStyle w:val="FootnoteReference"/>
          <w:rFonts w:asciiTheme="majorHAnsi" w:hAnsiTheme="majorHAnsi"/>
          <w:sz w:val="16"/>
          <w:szCs w:val="16"/>
        </w:rPr>
        <w:footnoteRef/>
      </w:r>
      <w:r w:rsidRPr="005E6F7A">
        <w:rPr>
          <w:rFonts w:asciiTheme="majorHAnsi" w:hAnsiTheme="majorHAnsi"/>
          <w:sz w:val="16"/>
          <w:szCs w:val="16"/>
          <w:lang w:val="es-ES"/>
        </w:rPr>
        <w:t xml:space="preserve"> Las observaciones de cada parte fueron debidamente trasladadas a la parte contraria.</w:t>
      </w:r>
      <w:r w:rsidR="00A874CE" w:rsidRPr="00A874CE">
        <w:rPr>
          <w:rFonts w:asciiTheme="majorHAnsi" w:hAnsiTheme="majorHAnsi"/>
          <w:sz w:val="16"/>
          <w:szCs w:val="16"/>
          <w:lang w:val="es-ES"/>
        </w:rPr>
        <w:t xml:space="preserve"> </w:t>
      </w:r>
      <w:r w:rsidR="00A874CE">
        <w:rPr>
          <w:rFonts w:asciiTheme="majorHAnsi" w:hAnsiTheme="majorHAnsi"/>
          <w:sz w:val="16"/>
          <w:szCs w:val="16"/>
          <w:lang w:val="es-ES"/>
        </w:rPr>
        <w:t>D</w:t>
      </w:r>
      <w:r w:rsidR="00A874CE" w:rsidRPr="00055D26">
        <w:rPr>
          <w:rFonts w:asciiTheme="majorHAnsi" w:hAnsiTheme="majorHAnsi"/>
          <w:sz w:val="16"/>
          <w:szCs w:val="16"/>
          <w:lang w:val="es-ES"/>
        </w:rPr>
        <w:t>esde su última comunicación sustantiva,</w:t>
      </w:r>
      <w:r w:rsidR="00A874CE">
        <w:rPr>
          <w:rFonts w:asciiTheme="majorHAnsi" w:hAnsiTheme="majorHAnsi"/>
          <w:sz w:val="16"/>
          <w:szCs w:val="16"/>
          <w:lang w:val="es-ES"/>
        </w:rPr>
        <w:t xml:space="preserve"> los peticionarios</w:t>
      </w:r>
      <w:r w:rsidR="00A874CE" w:rsidRPr="00055D26">
        <w:rPr>
          <w:rFonts w:asciiTheme="majorHAnsi" w:hAnsiTheme="majorHAnsi"/>
          <w:sz w:val="16"/>
          <w:szCs w:val="16"/>
          <w:lang w:val="es-ES"/>
        </w:rPr>
        <w:t xml:space="preserve"> han enviado varias comunicaciones a la CIDH solicitando se adopte una decisión sobre la admisibilidad. La última de dichas comunicaciones es de fecha 8 de agosto de 2017.</w:t>
      </w:r>
    </w:p>
  </w:footnote>
  <w:footnote w:id="6">
    <w:p w:rsidR="00E10215" w:rsidRPr="00055D26" w:rsidRDefault="00E10215" w:rsidP="005879DF">
      <w:pPr>
        <w:pStyle w:val="FootnoteText"/>
        <w:ind w:firstLine="720"/>
        <w:jc w:val="both"/>
        <w:rPr>
          <w:rFonts w:asciiTheme="majorHAnsi" w:hAnsiTheme="majorHAnsi"/>
          <w:sz w:val="16"/>
          <w:szCs w:val="16"/>
          <w:lang w:val="es-BO"/>
        </w:rPr>
      </w:pPr>
      <w:r w:rsidRPr="00055D26">
        <w:rPr>
          <w:rStyle w:val="FootnoteReference"/>
          <w:rFonts w:asciiTheme="majorHAnsi" w:hAnsiTheme="majorHAnsi"/>
          <w:sz w:val="16"/>
          <w:szCs w:val="16"/>
        </w:rPr>
        <w:footnoteRef/>
      </w:r>
      <w:r w:rsidRPr="00055D26">
        <w:rPr>
          <w:rFonts w:asciiTheme="majorHAnsi" w:hAnsiTheme="majorHAnsi"/>
          <w:sz w:val="16"/>
          <w:szCs w:val="16"/>
          <w:lang w:val="es-BO"/>
        </w:rPr>
        <w:t xml:space="preserve"> CIDH, Informe Nº 55/13. Petición 375-07. Admisibilidad. Spencer </w:t>
      </w:r>
      <w:proofErr w:type="spellStart"/>
      <w:r w:rsidRPr="00055D26">
        <w:rPr>
          <w:rFonts w:asciiTheme="majorHAnsi" w:hAnsiTheme="majorHAnsi"/>
          <w:sz w:val="16"/>
          <w:szCs w:val="16"/>
          <w:lang w:val="es-BO"/>
        </w:rPr>
        <w:t>Friend</w:t>
      </w:r>
      <w:proofErr w:type="spellEnd"/>
      <w:r w:rsidRPr="00055D26">
        <w:rPr>
          <w:rFonts w:asciiTheme="majorHAnsi" w:hAnsiTheme="majorHAnsi"/>
          <w:sz w:val="16"/>
          <w:szCs w:val="16"/>
          <w:lang w:val="es-BO"/>
        </w:rPr>
        <w:t xml:space="preserve"> </w:t>
      </w:r>
      <w:proofErr w:type="spellStart"/>
      <w:r w:rsidRPr="00055D26">
        <w:rPr>
          <w:rFonts w:asciiTheme="majorHAnsi" w:hAnsiTheme="majorHAnsi"/>
          <w:sz w:val="16"/>
          <w:szCs w:val="16"/>
          <w:lang w:val="es-BO"/>
        </w:rPr>
        <w:t>Montehermoso</w:t>
      </w:r>
      <w:proofErr w:type="spellEnd"/>
      <w:r w:rsidRPr="00055D26">
        <w:rPr>
          <w:rFonts w:asciiTheme="majorHAnsi" w:hAnsiTheme="majorHAnsi"/>
          <w:sz w:val="16"/>
          <w:szCs w:val="16"/>
          <w:lang w:val="es-BO"/>
        </w:rPr>
        <w:t xml:space="preserve"> y otros. Guatemala. 16 de julio de 2013, párr. 31.</w:t>
      </w:r>
    </w:p>
  </w:footnote>
  <w:footnote w:id="7">
    <w:p w:rsidR="00E10215" w:rsidRPr="00055D26" w:rsidRDefault="00E10215" w:rsidP="005879DF">
      <w:pPr>
        <w:pStyle w:val="FootnoteText"/>
        <w:ind w:firstLine="720"/>
        <w:jc w:val="both"/>
        <w:rPr>
          <w:rFonts w:asciiTheme="majorHAnsi" w:hAnsiTheme="majorHAnsi"/>
          <w:sz w:val="16"/>
          <w:szCs w:val="16"/>
          <w:lang w:val="es-BO"/>
        </w:rPr>
      </w:pPr>
      <w:r w:rsidRPr="00055D26">
        <w:rPr>
          <w:rStyle w:val="FootnoteReference"/>
          <w:rFonts w:asciiTheme="majorHAnsi" w:hAnsiTheme="majorHAnsi"/>
          <w:sz w:val="16"/>
          <w:szCs w:val="16"/>
        </w:rPr>
        <w:footnoteRef/>
      </w:r>
      <w:r w:rsidRPr="00055D26">
        <w:rPr>
          <w:rFonts w:asciiTheme="majorHAnsi" w:hAnsiTheme="majorHAnsi"/>
          <w:sz w:val="16"/>
          <w:szCs w:val="16"/>
          <w:lang w:val="es-BO"/>
        </w:rPr>
        <w:t xml:space="preserve"> CIDH, Informe Nº 72/16. Petición 694-06. Admisibilidad. Onofre Antonio de La Hoz Montero y Familia. Colombia. 6 de diciembre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04228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30" w:rsidRDefault="003A5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2284"/>
    <w:rsid w:val="000433C9"/>
    <w:rsid w:val="00051E70"/>
    <w:rsid w:val="00055D26"/>
    <w:rsid w:val="000716C5"/>
    <w:rsid w:val="00075E23"/>
    <w:rsid w:val="0009344A"/>
    <w:rsid w:val="000A392E"/>
    <w:rsid w:val="000A575F"/>
    <w:rsid w:val="000C1313"/>
    <w:rsid w:val="000D10DB"/>
    <w:rsid w:val="000E5EB5"/>
    <w:rsid w:val="000F35ED"/>
    <w:rsid w:val="00107131"/>
    <w:rsid w:val="0010736F"/>
    <w:rsid w:val="00113F73"/>
    <w:rsid w:val="00121CC2"/>
    <w:rsid w:val="00133EE5"/>
    <w:rsid w:val="00167A34"/>
    <w:rsid w:val="001809E0"/>
    <w:rsid w:val="00190126"/>
    <w:rsid w:val="001A6301"/>
    <w:rsid w:val="001A7870"/>
    <w:rsid w:val="001B3A00"/>
    <w:rsid w:val="001C1B41"/>
    <w:rsid w:val="001D65EF"/>
    <w:rsid w:val="001E49E7"/>
    <w:rsid w:val="001F5F04"/>
    <w:rsid w:val="001F7201"/>
    <w:rsid w:val="00201ECF"/>
    <w:rsid w:val="00223A29"/>
    <w:rsid w:val="002250A3"/>
    <w:rsid w:val="00235217"/>
    <w:rsid w:val="00246D1F"/>
    <w:rsid w:val="00247403"/>
    <w:rsid w:val="00247542"/>
    <w:rsid w:val="00256A94"/>
    <w:rsid w:val="00266B61"/>
    <w:rsid w:val="0026712A"/>
    <w:rsid w:val="002704DB"/>
    <w:rsid w:val="002863CE"/>
    <w:rsid w:val="002A0AAE"/>
    <w:rsid w:val="002A5820"/>
    <w:rsid w:val="002D2B26"/>
    <w:rsid w:val="002D7EA2"/>
    <w:rsid w:val="002E187C"/>
    <w:rsid w:val="00302733"/>
    <w:rsid w:val="00314078"/>
    <w:rsid w:val="0031535D"/>
    <w:rsid w:val="003239B8"/>
    <w:rsid w:val="0033169F"/>
    <w:rsid w:val="00344977"/>
    <w:rsid w:val="00346C95"/>
    <w:rsid w:val="00356185"/>
    <w:rsid w:val="00360380"/>
    <w:rsid w:val="0037519E"/>
    <w:rsid w:val="003778F8"/>
    <w:rsid w:val="003836CA"/>
    <w:rsid w:val="00386CF0"/>
    <w:rsid w:val="003A5F30"/>
    <w:rsid w:val="003B6AB4"/>
    <w:rsid w:val="003B70FB"/>
    <w:rsid w:val="003C676B"/>
    <w:rsid w:val="003D3BC2"/>
    <w:rsid w:val="003E6CA1"/>
    <w:rsid w:val="004065A8"/>
    <w:rsid w:val="004140B9"/>
    <w:rsid w:val="004165C2"/>
    <w:rsid w:val="00424228"/>
    <w:rsid w:val="00441ECB"/>
    <w:rsid w:val="00445193"/>
    <w:rsid w:val="00462C1B"/>
    <w:rsid w:val="00463BEA"/>
    <w:rsid w:val="00467B7E"/>
    <w:rsid w:val="00473BB4"/>
    <w:rsid w:val="00477592"/>
    <w:rsid w:val="00486F1C"/>
    <w:rsid w:val="004929E6"/>
    <w:rsid w:val="0049419D"/>
    <w:rsid w:val="00497D21"/>
    <w:rsid w:val="004A6A54"/>
    <w:rsid w:val="004C20D2"/>
    <w:rsid w:val="004C2312"/>
    <w:rsid w:val="004C4B62"/>
    <w:rsid w:val="004C54C9"/>
    <w:rsid w:val="004D4ABA"/>
    <w:rsid w:val="004D6025"/>
    <w:rsid w:val="004E2649"/>
    <w:rsid w:val="00501399"/>
    <w:rsid w:val="005029A5"/>
    <w:rsid w:val="0050633D"/>
    <w:rsid w:val="00507BC4"/>
    <w:rsid w:val="005128E4"/>
    <w:rsid w:val="005133DB"/>
    <w:rsid w:val="00525560"/>
    <w:rsid w:val="00544C49"/>
    <w:rsid w:val="005516A1"/>
    <w:rsid w:val="0055403B"/>
    <w:rsid w:val="00563557"/>
    <w:rsid w:val="0057402A"/>
    <w:rsid w:val="005771D0"/>
    <w:rsid w:val="005879DF"/>
    <w:rsid w:val="0059191A"/>
    <w:rsid w:val="005921FF"/>
    <w:rsid w:val="005A24ED"/>
    <w:rsid w:val="005A6D0E"/>
    <w:rsid w:val="005B1682"/>
    <w:rsid w:val="005B52B0"/>
    <w:rsid w:val="005B6806"/>
    <w:rsid w:val="005C4225"/>
    <w:rsid w:val="005C548B"/>
    <w:rsid w:val="005E6F7A"/>
    <w:rsid w:val="005F0DAD"/>
    <w:rsid w:val="005F0F33"/>
    <w:rsid w:val="00600DEB"/>
    <w:rsid w:val="0060440B"/>
    <w:rsid w:val="006169C4"/>
    <w:rsid w:val="00627C9F"/>
    <w:rsid w:val="006311E9"/>
    <w:rsid w:val="00632354"/>
    <w:rsid w:val="00632D06"/>
    <w:rsid w:val="00642810"/>
    <w:rsid w:val="00652333"/>
    <w:rsid w:val="0065592D"/>
    <w:rsid w:val="0068009E"/>
    <w:rsid w:val="00692219"/>
    <w:rsid w:val="006A17D2"/>
    <w:rsid w:val="006A73E6"/>
    <w:rsid w:val="006B2D5C"/>
    <w:rsid w:val="006C4EB1"/>
    <w:rsid w:val="006E0166"/>
    <w:rsid w:val="006E7B34"/>
    <w:rsid w:val="0070697F"/>
    <w:rsid w:val="00715BC7"/>
    <w:rsid w:val="00715E44"/>
    <w:rsid w:val="0072199C"/>
    <w:rsid w:val="00722C9F"/>
    <w:rsid w:val="007253B8"/>
    <w:rsid w:val="0073741F"/>
    <w:rsid w:val="0076643F"/>
    <w:rsid w:val="00766C87"/>
    <w:rsid w:val="00777F63"/>
    <w:rsid w:val="00781829"/>
    <w:rsid w:val="007A5817"/>
    <w:rsid w:val="007A5B78"/>
    <w:rsid w:val="007B05C4"/>
    <w:rsid w:val="007B60E9"/>
    <w:rsid w:val="007B6CC3"/>
    <w:rsid w:val="007B76D3"/>
    <w:rsid w:val="007C3334"/>
    <w:rsid w:val="007C56BA"/>
    <w:rsid w:val="007D2090"/>
    <w:rsid w:val="007D2B98"/>
    <w:rsid w:val="007E21BC"/>
    <w:rsid w:val="007E47D3"/>
    <w:rsid w:val="007E7949"/>
    <w:rsid w:val="007E7C82"/>
    <w:rsid w:val="007F588D"/>
    <w:rsid w:val="00803F1C"/>
    <w:rsid w:val="0080600E"/>
    <w:rsid w:val="00817612"/>
    <w:rsid w:val="008338A4"/>
    <w:rsid w:val="00834D49"/>
    <w:rsid w:val="00837C45"/>
    <w:rsid w:val="00844730"/>
    <w:rsid w:val="008457C2"/>
    <w:rsid w:val="00857A82"/>
    <w:rsid w:val="00857F00"/>
    <w:rsid w:val="00873836"/>
    <w:rsid w:val="00885737"/>
    <w:rsid w:val="00890650"/>
    <w:rsid w:val="00897E12"/>
    <w:rsid w:val="008A7E0F"/>
    <w:rsid w:val="008B12F5"/>
    <w:rsid w:val="008B2228"/>
    <w:rsid w:val="008C19DA"/>
    <w:rsid w:val="008C39B7"/>
    <w:rsid w:val="008D768D"/>
    <w:rsid w:val="008E3759"/>
    <w:rsid w:val="008E3BFE"/>
    <w:rsid w:val="008F1912"/>
    <w:rsid w:val="0090270B"/>
    <w:rsid w:val="009041DC"/>
    <w:rsid w:val="00917B5A"/>
    <w:rsid w:val="00920A58"/>
    <w:rsid w:val="00920A8C"/>
    <w:rsid w:val="0092644F"/>
    <w:rsid w:val="00933D05"/>
    <w:rsid w:val="00934A2C"/>
    <w:rsid w:val="0096706E"/>
    <w:rsid w:val="00974491"/>
    <w:rsid w:val="00975C4E"/>
    <w:rsid w:val="00981FBA"/>
    <w:rsid w:val="009935E1"/>
    <w:rsid w:val="00997BC5"/>
    <w:rsid w:val="009A4F41"/>
    <w:rsid w:val="009B381B"/>
    <w:rsid w:val="009C46AB"/>
    <w:rsid w:val="009D1753"/>
    <w:rsid w:val="009D7611"/>
    <w:rsid w:val="009E0B61"/>
    <w:rsid w:val="009E53DE"/>
    <w:rsid w:val="00A10FEE"/>
    <w:rsid w:val="00A11E44"/>
    <w:rsid w:val="00A30A3C"/>
    <w:rsid w:val="00A328B3"/>
    <w:rsid w:val="00A50FCF"/>
    <w:rsid w:val="00A528D1"/>
    <w:rsid w:val="00A610CD"/>
    <w:rsid w:val="00A6718F"/>
    <w:rsid w:val="00A70A57"/>
    <w:rsid w:val="00A71F86"/>
    <w:rsid w:val="00A758AA"/>
    <w:rsid w:val="00A874CE"/>
    <w:rsid w:val="00AA09A2"/>
    <w:rsid w:val="00AA1E0D"/>
    <w:rsid w:val="00AA7996"/>
    <w:rsid w:val="00AB3EB0"/>
    <w:rsid w:val="00AB584D"/>
    <w:rsid w:val="00AC19CB"/>
    <w:rsid w:val="00AD04D1"/>
    <w:rsid w:val="00AE5488"/>
    <w:rsid w:val="00AE6F91"/>
    <w:rsid w:val="00AF5571"/>
    <w:rsid w:val="00B06145"/>
    <w:rsid w:val="00B07341"/>
    <w:rsid w:val="00B30539"/>
    <w:rsid w:val="00B314DB"/>
    <w:rsid w:val="00B361F2"/>
    <w:rsid w:val="00B3718B"/>
    <w:rsid w:val="00B4632A"/>
    <w:rsid w:val="00B52894"/>
    <w:rsid w:val="00B530F1"/>
    <w:rsid w:val="00B83D6A"/>
    <w:rsid w:val="00BA276C"/>
    <w:rsid w:val="00BA2C47"/>
    <w:rsid w:val="00BB306F"/>
    <w:rsid w:val="00BB3AC9"/>
    <w:rsid w:val="00BD4B89"/>
    <w:rsid w:val="00BD5922"/>
    <w:rsid w:val="00BF02CB"/>
    <w:rsid w:val="00BF6FD8"/>
    <w:rsid w:val="00C03680"/>
    <w:rsid w:val="00C054DF"/>
    <w:rsid w:val="00C213A4"/>
    <w:rsid w:val="00C21762"/>
    <w:rsid w:val="00C21FEF"/>
    <w:rsid w:val="00C23CE1"/>
    <w:rsid w:val="00C24543"/>
    <w:rsid w:val="00C256A2"/>
    <w:rsid w:val="00C51515"/>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178C9"/>
    <w:rsid w:val="00D306D1"/>
    <w:rsid w:val="00D30800"/>
    <w:rsid w:val="00D34786"/>
    <w:rsid w:val="00D34AB5"/>
    <w:rsid w:val="00D37BFC"/>
    <w:rsid w:val="00D47A8E"/>
    <w:rsid w:val="00D52D14"/>
    <w:rsid w:val="00D712D3"/>
    <w:rsid w:val="00D71422"/>
    <w:rsid w:val="00D72DC6"/>
    <w:rsid w:val="00D7558D"/>
    <w:rsid w:val="00D81D92"/>
    <w:rsid w:val="00D876F9"/>
    <w:rsid w:val="00DA7B5F"/>
    <w:rsid w:val="00DB2416"/>
    <w:rsid w:val="00DC11E7"/>
    <w:rsid w:val="00DC7023"/>
    <w:rsid w:val="00DC769A"/>
    <w:rsid w:val="00DD3D86"/>
    <w:rsid w:val="00DD4AD2"/>
    <w:rsid w:val="00DE1BC9"/>
    <w:rsid w:val="00DF1EC4"/>
    <w:rsid w:val="00E01311"/>
    <w:rsid w:val="00E0340B"/>
    <w:rsid w:val="00E04A90"/>
    <w:rsid w:val="00E0551F"/>
    <w:rsid w:val="00E10215"/>
    <w:rsid w:val="00E219C7"/>
    <w:rsid w:val="00E30ED0"/>
    <w:rsid w:val="00E4118C"/>
    <w:rsid w:val="00E43157"/>
    <w:rsid w:val="00E461CE"/>
    <w:rsid w:val="00E61606"/>
    <w:rsid w:val="00E720CA"/>
    <w:rsid w:val="00E76615"/>
    <w:rsid w:val="00E84EB5"/>
    <w:rsid w:val="00E85662"/>
    <w:rsid w:val="00E8789F"/>
    <w:rsid w:val="00E97B71"/>
    <w:rsid w:val="00EA0EB2"/>
    <w:rsid w:val="00EA3D34"/>
    <w:rsid w:val="00EB454D"/>
    <w:rsid w:val="00EC3207"/>
    <w:rsid w:val="00ED2745"/>
    <w:rsid w:val="00ED549D"/>
    <w:rsid w:val="00ED76BE"/>
    <w:rsid w:val="00EE00E9"/>
    <w:rsid w:val="00EF28D0"/>
    <w:rsid w:val="00EF619B"/>
    <w:rsid w:val="00F00B55"/>
    <w:rsid w:val="00F02AD1"/>
    <w:rsid w:val="00F253CC"/>
    <w:rsid w:val="00F35E8C"/>
    <w:rsid w:val="00F37106"/>
    <w:rsid w:val="00F519CF"/>
    <w:rsid w:val="00F54914"/>
    <w:rsid w:val="00F56BA5"/>
    <w:rsid w:val="00F60E22"/>
    <w:rsid w:val="00F81395"/>
    <w:rsid w:val="00F81BB8"/>
    <w:rsid w:val="00F917D1"/>
    <w:rsid w:val="00F92FFA"/>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215"/>
    <w:rPr>
      <w:sz w:val="16"/>
      <w:szCs w:val="16"/>
    </w:rPr>
  </w:style>
  <w:style w:type="paragraph" w:styleId="CommentText">
    <w:name w:val="annotation text"/>
    <w:basedOn w:val="Normal"/>
    <w:link w:val="CommentTextChar"/>
    <w:uiPriority w:val="99"/>
    <w:semiHidden/>
    <w:unhideWhenUsed/>
    <w:rsid w:val="00E10215"/>
    <w:rPr>
      <w:sz w:val="20"/>
      <w:szCs w:val="20"/>
    </w:rPr>
  </w:style>
  <w:style w:type="character" w:customStyle="1" w:styleId="CommentTextChar">
    <w:name w:val="Comment Text Char"/>
    <w:basedOn w:val="DefaultParagraphFont"/>
    <w:link w:val="CommentText"/>
    <w:uiPriority w:val="99"/>
    <w:semiHidden/>
    <w:rsid w:val="00E10215"/>
    <w:rPr>
      <w:lang w:val="en-US" w:eastAsia="en-US"/>
    </w:rPr>
  </w:style>
  <w:style w:type="paragraph" w:styleId="CommentSubject">
    <w:name w:val="annotation subject"/>
    <w:basedOn w:val="CommentText"/>
    <w:next w:val="CommentText"/>
    <w:link w:val="CommentSubjectChar"/>
    <w:uiPriority w:val="99"/>
    <w:semiHidden/>
    <w:unhideWhenUsed/>
    <w:rsid w:val="0092644F"/>
    <w:rPr>
      <w:b/>
      <w:bCs/>
    </w:rPr>
  </w:style>
  <w:style w:type="character" w:customStyle="1" w:styleId="CommentSubjectChar">
    <w:name w:val="Comment Subject Char"/>
    <w:basedOn w:val="CommentTextChar"/>
    <w:link w:val="CommentSubject"/>
    <w:uiPriority w:val="99"/>
    <w:semiHidden/>
    <w:rsid w:val="0092644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3E3E"/>
    <w:rsid w:val="00115ACA"/>
    <w:rsid w:val="001D3223"/>
    <w:rsid w:val="00200821"/>
    <w:rsid w:val="0038375E"/>
    <w:rsid w:val="00394049"/>
    <w:rsid w:val="004F2DF8"/>
    <w:rsid w:val="00596616"/>
    <w:rsid w:val="006F1B64"/>
    <w:rsid w:val="008121B7"/>
    <w:rsid w:val="009A261B"/>
    <w:rsid w:val="00A21A4E"/>
    <w:rsid w:val="00A25F7C"/>
    <w:rsid w:val="00AC15A4"/>
    <w:rsid w:val="00B0336C"/>
    <w:rsid w:val="00DC2B64"/>
    <w:rsid w:val="00EE5668"/>
    <w:rsid w:val="00F00D2F"/>
    <w:rsid w:val="00F128DF"/>
    <w:rsid w:val="00F24715"/>
    <w:rsid w:val="00F308D3"/>
    <w:rsid w:val="00F36451"/>
    <w:rsid w:val="00F62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E0D6-D6EA-4498-9CE6-3C1D0D32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2769</Words>
  <Characters>15784</Characters>
  <Application>Microsoft Office Word</Application>
  <DocSecurity>0</DocSecurity>
  <Lines>131</Lines>
  <Paragraphs>37</Paragraphs>
  <ScaleCrop>false</ScaleCrop>
  <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39/18</dc:title>
  <dc:creator/>
  <cp:lastModifiedBy/>
  <cp:revision>1</cp:revision>
  <dcterms:created xsi:type="dcterms:W3CDTF">2020-12-02T19:23:00Z</dcterms:created>
  <dcterms:modified xsi:type="dcterms:W3CDTF">2020-12-02T19:23:00Z</dcterms:modified>
</cp:coreProperties>
</file>