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332F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3958D0" w:rsidRDefault="003958D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3958D0" w:rsidRDefault="003958D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0B386B3" w:rsidR="003958D0" w:rsidRPr="004E2649" w:rsidRDefault="003958D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24664">
                              <w:rPr>
                                <w:rFonts w:asciiTheme="majorHAnsi" w:hAnsiTheme="majorHAnsi" w:cs="Arial"/>
                                <w:b/>
                                <w:bCs/>
                                <w:color w:val="0D0D0D" w:themeColor="text1" w:themeTint="F2"/>
                                <w:sz w:val="36"/>
                                <w:szCs w:val="22"/>
                                <w:lang w:val="es-ES_tradnl"/>
                              </w:rPr>
                              <w:t>227</w:t>
                            </w:r>
                            <w:r>
                              <w:rPr>
                                <w:rFonts w:asciiTheme="majorHAnsi" w:hAnsiTheme="majorHAnsi" w:cs="Arial"/>
                                <w:b/>
                                <w:bCs/>
                                <w:color w:val="0D0D0D" w:themeColor="text1" w:themeTint="F2"/>
                                <w:sz w:val="36"/>
                                <w:szCs w:val="22"/>
                                <w:lang w:val="es-ES_tradnl"/>
                              </w:rPr>
                              <w:t>/19</w:t>
                            </w:r>
                          </w:p>
                          <w:p w14:paraId="09C54AB3" w14:textId="58AFB271" w:rsidR="003958D0" w:rsidRDefault="003958D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1500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70CF6833" w14:textId="6B73CA43" w:rsidR="003958D0" w:rsidRPr="0010736F" w:rsidRDefault="003958D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3958D0" w:rsidRPr="0010736F" w:rsidRDefault="003958D0"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A23E2F0" w:rsidR="003958D0" w:rsidRPr="0010736F" w:rsidRDefault="003958D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CHARLES EDUARDO MACEDO</w:t>
                            </w:r>
                          </w:p>
                          <w:bookmarkEnd w:id="0"/>
                          <w:p w14:paraId="35068D0D" w14:textId="49A8C1D0" w:rsidR="003958D0" w:rsidRPr="0010736F" w:rsidRDefault="003958D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3958D0" w:rsidRPr="00AE5488" w:rsidRDefault="003958D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0B386B3" w:rsidR="003958D0" w:rsidRPr="004E2649" w:rsidRDefault="003958D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24664">
                        <w:rPr>
                          <w:rFonts w:asciiTheme="majorHAnsi" w:hAnsiTheme="majorHAnsi" w:cs="Arial"/>
                          <w:b/>
                          <w:bCs/>
                          <w:color w:val="0D0D0D" w:themeColor="text1" w:themeTint="F2"/>
                          <w:sz w:val="36"/>
                          <w:szCs w:val="22"/>
                          <w:lang w:val="es-ES_tradnl"/>
                        </w:rPr>
                        <w:t>227</w:t>
                      </w:r>
                      <w:r>
                        <w:rPr>
                          <w:rFonts w:asciiTheme="majorHAnsi" w:hAnsiTheme="majorHAnsi" w:cs="Arial"/>
                          <w:b/>
                          <w:bCs/>
                          <w:color w:val="0D0D0D" w:themeColor="text1" w:themeTint="F2"/>
                          <w:sz w:val="36"/>
                          <w:szCs w:val="22"/>
                          <w:lang w:val="es-ES_tradnl"/>
                        </w:rPr>
                        <w:t>/19</w:t>
                      </w:r>
                    </w:p>
                    <w:p w14:paraId="09C54AB3" w14:textId="58AFB271" w:rsidR="003958D0" w:rsidRDefault="003958D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1500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70CF6833" w14:textId="6B73CA43" w:rsidR="003958D0" w:rsidRPr="0010736F" w:rsidRDefault="003958D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3958D0" w:rsidRPr="0010736F" w:rsidRDefault="003958D0"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A23E2F0" w:rsidR="003958D0" w:rsidRPr="0010736F" w:rsidRDefault="003958D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CHARLES EDUARDO MACEDO</w:t>
                      </w:r>
                    </w:p>
                    <w:bookmarkEnd w:id="1"/>
                    <w:p w14:paraId="35068D0D" w14:textId="49A8C1D0" w:rsidR="003958D0" w:rsidRPr="0010736F" w:rsidRDefault="003958D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3958D0" w:rsidRPr="00AE5488" w:rsidRDefault="003958D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284E35D" w:rsidR="003958D0" w:rsidRPr="004E2649" w:rsidRDefault="003958D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28081EA" w:rsidR="003958D0" w:rsidRPr="004E2649" w:rsidRDefault="003958D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24664">
                              <w:rPr>
                                <w:rFonts w:asciiTheme="minorHAnsi" w:hAnsiTheme="minorHAnsi"/>
                                <w:color w:val="FFFFFF" w:themeColor="background1"/>
                                <w:sz w:val="22"/>
                                <w:lang w:val="pt-BR"/>
                              </w:rPr>
                              <w:t>254</w:t>
                            </w:r>
                          </w:p>
                          <w:p w14:paraId="69373ED2" w14:textId="5026D641" w:rsidR="003958D0" w:rsidRPr="00E63ADB" w:rsidRDefault="00724664"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31</w:t>
                            </w:r>
                            <w:r w:rsidR="003958D0" w:rsidRPr="00E63ADB">
                              <w:rPr>
                                <w:rFonts w:asciiTheme="minorHAnsi" w:hAnsiTheme="minorHAnsi"/>
                                <w:color w:val="FFFFFF" w:themeColor="background1"/>
                                <w:sz w:val="22"/>
                                <w:lang w:val="es-AR"/>
                              </w:rPr>
                              <w:t xml:space="preserve"> </w:t>
                            </w:r>
                            <w:r>
                              <w:rPr>
                                <w:rFonts w:asciiTheme="minorHAnsi" w:hAnsiTheme="minorHAnsi"/>
                                <w:color w:val="FFFFFF" w:themeColor="background1"/>
                                <w:sz w:val="22"/>
                                <w:lang w:val="es-AR"/>
                              </w:rPr>
                              <w:t>diciembre</w:t>
                            </w:r>
                            <w:r w:rsidR="003958D0" w:rsidRPr="00E63ADB">
                              <w:rPr>
                                <w:rFonts w:asciiTheme="minorHAnsi" w:hAnsiTheme="minorHAnsi"/>
                                <w:color w:val="FFFFFF" w:themeColor="background1"/>
                                <w:sz w:val="22"/>
                                <w:lang w:val="es-AR"/>
                              </w:rPr>
                              <w:t xml:space="preserve">  2019</w:t>
                            </w:r>
                          </w:p>
                          <w:p w14:paraId="0771DB5B" w14:textId="77777777" w:rsidR="003958D0" w:rsidRPr="00E63ADB" w:rsidRDefault="003958D0" w:rsidP="007A5817">
                            <w:pPr>
                              <w:spacing w:line="276" w:lineRule="auto"/>
                              <w:jc w:val="right"/>
                              <w:rPr>
                                <w:rFonts w:asciiTheme="minorHAnsi" w:hAnsiTheme="minorHAnsi"/>
                                <w:color w:val="FFFFFF" w:themeColor="background1"/>
                                <w:sz w:val="22"/>
                                <w:lang w:val="es-AR"/>
                              </w:rPr>
                            </w:pPr>
                            <w:r w:rsidRPr="00E63ADB">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284E35D" w:rsidR="003958D0" w:rsidRPr="004E2649" w:rsidRDefault="003958D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28081EA" w:rsidR="003958D0" w:rsidRPr="004E2649" w:rsidRDefault="003958D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24664">
                        <w:rPr>
                          <w:rFonts w:asciiTheme="minorHAnsi" w:hAnsiTheme="minorHAnsi"/>
                          <w:color w:val="FFFFFF" w:themeColor="background1"/>
                          <w:sz w:val="22"/>
                          <w:lang w:val="pt-BR"/>
                        </w:rPr>
                        <w:t>254</w:t>
                      </w:r>
                    </w:p>
                    <w:p w14:paraId="69373ED2" w14:textId="5026D641" w:rsidR="003958D0" w:rsidRPr="00E63ADB" w:rsidRDefault="00724664"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31</w:t>
                      </w:r>
                      <w:r w:rsidR="003958D0" w:rsidRPr="00E63ADB">
                        <w:rPr>
                          <w:rFonts w:asciiTheme="minorHAnsi" w:hAnsiTheme="minorHAnsi"/>
                          <w:color w:val="FFFFFF" w:themeColor="background1"/>
                          <w:sz w:val="22"/>
                          <w:lang w:val="es-AR"/>
                        </w:rPr>
                        <w:t xml:space="preserve"> </w:t>
                      </w:r>
                      <w:r>
                        <w:rPr>
                          <w:rFonts w:asciiTheme="minorHAnsi" w:hAnsiTheme="minorHAnsi"/>
                          <w:color w:val="FFFFFF" w:themeColor="background1"/>
                          <w:sz w:val="22"/>
                          <w:lang w:val="es-AR"/>
                        </w:rPr>
                        <w:t>diciembre</w:t>
                      </w:r>
                      <w:r w:rsidR="003958D0" w:rsidRPr="00E63ADB">
                        <w:rPr>
                          <w:rFonts w:asciiTheme="minorHAnsi" w:hAnsiTheme="minorHAnsi"/>
                          <w:color w:val="FFFFFF" w:themeColor="background1"/>
                          <w:sz w:val="22"/>
                          <w:lang w:val="es-AR"/>
                        </w:rPr>
                        <w:t xml:space="preserve">  2019</w:t>
                      </w:r>
                    </w:p>
                    <w:p w14:paraId="0771DB5B" w14:textId="77777777" w:rsidR="003958D0" w:rsidRPr="00E63ADB" w:rsidRDefault="003958D0" w:rsidP="007A5817">
                      <w:pPr>
                        <w:spacing w:line="276" w:lineRule="auto"/>
                        <w:jc w:val="right"/>
                        <w:rPr>
                          <w:rFonts w:asciiTheme="minorHAnsi" w:hAnsiTheme="minorHAnsi"/>
                          <w:color w:val="FFFFFF" w:themeColor="background1"/>
                          <w:sz w:val="22"/>
                          <w:lang w:val="es-AR"/>
                        </w:rPr>
                      </w:pPr>
                      <w:r w:rsidRPr="00E63ADB">
                        <w:rPr>
                          <w:rFonts w:asciiTheme="minorHAnsi" w:hAnsiTheme="minorHAnsi"/>
                          <w:color w:val="FFFFFF" w:themeColor="background1"/>
                          <w:sz w:val="22"/>
                          <w:lang w:val="es-AR"/>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2C200AA" w:rsidR="003958D0" w:rsidRPr="00890650" w:rsidRDefault="003958D0" w:rsidP="00524058">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24664">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724664">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724664">
                              <w:rPr>
                                <w:rFonts w:asciiTheme="majorHAnsi" w:hAnsiTheme="majorHAnsi"/>
                                <w:color w:val="0D0D0D" w:themeColor="text1" w:themeTint="F2"/>
                                <w:sz w:val="18"/>
                                <w:szCs w:val="22"/>
                                <w:lang w:val="es-ES"/>
                              </w:rPr>
                              <w:t>.</w:t>
                            </w:r>
                          </w:p>
                          <w:p w14:paraId="4BDF3581" w14:textId="77777777" w:rsidR="003958D0" w:rsidRPr="007A5817" w:rsidRDefault="003958D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958D0" w:rsidRPr="00167A34" w:rsidRDefault="003958D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2C200AA" w:rsidR="003958D0" w:rsidRPr="00890650" w:rsidRDefault="003958D0" w:rsidP="00524058">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24664">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724664">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724664">
                        <w:rPr>
                          <w:rFonts w:asciiTheme="majorHAnsi" w:hAnsiTheme="majorHAnsi"/>
                          <w:color w:val="0D0D0D" w:themeColor="text1" w:themeTint="F2"/>
                          <w:sz w:val="18"/>
                          <w:szCs w:val="22"/>
                          <w:lang w:val="es-ES"/>
                        </w:rPr>
                        <w:t>.</w:t>
                      </w:r>
                    </w:p>
                    <w:p w14:paraId="4BDF3581" w14:textId="77777777" w:rsidR="003958D0" w:rsidRPr="007A5817" w:rsidRDefault="003958D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958D0" w:rsidRPr="00167A34" w:rsidRDefault="003958D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DD9BAE1" w:rsidR="003958D0" w:rsidRPr="007B05C4" w:rsidRDefault="003958D0" w:rsidP="00524058">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24664">
                              <w:rPr>
                                <w:rFonts w:asciiTheme="majorHAnsi" w:hAnsiTheme="majorHAnsi"/>
                                <w:color w:val="595959" w:themeColor="text1" w:themeTint="A6"/>
                                <w:sz w:val="18"/>
                                <w:szCs w:val="18"/>
                                <w:lang w:val="es-ES_tradnl"/>
                              </w:rPr>
                              <w:t>227</w:t>
                            </w:r>
                            <w:r w:rsidR="00524058">
                              <w:rPr>
                                <w:rFonts w:asciiTheme="majorHAnsi" w:hAnsiTheme="majorHAnsi"/>
                                <w:color w:val="595959" w:themeColor="text1" w:themeTint="A6"/>
                                <w:sz w:val="18"/>
                                <w:szCs w:val="18"/>
                                <w:lang w:val="es-ES_tradnl"/>
                              </w:rPr>
                              <w:t>/19</w:t>
                            </w:r>
                            <w:r w:rsidRPr="00890650">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Petici</w:t>
                            </w:r>
                            <w:r w:rsidR="00524058">
                              <w:rPr>
                                <w:rFonts w:asciiTheme="majorHAnsi" w:hAnsiTheme="majorHAnsi"/>
                                <w:color w:val="595959" w:themeColor="text1" w:themeTint="A6"/>
                                <w:sz w:val="18"/>
                                <w:szCs w:val="18"/>
                                <w:lang w:val="es-ES"/>
                              </w:rPr>
                              <w:t>ón</w:t>
                            </w:r>
                            <w:proofErr w:type="spellEnd"/>
                            <w:r w:rsidR="00524058">
                              <w:rPr>
                                <w:rFonts w:asciiTheme="majorHAnsi" w:hAnsiTheme="majorHAnsi"/>
                                <w:color w:val="595959" w:themeColor="text1" w:themeTint="A6"/>
                                <w:sz w:val="18"/>
                                <w:szCs w:val="18"/>
                                <w:lang w:val="es-ES"/>
                              </w:rPr>
                              <w:t xml:space="preserve"> 1500-12. </w:t>
                            </w:r>
                            <w:r w:rsidR="00524058">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w:t>
                            </w:r>
                            <w:r w:rsidR="00524058">
                              <w:rPr>
                                <w:rFonts w:asciiTheme="majorHAnsi" w:hAnsiTheme="majorHAnsi"/>
                                <w:color w:val="595959" w:themeColor="text1" w:themeTint="A6"/>
                                <w:sz w:val="18"/>
                                <w:szCs w:val="18"/>
                                <w:lang w:val="es-ES_tradnl"/>
                              </w:rPr>
                              <w:t xml:space="preserve"> Charles Eduardo Macedo. Brasil. </w:t>
                            </w:r>
                            <w:r w:rsidR="00724664">
                              <w:rPr>
                                <w:rFonts w:asciiTheme="majorHAnsi" w:hAnsiTheme="majorHAnsi"/>
                                <w:color w:val="595959" w:themeColor="text1" w:themeTint="A6"/>
                                <w:sz w:val="18"/>
                                <w:szCs w:val="18"/>
                                <w:lang w:val="es-ES_tradnl"/>
                              </w:rPr>
                              <w:t xml:space="preserve">31 de diciembre </w:t>
                            </w:r>
                            <w:r w:rsidR="00524058">
                              <w:rPr>
                                <w:rFonts w:asciiTheme="majorHAnsi" w:hAnsiTheme="majorHAnsi"/>
                                <w:color w:val="595959" w:themeColor="text1" w:themeTint="A6"/>
                                <w:sz w:val="18"/>
                                <w:szCs w:val="18"/>
                                <w:lang w:val="es-ES_tradnl"/>
                              </w:rPr>
                              <w:t xml:space="preserve">de 2019. </w:t>
                            </w:r>
                            <w:r w:rsidRPr="00890650">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DD9BAE1" w:rsidR="003958D0" w:rsidRPr="007B05C4" w:rsidRDefault="003958D0" w:rsidP="00524058">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24664">
                        <w:rPr>
                          <w:rFonts w:asciiTheme="majorHAnsi" w:hAnsiTheme="majorHAnsi"/>
                          <w:color w:val="595959" w:themeColor="text1" w:themeTint="A6"/>
                          <w:sz w:val="18"/>
                          <w:szCs w:val="18"/>
                          <w:lang w:val="es-ES_tradnl"/>
                        </w:rPr>
                        <w:t>227</w:t>
                      </w:r>
                      <w:r w:rsidR="00524058">
                        <w:rPr>
                          <w:rFonts w:asciiTheme="majorHAnsi" w:hAnsiTheme="majorHAnsi"/>
                          <w:color w:val="595959" w:themeColor="text1" w:themeTint="A6"/>
                          <w:sz w:val="18"/>
                          <w:szCs w:val="18"/>
                          <w:lang w:val="es-ES_tradnl"/>
                        </w:rPr>
                        <w:t>/19</w:t>
                      </w:r>
                      <w:r w:rsidRPr="00890650">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Petici</w:t>
                      </w:r>
                      <w:r w:rsidR="00524058">
                        <w:rPr>
                          <w:rFonts w:asciiTheme="majorHAnsi" w:hAnsiTheme="majorHAnsi"/>
                          <w:color w:val="595959" w:themeColor="text1" w:themeTint="A6"/>
                          <w:sz w:val="18"/>
                          <w:szCs w:val="18"/>
                          <w:lang w:val="es-ES"/>
                        </w:rPr>
                        <w:t>ón</w:t>
                      </w:r>
                      <w:proofErr w:type="spellEnd"/>
                      <w:r w:rsidR="00524058">
                        <w:rPr>
                          <w:rFonts w:asciiTheme="majorHAnsi" w:hAnsiTheme="majorHAnsi"/>
                          <w:color w:val="595959" w:themeColor="text1" w:themeTint="A6"/>
                          <w:sz w:val="18"/>
                          <w:szCs w:val="18"/>
                          <w:lang w:val="es-ES"/>
                        </w:rPr>
                        <w:t xml:space="preserve"> 1500-12. </w:t>
                      </w:r>
                      <w:r w:rsidR="00524058">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w:t>
                      </w:r>
                      <w:r w:rsidR="00524058">
                        <w:rPr>
                          <w:rFonts w:asciiTheme="majorHAnsi" w:hAnsiTheme="majorHAnsi"/>
                          <w:color w:val="595959" w:themeColor="text1" w:themeTint="A6"/>
                          <w:sz w:val="18"/>
                          <w:szCs w:val="18"/>
                          <w:lang w:val="es-ES_tradnl"/>
                        </w:rPr>
                        <w:t xml:space="preserve"> Charles Eduardo Macedo. Brasil. </w:t>
                      </w:r>
                      <w:r w:rsidR="00724664">
                        <w:rPr>
                          <w:rFonts w:asciiTheme="majorHAnsi" w:hAnsiTheme="majorHAnsi"/>
                          <w:color w:val="595959" w:themeColor="text1" w:themeTint="A6"/>
                          <w:sz w:val="18"/>
                          <w:szCs w:val="18"/>
                          <w:lang w:val="es-ES_tradnl"/>
                        </w:rPr>
                        <w:t xml:space="preserve">31 de diciembre </w:t>
                      </w:r>
                      <w:r w:rsidR="00524058">
                        <w:rPr>
                          <w:rFonts w:asciiTheme="majorHAnsi" w:hAnsiTheme="majorHAnsi"/>
                          <w:color w:val="595959" w:themeColor="text1" w:themeTint="A6"/>
                          <w:sz w:val="18"/>
                          <w:szCs w:val="18"/>
                          <w:lang w:val="es-ES_tradnl"/>
                        </w:rPr>
                        <w:t xml:space="preserve">de 2019. </w:t>
                      </w:r>
                      <w:r w:rsidRPr="00890650">
                        <w:rPr>
                          <w:rFonts w:asciiTheme="majorHAnsi" w:hAnsiTheme="majorHAnsi"/>
                          <w:color w:val="595959" w:themeColor="text1" w:themeTint="A6"/>
                          <w:sz w:val="18"/>
                          <w:szCs w:val="18"/>
                          <w:lang w:val="es-ES_tradnl"/>
                        </w:rPr>
                        <w:t xml:space="preserve"> </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3958D0" w:rsidRPr="00D72DC6" w:rsidRDefault="003958D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3958D0" w:rsidRPr="00D72DC6" w:rsidRDefault="003958D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3958D0" w:rsidRPr="004B7EB6" w:rsidRDefault="003958D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3958D0" w:rsidRPr="004B7EB6" w:rsidRDefault="003958D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9E769F">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24664"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9E769F" w:rsidRDefault="003239B8" w:rsidP="009E769F">
            <w:pPr>
              <w:pStyle w:val="NoSpacing"/>
              <w:jc w:val="center"/>
              <w:rPr>
                <w:rFonts w:asciiTheme="majorHAnsi" w:hAnsiTheme="majorHAnsi"/>
                <w:color w:val="FFFFFF" w:themeColor="background1"/>
                <w:sz w:val="18"/>
                <w:szCs w:val="18"/>
              </w:rPr>
            </w:pPr>
            <w:r w:rsidRPr="009E769F">
              <w:rPr>
                <w:rFonts w:asciiTheme="majorHAnsi" w:hAnsiTheme="majorHAnsi"/>
                <w:color w:val="FFFFFF" w:themeColor="background1"/>
                <w:sz w:val="18"/>
                <w:szCs w:val="18"/>
              </w:rPr>
              <w:t>Parte peticionaria:</w:t>
            </w:r>
          </w:p>
        </w:tc>
        <w:tc>
          <w:tcPr>
            <w:tcW w:w="5760" w:type="dxa"/>
            <w:vAlign w:val="center"/>
          </w:tcPr>
          <w:p w14:paraId="3C5315D8" w14:textId="470F200F" w:rsidR="003239B8" w:rsidRPr="00FF5701" w:rsidRDefault="00B83428" w:rsidP="009E769F">
            <w:pPr>
              <w:jc w:val="both"/>
              <w:rPr>
                <w:rFonts w:ascii="Cambria" w:hAnsi="Cambria"/>
                <w:bCs/>
                <w:sz w:val="19"/>
                <w:szCs w:val="19"/>
                <w:lang w:val="pt-BR"/>
              </w:rPr>
            </w:pPr>
            <w:r w:rsidRPr="00FF5701">
              <w:rPr>
                <w:rFonts w:ascii="Cambria" w:hAnsi="Cambria"/>
                <w:bCs/>
                <w:sz w:val="19"/>
                <w:szCs w:val="19"/>
                <w:lang w:val="pt-BR"/>
              </w:rPr>
              <w:t>Nú</w:t>
            </w:r>
            <w:r w:rsidR="000310D6" w:rsidRPr="00FF5701">
              <w:rPr>
                <w:rFonts w:ascii="Cambria" w:hAnsi="Cambria"/>
                <w:bCs/>
                <w:sz w:val="19"/>
                <w:szCs w:val="19"/>
                <w:lang w:val="pt-BR"/>
              </w:rPr>
              <w:t xml:space="preserve">cleo Especializado de Cidadania e Direitos Humanos da Defensoria Pública do </w:t>
            </w:r>
            <w:r w:rsidR="000310D6" w:rsidRPr="00FF5701">
              <w:rPr>
                <w:rFonts w:asciiTheme="majorHAnsi" w:hAnsiTheme="majorHAnsi"/>
                <w:bCs/>
                <w:sz w:val="19"/>
                <w:szCs w:val="19"/>
                <w:lang w:val="pt-BR"/>
              </w:rPr>
              <w:t xml:space="preserve">Estado de </w:t>
            </w:r>
            <w:r w:rsidR="000310D6" w:rsidRPr="00FF5701">
              <w:rPr>
                <w:rStyle w:val="Emphasis"/>
                <w:rFonts w:asciiTheme="majorHAnsi" w:hAnsiTheme="majorHAnsi" w:cs="Arial"/>
                <w:bCs/>
                <w:i w:val="0"/>
                <w:iCs w:val="0"/>
                <w:sz w:val="19"/>
                <w:szCs w:val="19"/>
                <w:shd w:val="clear" w:color="auto" w:fill="FFFFFF"/>
                <w:lang w:val="pt-BR"/>
              </w:rPr>
              <w:t>São Paulo</w:t>
            </w:r>
            <w:r w:rsidR="000310D6" w:rsidRPr="00FF5701">
              <w:rPr>
                <w:rFonts w:ascii="Cambria" w:hAnsi="Cambria"/>
                <w:bCs/>
                <w:sz w:val="19"/>
                <w:szCs w:val="19"/>
                <w:lang w:val="pt-BR"/>
              </w:rPr>
              <w:t xml:space="preserve"> </w:t>
            </w:r>
            <w:r w:rsidR="00FE352D" w:rsidRPr="00FF5701">
              <w:rPr>
                <w:rFonts w:ascii="Cambria" w:hAnsi="Cambria"/>
                <w:bCs/>
                <w:sz w:val="19"/>
                <w:szCs w:val="19"/>
                <w:lang w:val="pt-BR"/>
              </w:rPr>
              <w:t>(NECDH)</w:t>
            </w:r>
          </w:p>
        </w:tc>
      </w:tr>
      <w:tr w:rsidR="003239B8" w:rsidRPr="00E63ADB"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9E769F" w:rsidRDefault="00730606" w:rsidP="009E769F">
            <w:pPr>
              <w:pStyle w:val="NoSpacing"/>
              <w:jc w:val="center"/>
              <w:rPr>
                <w:rFonts w:asciiTheme="majorHAnsi" w:hAnsiTheme="majorHAnsi"/>
                <w:color w:val="FFFFFF" w:themeColor="background1"/>
                <w:sz w:val="18"/>
                <w:szCs w:val="18"/>
                <w:lang w:val="es-AR"/>
              </w:rPr>
            </w:pPr>
            <w:sdt>
              <w:sdtPr>
                <w:rPr>
                  <w:rFonts w:asciiTheme="majorHAnsi" w:hAnsiTheme="majorHAnsi"/>
                  <w:color w:val="FFFFFF" w:themeColor="background1"/>
                  <w:sz w:val="18"/>
                  <w:szCs w:val="18"/>
                  <w:lang w:val="es-AR"/>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E769F">
                  <w:rPr>
                    <w:rFonts w:asciiTheme="majorHAnsi" w:hAnsiTheme="majorHAnsi"/>
                    <w:color w:val="FFFFFF" w:themeColor="background1"/>
                    <w:sz w:val="18"/>
                    <w:szCs w:val="18"/>
                    <w:lang w:val="es-AR"/>
                  </w:rPr>
                  <w:t>Presunta víctima</w:t>
                </w:r>
              </w:sdtContent>
            </w:sdt>
            <w:r w:rsidR="003239B8" w:rsidRPr="009E769F">
              <w:rPr>
                <w:rFonts w:asciiTheme="majorHAnsi" w:hAnsiTheme="majorHAnsi"/>
                <w:color w:val="FFFFFF" w:themeColor="background1"/>
                <w:sz w:val="18"/>
                <w:szCs w:val="18"/>
                <w:lang w:val="es-AR"/>
              </w:rPr>
              <w:t>:</w:t>
            </w:r>
          </w:p>
        </w:tc>
        <w:tc>
          <w:tcPr>
            <w:tcW w:w="5760" w:type="dxa"/>
            <w:vAlign w:val="center"/>
          </w:tcPr>
          <w:p w14:paraId="4AEBF59E" w14:textId="6A223EAB" w:rsidR="003239B8" w:rsidRPr="00FF5701" w:rsidRDefault="00061DBE" w:rsidP="009E769F">
            <w:pPr>
              <w:jc w:val="both"/>
              <w:rPr>
                <w:rFonts w:ascii="Cambria" w:hAnsi="Cambria"/>
                <w:bCs/>
                <w:sz w:val="19"/>
                <w:szCs w:val="19"/>
                <w:lang w:val="es-ES_tradnl"/>
              </w:rPr>
            </w:pPr>
            <w:r w:rsidRPr="00FF5701">
              <w:rPr>
                <w:rFonts w:ascii="Cambria" w:hAnsi="Cambria"/>
                <w:bCs/>
                <w:sz w:val="19"/>
                <w:szCs w:val="19"/>
                <w:lang w:val="es-ES_tradnl"/>
              </w:rPr>
              <w:t>Charles Eduardo Macedo</w:t>
            </w:r>
          </w:p>
        </w:tc>
      </w:tr>
      <w:tr w:rsidR="003239B8" w:rsidRPr="00E63ADB"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9E769F" w:rsidRDefault="003239B8" w:rsidP="009E769F">
            <w:pPr>
              <w:pStyle w:val="NoSpacing"/>
              <w:jc w:val="center"/>
              <w:rPr>
                <w:rFonts w:asciiTheme="majorHAnsi" w:hAnsiTheme="majorHAnsi"/>
                <w:color w:val="FFFFFF" w:themeColor="background1"/>
                <w:sz w:val="18"/>
                <w:szCs w:val="18"/>
                <w:lang w:val="es-AR"/>
              </w:rPr>
            </w:pPr>
            <w:r w:rsidRPr="009E769F">
              <w:rPr>
                <w:rFonts w:asciiTheme="majorHAnsi" w:hAnsiTheme="majorHAnsi"/>
                <w:color w:val="FFFFFF" w:themeColor="background1"/>
                <w:sz w:val="18"/>
                <w:szCs w:val="18"/>
                <w:lang w:val="es-AR"/>
              </w:rPr>
              <w:t>Estado denunciado:</w:t>
            </w:r>
          </w:p>
        </w:tc>
        <w:tc>
          <w:tcPr>
            <w:tcW w:w="5760" w:type="dxa"/>
            <w:vAlign w:val="center"/>
          </w:tcPr>
          <w:p w14:paraId="274C8A50" w14:textId="42931806" w:rsidR="003239B8" w:rsidRPr="00E84CCA" w:rsidRDefault="00FD3CDB" w:rsidP="009E769F">
            <w:pPr>
              <w:jc w:val="both"/>
              <w:rPr>
                <w:rFonts w:ascii="Cambria" w:hAnsi="Cambria"/>
                <w:bCs/>
                <w:sz w:val="19"/>
                <w:szCs w:val="19"/>
                <w:lang w:val="es-AR"/>
              </w:rPr>
            </w:pPr>
            <w:r w:rsidRPr="00E84CCA">
              <w:rPr>
                <w:rFonts w:ascii="Cambria" w:hAnsi="Cambria"/>
                <w:bCs/>
                <w:sz w:val="19"/>
                <w:szCs w:val="19"/>
                <w:lang w:val="es-AR"/>
              </w:rPr>
              <w:t>Brasil</w:t>
            </w:r>
            <w:r w:rsidR="004A6A54" w:rsidRPr="00E84CCA">
              <w:rPr>
                <w:rStyle w:val="FootnoteReference"/>
                <w:rFonts w:ascii="Cambria" w:hAnsi="Cambria"/>
                <w:bCs/>
                <w:sz w:val="19"/>
                <w:szCs w:val="19"/>
              </w:rPr>
              <w:footnoteReference w:id="2"/>
            </w:r>
          </w:p>
        </w:tc>
      </w:tr>
      <w:tr w:rsidR="00223A29" w:rsidRPr="00724664" w14:paraId="632511BC" w14:textId="77777777" w:rsidTr="00E84CCA">
        <w:trPr>
          <w:trHeight w:val="111"/>
        </w:trPr>
        <w:tc>
          <w:tcPr>
            <w:tcW w:w="3600" w:type="dxa"/>
            <w:tcBorders>
              <w:top w:val="single" w:sz="6" w:space="0" w:color="auto"/>
              <w:bottom w:val="single" w:sz="6" w:space="0" w:color="auto"/>
            </w:tcBorders>
            <w:shd w:val="clear" w:color="auto" w:fill="386294"/>
            <w:vAlign w:val="center"/>
          </w:tcPr>
          <w:p w14:paraId="727E2F6B" w14:textId="60AEE329" w:rsidR="00223A29" w:rsidRPr="009E769F" w:rsidRDefault="001B3A00" w:rsidP="009E769F">
            <w:pPr>
              <w:pStyle w:val="NoSpacing"/>
              <w:jc w:val="center"/>
              <w:rPr>
                <w:rFonts w:asciiTheme="majorHAnsi" w:hAnsiTheme="majorHAnsi"/>
                <w:color w:val="FFFFFF" w:themeColor="background1"/>
                <w:sz w:val="18"/>
                <w:szCs w:val="18"/>
                <w:lang w:val="es-AR"/>
              </w:rPr>
            </w:pPr>
            <w:r w:rsidRPr="009E769F">
              <w:rPr>
                <w:rFonts w:asciiTheme="majorHAnsi" w:hAnsiTheme="majorHAnsi"/>
                <w:color w:val="FFFFFF" w:themeColor="background1"/>
                <w:sz w:val="18"/>
                <w:szCs w:val="18"/>
                <w:lang w:val="es-AR"/>
              </w:rPr>
              <w:t xml:space="preserve">Derechos </w:t>
            </w:r>
            <w:r w:rsidR="00E4118C" w:rsidRPr="009E769F">
              <w:rPr>
                <w:rFonts w:asciiTheme="majorHAnsi" w:hAnsiTheme="majorHAnsi"/>
                <w:color w:val="FFFFFF" w:themeColor="background1"/>
                <w:sz w:val="18"/>
                <w:szCs w:val="18"/>
                <w:lang w:val="es-AR"/>
              </w:rPr>
              <w:t>invocados</w:t>
            </w:r>
            <w:r w:rsidRPr="009E769F">
              <w:rPr>
                <w:rFonts w:asciiTheme="majorHAnsi" w:hAnsiTheme="majorHAnsi"/>
                <w:color w:val="FFFFFF" w:themeColor="background1"/>
                <w:sz w:val="18"/>
                <w:szCs w:val="18"/>
                <w:lang w:val="es-AR"/>
              </w:rPr>
              <w:t>:</w:t>
            </w:r>
          </w:p>
        </w:tc>
        <w:tc>
          <w:tcPr>
            <w:tcW w:w="5760" w:type="dxa"/>
            <w:vAlign w:val="center"/>
          </w:tcPr>
          <w:p w14:paraId="6DEE1EEB" w14:textId="4CA2F123" w:rsidR="00223A29" w:rsidRPr="00E84CCA" w:rsidRDefault="005C2949" w:rsidP="009E769F">
            <w:pPr>
              <w:jc w:val="both"/>
              <w:rPr>
                <w:rFonts w:ascii="Cambria" w:hAnsi="Cambria"/>
                <w:bCs/>
                <w:sz w:val="19"/>
                <w:szCs w:val="19"/>
                <w:lang w:val="es-CO"/>
              </w:rPr>
            </w:pPr>
            <w:r w:rsidRPr="00E84CCA">
              <w:rPr>
                <w:rFonts w:ascii="Cambria" w:hAnsi="Cambria"/>
                <w:bCs/>
                <w:sz w:val="19"/>
                <w:szCs w:val="19"/>
                <w:lang w:val="es-CO"/>
              </w:rPr>
              <w:t>Artículos 7.2</w:t>
            </w:r>
            <w:r w:rsidR="00061DBE" w:rsidRPr="00E84CCA">
              <w:rPr>
                <w:rFonts w:ascii="Cambria" w:hAnsi="Cambria"/>
                <w:bCs/>
                <w:sz w:val="19"/>
                <w:szCs w:val="19"/>
                <w:lang w:val="es-CO"/>
              </w:rPr>
              <w:t xml:space="preserve"> (Libertad Personal)</w:t>
            </w:r>
            <w:r w:rsidR="00317A05" w:rsidRPr="00E84CCA">
              <w:rPr>
                <w:rFonts w:ascii="Cambria" w:hAnsi="Cambria"/>
                <w:bCs/>
                <w:sz w:val="19"/>
                <w:szCs w:val="19"/>
                <w:lang w:val="es-CO"/>
              </w:rPr>
              <w:t>, 10 (indemnización)</w:t>
            </w:r>
            <w:r w:rsidR="000F2841" w:rsidRPr="00E84CCA">
              <w:rPr>
                <w:rFonts w:ascii="Cambria" w:hAnsi="Cambria"/>
                <w:bCs/>
                <w:sz w:val="19"/>
                <w:szCs w:val="19"/>
                <w:lang w:val="es-CO"/>
              </w:rPr>
              <w:t xml:space="preserve">, </w:t>
            </w:r>
            <w:r w:rsidR="00061DBE" w:rsidRPr="00E84CCA">
              <w:rPr>
                <w:rFonts w:ascii="Cambria" w:hAnsi="Cambria"/>
                <w:bCs/>
                <w:sz w:val="19"/>
                <w:szCs w:val="19"/>
                <w:lang w:val="es-CO"/>
              </w:rPr>
              <w:t xml:space="preserve">13 (Libertad de Expresión) </w:t>
            </w:r>
            <w:r w:rsidR="000F2841" w:rsidRPr="00E84CCA">
              <w:rPr>
                <w:rFonts w:ascii="Cambria" w:hAnsi="Cambria"/>
                <w:bCs/>
                <w:sz w:val="19"/>
                <w:szCs w:val="19"/>
                <w:lang w:val="es-CO"/>
              </w:rPr>
              <w:t xml:space="preserve">y 25.1 (protección judicial) </w:t>
            </w:r>
            <w:r w:rsidR="00061DBE" w:rsidRPr="00E84CCA">
              <w:rPr>
                <w:rFonts w:ascii="Cambria" w:hAnsi="Cambria"/>
                <w:bCs/>
                <w:sz w:val="19"/>
                <w:szCs w:val="19"/>
                <w:lang w:val="es-CO"/>
              </w:rPr>
              <w:t>de la Convención Americana sobre Derechos Humanos</w:t>
            </w:r>
            <w:r w:rsidR="00B96118" w:rsidRPr="00E84CCA">
              <w:rPr>
                <w:rFonts w:ascii="Cambria" w:hAnsi="Cambria"/>
                <w:bCs/>
                <w:sz w:val="19"/>
                <w:szCs w:val="19"/>
                <w:lang w:val="es-CO"/>
              </w:rPr>
              <w:t>, en relación con su artículos 1.1 (obligación de respetar los derechos) y 2 (deber de adoptar disposiciones de derecho interno)</w:t>
            </w:r>
            <w:r w:rsidR="0012608B" w:rsidRPr="00E84CCA">
              <w:rPr>
                <w:rStyle w:val="FootnoteReference"/>
                <w:rFonts w:ascii="Cambria" w:hAnsi="Cambria"/>
                <w:bCs/>
                <w:sz w:val="19"/>
                <w:szCs w:val="19"/>
                <w:lang w:val="es-CO"/>
              </w:rPr>
              <w:footnoteReference w:id="3"/>
            </w:r>
          </w:p>
        </w:tc>
      </w:tr>
    </w:tbl>
    <w:p w14:paraId="20263696" w14:textId="77777777" w:rsidR="003239B8" w:rsidRPr="00180EBD" w:rsidRDefault="003239B8" w:rsidP="009E769F">
      <w:pPr>
        <w:spacing w:before="240" w:after="240"/>
        <w:ind w:firstLine="720"/>
        <w:jc w:val="both"/>
        <w:rPr>
          <w:rFonts w:asciiTheme="majorHAnsi" w:hAnsiTheme="majorHAnsi"/>
          <w:b/>
          <w:bCs/>
          <w:sz w:val="20"/>
          <w:szCs w:val="20"/>
          <w:lang w:val="es-CO"/>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63ADB"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9E769F" w:rsidRDefault="004A6A54" w:rsidP="009E769F">
            <w:pPr>
              <w:pStyle w:val="NoSpacing"/>
              <w:jc w:val="center"/>
              <w:rPr>
                <w:rFonts w:asciiTheme="majorHAnsi" w:hAnsiTheme="majorHAnsi"/>
                <w:color w:val="FFFFFF" w:themeColor="background1"/>
                <w:sz w:val="18"/>
                <w:szCs w:val="18"/>
                <w:lang w:val="es-ES"/>
              </w:rPr>
            </w:pPr>
            <w:r w:rsidRPr="009E769F">
              <w:rPr>
                <w:rFonts w:asciiTheme="majorHAnsi" w:hAnsiTheme="majorHAnsi"/>
                <w:color w:val="FFFFFF" w:themeColor="background1"/>
                <w:sz w:val="18"/>
                <w:szCs w:val="18"/>
                <w:lang w:val="es-ES"/>
              </w:rPr>
              <w:t>P</w:t>
            </w:r>
            <w:r w:rsidR="004C2312" w:rsidRPr="009E769F">
              <w:rPr>
                <w:rFonts w:asciiTheme="majorHAnsi" w:hAnsiTheme="majorHAnsi"/>
                <w:color w:val="FFFFFF" w:themeColor="background1"/>
                <w:sz w:val="18"/>
                <w:szCs w:val="18"/>
                <w:lang w:val="es-ES"/>
              </w:rPr>
              <w:t>resentación de la petición:</w:t>
            </w:r>
          </w:p>
        </w:tc>
        <w:tc>
          <w:tcPr>
            <w:tcW w:w="5760" w:type="dxa"/>
            <w:vAlign w:val="center"/>
          </w:tcPr>
          <w:p w14:paraId="6E579153" w14:textId="4EB8DA81" w:rsidR="004C2312" w:rsidRPr="00FF5701" w:rsidRDefault="00061DBE" w:rsidP="009E769F">
            <w:pPr>
              <w:jc w:val="both"/>
              <w:rPr>
                <w:rFonts w:ascii="Cambria" w:hAnsi="Cambria"/>
                <w:bCs/>
                <w:sz w:val="19"/>
                <w:szCs w:val="19"/>
                <w:lang w:val="es-ES"/>
              </w:rPr>
            </w:pPr>
            <w:r w:rsidRPr="00FF5701">
              <w:rPr>
                <w:rFonts w:ascii="Cambria" w:hAnsi="Cambria"/>
                <w:bCs/>
                <w:sz w:val="19"/>
                <w:szCs w:val="19"/>
                <w:lang w:val="es-ES"/>
              </w:rPr>
              <w:t>16 de agosto de 2012</w:t>
            </w:r>
          </w:p>
        </w:tc>
      </w:tr>
      <w:tr w:rsidR="004C2312" w:rsidRPr="00E63AD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9E769F" w:rsidRDefault="004A6A54" w:rsidP="009E769F">
            <w:pPr>
              <w:pStyle w:val="NoSpacing"/>
              <w:jc w:val="center"/>
              <w:rPr>
                <w:rFonts w:asciiTheme="majorHAnsi" w:hAnsiTheme="majorHAnsi"/>
                <w:color w:val="FFFFFF" w:themeColor="background1"/>
                <w:sz w:val="18"/>
                <w:szCs w:val="18"/>
                <w:lang w:val="es-ES"/>
              </w:rPr>
            </w:pPr>
            <w:r w:rsidRPr="009E769F">
              <w:rPr>
                <w:rFonts w:asciiTheme="majorHAnsi" w:hAnsiTheme="majorHAnsi"/>
                <w:color w:val="FFFFFF" w:themeColor="background1"/>
                <w:sz w:val="18"/>
                <w:szCs w:val="18"/>
                <w:lang w:val="es-ES"/>
              </w:rPr>
              <w:t>N</w:t>
            </w:r>
            <w:r w:rsidR="004C2312" w:rsidRPr="009E769F">
              <w:rPr>
                <w:rFonts w:asciiTheme="majorHAnsi" w:hAnsiTheme="majorHAnsi"/>
                <w:color w:val="FFFFFF" w:themeColor="background1"/>
                <w:sz w:val="18"/>
                <w:szCs w:val="18"/>
                <w:lang w:val="es-ES"/>
              </w:rPr>
              <w:t>otificación de la petición al Estado:</w:t>
            </w:r>
          </w:p>
        </w:tc>
        <w:tc>
          <w:tcPr>
            <w:tcW w:w="5760" w:type="dxa"/>
            <w:vAlign w:val="center"/>
          </w:tcPr>
          <w:p w14:paraId="1519DA6A" w14:textId="67A620A1" w:rsidR="004C2312" w:rsidRPr="00FF5701" w:rsidRDefault="00792A50" w:rsidP="009E769F">
            <w:pPr>
              <w:jc w:val="both"/>
              <w:rPr>
                <w:rFonts w:ascii="Cambria" w:hAnsi="Cambria"/>
                <w:bCs/>
                <w:sz w:val="19"/>
                <w:szCs w:val="19"/>
                <w:lang w:val="es-ES"/>
              </w:rPr>
            </w:pPr>
            <w:r w:rsidRPr="00FF5701">
              <w:rPr>
                <w:rFonts w:ascii="Cambria" w:hAnsi="Cambria"/>
                <w:bCs/>
                <w:sz w:val="19"/>
                <w:szCs w:val="19"/>
                <w:lang w:val="es-ES"/>
              </w:rPr>
              <w:t>24 de noviembre de 2015</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9E769F" w:rsidRDefault="004A6A54" w:rsidP="009E769F">
            <w:pPr>
              <w:pStyle w:val="NoSpacing"/>
              <w:jc w:val="center"/>
              <w:rPr>
                <w:rFonts w:asciiTheme="majorHAnsi" w:hAnsiTheme="majorHAnsi"/>
                <w:color w:val="FFFFFF" w:themeColor="background1"/>
                <w:sz w:val="18"/>
                <w:szCs w:val="18"/>
                <w:lang w:val="es-ES"/>
              </w:rPr>
            </w:pPr>
            <w:r w:rsidRPr="009E769F">
              <w:rPr>
                <w:rFonts w:asciiTheme="majorHAnsi" w:hAnsiTheme="majorHAnsi"/>
                <w:color w:val="FFFFFF" w:themeColor="background1"/>
                <w:sz w:val="18"/>
                <w:szCs w:val="18"/>
                <w:lang w:val="es-ES"/>
              </w:rPr>
              <w:t>P</w:t>
            </w:r>
            <w:r w:rsidR="004C2312" w:rsidRPr="009E769F">
              <w:rPr>
                <w:rFonts w:asciiTheme="majorHAnsi" w:hAnsiTheme="majorHAnsi"/>
                <w:color w:val="FFFFFF" w:themeColor="background1"/>
                <w:sz w:val="18"/>
                <w:szCs w:val="18"/>
                <w:lang w:val="es-ES"/>
              </w:rPr>
              <w:t>rimera respuesta del Estado:</w:t>
            </w:r>
          </w:p>
        </w:tc>
        <w:tc>
          <w:tcPr>
            <w:tcW w:w="5760" w:type="dxa"/>
            <w:vAlign w:val="center"/>
          </w:tcPr>
          <w:p w14:paraId="1972B99E" w14:textId="6B3EB1B4" w:rsidR="004C2312" w:rsidRPr="00FF5701" w:rsidRDefault="00792A50" w:rsidP="009E769F">
            <w:pPr>
              <w:jc w:val="both"/>
              <w:rPr>
                <w:rFonts w:ascii="Cambria" w:hAnsi="Cambria"/>
                <w:bCs/>
                <w:sz w:val="19"/>
                <w:szCs w:val="19"/>
                <w:lang w:val="es-ES"/>
              </w:rPr>
            </w:pPr>
            <w:r w:rsidRPr="00FF5701">
              <w:rPr>
                <w:rFonts w:ascii="Cambria" w:hAnsi="Cambria"/>
                <w:bCs/>
                <w:sz w:val="19"/>
                <w:szCs w:val="19"/>
                <w:lang w:val="es-ES"/>
              </w:rPr>
              <w:t>16 de febrero de 2016</w:t>
            </w:r>
          </w:p>
        </w:tc>
      </w:tr>
      <w:tr w:rsidR="004C2312" w:rsidRPr="00E63ADB"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9E769F" w:rsidRDefault="008E3BFE" w:rsidP="009E769F">
            <w:pPr>
              <w:pStyle w:val="NoSpacing"/>
              <w:jc w:val="center"/>
              <w:rPr>
                <w:rFonts w:asciiTheme="majorHAnsi" w:hAnsiTheme="majorHAnsi"/>
                <w:color w:val="FFFFFF" w:themeColor="background1"/>
                <w:sz w:val="18"/>
                <w:szCs w:val="18"/>
                <w:lang w:val="es-ES"/>
              </w:rPr>
            </w:pPr>
            <w:r w:rsidRPr="009E769F">
              <w:rPr>
                <w:rFonts w:asciiTheme="majorHAnsi" w:hAnsiTheme="majorHAnsi"/>
                <w:color w:val="FFFFFF" w:themeColor="background1"/>
                <w:sz w:val="18"/>
                <w:szCs w:val="18"/>
                <w:lang w:val="es-ES"/>
              </w:rPr>
              <w:t>Observaciones adicionales de la parte peticionaria:</w:t>
            </w:r>
          </w:p>
        </w:tc>
        <w:tc>
          <w:tcPr>
            <w:tcW w:w="5760" w:type="dxa"/>
            <w:vAlign w:val="center"/>
          </w:tcPr>
          <w:p w14:paraId="41D8B862" w14:textId="5F3431D6" w:rsidR="004C2312" w:rsidRPr="00FF5701" w:rsidRDefault="00792A50" w:rsidP="009E769F">
            <w:pPr>
              <w:jc w:val="both"/>
              <w:rPr>
                <w:rFonts w:ascii="Cambria" w:hAnsi="Cambria"/>
                <w:bCs/>
                <w:sz w:val="19"/>
                <w:szCs w:val="19"/>
                <w:lang w:val="es-ES"/>
              </w:rPr>
            </w:pPr>
            <w:r w:rsidRPr="00FF5701">
              <w:rPr>
                <w:rFonts w:ascii="Cambria" w:hAnsi="Cambria"/>
                <w:bCs/>
                <w:sz w:val="19"/>
                <w:szCs w:val="19"/>
                <w:lang w:val="es-ES"/>
              </w:rPr>
              <w:t>23 de junio de 2017</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9E769F" w:rsidRDefault="004C2312" w:rsidP="009E769F">
            <w:pPr>
              <w:pStyle w:val="NoSpacing"/>
              <w:jc w:val="center"/>
              <w:rPr>
                <w:rFonts w:asciiTheme="majorHAnsi" w:hAnsiTheme="majorHAnsi"/>
                <w:color w:val="FFFFFF" w:themeColor="background1"/>
                <w:sz w:val="18"/>
                <w:szCs w:val="18"/>
              </w:rPr>
            </w:pPr>
            <w:r w:rsidRPr="009E769F">
              <w:rPr>
                <w:rFonts w:asciiTheme="majorHAnsi" w:hAnsiTheme="majorHAnsi"/>
                <w:color w:val="FFFFFF" w:themeColor="background1"/>
                <w:sz w:val="18"/>
                <w:szCs w:val="18"/>
              </w:rPr>
              <w:t>Observaciones adicionales del Estado:</w:t>
            </w:r>
          </w:p>
        </w:tc>
        <w:tc>
          <w:tcPr>
            <w:tcW w:w="5760" w:type="dxa"/>
            <w:vAlign w:val="center"/>
          </w:tcPr>
          <w:p w14:paraId="3CE49AFE" w14:textId="7068CADC" w:rsidR="004C2312" w:rsidRPr="00FF5701" w:rsidRDefault="00792A50" w:rsidP="009E769F">
            <w:pPr>
              <w:jc w:val="both"/>
              <w:rPr>
                <w:rFonts w:ascii="Cambria" w:hAnsi="Cambria"/>
                <w:bCs/>
                <w:sz w:val="19"/>
                <w:szCs w:val="19"/>
              </w:rPr>
            </w:pPr>
            <w:r w:rsidRPr="00FF5701">
              <w:rPr>
                <w:rFonts w:ascii="Cambria" w:hAnsi="Cambria"/>
                <w:bCs/>
                <w:sz w:val="19"/>
                <w:szCs w:val="19"/>
              </w:rPr>
              <w:t>6 de marzo de 2018</w:t>
            </w:r>
          </w:p>
        </w:tc>
      </w:tr>
    </w:tbl>
    <w:p w14:paraId="21DAA666" w14:textId="77777777" w:rsidR="003239B8" w:rsidRPr="003239B8" w:rsidRDefault="003239B8" w:rsidP="009E769F">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92A50"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9E769F" w:rsidRDefault="003239B8" w:rsidP="009E769F">
            <w:pPr>
              <w:pStyle w:val="NoSpacing"/>
              <w:jc w:val="center"/>
              <w:rPr>
                <w:rFonts w:asciiTheme="majorHAnsi" w:hAnsiTheme="majorHAnsi"/>
                <w:color w:val="FFFFFF" w:themeColor="background1"/>
                <w:sz w:val="18"/>
                <w:szCs w:val="18"/>
                <w:lang w:val="es-AR"/>
              </w:rPr>
            </w:pPr>
            <w:r w:rsidRPr="009E769F">
              <w:rPr>
                <w:rFonts w:asciiTheme="majorHAnsi" w:hAnsiTheme="majorHAnsi"/>
                <w:color w:val="FFFFFF" w:themeColor="background1"/>
                <w:sz w:val="18"/>
                <w:szCs w:val="18"/>
                <w:lang w:val="es-AR"/>
              </w:rPr>
              <w:t>Competencia Ratione personae:</w:t>
            </w:r>
          </w:p>
        </w:tc>
        <w:tc>
          <w:tcPr>
            <w:tcW w:w="5760" w:type="dxa"/>
            <w:vAlign w:val="center"/>
          </w:tcPr>
          <w:p w14:paraId="7707F3E9" w14:textId="5ADCF5A7" w:rsidR="003239B8" w:rsidRPr="00FF5701" w:rsidRDefault="00792A50" w:rsidP="009E769F">
            <w:pPr>
              <w:rPr>
                <w:rFonts w:ascii="Cambria" w:hAnsi="Cambria"/>
                <w:bCs/>
                <w:sz w:val="19"/>
                <w:szCs w:val="19"/>
                <w:lang w:val="es-AR"/>
              </w:rPr>
            </w:pPr>
            <w:r w:rsidRPr="00FF5701">
              <w:rPr>
                <w:rFonts w:ascii="Cambria" w:hAnsi="Cambria"/>
                <w:bCs/>
                <w:sz w:val="19"/>
                <w:szCs w:val="19"/>
                <w:lang w:val="es-AR"/>
              </w:rPr>
              <w:t>Sí</w:t>
            </w:r>
          </w:p>
        </w:tc>
      </w:tr>
      <w:tr w:rsidR="003239B8" w:rsidRPr="00792A50"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9E769F" w:rsidRDefault="003239B8" w:rsidP="009E769F">
            <w:pPr>
              <w:pStyle w:val="NoSpacing"/>
              <w:jc w:val="center"/>
              <w:rPr>
                <w:rFonts w:asciiTheme="majorHAnsi" w:hAnsiTheme="majorHAnsi"/>
                <w:color w:val="FFFFFF" w:themeColor="background1"/>
                <w:sz w:val="18"/>
                <w:szCs w:val="18"/>
                <w:lang w:val="es-AR"/>
              </w:rPr>
            </w:pPr>
            <w:r w:rsidRPr="009E769F">
              <w:rPr>
                <w:rFonts w:asciiTheme="majorHAnsi" w:hAnsiTheme="majorHAnsi"/>
                <w:color w:val="FFFFFF" w:themeColor="background1"/>
                <w:sz w:val="18"/>
                <w:szCs w:val="18"/>
                <w:lang w:val="es-AR"/>
              </w:rPr>
              <w:t>Competencia Ratione loci:</w:t>
            </w:r>
          </w:p>
        </w:tc>
        <w:tc>
          <w:tcPr>
            <w:tcW w:w="5760" w:type="dxa"/>
            <w:vAlign w:val="center"/>
          </w:tcPr>
          <w:p w14:paraId="12C931CB" w14:textId="5ECCF85D" w:rsidR="003239B8" w:rsidRPr="00FF5701" w:rsidRDefault="00792A50" w:rsidP="009E769F">
            <w:pPr>
              <w:rPr>
                <w:rFonts w:ascii="Cambria" w:hAnsi="Cambria"/>
                <w:bCs/>
                <w:sz w:val="19"/>
                <w:szCs w:val="19"/>
                <w:lang w:val="es-AR"/>
              </w:rPr>
            </w:pPr>
            <w:r w:rsidRPr="00FF5701">
              <w:rPr>
                <w:rFonts w:ascii="Cambria" w:hAnsi="Cambria"/>
                <w:bCs/>
                <w:sz w:val="19"/>
                <w:szCs w:val="19"/>
                <w:lang w:val="es-AR"/>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9E769F" w:rsidRDefault="003239B8" w:rsidP="009E769F">
            <w:pPr>
              <w:pStyle w:val="NoSpacing"/>
              <w:jc w:val="center"/>
              <w:rPr>
                <w:rFonts w:asciiTheme="majorHAnsi" w:hAnsiTheme="majorHAnsi"/>
                <w:color w:val="FFFFFF" w:themeColor="background1"/>
                <w:sz w:val="18"/>
                <w:szCs w:val="18"/>
              </w:rPr>
            </w:pPr>
            <w:r w:rsidRPr="009E769F">
              <w:rPr>
                <w:rFonts w:asciiTheme="majorHAnsi" w:hAnsiTheme="majorHAnsi"/>
                <w:color w:val="FFFFFF" w:themeColor="background1"/>
                <w:sz w:val="18"/>
                <w:szCs w:val="18"/>
                <w:lang w:val="es-AR"/>
              </w:rPr>
              <w:t>Competencia Ra</w:t>
            </w:r>
            <w:r w:rsidRPr="009E769F">
              <w:rPr>
                <w:rFonts w:asciiTheme="majorHAnsi" w:hAnsiTheme="majorHAnsi"/>
                <w:color w:val="FFFFFF" w:themeColor="background1"/>
                <w:sz w:val="18"/>
                <w:szCs w:val="18"/>
              </w:rPr>
              <w:t>tione temporis:</w:t>
            </w:r>
          </w:p>
        </w:tc>
        <w:tc>
          <w:tcPr>
            <w:tcW w:w="5760" w:type="dxa"/>
            <w:vAlign w:val="center"/>
          </w:tcPr>
          <w:p w14:paraId="6F8B059B" w14:textId="3C9930CD" w:rsidR="003239B8" w:rsidRPr="00FF5701" w:rsidRDefault="00792A50" w:rsidP="009E769F">
            <w:pPr>
              <w:rPr>
                <w:rFonts w:ascii="Cambria" w:hAnsi="Cambria"/>
                <w:bCs/>
                <w:sz w:val="19"/>
                <w:szCs w:val="19"/>
              </w:rPr>
            </w:pPr>
            <w:r w:rsidRPr="00FF5701">
              <w:rPr>
                <w:rFonts w:ascii="Cambria" w:hAnsi="Cambria"/>
                <w:bCs/>
                <w:sz w:val="19"/>
                <w:szCs w:val="19"/>
              </w:rPr>
              <w:t>Sí</w:t>
            </w:r>
          </w:p>
        </w:tc>
      </w:tr>
      <w:tr w:rsidR="003239B8" w:rsidRPr="00724664"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9E769F" w:rsidRDefault="003239B8" w:rsidP="009E769F">
            <w:pPr>
              <w:pStyle w:val="NoSpacing"/>
              <w:jc w:val="center"/>
              <w:rPr>
                <w:rFonts w:asciiTheme="majorHAnsi" w:hAnsiTheme="majorHAnsi"/>
                <w:color w:val="FFFFFF" w:themeColor="background1"/>
                <w:sz w:val="18"/>
                <w:szCs w:val="18"/>
              </w:rPr>
            </w:pPr>
            <w:r w:rsidRPr="009E769F">
              <w:rPr>
                <w:rFonts w:asciiTheme="majorHAnsi" w:hAnsiTheme="majorHAnsi"/>
                <w:color w:val="FFFFFF" w:themeColor="background1"/>
                <w:sz w:val="18"/>
                <w:szCs w:val="18"/>
              </w:rPr>
              <w:t>Competencia Ratione materia</w:t>
            </w:r>
            <w:r w:rsidR="00EE00E9" w:rsidRPr="009E769F">
              <w:rPr>
                <w:rFonts w:asciiTheme="majorHAnsi" w:hAnsiTheme="majorHAnsi"/>
                <w:color w:val="FFFFFF" w:themeColor="background1"/>
                <w:sz w:val="18"/>
                <w:szCs w:val="18"/>
              </w:rPr>
              <w:t>e</w:t>
            </w:r>
            <w:r w:rsidRPr="009E769F">
              <w:rPr>
                <w:rFonts w:asciiTheme="majorHAnsi" w:hAnsiTheme="majorHAnsi"/>
                <w:color w:val="FFFFFF" w:themeColor="background1"/>
                <w:sz w:val="18"/>
                <w:szCs w:val="18"/>
              </w:rPr>
              <w:t>:</w:t>
            </w:r>
          </w:p>
        </w:tc>
        <w:tc>
          <w:tcPr>
            <w:tcW w:w="5760" w:type="dxa"/>
            <w:vAlign w:val="center"/>
          </w:tcPr>
          <w:p w14:paraId="0C122F44" w14:textId="1FC519D2" w:rsidR="003239B8" w:rsidRPr="00FF5701" w:rsidRDefault="00792A50" w:rsidP="009E769F">
            <w:pPr>
              <w:jc w:val="both"/>
              <w:rPr>
                <w:rFonts w:ascii="Cambria" w:hAnsi="Cambria"/>
                <w:bCs/>
                <w:sz w:val="19"/>
                <w:szCs w:val="19"/>
                <w:lang w:val="es-ES"/>
              </w:rPr>
            </w:pPr>
            <w:r w:rsidRPr="00FF5701">
              <w:rPr>
                <w:rFonts w:ascii="Cambria" w:hAnsi="Cambria"/>
                <w:bCs/>
                <w:sz w:val="19"/>
                <w:szCs w:val="19"/>
                <w:lang w:val="es-ES"/>
              </w:rPr>
              <w:t>Sí, Convención Americana (depósito de instrumento realizado el</w:t>
            </w:r>
            <w:r w:rsidR="00C02CEF" w:rsidRPr="00FF5701">
              <w:rPr>
                <w:rFonts w:ascii="Cambria" w:hAnsi="Cambria"/>
                <w:bCs/>
                <w:sz w:val="19"/>
                <w:szCs w:val="19"/>
                <w:lang w:val="es-ES"/>
              </w:rPr>
              <w:t xml:space="preserve"> 25 de septiembre de 1992)</w:t>
            </w:r>
          </w:p>
        </w:tc>
      </w:tr>
    </w:tbl>
    <w:p w14:paraId="4E92C444" w14:textId="1DAF1B79" w:rsidR="003239B8" w:rsidRPr="003239B8" w:rsidRDefault="003239B8" w:rsidP="009E769F">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E63ADB"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9E769F" w:rsidRDefault="00EE00E9" w:rsidP="009E769F">
            <w:pPr>
              <w:pStyle w:val="NoSpacing"/>
              <w:jc w:val="center"/>
              <w:rPr>
                <w:rFonts w:asciiTheme="majorHAnsi" w:hAnsiTheme="majorHAnsi"/>
                <w:color w:val="FFFFFF" w:themeColor="background1"/>
                <w:sz w:val="18"/>
                <w:szCs w:val="18"/>
                <w:lang w:val="es-ES"/>
              </w:rPr>
            </w:pPr>
            <w:r w:rsidRPr="009E769F">
              <w:rPr>
                <w:rFonts w:asciiTheme="majorHAnsi" w:hAnsiTheme="majorHAnsi"/>
                <w:color w:val="FFFFFF" w:themeColor="background1"/>
                <w:sz w:val="18"/>
                <w:szCs w:val="18"/>
                <w:lang w:val="es-ES"/>
              </w:rPr>
              <w:t>Duplicación de procedimientos y cosa juzgada internacional:</w:t>
            </w:r>
          </w:p>
        </w:tc>
        <w:tc>
          <w:tcPr>
            <w:tcW w:w="5760" w:type="dxa"/>
            <w:vAlign w:val="center"/>
          </w:tcPr>
          <w:p w14:paraId="240941E6" w14:textId="7B84DDAE" w:rsidR="00EE00E9" w:rsidRPr="00FF5701" w:rsidRDefault="00792A50" w:rsidP="009E769F">
            <w:pPr>
              <w:jc w:val="both"/>
              <w:rPr>
                <w:rFonts w:ascii="Cambria" w:hAnsi="Cambria"/>
                <w:bCs/>
                <w:sz w:val="19"/>
                <w:szCs w:val="19"/>
                <w:lang w:val="es-ES"/>
              </w:rPr>
            </w:pPr>
            <w:r w:rsidRPr="00FF5701">
              <w:rPr>
                <w:rFonts w:ascii="Cambria" w:hAnsi="Cambria"/>
                <w:bCs/>
                <w:sz w:val="19"/>
                <w:szCs w:val="19"/>
                <w:lang w:val="es-ES"/>
              </w:rPr>
              <w:t>No</w:t>
            </w:r>
          </w:p>
        </w:tc>
      </w:tr>
      <w:tr w:rsidR="003239B8" w:rsidRPr="00724664"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9E769F" w:rsidRDefault="003239B8" w:rsidP="009E769F">
            <w:pPr>
              <w:pStyle w:val="NoSpacing"/>
              <w:jc w:val="center"/>
              <w:rPr>
                <w:rFonts w:asciiTheme="majorHAnsi" w:hAnsiTheme="majorHAnsi"/>
                <w:i/>
                <w:color w:val="FFFFFF" w:themeColor="background1"/>
                <w:sz w:val="18"/>
                <w:szCs w:val="18"/>
              </w:rPr>
            </w:pPr>
            <w:r w:rsidRPr="009E769F">
              <w:rPr>
                <w:rFonts w:asciiTheme="majorHAnsi" w:hAnsiTheme="majorHAnsi"/>
                <w:color w:val="FFFFFF" w:themeColor="background1"/>
                <w:sz w:val="18"/>
                <w:szCs w:val="18"/>
              </w:rPr>
              <w:t>Derechos declarados admisibles</w:t>
            </w:r>
            <w:r w:rsidRPr="009E769F">
              <w:rPr>
                <w:rFonts w:asciiTheme="majorHAnsi" w:hAnsiTheme="majorHAnsi"/>
                <w:i/>
                <w:color w:val="FFFFFF" w:themeColor="background1"/>
                <w:sz w:val="18"/>
                <w:szCs w:val="18"/>
              </w:rPr>
              <w:t>:</w:t>
            </w:r>
          </w:p>
        </w:tc>
        <w:tc>
          <w:tcPr>
            <w:tcW w:w="5760" w:type="dxa"/>
            <w:vAlign w:val="center"/>
          </w:tcPr>
          <w:p w14:paraId="6310C8F7" w14:textId="126E5827" w:rsidR="003239B8" w:rsidRPr="00FF5701" w:rsidRDefault="001C4900" w:rsidP="009E769F">
            <w:pPr>
              <w:jc w:val="both"/>
              <w:rPr>
                <w:rFonts w:ascii="Cambria" w:hAnsi="Cambria"/>
                <w:bCs/>
                <w:sz w:val="19"/>
                <w:szCs w:val="19"/>
                <w:lang w:val="es-AR"/>
              </w:rPr>
            </w:pPr>
            <w:r w:rsidRPr="00FF5701">
              <w:rPr>
                <w:rFonts w:ascii="Cambria" w:hAnsi="Cambria"/>
                <w:bCs/>
                <w:sz w:val="19"/>
                <w:szCs w:val="19"/>
                <w:lang w:val="es-AR"/>
              </w:rPr>
              <w:t>Artículos 7.2 (libertad personal</w:t>
            </w:r>
            <w:r w:rsidR="001D4934" w:rsidRPr="00FF5701">
              <w:rPr>
                <w:rFonts w:ascii="Cambria" w:hAnsi="Cambria"/>
                <w:bCs/>
                <w:sz w:val="19"/>
                <w:szCs w:val="19"/>
                <w:lang w:val="es-AR"/>
              </w:rPr>
              <w:t>)</w:t>
            </w:r>
            <w:r w:rsidR="000F2841" w:rsidRPr="00FF5701">
              <w:rPr>
                <w:rFonts w:ascii="Cambria" w:hAnsi="Cambria"/>
                <w:bCs/>
                <w:sz w:val="19"/>
                <w:szCs w:val="19"/>
                <w:lang w:val="es-AR"/>
              </w:rPr>
              <w:t xml:space="preserve">, </w:t>
            </w:r>
            <w:r w:rsidRPr="00FF5701">
              <w:rPr>
                <w:rFonts w:ascii="Cambria" w:hAnsi="Cambria"/>
                <w:bCs/>
                <w:sz w:val="19"/>
                <w:szCs w:val="19"/>
                <w:lang w:val="es-AR"/>
              </w:rPr>
              <w:t>13 (libertad de expresión)</w:t>
            </w:r>
            <w:r w:rsidR="00B83428" w:rsidRPr="00FF5701">
              <w:rPr>
                <w:rFonts w:ascii="Cambria" w:hAnsi="Cambria"/>
                <w:bCs/>
                <w:sz w:val="19"/>
                <w:szCs w:val="19"/>
                <w:lang w:val="es-AR"/>
              </w:rPr>
              <w:t xml:space="preserve"> </w:t>
            </w:r>
            <w:r w:rsidR="000F2841" w:rsidRPr="00FF5701">
              <w:rPr>
                <w:rFonts w:ascii="Cambria" w:hAnsi="Cambria"/>
                <w:bCs/>
                <w:sz w:val="19"/>
                <w:szCs w:val="19"/>
                <w:lang w:val="es-AR"/>
              </w:rPr>
              <w:t xml:space="preserve">y 25.1 (protección judicial) </w:t>
            </w:r>
            <w:r w:rsidR="00B83428" w:rsidRPr="00FF5701">
              <w:rPr>
                <w:rFonts w:ascii="Cambria" w:hAnsi="Cambria"/>
                <w:bCs/>
                <w:sz w:val="19"/>
                <w:szCs w:val="19"/>
                <w:lang w:val="es-AR"/>
              </w:rPr>
              <w:t>de la Convención Americana</w:t>
            </w:r>
            <w:r w:rsidR="000310D6" w:rsidRPr="00FF5701">
              <w:rPr>
                <w:rFonts w:ascii="Cambria" w:hAnsi="Cambria"/>
                <w:bCs/>
                <w:sz w:val="19"/>
                <w:szCs w:val="19"/>
                <w:lang w:val="es-AR"/>
              </w:rPr>
              <w:t xml:space="preserve">, </w:t>
            </w:r>
            <w:r w:rsidR="000310D6" w:rsidRPr="00FF5701">
              <w:rPr>
                <w:rFonts w:asciiTheme="majorHAnsi" w:hAnsiTheme="majorHAnsi"/>
                <w:sz w:val="19"/>
                <w:szCs w:val="19"/>
                <w:lang w:val="es-ES"/>
              </w:rPr>
              <w:t xml:space="preserve">en relación con sus artículos 1.1 (obligación de respetar los derechos) y 2 (deber de adoptar disposiciones de derecho interno) </w:t>
            </w:r>
          </w:p>
        </w:tc>
      </w:tr>
      <w:tr w:rsidR="003239B8" w:rsidRPr="0012608B"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9E769F" w:rsidRDefault="003239B8" w:rsidP="009E769F">
            <w:pPr>
              <w:pStyle w:val="NoSpacing"/>
              <w:jc w:val="center"/>
              <w:rPr>
                <w:rFonts w:asciiTheme="majorHAnsi" w:hAnsiTheme="majorHAnsi"/>
                <w:color w:val="FFFFFF" w:themeColor="background1"/>
                <w:sz w:val="18"/>
                <w:szCs w:val="18"/>
                <w:lang w:val="es-ES"/>
              </w:rPr>
            </w:pPr>
            <w:r w:rsidRPr="009E769F">
              <w:rPr>
                <w:rFonts w:asciiTheme="majorHAnsi" w:hAnsiTheme="majorHAnsi"/>
                <w:color w:val="FFFFFF" w:themeColor="background1"/>
                <w:sz w:val="18"/>
                <w:szCs w:val="18"/>
                <w:lang w:val="es-ES"/>
              </w:rPr>
              <w:t>Agotamiento de recursos internos</w:t>
            </w:r>
            <w:r w:rsidR="00EE00E9" w:rsidRPr="009E769F">
              <w:rPr>
                <w:rFonts w:asciiTheme="majorHAnsi" w:hAnsiTheme="majorHAnsi"/>
                <w:color w:val="FFFFFF" w:themeColor="background1"/>
                <w:sz w:val="18"/>
                <w:szCs w:val="18"/>
                <w:lang w:val="es-ES"/>
              </w:rPr>
              <w:t xml:space="preserve"> o procedencia de una excepción</w:t>
            </w:r>
            <w:r w:rsidRPr="009E769F">
              <w:rPr>
                <w:rFonts w:asciiTheme="majorHAnsi" w:hAnsiTheme="majorHAnsi"/>
                <w:color w:val="FFFFFF" w:themeColor="background1"/>
                <w:sz w:val="18"/>
                <w:szCs w:val="18"/>
                <w:lang w:val="es-ES"/>
              </w:rPr>
              <w:t>:</w:t>
            </w:r>
          </w:p>
        </w:tc>
        <w:tc>
          <w:tcPr>
            <w:tcW w:w="5760" w:type="dxa"/>
            <w:vAlign w:val="center"/>
          </w:tcPr>
          <w:p w14:paraId="69C53E8A" w14:textId="6A81E549" w:rsidR="003239B8" w:rsidRPr="00FF5701" w:rsidRDefault="002A2767" w:rsidP="009E769F">
            <w:pPr>
              <w:jc w:val="both"/>
              <w:rPr>
                <w:rFonts w:ascii="Cambria" w:hAnsi="Cambria"/>
                <w:bCs/>
                <w:sz w:val="19"/>
                <w:szCs w:val="19"/>
                <w:lang w:val="es-ES"/>
              </w:rPr>
            </w:pPr>
            <w:r w:rsidRPr="00FF5701">
              <w:rPr>
                <w:rFonts w:ascii="Cambria" w:hAnsi="Cambria"/>
                <w:bCs/>
                <w:sz w:val="19"/>
                <w:szCs w:val="19"/>
                <w:lang w:val="es-ES"/>
              </w:rPr>
              <w:t xml:space="preserve">Sí, 25 de junio de 2012 </w:t>
            </w:r>
          </w:p>
        </w:tc>
      </w:tr>
      <w:tr w:rsidR="003239B8" w:rsidRPr="00B2155F"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9E769F" w:rsidRDefault="003239B8" w:rsidP="009E769F">
            <w:pPr>
              <w:pStyle w:val="NoSpacing"/>
              <w:jc w:val="center"/>
              <w:rPr>
                <w:rFonts w:asciiTheme="majorHAnsi" w:hAnsiTheme="majorHAnsi"/>
                <w:color w:val="FFFFFF" w:themeColor="background1"/>
                <w:sz w:val="18"/>
                <w:szCs w:val="18"/>
              </w:rPr>
            </w:pPr>
            <w:r w:rsidRPr="009E769F">
              <w:rPr>
                <w:rFonts w:asciiTheme="majorHAnsi" w:hAnsiTheme="majorHAnsi"/>
                <w:color w:val="FFFFFF" w:themeColor="background1"/>
                <w:sz w:val="18"/>
                <w:szCs w:val="18"/>
              </w:rPr>
              <w:t>Presentación dentro de plazo:</w:t>
            </w:r>
          </w:p>
        </w:tc>
        <w:tc>
          <w:tcPr>
            <w:tcW w:w="5760" w:type="dxa"/>
            <w:vAlign w:val="center"/>
          </w:tcPr>
          <w:p w14:paraId="4A2A4569" w14:textId="5FA2BDBC" w:rsidR="003239B8" w:rsidRPr="00FF5701" w:rsidRDefault="00B83428" w:rsidP="009E769F">
            <w:pPr>
              <w:rPr>
                <w:rFonts w:ascii="Cambria" w:hAnsi="Cambria"/>
                <w:bCs/>
                <w:sz w:val="19"/>
                <w:szCs w:val="19"/>
              </w:rPr>
            </w:pPr>
            <w:r w:rsidRPr="00FF5701">
              <w:rPr>
                <w:rFonts w:ascii="Cambria" w:hAnsi="Cambria"/>
                <w:bCs/>
                <w:sz w:val="19"/>
                <w:szCs w:val="19"/>
              </w:rPr>
              <w:t>Sí, 16 de Agosto de 2012</w:t>
            </w:r>
          </w:p>
        </w:tc>
      </w:tr>
    </w:tbl>
    <w:p w14:paraId="18E6423B" w14:textId="7F17D925" w:rsidR="003239B8" w:rsidRDefault="00223A29" w:rsidP="009E769F">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9E769F">
        <w:rPr>
          <w:rFonts w:asciiTheme="majorHAnsi" w:hAnsiTheme="majorHAnsi"/>
          <w:b/>
          <w:sz w:val="20"/>
          <w:szCs w:val="20"/>
          <w:lang w:val="es-UY"/>
        </w:rPr>
        <w:t xml:space="preserve">RESUMEN DE LOS </w:t>
      </w:r>
      <w:r w:rsidR="003239B8">
        <w:rPr>
          <w:rFonts w:asciiTheme="majorHAnsi" w:hAnsiTheme="majorHAnsi"/>
          <w:b/>
          <w:sz w:val="20"/>
          <w:szCs w:val="20"/>
          <w:lang w:val="es-UY"/>
        </w:rPr>
        <w:t xml:space="preserve">HECHOS ALEGADOS </w:t>
      </w:r>
    </w:p>
    <w:p w14:paraId="41FCE57B" w14:textId="654E133D" w:rsidR="000A4798" w:rsidRDefault="00B83428" w:rsidP="00A64A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41173">
        <w:rPr>
          <w:rFonts w:ascii="Cambria" w:hAnsi="Cambria"/>
          <w:sz w:val="20"/>
          <w:szCs w:val="20"/>
          <w:lang w:val="es-AR"/>
        </w:rPr>
        <w:t>La parte peticionaria alega</w:t>
      </w:r>
      <w:r w:rsidR="00C02CEF" w:rsidRPr="00A41173">
        <w:rPr>
          <w:rFonts w:ascii="Cambria" w:hAnsi="Cambria"/>
          <w:sz w:val="20"/>
          <w:szCs w:val="20"/>
          <w:lang w:val="es-AR"/>
        </w:rPr>
        <w:t xml:space="preserve"> que </w:t>
      </w:r>
      <w:r w:rsidR="00B247F6" w:rsidRPr="00A41173">
        <w:rPr>
          <w:rFonts w:ascii="Cambria" w:hAnsi="Cambria"/>
          <w:sz w:val="20"/>
          <w:szCs w:val="20"/>
          <w:lang w:val="es-AR"/>
        </w:rPr>
        <w:t>Charles Eduardo Macedo</w:t>
      </w:r>
      <w:r w:rsidRPr="00A41173">
        <w:rPr>
          <w:rFonts w:ascii="Cambria" w:hAnsi="Cambria"/>
          <w:sz w:val="20"/>
          <w:szCs w:val="20"/>
          <w:lang w:val="es-AR"/>
        </w:rPr>
        <w:t xml:space="preserve"> fue condenado</w:t>
      </w:r>
      <w:r w:rsidR="00A7777D" w:rsidRPr="00A41173">
        <w:rPr>
          <w:rFonts w:ascii="Cambria" w:hAnsi="Cambria"/>
          <w:sz w:val="20"/>
          <w:szCs w:val="20"/>
          <w:lang w:val="es-AR"/>
        </w:rPr>
        <w:t xml:space="preserve"> </w:t>
      </w:r>
      <w:r w:rsidR="005C2949" w:rsidRPr="00A41173">
        <w:rPr>
          <w:rFonts w:ascii="Cambria" w:hAnsi="Cambria"/>
          <w:sz w:val="20"/>
          <w:szCs w:val="20"/>
          <w:lang w:val="es-AR"/>
        </w:rPr>
        <w:t>el</w:t>
      </w:r>
      <w:r w:rsidR="00A7777D" w:rsidRPr="00A41173">
        <w:rPr>
          <w:rFonts w:ascii="Cambria" w:hAnsi="Cambria"/>
          <w:sz w:val="20"/>
          <w:szCs w:val="20"/>
          <w:lang w:val="es-AR"/>
        </w:rPr>
        <w:t xml:space="preserve"> 20 de octubre de 2011</w:t>
      </w:r>
      <w:r w:rsidRPr="00A41173">
        <w:rPr>
          <w:rFonts w:ascii="Cambria" w:hAnsi="Cambria"/>
          <w:sz w:val="20"/>
          <w:szCs w:val="20"/>
          <w:lang w:val="es-AR"/>
        </w:rPr>
        <w:t xml:space="preserve"> en el marco de una</w:t>
      </w:r>
      <w:r w:rsidR="00B247F6" w:rsidRPr="00A41173">
        <w:rPr>
          <w:rFonts w:ascii="Cambria" w:hAnsi="Cambria"/>
          <w:sz w:val="20"/>
          <w:szCs w:val="20"/>
          <w:lang w:val="es-AR"/>
        </w:rPr>
        <w:t xml:space="preserve"> causa penal que tramitó en primera instancia ante el 3er Tribunal Penal del distrito de S</w:t>
      </w:r>
      <w:r w:rsidR="000310D6" w:rsidRPr="00A41173">
        <w:rPr>
          <w:rStyle w:val="Emphasis"/>
          <w:rFonts w:asciiTheme="majorHAnsi" w:hAnsiTheme="majorHAnsi" w:cs="Arial"/>
          <w:bCs/>
          <w:i w:val="0"/>
          <w:iCs w:val="0"/>
          <w:sz w:val="20"/>
          <w:szCs w:val="20"/>
          <w:shd w:val="clear" w:color="auto" w:fill="FFFFFF"/>
          <w:lang w:val="es-ES"/>
        </w:rPr>
        <w:t>ão</w:t>
      </w:r>
      <w:r w:rsidR="00B247F6" w:rsidRPr="00A41173">
        <w:rPr>
          <w:rFonts w:ascii="Cambria" w:hAnsi="Cambria"/>
          <w:sz w:val="20"/>
          <w:szCs w:val="20"/>
          <w:lang w:val="es-AR"/>
        </w:rPr>
        <w:t xml:space="preserve"> </w:t>
      </w:r>
      <w:r w:rsidR="002927DF" w:rsidRPr="00A41173">
        <w:rPr>
          <w:rFonts w:ascii="Cambria" w:hAnsi="Cambria"/>
          <w:sz w:val="20"/>
          <w:szCs w:val="20"/>
          <w:lang w:val="es-AR"/>
        </w:rPr>
        <w:t>José</w:t>
      </w:r>
      <w:r w:rsidR="00B247F6" w:rsidRPr="00A41173">
        <w:rPr>
          <w:rFonts w:ascii="Cambria" w:hAnsi="Cambria"/>
          <w:sz w:val="20"/>
          <w:szCs w:val="20"/>
          <w:lang w:val="es-AR"/>
        </w:rPr>
        <w:t xml:space="preserve"> do Rio </w:t>
      </w:r>
      <w:r w:rsidR="00B247F6" w:rsidRPr="005269A4">
        <w:rPr>
          <w:rFonts w:ascii="Cambria" w:hAnsi="Cambria"/>
          <w:sz w:val="20"/>
          <w:szCs w:val="20"/>
          <w:lang w:val="es-AR"/>
        </w:rPr>
        <w:t xml:space="preserve">Preto, </w:t>
      </w:r>
      <w:r w:rsidR="000310D6" w:rsidRPr="00762577">
        <w:rPr>
          <w:rStyle w:val="Emphasis"/>
          <w:rFonts w:asciiTheme="majorHAnsi" w:hAnsiTheme="majorHAnsi" w:cs="Arial"/>
          <w:bCs/>
          <w:i w:val="0"/>
          <w:iCs w:val="0"/>
          <w:sz w:val="20"/>
          <w:szCs w:val="20"/>
          <w:shd w:val="clear" w:color="auto" w:fill="FFFFFF"/>
          <w:lang w:val="es-ES"/>
        </w:rPr>
        <w:t>São Paulo</w:t>
      </w:r>
      <w:r w:rsidR="00B247F6" w:rsidRPr="00762577">
        <w:rPr>
          <w:rFonts w:ascii="Cambria" w:hAnsi="Cambria"/>
          <w:sz w:val="20"/>
          <w:szCs w:val="20"/>
          <w:lang w:val="es-AR"/>
        </w:rPr>
        <w:t>, por los delitos de posesión de drogas para consumo personal</w:t>
      </w:r>
      <w:r w:rsidR="0063503A" w:rsidRPr="00762577">
        <w:rPr>
          <w:rStyle w:val="FootnoteReference"/>
          <w:rFonts w:ascii="Cambria" w:hAnsi="Cambria"/>
          <w:sz w:val="20"/>
          <w:szCs w:val="20"/>
          <w:lang w:val="es-AR"/>
        </w:rPr>
        <w:footnoteReference w:id="5"/>
      </w:r>
      <w:r w:rsidR="00B247F6" w:rsidRPr="00762577">
        <w:rPr>
          <w:rFonts w:ascii="Cambria" w:hAnsi="Cambria"/>
          <w:sz w:val="20"/>
          <w:szCs w:val="20"/>
          <w:lang w:val="es-AR"/>
        </w:rPr>
        <w:t xml:space="preserve"> </w:t>
      </w:r>
      <w:r w:rsidR="000310D6" w:rsidRPr="00762577">
        <w:rPr>
          <w:rFonts w:ascii="Cambria" w:hAnsi="Cambria"/>
          <w:sz w:val="20"/>
          <w:szCs w:val="20"/>
          <w:lang w:val="es-AR"/>
        </w:rPr>
        <w:t>(art. 28 de la Ley Federal No. 11.343/06</w:t>
      </w:r>
      <w:r w:rsidR="00EA1460" w:rsidRPr="00762577">
        <w:rPr>
          <w:rStyle w:val="FootnoteReference"/>
          <w:rFonts w:ascii="Cambria" w:hAnsi="Cambria"/>
          <w:sz w:val="20"/>
          <w:szCs w:val="20"/>
          <w:lang w:val="es-AR"/>
        </w:rPr>
        <w:footnoteReference w:id="6"/>
      </w:r>
      <w:r w:rsidR="000310D6" w:rsidRPr="00762577">
        <w:rPr>
          <w:rFonts w:ascii="Cambria" w:hAnsi="Cambria"/>
          <w:sz w:val="20"/>
          <w:szCs w:val="20"/>
          <w:lang w:val="es-AR"/>
        </w:rPr>
        <w:t xml:space="preserve">) </w:t>
      </w:r>
      <w:r w:rsidR="00B247F6" w:rsidRPr="00762577">
        <w:rPr>
          <w:rFonts w:ascii="Cambria" w:hAnsi="Cambria"/>
          <w:sz w:val="20"/>
          <w:szCs w:val="20"/>
          <w:lang w:val="es-AR"/>
        </w:rPr>
        <w:t>y desacato</w:t>
      </w:r>
      <w:r w:rsidR="005269A4" w:rsidRPr="00762577">
        <w:rPr>
          <w:rFonts w:ascii="Cambria" w:hAnsi="Cambria"/>
          <w:sz w:val="20"/>
          <w:szCs w:val="20"/>
          <w:lang w:val="es-AR"/>
        </w:rPr>
        <w:t xml:space="preserve">, siendo este último objeto de la presente petición (art. </w:t>
      </w:r>
      <w:r w:rsidR="000310D6" w:rsidRPr="00762577">
        <w:rPr>
          <w:rFonts w:ascii="Cambria" w:hAnsi="Cambria"/>
          <w:sz w:val="20"/>
          <w:szCs w:val="20"/>
          <w:lang w:val="es-AR"/>
        </w:rPr>
        <w:t xml:space="preserve">331 del </w:t>
      </w:r>
      <w:r w:rsidR="000310D6" w:rsidRPr="00762577">
        <w:rPr>
          <w:rFonts w:ascii="Cambria" w:hAnsi="Cambria"/>
          <w:sz w:val="20"/>
          <w:szCs w:val="20"/>
          <w:lang w:val="es-AR"/>
        </w:rPr>
        <w:lastRenderedPageBreak/>
        <w:t>Código Penal)</w:t>
      </w:r>
      <w:r w:rsidR="00460F59" w:rsidRPr="00762577">
        <w:rPr>
          <w:rFonts w:ascii="Cambria" w:hAnsi="Cambria"/>
          <w:sz w:val="20"/>
          <w:szCs w:val="20"/>
          <w:lang w:val="es-AR"/>
        </w:rPr>
        <w:t>.</w:t>
      </w:r>
      <w:r w:rsidR="00497F8D" w:rsidRPr="00762577">
        <w:rPr>
          <w:rFonts w:ascii="Cambria" w:hAnsi="Cambria"/>
          <w:sz w:val="20"/>
          <w:szCs w:val="20"/>
          <w:lang w:val="es-AR"/>
        </w:rPr>
        <w:t xml:space="preserve"> </w:t>
      </w:r>
      <w:r w:rsidR="005269A4" w:rsidRPr="00762577">
        <w:rPr>
          <w:rFonts w:ascii="Cambria" w:hAnsi="Cambria"/>
          <w:sz w:val="20"/>
          <w:szCs w:val="20"/>
          <w:lang w:val="es-AR"/>
        </w:rPr>
        <w:t>Este artículo 331 establece que “</w:t>
      </w:r>
      <w:r w:rsidR="00041594" w:rsidRPr="00762577">
        <w:rPr>
          <w:rFonts w:asciiTheme="majorHAnsi" w:hAnsiTheme="majorHAnsi"/>
          <w:sz w:val="20"/>
          <w:szCs w:val="20"/>
          <w:lang w:val="es-ES"/>
        </w:rPr>
        <w:t>d</w:t>
      </w:r>
      <w:r w:rsidR="005269A4" w:rsidRPr="00762577">
        <w:rPr>
          <w:rFonts w:asciiTheme="majorHAnsi" w:hAnsiTheme="majorHAnsi"/>
          <w:sz w:val="20"/>
          <w:szCs w:val="20"/>
          <w:lang w:val="es-ES"/>
        </w:rPr>
        <w:t>esacatar al funcionario público en el ejercicio de su función o en razón de ella: Pena – detención, de 6 (seis) meses hasta 2 (dos) años, o multa</w:t>
      </w:r>
      <w:r w:rsidR="0069190A" w:rsidRPr="00762577">
        <w:rPr>
          <w:rStyle w:val="FootnoteReference"/>
          <w:rFonts w:ascii="Cambria" w:hAnsi="Cambria"/>
          <w:sz w:val="20"/>
          <w:szCs w:val="20"/>
          <w:lang w:val="es-AR"/>
        </w:rPr>
        <w:footnoteReference w:id="7"/>
      </w:r>
      <w:r w:rsidR="005269A4" w:rsidRPr="00762577">
        <w:rPr>
          <w:rFonts w:asciiTheme="majorHAnsi" w:hAnsiTheme="majorHAnsi"/>
          <w:sz w:val="20"/>
          <w:szCs w:val="20"/>
          <w:lang w:val="es-ES"/>
        </w:rPr>
        <w:t>”.</w:t>
      </w:r>
      <w:r w:rsidR="005269A4" w:rsidRPr="00762577">
        <w:rPr>
          <w:rFonts w:ascii="Cambria" w:hAnsi="Cambria"/>
          <w:sz w:val="20"/>
          <w:szCs w:val="20"/>
          <w:lang w:val="es-AR"/>
        </w:rPr>
        <w:t xml:space="preserve"> </w:t>
      </w:r>
      <w:r w:rsidR="00494A7C" w:rsidRPr="00762577">
        <w:rPr>
          <w:rFonts w:ascii="Cambria" w:hAnsi="Cambria"/>
          <w:sz w:val="20"/>
          <w:szCs w:val="20"/>
          <w:lang w:val="es-AR"/>
        </w:rPr>
        <w:t>Sobre el particular,</w:t>
      </w:r>
      <w:r w:rsidR="005269A4" w:rsidRPr="00762577">
        <w:rPr>
          <w:rFonts w:ascii="Cambria" w:hAnsi="Cambria"/>
          <w:sz w:val="20"/>
          <w:szCs w:val="20"/>
          <w:lang w:val="es-AR"/>
        </w:rPr>
        <w:t xml:space="preserve"> la parte peticionaria</w:t>
      </w:r>
      <w:r w:rsidR="00494A7C" w:rsidRPr="00762577">
        <w:rPr>
          <w:rFonts w:ascii="Cambria" w:hAnsi="Cambria"/>
          <w:sz w:val="20"/>
          <w:szCs w:val="20"/>
          <w:lang w:val="es-AR"/>
        </w:rPr>
        <w:t xml:space="preserve"> indica</w:t>
      </w:r>
      <w:r w:rsidRPr="00762577">
        <w:rPr>
          <w:rFonts w:ascii="Cambria" w:hAnsi="Cambria"/>
          <w:sz w:val="20"/>
          <w:szCs w:val="20"/>
          <w:lang w:val="es-AR"/>
        </w:rPr>
        <w:t xml:space="preserve"> que</w:t>
      </w:r>
      <w:r w:rsidR="00494A7C" w:rsidRPr="00762577">
        <w:rPr>
          <w:rFonts w:ascii="Cambria" w:hAnsi="Cambria"/>
          <w:sz w:val="20"/>
          <w:szCs w:val="20"/>
          <w:lang w:val="es-AR"/>
        </w:rPr>
        <w:t xml:space="preserve"> el Ministerio Público alegó que</w:t>
      </w:r>
      <w:r w:rsidRPr="00762577">
        <w:rPr>
          <w:rFonts w:ascii="Cambria" w:hAnsi="Cambria"/>
          <w:sz w:val="20"/>
          <w:szCs w:val="20"/>
          <w:lang w:val="es-AR"/>
        </w:rPr>
        <w:t xml:space="preserve"> m</w:t>
      </w:r>
      <w:r w:rsidR="0010326F" w:rsidRPr="00762577">
        <w:rPr>
          <w:rFonts w:ascii="Cambria" w:hAnsi="Cambria"/>
          <w:sz w:val="20"/>
          <w:szCs w:val="20"/>
          <w:lang w:val="es-AR"/>
        </w:rPr>
        <w:t>ientras era</w:t>
      </w:r>
      <w:r w:rsidR="00497F8D" w:rsidRPr="00762577">
        <w:rPr>
          <w:rFonts w:ascii="Cambria" w:hAnsi="Cambria"/>
          <w:sz w:val="20"/>
          <w:szCs w:val="20"/>
          <w:lang w:val="es-AR"/>
        </w:rPr>
        <w:t xml:space="preserve"> llevado a la comisaría por haber sido encontrado con una sustancia estupefac</w:t>
      </w:r>
      <w:r w:rsidR="005C2949" w:rsidRPr="00762577">
        <w:rPr>
          <w:rFonts w:ascii="Cambria" w:hAnsi="Cambria"/>
          <w:sz w:val="20"/>
          <w:szCs w:val="20"/>
          <w:lang w:val="es-AR"/>
        </w:rPr>
        <w:t>iente</w:t>
      </w:r>
      <w:r w:rsidR="00EA457B" w:rsidRPr="00762577">
        <w:rPr>
          <w:rFonts w:ascii="Cambria" w:hAnsi="Cambria"/>
          <w:sz w:val="20"/>
          <w:szCs w:val="20"/>
          <w:lang w:val="es-AR"/>
        </w:rPr>
        <w:t xml:space="preserve">, </w:t>
      </w:r>
      <w:r w:rsidR="00624726" w:rsidRPr="00762577">
        <w:rPr>
          <w:rFonts w:ascii="Cambria" w:hAnsi="Cambria"/>
          <w:sz w:val="20"/>
          <w:szCs w:val="20"/>
          <w:lang w:val="es-AR"/>
        </w:rPr>
        <w:t>la presunta víctima</w:t>
      </w:r>
      <w:r w:rsidR="00EA457B" w:rsidRPr="00762577">
        <w:rPr>
          <w:rFonts w:ascii="Cambria" w:hAnsi="Cambria"/>
          <w:sz w:val="20"/>
          <w:szCs w:val="20"/>
          <w:lang w:val="es-AR"/>
        </w:rPr>
        <w:t xml:space="preserve"> </w:t>
      </w:r>
      <w:r w:rsidR="0034575F" w:rsidRPr="00762577">
        <w:rPr>
          <w:rFonts w:ascii="Cambria" w:hAnsi="Cambria"/>
          <w:sz w:val="20"/>
          <w:szCs w:val="20"/>
          <w:lang w:val="es-AR"/>
        </w:rPr>
        <w:t>desacató un funcionario público en el ejercicio de su función, al</w:t>
      </w:r>
      <w:r w:rsidR="00407D4B" w:rsidRPr="00762577">
        <w:rPr>
          <w:rFonts w:ascii="Cambria" w:hAnsi="Cambria"/>
          <w:sz w:val="20"/>
          <w:szCs w:val="20"/>
          <w:lang w:val="es-AR"/>
        </w:rPr>
        <w:t xml:space="preserve"> decir </w:t>
      </w:r>
      <w:r w:rsidR="00172CFE" w:rsidRPr="00762577">
        <w:rPr>
          <w:rFonts w:ascii="Cambria" w:hAnsi="Cambria"/>
          <w:sz w:val="20"/>
          <w:szCs w:val="20"/>
          <w:lang w:val="es-AR"/>
        </w:rPr>
        <w:t>al</w:t>
      </w:r>
      <w:r w:rsidR="00407D4B" w:rsidRPr="00762577">
        <w:rPr>
          <w:rFonts w:ascii="Cambria" w:hAnsi="Cambria"/>
          <w:sz w:val="20"/>
          <w:szCs w:val="20"/>
          <w:lang w:val="es-AR"/>
        </w:rPr>
        <w:t xml:space="preserve"> policía militar</w:t>
      </w:r>
      <w:r w:rsidR="0034575F" w:rsidRPr="00762577">
        <w:rPr>
          <w:rFonts w:ascii="Cambria" w:hAnsi="Cambria"/>
          <w:sz w:val="20"/>
          <w:szCs w:val="20"/>
          <w:lang w:val="es-AR"/>
        </w:rPr>
        <w:t xml:space="preserve"> </w:t>
      </w:r>
      <w:r w:rsidR="00497F8D" w:rsidRPr="00762577">
        <w:rPr>
          <w:rFonts w:ascii="Cambria" w:hAnsi="Cambria"/>
          <w:i/>
          <w:sz w:val="20"/>
          <w:szCs w:val="20"/>
          <w:lang w:val="es-AR"/>
        </w:rPr>
        <w:t>“Policía sin vergüenza</w:t>
      </w:r>
      <w:r w:rsidR="00497F8D" w:rsidRPr="005269A4">
        <w:rPr>
          <w:rFonts w:ascii="Cambria" w:hAnsi="Cambria"/>
          <w:i/>
          <w:sz w:val="20"/>
          <w:szCs w:val="20"/>
          <w:lang w:val="es-AR"/>
        </w:rPr>
        <w:t>, corrupto, ladrón y vagabundo, no me quedaré detenido para siempre, te van a joder, vas a morir</w:t>
      </w:r>
      <w:r w:rsidR="00497F8D" w:rsidRPr="008A5BAE">
        <w:rPr>
          <w:rFonts w:ascii="Cambria" w:hAnsi="Cambria"/>
          <w:i/>
          <w:sz w:val="20"/>
          <w:szCs w:val="20"/>
          <w:lang w:val="es-AR"/>
        </w:rPr>
        <w:t>”</w:t>
      </w:r>
      <w:r w:rsidR="00494A7C">
        <w:rPr>
          <w:rFonts w:ascii="Cambria" w:hAnsi="Cambria"/>
          <w:sz w:val="20"/>
          <w:szCs w:val="20"/>
          <w:lang w:val="es-AR"/>
        </w:rPr>
        <w:t xml:space="preserve">. </w:t>
      </w:r>
    </w:p>
    <w:p w14:paraId="0C434FCF" w14:textId="78E183C1" w:rsidR="002C1D4A" w:rsidRPr="00BB314D" w:rsidRDefault="00A76AE3" w:rsidP="00A64A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Del análisis del expediente</w:t>
      </w:r>
      <w:r w:rsidR="0079370A">
        <w:rPr>
          <w:rFonts w:ascii="Cambria" w:hAnsi="Cambria"/>
          <w:sz w:val="20"/>
          <w:szCs w:val="20"/>
          <w:lang w:val="es-AR"/>
        </w:rPr>
        <w:t>,</w:t>
      </w:r>
      <w:r>
        <w:rPr>
          <w:rFonts w:ascii="Cambria" w:hAnsi="Cambria"/>
          <w:sz w:val="20"/>
          <w:szCs w:val="20"/>
          <w:lang w:val="es-AR"/>
        </w:rPr>
        <w:t xml:space="preserve"> se desprende que l</w:t>
      </w:r>
      <w:r w:rsidR="0054620A">
        <w:rPr>
          <w:rFonts w:ascii="Cambria" w:hAnsi="Cambria"/>
          <w:sz w:val="20"/>
          <w:szCs w:val="20"/>
          <w:lang w:val="es-AR"/>
        </w:rPr>
        <w:t>a defensa de la presunta víctima sostuvo</w:t>
      </w:r>
      <w:r w:rsidR="00B71774" w:rsidRPr="00A7777D">
        <w:rPr>
          <w:rFonts w:ascii="Cambria" w:hAnsi="Cambria"/>
          <w:sz w:val="20"/>
          <w:szCs w:val="20"/>
          <w:lang w:val="es-AR"/>
        </w:rPr>
        <w:t xml:space="preserve"> </w:t>
      </w:r>
      <w:r w:rsidR="003A34EF">
        <w:rPr>
          <w:rFonts w:ascii="Cambria" w:hAnsi="Cambria"/>
          <w:sz w:val="20"/>
          <w:szCs w:val="20"/>
          <w:lang w:val="es-AR"/>
        </w:rPr>
        <w:t>en</w:t>
      </w:r>
      <w:r w:rsidR="00B657E2">
        <w:rPr>
          <w:rFonts w:ascii="Cambria" w:hAnsi="Cambria"/>
          <w:sz w:val="20"/>
          <w:szCs w:val="20"/>
          <w:lang w:val="es-AR"/>
        </w:rPr>
        <w:t xml:space="preserve"> el proceso penal en su contra </w:t>
      </w:r>
      <w:r w:rsidR="00B71774" w:rsidRPr="00A7777D">
        <w:rPr>
          <w:rFonts w:ascii="Cambria" w:hAnsi="Cambria"/>
          <w:sz w:val="20"/>
          <w:szCs w:val="20"/>
          <w:lang w:val="es-AR"/>
        </w:rPr>
        <w:t>que el</w:t>
      </w:r>
      <w:r w:rsidR="00B657E2">
        <w:rPr>
          <w:rFonts w:ascii="Cambria" w:hAnsi="Cambria"/>
          <w:sz w:val="20"/>
          <w:szCs w:val="20"/>
          <w:lang w:val="es-AR"/>
        </w:rPr>
        <w:t xml:space="preserve"> artículo 331 del </w:t>
      </w:r>
      <w:r w:rsidR="005C4FBD">
        <w:rPr>
          <w:rFonts w:ascii="Cambria" w:hAnsi="Cambria"/>
          <w:sz w:val="20"/>
          <w:szCs w:val="20"/>
          <w:lang w:val="es-AR"/>
        </w:rPr>
        <w:t>CP</w:t>
      </w:r>
      <w:r w:rsidR="00B71774" w:rsidRPr="00A7777D">
        <w:rPr>
          <w:rFonts w:ascii="Cambria" w:hAnsi="Cambria"/>
          <w:sz w:val="20"/>
          <w:szCs w:val="20"/>
          <w:lang w:val="es-AR"/>
        </w:rPr>
        <w:t xml:space="preserve"> </w:t>
      </w:r>
      <w:r w:rsidR="008A5BAE" w:rsidRPr="00A7777D">
        <w:rPr>
          <w:rFonts w:ascii="Cambria" w:hAnsi="Cambria"/>
          <w:sz w:val="20"/>
          <w:szCs w:val="20"/>
          <w:lang w:val="es-AR"/>
        </w:rPr>
        <w:t>ha sido derogado por el artícul</w:t>
      </w:r>
      <w:r w:rsidR="00A11981">
        <w:rPr>
          <w:rFonts w:ascii="Cambria" w:hAnsi="Cambria"/>
          <w:sz w:val="20"/>
          <w:szCs w:val="20"/>
          <w:lang w:val="es-AR"/>
        </w:rPr>
        <w:t>o 13 de la CADH</w:t>
      </w:r>
      <w:r w:rsidR="0054620A">
        <w:rPr>
          <w:rFonts w:ascii="Cambria" w:hAnsi="Cambria"/>
          <w:sz w:val="20"/>
          <w:szCs w:val="20"/>
          <w:lang w:val="es-AR"/>
        </w:rPr>
        <w:t>. Luego, en un</w:t>
      </w:r>
      <w:r w:rsidR="00556B12">
        <w:rPr>
          <w:rFonts w:ascii="Cambria" w:hAnsi="Cambria"/>
          <w:sz w:val="20"/>
          <w:szCs w:val="20"/>
          <w:lang w:val="es-AR"/>
        </w:rPr>
        <w:t xml:space="preserve"> control de convencionalidad con dicho tratado, requirió la inaplicación del artículo 33</w:t>
      </w:r>
      <w:r w:rsidR="00023F39">
        <w:rPr>
          <w:rFonts w:ascii="Cambria" w:hAnsi="Cambria"/>
          <w:sz w:val="20"/>
          <w:szCs w:val="20"/>
          <w:lang w:val="es-AR"/>
        </w:rPr>
        <w:t>1</w:t>
      </w:r>
      <w:r w:rsidR="00556B12">
        <w:rPr>
          <w:rFonts w:ascii="Cambria" w:hAnsi="Cambria"/>
          <w:sz w:val="20"/>
          <w:szCs w:val="20"/>
          <w:lang w:val="es-AR"/>
        </w:rPr>
        <w:t xml:space="preserve">, y </w:t>
      </w:r>
      <w:r w:rsidR="00556B12" w:rsidRPr="00023F39">
        <w:rPr>
          <w:rFonts w:ascii="Cambria" w:hAnsi="Cambria"/>
          <w:sz w:val="20"/>
          <w:szCs w:val="20"/>
          <w:lang w:val="es-AR"/>
        </w:rPr>
        <w:t xml:space="preserve">de este modo, la absolución de </w:t>
      </w:r>
      <w:r w:rsidR="003C6372">
        <w:rPr>
          <w:rFonts w:ascii="Cambria" w:hAnsi="Cambria"/>
          <w:sz w:val="20"/>
          <w:szCs w:val="20"/>
          <w:lang w:val="es-AR"/>
        </w:rPr>
        <w:t>Macedo</w:t>
      </w:r>
      <w:r w:rsidR="00556B12" w:rsidRPr="00023F39">
        <w:rPr>
          <w:rFonts w:ascii="Cambria" w:hAnsi="Cambria"/>
          <w:sz w:val="20"/>
          <w:szCs w:val="20"/>
          <w:lang w:val="es-AR"/>
        </w:rPr>
        <w:t xml:space="preserve">. A pesar de lo anterior, </w:t>
      </w:r>
      <w:r w:rsidR="008A5BAE" w:rsidRPr="00023F39">
        <w:rPr>
          <w:rFonts w:ascii="Cambria" w:hAnsi="Cambria"/>
          <w:sz w:val="20"/>
          <w:szCs w:val="20"/>
          <w:lang w:val="es-AR"/>
        </w:rPr>
        <w:t>el juez de primera instancia</w:t>
      </w:r>
      <w:r w:rsidR="003C6372">
        <w:rPr>
          <w:rFonts w:ascii="Cambria" w:hAnsi="Cambria"/>
          <w:sz w:val="20"/>
          <w:szCs w:val="20"/>
          <w:lang w:val="es-AR"/>
        </w:rPr>
        <w:t xml:space="preserve"> le</w:t>
      </w:r>
      <w:r w:rsidR="008A5BAE" w:rsidRPr="00023F39">
        <w:rPr>
          <w:rFonts w:ascii="Cambria" w:hAnsi="Cambria"/>
          <w:sz w:val="20"/>
          <w:szCs w:val="20"/>
          <w:lang w:val="es-AR"/>
        </w:rPr>
        <w:t xml:space="preserve"> condenó </w:t>
      </w:r>
      <w:r w:rsidR="00A7777D" w:rsidRPr="00023F39">
        <w:rPr>
          <w:rFonts w:ascii="Cambria" w:hAnsi="Cambria"/>
          <w:sz w:val="20"/>
          <w:szCs w:val="20"/>
          <w:lang w:val="es-AR"/>
        </w:rPr>
        <w:t xml:space="preserve">a un año de detención en régimen abierto </w:t>
      </w:r>
      <w:r w:rsidR="00556B12" w:rsidRPr="00023F39">
        <w:rPr>
          <w:rFonts w:ascii="Cambria" w:hAnsi="Cambria"/>
          <w:sz w:val="20"/>
          <w:szCs w:val="20"/>
          <w:lang w:val="es-AR"/>
        </w:rPr>
        <w:t xml:space="preserve">por el delito de desacato </w:t>
      </w:r>
      <w:r w:rsidR="00023F39" w:rsidRPr="00023F39">
        <w:rPr>
          <w:rFonts w:ascii="Cambria" w:hAnsi="Cambria"/>
          <w:sz w:val="20"/>
          <w:szCs w:val="20"/>
          <w:lang w:val="es-AR"/>
        </w:rPr>
        <w:t xml:space="preserve">y </w:t>
      </w:r>
      <w:r w:rsidR="00A7777D" w:rsidRPr="00023F39">
        <w:rPr>
          <w:rFonts w:ascii="Cambria" w:hAnsi="Cambria"/>
          <w:sz w:val="20"/>
          <w:szCs w:val="20"/>
          <w:lang w:val="es-AR"/>
        </w:rPr>
        <w:t>a 8 meses de prestación de servici</w:t>
      </w:r>
      <w:r w:rsidR="00023F39" w:rsidRPr="00023F39">
        <w:rPr>
          <w:rFonts w:ascii="Cambria" w:hAnsi="Cambria"/>
          <w:sz w:val="20"/>
          <w:szCs w:val="20"/>
          <w:lang w:val="es-AR"/>
        </w:rPr>
        <w:t xml:space="preserve">os por la portación de drogas. </w:t>
      </w:r>
      <w:r w:rsidR="00125365" w:rsidRPr="00023F39">
        <w:rPr>
          <w:rFonts w:ascii="Cambria" w:hAnsi="Cambria"/>
          <w:sz w:val="20"/>
          <w:szCs w:val="20"/>
          <w:lang w:val="es-AR"/>
        </w:rPr>
        <w:t>En el fallo, el juez</w:t>
      </w:r>
      <w:r w:rsidR="008A5BAE" w:rsidRPr="00023F39">
        <w:rPr>
          <w:rFonts w:ascii="Cambria" w:hAnsi="Cambria"/>
          <w:sz w:val="20"/>
          <w:szCs w:val="20"/>
          <w:lang w:val="es-AR"/>
        </w:rPr>
        <w:t xml:space="preserve"> sost</w:t>
      </w:r>
      <w:r w:rsidR="000A4798" w:rsidRPr="00023F39">
        <w:rPr>
          <w:rFonts w:ascii="Cambria" w:hAnsi="Cambria"/>
          <w:sz w:val="20"/>
          <w:szCs w:val="20"/>
          <w:lang w:val="es-AR"/>
        </w:rPr>
        <w:t>uvo</w:t>
      </w:r>
      <w:r w:rsidR="00995D07">
        <w:rPr>
          <w:rFonts w:ascii="Cambria" w:hAnsi="Cambria"/>
          <w:sz w:val="20"/>
          <w:szCs w:val="20"/>
          <w:lang w:val="es-AR"/>
        </w:rPr>
        <w:t xml:space="preserve">, entre otros, </w:t>
      </w:r>
      <w:r w:rsidR="00995D07" w:rsidRPr="00BB314D">
        <w:rPr>
          <w:rFonts w:ascii="Cambria" w:hAnsi="Cambria"/>
          <w:sz w:val="20"/>
          <w:szCs w:val="20"/>
          <w:lang w:val="es-AR"/>
        </w:rPr>
        <w:t>que</w:t>
      </w:r>
      <w:r w:rsidR="001130C2" w:rsidRPr="00BB314D">
        <w:rPr>
          <w:rFonts w:ascii="Cambria" w:hAnsi="Cambria"/>
          <w:sz w:val="20"/>
          <w:szCs w:val="20"/>
          <w:lang w:val="es-AR"/>
        </w:rPr>
        <w:t xml:space="preserve"> </w:t>
      </w:r>
      <w:r w:rsidR="00995D07" w:rsidRPr="00BB314D">
        <w:rPr>
          <w:rFonts w:ascii="Cambria" w:hAnsi="Cambria"/>
          <w:sz w:val="20"/>
          <w:szCs w:val="20"/>
          <w:lang w:val="es-AR"/>
        </w:rPr>
        <w:t>“[</w:t>
      </w:r>
      <w:r w:rsidR="00023F39" w:rsidRPr="00BB314D">
        <w:rPr>
          <w:rFonts w:ascii="Cambria" w:hAnsi="Cambria"/>
          <w:sz w:val="20"/>
          <w:szCs w:val="20"/>
          <w:lang w:val="es-AR"/>
        </w:rPr>
        <w:t>a</w:t>
      </w:r>
      <w:r w:rsidR="00995D07" w:rsidRPr="00BB314D">
        <w:rPr>
          <w:rFonts w:ascii="Cambria" w:hAnsi="Cambria"/>
          <w:sz w:val="20"/>
          <w:szCs w:val="20"/>
          <w:lang w:val="es-AR"/>
        </w:rPr>
        <w:t>]</w:t>
      </w:r>
      <w:r w:rsidR="00023F39" w:rsidRPr="00BB314D">
        <w:rPr>
          <w:rFonts w:ascii="Cambria" w:hAnsi="Cambria"/>
          <w:sz w:val="20"/>
          <w:szCs w:val="20"/>
          <w:lang w:val="es-AR"/>
        </w:rPr>
        <w:t>unque haya incompatibilidad del tipo penal del art. 331 con la mencionada Convención, eso por sí mismo, no tiene el poder de revocar la norma del art. 331</w:t>
      </w:r>
      <w:r w:rsidR="00A11981" w:rsidRPr="00BB314D">
        <w:rPr>
          <w:rFonts w:ascii="Cambria" w:hAnsi="Cambria"/>
          <w:sz w:val="20"/>
          <w:szCs w:val="20"/>
          <w:lang w:val="es-AR"/>
        </w:rPr>
        <w:t xml:space="preserve"> del CP”. </w:t>
      </w:r>
      <w:r w:rsidR="004D0B07" w:rsidRPr="00BB314D">
        <w:rPr>
          <w:rFonts w:ascii="Cambria" w:hAnsi="Cambria"/>
          <w:sz w:val="20"/>
          <w:szCs w:val="20"/>
          <w:lang w:val="es-AR"/>
        </w:rPr>
        <w:t xml:space="preserve">Ante esta decisión, la parte peticionaria </w:t>
      </w:r>
      <w:r w:rsidR="001130C2" w:rsidRPr="00BB314D">
        <w:rPr>
          <w:rFonts w:ascii="Cambria" w:hAnsi="Cambria"/>
          <w:sz w:val="20"/>
          <w:szCs w:val="20"/>
          <w:lang w:val="es-AR"/>
        </w:rPr>
        <w:t>recurrió a la Corte de Apelaciones</w:t>
      </w:r>
      <w:r w:rsidR="00D537D8" w:rsidRPr="00BB314D">
        <w:rPr>
          <w:rFonts w:ascii="Cambria" w:hAnsi="Cambria"/>
          <w:sz w:val="20"/>
          <w:szCs w:val="20"/>
          <w:lang w:val="es-AR"/>
        </w:rPr>
        <w:t xml:space="preserve"> [</w:t>
      </w:r>
      <w:r w:rsidR="004D0B07" w:rsidRPr="00BB314D">
        <w:rPr>
          <w:rFonts w:ascii="Cambria" w:hAnsi="Cambria"/>
          <w:i/>
          <w:sz w:val="20"/>
          <w:szCs w:val="20"/>
          <w:lang w:val="es-AR"/>
        </w:rPr>
        <w:t>Turma Recursal</w:t>
      </w:r>
      <w:r w:rsidR="004D0B07" w:rsidRPr="00BB314D">
        <w:rPr>
          <w:rFonts w:ascii="Cambria" w:hAnsi="Cambria"/>
          <w:sz w:val="20"/>
          <w:szCs w:val="20"/>
          <w:lang w:val="es-AR"/>
        </w:rPr>
        <w:t>]</w:t>
      </w:r>
      <w:r w:rsidR="00DE50DB" w:rsidRPr="00BB314D">
        <w:rPr>
          <w:rFonts w:ascii="Cambria" w:hAnsi="Cambria"/>
          <w:sz w:val="20"/>
          <w:szCs w:val="20"/>
          <w:lang w:val="es-AR"/>
        </w:rPr>
        <w:t>,</w:t>
      </w:r>
      <w:r w:rsidR="003C6372" w:rsidRPr="00BB314D">
        <w:rPr>
          <w:rFonts w:ascii="Cambria" w:hAnsi="Cambria"/>
          <w:sz w:val="20"/>
          <w:szCs w:val="20"/>
          <w:lang w:val="es-AR"/>
        </w:rPr>
        <w:t xml:space="preserve"> que confirmó la sentencia de primera instancia con respecto al delito de desacato, reduciendo la pena privativa de la libertad a 7 meses, con un régimen abierto y la suspensión condicional de la ejecución de la sentencia.</w:t>
      </w:r>
      <w:r w:rsidR="00DE50DB" w:rsidRPr="00BB314D">
        <w:rPr>
          <w:rFonts w:ascii="Cambria" w:hAnsi="Cambria"/>
          <w:sz w:val="20"/>
          <w:szCs w:val="20"/>
          <w:lang w:val="es-AR"/>
        </w:rPr>
        <w:t xml:space="preserve"> </w:t>
      </w:r>
      <w:r w:rsidR="00A11981" w:rsidRPr="00BB314D">
        <w:rPr>
          <w:rFonts w:ascii="Cambria" w:hAnsi="Cambria"/>
          <w:sz w:val="20"/>
          <w:szCs w:val="20"/>
          <w:lang w:val="es-AR"/>
        </w:rPr>
        <w:t>D</w:t>
      </w:r>
      <w:r w:rsidR="003C6372" w:rsidRPr="00BB314D">
        <w:rPr>
          <w:rFonts w:ascii="Cambria" w:hAnsi="Cambria"/>
          <w:sz w:val="20"/>
          <w:szCs w:val="20"/>
          <w:lang w:val="es-AR"/>
        </w:rPr>
        <w:t xml:space="preserve">icha Corte </w:t>
      </w:r>
      <w:r w:rsidR="001130C2" w:rsidRPr="00BB314D">
        <w:rPr>
          <w:rFonts w:ascii="Cambria" w:hAnsi="Cambria"/>
          <w:sz w:val="20"/>
          <w:szCs w:val="20"/>
          <w:lang w:val="es-AR"/>
        </w:rPr>
        <w:t>sostuvo</w:t>
      </w:r>
      <w:r w:rsidR="00DE50DB" w:rsidRPr="00BB314D">
        <w:rPr>
          <w:rFonts w:ascii="Cambria" w:hAnsi="Cambria"/>
          <w:sz w:val="20"/>
          <w:szCs w:val="20"/>
          <w:lang w:val="es-AR"/>
        </w:rPr>
        <w:t xml:space="preserve"> </w:t>
      </w:r>
      <w:r w:rsidR="003C6372" w:rsidRPr="00BB314D">
        <w:rPr>
          <w:rFonts w:ascii="Cambria" w:hAnsi="Cambria"/>
          <w:sz w:val="20"/>
          <w:szCs w:val="20"/>
          <w:lang w:val="es-AR"/>
        </w:rPr>
        <w:t>que</w:t>
      </w:r>
      <w:r w:rsidR="000A7327" w:rsidRPr="00BB314D">
        <w:rPr>
          <w:rFonts w:ascii="Cambria" w:hAnsi="Cambria"/>
          <w:sz w:val="20"/>
          <w:szCs w:val="20"/>
          <w:lang w:val="es-AR"/>
        </w:rPr>
        <w:t xml:space="preserve"> </w:t>
      </w:r>
      <w:r w:rsidR="00995D07" w:rsidRPr="00BB314D">
        <w:rPr>
          <w:rFonts w:ascii="Cambria" w:hAnsi="Cambria"/>
          <w:sz w:val="20"/>
          <w:szCs w:val="20"/>
          <w:lang w:val="es-AR"/>
        </w:rPr>
        <w:t xml:space="preserve">el derecho garantizado </w:t>
      </w:r>
      <w:r w:rsidR="00DE50DB" w:rsidRPr="00BB314D">
        <w:rPr>
          <w:rFonts w:ascii="Cambria" w:hAnsi="Cambria"/>
          <w:sz w:val="20"/>
          <w:szCs w:val="20"/>
          <w:lang w:val="es-AR"/>
        </w:rPr>
        <w:t xml:space="preserve">por el art. 13 de la </w:t>
      </w:r>
      <w:r w:rsidR="000B30B0" w:rsidRPr="00BB314D">
        <w:rPr>
          <w:rFonts w:ascii="Cambria" w:hAnsi="Cambria"/>
          <w:sz w:val="20"/>
          <w:szCs w:val="20"/>
          <w:lang w:val="es-AR"/>
        </w:rPr>
        <w:t>CADH</w:t>
      </w:r>
      <w:r w:rsidR="00DE50DB" w:rsidRPr="00BB314D">
        <w:rPr>
          <w:rFonts w:ascii="Cambria" w:hAnsi="Cambria"/>
          <w:sz w:val="20"/>
          <w:szCs w:val="20"/>
          <w:lang w:val="es-AR"/>
        </w:rPr>
        <w:t xml:space="preserve"> </w:t>
      </w:r>
      <w:r w:rsidR="00995D07" w:rsidRPr="00BB314D">
        <w:rPr>
          <w:rFonts w:ascii="Cambria" w:hAnsi="Cambria"/>
          <w:sz w:val="20"/>
          <w:szCs w:val="20"/>
          <w:lang w:val="es-AR"/>
        </w:rPr>
        <w:t>“[</w:t>
      </w:r>
      <w:r w:rsidR="000A7327" w:rsidRPr="00BB314D">
        <w:rPr>
          <w:rFonts w:ascii="Cambria" w:hAnsi="Cambria"/>
          <w:sz w:val="20"/>
          <w:szCs w:val="20"/>
          <w:lang w:val="es-AR"/>
        </w:rPr>
        <w:t>n</w:t>
      </w:r>
      <w:r w:rsidR="00995D07" w:rsidRPr="00BB314D">
        <w:rPr>
          <w:rFonts w:ascii="Cambria" w:hAnsi="Cambria"/>
          <w:sz w:val="20"/>
          <w:szCs w:val="20"/>
          <w:lang w:val="es-AR"/>
        </w:rPr>
        <w:t>]</w:t>
      </w:r>
      <w:r w:rsidR="000A7327" w:rsidRPr="00BB314D">
        <w:rPr>
          <w:rFonts w:ascii="Cambria" w:hAnsi="Cambria"/>
          <w:sz w:val="20"/>
          <w:szCs w:val="20"/>
          <w:lang w:val="es-AR"/>
        </w:rPr>
        <w:t xml:space="preserve">o autoriza </w:t>
      </w:r>
      <w:r w:rsidR="00DE50DB" w:rsidRPr="00BB314D">
        <w:rPr>
          <w:rFonts w:ascii="Cambria" w:hAnsi="Cambria"/>
          <w:sz w:val="20"/>
          <w:szCs w:val="20"/>
          <w:lang w:val="es-AR"/>
        </w:rPr>
        <w:t>que se irrogue</w:t>
      </w:r>
      <w:r w:rsidR="000A7327" w:rsidRPr="00BB314D">
        <w:rPr>
          <w:rFonts w:ascii="Cambria" w:hAnsi="Cambria"/>
          <w:sz w:val="20"/>
          <w:szCs w:val="20"/>
          <w:lang w:val="es-AR"/>
        </w:rPr>
        <w:t xml:space="preserve"> expresiones injuriosas, ofensivas y humillantes contra un servidor p</w:t>
      </w:r>
      <w:r w:rsidR="00116215" w:rsidRPr="00BB314D">
        <w:rPr>
          <w:rFonts w:ascii="Cambria" w:hAnsi="Cambria"/>
          <w:sz w:val="20"/>
          <w:szCs w:val="20"/>
          <w:lang w:val="es-AR"/>
        </w:rPr>
        <w:t>úblico</w:t>
      </w:r>
      <w:r w:rsidR="00DE50DB" w:rsidRPr="00BB314D">
        <w:rPr>
          <w:rFonts w:ascii="Cambria" w:hAnsi="Cambria"/>
          <w:sz w:val="20"/>
          <w:szCs w:val="20"/>
          <w:lang w:val="es-AR"/>
        </w:rPr>
        <w:t xml:space="preserve">; por eso, no cabe </w:t>
      </w:r>
      <w:r w:rsidR="00941A8A" w:rsidRPr="00BB314D">
        <w:rPr>
          <w:rFonts w:ascii="Cambria" w:hAnsi="Cambria"/>
          <w:sz w:val="20"/>
          <w:szCs w:val="20"/>
          <w:lang w:val="es-AR"/>
        </w:rPr>
        <w:t>aducir</w:t>
      </w:r>
      <w:r w:rsidR="00DE50DB" w:rsidRPr="00BB314D">
        <w:rPr>
          <w:rFonts w:ascii="Cambria" w:hAnsi="Cambria"/>
          <w:sz w:val="20"/>
          <w:szCs w:val="20"/>
          <w:lang w:val="es-AR"/>
        </w:rPr>
        <w:t xml:space="preserve"> la derogación del delito de desacato”. </w:t>
      </w:r>
      <w:r w:rsidR="00756F70" w:rsidRPr="00BB314D">
        <w:rPr>
          <w:rFonts w:ascii="Cambria" w:hAnsi="Cambria"/>
          <w:sz w:val="20"/>
          <w:szCs w:val="20"/>
          <w:lang w:val="es-AR"/>
        </w:rPr>
        <w:t xml:space="preserve">La parte peticionaria alega que con </w:t>
      </w:r>
      <w:r w:rsidR="009712EA" w:rsidRPr="00BB314D">
        <w:rPr>
          <w:rFonts w:ascii="Cambria" w:hAnsi="Cambria"/>
          <w:sz w:val="20"/>
          <w:szCs w:val="20"/>
          <w:lang w:val="es-AR"/>
        </w:rPr>
        <w:t>esta</w:t>
      </w:r>
      <w:r w:rsidR="00756F70" w:rsidRPr="00BB314D">
        <w:rPr>
          <w:rFonts w:ascii="Cambria" w:hAnsi="Cambria"/>
          <w:sz w:val="20"/>
          <w:szCs w:val="20"/>
          <w:lang w:val="es-AR"/>
        </w:rPr>
        <w:t xml:space="preserve"> dec</w:t>
      </w:r>
      <w:r w:rsidR="00A11981" w:rsidRPr="00BB314D">
        <w:rPr>
          <w:rFonts w:ascii="Cambria" w:hAnsi="Cambria"/>
          <w:sz w:val="20"/>
          <w:szCs w:val="20"/>
          <w:lang w:val="es-AR"/>
        </w:rPr>
        <w:t>isión</w:t>
      </w:r>
      <w:r w:rsidR="00756F70" w:rsidRPr="00BB314D">
        <w:rPr>
          <w:rFonts w:ascii="Cambria" w:hAnsi="Cambria"/>
          <w:sz w:val="20"/>
          <w:szCs w:val="20"/>
          <w:lang w:val="es-AR"/>
        </w:rPr>
        <w:t>, registrada el 25 de agosto de 2012, agotó los recursos internos en lo que refiere al delito de desacato</w:t>
      </w:r>
      <w:r w:rsidR="00FA4F8C" w:rsidRPr="00BB314D">
        <w:rPr>
          <w:rFonts w:ascii="Cambria" w:hAnsi="Cambria"/>
          <w:sz w:val="20"/>
          <w:szCs w:val="20"/>
          <w:lang w:val="es-AR"/>
        </w:rPr>
        <w:t xml:space="preserve">, al afirmar que fueron agotadas “[l]as dos instancias estaduales para intentar garantizar la vigencia del artículo 13 de la [CADH], que se </w:t>
      </w:r>
      <w:r w:rsidR="000B30B0" w:rsidRPr="00BB314D">
        <w:rPr>
          <w:rFonts w:ascii="Cambria" w:hAnsi="Cambria"/>
          <w:sz w:val="20"/>
          <w:szCs w:val="20"/>
          <w:lang w:val="es-AR"/>
        </w:rPr>
        <w:t>sobrepone</w:t>
      </w:r>
      <w:r w:rsidR="00FA4F8C" w:rsidRPr="00BB314D">
        <w:rPr>
          <w:rFonts w:ascii="Cambria" w:hAnsi="Cambria"/>
          <w:sz w:val="20"/>
          <w:szCs w:val="20"/>
          <w:lang w:val="es-AR"/>
        </w:rPr>
        <w:t xml:space="preserve"> al artículo 331 del  Código Penal brasileño”</w:t>
      </w:r>
      <w:r w:rsidR="00756F70" w:rsidRPr="00BB314D">
        <w:rPr>
          <w:rFonts w:ascii="Cambria" w:hAnsi="Cambria"/>
          <w:sz w:val="20"/>
          <w:szCs w:val="20"/>
          <w:lang w:val="es-AR"/>
        </w:rPr>
        <w:t xml:space="preserve">. </w:t>
      </w:r>
    </w:p>
    <w:p w14:paraId="2FD8DE21" w14:textId="7F5AEA5D" w:rsidR="003C6372" w:rsidRPr="0069190A" w:rsidRDefault="00253471" w:rsidP="00A64A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BB314D">
        <w:rPr>
          <w:rFonts w:ascii="Cambria" w:hAnsi="Cambria"/>
          <w:sz w:val="20"/>
          <w:szCs w:val="20"/>
          <w:lang w:val="es-AR"/>
        </w:rPr>
        <w:t>Finalmente</w:t>
      </w:r>
      <w:r w:rsidR="003C6372" w:rsidRPr="00BB314D">
        <w:rPr>
          <w:rFonts w:ascii="Cambria" w:hAnsi="Cambria"/>
          <w:sz w:val="20"/>
          <w:szCs w:val="20"/>
          <w:lang w:val="es-ES"/>
        </w:rPr>
        <w:t xml:space="preserve">, </w:t>
      </w:r>
      <w:r w:rsidR="003A34EF" w:rsidRPr="00BB314D">
        <w:rPr>
          <w:rFonts w:ascii="Cambria" w:hAnsi="Cambria"/>
          <w:sz w:val="20"/>
          <w:szCs w:val="20"/>
          <w:lang w:val="es-ES"/>
        </w:rPr>
        <w:t xml:space="preserve">la parte peticionaria </w:t>
      </w:r>
      <w:r w:rsidRPr="00BB314D">
        <w:rPr>
          <w:rFonts w:ascii="Cambria" w:hAnsi="Cambria"/>
          <w:sz w:val="20"/>
          <w:szCs w:val="20"/>
          <w:lang w:val="es-ES"/>
        </w:rPr>
        <w:t>indica</w:t>
      </w:r>
      <w:r w:rsidR="00F93D71" w:rsidRPr="00BB314D">
        <w:rPr>
          <w:rFonts w:ascii="Cambria" w:hAnsi="Cambria"/>
          <w:sz w:val="20"/>
          <w:szCs w:val="20"/>
          <w:lang w:val="es-ES"/>
        </w:rPr>
        <w:t xml:space="preserve"> que la decisión final </w:t>
      </w:r>
      <w:r w:rsidR="00BA7DBC" w:rsidRPr="00BB314D">
        <w:rPr>
          <w:rFonts w:ascii="Cambria" w:hAnsi="Cambria"/>
          <w:sz w:val="20"/>
          <w:szCs w:val="20"/>
          <w:lang w:val="es-ES"/>
        </w:rPr>
        <w:t>que condena a Macedo</w:t>
      </w:r>
      <w:r w:rsidR="00F93D71" w:rsidRPr="00BB314D">
        <w:rPr>
          <w:rFonts w:ascii="Cambria" w:hAnsi="Cambria"/>
          <w:sz w:val="20"/>
          <w:szCs w:val="20"/>
          <w:lang w:val="es-ES"/>
        </w:rPr>
        <w:t xml:space="preserve"> al cumplimiento de una pena por el </w:t>
      </w:r>
      <w:r w:rsidR="004011A1" w:rsidRPr="00BB314D">
        <w:rPr>
          <w:rFonts w:ascii="Cambria" w:hAnsi="Cambria"/>
          <w:sz w:val="20"/>
          <w:szCs w:val="20"/>
          <w:lang w:val="es-ES"/>
        </w:rPr>
        <w:t>delito</w:t>
      </w:r>
      <w:r w:rsidR="00F93D71" w:rsidRPr="00BB314D">
        <w:rPr>
          <w:rFonts w:ascii="Cambria" w:hAnsi="Cambria"/>
          <w:sz w:val="20"/>
          <w:szCs w:val="20"/>
          <w:lang w:val="es-ES"/>
        </w:rPr>
        <w:t xml:space="preserve"> de desacato, </w:t>
      </w:r>
      <w:r w:rsidR="00F93D71" w:rsidRPr="00BB314D">
        <w:rPr>
          <w:rFonts w:ascii="Cambria" w:hAnsi="Cambria"/>
          <w:sz w:val="20"/>
          <w:szCs w:val="20"/>
          <w:lang w:val="es-AR"/>
        </w:rPr>
        <w:t>y la misma existencia</w:t>
      </w:r>
      <w:r w:rsidR="00F93D71" w:rsidRPr="0069190A">
        <w:rPr>
          <w:rFonts w:ascii="Cambria" w:hAnsi="Cambria"/>
          <w:sz w:val="20"/>
          <w:szCs w:val="20"/>
          <w:lang w:val="es-AR"/>
        </w:rPr>
        <w:t xml:space="preserve"> de la tipificación de desacato en el derecho brasileño, violan</w:t>
      </w:r>
      <w:r w:rsidR="00F93D71" w:rsidRPr="0069190A">
        <w:rPr>
          <w:rFonts w:ascii="Cambria" w:hAnsi="Cambria"/>
          <w:sz w:val="20"/>
          <w:szCs w:val="20"/>
          <w:lang w:val="es-ES"/>
        </w:rPr>
        <w:t xml:space="preserve"> el derecho a la libertad de expresión </w:t>
      </w:r>
      <w:r w:rsidR="00652706" w:rsidRPr="0069190A">
        <w:rPr>
          <w:rFonts w:ascii="Cambria" w:hAnsi="Cambria"/>
          <w:sz w:val="20"/>
          <w:szCs w:val="20"/>
          <w:lang w:val="es-ES"/>
        </w:rPr>
        <w:t>previsto</w:t>
      </w:r>
      <w:r w:rsidR="00F93D71" w:rsidRPr="0069190A">
        <w:rPr>
          <w:rFonts w:ascii="Cambria" w:hAnsi="Cambria"/>
          <w:sz w:val="20"/>
          <w:szCs w:val="20"/>
          <w:lang w:val="es-ES"/>
        </w:rPr>
        <w:t xml:space="preserve"> en el artículo 13 de la CADH</w:t>
      </w:r>
      <w:r w:rsidR="008C709E" w:rsidRPr="0069190A">
        <w:rPr>
          <w:rFonts w:ascii="Cambria" w:hAnsi="Cambria"/>
          <w:sz w:val="20"/>
          <w:szCs w:val="20"/>
          <w:lang w:val="es-ES"/>
        </w:rPr>
        <w:t>. Igualmente,</w:t>
      </w:r>
      <w:r w:rsidR="00652706" w:rsidRPr="0069190A">
        <w:rPr>
          <w:rFonts w:ascii="Cambria" w:hAnsi="Cambria"/>
          <w:sz w:val="20"/>
          <w:szCs w:val="20"/>
          <w:lang w:val="es-ES"/>
        </w:rPr>
        <w:t xml:space="preserve"> </w:t>
      </w:r>
      <w:r w:rsidR="008C709E" w:rsidRPr="0069190A">
        <w:rPr>
          <w:rFonts w:ascii="Cambria" w:hAnsi="Cambria"/>
          <w:sz w:val="20"/>
          <w:szCs w:val="20"/>
          <w:lang w:val="es-ES"/>
        </w:rPr>
        <w:t xml:space="preserve">afirma que su </w:t>
      </w:r>
      <w:r w:rsidR="00652706" w:rsidRPr="0069190A">
        <w:rPr>
          <w:rFonts w:ascii="Cambria" w:hAnsi="Cambria"/>
          <w:sz w:val="20"/>
          <w:szCs w:val="20"/>
          <w:lang w:val="es-ES"/>
        </w:rPr>
        <w:t xml:space="preserve">libertad personal </w:t>
      </w:r>
      <w:r w:rsidR="00064385" w:rsidRPr="0069190A">
        <w:rPr>
          <w:rFonts w:ascii="Cambria" w:hAnsi="Cambria"/>
          <w:sz w:val="20"/>
          <w:szCs w:val="20"/>
          <w:lang w:val="es-ES"/>
        </w:rPr>
        <w:t>fue “indebidamente vedada [</w:t>
      </w:r>
      <w:r w:rsidR="00064385" w:rsidRPr="0069190A">
        <w:rPr>
          <w:rFonts w:ascii="Cambria" w:hAnsi="Cambria"/>
          <w:i/>
          <w:sz w:val="20"/>
          <w:szCs w:val="20"/>
          <w:lang w:val="es-ES"/>
        </w:rPr>
        <w:t>tolhida</w:t>
      </w:r>
      <w:r w:rsidR="00064385" w:rsidRPr="0069190A">
        <w:rPr>
          <w:rFonts w:ascii="Cambria" w:hAnsi="Cambria"/>
          <w:sz w:val="20"/>
          <w:szCs w:val="20"/>
          <w:lang w:val="es-ES"/>
        </w:rPr>
        <w:t xml:space="preserve">]” en razón de una condena por la práctica de un crimen incompatible con la CADH; luego, su derecho </w:t>
      </w:r>
      <w:r w:rsidR="005C2949" w:rsidRPr="0069190A">
        <w:rPr>
          <w:rFonts w:ascii="Cambria" w:hAnsi="Cambria"/>
          <w:sz w:val="20"/>
          <w:szCs w:val="20"/>
          <w:lang w:val="es-ES"/>
        </w:rPr>
        <w:t>previsto en el artículo 7.2</w:t>
      </w:r>
      <w:r w:rsidR="00F93D71" w:rsidRPr="0069190A">
        <w:rPr>
          <w:rFonts w:ascii="Cambria" w:hAnsi="Cambria"/>
          <w:sz w:val="20"/>
          <w:szCs w:val="20"/>
          <w:lang w:val="es-ES"/>
        </w:rPr>
        <w:t xml:space="preserve"> de la </w:t>
      </w:r>
      <w:r w:rsidR="005C4FBD" w:rsidRPr="0069190A">
        <w:rPr>
          <w:rFonts w:ascii="Cambria" w:hAnsi="Cambria"/>
          <w:sz w:val="20"/>
          <w:szCs w:val="20"/>
          <w:lang w:val="es-ES"/>
        </w:rPr>
        <w:t>CADH</w:t>
      </w:r>
      <w:r w:rsidR="008C709E" w:rsidRPr="0069190A">
        <w:rPr>
          <w:rFonts w:ascii="Cambria" w:hAnsi="Cambria"/>
          <w:sz w:val="20"/>
          <w:szCs w:val="20"/>
          <w:lang w:val="es-ES"/>
        </w:rPr>
        <w:t xml:space="preserve"> fue violado</w:t>
      </w:r>
      <w:r w:rsidR="00F93D71" w:rsidRPr="0069190A">
        <w:rPr>
          <w:rFonts w:ascii="Cambria" w:hAnsi="Cambria"/>
          <w:sz w:val="20"/>
          <w:szCs w:val="20"/>
          <w:lang w:val="es-ES"/>
        </w:rPr>
        <w:t xml:space="preserve">. </w:t>
      </w:r>
      <w:r w:rsidR="00BC28EC" w:rsidRPr="0069190A">
        <w:rPr>
          <w:rFonts w:ascii="Cambria" w:hAnsi="Cambria"/>
          <w:sz w:val="20"/>
          <w:szCs w:val="20"/>
          <w:lang w:val="es-AR"/>
        </w:rPr>
        <w:t>Observa, asimismo,</w:t>
      </w:r>
      <w:r w:rsidR="003C6372" w:rsidRPr="0069190A">
        <w:rPr>
          <w:rFonts w:ascii="Cambria" w:hAnsi="Cambria"/>
          <w:sz w:val="20"/>
          <w:szCs w:val="20"/>
          <w:lang w:val="es-AR"/>
        </w:rPr>
        <w:t xml:space="preserve"> que en el sistema brasileño, las penas derivadas de condenas penales se cumplen de manera unificada</w:t>
      </w:r>
      <w:r w:rsidR="003C6372" w:rsidRPr="003C6372">
        <w:rPr>
          <w:rFonts w:ascii="Cambria" w:hAnsi="Cambria"/>
          <w:sz w:val="20"/>
          <w:szCs w:val="20"/>
          <w:lang w:val="es-AR"/>
        </w:rPr>
        <w:t xml:space="preserve">, por lo que las penas de todas las condenas se suman para todos los fines legales, incluso para la determinación del régimen de cumplimiento de la pena. </w:t>
      </w:r>
      <w:r w:rsidR="003C6372">
        <w:rPr>
          <w:rFonts w:ascii="Cambria" w:hAnsi="Cambria"/>
          <w:sz w:val="20"/>
          <w:szCs w:val="20"/>
          <w:lang w:val="es-AR"/>
        </w:rPr>
        <w:t>En este sentido, informa</w:t>
      </w:r>
      <w:r w:rsidR="003C6372" w:rsidRPr="003C6372">
        <w:rPr>
          <w:rFonts w:ascii="Cambria" w:hAnsi="Cambria"/>
          <w:sz w:val="20"/>
          <w:szCs w:val="20"/>
          <w:lang w:val="es-AR"/>
        </w:rPr>
        <w:t xml:space="preserve"> que Macedo fue condenado penalmente en 3 procesos, y que </w:t>
      </w:r>
      <w:r w:rsidR="003C6372" w:rsidRPr="005A66C2">
        <w:rPr>
          <w:rFonts w:ascii="Cambria" w:hAnsi="Cambria"/>
          <w:sz w:val="20"/>
          <w:szCs w:val="20"/>
          <w:lang w:val="es-AR"/>
        </w:rPr>
        <w:t>el juez responsable del proceso de ejecución penal unificó las penas y fijó un régimen cerrado para el cumplimiento de todas ellas. Por lo tanto,</w:t>
      </w:r>
      <w:r w:rsidR="00BA7DBC" w:rsidRPr="005A66C2">
        <w:rPr>
          <w:rFonts w:ascii="Cambria" w:hAnsi="Cambria"/>
          <w:sz w:val="20"/>
          <w:szCs w:val="20"/>
          <w:lang w:val="es-AR"/>
        </w:rPr>
        <w:t xml:space="preserve"> sostiene</w:t>
      </w:r>
      <w:r w:rsidR="003C6372" w:rsidRPr="005A66C2">
        <w:rPr>
          <w:rFonts w:ascii="Cambria" w:hAnsi="Cambria"/>
          <w:sz w:val="20"/>
          <w:szCs w:val="20"/>
          <w:lang w:val="es-AR"/>
        </w:rPr>
        <w:t xml:space="preserve"> que la condena por desacato fue incluida en el cálculo unificado de las penas y gen</w:t>
      </w:r>
      <w:r w:rsidR="00836017" w:rsidRPr="005A66C2">
        <w:rPr>
          <w:rFonts w:ascii="Cambria" w:hAnsi="Cambria"/>
          <w:sz w:val="20"/>
          <w:szCs w:val="20"/>
          <w:lang w:val="es-AR"/>
        </w:rPr>
        <w:t xml:space="preserve">eró efectivamente su detención en la Penitenciaria </w:t>
      </w:r>
      <w:r w:rsidR="00836017" w:rsidRPr="0069190A">
        <w:rPr>
          <w:rFonts w:ascii="Cambria" w:hAnsi="Cambria"/>
          <w:sz w:val="20"/>
          <w:szCs w:val="20"/>
          <w:lang w:val="es-AR"/>
        </w:rPr>
        <w:t xml:space="preserve">Estadual de Pacaembu, </w:t>
      </w:r>
      <w:r w:rsidR="00836017" w:rsidRPr="0069190A">
        <w:rPr>
          <w:rStyle w:val="Emphasis"/>
          <w:rFonts w:asciiTheme="majorHAnsi" w:hAnsiTheme="majorHAnsi" w:cs="Arial"/>
          <w:bCs/>
          <w:i w:val="0"/>
          <w:iCs w:val="0"/>
          <w:sz w:val="20"/>
          <w:szCs w:val="20"/>
          <w:shd w:val="clear" w:color="auto" w:fill="FFFFFF"/>
          <w:lang w:val="es-ES"/>
        </w:rPr>
        <w:t>São Paulo.</w:t>
      </w:r>
      <w:r w:rsidR="004F6F26" w:rsidRPr="0069190A">
        <w:rPr>
          <w:rStyle w:val="Emphasis"/>
          <w:rFonts w:asciiTheme="majorHAnsi" w:hAnsiTheme="majorHAnsi" w:cs="Arial"/>
          <w:bCs/>
          <w:i w:val="0"/>
          <w:iCs w:val="0"/>
          <w:sz w:val="20"/>
          <w:szCs w:val="20"/>
          <w:shd w:val="clear" w:color="auto" w:fill="FFFFFF"/>
          <w:lang w:val="es-ES"/>
        </w:rPr>
        <w:t xml:space="preserve"> Afirma, entre otros, que la condena por desacato le “[g]enero</w:t>
      </w:r>
      <w:r w:rsidR="00863E08" w:rsidRPr="0069190A">
        <w:rPr>
          <w:rStyle w:val="Emphasis"/>
          <w:rFonts w:asciiTheme="majorHAnsi" w:hAnsiTheme="majorHAnsi" w:cs="Arial"/>
          <w:bCs/>
          <w:i w:val="0"/>
          <w:iCs w:val="0"/>
          <w:sz w:val="20"/>
          <w:szCs w:val="20"/>
          <w:shd w:val="clear" w:color="auto" w:fill="FFFFFF"/>
          <w:lang w:val="es-ES"/>
        </w:rPr>
        <w:t xml:space="preserve"> [a la presunta víctima]</w:t>
      </w:r>
      <w:r w:rsidR="004F6F26" w:rsidRPr="0069190A">
        <w:rPr>
          <w:rStyle w:val="Emphasis"/>
          <w:rFonts w:asciiTheme="majorHAnsi" w:hAnsiTheme="majorHAnsi" w:cs="Arial"/>
          <w:bCs/>
          <w:i w:val="0"/>
          <w:iCs w:val="0"/>
          <w:sz w:val="20"/>
          <w:szCs w:val="20"/>
          <w:shd w:val="clear" w:color="auto" w:fill="FFFFFF"/>
          <w:lang w:val="es-ES"/>
        </w:rPr>
        <w:t xml:space="preserve"> inequívoco daño moral, </w:t>
      </w:r>
      <w:r w:rsidR="00A60ADC" w:rsidRPr="0069190A">
        <w:rPr>
          <w:rStyle w:val="Emphasis"/>
          <w:rFonts w:asciiTheme="majorHAnsi" w:hAnsiTheme="majorHAnsi" w:cs="Arial"/>
          <w:bCs/>
          <w:i w:val="0"/>
          <w:iCs w:val="0"/>
          <w:sz w:val="20"/>
          <w:szCs w:val="20"/>
          <w:shd w:val="clear" w:color="auto" w:fill="FFFFFF"/>
          <w:lang w:val="es-ES"/>
        </w:rPr>
        <w:t>debido al</w:t>
      </w:r>
      <w:r w:rsidR="006D089B" w:rsidRPr="0069190A">
        <w:rPr>
          <w:rStyle w:val="Emphasis"/>
          <w:rFonts w:asciiTheme="majorHAnsi" w:hAnsiTheme="majorHAnsi" w:cs="Arial"/>
          <w:bCs/>
          <w:i w:val="0"/>
          <w:iCs w:val="0"/>
          <w:sz w:val="20"/>
          <w:szCs w:val="20"/>
          <w:shd w:val="clear" w:color="auto" w:fill="FFFFFF"/>
          <w:lang w:val="es-ES"/>
        </w:rPr>
        <w:t xml:space="preserve"> sufrimiento por lo que pasó</w:t>
      </w:r>
      <w:r w:rsidR="004F6F26" w:rsidRPr="0069190A">
        <w:rPr>
          <w:rStyle w:val="Emphasis"/>
          <w:rFonts w:asciiTheme="majorHAnsi" w:hAnsiTheme="majorHAnsi" w:cs="Arial"/>
          <w:bCs/>
          <w:i w:val="0"/>
          <w:iCs w:val="0"/>
          <w:sz w:val="20"/>
          <w:szCs w:val="20"/>
          <w:shd w:val="clear" w:color="auto" w:fill="FFFFFF"/>
          <w:lang w:val="es-ES"/>
        </w:rPr>
        <w:t xml:space="preserve"> al ser procesado y condenado por un delito que […] viola sus derechos humanos”</w:t>
      </w:r>
      <w:r w:rsidR="006D089B" w:rsidRPr="0069190A">
        <w:rPr>
          <w:rStyle w:val="Emphasis"/>
          <w:rFonts w:asciiTheme="majorHAnsi" w:hAnsiTheme="majorHAnsi" w:cs="Arial"/>
          <w:bCs/>
          <w:i w:val="0"/>
          <w:iCs w:val="0"/>
          <w:sz w:val="20"/>
          <w:szCs w:val="20"/>
          <w:shd w:val="clear" w:color="auto" w:fill="FFFFFF"/>
          <w:lang w:val="es-ES"/>
        </w:rPr>
        <w:t xml:space="preserve">. Igualmente, </w:t>
      </w:r>
      <w:r w:rsidR="00AF2C78" w:rsidRPr="0069190A">
        <w:rPr>
          <w:rStyle w:val="Emphasis"/>
          <w:rFonts w:asciiTheme="majorHAnsi" w:hAnsiTheme="majorHAnsi" w:cs="Arial"/>
          <w:bCs/>
          <w:i w:val="0"/>
          <w:iCs w:val="0"/>
          <w:sz w:val="20"/>
          <w:szCs w:val="20"/>
          <w:shd w:val="clear" w:color="auto" w:fill="FFFFFF"/>
          <w:lang w:val="es-ES"/>
        </w:rPr>
        <w:t>sostiene</w:t>
      </w:r>
      <w:r w:rsidR="006D089B" w:rsidRPr="0069190A">
        <w:rPr>
          <w:rStyle w:val="Emphasis"/>
          <w:rFonts w:asciiTheme="majorHAnsi" w:hAnsiTheme="majorHAnsi" w:cs="Arial"/>
          <w:bCs/>
          <w:i w:val="0"/>
          <w:iCs w:val="0"/>
          <w:sz w:val="20"/>
          <w:szCs w:val="20"/>
          <w:shd w:val="clear" w:color="auto" w:fill="FFFFFF"/>
          <w:lang w:val="es-ES"/>
        </w:rPr>
        <w:t xml:space="preserve"> que el Estado al no aplicar la Convención Americana y garantizar su absolución con respecto al delito de desacato, cometió un error judicial. P</w:t>
      </w:r>
      <w:r w:rsidR="00A60ADC" w:rsidRPr="0069190A">
        <w:rPr>
          <w:rStyle w:val="Emphasis"/>
          <w:rFonts w:asciiTheme="majorHAnsi" w:hAnsiTheme="majorHAnsi" w:cs="Arial"/>
          <w:bCs/>
          <w:i w:val="0"/>
          <w:iCs w:val="0"/>
          <w:sz w:val="20"/>
          <w:szCs w:val="20"/>
          <w:shd w:val="clear" w:color="auto" w:fill="FFFFFF"/>
          <w:lang w:val="es-ES"/>
        </w:rPr>
        <w:t>or lo anterior</w:t>
      </w:r>
      <w:r w:rsidR="006D089B" w:rsidRPr="0069190A">
        <w:rPr>
          <w:rStyle w:val="Emphasis"/>
          <w:rFonts w:asciiTheme="majorHAnsi" w:hAnsiTheme="majorHAnsi" w:cs="Arial"/>
          <w:bCs/>
          <w:i w:val="0"/>
          <w:iCs w:val="0"/>
          <w:sz w:val="20"/>
          <w:szCs w:val="20"/>
          <w:shd w:val="clear" w:color="auto" w:fill="FFFFFF"/>
          <w:lang w:val="es-ES"/>
        </w:rPr>
        <w:t>, afirma que Macedo</w:t>
      </w:r>
      <w:r w:rsidR="00A60ADC" w:rsidRPr="0069190A">
        <w:rPr>
          <w:rStyle w:val="Emphasis"/>
          <w:rFonts w:asciiTheme="majorHAnsi" w:hAnsiTheme="majorHAnsi" w:cs="Arial"/>
          <w:bCs/>
          <w:i w:val="0"/>
          <w:iCs w:val="0"/>
          <w:sz w:val="20"/>
          <w:szCs w:val="20"/>
          <w:shd w:val="clear" w:color="auto" w:fill="FFFFFF"/>
          <w:lang w:val="es-ES"/>
        </w:rPr>
        <w:t xml:space="preserve"> debería ser indemnizado</w:t>
      </w:r>
      <w:r w:rsidR="005A66C2" w:rsidRPr="0069190A">
        <w:rPr>
          <w:rStyle w:val="Emphasis"/>
          <w:rFonts w:asciiTheme="majorHAnsi" w:hAnsiTheme="majorHAnsi" w:cs="Arial"/>
          <w:bCs/>
          <w:i w:val="0"/>
          <w:iCs w:val="0"/>
          <w:sz w:val="20"/>
          <w:szCs w:val="20"/>
          <w:shd w:val="clear" w:color="auto" w:fill="FFFFFF"/>
          <w:lang w:val="es-ES"/>
        </w:rPr>
        <w:t>, en consonancia con el artículo 10 de la CADH</w:t>
      </w:r>
      <w:r w:rsidR="00A60ADC" w:rsidRPr="0069190A">
        <w:rPr>
          <w:rStyle w:val="Emphasis"/>
          <w:rFonts w:asciiTheme="majorHAnsi" w:hAnsiTheme="majorHAnsi" w:cs="Arial"/>
          <w:bCs/>
          <w:i w:val="0"/>
          <w:iCs w:val="0"/>
          <w:sz w:val="20"/>
          <w:szCs w:val="20"/>
          <w:shd w:val="clear" w:color="auto" w:fill="FFFFFF"/>
          <w:lang w:val="es-ES"/>
        </w:rPr>
        <w:t xml:space="preserve">. </w:t>
      </w:r>
    </w:p>
    <w:p w14:paraId="6D5A5576" w14:textId="23FC7DD5" w:rsidR="007003FC" w:rsidRDefault="00571128" w:rsidP="00A64A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9190A">
        <w:rPr>
          <w:rFonts w:ascii="Cambria" w:hAnsi="Cambria"/>
          <w:sz w:val="20"/>
          <w:szCs w:val="20"/>
          <w:lang w:val="es-AR"/>
        </w:rPr>
        <w:t xml:space="preserve">Por su parte, el Estado </w:t>
      </w:r>
      <w:r w:rsidR="009D6CF2" w:rsidRPr="0069190A">
        <w:rPr>
          <w:rFonts w:ascii="Cambria" w:hAnsi="Cambria"/>
          <w:sz w:val="20"/>
          <w:szCs w:val="20"/>
          <w:lang w:val="es-AR"/>
        </w:rPr>
        <w:t>alega</w:t>
      </w:r>
      <w:r w:rsidRPr="0069190A">
        <w:rPr>
          <w:rFonts w:ascii="Cambria" w:hAnsi="Cambria"/>
          <w:sz w:val="20"/>
          <w:szCs w:val="20"/>
          <w:lang w:val="es-AR"/>
        </w:rPr>
        <w:t xml:space="preserve"> </w:t>
      </w:r>
      <w:r w:rsidR="0063503A" w:rsidRPr="0069190A">
        <w:rPr>
          <w:rFonts w:ascii="Cambria" w:hAnsi="Cambria"/>
          <w:sz w:val="20"/>
          <w:szCs w:val="20"/>
          <w:lang w:val="es-AR"/>
        </w:rPr>
        <w:t xml:space="preserve">que la presunta victima </w:t>
      </w:r>
      <w:r w:rsidR="0063503A" w:rsidRPr="0069190A">
        <w:rPr>
          <w:rFonts w:asciiTheme="majorHAnsi" w:hAnsiTheme="majorHAnsi"/>
          <w:sz w:val="20"/>
          <w:szCs w:val="20"/>
          <w:lang w:val="es-ES"/>
        </w:rPr>
        <w:t xml:space="preserve">no agotó los recursos internos efectivos y adecuados a las circunstancias del caso concreto. Asimismo, sostiene </w:t>
      </w:r>
      <w:r w:rsidRPr="0069190A">
        <w:rPr>
          <w:rFonts w:ascii="Cambria" w:hAnsi="Cambria"/>
          <w:sz w:val="20"/>
          <w:szCs w:val="20"/>
          <w:lang w:val="es-AR"/>
        </w:rPr>
        <w:t xml:space="preserve">que </w:t>
      </w:r>
      <w:r w:rsidR="00924695" w:rsidRPr="0069190A">
        <w:rPr>
          <w:rFonts w:ascii="Cambria" w:hAnsi="Cambria"/>
          <w:sz w:val="20"/>
          <w:szCs w:val="20"/>
          <w:lang w:val="es-AR"/>
        </w:rPr>
        <w:t xml:space="preserve">la petición </w:t>
      </w:r>
      <w:r w:rsidR="009D2244" w:rsidRPr="0069190A">
        <w:rPr>
          <w:rFonts w:ascii="Cambria" w:hAnsi="Cambria"/>
          <w:sz w:val="20"/>
          <w:szCs w:val="20"/>
          <w:lang w:val="es-ES"/>
        </w:rPr>
        <w:t>no expone hechos que car</w:t>
      </w:r>
      <w:r w:rsidR="002E32AF" w:rsidRPr="0069190A">
        <w:rPr>
          <w:rFonts w:ascii="Cambria" w:hAnsi="Cambria"/>
          <w:sz w:val="20"/>
          <w:szCs w:val="20"/>
          <w:lang w:val="es-ES"/>
        </w:rPr>
        <w:t xml:space="preserve">actericen violaciones a la </w:t>
      </w:r>
      <w:r w:rsidR="00841892" w:rsidRPr="0069190A">
        <w:rPr>
          <w:rFonts w:ascii="Cambria" w:hAnsi="Cambria"/>
          <w:sz w:val="20"/>
          <w:szCs w:val="20"/>
          <w:lang w:val="es-ES"/>
        </w:rPr>
        <w:t>CADH</w:t>
      </w:r>
      <w:r w:rsidR="002E32AF" w:rsidRPr="0069190A">
        <w:rPr>
          <w:rFonts w:ascii="Cambria" w:hAnsi="Cambria"/>
          <w:sz w:val="20"/>
          <w:szCs w:val="20"/>
          <w:lang w:val="es-ES"/>
        </w:rPr>
        <w:t>, sino que sólo fundamenta una antinomia entre el Código Penal y la Convención Americana</w:t>
      </w:r>
      <w:r w:rsidR="003C196B" w:rsidRPr="0069190A">
        <w:rPr>
          <w:rFonts w:ascii="Cambria" w:hAnsi="Cambria"/>
          <w:sz w:val="20"/>
          <w:szCs w:val="20"/>
          <w:lang w:val="es-ES"/>
        </w:rPr>
        <w:t>.</w:t>
      </w:r>
      <w:r w:rsidR="00E62422" w:rsidRPr="0069190A">
        <w:rPr>
          <w:rFonts w:ascii="Cambria" w:hAnsi="Cambria"/>
          <w:sz w:val="20"/>
          <w:szCs w:val="20"/>
          <w:lang w:val="es-ES"/>
        </w:rPr>
        <w:t xml:space="preserve"> Sobre el </w:t>
      </w:r>
      <w:r w:rsidR="0063503A" w:rsidRPr="0069190A">
        <w:rPr>
          <w:rFonts w:ascii="Cambria" w:hAnsi="Cambria"/>
          <w:sz w:val="20"/>
          <w:szCs w:val="20"/>
          <w:lang w:val="es-ES"/>
        </w:rPr>
        <w:t>particular</w:t>
      </w:r>
      <w:r w:rsidR="00E62422" w:rsidRPr="0069190A">
        <w:rPr>
          <w:rFonts w:ascii="Cambria" w:hAnsi="Cambria"/>
          <w:sz w:val="20"/>
          <w:szCs w:val="20"/>
          <w:lang w:val="es-ES"/>
        </w:rPr>
        <w:t>, a</w:t>
      </w:r>
      <w:r w:rsidR="003C196B" w:rsidRPr="0069190A">
        <w:rPr>
          <w:rFonts w:ascii="Cambria" w:hAnsi="Cambria"/>
          <w:sz w:val="20"/>
          <w:szCs w:val="20"/>
          <w:lang w:val="es-ES"/>
        </w:rPr>
        <w:t>lega que la falta de conformidad de la parte peticionaria no se basa en que haya una condena injusta o un error</w:t>
      </w:r>
      <w:r w:rsidR="003C196B" w:rsidRPr="005171E9">
        <w:rPr>
          <w:rFonts w:ascii="Cambria" w:hAnsi="Cambria"/>
          <w:sz w:val="20"/>
          <w:szCs w:val="20"/>
          <w:lang w:val="es-ES"/>
        </w:rPr>
        <w:t xml:space="preserve"> judicial, sino que lo que busca es impugnar el desacato, un delito tipificado en la legislación brasileña que debe ser aplicado por los jueces como tal.</w:t>
      </w:r>
      <w:r w:rsidR="005171E9" w:rsidRPr="005171E9">
        <w:rPr>
          <w:rFonts w:ascii="Cambria" w:hAnsi="Cambria"/>
          <w:sz w:val="20"/>
          <w:szCs w:val="20"/>
          <w:lang w:val="es-AR"/>
        </w:rPr>
        <w:t xml:space="preserve"> </w:t>
      </w:r>
    </w:p>
    <w:p w14:paraId="3A30FCE3" w14:textId="4C276ED8" w:rsidR="002E32AF" w:rsidRPr="007003FC" w:rsidRDefault="007C590C" w:rsidP="00A64A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Estado brasileño s</w:t>
      </w:r>
      <w:r w:rsidR="005171E9" w:rsidRPr="00DD52CB">
        <w:rPr>
          <w:rFonts w:ascii="Cambria" w:hAnsi="Cambria"/>
          <w:sz w:val="20"/>
          <w:szCs w:val="20"/>
          <w:lang w:val="es-AR"/>
        </w:rPr>
        <w:t>ostiene</w:t>
      </w:r>
      <w:r w:rsidR="00AE6CD8">
        <w:rPr>
          <w:rFonts w:ascii="Cambria" w:hAnsi="Cambria"/>
          <w:sz w:val="20"/>
          <w:szCs w:val="20"/>
          <w:lang w:val="es-AR"/>
        </w:rPr>
        <w:t>, asimismo,</w:t>
      </w:r>
      <w:r w:rsidR="005171E9">
        <w:rPr>
          <w:rFonts w:ascii="Cambria" w:hAnsi="Cambria"/>
          <w:sz w:val="20"/>
          <w:szCs w:val="20"/>
          <w:lang w:val="es-AR"/>
        </w:rPr>
        <w:t xml:space="preserve"> que</w:t>
      </w:r>
      <w:r w:rsidR="005171E9" w:rsidRPr="00DD52CB">
        <w:rPr>
          <w:rFonts w:ascii="Cambria" w:hAnsi="Cambria"/>
          <w:sz w:val="20"/>
          <w:szCs w:val="20"/>
          <w:lang w:val="es-AR"/>
        </w:rPr>
        <w:t xml:space="preserve"> </w:t>
      </w:r>
      <w:r w:rsidR="005171E9">
        <w:rPr>
          <w:rFonts w:ascii="Cambria" w:hAnsi="Cambria"/>
          <w:sz w:val="20"/>
          <w:szCs w:val="20"/>
          <w:lang w:val="es-AR"/>
        </w:rPr>
        <w:t>al momento de la interposición de la</w:t>
      </w:r>
      <w:r w:rsidR="005171E9" w:rsidRPr="00DD52CB">
        <w:rPr>
          <w:rFonts w:ascii="Cambria" w:hAnsi="Cambria"/>
          <w:sz w:val="20"/>
          <w:szCs w:val="20"/>
          <w:lang w:val="es-AR"/>
        </w:rPr>
        <w:t xml:space="preserve"> petición no había una restricción a la libertad</w:t>
      </w:r>
      <w:r w:rsidR="005171E9">
        <w:rPr>
          <w:rFonts w:ascii="Cambria" w:hAnsi="Cambria"/>
          <w:sz w:val="20"/>
          <w:szCs w:val="20"/>
          <w:lang w:val="es-AR"/>
        </w:rPr>
        <w:t xml:space="preserve"> personal de la presunta víctima por el crimen de </w:t>
      </w:r>
      <w:r w:rsidR="005171E9" w:rsidRPr="00A472BF">
        <w:rPr>
          <w:rFonts w:ascii="Cambria" w:hAnsi="Cambria"/>
          <w:sz w:val="20"/>
          <w:szCs w:val="20"/>
          <w:lang w:val="es-AR"/>
        </w:rPr>
        <w:t>desacato, y que la vigencia de</w:t>
      </w:r>
      <w:r w:rsidR="005171E9">
        <w:rPr>
          <w:rFonts w:ascii="Cambria" w:hAnsi="Cambria"/>
          <w:sz w:val="20"/>
          <w:szCs w:val="20"/>
          <w:lang w:val="es-AR"/>
        </w:rPr>
        <w:t xml:space="preserve"> este tipo penal </w:t>
      </w:r>
      <w:r w:rsidR="005171E9" w:rsidRPr="00A472BF">
        <w:rPr>
          <w:rFonts w:ascii="Cambria" w:hAnsi="Cambria"/>
          <w:sz w:val="20"/>
          <w:szCs w:val="20"/>
          <w:lang w:val="es-AR"/>
        </w:rPr>
        <w:t xml:space="preserve">no es un factor relevante para la privación de su libertad. </w:t>
      </w:r>
      <w:r w:rsidR="00656A52">
        <w:rPr>
          <w:rFonts w:ascii="Cambria" w:hAnsi="Cambria"/>
          <w:sz w:val="20"/>
          <w:szCs w:val="20"/>
          <w:lang w:val="es-AR"/>
        </w:rPr>
        <w:t xml:space="preserve">Indica que </w:t>
      </w:r>
      <w:r w:rsidR="00656A52" w:rsidRPr="00DD735B">
        <w:rPr>
          <w:rFonts w:ascii="Cambria" w:hAnsi="Cambria"/>
          <w:sz w:val="20"/>
          <w:szCs w:val="20"/>
          <w:lang w:val="es-ES"/>
        </w:rPr>
        <w:t xml:space="preserve">la pena fijada a Macedo </w:t>
      </w:r>
      <w:r w:rsidR="00656A52" w:rsidRPr="00DD735B">
        <w:rPr>
          <w:rFonts w:ascii="Cambria" w:hAnsi="Cambria"/>
          <w:sz w:val="20"/>
          <w:szCs w:val="20"/>
          <w:lang w:val="es-ES"/>
        </w:rPr>
        <w:lastRenderedPageBreak/>
        <w:t xml:space="preserve">por el crimen de desacato fue de 7 meses, con régimen abierto y con el beneficio de la suspensión condicional de </w:t>
      </w:r>
      <w:r w:rsidR="00656A52" w:rsidRPr="00DD52CB">
        <w:rPr>
          <w:rFonts w:ascii="Cambria" w:hAnsi="Cambria"/>
          <w:sz w:val="20"/>
          <w:szCs w:val="20"/>
          <w:lang w:val="es-ES"/>
        </w:rPr>
        <w:t xml:space="preserve">la pena, por lo que esta condena no fue responsable de su encarcelamiento, sino que se debe a las otras </w:t>
      </w:r>
      <w:r w:rsidR="00656A52" w:rsidRPr="00302169">
        <w:rPr>
          <w:rFonts w:ascii="Cambria" w:hAnsi="Cambria"/>
          <w:sz w:val="20"/>
          <w:szCs w:val="20"/>
          <w:lang w:val="es-ES"/>
        </w:rPr>
        <w:t xml:space="preserve">condenas en su contra por la práctica de “varios otros crímenes”. </w:t>
      </w:r>
      <w:r w:rsidR="005171E9">
        <w:rPr>
          <w:rFonts w:ascii="Cambria" w:hAnsi="Cambria"/>
          <w:sz w:val="20"/>
          <w:szCs w:val="20"/>
          <w:lang w:val="es-ES"/>
        </w:rPr>
        <w:t xml:space="preserve">De este modo, </w:t>
      </w:r>
      <w:r w:rsidR="00656A52">
        <w:rPr>
          <w:rFonts w:ascii="Cambria" w:hAnsi="Cambria"/>
          <w:sz w:val="20"/>
          <w:szCs w:val="20"/>
          <w:lang w:val="es-ES"/>
        </w:rPr>
        <w:t xml:space="preserve">el Estado </w:t>
      </w:r>
      <w:r w:rsidR="005171E9">
        <w:rPr>
          <w:rFonts w:ascii="Cambria" w:hAnsi="Cambria"/>
          <w:sz w:val="20"/>
          <w:szCs w:val="20"/>
          <w:lang w:val="es-ES"/>
        </w:rPr>
        <w:t>a</w:t>
      </w:r>
      <w:r w:rsidR="005171E9" w:rsidRPr="00302169">
        <w:rPr>
          <w:rFonts w:ascii="Cambria" w:hAnsi="Cambria"/>
          <w:sz w:val="20"/>
          <w:szCs w:val="20"/>
          <w:lang w:val="es-ES"/>
        </w:rPr>
        <w:t xml:space="preserve">firma que la sentencia no causó en sí misma un perjuicio a </w:t>
      </w:r>
      <w:r w:rsidR="007003FC">
        <w:rPr>
          <w:rFonts w:ascii="Cambria" w:hAnsi="Cambria"/>
          <w:sz w:val="20"/>
          <w:szCs w:val="20"/>
          <w:lang w:val="es-ES"/>
        </w:rPr>
        <w:t>su libertad personal</w:t>
      </w:r>
      <w:r w:rsidR="005171E9" w:rsidRPr="00302169">
        <w:rPr>
          <w:rFonts w:ascii="Cambria" w:hAnsi="Cambria"/>
          <w:sz w:val="20"/>
          <w:szCs w:val="20"/>
          <w:lang w:val="es-ES"/>
        </w:rPr>
        <w:t>,</w:t>
      </w:r>
      <w:r w:rsidR="00463645">
        <w:rPr>
          <w:rFonts w:ascii="Cambria" w:hAnsi="Cambria"/>
          <w:sz w:val="20"/>
          <w:szCs w:val="20"/>
          <w:lang w:val="es-ES"/>
        </w:rPr>
        <w:t xml:space="preserve"> que fue proferida </w:t>
      </w:r>
      <w:r w:rsidR="005171E9">
        <w:rPr>
          <w:rFonts w:ascii="Cambria" w:hAnsi="Cambria"/>
          <w:sz w:val="20"/>
          <w:szCs w:val="20"/>
          <w:lang w:val="es-ES"/>
        </w:rPr>
        <w:t>en absoluta consonancia con las garantías del proceso,</w:t>
      </w:r>
      <w:r w:rsidR="005171E9" w:rsidRPr="00302169">
        <w:rPr>
          <w:rFonts w:ascii="Cambria" w:hAnsi="Cambria"/>
          <w:sz w:val="20"/>
          <w:szCs w:val="20"/>
          <w:lang w:val="es-ES"/>
        </w:rPr>
        <w:t xml:space="preserve"> y </w:t>
      </w:r>
      <w:r w:rsidR="005171E9">
        <w:rPr>
          <w:rFonts w:ascii="Cambria" w:hAnsi="Cambria"/>
          <w:sz w:val="20"/>
          <w:szCs w:val="20"/>
          <w:lang w:val="es-ES"/>
        </w:rPr>
        <w:t xml:space="preserve">que </w:t>
      </w:r>
      <w:r w:rsidR="005171E9" w:rsidRPr="00302169">
        <w:rPr>
          <w:rFonts w:ascii="Cambria" w:hAnsi="Cambria"/>
          <w:sz w:val="20"/>
          <w:szCs w:val="20"/>
          <w:lang w:val="es-ES"/>
        </w:rPr>
        <w:t xml:space="preserve">la petición no describe </w:t>
      </w:r>
      <w:r w:rsidR="005171E9">
        <w:rPr>
          <w:rFonts w:ascii="Cambria" w:hAnsi="Cambria"/>
          <w:sz w:val="20"/>
          <w:szCs w:val="20"/>
          <w:lang w:val="es-ES"/>
        </w:rPr>
        <w:t>una</w:t>
      </w:r>
      <w:r w:rsidR="005171E9" w:rsidRPr="00302169">
        <w:rPr>
          <w:rFonts w:ascii="Cambria" w:hAnsi="Cambria"/>
          <w:sz w:val="20"/>
          <w:szCs w:val="20"/>
          <w:lang w:val="es-ES"/>
        </w:rPr>
        <w:t xml:space="preserve"> situación que viola el art. 7 de la CADH.</w:t>
      </w:r>
      <w:r w:rsidR="005171E9">
        <w:rPr>
          <w:rFonts w:ascii="Cambria" w:hAnsi="Cambria"/>
          <w:sz w:val="20"/>
          <w:szCs w:val="20"/>
          <w:lang w:val="es-ES"/>
        </w:rPr>
        <w:t xml:space="preserve"> </w:t>
      </w:r>
      <w:r w:rsidR="007003FC" w:rsidRPr="007003FC">
        <w:rPr>
          <w:rFonts w:ascii="Cambria" w:hAnsi="Cambria"/>
          <w:sz w:val="20"/>
          <w:szCs w:val="20"/>
          <w:lang w:val="es-ES"/>
        </w:rPr>
        <w:t>Con respecto a</w:t>
      </w:r>
      <w:r w:rsidR="002E32AF" w:rsidRPr="007003FC">
        <w:rPr>
          <w:rFonts w:ascii="Cambria" w:hAnsi="Cambria"/>
          <w:sz w:val="20"/>
          <w:szCs w:val="20"/>
          <w:lang w:val="es-ES"/>
        </w:rPr>
        <w:t xml:space="preserve"> </w:t>
      </w:r>
      <w:r w:rsidR="009D7E23" w:rsidRPr="007003FC">
        <w:rPr>
          <w:rFonts w:ascii="Cambria" w:hAnsi="Cambria"/>
          <w:sz w:val="20"/>
          <w:szCs w:val="20"/>
          <w:lang w:val="es-ES"/>
        </w:rPr>
        <w:t>la restricción a la libertad de expresión contenida en el artículo 331 del CP</w:t>
      </w:r>
      <w:r w:rsidR="0027118F">
        <w:rPr>
          <w:rFonts w:ascii="Cambria" w:hAnsi="Cambria"/>
          <w:sz w:val="20"/>
          <w:szCs w:val="20"/>
          <w:lang w:val="es-ES"/>
        </w:rPr>
        <w:t>, entiende que esta</w:t>
      </w:r>
      <w:r w:rsidR="009D7E23" w:rsidRPr="007003FC">
        <w:rPr>
          <w:rFonts w:ascii="Cambria" w:hAnsi="Cambria"/>
          <w:sz w:val="20"/>
          <w:szCs w:val="20"/>
          <w:lang w:val="es-ES"/>
        </w:rPr>
        <w:t xml:space="preserve"> es “</w:t>
      </w:r>
      <w:r w:rsidR="0027118F">
        <w:rPr>
          <w:rFonts w:ascii="Cambria" w:hAnsi="Cambria"/>
          <w:sz w:val="20"/>
          <w:szCs w:val="20"/>
          <w:lang w:val="es-ES"/>
        </w:rPr>
        <w:t>[</w:t>
      </w:r>
      <w:r w:rsidR="009D7E23" w:rsidRPr="007003FC">
        <w:rPr>
          <w:rFonts w:ascii="Cambria" w:hAnsi="Cambria"/>
          <w:sz w:val="20"/>
          <w:szCs w:val="20"/>
          <w:lang w:val="es-ES"/>
        </w:rPr>
        <w:t>p</w:t>
      </w:r>
      <w:r w:rsidR="0027118F">
        <w:rPr>
          <w:rFonts w:ascii="Cambria" w:hAnsi="Cambria"/>
          <w:sz w:val="20"/>
          <w:szCs w:val="20"/>
          <w:lang w:val="es-ES"/>
        </w:rPr>
        <w:t>]</w:t>
      </w:r>
      <w:r w:rsidR="009D7E23" w:rsidRPr="007003FC">
        <w:rPr>
          <w:rFonts w:ascii="Cambria" w:hAnsi="Cambria"/>
          <w:sz w:val="20"/>
          <w:szCs w:val="20"/>
          <w:lang w:val="es-ES"/>
        </w:rPr>
        <w:t>lenamente razonable, con base en un examen más profundo del contenido de la expresión que el artículo 13 de la CADH tiene por objeto proteger y de la expresión que el artículo 331 del CP brasileño pretende sancionar</w:t>
      </w:r>
      <w:r w:rsidR="007003FC" w:rsidRPr="007003FC">
        <w:rPr>
          <w:rFonts w:ascii="Cambria" w:hAnsi="Cambria"/>
          <w:sz w:val="20"/>
          <w:szCs w:val="20"/>
          <w:lang w:val="es-ES"/>
        </w:rPr>
        <w:t>”</w:t>
      </w:r>
      <w:r w:rsidR="009D7E23" w:rsidRPr="007003FC">
        <w:rPr>
          <w:rFonts w:ascii="Cambria" w:hAnsi="Cambria"/>
          <w:sz w:val="20"/>
          <w:szCs w:val="20"/>
          <w:lang w:val="es-ES"/>
        </w:rPr>
        <w:t xml:space="preserve">. </w:t>
      </w:r>
      <w:r w:rsidR="007003FC" w:rsidRPr="007003FC">
        <w:rPr>
          <w:rFonts w:ascii="Cambria" w:hAnsi="Cambria"/>
          <w:sz w:val="20"/>
          <w:szCs w:val="20"/>
          <w:lang w:val="es-ES"/>
        </w:rPr>
        <w:t>Según el Estado, e</w:t>
      </w:r>
      <w:r w:rsidR="009D7E23" w:rsidRPr="007003FC">
        <w:rPr>
          <w:rFonts w:ascii="Cambria" w:hAnsi="Cambria"/>
          <w:sz w:val="20"/>
          <w:szCs w:val="20"/>
          <w:lang w:val="es-ES"/>
        </w:rPr>
        <w:t>l artículo 331 del CP resguarda valores igualmente tutelados por</w:t>
      </w:r>
      <w:r w:rsidR="0027118F">
        <w:rPr>
          <w:rFonts w:ascii="Cambria" w:hAnsi="Cambria"/>
          <w:sz w:val="20"/>
          <w:szCs w:val="20"/>
          <w:lang w:val="es-ES"/>
        </w:rPr>
        <w:t xml:space="preserve"> la CADH, como la moral pública y “[e]s una restricción prevista en ley, aplicable como forma de reparación y responsabilidad ulterior y no como censur[a]”. </w:t>
      </w:r>
    </w:p>
    <w:p w14:paraId="6F4D4171" w14:textId="1E63BAA1" w:rsidR="003239B8" w:rsidRPr="00354070" w:rsidRDefault="003239B8" w:rsidP="00A64A73">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17670024" w14:textId="5B5ED3DF" w:rsidR="008423D2" w:rsidRPr="00BB314D" w:rsidRDefault="00116215" w:rsidP="008704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B314D">
        <w:rPr>
          <w:rFonts w:ascii="Cambria" w:hAnsi="Cambria"/>
          <w:sz w:val="20"/>
          <w:szCs w:val="20"/>
          <w:lang w:val="es-ES"/>
        </w:rPr>
        <w:t>L</w:t>
      </w:r>
      <w:r w:rsidR="00533644" w:rsidRPr="00BB314D">
        <w:rPr>
          <w:rFonts w:ascii="Cambria" w:hAnsi="Cambria"/>
          <w:sz w:val="20"/>
          <w:szCs w:val="20"/>
          <w:lang w:val="es-ES"/>
        </w:rPr>
        <w:t>a parte peticionaria</w:t>
      </w:r>
      <w:r w:rsidRPr="00BB314D">
        <w:rPr>
          <w:rFonts w:ascii="Cambria" w:hAnsi="Cambria"/>
          <w:sz w:val="20"/>
          <w:szCs w:val="20"/>
          <w:lang w:val="es-ES"/>
        </w:rPr>
        <w:t xml:space="preserve"> alega que </w:t>
      </w:r>
      <w:r w:rsidR="00A4442E" w:rsidRPr="00BB314D">
        <w:rPr>
          <w:rFonts w:ascii="Cambria" w:hAnsi="Cambria"/>
          <w:sz w:val="20"/>
          <w:szCs w:val="20"/>
          <w:lang w:val="es-ES"/>
        </w:rPr>
        <w:t>se han agotado los recursos internos disponibles</w:t>
      </w:r>
      <w:r w:rsidR="001B31AB" w:rsidRPr="00FD7407">
        <w:rPr>
          <w:rFonts w:ascii="Cambria" w:hAnsi="Cambria"/>
          <w:sz w:val="20"/>
          <w:szCs w:val="20"/>
          <w:lang w:val="es-ES"/>
        </w:rPr>
        <w:t xml:space="preserve">, </w:t>
      </w:r>
      <w:r w:rsidR="00725CB4" w:rsidRPr="00FD7407">
        <w:rPr>
          <w:rFonts w:ascii="Cambria" w:hAnsi="Cambria"/>
          <w:sz w:val="20"/>
          <w:szCs w:val="20"/>
          <w:lang w:val="es-AR"/>
        </w:rPr>
        <w:t xml:space="preserve">el 25 de agosto de 2012, con </w:t>
      </w:r>
      <w:r w:rsidR="00725CB4" w:rsidRPr="00FD7407">
        <w:rPr>
          <w:rFonts w:ascii="Cambria" w:hAnsi="Cambria"/>
          <w:sz w:val="20"/>
          <w:szCs w:val="20"/>
          <w:lang w:val="es-ES"/>
        </w:rPr>
        <w:t>la</w:t>
      </w:r>
      <w:r w:rsidR="00725CB4" w:rsidRPr="00FD7407">
        <w:rPr>
          <w:rFonts w:ascii="Cambria" w:hAnsi="Cambria"/>
          <w:sz w:val="20"/>
          <w:szCs w:val="20"/>
          <w:lang w:val="es-AR"/>
        </w:rPr>
        <w:t xml:space="preserve"> decisión de la Corte de Apelaciones. Afirma que con esa decisión agotó los recursos internos en lo que refiere al delito de desacato,</w:t>
      </w:r>
      <w:r w:rsidR="00725CB4" w:rsidRPr="00FD7407">
        <w:rPr>
          <w:rFonts w:ascii="Cambria" w:hAnsi="Cambria"/>
          <w:sz w:val="20"/>
          <w:szCs w:val="20"/>
          <w:lang w:val="es-ES"/>
        </w:rPr>
        <w:t xml:space="preserve"> indicando</w:t>
      </w:r>
      <w:r w:rsidR="001B31AB" w:rsidRPr="00FD7407">
        <w:rPr>
          <w:rFonts w:ascii="Cambria" w:hAnsi="Cambria"/>
          <w:sz w:val="20"/>
          <w:szCs w:val="20"/>
          <w:lang w:val="es-ES"/>
        </w:rPr>
        <w:t xml:space="preserve"> que </w:t>
      </w:r>
      <w:r w:rsidR="0002463C" w:rsidRPr="00FD7407">
        <w:rPr>
          <w:rFonts w:ascii="Cambria" w:hAnsi="Cambria"/>
          <w:sz w:val="20"/>
          <w:szCs w:val="20"/>
          <w:lang w:val="es-ES"/>
        </w:rPr>
        <w:t>la normativa interna</w:t>
      </w:r>
      <w:r w:rsidR="00C12A37" w:rsidRPr="00FD7407">
        <w:rPr>
          <w:rFonts w:ascii="Cambria" w:hAnsi="Cambria"/>
          <w:sz w:val="20"/>
          <w:szCs w:val="20"/>
          <w:lang w:val="es-ES"/>
        </w:rPr>
        <w:t xml:space="preserve"> establece a </w:t>
      </w:r>
      <w:r w:rsidR="00534917" w:rsidRPr="00FD7407">
        <w:rPr>
          <w:rFonts w:ascii="Cambria" w:hAnsi="Cambria"/>
          <w:sz w:val="20"/>
          <w:szCs w:val="20"/>
          <w:lang w:val="es-ES"/>
        </w:rPr>
        <w:t>esta Corte</w:t>
      </w:r>
      <w:r w:rsidR="005E57E1" w:rsidRPr="00FD7407">
        <w:rPr>
          <w:rFonts w:ascii="Cambria" w:hAnsi="Cambria"/>
          <w:sz w:val="20"/>
          <w:szCs w:val="20"/>
          <w:lang w:val="es-ES"/>
        </w:rPr>
        <w:t xml:space="preserve"> </w:t>
      </w:r>
      <w:r w:rsidR="00C12A37" w:rsidRPr="00FD7407">
        <w:rPr>
          <w:rFonts w:ascii="Cambria" w:hAnsi="Cambria"/>
          <w:sz w:val="20"/>
          <w:szCs w:val="20"/>
          <w:lang w:val="es-ES"/>
        </w:rPr>
        <w:t xml:space="preserve">como última instancia </w:t>
      </w:r>
      <w:r w:rsidR="003B2896" w:rsidRPr="00FD7407">
        <w:rPr>
          <w:rFonts w:ascii="Cambria" w:hAnsi="Cambria"/>
          <w:sz w:val="20"/>
          <w:szCs w:val="20"/>
          <w:lang w:val="es-ES"/>
        </w:rPr>
        <w:t>para</w:t>
      </w:r>
      <w:r w:rsidR="00C12A37" w:rsidRPr="00FD7407">
        <w:rPr>
          <w:rFonts w:ascii="Cambria" w:hAnsi="Cambria"/>
          <w:sz w:val="20"/>
          <w:szCs w:val="20"/>
          <w:lang w:val="es-ES"/>
        </w:rPr>
        <w:t xml:space="preserve"> las infracciones penales de menor potencial ofens</w:t>
      </w:r>
      <w:r w:rsidR="003B2896" w:rsidRPr="00FD7407">
        <w:rPr>
          <w:rFonts w:ascii="Cambria" w:hAnsi="Cambria"/>
          <w:sz w:val="20"/>
          <w:szCs w:val="20"/>
          <w:lang w:val="es-ES"/>
        </w:rPr>
        <w:t>ivo, como es</w:t>
      </w:r>
      <w:r w:rsidR="00533644" w:rsidRPr="00FD7407">
        <w:rPr>
          <w:rFonts w:ascii="Cambria" w:hAnsi="Cambria"/>
          <w:sz w:val="20"/>
          <w:szCs w:val="20"/>
          <w:lang w:val="es-ES"/>
        </w:rPr>
        <w:t xml:space="preserve"> el caso del crimen de desacato</w:t>
      </w:r>
      <w:r w:rsidR="003B2896" w:rsidRPr="00FD7407">
        <w:rPr>
          <w:rFonts w:ascii="Cambria" w:hAnsi="Cambria"/>
          <w:sz w:val="20"/>
          <w:szCs w:val="20"/>
          <w:lang w:val="es-ES"/>
        </w:rPr>
        <w:t>.</w:t>
      </w:r>
      <w:r w:rsidR="00147470" w:rsidRPr="00FD7407">
        <w:rPr>
          <w:rFonts w:ascii="Cambria" w:hAnsi="Cambria"/>
          <w:sz w:val="20"/>
          <w:szCs w:val="20"/>
          <w:lang w:val="es-ES"/>
        </w:rPr>
        <w:t xml:space="preserve"> </w:t>
      </w:r>
      <w:r w:rsidR="005A66C2" w:rsidRPr="00FD7407">
        <w:rPr>
          <w:rFonts w:ascii="Cambria" w:hAnsi="Cambria"/>
          <w:sz w:val="20"/>
          <w:szCs w:val="20"/>
          <w:lang w:val="es-ES"/>
        </w:rPr>
        <w:t xml:space="preserve">Sobre los recursos aducidos por el Estado, indica </w:t>
      </w:r>
      <w:r w:rsidR="00633B93" w:rsidRPr="00FD7407">
        <w:rPr>
          <w:rFonts w:ascii="Cambria" w:hAnsi="Cambria"/>
          <w:sz w:val="20"/>
          <w:szCs w:val="20"/>
          <w:lang w:val="es-ES"/>
        </w:rPr>
        <w:t xml:space="preserve">que </w:t>
      </w:r>
      <w:r w:rsidR="005A66C2" w:rsidRPr="00FD7407">
        <w:rPr>
          <w:rFonts w:ascii="Cambria" w:hAnsi="Cambria"/>
          <w:sz w:val="20"/>
          <w:szCs w:val="20"/>
          <w:lang w:val="es-ES"/>
        </w:rPr>
        <w:t xml:space="preserve">el Supremo Tribunal Federal (STF) ya ha establecido que </w:t>
      </w:r>
      <w:r w:rsidR="00633B93" w:rsidRPr="00FD7407">
        <w:rPr>
          <w:rFonts w:ascii="Cambria" w:hAnsi="Cambria"/>
          <w:sz w:val="20"/>
          <w:szCs w:val="20"/>
          <w:lang w:val="es-ES"/>
        </w:rPr>
        <w:t>el Hábeas Corpus</w:t>
      </w:r>
      <w:r w:rsidR="005A66C2" w:rsidRPr="00FD7407">
        <w:rPr>
          <w:rFonts w:ascii="Cambria" w:hAnsi="Cambria"/>
          <w:sz w:val="20"/>
          <w:szCs w:val="20"/>
          <w:lang w:val="es-ES"/>
        </w:rPr>
        <w:t xml:space="preserve"> es inadmisible cuando hay una sentencia definitiva e inapelable</w:t>
      </w:r>
      <w:r w:rsidR="00534917" w:rsidRPr="00FD7407">
        <w:rPr>
          <w:rFonts w:ascii="Cambria" w:hAnsi="Cambria"/>
          <w:sz w:val="20"/>
          <w:szCs w:val="20"/>
          <w:lang w:val="es-ES"/>
        </w:rPr>
        <w:t xml:space="preserve">. </w:t>
      </w:r>
      <w:r w:rsidR="005A66C2" w:rsidRPr="00FD7407">
        <w:rPr>
          <w:rFonts w:ascii="Cambria" w:hAnsi="Cambria"/>
          <w:sz w:val="20"/>
          <w:szCs w:val="20"/>
          <w:lang w:val="es-ES"/>
        </w:rPr>
        <w:t xml:space="preserve">En relación al Recurso Extraordinario, sostiene que el mismo sólo se admite por determinadas causales preestablecidas en el texto constitucional, entre las cuales no encuadraría el presente asunto. Además, alega que este recurso no es en la práctica eficaz para remediar la violación dado que el STF ya ha manifestado reiteradamente que este no puede ser utilizado para decidir sobre la incompatibilidad del artículo 331 del CP y el artículo 13 de la CADH. </w:t>
      </w:r>
      <w:r w:rsidR="008423D2" w:rsidRPr="00BB314D">
        <w:rPr>
          <w:rFonts w:ascii="Cambria" w:hAnsi="Cambria"/>
          <w:sz w:val="20"/>
          <w:szCs w:val="20"/>
          <w:lang w:val="es-ES"/>
        </w:rPr>
        <w:t xml:space="preserve">Afirma, igualmente, que la negativa del STF en </w:t>
      </w:r>
      <w:r w:rsidR="00BB314D" w:rsidRPr="00BB314D">
        <w:rPr>
          <w:rFonts w:ascii="Cambria" w:hAnsi="Cambria"/>
          <w:sz w:val="20"/>
          <w:szCs w:val="20"/>
          <w:lang w:val="es-ES"/>
        </w:rPr>
        <w:t xml:space="preserve">juzgar el </w:t>
      </w:r>
      <w:r w:rsidR="008423D2" w:rsidRPr="00BB314D">
        <w:rPr>
          <w:rFonts w:ascii="Cambria" w:hAnsi="Cambria"/>
          <w:sz w:val="20"/>
          <w:szCs w:val="20"/>
          <w:lang w:val="es-ES"/>
        </w:rPr>
        <w:t xml:space="preserve">art. </w:t>
      </w:r>
      <w:r w:rsidR="005E251D" w:rsidRPr="00BB314D">
        <w:rPr>
          <w:rFonts w:ascii="Cambria" w:hAnsi="Cambria"/>
          <w:sz w:val="20"/>
          <w:szCs w:val="20"/>
          <w:lang w:val="es-ES"/>
        </w:rPr>
        <w:t>331</w:t>
      </w:r>
      <w:r w:rsidR="008423D2" w:rsidRPr="00BB314D">
        <w:rPr>
          <w:rFonts w:ascii="Cambria" w:hAnsi="Cambria"/>
          <w:sz w:val="20"/>
          <w:szCs w:val="20"/>
          <w:lang w:val="es-ES"/>
        </w:rPr>
        <w:t xml:space="preserve"> </w:t>
      </w:r>
      <w:r w:rsidR="005E251D" w:rsidRPr="00BB314D">
        <w:rPr>
          <w:rFonts w:ascii="Cambria" w:hAnsi="Cambria"/>
          <w:sz w:val="20"/>
          <w:szCs w:val="20"/>
          <w:lang w:val="es-ES"/>
        </w:rPr>
        <w:t xml:space="preserve"> del CP </w:t>
      </w:r>
      <w:r w:rsidR="008423D2" w:rsidRPr="00BB314D">
        <w:rPr>
          <w:rFonts w:ascii="Cambria" w:hAnsi="Cambria"/>
          <w:sz w:val="20"/>
          <w:szCs w:val="20"/>
          <w:lang w:val="es-ES"/>
        </w:rPr>
        <w:t xml:space="preserve">incompatible con la CADH, “[e]s, por sí mismo, una violación del artículo 25 (1) del tratado, y, por lo tanto, no se podría exigir del peticionario que buscara, en esa Corte, la protección contra la violación a que fue sometido”. </w:t>
      </w:r>
    </w:p>
    <w:p w14:paraId="5AD88BF4" w14:textId="13646775" w:rsidR="005A66C2" w:rsidRPr="00CA7698" w:rsidRDefault="008423D2" w:rsidP="008704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B314D">
        <w:rPr>
          <w:rFonts w:ascii="Cambria" w:hAnsi="Cambria"/>
          <w:sz w:val="20"/>
          <w:szCs w:val="20"/>
          <w:lang w:val="es-AR"/>
        </w:rPr>
        <w:t>Finalmente, s</w:t>
      </w:r>
      <w:r w:rsidR="005A66C2" w:rsidRPr="00BB314D">
        <w:rPr>
          <w:rFonts w:ascii="Cambria" w:hAnsi="Cambria"/>
          <w:sz w:val="20"/>
          <w:szCs w:val="20"/>
          <w:lang w:val="es-AR"/>
        </w:rPr>
        <w:t xml:space="preserve">obre la </w:t>
      </w:r>
      <w:r w:rsidR="005A66C2" w:rsidRPr="00BB314D">
        <w:rPr>
          <w:rFonts w:ascii="Cambria" w:hAnsi="Cambria"/>
          <w:sz w:val="20"/>
          <w:szCs w:val="20"/>
          <w:lang w:val="es-ES"/>
        </w:rPr>
        <w:t xml:space="preserve">acción de revisión penal alega que este recurso sólo puede ser presentado en los casos previstos en el artículo 621 del </w:t>
      </w:r>
      <w:r w:rsidR="005A66C2" w:rsidRPr="00BB314D">
        <w:rPr>
          <w:rFonts w:ascii="Cambria" w:hAnsi="Cambria"/>
          <w:sz w:val="20"/>
          <w:szCs w:val="20"/>
          <w:lang w:val="es-US"/>
        </w:rPr>
        <w:t>Código Procesal Penal</w:t>
      </w:r>
      <w:r w:rsidR="0088440A" w:rsidRPr="00BB314D">
        <w:rPr>
          <w:rStyle w:val="FootnoteReference"/>
          <w:rFonts w:ascii="Cambria" w:hAnsi="Cambria"/>
          <w:sz w:val="20"/>
          <w:szCs w:val="20"/>
          <w:lang w:val="es-US"/>
        </w:rPr>
        <w:footnoteReference w:id="8"/>
      </w:r>
      <w:r w:rsidR="005A66C2" w:rsidRPr="00BB314D">
        <w:rPr>
          <w:rFonts w:ascii="Cambria" w:hAnsi="Cambria"/>
          <w:sz w:val="20"/>
          <w:szCs w:val="20"/>
          <w:lang w:val="es-ES"/>
        </w:rPr>
        <w:t xml:space="preserve">, principalmente para corregir errores evidentes respecto de </w:t>
      </w:r>
      <w:r w:rsidR="005A66C2" w:rsidRPr="00FD7407">
        <w:rPr>
          <w:rFonts w:ascii="Cambria" w:hAnsi="Cambria"/>
          <w:sz w:val="20"/>
          <w:szCs w:val="20"/>
          <w:lang w:val="es-ES"/>
        </w:rPr>
        <w:t>la prueba o en caso de surgimiento de nueva prueba, no siendo posible revisar los méritos de la condena ni volver a revisar el asunto. Además</w:t>
      </w:r>
      <w:r w:rsidR="005A66C2" w:rsidRPr="00CA7698">
        <w:rPr>
          <w:rFonts w:ascii="Cambria" w:hAnsi="Cambria"/>
          <w:sz w:val="20"/>
          <w:szCs w:val="20"/>
          <w:lang w:val="es-ES"/>
        </w:rPr>
        <w:t xml:space="preserve">, indica que no tiene efecto suspensivo ni naturaleza cautelar por lo que no impide la ejecución de una sentencia firme e inapelable, se trata de una acción que puede tardar años en completarse y que está destinada exclusivamente a reparar errores judiciales evidentes, y no sería la manera correcta para discutir si una decisión es acertada o no. </w:t>
      </w:r>
    </w:p>
    <w:p w14:paraId="03E02610" w14:textId="57B17EF9" w:rsidR="005A66C2" w:rsidRPr="00D065E0" w:rsidRDefault="00A65989" w:rsidP="008704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w:t>
      </w:r>
      <w:r w:rsidR="00456214" w:rsidRPr="00D6597E">
        <w:rPr>
          <w:rFonts w:ascii="Cambria" w:hAnsi="Cambria"/>
          <w:sz w:val="20"/>
          <w:szCs w:val="20"/>
          <w:lang w:val="es-ES"/>
        </w:rPr>
        <w:t xml:space="preserve">l Estado, </w:t>
      </w:r>
      <w:r>
        <w:rPr>
          <w:rFonts w:ascii="Cambria" w:hAnsi="Cambria"/>
          <w:sz w:val="20"/>
          <w:szCs w:val="20"/>
          <w:lang w:val="es-ES"/>
        </w:rPr>
        <w:t xml:space="preserve">a su vez, </w:t>
      </w:r>
      <w:r w:rsidR="005A66C2" w:rsidRPr="00851F80">
        <w:rPr>
          <w:rFonts w:asciiTheme="majorHAnsi" w:hAnsiTheme="majorHAnsi"/>
          <w:sz w:val="20"/>
          <w:szCs w:val="20"/>
          <w:lang w:val="es-AR"/>
        </w:rPr>
        <w:t xml:space="preserve">alega que </w:t>
      </w:r>
      <w:r w:rsidR="00CF6ABC">
        <w:rPr>
          <w:rFonts w:asciiTheme="majorHAnsi" w:hAnsiTheme="majorHAnsi"/>
          <w:sz w:val="20"/>
          <w:szCs w:val="20"/>
          <w:lang w:val="es-ES"/>
        </w:rPr>
        <w:t xml:space="preserve">Macedo </w:t>
      </w:r>
      <w:r w:rsidR="005A66C2" w:rsidRPr="00851F80">
        <w:rPr>
          <w:rFonts w:asciiTheme="majorHAnsi" w:hAnsiTheme="majorHAnsi"/>
          <w:sz w:val="20"/>
          <w:szCs w:val="20"/>
          <w:lang w:val="es-ES"/>
        </w:rPr>
        <w:t xml:space="preserve">no agotó los recursos internos efectivos y adecuados a las circunstancias del caso </w:t>
      </w:r>
      <w:r w:rsidR="005A66C2" w:rsidRPr="003D0317">
        <w:rPr>
          <w:rFonts w:asciiTheme="majorHAnsi" w:hAnsiTheme="majorHAnsi"/>
          <w:sz w:val="20"/>
          <w:szCs w:val="20"/>
          <w:lang w:val="es-ES"/>
        </w:rPr>
        <w:t>concreto</w:t>
      </w:r>
      <w:r w:rsidR="00626F50" w:rsidRPr="003D0317">
        <w:rPr>
          <w:rFonts w:asciiTheme="majorHAnsi" w:hAnsiTheme="majorHAnsi"/>
          <w:sz w:val="20"/>
          <w:szCs w:val="20"/>
          <w:lang w:val="es-ES"/>
        </w:rPr>
        <w:t>; y</w:t>
      </w:r>
      <w:r w:rsidR="005A66C2" w:rsidRPr="003D0317">
        <w:rPr>
          <w:rFonts w:ascii="Cambria" w:hAnsi="Cambria"/>
          <w:sz w:val="20"/>
          <w:szCs w:val="20"/>
          <w:lang w:val="es-ES"/>
        </w:rPr>
        <w:t xml:space="preserve"> </w:t>
      </w:r>
      <w:r w:rsidR="00456214" w:rsidRPr="003D0317">
        <w:rPr>
          <w:rFonts w:ascii="Cambria" w:hAnsi="Cambria"/>
          <w:sz w:val="20"/>
          <w:szCs w:val="20"/>
          <w:lang w:val="es-ES"/>
        </w:rPr>
        <w:t xml:space="preserve">que </w:t>
      </w:r>
      <w:r w:rsidR="004E6B18" w:rsidRPr="003D0317">
        <w:rPr>
          <w:rFonts w:ascii="Cambria" w:hAnsi="Cambria"/>
          <w:sz w:val="20"/>
          <w:szCs w:val="20"/>
          <w:lang w:val="es-ES"/>
        </w:rPr>
        <w:t>el sistema i</w:t>
      </w:r>
      <w:r w:rsidR="00456214" w:rsidRPr="003D0317">
        <w:rPr>
          <w:rFonts w:ascii="Cambria" w:hAnsi="Cambria"/>
          <w:sz w:val="20"/>
          <w:szCs w:val="20"/>
          <w:lang w:val="es-ES"/>
        </w:rPr>
        <w:t xml:space="preserve">nteramericano no puede ser utilizado como medio alternativo para </w:t>
      </w:r>
      <w:r w:rsidR="00456214" w:rsidRPr="007E1702">
        <w:rPr>
          <w:rFonts w:ascii="Cambria" w:hAnsi="Cambria"/>
          <w:sz w:val="20"/>
          <w:szCs w:val="20"/>
          <w:lang w:val="es-ES"/>
        </w:rPr>
        <w:t xml:space="preserve">debatir casos nacionales, evitando discutir las cuestiones en el ámbito interno. </w:t>
      </w:r>
      <w:r w:rsidR="00B42648" w:rsidRPr="007E1702">
        <w:rPr>
          <w:rFonts w:ascii="Cambria" w:hAnsi="Cambria"/>
          <w:sz w:val="20"/>
          <w:szCs w:val="20"/>
          <w:lang w:val="es-ES"/>
        </w:rPr>
        <w:t>Sostiene</w:t>
      </w:r>
      <w:r w:rsidR="00456214" w:rsidRPr="007E1702">
        <w:rPr>
          <w:rFonts w:ascii="Cambria" w:hAnsi="Cambria"/>
          <w:sz w:val="20"/>
          <w:szCs w:val="20"/>
          <w:lang w:val="es-ES"/>
        </w:rPr>
        <w:t xml:space="preserve"> que la parte peticionaria podría haber hecho uso </w:t>
      </w:r>
      <w:r w:rsidR="00BC11F4" w:rsidRPr="007E1702">
        <w:rPr>
          <w:rFonts w:ascii="Cambria" w:hAnsi="Cambria"/>
          <w:sz w:val="20"/>
          <w:szCs w:val="20"/>
          <w:lang w:val="es-ES"/>
        </w:rPr>
        <w:t>del Há</w:t>
      </w:r>
      <w:r w:rsidR="00456214" w:rsidRPr="007E1702">
        <w:rPr>
          <w:rFonts w:ascii="Cambria" w:hAnsi="Cambria"/>
          <w:sz w:val="20"/>
          <w:szCs w:val="20"/>
          <w:lang w:val="es-ES"/>
        </w:rPr>
        <w:t xml:space="preserve">beas Corpus, del Recurso Extraordinario, de la acción de revisión </w:t>
      </w:r>
      <w:r w:rsidR="00084D24" w:rsidRPr="007E1702">
        <w:rPr>
          <w:rFonts w:ascii="Cambria" w:hAnsi="Cambria"/>
          <w:sz w:val="20"/>
          <w:szCs w:val="20"/>
          <w:lang w:val="es-ES"/>
        </w:rPr>
        <w:t xml:space="preserve">penal </w:t>
      </w:r>
      <w:r w:rsidR="00456214" w:rsidRPr="007E1702">
        <w:rPr>
          <w:rFonts w:ascii="Cambria" w:hAnsi="Cambria"/>
          <w:sz w:val="20"/>
          <w:szCs w:val="20"/>
          <w:lang w:val="es-ES"/>
        </w:rPr>
        <w:t xml:space="preserve">y de la acción civil de reparación de daño. </w:t>
      </w:r>
      <w:r w:rsidR="005A66C2" w:rsidRPr="007E1702">
        <w:rPr>
          <w:rFonts w:asciiTheme="majorHAnsi" w:hAnsiTheme="majorHAnsi"/>
          <w:sz w:val="20"/>
          <w:szCs w:val="20"/>
          <w:lang w:val="es-ES"/>
        </w:rPr>
        <w:t>En relación al Hábeas Corpus, resalta la facilidad, celeridad y efectividad de la medida. Por otra parte, señala que, si bien la Constitución Federal sólo prevé el Recurso Extraordinario para que el STF ejerza el control constituc</w:t>
      </w:r>
      <w:r w:rsidR="0063503A" w:rsidRPr="007E1702">
        <w:rPr>
          <w:rFonts w:asciiTheme="majorHAnsi" w:hAnsiTheme="majorHAnsi"/>
          <w:sz w:val="20"/>
          <w:szCs w:val="20"/>
          <w:lang w:val="es-ES"/>
        </w:rPr>
        <w:t xml:space="preserve">ional de las leyes, el Tribunal </w:t>
      </w:r>
      <w:r w:rsidR="005A66C2" w:rsidRPr="007E1702">
        <w:rPr>
          <w:rFonts w:ascii="Cambria" w:hAnsi="Cambria"/>
          <w:sz w:val="20"/>
          <w:szCs w:val="20"/>
          <w:lang w:val="es-ES"/>
        </w:rPr>
        <w:t>también ya realizó el control de convencionalidad de las</w:t>
      </w:r>
      <w:r w:rsidR="005A66C2" w:rsidRPr="003D0317">
        <w:rPr>
          <w:rFonts w:ascii="Cambria" w:hAnsi="Cambria"/>
          <w:sz w:val="20"/>
          <w:szCs w:val="20"/>
          <w:lang w:val="es-ES"/>
        </w:rPr>
        <w:t xml:space="preserve"> leyes en el ámbito de este recurso. </w:t>
      </w:r>
      <w:r w:rsidR="00344934" w:rsidRPr="003D0317">
        <w:rPr>
          <w:rFonts w:ascii="Cambria" w:hAnsi="Cambria"/>
          <w:sz w:val="20"/>
          <w:szCs w:val="20"/>
          <w:lang w:val="es-ES"/>
        </w:rPr>
        <w:t>D</w:t>
      </w:r>
      <w:r w:rsidR="005A66C2" w:rsidRPr="003D0317">
        <w:rPr>
          <w:rFonts w:ascii="Cambria" w:hAnsi="Cambria"/>
          <w:sz w:val="20"/>
          <w:szCs w:val="20"/>
          <w:lang w:val="es-ES"/>
        </w:rPr>
        <w:t xml:space="preserve">estaca que el </w:t>
      </w:r>
      <w:r w:rsidR="004E6B18" w:rsidRPr="003D0317">
        <w:rPr>
          <w:rFonts w:ascii="Cambria" w:hAnsi="Cambria"/>
          <w:sz w:val="20"/>
          <w:szCs w:val="20"/>
          <w:lang w:val="es-ES"/>
        </w:rPr>
        <w:t>STF</w:t>
      </w:r>
      <w:r w:rsidR="005A66C2" w:rsidRPr="003D0317">
        <w:rPr>
          <w:rFonts w:ascii="Cambria" w:hAnsi="Cambria"/>
          <w:sz w:val="20"/>
          <w:szCs w:val="20"/>
          <w:lang w:val="es-ES"/>
        </w:rPr>
        <w:t xml:space="preserve"> ya ha dicho que es posible interponer este recurso contra una resolución dictada</w:t>
      </w:r>
      <w:r w:rsidR="005A66C2" w:rsidRPr="00D065E0">
        <w:rPr>
          <w:rFonts w:ascii="Cambria" w:hAnsi="Cambria"/>
          <w:sz w:val="20"/>
          <w:szCs w:val="20"/>
          <w:lang w:val="es-ES"/>
        </w:rPr>
        <w:t xml:space="preserve"> por un Tribunal de Apelación del Juzgado Especial Civil y Penal [</w:t>
      </w:r>
      <w:r w:rsidR="005A66C2" w:rsidRPr="00D065E0">
        <w:rPr>
          <w:rFonts w:ascii="Cambria" w:hAnsi="Cambria"/>
          <w:i/>
          <w:sz w:val="20"/>
          <w:szCs w:val="20"/>
          <w:lang w:val="es-ES"/>
        </w:rPr>
        <w:t>Turma Recursal de juizado especial cível e criminal</w:t>
      </w:r>
      <w:r w:rsidR="005A66C2" w:rsidRPr="00D065E0">
        <w:rPr>
          <w:rFonts w:ascii="Cambria" w:hAnsi="Cambria"/>
          <w:sz w:val="20"/>
          <w:szCs w:val="20"/>
          <w:lang w:val="es-ES"/>
        </w:rPr>
        <w:t>]. Ad</w:t>
      </w:r>
      <w:r w:rsidR="00344934">
        <w:rPr>
          <w:rFonts w:ascii="Cambria" w:hAnsi="Cambria"/>
          <w:sz w:val="20"/>
          <w:szCs w:val="20"/>
          <w:lang w:val="es-ES"/>
        </w:rPr>
        <w:t>emás</w:t>
      </w:r>
      <w:r w:rsidR="005A66C2" w:rsidRPr="00D065E0">
        <w:rPr>
          <w:rFonts w:ascii="Cambria" w:hAnsi="Cambria"/>
          <w:sz w:val="20"/>
          <w:szCs w:val="20"/>
          <w:lang w:val="es-ES"/>
        </w:rPr>
        <w:t>, asegura que, si bien no hay expresa previsión en la ley autorizando la interposición de la acción de revisión ante los Juzgados Especiales Penales [</w:t>
      </w:r>
      <w:r w:rsidR="005A66C2" w:rsidRPr="00D065E0">
        <w:rPr>
          <w:rFonts w:ascii="Cambria" w:hAnsi="Cambria"/>
          <w:i/>
          <w:sz w:val="20"/>
          <w:szCs w:val="20"/>
          <w:lang w:val="es-ES"/>
        </w:rPr>
        <w:t>Juizados Especiais Criminais</w:t>
      </w:r>
      <w:r w:rsidR="005A66C2" w:rsidRPr="00D065E0">
        <w:rPr>
          <w:rFonts w:ascii="Cambria" w:hAnsi="Cambria"/>
          <w:sz w:val="20"/>
          <w:szCs w:val="20"/>
          <w:lang w:val="es-ES"/>
        </w:rPr>
        <w:t xml:space="preserve">], de la jurisprudencia del Supremo Tribunal de Justicia surge </w:t>
      </w:r>
      <w:r w:rsidR="005A66C2" w:rsidRPr="00D065E0">
        <w:rPr>
          <w:rFonts w:ascii="Cambria" w:hAnsi="Cambria"/>
          <w:sz w:val="20"/>
          <w:szCs w:val="20"/>
          <w:lang w:val="es-ES"/>
        </w:rPr>
        <w:lastRenderedPageBreak/>
        <w:t>que esta acción les es aplicable y que la misma puede ser utilizada para revertir los c</w:t>
      </w:r>
      <w:r w:rsidR="00B47342">
        <w:rPr>
          <w:rFonts w:ascii="Cambria" w:hAnsi="Cambria"/>
          <w:sz w:val="20"/>
          <w:szCs w:val="20"/>
          <w:lang w:val="es-ES"/>
        </w:rPr>
        <w:t>asos de errores en el derecho c</w:t>
      </w:r>
      <w:r w:rsidR="005A66C2" w:rsidRPr="00D065E0">
        <w:rPr>
          <w:rFonts w:ascii="Cambria" w:hAnsi="Cambria"/>
          <w:sz w:val="20"/>
          <w:szCs w:val="20"/>
          <w:lang w:val="es-ES"/>
        </w:rPr>
        <w:t xml:space="preserve">uando </w:t>
      </w:r>
      <w:r w:rsidR="00B47342">
        <w:rPr>
          <w:rFonts w:ascii="Cambria" w:hAnsi="Cambria"/>
          <w:sz w:val="20"/>
          <w:szCs w:val="20"/>
          <w:lang w:val="es-ES"/>
        </w:rPr>
        <w:t>el fallo</w:t>
      </w:r>
      <w:r w:rsidR="005A66C2" w:rsidRPr="00D065E0">
        <w:rPr>
          <w:rFonts w:ascii="Cambria" w:hAnsi="Cambria"/>
          <w:sz w:val="20"/>
          <w:szCs w:val="20"/>
          <w:lang w:val="es-ES"/>
        </w:rPr>
        <w:t xml:space="preserve"> condenat</w:t>
      </w:r>
      <w:r w:rsidR="00B47342">
        <w:rPr>
          <w:rFonts w:ascii="Cambria" w:hAnsi="Cambria"/>
          <w:sz w:val="20"/>
          <w:szCs w:val="20"/>
          <w:lang w:val="es-ES"/>
        </w:rPr>
        <w:t>orio sea contrario</w:t>
      </w:r>
      <w:r w:rsidR="005A66C2" w:rsidRPr="00D065E0">
        <w:rPr>
          <w:rFonts w:ascii="Cambria" w:hAnsi="Cambria"/>
          <w:sz w:val="20"/>
          <w:szCs w:val="20"/>
          <w:lang w:val="es-ES"/>
        </w:rPr>
        <w:t xml:space="preserve"> a</w:t>
      </w:r>
      <w:r w:rsidR="00B47342">
        <w:rPr>
          <w:rFonts w:ascii="Cambria" w:hAnsi="Cambria"/>
          <w:sz w:val="20"/>
          <w:szCs w:val="20"/>
          <w:lang w:val="es-ES"/>
        </w:rPr>
        <w:t>l texto expreso de la ley penal</w:t>
      </w:r>
      <w:r w:rsidR="005A66C2" w:rsidRPr="00D065E0">
        <w:rPr>
          <w:rFonts w:ascii="Cambria" w:hAnsi="Cambria"/>
          <w:sz w:val="20"/>
          <w:szCs w:val="20"/>
          <w:lang w:val="es-ES"/>
        </w:rPr>
        <w:t xml:space="preserve">. </w:t>
      </w:r>
    </w:p>
    <w:p w14:paraId="659339CB" w14:textId="25C803E6" w:rsidR="00FC3CEC" w:rsidRPr="00FC3CEC" w:rsidRDefault="006D30D0" w:rsidP="00A64A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L</w:t>
      </w:r>
      <w:r w:rsidR="00F32D78" w:rsidRPr="00FD4F2E">
        <w:rPr>
          <w:rFonts w:asciiTheme="majorHAnsi" w:hAnsiTheme="majorHAnsi"/>
          <w:sz w:val="20"/>
          <w:szCs w:val="20"/>
          <w:lang w:val="es-ES"/>
        </w:rPr>
        <w:t xml:space="preserve">a Comisión reitera que el requisito de agotamiento de los recursos internos no implica que las presuntas víctimas tengan la obligación de agotar todos los recursos posibles a su disposición. En este </w:t>
      </w:r>
      <w:r w:rsidR="00F32D78" w:rsidRPr="00762577">
        <w:rPr>
          <w:rFonts w:asciiTheme="majorHAnsi" w:hAnsiTheme="majorHAnsi"/>
          <w:sz w:val="20"/>
          <w:szCs w:val="20"/>
          <w:lang w:val="es-ES"/>
        </w:rPr>
        <w:t>sentido, la CIDH ha mantenido que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F32D78" w:rsidRPr="00762577">
        <w:rPr>
          <w:rStyle w:val="FootnoteReference"/>
          <w:rFonts w:asciiTheme="majorHAnsi" w:hAnsiTheme="majorHAnsi"/>
          <w:sz w:val="20"/>
          <w:szCs w:val="20"/>
          <w:lang w:val="es-ES"/>
        </w:rPr>
        <w:footnoteReference w:id="9"/>
      </w:r>
      <w:r w:rsidR="00F32D78" w:rsidRPr="00762577">
        <w:rPr>
          <w:rFonts w:asciiTheme="majorHAnsi" w:hAnsiTheme="majorHAnsi"/>
          <w:sz w:val="20"/>
          <w:szCs w:val="20"/>
          <w:lang w:val="es-ES"/>
        </w:rPr>
        <w:t xml:space="preserve">. En el presente </w:t>
      </w:r>
      <w:r w:rsidR="00A65989" w:rsidRPr="00762577">
        <w:rPr>
          <w:rFonts w:asciiTheme="majorHAnsi" w:hAnsiTheme="majorHAnsi"/>
          <w:sz w:val="20"/>
          <w:szCs w:val="20"/>
          <w:lang w:val="es-ES"/>
        </w:rPr>
        <w:t>asunto,</w:t>
      </w:r>
      <w:r w:rsidR="00F32D78" w:rsidRPr="00762577">
        <w:rPr>
          <w:rFonts w:asciiTheme="majorHAnsi" w:hAnsiTheme="majorHAnsi"/>
          <w:sz w:val="20"/>
          <w:szCs w:val="20"/>
          <w:lang w:val="es-ES"/>
        </w:rPr>
        <w:t xml:space="preserve"> la Comisión observa</w:t>
      </w:r>
      <w:r w:rsidR="00A65989" w:rsidRPr="00762577">
        <w:rPr>
          <w:rFonts w:asciiTheme="majorHAnsi" w:hAnsiTheme="majorHAnsi"/>
          <w:sz w:val="20"/>
          <w:szCs w:val="20"/>
          <w:lang w:val="es-ES"/>
        </w:rPr>
        <w:t xml:space="preserve"> que</w:t>
      </w:r>
      <w:r w:rsidR="00F32D78" w:rsidRPr="00762577">
        <w:rPr>
          <w:rFonts w:asciiTheme="majorHAnsi" w:hAnsiTheme="majorHAnsi"/>
          <w:sz w:val="20"/>
          <w:szCs w:val="20"/>
          <w:lang w:val="es-ES"/>
        </w:rPr>
        <w:t>, a los efectos del análisis de admisibilidad, la presunta víctima agotó el recurso ordinario</w:t>
      </w:r>
      <w:r w:rsidR="0069190A" w:rsidRPr="00762577">
        <w:rPr>
          <w:rFonts w:asciiTheme="majorHAnsi" w:hAnsiTheme="majorHAnsi"/>
          <w:sz w:val="20"/>
          <w:szCs w:val="20"/>
          <w:lang w:val="es-ES"/>
        </w:rPr>
        <w:t xml:space="preserve"> de apelación</w:t>
      </w:r>
      <w:r w:rsidR="00F32D78" w:rsidRPr="00762577">
        <w:rPr>
          <w:rFonts w:asciiTheme="majorHAnsi" w:hAnsiTheme="majorHAnsi"/>
          <w:sz w:val="20"/>
          <w:szCs w:val="20"/>
          <w:lang w:val="es-ES"/>
        </w:rPr>
        <w:t xml:space="preserve"> previsto </w:t>
      </w:r>
      <w:r w:rsidR="00CE7248" w:rsidRPr="00762577">
        <w:rPr>
          <w:rFonts w:ascii="Cambria" w:hAnsi="Cambria"/>
          <w:sz w:val="20"/>
          <w:szCs w:val="20"/>
          <w:lang w:val="es-AR"/>
        </w:rPr>
        <w:t>en lo que refiere al delito de desacato</w:t>
      </w:r>
      <w:r w:rsidR="00F32D78" w:rsidRPr="00762577">
        <w:rPr>
          <w:rFonts w:asciiTheme="majorHAnsi" w:hAnsiTheme="majorHAnsi"/>
          <w:sz w:val="20"/>
          <w:szCs w:val="20"/>
          <w:lang w:val="es-ES"/>
        </w:rPr>
        <w:t>, para hacer valer sus derechos presuntamente violados y, por tanto, la petición cumple el requisito establecido en el artículo 46.1.a de la Convención.</w:t>
      </w:r>
      <w:r w:rsidR="00FC3CEC" w:rsidRPr="00762577">
        <w:rPr>
          <w:rFonts w:ascii="Cambria" w:hAnsi="Cambria"/>
          <w:sz w:val="20"/>
          <w:szCs w:val="20"/>
          <w:lang w:val="es-ES"/>
        </w:rPr>
        <w:t xml:space="preserve"> En relación</w:t>
      </w:r>
      <w:r w:rsidR="00FC3CEC" w:rsidRPr="00FC3CEC">
        <w:rPr>
          <w:rFonts w:ascii="Cambria" w:hAnsi="Cambria"/>
          <w:sz w:val="20"/>
          <w:szCs w:val="20"/>
          <w:lang w:val="es-ES"/>
        </w:rPr>
        <w:t xml:space="preserve"> con el plazo de presentación, en tanto la decisión que puso fin al trámite procesal en sede interna fue adoptada por la Corte de Apelaciones el 25 de junio de 2012 y la petición fue presentada el 16 de agosto de 2012, la Comisión nota que cumple con los requisitos exigidos en los artículos 46.1.b) de la CADH. </w:t>
      </w:r>
    </w:p>
    <w:p w14:paraId="084420D2" w14:textId="3194690E" w:rsidR="00FC3CEC" w:rsidRPr="006D30D0" w:rsidRDefault="00FC3CEC" w:rsidP="00A64A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 xml:space="preserve">Finalmente, la Comisión </w:t>
      </w:r>
      <w:r w:rsidR="000C6D48">
        <w:rPr>
          <w:rFonts w:ascii="Cambria" w:hAnsi="Cambria"/>
          <w:sz w:val="20"/>
          <w:szCs w:val="20"/>
          <w:lang w:val="es-ES"/>
        </w:rPr>
        <w:t>observa</w:t>
      </w:r>
      <w:r>
        <w:rPr>
          <w:rFonts w:ascii="Cambria" w:hAnsi="Cambria"/>
          <w:sz w:val="20"/>
          <w:szCs w:val="20"/>
          <w:lang w:val="es-ES"/>
        </w:rPr>
        <w:t xml:space="preserve"> que</w:t>
      </w:r>
      <w:r w:rsidR="007D5E9E">
        <w:rPr>
          <w:rFonts w:ascii="Cambria" w:hAnsi="Cambria"/>
          <w:sz w:val="20"/>
          <w:szCs w:val="20"/>
          <w:lang w:val="es-ES"/>
        </w:rPr>
        <w:t xml:space="preserve"> </w:t>
      </w:r>
      <w:r>
        <w:rPr>
          <w:rFonts w:ascii="Cambria" w:hAnsi="Cambria"/>
          <w:sz w:val="20"/>
          <w:szCs w:val="20"/>
          <w:lang w:val="es-ES"/>
        </w:rPr>
        <w:t xml:space="preserve">la parte peticionaria </w:t>
      </w:r>
      <w:r w:rsidR="00DA6C62">
        <w:rPr>
          <w:rFonts w:ascii="Cambria" w:hAnsi="Cambria"/>
          <w:sz w:val="20"/>
          <w:szCs w:val="20"/>
          <w:lang w:val="es-ES"/>
        </w:rPr>
        <w:t>alega</w:t>
      </w:r>
      <w:r>
        <w:rPr>
          <w:rFonts w:ascii="Cambria" w:hAnsi="Cambria"/>
          <w:sz w:val="20"/>
          <w:szCs w:val="20"/>
          <w:lang w:val="es-ES"/>
        </w:rPr>
        <w:t xml:space="preserve"> que </w:t>
      </w:r>
      <w:r w:rsidR="00AF1C7A">
        <w:rPr>
          <w:rStyle w:val="Emphasis"/>
          <w:rFonts w:asciiTheme="majorHAnsi" w:hAnsiTheme="majorHAnsi" w:cs="Arial"/>
          <w:bCs/>
          <w:i w:val="0"/>
          <w:iCs w:val="0"/>
          <w:sz w:val="20"/>
          <w:szCs w:val="20"/>
          <w:shd w:val="clear" w:color="auto" w:fill="FFFFFF"/>
          <w:lang w:val="es-ES"/>
        </w:rPr>
        <w:t>la condena por desacato le genero a la presunta víctima</w:t>
      </w:r>
      <w:r w:rsidRPr="005A66C2">
        <w:rPr>
          <w:rStyle w:val="Emphasis"/>
          <w:rFonts w:asciiTheme="majorHAnsi" w:hAnsiTheme="majorHAnsi" w:cs="Arial"/>
          <w:bCs/>
          <w:i w:val="0"/>
          <w:iCs w:val="0"/>
          <w:sz w:val="20"/>
          <w:szCs w:val="20"/>
          <w:shd w:val="clear" w:color="auto" w:fill="FFFFFF"/>
          <w:lang w:val="es-ES"/>
        </w:rPr>
        <w:t xml:space="preserve"> inequívoco daño moral. Igualmente, sostiene que el Estado al no aplicar la </w:t>
      </w:r>
      <w:r w:rsidR="00DA6C62">
        <w:rPr>
          <w:rStyle w:val="Emphasis"/>
          <w:rFonts w:asciiTheme="majorHAnsi" w:hAnsiTheme="majorHAnsi" w:cs="Arial"/>
          <w:bCs/>
          <w:i w:val="0"/>
          <w:iCs w:val="0"/>
          <w:sz w:val="20"/>
          <w:szCs w:val="20"/>
          <w:shd w:val="clear" w:color="auto" w:fill="FFFFFF"/>
          <w:lang w:val="es-ES"/>
        </w:rPr>
        <w:t>CADH</w:t>
      </w:r>
      <w:r w:rsidRPr="005A66C2">
        <w:rPr>
          <w:rStyle w:val="Emphasis"/>
          <w:rFonts w:asciiTheme="majorHAnsi" w:hAnsiTheme="majorHAnsi" w:cs="Arial"/>
          <w:bCs/>
          <w:i w:val="0"/>
          <w:iCs w:val="0"/>
          <w:sz w:val="20"/>
          <w:szCs w:val="20"/>
          <w:shd w:val="clear" w:color="auto" w:fill="FFFFFF"/>
          <w:lang w:val="es-ES"/>
        </w:rPr>
        <w:t xml:space="preserve"> y garantizar su absolución con respecto al delito de desacato, cometió un error judicial. </w:t>
      </w:r>
      <w:r>
        <w:rPr>
          <w:rStyle w:val="Emphasis"/>
          <w:rFonts w:asciiTheme="majorHAnsi" w:hAnsiTheme="majorHAnsi" w:cs="Arial"/>
          <w:bCs/>
          <w:i w:val="0"/>
          <w:iCs w:val="0"/>
          <w:sz w:val="20"/>
          <w:szCs w:val="20"/>
          <w:shd w:val="clear" w:color="auto" w:fill="FFFFFF"/>
          <w:lang w:val="es-ES"/>
        </w:rPr>
        <w:t>Debido a ello</w:t>
      </w:r>
      <w:r w:rsidRPr="005A66C2">
        <w:rPr>
          <w:rStyle w:val="Emphasis"/>
          <w:rFonts w:asciiTheme="majorHAnsi" w:hAnsiTheme="majorHAnsi" w:cs="Arial"/>
          <w:bCs/>
          <w:i w:val="0"/>
          <w:iCs w:val="0"/>
          <w:sz w:val="20"/>
          <w:szCs w:val="20"/>
          <w:shd w:val="clear" w:color="auto" w:fill="FFFFFF"/>
          <w:lang w:val="es-ES"/>
        </w:rPr>
        <w:t>, afirma que Macedo debería ser indemnizado</w:t>
      </w:r>
      <w:r>
        <w:rPr>
          <w:rStyle w:val="Emphasis"/>
          <w:rFonts w:asciiTheme="majorHAnsi" w:hAnsiTheme="majorHAnsi" w:cs="Arial"/>
          <w:bCs/>
          <w:i w:val="0"/>
          <w:iCs w:val="0"/>
          <w:sz w:val="20"/>
          <w:szCs w:val="20"/>
          <w:shd w:val="clear" w:color="auto" w:fill="FFFFFF"/>
          <w:lang w:val="es-ES"/>
        </w:rPr>
        <w:t>, en consonancia con el artículo 10 de la CADH</w:t>
      </w:r>
      <w:r w:rsidRPr="005A66C2">
        <w:rPr>
          <w:rStyle w:val="Emphasis"/>
          <w:rFonts w:asciiTheme="majorHAnsi" w:hAnsiTheme="majorHAnsi" w:cs="Arial"/>
          <w:bCs/>
          <w:i w:val="0"/>
          <w:iCs w:val="0"/>
          <w:sz w:val="20"/>
          <w:szCs w:val="20"/>
          <w:shd w:val="clear" w:color="auto" w:fill="FFFFFF"/>
          <w:lang w:val="es-ES"/>
        </w:rPr>
        <w:t>.</w:t>
      </w:r>
      <w:r>
        <w:rPr>
          <w:rStyle w:val="Emphasis"/>
          <w:rFonts w:asciiTheme="majorHAnsi" w:hAnsiTheme="majorHAnsi" w:cs="Arial"/>
          <w:bCs/>
          <w:i w:val="0"/>
          <w:iCs w:val="0"/>
          <w:sz w:val="20"/>
          <w:szCs w:val="20"/>
          <w:shd w:val="clear" w:color="auto" w:fill="FFFFFF"/>
          <w:lang w:val="es-ES"/>
        </w:rPr>
        <w:t xml:space="preserve"> </w:t>
      </w:r>
      <w:r>
        <w:rPr>
          <w:rFonts w:ascii="Cambria" w:hAnsi="Cambria"/>
          <w:sz w:val="20"/>
          <w:szCs w:val="20"/>
          <w:lang w:val="es-ES"/>
        </w:rPr>
        <w:t>E</w:t>
      </w:r>
      <w:r w:rsidRPr="00FC3CEC">
        <w:rPr>
          <w:rFonts w:ascii="Cambria" w:hAnsi="Cambria"/>
          <w:sz w:val="20"/>
          <w:szCs w:val="20"/>
          <w:lang w:val="es-ES"/>
        </w:rPr>
        <w:t>l Estado</w:t>
      </w:r>
      <w:r>
        <w:rPr>
          <w:rFonts w:ascii="Cambria" w:hAnsi="Cambria"/>
          <w:sz w:val="20"/>
          <w:szCs w:val="20"/>
          <w:lang w:val="es-ES"/>
        </w:rPr>
        <w:t>, a su vez,</w:t>
      </w:r>
      <w:r w:rsidRPr="00FC3CEC">
        <w:rPr>
          <w:rFonts w:ascii="Cambria" w:hAnsi="Cambria"/>
          <w:sz w:val="20"/>
          <w:szCs w:val="20"/>
          <w:lang w:val="es-ES"/>
        </w:rPr>
        <w:t xml:space="preserve"> menciona que la parte peticionaria no ha iniciado una acción civil en el ámbito interno para reparar el daño moral o material, y señala que la Constitución </w:t>
      </w:r>
      <w:r>
        <w:rPr>
          <w:rFonts w:ascii="Cambria" w:hAnsi="Cambria"/>
          <w:sz w:val="20"/>
          <w:szCs w:val="20"/>
          <w:lang w:val="es-ES"/>
        </w:rPr>
        <w:t xml:space="preserve">Federal </w:t>
      </w:r>
      <w:r w:rsidRPr="00FC3CEC">
        <w:rPr>
          <w:rFonts w:ascii="Cambria" w:hAnsi="Cambria"/>
          <w:sz w:val="20"/>
          <w:szCs w:val="20"/>
          <w:lang w:val="es-ES"/>
        </w:rPr>
        <w:t xml:space="preserve">prevé la indemnización al condenado por un error judicial. Igualmente, aclara que la falta de conformidad de </w:t>
      </w:r>
      <w:r w:rsidRPr="0069190A">
        <w:rPr>
          <w:rFonts w:ascii="Cambria" w:hAnsi="Cambria"/>
          <w:sz w:val="20"/>
          <w:szCs w:val="20"/>
          <w:lang w:val="es-ES"/>
        </w:rPr>
        <w:t xml:space="preserve">la parte con una sentencia judicial contraria a su interés no implica que haya un error judicial. </w:t>
      </w:r>
      <w:r w:rsidR="006D30D0" w:rsidRPr="0069190A">
        <w:rPr>
          <w:rFonts w:ascii="Cambria" w:hAnsi="Cambria"/>
          <w:sz w:val="20"/>
          <w:szCs w:val="20"/>
          <w:lang w:val="es-ES"/>
        </w:rPr>
        <w:t>En consecuencia</w:t>
      </w:r>
      <w:r w:rsidRPr="0069190A">
        <w:rPr>
          <w:rFonts w:ascii="Cambria" w:hAnsi="Cambria"/>
          <w:sz w:val="20"/>
          <w:szCs w:val="20"/>
          <w:lang w:val="es-ES"/>
        </w:rPr>
        <w:t xml:space="preserve">, afirma que </w:t>
      </w:r>
      <w:r w:rsidR="000C6D48" w:rsidRPr="0069190A">
        <w:rPr>
          <w:rFonts w:ascii="Cambria" w:hAnsi="Cambria"/>
          <w:sz w:val="20"/>
          <w:szCs w:val="20"/>
          <w:lang w:val="es-ES"/>
        </w:rPr>
        <w:t>esta</w:t>
      </w:r>
      <w:r w:rsidRPr="0069190A">
        <w:rPr>
          <w:rFonts w:ascii="Cambria" w:hAnsi="Cambria"/>
          <w:sz w:val="20"/>
          <w:szCs w:val="20"/>
          <w:lang w:val="es-ES"/>
        </w:rPr>
        <w:t xml:space="preserve"> debería haber reclamado la reparación en el ámbito interno, ya fuera mediante la acción de revisión penal o la acción de reparación civil de daños y perjuicios. </w:t>
      </w:r>
      <w:r w:rsidR="006D30D0" w:rsidRPr="0069190A">
        <w:rPr>
          <w:rFonts w:ascii="Cambria" w:hAnsi="Cambria"/>
          <w:sz w:val="20"/>
          <w:szCs w:val="20"/>
          <w:lang w:val="es-AR"/>
        </w:rPr>
        <w:t xml:space="preserve">Ante lo expuesto, </w:t>
      </w:r>
      <w:r w:rsidR="000C6D48" w:rsidRPr="0069190A">
        <w:rPr>
          <w:rFonts w:ascii="Cambria" w:hAnsi="Cambria"/>
          <w:sz w:val="20"/>
          <w:szCs w:val="20"/>
          <w:lang w:val="es-AR"/>
        </w:rPr>
        <w:t>la Comisión nota que la parte peticionaria no aporta información sobre el agotamiento de</w:t>
      </w:r>
      <w:r w:rsidR="00AF1C7A" w:rsidRPr="0069190A">
        <w:rPr>
          <w:rFonts w:ascii="Cambria" w:hAnsi="Cambria"/>
          <w:sz w:val="20"/>
          <w:szCs w:val="20"/>
          <w:lang w:val="es-AR"/>
        </w:rPr>
        <w:t xml:space="preserve"> los</w:t>
      </w:r>
      <w:r w:rsidR="000C6D48" w:rsidRPr="0069190A">
        <w:rPr>
          <w:rFonts w:ascii="Cambria" w:hAnsi="Cambria"/>
          <w:sz w:val="20"/>
          <w:szCs w:val="20"/>
          <w:lang w:val="es-AR"/>
        </w:rPr>
        <w:t xml:space="preserve"> recursos internos</w:t>
      </w:r>
      <w:r w:rsidR="006D30D0" w:rsidRPr="0069190A">
        <w:rPr>
          <w:rFonts w:ascii="Cambria" w:hAnsi="Cambria"/>
          <w:sz w:val="20"/>
          <w:szCs w:val="20"/>
          <w:lang w:val="es-AR"/>
        </w:rPr>
        <w:t xml:space="preserve"> con relación a este extremo, </w:t>
      </w:r>
      <w:r w:rsidR="000C6D48" w:rsidRPr="0069190A">
        <w:rPr>
          <w:rFonts w:ascii="Cambria" w:hAnsi="Cambria"/>
          <w:sz w:val="20"/>
          <w:szCs w:val="20"/>
          <w:lang w:val="es-AR"/>
        </w:rPr>
        <w:t xml:space="preserve">y por lo tanto, concluye que </w:t>
      </w:r>
      <w:r w:rsidR="006D30D0" w:rsidRPr="0069190A">
        <w:rPr>
          <w:rFonts w:ascii="Cambria" w:hAnsi="Cambria"/>
          <w:sz w:val="20"/>
          <w:szCs w:val="20"/>
          <w:lang w:val="es-AR"/>
        </w:rPr>
        <w:t>no puede dar por acreditado el requisito previst</w:t>
      </w:r>
      <w:r w:rsidR="00AF1C7A" w:rsidRPr="0069190A">
        <w:rPr>
          <w:rFonts w:ascii="Cambria" w:hAnsi="Cambria"/>
          <w:sz w:val="20"/>
          <w:szCs w:val="20"/>
          <w:lang w:val="es-AR"/>
        </w:rPr>
        <w:t>o en el artículo 46.1.a de la CADH con respecto a una presunta violación del</w:t>
      </w:r>
      <w:r w:rsidR="000C6D48" w:rsidRPr="0069190A">
        <w:rPr>
          <w:rFonts w:ascii="Cambria" w:hAnsi="Cambria"/>
          <w:sz w:val="20"/>
          <w:szCs w:val="20"/>
          <w:lang w:val="es-AR"/>
        </w:rPr>
        <w:t xml:space="preserve"> derecho de </w:t>
      </w:r>
      <w:r w:rsidR="00AF1C7A" w:rsidRPr="0069190A">
        <w:rPr>
          <w:rFonts w:ascii="Cambria" w:hAnsi="Cambria"/>
          <w:sz w:val="20"/>
          <w:szCs w:val="20"/>
          <w:lang w:val="es-AR"/>
        </w:rPr>
        <w:t>Macedo</w:t>
      </w:r>
      <w:r w:rsidR="000C6D48" w:rsidRPr="0069190A">
        <w:rPr>
          <w:rFonts w:ascii="Cambria" w:hAnsi="Cambria"/>
          <w:sz w:val="20"/>
          <w:szCs w:val="20"/>
          <w:lang w:val="es-AR"/>
        </w:rPr>
        <w:t xml:space="preserve"> a indemnización por error judicial</w:t>
      </w:r>
      <w:r w:rsidR="006D30D0" w:rsidRPr="0069190A">
        <w:rPr>
          <w:rFonts w:ascii="Cambria" w:hAnsi="Cambria"/>
          <w:sz w:val="20"/>
          <w:szCs w:val="20"/>
          <w:lang w:val="es-AR"/>
        </w:rPr>
        <w:t>.</w:t>
      </w:r>
      <w:r w:rsidR="006D30D0" w:rsidRPr="006D30D0">
        <w:rPr>
          <w:rFonts w:ascii="Cambria" w:hAnsi="Cambria"/>
          <w:sz w:val="20"/>
          <w:szCs w:val="20"/>
          <w:lang w:val="es-AR"/>
        </w:rPr>
        <w:t xml:space="preserve"> </w:t>
      </w:r>
    </w:p>
    <w:p w14:paraId="4FFBE378" w14:textId="6DFF882B" w:rsidR="003239B8" w:rsidRPr="00762577" w:rsidRDefault="003239B8" w:rsidP="00A64A73">
      <w:pPr>
        <w:pStyle w:val="ListParagraph"/>
        <w:spacing w:before="240" w:after="240"/>
        <w:jc w:val="both"/>
        <w:rPr>
          <w:rFonts w:asciiTheme="majorHAnsi" w:hAnsiTheme="majorHAnsi"/>
          <w:b/>
          <w:sz w:val="20"/>
          <w:szCs w:val="20"/>
          <w:lang w:val="es-ES"/>
        </w:rPr>
      </w:pPr>
      <w:r w:rsidRPr="00762577">
        <w:rPr>
          <w:rFonts w:asciiTheme="majorHAnsi" w:hAnsiTheme="majorHAnsi"/>
          <w:b/>
          <w:bCs/>
          <w:sz w:val="20"/>
          <w:szCs w:val="20"/>
          <w:lang w:val="es-ES"/>
        </w:rPr>
        <w:t>VII.</w:t>
      </w:r>
      <w:r w:rsidRPr="00762577">
        <w:rPr>
          <w:rFonts w:asciiTheme="majorHAnsi" w:hAnsiTheme="majorHAnsi"/>
          <w:b/>
          <w:bCs/>
          <w:sz w:val="20"/>
          <w:szCs w:val="20"/>
          <w:lang w:val="es-ES"/>
        </w:rPr>
        <w:tab/>
      </w:r>
      <w:r w:rsidR="009E769F">
        <w:rPr>
          <w:rFonts w:asciiTheme="majorHAnsi" w:hAnsiTheme="majorHAnsi"/>
          <w:b/>
          <w:bCs/>
          <w:sz w:val="20"/>
          <w:szCs w:val="20"/>
          <w:lang w:val="es-ES"/>
        </w:rPr>
        <w:t>CARACTERIZACIÓN</w:t>
      </w:r>
    </w:p>
    <w:p w14:paraId="11A02243" w14:textId="42F22056" w:rsidR="0069190A" w:rsidRPr="00147871" w:rsidRDefault="0069190A" w:rsidP="006919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62577">
        <w:rPr>
          <w:rFonts w:ascii="Cambria" w:hAnsi="Cambria"/>
          <w:sz w:val="20"/>
          <w:szCs w:val="20"/>
          <w:lang w:val="es-ES"/>
        </w:rPr>
        <w:t xml:space="preserve">En la presente petición, </w:t>
      </w:r>
      <w:r w:rsidRPr="00762577">
        <w:rPr>
          <w:rFonts w:asciiTheme="majorHAnsi" w:hAnsiTheme="majorHAnsi"/>
          <w:sz w:val="20"/>
          <w:szCs w:val="20"/>
          <w:lang w:val="es-ES"/>
        </w:rPr>
        <w:t>la CIDH entiende que se encuentra ante la aplicación de la figura penal de</w:t>
      </w:r>
      <w:r w:rsidRPr="00762577">
        <w:rPr>
          <w:rFonts w:asciiTheme="majorHAnsi" w:hAnsiTheme="majorHAnsi"/>
          <w:sz w:val="20"/>
          <w:szCs w:val="20"/>
          <w:lang w:val="es-AR"/>
        </w:rPr>
        <w:t>l desacato. En diversas ocasiones la CIDH ha determinado que no resulta compatible con la CADH debido a que se presta al abuso como un medio para silenciar ideas y opiniones, reprimiendo de ese modo el debate que es de vital importancia para el efectivo funcionamiento de las instituciones democráticas. </w:t>
      </w:r>
      <w:r w:rsidRPr="00762577">
        <w:rPr>
          <w:rFonts w:asciiTheme="majorHAnsi" w:hAnsiTheme="majorHAnsi" w:cs="Tahoma"/>
          <w:sz w:val="20"/>
          <w:szCs w:val="20"/>
          <w:shd w:val="clear" w:color="auto" w:fill="FFFFFF"/>
          <w:lang w:val="es-ES"/>
        </w:rPr>
        <w:t xml:space="preserve">La aplicación de leyes de desacato para proteger el honor de los funcionarios públicos que actúan en carácter oficial les otorga injustificadamente un derecho a la protección del que no disponen los demás integrantes de la sociedad. Además de las restricciones directas, las leyes de desacato restringen indirectamente la libertad </w:t>
      </w:r>
      <w:r w:rsidRPr="00147871">
        <w:rPr>
          <w:rFonts w:asciiTheme="majorHAnsi" w:hAnsiTheme="majorHAnsi" w:cs="Tahoma"/>
          <w:sz w:val="20"/>
          <w:szCs w:val="20"/>
          <w:shd w:val="clear" w:color="auto" w:fill="FFFFFF"/>
          <w:lang w:val="es-ES"/>
        </w:rPr>
        <w:t>de expresión porque traen consigo la amenaza de cárcel o multas para quienes insultan u ofenden a un funcionario público.</w:t>
      </w:r>
    </w:p>
    <w:p w14:paraId="76923A49" w14:textId="13B2E5DD" w:rsidR="0069190A" w:rsidRPr="00147871" w:rsidRDefault="00767AC2" w:rsidP="00BC7B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47871">
        <w:rPr>
          <w:rFonts w:ascii="Cambria" w:hAnsi="Cambria"/>
          <w:sz w:val="20"/>
          <w:szCs w:val="20"/>
          <w:lang w:val="es-ES"/>
        </w:rPr>
        <w:t>En vista de los elementos de hecho y de derecho presentados por la</w:t>
      </w:r>
      <w:r w:rsidR="005527B6" w:rsidRPr="00147871">
        <w:rPr>
          <w:rFonts w:ascii="Cambria" w:hAnsi="Cambria"/>
          <w:sz w:val="20"/>
          <w:szCs w:val="20"/>
          <w:lang w:val="es-ES"/>
        </w:rPr>
        <w:t>s</w:t>
      </w:r>
      <w:r w:rsidRPr="00147871">
        <w:rPr>
          <w:rFonts w:ascii="Cambria" w:hAnsi="Cambria"/>
          <w:sz w:val="20"/>
          <w:szCs w:val="20"/>
          <w:lang w:val="es-ES"/>
        </w:rPr>
        <w:t xml:space="preserve"> parte</w:t>
      </w:r>
      <w:r w:rsidR="005527B6" w:rsidRPr="00147871">
        <w:rPr>
          <w:rFonts w:ascii="Cambria" w:hAnsi="Cambria"/>
          <w:sz w:val="20"/>
          <w:szCs w:val="20"/>
          <w:lang w:val="es-ES"/>
        </w:rPr>
        <w:t>s</w:t>
      </w:r>
      <w:r w:rsidRPr="00147871">
        <w:rPr>
          <w:rFonts w:ascii="Cambria" w:hAnsi="Cambria"/>
          <w:sz w:val="20"/>
          <w:szCs w:val="20"/>
          <w:lang w:val="es-ES"/>
        </w:rPr>
        <w:t xml:space="preserve"> y la </w:t>
      </w:r>
      <w:r w:rsidRPr="00147871">
        <w:rPr>
          <w:rFonts w:asciiTheme="majorHAnsi" w:hAnsiTheme="majorHAnsi"/>
          <w:sz w:val="20"/>
          <w:szCs w:val="20"/>
          <w:lang w:val="es-ES"/>
        </w:rPr>
        <w:t xml:space="preserve">naturaleza del asunto puesto bajo su conocimiento, </w:t>
      </w:r>
      <w:r w:rsidR="00E33FB9" w:rsidRPr="00147871">
        <w:rPr>
          <w:rFonts w:asciiTheme="majorHAnsi" w:hAnsiTheme="majorHAnsi"/>
          <w:sz w:val="20"/>
          <w:szCs w:val="20"/>
          <w:lang w:val="es-ES"/>
        </w:rPr>
        <w:t xml:space="preserve">la Comisión considera que </w:t>
      </w:r>
      <w:r w:rsidR="005C2949" w:rsidRPr="00147871">
        <w:rPr>
          <w:rFonts w:asciiTheme="majorHAnsi" w:hAnsiTheme="majorHAnsi"/>
          <w:sz w:val="20"/>
          <w:szCs w:val="20"/>
          <w:lang w:val="es-ES"/>
        </w:rPr>
        <w:t>la existencia de la disposición penal</w:t>
      </w:r>
      <w:r w:rsidR="0069190A" w:rsidRPr="00147871">
        <w:rPr>
          <w:rFonts w:asciiTheme="majorHAnsi" w:hAnsiTheme="majorHAnsi"/>
          <w:sz w:val="20"/>
          <w:szCs w:val="20"/>
          <w:lang w:val="es-ES"/>
        </w:rPr>
        <w:t xml:space="preserve"> de desacato vigente en el ordenamiento jurídico de Brasil</w:t>
      </w:r>
      <w:r w:rsidR="005C2949" w:rsidRPr="00147871">
        <w:rPr>
          <w:rFonts w:asciiTheme="majorHAnsi" w:hAnsiTheme="majorHAnsi"/>
          <w:sz w:val="20"/>
          <w:szCs w:val="20"/>
          <w:lang w:val="es-ES"/>
        </w:rPr>
        <w:t xml:space="preserve">, su alcance supuestamente amplio y su aplicación concreta a la presunta víctima con los cargos penales consiguientes de desacato, podrían </w:t>
      </w:r>
      <w:r w:rsidR="0079370A" w:rsidRPr="00147871">
        <w:rPr>
          <w:rFonts w:asciiTheme="majorHAnsi" w:hAnsiTheme="majorHAnsi"/>
          <w:sz w:val="20"/>
          <w:szCs w:val="20"/>
          <w:lang w:val="es-ES"/>
        </w:rPr>
        <w:t xml:space="preserve">constituir </w:t>
      </w:r>
      <w:r w:rsidR="0079370A" w:rsidRPr="00147871">
        <w:rPr>
          <w:rFonts w:asciiTheme="majorHAnsi" w:hAnsiTheme="majorHAnsi"/>
          <w:i/>
          <w:sz w:val="20"/>
          <w:szCs w:val="20"/>
          <w:lang w:val="es-ES"/>
        </w:rPr>
        <w:t>prima face</w:t>
      </w:r>
      <w:r w:rsidR="00D577AD" w:rsidRPr="00147871">
        <w:rPr>
          <w:rFonts w:asciiTheme="majorHAnsi" w:hAnsiTheme="majorHAnsi"/>
          <w:sz w:val="20"/>
          <w:szCs w:val="20"/>
          <w:lang w:val="es-ES"/>
        </w:rPr>
        <w:t xml:space="preserve"> violaciones a</w:t>
      </w:r>
      <w:r w:rsidR="005C2949" w:rsidRPr="00147871">
        <w:rPr>
          <w:rFonts w:asciiTheme="majorHAnsi" w:hAnsiTheme="majorHAnsi"/>
          <w:sz w:val="20"/>
          <w:szCs w:val="20"/>
          <w:lang w:val="es-ES"/>
        </w:rPr>
        <w:t xml:space="preserve"> los artículos 7</w:t>
      </w:r>
      <w:r w:rsidR="00D4217A" w:rsidRPr="00147871">
        <w:rPr>
          <w:rFonts w:asciiTheme="majorHAnsi" w:hAnsiTheme="majorHAnsi"/>
          <w:sz w:val="20"/>
          <w:szCs w:val="20"/>
          <w:lang w:val="es-ES"/>
        </w:rPr>
        <w:t>.2</w:t>
      </w:r>
      <w:r w:rsidR="005C2949" w:rsidRPr="00147871">
        <w:rPr>
          <w:rFonts w:asciiTheme="majorHAnsi" w:hAnsiTheme="majorHAnsi"/>
          <w:sz w:val="20"/>
          <w:szCs w:val="20"/>
          <w:lang w:val="es-ES"/>
        </w:rPr>
        <w:t xml:space="preserve"> </w:t>
      </w:r>
      <w:r w:rsidR="00E07674" w:rsidRPr="00147871">
        <w:rPr>
          <w:rFonts w:asciiTheme="majorHAnsi" w:hAnsiTheme="majorHAnsi"/>
          <w:sz w:val="20"/>
          <w:szCs w:val="20"/>
          <w:lang w:val="es-ES"/>
        </w:rPr>
        <w:t xml:space="preserve">(libertad personal), </w:t>
      </w:r>
      <w:r w:rsidR="005C2949" w:rsidRPr="00147871">
        <w:rPr>
          <w:rFonts w:asciiTheme="majorHAnsi" w:hAnsiTheme="majorHAnsi"/>
          <w:sz w:val="20"/>
          <w:szCs w:val="20"/>
          <w:lang w:val="es-ES"/>
        </w:rPr>
        <w:t>13</w:t>
      </w:r>
      <w:r w:rsidR="00E33FB9" w:rsidRPr="00147871">
        <w:rPr>
          <w:rFonts w:asciiTheme="majorHAnsi" w:hAnsiTheme="majorHAnsi"/>
          <w:sz w:val="20"/>
          <w:szCs w:val="20"/>
          <w:lang w:val="es-ES"/>
        </w:rPr>
        <w:t xml:space="preserve"> (libertad de expresión y de expresión) </w:t>
      </w:r>
      <w:r w:rsidR="00E07674" w:rsidRPr="00147871">
        <w:rPr>
          <w:rFonts w:asciiTheme="majorHAnsi" w:hAnsiTheme="majorHAnsi"/>
          <w:sz w:val="20"/>
          <w:szCs w:val="20"/>
          <w:lang w:val="es-ES"/>
        </w:rPr>
        <w:t>y 25.1 (protección judicial)</w:t>
      </w:r>
      <w:r w:rsidR="005C2949" w:rsidRPr="00147871">
        <w:rPr>
          <w:rFonts w:asciiTheme="majorHAnsi" w:hAnsiTheme="majorHAnsi"/>
          <w:sz w:val="20"/>
          <w:szCs w:val="20"/>
          <w:lang w:val="es-ES"/>
        </w:rPr>
        <w:t xml:space="preserve"> de la Convención Americana. Ambas disposiciones son admisibles en relación con</w:t>
      </w:r>
      <w:r w:rsidR="00E33FB9" w:rsidRPr="00147871">
        <w:rPr>
          <w:rFonts w:asciiTheme="majorHAnsi" w:hAnsiTheme="majorHAnsi"/>
          <w:sz w:val="20"/>
          <w:szCs w:val="20"/>
          <w:lang w:val="es-ES"/>
        </w:rPr>
        <w:t xml:space="preserve"> los artículos 1.1 (obligación de respetar los derechos) y 2 (deber de adoptar disposiciones de derecho interno) de</w:t>
      </w:r>
      <w:r w:rsidR="005C2949" w:rsidRPr="00147871">
        <w:rPr>
          <w:rFonts w:asciiTheme="majorHAnsi" w:hAnsiTheme="majorHAnsi"/>
          <w:sz w:val="20"/>
          <w:szCs w:val="20"/>
          <w:lang w:val="es-ES"/>
        </w:rPr>
        <w:t xml:space="preserve"> la Convención Americana.</w:t>
      </w:r>
      <w:r w:rsidR="00407B93" w:rsidRPr="00147871">
        <w:rPr>
          <w:rFonts w:asciiTheme="majorHAnsi" w:hAnsiTheme="majorHAnsi"/>
          <w:sz w:val="20"/>
          <w:szCs w:val="20"/>
          <w:lang w:val="es-ES"/>
        </w:rPr>
        <w:t xml:space="preserve"> </w:t>
      </w:r>
    </w:p>
    <w:p w14:paraId="29BB41F5" w14:textId="77777777" w:rsidR="003239B8" w:rsidRPr="0078770A" w:rsidRDefault="003239B8" w:rsidP="00A64A73">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lastRenderedPageBreak/>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664AEA9B" w14:textId="307B4470" w:rsidR="007D5E9E" w:rsidRPr="00147871" w:rsidRDefault="003239B8" w:rsidP="00A64A7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47871">
        <w:rPr>
          <w:rFonts w:asciiTheme="majorHAnsi" w:hAnsiTheme="majorHAnsi"/>
          <w:sz w:val="20"/>
          <w:szCs w:val="20"/>
          <w:lang w:val="es-ES"/>
        </w:rPr>
        <w:t xml:space="preserve">Declarar admisible la presente petición </w:t>
      </w:r>
      <w:r w:rsidR="005C2949" w:rsidRPr="00147871">
        <w:rPr>
          <w:rFonts w:asciiTheme="majorHAnsi" w:hAnsiTheme="majorHAnsi"/>
          <w:sz w:val="20"/>
          <w:szCs w:val="20"/>
          <w:lang w:val="es-ES"/>
        </w:rPr>
        <w:t>con respecto a los artículos 7.2</w:t>
      </w:r>
      <w:r w:rsidR="00083C38" w:rsidRPr="00147871">
        <w:rPr>
          <w:rFonts w:asciiTheme="majorHAnsi" w:hAnsiTheme="majorHAnsi"/>
          <w:sz w:val="20"/>
          <w:szCs w:val="20"/>
          <w:lang w:val="es-ES"/>
        </w:rPr>
        <w:t xml:space="preserve">, </w:t>
      </w:r>
      <w:r w:rsidR="00E33FB9" w:rsidRPr="00147871">
        <w:rPr>
          <w:rFonts w:asciiTheme="majorHAnsi" w:hAnsiTheme="majorHAnsi"/>
          <w:sz w:val="20"/>
          <w:szCs w:val="20"/>
          <w:lang w:val="es-ES"/>
        </w:rPr>
        <w:t>13</w:t>
      </w:r>
      <w:r w:rsidR="00083C38" w:rsidRPr="00147871">
        <w:rPr>
          <w:rFonts w:asciiTheme="majorHAnsi" w:hAnsiTheme="majorHAnsi"/>
          <w:sz w:val="20"/>
          <w:szCs w:val="20"/>
          <w:lang w:val="es-ES"/>
        </w:rPr>
        <w:t xml:space="preserve"> y 25.1</w:t>
      </w:r>
      <w:r w:rsidR="00E33FB9" w:rsidRPr="00147871">
        <w:rPr>
          <w:rFonts w:asciiTheme="majorHAnsi" w:hAnsiTheme="majorHAnsi"/>
          <w:sz w:val="20"/>
          <w:szCs w:val="20"/>
          <w:lang w:val="es-ES"/>
        </w:rPr>
        <w:t xml:space="preserve"> de la Convención Americana en relación con los artículos </w:t>
      </w:r>
      <w:r w:rsidR="007D5E9E" w:rsidRPr="00147871">
        <w:rPr>
          <w:rFonts w:asciiTheme="majorHAnsi" w:hAnsiTheme="majorHAnsi"/>
          <w:sz w:val="20"/>
          <w:szCs w:val="20"/>
          <w:lang w:val="es-ES"/>
        </w:rPr>
        <w:t xml:space="preserve">1.1 y 2 del mismo instrumento; </w:t>
      </w:r>
    </w:p>
    <w:p w14:paraId="34612F9D" w14:textId="4D221B81" w:rsidR="007D5E9E" w:rsidRPr="00147871" w:rsidRDefault="007D5E9E" w:rsidP="00A64A7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47871">
        <w:rPr>
          <w:rFonts w:ascii="Cambria" w:hAnsi="Cambria"/>
          <w:sz w:val="20"/>
          <w:szCs w:val="20"/>
          <w:lang w:val="es-ES"/>
        </w:rPr>
        <w:t xml:space="preserve">Declarar inadmisible la presente petición con respecto al artículo 10 de la Convención Americana; y </w:t>
      </w:r>
    </w:p>
    <w:p w14:paraId="6AC80CA6" w14:textId="4B8D71BF" w:rsidR="00722C9F" w:rsidRDefault="004A6A54" w:rsidP="00A64A7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47871">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w:t>
      </w:r>
      <w:r w:rsidRPr="009B7794">
        <w:rPr>
          <w:rFonts w:asciiTheme="majorHAnsi" w:hAnsiTheme="majorHAnsi"/>
          <w:sz w:val="20"/>
          <w:szCs w:val="20"/>
          <w:lang w:val="es-ES"/>
        </w:rPr>
        <w:t xml:space="preserve"> la Organización de los Estados Americanos.</w:t>
      </w:r>
    </w:p>
    <w:p w14:paraId="41E9B6FE" w14:textId="0C17FCAF" w:rsidR="00724664" w:rsidRDefault="00724664" w:rsidP="00724664">
      <w:pPr>
        <w:pStyle w:val="ListParagraph"/>
        <w:suppressAutoHyphens/>
        <w:ind w:left="0" w:firstLine="720"/>
        <w:jc w:val="both"/>
        <w:rPr>
          <w:sz w:val="20"/>
          <w:szCs w:val="20"/>
          <w:lang w:val="es-US"/>
        </w:rPr>
      </w:pPr>
      <w:r>
        <w:rPr>
          <w:sz w:val="20"/>
          <w:szCs w:val="20"/>
          <w:lang w:val="es-US"/>
        </w:rPr>
        <w:t xml:space="preserve">Aprobado por la Comisión Interamericana de Derechos Humanos a los </w:t>
      </w:r>
      <w:r>
        <w:rPr>
          <w:sz w:val="20"/>
          <w:szCs w:val="20"/>
          <w:lang w:val="es-US"/>
        </w:rPr>
        <w:t>31</w:t>
      </w:r>
      <w:r>
        <w:rPr>
          <w:sz w:val="20"/>
          <w:szCs w:val="20"/>
          <w:lang w:val="es-US"/>
        </w:rPr>
        <w:t xml:space="preserve"> días del mes de </w:t>
      </w:r>
      <w:r>
        <w:rPr>
          <w:sz w:val="20"/>
          <w:szCs w:val="20"/>
          <w:lang w:val="es-US"/>
        </w:rPr>
        <w:t>diciembre</w:t>
      </w:r>
      <w:r>
        <w:rPr>
          <w:sz w:val="20"/>
          <w:szCs w:val="20"/>
          <w:lang w:val="es-US"/>
        </w:rPr>
        <w:t xml:space="preserve"> de 2019.  (Firmado): Esmeralda E. Arosemena Bernal de </w:t>
      </w:r>
      <w:proofErr w:type="spellStart"/>
      <w:r>
        <w:rPr>
          <w:sz w:val="20"/>
          <w:szCs w:val="20"/>
          <w:lang w:val="es-US"/>
        </w:rPr>
        <w:t>Troitiño</w:t>
      </w:r>
      <w:proofErr w:type="spellEnd"/>
      <w:r>
        <w:rPr>
          <w:sz w:val="20"/>
          <w:szCs w:val="20"/>
          <w:lang w:val="es-US"/>
        </w:rPr>
        <w:t xml:space="preserve">, Presidenta; Joel Hernández, Primer Vicepresidente; Antonia Urrejola, Segunda Vicepresidenta; Margarette May Macaulay, Francisco José Eguiguren, </w:t>
      </w:r>
      <w:r>
        <w:rPr>
          <w:sz w:val="20"/>
          <w:szCs w:val="20"/>
          <w:lang w:val="es-US"/>
        </w:rPr>
        <w:t xml:space="preserve">y </w:t>
      </w:r>
      <w:r>
        <w:rPr>
          <w:sz w:val="20"/>
          <w:szCs w:val="20"/>
          <w:lang w:val="es-US"/>
        </w:rPr>
        <w:t xml:space="preserve">Luis Ernesto Vargas Silva, </w:t>
      </w:r>
      <w:bookmarkStart w:id="2" w:name="_GoBack"/>
      <w:bookmarkEnd w:id="2"/>
      <w:r>
        <w:rPr>
          <w:sz w:val="20"/>
          <w:szCs w:val="20"/>
          <w:lang w:val="es-US"/>
        </w:rPr>
        <w:t>Miembros de la Comisión.</w:t>
      </w:r>
    </w:p>
    <w:p w14:paraId="64E32479" w14:textId="77777777" w:rsidR="00724664" w:rsidRPr="00724664" w:rsidRDefault="00724664" w:rsidP="007246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p>
    <w:sectPr w:rsidR="00724664" w:rsidRPr="0072466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3F8B2" w14:textId="77777777" w:rsidR="00730606" w:rsidRDefault="00730606">
      <w:r>
        <w:separator/>
      </w:r>
    </w:p>
  </w:endnote>
  <w:endnote w:type="continuationSeparator" w:id="0">
    <w:p w14:paraId="284BFA51" w14:textId="77777777" w:rsidR="00730606" w:rsidRDefault="0073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7F42A" w14:textId="77777777" w:rsidR="00F8783A" w:rsidRDefault="00F878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3958D0" w:rsidRPr="00934A2C" w:rsidRDefault="003958D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8783A">
          <w:rPr>
            <w:noProof/>
            <w:sz w:val="16"/>
            <w:szCs w:val="22"/>
          </w:rPr>
          <w:t>1</w:t>
        </w:r>
        <w:r w:rsidRPr="00934A2C">
          <w:rPr>
            <w:noProof/>
            <w:sz w:val="16"/>
            <w:szCs w:val="22"/>
          </w:rPr>
          <w:fldChar w:fldCharType="end"/>
        </w:r>
      </w:p>
    </w:sdtContent>
  </w:sdt>
  <w:p w14:paraId="68530E6A" w14:textId="77777777" w:rsidR="003958D0" w:rsidRDefault="003958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3958D0" w:rsidRPr="00934A2C" w:rsidRDefault="003958D0">
    <w:pPr>
      <w:pStyle w:val="Footer"/>
      <w:jc w:val="center"/>
      <w:rPr>
        <w:sz w:val="16"/>
        <w:szCs w:val="22"/>
      </w:rPr>
    </w:pPr>
  </w:p>
  <w:p w14:paraId="49059CE3" w14:textId="77777777" w:rsidR="003958D0" w:rsidRDefault="00395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50756" w14:textId="77777777" w:rsidR="00730606" w:rsidRPr="000F35ED" w:rsidRDefault="0073060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235EC8D" w14:textId="77777777" w:rsidR="00730606" w:rsidRPr="000F35ED" w:rsidRDefault="00730606" w:rsidP="000F35ED">
      <w:pPr>
        <w:rPr>
          <w:rFonts w:asciiTheme="majorHAnsi" w:hAnsiTheme="majorHAnsi"/>
          <w:sz w:val="16"/>
          <w:szCs w:val="16"/>
        </w:rPr>
      </w:pPr>
      <w:r w:rsidRPr="000F35ED">
        <w:rPr>
          <w:rFonts w:asciiTheme="majorHAnsi" w:hAnsiTheme="majorHAnsi"/>
          <w:sz w:val="16"/>
          <w:szCs w:val="16"/>
        </w:rPr>
        <w:separator/>
      </w:r>
    </w:p>
    <w:p w14:paraId="59C0A082" w14:textId="77777777" w:rsidR="00730606" w:rsidRPr="000F35ED" w:rsidRDefault="0073060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1709759" w14:textId="77777777" w:rsidR="00730606" w:rsidRPr="000F35ED" w:rsidRDefault="0073060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78E4559D" w:rsidR="003958D0" w:rsidRPr="00BC7BF1" w:rsidRDefault="003958D0" w:rsidP="00FF5701">
      <w:pPr>
        <w:pStyle w:val="FootnoteText"/>
        <w:ind w:firstLine="720"/>
        <w:jc w:val="both"/>
        <w:rPr>
          <w:rFonts w:ascii="Cambria" w:hAnsi="Cambria"/>
          <w:color w:val="auto"/>
          <w:sz w:val="16"/>
          <w:szCs w:val="16"/>
          <w:lang w:val="es-ES"/>
        </w:rPr>
      </w:pPr>
      <w:r w:rsidRPr="00BC7BF1">
        <w:rPr>
          <w:rStyle w:val="FootnoteReference"/>
          <w:rFonts w:ascii="Cambria" w:hAnsi="Cambria"/>
          <w:color w:val="auto"/>
          <w:sz w:val="16"/>
          <w:szCs w:val="16"/>
        </w:rPr>
        <w:footnoteRef/>
      </w:r>
      <w:r w:rsidRPr="00BC7BF1">
        <w:rPr>
          <w:rFonts w:ascii="Cambria" w:hAnsi="Cambria"/>
          <w:color w:val="auto"/>
          <w:sz w:val="16"/>
          <w:szCs w:val="16"/>
          <w:lang w:val="es-ES"/>
        </w:rPr>
        <w:t xml:space="preserve"> Conforme a lo dispuesto en el artículo 17.2.a del Reglamento de la Comisión, la Comisionada </w:t>
      </w:r>
      <w:proofErr w:type="spellStart"/>
      <w:r w:rsidRPr="00BC7BF1">
        <w:rPr>
          <w:rFonts w:ascii="Cambria" w:hAnsi="Cambria"/>
          <w:color w:val="auto"/>
          <w:sz w:val="16"/>
          <w:szCs w:val="16"/>
          <w:lang w:val="es-ES"/>
        </w:rPr>
        <w:t>Flávia</w:t>
      </w:r>
      <w:proofErr w:type="spellEnd"/>
      <w:r w:rsidRPr="00BC7BF1">
        <w:rPr>
          <w:rFonts w:ascii="Cambria" w:hAnsi="Cambria"/>
          <w:color w:val="auto"/>
          <w:sz w:val="16"/>
          <w:szCs w:val="16"/>
          <w:lang w:val="es-ES"/>
        </w:rPr>
        <w:t xml:space="preserve"> </w:t>
      </w:r>
      <w:proofErr w:type="spellStart"/>
      <w:r w:rsidRPr="00BC7BF1">
        <w:rPr>
          <w:rFonts w:ascii="Cambria" w:hAnsi="Cambria"/>
          <w:color w:val="auto"/>
          <w:sz w:val="16"/>
          <w:szCs w:val="16"/>
          <w:lang w:val="es-ES"/>
        </w:rPr>
        <w:t>Piovesan</w:t>
      </w:r>
      <w:proofErr w:type="spellEnd"/>
      <w:r w:rsidRPr="00BC7BF1">
        <w:rPr>
          <w:rFonts w:ascii="Cambria" w:hAnsi="Cambria"/>
          <w:color w:val="auto"/>
          <w:sz w:val="16"/>
          <w:szCs w:val="16"/>
          <w:lang w:val="es-ES"/>
        </w:rPr>
        <w:t>, de nacionalidad brasileña, no participó en el debate ni en la decisión del presente asunto.</w:t>
      </w:r>
    </w:p>
  </w:footnote>
  <w:footnote w:id="3">
    <w:p w14:paraId="2156D240" w14:textId="4F411EE8" w:rsidR="0012608B" w:rsidRPr="00BC7BF1" w:rsidRDefault="0012608B" w:rsidP="00FF5701">
      <w:pPr>
        <w:pStyle w:val="FootnoteText"/>
        <w:ind w:firstLine="720"/>
        <w:jc w:val="both"/>
        <w:rPr>
          <w:rFonts w:ascii="Cambria" w:hAnsi="Cambria"/>
          <w:color w:val="auto"/>
          <w:sz w:val="16"/>
          <w:szCs w:val="16"/>
          <w:lang w:val="es-AR"/>
        </w:rPr>
      </w:pPr>
      <w:r w:rsidRPr="00BC7BF1">
        <w:rPr>
          <w:rStyle w:val="FootnoteReference"/>
          <w:rFonts w:ascii="Cambria" w:hAnsi="Cambria"/>
          <w:color w:val="auto"/>
          <w:sz w:val="16"/>
          <w:szCs w:val="16"/>
        </w:rPr>
        <w:footnoteRef/>
      </w:r>
      <w:r w:rsidRPr="00BC7BF1">
        <w:rPr>
          <w:rFonts w:ascii="Cambria" w:hAnsi="Cambria"/>
          <w:color w:val="auto"/>
          <w:sz w:val="16"/>
          <w:szCs w:val="16"/>
          <w:lang w:val="es-AR"/>
        </w:rPr>
        <w:t xml:space="preserve"> En adelante, “CADH” o “Convención Americana”.</w:t>
      </w:r>
    </w:p>
  </w:footnote>
  <w:footnote w:id="4">
    <w:p w14:paraId="79F07139" w14:textId="77777777" w:rsidR="003958D0" w:rsidRPr="00537490" w:rsidRDefault="003958D0" w:rsidP="00FF5701">
      <w:pPr>
        <w:pStyle w:val="FootnoteText"/>
        <w:ind w:firstLine="720"/>
        <w:jc w:val="both"/>
        <w:rPr>
          <w:rFonts w:ascii="Cambria" w:hAnsi="Cambria"/>
          <w:sz w:val="16"/>
          <w:szCs w:val="16"/>
          <w:lang w:val="es-ES"/>
        </w:rPr>
      </w:pPr>
      <w:r w:rsidRPr="00BC7BF1">
        <w:rPr>
          <w:rStyle w:val="FootnoteReference"/>
          <w:rFonts w:ascii="Cambria" w:hAnsi="Cambria"/>
          <w:color w:val="auto"/>
          <w:sz w:val="16"/>
          <w:szCs w:val="16"/>
        </w:rPr>
        <w:footnoteRef/>
      </w:r>
      <w:r w:rsidRPr="00BC7BF1">
        <w:rPr>
          <w:rFonts w:ascii="Cambria" w:hAnsi="Cambria"/>
          <w:color w:val="auto"/>
          <w:sz w:val="16"/>
          <w:szCs w:val="16"/>
          <w:lang w:val="es-ES"/>
        </w:rPr>
        <w:t xml:space="preserve"> Las observaciones de cada parte fueron debidamente trasladadas a la parte contraria</w:t>
      </w:r>
      <w:r w:rsidRPr="0012608B">
        <w:rPr>
          <w:rFonts w:ascii="Cambria" w:hAnsi="Cambria"/>
          <w:sz w:val="16"/>
          <w:szCs w:val="16"/>
          <w:lang w:val="es-ES"/>
        </w:rPr>
        <w:t>.</w:t>
      </w:r>
    </w:p>
  </w:footnote>
  <w:footnote w:id="5">
    <w:p w14:paraId="6C50E63A" w14:textId="228CCE1D" w:rsidR="0063503A" w:rsidRPr="00BC7BF1" w:rsidRDefault="0063503A" w:rsidP="00FF5701">
      <w:pPr>
        <w:pStyle w:val="FootnoteText"/>
        <w:ind w:firstLine="720"/>
        <w:jc w:val="both"/>
        <w:rPr>
          <w:rFonts w:asciiTheme="majorHAnsi" w:hAnsiTheme="majorHAnsi"/>
          <w:color w:val="auto"/>
          <w:sz w:val="16"/>
          <w:szCs w:val="16"/>
          <w:lang w:val="es-ES"/>
        </w:rPr>
      </w:pPr>
      <w:r w:rsidRPr="00BC7BF1">
        <w:rPr>
          <w:rStyle w:val="FootnoteReference"/>
          <w:rFonts w:asciiTheme="majorHAnsi" w:hAnsiTheme="majorHAnsi"/>
          <w:color w:val="auto"/>
          <w:sz w:val="16"/>
          <w:szCs w:val="16"/>
        </w:rPr>
        <w:footnoteRef/>
      </w:r>
      <w:r w:rsidRPr="00BC7BF1">
        <w:rPr>
          <w:rFonts w:asciiTheme="majorHAnsi" w:hAnsiTheme="majorHAnsi"/>
          <w:color w:val="auto"/>
          <w:sz w:val="16"/>
          <w:szCs w:val="16"/>
          <w:lang w:val="es-ES"/>
        </w:rPr>
        <w:t xml:space="preserve"> </w:t>
      </w:r>
      <w:r w:rsidR="0034575F" w:rsidRPr="00BC7BF1">
        <w:rPr>
          <w:rFonts w:asciiTheme="majorHAnsi" w:hAnsiTheme="majorHAnsi"/>
          <w:color w:val="auto"/>
          <w:sz w:val="16"/>
          <w:szCs w:val="16"/>
          <w:lang w:val="es-ES"/>
        </w:rPr>
        <w:t xml:space="preserve">Según la información disponible en el proceso penal adjuntado al expediente, 5,800g de marihuana había sido encontrado con la presunta víctima. </w:t>
      </w:r>
    </w:p>
  </w:footnote>
  <w:footnote w:id="6">
    <w:p w14:paraId="540A0FD8" w14:textId="5EB8D703" w:rsidR="00EA1460" w:rsidRPr="00BC7BF1" w:rsidRDefault="00EA1460" w:rsidP="00EA1460">
      <w:pPr>
        <w:pStyle w:val="FootnoteText"/>
        <w:ind w:firstLine="720"/>
        <w:jc w:val="both"/>
        <w:rPr>
          <w:rFonts w:asciiTheme="majorHAnsi" w:hAnsiTheme="majorHAnsi"/>
          <w:color w:val="auto"/>
          <w:sz w:val="16"/>
          <w:szCs w:val="16"/>
          <w:lang w:val="pt-BR"/>
        </w:rPr>
      </w:pPr>
      <w:r w:rsidRPr="00BC7BF1">
        <w:rPr>
          <w:rStyle w:val="FootnoteReference"/>
          <w:rFonts w:asciiTheme="majorHAnsi" w:hAnsiTheme="majorHAnsi"/>
          <w:color w:val="auto"/>
          <w:sz w:val="16"/>
          <w:szCs w:val="16"/>
        </w:rPr>
        <w:footnoteRef/>
      </w:r>
      <w:r w:rsidRPr="00BC7BF1">
        <w:rPr>
          <w:rFonts w:asciiTheme="majorHAnsi" w:hAnsiTheme="majorHAnsi"/>
          <w:color w:val="auto"/>
          <w:sz w:val="16"/>
          <w:szCs w:val="16"/>
          <w:lang w:val="pt-BR"/>
        </w:rPr>
        <w:t xml:space="preserve"> Presidência da República do Brasil. </w:t>
      </w:r>
      <w:r w:rsidRPr="00BC7BF1">
        <w:rPr>
          <w:rFonts w:asciiTheme="majorHAnsi" w:hAnsiTheme="majorHAnsi"/>
          <w:color w:val="auto"/>
          <w:sz w:val="16"/>
          <w:szCs w:val="16"/>
          <w:lang w:val="pt-BR"/>
        </w:rPr>
        <w:t xml:space="preserve">Ley No. 11.343. 23 de agosto de 2006. </w:t>
      </w:r>
    </w:p>
  </w:footnote>
  <w:footnote w:id="7">
    <w:p w14:paraId="722C139E" w14:textId="4D573639" w:rsidR="0069190A" w:rsidRPr="00BC7BF1" w:rsidRDefault="0069190A" w:rsidP="0069190A">
      <w:pPr>
        <w:pStyle w:val="FootnoteText"/>
        <w:ind w:firstLine="720"/>
        <w:jc w:val="both"/>
        <w:rPr>
          <w:rFonts w:asciiTheme="majorHAnsi" w:hAnsiTheme="majorHAnsi"/>
          <w:sz w:val="16"/>
          <w:szCs w:val="16"/>
          <w:lang w:val="pt-BR"/>
        </w:rPr>
      </w:pPr>
      <w:r w:rsidRPr="00BC7BF1">
        <w:rPr>
          <w:rStyle w:val="FootnoteReference"/>
          <w:rFonts w:asciiTheme="majorHAnsi" w:hAnsiTheme="majorHAnsi"/>
          <w:color w:val="auto"/>
          <w:sz w:val="16"/>
          <w:szCs w:val="16"/>
        </w:rPr>
        <w:footnoteRef/>
      </w:r>
      <w:r w:rsidRPr="00BC7BF1">
        <w:rPr>
          <w:rFonts w:asciiTheme="majorHAnsi" w:hAnsiTheme="majorHAnsi"/>
          <w:color w:val="auto"/>
          <w:sz w:val="16"/>
          <w:szCs w:val="16"/>
          <w:lang w:val="pt-BR"/>
        </w:rPr>
        <w:t xml:space="preserve"> Presidência da República do Brasil. </w:t>
      </w:r>
      <w:hyperlink r:id="rId1" w:history="1">
        <w:r w:rsidRPr="00BC7BF1">
          <w:rPr>
            <w:rStyle w:val="Hyperlink"/>
            <w:rFonts w:asciiTheme="majorHAnsi" w:hAnsiTheme="majorHAnsi"/>
            <w:color w:val="auto"/>
            <w:sz w:val="16"/>
            <w:szCs w:val="16"/>
            <w:lang w:val="pt-BR"/>
          </w:rPr>
          <w:t xml:space="preserve">Decreto-Ley No. </w:t>
        </w:r>
        <w:r w:rsidRPr="00BC7BF1">
          <w:rPr>
            <w:rStyle w:val="Hyperlink"/>
            <w:rFonts w:asciiTheme="majorHAnsi" w:hAnsiTheme="majorHAnsi"/>
            <w:color w:val="auto"/>
            <w:sz w:val="16"/>
            <w:szCs w:val="16"/>
            <w:lang w:val="pt-BR"/>
          </w:rPr>
          <w:t>2.848.</w:t>
        </w:r>
      </w:hyperlink>
      <w:r w:rsidRPr="00BC7BF1">
        <w:rPr>
          <w:rFonts w:asciiTheme="majorHAnsi" w:hAnsiTheme="majorHAnsi"/>
          <w:color w:val="auto"/>
          <w:sz w:val="16"/>
          <w:szCs w:val="16"/>
          <w:lang w:val="pt-BR"/>
        </w:rPr>
        <w:t xml:space="preserve"> Código Penal. 7 de diciembre de 1940. </w:t>
      </w:r>
    </w:p>
  </w:footnote>
  <w:footnote w:id="8">
    <w:p w14:paraId="0916B04E" w14:textId="1CD21EF3" w:rsidR="0088440A" w:rsidRPr="00BC7BF1" w:rsidRDefault="0088440A" w:rsidP="00E7733E">
      <w:pPr>
        <w:pStyle w:val="FootnoteText"/>
        <w:ind w:firstLine="720"/>
        <w:jc w:val="both"/>
        <w:rPr>
          <w:rFonts w:asciiTheme="majorHAnsi" w:hAnsiTheme="majorHAnsi"/>
          <w:sz w:val="16"/>
          <w:szCs w:val="16"/>
          <w:lang w:val="es-ES"/>
        </w:rPr>
      </w:pPr>
      <w:r w:rsidRPr="00BC7BF1">
        <w:rPr>
          <w:rStyle w:val="FootnoteReference"/>
          <w:rFonts w:asciiTheme="majorHAnsi" w:hAnsiTheme="majorHAnsi"/>
          <w:color w:val="auto"/>
          <w:sz w:val="16"/>
          <w:szCs w:val="16"/>
        </w:rPr>
        <w:footnoteRef/>
      </w:r>
      <w:r w:rsidRPr="00BC7BF1">
        <w:rPr>
          <w:rFonts w:asciiTheme="majorHAnsi" w:hAnsiTheme="majorHAnsi"/>
          <w:color w:val="auto"/>
          <w:sz w:val="16"/>
          <w:szCs w:val="16"/>
          <w:lang w:val="pt-BR"/>
        </w:rPr>
        <w:t xml:space="preserve"> </w:t>
      </w:r>
      <w:r w:rsidR="00E7733E" w:rsidRPr="00BC7BF1">
        <w:rPr>
          <w:rFonts w:asciiTheme="majorHAnsi" w:hAnsiTheme="majorHAnsi"/>
          <w:color w:val="auto"/>
          <w:sz w:val="16"/>
          <w:szCs w:val="16"/>
          <w:lang w:val="pt-BR"/>
        </w:rPr>
        <w:t xml:space="preserve">Presidência da República do Brasil. </w:t>
      </w:r>
      <w:hyperlink r:id="rId2" w:history="1">
        <w:r w:rsidR="00E7733E" w:rsidRPr="00BC7BF1">
          <w:rPr>
            <w:rStyle w:val="Hyperlink"/>
            <w:rFonts w:asciiTheme="majorHAnsi" w:hAnsiTheme="majorHAnsi"/>
            <w:color w:val="auto"/>
            <w:sz w:val="16"/>
            <w:szCs w:val="16"/>
            <w:lang w:val="es-ES"/>
          </w:rPr>
          <w:t xml:space="preserve">Código de </w:t>
        </w:r>
        <w:proofErr w:type="spellStart"/>
        <w:r w:rsidR="00E7733E" w:rsidRPr="00BC7BF1">
          <w:rPr>
            <w:rStyle w:val="Hyperlink"/>
            <w:rFonts w:asciiTheme="majorHAnsi" w:hAnsiTheme="majorHAnsi"/>
            <w:color w:val="auto"/>
            <w:sz w:val="16"/>
            <w:szCs w:val="16"/>
            <w:lang w:val="es-ES"/>
          </w:rPr>
          <w:t>Processo</w:t>
        </w:r>
        <w:proofErr w:type="spellEnd"/>
        <w:r w:rsidR="00E7733E" w:rsidRPr="00BC7BF1">
          <w:rPr>
            <w:rStyle w:val="Hyperlink"/>
            <w:rFonts w:asciiTheme="majorHAnsi" w:hAnsiTheme="majorHAnsi"/>
            <w:color w:val="auto"/>
            <w:sz w:val="16"/>
            <w:szCs w:val="16"/>
            <w:lang w:val="es-ES"/>
          </w:rPr>
          <w:t xml:space="preserve"> Penal. Decreto-Ley No. 3.689</w:t>
        </w:r>
      </w:hyperlink>
      <w:r w:rsidR="00E7733E" w:rsidRPr="00BC7BF1">
        <w:rPr>
          <w:rFonts w:asciiTheme="majorHAnsi" w:hAnsiTheme="majorHAnsi"/>
          <w:color w:val="auto"/>
          <w:sz w:val="16"/>
          <w:szCs w:val="16"/>
          <w:lang w:val="es-ES"/>
        </w:rPr>
        <w:t>. 3 de octubre de 1941. Artículo 621</w:t>
      </w:r>
      <w:r w:rsidRPr="00BC7BF1">
        <w:rPr>
          <w:rFonts w:asciiTheme="majorHAnsi" w:hAnsiTheme="majorHAnsi"/>
          <w:color w:val="auto"/>
          <w:sz w:val="16"/>
          <w:szCs w:val="16"/>
          <w:lang w:val="es-ES"/>
        </w:rPr>
        <w:t xml:space="preserve">: </w:t>
      </w:r>
      <w:r w:rsidR="00E7733E" w:rsidRPr="00BC7BF1">
        <w:rPr>
          <w:rFonts w:asciiTheme="majorHAnsi" w:hAnsiTheme="majorHAnsi"/>
          <w:color w:val="auto"/>
          <w:sz w:val="16"/>
          <w:szCs w:val="16"/>
          <w:lang w:val="es-ES"/>
        </w:rPr>
        <w:t xml:space="preserve">La revisión de los procesos terminados será admitida: I- cuando la sentencia condenatoria sea contraria al texto expreso de la ley penal o a la evidencia de los autos; II- cuando la sentencia condenatoria se funda en testimonios, exámenes o documentos comprobadamente falsos; [y] III- cuando, después de la sentencia, se descubran nuevas pruebas de inocencia del condenado o de circunstancia que determine o autorice una disminución especial de la pena. </w:t>
      </w:r>
    </w:p>
  </w:footnote>
  <w:footnote w:id="9">
    <w:p w14:paraId="47D5736D" w14:textId="77777777" w:rsidR="00F32D78" w:rsidRPr="00FD4F2E" w:rsidRDefault="00F32D78" w:rsidP="00F32D78">
      <w:pPr>
        <w:pStyle w:val="FootnoteText"/>
        <w:ind w:firstLine="720"/>
        <w:jc w:val="both"/>
        <w:rPr>
          <w:rFonts w:asciiTheme="majorHAnsi" w:hAnsiTheme="majorHAnsi"/>
          <w:sz w:val="16"/>
          <w:szCs w:val="16"/>
        </w:rPr>
      </w:pPr>
      <w:r w:rsidRPr="00BC7BF1">
        <w:rPr>
          <w:rStyle w:val="FootnoteReference"/>
          <w:rFonts w:asciiTheme="majorHAnsi" w:hAnsiTheme="majorHAnsi"/>
          <w:color w:val="auto"/>
          <w:sz w:val="16"/>
          <w:szCs w:val="16"/>
        </w:rPr>
        <w:footnoteRef/>
      </w:r>
      <w:r w:rsidRPr="00BC7BF1">
        <w:rPr>
          <w:rFonts w:asciiTheme="majorHAnsi" w:hAnsiTheme="majorHAnsi"/>
          <w:color w:val="auto"/>
          <w:sz w:val="16"/>
          <w:szCs w:val="16"/>
          <w:lang w:val="es-ES"/>
        </w:rPr>
        <w:t xml:space="preserve"> CIDH, Informe No. 70/04, Petición 667/01, Admisibilidad, Jesús Manuel Naranjo Cárdenas y otros, Jubilados de la empresa venezolana de aviación VIASA. Venezuela, 15 de octubre de 2004, párr. </w:t>
      </w:r>
      <w:r w:rsidRPr="00BC7BF1">
        <w:rPr>
          <w:rFonts w:asciiTheme="majorHAnsi" w:hAnsiTheme="majorHAnsi"/>
          <w:color w:val="auto"/>
          <w:sz w:val="16"/>
          <w:szCs w:val="16"/>
        </w:rPr>
        <w:t>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3958D0" w:rsidRDefault="003958D0" w:rsidP="003958D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3958D0" w:rsidRDefault="003958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3958D0" w:rsidRDefault="003958D0"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3958D0" w:rsidRPr="00EC7D62" w:rsidRDefault="0073060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E5AB9" w14:textId="77777777" w:rsidR="00F8783A" w:rsidRDefault="00F878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A81E0DFC"/>
    <w:lvl w:ilvl="0" w:tplc="CF98A6C8">
      <w:start w:val="1"/>
      <w:numFmt w:val="decimal"/>
      <w:lvlText w:val="%1."/>
      <w:lvlJc w:val="left"/>
      <w:pPr>
        <w:tabs>
          <w:tab w:val="num" w:pos="720"/>
        </w:tabs>
        <w:ind w:left="0" w:firstLine="720"/>
      </w:pPr>
      <w:rPr>
        <w:rFonts w:hint="default"/>
        <w:color w:val="auto"/>
        <w:lang w:val="es-A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8E2F20"/>
    <w:multiLevelType w:val="hybridMultilevel"/>
    <w:tmpl w:val="FC7E1C3C"/>
    <w:lvl w:ilvl="0" w:tplc="7408BB28">
      <w:start w:val="1"/>
      <w:numFmt w:val="decimal"/>
      <w:lvlText w:val="%1."/>
      <w:lvlJc w:val="left"/>
      <w:pPr>
        <w:tabs>
          <w:tab w:val="num" w:pos="1440"/>
        </w:tabs>
        <w:ind w:firstLine="720"/>
      </w:pPr>
      <w:rPr>
        <w:rFonts w:ascii="Univers" w:hAnsi="Univers" w:hint="default"/>
        <w:b w:val="0"/>
        <w:i w:val="0"/>
        <w:color w:val="auto"/>
        <w:sz w:val="20"/>
        <w:szCs w:val="20"/>
      </w:rPr>
    </w:lvl>
    <w:lvl w:ilvl="1" w:tplc="E2E62584">
      <w:start w:val="3"/>
      <w:numFmt w:val="upperRoman"/>
      <w:lvlText w:val="%2."/>
      <w:lvlJc w:val="left"/>
      <w:pPr>
        <w:tabs>
          <w:tab w:val="num" w:pos="1800"/>
        </w:tabs>
        <w:ind w:left="1800" w:hanging="720"/>
      </w:pPr>
      <w:rPr>
        <w:rFonts w:hint="default"/>
        <w:b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67F"/>
    <w:rsid w:val="0001788C"/>
    <w:rsid w:val="00023F39"/>
    <w:rsid w:val="0002463C"/>
    <w:rsid w:val="000310D6"/>
    <w:rsid w:val="000326B3"/>
    <w:rsid w:val="000337EF"/>
    <w:rsid w:val="00040C3A"/>
    <w:rsid w:val="00041594"/>
    <w:rsid w:val="000419AD"/>
    <w:rsid w:val="00042B3E"/>
    <w:rsid w:val="000433C9"/>
    <w:rsid w:val="00046A0E"/>
    <w:rsid w:val="00061DBE"/>
    <w:rsid w:val="00062AE1"/>
    <w:rsid w:val="00064385"/>
    <w:rsid w:val="000647B1"/>
    <w:rsid w:val="000716C5"/>
    <w:rsid w:val="000729F4"/>
    <w:rsid w:val="00075E23"/>
    <w:rsid w:val="00080CDF"/>
    <w:rsid w:val="00083C38"/>
    <w:rsid w:val="00084D24"/>
    <w:rsid w:val="0009344A"/>
    <w:rsid w:val="000A392E"/>
    <w:rsid w:val="000A4798"/>
    <w:rsid w:val="000A56D5"/>
    <w:rsid w:val="000A575F"/>
    <w:rsid w:val="000A7327"/>
    <w:rsid w:val="000B30B0"/>
    <w:rsid w:val="000C6D48"/>
    <w:rsid w:val="000D05CB"/>
    <w:rsid w:val="000D10DB"/>
    <w:rsid w:val="000E5EB5"/>
    <w:rsid w:val="000F2841"/>
    <w:rsid w:val="000F35ED"/>
    <w:rsid w:val="000F378A"/>
    <w:rsid w:val="0010326F"/>
    <w:rsid w:val="00107131"/>
    <w:rsid w:val="0010736F"/>
    <w:rsid w:val="001130C2"/>
    <w:rsid w:val="00113F73"/>
    <w:rsid w:val="00116215"/>
    <w:rsid w:val="00121694"/>
    <w:rsid w:val="00121CC2"/>
    <w:rsid w:val="00125365"/>
    <w:rsid w:val="0012608B"/>
    <w:rsid w:val="001325FB"/>
    <w:rsid w:val="00133EE5"/>
    <w:rsid w:val="00147470"/>
    <w:rsid w:val="00147871"/>
    <w:rsid w:val="00167A34"/>
    <w:rsid w:val="00172CFE"/>
    <w:rsid w:val="00177B34"/>
    <w:rsid w:val="00180EBD"/>
    <w:rsid w:val="00183C31"/>
    <w:rsid w:val="001925EF"/>
    <w:rsid w:val="001A7870"/>
    <w:rsid w:val="001B31AB"/>
    <w:rsid w:val="001B3A00"/>
    <w:rsid w:val="001C1B41"/>
    <w:rsid w:val="001C4900"/>
    <w:rsid w:val="001C7216"/>
    <w:rsid w:val="001D1E3C"/>
    <w:rsid w:val="001D2C9C"/>
    <w:rsid w:val="001D4934"/>
    <w:rsid w:val="001D65EF"/>
    <w:rsid w:val="001E10A5"/>
    <w:rsid w:val="001E49E7"/>
    <w:rsid w:val="001F7201"/>
    <w:rsid w:val="00200CB9"/>
    <w:rsid w:val="00223A29"/>
    <w:rsid w:val="002247A1"/>
    <w:rsid w:val="002250A3"/>
    <w:rsid w:val="00235217"/>
    <w:rsid w:val="00243568"/>
    <w:rsid w:val="00246D1F"/>
    <w:rsid w:val="00247403"/>
    <w:rsid w:val="00247542"/>
    <w:rsid w:val="00253471"/>
    <w:rsid w:val="00266B61"/>
    <w:rsid w:val="0026712A"/>
    <w:rsid w:val="002704DB"/>
    <w:rsid w:val="0027118F"/>
    <w:rsid w:val="00271DE9"/>
    <w:rsid w:val="00280BD6"/>
    <w:rsid w:val="002927DF"/>
    <w:rsid w:val="002A0AAE"/>
    <w:rsid w:val="002A185D"/>
    <w:rsid w:val="002A2767"/>
    <w:rsid w:val="002A5820"/>
    <w:rsid w:val="002C0994"/>
    <w:rsid w:val="002C1D4A"/>
    <w:rsid w:val="002D25A7"/>
    <w:rsid w:val="002D2B26"/>
    <w:rsid w:val="002D7EA2"/>
    <w:rsid w:val="002E187C"/>
    <w:rsid w:val="002E32AF"/>
    <w:rsid w:val="00302169"/>
    <w:rsid w:val="00302733"/>
    <w:rsid w:val="00302820"/>
    <w:rsid w:val="00305963"/>
    <w:rsid w:val="00305D44"/>
    <w:rsid w:val="00314078"/>
    <w:rsid w:val="0031535D"/>
    <w:rsid w:val="003174F8"/>
    <w:rsid w:val="00317A05"/>
    <w:rsid w:val="003239B8"/>
    <w:rsid w:val="0033153C"/>
    <w:rsid w:val="0033169F"/>
    <w:rsid w:val="00344934"/>
    <w:rsid w:val="00344977"/>
    <w:rsid w:val="0034575F"/>
    <w:rsid w:val="00346C95"/>
    <w:rsid w:val="0035449E"/>
    <w:rsid w:val="00356185"/>
    <w:rsid w:val="00360380"/>
    <w:rsid w:val="00364700"/>
    <w:rsid w:val="00367F77"/>
    <w:rsid w:val="003740D5"/>
    <w:rsid w:val="0037519E"/>
    <w:rsid w:val="00386CF0"/>
    <w:rsid w:val="0039378D"/>
    <w:rsid w:val="003958D0"/>
    <w:rsid w:val="003970E6"/>
    <w:rsid w:val="003A34EF"/>
    <w:rsid w:val="003A4DBD"/>
    <w:rsid w:val="003A70D0"/>
    <w:rsid w:val="003A71B9"/>
    <w:rsid w:val="003A7FC4"/>
    <w:rsid w:val="003B2896"/>
    <w:rsid w:val="003B70FB"/>
    <w:rsid w:val="003C196B"/>
    <w:rsid w:val="003C3A4C"/>
    <w:rsid w:val="003C6372"/>
    <w:rsid w:val="003C676B"/>
    <w:rsid w:val="003C6B3A"/>
    <w:rsid w:val="003D0317"/>
    <w:rsid w:val="003D0C52"/>
    <w:rsid w:val="003D3BC2"/>
    <w:rsid w:val="003D4B6C"/>
    <w:rsid w:val="003E6CA1"/>
    <w:rsid w:val="003F3274"/>
    <w:rsid w:val="004011A1"/>
    <w:rsid w:val="004065A8"/>
    <w:rsid w:val="00407728"/>
    <w:rsid w:val="00407B93"/>
    <w:rsid w:val="00407D4B"/>
    <w:rsid w:val="004165C2"/>
    <w:rsid w:val="00441ECB"/>
    <w:rsid w:val="00445193"/>
    <w:rsid w:val="004471FF"/>
    <w:rsid w:val="00456214"/>
    <w:rsid w:val="00460F59"/>
    <w:rsid w:val="00462C1B"/>
    <w:rsid w:val="00463645"/>
    <w:rsid w:val="00467B7E"/>
    <w:rsid w:val="00473BB4"/>
    <w:rsid w:val="00477592"/>
    <w:rsid w:val="004816C2"/>
    <w:rsid w:val="00483189"/>
    <w:rsid w:val="00486F1C"/>
    <w:rsid w:val="0049419D"/>
    <w:rsid w:val="00494A7C"/>
    <w:rsid w:val="00497F8D"/>
    <w:rsid w:val="004A4DAF"/>
    <w:rsid w:val="004A6A54"/>
    <w:rsid w:val="004B3F0D"/>
    <w:rsid w:val="004B50D1"/>
    <w:rsid w:val="004C17AD"/>
    <w:rsid w:val="004C20D2"/>
    <w:rsid w:val="004C2312"/>
    <w:rsid w:val="004C366F"/>
    <w:rsid w:val="004C4B62"/>
    <w:rsid w:val="004C54C9"/>
    <w:rsid w:val="004D0B07"/>
    <w:rsid w:val="004D4ABA"/>
    <w:rsid w:val="004D6025"/>
    <w:rsid w:val="004E2649"/>
    <w:rsid w:val="004E6B18"/>
    <w:rsid w:val="004F5DA6"/>
    <w:rsid w:val="004F6F26"/>
    <w:rsid w:val="004F75BC"/>
    <w:rsid w:val="00501399"/>
    <w:rsid w:val="0050633D"/>
    <w:rsid w:val="00507BC4"/>
    <w:rsid w:val="005128E4"/>
    <w:rsid w:val="005133DB"/>
    <w:rsid w:val="005155BB"/>
    <w:rsid w:val="005171E9"/>
    <w:rsid w:val="005219D4"/>
    <w:rsid w:val="005225AC"/>
    <w:rsid w:val="00524058"/>
    <w:rsid w:val="00525560"/>
    <w:rsid w:val="005269A4"/>
    <w:rsid w:val="00533644"/>
    <w:rsid w:val="00534917"/>
    <w:rsid w:val="00544C49"/>
    <w:rsid w:val="0054620A"/>
    <w:rsid w:val="005516A1"/>
    <w:rsid w:val="005527B6"/>
    <w:rsid w:val="0055661A"/>
    <w:rsid w:val="00556B12"/>
    <w:rsid w:val="00563557"/>
    <w:rsid w:val="0056565C"/>
    <w:rsid w:val="00566295"/>
    <w:rsid w:val="00571128"/>
    <w:rsid w:val="0057402A"/>
    <w:rsid w:val="00576040"/>
    <w:rsid w:val="005771D0"/>
    <w:rsid w:val="00583EAE"/>
    <w:rsid w:val="0059191A"/>
    <w:rsid w:val="005921FF"/>
    <w:rsid w:val="005A24ED"/>
    <w:rsid w:val="005A66C2"/>
    <w:rsid w:val="005A6D0E"/>
    <w:rsid w:val="005B004E"/>
    <w:rsid w:val="005B52B0"/>
    <w:rsid w:val="005B6806"/>
    <w:rsid w:val="005C2949"/>
    <w:rsid w:val="005C4225"/>
    <w:rsid w:val="005C4FBD"/>
    <w:rsid w:val="005E0C7F"/>
    <w:rsid w:val="005E251D"/>
    <w:rsid w:val="005E57E1"/>
    <w:rsid w:val="005F0DAD"/>
    <w:rsid w:val="005F0F33"/>
    <w:rsid w:val="00600DEB"/>
    <w:rsid w:val="00621137"/>
    <w:rsid w:val="00623AAF"/>
    <w:rsid w:val="00624726"/>
    <w:rsid w:val="00626F50"/>
    <w:rsid w:val="00627C9F"/>
    <w:rsid w:val="006311E9"/>
    <w:rsid w:val="00632354"/>
    <w:rsid w:val="00633B93"/>
    <w:rsid w:val="0063503A"/>
    <w:rsid w:val="00642810"/>
    <w:rsid w:val="00642A75"/>
    <w:rsid w:val="006445B3"/>
    <w:rsid w:val="00652333"/>
    <w:rsid w:val="00652706"/>
    <w:rsid w:val="00654173"/>
    <w:rsid w:val="00656A52"/>
    <w:rsid w:val="00670741"/>
    <w:rsid w:val="0068009E"/>
    <w:rsid w:val="00680391"/>
    <w:rsid w:val="0069176F"/>
    <w:rsid w:val="0069190A"/>
    <w:rsid w:val="00692219"/>
    <w:rsid w:val="006A17D2"/>
    <w:rsid w:val="006A73E6"/>
    <w:rsid w:val="006B2D5C"/>
    <w:rsid w:val="006B6F99"/>
    <w:rsid w:val="006B7617"/>
    <w:rsid w:val="006B79B8"/>
    <w:rsid w:val="006C44F3"/>
    <w:rsid w:val="006C4C0D"/>
    <w:rsid w:val="006C4EB1"/>
    <w:rsid w:val="006C575B"/>
    <w:rsid w:val="006D089B"/>
    <w:rsid w:val="006D30D0"/>
    <w:rsid w:val="006E0166"/>
    <w:rsid w:val="006E0413"/>
    <w:rsid w:val="006E2FFB"/>
    <w:rsid w:val="006E701C"/>
    <w:rsid w:val="006E7B34"/>
    <w:rsid w:val="006F31AE"/>
    <w:rsid w:val="00700299"/>
    <w:rsid w:val="007003FC"/>
    <w:rsid w:val="0070697F"/>
    <w:rsid w:val="00707142"/>
    <w:rsid w:val="00720C62"/>
    <w:rsid w:val="0072199C"/>
    <w:rsid w:val="00722C9F"/>
    <w:rsid w:val="00724664"/>
    <w:rsid w:val="007253B8"/>
    <w:rsid w:val="00725CB4"/>
    <w:rsid w:val="00730606"/>
    <w:rsid w:val="0073741F"/>
    <w:rsid w:val="007472A1"/>
    <w:rsid w:val="0075352B"/>
    <w:rsid w:val="007558F6"/>
    <w:rsid w:val="00756F70"/>
    <w:rsid w:val="00762577"/>
    <w:rsid w:val="0076643F"/>
    <w:rsid w:val="00767AC2"/>
    <w:rsid w:val="00770F4E"/>
    <w:rsid w:val="00777F63"/>
    <w:rsid w:val="00790A8C"/>
    <w:rsid w:val="00792A50"/>
    <w:rsid w:val="0079370A"/>
    <w:rsid w:val="007A0C58"/>
    <w:rsid w:val="007A0CDC"/>
    <w:rsid w:val="007A5817"/>
    <w:rsid w:val="007B05C4"/>
    <w:rsid w:val="007B60E9"/>
    <w:rsid w:val="007B6CC3"/>
    <w:rsid w:val="007B76D3"/>
    <w:rsid w:val="007C143B"/>
    <w:rsid w:val="007C3334"/>
    <w:rsid w:val="007C590C"/>
    <w:rsid w:val="007D2007"/>
    <w:rsid w:val="007D2B98"/>
    <w:rsid w:val="007D5E9E"/>
    <w:rsid w:val="007E1702"/>
    <w:rsid w:val="007E21BC"/>
    <w:rsid w:val="007E7C82"/>
    <w:rsid w:val="007F1467"/>
    <w:rsid w:val="007F588D"/>
    <w:rsid w:val="00803F1C"/>
    <w:rsid w:val="0080600E"/>
    <w:rsid w:val="00813FB8"/>
    <w:rsid w:val="0081429F"/>
    <w:rsid w:val="00817612"/>
    <w:rsid w:val="008225FC"/>
    <w:rsid w:val="008338A4"/>
    <w:rsid w:val="00834D49"/>
    <w:rsid w:val="00836017"/>
    <w:rsid w:val="00836E07"/>
    <w:rsid w:val="00837C45"/>
    <w:rsid w:val="00841892"/>
    <w:rsid w:val="008423D2"/>
    <w:rsid w:val="00844730"/>
    <w:rsid w:val="008457C2"/>
    <w:rsid w:val="00851F80"/>
    <w:rsid w:val="00857A82"/>
    <w:rsid w:val="00862720"/>
    <w:rsid w:val="00863E08"/>
    <w:rsid w:val="00870472"/>
    <w:rsid w:val="00873836"/>
    <w:rsid w:val="00883D74"/>
    <w:rsid w:val="0088440A"/>
    <w:rsid w:val="00885737"/>
    <w:rsid w:val="00890650"/>
    <w:rsid w:val="00897E12"/>
    <w:rsid w:val="008A0A76"/>
    <w:rsid w:val="008A2CD7"/>
    <w:rsid w:val="008A5BAE"/>
    <w:rsid w:val="008A7E0F"/>
    <w:rsid w:val="008B12F5"/>
    <w:rsid w:val="008B2D17"/>
    <w:rsid w:val="008B4289"/>
    <w:rsid w:val="008C2D53"/>
    <w:rsid w:val="008C35D4"/>
    <w:rsid w:val="008C709E"/>
    <w:rsid w:val="008D768D"/>
    <w:rsid w:val="008E3759"/>
    <w:rsid w:val="008E3BFE"/>
    <w:rsid w:val="008E6089"/>
    <w:rsid w:val="008F1912"/>
    <w:rsid w:val="008F2AFB"/>
    <w:rsid w:val="0090270B"/>
    <w:rsid w:val="009041DC"/>
    <w:rsid w:val="00906241"/>
    <w:rsid w:val="00917B5A"/>
    <w:rsid w:val="00920A58"/>
    <w:rsid w:val="00920A8C"/>
    <w:rsid w:val="00924695"/>
    <w:rsid w:val="00924CCC"/>
    <w:rsid w:val="00934A2C"/>
    <w:rsid w:val="00941A8A"/>
    <w:rsid w:val="00943560"/>
    <w:rsid w:val="0096706E"/>
    <w:rsid w:val="009712EA"/>
    <w:rsid w:val="0097264B"/>
    <w:rsid w:val="00974491"/>
    <w:rsid w:val="00975C4E"/>
    <w:rsid w:val="00976CF5"/>
    <w:rsid w:val="00981FBA"/>
    <w:rsid w:val="0098522B"/>
    <w:rsid w:val="00987DCB"/>
    <w:rsid w:val="00995D07"/>
    <w:rsid w:val="00997BC5"/>
    <w:rsid w:val="009A1117"/>
    <w:rsid w:val="009A4F41"/>
    <w:rsid w:val="009B3169"/>
    <w:rsid w:val="009B381B"/>
    <w:rsid w:val="009C6C01"/>
    <w:rsid w:val="009D1753"/>
    <w:rsid w:val="009D2244"/>
    <w:rsid w:val="009D6CF2"/>
    <w:rsid w:val="009D7611"/>
    <w:rsid w:val="009D7E23"/>
    <w:rsid w:val="009E0B61"/>
    <w:rsid w:val="009E53DE"/>
    <w:rsid w:val="009E769F"/>
    <w:rsid w:val="00A11212"/>
    <w:rsid w:val="00A11981"/>
    <w:rsid w:val="00A11E44"/>
    <w:rsid w:val="00A227F3"/>
    <w:rsid w:val="00A328B3"/>
    <w:rsid w:val="00A32F79"/>
    <w:rsid w:val="00A3498E"/>
    <w:rsid w:val="00A41173"/>
    <w:rsid w:val="00A4442E"/>
    <w:rsid w:val="00A47126"/>
    <w:rsid w:val="00A472BF"/>
    <w:rsid w:val="00A503AF"/>
    <w:rsid w:val="00A50FCF"/>
    <w:rsid w:val="00A528D1"/>
    <w:rsid w:val="00A52D19"/>
    <w:rsid w:val="00A5456B"/>
    <w:rsid w:val="00A560F3"/>
    <w:rsid w:val="00A60ADC"/>
    <w:rsid w:val="00A610CD"/>
    <w:rsid w:val="00A6373B"/>
    <w:rsid w:val="00A64A73"/>
    <w:rsid w:val="00A65989"/>
    <w:rsid w:val="00A66549"/>
    <w:rsid w:val="00A758AA"/>
    <w:rsid w:val="00A76AE3"/>
    <w:rsid w:val="00A7777D"/>
    <w:rsid w:val="00AA09A2"/>
    <w:rsid w:val="00AA31AB"/>
    <w:rsid w:val="00AA434A"/>
    <w:rsid w:val="00AA7996"/>
    <w:rsid w:val="00AC19CB"/>
    <w:rsid w:val="00AC50C9"/>
    <w:rsid w:val="00AE5488"/>
    <w:rsid w:val="00AE6CD8"/>
    <w:rsid w:val="00AE6F91"/>
    <w:rsid w:val="00AF1C7A"/>
    <w:rsid w:val="00AF2C78"/>
    <w:rsid w:val="00AF5571"/>
    <w:rsid w:val="00B07341"/>
    <w:rsid w:val="00B247F6"/>
    <w:rsid w:val="00B24CA0"/>
    <w:rsid w:val="00B250E7"/>
    <w:rsid w:val="00B30539"/>
    <w:rsid w:val="00B314DB"/>
    <w:rsid w:val="00B361F2"/>
    <w:rsid w:val="00B3718B"/>
    <w:rsid w:val="00B3745F"/>
    <w:rsid w:val="00B40D0D"/>
    <w:rsid w:val="00B42648"/>
    <w:rsid w:val="00B4632A"/>
    <w:rsid w:val="00B47342"/>
    <w:rsid w:val="00B530F1"/>
    <w:rsid w:val="00B655FC"/>
    <w:rsid w:val="00B657E2"/>
    <w:rsid w:val="00B676B4"/>
    <w:rsid w:val="00B71774"/>
    <w:rsid w:val="00B76F6B"/>
    <w:rsid w:val="00B827F0"/>
    <w:rsid w:val="00B83428"/>
    <w:rsid w:val="00B84837"/>
    <w:rsid w:val="00B96118"/>
    <w:rsid w:val="00BA276C"/>
    <w:rsid w:val="00BA7DBC"/>
    <w:rsid w:val="00BB306F"/>
    <w:rsid w:val="00BB314D"/>
    <w:rsid w:val="00BC11F4"/>
    <w:rsid w:val="00BC28EC"/>
    <w:rsid w:val="00BC7BF1"/>
    <w:rsid w:val="00BD2BA9"/>
    <w:rsid w:val="00BD4B89"/>
    <w:rsid w:val="00BD5922"/>
    <w:rsid w:val="00BD755C"/>
    <w:rsid w:val="00BE2FCD"/>
    <w:rsid w:val="00BF02CB"/>
    <w:rsid w:val="00BF6FD8"/>
    <w:rsid w:val="00C02CEF"/>
    <w:rsid w:val="00C03680"/>
    <w:rsid w:val="00C04188"/>
    <w:rsid w:val="00C054DF"/>
    <w:rsid w:val="00C12A37"/>
    <w:rsid w:val="00C14190"/>
    <w:rsid w:val="00C21762"/>
    <w:rsid w:val="00C21FEF"/>
    <w:rsid w:val="00C24543"/>
    <w:rsid w:val="00C256A2"/>
    <w:rsid w:val="00C3736A"/>
    <w:rsid w:val="00C45D90"/>
    <w:rsid w:val="00C50E3C"/>
    <w:rsid w:val="00C51515"/>
    <w:rsid w:val="00C5660B"/>
    <w:rsid w:val="00C61E25"/>
    <w:rsid w:val="00C66B72"/>
    <w:rsid w:val="00C77187"/>
    <w:rsid w:val="00C87AC4"/>
    <w:rsid w:val="00C90C31"/>
    <w:rsid w:val="00C92821"/>
    <w:rsid w:val="00C928F3"/>
    <w:rsid w:val="00C9567A"/>
    <w:rsid w:val="00C960BD"/>
    <w:rsid w:val="00CA1D9E"/>
    <w:rsid w:val="00CA3406"/>
    <w:rsid w:val="00CA7698"/>
    <w:rsid w:val="00CB212D"/>
    <w:rsid w:val="00CB2660"/>
    <w:rsid w:val="00CC5E90"/>
    <w:rsid w:val="00CD046C"/>
    <w:rsid w:val="00CE076C"/>
    <w:rsid w:val="00CE5199"/>
    <w:rsid w:val="00CE66D5"/>
    <w:rsid w:val="00CE7248"/>
    <w:rsid w:val="00CE7FE5"/>
    <w:rsid w:val="00CF5634"/>
    <w:rsid w:val="00CF637A"/>
    <w:rsid w:val="00CF6ABC"/>
    <w:rsid w:val="00D054D5"/>
    <w:rsid w:val="00D059DE"/>
    <w:rsid w:val="00D05ABD"/>
    <w:rsid w:val="00D065E0"/>
    <w:rsid w:val="00D13FCE"/>
    <w:rsid w:val="00D306D1"/>
    <w:rsid w:val="00D30800"/>
    <w:rsid w:val="00D34786"/>
    <w:rsid w:val="00D37BFC"/>
    <w:rsid w:val="00D4217A"/>
    <w:rsid w:val="00D43075"/>
    <w:rsid w:val="00D4790A"/>
    <w:rsid w:val="00D47A8E"/>
    <w:rsid w:val="00D52D14"/>
    <w:rsid w:val="00D537D8"/>
    <w:rsid w:val="00D5581D"/>
    <w:rsid w:val="00D577AD"/>
    <w:rsid w:val="00D5790D"/>
    <w:rsid w:val="00D630C1"/>
    <w:rsid w:val="00D632A7"/>
    <w:rsid w:val="00D6597E"/>
    <w:rsid w:val="00D712D3"/>
    <w:rsid w:val="00D71422"/>
    <w:rsid w:val="00D72DC6"/>
    <w:rsid w:val="00D7489E"/>
    <w:rsid w:val="00D7558D"/>
    <w:rsid w:val="00D81D92"/>
    <w:rsid w:val="00D876F9"/>
    <w:rsid w:val="00D97F1F"/>
    <w:rsid w:val="00DA2609"/>
    <w:rsid w:val="00DA4EF4"/>
    <w:rsid w:val="00DA68B8"/>
    <w:rsid w:val="00DA6C62"/>
    <w:rsid w:val="00DA7B5F"/>
    <w:rsid w:val="00DB4D08"/>
    <w:rsid w:val="00DC11E7"/>
    <w:rsid w:val="00DC1DA0"/>
    <w:rsid w:val="00DC24E3"/>
    <w:rsid w:val="00DC7023"/>
    <w:rsid w:val="00DC7661"/>
    <w:rsid w:val="00DC769A"/>
    <w:rsid w:val="00DD3D86"/>
    <w:rsid w:val="00DD4AD2"/>
    <w:rsid w:val="00DD52CB"/>
    <w:rsid w:val="00DD735B"/>
    <w:rsid w:val="00DD766C"/>
    <w:rsid w:val="00DE50DB"/>
    <w:rsid w:val="00DF1EC4"/>
    <w:rsid w:val="00E0340B"/>
    <w:rsid w:val="00E04A90"/>
    <w:rsid w:val="00E0551F"/>
    <w:rsid w:val="00E07674"/>
    <w:rsid w:val="00E16EAC"/>
    <w:rsid w:val="00E219C7"/>
    <w:rsid w:val="00E24688"/>
    <w:rsid w:val="00E33FB9"/>
    <w:rsid w:val="00E4118C"/>
    <w:rsid w:val="00E43157"/>
    <w:rsid w:val="00E461CE"/>
    <w:rsid w:val="00E508D0"/>
    <w:rsid w:val="00E532ED"/>
    <w:rsid w:val="00E53F6F"/>
    <w:rsid w:val="00E60495"/>
    <w:rsid w:val="00E62422"/>
    <w:rsid w:val="00E63ADB"/>
    <w:rsid w:val="00E720CA"/>
    <w:rsid w:val="00E7733E"/>
    <w:rsid w:val="00E82A80"/>
    <w:rsid w:val="00E83501"/>
    <w:rsid w:val="00E84CCA"/>
    <w:rsid w:val="00E84EB5"/>
    <w:rsid w:val="00E85662"/>
    <w:rsid w:val="00E8789F"/>
    <w:rsid w:val="00E97B71"/>
    <w:rsid w:val="00EA1460"/>
    <w:rsid w:val="00EA3D34"/>
    <w:rsid w:val="00EA457B"/>
    <w:rsid w:val="00EB02EF"/>
    <w:rsid w:val="00EB202A"/>
    <w:rsid w:val="00EB454D"/>
    <w:rsid w:val="00ED549D"/>
    <w:rsid w:val="00ED76BE"/>
    <w:rsid w:val="00ED79C3"/>
    <w:rsid w:val="00EE00E9"/>
    <w:rsid w:val="00EE117E"/>
    <w:rsid w:val="00EF619B"/>
    <w:rsid w:val="00F00B55"/>
    <w:rsid w:val="00F02AD1"/>
    <w:rsid w:val="00F253CC"/>
    <w:rsid w:val="00F317E8"/>
    <w:rsid w:val="00F32D78"/>
    <w:rsid w:val="00F37106"/>
    <w:rsid w:val="00F519CF"/>
    <w:rsid w:val="00F52CF5"/>
    <w:rsid w:val="00F537BA"/>
    <w:rsid w:val="00F56BA5"/>
    <w:rsid w:val="00F60E22"/>
    <w:rsid w:val="00F61352"/>
    <w:rsid w:val="00F62E0E"/>
    <w:rsid w:val="00F63D7F"/>
    <w:rsid w:val="00F75DF1"/>
    <w:rsid w:val="00F81395"/>
    <w:rsid w:val="00F81BB8"/>
    <w:rsid w:val="00F8783A"/>
    <w:rsid w:val="00F917D1"/>
    <w:rsid w:val="00F93D71"/>
    <w:rsid w:val="00F9653B"/>
    <w:rsid w:val="00FA4F8C"/>
    <w:rsid w:val="00FB62CF"/>
    <w:rsid w:val="00FC35C4"/>
    <w:rsid w:val="00FC3CEC"/>
    <w:rsid w:val="00FD0D17"/>
    <w:rsid w:val="00FD2C6E"/>
    <w:rsid w:val="00FD3C3B"/>
    <w:rsid w:val="00FD3CDB"/>
    <w:rsid w:val="00FD558F"/>
    <w:rsid w:val="00FD6B53"/>
    <w:rsid w:val="00FD7407"/>
    <w:rsid w:val="00FE07DD"/>
    <w:rsid w:val="00FE352D"/>
    <w:rsid w:val="00FE6088"/>
    <w:rsid w:val="00FE6B45"/>
    <w:rsid w:val="00FF0FCB"/>
    <w:rsid w:val="00FF17E3"/>
    <w:rsid w:val="00FF55F3"/>
    <w:rsid w:val="00FF5701"/>
    <w:rsid w:val="00FF5851"/>
    <w:rsid w:val="00FF69D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10D6"/>
    <w:rPr>
      <w:i/>
      <w:iCs/>
    </w:rPr>
  </w:style>
  <w:style w:type="character" w:styleId="CommentReference">
    <w:name w:val="annotation reference"/>
    <w:basedOn w:val="DefaultParagraphFont"/>
    <w:uiPriority w:val="99"/>
    <w:semiHidden/>
    <w:unhideWhenUsed/>
    <w:rsid w:val="00BC11F4"/>
    <w:rPr>
      <w:sz w:val="16"/>
      <w:szCs w:val="16"/>
    </w:rPr>
  </w:style>
  <w:style w:type="paragraph" w:styleId="CommentText">
    <w:name w:val="annotation text"/>
    <w:basedOn w:val="Normal"/>
    <w:link w:val="CommentTextChar"/>
    <w:uiPriority w:val="99"/>
    <w:semiHidden/>
    <w:unhideWhenUsed/>
    <w:rsid w:val="00BC11F4"/>
    <w:rPr>
      <w:sz w:val="20"/>
      <w:szCs w:val="20"/>
    </w:rPr>
  </w:style>
  <w:style w:type="character" w:customStyle="1" w:styleId="CommentTextChar">
    <w:name w:val="Comment Text Char"/>
    <w:basedOn w:val="DefaultParagraphFont"/>
    <w:link w:val="CommentText"/>
    <w:uiPriority w:val="99"/>
    <w:semiHidden/>
    <w:rsid w:val="00BC11F4"/>
    <w:rPr>
      <w:lang w:val="en-US" w:eastAsia="en-US"/>
    </w:rPr>
  </w:style>
  <w:style w:type="paragraph" w:styleId="CommentSubject">
    <w:name w:val="annotation subject"/>
    <w:basedOn w:val="CommentText"/>
    <w:next w:val="CommentText"/>
    <w:link w:val="CommentSubjectChar"/>
    <w:uiPriority w:val="99"/>
    <w:semiHidden/>
    <w:unhideWhenUsed/>
    <w:rsid w:val="00BC11F4"/>
    <w:rPr>
      <w:b/>
      <w:bCs/>
    </w:rPr>
  </w:style>
  <w:style w:type="character" w:customStyle="1" w:styleId="CommentSubjectChar">
    <w:name w:val="Comment Subject Char"/>
    <w:basedOn w:val="CommentTextChar"/>
    <w:link w:val="CommentSubject"/>
    <w:uiPriority w:val="99"/>
    <w:semiHidden/>
    <w:rsid w:val="00BC11F4"/>
    <w:rPr>
      <w:b/>
      <w:bCs/>
      <w:lang w:val="en-US" w:eastAsia="en-US"/>
    </w:rPr>
  </w:style>
  <w:style w:type="character" w:styleId="FollowedHyperlink">
    <w:name w:val="FollowedHyperlink"/>
    <w:basedOn w:val="DefaultParagraphFont"/>
    <w:uiPriority w:val="99"/>
    <w:semiHidden/>
    <w:unhideWhenUsed/>
    <w:rsid w:val="0069190A"/>
    <w:rPr>
      <w:color w:val="800080" w:themeColor="followedHyperlink"/>
      <w:u w:val="single"/>
    </w:rPr>
  </w:style>
  <w:style w:type="paragraph" w:styleId="NoSpacing">
    <w:name w:val="No Spacing"/>
    <w:uiPriority w:val="1"/>
    <w:qFormat/>
    <w:rsid w:val="009E769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0464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planalto.gov.br/ccivil_03/decreto-lei/del3689.htm" TargetMode="External"/><Relationship Id="rId1" Type="http://schemas.openxmlformats.org/officeDocument/2006/relationships/hyperlink" Target="http://www.planalto.gov.br/ccivil_03/decreto-lei/del2848compilado.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82492"/>
    <w:rsid w:val="003037A6"/>
    <w:rsid w:val="00356126"/>
    <w:rsid w:val="00394049"/>
    <w:rsid w:val="004F2DF8"/>
    <w:rsid w:val="005D2C96"/>
    <w:rsid w:val="006F168E"/>
    <w:rsid w:val="008C72A9"/>
    <w:rsid w:val="009A261B"/>
    <w:rsid w:val="00AA00D2"/>
    <w:rsid w:val="00AA5059"/>
    <w:rsid w:val="00AC15A4"/>
    <w:rsid w:val="00B0336C"/>
    <w:rsid w:val="00B07C3A"/>
    <w:rsid w:val="00B45EF9"/>
    <w:rsid w:val="00B53515"/>
    <w:rsid w:val="00BD5E46"/>
    <w:rsid w:val="00DE4B4C"/>
    <w:rsid w:val="00E96B44"/>
    <w:rsid w:val="00EA54F4"/>
    <w:rsid w:val="00EC08A2"/>
    <w:rsid w:val="00F00D2F"/>
    <w:rsid w:val="00F128DF"/>
    <w:rsid w:val="00F15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D3EDD-3D76-4F43-9D91-BE36AE1B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2531</Words>
  <Characters>14428</Characters>
  <Application>Microsoft Office Word</Application>
  <DocSecurity>0</DocSecurity>
  <Lines>120</Lines>
  <Paragraphs>33</Paragraphs>
  <ScaleCrop>false</ScaleCrop>
  <Company/>
  <LinksUpToDate>false</LinksUpToDate>
  <CharactersWithSpaces>16926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Infome No. 227/19</dc:title>
  <dc:creator/>
  <cp:lastModifiedBy/>
  <cp:revision>1</cp:revision>
  <dcterms:created xsi:type="dcterms:W3CDTF">2020-05-07T19:24:00Z</dcterms:created>
  <dcterms:modified xsi:type="dcterms:W3CDTF">2020-05-07T19:24:00Z</dcterms:modified>
</cp:coreProperties>
</file>