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247F31" w:rsidRDefault="00D306D1" w:rsidP="00627C9F">
      <w:pPr>
        <w:jc w:val="both"/>
        <w:rPr>
          <w:rFonts w:asciiTheme="majorHAnsi" w:hAnsiTheme="majorHAnsi" w:cs="Univers"/>
          <w:b/>
          <w:bCs/>
          <w:sz w:val="22"/>
          <w:szCs w:val="22"/>
          <w:lang w:val="es-ES_tradnl"/>
        </w:rPr>
      </w:pPr>
      <w:bookmarkStart w:id="0" w:name="_GoBack"/>
      <w:bookmarkEnd w:id="0"/>
      <w:r w:rsidRPr="00247F3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A66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47F3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247F31" w:rsidRDefault="00040C3A" w:rsidP="00040C3A">
      <w:pPr>
        <w:tabs>
          <w:tab w:val="center" w:pos="5400"/>
        </w:tabs>
        <w:suppressAutoHyphens/>
        <w:jc w:val="both"/>
        <w:rPr>
          <w:rFonts w:asciiTheme="majorHAnsi" w:hAnsiTheme="majorHAnsi"/>
          <w:sz w:val="22"/>
          <w:szCs w:val="22"/>
          <w:lang w:val="es-ES"/>
        </w:rPr>
      </w:pPr>
    </w:p>
    <w:p w:rsidR="00040C3A" w:rsidRPr="00247F31" w:rsidRDefault="00040C3A" w:rsidP="00040C3A">
      <w:pPr>
        <w:tabs>
          <w:tab w:val="center" w:pos="5400"/>
        </w:tabs>
        <w:suppressAutoHyphens/>
        <w:jc w:val="both"/>
        <w:rPr>
          <w:rFonts w:asciiTheme="majorHAnsi" w:hAnsiTheme="majorHAnsi"/>
          <w:sz w:val="22"/>
          <w:szCs w:val="22"/>
          <w:lang w:val="es-ES"/>
        </w:rPr>
      </w:pPr>
    </w:p>
    <w:p w:rsidR="005128E4" w:rsidRPr="00247F31" w:rsidRDefault="005128E4" w:rsidP="00040C3A">
      <w:pPr>
        <w:tabs>
          <w:tab w:val="center" w:pos="5400"/>
        </w:tabs>
        <w:suppressAutoHyphens/>
        <w:rPr>
          <w:rFonts w:asciiTheme="majorHAnsi" w:hAnsiTheme="majorHAnsi"/>
          <w:sz w:val="22"/>
          <w:szCs w:val="22"/>
          <w:lang w:val="es-ES_tradnl"/>
        </w:rPr>
      </w:pPr>
    </w:p>
    <w:p w:rsidR="005128E4" w:rsidRPr="00247F31" w:rsidRDefault="005128E4" w:rsidP="00040C3A">
      <w:pPr>
        <w:tabs>
          <w:tab w:val="center" w:pos="5400"/>
        </w:tabs>
        <w:suppressAutoHyphens/>
        <w:rPr>
          <w:rFonts w:asciiTheme="majorHAnsi" w:hAnsiTheme="majorHAnsi"/>
          <w:sz w:val="22"/>
          <w:szCs w:val="22"/>
          <w:lang w:val="es-ES_tradnl"/>
        </w:rPr>
      </w:pPr>
    </w:p>
    <w:p w:rsidR="005128E4" w:rsidRPr="00247F31" w:rsidRDefault="005128E4" w:rsidP="00040C3A">
      <w:pPr>
        <w:tabs>
          <w:tab w:val="center" w:pos="5400"/>
        </w:tabs>
        <w:suppressAutoHyphens/>
        <w:rPr>
          <w:rFonts w:asciiTheme="majorHAnsi" w:hAnsiTheme="majorHAnsi"/>
          <w:sz w:val="22"/>
          <w:szCs w:val="22"/>
          <w:lang w:val="es-ES_tradnl"/>
        </w:rPr>
      </w:pPr>
    </w:p>
    <w:p w:rsidR="00040C3A" w:rsidRPr="00247F31" w:rsidRDefault="00040C3A" w:rsidP="005128E4">
      <w:pPr>
        <w:tabs>
          <w:tab w:val="center" w:pos="5400"/>
        </w:tabs>
        <w:suppressAutoHyphens/>
        <w:jc w:val="center"/>
        <w:rPr>
          <w:rFonts w:asciiTheme="majorHAnsi" w:hAnsiTheme="majorHAnsi"/>
          <w:sz w:val="22"/>
          <w:szCs w:val="22"/>
          <w:lang w:val="es-ES_tradnl"/>
        </w:rPr>
      </w:pPr>
    </w:p>
    <w:p w:rsidR="00040C3A" w:rsidRPr="00247F31" w:rsidRDefault="00040C3A" w:rsidP="005128E4">
      <w:pPr>
        <w:tabs>
          <w:tab w:val="center" w:pos="5400"/>
        </w:tabs>
        <w:suppressAutoHyphens/>
        <w:jc w:val="center"/>
        <w:rPr>
          <w:rFonts w:asciiTheme="majorHAnsi" w:hAnsiTheme="majorHAnsi"/>
          <w:sz w:val="22"/>
          <w:szCs w:val="22"/>
          <w:lang w:val="es-ES_tradnl"/>
        </w:rPr>
      </w:pPr>
    </w:p>
    <w:p w:rsidR="005B52B0" w:rsidRPr="00247F31" w:rsidRDefault="005B52B0" w:rsidP="005128E4">
      <w:pPr>
        <w:tabs>
          <w:tab w:val="center" w:pos="5400"/>
        </w:tabs>
        <w:suppressAutoHyphens/>
        <w:jc w:val="center"/>
        <w:rPr>
          <w:rFonts w:asciiTheme="majorHAnsi" w:hAnsiTheme="majorHAnsi"/>
          <w:sz w:val="22"/>
          <w:szCs w:val="22"/>
          <w:lang w:val="es-ES_tradnl"/>
        </w:rPr>
      </w:pPr>
    </w:p>
    <w:p w:rsidR="005B52B0" w:rsidRPr="00247F31" w:rsidRDefault="005B52B0" w:rsidP="005128E4">
      <w:pPr>
        <w:tabs>
          <w:tab w:val="center" w:pos="5400"/>
        </w:tabs>
        <w:suppressAutoHyphens/>
        <w:jc w:val="center"/>
        <w:rPr>
          <w:rFonts w:asciiTheme="majorHAnsi" w:hAnsiTheme="majorHAnsi"/>
          <w:sz w:val="22"/>
          <w:szCs w:val="22"/>
          <w:lang w:val="es-ES_tradnl"/>
        </w:rPr>
      </w:pPr>
    </w:p>
    <w:p w:rsidR="005B52B0" w:rsidRPr="00247F31" w:rsidRDefault="005B52B0" w:rsidP="005128E4">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3D3BC2" w:rsidP="00040C3A">
      <w:pPr>
        <w:tabs>
          <w:tab w:val="center" w:pos="5400"/>
        </w:tabs>
        <w:suppressAutoHyphens/>
        <w:jc w:val="center"/>
        <w:rPr>
          <w:rFonts w:asciiTheme="majorHAnsi" w:hAnsiTheme="majorHAnsi"/>
          <w:sz w:val="22"/>
          <w:szCs w:val="22"/>
          <w:lang w:val="es-ES_tradnl"/>
        </w:rPr>
      </w:pPr>
      <w:r w:rsidRPr="00247F3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62A25">
                              <w:rPr>
                                <w:rFonts w:asciiTheme="majorHAnsi" w:hAnsiTheme="majorHAnsi" w:cs="Arial"/>
                                <w:b/>
                                <w:bCs/>
                                <w:color w:val="0D0D0D" w:themeColor="text1" w:themeTint="F2"/>
                                <w:sz w:val="36"/>
                                <w:szCs w:val="40"/>
                                <w:lang w:val="es-ES_tradnl"/>
                              </w:rPr>
                              <w:t>.</w:t>
                            </w:r>
                            <w:r w:rsidR="007B05C4" w:rsidRPr="00462A25">
                              <w:rPr>
                                <w:rFonts w:asciiTheme="majorHAnsi" w:hAnsiTheme="majorHAnsi" w:cs="Arial"/>
                                <w:b/>
                                <w:bCs/>
                                <w:color w:val="0D0D0D" w:themeColor="text1" w:themeTint="F2"/>
                                <w:sz w:val="36"/>
                                <w:szCs w:val="22"/>
                                <w:lang w:val="es-ES_tradnl"/>
                              </w:rPr>
                              <w:t xml:space="preserve"> </w:t>
                            </w:r>
                            <w:r w:rsidR="00411EAE">
                              <w:rPr>
                                <w:rFonts w:asciiTheme="majorHAnsi" w:hAnsiTheme="majorHAnsi" w:cs="Arial"/>
                                <w:b/>
                                <w:bCs/>
                                <w:color w:val="0D0D0D" w:themeColor="text1" w:themeTint="F2"/>
                                <w:sz w:val="36"/>
                                <w:szCs w:val="22"/>
                                <w:lang w:val="es-ES_tradnl"/>
                              </w:rPr>
                              <w:t>122</w:t>
                            </w:r>
                            <w:r w:rsidR="007B05C4" w:rsidRPr="00462A25">
                              <w:rPr>
                                <w:rFonts w:asciiTheme="majorHAnsi" w:hAnsiTheme="majorHAnsi" w:cs="Arial"/>
                                <w:b/>
                                <w:bCs/>
                                <w:color w:val="0D0D0D" w:themeColor="text1" w:themeTint="F2"/>
                                <w:sz w:val="36"/>
                                <w:szCs w:val="22"/>
                                <w:lang w:val="es-ES_tradnl"/>
                              </w:rPr>
                              <w:t>/</w:t>
                            </w:r>
                            <w:r w:rsidR="008A5B48" w:rsidRPr="00462A25">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2A25">
                              <w:rPr>
                                <w:rFonts w:asciiTheme="majorHAnsi" w:hAnsiTheme="majorHAnsi" w:cs="Arial"/>
                                <w:b/>
                                <w:color w:val="0D0D0D" w:themeColor="text1" w:themeTint="F2"/>
                                <w:sz w:val="36"/>
                                <w:szCs w:val="22"/>
                                <w:lang w:val="es-ES_tradnl"/>
                              </w:rPr>
                              <w:t>1442</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462A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HERNÁNDEZ CARVAJAL Y OTROS</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62A25">
                        <w:rPr>
                          <w:rFonts w:asciiTheme="majorHAnsi" w:hAnsiTheme="majorHAnsi" w:cs="Arial"/>
                          <w:b/>
                          <w:bCs/>
                          <w:color w:val="0D0D0D" w:themeColor="text1" w:themeTint="F2"/>
                          <w:sz w:val="36"/>
                          <w:szCs w:val="40"/>
                          <w:lang w:val="es-ES_tradnl"/>
                        </w:rPr>
                        <w:t>.</w:t>
                      </w:r>
                      <w:r w:rsidR="007B05C4" w:rsidRPr="00462A25">
                        <w:rPr>
                          <w:rFonts w:asciiTheme="majorHAnsi" w:hAnsiTheme="majorHAnsi" w:cs="Arial"/>
                          <w:b/>
                          <w:bCs/>
                          <w:color w:val="0D0D0D" w:themeColor="text1" w:themeTint="F2"/>
                          <w:sz w:val="36"/>
                          <w:szCs w:val="22"/>
                          <w:lang w:val="es-ES_tradnl"/>
                        </w:rPr>
                        <w:t xml:space="preserve"> </w:t>
                      </w:r>
                      <w:r w:rsidR="00411EAE">
                        <w:rPr>
                          <w:rFonts w:asciiTheme="majorHAnsi" w:hAnsiTheme="majorHAnsi" w:cs="Arial"/>
                          <w:b/>
                          <w:bCs/>
                          <w:color w:val="0D0D0D" w:themeColor="text1" w:themeTint="F2"/>
                          <w:sz w:val="36"/>
                          <w:szCs w:val="22"/>
                          <w:lang w:val="es-ES_tradnl"/>
                        </w:rPr>
                        <w:t>122</w:t>
                      </w:r>
                      <w:r w:rsidR="007B05C4" w:rsidRPr="00462A25">
                        <w:rPr>
                          <w:rFonts w:asciiTheme="majorHAnsi" w:hAnsiTheme="majorHAnsi" w:cs="Arial"/>
                          <w:b/>
                          <w:bCs/>
                          <w:color w:val="0D0D0D" w:themeColor="text1" w:themeTint="F2"/>
                          <w:sz w:val="36"/>
                          <w:szCs w:val="22"/>
                          <w:lang w:val="es-ES_tradnl"/>
                        </w:rPr>
                        <w:t>/</w:t>
                      </w:r>
                      <w:r w:rsidR="008A5B48" w:rsidRPr="00462A25">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2A25">
                        <w:rPr>
                          <w:rFonts w:asciiTheme="majorHAnsi" w:hAnsiTheme="majorHAnsi" w:cs="Arial"/>
                          <w:b/>
                          <w:color w:val="0D0D0D" w:themeColor="text1" w:themeTint="F2"/>
                          <w:sz w:val="36"/>
                          <w:szCs w:val="22"/>
                          <w:lang w:val="es-ES_tradnl"/>
                        </w:rPr>
                        <w:t>1442</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462A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HERNÁNDEZ CARVAJAL Y OTROS</w:t>
                      </w:r>
                    </w:p>
                    <w:bookmarkEnd w:id="2"/>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247F3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C5E68" w:rsidRDefault="00834D49" w:rsidP="007A5817">
                            <w:pPr>
                              <w:spacing w:line="276" w:lineRule="auto"/>
                              <w:jc w:val="right"/>
                              <w:rPr>
                                <w:rFonts w:asciiTheme="minorHAnsi" w:hAnsiTheme="minorHAnsi"/>
                                <w:color w:val="FFFFFF" w:themeColor="background1"/>
                                <w:sz w:val="22"/>
                                <w:lang w:val="pt-BR"/>
                              </w:rPr>
                            </w:pPr>
                            <w:r w:rsidRPr="00CC5E68">
                              <w:rPr>
                                <w:rFonts w:asciiTheme="minorHAnsi" w:hAnsiTheme="minorHAnsi"/>
                                <w:color w:val="FFFFFF" w:themeColor="background1"/>
                                <w:sz w:val="22"/>
                                <w:lang w:val="pt-BR"/>
                              </w:rPr>
                              <w:t>OEA/Ser.L/V/II.</w:t>
                            </w:r>
                          </w:p>
                          <w:p w:rsidR="00627C9F" w:rsidRPr="00CC5E68" w:rsidRDefault="00CC3D67" w:rsidP="007A5817">
                            <w:pPr>
                              <w:spacing w:line="276" w:lineRule="auto"/>
                              <w:jc w:val="right"/>
                              <w:rPr>
                                <w:rFonts w:asciiTheme="minorHAnsi" w:hAnsiTheme="minorHAnsi"/>
                                <w:color w:val="FFFFFF" w:themeColor="background1"/>
                                <w:sz w:val="22"/>
                                <w:lang w:val="pt-BR"/>
                              </w:rPr>
                            </w:pPr>
                            <w:r w:rsidRPr="00CC5E68">
                              <w:rPr>
                                <w:rFonts w:asciiTheme="minorHAnsi" w:hAnsiTheme="minorHAnsi"/>
                                <w:color w:val="FFFFFF" w:themeColor="background1"/>
                                <w:sz w:val="22"/>
                                <w:lang w:val="pt-BR"/>
                              </w:rPr>
                              <w:t>Doc. 131</w:t>
                            </w:r>
                          </w:p>
                          <w:p w:rsidR="00627C9F" w:rsidRPr="00CC3D67" w:rsidRDefault="00CC3D6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julio</w:t>
                            </w:r>
                            <w:r w:rsidR="00627C9F" w:rsidRPr="00CC3D67">
                              <w:rPr>
                                <w:rFonts w:asciiTheme="minorHAnsi" w:hAnsiTheme="minorHAnsi"/>
                                <w:color w:val="FFFFFF" w:themeColor="background1"/>
                                <w:sz w:val="22"/>
                                <w:lang w:val="es-ES"/>
                              </w:rPr>
                              <w:t xml:space="preserve"> 201</w:t>
                            </w:r>
                            <w:r w:rsidR="008A5B48" w:rsidRPr="00CC3D67">
                              <w:rPr>
                                <w:rFonts w:asciiTheme="minorHAnsi" w:hAnsiTheme="minorHAnsi"/>
                                <w:color w:val="FFFFFF" w:themeColor="background1"/>
                                <w:sz w:val="22"/>
                                <w:lang w:val="es-ES"/>
                              </w:rPr>
                              <w:t>9</w:t>
                            </w:r>
                          </w:p>
                          <w:p w:rsidR="00627C9F" w:rsidRPr="00CC3D67" w:rsidRDefault="00E0340B" w:rsidP="007A5817">
                            <w:pPr>
                              <w:spacing w:line="276" w:lineRule="auto"/>
                              <w:jc w:val="right"/>
                              <w:rPr>
                                <w:rFonts w:asciiTheme="minorHAnsi" w:hAnsiTheme="minorHAnsi"/>
                                <w:color w:val="FFFFFF" w:themeColor="background1"/>
                                <w:sz w:val="22"/>
                                <w:lang w:val="es-ES"/>
                              </w:rPr>
                            </w:pPr>
                            <w:r w:rsidRPr="00CC3D67">
                              <w:rPr>
                                <w:rFonts w:asciiTheme="minorHAnsi" w:hAnsiTheme="minorHAnsi"/>
                                <w:color w:val="FFFFFF" w:themeColor="background1"/>
                                <w:sz w:val="22"/>
                                <w:lang w:val="es-ES"/>
                              </w:rPr>
                              <w:t xml:space="preserve">Original: </w:t>
                            </w:r>
                            <w:r w:rsidR="008B12F5" w:rsidRPr="00CC3D67">
                              <w:rPr>
                                <w:rFonts w:asciiTheme="minorHAnsi" w:hAnsiTheme="minorHAnsi"/>
                                <w:color w:val="FFFFFF" w:themeColor="background1"/>
                                <w:sz w:val="22"/>
                                <w:lang w:val="es-ES"/>
                              </w:rPr>
                              <w:t>e</w:t>
                            </w:r>
                            <w:r w:rsidR="00627C9F" w:rsidRPr="00CC3D67">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CC5E68" w:rsidRDefault="00834D49" w:rsidP="007A5817">
                      <w:pPr>
                        <w:spacing w:line="276" w:lineRule="auto"/>
                        <w:jc w:val="right"/>
                        <w:rPr>
                          <w:rFonts w:asciiTheme="minorHAnsi" w:hAnsiTheme="minorHAnsi"/>
                          <w:color w:val="FFFFFF" w:themeColor="background1"/>
                          <w:sz w:val="22"/>
                          <w:lang w:val="pt-BR"/>
                        </w:rPr>
                      </w:pPr>
                      <w:r w:rsidRPr="00CC5E68">
                        <w:rPr>
                          <w:rFonts w:asciiTheme="minorHAnsi" w:hAnsiTheme="minorHAnsi"/>
                          <w:color w:val="FFFFFF" w:themeColor="background1"/>
                          <w:sz w:val="22"/>
                          <w:lang w:val="pt-BR"/>
                        </w:rPr>
                        <w:t>OEA/Ser.L/V/II.</w:t>
                      </w:r>
                    </w:p>
                    <w:p w:rsidR="00627C9F" w:rsidRPr="00CC5E68" w:rsidRDefault="00CC3D67" w:rsidP="007A5817">
                      <w:pPr>
                        <w:spacing w:line="276" w:lineRule="auto"/>
                        <w:jc w:val="right"/>
                        <w:rPr>
                          <w:rFonts w:asciiTheme="minorHAnsi" w:hAnsiTheme="minorHAnsi"/>
                          <w:color w:val="FFFFFF" w:themeColor="background1"/>
                          <w:sz w:val="22"/>
                          <w:lang w:val="pt-BR"/>
                        </w:rPr>
                      </w:pPr>
                      <w:r w:rsidRPr="00CC5E68">
                        <w:rPr>
                          <w:rFonts w:asciiTheme="minorHAnsi" w:hAnsiTheme="minorHAnsi"/>
                          <w:color w:val="FFFFFF" w:themeColor="background1"/>
                          <w:sz w:val="22"/>
                          <w:lang w:val="pt-BR"/>
                        </w:rPr>
                        <w:t>Doc. 131</w:t>
                      </w:r>
                    </w:p>
                    <w:p w:rsidR="00627C9F" w:rsidRPr="00CC3D67" w:rsidRDefault="00CC3D6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julio</w:t>
                      </w:r>
                      <w:r w:rsidR="00627C9F" w:rsidRPr="00CC3D67">
                        <w:rPr>
                          <w:rFonts w:asciiTheme="minorHAnsi" w:hAnsiTheme="minorHAnsi"/>
                          <w:color w:val="FFFFFF" w:themeColor="background1"/>
                          <w:sz w:val="22"/>
                          <w:lang w:val="es-ES"/>
                        </w:rPr>
                        <w:t xml:space="preserve"> 201</w:t>
                      </w:r>
                      <w:r w:rsidR="008A5B48" w:rsidRPr="00CC3D67">
                        <w:rPr>
                          <w:rFonts w:asciiTheme="minorHAnsi" w:hAnsiTheme="minorHAnsi"/>
                          <w:color w:val="FFFFFF" w:themeColor="background1"/>
                          <w:sz w:val="22"/>
                          <w:lang w:val="es-ES"/>
                        </w:rPr>
                        <w:t>9</w:t>
                      </w:r>
                    </w:p>
                    <w:p w:rsidR="00627C9F" w:rsidRPr="00CC3D67" w:rsidRDefault="00E0340B" w:rsidP="007A5817">
                      <w:pPr>
                        <w:spacing w:line="276" w:lineRule="auto"/>
                        <w:jc w:val="right"/>
                        <w:rPr>
                          <w:rFonts w:asciiTheme="minorHAnsi" w:hAnsiTheme="minorHAnsi"/>
                          <w:color w:val="FFFFFF" w:themeColor="background1"/>
                          <w:sz w:val="22"/>
                          <w:lang w:val="es-ES"/>
                        </w:rPr>
                      </w:pPr>
                      <w:r w:rsidRPr="00CC3D67">
                        <w:rPr>
                          <w:rFonts w:asciiTheme="minorHAnsi" w:hAnsiTheme="minorHAnsi"/>
                          <w:color w:val="FFFFFF" w:themeColor="background1"/>
                          <w:sz w:val="22"/>
                          <w:lang w:val="es-ES"/>
                        </w:rPr>
                        <w:t xml:space="preserve">Original: </w:t>
                      </w:r>
                      <w:r w:rsidR="008B12F5" w:rsidRPr="00CC3D67">
                        <w:rPr>
                          <w:rFonts w:asciiTheme="minorHAnsi" w:hAnsiTheme="minorHAnsi"/>
                          <w:color w:val="FFFFFF" w:themeColor="background1"/>
                          <w:sz w:val="22"/>
                          <w:lang w:val="es-ES"/>
                        </w:rPr>
                        <w:t>e</w:t>
                      </w:r>
                      <w:r w:rsidR="00627C9F" w:rsidRPr="00CC3D67">
                        <w:rPr>
                          <w:rFonts w:asciiTheme="minorHAnsi" w:hAnsiTheme="minorHAnsi"/>
                          <w:color w:val="FFFFFF" w:themeColor="background1"/>
                          <w:sz w:val="22"/>
                          <w:lang w:val="es-ES"/>
                        </w:rPr>
                        <w:t>spañol</w:t>
                      </w:r>
                    </w:p>
                  </w:txbxContent>
                </v:textbox>
              </v:shape>
            </w:pict>
          </mc:Fallback>
        </mc:AlternateContent>
      </w: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cs="Arial"/>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5128E4" w:rsidRPr="00247F31" w:rsidRDefault="005128E4"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5128E4" w:rsidRPr="00247F31" w:rsidRDefault="005128E4" w:rsidP="00040C3A">
      <w:pPr>
        <w:tabs>
          <w:tab w:val="center" w:pos="5400"/>
        </w:tabs>
        <w:suppressAutoHyphens/>
        <w:jc w:val="center"/>
        <w:rPr>
          <w:rFonts w:asciiTheme="majorHAnsi" w:hAnsiTheme="majorHAnsi"/>
          <w:sz w:val="22"/>
          <w:szCs w:val="22"/>
          <w:lang w:val="es-ES_tradnl"/>
        </w:rPr>
      </w:pPr>
    </w:p>
    <w:p w:rsidR="005128E4" w:rsidRPr="00247F31" w:rsidRDefault="005128E4" w:rsidP="00040C3A">
      <w:pPr>
        <w:tabs>
          <w:tab w:val="center" w:pos="5400"/>
        </w:tabs>
        <w:suppressAutoHyphens/>
        <w:jc w:val="center"/>
        <w:rPr>
          <w:rFonts w:asciiTheme="majorHAnsi" w:hAnsiTheme="majorHAnsi"/>
          <w:sz w:val="22"/>
          <w:szCs w:val="22"/>
          <w:lang w:val="es-ES_tradnl"/>
        </w:rPr>
      </w:pPr>
    </w:p>
    <w:p w:rsidR="005128E4" w:rsidRPr="00247F31" w:rsidRDefault="005128E4"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040C3A" w:rsidRPr="00247F31" w:rsidRDefault="00040C3A" w:rsidP="00040C3A">
      <w:pPr>
        <w:tabs>
          <w:tab w:val="center" w:pos="5400"/>
        </w:tabs>
        <w:suppressAutoHyphens/>
        <w:jc w:val="center"/>
        <w:rPr>
          <w:rFonts w:asciiTheme="majorHAnsi" w:hAnsiTheme="majorHAnsi"/>
          <w:sz w:val="22"/>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90270B" w:rsidP="00040C3A">
      <w:pPr>
        <w:tabs>
          <w:tab w:val="center" w:pos="5400"/>
        </w:tabs>
        <w:suppressAutoHyphens/>
        <w:jc w:val="center"/>
        <w:rPr>
          <w:rFonts w:asciiTheme="majorHAnsi" w:hAnsiTheme="majorHAnsi"/>
          <w:sz w:val="18"/>
          <w:szCs w:val="22"/>
          <w:lang w:val="es-ES_tradnl"/>
        </w:rPr>
      </w:pPr>
      <w:r w:rsidRPr="00247F3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11EAE">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11EAE">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975AC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11EAE">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11EAE">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975AC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A50FCF" w:rsidRPr="00247F31" w:rsidRDefault="0090270B" w:rsidP="00040C3A">
      <w:pPr>
        <w:tabs>
          <w:tab w:val="center" w:pos="5400"/>
        </w:tabs>
        <w:suppressAutoHyphens/>
        <w:jc w:val="center"/>
        <w:rPr>
          <w:rFonts w:asciiTheme="majorHAnsi" w:hAnsiTheme="majorHAnsi"/>
          <w:sz w:val="18"/>
          <w:szCs w:val="22"/>
          <w:lang w:val="es-ES_tradnl"/>
        </w:rPr>
      </w:pPr>
      <w:r w:rsidRPr="00247F3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1EAE" w:rsidRPr="00411EAE">
                              <w:rPr>
                                <w:rFonts w:asciiTheme="majorHAnsi" w:hAnsiTheme="majorHAnsi"/>
                                <w:color w:val="595959" w:themeColor="text1" w:themeTint="A6"/>
                                <w:sz w:val="18"/>
                                <w:szCs w:val="18"/>
                                <w:lang w:val="pt-BR"/>
                              </w:rPr>
                              <w:t>122/19</w:t>
                            </w:r>
                            <w:r w:rsidRPr="00411E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62A25">
                              <w:rPr>
                                <w:rFonts w:asciiTheme="majorHAnsi" w:hAnsiTheme="majorHAnsi"/>
                                <w:color w:val="595959" w:themeColor="text1" w:themeTint="A6"/>
                                <w:sz w:val="18"/>
                                <w:szCs w:val="18"/>
                                <w:lang w:val="es-ES"/>
                              </w:rPr>
                              <w:t>1442</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11EAE">
                              <w:rPr>
                                <w:rFonts w:asciiTheme="majorHAnsi" w:hAnsiTheme="majorHAnsi"/>
                                <w:color w:val="595959" w:themeColor="text1" w:themeTint="A6"/>
                                <w:sz w:val="18"/>
                                <w:szCs w:val="18"/>
                                <w:lang w:val="es-ES_tradnl"/>
                              </w:rPr>
                              <w:t xml:space="preserve">Luis Fernando </w:t>
                            </w:r>
                            <w:proofErr w:type="spellStart"/>
                            <w:r w:rsidR="00411EAE">
                              <w:rPr>
                                <w:rFonts w:asciiTheme="majorHAnsi" w:hAnsiTheme="majorHAnsi"/>
                                <w:color w:val="595959" w:themeColor="text1" w:themeTint="A6"/>
                                <w:sz w:val="18"/>
                                <w:szCs w:val="18"/>
                                <w:lang w:val="es-ES_tradnl"/>
                              </w:rPr>
                              <w:t>Hern</w:t>
                            </w:r>
                            <w:r w:rsidR="00411EAE" w:rsidRPr="00411EAE">
                              <w:rPr>
                                <w:rFonts w:asciiTheme="majorHAnsi" w:hAnsiTheme="majorHAnsi"/>
                                <w:color w:val="595959" w:themeColor="text1" w:themeTint="A6"/>
                                <w:sz w:val="18"/>
                                <w:szCs w:val="18"/>
                                <w:lang w:val="es-ES"/>
                              </w:rPr>
                              <w:t>ández</w:t>
                            </w:r>
                            <w:proofErr w:type="spellEnd"/>
                            <w:r w:rsidR="00411EAE" w:rsidRPr="00411EAE">
                              <w:rPr>
                                <w:rFonts w:asciiTheme="majorHAnsi" w:hAnsiTheme="majorHAnsi"/>
                                <w:color w:val="595959" w:themeColor="text1" w:themeTint="A6"/>
                                <w:sz w:val="18"/>
                                <w:szCs w:val="18"/>
                                <w:lang w:val="es-ES"/>
                              </w:rPr>
                              <w:t xml:space="preserve"> Carvajal y otros</w:t>
                            </w:r>
                            <w:r w:rsidRPr="00890650">
                              <w:rPr>
                                <w:rFonts w:asciiTheme="majorHAnsi" w:hAnsiTheme="majorHAnsi"/>
                                <w:color w:val="595959" w:themeColor="text1" w:themeTint="A6"/>
                                <w:sz w:val="18"/>
                                <w:szCs w:val="18"/>
                                <w:lang w:val="es-ES_tradnl"/>
                              </w:rPr>
                              <w:t xml:space="preserve">. </w:t>
                            </w:r>
                            <w:r w:rsidR="00462A2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11EAE">
                              <w:rPr>
                                <w:rFonts w:asciiTheme="majorHAnsi" w:hAnsiTheme="majorHAnsi"/>
                                <w:color w:val="595959" w:themeColor="text1" w:themeTint="A6"/>
                                <w:sz w:val="18"/>
                                <w:szCs w:val="18"/>
                                <w:lang w:val="es-ES"/>
                              </w:rPr>
                              <w:t>14 de julio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1EAE" w:rsidRPr="00411EAE">
                        <w:rPr>
                          <w:rFonts w:asciiTheme="majorHAnsi" w:hAnsiTheme="majorHAnsi"/>
                          <w:color w:val="595959" w:themeColor="text1" w:themeTint="A6"/>
                          <w:sz w:val="18"/>
                          <w:szCs w:val="18"/>
                          <w:lang w:val="pt-BR"/>
                        </w:rPr>
                        <w:t>122/19</w:t>
                      </w:r>
                      <w:r w:rsidRPr="00411EA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62A25">
                        <w:rPr>
                          <w:rFonts w:asciiTheme="majorHAnsi" w:hAnsiTheme="majorHAnsi"/>
                          <w:color w:val="595959" w:themeColor="text1" w:themeTint="A6"/>
                          <w:sz w:val="18"/>
                          <w:szCs w:val="18"/>
                          <w:lang w:val="es-ES"/>
                        </w:rPr>
                        <w:t>1442</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11EAE">
                        <w:rPr>
                          <w:rFonts w:asciiTheme="majorHAnsi" w:hAnsiTheme="majorHAnsi"/>
                          <w:color w:val="595959" w:themeColor="text1" w:themeTint="A6"/>
                          <w:sz w:val="18"/>
                          <w:szCs w:val="18"/>
                          <w:lang w:val="es-ES_tradnl"/>
                        </w:rPr>
                        <w:t xml:space="preserve">Luis Fernando </w:t>
                      </w:r>
                      <w:proofErr w:type="spellStart"/>
                      <w:r w:rsidR="00411EAE">
                        <w:rPr>
                          <w:rFonts w:asciiTheme="majorHAnsi" w:hAnsiTheme="majorHAnsi"/>
                          <w:color w:val="595959" w:themeColor="text1" w:themeTint="A6"/>
                          <w:sz w:val="18"/>
                          <w:szCs w:val="18"/>
                          <w:lang w:val="es-ES_tradnl"/>
                        </w:rPr>
                        <w:t>Hern</w:t>
                      </w:r>
                      <w:r w:rsidR="00411EAE" w:rsidRPr="00411EAE">
                        <w:rPr>
                          <w:rFonts w:asciiTheme="majorHAnsi" w:hAnsiTheme="majorHAnsi"/>
                          <w:color w:val="595959" w:themeColor="text1" w:themeTint="A6"/>
                          <w:sz w:val="18"/>
                          <w:szCs w:val="18"/>
                          <w:lang w:val="es-ES"/>
                        </w:rPr>
                        <w:t>ández</w:t>
                      </w:r>
                      <w:proofErr w:type="spellEnd"/>
                      <w:r w:rsidR="00411EAE" w:rsidRPr="00411EAE">
                        <w:rPr>
                          <w:rFonts w:asciiTheme="majorHAnsi" w:hAnsiTheme="majorHAnsi"/>
                          <w:color w:val="595959" w:themeColor="text1" w:themeTint="A6"/>
                          <w:sz w:val="18"/>
                          <w:szCs w:val="18"/>
                          <w:lang w:val="es-ES"/>
                        </w:rPr>
                        <w:t xml:space="preserve"> Carvajal y otros</w:t>
                      </w:r>
                      <w:r w:rsidRPr="00890650">
                        <w:rPr>
                          <w:rFonts w:asciiTheme="majorHAnsi" w:hAnsiTheme="majorHAnsi"/>
                          <w:color w:val="595959" w:themeColor="text1" w:themeTint="A6"/>
                          <w:sz w:val="18"/>
                          <w:szCs w:val="18"/>
                          <w:lang w:val="es-ES_tradnl"/>
                        </w:rPr>
                        <w:t xml:space="preserve">. </w:t>
                      </w:r>
                      <w:r w:rsidR="00462A2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11EAE">
                        <w:rPr>
                          <w:rFonts w:asciiTheme="majorHAnsi" w:hAnsiTheme="majorHAnsi"/>
                          <w:color w:val="595959" w:themeColor="text1" w:themeTint="A6"/>
                          <w:sz w:val="18"/>
                          <w:szCs w:val="18"/>
                          <w:lang w:val="es-ES"/>
                        </w:rPr>
                        <w:t>14 de julio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247F31" w:rsidRDefault="00A50FCF" w:rsidP="00040C3A">
      <w:pPr>
        <w:tabs>
          <w:tab w:val="center" w:pos="5400"/>
        </w:tabs>
        <w:suppressAutoHyphens/>
        <w:jc w:val="center"/>
        <w:rPr>
          <w:rFonts w:asciiTheme="majorHAnsi" w:hAnsiTheme="majorHAnsi"/>
          <w:sz w:val="18"/>
          <w:szCs w:val="22"/>
          <w:lang w:val="es-ES_tradnl"/>
        </w:rPr>
      </w:pPr>
    </w:p>
    <w:p w:rsidR="0090270B" w:rsidRPr="00247F31" w:rsidRDefault="00D306D1" w:rsidP="005516A1">
      <w:pPr>
        <w:tabs>
          <w:tab w:val="center" w:pos="5400"/>
        </w:tabs>
        <w:suppressAutoHyphens/>
        <w:jc w:val="center"/>
        <w:rPr>
          <w:rFonts w:asciiTheme="majorHAnsi" w:hAnsiTheme="majorHAnsi"/>
          <w:b/>
          <w:sz w:val="20"/>
          <w:lang w:val="es-ES_tradnl"/>
        </w:rPr>
      </w:pPr>
      <w:r w:rsidRPr="00247F3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47F3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247F31" w:rsidRDefault="004A6A54" w:rsidP="005516A1">
      <w:pPr>
        <w:tabs>
          <w:tab w:val="center" w:pos="5400"/>
        </w:tabs>
        <w:suppressAutoHyphens/>
        <w:jc w:val="center"/>
        <w:rPr>
          <w:rFonts w:asciiTheme="majorHAnsi" w:hAnsiTheme="majorHAnsi"/>
          <w:b/>
          <w:sz w:val="20"/>
          <w:lang w:val="es-ES_tradnl"/>
        </w:rPr>
        <w:sectPr w:rsidR="0070697F" w:rsidRPr="00247F3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47F31">
        <w:rPr>
          <w:rFonts w:asciiTheme="majorHAnsi" w:hAnsiTheme="majorHAnsi"/>
          <w:b/>
          <w:sz w:val="20"/>
          <w:lang w:val="es-ES_tradnl"/>
        </w:rPr>
        <w:tab/>
      </w:r>
    </w:p>
    <w:p w:rsidR="003239B8" w:rsidRPr="00265AB7" w:rsidRDefault="003239B8" w:rsidP="004A6A54">
      <w:pPr>
        <w:spacing w:after="240"/>
        <w:ind w:firstLine="720"/>
        <w:jc w:val="both"/>
        <w:rPr>
          <w:rFonts w:asciiTheme="majorHAnsi" w:hAnsiTheme="majorHAnsi"/>
          <w:b/>
          <w:bCs/>
          <w:sz w:val="18"/>
          <w:szCs w:val="18"/>
          <w:lang w:val="es-ES"/>
        </w:rPr>
      </w:pPr>
      <w:r w:rsidRPr="00265AB7">
        <w:rPr>
          <w:rFonts w:asciiTheme="majorHAnsi" w:hAnsiTheme="majorHAnsi"/>
          <w:b/>
          <w:bCs/>
          <w:sz w:val="18"/>
          <w:szCs w:val="18"/>
          <w:lang w:val="es-ES"/>
        </w:rPr>
        <w:lastRenderedPageBreak/>
        <w:t>I.</w:t>
      </w:r>
      <w:r w:rsidRPr="00265AB7">
        <w:rPr>
          <w:rFonts w:asciiTheme="majorHAnsi" w:hAnsiTheme="majorHAnsi"/>
          <w:b/>
          <w:bCs/>
          <w:sz w:val="18"/>
          <w:szCs w:val="18"/>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65AB7" w:rsidTr="004A6A54">
        <w:tc>
          <w:tcPr>
            <w:tcW w:w="3600" w:type="dxa"/>
            <w:tcBorders>
              <w:top w:val="single" w:sz="4"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r w:rsidRPr="00265AB7">
              <w:rPr>
                <w:rFonts w:asciiTheme="majorHAnsi" w:hAnsiTheme="majorHAnsi"/>
                <w:b/>
                <w:bCs/>
                <w:color w:val="FFFFFF" w:themeColor="background1"/>
                <w:sz w:val="18"/>
                <w:szCs w:val="18"/>
              </w:rPr>
              <w:t xml:space="preserve">Parte </w:t>
            </w:r>
            <w:proofErr w:type="spellStart"/>
            <w:r w:rsidRPr="00265AB7">
              <w:rPr>
                <w:rFonts w:asciiTheme="majorHAnsi" w:hAnsiTheme="majorHAnsi"/>
                <w:b/>
                <w:bCs/>
                <w:color w:val="FFFFFF" w:themeColor="background1"/>
                <w:sz w:val="18"/>
                <w:szCs w:val="18"/>
              </w:rPr>
              <w:t>peticionaria</w:t>
            </w:r>
            <w:proofErr w:type="spellEnd"/>
            <w:r w:rsidRPr="00265AB7">
              <w:rPr>
                <w:rFonts w:asciiTheme="majorHAnsi" w:hAnsiTheme="majorHAnsi"/>
                <w:b/>
                <w:bCs/>
                <w:color w:val="FFFFFF" w:themeColor="background1"/>
                <w:sz w:val="18"/>
                <w:szCs w:val="18"/>
              </w:rPr>
              <w:t>:</w:t>
            </w:r>
          </w:p>
        </w:tc>
        <w:tc>
          <w:tcPr>
            <w:tcW w:w="5760" w:type="dxa"/>
            <w:vAlign w:val="center"/>
          </w:tcPr>
          <w:p w:rsidR="003239B8" w:rsidRPr="00265AB7" w:rsidRDefault="001F52BB" w:rsidP="008D2290">
            <w:pPr>
              <w:jc w:val="both"/>
              <w:rPr>
                <w:rFonts w:asciiTheme="majorHAnsi" w:hAnsiTheme="majorHAnsi"/>
                <w:bCs/>
                <w:sz w:val="18"/>
                <w:szCs w:val="18"/>
              </w:rPr>
            </w:pPr>
            <w:r w:rsidRPr="001F52BB">
              <w:rPr>
                <w:rFonts w:asciiTheme="majorHAnsi" w:hAnsiTheme="majorHAnsi"/>
                <w:bCs/>
                <w:sz w:val="18"/>
                <w:szCs w:val="18"/>
              </w:rPr>
              <w:t>Jahir Alberto Hernandez Carvajal</w:t>
            </w:r>
          </w:p>
        </w:tc>
      </w:tr>
      <w:tr w:rsidR="003239B8" w:rsidRPr="001F52BB" w:rsidTr="004A6A54">
        <w:tc>
          <w:tcPr>
            <w:tcW w:w="3600" w:type="dxa"/>
            <w:tcBorders>
              <w:top w:val="single" w:sz="6" w:space="0" w:color="auto"/>
              <w:bottom w:val="single" w:sz="6" w:space="0" w:color="auto"/>
            </w:tcBorders>
            <w:shd w:val="clear" w:color="auto" w:fill="386294"/>
            <w:vAlign w:val="center"/>
          </w:tcPr>
          <w:p w:rsidR="003239B8" w:rsidRPr="00265AB7" w:rsidRDefault="00445A3A" w:rsidP="008D2290">
            <w:pPr>
              <w:jc w:val="center"/>
              <w:rPr>
                <w:rFonts w:asciiTheme="majorHAnsi" w:hAnsiTheme="majorHAnsi"/>
                <w:b/>
                <w:bCs/>
                <w:color w:val="FFFFFF" w:themeColor="background1"/>
                <w:sz w:val="18"/>
                <w:szCs w:val="18"/>
              </w:rPr>
            </w:pPr>
            <w:sdt>
              <w:sdtPr>
                <w:rPr>
                  <w:rFonts w:asciiTheme="majorHAnsi" w:hAnsiTheme="majorHAnsi"/>
                  <w:b/>
                  <w:bCs/>
                  <w:color w:val="FFFFFF" w:themeColor="background1"/>
                  <w:sz w:val="18"/>
                  <w:szCs w:val="18"/>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65AB7">
                  <w:rPr>
                    <w:rFonts w:asciiTheme="majorHAnsi" w:hAnsiTheme="majorHAnsi"/>
                    <w:b/>
                    <w:bCs/>
                    <w:color w:val="FFFFFF" w:themeColor="background1"/>
                    <w:sz w:val="18"/>
                    <w:szCs w:val="18"/>
                  </w:rPr>
                  <w:t>Presunta víctima</w:t>
                </w:r>
              </w:sdtContent>
            </w:sdt>
            <w:r w:rsidR="003239B8" w:rsidRPr="00265AB7">
              <w:rPr>
                <w:rFonts w:asciiTheme="majorHAnsi" w:hAnsiTheme="majorHAnsi"/>
                <w:b/>
                <w:bCs/>
                <w:color w:val="FFFFFF" w:themeColor="background1"/>
                <w:sz w:val="18"/>
                <w:szCs w:val="18"/>
              </w:rPr>
              <w:t>:</w:t>
            </w:r>
          </w:p>
        </w:tc>
        <w:tc>
          <w:tcPr>
            <w:tcW w:w="5760" w:type="dxa"/>
            <w:vAlign w:val="center"/>
          </w:tcPr>
          <w:p w:rsidR="003239B8" w:rsidRPr="00265AB7" w:rsidRDefault="00462A25" w:rsidP="00440A46">
            <w:pPr>
              <w:jc w:val="both"/>
              <w:rPr>
                <w:rFonts w:asciiTheme="majorHAnsi" w:hAnsiTheme="majorHAnsi"/>
                <w:bCs/>
                <w:sz w:val="18"/>
                <w:szCs w:val="18"/>
                <w:lang w:val="es-ES"/>
              </w:rPr>
            </w:pPr>
            <w:r w:rsidRPr="00265AB7">
              <w:rPr>
                <w:rFonts w:asciiTheme="majorHAnsi" w:hAnsiTheme="majorHAnsi"/>
                <w:bCs/>
                <w:sz w:val="18"/>
                <w:szCs w:val="18"/>
                <w:lang w:val="es-ES"/>
              </w:rPr>
              <w:t>Luis Fernando Hernández Carvajal</w:t>
            </w:r>
            <w:r w:rsidR="00440A46" w:rsidRPr="00265AB7">
              <w:rPr>
                <w:rFonts w:asciiTheme="majorHAnsi" w:hAnsiTheme="majorHAnsi"/>
                <w:bCs/>
                <w:sz w:val="18"/>
                <w:szCs w:val="18"/>
                <w:lang w:val="es-ES"/>
              </w:rPr>
              <w:t xml:space="preserve"> y</w:t>
            </w:r>
            <w:r w:rsidRPr="00265AB7">
              <w:rPr>
                <w:rFonts w:asciiTheme="majorHAnsi" w:hAnsiTheme="majorHAnsi"/>
                <w:bCs/>
                <w:sz w:val="18"/>
                <w:szCs w:val="18"/>
                <w:lang w:val="es-ES"/>
              </w:rPr>
              <w:t xml:space="preserve"> otros</w:t>
            </w:r>
            <w:r w:rsidR="004B29D1" w:rsidRPr="00265AB7">
              <w:rPr>
                <w:rStyle w:val="FootnoteReference"/>
                <w:rFonts w:asciiTheme="majorHAnsi" w:hAnsiTheme="majorHAnsi"/>
                <w:bCs/>
                <w:sz w:val="18"/>
                <w:szCs w:val="18"/>
                <w:lang w:val="es-ES"/>
              </w:rPr>
              <w:footnoteReference w:id="2"/>
            </w:r>
          </w:p>
        </w:tc>
      </w:tr>
      <w:tr w:rsidR="003239B8" w:rsidRPr="00265AB7" w:rsidTr="004A6A54">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r w:rsidRPr="00265AB7">
              <w:rPr>
                <w:rFonts w:asciiTheme="majorHAnsi" w:hAnsiTheme="majorHAnsi"/>
                <w:b/>
                <w:bCs/>
                <w:color w:val="FFFFFF" w:themeColor="background1"/>
                <w:sz w:val="18"/>
                <w:szCs w:val="18"/>
              </w:rPr>
              <w:t xml:space="preserve">Estado </w:t>
            </w:r>
            <w:proofErr w:type="spellStart"/>
            <w:r w:rsidRPr="00265AB7">
              <w:rPr>
                <w:rFonts w:asciiTheme="majorHAnsi" w:hAnsiTheme="majorHAnsi"/>
                <w:b/>
                <w:bCs/>
                <w:color w:val="FFFFFF" w:themeColor="background1"/>
                <w:sz w:val="18"/>
                <w:szCs w:val="18"/>
              </w:rPr>
              <w:t>denunciado</w:t>
            </w:r>
            <w:proofErr w:type="spellEnd"/>
            <w:r w:rsidRPr="00265AB7">
              <w:rPr>
                <w:rFonts w:asciiTheme="majorHAnsi" w:hAnsiTheme="majorHAnsi"/>
                <w:b/>
                <w:bCs/>
                <w:color w:val="FFFFFF" w:themeColor="background1"/>
                <w:sz w:val="18"/>
                <w:szCs w:val="18"/>
              </w:rPr>
              <w:t>:</w:t>
            </w:r>
          </w:p>
        </w:tc>
        <w:tc>
          <w:tcPr>
            <w:tcW w:w="5760" w:type="dxa"/>
            <w:vAlign w:val="center"/>
          </w:tcPr>
          <w:p w:rsidR="003239B8" w:rsidRPr="00265AB7" w:rsidRDefault="00720F87" w:rsidP="008D2290">
            <w:pPr>
              <w:jc w:val="both"/>
              <w:rPr>
                <w:rFonts w:asciiTheme="majorHAnsi" w:hAnsiTheme="majorHAnsi"/>
                <w:bCs/>
                <w:sz w:val="18"/>
                <w:szCs w:val="18"/>
              </w:rPr>
            </w:pPr>
            <w:r w:rsidRPr="00265AB7">
              <w:rPr>
                <w:rFonts w:asciiTheme="majorHAnsi" w:hAnsiTheme="majorHAnsi"/>
                <w:bCs/>
                <w:sz w:val="18"/>
                <w:szCs w:val="18"/>
              </w:rPr>
              <w:t>Colombia</w:t>
            </w:r>
            <w:r w:rsidR="004A6A54" w:rsidRPr="00265AB7">
              <w:rPr>
                <w:rStyle w:val="FootnoteReference"/>
                <w:rFonts w:asciiTheme="majorHAnsi" w:hAnsiTheme="majorHAnsi"/>
                <w:bCs/>
                <w:sz w:val="18"/>
                <w:szCs w:val="18"/>
              </w:rPr>
              <w:footnoteReference w:id="3"/>
            </w:r>
          </w:p>
        </w:tc>
      </w:tr>
      <w:tr w:rsidR="00223A29" w:rsidRPr="001F52BB" w:rsidTr="004A6A54">
        <w:tc>
          <w:tcPr>
            <w:tcW w:w="3600" w:type="dxa"/>
            <w:tcBorders>
              <w:top w:val="single" w:sz="6" w:space="0" w:color="auto"/>
              <w:bottom w:val="single" w:sz="6" w:space="0" w:color="auto"/>
            </w:tcBorders>
            <w:shd w:val="clear" w:color="auto" w:fill="386294"/>
            <w:vAlign w:val="center"/>
          </w:tcPr>
          <w:p w:rsidR="00223A29" w:rsidRPr="00265AB7" w:rsidRDefault="001B3A00" w:rsidP="00E4118C">
            <w:pPr>
              <w:jc w:val="center"/>
              <w:rPr>
                <w:rFonts w:asciiTheme="majorHAnsi" w:hAnsiTheme="majorHAnsi"/>
                <w:b/>
                <w:bCs/>
                <w:color w:val="FFFFFF" w:themeColor="background1"/>
                <w:sz w:val="18"/>
                <w:szCs w:val="18"/>
              </w:rPr>
            </w:pPr>
            <w:r w:rsidRPr="00265AB7">
              <w:rPr>
                <w:rFonts w:asciiTheme="majorHAnsi" w:hAnsiTheme="majorHAnsi"/>
                <w:b/>
                <w:bCs/>
                <w:color w:val="FFFFFF" w:themeColor="background1"/>
                <w:sz w:val="18"/>
                <w:szCs w:val="18"/>
              </w:rPr>
              <w:t xml:space="preserve">Derechos </w:t>
            </w:r>
            <w:proofErr w:type="spellStart"/>
            <w:r w:rsidR="00E4118C" w:rsidRPr="00265AB7">
              <w:rPr>
                <w:rFonts w:asciiTheme="majorHAnsi" w:hAnsiTheme="majorHAnsi"/>
                <w:b/>
                <w:bCs/>
                <w:color w:val="FFFFFF" w:themeColor="background1"/>
                <w:sz w:val="18"/>
                <w:szCs w:val="18"/>
              </w:rPr>
              <w:t>invocados</w:t>
            </w:r>
            <w:proofErr w:type="spellEnd"/>
            <w:r w:rsidRPr="00265AB7">
              <w:rPr>
                <w:rFonts w:asciiTheme="majorHAnsi" w:hAnsiTheme="majorHAnsi"/>
                <w:b/>
                <w:bCs/>
                <w:color w:val="FFFFFF" w:themeColor="background1"/>
                <w:sz w:val="18"/>
                <w:szCs w:val="18"/>
              </w:rPr>
              <w:t>:</w:t>
            </w:r>
          </w:p>
        </w:tc>
        <w:tc>
          <w:tcPr>
            <w:tcW w:w="5760" w:type="dxa"/>
            <w:vAlign w:val="center"/>
          </w:tcPr>
          <w:p w:rsidR="00223A29" w:rsidRPr="00265AB7" w:rsidRDefault="00730A6A" w:rsidP="00E37609">
            <w:pPr>
              <w:jc w:val="both"/>
              <w:rPr>
                <w:rFonts w:asciiTheme="majorHAnsi" w:hAnsiTheme="majorHAnsi"/>
                <w:bCs/>
                <w:sz w:val="18"/>
                <w:szCs w:val="18"/>
                <w:lang w:val="es-ES"/>
              </w:rPr>
            </w:pPr>
            <w:r w:rsidRPr="00265AB7">
              <w:rPr>
                <w:rFonts w:asciiTheme="majorHAnsi" w:hAnsiTheme="majorHAnsi"/>
                <w:bCs/>
                <w:sz w:val="18"/>
                <w:szCs w:val="18"/>
                <w:lang w:val="es-MX"/>
              </w:rPr>
              <w:t xml:space="preserve">Artículos </w:t>
            </w:r>
            <w:r w:rsidR="005F5781" w:rsidRPr="00265AB7">
              <w:rPr>
                <w:rFonts w:asciiTheme="majorHAnsi" w:hAnsiTheme="majorHAnsi"/>
                <w:bCs/>
                <w:sz w:val="18"/>
                <w:szCs w:val="18"/>
                <w:lang w:val="es-ES"/>
              </w:rPr>
              <w:t xml:space="preserve">4 (vida), 5 (integridad personal), </w:t>
            </w:r>
            <w:r w:rsidR="00462A25" w:rsidRPr="00265AB7">
              <w:rPr>
                <w:rFonts w:asciiTheme="majorHAnsi" w:hAnsiTheme="majorHAnsi"/>
                <w:bCs/>
                <w:sz w:val="18"/>
                <w:szCs w:val="18"/>
                <w:lang w:val="es-ES"/>
              </w:rPr>
              <w:t xml:space="preserve">7 (libertad personal), </w:t>
            </w:r>
            <w:r w:rsidR="005F5781" w:rsidRPr="00265AB7">
              <w:rPr>
                <w:rFonts w:asciiTheme="majorHAnsi" w:hAnsiTheme="majorHAnsi"/>
                <w:bCs/>
                <w:sz w:val="18"/>
                <w:szCs w:val="18"/>
                <w:lang w:val="es-ES"/>
              </w:rPr>
              <w:t xml:space="preserve">8 (garantías judiciales), </w:t>
            </w:r>
            <w:r w:rsidR="00462A25" w:rsidRPr="00265AB7">
              <w:rPr>
                <w:rFonts w:asciiTheme="majorHAnsi" w:hAnsiTheme="majorHAnsi"/>
                <w:bCs/>
                <w:sz w:val="18"/>
                <w:szCs w:val="18"/>
                <w:lang w:val="es-ES"/>
              </w:rPr>
              <w:t xml:space="preserve">9 (principio de legalidad y retroactividad), </w:t>
            </w:r>
            <w:r w:rsidR="005F5781" w:rsidRPr="00265AB7">
              <w:rPr>
                <w:rFonts w:asciiTheme="majorHAnsi" w:hAnsiTheme="majorHAnsi"/>
                <w:bCs/>
                <w:sz w:val="18"/>
                <w:szCs w:val="18"/>
                <w:lang w:val="es-ES"/>
              </w:rPr>
              <w:t xml:space="preserve">25 (protección judicial) de la Convención Americana </w:t>
            </w:r>
            <w:r w:rsidR="00397074" w:rsidRPr="00265AB7">
              <w:rPr>
                <w:rFonts w:asciiTheme="majorHAnsi" w:hAnsiTheme="majorHAnsi"/>
                <w:bCs/>
                <w:sz w:val="18"/>
                <w:szCs w:val="18"/>
                <w:lang w:val="es-ES"/>
              </w:rPr>
              <w:t>sobre</w:t>
            </w:r>
            <w:r w:rsidR="005F5781" w:rsidRPr="00265AB7">
              <w:rPr>
                <w:rFonts w:asciiTheme="majorHAnsi" w:hAnsiTheme="majorHAnsi"/>
                <w:bCs/>
                <w:sz w:val="18"/>
                <w:szCs w:val="18"/>
                <w:lang w:val="es-ES"/>
              </w:rPr>
              <w:t xml:space="preserve"> Derechos Humanos</w:t>
            </w:r>
            <w:r w:rsidR="00397074" w:rsidRPr="00265AB7">
              <w:rPr>
                <w:rStyle w:val="FootnoteReference"/>
                <w:rFonts w:asciiTheme="majorHAnsi" w:hAnsiTheme="majorHAnsi"/>
                <w:bCs/>
                <w:sz w:val="18"/>
                <w:szCs w:val="18"/>
                <w:lang w:val="es-ES"/>
              </w:rPr>
              <w:footnoteReference w:id="4"/>
            </w:r>
            <w:r w:rsidR="00462A25" w:rsidRPr="00265AB7">
              <w:rPr>
                <w:rFonts w:asciiTheme="majorHAnsi" w:hAnsiTheme="majorHAnsi"/>
                <w:bCs/>
                <w:sz w:val="18"/>
                <w:szCs w:val="18"/>
                <w:lang w:val="es-ES"/>
              </w:rPr>
              <w:t>,</w:t>
            </w:r>
            <w:r w:rsidR="00C325FA" w:rsidRPr="00265AB7">
              <w:rPr>
                <w:rFonts w:asciiTheme="majorHAnsi" w:hAnsiTheme="majorHAnsi"/>
                <w:bCs/>
                <w:sz w:val="18"/>
                <w:szCs w:val="18"/>
                <w:lang w:val="es-ES"/>
              </w:rPr>
              <w:t xml:space="preserve"> y </w:t>
            </w:r>
            <w:r w:rsidR="00440A46" w:rsidRPr="00265AB7">
              <w:rPr>
                <w:rFonts w:asciiTheme="majorHAnsi" w:hAnsiTheme="majorHAnsi"/>
                <w:bCs/>
                <w:sz w:val="18"/>
                <w:szCs w:val="18"/>
                <w:lang w:val="es-ES"/>
              </w:rPr>
              <w:t xml:space="preserve">los artículos </w:t>
            </w:r>
            <w:r w:rsidR="00E37609" w:rsidRPr="00265AB7">
              <w:rPr>
                <w:rFonts w:asciiTheme="majorHAnsi" w:hAnsiTheme="majorHAnsi"/>
                <w:bCs/>
                <w:sz w:val="18"/>
                <w:szCs w:val="18"/>
                <w:lang w:val="es-ES"/>
              </w:rPr>
              <w:t>I</w:t>
            </w:r>
            <w:r w:rsidR="00EA7BC3" w:rsidRPr="00265AB7">
              <w:rPr>
                <w:rFonts w:asciiTheme="majorHAnsi" w:hAnsiTheme="majorHAnsi"/>
                <w:bCs/>
                <w:sz w:val="18"/>
                <w:szCs w:val="18"/>
                <w:lang w:val="es-ES"/>
              </w:rPr>
              <w:t xml:space="preserve"> (vida, libertad, seguridad e integridad de la persona)</w:t>
            </w:r>
            <w:r w:rsidR="00440A46" w:rsidRPr="00265AB7">
              <w:rPr>
                <w:rFonts w:asciiTheme="majorHAnsi" w:hAnsiTheme="majorHAnsi"/>
                <w:bCs/>
                <w:sz w:val="18"/>
                <w:szCs w:val="18"/>
                <w:lang w:val="es-ES"/>
              </w:rPr>
              <w:t xml:space="preserve">, </w:t>
            </w:r>
            <w:r w:rsidR="00E37609" w:rsidRPr="00265AB7">
              <w:rPr>
                <w:rFonts w:asciiTheme="majorHAnsi" w:hAnsiTheme="majorHAnsi"/>
                <w:bCs/>
                <w:sz w:val="18"/>
                <w:szCs w:val="18"/>
                <w:lang w:val="es-ES"/>
              </w:rPr>
              <w:t>XVIII</w:t>
            </w:r>
            <w:r w:rsidR="00EA7BC3" w:rsidRPr="00265AB7">
              <w:rPr>
                <w:rFonts w:asciiTheme="majorHAnsi" w:hAnsiTheme="majorHAnsi"/>
                <w:bCs/>
                <w:sz w:val="18"/>
                <w:szCs w:val="18"/>
                <w:lang w:val="es-ES"/>
              </w:rPr>
              <w:t xml:space="preserve"> (justicia)</w:t>
            </w:r>
            <w:r w:rsidR="00440A46" w:rsidRPr="00265AB7">
              <w:rPr>
                <w:rFonts w:asciiTheme="majorHAnsi" w:hAnsiTheme="majorHAnsi"/>
                <w:bCs/>
                <w:sz w:val="18"/>
                <w:szCs w:val="18"/>
                <w:lang w:val="es-ES"/>
              </w:rPr>
              <w:t xml:space="preserve">, </w:t>
            </w:r>
            <w:r w:rsidR="00E37609" w:rsidRPr="00265AB7">
              <w:rPr>
                <w:rFonts w:asciiTheme="majorHAnsi" w:hAnsiTheme="majorHAnsi"/>
                <w:bCs/>
                <w:sz w:val="18"/>
                <w:szCs w:val="18"/>
                <w:lang w:val="es-ES"/>
              </w:rPr>
              <w:t>XXV</w:t>
            </w:r>
            <w:r w:rsidR="00EA7BC3" w:rsidRPr="00265AB7">
              <w:rPr>
                <w:rFonts w:asciiTheme="majorHAnsi" w:hAnsiTheme="majorHAnsi"/>
                <w:bCs/>
                <w:sz w:val="18"/>
                <w:szCs w:val="18"/>
                <w:lang w:val="es-ES"/>
              </w:rPr>
              <w:t xml:space="preserve"> (detención arbitraria)</w:t>
            </w:r>
            <w:r w:rsidR="00440A46" w:rsidRPr="00265AB7">
              <w:rPr>
                <w:rFonts w:asciiTheme="majorHAnsi" w:hAnsiTheme="majorHAnsi"/>
                <w:bCs/>
                <w:sz w:val="18"/>
                <w:szCs w:val="18"/>
                <w:lang w:val="es-ES"/>
              </w:rPr>
              <w:t xml:space="preserve"> y </w:t>
            </w:r>
            <w:r w:rsidR="00E37609" w:rsidRPr="00265AB7">
              <w:rPr>
                <w:rFonts w:asciiTheme="majorHAnsi" w:hAnsiTheme="majorHAnsi"/>
                <w:bCs/>
                <w:sz w:val="18"/>
                <w:szCs w:val="18"/>
                <w:lang w:val="es-ES"/>
              </w:rPr>
              <w:t>XXVI</w:t>
            </w:r>
            <w:r w:rsidR="00EA7BC3" w:rsidRPr="00265AB7">
              <w:rPr>
                <w:rFonts w:asciiTheme="majorHAnsi" w:hAnsiTheme="majorHAnsi"/>
                <w:bCs/>
                <w:sz w:val="18"/>
                <w:szCs w:val="18"/>
                <w:lang w:val="es-ES"/>
              </w:rPr>
              <w:t xml:space="preserve"> (proceso regular)</w:t>
            </w:r>
            <w:r w:rsidR="00E37609" w:rsidRPr="00265AB7">
              <w:rPr>
                <w:rFonts w:asciiTheme="majorHAnsi" w:hAnsiTheme="majorHAnsi"/>
                <w:bCs/>
                <w:sz w:val="18"/>
                <w:szCs w:val="18"/>
                <w:lang w:val="es-ES"/>
              </w:rPr>
              <w:t xml:space="preserve"> </w:t>
            </w:r>
            <w:r w:rsidR="00440A46" w:rsidRPr="00265AB7">
              <w:rPr>
                <w:rFonts w:asciiTheme="majorHAnsi" w:hAnsiTheme="majorHAnsi"/>
                <w:bCs/>
                <w:sz w:val="18"/>
                <w:szCs w:val="18"/>
                <w:lang w:val="es-ES"/>
              </w:rPr>
              <w:t>de la Declaración Americana de los Derechos y Deberes del Hombre</w:t>
            </w:r>
            <w:r w:rsidR="005E6A78" w:rsidRPr="00265AB7">
              <w:rPr>
                <w:rStyle w:val="FootnoteReference"/>
                <w:rFonts w:asciiTheme="majorHAnsi" w:hAnsiTheme="majorHAnsi"/>
                <w:bCs/>
                <w:sz w:val="18"/>
                <w:szCs w:val="18"/>
                <w:lang w:val="es-ES"/>
              </w:rPr>
              <w:footnoteReference w:id="5"/>
            </w:r>
          </w:p>
        </w:tc>
      </w:tr>
    </w:tbl>
    <w:p w:rsidR="003239B8" w:rsidRPr="00265AB7" w:rsidRDefault="003239B8" w:rsidP="003239B8">
      <w:pPr>
        <w:spacing w:before="240" w:after="240"/>
        <w:ind w:firstLine="720"/>
        <w:jc w:val="both"/>
        <w:rPr>
          <w:rFonts w:asciiTheme="majorHAnsi" w:hAnsiTheme="majorHAnsi"/>
          <w:b/>
          <w:bCs/>
          <w:sz w:val="18"/>
          <w:szCs w:val="18"/>
          <w:lang w:val="es-ES"/>
        </w:rPr>
      </w:pPr>
      <w:r w:rsidRPr="00265AB7">
        <w:rPr>
          <w:rFonts w:asciiTheme="majorHAnsi" w:hAnsiTheme="majorHAnsi"/>
          <w:b/>
          <w:bCs/>
          <w:sz w:val="18"/>
          <w:szCs w:val="18"/>
          <w:lang w:val="es-ES"/>
        </w:rPr>
        <w:t>II.</w:t>
      </w:r>
      <w:r w:rsidRPr="00265AB7">
        <w:rPr>
          <w:rFonts w:asciiTheme="majorHAnsi" w:hAnsiTheme="majorHAnsi"/>
          <w:b/>
          <w:bCs/>
          <w:sz w:val="18"/>
          <w:szCs w:val="18"/>
          <w:lang w:val="es-ES"/>
        </w:rPr>
        <w:tab/>
        <w:t>TRÁMITE ANTE LA CIDH</w:t>
      </w:r>
      <w:r w:rsidR="008E3BFE" w:rsidRPr="00265AB7">
        <w:rPr>
          <w:rStyle w:val="FootnoteReference"/>
          <w:rFonts w:asciiTheme="majorHAnsi" w:hAnsiTheme="majorHAnsi"/>
          <w:b/>
          <w:sz w:val="18"/>
          <w:szCs w:val="18"/>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65AB7" w:rsidTr="004A6A54">
        <w:tc>
          <w:tcPr>
            <w:tcW w:w="3600" w:type="dxa"/>
            <w:tcBorders>
              <w:top w:val="single" w:sz="6" w:space="0" w:color="auto"/>
              <w:bottom w:val="single" w:sz="6" w:space="0" w:color="auto"/>
            </w:tcBorders>
            <w:shd w:val="clear" w:color="auto" w:fill="386294"/>
            <w:vAlign w:val="center"/>
          </w:tcPr>
          <w:p w:rsidR="004C2312" w:rsidRPr="00265AB7" w:rsidRDefault="004A6A54" w:rsidP="004A6A54">
            <w:pPr>
              <w:jc w:val="center"/>
              <w:rPr>
                <w:rFonts w:asciiTheme="majorHAnsi" w:hAnsiTheme="majorHAnsi"/>
                <w:b/>
                <w:bCs/>
                <w:color w:val="FFFFFF" w:themeColor="background1"/>
                <w:sz w:val="18"/>
                <w:szCs w:val="18"/>
                <w:lang w:val="es-ES"/>
              </w:rPr>
            </w:pPr>
            <w:r w:rsidRPr="00265AB7">
              <w:rPr>
                <w:rFonts w:asciiTheme="majorHAnsi" w:hAnsiTheme="majorHAnsi"/>
                <w:b/>
                <w:bCs/>
                <w:color w:val="FFFFFF" w:themeColor="background1"/>
                <w:sz w:val="18"/>
                <w:szCs w:val="18"/>
                <w:lang w:val="es-ES"/>
              </w:rPr>
              <w:t>P</w:t>
            </w:r>
            <w:r w:rsidR="004C2312" w:rsidRPr="00265AB7">
              <w:rPr>
                <w:rFonts w:asciiTheme="majorHAnsi" w:hAnsiTheme="majorHAnsi"/>
                <w:b/>
                <w:bCs/>
                <w:color w:val="FFFFFF" w:themeColor="background1"/>
                <w:sz w:val="18"/>
                <w:szCs w:val="18"/>
                <w:lang w:val="es-ES"/>
              </w:rPr>
              <w:t>resentación de la petición:</w:t>
            </w:r>
          </w:p>
        </w:tc>
        <w:tc>
          <w:tcPr>
            <w:tcW w:w="5760" w:type="dxa"/>
            <w:vAlign w:val="center"/>
          </w:tcPr>
          <w:p w:rsidR="004C2312" w:rsidRPr="00265AB7" w:rsidRDefault="00462A25" w:rsidP="002625EA">
            <w:pPr>
              <w:jc w:val="both"/>
              <w:rPr>
                <w:rFonts w:asciiTheme="majorHAnsi" w:hAnsiTheme="majorHAnsi"/>
                <w:bCs/>
                <w:sz w:val="18"/>
                <w:szCs w:val="18"/>
                <w:lang w:val="es-ES"/>
              </w:rPr>
            </w:pPr>
            <w:r w:rsidRPr="00265AB7">
              <w:rPr>
                <w:rFonts w:asciiTheme="majorHAnsi" w:hAnsiTheme="majorHAnsi"/>
                <w:bCs/>
                <w:sz w:val="18"/>
                <w:szCs w:val="18"/>
                <w:lang w:val="es-ES"/>
              </w:rPr>
              <w:t>9 de noviembre de 2009</w:t>
            </w:r>
          </w:p>
        </w:tc>
      </w:tr>
      <w:tr w:rsidR="001E49E7" w:rsidRPr="00265AB7" w:rsidTr="004A6A54">
        <w:tc>
          <w:tcPr>
            <w:tcW w:w="3600" w:type="dxa"/>
            <w:tcBorders>
              <w:top w:val="single" w:sz="6" w:space="0" w:color="auto"/>
              <w:bottom w:val="single" w:sz="6" w:space="0" w:color="auto"/>
            </w:tcBorders>
            <w:shd w:val="clear" w:color="auto" w:fill="386294"/>
            <w:vAlign w:val="center"/>
          </w:tcPr>
          <w:p w:rsidR="001E49E7" w:rsidRPr="00265AB7" w:rsidRDefault="001E49E7" w:rsidP="001E49E7">
            <w:pPr>
              <w:jc w:val="center"/>
              <w:rPr>
                <w:rFonts w:asciiTheme="majorHAnsi" w:hAnsiTheme="majorHAnsi"/>
                <w:b/>
                <w:bCs/>
                <w:color w:val="FFFFFF" w:themeColor="background1"/>
                <w:sz w:val="18"/>
                <w:szCs w:val="18"/>
                <w:lang w:val="es-ES"/>
              </w:rPr>
            </w:pPr>
            <w:r w:rsidRPr="00265AB7">
              <w:rPr>
                <w:rFonts w:asciiTheme="majorHAnsi" w:hAnsiTheme="majorHAnsi"/>
                <w:b/>
                <w:bCs/>
                <w:color w:val="FFFFFF" w:themeColor="background1"/>
                <w:sz w:val="18"/>
                <w:szCs w:val="18"/>
                <w:lang w:val="es-ES"/>
              </w:rPr>
              <w:t>Información adicional recibida durante la etapa de estudio:</w:t>
            </w:r>
          </w:p>
        </w:tc>
        <w:tc>
          <w:tcPr>
            <w:tcW w:w="5760" w:type="dxa"/>
            <w:vAlign w:val="center"/>
          </w:tcPr>
          <w:p w:rsidR="001E49E7" w:rsidRPr="00265AB7" w:rsidRDefault="00462A25" w:rsidP="00730A6A">
            <w:pPr>
              <w:rPr>
                <w:rFonts w:asciiTheme="majorHAnsi" w:hAnsiTheme="majorHAnsi"/>
                <w:b/>
                <w:bCs/>
                <w:color w:val="FFFFFF" w:themeColor="background1"/>
                <w:sz w:val="18"/>
                <w:szCs w:val="18"/>
                <w:lang w:val="es-AR"/>
              </w:rPr>
            </w:pPr>
            <w:r w:rsidRPr="00265AB7">
              <w:rPr>
                <w:rFonts w:asciiTheme="majorHAnsi" w:hAnsiTheme="majorHAnsi"/>
                <w:bCs/>
                <w:sz w:val="18"/>
                <w:szCs w:val="18"/>
                <w:lang w:val="es-MX"/>
              </w:rPr>
              <w:t>18 de septiembre de 2012</w:t>
            </w:r>
          </w:p>
        </w:tc>
      </w:tr>
      <w:tr w:rsidR="004C2312" w:rsidRPr="00265AB7" w:rsidTr="004A6A54">
        <w:tc>
          <w:tcPr>
            <w:tcW w:w="3600" w:type="dxa"/>
            <w:tcBorders>
              <w:top w:val="single" w:sz="6" w:space="0" w:color="auto"/>
              <w:bottom w:val="single" w:sz="6" w:space="0" w:color="auto"/>
            </w:tcBorders>
            <w:shd w:val="clear" w:color="auto" w:fill="386294"/>
            <w:vAlign w:val="center"/>
          </w:tcPr>
          <w:p w:rsidR="004C2312" w:rsidRPr="00265AB7" w:rsidRDefault="004A6A54" w:rsidP="004A6A54">
            <w:pPr>
              <w:jc w:val="center"/>
              <w:rPr>
                <w:rFonts w:asciiTheme="majorHAnsi" w:hAnsiTheme="majorHAnsi"/>
                <w:b/>
                <w:bCs/>
                <w:color w:val="FFFFFF" w:themeColor="background1"/>
                <w:sz w:val="18"/>
                <w:szCs w:val="18"/>
                <w:lang w:val="es-ES"/>
              </w:rPr>
            </w:pPr>
            <w:r w:rsidRPr="00265AB7">
              <w:rPr>
                <w:rFonts w:asciiTheme="majorHAnsi" w:hAnsiTheme="majorHAnsi"/>
                <w:b/>
                <w:color w:val="FFFFFF" w:themeColor="background1"/>
                <w:sz w:val="18"/>
                <w:szCs w:val="18"/>
                <w:lang w:val="es-ES"/>
              </w:rPr>
              <w:t>N</w:t>
            </w:r>
            <w:r w:rsidR="004C2312" w:rsidRPr="00265AB7">
              <w:rPr>
                <w:rFonts w:asciiTheme="majorHAnsi" w:hAnsiTheme="majorHAnsi"/>
                <w:b/>
                <w:color w:val="FFFFFF" w:themeColor="background1"/>
                <w:sz w:val="18"/>
                <w:szCs w:val="18"/>
                <w:lang w:val="es-ES"/>
              </w:rPr>
              <w:t>otificación de la petición al Estado:</w:t>
            </w:r>
          </w:p>
        </w:tc>
        <w:tc>
          <w:tcPr>
            <w:tcW w:w="5760" w:type="dxa"/>
            <w:vAlign w:val="center"/>
          </w:tcPr>
          <w:p w:rsidR="004C2312" w:rsidRPr="00265AB7" w:rsidRDefault="005472FD" w:rsidP="00C325FA">
            <w:pPr>
              <w:jc w:val="both"/>
              <w:rPr>
                <w:rFonts w:asciiTheme="majorHAnsi" w:hAnsiTheme="majorHAnsi"/>
                <w:bCs/>
                <w:sz w:val="18"/>
                <w:szCs w:val="18"/>
                <w:lang w:val="es-ES"/>
              </w:rPr>
            </w:pPr>
            <w:r w:rsidRPr="00265AB7">
              <w:rPr>
                <w:rFonts w:asciiTheme="majorHAnsi" w:hAnsiTheme="majorHAnsi"/>
                <w:bCs/>
                <w:sz w:val="18"/>
                <w:szCs w:val="18"/>
                <w:lang w:val="es-ES"/>
              </w:rPr>
              <w:t>21 de abril de 2014</w:t>
            </w:r>
          </w:p>
        </w:tc>
      </w:tr>
      <w:tr w:rsidR="004C2312" w:rsidRPr="00265AB7" w:rsidTr="004A6A54">
        <w:tc>
          <w:tcPr>
            <w:tcW w:w="3600" w:type="dxa"/>
            <w:tcBorders>
              <w:top w:val="single" w:sz="6" w:space="0" w:color="auto"/>
              <w:bottom w:val="single" w:sz="6" w:space="0" w:color="auto"/>
            </w:tcBorders>
            <w:shd w:val="clear" w:color="auto" w:fill="386294"/>
            <w:vAlign w:val="center"/>
          </w:tcPr>
          <w:p w:rsidR="004C2312" w:rsidRPr="00265AB7" w:rsidRDefault="004A6A54" w:rsidP="004A6A54">
            <w:pPr>
              <w:jc w:val="center"/>
              <w:rPr>
                <w:rFonts w:asciiTheme="majorHAnsi" w:hAnsiTheme="majorHAnsi"/>
                <w:b/>
                <w:bCs/>
                <w:color w:val="FFFFFF" w:themeColor="background1"/>
                <w:sz w:val="18"/>
                <w:szCs w:val="18"/>
                <w:lang w:val="es-ES"/>
              </w:rPr>
            </w:pPr>
            <w:r w:rsidRPr="00265AB7">
              <w:rPr>
                <w:rFonts w:asciiTheme="majorHAnsi" w:hAnsiTheme="majorHAnsi"/>
                <w:b/>
                <w:color w:val="FFFFFF" w:themeColor="background1"/>
                <w:sz w:val="18"/>
                <w:szCs w:val="18"/>
                <w:lang w:val="es-ES"/>
              </w:rPr>
              <w:t>P</w:t>
            </w:r>
            <w:r w:rsidR="004C2312" w:rsidRPr="00265AB7">
              <w:rPr>
                <w:rFonts w:asciiTheme="majorHAnsi" w:hAnsiTheme="majorHAnsi"/>
                <w:b/>
                <w:color w:val="FFFFFF" w:themeColor="background1"/>
                <w:sz w:val="18"/>
                <w:szCs w:val="18"/>
                <w:lang w:val="es-ES"/>
              </w:rPr>
              <w:t>rimera respuesta del Estado:</w:t>
            </w:r>
          </w:p>
        </w:tc>
        <w:tc>
          <w:tcPr>
            <w:tcW w:w="5760" w:type="dxa"/>
            <w:vAlign w:val="center"/>
          </w:tcPr>
          <w:p w:rsidR="004C2312" w:rsidRPr="00265AB7" w:rsidRDefault="005472FD" w:rsidP="008D2290">
            <w:pPr>
              <w:jc w:val="both"/>
              <w:rPr>
                <w:rFonts w:asciiTheme="majorHAnsi" w:hAnsiTheme="majorHAnsi"/>
                <w:bCs/>
                <w:sz w:val="18"/>
                <w:szCs w:val="18"/>
                <w:lang w:val="es-ES"/>
              </w:rPr>
            </w:pPr>
            <w:r w:rsidRPr="00265AB7">
              <w:rPr>
                <w:rFonts w:asciiTheme="majorHAnsi" w:hAnsiTheme="majorHAnsi"/>
                <w:bCs/>
                <w:sz w:val="18"/>
                <w:szCs w:val="18"/>
                <w:lang w:val="es-ES"/>
              </w:rPr>
              <w:t>12 de agosto de 2014</w:t>
            </w:r>
          </w:p>
        </w:tc>
      </w:tr>
      <w:tr w:rsidR="004C2312" w:rsidRPr="00265AB7" w:rsidTr="004A6A54">
        <w:tc>
          <w:tcPr>
            <w:tcW w:w="3600" w:type="dxa"/>
            <w:tcBorders>
              <w:top w:val="single" w:sz="6" w:space="0" w:color="auto"/>
              <w:bottom w:val="single" w:sz="6" w:space="0" w:color="auto"/>
            </w:tcBorders>
            <w:shd w:val="clear" w:color="auto" w:fill="386294"/>
            <w:vAlign w:val="center"/>
          </w:tcPr>
          <w:p w:rsidR="004C2312" w:rsidRPr="00265AB7" w:rsidRDefault="008E3BFE" w:rsidP="008E3BFE">
            <w:pPr>
              <w:jc w:val="center"/>
              <w:rPr>
                <w:rFonts w:asciiTheme="majorHAnsi" w:hAnsiTheme="majorHAnsi"/>
                <w:b/>
                <w:bCs/>
                <w:color w:val="FFFFFF" w:themeColor="background1"/>
                <w:sz w:val="18"/>
                <w:szCs w:val="18"/>
                <w:lang w:val="es-ES"/>
              </w:rPr>
            </w:pPr>
            <w:r w:rsidRPr="00265AB7">
              <w:rPr>
                <w:rFonts w:asciiTheme="majorHAnsi" w:hAnsiTheme="majorHAnsi"/>
                <w:b/>
                <w:bCs/>
                <w:color w:val="FFFFFF" w:themeColor="background1"/>
                <w:sz w:val="18"/>
                <w:szCs w:val="18"/>
                <w:lang w:val="es-ES"/>
              </w:rPr>
              <w:t>Observaciones adicionales de la parte peticionaria:</w:t>
            </w:r>
          </w:p>
        </w:tc>
        <w:tc>
          <w:tcPr>
            <w:tcW w:w="5760" w:type="dxa"/>
            <w:vAlign w:val="center"/>
          </w:tcPr>
          <w:p w:rsidR="004C2312" w:rsidRPr="00265AB7" w:rsidRDefault="005472FD" w:rsidP="005472FD">
            <w:pPr>
              <w:jc w:val="both"/>
              <w:rPr>
                <w:rFonts w:asciiTheme="majorHAnsi" w:hAnsiTheme="majorHAnsi"/>
                <w:bCs/>
                <w:sz w:val="18"/>
                <w:szCs w:val="18"/>
                <w:lang w:val="es-ES"/>
              </w:rPr>
            </w:pPr>
            <w:r w:rsidRPr="00265AB7">
              <w:rPr>
                <w:rFonts w:asciiTheme="majorHAnsi" w:hAnsiTheme="majorHAnsi"/>
                <w:bCs/>
                <w:sz w:val="18"/>
                <w:szCs w:val="18"/>
                <w:lang w:val="es-MX"/>
              </w:rPr>
              <w:t>22 de septiembre de 2014</w:t>
            </w:r>
          </w:p>
        </w:tc>
      </w:tr>
      <w:tr w:rsidR="004C2312" w:rsidRPr="00265AB7" w:rsidTr="004A6A54">
        <w:tc>
          <w:tcPr>
            <w:tcW w:w="3600" w:type="dxa"/>
            <w:tcBorders>
              <w:top w:val="single" w:sz="6" w:space="0" w:color="auto"/>
              <w:bottom w:val="single" w:sz="6" w:space="0" w:color="auto"/>
            </w:tcBorders>
            <w:shd w:val="clear" w:color="auto" w:fill="386294"/>
            <w:vAlign w:val="center"/>
          </w:tcPr>
          <w:p w:rsidR="004C2312" w:rsidRPr="00265AB7" w:rsidRDefault="004C2312" w:rsidP="008E3BFE">
            <w:pPr>
              <w:jc w:val="center"/>
              <w:rPr>
                <w:rFonts w:asciiTheme="majorHAnsi" w:hAnsiTheme="majorHAnsi"/>
                <w:b/>
                <w:bCs/>
                <w:color w:val="FFFFFF" w:themeColor="background1"/>
                <w:sz w:val="18"/>
                <w:szCs w:val="18"/>
              </w:rPr>
            </w:pPr>
            <w:proofErr w:type="spellStart"/>
            <w:r w:rsidRPr="00265AB7">
              <w:rPr>
                <w:rFonts w:asciiTheme="majorHAnsi" w:hAnsiTheme="majorHAnsi"/>
                <w:b/>
                <w:bCs/>
                <w:color w:val="FFFFFF" w:themeColor="background1"/>
                <w:sz w:val="18"/>
                <w:szCs w:val="18"/>
              </w:rPr>
              <w:t>Observaciones</w:t>
            </w:r>
            <w:proofErr w:type="spellEnd"/>
            <w:r w:rsidRPr="00265AB7">
              <w:rPr>
                <w:rFonts w:asciiTheme="majorHAnsi" w:hAnsiTheme="majorHAnsi"/>
                <w:b/>
                <w:bCs/>
                <w:color w:val="FFFFFF" w:themeColor="background1"/>
                <w:sz w:val="18"/>
                <w:szCs w:val="18"/>
              </w:rPr>
              <w:t xml:space="preserve"> </w:t>
            </w:r>
            <w:proofErr w:type="spellStart"/>
            <w:r w:rsidRPr="00265AB7">
              <w:rPr>
                <w:rFonts w:asciiTheme="majorHAnsi" w:hAnsiTheme="majorHAnsi"/>
                <w:b/>
                <w:bCs/>
                <w:color w:val="FFFFFF" w:themeColor="background1"/>
                <w:sz w:val="18"/>
                <w:szCs w:val="18"/>
              </w:rPr>
              <w:t>adicionales</w:t>
            </w:r>
            <w:proofErr w:type="spellEnd"/>
            <w:r w:rsidRPr="00265AB7">
              <w:rPr>
                <w:rFonts w:asciiTheme="majorHAnsi" w:hAnsiTheme="majorHAnsi"/>
                <w:b/>
                <w:bCs/>
                <w:color w:val="FFFFFF" w:themeColor="background1"/>
                <w:sz w:val="18"/>
                <w:szCs w:val="18"/>
              </w:rPr>
              <w:t xml:space="preserve"> del Estado:</w:t>
            </w:r>
          </w:p>
        </w:tc>
        <w:tc>
          <w:tcPr>
            <w:tcW w:w="5760" w:type="dxa"/>
            <w:vAlign w:val="center"/>
          </w:tcPr>
          <w:p w:rsidR="004C2312" w:rsidRPr="00265AB7" w:rsidRDefault="005472FD" w:rsidP="008D2290">
            <w:pPr>
              <w:jc w:val="both"/>
              <w:rPr>
                <w:rFonts w:asciiTheme="majorHAnsi" w:hAnsiTheme="majorHAnsi"/>
                <w:bCs/>
                <w:sz w:val="18"/>
                <w:szCs w:val="18"/>
              </w:rPr>
            </w:pPr>
            <w:r w:rsidRPr="00265AB7">
              <w:rPr>
                <w:rFonts w:asciiTheme="majorHAnsi" w:hAnsiTheme="majorHAnsi"/>
                <w:bCs/>
                <w:sz w:val="18"/>
                <w:szCs w:val="18"/>
              </w:rPr>
              <w:t xml:space="preserve">26 de </w:t>
            </w:r>
            <w:proofErr w:type="spellStart"/>
            <w:r w:rsidRPr="00265AB7">
              <w:rPr>
                <w:rFonts w:asciiTheme="majorHAnsi" w:hAnsiTheme="majorHAnsi"/>
                <w:bCs/>
                <w:sz w:val="18"/>
                <w:szCs w:val="18"/>
              </w:rPr>
              <w:t>noviembre</w:t>
            </w:r>
            <w:proofErr w:type="spellEnd"/>
            <w:r w:rsidRPr="00265AB7">
              <w:rPr>
                <w:rFonts w:asciiTheme="majorHAnsi" w:hAnsiTheme="majorHAnsi"/>
                <w:bCs/>
                <w:sz w:val="18"/>
                <w:szCs w:val="18"/>
              </w:rPr>
              <w:t xml:space="preserve"> de 2014</w:t>
            </w:r>
          </w:p>
        </w:tc>
      </w:tr>
    </w:tbl>
    <w:p w:rsidR="003239B8" w:rsidRPr="00265AB7" w:rsidRDefault="003239B8" w:rsidP="003239B8">
      <w:pPr>
        <w:spacing w:before="240" w:after="240"/>
        <w:ind w:firstLine="720"/>
        <w:jc w:val="both"/>
        <w:rPr>
          <w:rFonts w:asciiTheme="majorHAnsi" w:hAnsiTheme="majorHAnsi"/>
          <w:b/>
          <w:bCs/>
          <w:sz w:val="18"/>
          <w:szCs w:val="18"/>
          <w:lang w:val="es-ES"/>
        </w:rPr>
      </w:pPr>
      <w:r w:rsidRPr="00265AB7">
        <w:rPr>
          <w:rFonts w:asciiTheme="majorHAnsi" w:hAnsiTheme="majorHAnsi"/>
          <w:b/>
          <w:bCs/>
          <w:sz w:val="18"/>
          <w:szCs w:val="18"/>
          <w:lang w:val="es-ES"/>
        </w:rPr>
        <w:t xml:space="preserve">III. </w:t>
      </w:r>
      <w:r w:rsidRPr="00265AB7">
        <w:rPr>
          <w:rFonts w:asciiTheme="majorHAnsi" w:hAnsiTheme="majorHAnsi"/>
          <w:b/>
          <w:bCs/>
          <w:sz w:val="18"/>
          <w:szCs w:val="18"/>
          <w:lang w:val="es-ES"/>
        </w:rPr>
        <w:tab/>
        <w:t>COMPETENCIA</w:t>
      </w:r>
      <w:r w:rsidR="00EE00E9" w:rsidRPr="00265AB7">
        <w:rPr>
          <w:rFonts w:asciiTheme="majorHAnsi" w:hAnsiTheme="majorHAnsi"/>
          <w:b/>
          <w:bCs/>
          <w:sz w:val="18"/>
          <w:szCs w:val="18"/>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65AB7" w:rsidTr="004A6A54">
        <w:trPr>
          <w:cantSplit/>
        </w:trPr>
        <w:tc>
          <w:tcPr>
            <w:tcW w:w="3600" w:type="dxa"/>
            <w:tcBorders>
              <w:top w:val="single" w:sz="4"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i/>
                <w:color w:val="FFFFFF" w:themeColor="background1"/>
                <w:sz w:val="18"/>
                <w:szCs w:val="18"/>
              </w:rPr>
            </w:pPr>
            <w:proofErr w:type="spellStart"/>
            <w:r w:rsidRPr="00265AB7">
              <w:rPr>
                <w:rFonts w:asciiTheme="majorHAnsi" w:hAnsiTheme="majorHAnsi"/>
                <w:b/>
                <w:bCs/>
                <w:color w:val="FFFFFF" w:themeColor="background1"/>
                <w:sz w:val="18"/>
                <w:szCs w:val="18"/>
              </w:rPr>
              <w:t>Competencia</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Ratione</w:t>
            </w:r>
            <w:proofErr w:type="spellEnd"/>
            <w:r w:rsidRPr="00265AB7">
              <w:rPr>
                <w:rFonts w:asciiTheme="majorHAnsi" w:hAnsiTheme="majorHAnsi"/>
                <w:b/>
                <w:bCs/>
                <w:i/>
                <w:color w:val="FFFFFF" w:themeColor="background1"/>
                <w:sz w:val="18"/>
                <w:szCs w:val="18"/>
              </w:rPr>
              <w:t xml:space="preserve"> personae:</w:t>
            </w:r>
          </w:p>
        </w:tc>
        <w:tc>
          <w:tcPr>
            <w:tcW w:w="5760" w:type="dxa"/>
            <w:vAlign w:val="center"/>
          </w:tcPr>
          <w:p w:rsidR="003239B8" w:rsidRPr="00265AB7" w:rsidRDefault="00730A6A" w:rsidP="008D2290">
            <w:pPr>
              <w:rPr>
                <w:rFonts w:asciiTheme="majorHAnsi" w:hAnsiTheme="majorHAnsi"/>
                <w:bCs/>
                <w:sz w:val="18"/>
                <w:szCs w:val="18"/>
              </w:rPr>
            </w:pPr>
            <w:proofErr w:type="spellStart"/>
            <w:r w:rsidRPr="00265AB7">
              <w:rPr>
                <w:rFonts w:asciiTheme="majorHAnsi" w:hAnsiTheme="majorHAnsi"/>
                <w:bCs/>
                <w:sz w:val="18"/>
                <w:szCs w:val="18"/>
              </w:rPr>
              <w:t>Sí</w:t>
            </w:r>
            <w:proofErr w:type="spellEnd"/>
          </w:p>
        </w:tc>
      </w:tr>
      <w:tr w:rsidR="003239B8" w:rsidRPr="00265AB7" w:rsidTr="004A6A54">
        <w:trPr>
          <w:cantSplit/>
        </w:trPr>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proofErr w:type="spellStart"/>
            <w:r w:rsidRPr="00265AB7">
              <w:rPr>
                <w:rFonts w:asciiTheme="majorHAnsi" w:hAnsiTheme="majorHAnsi"/>
                <w:b/>
                <w:bCs/>
                <w:color w:val="FFFFFF" w:themeColor="background1"/>
                <w:sz w:val="18"/>
                <w:szCs w:val="18"/>
              </w:rPr>
              <w:t>Competencia</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Ratione</w:t>
            </w:r>
            <w:proofErr w:type="spellEnd"/>
            <w:r w:rsidRPr="00265AB7">
              <w:rPr>
                <w:rFonts w:asciiTheme="majorHAnsi" w:hAnsiTheme="majorHAnsi"/>
                <w:b/>
                <w:bCs/>
                <w:i/>
                <w:color w:val="FFFFFF" w:themeColor="background1"/>
                <w:sz w:val="18"/>
                <w:szCs w:val="18"/>
              </w:rPr>
              <w:t xml:space="preserve"> loci</w:t>
            </w:r>
            <w:r w:rsidRPr="00265AB7">
              <w:rPr>
                <w:rFonts w:asciiTheme="majorHAnsi" w:hAnsiTheme="majorHAnsi"/>
                <w:b/>
                <w:bCs/>
                <w:color w:val="FFFFFF" w:themeColor="background1"/>
                <w:sz w:val="18"/>
                <w:szCs w:val="18"/>
              </w:rPr>
              <w:t>:</w:t>
            </w:r>
          </w:p>
        </w:tc>
        <w:tc>
          <w:tcPr>
            <w:tcW w:w="5760" w:type="dxa"/>
            <w:vAlign w:val="center"/>
          </w:tcPr>
          <w:p w:rsidR="003239B8" w:rsidRPr="00265AB7" w:rsidRDefault="00730A6A" w:rsidP="008D2290">
            <w:pPr>
              <w:rPr>
                <w:rFonts w:asciiTheme="majorHAnsi" w:hAnsiTheme="majorHAnsi"/>
                <w:bCs/>
                <w:sz w:val="18"/>
                <w:szCs w:val="18"/>
              </w:rPr>
            </w:pPr>
            <w:proofErr w:type="spellStart"/>
            <w:r w:rsidRPr="00265AB7">
              <w:rPr>
                <w:rFonts w:asciiTheme="majorHAnsi" w:hAnsiTheme="majorHAnsi"/>
                <w:bCs/>
                <w:sz w:val="18"/>
                <w:szCs w:val="18"/>
              </w:rPr>
              <w:t>Sí</w:t>
            </w:r>
            <w:proofErr w:type="spellEnd"/>
          </w:p>
        </w:tc>
      </w:tr>
      <w:tr w:rsidR="003239B8" w:rsidRPr="00265AB7" w:rsidTr="004A6A54">
        <w:trPr>
          <w:cantSplit/>
        </w:trPr>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proofErr w:type="spellStart"/>
            <w:r w:rsidRPr="00265AB7">
              <w:rPr>
                <w:rFonts w:asciiTheme="majorHAnsi" w:hAnsiTheme="majorHAnsi"/>
                <w:b/>
                <w:bCs/>
                <w:color w:val="FFFFFF" w:themeColor="background1"/>
                <w:sz w:val="18"/>
                <w:szCs w:val="18"/>
              </w:rPr>
              <w:t>Competencia</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Ratione</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temporis</w:t>
            </w:r>
            <w:proofErr w:type="spellEnd"/>
            <w:r w:rsidRPr="00265AB7">
              <w:rPr>
                <w:rFonts w:asciiTheme="majorHAnsi" w:hAnsiTheme="majorHAnsi"/>
                <w:b/>
                <w:bCs/>
                <w:color w:val="FFFFFF" w:themeColor="background1"/>
                <w:sz w:val="18"/>
                <w:szCs w:val="18"/>
              </w:rPr>
              <w:t>:</w:t>
            </w:r>
          </w:p>
        </w:tc>
        <w:tc>
          <w:tcPr>
            <w:tcW w:w="5760" w:type="dxa"/>
            <w:vAlign w:val="center"/>
          </w:tcPr>
          <w:p w:rsidR="003239B8" w:rsidRPr="00265AB7" w:rsidRDefault="00730A6A" w:rsidP="008D2290">
            <w:pPr>
              <w:rPr>
                <w:rFonts w:asciiTheme="majorHAnsi" w:hAnsiTheme="majorHAnsi"/>
                <w:bCs/>
                <w:sz w:val="18"/>
                <w:szCs w:val="18"/>
              </w:rPr>
            </w:pPr>
            <w:proofErr w:type="spellStart"/>
            <w:r w:rsidRPr="00265AB7">
              <w:rPr>
                <w:rFonts w:asciiTheme="majorHAnsi" w:hAnsiTheme="majorHAnsi"/>
                <w:bCs/>
                <w:sz w:val="18"/>
                <w:szCs w:val="18"/>
              </w:rPr>
              <w:t>Sí</w:t>
            </w:r>
            <w:proofErr w:type="spellEnd"/>
          </w:p>
        </w:tc>
      </w:tr>
      <w:tr w:rsidR="003239B8" w:rsidRPr="001F52BB" w:rsidTr="004A6A54">
        <w:trPr>
          <w:cantSplit/>
        </w:trPr>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proofErr w:type="spellStart"/>
            <w:r w:rsidRPr="00265AB7">
              <w:rPr>
                <w:rFonts w:asciiTheme="majorHAnsi" w:hAnsiTheme="majorHAnsi"/>
                <w:b/>
                <w:bCs/>
                <w:color w:val="FFFFFF" w:themeColor="background1"/>
                <w:sz w:val="18"/>
                <w:szCs w:val="18"/>
              </w:rPr>
              <w:t>Competencia</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Ratione</w:t>
            </w:r>
            <w:proofErr w:type="spellEnd"/>
            <w:r w:rsidRPr="00265AB7">
              <w:rPr>
                <w:rFonts w:asciiTheme="majorHAnsi" w:hAnsiTheme="majorHAnsi"/>
                <w:b/>
                <w:bCs/>
                <w:i/>
                <w:color w:val="FFFFFF" w:themeColor="background1"/>
                <w:sz w:val="18"/>
                <w:szCs w:val="18"/>
              </w:rPr>
              <w:t xml:space="preserve"> </w:t>
            </w:r>
            <w:proofErr w:type="spellStart"/>
            <w:r w:rsidRPr="00265AB7">
              <w:rPr>
                <w:rFonts w:asciiTheme="majorHAnsi" w:hAnsiTheme="majorHAnsi"/>
                <w:b/>
                <w:bCs/>
                <w:i/>
                <w:color w:val="FFFFFF" w:themeColor="background1"/>
                <w:sz w:val="18"/>
                <w:szCs w:val="18"/>
              </w:rPr>
              <w:t>materia</w:t>
            </w:r>
            <w:r w:rsidR="00EE00E9" w:rsidRPr="00265AB7">
              <w:rPr>
                <w:rFonts w:asciiTheme="majorHAnsi" w:hAnsiTheme="majorHAnsi"/>
                <w:b/>
                <w:bCs/>
                <w:i/>
                <w:color w:val="FFFFFF" w:themeColor="background1"/>
                <w:sz w:val="18"/>
                <w:szCs w:val="18"/>
              </w:rPr>
              <w:t>e</w:t>
            </w:r>
            <w:proofErr w:type="spellEnd"/>
            <w:r w:rsidRPr="00265AB7">
              <w:rPr>
                <w:rFonts w:asciiTheme="majorHAnsi" w:hAnsiTheme="majorHAnsi"/>
                <w:b/>
                <w:bCs/>
                <w:color w:val="FFFFFF" w:themeColor="background1"/>
                <w:sz w:val="18"/>
                <w:szCs w:val="18"/>
              </w:rPr>
              <w:t>:</w:t>
            </w:r>
          </w:p>
        </w:tc>
        <w:tc>
          <w:tcPr>
            <w:tcW w:w="5760" w:type="dxa"/>
            <w:vAlign w:val="center"/>
          </w:tcPr>
          <w:p w:rsidR="003239B8" w:rsidRPr="00265AB7" w:rsidRDefault="00730A6A" w:rsidP="008D2290">
            <w:pPr>
              <w:jc w:val="both"/>
              <w:rPr>
                <w:rFonts w:asciiTheme="majorHAnsi" w:hAnsiTheme="majorHAnsi"/>
                <w:bCs/>
                <w:sz w:val="18"/>
                <w:szCs w:val="18"/>
                <w:lang w:val="es-ES"/>
              </w:rPr>
            </w:pPr>
            <w:r w:rsidRPr="00265AB7">
              <w:rPr>
                <w:rFonts w:asciiTheme="majorHAnsi" w:hAnsiTheme="majorHAnsi"/>
                <w:bCs/>
                <w:sz w:val="18"/>
                <w:szCs w:val="18"/>
                <w:lang w:val="es-MX"/>
              </w:rPr>
              <w:t>Sí, Convención Americana (depósito de instrument</w:t>
            </w:r>
            <w:r w:rsidR="0006465C" w:rsidRPr="00265AB7">
              <w:rPr>
                <w:rFonts w:asciiTheme="majorHAnsi" w:hAnsiTheme="majorHAnsi"/>
                <w:bCs/>
                <w:sz w:val="18"/>
                <w:szCs w:val="18"/>
                <w:lang w:val="es-MX"/>
              </w:rPr>
              <w:t>o</w:t>
            </w:r>
            <w:r w:rsidRPr="00265AB7">
              <w:rPr>
                <w:rFonts w:asciiTheme="majorHAnsi" w:hAnsiTheme="majorHAnsi"/>
                <w:bCs/>
                <w:sz w:val="18"/>
                <w:szCs w:val="18"/>
                <w:lang w:val="es-MX"/>
              </w:rPr>
              <w:t xml:space="preserve"> realizado el 31 de julio de 1973)</w:t>
            </w:r>
          </w:p>
        </w:tc>
      </w:tr>
    </w:tbl>
    <w:p w:rsidR="003239B8" w:rsidRPr="00265AB7" w:rsidRDefault="003239B8" w:rsidP="003239B8">
      <w:pPr>
        <w:spacing w:before="240" w:after="240"/>
        <w:ind w:firstLine="720"/>
        <w:jc w:val="both"/>
        <w:rPr>
          <w:rFonts w:asciiTheme="majorHAnsi" w:hAnsiTheme="majorHAnsi"/>
          <w:b/>
          <w:bCs/>
          <w:sz w:val="18"/>
          <w:szCs w:val="18"/>
          <w:lang w:val="es-ES"/>
        </w:rPr>
      </w:pPr>
      <w:r w:rsidRPr="00265AB7">
        <w:rPr>
          <w:rFonts w:asciiTheme="majorHAnsi" w:hAnsiTheme="majorHAnsi"/>
          <w:b/>
          <w:bCs/>
          <w:sz w:val="18"/>
          <w:szCs w:val="18"/>
          <w:lang w:val="es-ES"/>
        </w:rPr>
        <w:t xml:space="preserve">IV. </w:t>
      </w:r>
      <w:r w:rsidRPr="00265AB7">
        <w:rPr>
          <w:rFonts w:asciiTheme="majorHAnsi" w:hAnsiTheme="majorHAnsi"/>
          <w:b/>
          <w:bCs/>
          <w:sz w:val="18"/>
          <w:szCs w:val="18"/>
          <w:lang w:val="es-ES"/>
        </w:rPr>
        <w:tab/>
      </w:r>
      <w:r w:rsidR="00EE00E9" w:rsidRPr="00265AB7">
        <w:rPr>
          <w:rFonts w:asciiTheme="majorHAnsi" w:hAnsiTheme="majorHAnsi"/>
          <w:b/>
          <w:bCs/>
          <w:sz w:val="18"/>
          <w:szCs w:val="18"/>
          <w:lang w:val="es-ES"/>
        </w:rPr>
        <w:t>DUPLICACIÓN</w:t>
      </w:r>
      <w:r w:rsidR="00EE00E9" w:rsidRPr="00265AB7">
        <w:rPr>
          <w:rFonts w:asciiTheme="majorHAnsi" w:hAnsiTheme="majorHAnsi"/>
          <w:b/>
          <w:bCs/>
          <w:color w:val="FFFFFF" w:themeColor="background1"/>
          <w:sz w:val="18"/>
          <w:szCs w:val="18"/>
          <w:lang w:val="es-ES"/>
        </w:rPr>
        <w:t xml:space="preserve"> </w:t>
      </w:r>
      <w:r w:rsidR="00EE00E9" w:rsidRPr="00265AB7">
        <w:rPr>
          <w:rFonts w:asciiTheme="majorHAnsi" w:hAnsiTheme="majorHAnsi"/>
          <w:b/>
          <w:bCs/>
          <w:sz w:val="18"/>
          <w:szCs w:val="18"/>
          <w:lang w:val="es-ES"/>
        </w:rPr>
        <w:t>DE PROCEDIMIENTOS Y COSA JUZGADA</w:t>
      </w:r>
      <w:r w:rsidR="00EE00E9" w:rsidRPr="00265AB7">
        <w:rPr>
          <w:rFonts w:asciiTheme="majorHAnsi" w:hAnsiTheme="majorHAnsi"/>
          <w:b/>
          <w:bCs/>
          <w:i/>
          <w:sz w:val="18"/>
          <w:szCs w:val="18"/>
          <w:lang w:val="es-ES"/>
        </w:rPr>
        <w:t xml:space="preserve"> </w:t>
      </w:r>
      <w:r w:rsidR="00EE00E9" w:rsidRPr="00265AB7">
        <w:rPr>
          <w:rFonts w:asciiTheme="majorHAnsi" w:hAnsiTheme="majorHAnsi"/>
          <w:b/>
          <w:bCs/>
          <w:sz w:val="18"/>
          <w:szCs w:val="18"/>
          <w:lang w:val="es-ES"/>
        </w:rPr>
        <w:t xml:space="preserve">INTERNACIONAL, </w:t>
      </w:r>
      <w:r w:rsidRPr="00265AB7">
        <w:rPr>
          <w:rFonts w:asciiTheme="majorHAnsi" w:hAnsiTheme="majorHAnsi"/>
          <w:b/>
          <w:bCs/>
          <w:sz w:val="18"/>
          <w:szCs w:val="18"/>
          <w:lang w:val="es-ES"/>
        </w:rPr>
        <w:t xml:space="preserve"> CARACTERIZACIÓN, </w:t>
      </w:r>
      <w:r w:rsidRPr="00265AB7">
        <w:rPr>
          <w:rFonts w:asciiTheme="majorHAnsi" w:hAnsiTheme="majorHAnsi"/>
          <w:b/>
          <w:sz w:val="18"/>
          <w:szCs w:val="18"/>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65AB7" w:rsidTr="004A6A54">
        <w:trPr>
          <w:cantSplit/>
        </w:trPr>
        <w:tc>
          <w:tcPr>
            <w:tcW w:w="3600" w:type="dxa"/>
            <w:tcBorders>
              <w:top w:val="single" w:sz="4" w:space="0" w:color="auto"/>
              <w:bottom w:val="single" w:sz="6" w:space="0" w:color="auto"/>
            </w:tcBorders>
            <w:shd w:val="clear" w:color="auto" w:fill="386294"/>
            <w:vAlign w:val="center"/>
          </w:tcPr>
          <w:p w:rsidR="00EE00E9" w:rsidRPr="00265AB7" w:rsidRDefault="00EE00E9" w:rsidP="008D2290">
            <w:pPr>
              <w:jc w:val="center"/>
              <w:rPr>
                <w:rFonts w:asciiTheme="majorHAnsi" w:hAnsiTheme="majorHAnsi"/>
                <w:b/>
                <w:bCs/>
                <w:color w:val="FFFFFF" w:themeColor="background1"/>
                <w:sz w:val="18"/>
                <w:szCs w:val="18"/>
                <w:lang w:val="es-ES"/>
              </w:rPr>
            </w:pPr>
            <w:r w:rsidRPr="00265AB7">
              <w:rPr>
                <w:rFonts w:asciiTheme="majorHAnsi" w:hAnsiTheme="majorHAnsi"/>
                <w:b/>
                <w:bCs/>
                <w:color w:val="FFFFFF" w:themeColor="background1"/>
                <w:sz w:val="18"/>
                <w:szCs w:val="18"/>
                <w:lang w:val="es-ES"/>
              </w:rPr>
              <w:t>Duplicación de procedimientos y cosa juzgada internacional:</w:t>
            </w:r>
          </w:p>
        </w:tc>
        <w:tc>
          <w:tcPr>
            <w:tcW w:w="5760" w:type="dxa"/>
            <w:vAlign w:val="center"/>
          </w:tcPr>
          <w:p w:rsidR="00EE00E9" w:rsidRPr="00265AB7" w:rsidRDefault="005E2055" w:rsidP="008D2290">
            <w:pPr>
              <w:jc w:val="both"/>
              <w:rPr>
                <w:rFonts w:asciiTheme="majorHAnsi" w:hAnsiTheme="majorHAnsi"/>
                <w:bCs/>
                <w:sz w:val="18"/>
                <w:szCs w:val="18"/>
                <w:lang w:val="es-ES"/>
              </w:rPr>
            </w:pPr>
            <w:r w:rsidRPr="00265AB7">
              <w:rPr>
                <w:rFonts w:asciiTheme="majorHAnsi" w:hAnsiTheme="majorHAnsi"/>
                <w:bCs/>
                <w:sz w:val="18"/>
                <w:szCs w:val="18"/>
                <w:lang w:val="es-ES"/>
              </w:rPr>
              <w:t>No</w:t>
            </w:r>
          </w:p>
        </w:tc>
      </w:tr>
      <w:tr w:rsidR="003239B8" w:rsidRPr="001F52BB" w:rsidTr="004A6A54">
        <w:trPr>
          <w:cantSplit/>
        </w:trPr>
        <w:tc>
          <w:tcPr>
            <w:tcW w:w="3600" w:type="dxa"/>
            <w:tcBorders>
              <w:top w:val="single" w:sz="4"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i/>
                <w:color w:val="FFFFFF" w:themeColor="background1"/>
                <w:sz w:val="18"/>
                <w:szCs w:val="18"/>
              </w:rPr>
            </w:pPr>
            <w:r w:rsidRPr="00265AB7">
              <w:rPr>
                <w:rFonts w:asciiTheme="majorHAnsi" w:hAnsiTheme="majorHAnsi"/>
                <w:b/>
                <w:bCs/>
                <w:color w:val="FFFFFF" w:themeColor="background1"/>
                <w:sz w:val="18"/>
                <w:szCs w:val="18"/>
              </w:rPr>
              <w:t xml:space="preserve">Derechos </w:t>
            </w:r>
            <w:proofErr w:type="spellStart"/>
            <w:r w:rsidRPr="00265AB7">
              <w:rPr>
                <w:rFonts w:asciiTheme="majorHAnsi" w:hAnsiTheme="majorHAnsi"/>
                <w:b/>
                <w:bCs/>
                <w:color w:val="FFFFFF" w:themeColor="background1"/>
                <w:sz w:val="18"/>
                <w:szCs w:val="18"/>
              </w:rPr>
              <w:t>declarados</w:t>
            </w:r>
            <w:proofErr w:type="spellEnd"/>
            <w:r w:rsidRPr="00265AB7">
              <w:rPr>
                <w:rFonts w:asciiTheme="majorHAnsi" w:hAnsiTheme="majorHAnsi"/>
                <w:b/>
                <w:bCs/>
                <w:color w:val="FFFFFF" w:themeColor="background1"/>
                <w:sz w:val="18"/>
                <w:szCs w:val="18"/>
              </w:rPr>
              <w:t xml:space="preserve"> </w:t>
            </w:r>
            <w:proofErr w:type="spellStart"/>
            <w:r w:rsidRPr="00265AB7">
              <w:rPr>
                <w:rFonts w:asciiTheme="majorHAnsi" w:hAnsiTheme="majorHAnsi"/>
                <w:b/>
                <w:bCs/>
                <w:color w:val="FFFFFF" w:themeColor="background1"/>
                <w:sz w:val="18"/>
                <w:szCs w:val="18"/>
              </w:rPr>
              <w:t>admisibles</w:t>
            </w:r>
            <w:proofErr w:type="spellEnd"/>
            <w:r w:rsidRPr="00265AB7">
              <w:rPr>
                <w:rFonts w:asciiTheme="majorHAnsi" w:hAnsiTheme="majorHAnsi"/>
                <w:b/>
                <w:bCs/>
                <w:i/>
                <w:color w:val="FFFFFF" w:themeColor="background1"/>
                <w:sz w:val="18"/>
                <w:szCs w:val="18"/>
              </w:rPr>
              <w:t>:</w:t>
            </w:r>
          </w:p>
        </w:tc>
        <w:tc>
          <w:tcPr>
            <w:tcW w:w="5760" w:type="dxa"/>
            <w:vAlign w:val="center"/>
          </w:tcPr>
          <w:p w:rsidR="003239B8" w:rsidRPr="00265AB7" w:rsidRDefault="00730A6A" w:rsidP="00440A46">
            <w:pPr>
              <w:jc w:val="both"/>
              <w:rPr>
                <w:rFonts w:asciiTheme="majorHAnsi" w:hAnsiTheme="majorHAnsi"/>
                <w:bCs/>
                <w:sz w:val="18"/>
                <w:szCs w:val="18"/>
                <w:lang w:val="es-MX"/>
              </w:rPr>
            </w:pPr>
            <w:r w:rsidRPr="00265AB7">
              <w:rPr>
                <w:rFonts w:asciiTheme="majorHAnsi" w:hAnsiTheme="majorHAnsi"/>
                <w:bCs/>
                <w:sz w:val="18"/>
                <w:szCs w:val="18"/>
                <w:lang w:val="es-MX"/>
              </w:rPr>
              <w:t xml:space="preserve">Artículos </w:t>
            </w:r>
            <w:r w:rsidRPr="00265AB7">
              <w:rPr>
                <w:rFonts w:asciiTheme="majorHAnsi" w:hAnsiTheme="majorHAnsi"/>
                <w:bCs/>
                <w:sz w:val="18"/>
                <w:szCs w:val="18"/>
                <w:lang w:val="es-ES"/>
              </w:rPr>
              <w:t xml:space="preserve">4 (vida), 5 (integridad personal), </w:t>
            </w:r>
            <w:r w:rsidR="009D7EDA" w:rsidRPr="00265AB7">
              <w:rPr>
                <w:rFonts w:asciiTheme="majorHAnsi" w:hAnsiTheme="majorHAnsi"/>
                <w:bCs/>
                <w:sz w:val="18"/>
                <w:szCs w:val="18"/>
                <w:lang w:val="es-ES"/>
              </w:rPr>
              <w:t xml:space="preserve">7 (libertad personal), </w:t>
            </w:r>
            <w:r w:rsidR="00230D5D" w:rsidRPr="00265AB7">
              <w:rPr>
                <w:rFonts w:asciiTheme="majorHAnsi" w:hAnsiTheme="majorHAnsi"/>
                <w:bCs/>
                <w:sz w:val="18"/>
                <w:szCs w:val="18"/>
                <w:lang w:val="es-ES"/>
              </w:rPr>
              <w:t>8 (garantías judiciales)</w:t>
            </w:r>
            <w:r w:rsidRPr="00265AB7">
              <w:rPr>
                <w:rFonts w:asciiTheme="majorHAnsi" w:hAnsiTheme="majorHAnsi"/>
                <w:bCs/>
                <w:sz w:val="18"/>
                <w:szCs w:val="18"/>
                <w:lang w:val="es-ES"/>
              </w:rPr>
              <w:t xml:space="preserve"> </w:t>
            </w:r>
            <w:r w:rsidR="00D828B7" w:rsidRPr="00265AB7">
              <w:rPr>
                <w:rFonts w:asciiTheme="majorHAnsi" w:hAnsiTheme="majorHAnsi"/>
                <w:bCs/>
                <w:sz w:val="18"/>
                <w:szCs w:val="18"/>
                <w:lang w:val="es-ES"/>
              </w:rPr>
              <w:t xml:space="preserve">y </w:t>
            </w:r>
            <w:r w:rsidRPr="00265AB7">
              <w:rPr>
                <w:rFonts w:asciiTheme="majorHAnsi" w:hAnsiTheme="majorHAnsi"/>
                <w:bCs/>
                <w:sz w:val="18"/>
                <w:szCs w:val="18"/>
                <w:lang w:val="es-ES"/>
              </w:rPr>
              <w:t>25 (protección judicial) de la Convención Americana</w:t>
            </w:r>
            <w:r w:rsidR="00D828B7" w:rsidRPr="00265AB7">
              <w:rPr>
                <w:rFonts w:asciiTheme="majorHAnsi" w:hAnsiTheme="majorHAnsi"/>
                <w:bCs/>
                <w:sz w:val="18"/>
                <w:szCs w:val="18"/>
                <w:lang w:val="es-ES"/>
              </w:rPr>
              <w:t>, en relación con sus artículos 1.1 y 2</w:t>
            </w:r>
          </w:p>
        </w:tc>
      </w:tr>
      <w:tr w:rsidR="003239B8" w:rsidRPr="001F52BB" w:rsidTr="004A6A54">
        <w:trPr>
          <w:cantSplit/>
        </w:trPr>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lang w:val="es-ES"/>
              </w:rPr>
            </w:pPr>
            <w:r w:rsidRPr="00265AB7">
              <w:rPr>
                <w:rFonts w:asciiTheme="majorHAnsi" w:hAnsiTheme="majorHAnsi"/>
                <w:b/>
                <w:bCs/>
                <w:color w:val="FFFFFF" w:themeColor="background1"/>
                <w:sz w:val="18"/>
                <w:szCs w:val="18"/>
                <w:lang w:val="es-ES"/>
              </w:rPr>
              <w:t>Agotamiento de recursos internos</w:t>
            </w:r>
            <w:r w:rsidR="00EE00E9" w:rsidRPr="00265AB7">
              <w:rPr>
                <w:rFonts w:asciiTheme="majorHAnsi" w:hAnsiTheme="majorHAnsi"/>
                <w:b/>
                <w:bCs/>
                <w:color w:val="FFFFFF" w:themeColor="background1"/>
                <w:sz w:val="18"/>
                <w:szCs w:val="18"/>
                <w:lang w:val="es-ES"/>
              </w:rPr>
              <w:t xml:space="preserve"> o procedencia de una excepción</w:t>
            </w:r>
            <w:r w:rsidRPr="00265AB7">
              <w:rPr>
                <w:rFonts w:asciiTheme="majorHAnsi" w:hAnsiTheme="majorHAnsi"/>
                <w:b/>
                <w:bCs/>
                <w:color w:val="FFFFFF" w:themeColor="background1"/>
                <w:sz w:val="18"/>
                <w:szCs w:val="18"/>
                <w:lang w:val="es-ES"/>
              </w:rPr>
              <w:t>:</w:t>
            </w:r>
          </w:p>
        </w:tc>
        <w:tc>
          <w:tcPr>
            <w:tcW w:w="5760" w:type="dxa"/>
            <w:vAlign w:val="center"/>
          </w:tcPr>
          <w:p w:rsidR="003239B8" w:rsidRPr="00265AB7" w:rsidRDefault="005E2055" w:rsidP="008D2290">
            <w:pPr>
              <w:rPr>
                <w:rFonts w:asciiTheme="majorHAnsi" w:hAnsiTheme="majorHAnsi"/>
                <w:bCs/>
                <w:sz w:val="18"/>
                <w:szCs w:val="18"/>
                <w:lang w:val="es-ES"/>
              </w:rPr>
            </w:pPr>
            <w:r w:rsidRPr="00265AB7">
              <w:rPr>
                <w:rFonts w:asciiTheme="majorHAnsi" w:hAnsiTheme="majorHAnsi"/>
                <w:bCs/>
                <w:sz w:val="18"/>
                <w:szCs w:val="18"/>
                <w:lang w:val="es-ES"/>
              </w:rPr>
              <w:t>Sí, aplica excepción artículo 46.2.b y c de la CADH</w:t>
            </w:r>
          </w:p>
        </w:tc>
      </w:tr>
      <w:tr w:rsidR="003239B8" w:rsidRPr="001F52BB" w:rsidTr="004A6A54">
        <w:trPr>
          <w:cantSplit/>
        </w:trPr>
        <w:tc>
          <w:tcPr>
            <w:tcW w:w="3600" w:type="dxa"/>
            <w:tcBorders>
              <w:top w:val="single" w:sz="6" w:space="0" w:color="auto"/>
              <w:bottom w:val="single" w:sz="6" w:space="0" w:color="auto"/>
            </w:tcBorders>
            <w:shd w:val="clear" w:color="auto" w:fill="386294"/>
            <w:vAlign w:val="center"/>
          </w:tcPr>
          <w:p w:rsidR="003239B8" w:rsidRPr="00265AB7" w:rsidRDefault="003239B8" w:rsidP="008D2290">
            <w:pPr>
              <w:jc w:val="center"/>
              <w:rPr>
                <w:rFonts w:asciiTheme="majorHAnsi" w:hAnsiTheme="majorHAnsi"/>
                <w:b/>
                <w:bCs/>
                <w:color w:val="FFFFFF" w:themeColor="background1"/>
                <w:sz w:val="18"/>
                <w:szCs w:val="18"/>
              </w:rPr>
            </w:pPr>
            <w:proofErr w:type="spellStart"/>
            <w:r w:rsidRPr="00265AB7">
              <w:rPr>
                <w:rFonts w:asciiTheme="majorHAnsi" w:hAnsiTheme="majorHAnsi"/>
                <w:b/>
                <w:bCs/>
                <w:color w:val="FFFFFF" w:themeColor="background1"/>
                <w:sz w:val="18"/>
                <w:szCs w:val="18"/>
              </w:rPr>
              <w:lastRenderedPageBreak/>
              <w:t>Presentación</w:t>
            </w:r>
            <w:proofErr w:type="spellEnd"/>
            <w:r w:rsidRPr="00265AB7">
              <w:rPr>
                <w:rFonts w:asciiTheme="majorHAnsi" w:hAnsiTheme="majorHAnsi"/>
                <w:b/>
                <w:bCs/>
                <w:color w:val="FFFFFF" w:themeColor="background1"/>
                <w:sz w:val="18"/>
                <w:szCs w:val="18"/>
              </w:rPr>
              <w:t xml:space="preserve"> </w:t>
            </w:r>
            <w:proofErr w:type="spellStart"/>
            <w:r w:rsidRPr="00265AB7">
              <w:rPr>
                <w:rFonts w:asciiTheme="majorHAnsi" w:hAnsiTheme="majorHAnsi"/>
                <w:b/>
                <w:bCs/>
                <w:color w:val="FFFFFF" w:themeColor="background1"/>
                <w:sz w:val="18"/>
                <w:szCs w:val="18"/>
              </w:rPr>
              <w:t>dentro</w:t>
            </w:r>
            <w:proofErr w:type="spellEnd"/>
            <w:r w:rsidRPr="00265AB7">
              <w:rPr>
                <w:rFonts w:asciiTheme="majorHAnsi" w:hAnsiTheme="majorHAnsi"/>
                <w:b/>
                <w:bCs/>
                <w:color w:val="FFFFFF" w:themeColor="background1"/>
                <w:sz w:val="18"/>
                <w:szCs w:val="18"/>
              </w:rPr>
              <w:t xml:space="preserve"> de </w:t>
            </w:r>
            <w:proofErr w:type="spellStart"/>
            <w:r w:rsidRPr="00265AB7">
              <w:rPr>
                <w:rFonts w:asciiTheme="majorHAnsi" w:hAnsiTheme="majorHAnsi"/>
                <w:b/>
                <w:bCs/>
                <w:color w:val="FFFFFF" w:themeColor="background1"/>
                <w:sz w:val="18"/>
                <w:szCs w:val="18"/>
              </w:rPr>
              <w:t>plazo</w:t>
            </w:r>
            <w:proofErr w:type="spellEnd"/>
            <w:r w:rsidRPr="00265AB7">
              <w:rPr>
                <w:rFonts w:asciiTheme="majorHAnsi" w:hAnsiTheme="majorHAnsi"/>
                <w:b/>
                <w:bCs/>
                <w:color w:val="FFFFFF" w:themeColor="background1"/>
                <w:sz w:val="18"/>
                <w:szCs w:val="18"/>
              </w:rPr>
              <w:t>:</w:t>
            </w:r>
          </w:p>
        </w:tc>
        <w:tc>
          <w:tcPr>
            <w:tcW w:w="5760" w:type="dxa"/>
            <w:vAlign w:val="center"/>
          </w:tcPr>
          <w:p w:rsidR="003239B8" w:rsidRPr="00265AB7" w:rsidRDefault="005E2055" w:rsidP="008D2290">
            <w:pPr>
              <w:rPr>
                <w:rFonts w:asciiTheme="majorHAnsi" w:hAnsiTheme="majorHAnsi"/>
                <w:bCs/>
                <w:sz w:val="18"/>
                <w:szCs w:val="18"/>
                <w:lang w:val="es-ES"/>
              </w:rPr>
            </w:pPr>
            <w:r w:rsidRPr="00265AB7">
              <w:rPr>
                <w:rFonts w:asciiTheme="majorHAnsi" w:hAnsiTheme="majorHAnsi"/>
                <w:bCs/>
                <w:sz w:val="18"/>
                <w:szCs w:val="18"/>
                <w:lang w:val="es-ES"/>
              </w:rPr>
              <w:t>Sí, en los términos de la sección VI</w:t>
            </w:r>
          </w:p>
        </w:tc>
      </w:tr>
    </w:tbl>
    <w:p w:rsidR="003239B8" w:rsidRPr="00163B73" w:rsidRDefault="00223A29" w:rsidP="003239B8">
      <w:pPr>
        <w:spacing w:before="240" w:after="240"/>
        <w:ind w:firstLine="720"/>
        <w:jc w:val="both"/>
        <w:rPr>
          <w:rFonts w:asciiTheme="majorHAnsi" w:hAnsiTheme="majorHAnsi"/>
          <w:b/>
          <w:sz w:val="20"/>
          <w:szCs w:val="20"/>
          <w:lang w:val="es-UY"/>
        </w:rPr>
      </w:pPr>
      <w:r w:rsidRPr="00163B73">
        <w:rPr>
          <w:rFonts w:asciiTheme="majorHAnsi" w:hAnsiTheme="majorHAnsi"/>
          <w:b/>
          <w:sz w:val="20"/>
          <w:szCs w:val="20"/>
          <w:lang w:val="es-UY"/>
        </w:rPr>
        <w:t xml:space="preserve">V. </w:t>
      </w:r>
      <w:r w:rsidRPr="00163B73">
        <w:rPr>
          <w:rFonts w:asciiTheme="majorHAnsi" w:hAnsiTheme="majorHAnsi"/>
          <w:b/>
          <w:sz w:val="20"/>
          <w:szCs w:val="20"/>
          <w:lang w:val="es-UY"/>
        </w:rPr>
        <w:tab/>
      </w:r>
      <w:r w:rsidR="003239B8" w:rsidRPr="00163B73">
        <w:rPr>
          <w:rFonts w:asciiTheme="majorHAnsi" w:hAnsiTheme="majorHAnsi"/>
          <w:b/>
          <w:sz w:val="20"/>
          <w:szCs w:val="20"/>
          <w:lang w:val="es-UY"/>
        </w:rPr>
        <w:t xml:space="preserve">HECHOS ALEGADOS </w:t>
      </w:r>
    </w:p>
    <w:p w:rsidR="00D5241E" w:rsidRPr="00163B73" w:rsidRDefault="00440A46" w:rsidP="00D5241E">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163B73">
        <w:rPr>
          <w:color w:val="auto"/>
          <w:sz w:val="20"/>
          <w:lang w:val="es-ES"/>
        </w:rPr>
        <w:t xml:space="preserve">La parte peticionaria alega </w:t>
      </w:r>
      <w:r w:rsidR="00D5241E" w:rsidRPr="00163B73">
        <w:rPr>
          <w:color w:val="auto"/>
          <w:sz w:val="20"/>
          <w:lang w:val="es-ES"/>
        </w:rPr>
        <w:t>la detención arbitraria y posterior ejecución extrajudicial de Luis Fernando Hernández Carvajal</w:t>
      </w:r>
      <w:r w:rsidRPr="00163B73">
        <w:rPr>
          <w:color w:val="auto"/>
          <w:sz w:val="20"/>
          <w:lang w:val="es-ES"/>
        </w:rPr>
        <w:t xml:space="preserve"> y </w:t>
      </w:r>
      <w:r w:rsidR="00D5241E" w:rsidRPr="00163B73">
        <w:rPr>
          <w:color w:val="auto"/>
          <w:sz w:val="20"/>
          <w:lang w:val="es-ES"/>
        </w:rPr>
        <w:t>John Fredy Arenas</w:t>
      </w:r>
      <w:r w:rsidR="00230D5D">
        <w:rPr>
          <w:color w:val="auto"/>
          <w:sz w:val="20"/>
          <w:lang w:val="es-ES"/>
        </w:rPr>
        <w:t>,</w:t>
      </w:r>
      <w:r w:rsidR="00D5241E" w:rsidRPr="00163B73">
        <w:rPr>
          <w:color w:val="auto"/>
          <w:sz w:val="20"/>
          <w:lang w:val="es-ES"/>
        </w:rPr>
        <w:t xml:space="preserve"> así como las lesiones ocasionadas a </w:t>
      </w:r>
      <w:proofErr w:type="spellStart"/>
      <w:r w:rsidR="00D5241E" w:rsidRPr="00163B73">
        <w:rPr>
          <w:color w:val="auto"/>
          <w:sz w:val="20"/>
          <w:lang w:val="es-ES"/>
        </w:rPr>
        <w:t>Deison</w:t>
      </w:r>
      <w:proofErr w:type="spellEnd"/>
      <w:r w:rsidR="00D5241E" w:rsidRPr="00163B73">
        <w:rPr>
          <w:color w:val="auto"/>
          <w:sz w:val="20"/>
          <w:lang w:val="es-ES"/>
        </w:rPr>
        <w:t xml:space="preserve"> Alberto Rodríguez Patiño y Luis Felipe Rendón González </w:t>
      </w:r>
      <w:r w:rsidRPr="00163B73">
        <w:rPr>
          <w:color w:val="auto"/>
          <w:sz w:val="20"/>
          <w:lang w:val="es-ES"/>
        </w:rPr>
        <w:t xml:space="preserve">por </w:t>
      </w:r>
      <w:r w:rsidR="00D5241E" w:rsidRPr="00163B73">
        <w:rPr>
          <w:color w:val="auto"/>
          <w:sz w:val="20"/>
          <w:lang w:val="es-ES"/>
        </w:rPr>
        <w:t xml:space="preserve">la Policía Nacional. Sostiene que el Estado ha vulnerado los derechos de las presuntas víctimas y sus familiares al acceso a la justicia y a una reparación integral por el daño sufrido a consecuencia de la falta de investigación </w:t>
      </w:r>
      <w:r w:rsidRPr="00163B73">
        <w:rPr>
          <w:color w:val="auto"/>
          <w:sz w:val="20"/>
          <w:lang w:val="es-ES"/>
        </w:rPr>
        <w:t xml:space="preserve">y </w:t>
      </w:r>
      <w:r w:rsidR="00D5241E" w:rsidRPr="00163B73">
        <w:rPr>
          <w:color w:val="auto"/>
          <w:sz w:val="20"/>
          <w:lang w:val="es-ES"/>
        </w:rPr>
        <w:t>esclarecimiento de los hechos.</w:t>
      </w:r>
    </w:p>
    <w:p w:rsidR="00B7775B" w:rsidRPr="00163B73" w:rsidRDefault="00B7775B" w:rsidP="00B777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163B73">
        <w:rPr>
          <w:color w:val="auto"/>
          <w:sz w:val="20"/>
          <w:lang w:val="es-ES"/>
        </w:rPr>
        <w:t>El peticionario manifiesta que el 14 de agosto de 1992</w:t>
      </w:r>
      <w:r w:rsidR="00C52843" w:rsidRPr="00163B73">
        <w:rPr>
          <w:color w:val="auto"/>
          <w:sz w:val="20"/>
          <w:lang w:val="es-ES"/>
        </w:rPr>
        <w:t xml:space="preserve"> las cuatro presuntas víctimas se transportaban </w:t>
      </w:r>
      <w:r w:rsidRPr="00163B73">
        <w:rPr>
          <w:color w:val="auto"/>
          <w:sz w:val="20"/>
          <w:lang w:val="es-ES"/>
        </w:rPr>
        <w:t>en dos motocicletas en la ciudad de Medellín, cuando fueron interceptados por la Policía Nacional quienes les obligaron a bajarse de los vehículos y colocarse contra la pared</w:t>
      </w:r>
      <w:r w:rsidR="00C52843" w:rsidRPr="00163B73">
        <w:rPr>
          <w:color w:val="auto"/>
          <w:sz w:val="20"/>
          <w:lang w:val="es-ES"/>
        </w:rPr>
        <w:t xml:space="preserve">. Alega que estos </w:t>
      </w:r>
      <w:r w:rsidRPr="00163B73">
        <w:rPr>
          <w:color w:val="auto"/>
          <w:sz w:val="20"/>
          <w:lang w:val="es-ES"/>
        </w:rPr>
        <w:t>procedieron a golpear</w:t>
      </w:r>
      <w:r w:rsidR="00C52843" w:rsidRPr="00163B73">
        <w:rPr>
          <w:color w:val="auto"/>
          <w:sz w:val="20"/>
          <w:lang w:val="es-ES"/>
        </w:rPr>
        <w:t xml:space="preserve"> a las presuntas víctimas </w:t>
      </w:r>
      <w:r w:rsidRPr="00163B73">
        <w:rPr>
          <w:color w:val="auto"/>
          <w:sz w:val="20"/>
          <w:lang w:val="es-ES"/>
        </w:rPr>
        <w:t xml:space="preserve">en la cabeza y amarrarles las manos </w:t>
      </w:r>
      <w:r w:rsidR="00230D5D">
        <w:rPr>
          <w:color w:val="auto"/>
          <w:sz w:val="20"/>
          <w:lang w:val="es-ES"/>
        </w:rPr>
        <w:t xml:space="preserve">para luego subirlos a </w:t>
      </w:r>
      <w:r w:rsidRPr="00163B73">
        <w:rPr>
          <w:color w:val="auto"/>
          <w:sz w:val="20"/>
          <w:lang w:val="es-ES"/>
        </w:rPr>
        <w:t xml:space="preserve">las motocicletas </w:t>
      </w:r>
      <w:r w:rsidR="00C52843" w:rsidRPr="00163B73">
        <w:rPr>
          <w:color w:val="auto"/>
          <w:sz w:val="20"/>
          <w:lang w:val="es-ES"/>
        </w:rPr>
        <w:t>y</w:t>
      </w:r>
      <w:r w:rsidRPr="00163B73">
        <w:rPr>
          <w:color w:val="auto"/>
          <w:sz w:val="20"/>
          <w:lang w:val="es-ES"/>
        </w:rPr>
        <w:t xml:space="preserve"> trasladarlos a la Inspección de Policía de San Cristóbal. Se indica que una vez en camino y al observar que se dirigían a un destino diverso, </w:t>
      </w:r>
      <w:proofErr w:type="spellStart"/>
      <w:r w:rsidRPr="00163B73">
        <w:rPr>
          <w:color w:val="auto"/>
          <w:sz w:val="20"/>
          <w:lang w:val="es-ES"/>
        </w:rPr>
        <w:t>Deison</w:t>
      </w:r>
      <w:proofErr w:type="spellEnd"/>
      <w:r w:rsidRPr="00163B73">
        <w:rPr>
          <w:color w:val="auto"/>
          <w:sz w:val="20"/>
          <w:lang w:val="es-ES"/>
        </w:rPr>
        <w:t xml:space="preserve"> Alberto Rodríguez golpeó al agente de policía que conducía la motocicleta y se echó a rodar por la pendiente adyacente a la vía</w:t>
      </w:r>
      <w:r w:rsidR="00C52843" w:rsidRPr="00163B73">
        <w:rPr>
          <w:color w:val="auto"/>
          <w:sz w:val="20"/>
          <w:lang w:val="es-ES"/>
        </w:rPr>
        <w:t>.</w:t>
      </w:r>
      <w:r w:rsidRPr="00163B73">
        <w:rPr>
          <w:color w:val="auto"/>
          <w:sz w:val="20"/>
          <w:lang w:val="es-ES"/>
        </w:rPr>
        <w:t xml:space="preserve"> </w:t>
      </w:r>
      <w:r w:rsidR="00C52843" w:rsidRPr="00163B73">
        <w:rPr>
          <w:color w:val="auto"/>
          <w:sz w:val="20"/>
          <w:lang w:val="es-ES"/>
        </w:rPr>
        <w:t>E</w:t>
      </w:r>
      <w:r w:rsidRPr="00163B73">
        <w:rPr>
          <w:color w:val="auto"/>
          <w:sz w:val="20"/>
          <w:lang w:val="es-ES"/>
        </w:rPr>
        <w:t xml:space="preserve">l resto de las </w:t>
      </w:r>
      <w:r w:rsidR="00C52843" w:rsidRPr="00163B73">
        <w:rPr>
          <w:color w:val="auto"/>
          <w:sz w:val="20"/>
          <w:lang w:val="es-ES"/>
        </w:rPr>
        <w:t xml:space="preserve">presuntas </w:t>
      </w:r>
      <w:r w:rsidR="00230D5D">
        <w:rPr>
          <w:color w:val="auto"/>
          <w:sz w:val="20"/>
          <w:lang w:val="es-ES"/>
        </w:rPr>
        <w:t>víctimas fueron bajada</w:t>
      </w:r>
      <w:r w:rsidRPr="00163B73">
        <w:rPr>
          <w:color w:val="auto"/>
          <w:sz w:val="20"/>
          <w:lang w:val="es-ES"/>
        </w:rPr>
        <w:t>s de las motocicletas y abaleados, causando la muerte instantánea de John Fredy Arenas y Luis Fernando Hernández Carvajal, mientras que Luis Felipe Rendón González logró huir del lugar, no obstante hab</w:t>
      </w:r>
      <w:r w:rsidR="00C52843" w:rsidRPr="00163B73">
        <w:rPr>
          <w:color w:val="auto"/>
          <w:sz w:val="20"/>
          <w:lang w:val="es-ES"/>
        </w:rPr>
        <w:t>er</w:t>
      </w:r>
      <w:r w:rsidRPr="00163B73">
        <w:rPr>
          <w:color w:val="auto"/>
          <w:sz w:val="20"/>
          <w:lang w:val="es-ES"/>
        </w:rPr>
        <w:t xml:space="preserve"> recibido seis impactos de bala. </w:t>
      </w:r>
    </w:p>
    <w:p w:rsidR="00CB6B88" w:rsidRPr="00163B73" w:rsidRDefault="00640B4E" w:rsidP="00CB6B8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163B73">
        <w:rPr>
          <w:color w:val="auto"/>
          <w:sz w:val="20"/>
          <w:lang w:val="es-ES"/>
        </w:rPr>
        <w:t xml:space="preserve">El </w:t>
      </w:r>
      <w:r w:rsidR="00CB6B88" w:rsidRPr="00163B73">
        <w:rPr>
          <w:color w:val="auto"/>
          <w:sz w:val="20"/>
          <w:lang w:val="es-ES"/>
        </w:rPr>
        <w:t xml:space="preserve">17 de agosto de 1992 los familiares de las víctimas presentaron una denuncia en la Comandancia de Policía, la cual fue remitida al Juzgado 93 de Instrucción Penal Militar quien ordenó abrir la investigación penal en contra de José </w:t>
      </w:r>
      <w:proofErr w:type="spellStart"/>
      <w:r w:rsidR="00CB6B88" w:rsidRPr="00163B73">
        <w:rPr>
          <w:color w:val="auto"/>
          <w:sz w:val="20"/>
          <w:lang w:val="es-ES"/>
        </w:rPr>
        <w:t>Nevet</w:t>
      </w:r>
      <w:proofErr w:type="spellEnd"/>
      <w:r w:rsidR="00CB6B88" w:rsidRPr="00163B73">
        <w:rPr>
          <w:color w:val="auto"/>
          <w:sz w:val="20"/>
          <w:lang w:val="es-ES"/>
        </w:rPr>
        <w:t xml:space="preserve"> López Giraldo, Rafael Alberto </w:t>
      </w:r>
      <w:proofErr w:type="spellStart"/>
      <w:r w:rsidR="00CB6B88" w:rsidRPr="00163B73">
        <w:rPr>
          <w:color w:val="auto"/>
          <w:sz w:val="20"/>
          <w:lang w:val="es-ES"/>
        </w:rPr>
        <w:t>Oyola</w:t>
      </w:r>
      <w:proofErr w:type="spellEnd"/>
      <w:r w:rsidR="00CB6B88" w:rsidRPr="00163B73">
        <w:rPr>
          <w:color w:val="auto"/>
          <w:sz w:val="20"/>
          <w:lang w:val="es-ES"/>
        </w:rPr>
        <w:t xml:space="preserve"> de la Hoz, Joel </w:t>
      </w:r>
      <w:proofErr w:type="spellStart"/>
      <w:r w:rsidR="00CB6B88" w:rsidRPr="00163B73">
        <w:rPr>
          <w:color w:val="auto"/>
          <w:sz w:val="20"/>
          <w:lang w:val="es-ES"/>
        </w:rPr>
        <w:t>Metrio</w:t>
      </w:r>
      <w:proofErr w:type="spellEnd"/>
      <w:r w:rsidR="00CB6B88" w:rsidRPr="00163B73">
        <w:rPr>
          <w:color w:val="auto"/>
          <w:sz w:val="20"/>
          <w:lang w:val="es-ES"/>
        </w:rPr>
        <w:t xml:space="preserve"> Muñoz Torrez, Luis Javier Restrepo y </w:t>
      </w:r>
      <w:proofErr w:type="spellStart"/>
      <w:r w:rsidR="00CB6B88" w:rsidRPr="00163B73">
        <w:rPr>
          <w:color w:val="auto"/>
          <w:sz w:val="20"/>
          <w:lang w:val="es-ES"/>
        </w:rPr>
        <w:t>Arquimidez</w:t>
      </w:r>
      <w:proofErr w:type="spellEnd"/>
      <w:r w:rsidR="00CB6B88" w:rsidRPr="00163B73">
        <w:rPr>
          <w:color w:val="auto"/>
          <w:sz w:val="20"/>
          <w:lang w:val="es-ES"/>
        </w:rPr>
        <w:t xml:space="preserve"> Campuzano Martínez. Dicho despacho, mediante resolución de 21 de mayo de 1993</w:t>
      </w:r>
      <w:r w:rsidR="00230D5D">
        <w:rPr>
          <w:color w:val="auto"/>
          <w:sz w:val="20"/>
          <w:lang w:val="es-ES"/>
        </w:rPr>
        <w:t>,</w:t>
      </w:r>
      <w:r w:rsidR="00CB6B88" w:rsidRPr="00163B73">
        <w:rPr>
          <w:color w:val="auto"/>
          <w:sz w:val="20"/>
          <w:lang w:val="es-ES"/>
        </w:rPr>
        <w:t xml:space="preserve"> dictó detención preventiva contra los agentes </w:t>
      </w:r>
      <w:r w:rsidR="00C52843" w:rsidRPr="00163B73">
        <w:rPr>
          <w:color w:val="auto"/>
          <w:sz w:val="20"/>
          <w:lang w:val="es-ES"/>
        </w:rPr>
        <w:t>referidos</w:t>
      </w:r>
      <w:r w:rsidR="00CB6B88" w:rsidRPr="00163B73">
        <w:rPr>
          <w:color w:val="auto"/>
          <w:sz w:val="20"/>
          <w:lang w:val="es-ES"/>
        </w:rPr>
        <w:t xml:space="preserve">, así como a </w:t>
      </w:r>
      <w:r w:rsidR="00C60BA3" w:rsidRPr="00163B73">
        <w:rPr>
          <w:color w:val="auto"/>
          <w:sz w:val="20"/>
          <w:lang w:val="es-ES"/>
        </w:rPr>
        <w:t xml:space="preserve">los agentes </w:t>
      </w:r>
      <w:proofErr w:type="spellStart"/>
      <w:r w:rsidR="00CB6B88" w:rsidRPr="00163B73">
        <w:rPr>
          <w:color w:val="auto"/>
          <w:sz w:val="20"/>
          <w:lang w:val="es-ES"/>
        </w:rPr>
        <w:t>Alcibiadez</w:t>
      </w:r>
      <w:proofErr w:type="spellEnd"/>
      <w:r w:rsidR="00CB6B88" w:rsidRPr="00163B73">
        <w:rPr>
          <w:color w:val="auto"/>
          <w:sz w:val="20"/>
          <w:lang w:val="es-ES"/>
        </w:rPr>
        <w:t xml:space="preserve"> López Caicedo y Alberto Villanueva González, por los delitos de homicidio, tentativa de homicidio y hurto calificado.</w:t>
      </w:r>
      <w:r w:rsidR="00C60BA3" w:rsidRPr="00163B73">
        <w:rPr>
          <w:color w:val="auto"/>
          <w:sz w:val="20"/>
          <w:lang w:val="es-ES"/>
        </w:rPr>
        <w:t xml:space="preserve"> </w:t>
      </w:r>
      <w:r w:rsidR="00CB6B88" w:rsidRPr="00163B73">
        <w:rPr>
          <w:color w:val="auto"/>
          <w:sz w:val="20"/>
          <w:lang w:val="es-ES"/>
        </w:rPr>
        <w:t xml:space="preserve">Posteriormente, el 31 de enero de 1994, el </w:t>
      </w:r>
      <w:r w:rsidR="00FE4F86" w:rsidRPr="00163B73">
        <w:rPr>
          <w:color w:val="auto"/>
          <w:sz w:val="20"/>
          <w:lang w:val="es-ES"/>
        </w:rPr>
        <w:t xml:space="preserve">Juzgado </w:t>
      </w:r>
      <w:r w:rsidR="00CB6B88" w:rsidRPr="00163B73">
        <w:rPr>
          <w:color w:val="auto"/>
          <w:sz w:val="20"/>
          <w:lang w:val="es-ES"/>
        </w:rPr>
        <w:t xml:space="preserve">de </w:t>
      </w:r>
      <w:r w:rsidR="00FE4F86" w:rsidRPr="00163B73">
        <w:rPr>
          <w:color w:val="auto"/>
          <w:sz w:val="20"/>
          <w:lang w:val="es-ES"/>
        </w:rPr>
        <w:t>P</w:t>
      </w:r>
      <w:r w:rsidR="00CB6B88" w:rsidRPr="00163B73">
        <w:rPr>
          <w:color w:val="auto"/>
          <w:sz w:val="20"/>
          <w:lang w:val="es-ES"/>
        </w:rPr>
        <w:t xml:space="preserve">rimera </w:t>
      </w:r>
      <w:r w:rsidR="00FE4F86" w:rsidRPr="00163B73">
        <w:rPr>
          <w:color w:val="auto"/>
          <w:sz w:val="20"/>
          <w:lang w:val="es-ES"/>
        </w:rPr>
        <w:t>I</w:t>
      </w:r>
      <w:r w:rsidR="00CB6B88" w:rsidRPr="00163B73">
        <w:rPr>
          <w:color w:val="auto"/>
          <w:sz w:val="20"/>
          <w:lang w:val="es-ES"/>
        </w:rPr>
        <w:t xml:space="preserve">nstancia </w:t>
      </w:r>
      <w:r w:rsidR="00FE4F86" w:rsidRPr="00163B73">
        <w:rPr>
          <w:color w:val="auto"/>
          <w:sz w:val="20"/>
          <w:lang w:val="es-ES"/>
        </w:rPr>
        <w:t xml:space="preserve">adscrito al Comando de </w:t>
      </w:r>
      <w:r w:rsidR="00CB6B88" w:rsidRPr="00163B73">
        <w:rPr>
          <w:color w:val="auto"/>
          <w:sz w:val="20"/>
          <w:lang w:val="es-ES"/>
        </w:rPr>
        <w:t xml:space="preserve">la Policía Nacional del Valle de </w:t>
      </w:r>
      <w:proofErr w:type="spellStart"/>
      <w:r w:rsidR="00CB6B88" w:rsidRPr="00163B73">
        <w:rPr>
          <w:color w:val="auto"/>
          <w:sz w:val="20"/>
          <w:lang w:val="es-ES"/>
        </w:rPr>
        <w:t>Aburrá</w:t>
      </w:r>
      <w:proofErr w:type="spellEnd"/>
      <w:r w:rsidR="00CB6B88" w:rsidRPr="00163B73">
        <w:rPr>
          <w:color w:val="auto"/>
          <w:sz w:val="20"/>
          <w:lang w:val="es-ES"/>
        </w:rPr>
        <w:t xml:space="preserve"> convocó a Consejo Verbal de Guerra, toda vez que se había concluido que las presuntas víctimas fueron tratadas en condiciones de inferioridad por los uniformados lo cual indicaba un agravante de la conducta. Sin embargo, </w:t>
      </w:r>
      <w:r w:rsidR="00C52843" w:rsidRPr="00163B73">
        <w:rPr>
          <w:color w:val="auto"/>
          <w:sz w:val="20"/>
          <w:lang w:val="es-ES"/>
        </w:rPr>
        <w:t>e</w:t>
      </w:r>
      <w:r w:rsidRPr="00163B73">
        <w:rPr>
          <w:color w:val="auto"/>
          <w:sz w:val="20"/>
          <w:lang w:val="es-ES"/>
        </w:rPr>
        <w:t xml:space="preserve">ste mismo </w:t>
      </w:r>
      <w:r w:rsidR="009D7EDA" w:rsidRPr="00163B73">
        <w:rPr>
          <w:color w:val="auto"/>
          <w:sz w:val="20"/>
          <w:lang w:val="es-ES"/>
        </w:rPr>
        <w:t xml:space="preserve">dictó </w:t>
      </w:r>
      <w:r w:rsidR="00CB6B88" w:rsidRPr="00163B73">
        <w:rPr>
          <w:color w:val="auto"/>
          <w:sz w:val="20"/>
          <w:lang w:val="es-ES"/>
        </w:rPr>
        <w:t xml:space="preserve">el veredicto de no responsabilidad al considerar que los indicios que se tuvieron en cuenta para convocar a los vocales de guerra perdieron su fuerza demostrativa como consecuencia del debate. Esta resolución fue confirmada por el Tribunal Superior Militar el 25 de julio de 1994, al reconocer que la </w:t>
      </w:r>
      <w:r w:rsidR="00C52843" w:rsidRPr="00163B73">
        <w:rPr>
          <w:color w:val="auto"/>
          <w:sz w:val="20"/>
          <w:lang w:val="es-ES"/>
        </w:rPr>
        <w:t xml:space="preserve">prueba </w:t>
      </w:r>
      <w:r w:rsidR="00CB6B88" w:rsidRPr="00163B73">
        <w:rPr>
          <w:color w:val="auto"/>
          <w:sz w:val="20"/>
          <w:lang w:val="es-ES"/>
        </w:rPr>
        <w:t xml:space="preserve">testimonial ofrecida por la parte actora no contaba con pertinencia suficiente para demostrar las condiciones y circunstancias en las que se fundó el juicio de responsabilidad. </w:t>
      </w:r>
    </w:p>
    <w:p w:rsidR="00CB6B88" w:rsidRPr="00163B73" w:rsidRDefault="0075519E" w:rsidP="009B4719">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Pr>
          <w:color w:val="auto"/>
          <w:sz w:val="20"/>
          <w:lang w:val="es-ES"/>
        </w:rPr>
        <w:t>E</w:t>
      </w:r>
      <w:r w:rsidR="00CB6B88" w:rsidRPr="00163B73">
        <w:rPr>
          <w:color w:val="auto"/>
          <w:sz w:val="20"/>
          <w:lang w:val="es-ES"/>
        </w:rPr>
        <w:t>l 15 de agosto de 1992 los familiares de las presuntas víctimas interpusieron queja disciplinaria</w:t>
      </w:r>
      <w:r w:rsidR="00C60BA3" w:rsidRPr="00163B73">
        <w:rPr>
          <w:color w:val="auto"/>
          <w:sz w:val="20"/>
          <w:lang w:val="es-ES"/>
        </w:rPr>
        <w:t xml:space="preserve">, de la que conoció la </w:t>
      </w:r>
      <w:r w:rsidR="00CB6B88" w:rsidRPr="00163B73">
        <w:rPr>
          <w:color w:val="auto"/>
          <w:sz w:val="20"/>
          <w:lang w:val="es-ES"/>
        </w:rPr>
        <w:t xml:space="preserve">Procuraduría Provincial de Medellín, quien comenzó la averiguación disciplinaria formal el 18 de mayo de 1993. Mediante resolución de 10 de marzo de 1994 se suscribieron diez pliegos de cargos contra los agentes de la Policía Nacional </w:t>
      </w:r>
      <w:r w:rsidR="00640B4E" w:rsidRPr="00163B73">
        <w:rPr>
          <w:color w:val="auto"/>
          <w:sz w:val="20"/>
          <w:lang w:val="es-ES"/>
        </w:rPr>
        <w:t>involucrado</w:t>
      </w:r>
      <w:r w:rsidR="00CB6B88" w:rsidRPr="00163B73">
        <w:rPr>
          <w:color w:val="auto"/>
          <w:sz w:val="20"/>
          <w:lang w:val="es-ES"/>
        </w:rPr>
        <w:t xml:space="preserve">s y se procedió a realizar las diligencias de descargos de cada uno de éstos. </w:t>
      </w:r>
      <w:r>
        <w:rPr>
          <w:color w:val="auto"/>
          <w:sz w:val="20"/>
          <w:lang w:val="es-ES"/>
        </w:rPr>
        <w:t>E</w:t>
      </w:r>
      <w:r w:rsidR="00CB6B88" w:rsidRPr="00163B73">
        <w:rPr>
          <w:color w:val="auto"/>
          <w:sz w:val="20"/>
          <w:lang w:val="es-ES"/>
        </w:rPr>
        <w:t xml:space="preserve">l 21 de marzo de 1995 se dictó el fallo de primera instancia en el que se declaró la responsabilidad de los implicados y los sancionó con solicitud de destitución. Esta resolución fue apelada y se remitieron las diligencias a la División de Registro y Control el 7 de febrero de 1996, para así ser remitidas a la Procuraduría Delegada para la Policía Nacional. </w:t>
      </w:r>
      <w:r>
        <w:rPr>
          <w:color w:val="auto"/>
          <w:sz w:val="20"/>
          <w:lang w:val="es-ES"/>
        </w:rPr>
        <w:t>E</w:t>
      </w:r>
      <w:r w:rsidR="00CB6B88" w:rsidRPr="00163B73">
        <w:rPr>
          <w:color w:val="auto"/>
          <w:sz w:val="20"/>
          <w:lang w:val="es-ES"/>
        </w:rPr>
        <w:t>ste despacho dictó el fallo de segunda instancia el 15 de agosto de 1996, en el cual se ordenaba la revoca</w:t>
      </w:r>
      <w:r>
        <w:rPr>
          <w:color w:val="auto"/>
          <w:sz w:val="20"/>
          <w:lang w:val="es-ES"/>
        </w:rPr>
        <w:t>toria</w:t>
      </w:r>
      <w:r w:rsidR="00CB6B88" w:rsidRPr="00163B73">
        <w:rPr>
          <w:color w:val="auto"/>
          <w:sz w:val="20"/>
          <w:lang w:val="es-ES"/>
        </w:rPr>
        <w:t xml:space="preserve"> de la resolución d</w:t>
      </w:r>
      <w:r w:rsidR="009B4719" w:rsidRPr="00163B73">
        <w:rPr>
          <w:color w:val="auto"/>
          <w:sz w:val="20"/>
          <w:lang w:val="es-ES"/>
        </w:rPr>
        <w:t>e primera instancia</w:t>
      </w:r>
      <w:r w:rsidR="00CB6B88" w:rsidRPr="00163B73">
        <w:rPr>
          <w:color w:val="auto"/>
          <w:sz w:val="20"/>
          <w:lang w:val="es-ES"/>
        </w:rPr>
        <w:t xml:space="preserve"> y la nulidad de lo actuado desde el pliego de cargos de 10 de marzo de 1994, ordenando así la devolución de los autos al despacho de origen </w:t>
      </w:r>
      <w:r w:rsidR="009B4719" w:rsidRPr="00163B73">
        <w:rPr>
          <w:color w:val="auto"/>
          <w:sz w:val="20"/>
          <w:lang w:val="es-ES"/>
        </w:rPr>
        <w:t xml:space="preserve">quien </w:t>
      </w:r>
      <w:r w:rsidR="00CB6B88" w:rsidRPr="00163B73">
        <w:rPr>
          <w:color w:val="auto"/>
          <w:sz w:val="20"/>
          <w:lang w:val="es-ES"/>
        </w:rPr>
        <w:t xml:space="preserve">reinició el proceso y posterior al trámite de notificación de los implicados, el 24 de abril de 1997 dictó el auto de cargo en contra de todos los implicados. Sin embargo, para el mes de agosto de ese mismo año operó </w:t>
      </w:r>
      <w:r>
        <w:rPr>
          <w:color w:val="auto"/>
          <w:sz w:val="20"/>
          <w:lang w:val="es-ES"/>
        </w:rPr>
        <w:t>la</w:t>
      </w:r>
      <w:r w:rsidR="00CB6B88" w:rsidRPr="00163B73">
        <w:rPr>
          <w:color w:val="auto"/>
          <w:sz w:val="20"/>
          <w:lang w:val="es-ES"/>
        </w:rPr>
        <w:t xml:space="preserve"> prescripción de la acción disciplinaria, </w:t>
      </w:r>
      <w:r>
        <w:rPr>
          <w:color w:val="auto"/>
          <w:sz w:val="20"/>
          <w:lang w:val="es-ES"/>
        </w:rPr>
        <w:t xml:space="preserve">y </w:t>
      </w:r>
      <w:r w:rsidR="00CB6B88" w:rsidRPr="00163B73">
        <w:rPr>
          <w:color w:val="auto"/>
          <w:sz w:val="20"/>
          <w:lang w:val="es-ES"/>
        </w:rPr>
        <w:t xml:space="preserve">el 4 de marzo de 1998 la Procuraduría Metropolitana del Valle de </w:t>
      </w:r>
      <w:r w:rsidR="00640B4E" w:rsidRPr="00163B73">
        <w:rPr>
          <w:color w:val="auto"/>
          <w:sz w:val="20"/>
          <w:lang w:val="es-ES"/>
        </w:rPr>
        <w:t>Aburra</w:t>
      </w:r>
      <w:r w:rsidR="00CB6B88" w:rsidRPr="00163B73">
        <w:rPr>
          <w:color w:val="auto"/>
          <w:sz w:val="20"/>
          <w:lang w:val="es-ES"/>
        </w:rPr>
        <w:t xml:space="preserve"> decretó la prescripción de la acción. </w:t>
      </w:r>
    </w:p>
    <w:p w:rsidR="00D16189" w:rsidRPr="00163B73" w:rsidRDefault="00D16189" w:rsidP="00D16189">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163B73">
        <w:rPr>
          <w:color w:val="auto"/>
          <w:sz w:val="20"/>
          <w:lang w:val="es-ES"/>
        </w:rPr>
        <w:t xml:space="preserve">Paralelamente, el 8 de noviembre de 1993 los familiares de las presuntas víctimas promovieron proceso de reparación directa el cual quedó radicado ante el Tribunal Contencioso Administrativo de Antioquia, quien mediante fallo de 25 de mayo de 2000, argumentó que no era posible conceder las pretensiones de la parte actora por falta de medios probatorios. Esta decisión fue apelada </w:t>
      </w:r>
      <w:r w:rsidR="0075519E">
        <w:rPr>
          <w:color w:val="auto"/>
          <w:sz w:val="20"/>
          <w:lang w:val="es-ES"/>
        </w:rPr>
        <w:t>y</w:t>
      </w:r>
      <w:r w:rsidRPr="00163B73">
        <w:rPr>
          <w:color w:val="auto"/>
          <w:sz w:val="20"/>
          <w:lang w:val="es-ES"/>
        </w:rPr>
        <w:t xml:space="preserve"> la </w:t>
      </w:r>
      <w:r w:rsidRPr="00163B73">
        <w:rPr>
          <w:color w:val="auto"/>
          <w:sz w:val="20"/>
          <w:lang w:val="es-ES"/>
        </w:rPr>
        <w:lastRenderedPageBreak/>
        <w:t>Sección Tercera de la Sala de los Contencioso Administrativo del Consejo de Estado, mediante res</w:t>
      </w:r>
      <w:r w:rsidR="0075519E">
        <w:rPr>
          <w:color w:val="auto"/>
          <w:sz w:val="20"/>
          <w:lang w:val="es-ES"/>
        </w:rPr>
        <w:t xml:space="preserve">olución el 26 de octubre de 201, </w:t>
      </w:r>
      <w:r w:rsidRPr="00163B73">
        <w:rPr>
          <w:color w:val="auto"/>
          <w:sz w:val="20"/>
          <w:lang w:val="es-ES"/>
        </w:rPr>
        <w:t xml:space="preserve">ordenó revocar la sentencia y condenar al Estado ordenando el pago de reparaciones por el daño causado. Respecto de la suma reconocida en la sentencia dictada por el Consejo de Estado en el marco del proceso contencioso administrativo, la parte peticionaria sostiene que no se valoraron los daños causados a los familiares de las presuntas víctimas, ni los veinte años de retardo injustificado de los procesos jurisdiccionales. </w:t>
      </w:r>
      <w:r w:rsidR="00137829" w:rsidRPr="00163B73">
        <w:rPr>
          <w:color w:val="auto"/>
          <w:sz w:val="20"/>
          <w:lang w:val="es-ES"/>
        </w:rPr>
        <w:t xml:space="preserve">Asimismo, </w:t>
      </w:r>
      <w:r w:rsidRPr="00163B73">
        <w:rPr>
          <w:color w:val="auto"/>
          <w:sz w:val="20"/>
          <w:lang w:val="es-ES"/>
        </w:rPr>
        <w:t>requ</w:t>
      </w:r>
      <w:r w:rsidR="00531050" w:rsidRPr="00163B73">
        <w:rPr>
          <w:color w:val="auto"/>
          <w:sz w:val="20"/>
          <w:lang w:val="es-ES"/>
        </w:rPr>
        <w:t>i</w:t>
      </w:r>
      <w:r w:rsidRPr="00163B73">
        <w:rPr>
          <w:color w:val="auto"/>
          <w:sz w:val="20"/>
          <w:lang w:val="es-ES"/>
        </w:rPr>
        <w:t xml:space="preserve">rió a la Fiscalía General de la Nación impulsar la investigación penal y ofrecer una disculpa pública a los familiares de las presuntas víctimas. En atención a esta resolución, el 23 de abril de 2012, la Fiscalía Delegada de los Jueces del Circuito 123 de Medellín dictó resolución interlocutoria en la que se inhibió de abrir la instrucción al considerar que los hechos a investigar ya se habían elevado a cosa juzgada al haber sido investigados por la justicia penal militar. </w:t>
      </w:r>
    </w:p>
    <w:p w:rsidR="00D16189" w:rsidRPr="00163B73" w:rsidRDefault="0075519E" w:rsidP="00D16189">
      <w:pPr>
        <w:pStyle w:val="ListParagraph"/>
        <w:numPr>
          <w:ilvl w:val="0"/>
          <w:numId w:val="110"/>
        </w:numPr>
        <w:spacing w:after="240"/>
        <w:jc w:val="both"/>
        <w:rPr>
          <w:rFonts w:asciiTheme="majorHAnsi" w:hAnsiTheme="majorHAnsi"/>
          <w:sz w:val="20"/>
          <w:lang w:val="es-ES"/>
        </w:rPr>
      </w:pPr>
      <w:r>
        <w:rPr>
          <w:rFonts w:asciiTheme="majorHAnsi" w:hAnsiTheme="majorHAnsi"/>
          <w:sz w:val="20"/>
          <w:lang w:val="es-ES"/>
        </w:rPr>
        <w:t>E</w:t>
      </w:r>
      <w:r w:rsidR="00D16189" w:rsidRPr="00163B73">
        <w:rPr>
          <w:rFonts w:asciiTheme="majorHAnsi" w:hAnsiTheme="majorHAnsi"/>
          <w:sz w:val="20"/>
          <w:lang w:val="es-ES"/>
        </w:rPr>
        <w:t xml:space="preserve">l Estado sostiene que la petición es inadmisible, pues los peticionarios pretenden la revisión de las decisiones en los procesos judiciales, viola su derecho de acceso a la justicia y de igualdad ante la ley. Afirma que las acciones instauradas por las partes y aquellas impulsadas de oficio por el Estado, se examinaron a fondo por los órganos judiciales competentes de acuerdo con la normativa interna. </w:t>
      </w:r>
      <w:r w:rsidR="00D16189" w:rsidRPr="00163B73">
        <w:rPr>
          <w:color w:val="auto"/>
          <w:sz w:val="20"/>
          <w:lang w:val="es-ES"/>
        </w:rPr>
        <w:t xml:space="preserve">Por ello, alega que la admisión de la petición implicaría una revisión de cuarta instancia por parte de la Comisión.  </w:t>
      </w:r>
      <w:r w:rsidR="00D16189" w:rsidRPr="00163B73">
        <w:rPr>
          <w:rFonts w:asciiTheme="majorHAnsi" w:hAnsiTheme="majorHAnsi"/>
          <w:sz w:val="20"/>
          <w:lang w:val="es-ES"/>
        </w:rPr>
        <w:t xml:space="preserve">Adicionalmente, </w:t>
      </w:r>
      <w:r w:rsidR="00D16189" w:rsidRPr="00163B73">
        <w:rPr>
          <w:color w:val="auto"/>
          <w:sz w:val="20"/>
          <w:lang w:val="es-ES"/>
        </w:rPr>
        <w:t xml:space="preserve">afirma que </w:t>
      </w:r>
      <w:r w:rsidR="00D548BB">
        <w:rPr>
          <w:color w:val="auto"/>
          <w:sz w:val="20"/>
          <w:lang w:val="es-ES"/>
        </w:rPr>
        <w:t>no hay</w:t>
      </w:r>
      <w:r w:rsidR="00D16189" w:rsidRPr="00163B73">
        <w:rPr>
          <w:color w:val="auto"/>
          <w:sz w:val="20"/>
          <w:lang w:val="es-ES"/>
        </w:rPr>
        <w:t xml:space="preserve"> argumentos sobre la presunta vulneración a los derechos de las presuntas víctimas y que </w:t>
      </w:r>
      <w:r w:rsidR="00D548BB">
        <w:rPr>
          <w:color w:val="auto"/>
          <w:sz w:val="20"/>
          <w:lang w:val="es-ES"/>
        </w:rPr>
        <w:t>el peticionario</w:t>
      </w:r>
      <w:r w:rsidR="00D16189" w:rsidRPr="00163B73">
        <w:rPr>
          <w:color w:val="auto"/>
          <w:sz w:val="20"/>
          <w:lang w:val="es-ES"/>
        </w:rPr>
        <w:t xml:space="preserve"> funda su inconformidad sobre los las decisiones dictadas por los órganos judiciales sin que se logre sustentar la afectación a los derechos que señala en la petición.</w:t>
      </w:r>
    </w:p>
    <w:p w:rsidR="003239B8" w:rsidRPr="00163B73" w:rsidRDefault="003239B8" w:rsidP="003239B8">
      <w:pPr>
        <w:spacing w:before="240" w:after="240"/>
        <w:ind w:firstLine="720"/>
        <w:jc w:val="both"/>
        <w:rPr>
          <w:rFonts w:ascii="Cambria" w:hAnsi="Cambria"/>
          <w:sz w:val="20"/>
          <w:szCs w:val="20"/>
          <w:lang w:val="es-UY"/>
        </w:rPr>
      </w:pPr>
      <w:r w:rsidRPr="00163B73">
        <w:rPr>
          <w:rFonts w:asciiTheme="majorHAnsi" w:eastAsia="Cambria" w:hAnsiTheme="majorHAnsi" w:cs="Cambria"/>
          <w:b/>
          <w:bCs/>
          <w:color w:val="000000"/>
          <w:sz w:val="20"/>
          <w:szCs w:val="20"/>
          <w:u w:color="000000"/>
          <w:lang w:val="es-ES" w:eastAsia="es-ES"/>
        </w:rPr>
        <w:t>VI.</w:t>
      </w:r>
      <w:r w:rsidRPr="00163B73">
        <w:rPr>
          <w:rFonts w:asciiTheme="majorHAnsi" w:eastAsia="Cambria" w:hAnsiTheme="majorHAnsi" w:cs="Cambria"/>
          <w:b/>
          <w:bCs/>
          <w:color w:val="000000"/>
          <w:sz w:val="20"/>
          <w:szCs w:val="20"/>
          <w:u w:color="000000"/>
          <w:lang w:val="es-ES" w:eastAsia="es-ES"/>
        </w:rPr>
        <w:tab/>
      </w:r>
      <w:r w:rsidR="004A6A54" w:rsidRPr="00230D5D">
        <w:rPr>
          <w:rFonts w:asciiTheme="majorHAnsi" w:hAnsiTheme="majorHAnsi"/>
          <w:b/>
          <w:bCs/>
          <w:sz w:val="19"/>
          <w:szCs w:val="19"/>
          <w:lang w:val="es-ES_tradnl"/>
        </w:rPr>
        <w:t xml:space="preserve">ANÁLISIS DE </w:t>
      </w:r>
      <w:r w:rsidR="00C21FEF" w:rsidRPr="00230D5D">
        <w:rPr>
          <w:rFonts w:asciiTheme="majorHAnsi" w:hAnsiTheme="majorHAnsi"/>
          <w:b/>
          <w:sz w:val="19"/>
          <w:szCs w:val="19"/>
          <w:lang w:val="es-ES"/>
        </w:rPr>
        <w:t>AGOTAMIENTO DE LOS RECURSOS INTERNOS Y PLAZO DE PRESENTACIÓN</w:t>
      </w:r>
      <w:r w:rsidR="00C21FEF" w:rsidRPr="00163B73">
        <w:rPr>
          <w:rFonts w:asciiTheme="majorHAnsi" w:eastAsia="Cambria" w:hAnsiTheme="majorHAnsi" w:cs="Cambria"/>
          <w:b/>
          <w:bCs/>
          <w:color w:val="000000"/>
          <w:sz w:val="20"/>
          <w:szCs w:val="20"/>
          <w:u w:color="000000"/>
          <w:lang w:val="es-ES" w:eastAsia="es-ES"/>
        </w:rPr>
        <w:t xml:space="preserve"> </w:t>
      </w:r>
    </w:p>
    <w:p w:rsidR="00D16189" w:rsidRPr="00163B73" w:rsidRDefault="00D16189" w:rsidP="00D16189">
      <w:pPr>
        <w:pStyle w:val="ListParagraph"/>
        <w:numPr>
          <w:ilvl w:val="0"/>
          <w:numId w:val="103"/>
        </w:numPr>
        <w:suppressAutoHyphens/>
        <w:spacing w:after="240"/>
        <w:jc w:val="both"/>
        <w:rPr>
          <w:sz w:val="20"/>
          <w:szCs w:val="20"/>
          <w:lang w:val="es-ES"/>
        </w:rPr>
      </w:pPr>
      <w:r w:rsidRPr="00163B73">
        <w:rPr>
          <w:sz w:val="20"/>
          <w:szCs w:val="20"/>
          <w:lang w:val="es-ES"/>
        </w:rPr>
        <w:t xml:space="preserve">El Estado señala que ha facilitado, promovido y concluido los recursos adecuados en materia penal y en lo contencioso administrativo, para la satisfacción de las presuntas víctimas y sus familiares, y que la pretensión del peticionario relativa al estudio del monto otorgado por concepto de perjuicio moral no debe de ser objeto de revisión de la Comisión pues no está facultada a determinar dicha cantidad. Por su parte, la parte peticionaria sostiene que los hechos hasta la actualidad se mantienen en impunidad, al no haberse impulsado </w:t>
      </w:r>
      <w:r w:rsidR="00FF13AE" w:rsidRPr="00163B73">
        <w:rPr>
          <w:sz w:val="20"/>
          <w:szCs w:val="20"/>
          <w:lang w:val="es-ES"/>
        </w:rPr>
        <w:t>la i</w:t>
      </w:r>
      <w:r w:rsidRPr="00163B73">
        <w:rPr>
          <w:sz w:val="20"/>
          <w:szCs w:val="20"/>
          <w:lang w:val="es-ES"/>
        </w:rPr>
        <w:t>nvestigación penal por parte de la Fiscalía General. En relación con la vía contencioso administrativa, la parte peticionaria manifiesta que si bien existe una remuneración económica, la reparación del daño ha sido parcial</w:t>
      </w:r>
      <w:r w:rsidR="00D548BB">
        <w:rPr>
          <w:sz w:val="20"/>
          <w:szCs w:val="20"/>
          <w:lang w:val="es-ES"/>
        </w:rPr>
        <w:t xml:space="preserve"> y </w:t>
      </w:r>
      <w:r w:rsidRPr="00163B73">
        <w:rPr>
          <w:sz w:val="20"/>
          <w:szCs w:val="20"/>
          <w:lang w:val="es-ES"/>
        </w:rPr>
        <w:t>no implica una reparación integral de los perjuicios.</w:t>
      </w:r>
    </w:p>
    <w:p w:rsidR="00D16189" w:rsidRPr="00163B73" w:rsidRDefault="00D16189" w:rsidP="00D16189">
      <w:pPr>
        <w:pStyle w:val="ListParagraph"/>
        <w:numPr>
          <w:ilvl w:val="0"/>
          <w:numId w:val="103"/>
        </w:numPr>
        <w:suppressAutoHyphens/>
        <w:spacing w:after="240"/>
        <w:jc w:val="both"/>
        <w:rPr>
          <w:sz w:val="20"/>
          <w:szCs w:val="20"/>
          <w:lang w:val="es-ES"/>
        </w:rPr>
      </w:pPr>
      <w:r w:rsidRPr="00163B73">
        <w:rPr>
          <w:sz w:val="20"/>
          <w:szCs w:val="20"/>
          <w:lang w:val="es-ES"/>
        </w:rPr>
        <w:t>La Comisión ha establecido que toda vez que se cometa un delito en el que presuntamente participen autoridades estatales, el Estado tiene la obligación de promover e impulsar el proceso penal y que el proceso de éste es la vía idónea para esclarecer los hechos y establecer las sanciones penales correspondientes, además de posibilitar otros modos de reparación de tipo pecun</w:t>
      </w:r>
      <w:r w:rsidR="00185564" w:rsidRPr="00163B73">
        <w:rPr>
          <w:sz w:val="20"/>
          <w:szCs w:val="20"/>
          <w:lang w:val="es-ES"/>
        </w:rPr>
        <w:t>i</w:t>
      </w:r>
      <w:r w:rsidRPr="00163B73">
        <w:rPr>
          <w:sz w:val="20"/>
          <w:szCs w:val="20"/>
          <w:lang w:val="es-ES"/>
        </w:rPr>
        <w:t>ario. En ese sentido, la CIDH advierte que el desarrollo y conclusión de las investigaciones en la justicia penal militar constituyeron un impedimento en el agotamiento de recursos internos. Respecto al empleo del fuero militar, la Comisión se ha pronunciado en forma reiterada en el sentido que no constituye un foro apropiado para investigar la muerte de un civil dado que no ofrece las garantías requeridas y por lo tanto no brinda un recurso adecuado para investigar, juzgar y sancionar alegadas violaciones a los derechos humanos consagradas en la Convención Americana</w:t>
      </w:r>
      <w:r w:rsidRPr="00163B73">
        <w:rPr>
          <w:rStyle w:val="FootnoteReference"/>
          <w:sz w:val="20"/>
          <w:szCs w:val="20"/>
          <w:lang w:val="es-ES"/>
        </w:rPr>
        <w:footnoteReference w:id="7"/>
      </w:r>
      <w:r w:rsidRPr="00163B73">
        <w:rPr>
          <w:sz w:val="20"/>
          <w:szCs w:val="20"/>
          <w:lang w:val="es-ES"/>
        </w:rPr>
        <w:t xml:space="preserve">. Por lo anterior, la Comisión considera procedente la aplicación de la excepción contemplada en el artículo 46.2.b y c  de la Convención. </w:t>
      </w:r>
    </w:p>
    <w:p w:rsidR="00D16189" w:rsidRPr="00163B73" w:rsidRDefault="00D16189" w:rsidP="00D161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63B73">
        <w:rPr>
          <w:rFonts w:ascii="Cambria" w:hAnsi="Cambria"/>
          <w:sz w:val="20"/>
          <w:szCs w:val="20"/>
          <w:lang w:val="es-ES"/>
        </w:rPr>
        <w:t xml:space="preserve">Por otra parte, en relación con el proceso de reparación directa iniciado en la jurisdicción contencioso administrativa, la Comisión ha sostenido reiteradamente que dicha vía no constituye un recurso idóneo a efectos de analizar la admisibilidad de un reclamo de la naturaleza del presente, ya que la misma no es adecuada para proporcionar una reparación integral y justicia a los familiares. No obstante lo establecido, en el presente caso se observa que los peticionarios alegan además violaciones concretas relativas a la celeridad procesal en el marco de la reparación directa. Por ello, dada la vinculación entre los dos procesos, la CIDH toma en cuenta que en la jurisdicción contencioso administrativa, los recursos internos se agotaron con la sentencia de 26 de octubre de 2011 emitida por la Sala de lo Contencioso Administrativo que declaró </w:t>
      </w:r>
      <w:r w:rsidRPr="00163B73">
        <w:rPr>
          <w:rFonts w:ascii="Cambria" w:hAnsi="Cambria"/>
          <w:sz w:val="20"/>
          <w:szCs w:val="20"/>
          <w:lang w:val="es-ES"/>
        </w:rPr>
        <w:lastRenderedPageBreak/>
        <w:t xml:space="preserve">patrimonialmente responsable a la Nación, Ministerio de Defensa, Policía Nacional, de los daños y perjuicios causados a las presuntas víctimas y a sus </w:t>
      </w:r>
      <w:r w:rsidR="00D548BB" w:rsidRPr="00163B73">
        <w:rPr>
          <w:rFonts w:ascii="Cambria" w:hAnsi="Cambria"/>
          <w:sz w:val="20"/>
          <w:szCs w:val="20"/>
          <w:lang w:val="es-ES"/>
        </w:rPr>
        <w:t>familiares,</w:t>
      </w:r>
      <w:r w:rsidRPr="00163B73">
        <w:rPr>
          <w:rFonts w:ascii="Cambria" w:hAnsi="Cambria"/>
          <w:sz w:val="20"/>
          <w:szCs w:val="20"/>
          <w:lang w:val="es-ES"/>
        </w:rPr>
        <w:t xml:space="preserve"> como consecuencia de su muerte y lesiones.</w:t>
      </w:r>
    </w:p>
    <w:p w:rsidR="00D16189" w:rsidRPr="00163B73" w:rsidRDefault="00D16189" w:rsidP="00D16189">
      <w:pPr>
        <w:pStyle w:val="ListParagraph"/>
        <w:numPr>
          <w:ilvl w:val="0"/>
          <w:numId w:val="103"/>
        </w:numPr>
        <w:suppressAutoHyphens/>
        <w:spacing w:after="240"/>
        <w:jc w:val="both"/>
        <w:rPr>
          <w:sz w:val="20"/>
          <w:szCs w:val="20"/>
          <w:lang w:val="es-ES"/>
        </w:rPr>
      </w:pPr>
      <w:r w:rsidRPr="00163B73">
        <w:rPr>
          <w:sz w:val="20"/>
          <w:szCs w:val="20"/>
          <w:lang w:val="es-ES"/>
        </w:rPr>
        <w:t>Finalmente, la petición fue presentada el 9 de noviembre de 2009, los alegados hechos materia iniciaron el 14 de agosto de 1992, y sus presuntos efectos se extienden hasta el presente. Por lo tanto, en vista del contexto y las características, la Comisión considera que la petición fue presentada dentro de un plazo razonable y que debe darse por satisfecho el requisito de admisibilidad.</w:t>
      </w:r>
    </w:p>
    <w:p w:rsidR="003239B8" w:rsidRPr="00163B73" w:rsidRDefault="003239B8" w:rsidP="003239B8">
      <w:pPr>
        <w:pStyle w:val="ListParagraph"/>
        <w:spacing w:before="240" w:after="240"/>
        <w:jc w:val="both"/>
        <w:rPr>
          <w:rFonts w:asciiTheme="majorHAnsi" w:hAnsiTheme="majorHAnsi"/>
          <w:b/>
          <w:sz w:val="20"/>
          <w:szCs w:val="20"/>
          <w:lang w:val="es-ES"/>
        </w:rPr>
      </w:pPr>
      <w:r w:rsidRPr="00163B73">
        <w:rPr>
          <w:rFonts w:asciiTheme="majorHAnsi" w:hAnsiTheme="majorHAnsi"/>
          <w:b/>
          <w:bCs/>
          <w:sz w:val="20"/>
          <w:szCs w:val="20"/>
          <w:lang w:val="es-ES"/>
        </w:rPr>
        <w:t>VII.</w:t>
      </w:r>
      <w:r w:rsidRPr="00163B73">
        <w:rPr>
          <w:rFonts w:asciiTheme="majorHAnsi" w:hAnsiTheme="majorHAnsi"/>
          <w:b/>
          <w:bCs/>
          <w:sz w:val="20"/>
          <w:szCs w:val="20"/>
          <w:lang w:val="es-ES"/>
        </w:rPr>
        <w:tab/>
      </w:r>
      <w:r w:rsidR="004A6A54" w:rsidRPr="00163B73">
        <w:rPr>
          <w:rFonts w:asciiTheme="majorHAnsi" w:hAnsiTheme="majorHAnsi"/>
          <w:b/>
          <w:bCs/>
          <w:sz w:val="20"/>
          <w:szCs w:val="20"/>
          <w:lang w:val="es-ES_tradnl"/>
        </w:rPr>
        <w:t xml:space="preserve">ANÁLISIS DE </w:t>
      </w:r>
      <w:r w:rsidR="00C21FEF" w:rsidRPr="00163B73">
        <w:rPr>
          <w:rFonts w:asciiTheme="majorHAnsi" w:hAnsiTheme="majorHAnsi"/>
          <w:b/>
          <w:bCs/>
          <w:sz w:val="20"/>
          <w:szCs w:val="20"/>
          <w:lang w:val="es-ES"/>
        </w:rPr>
        <w:t xml:space="preserve">CARACTERIZACIÓN </w:t>
      </w:r>
      <w:r w:rsidR="00C21FEF" w:rsidRPr="00163B73">
        <w:rPr>
          <w:rFonts w:asciiTheme="majorHAnsi" w:hAnsiTheme="majorHAnsi"/>
          <w:b/>
          <w:bCs/>
          <w:sz w:val="20"/>
          <w:szCs w:val="20"/>
          <w:lang w:val="es-UY"/>
        </w:rPr>
        <w:t>DE LOS HECHOS ALEGADOS</w:t>
      </w:r>
    </w:p>
    <w:p w:rsidR="00CB6B88" w:rsidRPr="00163B73" w:rsidRDefault="00CB6B88" w:rsidP="00CB6B88">
      <w:pPr>
        <w:pStyle w:val="ListParagraph"/>
        <w:numPr>
          <w:ilvl w:val="0"/>
          <w:numId w:val="103"/>
        </w:numPr>
        <w:jc w:val="both"/>
        <w:rPr>
          <w:bCs/>
          <w:sz w:val="20"/>
          <w:szCs w:val="20"/>
          <w:lang w:val="es-ES"/>
        </w:rPr>
      </w:pPr>
      <w:r w:rsidRPr="00163B73">
        <w:rPr>
          <w:sz w:val="20"/>
          <w:szCs w:val="20"/>
          <w:lang w:val="es-ES"/>
        </w:rPr>
        <w:t xml:space="preserve">En vista de los elementos de hecho y de derecho expuestos por las partes y la naturaleza del asunto puesto bajo su conocimiento, la Comisión considera que las alegadas </w:t>
      </w:r>
      <w:r w:rsidR="00531050" w:rsidRPr="00163B73">
        <w:rPr>
          <w:sz w:val="20"/>
          <w:szCs w:val="20"/>
          <w:lang w:val="es-ES"/>
        </w:rPr>
        <w:t xml:space="preserve">lesiones y </w:t>
      </w:r>
      <w:r w:rsidRPr="00163B73">
        <w:rPr>
          <w:sz w:val="20"/>
          <w:szCs w:val="20"/>
          <w:lang w:val="es-ES"/>
        </w:rPr>
        <w:t xml:space="preserve">ejecuciones extrajudiciales de las presuntas víctimas por parte de los agentes del Ejército Nacional, la subsistente impunidad y falta de protección judicial efectiva en los procesos judiciales desarrollados en los hechos, podrían caracterizar posibles violaciones de los artículos </w:t>
      </w:r>
      <w:r w:rsidRPr="00163B73">
        <w:rPr>
          <w:bCs/>
          <w:sz w:val="20"/>
          <w:szCs w:val="20"/>
          <w:lang w:val="es-ES"/>
        </w:rPr>
        <w:t>4 (vida), 5 (integridad personal),</w:t>
      </w:r>
      <w:r w:rsidR="009D7EDA" w:rsidRPr="00163B73">
        <w:rPr>
          <w:bCs/>
          <w:sz w:val="20"/>
          <w:szCs w:val="20"/>
          <w:lang w:val="es-ES"/>
        </w:rPr>
        <w:t xml:space="preserve"> 7 (libertad personal),</w:t>
      </w:r>
      <w:r w:rsidR="002026F5" w:rsidRPr="00163B73">
        <w:rPr>
          <w:bCs/>
          <w:sz w:val="20"/>
          <w:szCs w:val="20"/>
          <w:lang w:val="es-ES"/>
        </w:rPr>
        <w:t xml:space="preserve"> 8 (garantías judiciales) </w:t>
      </w:r>
      <w:r w:rsidRPr="00163B73">
        <w:rPr>
          <w:bCs/>
          <w:sz w:val="20"/>
          <w:szCs w:val="20"/>
          <w:lang w:val="es-ES"/>
        </w:rPr>
        <w:t>y 25 (protección judicial) de la Convención Americana de Derechos Humanos en relación con sus artículos 1.1 y 2; en perjuicio de las presuntas víctimas y sus familiares.</w:t>
      </w:r>
    </w:p>
    <w:p w:rsidR="00CB6B88" w:rsidRPr="00163B73" w:rsidRDefault="00CB6B88" w:rsidP="00CB6B88">
      <w:pPr>
        <w:pStyle w:val="ListParagraph"/>
        <w:jc w:val="both"/>
        <w:rPr>
          <w:bCs/>
          <w:sz w:val="20"/>
          <w:szCs w:val="20"/>
          <w:lang w:val="es-ES"/>
        </w:rPr>
      </w:pPr>
    </w:p>
    <w:p w:rsidR="00524D3B" w:rsidRPr="00163B73" w:rsidRDefault="00524D3B" w:rsidP="00524D3B">
      <w:pPr>
        <w:pStyle w:val="ListParagraph"/>
        <w:numPr>
          <w:ilvl w:val="0"/>
          <w:numId w:val="103"/>
        </w:numPr>
        <w:jc w:val="both"/>
        <w:rPr>
          <w:sz w:val="20"/>
          <w:szCs w:val="20"/>
          <w:lang w:val="es-ES"/>
        </w:rPr>
      </w:pPr>
      <w:r w:rsidRPr="00163B73">
        <w:rPr>
          <w:sz w:val="20"/>
          <w:szCs w:val="20"/>
          <w:lang w:val="es-ES"/>
        </w:rPr>
        <w:t>En cuanto a las aducidas vulneraciones a artículos de la Declaración Americana, esta Comisión ha establecido con anterioridad que, una vez que la Convención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encajan dentro del ámbito de protección de los artículos 4, 5, 7, 8 y 25 de la Convención. Por lo tanto la Comisión examinará estos alegatos a la luz de la Convención.</w:t>
      </w:r>
    </w:p>
    <w:p w:rsidR="00524D3B" w:rsidRPr="00163B73" w:rsidRDefault="00524D3B" w:rsidP="00524D3B">
      <w:pPr>
        <w:pStyle w:val="ListParagraph"/>
        <w:rPr>
          <w:bCs/>
          <w:sz w:val="20"/>
          <w:szCs w:val="20"/>
          <w:lang w:val="es-ES"/>
        </w:rPr>
      </w:pPr>
    </w:p>
    <w:p w:rsidR="00D16189" w:rsidRPr="00163B73" w:rsidRDefault="00D16189" w:rsidP="00D16189">
      <w:pPr>
        <w:pStyle w:val="ListParagraph"/>
        <w:numPr>
          <w:ilvl w:val="0"/>
          <w:numId w:val="103"/>
        </w:numPr>
        <w:jc w:val="both"/>
        <w:rPr>
          <w:sz w:val="20"/>
          <w:szCs w:val="20"/>
          <w:lang w:val="es-ES"/>
        </w:rPr>
      </w:pPr>
      <w:r w:rsidRPr="00163B73">
        <w:rPr>
          <w:bCs/>
          <w:sz w:val="20"/>
          <w:szCs w:val="20"/>
          <w:lang w:val="es-ES"/>
        </w:rPr>
        <w:t>Respecto a los alegatos del Estado referidos a la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cuando ésta se refiere a procesos internos que podrían ser violatorios de derechos garantizados por la Convención.</w:t>
      </w:r>
    </w:p>
    <w:p w:rsidR="00D16189" w:rsidRPr="00163B73" w:rsidRDefault="00D16189" w:rsidP="00D16189">
      <w:pPr>
        <w:pStyle w:val="ListParagraph"/>
        <w:rPr>
          <w:sz w:val="20"/>
          <w:szCs w:val="20"/>
          <w:lang w:val="es-ES"/>
        </w:rPr>
      </w:pPr>
    </w:p>
    <w:p w:rsidR="00D16189" w:rsidRPr="00163B73" w:rsidRDefault="00D548BB" w:rsidP="00D16189">
      <w:pPr>
        <w:pStyle w:val="ListParagraph"/>
        <w:numPr>
          <w:ilvl w:val="0"/>
          <w:numId w:val="103"/>
        </w:numPr>
        <w:jc w:val="both"/>
        <w:rPr>
          <w:sz w:val="20"/>
          <w:szCs w:val="20"/>
          <w:lang w:val="es-ES"/>
        </w:rPr>
      </w:pPr>
      <w:r>
        <w:rPr>
          <w:sz w:val="20"/>
          <w:szCs w:val="20"/>
          <w:lang w:val="es-ES"/>
        </w:rPr>
        <w:t>E</w:t>
      </w:r>
      <w:r w:rsidR="00D16189" w:rsidRPr="00163B73">
        <w:rPr>
          <w:sz w:val="20"/>
          <w:szCs w:val="20"/>
          <w:lang w:val="es-ES"/>
        </w:rPr>
        <w:t xml:space="preserve">n atención al argumento del Estado respecto de la ausencia de argumentos por parte de la parte peticionaria, la Comisión toma nota de que sus normas de procedimiento no contienen ninguna disposición específica que obligue a los peticionarios a exponer todos sus argumentos jurídicos en su petición inicial, sino que </w:t>
      </w:r>
      <w:r>
        <w:rPr>
          <w:sz w:val="20"/>
          <w:szCs w:val="20"/>
          <w:lang w:val="es-ES"/>
        </w:rPr>
        <w:t>su</w:t>
      </w:r>
      <w:r w:rsidR="00D16189" w:rsidRPr="00163B73">
        <w:rPr>
          <w:sz w:val="20"/>
          <w:szCs w:val="20"/>
          <w:lang w:val="es-ES"/>
        </w:rPr>
        <w:t xml:space="preserve"> Reglamento establece que la petición debe contener una reseña del acto o la situación denunciada, sin imponer condiciones expresas sobre el contenido o la oportunidad de las denuncias jurídicas específicas. Por lo que corresponde a la Comisión con base en la jurisprudencia del sistema, determinar qué disposición de los instrumentos interamericanos relevantes es aplicable y podría establecerse su violación.</w:t>
      </w:r>
    </w:p>
    <w:p w:rsidR="003239B8" w:rsidRPr="00163B73" w:rsidRDefault="003239B8" w:rsidP="003239B8">
      <w:pPr>
        <w:pStyle w:val="ListParagraph"/>
        <w:spacing w:before="240" w:after="240"/>
        <w:jc w:val="both"/>
        <w:rPr>
          <w:rFonts w:asciiTheme="majorHAnsi" w:hAnsiTheme="majorHAnsi"/>
          <w:b/>
          <w:bCs/>
          <w:sz w:val="20"/>
          <w:szCs w:val="20"/>
          <w:lang w:val="es-ES"/>
        </w:rPr>
      </w:pPr>
      <w:r w:rsidRPr="00163B73">
        <w:rPr>
          <w:rFonts w:asciiTheme="majorHAnsi" w:hAnsiTheme="majorHAnsi"/>
          <w:b/>
          <w:bCs/>
          <w:sz w:val="20"/>
          <w:szCs w:val="20"/>
          <w:lang w:val="es-ES"/>
        </w:rPr>
        <w:t xml:space="preserve">VIII. </w:t>
      </w:r>
      <w:r w:rsidRPr="00163B73">
        <w:rPr>
          <w:rFonts w:asciiTheme="majorHAnsi" w:hAnsiTheme="majorHAnsi"/>
          <w:b/>
          <w:bCs/>
          <w:sz w:val="20"/>
          <w:szCs w:val="20"/>
          <w:lang w:val="es-ES"/>
        </w:rPr>
        <w:tab/>
        <w:t>DECISIÓN</w:t>
      </w:r>
    </w:p>
    <w:p w:rsidR="003239B8" w:rsidRPr="00163B7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63B73">
        <w:rPr>
          <w:rFonts w:asciiTheme="majorHAnsi" w:hAnsiTheme="majorHAnsi"/>
          <w:sz w:val="20"/>
          <w:szCs w:val="20"/>
          <w:lang w:val="es-ES"/>
        </w:rPr>
        <w:t xml:space="preserve">Declarar admisible la presente petición en relación con </w:t>
      </w:r>
      <w:r w:rsidR="009B500F" w:rsidRPr="00163B73">
        <w:rPr>
          <w:rFonts w:asciiTheme="majorHAnsi" w:hAnsiTheme="majorHAnsi"/>
          <w:sz w:val="20"/>
          <w:szCs w:val="20"/>
          <w:lang w:val="es-ES"/>
        </w:rPr>
        <w:t xml:space="preserve">los artículos 4, 5, </w:t>
      </w:r>
      <w:r w:rsidR="009D7EDA" w:rsidRPr="00163B73">
        <w:rPr>
          <w:rFonts w:asciiTheme="majorHAnsi" w:hAnsiTheme="majorHAnsi"/>
          <w:sz w:val="20"/>
          <w:szCs w:val="20"/>
          <w:lang w:val="es-ES"/>
        </w:rPr>
        <w:t xml:space="preserve">7, 8 </w:t>
      </w:r>
      <w:r w:rsidR="009B500F" w:rsidRPr="00163B73">
        <w:rPr>
          <w:rFonts w:asciiTheme="majorHAnsi" w:hAnsiTheme="majorHAnsi"/>
          <w:sz w:val="20"/>
          <w:szCs w:val="20"/>
          <w:lang w:val="es-ES"/>
        </w:rPr>
        <w:t>y 25 de la Convención Americana en concordancia con sus artículos 1.1 y</w:t>
      </w:r>
      <w:r w:rsidR="0034027C" w:rsidRPr="00163B73">
        <w:rPr>
          <w:rFonts w:asciiTheme="majorHAnsi" w:hAnsiTheme="majorHAnsi"/>
          <w:sz w:val="20"/>
          <w:szCs w:val="20"/>
          <w:lang w:val="es-ES"/>
        </w:rPr>
        <w:t xml:space="preserve"> </w:t>
      </w:r>
      <w:r w:rsidR="009B500F" w:rsidRPr="00163B73">
        <w:rPr>
          <w:rFonts w:asciiTheme="majorHAnsi" w:hAnsiTheme="majorHAnsi"/>
          <w:sz w:val="20"/>
          <w:szCs w:val="20"/>
          <w:lang w:val="es-ES"/>
        </w:rPr>
        <w:t>2</w:t>
      </w:r>
      <w:r w:rsidR="00A758AA" w:rsidRPr="00163B73">
        <w:rPr>
          <w:rFonts w:asciiTheme="majorHAnsi" w:hAnsiTheme="majorHAnsi"/>
          <w:sz w:val="20"/>
          <w:szCs w:val="20"/>
          <w:lang w:val="es-ES"/>
        </w:rPr>
        <w:t>;</w:t>
      </w:r>
      <w:r w:rsidR="007B76D3" w:rsidRPr="00163B73">
        <w:rPr>
          <w:rFonts w:asciiTheme="majorHAnsi" w:hAnsiTheme="majorHAnsi"/>
          <w:sz w:val="20"/>
          <w:szCs w:val="20"/>
          <w:lang w:val="es-ES"/>
        </w:rPr>
        <w:t xml:space="preserve"> y</w:t>
      </w:r>
    </w:p>
    <w:p w:rsidR="000419AD" w:rsidRPr="00163B73" w:rsidRDefault="000419AD" w:rsidP="000419AD">
      <w:pPr>
        <w:rPr>
          <w:sz w:val="20"/>
          <w:szCs w:val="20"/>
          <w:lang w:val="es-ES"/>
        </w:rPr>
      </w:pPr>
    </w:p>
    <w:p w:rsidR="004A6A54" w:rsidRPr="00163B73"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3B7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CC5E68" w:rsidRPr="00CC5E68" w:rsidRDefault="00CC3D67" w:rsidP="00975AC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Cambria" w:hAnsi="Cambria" w:cs="Cambria"/>
          <w:color w:val="000000"/>
          <w:sz w:val="20"/>
          <w:szCs w:val="20"/>
          <w:u w:color="000000"/>
          <w:lang w:val="es-ES" w:eastAsia="es-ES"/>
        </w:rPr>
      </w:pPr>
      <w:r>
        <w:rPr>
          <w:rFonts w:ascii="Cambria" w:hAnsi="Cambria"/>
          <w:sz w:val="20"/>
          <w:szCs w:val="20"/>
          <w:lang w:val="es-ES"/>
        </w:rPr>
        <w:t xml:space="preserve">Aprobado por la Comisión Interamericana de Derechos Humanos a los 14 días del mes de </w:t>
      </w:r>
      <w:r>
        <w:rPr>
          <w:rFonts w:ascii="Cambria" w:hAnsi="Cambria" w:cs="Arial"/>
          <w:noProof/>
          <w:spacing w:val="-2"/>
          <w:sz w:val="20"/>
          <w:szCs w:val="20"/>
          <w:lang w:val="es-CL"/>
        </w:rPr>
        <w:t>julio</w:t>
      </w:r>
      <w:r>
        <w:rPr>
          <w:rFonts w:ascii="Cambria" w:hAnsi="Cambria"/>
          <w:sz w:val="20"/>
          <w:szCs w:val="20"/>
          <w:lang w:val="es-ES"/>
        </w:rPr>
        <w:t xml:space="preserve"> de 2019. </w:t>
      </w:r>
      <w:r w:rsidRPr="002B7B81">
        <w:rPr>
          <w:rFonts w:ascii="Cambria" w:hAnsi="Cambria"/>
          <w:sz w:val="20"/>
          <w:szCs w:val="20"/>
          <w:lang w:val="es-ES"/>
        </w:rPr>
        <w:t>(Firmado):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r>
        <w:rPr>
          <w:rFonts w:ascii="Cambria" w:hAnsi="Cambria"/>
          <w:sz w:val="20"/>
          <w:szCs w:val="20"/>
          <w:lang w:val="es-ES"/>
        </w:rPr>
        <w:tab/>
      </w:r>
    </w:p>
    <w:p w:rsidR="00CC3D67" w:rsidRPr="00E37609" w:rsidRDefault="00CC3D67" w:rsidP="00CC5E6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sectPr w:rsidR="00CC3D67" w:rsidRPr="00E376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3A" w:rsidRDefault="00445A3A">
      <w:r>
        <w:separator/>
      </w:r>
    </w:p>
  </w:endnote>
  <w:endnote w:type="continuationSeparator" w:id="0">
    <w:p w:rsidR="00445A3A" w:rsidRDefault="0044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7" w:rsidRDefault="00F91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91307">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3A" w:rsidRPr="000F35ED" w:rsidRDefault="00445A3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45A3A" w:rsidRPr="000F35ED" w:rsidRDefault="00445A3A" w:rsidP="000F35ED">
      <w:pPr>
        <w:rPr>
          <w:rFonts w:asciiTheme="majorHAnsi" w:hAnsiTheme="majorHAnsi"/>
          <w:sz w:val="16"/>
          <w:szCs w:val="16"/>
        </w:rPr>
      </w:pPr>
      <w:r w:rsidRPr="000F35ED">
        <w:rPr>
          <w:rFonts w:asciiTheme="majorHAnsi" w:hAnsiTheme="majorHAnsi"/>
          <w:sz w:val="16"/>
          <w:szCs w:val="16"/>
        </w:rPr>
        <w:separator/>
      </w:r>
    </w:p>
    <w:p w:rsidR="00445A3A" w:rsidRPr="000F35ED" w:rsidRDefault="00445A3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45A3A" w:rsidRPr="000F35ED" w:rsidRDefault="00445A3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B29D1" w:rsidRPr="00163B73" w:rsidRDefault="004B29D1" w:rsidP="00440A46">
      <w:pPr>
        <w:pStyle w:val="FootnoteText"/>
        <w:ind w:firstLine="720"/>
        <w:jc w:val="both"/>
        <w:rPr>
          <w:rFonts w:asciiTheme="majorHAnsi" w:hAnsiTheme="majorHAnsi"/>
          <w:sz w:val="16"/>
          <w:szCs w:val="16"/>
          <w:lang w:val="es-MX"/>
        </w:rPr>
      </w:pPr>
      <w:r w:rsidRPr="00163B73">
        <w:rPr>
          <w:rStyle w:val="FootnoteReference"/>
          <w:rFonts w:asciiTheme="majorHAnsi" w:hAnsiTheme="majorHAnsi"/>
          <w:sz w:val="16"/>
          <w:szCs w:val="16"/>
        </w:rPr>
        <w:footnoteRef/>
      </w:r>
      <w:r w:rsidR="00440A46" w:rsidRPr="00163B73">
        <w:rPr>
          <w:rFonts w:asciiTheme="majorHAnsi" w:hAnsiTheme="majorHAnsi"/>
          <w:sz w:val="16"/>
          <w:szCs w:val="16"/>
          <w:lang w:val="es-ES"/>
        </w:rPr>
        <w:t xml:space="preserve"> </w:t>
      </w:r>
      <w:r w:rsidR="00965275" w:rsidRPr="00163B73">
        <w:rPr>
          <w:rFonts w:asciiTheme="majorHAnsi" w:hAnsiTheme="majorHAnsi"/>
          <w:sz w:val="16"/>
          <w:szCs w:val="16"/>
          <w:lang w:val="es-ES"/>
        </w:rPr>
        <w:t xml:space="preserve">La petición identifica a las siguientes presuntas víctimas: </w:t>
      </w:r>
      <w:r w:rsidR="00440A46" w:rsidRPr="00163B73">
        <w:rPr>
          <w:rFonts w:asciiTheme="majorHAnsi" w:hAnsiTheme="majorHAnsi"/>
          <w:sz w:val="16"/>
          <w:szCs w:val="16"/>
          <w:lang w:val="es-ES"/>
        </w:rPr>
        <w:t xml:space="preserve">Luis Fernando Hernández Carvajal, John Fredy Arenas, </w:t>
      </w:r>
      <w:proofErr w:type="spellStart"/>
      <w:r w:rsidR="00440A46" w:rsidRPr="00163B73">
        <w:rPr>
          <w:rFonts w:asciiTheme="majorHAnsi" w:hAnsiTheme="majorHAnsi"/>
          <w:sz w:val="16"/>
          <w:szCs w:val="16"/>
          <w:lang w:val="es-ES"/>
        </w:rPr>
        <w:t>Deison</w:t>
      </w:r>
      <w:proofErr w:type="spellEnd"/>
      <w:r w:rsidR="00440A46" w:rsidRPr="00163B73">
        <w:rPr>
          <w:rFonts w:asciiTheme="majorHAnsi" w:hAnsiTheme="majorHAnsi"/>
          <w:sz w:val="16"/>
          <w:szCs w:val="16"/>
          <w:lang w:val="es-ES"/>
        </w:rPr>
        <w:t xml:space="preserve"> Alberto Rodríguez Patiño y Luis Felipe Rendón González. </w:t>
      </w:r>
      <w:r w:rsidRPr="00163B73">
        <w:rPr>
          <w:rFonts w:asciiTheme="majorHAnsi" w:hAnsiTheme="majorHAnsi"/>
          <w:sz w:val="16"/>
          <w:szCs w:val="16"/>
          <w:lang w:val="es-MX"/>
        </w:rPr>
        <w:t xml:space="preserve"> </w:t>
      </w:r>
      <w:r w:rsidR="00440A46" w:rsidRPr="00163B73">
        <w:rPr>
          <w:rFonts w:asciiTheme="majorHAnsi" w:hAnsiTheme="majorHAnsi"/>
          <w:sz w:val="16"/>
          <w:szCs w:val="16"/>
          <w:lang w:val="es-ES"/>
        </w:rPr>
        <w:t>Asimismo, señala a los siguientes familiares:</w:t>
      </w:r>
      <w:r w:rsidR="00D5241E" w:rsidRPr="00163B73">
        <w:rPr>
          <w:rFonts w:asciiTheme="majorHAnsi" w:hAnsiTheme="majorHAnsi"/>
          <w:sz w:val="16"/>
          <w:szCs w:val="16"/>
          <w:lang w:val="es-ES"/>
        </w:rPr>
        <w:t xml:space="preserve"> </w:t>
      </w:r>
      <w:r w:rsidR="005472FD" w:rsidRPr="00163B73">
        <w:rPr>
          <w:rFonts w:asciiTheme="majorHAnsi" w:hAnsiTheme="majorHAnsi"/>
          <w:sz w:val="16"/>
          <w:szCs w:val="16"/>
          <w:lang w:val="es-ES"/>
        </w:rPr>
        <w:t xml:space="preserve">José Obdulio Hernández Rodríguez (padre), María del Socorro Carvajal de Hernández (madre), </w:t>
      </w:r>
      <w:proofErr w:type="spellStart"/>
      <w:r w:rsidR="00905015" w:rsidRPr="00163B73">
        <w:rPr>
          <w:rFonts w:asciiTheme="majorHAnsi" w:hAnsiTheme="majorHAnsi"/>
          <w:sz w:val="16"/>
          <w:szCs w:val="16"/>
          <w:lang w:val="es-ES"/>
        </w:rPr>
        <w:t>Aniza</w:t>
      </w:r>
      <w:proofErr w:type="spellEnd"/>
      <w:r w:rsidR="00905015" w:rsidRPr="00163B73">
        <w:rPr>
          <w:rFonts w:asciiTheme="majorHAnsi" w:hAnsiTheme="majorHAnsi"/>
          <w:sz w:val="16"/>
          <w:szCs w:val="16"/>
          <w:lang w:val="es-ES"/>
        </w:rPr>
        <w:t xml:space="preserve"> María Hernández Carvajal </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hermana</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xml:space="preserve">, </w:t>
      </w:r>
      <w:proofErr w:type="spellStart"/>
      <w:r w:rsidR="00905015" w:rsidRPr="00163B73">
        <w:rPr>
          <w:rFonts w:asciiTheme="majorHAnsi" w:hAnsiTheme="majorHAnsi"/>
          <w:sz w:val="16"/>
          <w:szCs w:val="16"/>
          <w:lang w:val="es-ES"/>
        </w:rPr>
        <w:t>Leyda</w:t>
      </w:r>
      <w:proofErr w:type="spellEnd"/>
      <w:r w:rsidR="00905015" w:rsidRPr="00163B73">
        <w:rPr>
          <w:rFonts w:asciiTheme="majorHAnsi" w:hAnsiTheme="majorHAnsi"/>
          <w:sz w:val="16"/>
          <w:szCs w:val="16"/>
          <w:lang w:val="es-ES"/>
        </w:rPr>
        <w:t xml:space="preserve"> del Socorro Hernández Carvajal</w:t>
      </w:r>
      <w:r w:rsidR="005472FD"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hermana</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xml:space="preserve">, </w:t>
      </w:r>
      <w:proofErr w:type="spellStart"/>
      <w:r w:rsidR="00905015" w:rsidRPr="00163B73">
        <w:rPr>
          <w:rFonts w:asciiTheme="majorHAnsi" w:hAnsiTheme="majorHAnsi"/>
          <w:sz w:val="16"/>
          <w:szCs w:val="16"/>
          <w:lang w:val="es-ES"/>
        </w:rPr>
        <w:t>Jahir</w:t>
      </w:r>
      <w:proofErr w:type="spellEnd"/>
      <w:r w:rsidR="00905015" w:rsidRPr="00163B73">
        <w:rPr>
          <w:rFonts w:asciiTheme="majorHAnsi" w:hAnsiTheme="majorHAnsi"/>
          <w:sz w:val="16"/>
          <w:szCs w:val="16"/>
          <w:lang w:val="es-ES"/>
        </w:rPr>
        <w:t xml:space="preserve"> Alberto Hernández Carvajal</w:t>
      </w:r>
      <w:r w:rsidR="005472FD"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hermano</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José Gabriel Antonio Hernández Carvajal</w:t>
      </w:r>
      <w:r w:rsidR="005472FD"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hermano</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xml:space="preserve">, Sandra </w:t>
      </w:r>
      <w:proofErr w:type="spellStart"/>
      <w:r w:rsidR="00905015" w:rsidRPr="00163B73">
        <w:rPr>
          <w:rFonts w:asciiTheme="majorHAnsi" w:hAnsiTheme="majorHAnsi"/>
          <w:sz w:val="16"/>
          <w:szCs w:val="16"/>
          <w:lang w:val="es-ES"/>
        </w:rPr>
        <w:t>Yolima</w:t>
      </w:r>
      <w:proofErr w:type="spellEnd"/>
      <w:r w:rsidR="00905015" w:rsidRPr="00163B73">
        <w:rPr>
          <w:rFonts w:asciiTheme="majorHAnsi" w:hAnsiTheme="majorHAnsi"/>
          <w:sz w:val="16"/>
          <w:szCs w:val="16"/>
          <w:lang w:val="es-ES"/>
        </w:rPr>
        <w:t xml:space="preserve"> Hernández Carvajal</w:t>
      </w:r>
      <w:r w:rsidR="005472FD"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hermana</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Diana Jaqueline Hernández Carvajal</w:t>
      </w:r>
      <w:r w:rsidR="005472FD"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hermana</w:t>
      </w:r>
      <w:r w:rsidR="005472FD" w:rsidRPr="00163B73">
        <w:rPr>
          <w:rFonts w:asciiTheme="majorHAnsi" w:hAnsiTheme="majorHAnsi"/>
          <w:sz w:val="16"/>
          <w:szCs w:val="16"/>
          <w:lang w:val="es-ES"/>
        </w:rPr>
        <w:t>)</w:t>
      </w:r>
      <w:r w:rsidR="002D1594" w:rsidRPr="00163B73">
        <w:rPr>
          <w:rFonts w:asciiTheme="majorHAnsi" w:hAnsiTheme="majorHAnsi"/>
          <w:sz w:val="16"/>
          <w:szCs w:val="16"/>
          <w:lang w:val="es-ES"/>
        </w:rPr>
        <w:t>,</w:t>
      </w:r>
      <w:r w:rsidR="00905015" w:rsidRPr="00163B73">
        <w:rPr>
          <w:rFonts w:asciiTheme="majorHAnsi" w:hAnsiTheme="majorHAnsi"/>
          <w:sz w:val="16"/>
          <w:szCs w:val="16"/>
          <w:lang w:val="es-ES"/>
        </w:rPr>
        <w:t xml:space="preserve"> y Juan Camilo Hernández Carvajal (hermano)</w:t>
      </w:r>
      <w:r w:rsidR="00440A46" w:rsidRPr="00163B73">
        <w:rPr>
          <w:rFonts w:asciiTheme="majorHAnsi" w:hAnsiTheme="majorHAnsi"/>
          <w:sz w:val="16"/>
          <w:szCs w:val="16"/>
          <w:lang w:val="es-ES"/>
        </w:rPr>
        <w:t xml:space="preserve">; </w:t>
      </w:r>
      <w:r w:rsidR="00905015" w:rsidRPr="00163B73">
        <w:rPr>
          <w:rFonts w:asciiTheme="majorHAnsi" w:hAnsiTheme="majorHAnsi"/>
          <w:sz w:val="16"/>
          <w:szCs w:val="16"/>
          <w:lang w:val="es-ES"/>
        </w:rPr>
        <w:t xml:space="preserve">María </w:t>
      </w:r>
      <w:proofErr w:type="spellStart"/>
      <w:r w:rsidR="00905015" w:rsidRPr="00163B73">
        <w:rPr>
          <w:rFonts w:asciiTheme="majorHAnsi" w:hAnsiTheme="majorHAnsi"/>
          <w:sz w:val="16"/>
          <w:szCs w:val="16"/>
          <w:lang w:val="es-ES"/>
        </w:rPr>
        <w:t>Eucaris</w:t>
      </w:r>
      <w:proofErr w:type="spellEnd"/>
      <w:r w:rsidR="00905015" w:rsidRPr="00163B73">
        <w:rPr>
          <w:rFonts w:asciiTheme="majorHAnsi" w:hAnsiTheme="majorHAnsi"/>
          <w:sz w:val="16"/>
          <w:szCs w:val="16"/>
          <w:lang w:val="es-ES"/>
        </w:rPr>
        <w:t xml:space="preserve"> del Socorro (madre), Claudia Yaneth Rodríguez Arenas (hermana), Jonathan Osvaldo Roldan Arenas (hermano) y Andrés David Roldan Arenas (hermano)</w:t>
      </w:r>
      <w:r w:rsidR="005472FD" w:rsidRPr="00163B73">
        <w:rPr>
          <w:rFonts w:asciiTheme="majorHAnsi" w:hAnsiTheme="majorHAnsi"/>
          <w:sz w:val="16"/>
          <w:szCs w:val="16"/>
          <w:lang w:val="es-ES"/>
        </w:rPr>
        <w:t>,</w:t>
      </w:r>
      <w:r w:rsidR="00905015" w:rsidRPr="00163B73">
        <w:rPr>
          <w:rFonts w:asciiTheme="majorHAnsi" w:hAnsiTheme="majorHAnsi"/>
          <w:sz w:val="16"/>
          <w:szCs w:val="16"/>
          <w:lang w:val="es-ES"/>
        </w:rPr>
        <w:t xml:space="preserve"> </w:t>
      </w:r>
      <w:r w:rsidR="002D1594" w:rsidRPr="00163B73">
        <w:rPr>
          <w:rFonts w:asciiTheme="majorHAnsi" w:hAnsiTheme="majorHAnsi"/>
          <w:sz w:val="16"/>
          <w:szCs w:val="16"/>
          <w:lang w:val="es-ES"/>
        </w:rPr>
        <w:t xml:space="preserve">Jairo León Rodríguez Higuita </w:t>
      </w:r>
      <w:r w:rsidR="00905015" w:rsidRPr="00163B73">
        <w:rPr>
          <w:rFonts w:asciiTheme="majorHAnsi" w:hAnsiTheme="majorHAnsi"/>
          <w:sz w:val="16"/>
          <w:szCs w:val="16"/>
          <w:lang w:val="es-ES"/>
        </w:rPr>
        <w:t>(</w:t>
      </w:r>
      <w:r w:rsidR="002D1594" w:rsidRPr="00163B73">
        <w:rPr>
          <w:rFonts w:asciiTheme="majorHAnsi" w:hAnsiTheme="majorHAnsi"/>
          <w:sz w:val="16"/>
          <w:szCs w:val="16"/>
          <w:lang w:val="es-ES"/>
        </w:rPr>
        <w:t>padre</w:t>
      </w:r>
      <w:r w:rsidR="00905015" w:rsidRPr="00163B73">
        <w:rPr>
          <w:rFonts w:asciiTheme="majorHAnsi" w:hAnsiTheme="majorHAnsi"/>
          <w:sz w:val="16"/>
          <w:szCs w:val="16"/>
          <w:lang w:val="es-ES"/>
        </w:rPr>
        <w:t>)</w:t>
      </w:r>
      <w:r w:rsidR="002D1594" w:rsidRPr="00163B73">
        <w:rPr>
          <w:rFonts w:asciiTheme="majorHAnsi" w:hAnsiTheme="majorHAnsi"/>
          <w:sz w:val="16"/>
          <w:szCs w:val="16"/>
          <w:lang w:val="es-ES"/>
        </w:rPr>
        <w:t>, Consuelo de Jesús Patiño Gutiérrez</w:t>
      </w:r>
      <w:r w:rsidR="00905015" w:rsidRPr="00163B73">
        <w:rPr>
          <w:rFonts w:asciiTheme="majorHAnsi" w:hAnsiTheme="majorHAnsi"/>
          <w:sz w:val="16"/>
          <w:szCs w:val="16"/>
          <w:lang w:val="es-ES"/>
        </w:rPr>
        <w:t xml:space="preserve"> (</w:t>
      </w:r>
      <w:r w:rsidR="002D1594" w:rsidRPr="00163B73">
        <w:rPr>
          <w:rFonts w:asciiTheme="majorHAnsi" w:hAnsiTheme="majorHAnsi"/>
          <w:sz w:val="16"/>
          <w:szCs w:val="16"/>
          <w:lang w:val="es-ES"/>
        </w:rPr>
        <w:t>madre</w:t>
      </w:r>
      <w:r w:rsidR="00905015" w:rsidRPr="00163B73">
        <w:rPr>
          <w:rFonts w:asciiTheme="majorHAnsi" w:hAnsiTheme="majorHAnsi"/>
          <w:sz w:val="16"/>
          <w:szCs w:val="16"/>
          <w:lang w:val="es-ES"/>
        </w:rPr>
        <w:t>)</w:t>
      </w:r>
      <w:r w:rsidR="002D1594" w:rsidRPr="00163B73">
        <w:rPr>
          <w:rFonts w:asciiTheme="majorHAnsi" w:hAnsiTheme="majorHAnsi"/>
          <w:sz w:val="16"/>
          <w:szCs w:val="16"/>
          <w:lang w:val="es-ES"/>
        </w:rPr>
        <w:t>, Jairo León Rodríguez Patiño</w:t>
      </w:r>
      <w:r w:rsidR="00905015" w:rsidRPr="00163B73">
        <w:rPr>
          <w:rFonts w:asciiTheme="majorHAnsi" w:hAnsiTheme="majorHAnsi"/>
          <w:sz w:val="16"/>
          <w:szCs w:val="16"/>
          <w:lang w:val="es-ES"/>
        </w:rPr>
        <w:t xml:space="preserve"> (</w:t>
      </w:r>
      <w:r w:rsidR="002D1594" w:rsidRPr="00163B73">
        <w:rPr>
          <w:rFonts w:asciiTheme="majorHAnsi" w:hAnsiTheme="majorHAnsi"/>
          <w:sz w:val="16"/>
          <w:szCs w:val="16"/>
          <w:lang w:val="es-ES"/>
        </w:rPr>
        <w:t>hermano</w:t>
      </w:r>
      <w:r w:rsidR="00905015" w:rsidRPr="00163B73">
        <w:rPr>
          <w:rFonts w:asciiTheme="majorHAnsi" w:hAnsiTheme="majorHAnsi"/>
          <w:sz w:val="16"/>
          <w:szCs w:val="16"/>
          <w:lang w:val="es-ES"/>
        </w:rPr>
        <w:t>)</w:t>
      </w:r>
      <w:r w:rsidR="002D1594" w:rsidRPr="00163B73">
        <w:rPr>
          <w:rFonts w:asciiTheme="majorHAnsi" w:hAnsiTheme="majorHAnsi"/>
          <w:sz w:val="16"/>
          <w:szCs w:val="16"/>
          <w:lang w:val="es-ES"/>
        </w:rPr>
        <w:t>, y Douglas Rodríguez Patiño</w:t>
      </w:r>
      <w:r w:rsidR="00905015" w:rsidRPr="00163B73">
        <w:rPr>
          <w:rFonts w:asciiTheme="majorHAnsi" w:hAnsiTheme="majorHAnsi"/>
          <w:sz w:val="16"/>
          <w:szCs w:val="16"/>
          <w:lang w:val="es-ES"/>
        </w:rPr>
        <w:t xml:space="preserve"> (</w:t>
      </w:r>
      <w:r w:rsidR="002D1594" w:rsidRPr="00163B73">
        <w:rPr>
          <w:rFonts w:asciiTheme="majorHAnsi" w:hAnsiTheme="majorHAnsi"/>
          <w:sz w:val="16"/>
          <w:szCs w:val="16"/>
          <w:lang w:val="es-ES"/>
        </w:rPr>
        <w:t>hermano</w:t>
      </w:r>
      <w:r w:rsidR="00905015" w:rsidRPr="00163B73">
        <w:rPr>
          <w:rFonts w:asciiTheme="majorHAnsi" w:hAnsiTheme="majorHAnsi"/>
          <w:sz w:val="16"/>
          <w:szCs w:val="16"/>
          <w:lang w:val="es-ES"/>
        </w:rPr>
        <w:t>)</w:t>
      </w:r>
      <w:r w:rsidR="00440A46" w:rsidRPr="00163B73">
        <w:rPr>
          <w:rFonts w:asciiTheme="majorHAnsi" w:hAnsiTheme="majorHAnsi"/>
          <w:sz w:val="16"/>
          <w:szCs w:val="16"/>
          <w:lang w:val="es-ES"/>
        </w:rPr>
        <w:t>,</w:t>
      </w:r>
      <w:r w:rsidR="005472FD" w:rsidRPr="00163B73">
        <w:rPr>
          <w:rFonts w:asciiTheme="majorHAnsi" w:hAnsiTheme="majorHAnsi"/>
          <w:sz w:val="16"/>
          <w:szCs w:val="16"/>
          <w:lang w:val="es-ES"/>
        </w:rPr>
        <w:t xml:space="preserve"> </w:t>
      </w:r>
      <w:r w:rsidR="002D1594" w:rsidRPr="00163B73">
        <w:rPr>
          <w:rFonts w:asciiTheme="majorHAnsi" w:hAnsiTheme="majorHAnsi"/>
          <w:sz w:val="16"/>
          <w:szCs w:val="16"/>
          <w:lang w:val="es-ES"/>
        </w:rPr>
        <w:t>Marta Cecilia Zuluaga Builes(cónyuge), Ana María Rendón Zuluaga (hija), Pedro Iván Rendón Echavarría (padre), Caridad del Socorro González Salazar de Rendón (madre), Margarita María Rendón González (hermana), Luz Adriana Rendón González (hermana), Jaime Rendón González (hermano), y José Alejandro Rendón González (hermano)</w:t>
      </w:r>
      <w:r w:rsidR="00A52704" w:rsidRPr="00163B73">
        <w:rPr>
          <w:rFonts w:asciiTheme="majorHAnsi" w:hAnsiTheme="majorHAnsi"/>
          <w:sz w:val="16"/>
          <w:szCs w:val="16"/>
          <w:lang w:val="es-ES"/>
        </w:rPr>
        <w:t>.</w:t>
      </w:r>
    </w:p>
  </w:footnote>
  <w:footnote w:id="3">
    <w:p w:rsidR="004A6A54" w:rsidRPr="00163B73" w:rsidRDefault="004A6A54" w:rsidP="00230D5D">
      <w:pPr>
        <w:pStyle w:val="FootnoteText"/>
        <w:ind w:firstLine="720"/>
        <w:jc w:val="both"/>
        <w:rPr>
          <w:rFonts w:asciiTheme="majorHAnsi" w:hAnsiTheme="majorHAnsi"/>
          <w:sz w:val="16"/>
          <w:szCs w:val="16"/>
          <w:lang w:val="es-ES"/>
        </w:rPr>
      </w:pPr>
      <w:r w:rsidRPr="00163B73">
        <w:rPr>
          <w:rStyle w:val="FootnoteReference"/>
          <w:rFonts w:asciiTheme="majorHAnsi" w:hAnsiTheme="majorHAnsi"/>
          <w:sz w:val="16"/>
          <w:szCs w:val="16"/>
        </w:rPr>
        <w:footnoteRef/>
      </w:r>
      <w:r w:rsidRPr="00163B73">
        <w:rPr>
          <w:rFonts w:asciiTheme="majorHAnsi" w:hAnsiTheme="majorHAnsi"/>
          <w:sz w:val="16"/>
          <w:szCs w:val="16"/>
          <w:lang w:val="es-ES"/>
        </w:rPr>
        <w:t xml:space="preserve"> Conforme a lo dispuesto en el artículo 17.2.a del Reglamento de la Comisión, el Comisionado </w:t>
      </w:r>
      <w:r w:rsidR="00720F87" w:rsidRPr="00163B73">
        <w:rPr>
          <w:rFonts w:asciiTheme="majorHAnsi" w:hAnsiTheme="majorHAnsi"/>
          <w:sz w:val="16"/>
          <w:szCs w:val="16"/>
          <w:lang w:val="es-ES"/>
        </w:rPr>
        <w:t>Luis Ernesto Vargas Silva</w:t>
      </w:r>
      <w:r w:rsidRPr="00163B73">
        <w:rPr>
          <w:rFonts w:asciiTheme="majorHAnsi" w:hAnsiTheme="majorHAnsi"/>
          <w:sz w:val="16"/>
          <w:szCs w:val="16"/>
          <w:lang w:val="es-ES"/>
        </w:rPr>
        <w:t xml:space="preserve">, de nacionalidad </w:t>
      </w:r>
      <w:r w:rsidR="00720F87" w:rsidRPr="00163B73">
        <w:rPr>
          <w:rFonts w:asciiTheme="majorHAnsi" w:hAnsiTheme="majorHAnsi"/>
          <w:sz w:val="16"/>
          <w:szCs w:val="16"/>
          <w:lang w:val="es-ES"/>
        </w:rPr>
        <w:t>colombiana</w:t>
      </w:r>
      <w:r w:rsidRPr="00163B73">
        <w:rPr>
          <w:rFonts w:asciiTheme="majorHAnsi" w:hAnsiTheme="majorHAnsi"/>
          <w:sz w:val="16"/>
          <w:szCs w:val="16"/>
          <w:lang w:val="es-ES"/>
        </w:rPr>
        <w:t>, no participó en el debate ni en la decisión del presente asunto.</w:t>
      </w:r>
    </w:p>
  </w:footnote>
  <w:footnote w:id="4">
    <w:p w:rsidR="00397074" w:rsidRPr="00163B73" w:rsidRDefault="00397074" w:rsidP="00397074">
      <w:pPr>
        <w:pStyle w:val="FootnoteText"/>
        <w:ind w:firstLine="720"/>
        <w:rPr>
          <w:rFonts w:asciiTheme="majorHAnsi" w:hAnsiTheme="majorHAnsi"/>
          <w:sz w:val="16"/>
          <w:szCs w:val="16"/>
          <w:lang w:val="es-MX"/>
        </w:rPr>
      </w:pPr>
      <w:r w:rsidRPr="00163B73">
        <w:rPr>
          <w:rStyle w:val="FootnoteReference"/>
          <w:rFonts w:asciiTheme="majorHAnsi" w:hAnsiTheme="majorHAnsi"/>
          <w:sz w:val="16"/>
          <w:szCs w:val="16"/>
        </w:rPr>
        <w:footnoteRef/>
      </w:r>
      <w:r w:rsidRPr="00163B73">
        <w:rPr>
          <w:rFonts w:asciiTheme="majorHAnsi" w:hAnsiTheme="majorHAnsi"/>
          <w:sz w:val="16"/>
          <w:szCs w:val="16"/>
          <w:lang w:val="es-MX"/>
        </w:rPr>
        <w:t xml:space="preserve"> </w:t>
      </w:r>
      <w:r w:rsidRPr="00163B73">
        <w:rPr>
          <w:rFonts w:asciiTheme="majorHAnsi" w:hAnsiTheme="majorHAnsi"/>
          <w:sz w:val="16"/>
          <w:szCs w:val="16"/>
          <w:lang w:val="es-ES"/>
        </w:rPr>
        <w:t>En adelante “Convención Americana” o “Convención”</w:t>
      </w:r>
      <w:r w:rsidR="005E6A78" w:rsidRPr="00163B73">
        <w:rPr>
          <w:rFonts w:asciiTheme="majorHAnsi" w:hAnsiTheme="majorHAnsi"/>
          <w:sz w:val="16"/>
          <w:szCs w:val="16"/>
          <w:lang w:val="es-ES"/>
        </w:rPr>
        <w:t>.</w:t>
      </w:r>
    </w:p>
  </w:footnote>
  <w:footnote w:id="5">
    <w:p w:rsidR="005E6A78" w:rsidRPr="00163B73" w:rsidRDefault="005E6A78" w:rsidP="005E6A78">
      <w:pPr>
        <w:pStyle w:val="FootnoteText"/>
        <w:ind w:firstLine="720"/>
        <w:rPr>
          <w:rFonts w:asciiTheme="majorHAnsi" w:hAnsiTheme="majorHAnsi"/>
          <w:sz w:val="16"/>
          <w:szCs w:val="16"/>
          <w:lang w:val="es-AR"/>
        </w:rPr>
      </w:pPr>
      <w:r w:rsidRPr="00163B73">
        <w:rPr>
          <w:rStyle w:val="FootnoteReference"/>
          <w:rFonts w:asciiTheme="majorHAnsi" w:hAnsiTheme="majorHAnsi"/>
          <w:sz w:val="16"/>
          <w:szCs w:val="16"/>
        </w:rPr>
        <w:footnoteRef/>
      </w:r>
      <w:r w:rsidRPr="00163B73">
        <w:rPr>
          <w:rFonts w:asciiTheme="majorHAnsi" w:hAnsiTheme="majorHAnsi"/>
          <w:sz w:val="16"/>
          <w:szCs w:val="16"/>
          <w:lang w:val="es-AR"/>
        </w:rPr>
        <w:t xml:space="preserve"> </w:t>
      </w:r>
      <w:r w:rsidRPr="00163B73">
        <w:rPr>
          <w:rFonts w:asciiTheme="majorHAnsi" w:hAnsiTheme="majorHAnsi"/>
          <w:sz w:val="16"/>
          <w:szCs w:val="16"/>
          <w:lang w:val="es-ES"/>
        </w:rPr>
        <w:t>En adelante “Declaración Americana” o “Declaración”.</w:t>
      </w:r>
    </w:p>
  </w:footnote>
  <w:footnote w:id="6">
    <w:p w:rsidR="008E3BFE" w:rsidRPr="00163B73" w:rsidRDefault="008E3BFE" w:rsidP="000337EF">
      <w:pPr>
        <w:pStyle w:val="FootnoteText"/>
        <w:spacing w:after="120"/>
        <w:ind w:firstLine="720"/>
        <w:jc w:val="both"/>
        <w:rPr>
          <w:rFonts w:asciiTheme="majorHAnsi" w:hAnsiTheme="majorHAnsi"/>
          <w:sz w:val="16"/>
          <w:szCs w:val="16"/>
          <w:lang w:val="es-ES"/>
        </w:rPr>
      </w:pPr>
      <w:r w:rsidRPr="00163B73">
        <w:rPr>
          <w:rStyle w:val="FootnoteReference"/>
          <w:rFonts w:asciiTheme="majorHAnsi" w:hAnsiTheme="majorHAnsi"/>
          <w:sz w:val="16"/>
          <w:szCs w:val="16"/>
        </w:rPr>
        <w:footnoteRef/>
      </w:r>
      <w:r w:rsidRPr="00163B73">
        <w:rPr>
          <w:rFonts w:asciiTheme="majorHAnsi" w:hAnsiTheme="majorHAnsi"/>
          <w:sz w:val="16"/>
          <w:szCs w:val="16"/>
          <w:lang w:val="es-ES"/>
        </w:rPr>
        <w:t xml:space="preserve"> Las observaciones de cada parte fueron debidamente trasladadas a la parte contraria.</w:t>
      </w:r>
    </w:p>
  </w:footnote>
  <w:footnote w:id="7">
    <w:p w:rsidR="00D16189" w:rsidRPr="00163B73" w:rsidRDefault="00D16189" w:rsidP="00D16189">
      <w:pPr>
        <w:pStyle w:val="FootnoteText"/>
        <w:ind w:firstLine="720"/>
        <w:rPr>
          <w:rFonts w:asciiTheme="majorHAnsi" w:hAnsiTheme="majorHAnsi"/>
          <w:sz w:val="16"/>
          <w:szCs w:val="16"/>
          <w:lang w:val="es-AR"/>
        </w:rPr>
      </w:pPr>
      <w:r w:rsidRPr="00163B73">
        <w:rPr>
          <w:rStyle w:val="FootnoteReference"/>
          <w:rFonts w:asciiTheme="majorHAnsi" w:hAnsiTheme="majorHAnsi"/>
          <w:sz w:val="16"/>
          <w:szCs w:val="16"/>
        </w:rPr>
        <w:footnoteRef/>
      </w:r>
      <w:r w:rsidRPr="00163B73">
        <w:rPr>
          <w:rFonts w:asciiTheme="majorHAnsi" w:hAnsiTheme="majorHAnsi"/>
          <w:sz w:val="16"/>
          <w:szCs w:val="16"/>
        </w:rPr>
        <w:t xml:space="preserve"> CIDH, </w:t>
      </w:r>
      <w:proofErr w:type="spellStart"/>
      <w:r w:rsidRPr="00163B73">
        <w:rPr>
          <w:rFonts w:asciiTheme="majorHAnsi" w:hAnsiTheme="majorHAnsi"/>
          <w:sz w:val="16"/>
          <w:szCs w:val="16"/>
        </w:rPr>
        <w:t>Informe</w:t>
      </w:r>
      <w:proofErr w:type="spellEnd"/>
      <w:r w:rsidRPr="00163B73">
        <w:rPr>
          <w:rFonts w:asciiTheme="majorHAnsi" w:hAnsiTheme="majorHAnsi"/>
          <w:sz w:val="16"/>
          <w:szCs w:val="16"/>
        </w:rPr>
        <w:t xml:space="preserve"> Nº 70/14. </w:t>
      </w:r>
      <w:proofErr w:type="spellStart"/>
      <w:r w:rsidRPr="00163B73">
        <w:rPr>
          <w:rFonts w:asciiTheme="majorHAnsi" w:hAnsiTheme="majorHAnsi"/>
          <w:sz w:val="16"/>
          <w:szCs w:val="16"/>
        </w:rPr>
        <w:t>Petición</w:t>
      </w:r>
      <w:proofErr w:type="spellEnd"/>
      <w:r w:rsidRPr="00163B73">
        <w:rPr>
          <w:rFonts w:asciiTheme="majorHAnsi" w:hAnsiTheme="majorHAnsi"/>
          <w:sz w:val="16"/>
          <w:szCs w:val="16"/>
        </w:rPr>
        <w:t xml:space="preserve"> 1453-06. </w:t>
      </w:r>
      <w:proofErr w:type="spellStart"/>
      <w:r w:rsidRPr="00163B73">
        <w:rPr>
          <w:rFonts w:asciiTheme="majorHAnsi" w:hAnsiTheme="majorHAnsi"/>
          <w:sz w:val="16"/>
          <w:szCs w:val="16"/>
        </w:rPr>
        <w:t>Admisibilidad</w:t>
      </w:r>
      <w:proofErr w:type="spellEnd"/>
      <w:r w:rsidRPr="00163B73">
        <w:rPr>
          <w:rFonts w:asciiTheme="majorHAnsi" w:hAnsiTheme="majorHAnsi"/>
          <w:sz w:val="16"/>
          <w:szCs w:val="16"/>
        </w:rPr>
        <w:t xml:space="preserve">. </w:t>
      </w:r>
      <w:proofErr w:type="spellStart"/>
      <w:r w:rsidRPr="00163B73">
        <w:rPr>
          <w:rFonts w:asciiTheme="majorHAnsi" w:hAnsiTheme="majorHAnsi"/>
          <w:sz w:val="16"/>
          <w:szCs w:val="16"/>
        </w:rPr>
        <w:t>Maicon</w:t>
      </w:r>
      <w:proofErr w:type="spellEnd"/>
      <w:r w:rsidRPr="00163B73">
        <w:rPr>
          <w:rFonts w:asciiTheme="majorHAnsi" w:hAnsiTheme="majorHAnsi"/>
          <w:sz w:val="16"/>
          <w:szCs w:val="16"/>
        </w:rPr>
        <w:t xml:space="preserve"> de Souza Silva. Renato da Silva </w:t>
      </w:r>
      <w:proofErr w:type="spellStart"/>
      <w:r w:rsidRPr="00163B73">
        <w:rPr>
          <w:rFonts w:asciiTheme="majorHAnsi" w:hAnsiTheme="majorHAnsi"/>
          <w:sz w:val="16"/>
          <w:szCs w:val="16"/>
        </w:rPr>
        <w:t>Paixão</w:t>
      </w:r>
      <w:proofErr w:type="spellEnd"/>
      <w:r w:rsidRPr="00163B73">
        <w:rPr>
          <w:rFonts w:asciiTheme="majorHAnsi" w:hAnsiTheme="majorHAnsi"/>
          <w:sz w:val="16"/>
          <w:szCs w:val="16"/>
        </w:rPr>
        <w:t xml:space="preserve"> y </w:t>
      </w:r>
      <w:proofErr w:type="spellStart"/>
      <w:r w:rsidRPr="00163B73">
        <w:rPr>
          <w:rFonts w:asciiTheme="majorHAnsi" w:hAnsiTheme="majorHAnsi"/>
          <w:sz w:val="16"/>
          <w:szCs w:val="16"/>
        </w:rPr>
        <w:t>otros</w:t>
      </w:r>
      <w:proofErr w:type="spellEnd"/>
      <w:r w:rsidRPr="00163B73">
        <w:rPr>
          <w:rFonts w:asciiTheme="majorHAnsi" w:hAnsiTheme="majorHAnsi"/>
          <w:sz w:val="16"/>
          <w:szCs w:val="16"/>
        </w:rPr>
        <w:t xml:space="preserve">. 25 de </w:t>
      </w:r>
      <w:proofErr w:type="spellStart"/>
      <w:proofErr w:type="gramStart"/>
      <w:r w:rsidRPr="00163B73">
        <w:rPr>
          <w:rFonts w:asciiTheme="majorHAnsi" w:hAnsiTheme="majorHAnsi"/>
          <w:sz w:val="16"/>
          <w:szCs w:val="16"/>
        </w:rPr>
        <w:t>julio</w:t>
      </w:r>
      <w:proofErr w:type="spellEnd"/>
      <w:proofErr w:type="gramEnd"/>
      <w:r w:rsidRPr="00163B73">
        <w:rPr>
          <w:rFonts w:asciiTheme="majorHAnsi" w:hAnsiTheme="majorHAnsi"/>
          <w:sz w:val="16"/>
          <w:szCs w:val="16"/>
        </w:rPr>
        <w:t xml:space="preserve"> de 2014, </w:t>
      </w:r>
      <w:proofErr w:type="spellStart"/>
      <w:r w:rsidRPr="00163B73">
        <w:rPr>
          <w:rFonts w:asciiTheme="majorHAnsi" w:hAnsiTheme="majorHAnsi"/>
          <w:sz w:val="16"/>
          <w:szCs w:val="16"/>
        </w:rPr>
        <w:t>párr</w:t>
      </w:r>
      <w:proofErr w:type="spellEnd"/>
      <w:r w:rsidRPr="00163B73">
        <w:rPr>
          <w:rFonts w:asciiTheme="majorHAnsi" w:hAnsiTheme="majorHAnsi"/>
          <w:sz w:val="16"/>
          <w:szCs w:val="16"/>
        </w:rPr>
        <w:t xml:space="preserve">. 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45A3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7" w:rsidRDefault="00F91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989"/>
    <w:rsid w:val="00006E1F"/>
    <w:rsid w:val="000070D7"/>
    <w:rsid w:val="0001788C"/>
    <w:rsid w:val="000337EF"/>
    <w:rsid w:val="00040C3A"/>
    <w:rsid w:val="000419AD"/>
    <w:rsid w:val="000433C9"/>
    <w:rsid w:val="000445FD"/>
    <w:rsid w:val="000508BB"/>
    <w:rsid w:val="0006465C"/>
    <w:rsid w:val="000669EA"/>
    <w:rsid w:val="00067295"/>
    <w:rsid w:val="000716C5"/>
    <w:rsid w:val="00075E23"/>
    <w:rsid w:val="0008540A"/>
    <w:rsid w:val="0009344A"/>
    <w:rsid w:val="000A392E"/>
    <w:rsid w:val="000A575F"/>
    <w:rsid w:val="000D05CB"/>
    <w:rsid w:val="000D10DB"/>
    <w:rsid w:val="000E5EB5"/>
    <w:rsid w:val="000F35ED"/>
    <w:rsid w:val="00107131"/>
    <w:rsid w:val="0010736F"/>
    <w:rsid w:val="00113F73"/>
    <w:rsid w:val="00121CC2"/>
    <w:rsid w:val="00133EE5"/>
    <w:rsid w:val="00137829"/>
    <w:rsid w:val="0016118B"/>
    <w:rsid w:val="00163B73"/>
    <w:rsid w:val="00167A34"/>
    <w:rsid w:val="0017366D"/>
    <w:rsid w:val="00185564"/>
    <w:rsid w:val="001A7870"/>
    <w:rsid w:val="001B3A00"/>
    <w:rsid w:val="001C1B41"/>
    <w:rsid w:val="001D65EF"/>
    <w:rsid w:val="001E2FC2"/>
    <w:rsid w:val="001E49E7"/>
    <w:rsid w:val="001F52BB"/>
    <w:rsid w:val="001F5AE9"/>
    <w:rsid w:val="001F7201"/>
    <w:rsid w:val="002026F5"/>
    <w:rsid w:val="00223A29"/>
    <w:rsid w:val="002250A3"/>
    <w:rsid w:val="00230D5D"/>
    <w:rsid w:val="00235217"/>
    <w:rsid w:val="00246D1F"/>
    <w:rsid w:val="00247403"/>
    <w:rsid w:val="00247542"/>
    <w:rsid w:val="00247F31"/>
    <w:rsid w:val="00265AB7"/>
    <w:rsid w:val="00266B61"/>
    <w:rsid w:val="0026712A"/>
    <w:rsid w:val="002704DB"/>
    <w:rsid w:val="002948B1"/>
    <w:rsid w:val="002A0AAE"/>
    <w:rsid w:val="002A38F1"/>
    <w:rsid w:val="002A5820"/>
    <w:rsid w:val="002D1594"/>
    <w:rsid w:val="002D2B26"/>
    <w:rsid w:val="002D5EC4"/>
    <w:rsid w:val="002D6357"/>
    <w:rsid w:val="002D7EA2"/>
    <w:rsid w:val="002E187C"/>
    <w:rsid w:val="002F0532"/>
    <w:rsid w:val="00302733"/>
    <w:rsid w:val="00314078"/>
    <w:rsid w:val="0031535D"/>
    <w:rsid w:val="003239B8"/>
    <w:rsid w:val="0033169F"/>
    <w:rsid w:val="0034027C"/>
    <w:rsid w:val="00344977"/>
    <w:rsid w:val="00346C95"/>
    <w:rsid w:val="00356185"/>
    <w:rsid w:val="00360380"/>
    <w:rsid w:val="0037519E"/>
    <w:rsid w:val="00386CF0"/>
    <w:rsid w:val="00397074"/>
    <w:rsid w:val="003B1BFE"/>
    <w:rsid w:val="003B70FB"/>
    <w:rsid w:val="003C676B"/>
    <w:rsid w:val="003D3BC2"/>
    <w:rsid w:val="003E6CA1"/>
    <w:rsid w:val="004065A8"/>
    <w:rsid w:val="00406994"/>
    <w:rsid w:val="00411EAE"/>
    <w:rsid w:val="004165C2"/>
    <w:rsid w:val="00424617"/>
    <w:rsid w:val="004360D2"/>
    <w:rsid w:val="00440A46"/>
    <w:rsid w:val="00441ECB"/>
    <w:rsid w:val="00445193"/>
    <w:rsid w:val="00445A3A"/>
    <w:rsid w:val="00462A25"/>
    <w:rsid w:val="00462C1B"/>
    <w:rsid w:val="00467B7E"/>
    <w:rsid w:val="00473BB4"/>
    <w:rsid w:val="00477592"/>
    <w:rsid w:val="00486F1C"/>
    <w:rsid w:val="0049419D"/>
    <w:rsid w:val="00494CF2"/>
    <w:rsid w:val="004A6A54"/>
    <w:rsid w:val="004B29D1"/>
    <w:rsid w:val="004C20D2"/>
    <w:rsid w:val="004C2312"/>
    <w:rsid w:val="004C4B62"/>
    <w:rsid w:val="004C54C9"/>
    <w:rsid w:val="004D4ABA"/>
    <w:rsid w:val="004D6025"/>
    <w:rsid w:val="004E2649"/>
    <w:rsid w:val="00501399"/>
    <w:rsid w:val="0050633D"/>
    <w:rsid w:val="00507BC4"/>
    <w:rsid w:val="005128E4"/>
    <w:rsid w:val="005133DB"/>
    <w:rsid w:val="00524D3B"/>
    <w:rsid w:val="00525560"/>
    <w:rsid w:val="005302CF"/>
    <w:rsid w:val="00531050"/>
    <w:rsid w:val="00541F84"/>
    <w:rsid w:val="00544C49"/>
    <w:rsid w:val="005472FD"/>
    <w:rsid w:val="005516A1"/>
    <w:rsid w:val="00563557"/>
    <w:rsid w:val="0057402A"/>
    <w:rsid w:val="005771D0"/>
    <w:rsid w:val="00577868"/>
    <w:rsid w:val="0058121D"/>
    <w:rsid w:val="005838E1"/>
    <w:rsid w:val="0059191A"/>
    <w:rsid w:val="005921FF"/>
    <w:rsid w:val="005A24ED"/>
    <w:rsid w:val="005A6D0E"/>
    <w:rsid w:val="005B52B0"/>
    <w:rsid w:val="005B6806"/>
    <w:rsid w:val="005C4225"/>
    <w:rsid w:val="005D7A9C"/>
    <w:rsid w:val="005E0882"/>
    <w:rsid w:val="005E2055"/>
    <w:rsid w:val="005E6A78"/>
    <w:rsid w:val="005F0DAD"/>
    <w:rsid w:val="005F0F33"/>
    <w:rsid w:val="005F5781"/>
    <w:rsid w:val="00600DEB"/>
    <w:rsid w:val="00627C9F"/>
    <w:rsid w:val="006311E9"/>
    <w:rsid w:val="00632354"/>
    <w:rsid w:val="00633DB0"/>
    <w:rsid w:val="00640B4E"/>
    <w:rsid w:val="00642810"/>
    <w:rsid w:val="00645DE4"/>
    <w:rsid w:val="00652333"/>
    <w:rsid w:val="006576E4"/>
    <w:rsid w:val="00670E5C"/>
    <w:rsid w:val="00671259"/>
    <w:rsid w:val="0068009E"/>
    <w:rsid w:val="00692219"/>
    <w:rsid w:val="006A17D2"/>
    <w:rsid w:val="006A73E6"/>
    <w:rsid w:val="006B2D5C"/>
    <w:rsid w:val="006C4EB1"/>
    <w:rsid w:val="006C6739"/>
    <w:rsid w:val="006E0166"/>
    <w:rsid w:val="006E09D4"/>
    <w:rsid w:val="006E17D6"/>
    <w:rsid w:val="006E2FFB"/>
    <w:rsid w:val="006E7B34"/>
    <w:rsid w:val="006F3B42"/>
    <w:rsid w:val="0070697F"/>
    <w:rsid w:val="0071000F"/>
    <w:rsid w:val="00720F87"/>
    <w:rsid w:val="0072199C"/>
    <w:rsid w:val="00722C9F"/>
    <w:rsid w:val="007253B8"/>
    <w:rsid w:val="00730A6A"/>
    <w:rsid w:val="00732F71"/>
    <w:rsid w:val="0073741F"/>
    <w:rsid w:val="0075519E"/>
    <w:rsid w:val="0076643F"/>
    <w:rsid w:val="00777F63"/>
    <w:rsid w:val="00786018"/>
    <w:rsid w:val="007A5817"/>
    <w:rsid w:val="007B05C4"/>
    <w:rsid w:val="007B60E9"/>
    <w:rsid w:val="007B6CC3"/>
    <w:rsid w:val="007B76D3"/>
    <w:rsid w:val="007C3334"/>
    <w:rsid w:val="007D2B98"/>
    <w:rsid w:val="007E21BC"/>
    <w:rsid w:val="007E7C82"/>
    <w:rsid w:val="007F588D"/>
    <w:rsid w:val="00803F1C"/>
    <w:rsid w:val="0080600E"/>
    <w:rsid w:val="00817612"/>
    <w:rsid w:val="0082319E"/>
    <w:rsid w:val="008338A4"/>
    <w:rsid w:val="00834D49"/>
    <w:rsid w:val="00837C45"/>
    <w:rsid w:val="00844730"/>
    <w:rsid w:val="008457C2"/>
    <w:rsid w:val="008560B0"/>
    <w:rsid w:val="00857A82"/>
    <w:rsid w:val="00873836"/>
    <w:rsid w:val="00885737"/>
    <w:rsid w:val="0088593A"/>
    <w:rsid w:val="00886DE5"/>
    <w:rsid w:val="00890650"/>
    <w:rsid w:val="00895787"/>
    <w:rsid w:val="00897E12"/>
    <w:rsid w:val="008A5B48"/>
    <w:rsid w:val="008A7E0F"/>
    <w:rsid w:val="008B12F5"/>
    <w:rsid w:val="008D768D"/>
    <w:rsid w:val="008E3759"/>
    <w:rsid w:val="008E3BFE"/>
    <w:rsid w:val="008F1912"/>
    <w:rsid w:val="008F3006"/>
    <w:rsid w:val="0090270B"/>
    <w:rsid w:val="009041DC"/>
    <w:rsid w:val="00905015"/>
    <w:rsid w:val="00917B5A"/>
    <w:rsid w:val="00920A58"/>
    <w:rsid w:val="00920A8C"/>
    <w:rsid w:val="00934A2C"/>
    <w:rsid w:val="00965275"/>
    <w:rsid w:val="0096706E"/>
    <w:rsid w:val="00974491"/>
    <w:rsid w:val="00975AC1"/>
    <w:rsid w:val="00975C4E"/>
    <w:rsid w:val="00981FBA"/>
    <w:rsid w:val="00997BC5"/>
    <w:rsid w:val="009A4F41"/>
    <w:rsid w:val="009B381B"/>
    <w:rsid w:val="009B4719"/>
    <w:rsid w:val="009B500F"/>
    <w:rsid w:val="009C15D9"/>
    <w:rsid w:val="009C4206"/>
    <w:rsid w:val="009D1753"/>
    <w:rsid w:val="009D7611"/>
    <w:rsid w:val="009D7613"/>
    <w:rsid w:val="009D7EDA"/>
    <w:rsid w:val="009E0B61"/>
    <w:rsid w:val="009E53DE"/>
    <w:rsid w:val="00A11212"/>
    <w:rsid w:val="00A11E44"/>
    <w:rsid w:val="00A238EE"/>
    <w:rsid w:val="00A328B3"/>
    <w:rsid w:val="00A50FCF"/>
    <w:rsid w:val="00A52704"/>
    <w:rsid w:val="00A528D1"/>
    <w:rsid w:val="00A610CD"/>
    <w:rsid w:val="00A70276"/>
    <w:rsid w:val="00A758AA"/>
    <w:rsid w:val="00AA09A2"/>
    <w:rsid w:val="00AA7996"/>
    <w:rsid w:val="00AC19CB"/>
    <w:rsid w:val="00AE5488"/>
    <w:rsid w:val="00AE6F91"/>
    <w:rsid w:val="00AF5571"/>
    <w:rsid w:val="00B07341"/>
    <w:rsid w:val="00B30539"/>
    <w:rsid w:val="00B314DB"/>
    <w:rsid w:val="00B361F2"/>
    <w:rsid w:val="00B3630F"/>
    <w:rsid w:val="00B3718B"/>
    <w:rsid w:val="00B3745F"/>
    <w:rsid w:val="00B4632A"/>
    <w:rsid w:val="00B52D42"/>
    <w:rsid w:val="00B530F1"/>
    <w:rsid w:val="00B7775B"/>
    <w:rsid w:val="00BA276C"/>
    <w:rsid w:val="00BB306F"/>
    <w:rsid w:val="00BD4B89"/>
    <w:rsid w:val="00BD5922"/>
    <w:rsid w:val="00BF02CB"/>
    <w:rsid w:val="00BF6FD8"/>
    <w:rsid w:val="00C03680"/>
    <w:rsid w:val="00C054DF"/>
    <w:rsid w:val="00C21762"/>
    <w:rsid w:val="00C21FEF"/>
    <w:rsid w:val="00C24543"/>
    <w:rsid w:val="00C256A2"/>
    <w:rsid w:val="00C325FA"/>
    <w:rsid w:val="00C37515"/>
    <w:rsid w:val="00C51515"/>
    <w:rsid w:val="00C52843"/>
    <w:rsid w:val="00C5660B"/>
    <w:rsid w:val="00C60BA3"/>
    <w:rsid w:val="00C66B72"/>
    <w:rsid w:val="00C87AC4"/>
    <w:rsid w:val="00C94BA4"/>
    <w:rsid w:val="00C9567A"/>
    <w:rsid w:val="00CB212D"/>
    <w:rsid w:val="00CB2660"/>
    <w:rsid w:val="00CB6B88"/>
    <w:rsid w:val="00CC3D67"/>
    <w:rsid w:val="00CC5E68"/>
    <w:rsid w:val="00CC5E90"/>
    <w:rsid w:val="00CD046C"/>
    <w:rsid w:val="00CE076C"/>
    <w:rsid w:val="00CE5199"/>
    <w:rsid w:val="00CE66D5"/>
    <w:rsid w:val="00CF637A"/>
    <w:rsid w:val="00D059DE"/>
    <w:rsid w:val="00D05ABD"/>
    <w:rsid w:val="00D07751"/>
    <w:rsid w:val="00D13FCE"/>
    <w:rsid w:val="00D16189"/>
    <w:rsid w:val="00D25C75"/>
    <w:rsid w:val="00D306D1"/>
    <w:rsid w:val="00D30800"/>
    <w:rsid w:val="00D34786"/>
    <w:rsid w:val="00D37BFC"/>
    <w:rsid w:val="00D47A8E"/>
    <w:rsid w:val="00D5241E"/>
    <w:rsid w:val="00D52D14"/>
    <w:rsid w:val="00D548BB"/>
    <w:rsid w:val="00D712D3"/>
    <w:rsid w:val="00D71422"/>
    <w:rsid w:val="00D72DC6"/>
    <w:rsid w:val="00D7558D"/>
    <w:rsid w:val="00D81D92"/>
    <w:rsid w:val="00D828B7"/>
    <w:rsid w:val="00D84B34"/>
    <w:rsid w:val="00D876F9"/>
    <w:rsid w:val="00DA7B5F"/>
    <w:rsid w:val="00DB74E8"/>
    <w:rsid w:val="00DC11E7"/>
    <w:rsid w:val="00DC24E3"/>
    <w:rsid w:val="00DC5267"/>
    <w:rsid w:val="00DC7023"/>
    <w:rsid w:val="00DC769A"/>
    <w:rsid w:val="00DD3D86"/>
    <w:rsid w:val="00DD4AD2"/>
    <w:rsid w:val="00DD6547"/>
    <w:rsid w:val="00DF1EC4"/>
    <w:rsid w:val="00E0340B"/>
    <w:rsid w:val="00E04A90"/>
    <w:rsid w:val="00E0551F"/>
    <w:rsid w:val="00E11AAE"/>
    <w:rsid w:val="00E13091"/>
    <w:rsid w:val="00E219C7"/>
    <w:rsid w:val="00E36A3B"/>
    <w:rsid w:val="00E37609"/>
    <w:rsid w:val="00E4118C"/>
    <w:rsid w:val="00E43157"/>
    <w:rsid w:val="00E461CE"/>
    <w:rsid w:val="00E720CA"/>
    <w:rsid w:val="00E84EB5"/>
    <w:rsid w:val="00E85662"/>
    <w:rsid w:val="00E8789F"/>
    <w:rsid w:val="00E97B71"/>
    <w:rsid w:val="00EA3D34"/>
    <w:rsid w:val="00EA7BC3"/>
    <w:rsid w:val="00EB454D"/>
    <w:rsid w:val="00ED549D"/>
    <w:rsid w:val="00ED76BE"/>
    <w:rsid w:val="00EE00E9"/>
    <w:rsid w:val="00EF619B"/>
    <w:rsid w:val="00F00B55"/>
    <w:rsid w:val="00F02AD1"/>
    <w:rsid w:val="00F253CC"/>
    <w:rsid w:val="00F35745"/>
    <w:rsid w:val="00F3690F"/>
    <w:rsid w:val="00F37106"/>
    <w:rsid w:val="00F519CF"/>
    <w:rsid w:val="00F56BA5"/>
    <w:rsid w:val="00F60E22"/>
    <w:rsid w:val="00F64F22"/>
    <w:rsid w:val="00F70A04"/>
    <w:rsid w:val="00F81395"/>
    <w:rsid w:val="00F81BB8"/>
    <w:rsid w:val="00F84574"/>
    <w:rsid w:val="00F91307"/>
    <w:rsid w:val="00F917D1"/>
    <w:rsid w:val="00F9653B"/>
    <w:rsid w:val="00FB62CF"/>
    <w:rsid w:val="00FC11AB"/>
    <w:rsid w:val="00FD3C3B"/>
    <w:rsid w:val="00FE07DD"/>
    <w:rsid w:val="00FE4F86"/>
    <w:rsid w:val="00FE6B45"/>
    <w:rsid w:val="00FF13A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00BB"/>
    <w:rsid w:val="001A59EB"/>
    <w:rsid w:val="00200821"/>
    <w:rsid w:val="00246165"/>
    <w:rsid w:val="002D7C61"/>
    <w:rsid w:val="00394049"/>
    <w:rsid w:val="00456E77"/>
    <w:rsid w:val="004F2DF8"/>
    <w:rsid w:val="00525505"/>
    <w:rsid w:val="00597D41"/>
    <w:rsid w:val="005C3C34"/>
    <w:rsid w:val="006B07B1"/>
    <w:rsid w:val="00813367"/>
    <w:rsid w:val="008140D4"/>
    <w:rsid w:val="00822356"/>
    <w:rsid w:val="00886F59"/>
    <w:rsid w:val="009215A0"/>
    <w:rsid w:val="00921A04"/>
    <w:rsid w:val="00960871"/>
    <w:rsid w:val="009A261B"/>
    <w:rsid w:val="00AC15A4"/>
    <w:rsid w:val="00B0336C"/>
    <w:rsid w:val="00F00D2F"/>
    <w:rsid w:val="00F128DF"/>
    <w:rsid w:val="00FA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0D9F-87E9-4DBD-B9DA-9C125652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13074</Characters>
  <Application>Microsoft Office Word</Application>
  <DocSecurity>0</DocSecurity>
  <Lines>214</Lines>
  <Paragraphs>50</Paragraphs>
  <ScaleCrop>false</ScaleCrop>
  <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122/19</dc:title>
  <dc:creator/>
  <cp:lastModifiedBy/>
  <cp:revision>1</cp:revision>
  <dcterms:created xsi:type="dcterms:W3CDTF">2019-10-15T19:58:00Z</dcterms:created>
  <dcterms:modified xsi:type="dcterms:W3CDTF">2019-10-15T19:59:00Z</dcterms:modified>
</cp:coreProperties>
</file>