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C91F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01906">
                              <w:rPr>
                                <w:rFonts w:asciiTheme="majorHAnsi" w:hAnsiTheme="majorHAnsi" w:cs="Arial"/>
                                <w:b/>
                                <w:bCs/>
                                <w:color w:val="0D0D0D" w:themeColor="text1" w:themeTint="F2"/>
                                <w:sz w:val="36"/>
                                <w:szCs w:val="22"/>
                                <w:lang w:val="es-ES_tradnl"/>
                              </w:rPr>
                              <w:t>36</w:t>
                            </w:r>
                            <w:r w:rsidR="007B05C4">
                              <w:rPr>
                                <w:rFonts w:asciiTheme="majorHAnsi" w:hAnsiTheme="majorHAnsi" w:cs="Arial"/>
                                <w:b/>
                                <w:bCs/>
                                <w:color w:val="0D0D0D" w:themeColor="text1" w:themeTint="F2"/>
                                <w:sz w:val="36"/>
                                <w:szCs w:val="22"/>
                                <w:lang w:val="es-ES_tradnl"/>
                              </w:rPr>
                              <w:t>/</w:t>
                            </w:r>
                            <w:r w:rsidR="002D3410">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B7863">
                              <w:rPr>
                                <w:rFonts w:asciiTheme="majorHAnsi" w:hAnsiTheme="majorHAnsi" w:cs="Arial"/>
                                <w:b/>
                                <w:color w:val="0D0D0D" w:themeColor="text1" w:themeTint="F2"/>
                                <w:sz w:val="36"/>
                                <w:szCs w:val="22"/>
                                <w:lang w:val="es-ES_tradnl"/>
                              </w:rPr>
                              <w:t>1214</w:t>
                            </w:r>
                            <w:r w:rsidR="00246D1F" w:rsidRPr="004E2649">
                              <w:rPr>
                                <w:rFonts w:asciiTheme="majorHAnsi" w:hAnsiTheme="majorHAnsi" w:cs="Arial"/>
                                <w:b/>
                                <w:color w:val="0D0D0D" w:themeColor="text1" w:themeTint="F2"/>
                                <w:sz w:val="36"/>
                                <w:szCs w:val="22"/>
                                <w:lang w:val="es-ES_tradnl"/>
                              </w:rPr>
                              <w:t>-</w:t>
                            </w:r>
                            <w:r w:rsidR="00DB7863">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DB7863" w:rsidP="00997BC5">
                            <w:pPr>
                              <w:spacing w:line="276" w:lineRule="auto"/>
                              <w:rPr>
                                <w:rFonts w:asciiTheme="majorHAnsi" w:hAnsiTheme="majorHAnsi" w:cs="Arial"/>
                                <w:color w:val="0D0D0D" w:themeColor="text1" w:themeTint="F2"/>
                                <w:szCs w:val="22"/>
                                <w:lang w:val="es-ES_tradnl"/>
                              </w:rPr>
                            </w:pPr>
                            <w:r w:rsidRPr="00DB7863">
                              <w:rPr>
                                <w:rFonts w:asciiTheme="majorHAnsi" w:hAnsiTheme="majorHAnsi" w:cs="Arial"/>
                                <w:color w:val="0D0D0D" w:themeColor="text1" w:themeTint="F2"/>
                                <w:szCs w:val="22"/>
                                <w:lang w:val="es-ES_tradnl"/>
                              </w:rPr>
                              <w:t>FRANKLIN BUSTAMANTE RESTREPO</w:t>
                            </w:r>
                            <w:r w:rsidR="00FD21FC">
                              <w:rPr>
                                <w:rFonts w:asciiTheme="majorHAnsi" w:hAnsiTheme="majorHAnsi" w:cs="Arial"/>
                                <w:color w:val="0D0D0D" w:themeColor="text1" w:themeTint="F2"/>
                                <w:szCs w:val="22"/>
                                <w:lang w:val="es-ES_tradnl"/>
                              </w:rPr>
                              <w:t xml:space="preserve"> Y </w:t>
                            </w:r>
                            <w:r w:rsidR="00F2356A">
                              <w:rPr>
                                <w:rFonts w:asciiTheme="majorHAnsi" w:hAnsiTheme="majorHAnsi" w:cs="Arial"/>
                                <w:color w:val="0D0D0D" w:themeColor="text1" w:themeTint="F2"/>
                                <w:szCs w:val="22"/>
                                <w:lang w:val="es-ES_tradnl"/>
                              </w:rPr>
                              <w:t>FAMILIARES</w:t>
                            </w:r>
                          </w:p>
                          <w:bookmarkEnd w:id="1"/>
                          <w:p w:rsidR="005B52B0" w:rsidRPr="0010736F" w:rsidRDefault="00DB78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01906">
                        <w:rPr>
                          <w:rFonts w:asciiTheme="majorHAnsi" w:hAnsiTheme="majorHAnsi" w:cs="Arial"/>
                          <w:b/>
                          <w:bCs/>
                          <w:color w:val="0D0D0D" w:themeColor="text1" w:themeTint="F2"/>
                          <w:sz w:val="36"/>
                          <w:szCs w:val="22"/>
                          <w:lang w:val="es-ES_tradnl"/>
                        </w:rPr>
                        <w:t>36</w:t>
                      </w:r>
                      <w:r w:rsidR="007B05C4">
                        <w:rPr>
                          <w:rFonts w:asciiTheme="majorHAnsi" w:hAnsiTheme="majorHAnsi" w:cs="Arial"/>
                          <w:b/>
                          <w:bCs/>
                          <w:color w:val="0D0D0D" w:themeColor="text1" w:themeTint="F2"/>
                          <w:sz w:val="36"/>
                          <w:szCs w:val="22"/>
                          <w:lang w:val="es-ES_tradnl"/>
                        </w:rPr>
                        <w:t>/</w:t>
                      </w:r>
                      <w:r w:rsidR="002D3410">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B7863">
                        <w:rPr>
                          <w:rFonts w:asciiTheme="majorHAnsi" w:hAnsiTheme="majorHAnsi" w:cs="Arial"/>
                          <w:b/>
                          <w:color w:val="0D0D0D" w:themeColor="text1" w:themeTint="F2"/>
                          <w:sz w:val="36"/>
                          <w:szCs w:val="22"/>
                          <w:lang w:val="es-ES_tradnl"/>
                        </w:rPr>
                        <w:t>1214</w:t>
                      </w:r>
                      <w:r w:rsidR="00246D1F" w:rsidRPr="004E2649">
                        <w:rPr>
                          <w:rFonts w:asciiTheme="majorHAnsi" w:hAnsiTheme="majorHAnsi" w:cs="Arial"/>
                          <w:b/>
                          <w:color w:val="0D0D0D" w:themeColor="text1" w:themeTint="F2"/>
                          <w:sz w:val="36"/>
                          <w:szCs w:val="22"/>
                          <w:lang w:val="es-ES_tradnl"/>
                        </w:rPr>
                        <w:t>-</w:t>
                      </w:r>
                      <w:r w:rsidR="00DB7863">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DB7863" w:rsidP="00997BC5">
                      <w:pPr>
                        <w:spacing w:line="276" w:lineRule="auto"/>
                        <w:rPr>
                          <w:rFonts w:asciiTheme="majorHAnsi" w:hAnsiTheme="majorHAnsi" w:cs="Arial"/>
                          <w:color w:val="0D0D0D" w:themeColor="text1" w:themeTint="F2"/>
                          <w:szCs w:val="22"/>
                          <w:lang w:val="es-ES_tradnl"/>
                        </w:rPr>
                      </w:pPr>
                      <w:r w:rsidRPr="00DB7863">
                        <w:rPr>
                          <w:rFonts w:asciiTheme="majorHAnsi" w:hAnsiTheme="majorHAnsi" w:cs="Arial"/>
                          <w:color w:val="0D0D0D" w:themeColor="text1" w:themeTint="F2"/>
                          <w:szCs w:val="22"/>
                          <w:lang w:val="es-ES_tradnl"/>
                        </w:rPr>
                        <w:t>FRANKLIN BUSTAMANTE RESTREPO</w:t>
                      </w:r>
                      <w:r w:rsidR="00FD21FC">
                        <w:rPr>
                          <w:rFonts w:asciiTheme="majorHAnsi" w:hAnsiTheme="majorHAnsi" w:cs="Arial"/>
                          <w:color w:val="0D0D0D" w:themeColor="text1" w:themeTint="F2"/>
                          <w:szCs w:val="22"/>
                          <w:lang w:val="es-ES_tradnl"/>
                        </w:rPr>
                        <w:t xml:space="preserve"> Y </w:t>
                      </w:r>
                      <w:r w:rsidR="00F2356A">
                        <w:rPr>
                          <w:rFonts w:asciiTheme="majorHAnsi" w:hAnsiTheme="majorHAnsi" w:cs="Arial"/>
                          <w:color w:val="0D0D0D" w:themeColor="text1" w:themeTint="F2"/>
                          <w:szCs w:val="22"/>
                          <w:lang w:val="es-ES_tradnl"/>
                        </w:rPr>
                        <w:t>FAMILIARES</w:t>
                      </w:r>
                    </w:p>
                    <w:bookmarkEnd w:id="2"/>
                    <w:p w:rsidR="005B52B0" w:rsidRPr="0010736F" w:rsidRDefault="00DB78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019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41 </w:t>
                            </w:r>
                          </w:p>
                          <w:p w:rsidR="00627C9F" w:rsidRPr="004E2649" w:rsidRDefault="0060190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13 </w:t>
                            </w:r>
                            <w:proofErr w:type="spellStart"/>
                            <w:r>
                              <w:rPr>
                                <w:rFonts w:asciiTheme="minorHAnsi" w:hAnsiTheme="minorHAnsi"/>
                                <w:color w:val="FFFFFF" w:themeColor="background1"/>
                                <w:sz w:val="22"/>
                              </w:rPr>
                              <w:t>abril</w:t>
                            </w:r>
                            <w:proofErr w:type="spellEnd"/>
                            <w:r w:rsidR="00627C9F" w:rsidRPr="004E2649">
                              <w:rPr>
                                <w:rFonts w:asciiTheme="minorHAnsi" w:hAnsiTheme="minorHAnsi"/>
                                <w:color w:val="FFFFFF" w:themeColor="background1"/>
                                <w:sz w:val="22"/>
                              </w:rPr>
                              <w:t xml:space="preserve"> 201</w:t>
                            </w:r>
                            <w:r w:rsidR="004D3824">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019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41 </w:t>
                      </w:r>
                    </w:p>
                    <w:p w:rsidR="00627C9F" w:rsidRPr="004E2649" w:rsidRDefault="0060190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13 </w:t>
                      </w:r>
                      <w:proofErr w:type="spellStart"/>
                      <w:r>
                        <w:rPr>
                          <w:rFonts w:asciiTheme="minorHAnsi" w:hAnsiTheme="minorHAnsi"/>
                          <w:color w:val="FFFFFF" w:themeColor="background1"/>
                          <w:sz w:val="22"/>
                        </w:rPr>
                        <w:t>abril</w:t>
                      </w:r>
                      <w:proofErr w:type="spellEnd"/>
                      <w:r w:rsidR="00627C9F" w:rsidRPr="004E2649">
                        <w:rPr>
                          <w:rFonts w:asciiTheme="minorHAnsi" w:hAnsiTheme="minorHAnsi"/>
                          <w:color w:val="FFFFFF" w:themeColor="background1"/>
                          <w:sz w:val="22"/>
                        </w:rPr>
                        <w:t xml:space="preserve"> 201</w:t>
                      </w:r>
                      <w:r w:rsidR="004D3824">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01906">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601906">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2D3410" w:rsidRPr="00890650">
                              <w:rPr>
                                <w:rFonts w:asciiTheme="majorHAnsi" w:hAnsiTheme="majorHAnsi"/>
                                <w:color w:val="0D0D0D" w:themeColor="text1" w:themeTint="F2"/>
                                <w:sz w:val="18"/>
                                <w:szCs w:val="22"/>
                                <w:lang w:val="es-ES"/>
                              </w:rPr>
                              <w:t>201</w:t>
                            </w:r>
                            <w:r w:rsidR="002D3410">
                              <w:rPr>
                                <w:rFonts w:asciiTheme="majorHAnsi" w:hAnsiTheme="majorHAnsi"/>
                                <w:color w:val="0D0D0D" w:themeColor="text1" w:themeTint="F2"/>
                                <w:sz w:val="18"/>
                                <w:szCs w:val="22"/>
                                <w:lang w:val="es-ES"/>
                              </w:rPr>
                              <w:t>9</w:t>
                            </w:r>
                            <w:r w:rsidR="00B677F9">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01906">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601906">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2D3410" w:rsidRPr="00890650">
                        <w:rPr>
                          <w:rFonts w:asciiTheme="majorHAnsi" w:hAnsiTheme="majorHAnsi"/>
                          <w:color w:val="0D0D0D" w:themeColor="text1" w:themeTint="F2"/>
                          <w:sz w:val="18"/>
                          <w:szCs w:val="22"/>
                          <w:lang w:val="es-ES"/>
                        </w:rPr>
                        <w:t>201</w:t>
                      </w:r>
                      <w:r w:rsidR="002D3410">
                        <w:rPr>
                          <w:rFonts w:asciiTheme="majorHAnsi" w:hAnsiTheme="majorHAnsi"/>
                          <w:color w:val="0D0D0D" w:themeColor="text1" w:themeTint="F2"/>
                          <w:sz w:val="18"/>
                          <w:szCs w:val="22"/>
                          <w:lang w:val="es-ES"/>
                        </w:rPr>
                        <w:t>9</w:t>
                      </w:r>
                      <w:r w:rsidR="00B677F9">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01906" w:rsidRPr="00601906">
                              <w:rPr>
                                <w:rFonts w:asciiTheme="majorHAnsi" w:hAnsiTheme="majorHAnsi"/>
                                <w:color w:val="595959" w:themeColor="text1" w:themeTint="A6"/>
                                <w:sz w:val="18"/>
                                <w:szCs w:val="18"/>
                                <w:lang w:val="pt-BR"/>
                              </w:rPr>
                              <w:t>36</w:t>
                            </w:r>
                            <w:r w:rsidR="007B05C4" w:rsidRPr="00601906">
                              <w:rPr>
                                <w:rFonts w:asciiTheme="majorHAnsi" w:hAnsiTheme="majorHAnsi"/>
                                <w:color w:val="595959" w:themeColor="text1" w:themeTint="A6"/>
                                <w:sz w:val="18"/>
                                <w:szCs w:val="18"/>
                                <w:lang w:val="pt-BR"/>
                              </w:rPr>
                              <w:t>/</w:t>
                            </w:r>
                            <w:r w:rsidR="00601906" w:rsidRPr="00601906">
                              <w:rPr>
                                <w:rFonts w:asciiTheme="majorHAnsi" w:hAnsiTheme="majorHAnsi"/>
                                <w:color w:val="595959" w:themeColor="text1" w:themeTint="A6"/>
                                <w:sz w:val="18"/>
                                <w:szCs w:val="18"/>
                                <w:lang w:val="pt-BR"/>
                              </w:rPr>
                              <w:t>19</w:t>
                            </w:r>
                            <w:r w:rsidRPr="0060190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601906">
                              <w:rPr>
                                <w:rFonts w:asciiTheme="majorHAnsi" w:hAnsiTheme="majorHAnsi"/>
                                <w:color w:val="595959" w:themeColor="text1" w:themeTint="A6"/>
                                <w:sz w:val="18"/>
                                <w:szCs w:val="18"/>
                                <w:lang w:val="es-ES"/>
                              </w:rPr>
                              <w:t>1214</w:t>
                            </w:r>
                            <w:r w:rsidR="000433C9">
                              <w:rPr>
                                <w:rFonts w:asciiTheme="majorHAnsi" w:hAnsiTheme="majorHAnsi"/>
                                <w:color w:val="595959" w:themeColor="text1" w:themeTint="A6"/>
                                <w:sz w:val="18"/>
                                <w:szCs w:val="18"/>
                                <w:lang w:val="es-ES"/>
                              </w:rPr>
                              <w:t>-</w:t>
                            </w:r>
                            <w:r w:rsidR="00601906">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w:t>
                            </w:r>
                            <w:r w:rsidR="00601906">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601906">
                              <w:rPr>
                                <w:rFonts w:asciiTheme="majorHAnsi" w:hAnsiTheme="majorHAnsi"/>
                                <w:color w:val="595959" w:themeColor="text1" w:themeTint="A6"/>
                                <w:sz w:val="18"/>
                                <w:szCs w:val="18"/>
                                <w:lang w:val="es-ES_tradnl"/>
                              </w:rPr>
                              <w:t>Franklin Bustamante Restrepo y Familiares</w:t>
                            </w:r>
                            <w:r w:rsidRPr="00890650">
                              <w:rPr>
                                <w:rFonts w:asciiTheme="majorHAnsi" w:hAnsiTheme="majorHAnsi"/>
                                <w:color w:val="595959" w:themeColor="text1" w:themeTint="A6"/>
                                <w:sz w:val="18"/>
                                <w:szCs w:val="18"/>
                                <w:lang w:val="es-ES_tradnl"/>
                              </w:rPr>
                              <w:t xml:space="preserve">. </w:t>
                            </w:r>
                            <w:r w:rsidR="0060190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01906">
                              <w:rPr>
                                <w:rFonts w:asciiTheme="majorHAnsi" w:hAnsiTheme="majorHAnsi"/>
                                <w:color w:val="595959" w:themeColor="text1" w:themeTint="A6"/>
                                <w:sz w:val="18"/>
                                <w:szCs w:val="18"/>
                                <w:lang w:val="es-ES"/>
                              </w:rPr>
                              <w:t>13 de abril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01906" w:rsidRPr="00601906">
                        <w:rPr>
                          <w:rFonts w:asciiTheme="majorHAnsi" w:hAnsiTheme="majorHAnsi"/>
                          <w:color w:val="595959" w:themeColor="text1" w:themeTint="A6"/>
                          <w:sz w:val="18"/>
                          <w:szCs w:val="18"/>
                          <w:lang w:val="pt-BR"/>
                        </w:rPr>
                        <w:t>36</w:t>
                      </w:r>
                      <w:r w:rsidR="007B05C4" w:rsidRPr="00601906">
                        <w:rPr>
                          <w:rFonts w:asciiTheme="majorHAnsi" w:hAnsiTheme="majorHAnsi"/>
                          <w:color w:val="595959" w:themeColor="text1" w:themeTint="A6"/>
                          <w:sz w:val="18"/>
                          <w:szCs w:val="18"/>
                          <w:lang w:val="pt-BR"/>
                        </w:rPr>
                        <w:t>/</w:t>
                      </w:r>
                      <w:r w:rsidR="00601906" w:rsidRPr="00601906">
                        <w:rPr>
                          <w:rFonts w:asciiTheme="majorHAnsi" w:hAnsiTheme="majorHAnsi"/>
                          <w:color w:val="595959" w:themeColor="text1" w:themeTint="A6"/>
                          <w:sz w:val="18"/>
                          <w:szCs w:val="18"/>
                          <w:lang w:val="pt-BR"/>
                        </w:rPr>
                        <w:t>19</w:t>
                      </w:r>
                      <w:r w:rsidRPr="0060190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601906">
                        <w:rPr>
                          <w:rFonts w:asciiTheme="majorHAnsi" w:hAnsiTheme="majorHAnsi"/>
                          <w:color w:val="595959" w:themeColor="text1" w:themeTint="A6"/>
                          <w:sz w:val="18"/>
                          <w:szCs w:val="18"/>
                          <w:lang w:val="es-ES"/>
                        </w:rPr>
                        <w:t>1214</w:t>
                      </w:r>
                      <w:r w:rsidR="000433C9">
                        <w:rPr>
                          <w:rFonts w:asciiTheme="majorHAnsi" w:hAnsiTheme="majorHAnsi"/>
                          <w:color w:val="595959" w:themeColor="text1" w:themeTint="A6"/>
                          <w:sz w:val="18"/>
                          <w:szCs w:val="18"/>
                          <w:lang w:val="es-ES"/>
                        </w:rPr>
                        <w:t>-</w:t>
                      </w:r>
                      <w:r w:rsidR="00601906">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w:t>
                      </w:r>
                      <w:r w:rsidR="00601906">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601906">
                        <w:rPr>
                          <w:rFonts w:asciiTheme="majorHAnsi" w:hAnsiTheme="majorHAnsi"/>
                          <w:color w:val="595959" w:themeColor="text1" w:themeTint="A6"/>
                          <w:sz w:val="18"/>
                          <w:szCs w:val="18"/>
                          <w:lang w:val="es-ES_tradnl"/>
                        </w:rPr>
                        <w:t>Franklin Bustamante Restrepo y Familiares</w:t>
                      </w:r>
                      <w:r w:rsidRPr="00890650">
                        <w:rPr>
                          <w:rFonts w:asciiTheme="majorHAnsi" w:hAnsiTheme="majorHAnsi"/>
                          <w:color w:val="595959" w:themeColor="text1" w:themeTint="A6"/>
                          <w:sz w:val="18"/>
                          <w:szCs w:val="18"/>
                          <w:lang w:val="es-ES_tradnl"/>
                        </w:rPr>
                        <w:t xml:space="preserve">. </w:t>
                      </w:r>
                      <w:r w:rsidR="0060190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01906">
                        <w:rPr>
                          <w:rFonts w:asciiTheme="majorHAnsi" w:hAnsiTheme="majorHAnsi"/>
                          <w:color w:val="595959" w:themeColor="text1" w:themeTint="A6"/>
                          <w:sz w:val="18"/>
                          <w:szCs w:val="18"/>
                          <w:lang w:val="es-ES"/>
                        </w:rPr>
                        <w:t>13 de abril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3C2337" w:rsidRDefault="003239B8" w:rsidP="004A6A54">
      <w:pPr>
        <w:spacing w:after="240"/>
        <w:ind w:firstLine="720"/>
        <w:jc w:val="both"/>
        <w:rPr>
          <w:rFonts w:asciiTheme="majorHAnsi" w:hAnsiTheme="majorHAnsi"/>
          <w:b/>
          <w:bCs/>
          <w:sz w:val="19"/>
          <w:szCs w:val="19"/>
          <w:lang w:val="es-ES"/>
        </w:rPr>
      </w:pPr>
      <w:r w:rsidRPr="003C2337">
        <w:rPr>
          <w:rFonts w:asciiTheme="majorHAnsi" w:hAnsiTheme="majorHAnsi"/>
          <w:b/>
          <w:bCs/>
          <w:sz w:val="19"/>
          <w:szCs w:val="19"/>
          <w:lang w:val="es-ES"/>
        </w:rPr>
        <w:lastRenderedPageBreak/>
        <w:t>I.</w:t>
      </w:r>
      <w:r w:rsidRPr="003C2337">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C2337" w:rsidTr="004A6A54">
        <w:tc>
          <w:tcPr>
            <w:tcW w:w="3600" w:type="dxa"/>
            <w:tcBorders>
              <w:top w:val="single" w:sz="4" w:space="0" w:color="auto"/>
              <w:bottom w:val="single" w:sz="6" w:space="0" w:color="auto"/>
            </w:tcBorders>
            <w:shd w:val="clear" w:color="auto" w:fill="386294"/>
            <w:vAlign w:val="center"/>
          </w:tcPr>
          <w:p w:rsidR="003239B8" w:rsidRPr="003C2337" w:rsidRDefault="003239B8" w:rsidP="008D2290">
            <w:pPr>
              <w:jc w:val="center"/>
              <w:rPr>
                <w:rFonts w:asciiTheme="majorHAnsi" w:hAnsiTheme="majorHAnsi"/>
                <w:b/>
                <w:bCs/>
                <w:color w:val="FFFFFF" w:themeColor="background1"/>
                <w:sz w:val="19"/>
                <w:szCs w:val="19"/>
              </w:rPr>
            </w:pPr>
            <w:r w:rsidRPr="003C2337">
              <w:rPr>
                <w:rFonts w:asciiTheme="majorHAnsi" w:hAnsiTheme="majorHAnsi"/>
                <w:b/>
                <w:bCs/>
                <w:color w:val="FFFFFF" w:themeColor="background1"/>
                <w:sz w:val="19"/>
                <w:szCs w:val="19"/>
              </w:rPr>
              <w:t>Parte peticionaria:</w:t>
            </w:r>
          </w:p>
        </w:tc>
        <w:tc>
          <w:tcPr>
            <w:tcW w:w="5760" w:type="dxa"/>
            <w:vAlign w:val="center"/>
          </w:tcPr>
          <w:p w:rsidR="003239B8" w:rsidRPr="003C2337" w:rsidRDefault="00DB7863" w:rsidP="008D2290">
            <w:pPr>
              <w:jc w:val="both"/>
              <w:rPr>
                <w:rFonts w:asciiTheme="majorHAnsi" w:hAnsiTheme="majorHAnsi"/>
                <w:bCs/>
                <w:sz w:val="19"/>
                <w:szCs w:val="19"/>
              </w:rPr>
            </w:pPr>
            <w:r w:rsidRPr="003C2337">
              <w:rPr>
                <w:rFonts w:asciiTheme="majorHAnsi" w:hAnsiTheme="majorHAnsi"/>
                <w:bCs/>
                <w:sz w:val="19"/>
                <w:szCs w:val="19"/>
              </w:rPr>
              <w:t>Oscar Dar</w:t>
            </w:r>
            <w:r w:rsidR="002D3410" w:rsidRPr="003C2337">
              <w:rPr>
                <w:rFonts w:asciiTheme="majorHAnsi" w:hAnsiTheme="majorHAnsi"/>
                <w:bCs/>
                <w:sz w:val="19"/>
                <w:szCs w:val="19"/>
                <w:lang w:val="es-CR"/>
              </w:rPr>
              <w:t>í</w:t>
            </w:r>
            <w:r w:rsidRPr="003C2337">
              <w:rPr>
                <w:rFonts w:asciiTheme="majorHAnsi" w:hAnsiTheme="majorHAnsi"/>
                <w:bCs/>
                <w:sz w:val="19"/>
                <w:szCs w:val="19"/>
              </w:rPr>
              <w:t>o Villegas Posada</w:t>
            </w:r>
          </w:p>
        </w:tc>
      </w:tr>
      <w:tr w:rsidR="003239B8" w:rsidRPr="006D51B4" w:rsidTr="004A6A54">
        <w:tc>
          <w:tcPr>
            <w:tcW w:w="3600" w:type="dxa"/>
            <w:tcBorders>
              <w:top w:val="single" w:sz="6" w:space="0" w:color="auto"/>
              <w:bottom w:val="single" w:sz="6" w:space="0" w:color="auto"/>
            </w:tcBorders>
            <w:shd w:val="clear" w:color="auto" w:fill="386294"/>
            <w:vAlign w:val="center"/>
          </w:tcPr>
          <w:p w:rsidR="003239B8" w:rsidRPr="003C2337" w:rsidRDefault="00891154"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C2337">
                  <w:rPr>
                    <w:rFonts w:asciiTheme="majorHAnsi" w:hAnsiTheme="majorHAnsi"/>
                    <w:b/>
                    <w:bCs/>
                    <w:color w:val="FFFFFF" w:themeColor="background1"/>
                    <w:sz w:val="19"/>
                    <w:szCs w:val="19"/>
                  </w:rPr>
                  <w:t>Presunta víctima</w:t>
                </w:r>
              </w:sdtContent>
            </w:sdt>
            <w:r w:rsidR="003239B8" w:rsidRPr="003C2337">
              <w:rPr>
                <w:rFonts w:asciiTheme="majorHAnsi" w:hAnsiTheme="majorHAnsi"/>
                <w:b/>
                <w:bCs/>
                <w:color w:val="FFFFFF" w:themeColor="background1"/>
                <w:sz w:val="19"/>
                <w:szCs w:val="19"/>
              </w:rPr>
              <w:t>:</w:t>
            </w:r>
          </w:p>
        </w:tc>
        <w:tc>
          <w:tcPr>
            <w:tcW w:w="5760" w:type="dxa"/>
            <w:vAlign w:val="center"/>
          </w:tcPr>
          <w:p w:rsidR="003239B8" w:rsidRPr="003C2337" w:rsidRDefault="00DB7863" w:rsidP="002D3410">
            <w:pPr>
              <w:jc w:val="both"/>
              <w:rPr>
                <w:rFonts w:asciiTheme="majorHAnsi" w:hAnsiTheme="majorHAnsi"/>
                <w:bCs/>
                <w:sz w:val="19"/>
                <w:szCs w:val="19"/>
                <w:lang w:val="es-ES"/>
              </w:rPr>
            </w:pPr>
            <w:r w:rsidRPr="003C2337">
              <w:rPr>
                <w:rFonts w:asciiTheme="majorHAnsi" w:hAnsiTheme="majorHAnsi"/>
                <w:bCs/>
                <w:sz w:val="19"/>
                <w:szCs w:val="19"/>
                <w:lang w:val="es-ES"/>
              </w:rPr>
              <w:t>Franklin Bustamante Restrepo</w:t>
            </w:r>
            <w:r w:rsidR="005965EE" w:rsidRPr="003C2337">
              <w:rPr>
                <w:rFonts w:asciiTheme="majorHAnsi" w:hAnsiTheme="majorHAnsi"/>
                <w:bCs/>
                <w:sz w:val="19"/>
                <w:szCs w:val="19"/>
                <w:lang w:val="es-ES"/>
              </w:rPr>
              <w:t xml:space="preserve"> y </w:t>
            </w:r>
            <w:r w:rsidR="002D3410" w:rsidRPr="003C2337">
              <w:rPr>
                <w:rFonts w:asciiTheme="majorHAnsi" w:hAnsiTheme="majorHAnsi"/>
                <w:bCs/>
                <w:sz w:val="19"/>
                <w:szCs w:val="19"/>
                <w:lang w:val="es-ES"/>
              </w:rPr>
              <w:t>familiares</w:t>
            </w:r>
            <w:r w:rsidR="005965EE" w:rsidRPr="003C2337">
              <w:rPr>
                <w:rStyle w:val="FootnoteReference"/>
                <w:rFonts w:asciiTheme="majorHAnsi" w:hAnsiTheme="majorHAnsi"/>
                <w:bCs/>
                <w:sz w:val="19"/>
                <w:szCs w:val="19"/>
                <w:lang w:val="es-ES"/>
              </w:rPr>
              <w:footnoteReference w:id="2"/>
            </w:r>
          </w:p>
        </w:tc>
      </w:tr>
      <w:tr w:rsidR="003239B8" w:rsidRPr="003C2337" w:rsidTr="004A6A54">
        <w:tc>
          <w:tcPr>
            <w:tcW w:w="3600" w:type="dxa"/>
            <w:tcBorders>
              <w:top w:val="single" w:sz="6" w:space="0" w:color="auto"/>
              <w:bottom w:val="single" w:sz="6" w:space="0" w:color="auto"/>
            </w:tcBorders>
            <w:shd w:val="clear" w:color="auto" w:fill="386294"/>
            <w:vAlign w:val="center"/>
          </w:tcPr>
          <w:p w:rsidR="003239B8" w:rsidRPr="003C2337" w:rsidRDefault="003239B8" w:rsidP="008D2290">
            <w:pPr>
              <w:jc w:val="center"/>
              <w:rPr>
                <w:rFonts w:asciiTheme="majorHAnsi" w:hAnsiTheme="majorHAnsi"/>
                <w:b/>
                <w:bCs/>
                <w:color w:val="FFFFFF" w:themeColor="background1"/>
                <w:sz w:val="19"/>
                <w:szCs w:val="19"/>
              </w:rPr>
            </w:pPr>
            <w:r w:rsidRPr="003C2337">
              <w:rPr>
                <w:rFonts w:asciiTheme="majorHAnsi" w:hAnsiTheme="majorHAnsi"/>
                <w:b/>
                <w:bCs/>
                <w:color w:val="FFFFFF" w:themeColor="background1"/>
                <w:sz w:val="19"/>
                <w:szCs w:val="19"/>
              </w:rPr>
              <w:t>Estado denunciado:</w:t>
            </w:r>
          </w:p>
        </w:tc>
        <w:tc>
          <w:tcPr>
            <w:tcW w:w="5760" w:type="dxa"/>
            <w:vAlign w:val="center"/>
          </w:tcPr>
          <w:p w:rsidR="003239B8" w:rsidRPr="003C2337" w:rsidRDefault="00DB7863" w:rsidP="008D2290">
            <w:pPr>
              <w:jc w:val="both"/>
              <w:rPr>
                <w:rFonts w:asciiTheme="majorHAnsi" w:hAnsiTheme="majorHAnsi"/>
                <w:bCs/>
                <w:sz w:val="19"/>
                <w:szCs w:val="19"/>
              </w:rPr>
            </w:pPr>
            <w:r w:rsidRPr="003C2337">
              <w:rPr>
                <w:rFonts w:asciiTheme="majorHAnsi" w:hAnsiTheme="majorHAnsi"/>
                <w:bCs/>
                <w:sz w:val="19"/>
                <w:szCs w:val="19"/>
              </w:rPr>
              <w:t>Colombia</w:t>
            </w:r>
            <w:r w:rsidR="004A6A54" w:rsidRPr="003C2337">
              <w:rPr>
                <w:rStyle w:val="FootnoteReference"/>
                <w:rFonts w:asciiTheme="majorHAnsi" w:hAnsiTheme="majorHAnsi"/>
                <w:bCs/>
                <w:sz w:val="19"/>
                <w:szCs w:val="19"/>
              </w:rPr>
              <w:footnoteReference w:id="3"/>
            </w:r>
          </w:p>
        </w:tc>
      </w:tr>
      <w:tr w:rsidR="00223A29" w:rsidRPr="006D51B4" w:rsidTr="004A6A54">
        <w:tc>
          <w:tcPr>
            <w:tcW w:w="3600" w:type="dxa"/>
            <w:tcBorders>
              <w:top w:val="single" w:sz="6" w:space="0" w:color="auto"/>
              <w:bottom w:val="single" w:sz="6" w:space="0" w:color="auto"/>
            </w:tcBorders>
            <w:shd w:val="clear" w:color="auto" w:fill="386294"/>
            <w:vAlign w:val="center"/>
          </w:tcPr>
          <w:p w:rsidR="00223A29" w:rsidRPr="003C2337" w:rsidRDefault="001B3A00" w:rsidP="00E4118C">
            <w:pPr>
              <w:jc w:val="center"/>
              <w:rPr>
                <w:rFonts w:asciiTheme="majorHAnsi" w:hAnsiTheme="majorHAnsi"/>
                <w:b/>
                <w:bCs/>
                <w:color w:val="FFFFFF" w:themeColor="background1"/>
                <w:sz w:val="19"/>
                <w:szCs w:val="19"/>
              </w:rPr>
            </w:pPr>
            <w:r w:rsidRPr="003C2337">
              <w:rPr>
                <w:rFonts w:asciiTheme="majorHAnsi" w:hAnsiTheme="majorHAnsi"/>
                <w:b/>
                <w:bCs/>
                <w:color w:val="FFFFFF" w:themeColor="background1"/>
                <w:sz w:val="19"/>
                <w:szCs w:val="19"/>
              </w:rPr>
              <w:t xml:space="preserve">Derechos </w:t>
            </w:r>
            <w:r w:rsidR="00E4118C" w:rsidRPr="003C2337">
              <w:rPr>
                <w:rFonts w:asciiTheme="majorHAnsi" w:hAnsiTheme="majorHAnsi"/>
                <w:b/>
                <w:bCs/>
                <w:color w:val="FFFFFF" w:themeColor="background1"/>
                <w:sz w:val="19"/>
                <w:szCs w:val="19"/>
              </w:rPr>
              <w:t>invocados</w:t>
            </w:r>
            <w:r w:rsidRPr="003C2337">
              <w:rPr>
                <w:rFonts w:asciiTheme="majorHAnsi" w:hAnsiTheme="majorHAnsi"/>
                <w:b/>
                <w:bCs/>
                <w:color w:val="FFFFFF" w:themeColor="background1"/>
                <w:sz w:val="19"/>
                <w:szCs w:val="19"/>
              </w:rPr>
              <w:t>:</w:t>
            </w:r>
          </w:p>
        </w:tc>
        <w:tc>
          <w:tcPr>
            <w:tcW w:w="5760" w:type="dxa"/>
            <w:vAlign w:val="center"/>
          </w:tcPr>
          <w:p w:rsidR="00223A29" w:rsidRPr="003C2337" w:rsidRDefault="003A42BD" w:rsidP="002D3410">
            <w:pPr>
              <w:jc w:val="both"/>
              <w:rPr>
                <w:rFonts w:asciiTheme="majorHAnsi" w:hAnsiTheme="majorHAnsi"/>
                <w:bCs/>
                <w:sz w:val="19"/>
                <w:szCs w:val="19"/>
                <w:lang w:val="es-AR"/>
              </w:rPr>
            </w:pPr>
            <w:r w:rsidRPr="003C2337">
              <w:rPr>
                <w:rFonts w:asciiTheme="majorHAnsi" w:hAnsiTheme="majorHAnsi"/>
                <w:bCs/>
                <w:sz w:val="19"/>
                <w:szCs w:val="19"/>
                <w:lang w:val="es-AR"/>
              </w:rPr>
              <w:t xml:space="preserve">Artículos </w:t>
            </w:r>
            <w:r w:rsidR="005965EE" w:rsidRPr="003C2337">
              <w:rPr>
                <w:rFonts w:asciiTheme="majorHAnsi" w:hAnsiTheme="majorHAnsi"/>
                <w:bCs/>
                <w:sz w:val="19"/>
                <w:szCs w:val="19"/>
                <w:lang w:val="es-AR"/>
              </w:rPr>
              <w:t>4 (vida), 5 (integridad personal), 8 (garantías judiciales), 11 (honra y dignidad), 25 (protección judicial) de la Convención Americana sobre Derechos Humanos</w:t>
            </w:r>
            <w:r w:rsidR="005965EE" w:rsidRPr="003C2337">
              <w:rPr>
                <w:rStyle w:val="FootnoteReference"/>
                <w:rFonts w:asciiTheme="majorHAnsi" w:hAnsiTheme="majorHAnsi"/>
                <w:bCs/>
                <w:sz w:val="19"/>
                <w:szCs w:val="19"/>
                <w:lang w:val="es-AR"/>
              </w:rPr>
              <w:footnoteReference w:id="4"/>
            </w:r>
            <w:r w:rsidR="005965EE" w:rsidRPr="003C2337">
              <w:rPr>
                <w:rFonts w:asciiTheme="majorHAnsi" w:hAnsiTheme="majorHAnsi"/>
                <w:bCs/>
                <w:sz w:val="19"/>
                <w:szCs w:val="19"/>
                <w:lang w:val="es-AR"/>
              </w:rPr>
              <w:t>, así como I (vida y seguridad e integridad personal)</w:t>
            </w:r>
            <w:r w:rsidR="002D3410" w:rsidRPr="003C2337">
              <w:rPr>
                <w:rFonts w:asciiTheme="majorHAnsi" w:hAnsiTheme="majorHAnsi"/>
                <w:bCs/>
                <w:sz w:val="19"/>
                <w:szCs w:val="19"/>
                <w:lang w:val="es-AR"/>
              </w:rPr>
              <w:t xml:space="preserve"> y</w:t>
            </w:r>
            <w:r w:rsidR="005965EE" w:rsidRPr="003C2337">
              <w:rPr>
                <w:rFonts w:asciiTheme="majorHAnsi" w:hAnsiTheme="majorHAnsi"/>
                <w:bCs/>
                <w:sz w:val="19"/>
                <w:szCs w:val="19"/>
                <w:lang w:val="es-AR"/>
              </w:rPr>
              <w:t xml:space="preserve"> XVIII (justicia) de la Declaración Americana de los Derechos y Deberes del Hombre</w:t>
            </w:r>
            <w:r w:rsidR="005965EE" w:rsidRPr="003C2337">
              <w:rPr>
                <w:rStyle w:val="FootnoteReference"/>
                <w:rFonts w:asciiTheme="majorHAnsi" w:hAnsiTheme="majorHAnsi"/>
                <w:bCs/>
                <w:sz w:val="19"/>
                <w:szCs w:val="19"/>
                <w:lang w:val="es-AR"/>
              </w:rPr>
              <w:footnoteReference w:id="5"/>
            </w:r>
          </w:p>
        </w:tc>
      </w:tr>
    </w:tbl>
    <w:p w:rsidR="003239B8" w:rsidRPr="003C2337" w:rsidRDefault="003239B8" w:rsidP="003239B8">
      <w:pPr>
        <w:spacing w:before="240" w:after="240"/>
        <w:ind w:firstLine="720"/>
        <w:jc w:val="both"/>
        <w:rPr>
          <w:rFonts w:asciiTheme="majorHAnsi" w:hAnsiTheme="majorHAnsi"/>
          <w:b/>
          <w:bCs/>
          <w:sz w:val="19"/>
          <w:szCs w:val="19"/>
          <w:lang w:val="es-ES"/>
        </w:rPr>
      </w:pPr>
      <w:r w:rsidRPr="003C2337">
        <w:rPr>
          <w:rFonts w:asciiTheme="majorHAnsi" w:hAnsiTheme="majorHAnsi"/>
          <w:b/>
          <w:bCs/>
          <w:sz w:val="19"/>
          <w:szCs w:val="19"/>
          <w:lang w:val="es-ES"/>
        </w:rPr>
        <w:t>II.</w:t>
      </w:r>
      <w:r w:rsidRPr="003C2337">
        <w:rPr>
          <w:rFonts w:asciiTheme="majorHAnsi" w:hAnsiTheme="majorHAnsi"/>
          <w:b/>
          <w:bCs/>
          <w:sz w:val="19"/>
          <w:szCs w:val="19"/>
          <w:lang w:val="es-ES"/>
        </w:rPr>
        <w:tab/>
        <w:t>TRÁMITE ANTE LA CIDH</w:t>
      </w:r>
      <w:r w:rsidR="008E3BFE" w:rsidRPr="003C2337">
        <w:rPr>
          <w:rStyle w:val="FootnoteReference"/>
          <w:rFonts w:asciiTheme="majorHAnsi" w:hAnsiTheme="majorHAnsi"/>
          <w:b/>
          <w:sz w:val="19"/>
          <w:szCs w:val="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C2337" w:rsidTr="004A6A54">
        <w:tc>
          <w:tcPr>
            <w:tcW w:w="3600" w:type="dxa"/>
            <w:tcBorders>
              <w:top w:val="single" w:sz="6" w:space="0" w:color="auto"/>
              <w:bottom w:val="single" w:sz="6" w:space="0" w:color="auto"/>
            </w:tcBorders>
            <w:shd w:val="clear" w:color="auto" w:fill="386294"/>
            <w:vAlign w:val="center"/>
          </w:tcPr>
          <w:p w:rsidR="004C2312" w:rsidRPr="003C2337" w:rsidRDefault="004A6A54" w:rsidP="004A6A54">
            <w:pPr>
              <w:jc w:val="center"/>
              <w:rPr>
                <w:rFonts w:asciiTheme="majorHAnsi" w:hAnsiTheme="majorHAnsi"/>
                <w:b/>
                <w:bCs/>
                <w:color w:val="FFFFFF" w:themeColor="background1"/>
                <w:sz w:val="19"/>
                <w:szCs w:val="19"/>
                <w:lang w:val="es-ES"/>
              </w:rPr>
            </w:pPr>
            <w:r w:rsidRPr="003C2337">
              <w:rPr>
                <w:rFonts w:asciiTheme="majorHAnsi" w:hAnsiTheme="majorHAnsi"/>
                <w:b/>
                <w:bCs/>
                <w:color w:val="FFFFFF" w:themeColor="background1"/>
                <w:sz w:val="19"/>
                <w:szCs w:val="19"/>
                <w:lang w:val="es-ES"/>
              </w:rPr>
              <w:t>P</w:t>
            </w:r>
            <w:r w:rsidR="004C2312" w:rsidRPr="003C2337">
              <w:rPr>
                <w:rFonts w:asciiTheme="majorHAnsi" w:hAnsiTheme="majorHAnsi"/>
                <w:b/>
                <w:bCs/>
                <w:color w:val="FFFFFF" w:themeColor="background1"/>
                <w:sz w:val="19"/>
                <w:szCs w:val="19"/>
                <w:lang w:val="es-ES"/>
              </w:rPr>
              <w:t>resentación de la petición:</w:t>
            </w:r>
          </w:p>
        </w:tc>
        <w:tc>
          <w:tcPr>
            <w:tcW w:w="5760" w:type="dxa"/>
            <w:vAlign w:val="center"/>
          </w:tcPr>
          <w:p w:rsidR="004C2312" w:rsidRPr="003C2337" w:rsidRDefault="003A42BD" w:rsidP="002625EA">
            <w:pPr>
              <w:jc w:val="both"/>
              <w:rPr>
                <w:rFonts w:asciiTheme="majorHAnsi" w:hAnsiTheme="majorHAnsi"/>
                <w:bCs/>
                <w:sz w:val="19"/>
                <w:szCs w:val="19"/>
                <w:lang w:val="es-ES"/>
              </w:rPr>
            </w:pPr>
            <w:r w:rsidRPr="003C2337">
              <w:rPr>
                <w:rFonts w:asciiTheme="majorHAnsi" w:hAnsiTheme="majorHAnsi"/>
                <w:bCs/>
                <w:sz w:val="19"/>
                <w:szCs w:val="19"/>
                <w:lang w:val="es-ES"/>
              </w:rPr>
              <w:t>26 de septiembre de 2009</w:t>
            </w:r>
          </w:p>
        </w:tc>
      </w:tr>
      <w:tr w:rsidR="001E49E7" w:rsidRPr="003C2337" w:rsidTr="004A6A54">
        <w:tc>
          <w:tcPr>
            <w:tcW w:w="3600" w:type="dxa"/>
            <w:tcBorders>
              <w:top w:val="single" w:sz="6" w:space="0" w:color="auto"/>
              <w:bottom w:val="single" w:sz="6" w:space="0" w:color="auto"/>
            </w:tcBorders>
            <w:shd w:val="clear" w:color="auto" w:fill="386294"/>
            <w:vAlign w:val="center"/>
          </w:tcPr>
          <w:p w:rsidR="001E49E7" w:rsidRPr="003C2337" w:rsidRDefault="001E49E7" w:rsidP="001E49E7">
            <w:pPr>
              <w:jc w:val="center"/>
              <w:rPr>
                <w:rFonts w:asciiTheme="majorHAnsi" w:hAnsiTheme="majorHAnsi"/>
                <w:b/>
                <w:bCs/>
                <w:color w:val="FFFFFF" w:themeColor="background1"/>
                <w:sz w:val="19"/>
                <w:szCs w:val="19"/>
                <w:lang w:val="es-ES"/>
              </w:rPr>
            </w:pPr>
            <w:r w:rsidRPr="003C2337">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3C2337" w:rsidRDefault="00282C55" w:rsidP="00282C55">
            <w:pPr>
              <w:rPr>
                <w:rFonts w:asciiTheme="majorHAnsi" w:hAnsiTheme="majorHAnsi"/>
                <w:bCs/>
                <w:color w:val="FFFFFF" w:themeColor="background1"/>
                <w:sz w:val="19"/>
                <w:szCs w:val="19"/>
                <w:lang w:val="es-AR"/>
              </w:rPr>
            </w:pPr>
            <w:r w:rsidRPr="003C2337">
              <w:rPr>
                <w:rFonts w:asciiTheme="majorHAnsi" w:hAnsiTheme="majorHAnsi"/>
                <w:bCs/>
                <w:sz w:val="19"/>
                <w:szCs w:val="19"/>
                <w:lang w:val="es-AR"/>
              </w:rPr>
              <w:t>4 de noviembre de 2010</w:t>
            </w:r>
          </w:p>
        </w:tc>
      </w:tr>
      <w:tr w:rsidR="004C2312" w:rsidRPr="003C2337" w:rsidTr="004A6A54">
        <w:tc>
          <w:tcPr>
            <w:tcW w:w="3600" w:type="dxa"/>
            <w:tcBorders>
              <w:top w:val="single" w:sz="6" w:space="0" w:color="auto"/>
              <w:bottom w:val="single" w:sz="6" w:space="0" w:color="auto"/>
            </w:tcBorders>
            <w:shd w:val="clear" w:color="auto" w:fill="386294"/>
            <w:vAlign w:val="center"/>
          </w:tcPr>
          <w:p w:rsidR="004C2312" w:rsidRPr="003C2337" w:rsidRDefault="004A6A54" w:rsidP="004A6A54">
            <w:pPr>
              <w:jc w:val="center"/>
              <w:rPr>
                <w:rFonts w:asciiTheme="majorHAnsi" w:hAnsiTheme="majorHAnsi"/>
                <w:b/>
                <w:bCs/>
                <w:color w:val="FFFFFF" w:themeColor="background1"/>
                <w:sz w:val="19"/>
                <w:szCs w:val="19"/>
                <w:lang w:val="es-ES"/>
              </w:rPr>
            </w:pPr>
            <w:r w:rsidRPr="003C2337">
              <w:rPr>
                <w:rFonts w:asciiTheme="majorHAnsi" w:hAnsiTheme="majorHAnsi"/>
                <w:b/>
                <w:color w:val="FFFFFF" w:themeColor="background1"/>
                <w:sz w:val="19"/>
                <w:szCs w:val="19"/>
                <w:lang w:val="es-ES"/>
              </w:rPr>
              <w:t>N</w:t>
            </w:r>
            <w:r w:rsidR="004C2312" w:rsidRPr="003C2337">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3C2337" w:rsidRDefault="00282C55" w:rsidP="008D2290">
            <w:pPr>
              <w:jc w:val="both"/>
              <w:rPr>
                <w:rFonts w:asciiTheme="majorHAnsi" w:hAnsiTheme="majorHAnsi"/>
                <w:bCs/>
                <w:sz w:val="19"/>
                <w:szCs w:val="19"/>
                <w:lang w:val="es-ES"/>
              </w:rPr>
            </w:pPr>
            <w:r w:rsidRPr="003C2337">
              <w:rPr>
                <w:rFonts w:asciiTheme="majorHAnsi" w:hAnsiTheme="majorHAnsi"/>
                <w:bCs/>
                <w:sz w:val="19"/>
                <w:szCs w:val="19"/>
                <w:lang w:val="es-ES"/>
              </w:rPr>
              <w:t>13 de julio de 2011</w:t>
            </w:r>
          </w:p>
        </w:tc>
      </w:tr>
      <w:tr w:rsidR="004C2312" w:rsidRPr="003C2337" w:rsidTr="004A6A54">
        <w:tc>
          <w:tcPr>
            <w:tcW w:w="3600" w:type="dxa"/>
            <w:tcBorders>
              <w:top w:val="single" w:sz="6" w:space="0" w:color="auto"/>
              <w:bottom w:val="single" w:sz="6" w:space="0" w:color="auto"/>
            </w:tcBorders>
            <w:shd w:val="clear" w:color="auto" w:fill="386294"/>
            <w:vAlign w:val="center"/>
          </w:tcPr>
          <w:p w:rsidR="004C2312" w:rsidRPr="003C2337" w:rsidRDefault="004A6A54" w:rsidP="004A6A54">
            <w:pPr>
              <w:jc w:val="center"/>
              <w:rPr>
                <w:rFonts w:asciiTheme="majorHAnsi" w:hAnsiTheme="majorHAnsi"/>
                <w:b/>
                <w:bCs/>
                <w:color w:val="FFFFFF" w:themeColor="background1"/>
                <w:sz w:val="19"/>
                <w:szCs w:val="19"/>
                <w:lang w:val="es-ES"/>
              </w:rPr>
            </w:pPr>
            <w:r w:rsidRPr="003C2337">
              <w:rPr>
                <w:rFonts w:asciiTheme="majorHAnsi" w:hAnsiTheme="majorHAnsi"/>
                <w:b/>
                <w:color w:val="FFFFFF" w:themeColor="background1"/>
                <w:sz w:val="19"/>
                <w:szCs w:val="19"/>
                <w:lang w:val="es-ES"/>
              </w:rPr>
              <w:t>P</w:t>
            </w:r>
            <w:r w:rsidR="004C2312" w:rsidRPr="003C2337">
              <w:rPr>
                <w:rFonts w:asciiTheme="majorHAnsi" w:hAnsiTheme="majorHAnsi"/>
                <w:b/>
                <w:color w:val="FFFFFF" w:themeColor="background1"/>
                <w:sz w:val="19"/>
                <w:szCs w:val="19"/>
                <w:lang w:val="es-ES"/>
              </w:rPr>
              <w:t>rimera respuesta del Estado:</w:t>
            </w:r>
          </w:p>
        </w:tc>
        <w:tc>
          <w:tcPr>
            <w:tcW w:w="5760" w:type="dxa"/>
            <w:vAlign w:val="center"/>
          </w:tcPr>
          <w:p w:rsidR="004C2312" w:rsidRPr="003C2337" w:rsidRDefault="00282C55" w:rsidP="008D2290">
            <w:pPr>
              <w:jc w:val="both"/>
              <w:rPr>
                <w:rFonts w:asciiTheme="majorHAnsi" w:hAnsiTheme="majorHAnsi"/>
                <w:bCs/>
                <w:sz w:val="19"/>
                <w:szCs w:val="19"/>
                <w:lang w:val="es-ES"/>
              </w:rPr>
            </w:pPr>
            <w:r w:rsidRPr="003C2337">
              <w:rPr>
                <w:rFonts w:asciiTheme="majorHAnsi" w:hAnsiTheme="majorHAnsi"/>
                <w:bCs/>
                <w:sz w:val="19"/>
                <w:szCs w:val="19"/>
                <w:lang w:val="es-ES"/>
              </w:rPr>
              <w:t>14 de octubre de 2011</w:t>
            </w:r>
          </w:p>
        </w:tc>
      </w:tr>
      <w:tr w:rsidR="004C2312" w:rsidRPr="003C2337" w:rsidTr="004A6A54">
        <w:tc>
          <w:tcPr>
            <w:tcW w:w="3600" w:type="dxa"/>
            <w:tcBorders>
              <w:top w:val="single" w:sz="6" w:space="0" w:color="auto"/>
              <w:bottom w:val="single" w:sz="6" w:space="0" w:color="auto"/>
            </w:tcBorders>
            <w:shd w:val="clear" w:color="auto" w:fill="386294"/>
            <w:vAlign w:val="center"/>
          </w:tcPr>
          <w:p w:rsidR="004C2312" w:rsidRPr="003C2337" w:rsidRDefault="008E3BFE" w:rsidP="008E3BFE">
            <w:pPr>
              <w:jc w:val="center"/>
              <w:rPr>
                <w:rFonts w:asciiTheme="majorHAnsi" w:hAnsiTheme="majorHAnsi"/>
                <w:b/>
                <w:bCs/>
                <w:color w:val="FFFFFF" w:themeColor="background1"/>
                <w:sz w:val="19"/>
                <w:szCs w:val="19"/>
                <w:lang w:val="es-ES"/>
              </w:rPr>
            </w:pPr>
            <w:r w:rsidRPr="003C2337">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3C2337" w:rsidRDefault="0024295F" w:rsidP="008D2290">
            <w:pPr>
              <w:jc w:val="both"/>
              <w:rPr>
                <w:rFonts w:asciiTheme="majorHAnsi" w:hAnsiTheme="majorHAnsi"/>
                <w:bCs/>
                <w:sz w:val="19"/>
                <w:szCs w:val="19"/>
                <w:lang w:val="es-ES"/>
              </w:rPr>
            </w:pPr>
            <w:r w:rsidRPr="003C2337">
              <w:rPr>
                <w:rFonts w:asciiTheme="majorHAnsi" w:hAnsiTheme="majorHAnsi"/>
                <w:bCs/>
                <w:sz w:val="19"/>
                <w:szCs w:val="19"/>
                <w:lang w:val="es-ES"/>
              </w:rPr>
              <w:t>22 de noviembre de 2011</w:t>
            </w:r>
          </w:p>
        </w:tc>
      </w:tr>
      <w:tr w:rsidR="004C2312" w:rsidRPr="003C2337" w:rsidTr="004A6A54">
        <w:tc>
          <w:tcPr>
            <w:tcW w:w="3600" w:type="dxa"/>
            <w:tcBorders>
              <w:top w:val="single" w:sz="6" w:space="0" w:color="auto"/>
              <w:bottom w:val="single" w:sz="6" w:space="0" w:color="auto"/>
            </w:tcBorders>
            <w:shd w:val="clear" w:color="auto" w:fill="386294"/>
            <w:vAlign w:val="center"/>
          </w:tcPr>
          <w:p w:rsidR="004C2312" w:rsidRPr="003C2337" w:rsidRDefault="004C2312" w:rsidP="008E3BFE">
            <w:pPr>
              <w:jc w:val="center"/>
              <w:rPr>
                <w:rFonts w:asciiTheme="majorHAnsi" w:hAnsiTheme="majorHAnsi"/>
                <w:b/>
                <w:bCs/>
                <w:color w:val="FFFFFF" w:themeColor="background1"/>
                <w:sz w:val="19"/>
                <w:szCs w:val="19"/>
              </w:rPr>
            </w:pPr>
            <w:r w:rsidRPr="003C2337">
              <w:rPr>
                <w:rFonts w:asciiTheme="majorHAnsi" w:hAnsiTheme="majorHAnsi"/>
                <w:b/>
                <w:bCs/>
                <w:color w:val="FFFFFF" w:themeColor="background1"/>
                <w:sz w:val="19"/>
                <w:szCs w:val="19"/>
              </w:rPr>
              <w:t>Observaciones adicionales del Estado:</w:t>
            </w:r>
          </w:p>
        </w:tc>
        <w:tc>
          <w:tcPr>
            <w:tcW w:w="5760" w:type="dxa"/>
            <w:vAlign w:val="center"/>
          </w:tcPr>
          <w:p w:rsidR="004C2312" w:rsidRPr="003C2337" w:rsidRDefault="0024295F" w:rsidP="00F2356A">
            <w:pPr>
              <w:jc w:val="both"/>
              <w:rPr>
                <w:rFonts w:asciiTheme="majorHAnsi" w:hAnsiTheme="majorHAnsi"/>
                <w:bCs/>
                <w:sz w:val="19"/>
                <w:szCs w:val="19"/>
                <w:lang w:val="es-AR"/>
              </w:rPr>
            </w:pPr>
            <w:r w:rsidRPr="003C2337">
              <w:rPr>
                <w:rFonts w:asciiTheme="majorHAnsi" w:hAnsiTheme="majorHAnsi"/>
                <w:bCs/>
                <w:sz w:val="19"/>
                <w:szCs w:val="19"/>
                <w:lang w:val="es-AR"/>
              </w:rPr>
              <w:t>26 de junio de 2012</w:t>
            </w:r>
            <w:r w:rsidR="00B940E1" w:rsidRPr="003C2337">
              <w:rPr>
                <w:rFonts w:asciiTheme="majorHAnsi" w:hAnsiTheme="majorHAnsi"/>
                <w:bCs/>
                <w:sz w:val="19"/>
                <w:szCs w:val="19"/>
                <w:lang w:val="es-AR"/>
              </w:rPr>
              <w:t xml:space="preserve"> </w:t>
            </w:r>
          </w:p>
        </w:tc>
      </w:tr>
      <w:tr w:rsidR="001E49E7" w:rsidRPr="003C2337" w:rsidTr="004A6A54">
        <w:tc>
          <w:tcPr>
            <w:tcW w:w="3600" w:type="dxa"/>
            <w:tcBorders>
              <w:top w:val="single" w:sz="6" w:space="0" w:color="auto"/>
              <w:bottom w:val="single" w:sz="6" w:space="0" w:color="auto"/>
            </w:tcBorders>
            <w:shd w:val="clear" w:color="auto" w:fill="386294"/>
            <w:vAlign w:val="center"/>
          </w:tcPr>
          <w:p w:rsidR="001E49E7" w:rsidRPr="003C2337" w:rsidRDefault="004A6A54" w:rsidP="00DD4AD2">
            <w:pPr>
              <w:jc w:val="center"/>
              <w:rPr>
                <w:rFonts w:asciiTheme="majorHAnsi" w:hAnsiTheme="majorHAnsi"/>
                <w:b/>
                <w:bCs/>
                <w:color w:val="FFFFFF" w:themeColor="background1"/>
                <w:sz w:val="19"/>
                <w:szCs w:val="19"/>
                <w:lang w:val="es-ES"/>
              </w:rPr>
            </w:pPr>
            <w:r w:rsidRPr="003C2337">
              <w:rPr>
                <w:rFonts w:asciiTheme="majorHAnsi" w:hAnsiTheme="majorHAnsi"/>
                <w:b/>
                <w:bCs/>
                <w:color w:val="FFFFFF" w:themeColor="background1"/>
                <w:sz w:val="19"/>
                <w:szCs w:val="19"/>
                <w:lang w:val="es-ES"/>
              </w:rPr>
              <w:t>A</w:t>
            </w:r>
            <w:r w:rsidR="001E49E7" w:rsidRPr="003C2337">
              <w:rPr>
                <w:rFonts w:asciiTheme="majorHAnsi" w:hAnsiTheme="majorHAnsi"/>
                <w:b/>
                <w:bCs/>
                <w:color w:val="FFFFFF" w:themeColor="background1"/>
                <w:sz w:val="19"/>
                <w:szCs w:val="19"/>
                <w:lang w:val="es-ES"/>
              </w:rPr>
              <w:t>dvertencia sobre posible archivo:</w:t>
            </w:r>
          </w:p>
        </w:tc>
        <w:tc>
          <w:tcPr>
            <w:tcW w:w="5760" w:type="dxa"/>
            <w:vAlign w:val="center"/>
          </w:tcPr>
          <w:p w:rsidR="001E49E7" w:rsidRPr="003C2337" w:rsidRDefault="0024295F" w:rsidP="002625EA">
            <w:pPr>
              <w:jc w:val="both"/>
              <w:rPr>
                <w:rFonts w:asciiTheme="majorHAnsi" w:hAnsiTheme="majorHAnsi"/>
                <w:bCs/>
                <w:sz w:val="19"/>
                <w:szCs w:val="19"/>
                <w:lang w:val="es-ES"/>
              </w:rPr>
            </w:pPr>
            <w:r w:rsidRPr="003C2337">
              <w:rPr>
                <w:rFonts w:asciiTheme="majorHAnsi" w:hAnsiTheme="majorHAnsi"/>
                <w:bCs/>
                <w:sz w:val="19"/>
                <w:szCs w:val="19"/>
                <w:lang w:val="es-ES"/>
              </w:rPr>
              <w:t>27 de marzo de 2017</w:t>
            </w:r>
          </w:p>
        </w:tc>
      </w:tr>
      <w:tr w:rsidR="001E49E7" w:rsidRPr="003C2337" w:rsidTr="004A6A54">
        <w:tc>
          <w:tcPr>
            <w:tcW w:w="3600" w:type="dxa"/>
            <w:tcBorders>
              <w:top w:val="single" w:sz="6" w:space="0" w:color="auto"/>
              <w:bottom w:val="single" w:sz="6" w:space="0" w:color="auto"/>
            </w:tcBorders>
            <w:shd w:val="clear" w:color="auto" w:fill="386294"/>
            <w:vAlign w:val="center"/>
          </w:tcPr>
          <w:p w:rsidR="001E49E7" w:rsidRPr="003C2337" w:rsidRDefault="004A6A54" w:rsidP="004A6A54">
            <w:pPr>
              <w:jc w:val="center"/>
              <w:rPr>
                <w:rFonts w:asciiTheme="majorHAnsi" w:hAnsiTheme="majorHAnsi"/>
                <w:b/>
                <w:bCs/>
                <w:color w:val="FFFFFF" w:themeColor="background1"/>
                <w:sz w:val="19"/>
                <w:szCs w:val="19"/>
                <w:lang w:val="es-ES"/>
              </w:rPr>
            </w:pPr>
            <w:r w:rsidRPr="003C2337">
              <w:rPr>
                <w:rFonts w:asciiTheme="majorHAnsi" w:hAnsiTheme="majorHAnsi"/>
                <w:b/>
                <w:bCs/>
                <w:color w:val="FFFFFF" w:themeColor="background1"/>
                <w:sz w:val="19"/>
                <w:szCs w:val="19"/>
                <w:lang w:val="es-ES"/>
              </w:rPr>
              <w:t>R</w:t>
            </w:r>
            <w:r w:rsidR="001E49E7" w:rsidRPr="003C2337">
              <w:rPr>
                <w:rFonts w:asciiTheme="majorHAnsi" w:hAnsiTheme="majorHAnsi"/>
                <w:b/>
                <w:bCs/>
                <w:color w:val="FFFFFF" w:themeColor="background1"/>
                <w:sz w:val="19"/>
                <w:szCs w:val="19"/>
                <w:lang w:val="es-ES"/>
              </w:rPr>
              <w:t xml:space="preserve">espuesta de la parte peticionaria ante advertencia </w:t>
            </w:r>
            <w:r w:rsidR="00DD4AD2" w:rsidRPr="003C2337">
              <w:rPr>
                <w:rFonts w:asciiTheme="majorHAnsi" w:hAnsiTheme="majorHAnsi"/>
                <w:b/>
                <w:bCs/>
                <w:color w:val="FFFFFF" w:themeColor="background1"/>
                <w:sz w:val="19"/>
                <w:szCs w:val="19"/>
                <w:lang w:val="es-ES"/>
              </w:rPr>
              <w:t xml:space="preserve">de </w:t>
            </w:r>
            <w:r w:rsidR="001E49E7" w:rsidRPr="003C2337">
              <w:rPr>
                <w:rFonts w:asciiTheme="majorHAnsi" w:hAnsiTheme="majorHAnsi"/>
                <w:b/>
                <w:bCs/>
                <w:color w:val="FFFFFF" w:themeColor="background1"/>
                <w:sz w:val="19"/>
                <w:szCs w:val="19"/>
                <w:lang w:val="es-ES"/>
              </w:rPr>
              <w:t>posible archivo:</w:t>
            </w:r>
          </w:p>
        </w:tc>
        <w:tc>
          <w:tcPr>
            <w:tcW w:w="5760" w:type="dxa"/>
            <w:vAlign w:val="center"/>
          </w:tcPr>
          <w:p w:rsidR="001E49E7" w:rsidRPr="003C2337" w:rsidRDefault="0024295F" w:rsidP="002625EA">
            <w:pPr>
              <w:jc w:val="both"/>
              <w:rPr>
                <w:rFonts w:asciiTheme="majorHAnsi" w:hAnsiTheme="majorHAnsi"/>
                <w:bCs/>
                <w:sz w:val="19"/>
                <w:szCs w:val="19"/>
                <w:lang w:val="es-ES"/>
              </w:rPr>
            </w:pPr>
            <w:r w:rsidRPr="003C2337">
              <w:rPr>
                <w:rFonts w:asciiTheme="majorHAnsi" w:hAnsiTheme="majorHAnsi"/>
                <w:bCs/>
                <w:sz w:val="19"/>
                <w:szCs w:val="19"/>
                <w:lang w:val="es-ES"/>
              </w:rPr>
              <w:t>3 de abril de 2017</w:t>
            </w:r>
          </w:p>
        </w:tc>
      </w:tr>
    </w:tbl>
    <w:p w:rsidR="003239B8" w:rsidRPr="003C2337" w:rsidRDefault="003239B8" w:rsidP="003239B8">
      <w:pPr>
        <w:spacing w:before="240" w:after="240"/>
        <w:ind w:firstLine="720"/>
        <w:jc w:val="both"/>
        <w:rPr>
          <w:rFonts w:asciiTheme="majorHAnsi" w:hAnsiTheme="majorHAnsi"/>
          <w:b/>
          <w:bCs/>
          <w:sz w:val="19"/>
          <w:szCs w:val="19"/>
          <w:lang w:val="es-ES"/>
        </w:rPr>
      </w:pPr>
      <w:r w:rsidRPr="003C2337">
        <w:rPr>
          <w:rFonts w:asciiTheme="majorHAnsi" w:hAnsiTheme="majorHAnsi"/>
          <w:b/>
          <w:bCs/>
          <w:sz w:val="19"/>
          <w:szCs w:val="19"/>
          <w:lang w:val="es-ES"/>
        </w:rPr>
        <w:t xml:space="preserve">III. </w:t>
      </w:r>
      <w:r w:rsidRPr="003C2337">
        <w:rPr>
          <w:rFonts w:asciiTheme="majorHAnsi" w:hAnsiTheme="majorHAnsi"/>
          <w:b/>
          <w:bCs/>
          <w:sz w:val="19"/>
          <w:szCs w:val="19"/>
          <w:lang w:val="es-ES"/>
        </w:rPr>
        <w:tab/>
        <w:t>COMPETENCIA</w:t>
      </w:r>
      <w:r w:rsidR="00EE00E9" w:rsidRPr="003C2337">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C2337" w:rsidTr="004A6A54">
        <w:trPr>
          <w:cantSplit/>
        </w:trPr>
        <w:tc>
          <w:tcPr>
            <w:tcW w:w="3600" w:type="dxa"/>
            <w:tcBorders>
              <w:top w:val="single" w:sz="4" w:space="0" w:color="auto"/>
              <w:bottom w:val="single" w:sz="6" w:space="0" w:color="auto"/>
            </w:tcBorders>
            <w:shd w:val="clear" w:color="auto" w:fill="386294"/>
            <w:vAlign w:val="center"/>
          </w:tcPr>
          <w:p w:rsidR="003239B8" w:rsidRPr="003C2337" w:rsidRDefault="003239B8" w:rsidP="008D2290">
            <w:pPr>
              <w:jc w:val="center"/>
              <w:rPr>
                <w:rFonts w:asciiTheme="majorHAnsi" w:hAnsiTheme="majorHAnsi"/>
                <w:b/>
                <w:bCs/>
                <w:i/>
                <w:color w:val="FFFFFF" w:themeColor="background1"/>
                <w:sz w:val="19"/>
                <w:szCs w:val="19"/>
              </w:rPr>
            </w:pPr>
            <w:r w:rsidRPr="003C2337">
              <w:rPr>
                <w:rFonts w:asciiTheme="majorHAnsi" w:hAnsiTheme="majorHAnsi"/>
                <w:b/>
                <w:bCs/>
                <w:color w:val="FFFFFF" w:themeColor="background1"/>
                <w:sz w:val="19"/>
                <w:szCs w:val="19"/>
              </w:rPr>
              <w:t>Competencia</w:t>
            </w:r>
            <w:r w:rsidRPr="003C2337">
              <w:rPr>
                <w:rFonts w:asciiTheme="majorHAnsi" w:hAnsiTheme="majorHAnsi"/>
                <w:b/>
                <w:bCs/>
                <w:i/>
                <w:color w:val="FFFFFF" w:themeColor="background1"/>
                <w:sz w:val="19"/>
                <w:szCs w:val="19"/>
              </w:rPr>
              <w:t xml:space="preserve"> Ratione personae:</w:t>
            </w:r>
          </w:p>
        </w:tc>
        <w:tc>
          <w:tcPr>
            <w:tcW w:w="5760" w:type="dxa"/>
            <w:vAlign w:val="center"/>
          </w:tcPr>
          <w:p w:rsidR="003239B8" w:rsidRPr="003C2337" w:rsidRDefault="000E59E5" w:rsidP="008D2290">
            <w:pPr>
              <w:rPr>
                <w:rFonts w:asciiTheme="majorHAnsi" w:hAnsiTheme="majorHAnsi"/>
                <w:bCs/>
                <w:sz w:val="19"/>
                <w:szCs w:val="19"/>
              </w:rPr>
            </w:pPr>
            <w:r w:rsidRPr="003C2337">
              <w:rPr>
                <w:rFonts w:asciiTheme="majorHAnsi" w:hAnsiTheme="majorHAnsi"/>
                <w:bCs/>
                <w:sz w:val="19"/>
                <w:szCs w:val="19"/>
              </w:rPr>
              <w:t>Sí</w:t>
            </w:r>
          </w:p>
        </w:tc>
      </w:tr>
      <w:tr w:rsidR="003239B8" w:rsidRPr="003C2337" w:rsidTr="004A6A54">
        <w:trPr>
          <w:cantSplit/>
        </w:trPr>
        <w:tc>
          <w:tcPr>
            <w:tcW w:w="3600" w:type="dxa"/>
            <w:tcBorders>
              <w:top w:val="single" w:sz="6" w:space="0" w:color="auto"/>
              <w:bottom w:val="single" w:sz="6" w:space="0" w:color="auto"/>
            </w:tcBorders>
            <w:shd w:val="clear" w:color="auto" w:fill="386294"/>
            <w:vAlign w:val="center"/>
          </w:tcPr>
          <w:p w:rsidR="003239B8" w:rsidRPr="003C2337" w:rsidRDefault="003239B8" w:rsidP="008D2290">
            <w:pPr>
              <w:jc w:val="center"/>
              <w:rPr>
                <w:rFonts w:asciiTheme="majorHAnsi" w:hAnsiTheme="majorHAnsi"/>
                <w:b/>
                <w:bCs/>
                <w:color w:val="FFFFFF" w:themeColor="background1"/>
                <w:sz w:val="19"/>
                <w:szCs w:val="19"/>
              </w:rPr>
            </w:pPr>
            <w:r w:rsidRPr="003C2337">
              <w:rPr>
                <w:rFonts w:asciiTheme="majorHAnsi" w:hAnsiTheme="majorHAnsi"/>
                <w:b/>
                <w:bCs/>
                <w:color w:val="FFFFFF" w:themeColor="background1"/>
                <w:sz w:val="19"/>
                <w:szCs w:val="19"/>
              </w:rPr>
              <w:t>Competencia</w:t>
            </w:r>
            <w:r w:rsidRPr="003C2337">
              <w:rPr>
                <w:rFonts w:asciiTheme="majorHAnsi" w:hAnsiTheme="majorHAnsi"/>
                <w:b/>
                <w:bCs/>
                <w:i/>
                <w:color w:val="FFFFFF" w:themeColor="background1"/>
                <w:sz w:val="19"/>
                <w:szCs w:val="19"/>
              </w:rPr>
              <w:t xml:space="preserve"> Ratione loci</w:t>
            </w:r>
            <w:r w:rsidRPr="003C2337">
              <w:rPr>
                <w:rFonts w:asciiTheme="majorHAnsi" w:hAnsiTheme="majorHAnsi"/>
                <w:b/>
                <w:bCs/>
                <w:color w:val="FFFFFF" w:themeColor="background1"/>
                <w:sz w:val="19"/>
                <w:szCs w:val="19"/>
              </w:rPr>
              <w:t>:</w:t>
            </w:r>
          </w:p>
        </w:tc>
        <w:tc>
          <w:tcPr>
            <w:tcW w:w="5760" w:type="dxa"/>
            <w:vAlign w:val="center"/>
          </w:tcPr>
          <w:p w:rsidR="003239B8" w:rsidRPr="003C2337" w:rsidRDefault="000E59E5" w:rsidP="008D2290">
            <w:pPr>
              <w:rPr>
                <w:rFonts w:asciiTheme="majorHAnsi" w:hAnsiTheme="majorHAnsi"/>
                <w:bCs/>
                <w:sz w:val="19"/>
                <w:szCs w:val="19"/>
              </w:rPr>
            </w:pPr>
            <w:r w:rsidRPr="003C2337">
              <w:rPr>
                <w:rFonts w:asciiTheme="majorHAnsi" w:hAnsiTheme="majorHAnsi"/>
                <w:bCs/>
                <w:sz w:val="19"/>
                <w:szCs w:val="19"/>
              </w:rPr>
              <w:t>Sí</w:t>
            </w:r>
          </w:p>
        </w:tc>
      </w:tr>
      <w:tr w:rsidR="003239B8" w:rsidRPr="003C2337" w:rsidTr="004A6A54">
        <w:trPr>
          <w:cantSplit/>
        </w:trPr>
        <w:tc>
          <w:tcPr>
            <w:tcW w:w="3600" w:type="dxa"/>
            <w:tcBorders>
              <w:top w:val="single" w:sz="6" w:space="0" w:color="auto"/>
              <w:bottom w:val="single" w:sz="6" w:space="0" w:color="auto"/>
            </w:tcBorders>
            <w:shd w:val="clear" w:color="auto" w:fill="386294"/>
            <w:vAlign w:val="center"/>
          </w:tcPr>
          <w:p w:rsidR="003239B8" w:rsidRPr="003C2337" w:rsidRDefault="003239B8" w:rsidP="008D2290">
            <w:pPr>
              <w:jc w:val="center"/>
              <w:rPr>
                <w:rFonts w:asciiTheme="majorHAnsi" w:hAnsiTheme="majorHAnsi"/>
                <w:b/>
                <w:bCs/>
                <w:color w:val="FFFFFF" w:themeColor="background1"/>
                <w:sz w:val="19"/>
                <w:szCs w:val="19"/>
              </w:rPr>
            </w:pPr>
            <w:r w:rsidRPr="003C2337">
              <w:rPr>
                <w:rFonts w:asciiTheme="majorHAnsi" w:hAnsiTheme="majorHAnsi"/>
                <w:b/>
                <w:bCs/>
                <w:color w:val="FFFFFF" w:themeColor="background1"/>
                <w:sz w:val="19"/>
                <w:szCs w:val="19"/>
              </w:rPr>
              <w:t>Competencia</w:t>
            </w:r>
            <w:r w:rsidRPr="003C2337">
              <w:rPr>
                <w:rFonts w:asciiTheme="majorHAnsi" w:hAnsiTheme="majorHAnsi"/>
                <w:b/>
                <w:bCs/>
                <w:i/>
                <w:color w:val="FFFFFF" w:themeColor="background1"/>
                <w:sz w:val="19"/>
                <w:szCs w:val="19"/>
              </w:rPr>
              <w:t xml:space="preserve"> Ratione temporis</w:t>
            </w:r>
            <w:r w:rsidRPr="003C2337">
              <w:rPr>
                <w:rFonts w:asciiTheme="majorHAnsi" w:hAnsiTheme="majorHAnsi"/>
                <w:b/>
                <w:bCs/>
                <w:color w:val="FFFFFF" w:themeColor="background1"/>
                <w:sz w:val="19"/>
                <w:szCs w:val="19"/>
              </w:rPr>
              <w:t>:</w:t>
            </w:r>
          </w:p>
        </w:tc>
        <w:tc>
          <w:tcPr>
            <w:tcW w:w="5760" w:type="dxa"/>
            <w:vAlign w:val="center"/>
          </w:tcPr>
          <w:p w:rsidR="003239B8" w:rsidRPr="003C2337" w:rsidRDefault="000E59E5" w:rsidP="008D2290">
            <w:pPr>
              <w:rPr>
                <w:rFonts w:asciiTheme="majorHAnsi" w:hAnsiTheme="majorHAnsi"/>
                <w:bCs/>
                <w:sz w:val="19"/>
                <w:szCs w:val="19"/>
              </w:rPr>
            </w:pPr>
            <w:r w:rsidRPr="003C2337">
              <w:rPr>
                <w:rFonts w:asciiTheme="majorHAnsi" w:hAnsiTheme="majorHAnsi"/>
                <w:bCs/>
                <w:sz w:val="19"/>
                <w:szCs w:val="19"/>
              </w:rPr>
              <w:t>Sí</w:t>
            </w:r>
          </w:p>
        </w:tc>
      </w:tr>
      <w:tr w:rsidR="003239B8" w:rsidRPr="006D51B4" w:rsidTr="004A6A54">
        <w:trPr>
          <w:cantSplit/>
        </w:trPr>
        <w:tc>
          <w:tcPr>
            <w:tcW w:w="3600" w:type="dxa"/>
            <w:tcBorders>
              <w:top w:val="single" w:sz="6" w:space="0" w:color="auto"/>
              <w:bottom w:val="single" w:sz="6" w:space="0" w:color="auto"/>
            </w:tcBorders>
            <w:shd w:val="clear" w:color="auto" w:fill="386294"/>
            <w:vAlign w:val="center"/>
          </w:tcPr>
          <w:p w:rsidR="003239B8" w:rsidRPr="003C2337" w:rsidRDefault="003239B8" w:rsidP="008D2290">
            <w:pPr>
              <w:jc w:val="center"/>
              <w:rPr>
                <w:rFonts w:asciiTheme="majorHAnsi" w:hAnsiTheme="majorHAnsi"/>
                <w:b/>
                <w:bCs/>
                <w:color w:val="FFFFFF" w:themeColor="background1"/>
                <w:sz w:val="19"/>
                <w:szCs w:val="19"/>
              </w:rPr>
            </w:pPr>
            <w:r w:rsidRPr="003C2337">
              <w:rPr>
                <w:rFonts w:asciiTheme="majorHAnsi" w:hAnsiTheme="majorHAnsi"/>
                <w:b/>
                <w:bCs/>
                <w:color w:val="FFFFFF" w:themeColor="background1"/>
                <w:sz w:val="19"/>
                <w:szCs w:val="19"/>
              </w:rPr>
              <w:t>Competencia</w:t>
            </w:r>
            <w:r w:rsidRPr="003C2337">
              <w:rPr>
                <w:rFonts w:asciiTheme="majorHAnsi" w:hAnsiTheme="majorHAnsi"/>
                <w:b/>
                <w:bCs/>
                <w:i/>
                <w:color w:val="FFFFFF" w:themeColor="background1"/>
                <w:sz w:val="19"/>
                <w:szCs w:val="19"/>
              </w:rPr>
              <w:t xml:space="preserve"> Ratione materia</w:t>
            </w:r>
            <w:r w:rsidR="00EE00E9" w:rsidRPr="003C2337">
              <w:rPr>
                <w:rFonts w:asciiTheme="majorHAnsi" w:hAnsiTheme="majorHAnsi"/>
                <w:b/>
                <w:bCs/>
                <w:i/>
                <w:color w:val="FFFFFF" w:themeColor="background1"/>
                <w:sz w:val="19"/>
                <w:szCs w:val="19"/>
              </w:rPr>
              <w:t>e</w:t>
            </w:r>
            <w:r w:rsidRPr="003C2337">
              <w:rPr>
                <w:rFonts w:asciiTheme="majorHAnsi" w:hAnsiTheme="majorHAnsi"/>
                <w:b/>
                <w:bCs/>
                <w:color w:val="FFFFFF" w:themeColor="background1"/>
                <w:sz w:val="19"/>
                <w:szCs w:val="19"/>
              </w:rPr>
              <w:t>:</w:t>
            </w:r>
          </w:p>
        </w:tc>
        <w:tc>
          <w:tcPr>
            <w:tcW w:w="5760" w:type="dxa"/>
            <w:vAlign w:val="center"/>
          </w:tcPr>
          <w:p w:rsidR="003239B8" w:rsidRPr="003C2337" w:rsidRDefault="000E59E5" w:rsidP="008D2290">
            <w:pPr>
              <w:jc w:val="both"/>
              <w:rPr>
                <w:rFonts w:asciiTheme="majorHAnsi" w:hAnsiTheme="majorHAnsi"/>
                <w:bCs/>
                <w:sz w:val="19"/>
                <w:szCs w:val="19"/>
                <w:lang w:val="es-ES"/>
              </w:rPr>
            </w:pPr>
            <w:r w:rsidRPr="003C2337">
              <w:rPr>
                <w:rFonts w:asciiTheme="majorHAnsi" w:hAnsiTheme="majorHAnsi"/>
                <w:bCs/>
                <w:sz w:val="19"/>
                <w:szCs w:val="19"/>
                <w:lang w:val="es-ES"/>
              </w:rPr>
              <w:t>Sí, Convención Americana (depósito de instrumento realizado el 31 de julio de 1973)</w:t>
            </w:r>
          </w:p>
        </w:tc>
      </w:tr>
    </w:tbl>
    <w:p w:rsidR="003239B8" w:rsidRPr="003C2337" w:rsidRDefault="003239B8" w:rsidP="003239B8">
      <w:pPr>
        <w:spacing w:before="240" w:after="240"/>
        <w:ind w:firstLine="720"/>
        <w:jc w:val="both"/>
        <w:rPr>
          <w:rFonts w:asciiTheme="majorHAnsi" w:hAnsiTheme="majorHAnsi"/>
          <w:b/>
          <w:bCs/>
          <w:sz w:val="19"/>
          <w:szCs w:val="19"/>
          <w:lang w:val="es-ES"/>
        </w:rPr>
      </w:pPr>
      <w:r w:rsidRPr="003C2337">
        <w:rPr>
          <w:rFonts w:asciiTheme="majorHAnsi" w:hAnsiTheme="majorHAnsi"/>
          <w:b/>
          <w:bCs/>
          <w:sz w:val="19"/>
          <w:szCs w:val="19"/>
          <w:lang w:val="es-ES"/>
        </w:rPr>
        <w:t xml:space="preserve">IV. </w:t>
      </w:r>
      <w:r w:rsidRPr="003C2337">
        <w:rPr>
          <w:rFonts w:asciiTheme="majorHAnsi" w:hAnsiTheme="majorHAnsi"/>
          <w:b/>
          <w:bCs/>
          <w:sz w:val="19"/>
          <w:szCs w:val="19"/>
          <w:lang w:val="es-ES"/>
        </w:rPr>
        <w:tab/>
      </w:r>
      <w:r w:rsidR="00EE00E9" w:rsidRPr="003C2337">
        <w:rPr>
          <w:rFonts w:asciiTheme="majorHAnsi" w:hAnsiTheme="majorHAnsi"/>
          <w:b/>
          <w:bCs/>
          <w:sz w:val="19"/>
          <w:szCs w:val="19"/>
          <w:lang w:val="es-ES"/>
        </w:rPr>
        <w:t>DUPLICACIÓN</w:t>
      </w:r>
      <w:r w:rsidR="00EE00E9" w:rsidRPr="003C2337">
        <w:rPr>
          <w:rFonts w:asciiTheme="majorHAnsi" w:hAnsiTheme="majorHAnsi"/>
          <w:b/>
          <w:bCs/>
          <w:color w:val="FFFFFF" w:themeColor="background1"/>
          <w:sz w:val="19"/>
          <w:szCs w:val="19"/>
          <w:lang w:val="es-ES"/>
        </w:rPr>
        <w:t xml:space="preserve"> </w:t>
      </w:r>
      <w:r w:rsidR="00EE00E9" w:rsidRPr="003C2337">
        <w:rPr>
          <w:rFonts w:asciiTheme="majorHAnsi" w:hAnsiTheme="majorHAnsi"/>
          <w:b/>
          <w:bCs/>
          <w:sz w:val="19"/>
          <w:szCs w:val="19"/>
          <w:lang w:val="es-ES"/>
        </w:rPr>
        <w:t>DE PROCEDIMIENTOS Y COSA JUZGADA</w:t>
      </w:r>
      <w:r w:rsidR="00EE00E9" w:rsidRPr="003C2337">
        <w:rPr>
          <w:rFonts w:asciiTheme="majorHAnsi" w:hAnsiTheme="majorHAnsi"/>
          <w:b/>
          <w:bCs/>
          <w:i/>
          <w:sz w:val="19"/>
          <w:szCs w:val="19"/>
          <w:lang w:val="es-ES"/>
        </w:rPr>
        <w:t xml:space="preserve"> </w:t>
      </w:r>
      <w:r w:rsidR="00EE00E9" w:rsidRPr="003C2337">
        <w:rPr>
          <w:rFonts w:asciiTheme="majorHAnsi" w:hAnsiTheme="majorHAnsi"/>
          <w:b/>
          <w:bCs/>
          <w:sz w:val="19"/>
          <w:szCs w:val="19"/>
          <w:lang w:val="es-ES"/>
        </w:rPr>
        <w:t xml:space="preserve">INTERNACIONAL, </w:t>
      </w:r>
      <w:r w:rsidRPr="003C2337">
        <w:rPr>
          <w:rFonts w:asciiTheme="majorHAnsi" w:hAnsiTheme="majorHAnsi"/>
          <w:b/>
          <w:bCs/>
          <w:sz w:val="19"/>
          <w:szCs w:val="19"/>
          <w:lang w:val="es-ES"/>
        </w:rPr>
        <w:t xml:space="preserve"> CARACTERIZACIÓN, </w:t>
      </w:r>
      <w:r w:rsidRPr="003C233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6D51B4" w:rsidTr="004A6A54">
        <w:trPr>
          <w:cantSplit/>
        </w:trPr>
        <w:tc>
          <w:tcPr>
            <w:tcW w:w="3600" w:type="dxa"/>
            <w:tcBorders>
              <w:top w:val="single" w:sz="4" w:space="0" w:color="auto"/>
              <w:bottom w:val="single" w:sz="6" w:space="0" w:color="auto"/>
            </w:tcBorders>
            <w:shd w:val="clear" w:color="auto" w:fill="386294"/>
            <w:vAlign w:val="center"/>
          </w:tcPr>
          <w:p w:rsidR="00EE00E9" w:rsidRPr="003C2337" w:rsidRDefault="00EE00E9" w:rsidP="008D2290">
            <w:pPr>
              <w:jc w:val="center"/>
              <w:rPr>
                <w:rFonts w:asciiTheme="majorHAnsi" w:hAnsiTheme="majorHAnsi"/>
                <w:b/>
                <w:bCs/>
                <w:color w:val="FFFFFF" w:themeColor="background1"/>
                <w:sz w:val="19"/>
                <w:szCs w:val="19"/>
                <w:lang w:val="es-ES"/>
              </w:rPr>
            </w:pPr>
            <w:r w:rsidRPr="003C2337">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3C2337" w:rsidRDefault="000E59E5" w:rsidP="008D2290">
            <w:pPr>
              <w:jc w:val="both"/>
              <w:rPr>
                <w:rFonts w:asciiTheme="majorHAnsi" w:hAnsiTheme="majorHAnsi"/>
                <w:bCs/>
                <w:sz w:val="19"/>
                <w:szCs w:val="19"/>
                <w:lang w:val="es-ES"/>
              </w:rPr>
            </w:pPr>
            <w:r w:rsidRPr="003C2337">
              <w:rPr>
                <w:rFonts w:asciiTheme="majorHAnsi" w:hAnsiTheme="majorHAnsi"/>
                <w:bCs/>
                <w:sz w:val="19"/>
                <w:szCs w:val="19"/>
                <w:lang w:val="es-ES"/>
              </w:rPr>
              <w:t>No, en los términos de la sección V</w:t>
            </w:r>
          </w:p>
        </w:tc>
      </w:tr>
      <w:tr w:rsidR="003239B8" w:rsidRPr="006D51B4" w:rsidTr="004A6A54">
        <w:trPr>
          <w:cantSplit/>
        </w:trPr>
        <w:tc>
          <w:tcPr>
            <w:tcW w:w="3600" w:type="dxa"/>
            <w:tcBorders>
              <w:top w:val="single" w:sz="4" w:space="0" w:color="auto"/>
              <w:bottom w:val="single" w:sz="6" w:space="0" w:color="auto"/>
            </w:tcBorders>
            <w:shd w:val="clear" w:color="auto" w:fill="386294"/>
            <w:vAlign w:val="center"/>
          </w:tcPr>
          <w:p w:rsidR="003239B8" w:rsidRPr="003C2337" w:rsidRDefault="003239B8" w:rsidP="008D2290">
            <w:pPr>
              <w:jc w:val="center"/>
              <w:rPr>
                <w:rFonts w:asciiTheme="majorHAnsi" w:hAnsiTheme="majorHAnsi"/>
                <w:b/>
                <w:bCs/>
                <w:i/>
                <w:color w:val="FFFFFF" w:themeColor="background1"/>
                <w:sz w:val="19"/>
                <w:szCs w:val="19"/>
              </w:rPr>
            </w:pPr>
            <w:r w:rsidRPr="003C2337">
              <w:rPr>
                <w:rFonts w:asciiTheme="majorHAnsi" w:hAnsiTheme="majorHAnsi"/>
                <w:b/>
                <w:bCs/>
                <w:color w:val="FFFFFF" w:themeColor="background1"/>
                <w:sz w:val="19"/>
                <w:szCs w:val="19"/>
              </w:rPr>
              <w:t>Derechos declarados admisibles</w:t>
            </w:r>
            <w:r w:rsidRPr="003C2337">
              <w:rPr>
                <w:rFonts w:asciiTheme="majorHAnsi" w:hAnsiTheme="majorHAnsi"/>
                <w:b/>
                <w:bCs/>
                <w:i/>
                <w:color w:val="FFFFFF" w:themeColor="background1"/>
                <w:sz w:val="19"/>
                <w:szCs w:val="19"/>
              </w:rPr>
              <w:t>:</w:t>
            </w:r>
          </w:p>
        </w:tc>
        <w:tc>
          <w:tcPr>
            <w:tcW w:w="5760" w:type="dxa"/>
            <w:vAlign w:val="center"/>
          </w:tcPr>
          <w:p w:rsidR="003239B8" w:rsidRPr="003C2337" w:rsidRDefault="000E59E5" w:rsidP="00E851C1">
            <w:pPr>
              <w:jc w:val="both"/>
              <w:rPr>
                <w:rFonts w:asciiTheme="majorHAnsi" w:hAnsiTheme="majorHAnsi"/>
                <w:bCs/>
                <w:sz w:val="19"/>
                <w:szCs w:val="19"/>
                <w:lang w:val="es-AR"/>
              </w:rPr>
            </w:pPr>
            <w:r w:rsidRPr="003C2337">
              <w:rPr>
                <w:rFonts w:asciiTheme="majorHAnsi" w:hAnsiTheme="majorHAnsi"/>
                <w:bCs/>
                <w:sz w:val="19"/>
                <w:szCs w:val="19"/>
                <w:lang w:val="es-AR"/>
              </w:rPr>
              <w:t>Artículos 4 (vida), 5 (integridad personal), 8 (garantías judiciales), 19 (derechos del niño) y 25 (protección judicial) de la Convención Americana, en relación con su artículo 1.1 (obligación de respetar los derechos)</w:t>
            </w:r>
          </w:p>
        </w:tc>
      </w:tr>
      <w:tr w:rsidR="003239B8" w:rsidRPr="006D51B4" w:rsidTr="004A6A54">
        <w:trPr>
          <w:cantSplit/>
        </w:trPr>
        <w:tc>
          <w:tcPr>
            <w:tcW w:w="3600" w:type="dxa"/>
            <w:tcBorders>
              <w:top w:val="single" w:sz="6" w:space="0" w:color="auto"/>
              <w:bottom w:val="single" w:sz="6" w:space="0" w:color="auto"/>
            </w:tcBorders>
            <w:shd w:val="clear" w:color="auto" w:fill="386294"/>
            <w:vAlign w:val="center"/>
          </w:tcPr>
          <w:p w:rsidR="003239B8" w:rsidRPr="003C2337" w:rsidRDefault="003239B8" w:rsidP="008D2290">
            <w:pPr>
              <w:jc w:val="center"/>
              <w:rPr>
                <w:rFonts w:asciiTheme="majorHAnsi" w:hAnsiTheme="majorHAnsi"/>
                <w:b/>
                <w:bCs/>
                <w:color w:val="FFFFFF" w:themeColor="background1"/>
                <w:sz w:val="19"/>
                <w:szCs w:val="19"/>
                <w:lang w:val="es-ES"/>
              </w:rPr>
            </w:pPr>
            <w:r w:rsidRPr="003C2337">
              <w:rPr>
                <w:rFonts w:asciiTheme="majorHAnsi" w:hAnsiTheme="majorHAnsi"/>
                <w:b/>
                <w:bCs/>
                <w:color w:val="FFFFFF" w:themeColor="background1"/>
                <w:sz w:val="19"/>
                <w:szCs w:val="19"/>
                <w:lang w:val="es-ES"/>
              </w:rPr>
              <w:t>Agotamiento de recursos internos</w:t>
            </w:r>
            <w:r w:rsidR="00EE00E9" w:rsidRPr="003C2337">
              <w:rPr>
                <w:rFonts w:asciiTheme="majorHAnsi" w:hAnsiTheme="majorHAnsi"/>
                <w:b/>
                <w:bCs/>
                <w:color w:val="FFFFFF" w:themeColor="background1"/>
                <w:sz w:val="19"/>
                <w:szCs w:val="19"/>
                <w:lang w:val="es-ES"/>
              </w:rPr>
              <w:t xml:space="preserve"> o procedencia de una excepción</w:t>
            </w:r>
            <w:r w:rsidRPr="003C2337">
              <w:rPr>
                <w:rFonts w:asciiTheme="majorHAnsi" w:hAnsiTheme="majorHAnsi"/>
                <w:b/>
                <w:bCs/>
                <w:color w:val="FFFFFF" w:themeColor="background1"/>
                <w:sz w:val="19"/>
                <w:szCs w:val="19"/>
                <w:lang w:val="es-ES"/>
              </w:rPr>
              <w:t>:</w:t>
            </w:r>
          </w:p>
        </w:tc>
        <w:tc>
          <w:tcPr>
            <w:tcW w:w="5760" w:type="dxa"/>
            <w:vAlign w:val="center"/>
          </w:tcPr>
          <w:p w:rsidR="003239B8" w:rsidRPr="003C2337" w:rsidRDefault="000E59E5" w:rsidP="008D2290">
            <w:pPr>
              <w:rPr>
                <w:rFonts w:asciiTheme="majorHAnsi" w:hAnsiTheme="majorHAnsi"/>
                <w:bCs/>
                <w:sz w:val="19"/>
                <w:szCs w:val="19"/>
                <w:lang w:val="es-ES"/>
              </w:rPr>
            </w:pPr>
            <w:r w:rsidRPr="003C2337">
              <w:rPr>
                <w:rFonts w:asciiTheme="majorHAnsi" w:hAnsiTheme="majorHAnsi"/>
                <w:bCs/>
                <w:sz w:val="19"/>
                <w:szCs w:val="19"/>
                <w:lang w:val="es-ES"/>
              </w:rPr>
              <w:t xml:space="preserve">Sí, aplica excepción </w:t>
            </w:r>
            <w:r w:rsidR="004F4D8F" w:rsidRPr="003C2337">
              <w:rPr>
                <w:rFonts w:asciiTheme="majorHAnsi" w:hAnsiTheme="majorHAnsi"/>
                <w:bCs/>
                <w:sz w:val="19"/>
                <w:szCs w:val="19"/>
                <w:lang w:val="es-ES"/>
              </w:rPr>
              <w:t xml:space="preserve">del </w:t>
            </w:r>
            <w:r w:rsidRPr="003C2337">
              <w:rPr>
                <w:rFonts w:asciiTheme="majorHAnsi" w:hAnsiTheme="majorHAnsi"/>
                <w:bCs/>
                <w:sz w:val="19"/>
                <w:szCs w:val="19"/>
                <w:lang w:val="es-ES"/>
              </w:rPr>
              <w:t>artículo 46.2.</w:t>
            </w:r>
            <w:r w:rsidR="00467207" w:rsidRPr="003C2337">
              <w:rPr>
                <w:rFonts w:asciiTheme="majorHAnsi" w:hAnsiTheme="majorHAnsi"/>
                <w:bCs/>
                <w:sz w:val="19"/>
                <w:szCs w:val="19"/>
                <w:lang w:val="es-ES"/>
              </w:rPr>
              <w:t xml:space="preserve">b y </w:t>
            </w:r>
            <w:r w:rsidRPr="003C2337">
              <w:rPr>
                <w:rFonts w:asciiTheme="majorHAnsi" w:hAnsiTheme="majorHAnsi"/>
                <w:bCs/>
                <w:sz w:val="19"/>
                <w:szCs w:val="19"/>
                <w:lang w:val="es-ES"/>
              </w:rPr>
              <w:t>c de la Convención Americana</w:t>
            </w:r>
          </w:p>
        </w:tc>
      </w:tr>
      <w:tr w:rsidR="003239B8" w:rsidRPr="006D51B4" w:rsidTr="004A6A54">
        <w:trPr>
          <w:cantSplit/>
        </w:trPr>
        <w:tc>
          <w:tcPr>
            <w:tcW w:w="3600" w:type="dxa"/>
            <w:tcBorders>
              <w:top w:val="single" w:sz="6" w:space="0" w:color="auto"/>
              <w:bottom w:val="single" w:sz="6" w:space="0" w:color="auto"/>
            </w:tcBorders>
            <w:shd w:val="clear" w:color="auto" w:fill="386294"/>
            <w:vAlign w:val="center"/>
          </w:tcPr>
          <w:p w:rsidR="003239B8" w:rsidRPr="003C2337" w:rsidRDefault="003239B8" w:rsidP="008D2290">
            <w:pPr>
              <w:jc w:val="center"/>
              <w:rPr>
                <w:rFonts w:asciiTheme="majorHAnsi" w:hAnsiTheme="majorHAnsi"/>
                <w:b/>
                <w:bCs/>
                <w:color w:val="FFFFFF" w:themeColor="background1"/>
                <w:sz w:val="19"/>
                <w:szCs w:val="19"/>
              </w:rPr>
            </w:pPr>
            <w:r w:rsidRPr="003C2337">
              <w:rPr>
                <w:rFonts w:asciiTheme="majorHAnsi" w:hAnsiTheme="majorHAnsi"/>
                <w:b/>
                <w:bCs/>
                <w:color w:val="FFFFFF" w:themeColor="background1"/>
                <w:sz w:val="19"/>
                <w:szCs w:val="19"/>
              </w:rPr>
              <w:t>Presentación dentro de plazo:</w:t>
            </w:r>
          </w:p>
        </w:tc>
        <w:tc>
          <w:tcPr>
            <w:tcW w:w="5760" w:type="dxa"/>
            <w:vAlign w:val="center"/>
          </w:tcPr>
          <w:p w:rsidR="003239B8" w:rsidRPr="003C2337" w:rsidRDefault="000E59E5" w:rsidP="008D2290">
            <w:pPr>
              <w:rPr>
                <w:rFonts w:asciiTheme="majorHAnsi" w:hAnsiTheme="majorHAnsi"/>
                <w:bCs/>
                <w:sz w:val="19"/>
                <w:szCs w:val="19"/>
                <w:lang w:val="es-AR"/>
              </w:rPr>
            </w:pPr>
            <w:r w:rsidRPr="003C2337">
              <w:rPr>
                <w:rFonts w:asciiTheme="majorHAnsi" w:hAnsiTheme="majorHAnsi"/>
                <w:bCs/>
                <w:sz w:val="19"/>
                <w:szCs w:val="19"/>
                <w:lang w:val="es-AR"/>
              </w:rPr>
              <w:t>Sí, en los términos de la sección VI</w:t>
            </w:r>
          </w:p>
        </w:tc>
      </w:tr>
    </w:tbl>
    <w:p w:rsidR="003C2337" w:rsidRDefault="003C2337" w:rsidP="003239B8">
      <w:pPr>
        <w:spacing w:before="240" w:after="240"/>
        <w:ind w:firstLine="720"/>
        <w:jc w:val="both"/>
        <w:rPr>
          <w:rFonts w:asciiTheme="majorHAnsi" w:hAnsiTheme="majorHAnsi"/>
          <w:b/>
          <w:sz w:val="20"/>
          <w:szCs w:val="20"/>
          <w:lang w:val="es-UY"/>
        </w:rPr>
      </w:pPr>
    </w:p>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DB7863" w:rsidRPr="00657099" w:rsidRDefault="00DB7863" w:rsidP="006570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657099">
        <w:rPr>
          <w:rFonts w:ascii="Cambria" w:hAnsi="Cambria"/>
          <w:sz w:val="20"/>
          <w:szCs w:val="20"/>
          <w:lang w:val="es-AR"/>
        </w:rPr>
        <w:t>El peticionario alega la responsabilidad del Estado colombiano por la supuesta e</w:t>
      </w:r>
      <w:r w:rsidR="005965EE" w:rsidRPr="00657099">
        <w:rPr>
          <w:rFonts w:ascii="Cambria" w:hAnsi="Cambria"/>
          <w:sz w:val="20"/>
          <w:szCs w:val="20"/>
          <w:lang w:val="es-AR"/>
        </w:rPr>
        <w:t xml:space="preserve">jecución extrajudicial </w:t>
      </w:r>
      <w:r w:rsidR="00FD21FC" w:rsidRPr="00657099">
        <w:rPr>
          <w:rFonts w:ascii="Cambria" w:hAnsi="Cambria"/>
          <w:sz w:val="20"/>
          <w:szCs w:val="20"/>
          <w:lang w:val="es-AR"/>
        </w:rPr>
        <w:t xml:space="preserve">ocurrida </w:t>
      </w:r>
      <w:r w:rsidR="005965EE" w:rsidRPr="00657099">
        <w:rPr>
          <w:rFonts w:ascii="Cambria" w:hAnsi="Cambria"/>
          <w:sz w:val="20"/>
          <w:szCs w:val="20"/>
          <w:lang w:val="es-AR"/>
        </w:rPr>
        <w:t>en Medellín, Antioquia</w:t>
      </w:r>
      <w:r w:rsidR="004F4D8F" w:rsidRPr="00657099">
        <w:rPr>
          <w:rFonts w:ascii="Cambria" w:hAnsi="Cambria"/>
          <w:sz w:val="20"/>
          <w:szCs w:val="20"/>
          <w:lang w:val="es-AR"/>
        </w:rPr>
        <w:t>,</w:t>
      </w:r>
      <w:r w:rsidR="005965EE" w:rsidRPr="00657099">
        <w:rPr>
          <w:rFonts w:ascii="Cambria" w:hAnsi="Cambria"/>
          <w:sz w:val="20"/>
          <w:szCs w:val="20"/>
          <w:lang w:val="es-AR"/>
        </w:rPr>
        <w:t xml:space="preserve"> del niño</w:t>
      </w:r>
      <w:r w:rsidRPr="00657099">
        <w:rPr>
          <w:rFonts w:ascii="Cambria" w:hAnsi="Cambria"/>
          <w:sz w:val="20"/>
          <w:szCs w:val="20"/>
          <w:lang w:val="es-AR"/>
        </w:rPr>
        <w:t xml:space="preserve"> de 1</w:t>
      </w:r>
      <w:r w:rsidR="00EF4AE0" w:rsidRPr="00657099">
        <w:rPr>
          <w:rFonts w:ascii="Cambria" w:hAnsi="Cambria"/>
          <w:sz w:val="20"/>
          <w:szCs w:val="20"/>
          <w:lang w:val="es-AR"/>
        </w:rPr>
        <w:t>4</w:t>
      </w:r>
      <w:r w:rsidRPr="00657099">
        <w:rPr>
          <w:rFonts w:ascii="Cambria" w:hAnsi="Cambria"/>
          <w:sz w:val="20"/>
          <w:szCs w:val="20"/>
          <w:lang w:val="es-AR"/>
        </w:rPr>
        <w:t xml:space="preserve"> años Franklin Bustamante Pérez (en adelante “la presunta víctima”</w:t>
      </w:r>
      <w:r w:rsidR="004D3824">
        <w:rPr>
          <w:rFonts w:ascii="Cambria" w:hAnsi="Cambria"/>
          <w:sz w:val="20"/>
          <w:szCs w:val="20"/>
          <w:lang w:val="es-AR"/>
        </w:rPr>
        <w:t>, “Bustamante Pérez</w:t>
      </w:r>
      <w:r w:rsidR="00656F13" w:rsidRPr="00656F13">
        <w:rPr>
          <w:rFonts w:ascii="Cambria" w:hAnsi="Cambria"/>
          <w:sz w:val="20"/>
          <w:szCs w:val="20"/>
          <w:lang w:val="es-AR"/>
        </w:rPr>
        <w:t>”</w:t>
      </w:r>
      <w:r w:rsidR="004D3824">
        <w:rPr>
          <w:rFonts w:ascii="Cambria" w:hAnsi="Cambria"/>
          <w:sz w:val="20"/>
          <w:szCs w:val="20"/>
          <w:lang w:val="es-AR"/>
        </w:rPr>
        <w:t xml:space="preserve"> o </w:t>
      </w:r>
      <w:r w:rsidR="00656F13">
        <w:rPr>
          <w:rFonts w:ascii="Cambria" w:hAnsi="Cambria"/>
          <w:sz w:val="20"/>
          <w:szCs w:val="20"/>
          <w:lang w:val="es-AR"/>
        </w:rPr>
        <w:t>“Bustamante Restrepo”</w:t>
      </w:r>
      <w:r w:rsidRPr="00657099">
        <w:rPr>
          <w:rFonts w:ascii="Cambria" w:hAnsi="Cambria"/>
          <w:sz w:val="20"/>
          <w:szCs w:val="20"/>
          <w:lang w:val="es-AR"/>
        </w:rPr>
        <w:t>)</w:t>
      </w:r>
      <w:r w:rsidR="00C129F0" w:rsidRPr="00657099">
        <w:rPr>
          <w:rFonts w:ascii="Cambria" w:hAnsi="Cambria"/>
          <w:sz w:val="20"/>
          <w:szCs w:val="20"/>
          <w:lang w:val="es-AR"/>
        </w:rPr>
        <w:t xml:space="preserve"> por parte de</w:t>
      </w:r>
      <w:r w:rsidR="00FD21FC" w:rsidRPr="00657099">
        <w:rPr>
          <w:rFonts w:ascii="Cambria" w:hAnsi="Cambria"/>
          <w:sz w:val="20"/>
          <w:szCs w:val="20"/>
          <w:lang w:val="es-AR"/>
        </w:rPr>
        <w:t xml:space="preserve"> </w:t>
      </w:r>
      <w:r w:rsidR="005965EE" w:rsidRPr="00657099">
        <w:rPr>
          <w:rFonts w:ascii="Cambria" w:hAnsi="Cambria"/>
          <w:sz w:val="20"/>
          <w:szCs w:val="20"/>
          <w:lang w:val="es-AR"/>
        </w:rPr>
        <w:t>agente</w:t>
      </w:r>
      <w:r w:rsidR="00C129F0" w:rsidRPr="00657099">
        <w:rPr>
          <w:rFonts w:ascii="Cambria" w:hAnsi="Cambria"/>
          <w:sz w:val="20"/>
          <w:szCs w:val="20"/>
          <w:lang w:val="es-AR"/>
        </w:rPr>
        <w:t>s</w:t>
      </w:r>
      <w:r w:rsidR="005965EE" w:rsidRPr="00657099">
        <w:rPr>
          <w:rFonts w:ascii="Cambria" w:hAnsi="Cambria"/>
          <w:sz w:val="20"/>
          <w:szCs w:val="20"/>
          <w:lang w:val="es-AR"/>
        </w:rPr>
        <w:t xml:space="preserve"> del Departamento Administrativo de Seguridad (en adelante </w:t>
      </w:r>
      <w:r w:rsidR="004F4D8F" w:rsidRPr="00657099">
        <w:rPr>
          <w:rFonts w:ascii="Cambria" w:hAnsi="Cambria"/>
          <w:sz w:val="20"/>
          <w:szCs w:val="20"/>
          <w:lang w:val="es-AR"/>
        </w:rPr>
        <w:t>“</w:t>
      </w:r>
      <w:r w:rsidR="005965EE" w:rsidRPr="00657099">
        <w:rPr>
          <w:rFonts w:ascii="Cambria" w:hAnsi="Cambria"/>
          <w:sz w:val="20"/>
          <w:szCs w:val="20"/>
          <w:lang w:val="es-AR"/>
        </w:rPr>
        <w:t>DAS</w:t>
      </w:r>
      <w:r w:rsidR="004F4D8F" w:rsidRPr="00657099">
        <w:rPr>
          <w:rFonts w:ascii="Cambria" w:hAnsi="Cambria"/>
          <w:sz w:val="20"/>
          <w:szCs w:val="20"/>
          <w:lang w:val="es-AR"/>
        </w:rPr>
        <w:t>”</w:t>
      </w:r>
      <w:r w:rsidR="005965EE" w:rsidRPr="00657099">
        <w:rPr>
          <w:rFonts w:ascii="Cambria" w:hAnsi="Cambria"/>
          <w:sz w:val="20"/>
          <w:szCs w:val="20"/>
          <w:lang w:val="es-AR"/>
        </w:rPr>
        <w:t>)</w:t>
      </w:r>
      <w:r w:rsidRPr="00657099">
        <w:rPr>
          <w:rFonts w:ascii="Cambria" w:hAnsi="Cambria"/>
          <w:sz w:val="20"/>
          <w:szCs w:val="20"/>
          <w:lang w:val="es-AR"/>
        </w:rPr>
        <w:t>, y</w:t>
      </w:r>
      <w:r w:rsidR="004F4D8F" w:rsidRPr="00657099">
        <w:rPr>
          <w:rFonts w:ascii="Cambria" w:hAnsi="Cambria"/>
          <w:sz w:val="20"/>
          <w:szCs w:val="20"/>
          <w:lang w:val="es-AR"/>
        </w:rPr>
        <w:t xml:space="preserve"> por</w:t>
      </w:r>
      <w:r w:rsidRPr="00657099">
        <w:rPr>
          <w:rFonts w:ascii="Cambria" w:hAnsi="Cambria"/>
          <w:sz w:val="20"/>
          <w:szCs w:val="20"/>
          <w:lang w:val="es-AR"/>
        </w:rPr>
        <w:t xml:space="preserve"> la alegada falta de investigación </w:t>
      </w:r>
      <w:r w:rsidR="00963B9C" w:rsidRPr="00657099">
        <w:rPr>
          <w:rFonts w:ascii="Cambria" w:hAnsi="Cambria"/>
          <w:sz w:val="20"/>
          <w:szCs w:val="20"/>
          <w:lang w:val="es-AR"/>
        </w:rPr>
        <w:t>efectiva</w:t>
      </w:r>
      <w:r w:rsidRPr="00657099">
        <w:rPr>
          <w:rFonts w:ascii="Cambria" w:hAnsi="Cambria"/>
          <w:sz w:val="20"/>
          <w:szCs w:val="20"/>
          <w:lang w:val="es-AR"/>
        </w:rPr>
        <w:t>.</w:t>
      </w:r>
      <w:r w:rsidR="00657099" w:rsidRPr="00657099">
        <w:rPr>
          <w:rFonts w:ascii="Cambria" w:hAnsi="Cambria"/>
          <w:sz w:val="20"/>
          <w:szCs w:val="20"/>
          <w:lang w:val="es-AR"/>
        </w:rPr>
        <w:t xml:space="preserve">  </w:t>
      </w:r>
      <w:r w:rsidR="00657099">
        <w:rPr>
          <w:rFonts w:ascii="Cambria" w:hAnsi="Cambria"/>
          <w:sz w:val="20"/>
          <w:szCs w:val="20"/>
          <w:lang w:val="es-AR"/>
        </w:rPr>
        <w:t>A</w:t>
      </w:r>
      <w:r w:rsidRPr="00657099">
        <w:rPr>
          <w:rFonts w:ascii="Cambria" w:hAnsi="Cambria"/>
          <w:sz w:val="20"/>
          <w:szCs w:val="20"/>
          <w:lang w:val="es-AR"/>
        </w:rPr>
        <w:t>firma que el 28</w:t>
      </w:r>
      <w:r w:rsidR="00FB22A3" w:rsidRPr="00657099">
        <w:rPr>
          <w:rFonts w:ascii="Cambria" w:hAnsi="Cambria"/>
          <w:sz w:val="20"/>
          <w:szCs w:val="20"/>
          <w:lang w:val="es-AR"/>
        </w:rPr>
        <w:t xml:space="preserve"> de </w:t>
      </w:r>
      <w:r w:rsidRPr="00657099">
        <w:rPr>
          <w:rFonts w:ascii="Cambria" w:hAnsi="Cambria"/>
          <w:sz w:val="20"/>
          <w:szCs w:val="20"/>
          <w:lang w:val="es-AR"/>
        </w:rPr>
        <w:t>jul</w:t>
      </w:r>
      <w:r w:rsidR="005965EE" w:rsidRPr="00657099">
        <w:rPr>
          <w:rFonts w:ascii="Cambria" w:hAnsi="Cambria"/>
          <w:sz w:val="20"/>
          <w:szCs w:val="20"/>
          <w:lang w:val="es-AR"/>
        </w:rPr>
        <w:t>io</w:t>
      </w:r>
      <w:r w:rsidR="00FB22A3" w:rsidRPr="00657099">
        <w:rPr>
          <w:rFonts w:ascii="Cambria" w:hAnsi="Cambria"/>
          <w:sz w:val="20"/>
          <w:szCs w:val="20"/>
          <w:lang w:val="es-AR"/>
        </w:rPr>
        <w:t xml:space="preserve"> de </w:t>
      </w:r>
      <w:r w:rsidRPr="00657099">
        <w:rPr>
          <w:rFonts w:ascii="Cambria" w:hAnsi="Cambria"/>
          <w:sz w:val="20"/>
          <w:szCs w:val="20"/>
          <w:lang w:val="es-AR"/>
        </w:rPr>
        <w:t xml:space="preserve">1989, mientras Franklin Bustamante se encontraba </w:t>
      </w:r>
      <w:r w:rsidR="00FD21FC" w:rsidRPr="00657099">
        <w:rPr>
          <w:rFonts w:ascii="Cambria" w:hAnsi="Cambria"/>
          <w:sz w:val="20"/>
          <w:szCs w:val="20"/>
          <w:lang w:val="es-AR"/>
        </w:rPr>
        <w:t xml:space="preserve">discutiendo con un compañero de ventas en </w:t>
      </w:r>
      <w:r w:rsidR="00963B9C" w:rsidRPr="00657099">
        <w:rPr>
          <w:rFonts w:ascii="Cambria" w:hAnsi="Cambria"/>
          <w:sz w:val="20"/>
          <w:szCs w:val="20"/>
          <w:lang w:val="es-AR"/>
        </w:rPr>
        <w:t>el</w:t>
      </w:r>
      <w:r w:rsidRPr="00657099">
        <w:rPr>
          <w:rFonts w:ascii="Cambria" w:hAnsi="Cambria"/>
          <w:sz w:val="20"/>
          <w:szCs w:val="20"/>
          <w:lang w:val="es-AR"/>
        </w:rPr>
        <w:t xml:space="preserve"> parque </w:t>
      </w:r>
      <w:r w:rsidR="00531770" w:rsidRPr="00657099">
        <w:rPr>
          <w:rFonts w:ascii="Cambria" w:hAnsi="Cambria"/>
          <w:sz w:val="20"/>
          <w:szCs w:val="20"/>
          <w:lang w:val="es-AR"/>
        </w:rPr>
        <w:t>Berrio</w:t>
      </w:r>
      <w:r w:rsidRPr="00657099">
        <w:rPr>
          <w:rFonts w:ascii="Cambria" w:hAnsi="Cambria"/>
          <w:sz w:val="20"/>
          <w:szCs w:val="20"/>
          <w:lang w:val="es-AR"/>
        </w:rPr>
        <w:t xml:space="preserve">, dos agentes del DAS descendieron de </w:t>
      </w:r>
      <w:r w:rsidR="004F4D8F" w:rsidRPr="00657099">
        <w:rPr>
          <w:rFonts w:ascii="Cambria" w:hAnsi="Cambria"/>
          <w:sz w:val="20"/>
          <w:szCs w:val="20"/>
          <w:lang w:val="es-AR"/>
        </w:rPr>
        <w:t xml:space="preserve">una </w:t>
      </w:r>
      <w:r w:rsidRPr="00657099">
        <w:rPr>
          <w:rFonts w:ascii="Cambria" w:hAnsi="Cambria"/>
          <w:sz w:val="20"/>
          <w:szCs w:val="20"/>
          <w:lang w:val="es-AR"/>
        </w:rPr>
        <w:t>camioneta</w:t>
      </w:r>
      <w:r w:rsidR="00531770" w:rsidRPr="00657099">
        <w:rPr>
          <w:rFonts w:ascii="Cambria" w:hAnsi="Cambria"/>
          <w:sz w:val="20"/>
          <w:szCs w:val="20"/>
          <w:lang w:val="es-AR"/>
        </w:rPr>
        <w:t xml:space="preserve"> placas LG 15-81</w:t>
      </w:r>
      <w:r w:rsidRPr="00657099">
        <w:rPr>
          <w:rFonts w:ascii="Cambria" w:hAnsi="Cambria"/>
          <w:sz w:val="20"/>
          <w:szCs w:val="20"/>
          <w:lang w:val="es-AR"/>
        </w:rPr>
        <w:t xml:space="preserve">, lo amenazaron, lo hicieron arrodillar y </w:t>
      </w:r>
      <w:r w:rsidR="00D971D1" w:rsidRPr="00657099">
        <w:rPr>
          <w:rFonts w:ascii="Cambria" w:hAnsi="Cambria"/>
          <w:sz w:val="20"/>
          <w:szCs w:val="20"/>
          <w:lang w:val="es-AR"/>
        </w:rPr>
        <w:t xml:space="preserve">uno </w:t>
      </w:r>
      <w:r w:rsidRPr="00657099">
        <w:rPr>
          <w:rFonts w:ascii="Cambria" w:hAnsi="Cambria"/>
          <w:sz w:val="20"/>
          <w:szCs w:val="20"/>
          <w:lang w:val="es-AR"/>
        </w:rPr>
        <w:t>le dispar</w:t>
      </w:r>
      <w:r w:rsidR="00D971D1" w:rsidRPr="00657099">
        <w:rPr>
          <w:rFonts w:ascii="Cambria" w:hAnsi="Cambria"/>
          <w:sz w:val="20"/>
          <w:szCs w:val="20"/>
          <w:lang w:val="es-AR"/>
        </w:rPr>
        <w:t>ó</w:t>
      </w:r>
      <w:r w:rsidR="00197815" w:rsidRPr="00657099">
        <w:rPr>
          <w:rFonts w:ascii="Cambria" w:hAnsi="Cambria"/>
          <w:sz w:val="20"/>
          <w:szCs w:val="20"/>
          <w:lang w:val="es-AR"/>
        </w:rPr>
        <w:t xml:space="preserve"> </w:t>
      </w:r>
      <w:r w:rsidR="004F4D8F" w:rsidRPr="00657099">
        <w:rPr>
          <w:rFonts w:ascii="Cambria" w:hAnsi="Cambria"/>
          <w:sz w:val="20"/>
          <w:szCs w:val="20"/>
          <w:lang w:val="es-AR"/>
        </w:rPr>
        <w:t>causándole la</w:t>
      </w:r>
      <w:r w:rsidRPr="00657099">
        <w:rPr>
          <w:rFonts w:ascii="Cambria" w:hAnsi="Cambria"/>
          <w:sz w:val="20"/>
          <w:szCs w:val="20"/>
          <w:lang w:val="es-AR"/>
        </w:rPr>
        <w:t xml:space="preserve"> muerte. </w:t>
      </w:r>
      <w:r w:rsidR="00963B9C" w:rsidRPr="00657099">
        <w:rPr>
          <w:rFonts w:ascii="Cambria" w:hAnsi="Cambria"/>
          <w:sz w:val="20"/>
          <w:szCs w:val="20"/>
          <w:lang w:val="es-AR"/>
        </w:rPr>
        <w:t xml:space="preserve">Sostiene que </w:t>
      </w:r>
      <w:r w:rsidR="00FC61EA" w:rsidRPr="00657099">
        <w:rPr>
          <w:rFonts w:ascii="Cambria" w:hAnsi="Cambria"/>
          <w:sz w:val="20"/>
          <w:szCs w:val="20"/>
          <w:lang w:val="es-AR"/>
        </w:rPr>
        <w:t>los responsables</w:t>
      </w:r>
      <w:r w:rsidR="00963B9C" w:rsidRPr="00657099">
        <w:rPr>
          <w:rFonts w:ascii="Cambria" w:hAnsi="Cambria"/>
          <w:sz w:val="20"/>
          <w:szCs w:val="20"/>
          <w:lang w:val="es-AR"/>
        </w:rPr>
        <w:t xml:space="preserve"> se </w:t>
      </w:r>
      <w:r w:rsidRPr="00657099">
        <w:rPr>
          <w:rFonts w:ascii="Cambria" w:hAnsi="Cambria"/>
          <w:sz w:val="20"/>
          <w:szCs w:val="20"/>
          <w:lang w:val="es-AR"/>
        </w:rPr>
        <w:t>habrían</w:t>
      </w:r>
      <w:r w:rsidR="00963B9C" w:rsidRPr="00657099">
        <w:rPr>
          <w:rFonts w:ascii="Cambria" w:hAnsi="Cambria"/>
          <w:sz w:val="20"/>
          <w:szCs w:val="20"/>
          <w:lang w:val="es-AR"/>
        </w:rPr>
        <w:t xml:space="preserve"> dado a la fuga</w:t>
      </w:r>
      <w:r w:rsidR="00FC61EA" w:rsidRPr="00657099">
        <w:rPr>
          <w:rFonts w:ascii="Cambria" w:hAnsi="Cambria"/>
          <w:sz w:val="20"/>
          <w:szCs w:val="20"/>
          <w:lang w:val="es-AR"/>
        </w:rPr>
        <w:t xml:space="preserve">, aunque </w:t>
      </w:r>
      <w:r w:rsidR="00D971D1" w:rsidRPr="00657099">
        <w:rPr>
          <w:rFonts w:ascii="Cambria" w:hAnsi="Cambria"/>
          <w:sz w:val="20"/>
          <w:szCs w:val="20"/>
          <w:lang w:val="es-AR"/>
        </w:rPr>
        <w:t xml:space="preserve">existen testigos que </w:t>
      </w:r>
      <w:r w:rsidR="00657099">
        <w:rPr>
          <w:rFonts w:ascii="Cambria" w:hAnsi="Cambria"/>
          <w:sz w:val="20"/>
          <w:szCs w:val="20"/>
          <w:lang w:val="es-AR"/>
        </w:rPr>
        <w:t xml:space="preserve">los identificaron como </w:t>
      </w:r>
      <w:r w:rsidR="004E2FAF">
        <w:rPr>
          <w:rFonts w:ascii="Cambria" w:hAnsi="Cambria"/>
          <w:sz w:val="20"/>
          <w:szCs w:val="20"/>
          <w:lang w:val="es-AR"/>
        </w:rPr>
        <w:t xml:space="preserve">reconocidos </w:t>
      </w:r>
      <w:r w:rsidR="00657099">
        <w:rPr>
          <w:rFonts w:ascii="Cambria" w:hAnsi="Cambria"/>
          <w:sz w:val="20"/>
          <w:szCs w:val="20"/>
          <w:lang w:val="es-AR"/>
        </w:rPr>
        <w:t>agentes del</w:t>
      </w:r>
      <w:r w:rsidR="00D971D1" w:rsidRPr="00657099">
        <w:rPr>
          <w:rFonts w:ascii="Cambria" w:hAnsi="Cambria"/>
          <w:sz w:val="20"/>
          <w:szCs w:val="20"/>
          <w:lang w:val="es-AR"/>
        </w:rPr>
        <w:t xml:space="preserve"> DAS. </w:t>
      </w:r>
      <w:r w:rsidR="00FC61EA" w:rsidRPr="00657099">
        <w:rPr>
          <w:rFonts w:ascii="Cambria" w:hAnsi="Cambria"/>
          <w:sz w:val="20"/>
          <w:szCs w:val="20"/>
          <w:lang w:val="es-AR"/>
        </w:rPr>
        <w:t>E</w:t>
      </w:r>
      <w:r w:rsidRPr="00657099">
        <w:rPr>
          <w:rFonts w:ascii="Cambria" w:hAnsi="Cambria"/>
          <w:sz w:val="20"/>
          <w:szCs w:val="20"/>
          <w:lang w:val="es-AR"/>
        </w:rPr>
        <w:t>l peticionario afirma que “es recurrente en Colombia</w:t>
      </w:r>
      <w:r w:rsidR="00C129F0" w:rsidRPr="00657099">
        <w:rPr>
          <w:rFonts w:ascii="Cambria" w:hAnsi="Cambria"/>
          <w:sz w:val="20"/>
          <w:szCs w:val="20"/>
          <w:lang w:val="es-AR"/>
        </w:rPr>
        <w:t xml:space="preserve"> que</w:t>
      </w:r>
      <w:r w:rsidRPr="00657099">
        <w:rPr>
          <w:rFonts w:ascii="Cambria" w:hAnsi="Cambria"/>
          <w:sz w:val="20"/>
          <w:szCs w:val="20"/>
          <w:lang w:val="es-AR"/>
        </w:rPr>
        <w:t xml:space="preserve">, instituciones del Estado den muerte a ciudadanos colombianos, pobres, con un nivel socioeconómico y educativo bajo”. </w:t>
      </w:r>
    </w:p>
    <w:p w:rsidR="003A42BD" w:rsidRPr="003C2337" w:rsidRDefault="007B3ACF" w:rsidP="003C23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3C2337">
        <w:rPr>
          <w:rFonts w:ascii="Cambria" w:hAnsi="Cambria"/>
          <w:sz w:val="20"/>
          <w:szCs w:val="20"/>
          <w:lang w:val="es-AR"/>
        </w:rPr>
        <w:t xml:space="preserve">Según la parte peticionaria, </w:t>
      </w:r>
      <w:r w:rsidR="00985FDE" w:rsidRPr="003C2337">
        <w:rPr>
          <w:rFonts w:ascii="Cambria" w:hAnsi="Cambria"/>
          <w:sz w:val="20"/>
          <w:szCs w:val="20"/>
          <w:lang w:val="es-AR"/>
        </w:rPr>
        <w:t xml:space="preserve">el Juzgado 18 de Instrucción </w:t>
      </w:r>
      <w:r w:rsidR="000D739F" w:rsidRPr="003C2337">
        <w:rPr>
          <w:rFonts w:ascii="Cambria" w:hAnsi="Cambria"/>
          <w:sz w:val="20"/>
          <w:szCs w:val="20"/>
          <w:lang w:val="es-AR"/>
        </w:rPr>
        <w:t>Criminal de Medellín adelantó una investigación resolviendo su archivo</w:t>
      </w:r>
      <w:r w:rsidR="00792BEE" w:rsidRPr="003C2337">
        <w:rPr>
          <w:rFonts w:ascii="Cambria" w:hAnsi="Cambria"/>
          <w:sz w:val="20"/>
          <w:szCs w:val="20"/>
          <w:lang w:val="es-AR"/>
        </w:rPr>
        <w:t xml:space="preserve"> por falta de pruebas el 28 de enero de 1991</w:t>
      </w:r>
      <w:r w:rsidR="000D739F" w:rsidRPr="003C2337">
        <w:rPr>
          <w:rFonts w:ascii="Cambria" w:hAnsi="Cambria"/>
          <w:sz w:val="20"/>
          <w:szCs w:val="20"/>
          <w:lang w:val="es-AR"/>
        </w:rPr>
        <w:t xml:space="preserve">. </w:t>
      </w:r>
      <w:r w:rsidR="00792BEE" w:rsidRPr="003C2337">
        <w:rPr>
          <w:rFonts w:ascii="Cambria" w:hAnsi="Cambria"/>
          <w:sz w:val="20"/>
          <w:szCs w:val="20"/>
          <w:lang w:val="es-AR"/>
        </w:rPr>
        <w:t xml:space="preserve">Según el peticionario, varios testigos habrían presenciado los hechos y habrían reconocido a los responsables, no obstante, por temor fundado a represalias por los agentes del DAS no habrían declarado en el proceso penal, aunque posteriormente (durante el proceso en el contencioso administrativo), habrían rendido declaración dando mayor detalle. Según los testigos, uno de dichos agentes habría sido escolta de la entonces gobernadora de Antioquia. Aduce que con el archivo de la investigación se negó el derecho de acceso a la justicia quedando la muerte de la presunta víctima en impunidad. </w:t>
      </w:r>
      <w:r w:rsidR="000D739F" w:rsidRPr="003C2337">
        <w:rPr>
          <w:rFonts w:ascii="Cambria" w:hAnsi="Cambria"/>
          <w:sz w:val="20"/>
          <w:szCs w:val="20"/>
          <w:lang w:val="es-AR"/>
        </w:rPr>
        <w:t xml:space="preserve">Por otra parte, </w:t>
      </w:r>
      <w:r w:rsidR="00EF4AE0" w:rsidRPr="003C2337">
        <w:rPr>
          <w:rFonts w:ascii="Cambria" w:hAnsi="Cambria"/>
          <w:sz w:val="20"/>
          <w:szCs w:val="20"/>
          <w:lang w:val="es-AR"/>
        </w:rPr>
        <w:t xml:space="preserve">el </w:t>
      </w:r>
      <w:r w:rsidR="00AA69F2" w:rsidRPr="003C2337">
        <w:rPr>
          <w:rFonts w:ascii="Cambria" w:hAnsi="Cambria"/>
          <w:sz w:val="20"/>
          <w:szCs w:val="20"/>
          <w:lang w:val="es-AR"/>
        </w:rPr>
        <w:t xml:space="preserve">peticionario sostiene que </w:t>
      </w:r>
      <w:r w:rsidR="00EF4AE0" w:rsidRPr="003C2337">
        <w:rPr>
          <w:rFonts w:ascii="Cambria" w:hAnsi="Cambria"/>
          <w:sz w:val="20"/>
          <w:szCs w:val="20"/>
          <w:lang w:val="es-AR"/>
        </w:rPr>
        <w:t>7 de septiembre de 1989</w:t>
      </w:r>
      <w:r w:rsidR="00963B9C" w:rsidRPr="003C2337">
        <w:rPr>
          <w:rFonts w:ascii="Cambria" w:hAnsi="Cambria"/>
          <w:sz w:val="20"/>
          <w:szCs w:val="20"/>
          <w:lang w:val="es-AR"/>
        </w:rPr>
        <w:t xml:space="preserve"> </w:t>
      </w:r>
      <w:r w:rsidRPr="003C2337">
        <w:rPr>
          <w:rFonts w:ascii="Cambria" w:hAnsi="Cambria"/>
          <w:sz w:val="20"/>
          <w:szCs w:val="20"/>
          <w:lang w:val="es-AR"/>
        </w:rPr>
        <w:t xml:space="preserve">la madre de </w:t>
      </w:r>
      <w:r w:rsidR="00FC61EA" w:rsidRPr="003C2337">
        <w:rPr>
          <w:rFonts w:ascii="Cambria" w:hAnsi="Cambria"/>
          <w:sz w:val="20"/>
          <w:szCs w:val="20"/>
          <w:lang w:val="es-AR"/>
        </w:rPr>
        <w:t>la presunta víctima</w:t>
      </w:r>
      <w:r w:rsidRPr="003C2337">
        <w:rPr>
          <w:rFonts w:ascii="Cambria" w:hAnsi="Cambria"/>
          <w:sz w:val="20"/>
          <w:szCs w:val="20"/>
          <w:lang w:val="es-AR"/>
        </w:rPr>
        <w:t xml:space="preserve"> </w:t>
      </w:r>
      <w:r w:rsidR="00FC61EA" w:rsidRPr="003C2337">
        <w:rPr>
          <w:rFonts w:ascii="Cambria" w:hAnsi="Cambria"/>
          <w:sz w:val="20"/>
          <w:szCs w:val="20"/>
          <w:lang w:val="es-AR"/>
        </w:rPr>
        <w:t xml:space="preserve">formuló </w:t>
      </w:r>
      <w:r w:rsidRPr="003C2337">
        <w:rPr>
          <w:rFonts w:ascii="Cambria" w:hAnsi="Cambria"/>
          <w:sz w:val="20"/>
          <w:szCs w:val="20"/>
          <w:lang w:val="es-AR"/>
        </w:rPr>
        <w:t xml:space="preserve">una queja disciplinaria </w:t>
      </w:r>
      <w:r w:rsidR="00792BEE" w:rsidRPr="003C2337">
        <w:rPr>
          <w:rFonts w:ascii="Cambria" w:hAnsi="Cambria"/>
          <w:sz w:val="20"/>
          <w:szCs w:val="20"/>
          <w:lang w:val="es-AR"/>
        </w:rPr>
        <w:t xml:space="preserve">ante la Procuraduría Provincial de Medellín </w:t>
      </w:r>
      <w:r w:rsidRPr="003C2337">
        <w:rPr>
          <w:rFonts w:ascii="Cambria" w:hAnsi="Cambria"/>
          <w:sz w:val="20"/>
          <w:szCs w:val="20"/>
          <w:lang w:val="es-AR"/>
        </w:rPr>
        <w:t xml:space="preserve">por la conducta de agentes del DAS la cual dio inicio a una </w:t>
      </w:r>
      <w:r w:rsidR="00847716" w:rsidRPr="003C2337">
        <w:rPr>
          <w:rFonts w:ascii="Cambria" w:hAnsi="Cambria"/>
          <w:sz w:val="20"/>
          <w:szCs w:val="20"/>
          <w:lang w:val="es-AR"/>
        </w:rPr>
        <w:t xml:space="preserve">investigación </w:t>
      </w:r>
      <w:r w:rsidR="00AA69F2" w:rsidRPr="003C2337">
        <w:rPr>
          <w:rFonts w:ascii="Cambria" w:hAnsi="Cambria"/>
          <w:sz w:val="20"/>
          <w:szCs w:val="20"/>
          <w:lang w:val="es-AR"/>
        </w:rPr>
        <w:t>que tomó como base las consideraciones del proceso penal y también culminó</w:t>
      </w:r>
      <w:r w:rsidR="00E944A5" w:rsidRPr="003C2337">
        <w:rPr>
          <w:rFonts w:ascii="Cambria" w:hAnsi="Cambria"/>
          <w:sz w:val="20"/>
          <w:szCs w:val="20"/>
          <w:lang w:val="es-AR"/>
        </w:rPr>
        <w:t xml:space="preserve"> </w:t>
      </w:r>
      <w:r w:rsidR="00537B24" w:rsidRPr="003C2337">
        <w:rPr>
          <w:rFonts w:ascii="Cambria" w:hAnsi="Cambria"/>
          <w:sz w:val="20"/>
          <w:szCs w:val="20"/>
          <w:lang w:val="es-AR"/>
        </w:rPr>
        <w:t xml:space="preserve">con el archivo de las </w:t>
      </w:r>
      <w:r w:rsidR="003E3390" w:rsidRPr="003C2337">
        <w:rPr>
          <w:rFonts w:ascii="Cambria" w:hAnsi="Cambria"/>
          <w:sz w:val="20"/>
          <w:szCs w:val="20"/>
          <w:lang w:val="es-AR"/>
        </w:rPr>
        <w:t>diligencias</w:t>
      </w:r>
      <w:r w:rsidRPr="003C2337">
        <w:rPr>
          <w:rFonts w:ascii="Cambria" w:hAnsi="Cambria"/>
          <w:sz w:val="20"/>
          <w:szCs w:val="20"/>
          <w:lang w:val="es-AR"/>
        </w:rPr>
        <w:t>.</w:t>
      </w:r>
      <w:r w:rsidRPr="003C2337" w:rsidDel="00AA69F2">
        <w:rPr>
          <w:rFonts w:ascii="Cambria" w:hAnsi="Cambria"/>
          <w:sz w:val="20"/>
          <w:szCs w:val="20"/>
          <w:lang w:val="es-AR"/>
        </w:rPr>
        <w:t xml:space="preserve"> </w:t>
      </w:r>
    </w:p>
    <w:p w:rsidR="007B3ACF" w:rsidRDefault="003F2415" w:rsidP="007B3A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parte peticionaria indica que e</w:t>
      </w:r>
      <w:r w:rsidR="007F140D">
        <w:rPr>
          <w:rFonts w:ascii="Cambria" w:hAnsi="Cambria"/>
          <w:sz w:val="20"/>
          <w:szCs w:val="20"/>
          <w:lang w:val="es-AR"/>
        </w:rPr>
        <w:t xml:space="preserve">l 21 de julio de 1991 </w:t>
      </w:r>
      <w:r>
        <w:rPr>
          <w:rFonts w:ascii="Cambria" w:hAnsi="Cambria"/>
          <w:sz w:val="20"/>
          <w:szCs w:val="20"/>
          <w:lang w:val="es-AR"/>
        </w:rPr>
        <w:t>los familiares de la presunta víctima presentaron</w:t>
      </w:r>
      <w:r w:rsidR="007B3ACF">
        <w:rPr>
          <w:rFonts w:ascii="Cambria" w:hAnsi="Cambria"/>
          <w:sz w:val="20"/>
          <w:szCs w:val="20"/>
          <w:lang w:val="es-AR"/>
        </w:rPr>
        <w:t xml:space="preserve"> una demanda de reparación directa ante el Tribunal Administrativo de Antioquia</w:t>
      </w:r>
      <w:r>
        <w:rPr>
          <w:rFonts w:ascii="Cambria" w:hAnsi="Cambria"/>
          <w:sz w:val="20"/>
          <w:szCs w:val="20"/>
          <w:lang w:val="es-AR"/>
        </w:rPr>
        <w:t xml:space="preserve"> y que e</w:t>
      </w:r>
      <w:r w:rsidR="007B3ACF">
        <w:rPr>
          <w:rFonts w:ascii="Cambria" w:hAnsi="Cambria"/>
          <w:sz w:val="20"/>
          <w:szCs w:val="20"/>
          <w:lang w:val="es-AR"/>
        </w:rPr>
        <w:t xml:space="preserve">l </w:t>
      </w:r>
      <w:r w:rsidR="007B3ACF" w:rsidRPr="003A42BD">
        <w:rPr>
          <w:rFonts w:ascii="Cambria" w:hAnsi="Cambria"/>
          <w:sz w:val="20"/>
          <w:szCs w:val="20"/>
          <w:lang w:val="es-AR"/>
        </w:rPr>
        <w:t>30</w:t>
      </w:r>
      <w:r>
        <w:rPr>
          <w:rFonts w:ascii="Cambria" w:hAnsi="Cambria"/>
          <w:sz w:val="20"/>
          <w:szCs w:val="20"/>
          <w:lang w:val="es-AR"/>
        </w:rPr>
        <w:t xml:space="preserve"> </w:t>
      </w:r>
      <w:r w:rsidR="007B3ACF">
        <w:rPr>
          <w:rFonts w:ascii="Cambria" w:hAnsi="Cambria"/>
          <w:sz w:val="20"/>
          <w:szCs w:val="20"/>
          <w:lang w:val="es-AR"/>
        </w:rPr>
        <w:t xml:space="preserve">de junio de </w:t>
      </w:r>
      <w:r w:rsidR="007B3ACF" w:rsidRPr="003A42BD">
        <w:rPr>
          <w:rFonts w:ascii="Cambria" w:hAnsi="Cambria"/>
          <w:sz w:val="20"/>
          <w:szCs w:val="20"/>
          <w:lang w:val="es-AR"/>
        </w:rPr>
        <w:t>1999</w:t>
      </w:r>
      <w:r w:rsidR="007B3ACF">
        <w:rPr>
          <w:rFonts w:ascii="Cambria" w:hAnsi="Cambria"/>
          <w:sz w:val="20"/>
          <w:szCs w:val="20"/>
          <w:lang w:val="es-AR"/>
        </w:rPr>
        <w:t xml:space="preserve"> </w:t>
      </w:r>
      <w:r w:rsidR="00657099">
        <w:rPr>
          <w:rFonts w:ascii="Cambria" w:hAnsi="Cambria"/>
          <w:sz w:val="20"/>
          <w:szCs w:val="20"/>
          <w:lang w:val="es-AR"/>
        </w:rPr>
        <w:t>éste</w:t>
      </w:r>
      <w:r w:rsidR="007B3ACF" w:rsidRPr="003A42BD">
        <w:rPr>
          <w:rFonts w:ascii="Cambria" w:hAnsi="Cambria"/>
          <w:sz w:val="20"/>
          <w:szCs w:val="20"/>
          <w:lang w:val="es-AR"/>
        </w:rPr>
        <w:t xml:space="preserve"> </w:t>
      </w:r>
      <w:r>
        <w:rPr>
          <w:rFonts w:ascii="Cambria" w:hAnsi="Cambria"/>
          <w:sz w:val="20"/>
          <w:szCs w:val="20"/>
          <w:lang w:val="es-AR"/>
        </w:rPr>
        <w:t xml:space="preserve">la rechazó </w:t>
      </w:r>
      <w:r w:rsidR="007B3ACF" w:rsidRPr="003A42BD">
        <w:rPr>
          <w:rFonts w:ascii="Cambria" w:hAnsi="Cambria"/>
          <w:sz w:val="20"/>
          <w:szCs w:val="20"/>
          <w:lang w:val="es-AR"/>
        </w:rPr>
        <w:t xml:space="preserve">por considerar que no se hallaba acreditada la falla del servicio </w:t>
      </w:r>
      <w:r w:rsidR="007B3ACF">
        <w:rPr>
          <w:rFonts w:ascii="Cambria" w:hAnsi="Cambria"/>
          <w:sz w:val="20"/>
          <w:szCs w:val="20"/>
          <w:lang w:val="es-AR"/>
        </w:rPr>
        <w:t xml:space="preserve">y compromiso del DAS en los hechos </w:t>
      </w:r>
      <w:r w:rsidR="007B3ACF" w:rsidRPr="003A42BD">
        <w:rPr>
          <w:rFonts w:ascii="Cambria" w:hAnsi="Cambria"/>
          <w:sz w:val="20"/>
          <w:szCs w:val="20"/>
          <w:lang w:val="es-AR"/>
        </w:rPr>
        <w:t>aducid</w:t>
      </w:r>
      <w:r w:rsidR="007B3ACF">
        <w:rPr>
          <w:rFonts w:ascii="Cambria" w:hAnsi="Cambria"/>
          <w:sz w:val="20"/>
          <w:szCs w:val="20"/>
          <w:lang w:val="es-AR"/>
        </w:rPr>
        <w:t>os</w:t>
      </w:r>
      <w:r w:rsidR="007B3ACF" w:rsidRPr="003A42BD">
        <w:rPr>
          <w:rFonts w:ascii="Cambria" w:hAnsi="Cambria"/>
          <w:sz w:val="20"/>
          <w:szCs w:val="20"/>
          <w:lang w:val="es-AR"/>
        </w:rPr>
        <w:t xml:space="preserve"> en la demanda. </w:t>
      </w:r>
      <w:r w:rsidR="007B3ACF">
        <w:rPr>
          <w:rFonts w:ascii="Cambria" w:hAnsi="Cambria"/>
          <w:sz w:val="20"/>
          <w:szCs w:val="20"/>
          <w:lang w:val="es-AR"/>
        </w:rPr>
        <w:t>Contra esta decisión</w:t>
      </w:r>
      <w:r w:rsidR="000503E7">
        <w:rPr>
          <w:rFonts w:ascii="Cambria" w:hAnsi="Cambria"/>
          <w:sz w:val="20"/>
          <w:szCs w:val="20"/>
          <w:lang w:val="es-AR"/>
        </w:rPr>
        <w:t xml:space="preserve"> en agosto de 1999 se</w:t>
      </w:r>
      <w:r w:rsidR="007B3ACF">
        <w:rPr>
          <w:rFonts w:ascii="Cambria" w:hAnsi="Cambria"/>
          <w:sz w:val="20"/>
          <w:szCs w:val="20"/>
          <w:lang w:val="es-AR"/>
        </w:rPr>
        <w:t xml:space="preserve"> interpuso un recurso de apelación</w:t>
      </w:r>
      <w:r w:rsidR="000503E7">
        <w:rPr>
          <w:rFonts w:ascii="Cambria" w:hAnsi="Cambria"/>
          <w:sz w:val="20"/>
          <w:szCs w:val="20"/>
          <w:lang w:val="es-AR"/>
        </w:rPr>
        <w:t>. Se indica que</w:t>
      </w:r>
      <w:r w:rsidR="00657099">
        <w:rPr>
          <w:rFonts w:ascii="Cambria" w:hAnsi="Cambria"/>
          <w:sz w:val="20"/>
          <w:szCs w:val="20"/>
          <w:lang w:val="es-AR"/>
        </w:rPr>
        <w:t xml:space="preserve"> </w:t>
      </w:r>
      <w:r w:rsidR="00DD11B7">
        <w:rPr>
          <w:rFonts w:ascii="Cambria" w:hAnsi="Cambria"/>
          <w:sz w:val="20"/>
          <w:szCs w:val="20"/>
          <w:lang w:val="es-AR"/>
        </w:rPr>
        <w:t xml:space="preserve">hasta </w:t>
      </w:r>
      <w:r w:rsidR="00657099">
        <w:rPr>
          <w:rFonts w:ascii="Cambria" w:hAnsi="Cambria"/>
          <w:sz w:val="20"/>
          <w:szCs w:val="20"/>
          <w:lang w:val="es-AR"/>
        </w:rPr>
        <w:t>e</w:t>
      </w:r>
      <w:r w:rsidR="007B3ACF" w:rsidRPr="00537B24">
        <w:rPr>
          <w:rFonts w:ascii="Cambria" w:hAnsi="Cambria"/>
          <w:sz w:val="20"/>
          <w:szCs w:val="20"/>
          <w:lang w:val="es-AR"/>
        </w:rPr>
        <w:t>l 25 de febrero de 2009</w:t>
      </w:r>
      <w:r w:rsidR="000503E7">
        <w:rPr>
          <w:rFonts w:ascii="Cambria" w:hAnsi="Cambria"/>
          <w:sz w:val="20"/>
          <w:szCs w:val="20"/>
          <w:lang w:val="es-AR"/>
        </w:rPr>
        <w:t xml:space="preserve"> la Sala de lo Contencioso </w:t>
      </w:r>
      <w:r w:rsidR="00AD3A22">
        <w:rPr>
          <w:rFonts w:ascii="Cambria" w:hAnsi="Cambria"/>
          <w:sz w:val="20"/>
          <w:szCs w:val="20"/>
          <w:lang w:val="es-AR"/>
        </w:rPr>
        <w:t>Administrativo</w:t>
      </w:r>
      <w:r w:rsidR="000503E7">
        <w:rPr>
          <w:rFonts w:ascii="Cambria" w:hAnsi="Cambria"/>
          <w:sz w:val="20"/>
          <w:szCs w:val="20"/>
          <w:lang w:val="es-AR"/>
        </w:rPr>
        <w:t xml:space="preserve"> del Consejo de Estado confirmó la sentencia</w:t>
      </w:r>
      <w:r w:rsidR="00AD3A22">
        <w:rPr>
          <w:rFonts w:ascii="Cambria" w:hAnsi="Cambria"/>
          <w:sz w:val="20"/>
          <w:szCs w:val="20"/>
          <w:lang w:val="es-AR"/>
        </w:rPr>
        <w:t xml:space="preserve"> recurrida</w:t>
      </w:r>
      <w:r w:rsidR="007B3ACF" w:rsidRPr="001E7927">
        <w:rPr>
          <w:rFonts w:ascii="Cambria" w:hAnsi="Cambria"/>
          <w:sz w:val="20"/>
          <w:szCs w:val="20"/>
          <w:lang w:val="es-AR"/>
        </w:rPr>
        <w:t>.</w:t>
      </w:r>
      <w:r w:rsidR="00A17314">
        <w:rPr>
          <w:rFonts w:ascii="Cambria" w:hAnsi="Cambria"/>
          <w:sz w:val="20"/>
          <w:szCs w:val="20"/>
          <w:lang w:val="es-AR"/>
        </w:rPr>
        <w:t xml:space="preserve"> Afirma que la </w:t>
      </w:r>
      <w:r w:rsidR="00BE1EB1">
        <w:rPr>
          <w:rFonts w:ascii="Cambria" w:hAnsi="Cambria"/>
          <w:sz w:val="20"/>
          <w:szCs w:val="20"/>
          <w:lang w:val="es-AR"/>
        </w:rPr>
        <w:t>decisión</w:t>
      </w:r>
      <w:r w:rsidR="00A17314">
        <w:rPr>
          <w:rFonts w:ascii="Cambria" w:hAnsi="Cambria"/>
          <w:sz w:val="20"/>
          <w:szCs w:val="20"/>
          <w:lang w:val="es-AR"/>
        </w:rPr>
        <w:t xml:space="preserve"> </w:t>
      </w:r>
      <w:r w:rsidR="00AD3A22">
        <w:rPr>
          <w:rFonts w:ascii="Cambria" w:hAnsi="Cambria"/>
          <w:sz w:val="20"/>
          <w:szCs w:val="20"/>
          <w:lang w:val="es-AR"/>
        </w:rPr>
        <w:t>del Consejo de Estado</w:t>
      </w:r>
      <w:r w:rsidR="00A17314">
        <w:rPr>
          <w:rFonts w:ascii="Cambria" w:hAnsi="Cambria"/>
          <w:sz w:val="20"/>
          <w:szCs w:val="20"/>
          <w:lang w:val="es-AR"/>
        </w:rPr>
        <w:t xml:space="preserve"> se </w:t>
      </w:r>
      <w:r w:rsidR="00BE1EB1">
        <w:rPr>
          <w:rFonts w:ascii="Cambria" w:hAnsi="Cambria"/>
          <w:sz w:val="20"/>
          <w:szCs w:val="20"/>
          <w:lang w:val="es-AR"/>
        </w:rPr>
        <w:t>basó</w:t>
      </w:r>
      <w:r w:rsidR="00A17314">
        <w:rPr>
          <w:rFonts w:ascii="Cambria" w:hAnsi="Cambria"/>
          <w:sz w:val="20"/>
          <w:szCs w:val="20"/>
          <w:lang w:val="es-AR"/>
        </w:rPr>
        <w:t xml:space="preserve"> en </w:t>
      </w:r>
      <w:r w:rsidR="00BE1EB1">
        <w:rPr>
          <w:rFonts w:ascii="Cambria" w:hAnsi="Cambria"/>
          <w:sz w:val="20"/>
          <w:szCs w:val="20"/>
          <w:lang w:val="es-AR"/>
        </w:rPr>
        <w:t>las investigaciones incipientes llevadas a cabo tanto en la</w:t>
      </w:r>
      <w:r w:rsidR="00657099">
        <w:rPr>
          <w:rFonts w:ascii="Cambria" w:hAnsi="Cambria"/>
          <w:sz w:val="20"/>
          <w:szCs w:val="20"/>
          <w:lang w:val="es-AR"/>
        </w:rPr>
        <w:t>s</w:t>
      </w:r>
      <w:r w:rsidR="00BE1EB1">
        <w:rPr>
          <w:rFonts w:ascii="Cambria" w:hAnsi="Cambria"/>
          <w:sz w:val="20"/>
          <w:szCs w:val="20"/>
          <w:lang w:val="es-AR"/>
        </w:rPr>
        <w:t xml:space="preserve"> vía</w:t>
      </w:r>
      <w:r w:rsidR="00657099">
        <w:rPr>
          <w:rFonts w:ascii="Cambria" w:hAnsi="Cambria"/>
          <w:sz w:val="20"/>
          <w:szCs w:val="20"/>
          <w:lang w:val="es-AR"/>
        </w:rPr>
        <w:t>s</w:t>
      </w:r>
      <w:r w:rsidR="00BE1EB1">
        <w:rPr>
          <w:rFonts w:ascii="Cambria" w:hAnsi="Cambria"/>
          <w:sz w:val="20"/>
          <w:szCs w:val="20"/>
          <w:lang w:val="es-AR"/>
        </w:rPr>
        <w:t xml:space="preserve"> </w:t>
      </w:r>
      <w:r w:rsidR="00A17314">
        <w:rPr>
          <w:rFonts w:ascii="Cambria" w:hAnsi="Cambria"/>
          <w:sz w:val="20"/>
          <w:szCs w:val="20"/>
          <w:lang w:val="es-AR"/>
        </w:rPr>
        <w:t xml:space="preserve">penal </w:t>
      </w:r>
      <w:r w:rsidR="00657099">
        <w:rPr>
          <w:rFonts w:ascii="Cambria" w:hAnsi="Cambria"/>
          <w:sz w:val="20"/>
          <w:szCs w:val="20"/>
          <w:lang w:val="es-AR"/>
        </w:rPr>
        <w:t xml:space="preserve">y </w:t>
      </w:r>
      <w:r w:rsidR="00A17314">
        <w:rPr>
          <w:rFonts w:ascii="Cambria" w:hAnsi="Cambria"/>
          <w:sz w:val="20"/>
          <w:szCs w:val="20"/>
          <w:lang w:val="es-AR"/>
        </w:rPr>
        <w:t>disciplinaria</w:t>
      </w:r>
      <w:r w:rsidR="00BE1EB1">
        <w:rPr>
          <w:rFonts w:ascii="Cambria" w:hAnsi="Cambria"/>
          <w:sz w:val="20"/>
          <w:szCs w:val="20"/>
          <w:lang w:val="es-AR"/>
        </w:rPr>
        <w:t xml:space="preserve"> que resultaron en el archivo de las actuaciones sin </w:t>
      </w:r>
      <w:r w:rsidR="007F140D">
        <w:rPr>
          <w:rFonts w:ascii="Cambria" w:hAnsi="Cambria"/>
          <w:sz w:val="20"/>
          <w:szCs w:val="20"/>
          <w:lang w:val="es-AR"/>
        </w:rPr>
        <w:t xml:space="preserve">que </w:t>
      </w:r>
      <w:r w:rsidR="007F140D" w:rsidRPr="003A42BD">
        <w:rPr>
          <w:rFonts w:ascii="Cambria" w:hAnsi="Cambria"/>
          <w:sz w:val="20"/>
          <w:szCs w:val="20"/>
          <w:lang w:val="es-AR"/>
        </w:rPr>
        <w:t>se ha</w:t>
      </w:r>
      <w:r w:rsidR="007F140D">
        <w:rPr>
          <w:rFonts w:ascii="Cambria" w:hAnsi="Cambria"/>
          <w:sz w:val="20"/>
          <w:szCs w:val="20"/>
          <w:lang w:val="es-AR"/>
        </w:rPr>
        <w:t>yan</w:t>
      </w:r>
      <w:r w:rsidR="007F140D" w:rsidRPr="003A42BD">
        <w:rPr>
          <w:rFonts w:ascii="Cambria" w:hAnsi="Cambria"/>
          <w:sz w:val="20"/>
          <w:szCs w:val="20"/>
          <w:lang w:val="es-AR"/>
        </w:rPr>
        <w:t xml:space="preserve"> </w:t>
      </w:r>
      <w:r w:rsidR="007F140D">
        <w:rPr>
          <w:rFonts w:ascii="Cambria" w:hAnsi="Cambria"/>
          <w:sz w:val="20"/>
          <w:szCs w:val="20"/>
          <w:lang w:val="es-AR"/>
        </w:rPr>
        <w:t>tomado en cuenta las</w:t>
      </w:r>
      <w:r w:rsidR="007F140D" w:rsidRPr="003A42BD">
        <w:rPr>
          <w:rFonts w:ascii="Cambria" w:hAnsi="Cambria"/>
          <w:sz w:val="20"/>
          <w:szCs w:val="20"/>
          <w:lang w:val="es-AR"/>
        </w:rPr>
        <w:t xml:space="preserve"> declaraci</w:t>
      </w:r>
      <w:r w:rsidR="007F140D">
        <w:rPr>
          <w:rFonts w:ascii="Cambria" w:hAnsi="Cambria"/>
          <w:sz w:val="20"/>
          <w:szCs w:val="20"/>
          <w:lang w:val="es-AR"/>
        </w:rPr>
        <w:t>o</w:t>
      </w:r>
      <w:r w:rsidR="007F140D" w:rsidRPr="003A42BD">
        <w:rPr>
          <w:rFonts w:ascii="Cambria" w:hAnsi="Cambria"/>
          <w:sz w:val="20"/>
          <w:szCs w:val="20"/>
          <w:lang w:val="es-AR"/>
        </w:rPr>
        <w:t>n</w:t>
      </w:r>
      <w:r w:rsidR="007F140D">
        <w:rPr>
          <w:rFonts w:ascii="Cambria" w:hAnsi="Cambria"/>
          <w:sz w:val="20"/>
          <w:szCs w:val="20"/>
          <w:lang w:val="es-AR"/>
        </w:rPr>
        <w:t>es de</w:t>
      </w:r>
      <w:r w:rsidR="007F140D" w:rsidRPr="003A42BD">
        <w:rPr>
          <w:rFonts w:ascii="Cambria" w:hAnsi="Cambria"/>
          <w:sz w:val="20"/>
          <w:szCs w:val="20"/>
          <w:lang w:val="es-AR"/>
        </w:rPr>
        <w:t xml:space="preserve"> varios testigos presenciales</w:t>
      </w:r>
      <w:r w:rsidR="007F140D">
        <w:rPr>
          <w:rFonts w:ascii="Cambria" w:hAnsi="Cambria"/>
          <w:sz w:val="20"/>
          <w:szCs w:val="20"/>
          <w:lang w:val="es-AR"/>
        </w:rPr>
        <w:t xml:space="preserve"> de los hechos quienes habrían identificado a los presuntos responsables como agentes del DAS.</w:t>
      </w:r>
    </w:p>
    <w:p w:rsidR="003A42BD" w:rsidRDefault="003C2337" w:rsidP="00D971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El peticionario</w:t>
      </w:r>
      <w:r w:rsidR="00D971D1">
        <w:rPr>
          <w:rFonts w:ascii="Cambria" w:hAnsi="Cambria"/>
          <w:sz w:val="20"/>
          <w:szCs w:val="20"/>
          <w:lang w:val="es-AR"/>
        </w:rPr>
        <w:t xml:space="preserve"> sostiene que las </w:t>
      </w:r>
      <w:r>
        <w:rPr>
          <w:rFonts w:ascii="Cambria" w:hAnsi="Cambria"/>
          <w:sz w:val="20"/>
          <w:szCs w:val="20"/>
          <w:lang w:val="es-AR"/>
        </w:rPr>
        <w:t xml:space="preserve">investigaciones </w:t>
      </w:r>
      <w:r w:rsidR="00D971D1" w:rsidRPr="00D971D1">
        <w:rPr>
          <w:rFonts w:ascii="Cambria" w:hAnsi="Cambria"/>
          <w:sz w:val="20"/>
          <w:szCs w:val="20"/>
          <w:lang w:val="es-AR"/>
        </w:rPr>
        <w:t xml:space="preserve">en </w:t>
      </w:r>
      <w:r w:rsidR="00D971D1">
        <w:rPr>
          <w:rFonts w:ascii="Cambria" w:hAnsi="Cambria"/>
          <w:sz w:val="20"/>
          <w:szCs w:val="20"/>
          <w:lang w:val="es-AR"/>
        </w:rPr>
        <w:t>lo</w:t>
      </w:r>
      <w:r w:rsidR="00D971D1" w:rsidRPr="00D971D1">
        <w:rPr>
          <w:rFonts w:ascii="Cambria" w:hAnsi="Cambria"/>
          <w:sz w:val="20"/>
          <w:szCs w:val="20"/>
          <w:lang w:val="es-AR"/>
        </w:rPr>
        <w:t xml:space="preserve"> penal, disciplinari</w:t>
      </w:r>
      <w:r w:rsidR="00D971D1">
        <w:rPr>
          <w:rFonts w:ascii="Cambria" w:hAnsi="Cambria"/>
          <w:sz w:val="20"/>
          <w:szCs w:val="20"/>
          <w:lang w:val="es-AR"/>
        </w:rPr>
        <w:t>o</w:t>
      </w:r>
      <w:r w:rsidR="00657099">
        <w:rPr>
          <w:rFonts w:ascii="Cambria" w:hAnsi="Cambria"/>
          <w:sz w:val="20"/>
          <w:szCs w:val="20"/>
          <w:lang w:val="es-AR"/>
        </w:rPr>
        <w:t xml:space="preserve"> y</w:t>
      </w:r>
      <w:r w:rsidR="00D971D1" w:rsidRPr="00D971D1">
        <w:rPr>
          <w:rFonts w:ascii="Cambria" w:hAnsi="Cambria"/>
          <w:sz w:val="20"/>
          <w:szCs w:val="20"/>
          <w:lang w:val="es-AR"/>
        </w:rPr>
        <w:t xml:space="preserve"> contencios</w:t>
      </w:r>
      <w:r w:rsidR="00D971D1">
        <w:rPr>
          <w:rFonts w:ascii="Cambria" w:hAnsi="Cambria"/>
          <w:sz w:val="20"/>
          <w:szCs w:val="20"/>
          <w:lang w:val="es-AR"/>
        </w:rPr>
        <w:t>o</w:t>
      </w:r>
      <w:r>
        <w:rPr>
          <w:rFonts w:ascii="Cambria" w:hAnsi="Cambria"/>
          <w:sz w:val="20"/>
          <w:szCs w:val="20"/>
          <w:lang w:val="es-AR"/>
        </w:rPr>
        <w:t xml:space="preserve"> administrativo</w:t>
      </w:r>
      <w:r w:rsidR="00D971D1">
        <w:rPr>
          <w:rFonts w:ascii="Cambria" w:hAnsi="Cambria"/>
          <w:sz w:val="20"/>
          <w:szCs w:val="20"/>
          <w:lang w:val="es-AR"/>
        </w:rPr>
        <w:t xml:space="preserve"> </w:t>
      </w:r>
      <w:r w:rsidR="004E2FAF">
        <w:rPr>
          <w:rFonts w:ascii="Cambria" w:hAnsi="Cambria"/>
          <w:sz w:val="20"/>
          <w:szCs w:val="20"/>
          <w:lang w:val="es-AR"/>
        </w:rPr>
        <w:t xml:space="preserve">no fueron llevadas a cabo con debida diligencia y culminaron </w:t>
      </w:r>
      <w:r>
        <w:rPr>
          <w:rFonts w:ascii="Cambria" w:hAnsi="Cambria"/>
          <w:sz w:val="20"/>
          <w:szCs w:val="20"/>
          <w:lang w:val="es-AR"/>
        </w:rPr>
        <w:t>con</w:t>
      </w:r>
      <w:r w:rsidR="006357D9">
        <w:rPr>
          <w:rFonts w:ascii="Cambria" w:hAnsi="Cambria"/>
          <w:sz w:val="20"/>
          <w:szCs w:val="20"/>
          <w:lang w:val="es-AR"/>
        </w:rPr>
        <w:t xml:space="preserve"> impunidad</w:t>
      </w:r>
      <w:r w:rsidR="00FB06CD">
        <w:rPr>
          <w:rFonts w:ascii="Cambria" w:hAnsi="Cambria"/>
          <w:sz w:val="20"/>
          <w:szCs w:val="20"/>
          <w:lang w:val="es-AR"/>
        </w:rPr>
        <w:t xml:space="preserve">. </w:t>
      </w:r>
      <w:r>
        <w:rPr>
          <w:rFonts w:ascii="Cambria" w:hAnsi="Cambria"/>
          <w:sz w:val="20"/>
          <w:szCs w:val="20"/>
          <w:lang w:val="es-AR"/>
        </w:rPr>
        <w:t>Por ello,</w:t>
      </w:r>
      <w:r w:rsidR="006819B0">
        <w:rPr>
          <w:rFonts w:ascii="Cambria" w:hAnsi="Cambria"/>
          <w:sz w:val="20"/>
          <w:szCs w:val="20"/>
          <w:lang w:val="es-AR"/>
        </w:rPr>
        <w:t xml:space="preserve"> invoca la excepción al agotamiento de los recursos internos conforme con el artículo 46.2.c de la Convención.</w:t>
      </w:r>
    </w:p>
    <w:p w:rsidR="002468D2" w:rsidRDefault="003A42BD" w:rsidP="002F40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Por su parte, el Estado </w:t>
      </w:r>
      <w:r w:rsidR="00C12FF5">
        <w:rPr>
          <w:rFonts w:ascii="Cambria" w:hAnsi="Cambria"/>
          <w:sz w:val="20"/>
          <w:szCs w:val="20"/>
          <w:lang w:val="es-AR"/>
        </w:rPr>
        <w:t>solicita se declare la inadmisibilidad de la petición</w:t>
      </w:r>
      <w:r w:rsidR="00430517">
        <w:rPr>
          <w:rFonts w:ascii="Cambria" w:hAnsi="Cambria"/>
          <w:sz w:val="20"/>
          <w:szCs w:val="20"/>
          <w:lang w:val="es-AR"/>
        </w:rPr>
        <w:t xml:space="preserve"> en virtud de </w:t>
      </w:r>
      <w:r w:rsidR="00AD3A22">
        <w:rPr>
          <w:rFonts w:ascii="Cambria" w:hAnsi="Cambria"/>
          <w:sz w:val="20"/>
          <w:szCs w:val="20"/>
          <w:lang w:val="es-AR"/>
        </w:rPr>
        <w:t xml:space="preserve">considerar que los hechos denunciados no caracterizan violaciones a los derechos consagrados en la Convención Americana </w:t>
      </w:r>
      <w:r w:rsidR="00C12FF5">
        <w:rPr>
          <w:rFonts w:ascii="Cambria" w:hAnsi="Cambria"/>
          <w:sz w:val="20"/>
          <w:szCs w:val="20"/>
          <w:lang w:val="es-AR"/>
        </w:rPr>
        <w:t>toda vez que los alegados carece</w:t>
      </w:r>
      <w:r w:rsidR="0088439C">
        <w:rPr>
          <w:rFonts w:ascii="Cambria" w:hAnsi="Cambria"/>
          <w:sz w:val="20"/>
          <w:szCs w:val="20"/>
          <w:lang w:val="es-AR"/>
        </w:rPr>
        <w:t>n</w:t>
      </w:r>
      <w:r w:rsidR="00C12FF5">
        <w:rPr>
          <w:rFonts w:ascii="Cambria" w:hAnsi="Cambria"/>
          <w:sz w:val="20"/>
          <w:szCs w:val="20"/>
          <w:lang w:val="es-AR"/>
        </w:rPr>
        <w:t xml:space="preserve"> de elementos probatorios que comprometan </w:t>
      </w:r>
      <w:r w:rsidR="00DD6F0B">
        <w:rPr>
          <w:rFonts w:ascii="Cambria" w:hAnsi="Cambria"/>
          <w:sz w:val="20"/>
          <w:szCs w:val="20"/>
          <w:lang w:val="es-AR"/>
        </w:rPr>
        <w:t xml:space="preserve">su </w:t>
      </w:r>
      <w:r w:rsidR="00C12FF5">
        <w:rPr>
          <w:rFonts w:ascii="Cambria" w:hAnsi="Cambria"/>
          <w:sz w:val="20"/>
          <w:szCs w:val="20"/>
          <w:lang w:val="es-AR"/>
        </w:rPr>
        <w:t xml:space="preserve">responsabilidad </w:t>
      </w:r>
      <w:r w:rsidR="0088439C">
        <w:rPr>
          <w:rFonts w:ascii="Cambria" w:hAnsi="Cambria"/>
          <w:sz w:val="20"/>
          <w:szCs w:val="20"/>
          <w:lang w:val="es-AR"/>
        </w:rPr>
        <w:t>internacional</w:t>
      </w:r>
      <w:r w:rsidR="00C12FF5">
        <w:rPr>
          <w:rFonts w:ascii="Cambria" w:hAnsi="Cambria"/>
          <w:sz w:val="20"/>
          <w:szCs w:val="20"/>
          <w:lang w:val="es-AR"/>
        </w:rPr>
        <w:t xml:space="preserve">. </w:t>
      </w:r>
      <w:r w:rsidR="0088439C">
        <w:rPr>
          <w:rFonts w:ascii="Cambria" w:hAnsi="Cambria"/>
          <w:sz w:val="20"/>
          <w:szCs w:val="20"/>
          <w:lang w:val="es-AR"/>
        </w:rPr>
        <w:t>Afirma el Estado, que todas las investigaciones fueron adelantadas d</w:t>
      </w:r>
      <w:r w:rsidR="003C7F8D">
        <w:rPr>
          <w:rFonts w:ascii="Cambria" w:hAnsi="Cambria"/>
          <w:sz w:val="20"/>
          <w:szCs w:val="20"/>
          <w:lang w:val="es-AR"/>
        </w:rPr>
        <w:t>entro de los estándares legales</w:t>
      </w:r>
      <w:r w:rsidR="00D1226B">
        <w:rPr>
          <w:rFonts w:ascii="Cambria" w:hAnsi="Cambria"/>
          <w:sz w:val="20"/>
          <w:szCs w:val="20"/>
          <w:lang w:val="es-AR"/>
        </w:rPr>
        <w:t xml:space="preserve"> concluyendo con el archivo de las investigaciones por falta de pruebas que involucren a agentes estatales por la muerte de la presunta víctima</w:t>
      </w:r>
      <w:r w:rsidR="003C7F8D">
        <w:rPr>
          <w:rFonts w:ascii="Cambria" w:hAnsi="Cambria"/>
          <w:sz w:val="20"/>
          <w:szCs w:val="20"/>
          <w:lang w:val="es-AR"/>
        </w:rPr>
        <w:t>. So</w:t>
      </w:r>
      <w:r w:rsidR="00A20E13">
        <w:rPr>
          <w:rFonts w:ascii="Cambria" w:hAnsi="Cambria"/>
          <w:sz w:val="20"/>
          <w:szCs w:val="20"/>
          <w:lang w:val="es-AR"/>
        </w:rPr>
        <w:t>stiene que en el proceso penal se practicaron pruebas documentales,</w:t>
      </w:r>
      <w:r w:rsidR="00847716">
        <w:rPr>
          <w:rFonts w:ascii="Cambria" w:hAnsi="Cambria"/>
          <w:sz w:val="20"/>
          <w:szCs w:val="20"/>
          <w:lang w:val="es-AR"/>
        </w:rPr>
        <w:t xml:space="preserve"> periciales y testimoniales que resultaron inconsistentes </w:t>
      </w:r>
      <w:r w:rsidR="00A20E13">
        <w:rPr>
          <w:rFonts w:ascii="Cambria" w:hAnsi="Cambria"/>
          <w:sz w:val="20"/>
          <w:szCs w:val="20"/>
          <w:lang w:val="es-AR"/>
        </w:rPr>
        <w:t xml:space="preserve">a fin de determinar los hechos y </w:t>
      </w:r>
      <w:r w:rsidR="0088439C">
        <w:rPr>
          <w:rFonts w:ascii="Cambria" w:hAnsi="Cambria"/>
          <w:sz w:val="20"/>
          <w:szCs w:val="20"/>
          <w:lang w:val="es-AR"/>
        </w:rPr>
        <w:t xml:space="preserve">determinar </w:t>
      </w:r>
      <w:r w:rsidR="00A20E13">
        <w:rPr>
          <w:rFonts w:ascii="Cambria" w:hAnsi="Cambria"/>
          <w:sz w:val="20"/>
          <w:szCs w:val="20"/>
          <w:lang w:val="es-AR"/>
        </w:rPr>
        <w:t>la propiedad de las placas del vehículo</w:t>
      </w:r>
      <w:r w:rsidR="0088439C">
        <w:rPr>
          <w:rFonts w:ascii="Cambria" w:hAnsi="Cambria"/>
          <w:sz w:val="20"/>
          <w:szCs w:val="20"/>
          <w:lang w:val="es-AR"/>
        </w:rPr>
        <w:t xml:space="preserve"> </w:t>
      </w:r>
      <w:r w:rsidR="00A20E13">
        <w:rPr>
          <w:rFonts w:ascii="Cambria" w:hAnsi="Cambria"/>
          <w:sz w:val="20"/>
          <w:szCs w:val="20"/>
          <w:lang w:val="es-AR"/>
        </w:rPr>
        <w:t>result</w:t>
      </w:r>
      <w:r w:rsidR="0088439C">
        <w:rPr>
          <w:rFonts w:ascii="Cambria" w:hAnsi="Cambria"/>
          <w:sz w:val="20"/>
          <w:szCs w:val="20"/>
          <w:lang w:val="es-AR"/>
        </w:rPr>
        <w:t xml:space="preserve">ando </w:t>
      </w:r>
      <w:r w:rsidR="00A20E13">
        <w:rPr>
          <w:rFonts w:ascii="Cambria" w:hAnsi="Cambria"/>
          <w:sz w:val="20"/>
          <w:szCs w:val="20"/>
          <w:lang w:val="es-AR"/>
        </w:rPr>
        <w:t>en el archivo de la investigación</w:t>
      </w:r>
      <w:r w:rsidR="0088439C">
        <w:rPr>
          <w:rFonts w:ascii="Cambria" w:hAnsi="Cambria"/>
          <w:sz w:val="20"/>
          <w:szCs w:val="20"/>
          <w:lang w:val="es-AR"/>
        </w:rPr>
        <w:t xml:space="preserve"> por falta de pruebas que involucre a agentes estatales</w:t>
      </w:r>
      <w:r w:rsidR="00A20E13">
        <w:rPr>
          <w:rFonts w:ascii="Cambria" w:hAnsi="Cambria"/>
          <w:sz w:val="20"/>
          <w:szCs w:val="20"/>
          <w:lang w:val="es-AR"/>
        </w:rPr>
        <w:t xml:space="preserve">. Respecto de la investigación disciplinaria se indica que la misma también fue archivada con base en que del material probatorio no se podía afirmar vinculación de ningún funcionario del Estado y que se habría determinado que el vehículo identificado en el lugar de los hechos no había sido asignado al DAS y que sus placas eran falsas. </w:t>
      </w:r>
    </w:p>
    <w:p w:rsidR="003A42BD" w:rsidRPr="002F4070" w:rsidRDefault="00A20E13" w:rsidP="002F40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Sobre la acción de reparación directa sostuvo que mediante sentencia del 30 de junio de 1999 </w:t>
      </w:r>
      <w:r w:rsidR="00430517">
        <w:rPr>
          <w:rFonts w:ascii="Cambria" w:hAnsi="Cambria"/>
          <w:sz w:val="20"/>
          <w:szCs w:val="20"/>
          <w:lang w:val="es-AR"/>
        </w:rPr>
        <w:t>la demanda fue denegada</w:t>
      </w:r>
      <w:r w:rsidR="003C7F8D">
        <w:rPr>
          <w:rFonts w:ascii="Cambria" w:hAnsi="Cambria"/>
          <w:sz w:val="20"/>
          <w:szCs w:val="20"/>
          <w:lang w:val="es-AR"/>
        </w:rPr>
        <w:t xml:space="preserve"> y confirmada en apelación el </w:t>
      </w:r>
      <w:r w:rsidR="003C7F8D" w:rsidRPr="003C7F8D">
        <w:rPr>
          <w:rFonts w:ascii="Cambria" w:hAnsi="Cambria"/>
          <w:sz w:val="20"/>
          <w:szCs w:val="20"/>
          <w:lang w:val="es-AR"/>
        </w:rPr>
        <w:t>25 de febrero de 2009</w:t>
      </w:r>
      <w:r w:rsidR="00430517">
        <w:rPr>
          <w:rFonts w:ascii="Cambria" w:hAnsi="Cambria"/>
          <w:sz w:val="20"/>
          <w:szCs w:val="20"/>
          <w:lang w:val="es-AR"/>
        </w:rPr>
        <w:t xml:space="preserve"> por considerar que no se encontraba acreditada la falla del servicio o cualquier tipo de responsabilidad objetiva por parte de Agentes </w:t>
      </w:r>
      <w:r w:rsidR="00430517">
        <w:rPr>
          <w:rFonts w:ascii="Cambria" w:hAnsi="Cambria"/>
          <w:sz w:val="20"/>
          <w:szCs w:val="20"/>
          <w:lang w:val="es-AR"/>
        </w:rPr>
        <w:lastRenderedPageBreak/>
        <w:t xml:space="preserve">del </w:t>
      </w:r>
      <w:r w:rsidR="00430517" w:rsidRPr="00430517">
        <w:rPr>
          <w:rFonts w:ascii="Cambria" w:hAnsi="Cambria"/>
          <w:sz w:val="20"/>
          <w:szCs w:val="20"/>
          <w:lang w:val="es-AR"/>
        </w:rPr>
        <w:t>D</w:t>
      </w:r>
      <w:r w:rsidR="00430517">
        <w:rPr>
          <w:rFonts w:ascii="Cambria" w:hAnsi="Cambria"/>
          <w:sz w:val="20"/>
          <w:szCs w:val="20"/>
          <w:lang w:val="es-AR"/>
        </w:rPr>
        <w:t>AS</w:t>
      </w:r>
      <w:r w:rsidR="00430517" w:rsidRPr="00430517">
        <w:rPr>
          <w:rFonts w:ascii="Cambria" w:hAnsi="Cambria"/>
          <w:sz w:val="20"/>
          <w:szCs w:val="20"/>
          <w:lang w:val="es-AR"/>
        </w:rPr>
        <w:t xml:space="preserve"> en los hechos aducidos en la demanda</w:t>
      </w:r>
      <w:r w:rsidR="00430517">
        <w:rPr>
          <w:rFonts w:ascii="Cambria" w:hAnsi="Cambria"/>
          <w:sz w:val="20"/>
          <w:szCs w:val="20"/>
          <w:lang w:val="es-AR"/>
        </w:rPr>
        <w:t>.</w:t>
      </w:r>
      <w:r w:rsidR="00430517" w:rsidRPr="00430517">
        <w:rPr>
          <w:rFonts w:ascii="Cambria" w:hAnsi="Cambria"/>
          <w:sz w:val="20"/>
          <w:szCs w:val="20"/>
          <w:lang w:val="es-AR"/>
        </w:rPr>
        <w:t xml:space="preserve"> </w:t>
      </w:r>
      <w:r w:rsidR="0088439C">
        <w:rPr>
          <w:rFonts w:ascii="Cambria" w:hAnsi="Cambria"/>
          <w:sz w:val="20"/>
          <w:szCs w:val="20"/>
          <w:lang w:val="es-AR"/>
        </w:rPr>
        <w:t xml:space="preserve">Particularmente, </w:t>
      </w:r>
      <w:r w:rsidR="003C7F8D">
        <w:rPr>
          <w:rFonts w:ascii="Cambria" w:hAnsi="Cambria"/>
          <w:sz w:val="20"/>
          <w:szCs w:val="20"/>
          <w:lang w:val="es-AR"/>
        </w:rPr>
        <w:t xml:space="preserve">afirma </w:t>
      </w:r>
      <w:r w:rsidR="0088439C">
        <w:rPr>
          <w:rFonts w:ascii="Cambria" w:hAnsi="Cambria"/>
          <w:sz w:val="20"/>
          <w:szCs w:val="20"/>
          <w:lang w:val="es-AR"/>
        </w:rPr>
        <w:t>el Estado que en ningún momento la parte peticionaria present</w:t>
      </w:r>
      <w:r w:rsidR="00DD6F0B">
        <w:rPr>
          <w:rFonts w:ascii="Cambria" w:hAnsi="Cambria"/>
          <w:sz w:val="20"/>
          <w:szCs w:val="20"/>
          <w:lang w:val="es-AR"/>
        </w:rPr>
        <w:t>ó</w:t>
      </w:r>
      <w:r w:rsidR="0088439C">
        <w:rPr>
          <w:rFonts w:ascii="Cambria" w:hAnsi="Cambria"/>
          <w:sz w:val="20"/>
          <w:szCs w:val="20"/>
          <w:lang w:val="es-AR"/>
        </w:rPr>
        <w:t xml:space="preserve"> documentos que identificaran con nombre y apellido a los presuntos autores estatales que se aduce se encontraban plenamente identificados mediante testimonios presenci</w:t>
      </w:r>
      <w:r w:rsidR="002F4070">
        <w:rPr>
          <w:rFonts w:ascii="Cambria" w:hAnsi="Cambria"/>
          <w:sz w:val="20"/>
          <w:szCs w:val="20"/>
          <w:lang w:val="es-AR"/>
        </w:rPr>
        <w:t xml:space="preserve">ales en el lugar de los hechos. </w:t>
      </w:r>
      <w:r w:rsidR="00430517" w:rsidRPr="002F4070">
        <w:rPr>
          <w:rFonts w:ascii="Cambria" w:hAnsi="Cambria"/>
          <w:sz w:val="20"/>
          <w:szCs w:val="20"/>
          <w:lang w:val="es-AR"/>
        </w:rPr>
        <w:t>En vista de lo</w:t>
      </w:r>
      <w:r w:rsidR="0088439C" w:rsidRPr="002F4070">
        <w:rPr>
          <w:rFonts w:ascii="Cambria" w:hAnsi="Cambria"/>
          <w:sz w:val="20"/>
          <w:szCs w:val="20"/>
          <w:lang w:val="es-AR"/>
        </w:rPr>
        <w:t>s</w:t>
      </w:r>
      <w:r w:rsidR="00430517" w:rsidRPr="002F4070">
        <w:rPr>
          <w:rFonts w:ascii="Cambria" w:hAnsi="Cambria"/>
          <w:sz w:val="20"/>
          <w:szCs w:val="20"/>
          <w:lang w:val="es-AR"/>
        </w:rPr>
        <w:t xml:space="preserve"> anterior</w:t>
      </w:r>
      <w:r w:rsidR="0088439C" w:rsidRPr="002F4070">
        <w:rPr>
          <w:rFonts w:ascii="Cambria" w:hAnsi="Cambria"/>
          <w:sz w:val="20"/>
          <w:szCs w:val="20"/>
          <w:lang w:val="es-AR"/>
        </w:rPr>
        <w:t>es argumentos</w:t>
      </w:r>
      <w:r w:rsidR="00430517" w:rsidRPr="002F4070">
        <w:rPr>
          <w:rFonts w:ascii="Cambria" w:hAnsi="Cambria"/>
          <w:sz w:val="20"/>
          <w:szCs w:val="20"/>
          <w:lang w:val="es-AR"/>
        </w:rPr>
        <w:t xml:space="preserve">, el Estado considera que la parte peticionaria pretende que la CIDH actúe como tribunal de alzada (cuarta instancia) </w:t>
      </w:r>
      <w:r w:rsidR="0088439C" w:rsidRPr="002F4070">
        <w:rPr>
          <w:rFonts w:ascii="Cambria" w:hAnsi="Cambria"/>
          <w:sz w:val="20"/>
          <w:szCs w:val="20"/>
          <w:lang w:val="es-AR"/>
        </w:rPr>
        <w:t>con el fin de cuestionar los fundamentos utilizados por la justicia ordinaria, la Procuraduría y por el Tribunal Administrativo</w:t>
      </w:r>
      <w:r w:rsidR="00430517" w:rsidRPr="002F4070">
        <w:rPr>
          <w:rFonts w:ascii="Cambria" w:hAnsi="Cambria"/>
          <w:sz w:val="20"/>
          <w:szCs w:val="20"/>
          <w:lang w:val="es-AR"/>
        </w:rPr>
        <w:t xml:space="preserve">. </w:t>
      </w:r>
      <w:r w:rsidR="00DD11B7">
        <w:rPr>
          <w:rFonts w:ascii="Cambria" w:hAnsi="Cambria"/>
          <w:sz w:val="20"/>
          <w:szCs w:val="20"/>
          <w:lang w:val="es-AR"/>
        </w:rPr>
        <w:t xml:space="preserve"> </w:t>
      </w:r>
    </w:p>
    <w:p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4F43F0" w:rsidRPr="000F02AF" w:rsidRDefault="00F86883" w:rsidP="000F02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parte peticionaria</w:t>
      </w:r>
      <w:r w:rsidR="004F43F0" w:rsidRPr="004F43F0">
        <w:rPr>
          <w:rFonts w:ascii="Cambria" w:hAnsi="Cambria"/>
          <w:sz w:val="20"/>
          <w:szCs w:val="20"/>
          <w:lang w:val="es-ES"/>
        </w:rPr>
        <w:t xml:space="preserve"> alega que los familiares acudieron a las instancias penales, disciplinarias y contencioso administrativa. Agregan que, </w:t>
      </w:r>
      <w:r w:rsidR="002F4070">
        <w:rPr>
          <w:rFonts w:ascii="Cambria" w:hAnsi="Cambria"/>
          <w:sz w:val="20"/>
          <w:szCs w:val="20"/>
          <w:lang w:val="es-ES"/>
        </w:rPr>
        <w:t xml:space="preserve">tanto en el </w:t>
      </w:r>
      <w:r w:rsidR="004F43F0" w:rsidRPr="004F43F0">
        <w:rPr>
          <w:rFonts w:ascii="Cambria" w:hAnsi="Cambria"/>
          <w:sz w:val="20"/>
          <w:szCs w:val="20"/>
          <w:lang w:val="es-ES"/>
        </w:rPr>
        <w:t>proceso penal</w:t>
      </w:r>
      <w:r w:rsidR="002F4070">
        <w:rPr>
          <w:rFonts w:ascii="Cambria" w:hAnsi="Cambria"/>
          <w:sz w:val="20"/>
          <w:szCs w:val="20"/>
          <w:lang w:val="es-ES"/>
        </w:rPr>
        <w:t xml:space="preserve"> como en las actuaciones realizadas por la Fiscalía y la </w:t>
      </w:r>
      <w:r w:rsidR="00600541">
        <w:rPr>
          <w:rFonts w:ascii="Cambria" w:hAnsi="Cambria"/>
          <w:sz w:val="20"/>
          <w:szCs w:val="20"/>
          <w:lang w:val="es-ES"/>
        </w:rPr>
        <w:t>P</w:t>
      </w:r>
      <w:r w:rsidR="002F4070">
        <w:rPr>
          <w:rFonts w:ascii="Cambria" w:hAnsi="Cambria"/>
          <w:sz w:val="20"/>
          <w:szCs w:val="20"/>
          <w:lang w:val="es-ES"/>
        </w:rPr>
        <w:t xml:space="preserve">rocuraduría </w:t>
      </w:r>
      <w:r w:rsidR="004F43F0" w:rsidRPr="004F43F0">
        <w:rPr>
          <w:rFonts w:ascii="Cambria" w:hAnsi="Cambria"/>
          <w:sz w:val="20"/>
          <w:szCs w:val="20"/>
          <w:lang w:val="es-ES"/>
        </w:rPr>
        <w:t xml:space="preserve">no </w:t>
      </w:r>
      <w:r w:rsidR="00917FDA">
        <w:rPr>
          <w:rFonts w:ascii="Cambria" w:hAnsi="Cambria"/>
          <w:sz w:val="20"/>
          <w:szCs w:val="20"/>
          <w:lang w:val="es-ES"/>
        </w:rPr>
        <w:t xml:space="preserve">se </w:t>
      </w:r>
      <w:r w:rsidR="004F43F0" w:rsidRPr="004F43F0">
        <w:rPr>
          <w:rFonts w:ascii="Cambria" w:hAnsi="Cambria"/>
          <w:sz w:val="20"/>
          <w:szCs w:val="20"/>
          <w:lang w:val="es-ES"/>
        </w:rPr>
        <w:t xml:space="preserve">investigó de forma adecuada los hechos, ni </w:t>
      </w:r>
      <w:r w:rsidR="002F4070">
        <w:rPr>
          <w:rFonts w:ascii="Cambria" w:hAnsi="Cambria"/>
          <w:sz w:val="20"/>
          <w:szCs w:val="20"/>
          <w:lang w:val="es-ES"/>
        </w:rPr>
        <w:t xml:space="preserve">se </w:t>
      </w:r>
      <w:r w:rsidR="004F43F0" w:rsidRPr="004F43F0">
        <w:rPr>
          <w:rFonts w:ascii="Cambria" w:hAnsi="Cambria"/>
          <w:sz w:val="20"/>
          <w:szCs w:val="20"/>
          <w:lang w:val="es-ES"/>
        </w:rPr>
        <w:t>sancionó a los responsables</w:t>
      </w:r>
      <w:r w:rsidR="004F43F0">
        <w:rPr>
          <w:rFonts w:ascii="Cambria" w:hAnsi="Cambria"/>
          <w:sz w:val="20"/>
          <w:szCs w:val="20"/>
          <w:lang w:val="es-ES"/>
        </w:rPr>
        <w:t xml:space="preserve">. </w:t>
      </w:r>
      <w:r w:rsidR="000F02AF">
        <w:rPr>
          <w:rFonts w:ascii="Cambria" w:hAnsi="Cambria"/>
          <w:sz w:val="20"/>
          <w:szCs w:val="20"/>
          <w:lang w:val="es-ES"/>
        </w:rPr>
        <w:t>En tal sentido, la parte peticionaria sostiene que tanto respecto al proceso penal como del proceso contencioso administrativo se aplica la excepción al agotamiento de los recursos internos contemplados en el artículo 46.2.c de la Convención Americana toda vez que a la fecha existe una denegación de justicia y consecuente falta de reparación integral.</w:t>
      </w:r>
    </w:p>
    <w:p w:rsidR="003239B8" w:rsidRDefault="002139C6" w:rsidP="004F43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Por su parte, el Estado </w:t>
      </w:r>
      <w:r w:rsidR="00996BDF">
        <w:rPr>
          <w:rFonts w:ascii="Cambria" w:hAnsi="Cambria"/>
          <w:sz w:val="20"/>
          <w:szCs w:val="20"/>
          <w:lang w:val="es-ES"/>
        </w:rPr>
        <w:t xml:space="preserve">indicó </w:t>
      </w:r>
      <w:r>
        <w:rPr>
          <w:rFonts w:ascii="Cambria" w:hAnsi="Cambria"/>
          <w:sz w:val="20"/>
          <w:szCs w:val="20"/>
          <w:lang w:val="es-ES"/>
        </w:rPr>
        <w:t xml:space="preserve">que </w:t>
      </w:r>
      <w:r w:rsidR="004F43F0" w:rsidRPr="004F43F0">
        <w:rPr>
          <w:rFonts w:ascii="Cambria" w:hAnsi="Cambria"/>
          <w:sz w:val="20"/>
          <w:szCs w:val="20"/>
          <w:lang w:val="es-ES"/>
        </w:rPr>
        <w:t>la acción de reparación directa es la idónea y efectiva para lograr una indemnización de los presuntos daños materiales e inmateriales sufridos por las víctimas como consecuencia del accionar o la omisión de agentes estatales. Agrega que la naturaleza de este tipo de recursos no está dirigida al restablecimiento del derecho a la justicia, sino que por el contrario su idoneidad y efectividad se circunscribe al derecho a la reparación, y a una contribución parcial a la búsqueda de la verdad, lo que conlleva a considerar la complementariedad de los recursos de derecho interno.</w:t>
      </w:r>
      <w:r w:rsidR="004F43F0" w:rsidRPr="004F43F0">
        <w:rPr>
          <w:lang w:val="es-AR"/>
        </w:rPr>
        <w:t xml:space="preserve"> </w:t>
      </w:r>
      <w:r w:rsidR="004F43F0" w:rsidRPr="004F43F0">
        <w:rPr>
          <w:rFonts w:ascii="Cambria" w:hAnsi="Cambria"/>
          <w:sz w:val="20"/>
          <w:szCs w:val="20"/>
          <w:lang w:val="es-ES"/>
        </w:rPr>
        <w:t>El Estado sostiene que si bien el recurso de la jurisdicción contencioso administrativa no es, en sí mismo, un recurso que repare integralmente las violaciones a derechos humanos, de manera complementaria con otros recursos sí puede concurrir a dicha reparación integral. Alega que en consecuencia, en un caso concreto, no debe evaluarse bajo el parámetro de si cumple con todos los estándares de reparación integral. Así, solicita que se declare inadmisible la petición, al menos en lo referente a las pretensiones de reparaciones por daños materiales e inmateriales, por haberse agotado el mencionado recurso ante la jurisdicción contencioso administrativa.</w:t>
      </w:r>
    </w:p>
    <w:p w:rsidR="00213DDF" w:rsidRDefault="00213DDF" w:rsidP="00213DD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9C6">
        <w:rPr>
          <w:rFonts w:ascii="Cambria" w:hAnsi="Cambria"/>
          <w:sz w:val="20"/>
          <w:szCs w:val="20"/>
          <w:lang w:val="es-ES"/>
        </w:rPr>
        <w:t>Los precedentes establecidos por la Comisión señalan que toda vez que se cometa un presunto delito perseguible de oficio, el Estado tiene la obligación de promover e impulsar el proceso penal y que, en esos casos, éste constituye la vía idónea para esclarecer los hechos, juzgar a los responsables y establecer las sanciones penales correspondientes, además de posibilitar otros modos de reparación de tipo pecuniario. Por lo tanto, y en vista de que los hechos alegados por los peticionarios constituyen delitos perseguibles de oficio, el proceso interno que debe ser agotado en el presente caso es la investigación en sede penal, la cual debe ser asumida e impulsada por el Estado</w:t>
      </w:r>
      <w:r>
        <w:rPr>
          <w:rFonts w:ascii="Cambria" w:hAnsi="Cambria"/>
          <w:sz w:val="20"/>
          <w:szCs w:val="20"/>
          <w:lang w:val="es-ES"/>
        </w:rPr>
        <w:t xml:space="preserve"> en forma diligente y efectiva</w:t>
      </w:r>
      <w:r w:rsidRPr="002139C6">
        <w:rPr>
          <w:rFonts w:ascii="Cambria" w:hAnsi="Cambria"/>
          <w:sz w:val="20"/>
          <w:szCs w:val="20"/>
          <w:lang w:val="es-ES"/>
        </w:rPr>
        <w:t>.</w:t>
      </w:r>
    </w:p>
    <w:p w:rsidR="002139C6" w:rsidRPr="00213DDF" w:rsidRDefault="002139C6" w:rsidP="000D58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DDF">
        <w:rPr>
          <w:rFonts w:ascii="Cambria" w:hAnsi="Cambria"/>
          <w:sz w:val="20"/>
          <w:szCs w:val="20"/>
          <w:lang w:val="es-ES"/>
        </w:rPr>
        <w:t>Así, la Comisión nota que, de acuerdo a la información proporcionada por las partes,</w:t>
      </w:r>
      <w:r w:rsidRPr="00213DDF">
        <w:rPr>
          <w:sz w:val="20"/>
          <w:szCs w:val="20"/>
          <w:lang w:val="es-AR"/>
        </w:rPr>
        <w:t xml:space="preserve"> los</w:t>
      </w:r>
      <w:r w:rsidRPr="00213DDF">
        <w:rPr>
          <w:lang w:val="es-AR"/>
        </w:rPr>
        <w:t xml:space="preserve"> </w:t>
      </w:r>
      <w:r w:rsidRPr="00213DDF">
        <w:rPr>
          <w:rFonts w:ascii="Cambria" w:hAnsi="Cambria"/>
          <w:sz w:val="20"/>
          <w:szCs w:val="20"/>
          <w:lang w:val="es-ES"/>
        </w:rPr>
        <w:t xml:space="preserve">hechos no habrían sido </w:t>
      </w:r>
      <w:r w:rsidR="002468D2">
        <w:rPr>
          <w:rFonts w:ascii="Cambria" w:hAnsi="Cambria"/>
          <w:sz w:val="20"/>
          <w:szCs w:val="20"/>
          <w:lang w:val="es-ES"/>
        </w:rPr>
        <w:t>investigados con debida diligenci</w:t>
      </w:r>
      <w:r w:rsidR="00326DC2">
        <w:rPr>
          <w:rFonts w:ascii="Cambria" w:hAnsi="Cambria"/>
          <w:sz w:val="20"/>
          <w:szCs w:val="20"/>
          <w:lang w:val="es-ES"/>
        </w:rPr>
        <w:t>a</w:t>
      </w:r>
      <w:r w:rsidR="00101C0E">
        <w:rPr>
          <w:rFonts w:ascii="Cambria" w:hAnsi="Cambria"/>
          <w:sz w:val="20"/>
          <w:szCs w:val="20"/>
          <w:lang w:val="es-ES"/>
        </w:rPr>
        <w:t xml:space="preserve"> y por lo tanto, no habrían sido </w:t>
      </w:r>
      <w:r w:rsidR="00376F1E">
        <w:rPr>
          <w:rFonts w:ascii="Cambria" w:hAnsi="Cambria"/>
          <w:sz w:val="20"/>
          <w:szCs w:val="20"/>
          <w:lang w:val="es-ES"/>
        </w:rPr>
        <w:t>esclarecidos</w:t>
      </w:r>
      <w:r w:rsidRPr="00213DDF">
        <w:rPr>
          <w:rFonts w:ascii="Cambria" w:hAnsi="Cambria"/>
          <w:sz w:val="20"/>
          <w:szCs w:val="20"/>
          <w:lang w:val="es-ES"/>
        </w:rPr>
        <w:t xml:space="preserve"> ni </w:t>
      </w:r>
      <w:r w:rsidR="00376F1E">
        <w:rPr>
          <w:rFonts w:ascii="Cambria" w:hAnsi="Cambria"/>
          <w:sz w:val="20"/>
          <w:szCs w:val="20"/>
          <w:lang w:val="es-ES"/>
        </w:rPr>
        <w:t xml:space="preserve">se habría </w:t>
      </w:r>
      <w:r w:rsidRPr="00213DDF">
        <w:rPr>
          <w:rFonts w:ascii="Cambria" w:hAnsi="Cambria"/>
          <w:sz w:val="20"/>
          <w:szCs w:val="20"/>
          <w:lang w:val="es-ES"/>
        </w:rPr>
        <w:t>determinad</w:t>
      </w:r>
      <w:r w:rsidR="00376F1E">
        <w:rPr>
          <w:rFonts w:ascii="Cambria" w:hAnsi="Cambria"/>
          <w:sz w:val="20"/>
          <w:szCs w:val="20"/>
          <w:lang w:val="es-ES"/>
        </w:rPr>
        <w:t>o</w:t>
      </w:r>
      <w:r w:rsidRPr="00213DDF">
        <w:rPr>
          <w:rFonts w:ascii="Cambria" w:hAnsi="Cambria"/>
          <w:sz w:val="20"/>
          <w:szCs w:val="20"/>
          <w:lang w:val="es-ES"/>
        </w:rPr>
        <w:t xml:space="preserve"> la responsabilidad penal de los autores</w:t>
      </w:r>
      <w:r w:rsidR="00A52273">
        <w:rPr>
          <w:rFonts w:ascii="Cambria" w:hAnsi="Cambria"/>
          <w:sz w:val="20"/>
          <w:szCs w:val="20"/>
          <w:lang w:val="es-ES"/>
        </w:rPr>
        <w:t xml:space="preserve">. </w:t>
      </w:r>
      <w:r w:rsidR="00326DC2">
        <w:rPr>
          <w:rFonts w:ascii="Cambria" w:hAnsi="Cambria"/>
          <w:sz w:val="20"/>
          <w:szCs w:val="20"/>
          <w:lang w:val="es-ES"/>
        </w:rPr>
        <w:t>L</w:t>
      </w:r>
      <w:r w:rsidRPr="00213DDF">
        <w:rPr>
          <w:rFonts w:ascii="Cambria" w:hAnsi="Cambria"/>
          <w:sz w:val="20"/>
          <w:szCs w:val="20"/>
          <w:lang w:val="es-ES"/>
        </w:rPr>
        <w:t xml:space="preserve">a Comisión considera que procede la excepción </w:t>
      </w:r>
      <w:r w:rsidR="00213DDF" w:rsidRPr="00213DDF">
        <w:rPr>
          <w:rFonts w:ascii="Cambria" w:hAnsi="Cambria"/>
          <w:sz w:val="20"/>
          <w:szCs w:val="20"/>
          <w:lang w:val="es-ES"/>
        </w:rPr>
        <w:t>al agotamiento de los recurso</w:t>
      </w:r>
      <w:r w:rsidR="00996BDF">
        <w:rPr>
          <w:rFonts w:ascii="Cambria" w:hAnsi="Cambria"/>
          <w:sz w:val="20"/>
          <w:szCs w:val="20"/>
          <w:lang w:val="es-ES"/>
        </w:rPr>
        <w:t>s</w:t>
      </w:r>
      <w:r w:rsidR="00213DDF" w:rsidRPr="00213DDF">
        <w:rPr>
          <w:rFonts w:ascii="Cambria" w:hAnsi="Cambria"/>
          <w:sz w:val="20"/>
          <w:szCs w:val="20"/>
          <w:lang w:val="es-ES"/>
        </w:rPr>
        <w:t xml:space="preserve"> internos contemplados en el </w:t>
      </w:r>
      <w:r w:rsidR="00996BDF" w:rsidRPr="00213DDF">
        <w:rPr>
          <w:rFonts w:ascii="Cambria" w:hAnsi="Cambria"/>
          <w:sz w:val="20"/>
          <w:szCs w:val="20"/>
          <w:lang w:val="es-ES"/>
        </w:rPr>
        <w:t>Artículo</w:t>
      </w:r>
      <w:r w:rsidR="00213DDF" w:rsidRPr="00213DDF">
        <w:rPr>
          <w:rFonts w:ascii="Cambria" w:hAnsi="Cambria"/>
          <w:sz w:val="20"/>
          <w:szCs w:val="20"/>
          <w:lang w:val="es-ES"/>
        </w:rPr>
        <w:t xml:space="preserve"> 46</w:t>
      </w:r>
      <w:r w:rsidR="00A52273">
        <w:rPr>
          <w:rFonts w:ascii="Cambria" w:hAnsi="Cambria"/>
          <w:sz w:val="20"/>
          <w:szCs w:val="20"/>
          <w:lang w:val="es-ES"/>
        </w:rPr>
        <w:t>(</w:t>
      </w:r>
      <w:r w:rsidR="00213DDF" w:rsidRPr="00213DDF">
        <w:rPr>
          <w:rFonts w:ascii="Cambria" w:hAnsi="Cambria"/>
          <w:sz w:val="20"/>
          <w:szCs w:val="20"/>
          <w:lang w:val="es-ES"/>
        </w:rPr>
        <w:t>2</w:t>
      </w:r>
      <w:r w:rsidR="00A52273">
        <w:rPr>
          <w:rFonts w:ascii="Cambria" w:hAnsi="Cambria"/>
          <w:sz w:val="20"/>
          <w:szCs w:val="20"/>
          <w:lang w:val="es-ES"/>
        </w:rPr>
        <w:t>)</w:t>
      </w:r>
      <w:r w:rsidR="00213DDF" w:rsidRPr="00213DDF">
        <w:rPr>
          <w:rFonts w:ascii="Cambria" w:hAnsi="Cambria"/>
          <w:sz w:val="20"/>
          <w:szCs w:val="20"/>
          <w:lang w:val="es-ES"/>
        </w:rPr>
        <w:t xml:space="preserve"> de la Convención Americana. </w:t>
      </w:r>
      <w:r w:rsidR="000D58FB" w:rsidRPr="00213DDF">
        <w:rPr>
          <w:rFonts w:ascii="Cambria" w:hAnsi="Cambria"/>
          <w:sz w:val="20"/>
          <w:szCs w:val="20"/>
          <w:lang w:val="es-ES"/>
        </w:rPr>
        <w:t xml:space="preserve">La invocación de las excepciones a la regla de agotamiento de los recursos internos previstas en el artículo 46(2) de la Convención se encuentra estrechamente ligada a la determinación de posibles violaciones a ciertos derechos en ella consagrados, tales como las garantías de acceso a la justicia. Sin embargo el artículo 46(2), por su naturaleza y objeto, es una norma con contenido autónomo vis à vis las normas sustantivas de la Convención.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Cabe aclarar que las causas y los efectos que impidieron el agotamiento de los recursos internos serán analizados en el informe que adopte la Comisión sobre el fondo de la controversia, a fin de constatar si configuran violaciones a la Convención Americana </w:t>
      </w:r>
      <w:r w:rsidRPr="00213DDF">
        <w:rPr>
          <w:rFonts w:ascii="Cambria" w:hAnsi="Cambria"/>
          <w:sz w:val="20"/>
          <w:szCs w:val="20"/>
          <w:lang w:val="es-ES"/>
        </w:rPr>
        <w:t xml:space="preserve">A la luz de lo señalado, la Comisión concluye que en el presente caso aplican las excepciones al agotamiento de los recursos internos previstas </w:t>
      </w:r>
      <w:r w:rsidR="00213DDF">
        <w:rPr>
          <w:rFonts w:ascii="Cambria" w:hAnsi="Cambria"/>
          <w:sz w:val="20"/>
          <w:szCs w:val="20"/>
          <w:lang w:val="es-ES"/>
        </w:rPr>
        <w:t>en el artículo 46.2. literales b</w:t>
      </w:r>
      <w:r w:rsidRPr="00213DDF">
        <w:rPr>
          <w:rFonts w:ascii="Cambria" w:hAnsi="Cambria"/>
          <w:sz w:val="20"/>
          <w:szCs w:val="20"/>
          <w:lang w:val="es-ES"/>
        </w:rPr>
        <w:t xml:space="preserve"> y c de la Convención Americana.</w:t>
      </w:r>
    </w:p>
    <w:p w:rsidR="000D58FB" w:rsidRPr="003239B8" w:rsidRDefault="000D58FB" w:rsidP="00FB22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D58FB">
        <w:rPr>
          <w:rFonts w:ascii="Cambria" w:hAnsi="Cambria"/>
          <w:sz w:val="20"/>
          <w:szCs w:val="20"/>
          <w:lang w:val="es-ES"/>
        </w:rPr>
        <w:lastRenderedPageBreak/>
        <w:t>En el presente caso, l</w:t>
      </w:r>
      <w:r w:rsidR="00326DC2">
        <w:rPr>
          <w:rFonts w:ascii="Cambria" w:hAnsi="Cambria"/>
          <w:sz w:val="20"/>
          <w:szCs w:val="20"/>
          <w:lang w:val="es-ES"/>
        </w:rPr>
        <w:t>a parte</w:t>
      </w:r>
      <w:r w:rsidRPr="000D58FB">
        <w:rPr>
          <w:rFonts w:ascii="Cambria" w:hAnsi="Cambria"/>
          <w:sz w:val="20"/>
          <w:szCs w:val="20"/>
          <w:lang w:val="es-ES"/>
        </w:rPr>
        <w:t xml:space="preserve"> peticionario ha presentado alegatos sobre denegación de justicia</w:t>
      </w:r>
      <w:r>
        <w:rPr>
          <w:rFonts w:ascii="Cambria" w:hAnsi="Cambria"/>
          <w:sz w:val="20"/>
          <w:szCs w:val="20"/>
          <w:lang w:val="es-ES"/>
        </w:rPr>
        <w:t xml:space="preserve"> dado que a </w:t>
      </w:r>
      <w:r w:rsidR="00FB22A3">
        <w:rPr>
          <w:rFonts w:ascii="Cambria" w:hAnsi="Cambria"/>
          <w:sz w:val="20"/>
          <w:szCs w:val="20"/>
          <w:lang w:val="es-ES"/>
        </w:rPr>
        <w:t xml:space="preserve">más de 29 </w:t>
      </w:r>
      <w:r w:rsidRPr="000D58FB">
        <w:rPr>
          <w:rFonts w:ascii="Cambria" w:hAnsi="Cambria"/>
          <w:sz w:val="20"/>
          <w:szCs w:val="20"/>
          <w:lang w:val="es-ES"/>
        </w:rPr>
        <w:t xml:space="preserve">años después de ocurridos los hechos </w:t>
      </w:r>
      <w:r w:rsidR="00FB22A3">
        <w:rPr>
          <w:rFonts w:ascii="Cambria" w:hAnsi="Cambria"/>
          <w:sz w:val="20"/>
          <w:szCs w:val="20"/>
          <w:lang w:val="es-ES"/>
        </w:rPr>
        <w:t xml:space="preserve">aún no se ha develado la verdad ni se ha dado con los responsables quedando la muerte de la presunta víctima </w:t>
      </w:r>
      <w:r>
        <w:rPr>
          <w:rFonts w:ascii="Cambria" w:hAnsi="Cambria"/>
          <w:sz w:val="20"/>
          <w:szCs w:val="20"/>
          <w:lang w:val="es-ES"/>
        </w:rPr>
        <w:t>en la impunidad</w:t>
      </w:r>
      <w:r w:rsidRPr="000D58FB">
        <w:rPr>
          <w:rFonts w:ascii="Cambria" w:hAnsi="Cambria"/>
          <w:sz w:val="20"/>
          <w:szCs w:val="20"/>
          <w:lang w:val="es-ES"/>
        </w:rPr>
        <w:t>.  Por lo tanto, en vista del contexto y las características del presente caso, la Comisión considera que la petición fue presentada dentro de un plazo razonable y que deben darse por satisfechas las disposiciones del artículo 32 del Reglamento de la Comisión en cuanto al requisito de admisibilidad referente al plazo de presentación.</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0D58FB" w:rsidRPr="00A92A8A" w:rsidRDefault="00C7444E" w:rsidP="00FB22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F</w:t>
      </w:r>
      <w:r w:rsidR="000D58FB" w:rsidRPr="00A92A8A">
        <w:rPr>
          <w:rFonts w:ascii="Cambria" w:hAnsi="Cambria"/>
          <w:sz w:val="20"/>
          <w:szCs w:val="20"/>
          <w:lang w:val="es-ES"/>
        </w:rPr>
        <w:t>rente a los elementos de hecho y de derecho presentadas por las partes y la naturaleza del asunto puesto bajo su conocimiento, la CIDH encuentra que en el presente caso los alegatos de los peticionarios relativos a la presunta violación de los derechos a la vida,</w:t>
      </w:r>
      <w:r w:rsidR="00FB22A3" w:rsidRPr="00A92A8A">
        <w:rPr>
          <w:rFonts w:ascii="Cambria" w:hAnsi="Cambria"/>
          <w:sz w:val="20"/>
          <w:szCs w:val="20"/>
          <w:lang w:val="es-ES"/>
        </w:rPr>
        <w:t xml:space="preserve"> integridad personal, </w:t>
      </w:r>
      <w:r w:rsidR="000D58FB" w:rsidRPr="00A92A8A">
        <w:rPr>
          <w:rFonts w:ascii="Cambria" w:hAnsi="Cambria"/>
          <w:sz w:val="20"/>
          <w:szCs w:val="20"/>
          <w:lang w:val="es-ES"/>
        </w:rPr>
        <w:t>las garantías judiciales y la protección judicial, podrían caracterizar violaciones a los derechos protegidos en</w:t>
      </w:r>
      <w:r w:rsidR="00FB22A3" w:rsidRPr="00A92A8A">
        <w:rPr>
          <w:rFonts w:ascii="Cambria" w:hAnsi="Cambria"/>
          <w:sz w:val="20"/>
          <w:szCs w:val="20"/>
          <w:lang w:val="es-ES"/>
        </w:rPr>
        <w:t xml:space="preserve"> los artículos 4, 5, 8 </w:t>
      </w:r>
      <w:r w:rsidR="000D58FB" w:rsidRPr="00A92A8A">
        <w:rPr>
          <w:rFonts w:ascii="Cambria" w:hAnsi="Cambria"/>
          <w:sz w:val="20"/>
          <w:szCs w:val="20"/>
          <w:lang w:val="es-ES"/>
        </w:rPr>
        <w:t>y 25</w:t>
      </w:r>
      <w:r w:rsidR="00B15234" w:rsidRPr="00A92A8A">
        <w:rPr>
          <w:rFonts w:ascii="Cambria" w:hAnsi="Cambria"/>
          <w:sz w:val="20"/>
          <w:szCs w:val="20"/>
          <w:lang w:val="es-ES"/>
        </w:rPr>
        <w:t>,</w:t>
      </w:r>
      <w:r w:rsidR="00B15234" w:rsidRPr="00A92A8A">
        <w:rPr>
          <w:lang w:val="es-AR"/>
        </w:rPr>
        <w:t xml:space="preserve"> </w:t>
      </w:r>
      <w:r w:rsidR="00B15234" w:rsidRPr="00A92A8A">
        <w:rPr>
          <w:rFonts w:ascii="Cambria" w:hAnsi="Cambria"/>
          <w:sz w:val="20"/>
          <w:szCs w:val="20"/>
          <w:lang w:val="es-ES"/>
        </w:rPr>
        <w:t>así como derechos de la niñez, atendi</w:t>
      </w:r>
      <w:r w:rsidR="00A92A8A" w:rsidRPr="00A92A8A">
        <w:rPr>
          <w:rFonts w:ascii="Cambria" w:hAnsi="Cambria"/>
          <w:sz w:val="20"/>
          <w:szCs w:val="20"/>
          <w:lang w:val="es-ES"/>
        </w:rPr>
        <w:t>en</w:t>
      </w:r>
      <w:r w:rsidR="00B15234" w:rsidRPr="00A92A8A">
        <w:rPr>
          <w:rFonts w:ascii="Cambria" w:hAnsi="Cambria"/>
          <w:sz w:val="20"/>
          <w:szCs w:val="20"/>
          <w:lang w:val="es-ES"/>
        </w:rPr>
        <w:t xml:space="preserve">do </w:t>
      </w:r>
      <w:r w:rsidR="00A92A8A" w:rsidRPr="00A92A8A">
        <w:rPr>
          <w:rFonts w:ascii="Cambria" w:hAnsi="Cambria"/>
          <w:sz w:val="20"/>
          <w:szCs w:val="20"/>
          <w:lang w:val="es-ES"/>
        </w:rPr>
        <w:t xml:space="preserve">a </w:t>
      </w:r>
      <w:r w:rsidR="00B15234" w:rsidRPr="00A92A8A">
        <w:rPr>
          <w:rFonts w:ascii="Cambria" w:hAnsi="Cambria"/>
          <w:sz w:val="20"/>
          <w:szCs w:val="20"/>
          <w:lang w:val="es-ES"/>
        </w:rPr>
        <w:t>que la presunta víctima, en la époc</w:t>
      </w:r>
      <w:r w:rsidR="00EF4AE0" w:rsidRPr="00A92A8A">
        <w:rPr>
          <w:rFonts w:ascii="Cambria" w:hAnsi="Cambria"/>
          <w:sz w:val="20"/>
          <w:szCs w:val="20"/>
          <w:lang w:val="es-ES"/>
        </w:rPr>
        <w:t>a de los hechos habría tenido 14</w:t>
      </w:r>
      <w:r w:rsidR="00B15234" w:rsidRPr="00A92A8A">
        <w:rPr>
          <w:rFonts w:ascii="Cambria" w:hAnsi="Cambria"/>
          <w:sz w:val="20"/>
          <w:szCs w:val="20"/>
          <w:lang w:val="es-ES"/>
        </w:rPr>
        <w:t xml:space="preserve"> años de edad (artículo 19 de la Convención)</w:t>
      </w:r>
      <w:r w:rsidR="000D58FB" w:rsidRPr="00A92A8A">
        <w:rPr>
          <w:rFonts w:ascii="Cambria" w:hAnsi="Cambria"/>
          <w:sz w:val="20"/>
          <w:szCs w:val="20"/>
          <w:lang w:val="es-ES"/>
        </w:rPr>
        <w:t xml:space="preserve"> </w:t>
      </w:r>
      <w:r w:rsidR="00B15234" w:rsidRPr="00A92A8A">
        <w:rPr>
          <w:rFonts w:ascii="Cambria" w:hAnsi="Cambria"/>
          <w:sz w:val="20"/>
          <w:szCs w:val="20"/>
          <w:lang w:val="es-ES"/>
        </w:rPr>
        <w:t xml:space="preserve">todos estos </w:t>
      </w:r>
      <w:r w:rsidR="000D58FB" w:rsidRPr="00A92A8A">
        <w:rPr>
          <w:rFonts w:ascii="Cambria" w:hAnsi="Cambria"/>
          <w:sz w:val="20"/>
          <w:szCs w:val="20"/>
          <w:lang w:val="es-ES"/>
        </w:rPr>
        <w:t xml:space="preserve">en concordancia con el artículo 1(1) de la Convención Americana.  </w:t>
      </w:r>
    </w:p>
    <w:p w:rsidR="00ED5356" w:rsidRPr="00326DC2" w:rsidRDefault="00ED5356" w:rsidP="00A92A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92A8A">
        <w:rPr>
          <w:rFonts w:ascii="Cambria" w:hAnsi="Cambria" w:cs="Cambria"/>
          <w:sz w:val="20"/>
          <w:szCs w:val="20"/>
          <w:lang w:val="es-AR" w:eastAsia="es-ES"/>
        </w:rPr>
        <w:t xml:space="preserve">En relación con el reclamo sobre la presunta violación </w:t>
      </w:r>
      <w:r w:rsidR="00A92A8A">
        <w:rPr>
          <w:rFonts w:ascii="Cambria" w:hAnsi="Cambria" w:cs="Cambria"/>
          <w:sz w:val="20"/>
          <w:szCs w:val="20"/>
          <w:lang w:val="es-AR" w:eastAsia="es-ES"/>
        </w:rPr>
        <w:t xml:space="preserve">de los </w:t>
      </w:r>
      <w:r w:rsidR="00A92A8A" w:rsidRPr="00A92A8A">
        <w:rPr>
          <w:rFonts w:ascii="Cambria" w:hAnsi="Cambria" w:cs="Cambria"/>
          <w:sz w:val="20"/>
          <w:szCs w:val="20"/>
          <w:lang w:val="es-AR" w:eastAsia="es-ES"/>
        </w:rPr>
        <w:t>Artículos I (vida y seguridad e integridad personal), XVIII (justicia) de la Declaración Americana</w:t>
      </w:r>
      <w:r w:rsidRPr="00A92A8A">
        <w:rPr>
          <w:rFonts w:ascii="Cambria" w:hAnsi="Cambria" w:cs="Cambria"/>
          <w:sz w:val="20"/>
          <w:szCs w:val="20"/>
          <w:lang w:val="es-AR" w:eastAsia="es-ES"/>
        </w:rPr>
        <w:t>, la Comisión reitera que una vez que la Convención</w:t>
      </w:r>
      <w:r w:rsidRPr="00A92A8A">
        <w:rPr>
          <w:rFonts w:ascii="Cambria" w:hAnsi="Cambria"/>
          <w:sz w:val="20"/>
          <w:szCs w:val="20"/>
          <w:lang w:val="es-ES"/>
        </w:rPr>
        <w:t xml:space="preserve"> </w:t>
      </w:r>
      <w:r w:rsidRPr="00A92A8A">
        <w:rPr>
          <w:rFonts w:ascii="Cambria" w:hAnsi="Cambria" w:cs="Cambria"/>
          <w:sz w:val="20"/>
          <w:szCs w:val="20"/>
          <w:lang w:val="es-AR" w:eastAsia="es-ES"/>
        </w:rPr>
        <w:t>Americana entra en vigor en relación con un Estado, ésta y no la Declaración pasa a ser la fuente primaria de</w:t>
      </w:r>
      <w:r w:rsidRPr="00A92A8A">
        <w:rPr>
          <w:rFonts w:ascii="Cambria" w:hAnsi="Cambria"/>
          <w:sz w:val="20"/>
          <w:szCs w:val="20"/>
          <w:lang w:val="es-ES"/>
        </w:rPr>
        <w:t xml:space="preserve"> </w:t>
      </w:r>
      <w:r w:rsidRPr="00A92A8A">
        <w:rPr>
          <w:rFonts w:ascii="Cambria" w:hAnsi="Cambria" w:cs="Cambria"/>
          <w:sz w:val="20"/>
          <w:szCs w:val="20"/>
          <w:lang w:val="es-AR" w:eastAsia="es-ES"/>
        </w:rPr>
        <w:t>derecho aplicable por la Comisión, siempre que en la petición se aleguen violaciones de derechos</w:t>
      </w:r>
      <w:r w:rsidRPr="00A92A8A">
        <w:rPr>
          <w:rFonts w:ascii="Cambria" w:hAnsi="Cambria"/>
          <w:sz w:val="20"/>
          <w:szCs w:val="20"/>
          <w:lang w:val="es-ES"/>
        </w:rPr>
        <w:t xml:space="preserve"> </w:t>
      </w:r>
      <w:r w:rsidRPr="00A92A8A">
        <w:rPr>
          <w:rFonts w:ascii="Cambria" w:hAnsi="Cambria" w:cs="Cambria"/>
          <w:sz w:val="20"/>
          <w:szCs w:val="20"/>
          <w:lang w:val="es-AR" w:eastAsia="es-ES"/>
        </w:rPr>
        <w:t>sustancialmente idénticos consagrados en los dos instrumentos.</w:t>
      </w:r>
    </w:p>
    <w:p w:rsidR="00B93E42" w:rsidRPr="00A92A8A" w:rsidRDefault="00B93E42" w:rsidP="00A92A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cs="Cambria"/>
          <w:sz w:val="20"/>
          <w:szCs w:val="20"/>
          <w:lang w:val="es-AR" w:eastAsia="es-ES"/>
        </w:rPr>
        <w:t xml:space="preserve">En cuanto a la alegada vulneración al artículo 11 (honra y de la dignidad) de la Convención Americana, la Comisión observa que </w:t>
      </w:r>
      <w:r w:rsidR="00101831">
        <w:rPr>
          <w:rFonts w:ascii="Cambria" w:hAnsi="Cambria" w:cs="Cambria"/>
          <w:sz w:val="20"/>
          <w:szCs w:val="20"/>
          <w:lang w:val="es-AR" w:eastAsia="es-ES"/>
        </w:rPr>
        <w:t>el peticionario no ha</w:t>
      </w:r>
      <w:r>
        <w:rPr>
          <w:rFonts w:ascii="Cambria" w:hAnsi="Cambria" w:cs="Cambria"/>
          <w:sz w:val="20"/>
          <w:szCs w:val="20"/>
          <w:lang w:val="es-AR" w:eastAsia="es-ES"/>
        </w:rPr>
        <w:t xml:space="preserve"> ofrecido alegatos o sustento suficiente que permita considerar </w:t>
      </w:r>
      <w:r w:rsidRPr="00326DC2">
        <w:rPr>
          <w:rFonts w:ascii="Cambria" w:hAnsi="Cambria" w:cs="Cambria"/>
          <w:i/>
          <w:sz w:val="20"/>
          <w:szCs w:val="20"/>
          <w:lang w:val="es-AR" w:eastAsia="es-ES"/>
        </w:rPr>
        <w:t>prima facie</w:t>
      </w:r>
      <w:r>
        <w:rPr>
          <w:rFonts w:ascii="Cambria" w:hAnsi="Cambria" w:cs="Cambria"/>
          <w:sz w:val="20"/>
          <w:szCs w:val="20"/>
          <w:lang w:val="es-AR" w:eastAsia="es-ES"/>
        </w:rPr>
        <w:t xml:space="preserve"> su posible violación. </w:t>
      </w:r>
    </w:p>
    <w:p w:rsidR="00A92A8A" w:rsidRPr="00A92A8A" w:rsidRDefault="00A92A8A" w:rsidP="00A92A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92A8A">
        <w:rPr>
          <w:rFonts w:ascii="Cambria" w:hAnsi="Cambria"/>
          <w:sz w:val="20"/>
          <w:szCs w:val="20"/>
          <w:lang w:val="es-ES"/>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0419AD" w:rsidRPr="00326DC2"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8A44C2" w:rsidRPr="008A44C2">
        <w:rPr>
          <w:lang w:val="es-AR"/>
        </w:rPr>
        <w:t xml:space="preserve"> </w:t>
      </w:r>
      <w:r w:rsidR="008A44C2" w:rsidRPr="008A44C2">
        <w:rPr>
          <w:rFonts w:asciiTheme="majorHAnsi" w:hAnsiTheme="majorHAnsi"/>
          <w:sz w:val="20"/>
          <w:szCs w:val="20"/>
          <w:lang w:val="es-ES"/>
        </w:rPr>
        <w:t>los artículos 4, 5, 8</w:t>
      </w:r>
      <w:r w:rsidR="00A92A8A">
        <w:rPr>
          <w:rFonts w:asciiTheme="majorHAnsi" w:hAnsiTheme="majorHAnsi"/>
          <w:sz w:val="20"/>
          <w:szCs w:val="20"/>
          <w:lang w:val="es-ES"/>
        </w:rPr>
        <w:t xml:space="preserve">, </w:t>
      </w:r>
      <w:r w:rsidR="008A44C2" w:rsidRPr="008A44C2">
        <w:rPr>
          <w:rFonts w:asciiTheme="majorHAnsi" w:hAnsiTheme="majorHAnsi"/>
          <w:sz w:val="20"/>
          <w:szCs w:val="20"/>
          <w:lang w:val="es-ES"/>
        </w:rPr>
        <w:t xml:space="preserve">19 y 25 de la Convención Americana en conexión con las obligaciones establecidas en </w:t>
      </w:r>
      <w:r w:rsidR="000F02AF">
        <w:rPr>
          <w:rFonts w:asciiTheme="majorHAnsi" w:hAnsiTheme="majorHAnsi"/>
          <w:sz w:val="20"/>
          <w:szCs w:val="20"/>
          <w:lang w:val="es-ES"/>
        </w:rPr>
        <w:t>el</w:t>
      </w:r>
      <w:r w:rsidR="008A44C2" w:rsidRPr="008A44C2">
        <w:rPr>
          <w:rFonts w:asciiTheme="majorHAnsi" w:hAnsiTheme="majorHAnsi"/>
          <w:sz w:val="20"/>
          <w:szCs w:val="20"/>
          <w:lang w:val="es-ES"/>
        </w:rPr>
        <w:t xml:space="preserve"> artículo</w:t>
      </w:r>
      <w:r w:rsidR="00A92A8A">
        <w:rPr>
          <w:rFonts w:asciiTheme="majorHAnsi" w:hAnsiTheme="majorHAnsi"/>
          <w:sz w:val="20"/>
          <w:szCs w:val="20"/>
          <w:lang w:val="es-ES"/>
        </w:rPr>
        <w:t xml:space="preserve"> 1.1 del mismo instrumento</w:t>
      </w:r>
      <w:r w:rsidR="00B15234" w:rsidRPr="00B15234">
        <w:rPr>
          <w:rFonts w:asciiTheme="majorHAnsi" w:hAnsiTheme="majorHAnsi"/>
          <w:sz w:val="20"/>
          <w:szCs w:val="20"/>
          <w:lang w:val="es-ES"/>
        </w:rPr>
        <w:t>.</w:t>
      </w:r>
    </w:p>
    <w:p w:rsidR="00D1226B" w:rsidRPr="00B15234" w:rsidRDefault="00D1226B"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Declarar inadmisible la presente petición en relación con el artículo 11 de la Convención Americana.</w:t>
      </w:r>
    </w:p>
    <w:p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6719A4" w:rsidRPr="002B7B81" w:rsidRDefault="006719A4" w:rsidP="006719A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cs="Arial"/>
          <w:noProof/>
          <w:spacing w:val="-2"/>
          <w:sz w:val="20"/>
          <w:szCs w:val="20"/>
          <w:lang w:val="es-CL"/>
        </w:rPr>
        <w:t>1</w:t>
      </w:r>
      <w:r w:rsidR="00202FB6">
        <w:rPr>
          <w:rFonts w:ascii="Cambria" w:hAnsi="Cambria"/>
          <w:sz w:val="20"/>
          <w:szCs w:val="20"/>
          <w:lang w:val="es-ES"/>
        </w:rPr>
        <w:t>3</w:t>
      </w:r>
      <w:r w:rsidRPr="002B7B81">
        <w:rPr>
          <w:rFonts w:ascii="Cambria" w:hAnsi="Cambria"/>
          <w:sz w:val="20"/>
          <w:szCs w:val="20"/>
          <w:lang w:val="es-ES"/>
        </w:rPr>
        <w:t xml:space="preserve"> días del mes de </w:t>
      </w:r>
      <w:r w:rsidR="00202FB6">
        <w:rPr>
          <w:rFonts w:ascii="Cambria" w:hAnsi="Cambria"/>
          <w:sz w:val="20"/>
          <w:szCs w:val="20"/>
          <w:lang w:val="es-ES"/>
        </w:rPr>
        <w:t>abril</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Troitiño,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y </w:t>
      </w:r>
      <w:proofErr w:type="spellStart"/>
      <w:r w:rsidRPr="002B7B81">
        <w:rPr>
          <w:rFonts w:ascii="Cambria" w:hAnsi="Cambria"/>
          <w:sz w:val="20"/>
          <w:szCs w:val="20"/>
          <w:lang w:val="es-ES"/>
        </w:rPr>
        <w:t>Flávia</w:t>
      </w:r>
      <w:proofErr w:type="spellEnd"/>
      <w:r w:rsidRPr="002B7B81">
        <w:rPr>
          <w:rFonts w:ascii="Cambria" w:hAnsi="Cambria"/>
          <w:sz w:val="20"/>
          <w:szCs w:val="20"/>
          <w:lang w:val="es-ES"/>
        </w:rPr>
        <w:t xml:space="preserve"> </w:t>
      </w:r>
      <w:proofErr w:type="spellStart"/>
      <w:r w:rsidRPr="002B7B81">
        <w:rPr>
          <w:rFonts w:ascii="Cambria" w:hAnsi="Cambria"/>
          <w:sz w:val="20"/>
          <w:szCs w:val="20"/>
          <w:lang w:val="es-ES"/>
        </w:rPr>
        <w:t>Piovesan</w:t>
      </w:r>
      <w:proofErr w:type="spellEnd"/>
      <w:r w:rsidRPr="002B7B81">
        <w:rPr>
          <w:rFonts w:ascii="Cambria" w:hAnsi="Cambria"/>
          <w:sz w:val="20"/>
          <w:szCs w:val="20"/>
          <w:lang w:val="es-ES"/>
        </w:rPr>
        <w:t>, Miembros de la Comisión.</w:t>
      </w:r>
    </w:p>
    <w:p w:rsidR="006719A4" w:rsidRDefault="006719A4" w:rsidP="006719A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6719A4" w:rsidRDefault="006719A4" w:rsidP="006719A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p>
    <w:p w:rsidR="00601906" w:rsidRPr="006719A4" w:rsidRDefault="006719A4" w:rsidP="00B677F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Pr>
          <w:rFonts w:ascii="Cambria" w:hAnsi="Cambria"/>
          <w:sz w:val="20"/>
          <w:szCs w:val="20"/>
          <w:lang w:val="es-ES"/>
        </w:rPr>
        <w:tab/>
      </w:r>
    </w:p>
    <w:sectPr w:rsidR="00601906" w:rsidRPr="006719A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154" w:rsidRDefault="00891154">
      <w:r>
        <w:separator/>
      </w:r>
    </w:p>
  </w:endnote>
  <w:endnote w:type="continuationSeparator" w:id="0">
    <w:p w:rsidR="00891154" w:rsidRDefault="0089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17" w:rsidRDefault="00AB4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B4017">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154" w:rsidRPr="000F35ED" w:rsidRDefault="0089115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91154" w:rsidRPr="000F35ED" w:rsidRDefault="00891154" w:rsidP="000F35ED">
      <w:pPr>
        <w:rPr>
          <w:rFonts w:asciiTheme="majorHAnsi" w:hAnsiTheme="majorHAnsi"/>
          <w:sz w:val="16"/>
          <w:szCs w:val="16"/>
        </w:rPr>
      </w:pPr>
      <w:r w:rsidRPr="000F35ED">
        <w:rPr>
          <w:rFonts w:asciiTheme="majorHAnsi" w:hAnsiTheme="majorHAnsi"/>
          <w:sz w:val="16"/>
          <w:szCs w:val="16"/>
        </w:rPr>
        <w:separator/>
      </w:r>
    </w:p>
    <w:p w:rsidR="00891154" w:rsidRPr="000F35ED" w:rsidRDefault="0089115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891154" w:rsidRPr="000F35ED" w:rsidRDefault="0089115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5965EE" w:rsidRPr="00341769" w:rsidRDefault="005965EE" w:rsidP="00341769">
      <w:pPr>
        <w:pStyle w:val="FootnoteText"/>
        <w:ind w:firstLine="720"/>
        <w:jc w:val="both"/>
        <w:rPr>
          <w:rFonts w:ascii="Cambria" w:hAnsi="Cambria"/>
          <w:sz w:val="16"/>
          <w:szCs w:val="16"/>
          <w:lang w:val="es-AR"/>
        </w:rPr>
      </w:pPr>
      <w:r w:rsidRPr="00341769">
        <w:rPr>
          <w:rStyle w:val="FootnoteReference"/>
          <w:rFonts w:ascii="Cambria" w:hAnsi="Cambria"/>
          <w:sz w:val="16"/>
          <w:szCs w:val="16"/>
        </w:rPr>
        <w:footnoteRef/>
      </w:r>
      <w:r w:rsidRPr="00341769">
        <w:rPr>
          <w:rFonts w:ascii="Cambria" w:hAnsi="Cambria"/>
          <w:sz w:val="16"/>
          <w:szCs w:val="16"/>
          <w:lang w:val="es-AR"/>
        </w:rPr>
        <w:t xml:space="preserve"> </w:t>
      </w:r>
      <w:r w:rsidR="00C60E54">
        <w:rPr>
          <w:rFonts w:ascii="Cambria" w:hAnsi="Cambria"/>
          <w:sz w:val="16"/>
          <w:szCs w:val="16"/>
          <w:lang w:val="es-AR"/>
        </w:rPr>
        <w:t xml:space="preserve">El peticionario identifica como familiares a: </w:t>
      </w:r>
      <w:r w:rsidRPr="00341769">
        <w:rPr>
          <w:rFonts w:ascii="Cambria" w:hAnsi="Cambria"/>
          <w:sz w:val="16"/>
          <w:szCs w:val="16"/>
          <w:lang w:val="es-AR"/>
        </w:rPr>
        <w:t>Mar</w:t>
      </w:r>
      <w:r w:rsidR="00C60E54">
        <w:rPr>
          <w:rFonts w:ascii="Cambria" w:hAnsi="Cambria"/>
          <w:sz w:val="16"/>
          <w:szCs w:val="16"/>
          <w:lang w:val="es-AR"/>
        </w:rPr>
        <w:t>í</w:t>
      </w:r>
      <w:r w:rsidRPr="00341769">
        <w:rPr>
          <w:rFonts w:ascii="Cambria" w:hAnsi="Cambria"/>
          <w:sz w:val="16"/>
          <w:szCs w:val="16"/>
          <w:lang w:val="es-AR"/>
        </w:rPr>
        <w:t>a del Socorro Restrepo Vel</w:t>
      </w:r>
      <w:r w:rsidR="00C60E54">
        <w:rPr>
          <w:rFonts w:ascii="Cambria" w:hAnsi="Cambria"/>
          <w:sz w:val="16"/>
          <w:szCs w:val="16"/>
          <w:lang w:val="es-AR"/>
        </w:rPr>
        <w:t>ás</w:t>
      </w:r>
      <w:r w:rsidRPr="00341769">
        <w:rPr>
          <w:rFonts w:ascii="Cambria" w:hAnsi="Cambria"/>
          <w:sz w:val="16"/>
          <w:szCs w:val="16"/>
          <w:lang w:val="es-AR"/>
        </w:rPr>
        <w:t xml:space="preserve">quez (madre), </w:t>
      </w:r>
      <w:proofErr w:type="spellStart"/>
      <w:r w:rsidRPr="00341769">
        <w:rPr>
          <w:rFonts w:ascii="Cambria" w:hAnsi="Cambria"/>
          <w:sz w:val="16"/>
          <w:szCs w:val="16"/>
          <w:lang w:val="es-AR"/>
        </w:rPr>
        <w:t>Denir</w:t>
      </w:r>
      <w:proofErr w:type="spellEnd"/>
      <w:r w:rsidRPr="00341769">
        <w:rPr>
          <w:rFonts w:ascii="Cambria" w:hAnsi="Cambria"/>
          <w:sz w:val="16"/>
          <w:szCs w:val="16"/>
          <w:lang w:val="es-AR"/>
        </w:rPr>
        <w:t xml:space="preserve"> </w:t>
      </w:r>
      <w:proofErr w:type="spellStart"/>
      <w:r w:rsidRPr="00341769">
        <w:rPr>
          <w:rFonts w:ascii="Cambria" w:hAnsi="Cambria"/>
          <w:sz w:val="16"/>
          <w:szCs w:val="16"/>
          <w:lang w:val="es-AR"/>
        </w:rPr>
        <w:t>Arlecy</w:t>
      </w:r>
      <w:proofErr w:type="spellEnd"/>
      <w:r w:rsidRPr="00341769">
        <w:rPr>
          <w:rFonts w:ascii="Cambria" w:hAnsi="Cambria"/>
          <w:sz w:val="16"/>
          <w:szCs w:val="16"/>
          <w:lang w:val="es-AR"/>
        </w:rPr>
        <w:t xml:space="preserve"> Bustamante Restrepo (hermano) y </w:t>
      </w:r>
      <w:proofErr w:type="spellStart"/>
      <w:r w:rsidRPr="00341769">
        <w:rPr>
          <w:rFonts w:ascii="Cambria" w:hAnsi="Cambria"/>
          <w:sz w:val="16"/>
          <w:szCs w:val="16"/>
          <w:lang w:val="es-AR"/>
        </w:rPr>
        <w:t>Fainory</w:t>
      </w:r>
      <w:proofErr w:type="spellEnd"/>
      <w:r w:rsidRPr="00341769">
        <w:rPr>
          <w:rFonts w:ascii="Cambria" w:hAnsi="Cambria"/>
          <w:sz w:val="16"/>
          <w:szCs w:val="16"/>
          <w:lang w:val="es-AR"/>
        </w:rPr>
        <w:t xml:space="preserve"> Calle Restrepo (hermano)</w:t>
      </w:r>
      <w:r w:rsidR="00C60E54">
        <w:rPr>
          <w:rFonts w:ascii="Cambria" w:hAnsi="Cambria"/>
          <w:sz w:val="16"/>
          <w:szCs w:val="16"/>
          <w:lang w:val="es-AR"/>
        </w:rPr>
        <w:t>.</w:t>
      </w:r>
    </w:p>
  </w:footnote>
  <w:footnote w:id="3">
    <w:p w:rsidR="004A6A54" w:rsidRPr="00341769" w:rsidRDefault="004A6A54" w:rsidP="00341769">
      <w:pPr>
        <w:pStyle w:val="FootnoteText"/>
        <w:ind w:firstLine="720"/>
        <w:jc w:val="both"/>
        <w:rPr>
          <w:rFonts w:ascii="Cambria" w:hAnsi="Cambria"/>
          <w:sz w:val="16"/>
          <w:szCs w:val="16"/>
          <w:lang w:val="es-ES"/>
        </w:rPr>
      </w:pPr>
      <w:r w:rsidRPr="00341769">
        <w:rPr>
          <w:rStyle w:val="FootnoteReference"/>
          <w:rFonts w:ascii="Cambria" w:hAnsi="Cambria"/>
        </w:rPr>
        <w:footnoteRef/>
      </w:r>
      <w:r w:rsidRPr="00341769">
        <w:rPr>
          <w:rFonts w:ascii="Cambria" w:hAnsi="Cambria"/>
          <w:lang w:val="es-ES"/>
        </w:rPr>
        <w:t xml:space="preserve"> </w:t>
      </w:r>
      <w:r w:rsidRPr="00341769">
        <w:rPr>
          <w:rFonts w:ascii="Cambria" w:hAnsi="Cambria"/>
          <w:sz w:val="16"/>
          <w:szCs w:val="16"/>
          <w:lang w:val="es-ES"/>
        </w:rPr>
        <w:t xml:space="preserve">Conforme a lo dispuesto en el artículo 17.2.a del Reglamento de la Comisión, el Comisionado </w:t>
      </w:r>
      <w:r w:rsidR="000E59E5" w:rsidRPr="00341769">
        <w:rPr>
          <w:rFonts w:ascii="Cambria" w:hAnsi="Cambria"/>
          <w:sz w:val="16"/>
          <w:szCs w:val="16"/>
          <w:lang w:val="es-ES"/>
        </w:rPr>
        <w:t>Luis Ernesto Vargas Silva</w:t>
      </w:r>
      <w:r w:rsidRPr="00341769">
        <w:rPr>
          <w:rFonts w:ascii="Cambria" w:hAnsi="Cambria"/>
          <w:sz w:val="16"/>
          <w:szCs w:val="16"/>
          <w:lang w:val="es-ES"/>
        </w:rPr>
        <w:t xml:space="preserve">, de nacionalidad </w:t>
      </w:r>
      <w:r w:rsidR="000E59E5" w:rsidRPr="00341769">
        <w:rPr>
          <w:rFonts w:ascii="Cambria" w:hAnsi="Cambria"/>
          <w:sz w:val="16"/>
          <w:szCs w:val="16"/>
          <w:lang w:val="es-ES"/>
        </w:rPr>
        <w:t>colombiana</w:t>
      </w:r>
      <w:r w:rsidRPr="00341769">
        <w:rPr>
          <w:rFonts w:ascii="Cambria" w:hAnsi="Cambria"/>
          <w:sz w:val="16"/>
          <w:szCs w:val="16"/>
          <w:lang w:val="es-ES"/>
        </w:rPr>
        <w:t>, no participó en el debate ni en la decisión del presente asunto.</w:t>
      </w:r>
    </w:p>
  </w:footnote>
  <w:footnote w:id="4">
    <w:p w:rsidR="005965EE" w:rsidRPr="00341769" w:rsidRDefault="005965EE" w:rsidP="00341769">
      <w:pPr>
        <w:pStyle w:val="FootnoteText"/>
        <w:ind w:firstLine="720"/>
        <w:jc w:val="both"/>
        <w:rPr>
          <w:rFonts w:ascii="Cambria" w:hAnsi="Cambria"/>
          <w:sz w:val="16"/>
          <w:szCs w:val="16"/>
          <w:lang w:val="es-AR"/>
        </w:rPr>
      </w:pPr>
      <w:r w:rsidRPr="00341769">
        <w:rPr>
          <w:rStyle w:val="FootnoteReference"/>
          <w:rFonts w:ascii="Cambria" w:hAnsi="Cambria"/>
          <w:sz w:val="16"/>
          <w:szCs w:val="16"/>
        </w:rPr>
        <w:footnoteRef/>
      </w:r>
      <w:r w:rsidRPr="00341769">
        <w:rPr>
          <w:rFonts w:ascii="Cambria" w:hAnsi="Cambria"/>
          <w:sz w:val="16"/>
          <w:szCs w:val="16"/>
          <w:lang w:val="es-AR"/>
        </w:rPr>
        <w:t xml:space="preserve"> </w:t>
      </w:r>
      <w:r w:rsidR="000E59E5" w:rsidRPr="00341769">
        <w:rPr>
          <w:rFonts w:ascii="Cambria" w:hAnsi="Cambria"/>
          <w:sz w:val="16"/>
          <w:szCs w:val="16"/>
          <w:lang w:val="es-AR"/>
        </w:rPr>
        <w:t>En adelante “Convención”, “Convención Americana” o “CADH”.</w:t>
      </w:r>
    </w:p>
  </w:footnote>
  <w:footnote w:id="5">
    <w:p w:rsidR="005965EE" w:rsidRPr="00341769" w:rsidRDefault="005965EE" w:rsidP="00341769">
      <w:pPr>
        <w:pStyle w:val="FootnoteText"/>
        <w:ind w:firstLine="720"/>
        <w:jc w:val="both"/>
        <w:rPr>
          <w:rFonts w:ascii="Cambria" w:hAnsi="Cambria"/>
          <w:lang w:val="es-AR"/>
        </w:rPr>
      </w:pPr>
      <w:r w:rsidRPr="00341769">
        <w:rPr>
          <w:rStyle w:val="FootnoteReference"/>
          <w:rFonts w:ascii="Cambria" w:hAnsi="Cambria"/>
          <w:sz w:val="16"/>
          <w:szCs w:val="16"/>
        </w:rPr>
        <w:footnoteRef/>
      </w:r>
      <w:r w:rsidRPr="00341769">
        <w:rPr>
          <w:rFonts w:ascii="Cambria" w:hAnsi="Cambria"/>
          <w:sz w:val="16"/>
          <w:szCs w:val="16"/>
          <w:lang w:val="es-AR"/>
        </w:rPr>
        <w:t xml:space="preserve"> </w:t>
      </w:r>
      <w:r w:rsidR="00341769" w:rsidRPr="00341769">
        <w:rPr>
          <w:rFonts w:ascii="Cambria" w:hAnsi="Cambria"/>
          <w:sz w:val="16"/>
          <w:szCs w:val="16"/>
          <w:lang w:val="es-AR"/>
        </w:rPr>
        <w:t>En adelante “Declaración Americana” o “Declaración”.</w:t>
      </w:r>
    </w:p>
  </w:footnote>
  <w:footnote w:id="6">
    <w:p w:rsidR="008E3BFE" w:rsidRPr="00537490" w:rsidRDefault="008E3BFE" w:rsidP="00341769">
      <w:pPr>
        <w:pStyle w:val="FootnoteText"/>
        <w:spacing w:after="120"/>
        <w:ind w:firstLine="720"/>
        <w:jc w:val="both"/>
        <w:rPr>
          <w:rFonts w:ascii="Cambria" w:hAnsi="Cambria"/>
          <w:sz w:val="16"/>
          <w:szCs w:val="16"/>
          <w:lang w:val="es-ES"/>
        </w:rPr>
      </w:pPr>
      <w:r w:rsidRPr="00341769">
        <w:rPr>
          <w:rStyle w:val="FootnoteReference"/>
          <w:rFonts w:ascii="Cambria" w:hAnsi="Cambria"/>
          <w:sz w:val="16"/>
          <w:szCs w:val="16"/>
        </w:rPr>
        <w:footnoteRef/>
      </w:r>
      <w:r w:rsidRPr="00341769">
        <w:rPr>
          <w:rFonts w:ascii="Cambria" w:hAnsi="Cambria"/>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89115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17" w:rsidRDefault="00AB40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20355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F296F3B"/>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2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6E1F"/>
    <w:rsid w:val="000070D7"/>
    <w:rsid w:val="0001788C"/>
    <w:rsid w:val="000337EF"/>
    <w:rsid w:val="00040C3A"/>
    <w:rsid w:val="000419AD"/>
    <w:rsid w:val="000433C9"/>
    <w:rsid w:val="000503E7"/>
    <w:rsid w:val="000716C5"/>
    <w:rsid w:val="00075E23"/>
    <w:rsid w:val="0008583A"/>
    <w:rsid w:val="0009344A"/>
    <w:rsid w:val="00096ABF"/>
    <w:rsid w:val="000A392E"/>
    <w:rsid w:val="000A575F"/>
    <w:rsid w:val="000D05CB"/>
    <w:rsid w:val="000D10DB"/>
    <w:rsid w:val="000D58FB"/>
    <w:rsid w:val="000D739F"/>
    <w:rsid w:val="000E59E5"/>
    <w:rsid w:val="000E5EB5"/>
    <w:rsid w:val="000F02AF"/>
    <w:rsid w:val="000F35ED"/>
    <w:rsid w:val="00101831"/>
    <w:rsid w:val="00101C0E"/>
    <w:rsid w:val="00107131"/>
    <w:rsid w:val="0010736F"/>
    <w:rsid w:val="00113F73"/>
    <w:rsid w:val="00121CC2"/>
    <w:rsid w:val="0013233E"/>
    <w:rsid w:val="00133EE5"/>
    <w:rsid w:val="00167A34"/>
    <w:rsid w:val="00197815"/>
    <w:rsid w:val="001A7870"/>
    <w:rsid w:val="001B3A00"/>
    <w:rsid w:val="001C1B41"/>
    <w:rsid w:val="001D65EF"/>
    <w:rsid w:val="001E49E7"/>
    <w:rsid w:val="001E7927"/>
    <w:rsid w:val="001F7201"/>
    <w:rsid w:val="00202FB6"/>
    <w:rsid w:val="002139C6"/>
    <w:rsid w:val="00213DDF"/>
    <w:rsid w:val="00223A29"/>
    <w:rsid w:val="002250A3"/>
    <w:rsid w:val="00235217"/>
    <w:rsid w:val="0024295F"/>
    <w:rsid w:val="002468D2"/>
    <w:rsid w:val="00246D1F"/>
    <w:rsid w:val="00247403"/>
    <w:rsid w:val="00247542"/>
    <w:rsid w:val="00266B61"/>
    <w:rsid w:val="0026712A"/>
    <w:rsid w:val="002704DB"/>
    <w:rsid w:val="00282C55"/>
    <w:rsid w:val="002957D7"/>
    <w:rsid w:val="002A0AAE"/>
    <w:rsid w:val="002A5820"/>
    <w:rsid w:val="002D2B26"/>
    <w:rsid w:val="002D3410"/>
    <w:rsid w:val="002D4FC9"/>
    <w:rsid w:val="002D7EA2"/>
    <w:rsid w:val="002E187C"/>
    <w:rsid w:val="002F4070"/>
    <w:rsid w:val="00302733"/>
    <w:rsid w:val="00314078"/>
    <w:rsid w:val="0031535D"/>
    <w:rsid w:val="003239B8"/>
    <w:rsid w:val="00326DC2"/>
    <w:rsid w:val="0033169F"/>
    <w:rsid w:val="00341769"/>
    <w:rsid w:val="00344977"/>
    <w:rsid w:val="00346C95"/>
    <w:rsid w:val="003542B0"/>
    <w:rsid w:val="00356185"/>
    <w:rsid w:val="00360380"/>
    <w:rsid w:val="0037519E"/>
    <w:rsid w:val="00376F1E"/>
    <w:rsid w:val="00383A52"/>
    <w:rsid w:val="00386CF0"/>
    <w:rsid w:val="003A4216"/>
    <w:rsid w:val="003A42BD"/>
    <w:rsid w:val="003B70FB"/>
    <w:rsid w:val="003C2337"/>
    <w:rsid w:val="003C676B"/>
    <w:rsid w:val="003C7F8D"/>
    <w:rsid w:val="003D3BC2"/>
    <w:rsid w:val="003E3390"/>
    <w:rsid w:val="003E6CA1"/>
    <w:rsid w:val="003F2415"/>
    <w:rsid w:val="004065A8"/>
    <w:rsid w:val="004165C2"/>
    <w:rsid w:val="00430517"/>
    <w:rsid w:val="00441ECB"/>
    <w:rsid w:val="00445193"/>
    <w:rsid w:val="00462C1B"/>
    <w:rsid w:val="00467207"/>
    <w:rsid w:val="00467B7E"/>
    <w:rsid w:val="00473BB4"/>
    <w:rsid w:val="00477592"/>
    <w:rsid w:val="00486F1C"/>
    <w:rsid w:val="0049419D"/>
    <w:rsid w:val="004A6A54"/>
    <w:rsid w:val="004C20D2"/>
    <w:rsid w:val="004C2312"/>
    <w:rsid w:val="004C4B62"/>
    <w:rsid w:val="004C54C9"/>
    <w:rsid w:val="004D3824"/>
    <w:rsid w:val="004D4ABA"/>
    <w:rsid w:val="004D6025"/>
    <w:rsid w:val="004E2649"/>
    <w:rsid w:val="004E2FAF"/>
    <w:rsid w:val="004F43F0"/>
    <w:rsid w:val="004F4D8F"/>
    <w:rsid w:val="004F626F"/>
    <w:rsid w:val="00501399"/>
    <w:rsid w:val="0050633D"/>
    <w:rsid w:val="00507BC4"/>
    <w:rsid w:val="005128E4"/>
    <w:rsid w:val="005133DB"/>
    <w:rsid w:val="00524254"/>
    <w:rsid w:val="00525560"/>
    <w:rsid w:val="00531770"/>
    <w:rsid w:val="00537B24"/>
    <w:rsid w:val="00544C49"/>
    <w:rsid w:val="005516A1"/>
    <w:rsid w:val="00563557"/>
    <w:rsid w:val="0057402A"/>
    <w:rsid w:val="005771D0"/>
    <w:rsid w:val="0059191A"/>
    <w:rsid w:val="005921FF"/>
    <w:rsid w:val="005965EE"/>
    <w:rsid w:val="005A24ED"/>
    <w:rsid w:val="005A6D0E"/>
    <w:rsid w:val="005B52B0"/>
    <w:rsid w:val="005B6806"/>
    <w:rsid w:val="005C4225"/>
    <w:rsid w:val="005F0DAD"/>
    <w:rsid w:val="005F0F33"/>
    <w:rsid w:val="00600541"/>
    <w:rsid w:val="00600DEB"/>
    <w:rsid w:val="00601906"/>
    <w:rsid w:val="00627C9F"/>
    <w:rsid w:val="006311E9"/>
    <w:rsid w:val="00632354"/>
    <w:rsid w:val="006357D9"/>
    <w:rsid w:val="00642810"/>
    <w:rsid w:val="0065168A"/>
    <w:rsid w:val="00652333"/>
    <w:rsid w:val="00656F13"/>
    <w:rsid w:val="00657099"/>
    <w:rsid w:val="006714AD"/>
    <w:rsid w:val="006719A4"/>
    <w:rsid w:val="0068009E"/>
    <w:rsid w:val="006819B0"/>
    <w:rsid w:val="0068664F"/>
    <w:rsid w:val="00686BF6"/>
    <w:rsid w:val="00692219"/>
    <w:rsid w:val="006A17D2"/>
    <w:rsid w:val="006A73E6"/>
    <w:rsid w:val="006B2D5C"/>
    <w:rsid w:val="006C4EB1"/>
    <w:rsid w:val="006D51B4"/>
    <w:rsid w:val="006E0166"/>
    <w:rsid w:val="006E2FFB"/>
    <w:rsid w:val="006E7B34"/>
    <w:rsid w:val="0070697F"/>
    <w:rsid w:val="0072199C"/>
    <w:rsid w:val="00722C9F"/>
    <w:rsid w:val="007253B8"/>
    <w:rsid w:val="0073741F"/>
    <w:rsid w:val="0076643F"/>
    <w:rsid w:val="00777F63"/>
    <w:rsid w:val="00792BEE"/>
    <w:rsid w:val="007A5817"/>
    <w:rsid w:val="007B05C4"/>
    <w:rsid w:val="007B3ACF"/>
    <w:rsid w:val="007B60E9"/>
    <w:rsid w:val="007B6CC3"/>
    <w:rsid w:val="007B76D3"/>
    <w:rsid w:val="007C3334"/>
    <w:rsid w:val="007D1975"/>
    <w:rsid w:val="007D2B98"/>
    <w:rsid w:val="007E21BC"/>
    <w:rsid w:val="007E7C82"/>
    <w:rsid w:val="007F140D"/>
    <w:rsid w:val="007F588D"/>
    <w:rsid w:val="00803F1C"/>
    <w:rsid w:val="0080600E"/>
    <w:rsid w:val="00817612"/>
    <w:rsid w:val="00821117"/>
    <w:rsid w:val="008338A4"/>
    <w:rsid w:val="00834D49"/>
    <w:rsid w:val="00837C45"/>
    <w:rsid w:val="00844730"/>
    <w:rsid w:val="008457C2"/>
    <w:rsid w:val="00847716"/>
    <w:rsid w:val="00857A82"/>
    <w:rsid w:val="00873836"/>
    <w:rsid w:val="0088439C"/>
    <w:rsid w:val="00885737"/>
    <w:rsid w:val="00890650"/>
    <w:rsid w:val="00891154"/>
    <w:rsid w:val="00897E12"/>
    <w:rsid w:val="008A1BC2"/>
    <w:rsid w:val="008A44C2"/>
    <w:rsid w:val="008A7E0F"/>
    <w:rsid w:val="008B12F5"/>
    <w:rsid w:val="008B5782"/>
    <w:rsid w:val="008C1A5C"/>
    <w:rsid w:val="008D768D"/>
    <w:rsid w:val="008E3759"/>
    <w:rsid w:val="008E3BFE"/>
    <w:rsid w:val="008F1912"/>
    <w:rsid w:val="0090270B"/>
    <w:rsid w:val="009041DC"/>
    <w:rsid w:val="00917B5A"/>
    <w:rsid w:val="00917FDA"/>
    <w:rsid w:val="00920A58"/>
    <w:rsid w:val="00920A8C"/>
    <w:rsid w:val="00934A2C"/>
    <w:rsid w:val="00963B9C"/>
    <w:rsid w:val="0096706E"/>
    <w:rsid w:val="00974491"/>
    <w:rsid w:val="00975C4E"/>
    <w:rsid w:val="00981FBA"/>
    <w:rsid w:val="00985FDE"/>
    <w:rsid w:val="00996BDF"/>
    <w:rsid w:val="00997BC5"/>
    <w:rsid w:val="009A4F41"/>
    <w:rsid w:val="009B381B"/>
    <w:rsid w:val="009D1753"/>
    <w:rsid w:val="009D7611"/>
    <w:rsid w:val="009E0B61"/>
    <w:rsid w:val="009E53DE"/>
    <w:rsid w:val="00A11212"/>
    <w:rsid w:val="00A11E44"/>
    <w:rsid w:val="00A17314"/>
    <w:rsid w:val="00A20E13"/>
    <w:rsid w:val="00A328B3"/>
    <w:rsid w:val="00A50FCF"/>
    <w:rsid w:val="00A52273"/>
    <w:rsid w:val="00A528D1"/>
    <w:rsid w:val="00A610CD"/>
    <w:rsid w:val="00A758AA"/>
    <w:rsid w:val="00A76DC0"/>
    <w:rsid w:val="00A92A8A"/>
    <w:rsid w:val="00AA09A2"/>
    <w:rsid w:val="00AA69F2"/>
    <w:rsid w:val="00AA7996"/>
    <w:rsid w:val="00AB4017"/>
    <w:rsid w:val="00AC19CB"/>
    <w:rsid w:val="00AD3A22"/>
    <w:rsid w:val="00AE5488"/>
    <w:rsid w:val="00AE6F91"/>
    <w:rsid w:val="00AF5571"/>
    <w:rsid w:val="00B07341"/>
    <w:rsid w:val="00B15234"/>
    <w:rsid w:val="00B231CA"/>
    <w:rsid w:val="00B2360F"/>
    <w:rsid w:val="00B30539"/>
    <w:rsid w:val="00B314DB"/>
    <w:rsid w:val="00B361F2"/>
    <w:rsid w:val="00B3718B"/>
    <w:rsid w:val="00B3745F"/>
    <w:rsid w:val="00B4632A"/>
    <w:rsid w:val="00B530F1"/>
    <w:rsid w:val="00B677F9"/>
    <w:rsid w:val="00B77DA4"/>
    <w:rsid w:val="00B93E42"/>
    <w:rsid w:val="00B940E1"/>
    <w:rsid w:val="00BA276C"/>
    <w:rsid w:val="00BB306F"/>
    <w:rsid w:val="00BD4B89"/>
    <w:rsid w:val="00BD5922"/>
    <w:rsid w:val="00BE1EB1"/>
    <w:rsid w:val="00BF02CB"/>
    <w:rsid w:val="00BF6FD8"/>
    <w:rsid w:val="00C03680"/>
    <w:rsid w:val="00C054DF"/>
    <w:rsid w:val="00C129F0"/>
    <w:rsid w:val="00C12FF5"/>
    <w:rsid w:val="00C21762"/>
    <w:rsid w:val="00C21FEF"/>
    <w:rsid w:val="00C24543"/>
    <w:rsid w:val="00C256A2"/>
    <w:rsid w:val="00C51515"/>
    <w:rsid w:val="00C5660B"/>
    <w:rsid w:val="00C60E54"/>
    <w:rsid w:val="00C61753"/>
    <w:rsid w:val="00C66B72"/>
    <w:rsid w:val="00C7444E"/>
    <w:rsid w:val="00C87AC4"/>
    <w:rsid w:val="00C9567A"/>
    <w:rsid w:val="00CB212D"/>
    <w:rsid w:val="00CB2660"/>
    <w:rsid w:val="00CC1DFA"/>
    <w:rsid w:val="00CC5E90"/>
    <w:rsid w:val="00CD046C"/>
    <w:rsid w:val="00CD5451"/>
    <w:rsid w:val="00CE076C"/>
    <w:rsid w:val="00CE5199"/>
    <w:rsid w:val="00CE66D5"/>
    <w:rsid w:val="00CF637A"/>
    <w:rsid w:val="00CF74AF"/>
    <w:rsid w:val="00D059DE"/>
    <w:rsid w:val="00D05ABD"/>
    <w:rsid w:val="00D1226B"/>
    <w:rsid w:val="00D13FCE"/>
    <w:rsid w:val="00D306D1"/>
    <w:rsid w:val="00D30800"/>
    <w:rsid w:val="00D34786"/>
    <w:rsid w:val="00D37BFC"/>
    <w:rsid w:val="00D40F70"/>
    <w:rsid w:val="00D47A8E"/>
    <w:rsid w:val="00D52D14"/>
    <w:rsid w:val="00D63C12"/>
    <w:rsid w:val="00D712D3"/>
    <w:rsid w:val="00D71422"/>
    <w:rsid w:val="00D72DC6"/>
    <w:rsid w:val="00D7558D"/>
    <w:rsid w:val="00D81D92"/>
    <w:rsid w:val="00D876F9"/>
    <w:rsid w:val="00D971D1"/>
    <w:rsid w:val="00DA7B5F"/>
    <w:rsid w:val="00DB7863"/>
    <w:rsid w:val="00DC11E7"/>
    <w:rsid w:val="00DC24E3"/>
    <w:rsid w:val="00DC66EE"/>
    <w:rsid w:val="00DC7023"/>
    <w:rsid w:val="00DC769A"/>
    <w:rsid w:val="00DD11B7"/>
    <w:rsid w:val="00DD3D86"/>
    <w:rsid w:val="00DD4AD2"/>
    <w:rsid w:val="00DD6F0B"/>
    <w:rsid w:val="00DF1EC4"/>
    <w:rsid w:val="00E0340B"/>
    <w:rsid w:val="00E04A90"/>
    <w:rsid w:val="00E0551F"/>
    <w:rsid w:val="00E219C7"/>
    <w:rsid w:val="00E27CDC"/>
    <w:rsid w:val="00E4118C"/>
    <w:rsid w:val="00E43157"/>
    <w:rsid w:val="00E461CE"/>
    <w:rsid w:val="00E720CA"/>
    <w:rsid w:val="00E84EB5"/>
    <w:rsid w:val="00E851C1"/>
    <w:rsid w:val="00E85662"/>
    <w:rsid w:val="00E8789F"/>
    <w:rsid w:val="00E944A5"/>
    <w:rsid w:val="00E97B71"/>
    <w:rsid w:val="00EA3D34"/>
    <w:rsid w:val="00EB0A80"/>
    <w:rsid w:val="00EB454D"/>
    <w:rsid w:val="00EC2D6D"/>
    <w:rsid w:val="00ED5356"/>
    <w:rsid w:val="00ED549D"/>
    <w:rsid w:val="00ED76BE"/>
    <w:rsid w:val="00EE00E9"/>
    <w:rsid w:val="00EF4AE0"/>
    <w:rsid w:val="00EF619B"/>
    <w:rsid w:val="00F0005A"/>
    <w:rsid w:val="00F00B55"/>
    <w:rsid w:val="00F02AD1"/>
    <w:rsid w:val="00F06182"/>
    <w:rsid w:val="00F17C1D"/>
    <w:rsid w:val="00F2356A"/>
    <w:rsid w:val="00F253CC"/>
    <w:rsid w:val="00F37106"/>
    <w:rsid w:val="00F519CF"/>
    <w:rsid w:val="00F56BA5"/>
    <w:rsid w:val="00F60E22"/>
    <w:rsid w:val="00F81395"/>
    <w:rsid w:val="00F81BB8"/>
    <w:rsid w:val="00F86883"/>
    <w:rsid w:val="00F917D1"/>
    <w:rsid w:val="00F9653B"/>
    <w:rsid w:val="00FA4339"/>
    <w:rsid w:val="00FB06CD"/>
    <w:rsid w:val="00FB22A3"/>
    <w:rsid w:val="00FB62CF"/>
    <w:rsid w:val="00FC5D93"/>
    <w:rsid w:val="00FC61EA"/>
    <w:rsid w:val="00FD21FC"/>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3410"/>
    <w:rPr>
      <w:sz w:val="16"/>
      <w:szCs w:val="16"/>
    </w:rPr>
  </w:style>
  <w:style w:type="paragraph" w:styleId="CommentText">
    <w:name w:val="annotation text"/>
    <w:basedOn w:val="Normal"/>
    <w:link w:val="CommentTextChar"/>
    <w:uiPriority w:val="99"/>
    <w:semiHidden/>
    <w:unhideWhenUsed/>
    <w:rsid w:val="002D3410"/>
    <w:rPr>
      <w:sz w:val="20"/>
      <w:szCs w:val="20"/>
    </w:rPr>
  </w:style>
  <w:style w:type="character" w:customStyle="1" w:styleId="CommentTextChar">
    <w:name w:val="Comment Text Char"/>
    <w:basedOn w:val="DefaultParagraphFont"/>
    <w:link w:val="CommentText"/>
    <w:uiPriority w:val="99"/>
    <w:semiHidden/>
    <w:rsid w:val="002D3410"/>
    <w:rPr>
      <w:lang w:val="en-US" w:eastAsia="en-US"/>
    </w:rPr>
  </w:style>
  <w:style w:type="paragraph" w:styleId="CommentSubject">
    <w:name w:val="annotation subject"/>
    <w:basedOn w:val="CommentText"/>
    <w:next w:val="CommentText"/>
    <w:link w:val="CommentSubjectChar"/>
    <w:uiPriority w:val="99"/>
    <w:semiHidden/>
    <w:unhideWhenUsed/>
    <w:rsid w:val="002D3410"/>
    <w:rPr>
      <w:b/>
      <w:bCs/>
    </w:rPr>
  </w:style>
  <w:style w:type="character" w:customStyle="1" w:styleId="CommentSubjectChar">
    <w:name w:val="Comment Subject Char"/>
    <w:basedOn w:val="CommentTextChar"/>
    <w:link w:val="CommentSubject"/>
    <w:uiPriority w:val="99"/>
    <w:semiHidden/>
    <w:rsid w:val="002D341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719B"/>
    <w:rsid w:val="001D0ED3"/>
    <w:rsid w:val="00200821"/>
    <w:rsid w:val="00276F15"/>
    <w:rsid w:val="002E5E62"/>
    <w:rsid w:val="00394049"/>
    <w:rsid w:val="004F2DF8"/>
    <w:rsid w:val="005D1CBF"/>
    <w:rsid w:val="009A261B"/>
    <w:rsid w:val="00A63973"/>
    <w:rsid w:val="00AC15A4"/>
    <w:rsid w:val="00B0336C"/>
    <w:rsid w:val="00DB4017"/>
    <w:rsid w:val="00E712D1"/>
    <w:rsid w:val="00E74F74"/>
    <w:rsid w:val="00F00D2F"/>
    <w:rsid w:val="00F128DF"/>
    <w:rsid w:val="00FB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EB97-3786-4C68-8556-1BED2AF1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2317</Words>
  <Characters>13212</Characters>
  <Application>Microsoft Office Word</Application>
  <DocSecurity>0</DocSecurity>
  <Lines>110</Lines>
  <Paragraphs>30</Paragraphs>
  <ScaleCrop>false</ScaleCrop>
  <Company/>
  <LinksUpToDate>false</LinksUpToDate>
  <CharactersWithSpaces>15499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36/19</dc:title>
  <dc:creator/>
  <cp:lastModifiedBy/>
  <cp:revision>1</cp:revision>
  <dcterms:created xsi:type="dcterms:W3CDTF">2019-05-23T20:01:00Z</dcterms:created>
  <dcterms:modified xsi:type="dcterms:W3CDTF">2019-05-23T20:02:00Z</dcterms:modified>
</cp:coreProperties>
</file>