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3F4B" w14:textId="77777777" w:rsidR="0053292A" w:rsidRPr="00035E03" w:rsidRDefault="0053292A" w:rsidP="00030A24">
      <w:pPr>
        <w:pStyle w:val="Cuadrculamedia21"/>
        <w:ind w:right="-270"/>
        <w:rPr>
          <w:rFonts w:ascii="Cambria" w:hAnsi="Cambria"/>
          <w:b/>
          <w:color w:val="000000"/>
          <w:lang w:val="es-CO"/>
        </w:rPr>
      </w:pPr>
    </w:p>
    <w:p w14:paraId="2A4712CA" w14:textId="77777777" w:rsidR="0053292A" w:rsidRPr="00030A24" w:rsidRDefault="0053292A" w:rsidP="00030A24">
      <w:pPr>
        <w:spacing w:after="0" w:line="240" w:lineRule="auto"/>
        <w:rPr>
          <w:rFonts w:ascii="Cambria" w:hAnsi="Cambria"/>
          <w:lang w:val="es-CO"/>
        </w:rPr>
      </w:pPr>
    </w:p>
    <w:p w14:paraId="03A89778"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75C78007"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11.441 RODRIGO ELICIO MUÑOZ Y OTROS</w:t>
      </w:r>
    </w:p>
    <w:p w14:paraId="0187778B"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104/01</w:t>
      </w:r>
    </w:p>
    <w:p w14:paraId="4501D1A8"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71D502C8" w14:textId="7D828319"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13D8956A" w14:textId="77777777" w:rsidR="0053292A" w:rsidRPr="00030A24" w:rsidRDefault="0053292A" w:rsidP="00030A24">
      <w:pPr>
        <w:pStyle w:val="Cuadrculamedia21"/>
        <w:ind w:left="-270" w:right="-270"/>
        <w:jc w:val="center"/>
        <w:rPr>
          <w:rFonts w:ascii="Cambria" w:hAnsi="Cambria"/>
          <w:b/>
          <w:color w:val="000000"/>
          <w:lang w:val="es-CO"/>
        </w:rPr>
      </w:pPr>
    </w:p>
    <w:p w14:paraId="76E8C691" w14:textId="77777777" w:rsidR="0053292A" w:rsidRPr="00030A24" w:rsidRDefault="0053292A" w:rsidP="00030A24">
      <w:pPr>
        <w:numPr>
          <w:ilvl w:val="0"/>
          <w:numId w:val="7"/>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5B169851"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AC18B3" w14:paraId="2C903888" w14:textId="77777777" w:rsidTr="00550EB8">
        <w:trPr>
          <w:jc w:val="center"/>
        </w:trPr>
        <w:tc>
          <w:tcPr>
            <w:tcW w:w="9576" w:type="dxa"/>
            <w:shd w:val="clear" w:color="auto" w:fill="F2F2F2"/>
          </w:tcPr>
          <w:p w14:paraId="0CDE4E25"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Rodrigo Elicio Muñoz Arcos y otros </w:t>
            </w:r>
          </w:p>
          <w:p w14:paraId="47689870"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12ACE6F8"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0E256940" w14:textId="77777777" w:rsidR="0053292A" w:rsidRPr="00030A24" w:rsidRDefault="0053292A" w:rsidP="00030A24">
            <w:pPr>
              <w:spacing w:after="0" w:line="240" w:lineRule="auto"/>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9 de febrero de 1999</w:t>
            </w:r>
            <w:r w:rsidRPr="00030A24">
              <w:rPr>
                <w:rFonts w:ascii="Cambria" w:hAnsi="Cambria"/>
                <w:color w:val="FF0000"/>
                <w:lang w:val="es-CO"/>
              </w:rPr>
              <w:t xml:space="preserve"> </w:t>
            </w:r>
          </w:p>
          <w:p w14:paraId="4C4375B8"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15 de agosto de 2001</w:t>
            </w:r>
          </w:p>
          <w:p w14:paraId="5307F9E5"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104/01</w:t>
              </w:r>
            </w:hyperlink>
            <w:r w:rsidRPr="00030A24">
              <w:rPr>
                <w:rFonts w:ascii="Cambria" w:hAnsi="Cambria"/>
                <w:color w:val="000000"/>
                <w:lang w:val="es-CO"/>
              </w:rPr>
              <w:t>, publicado el 11 de octubre de 2001</w:t>
            </w:r>
          </w:p>
          <w:p w14:paraId="740AAF2A"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 xml:space="preserve">Duración estimada de la fase de negociación: </w:t>
            </w:r>
            <w:r w:rsidRPr="00030A24">
              <w:rPr>
                <w:rFonts w:ascii="Cambria" w:hAnsi="Cambria"/>
                <w:lang w:val="es-CO"/>
              </w:rPr>
              <w:t>2 años</w:t>
            </w:r>
          </w:p>
          <w:p w14:paraId="58EECA74"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la Libertad</w:t>
            </w:r>
          </w:p>
          <w:p w14:paraId="5BD9A911" w14:textId="77777777" w:rsidR="0053292A" w:rsidRPr="00030A24" w:rsidRDefault="0053292A" w:rsidP="00030A24">
            <w:pPr>
              <w:pStyle w:val="NoSpacing"/>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w:t>
            </w:r>
            <w:r w:rsidRPr="00030A24">
              <w:rPr>
                <w:rFonts w:ascii="Cambria" w:hAnsi="Cambria"/>
                <w:b/>
                <w:color w:val="000000"/>
                <w:lang w:val="es-CO"/>
              </w:rPr>
              <w:t xml:space="preserve"> </w:t>
            </w:r>
            <w:r w:rsidRPr="00030A24">
              <w:rPr>
                <w:rFonts w:ascii="Cambria" w:hAnsi="Cambria"/>
                <w:color w:val="000000"/>
                <w:lang w:val="es-CO"/>
              </w:rPr>
              <w:t>Tortura/ Tratos o penas crueles, inhumanos y/o degradantes</w:t>
            </w:r>
            <w:r w:rsidRPr="00030A24">
              <w:rPr>
                <w:rFonts w:ascii="Cambria" w:hAnsi="Cambria"/>
                <w:b/>
                <w:color w:val="000000"/>
                <w:lang w:val="es-CO"/>
              </w:rPr>
              <w:t>/</w:t>
            </w:r>
            <w:r w:rsidRPr="00030A24">
              <w:rPr>
                <w:rFonts w:ascii="Cambria" w:hAnsi="Cambria"/>
                <w:color w:val="000000"/>
                <w:lang w:val="es-CO"/>
              </w:rPr>
              <w:t xml:space="preserve"> Detención arbitraria o ilegal</w:t>
            </w:r>
          </w:p>
          <w:p w14:paraId="4837E4B7" w14:textId="77777777" w:rsidR="0053292A" w:rsidRPr="00030A24" w:rsidRDefault="0053292A" w:rsidP="00030A24">
            <w:pPr>
              <w:pStyle w:val="NoSpacing"/>
              <w:tabs>
                <w:tab w:val="left" w:pos="9270"/>
              </w:tabs>
              <w:jc w:val="both"/>
              <w:rPr>
                <w:rFonts w:ascii="Cambria" w:hAnsi="Cambria"/>
                <w:color w:val="000000"/>
                <w:lang w:val="es-CO"/>
              </w:rPr>
            </w:pPr>
          </w:p>
          <w:p w14:paraId="234E1DC5" w14:textId="0CA92372"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se refiere a la detención de cuatro ciudadanos colombianos, Rodrigo Elicio Muñoz Arcos, Luis Artemio Muñoz Arcos, José Morales Rivera y Segundo Morales Bolaños, por sospecha de los delitos de robo, intento de secuestro y homicidio, por parte de policías ecuatorianos en la zona de Tulcán el 26 de agosto de 1993.  Según se tuvo conocimiento, las personas antes mencionadas fueron detenidas y llevadas a la oficina central de la Oficina de Investigación del Delito (OID), permaneciendo incomunicadas durante 13 días, habiendo sido despojadas de varios miles de pesos y sucres. Se alega también que fueron torturados por miembros de la OID. Los certificados médicos de estas personas indican que presentaban excoriaciones, hematomas, dolores y una fractura del maxilar inferior, como resultado de golpes, colgamiento y patadas en diversas partes del cuerpo. Los detenidos fueron trasladados a la Cárcel de Tulcán el 7 de septiembre de 1993. Los supuestos actores son miembros de la Policía Nacional, del Comando del Carchi #10: teniente coronel Carlos Antonio Lozada Aldas, Cabo José Luis Cando Pérez, y doctor Edgar Pacheco Mena, quien firmó la declaración de los torturados. En lo pertinente, los certificados médicos de la Dirección Nacional de Rehabilitación Social de fecha 13 de octubre de 1993, indican en el diagnóstico de cada detenido lo siguiente: a) Luis Artemio Muñoz Arcos: presentó politraumatismo y fractura de maxilar inferior; b) Rodrigo Muñoz Arcos: traumatismo tórax; c) Segundo Hilarión Morales Baños: traumatismo leve en ojo izquierdo; d) José Vicente Morales Rivera: paciente aparentemente sano (el 16 de septiembre de 1993 se le practicó un examen médico privado en el que se le diagnosticó: dolores intensos en la región temporal derecha, dolor en apex esternal y se observa fractura del mismo, excoriaciones en región anterior de tibia derecha e izquierda, excoriaciones cicatrizadas en las muñecas. Las lesiones fueron provocadas por la acción traumática de cuerpo contundente duro, como el puño, puntapié o palo). </w:t>
            </w:r>
          </w:p>
          <w:p w14:paraId="06D8C784" w14:textId="77777777" w:rsidR="0053292A" w:rsidRPr="00030A24" w:rsidRDefault="0053292A" w:rsidP="00030A24">
            <w:pPr>
              <w:pStyle w:val="NoSpacing"/>
              <w:tabs>
                <w:tab w:val="left" w:pos="9270"/>
              </w:tabs>
              <w:jc w:val="both"/>
              <w:rPr>
                <w:rFonts w:ascii="Cambria" w:hAnsi="Cambria"/>
                <w:color w:val="000000"/>
                <w:lang w:val="es-CO"/>
              </w:rPr>
            </w:pPr>
          </w:p>
          <w:p w14:paraId="456AC83A"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integridad personal (artículo 5), derecho a la libertad personal (artículo 7), garantías judiciales (artículo 8), derecho a </w:t>
            </w:r>
            <w:r w:rsidRPr="00030A24">
              <w:rPr>
                <w:rFonts w:ascii="Cambria" w:hAnsi="Cambria"/>
                <w:color w:val="000000"/>
                <w:lang w:val="es-CO"/>
              </w:rPr>
              <w:lastRenderedPageBreak/>
              <w:t>la propiedad privada (artículo 21) y derecho a la protección judicial (artículo 25), de la Convención Americana de Derechos Humanos (CADH), todo en contravención de las obligaciones que figuran en el artículo 1(1) del mismo instrumento, en perjuicio de los señores Rodrigo Elicio Muñoz Arcos, Luis Artemio Muñoz Arcos, José Vicente Morales Rivera y Segundo Hilarión Morales Bolaños, todos de nacionalidad colombiana. </w:t>
            </w:r>
          </w:p>
        </w:tc>
      </w:tr>
    </w:tbl>
    <w:p w14:paraId="33D57C9E"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201A909E" w14:textId="77777777" w:rsidR="0053292A" w:rsidRPr="00030A24" w:rsidRDefault="0053292A" w:rsidP="00030A24">
      <w:pPr>
        <w:pStyle w:val="Listavistosa-nfasis11"/>
        <w:numPr>
          <w:ilvl w:val="0"/>
          <w:numId w:val="7"/>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362AC15C"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2148B699" w14:textId="20E5D7EC" w:rsidR="0053292A" w:rsidRPr="00030A24" w:rsidRDefault="0053292A" w:rsidP="00030A24">
      <w:pPr>
        <w:numPr>
          <w:ilvl w:val="0"/>
          <w:numId w:val="8"/>
        </w:numPr>
        <w:spacing w:after="0" w:line="240" w:lineRule="auto"/>
        <w:ind w:left="0" w:firstLine="720"/>
        <w:jc w:val="both"/>
        <w:rPr>
          <w:rFonts w:ascii="Cambria" w:hAnsi="Cambria"/>
          <w:color w:val="000000"/>
          <w:lang w:val="es-CO"/>
        </w:rPr>
      </w:pPr>
      <w:r w:rsidRPr="00030A24">
        <w:rPr>
          <w:rFonts w:ascii="Cambria" w:hAnsi="Cambria"/>
          <w:color w:val="000000"/>
          <w:lang w:val="es-CO"/>
        </w:rPr>
        <w:t>El 15 de agosto de 2001</w:t>
      </w:r>
      <w:r w:rsidR="00C10C5C"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7D91CCB1" w14:textId="77777777" w:rsidR="0053292A" w:rsidRPr="00030A24" w:rsidRDefault="0053292A" w:rsidP="00030A24">
      <w:pPr>
        <w:spacing w:after="0" w:line="240" w:lineRule="auto"/>
        <w:ind w:firstLine="720"/>
        <w:jc w:val="both"/>
        <w:rPr>
          <w:rFonts w:ascii="Cambria" w:hAnsi="Cambria"/>
          <w:color w:val="000000"/>
          <w:lang w:val="es-CO"/>
        </w:rPr>
      </w:pPr>
    </w:p>
    <w:p w14:paraId="5D669C95" w14:textId="77777777" w:rsidR="0053292A" w:rsidRPr="00030A24" w:rsidRDefault="0053292A" w:rsidP="00030A24">
      <w:pPr>
        <w:numPr>
          <w:ilvl w:val="0"/>
          <w:numId w:val="8"/>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octubre de 2001, la Comisión aprobó el acuerdo de solución amistosa, mediante informe No. 104/01.</w:t>
      </w:r>
    </w:p>
    <w:p w14:paraId="4491EAC0" w14:textId="77777777" w:rsidR="0053292A" w:rsidRPr="00030A24" w:rsidRDefault="0053292A" w:rsidP="00030A24">
      <w:pPr>
        <w:spacing w:after="0" w:line="240" w:lineRule="auto"/>
        <w:ind w:firstLine="720"/>
        <w:jc w:val="both"/>
        <w:rPr>
          <w:rFonts w:ascii="Cambria" w:hAnsi="Cambria"/>
          <w:color w:val="000000"/>
          <w:lang w:val="es-CO"/>
        </w:rPr>
      </w:pPr>
    </w:p>
    <w:p w14:paraId="2CE7B3CC" w14:textId="77777777" w:rsidR="0053292A" w:rsidRPr="00030A24" w:rsidRDefault="0053292A" w:rsidP="00030A24">
      <w:pPr>
        <w:pStyle w:val="Listavistosa-nfasis11"/>
        <w:numPr>
          <w:ilvl w:val="0"/>
          <w:numId w:val="7"/>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4FE9701A" w14:textId="77777777" w:rsidR="0053292A" w:rsidRPr="00030A24" w:rsidRDefault="0053292A" w:rsidP="00030A24">
      <w:pPr>
        <w:spacing w:after="0" w:line="240" w:lineRule="auto"/>
        <w:jc w:val="both"/>
        <w:rPr>
          <w:rFonts w:ascii="Cambria" w:hAnsi="Cambria"/>
          <w:color w:val="000000"/>
          <w:lang w:val="es-CO"/>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2052"/>
      </w:tblGrid>
      <w:tr w:rsidR="0053292A" w:rsidRPr="00030A24" w14:paraId="6C7F6AA4" w14:textId="77777777" w:rsidTr="00035E03">
        <w:trPr>
          <w:trHeight w:val="96"/>
        </w:trPr>
        <w:tc>
          <w:tcPr>
            <w:tcW w:w="7308" w:type="dxa"/>
            <w:shd w:val="clear" w:color="auto" w:fill="D9D9D9"/>
            <w:vAlign w:val="center"/>
          </w:tcPr>
          <w:p w14:paraId="497E6ADD" w14:textId="77777777" w:rsidR="0053292A" w:rsidRPr="00030A24" w:rsidRDefault="0053292A"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052" w:type="dxa"/>
            <w:shd w:val="clear" w:color="auto" w:fill="D9D9D9"/>
            <w:vAlign w:val="center"/>
          </w:tcPr>
          <w:p w14:paraId="11D67CD3"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E74921" w:rsidRPr="00030A24" w14:paraId="352439D5" w14:textId="77777777" w:rsidTr="00035E03">
        <w:tc>
          <w:tcPr>
            <w:tcW w:w="7308" w:type="dxa"/>
            <w:shd w:val="clear" w:color="auto" w:fill="auto"/>
            <w:vAlign w:val="center"/>
          </w:tcPr>
          <w:p w14:paraId="0E1CC034" w14:textId="77777777" w:rsidR="00E74921" w:rsidRPr="00030A24" w:rsidRDefault="00E74921" w:rsidP="00030A24">
            <w:pPr>
              <w:spacing w:after="0" w:line="240" w:lineRule="auto"/>
              <w:jc w:val="both"/>
              <w:rPr>
                <w:rFonts w:ascii="Cambria" w:eastAsia="Times New Roman" w:hAnsi="Cambria"/>
                <w:b/>
                <w:bCs/>
                <w:color w:val="000000"/>
                <w:lang w:val="es-ES_tradnl"/>
              </w:rPr>
            </w:pPr>
            <w:r w:rsidRPr="00030A24">
              <w:rPr>
                <w:rFonts w:ascii="Cambria" w:eastAsia="Times New Roman" w:hAnsi="Cambria"/>
                <w:b/>
                <w:bCs/>
                <w:color w:val="000000"/>
                <w:lang w:val="es-ES_tradnl"/>
              </w:rPr>
              <w:t>III. RESPONSABILIDAD DEL ESTADO Y ALLANAMIENTO</w:t>
            </w:r>
          </w:p>
          <w:p w14:paraId="00064364" w14:textId="77777777" w:rsidR="00E74921" w:rsidRPr="00030A24" w:rsidRDefault="00E74921" w:rsidP="00030A24">
            <w:pPr>
              <w:spacing w:after="0" w:line="240" w:lineRule="auto"/>
              <w:jc w:val="both"/>
              <w:rPr>
                <w:rFonts w:ascii="Cambria" w:eastAsia="Times New Roman" w:hAnsi="Cambria"/>
                <w:color w:val="000000"/>
                <w:lang w:val="es-ES_tradnl"/>
              </w:rPr>
            </w:pPr>
            <w:r w:rsidRPr="00030A24">
              <w:rPr>
                <w:rFonts w:ascii="Cambria" w:eastAsia="Times New Roman" w:hAnsi="Cambria"/>
                <w:color w:val="000000"/>
                <w:lang w:val="es-ES_tradnl"/>
              </w:rPr>
              <w:t>El Estado Ecuatoriano reconoce su responsabilidad internacional por haber conculcado los derechos humanos del señor [Elicio Rodrigo Muñoz Arcos], [Luis Artemio Muñoz Arcos],  [José Vicente Morales Rivera], [Segundo Hilarion Morales Bolaños], reconocidos en los Artículos 5 (Derecho a la Integridad), Artículo 8 (Garantías Judiciales), Artículo 21 (Derecho a la Propiedad Privada), Artículo 7 (Derecho a la Libertad Personal)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272420BE" w14:textId="77777777" w:rsidR="00AB49C7" w:rsidRPr="00030A24" w:rsidRDefault="00AB49C7" w:rsidP="00030A24">
            <w:pPr>
              <w:spacing w:after="0" w:line="240" w:lineRule="auto"/>
              <w:jc w:val="both"/>
              <w:rPr>
                <w:rFonts w:ascii="Cambria" w:eastAsia="Times New Roman" w:hAnsi="Cambria"/>
                <w:color w:val="000000"/>
                <w:lang w:val="es-ES_tradnl"/>
              </w:rPr>
            </w:pPr>
          </w:p>
          <w:p w14:paraId="466E9CB3" w14:textId="176209F1" w:rsidR="00E74921" w:rsidRPr="00030A24" w:rsidRDefault="00E74921" w:rsidP="00030A24">
            <w:pPr>
              <w:spacing w:after="0" w:line="240" w:lineRule="auto"/>
              <w:jc w:val="both"/>
              <w:rPr>
                <w:rFonts w:ascii="Cambria" w:eastAsia="Times New Roman" w:hAnsi="Cambria"/>
                <w:b/>
                <w:bCs/>
                <w:color w:val="000000"/>
                <w:lang w:val="es-ES_tradnl"/>
              </w:rPr>
            </w:pPr>
            <w:r w:rsidRPr="00030A24">
              <w:rPr>
                <w:rFonts w:ascii="Cambria" w:eastAsia="Times New Roman" w:hAnsi="Cambria"/>
                <w:color w:val="000000"/>
                <w:lang w:val="es-ES_tradnl"/>
              </w:rPr>
              <w:t>Con estos antecedentes el Estado Ecuatoriano se allana a los hechos constitutivos del Caso Nº 11.441, que se encuentra en trámite ante la Comisión Interamericana de Derechos Humanos que se obliga a asumir las medidas reparadoras necesarias a fin de resarcir los perjuicios ocasionados a las víctimas de tales violaciones o en su defecto a sus causahabientes.</w:t>
            </w:r>
          </w:p>
        </w:tc>
        <w:tc>
          <w:tcPr>
            <w:tcW w:w="2052" w:type="dxa"/>
            <w:shd w:val="clear" w:color="auto" w:fill="auto"/>
            <w:vAlign w:val="center"/>
          </w:tcPr>
          <w:p w14:paraId="1C7E5233" w14:textId="11756E38" w:rsidR="00E74921" w:rsidRPr="00030A24" w:rsidRDefault="00E74921"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C10C5C" w:rsidRPr="00030A24" w14:paraId="21053706" w14:textId="77777777" w:rsidTr="00035E03">
        <w:tc>
          <w:tcPr>
            <w:tcW w:w="7308" w:type="dxa"/>
            <w:shd w:val="clear" w:color="auto" w:fill="auto"/>
            <w:vAlign w:val="center"/>
          </w:tcPr>
          <w:p w14:paraId="6814379E" w14:textId="77777777" w:rsidR="00C10C5C" w:rsidRPr="00030A24" w:rsidRDefault="00C10C5C" w:rsidP="00030A24">
            <w:pPr>
              <w:spacing w:after="0" w:line="240" w:lineRule="auto"/>
              <w:ind w:left="72"/>
              <w:jc w:val="both"/>
              <w:rPr>
                <w:rFonts w:ascii="Cambria" w:eastAsia="Times New Roman" w:hAnsi="Cambria"/>
                <w:b/>
                <w:bCs/>
                <w:color w:val="000000"/>
                <w:lang w:val="es-VE"/>
              </w:rPr>
            </w:pPr>
            <w:r w:rsidRPr="00030A24">
              <w:rPr>
                <w:rFonts w:ascii="Cambria" w:eastAsia="Times New Roman" w:hAnsi="Cambria"/>
                <w:b/>
                <w:bCs/>
                <w:color w:val="000000"/>
                <w:lang w:val="es-ES_tradnl"/>
              </w:rPr>
              <w:t>IV.</w:t>
            </w:r>
            <w:r w:rsidRPr="00030A24">
              <w:rPr>
                <w:rFonts w:ascii="Cambria" w:eastAsia="Times New Roman" w:hAnsi="Cambria"/>
                <w:b/>
                <w:bCs/>
                <w:color w:val="000000"/>
                <w:lang w:val="es-ES_tradnl"/>
              </w:rPr>
              <w:tab/>
              <w:t xml:space="preserve">INDEMNIZACIÓN  </w:t>
            </w:r>
          </w:p>
          <w:p w14:paraId="5DE1E599" w14:textId="6AA6A201" w:rsidR="00C10C5C" w:rsidRPr="00030A24" w:rsidRDefault="00C10C5C" w:rsidP="00030A24">
            <w:pPr>
              <w:tabs>
                <w:tab w:val="left" w:pos="3921"/>
              </w:tabs>
              <w:spacing w:after="0" w:line="240" w:lineRule="auto"/>
              <w:ind w:right="69"/>
              <w:jc w:val="both"/>
              <w:rPr>
                <w:rFonts w:ascii="Cambria" w:hAnsi="Cambria"/>
                <w:color w:val="000000"/>
                <w:lang w:val="es-CO"/>
              </w:rPr>
            </w:pPr>
            <w:r w:rsidRPr="00030A24">
              <w:rPr>
                <w:rFonts w:ascii="Cambria" w:eastAsia="Times New Roman" w:hAnsi="Cambria"/>
                <w:color w:val="000000"/>
                <w:lang w:val="es-EC"/>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Nº 1, vigente desde el 11 de Agosto de 1998, entrega [</w:t>
            </w:r>
            <w:r w:rsidRPr="00030A24">
              <w:rPr>
                <w:rFonts w:ascii="Cambria" w:eastAsia="Times New Roman" w:hAnsi="Cambria"/>
                <w:color w:val="000000"/>
                <w:lang w:val="es-SV"/>
              </w:rPr>
              <w:t>al señor Elicio Rodrigo Muñoz Arcos, a través de su representante la señorita Doris Elizabeth Posso Moran, una indemnización compensatoria por una sola vez, de diez mil dólares de los Estados Unidos de Norteamérica  [US$ 10,000.00</w:t>
            </w:r>
            <w:r w:rsidRPr="00030A24">
              <w:rPr>
                <w:rFonts w:ascii="Cambria" w:eastAsia="Times New Roman" w:hAnsi="Cambria"/>
                <w:color w:val="000000"/>
                <w:lang w:val="es-VE"/>
              </w:rPr>
              <w:t>]</w:t>
            </w:r>
            <w:r w:rsidRPr="00030A24">
              <w:rPr>
                <w:rFonts w:ascii="Cambria" w:eastAsia="Times New Roman" w:hAnsi="Cambria"/>
                <w:color w:val="000000"/>
                <w:lang w:val="es-SV"/>
              </w:rPr>
              <w:t xml:space="preserve">, con cargo al Presupuesto General del Estado] [al señor Luis Artemio Muñoz Arcos, una indemnización compensatoria por una sola vez, de diez mil dólares de los Estados Unidos de Norteamérica (US$ 10,000.00), con cargo al Presupuesto </w:t>
            </w:r>
            <w:r w:rsidRPr="00030A24">
              <w:rPr>
                <w:rFonts w:ascii="Cambria" w:eastAsia="Times New Roman" w:hAnsi="Cambria"/>
                <w:color w:val="000000"/>
                <w:lang w:val="es-SV"/>
              </w:rPr>
              <w:lastRenderedPageBreak/>
              <w:t>General del Estado] [al señor José Vicente Morales Rivera, una indemnización compensatoria por una sola vez, de diez mil dólares de los Estados Unidos de Norteamérica (US$ 10,000.00), con cargo al Presupuesto General del Estado] [al señor Segundo Hilari</w:t>
            </w:r>
            <w:r w:rsidRPr="00030A24">
              <w:rPr>
                <w:rFonts w:ascii="Cambria" w:eastAsia="Times New Roman" w:hAnsi="Cambria"/>
                <w:color w:val="000000"/>
                <w:lang w:val="es-PE"/>
              </w:rPr>
              <w:t>ó</w:t>
            </w:r>
            <w:r w:rsidRPr="00030A24">
              <w:rPr>
                <w:rFonts w:ascii="Cambria" w:eastAsia="Times New Roman" w:hAnsi="Cambria"/>
                <w:color w:val="000000"/>
                <w:lang w:val="es-SV"/>
              </w:rPr>
              <w:t>n Morales Bolaños, una indemnización compensatoria por una sola vez, de diez mil dólares de los Estados Unidos de Norteamérica (US$ 10,000.00), con cargo al Presupuesto General del Estado]</w:t>
            </w:r>
            <w:r w:rsidRPr="00030A24">
              <w:rPr>
                <w:rFonts w:ascii="Cambria" w:eastAsia="Times New Roman" w:hAnsi="Cambria"/>
                <w:color w:val="000000"/>
                <w:lang w:val="es-AR"/>
              </w:rPr>
              <w:t xml:space="preserve"> […]</w:t>
            </w:r>
          </w:p>
        </w:tc>
        <w:tc>
          <w:tcPr>
            <w:tcW w:w="2052" w:type="dxa"/>
            <w:shd w:val="clear" w:color="auto" w:fill="auto"/>
            <w:vAlign w:val="center"/>
          </w:tcPr>
          <w:p w14:paraId="3E320C0D" w14:textId="50318434" w:rsidR="00C10C5C" w:rsidRPr="00030A24" w:rsidRDefault="00C10C5C" w:rsidP="00030A24">
            <w:pPr>
              <w:spacing w:after="0" w:line="240" w:lineRule="auto"/>
              <w:jc w:val="center"/>
              <w:rPr>
                <w:rFonts w:ascii="Cambria" w:hAnsi="Cambria"/>
                <w:b/>
                <w:color w:val="000000"/>
                <w:lang w:val="es-CO"/>
              </w:rPr>
            </w:pPr>
            <w:r w:rsidRPr="00030A24">
              <w:rPr>
                <w:rFonts w:ascii="Cambria" w:hAnsi="Cambria"/>
                <w:b/>
                <w:color w:val="000000"/>
                <w:lang w:val="es-CO"/>
              </w:rPr>
              <w:lastRenderedPageBreak/>
              <w:t>Total</w:t>
            </w:r>
            <w:r w:rsidRPr="00030A24">
              <w:rPr>
                <w:rStyle w:val="FootnoteReference"/>
                <w:rFonts w:ascii="Cambria" w:hAnsi="Cambria"/>
                <w:b/>
                <w:color w:val="000000"/>
                <w:lang w:val="es-CO"/>
              </w:rPr>
              <w:footnoteReference w:id="2"/>
            </w:r>
          </w:p>
        </w:tc>
      </w:tr>
      <w:tr w:rsidR="00C10C5C" w:rsidRPr="00030A24" w14:paraId="1FA71CF6" w14:textId="77777777" w:rsidTr="00035E03">
        <w:tc>
          <w:tcPr>
            <w:tcW w:w="7308" w:type="dxa"/>
            <w:shd w:val="clear" w:color="auto" w:fill="auto"/>
          </w:tcPr>
          <w:p w14:paraId="225A74ED" w14:textId="77777777" w:rsidR="00C10C5C" w:rsidRPr="00030A24" w:rsidRDefault="00C10C5C" w:rsidP="00030A24">
            <w:pPr>
              <w:spacing w:after="0" w:line="240" w:lineRule="auto"/>
              <w:ind w:hanging="18"/>
              <w:jc w:val="both"/>
              <w:rPr>
                <w:rFonts w:ascii="Cambria" w:eastAsia="Times New Roman" w:hAnsi="Cambria"/>
                <w:b/>
                <w:color w:val="000000"/>
                <w:lang w:val="es-AR"/>
              </w:rPr>
            </w:pPr>
            <w:r w:rsidRPr="00030A24">
              <w:rPr>
                <w:rFonts w:ascii="Cambria" w:eastAsia="Times New Roman" w:hAnsi="Cambria"/>
                <w:b/>
                <w:color w:val="000000"/>
                <w:lang w:val="es-AR"/>
              </w:rPr>
              <w:t>V. SANCIÓN DE LOS RESPONSABLES</w:t>
            </w:r>
          </w:p>
          <w:p w14:paraId="034479EC" w14:textId="3297609F" w:rsidR="00C10C5C" w:rsidRPr="00030A24" w:rsidRDefault="00C10C5C" w:rsidP="00030A24">
            <w:pPr>
              <w:spacing w:after="0" w:line="240" w:lineRule="auto"/>
              <w:ind w:hanging="18"/>
              <w:jc w:val="both"/>
              <w:rPr>
                <w:rFonts w:ascii="Cambria" w:eastAsia="Times New Roman" w:hAnsi="Cambria"/>
                <w:color w:val="000000"/>
                <w:lang w:val="es-VE"/>
              </w:rPr>
            </w:pPr>
            <w:r w:rsidRPr="00030A24">
              <w:rPr>
                <w:rFonts w:ascii="Cambria" w:eastAsia="Times New Roman" w:hAnsi="Cambria"/>
                <w:color w:val="000000"/>
                <w:lang w:val="es-EC"/>
              </w:rPr>
              <w:t xml:space="preserve">El Estado Ecuatoriano, </w:t>
            </w:r>
            <w:r w:rsidR="007841EB" w:rsidRPr="00030A24">
              <w:rPr>
                <w:rFonts w:ascii="Cambria" w:eastAsia="Times New Roman" w:hAnsi="Cambria"/>
                <w:color w:val="000000"/>
                <w:lang w:val="es-EC"/>
              </w:rPr>
              <w:t>se compromete</w:t>
            </w:r>
            <w:r w:rsidRPr="00030A24">
              <w:rPr>
                <w:rFonts w:ascii="Cambria" w:eastAsia="Times New Roman" w:hAnsi="Cambria"/>
                <w:color w:val="000000"/>
                <w:lang w:val="es-EC"/>
              </w:rPr>
              <w:t xml:space="preserve"> al enjuiciamiento tanto civil como penal y a la búsqueda de sanciones administrativas de las personas </w:t>
            </w:r>
            <w:r w:rsidR="00030A24" w:rsidRPr="00030A24">
              <w:rPr>
                <w:rFonts w:ascii="Cambria" w:eastAsia="Times New Roman" w:hAnsi="Cambria"/>
                <w:color w:val="000000"/>
                <w:lang w:val="es-EC"/>
              </w:rPr>
              <w:t>que,</w:t>
            </w:r>
            <w:r w:rsidRPr="00030A24">
              <w:rPr>
                <w:rFonts w:ascii="Cambria" w:eastAsia="Times New Roman" w:hAnsi="Cambria"/>
                <w:color w:val="000000"/>
                <w:lang w:val="es-EC"/>
              </w:rPr>
              <w:t xml:space="preserve"> en cumplimiento de funciones estatales o prevalidos del poder público, se presume que tuvieron participación en la violación alegada.</w:t>
            </w:r>
            <w:r w:rsidRPr="00030A24">
              <w:rPr>
                <w:rFonts w:ascii="Cambria" w:eastAsia="Times New Roman" w:hAnsi="Cambria"/>
                <w:color w:val="000000"/>
                <w:u w:val="single"/>
                <w:lang w:val="es-EC"/>
              </w:rPr>
              <w:t xml:space="preserve"> </w:t>
            </w:r>
          </w:p>
          <w:p w14:paraId="1D7A8D42" w14:textId="750613B2" w:rsidR="00C10C5C" w:rsidRPr="00030A24" w:rsidRDefault="00C10C5C" w:rsidP="00030A24">
            <w:pPr>
              <w:tabs>
                <w:tab w:val="left" w:pos="3852"/>
              </w:tabs>
              <w:spacing w:after="0" w:line="240" w:lineRule="auto"/>
              <w:ind w:right="-21"/>
              <w:jc w:val="both"/>
              <w:rPr>
                <w:rFonts w:ascii="Cambria" w:hAnsi="Cambria"/>
                <w:color w:val="000000"/>
                <w:lang w:val="es-CO"/>
              </w:rPr>
            </w:pPr>
            <w:r w:rsidRPr="00030A24">
              <w:rPr>
                <w:rFonts w:ascii="Cambria" w:eastAsia="Times New Roman" w:hAnsi="Cambria"/>
                <w:color w:val="000000"/>
                <w:lang w:val="es-EC"/>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2052" w:type="dxa"/>
            <w:vAlign w:val="center"/>
          </w:tcPr>
          <w:p w14:paraId="0189D46D" w14:textId="5E3BFC24" w:rsidR="00C10C5C" w:rsidRPr="00030A24" w:rsidRDefault="00C10C5C" w:rsidP="00030A24">
            <w:pPr>
              <w:spacing w:after="0" w:line="240" w:lineRule="auto"/>
              <w:jc w:val="center"/>
              <w:rPr>
                <w:rFonts w:ascii="Cambria" w:hAnsi="Cambria"/>
                <w:b/>
                <w:color w:val="000000"/>
                <w:lang w:val="es-CO"/>
              </w:rPr>
            </w:pPr>
            <w:r w:rsidRPr="00030A24">
              <w:rPr>
                <w:rFonts w:ascii="Cambria" w:hAnsi="Cambria"/>
                <w:b/>
                <w:color w:val="000000"/>
                <w:u w:color="FF0000"/>
                <w:lang w:val="es-CO"/>
              </w:rPr>
              <w:t>Incumplido</w:t>
            </w:r>
            <w:r w:rsidRPr="00030A24">
              <w:rPr>
                <w:rStyle w:val="FootnoteReference"/>
                <w:rFonts w:ascii="Cambria" w:hAnsi="Cambria"/>
                <w:b/>
                <w:color w:val="000000"/>
                <w:u w:color="FF0000"/>
                <w:lang w:val="es-CO"/>
              </w:rPr>
              <w:footnoteReference w:id="3"/>
            </w:r>
          </w:p>
        </w:tc>
      </w:tr>
    </w:tbl>
    <w:p w14:paraId="618EAB37" w14:textId="77777777" w:rsidR="0053292A" w:rsidRPr="00030A24" w:rsidRDefault="0053292A" w:rsidP="00030A24">
      <w:pPr>
        <w:autoSpaceDE w:val="0"/>
        <w:autoSpaceDN w:val="0"/>
        <w:adjustRightInd w:val="0"/>
        <w:spacing w:after="0" w:line="240" w:lineRule="auto"/>
        <w:ind w:left="720"/>
        <w:jc w:val="both"/>
        <w:rPr>
          <w:rFonts w:ascii="Cambria" w:hAnsi="Cambria"/>
          <w:color w:val="000000"/>
          <w:lang w:val="es-CO"/>
        </w:rPr>
      </w:pPr>
    </w:p>
    <w:p w14:paraId="394B4B0D" w14:textId="77777777" w:rsidR="0053292A" w:rsidRPr="00030A24" w:rsidRDefault="0053292A" w:rsidP="00030A24">
      <w:pPr>
        <w:numPr>
          <w:ilvl w:val="0"/>
          <w:numId w:val="7"/>
        </w:numPr>
        <w:autoSpaceDE w:val="0"/>
        <w:autoSpaceDN w:val="0"/>
        <w:adjustRightInd w:val="0"/>
        <w:spacing w:after="0" w:line="240" w:lineRule="auto"/>
        <w:ind w:left="-90" w:firstLine="810"/>
        <w:jc w:val="both"/>
        <w:rPr>
          <w:rFonts w:ascii="Cambria" w:hAnsi="Cambria"/>
          <w:color w:val="000000"/>
          <w:lang w:val="es-CO"/>
        </w:rPr>
      </w:pPr>
      <w:r w:rsidRPr="00030A24">
        <w:rPr>
          <w:rFonts w:ascii="Cambria" w:hAnsi="Cambria"/>
          <w:b/>
          <w:color w:val="000000"/>
          <w:lang w:val="es-CO"/>
        </w:rPr>
        <w:t xml:space="preserve">NIVEL DE CUMPLIMIENTO DEL CASO </w:t>
      </w:r>
    </w:p>
    <w:p w14:paraId="188B050C" w14:textId="77777777" w:rsidR="0053292A" w:rsidRPr="00030A24" w:rsidRDefault="0053292A" w:rsidP="00030A24">
      <w:pPr>
        <w:autoSpaceDE w:val="0"/>
        <w:autoSpaceDN w:val="0"/>
        <w:adjustRightInd w:val="0"/>
        <w:spacing w:after="0" w:line="240" w:lineRule="auto"/>
        <w:ind w:left="-90" w:firstLine="810"/>
        <w:jc w:val="both"/>
        <w:rPr>
          <w:rFonts w:ascii="Cambria" w:hAnsi="Cambria"/>
          <w:color w:val="000000"/>
          <w:lang w:val="es-CO"/>
        </w:rPr>
      </w:pPr>
    </w:p>
    <w:p w14:paraId="284D503D" w14:textId="77777777" w:rsidR="0053292A" w:rsidRPr="00030A24" w:rsidRDefault="0053292A" w:rsidP="00030A24">
      <w:pPr>
        <w:numPr>
          <w:ilvl w:val="0"/>
          <w:numId w:val="8"/>
        </w:numPr>
        <w:autoSpaceDE w:val="0"/>
        <w:autoSpaceDN w:val="0"/>
        <w:adjustRightInd w:val="0"/>
        <w:spacing w:after="0" w:line="240" w:lineRule="auto"/>
        <w:ind w:left="-90" w:firstLine="810"/>
        <w:jc w:val="both"/>
        <w:rPr>
          <w:rFonts w:ascii="Cambria" w:hAnsi="Cambria"/>
          <w:color w:val="000000"/>
          <w:lang w:val="es-CO"/>
        </w:rPr>
      </w:pPr>
      <w:r w:rsidRPr="00030A24">
        <w:rPr>
          <w:rFonts w:ascii="Cambria" w:hAnsi="Cambria"/>
          <w:color w:val="000000"/>
          <w:lang w:val="es-CO"/>
        </w:rPr>
        <w:t>La Comisión valoró la solicitud realizada el 17 de mayo de 2018, en la cual solicitaron el cese de la supervisión del acuerdo y el archivo del caso dada la prescripción de la acción penal y la perdida de contacto con las víctimas del caso. Al respecto, la Comisión decidió cesar la supervisión del acuerdo de solución amistosa y archivar el caso, dejando constancia en el Informe Anual 2019 que la medida de justicia fue incumplida por el Estado ecuatoriano y que el nivel de cumplimiento del acuerdo es parcial.</w:t>
      </w:r>
    </w:p>
    <w:p w14:paraId="390BF473" w14:textId="77777777" w:rsidR="0053292A" w:rsidRPr="00030A24" w:rsidRDefault="0053292A" w:rsidP="00030A24">
      <w:pPr>
        <w:autoSpaceDE w:val="0"/>
        <w:autoSpaceDN w:val="0"/>
        <w:adjustRightInd w:val="0"/>
        <w:spacing w:after="0" w:line="240" w:lineRule="auto"/>
        <w:ind w:left="-90" w:firstLine="810"/>
        <w:jc w:val="both"/>
        <w:rPr>
          <w:rFonts w:ascii="Cambria" w:hAnsi="Cambria"/>
          <w:color w:val="000000"/>
          <w:lang w:val="es-CO"/>
        </w:rPr>
      </w:pPr>
    </w:p>
    <w:p w14:paraId="1AADB3C6" w14:textId="77777777" w:rsidR="0053292A" w:rsidRPr="00030A24" w:rsidRDefault="0053292A" w:rsidP="00030A24">
      <w:pPr>
        <w:pStyle w:val="Listavistosa-nfasis11"/>
        <w:numPr>
          <w:ilvl w:val="0"/>
          <w:numId w:val="7"/>
        </w:numPr>
        <w:spacing w:after="0" w:line="240" w:lineRule="auto"/>
        <w:ind w:left="-90" w:firstLine="81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14D67E29" w14:textId="77777777" w:rsidR="0053292A" w:rsidRPr="00030A24" w:rsidRDefault="0053292A" w:rsidP="00030A24">
      <w:pPr>
        <w:pStyle w:val="Listavistosa-nfasis11"/>
        <w:spacing w:after="0" w:line="240" w:lineRule="auto"/>
        <w:ind w:left="-90" w:firstLine="810"/>
        <w:jc w:val="both"/>
        <w:rPr>
          <w:rFonts w:ascii="Cambria" w:hAnsi="Cambria"/>
          <w:b/>
          <w:color w:val="000000"/>
          <w:lang w:val="es-CO"/>
        </w:rPr>
      </w:pPr>
    </w:p>
    <w:p w14:paraId="03B2AC76" w14:textId="77777777" w:rsidR="0053292A" w:rsidRPr="00030A24" w:rsidRDefault="0053292A" w:rsidP="00030A24">
      <w:pPr>
        <w:pStyle w:val="Listavistosa-nfasis11"/>
        <w:numPr>
          <w:ilvl w:val="0"/>
          <w:numId w:val="10"/>
        </w:numPr>
        <w:spacing w:after="0" w:line="240" w:lineRule="auto"/>
        <w:ind w:left="-90" w:firstLine="810"/>
        <w:jc w:val="both"/>
        <w:rPr>
          <w:rFonts w:ascii="Cambria" w:hAnsi="Cambria"/>
          <w:b/>
          <w:color w:val="000000"/>
          <w:lang w:val="es-CO"/>
        </w:rPr>
      </w:pPr>
      <w:r w:rsidRPr="00030A24">
        <w:rPr>
          <w:rFonts w:ascii="Cambria" w:hAnsi="Cambria"/>
          <w:b/>
          <w:color w:val="000000"/>
          <w:lang w:val="es-CO"/>
        </w:rPr>
        <w:t>Resultados individuales del caso</w:t>
      </w:r>
    </w:p>
    <w:p w14:paraId="788EDBDE"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5CBC71A6" w14:textId="4660F8A7" w:rsidR="0053292A" w:rsidRPr="00AC18B3" w:rsidRDefault="0053292A" w:rsidP="0015044F">
      <w:pPr>
        <w:pStyle w:val="Listavistosa-nfasis11"/>
        <w:numPr>
          <w:ilvl w:val="0"/>
          <w:numId w:val="4"/>
        </w:numPr>
        <w:spacing w:after="0" w:line="240" w:lineRule="auto"/>
        <w:ind w:left="1440" w:hanging="720"/>
        <w:jc w:val="both"/>
        <w:rPr>
          <w:rFonts w:ascii="Cambria" w:hAnsi="Cambria"/>
          <w:lang w:val="es-CO"/>
        </w:rPr>
      </w:pPr>
      <w:r w:rsidRPr="00AC18B3">
        <w:rPr>
          <w:rFonts w:ascii="Cambria" w:hAnsi="Cambria"/>
          <w:color w:val="000000"/>
          <w:lang w:val="es-CO"/>
        </w:rPr>
        <w:t>El Estado realizó la reparación económica, según lo establecido en el acuerdo con el pago de intereses.</w:t>
      </w:r>
    </w:p>
    <w:sectPr w:rsidR="0053292A" w:rsidRPr="00AC18B3"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CA742C"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16A99463" w14:textId="2DA6237F" w:rsidR="00C10C5C" w:rsidRPr="00C10C5C" w:rsidRDefault="00C10C5C" w:rsidP="00EB61DE">
      <w:pPr>
        <w:pStyle w:val="FootnoteText"/>
        <w:ind w:firstLine="709"/>
        <w:rPr>
          <w:sz w:val="16"/>
          <w:szCs w:val="16"/>
          <w:lang w:val="es-AR"/>
        </w:rPr>
      </w:pPr>
      <w:r w:rsidRPr="00C10C5C">
        <w:rPr>
          <w:rStyle w:val="FootnoteReference"/>
          <w:sz w:val="16"/>
          <w:szCs w:val="16"/>
        </w:rPr>
        <w:footnoteRef/>
      </w:r>
      <w:r w:rsidRPr="00C10C5C">
        <w:rPr>
          <w:sz w:val="16"/>
          <w:szCs w:val="16"/>
          <w:lang w:val="es-AR"/>
        </w:rPr>
        <w:t xml:space="preserve"> </w:t>
      </w:r>
      <w:r w:rsidRPr="00C10C5C">
        <w:rPr>
          <w:rFonts w:ascii="Cambria" w:hAnsi="Cambria"/>
          <w:color w:val="000000"/>
          <w:sz w:val="16"/>
          <w:szCs w:val="16"/>
          <w:lang w:val="es-ES"/>
        </w:rPr>
        <w:t>CIDH, Informe No. 104/01, Caso 11.441, Solución Amistosa, Rodrigo Elicio Muñoz y otros, Ecuador, 11 de octubre de 2001.</w:t>
      </w:r>
    </w:p>
  </w:footnote>
  <w:footnote w:id="3">
    <w:p w14:paraId="690EC828" w14:textId="144A620C" w:rsidR="00C10C5C" w:rsidRPr="00634593" w:rsidRDefault="00C10C5C" w:rsidP="00EB61DE">
      <w:pPr>
        <w:spacing w:after="0" w:line="240" w:lineRule="auto"/>
        <w:ind w:firstLine="709"/>
        <w:jc w:val="both"/>
        <w:rPr>
          <w:rFonts w:ascii="Cambria" w:hAnsi="Cambria"/>
          <w:sz w:val="16"/>
          <w:szCs w:val="16"/>
          <w:lang w:val="es-VE"/>
        </w:rPr>
      </w:pPr>
      <w:r w:rsidRPr="00634593">
        <w:rPr>
          <w:rStyle w:val="FootnoteReference"/>
          <w:rFonts w:ascii="Cambria" w:hAnsi="Cambria"/>
          <w:sz w:val="16"/>
          <w:szCs w:val="16"/>
        </w:rPr>
        <w:footnoteRef/>
      </w:r>
      <w:r w:rsidRPr="00634593">
        <w:rPr>
          <w:rFonts w:ascii="Cambria" w:hAnsi="Cambria"/>
          <w:color w:val="000000"/>
          <w:sz w:val="16"/>
          <w:szCs w:val="16"/>
          <w:lang w:val="es-ES"/>
        </w:rPr>
        <w:t xml:space="preserve">Ver CIDH, Informe Anual 2019, Capítulo II, Sección G. Soluciones Amistosas, </w:t>
      </w:r>
      <w:r w:rsidRPr="00634593">
        <w:rPr>
          <w:rFonts w:ascii="Cambria" w:hAnsi="Cambria"/>
          <w:color w:val="000000"/>
          <w:sz w:val="16"/>
          <w:szCs w:val="16"/>
          <w:lang w:val="es-CO"/>
        </w:rPr>
        <w:t xml:space="preserve">Disponible en: </w:t>
      </w:r>
      <w:hyperlink r:id="rId1" w:history="1">
        <w:r w:rsidRPr="00634593">
          <w:rPr>
            <w:rStyle w:val="Hyperlink"/>
            <w:rFonts w:ascii="Cambria" w:hAnsi="Cambria"/>
            <w:sz w:val="16"/>
            <w:szCs w:val="16"/>
            <w:lang w:val="es-VE"/>
          </w:rPr>
          <w:t>http://www.oas.org/es/cidh/docs/anual/2019/docs/IA2019cap2-es.pdf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CA742C">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CA742C"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18B3"/>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0993"/>
    <w:rsid w:val="00C75161"/>
    <w:rsid w:val="00CA2777"/>
    <w:rsid w:val="00CA3AA8"/>
    <w:rsid w:val="00CA45B6"/>
    <w:rsid w:val="00CA4F83"/>
    <w:rsid w:val="00CA742C"/>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1sp/Ecuador1144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9/docs/IA2019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2023-03-03T22:07:00Z</dcterms:created>
  <dcterms:modified xsi:type="dcterms:W3CDTF">2023-03-03T22:07:00Z</dcterms:modified>
</cp:coreProperties>
</file>