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732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2A" w:rsidRDefault="00C04B2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04B2A" w:rsidRDefault="00C04B2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A557DE">
        <w:rPr>
          <w:rFonts w:asciiTheme="majorHAnsi" w:hAnsiTheme="majorHAnsi" w:cs="Univers"/>
          <w:b/>
          <w:bCs/>
          <w:sz w:val="22"/>
          <w:szCs w:val="22"/>
          <w:lang w:val="es-ES_tradnl"/>
        </w:rPr>
        <w:t>-</w:t>
      </w:r>
      <w:r w:rsidR="00977F10">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2A" w:rsidRPr="004E2649" w:rsidRDefault="00C04B2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72AB5">
                              <w:rPr>
                                <w:rFonts w:asciiTheme="majorHAnsi" w:hAnsiTheme="majorHAnsi" w:cs="Arial"/>
                                <w:b/>
                                <w:bCs/>
                                <w:color w:val="0D0D0D" w:themeColor="text1" w:themeTint="F2"/>
                                <w:sz w:val="36"/>
                                <w:szCs w:val="22"/>
                                <w:lang w:val="es-ES_tradnl"/>
                              </w:rPr>
                              <w:t>42</w:t>
                            </w:r>
                            <w:r>
                              <w:rPr>
                                <w:rFonts w:asciiTheme="majorHAnsi" w:hAnsiTheme="majorHAnsi" w:cs="Arial"/>
                                <w:b/>
                                <w:bCs/>
                                <w:color w:val="0D0D0D" w:themeColor="text1" w:themeTint="F2"/>
                                <w:sz w:val="36"/>
                                <w:szCs w:val="22"/>
                                <w:lang w:val="es-ES_tradnl"/>
                              </w:rPr>
                              <w:t>/1</w:t>
                            </w:r>
                            <w:r w:rsidR="00AF2BAD">
                              <w:rPr>
                                <w:rFonts w:asciiTheme="majorHAnsi" w:hAnsiTheme="majorHAnsi" w:cs="Arial"/>
                                <w:b/>
                                <w:bCs/>
                                <w:color w:val="0D0D0D" w:themeColor="text1" w:themeTint="F2"/>
                                <w:sz w:val="36"/>
                                <w:szCs w:val="22"/>
                                <w:lang w:val="es-ES_tradnl"/>
                              </w:rPr>
                              <w:t>9</w:t>
                            </w:r>
                          </w:p>
                          <w:p w:rsidR="00C04B2A" w:rsidRDefault="00C04B2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3ECC">
                              <w:rPr>
                                <w:rFonts w:asciiTheme="majorHAnsi" w:hAnsiTheme="majorHAnsi" w:cs="Arial"/>
                                <w:b/>
                                <w:color w:val="0D0D0D" w:themeColor="text1" w:themeTint="F2"/>
                                <w:sz w:val="36"/>
                                <w:szCs w:val="22"/>
                                <w:lang w:val="es-ES_tradnl"/>
                              </w:rPr>
                              <w:t>467</w:t>
                            </w:r>
                            <w:r w:rsidRPr="004E2649">
                              <w:rPr>
                                <w:rFonts w:asciiTheme="majorHAnsi" w:hAnsiTheme="majorHAnsi" w:cs="Arial"/>
                                <w:b/>
                                <w:color w:val="0D0D0D" w:themeColor="text1" w:themeTint="F2"/>
                                <w:sz w:val="36"/>
                                <w:szCs w:val="22"/>
                                <w:lang w:val="es-ES_tradnl"/>
                              </w:rPr>
                              <w:t>-</w:t>
                            </w:r>
                            <w:r w:rsidR="00433ECC">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C04B2A" w:rsidRPr="0010736F" w:rsidRDefault="00C04B2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C04B2A" w:rsidRPr="0010736F" w:rsidRDefault="00C04B2A" w:rsidP="00997BC5">
                            <w:pPr>
                              <w:spacing w:line="276" w:lineRule="auto"/>
                              <w:rPr>
                                <w:rFonts w:asciiTheme="majorHAnsi" w:hAnsiTheme="majorHAnsi" w:cs="Arial"/>
                                <w:color w:val="0D0D0D" w:themeColor="text1" w:themeTint="F2"/>
                                <w:szCs w:val="22"/>
                                <w:lang w:val="es-ES_tradnl"/>
                              </w:rPr>
                            </w:pPr>
                            <w:bookmarkStart w:id="1" w:name="_ftnref1"/>
                          </w:p>
                          <w:p w:rsidR="00B72AB5" w:rsidRDefault="00433ECC" w:rsidP="00997BC5">
                            <w:pPr>
                              <w:spacing w:line="276" w:lineRule="auto"/>
                              <w:rPr>
                                <w:rFonts w:ascii="Cambria" w:hAnsi="Cambria"/>
                                <w:bCs/>
                                <w:lang w:val="es-ES"/>
                              </w:rPr>
                            </w:pPr>
                            <w:r w:rsidRPr="00433ECC">
                              <w:rPr>
                                <w:rFonts w:ascii="Cambria" w:hAnsi="Cambria"/>
                                <w:bCs/>
                                <w:lang w:val="es-ES"/>
                              </w:rPr>
                              <w:t xml:space="preserve">MARITZA ELIZABETH </w:t>
                            </w:r>
                            <w:r w:rsidR="00E675A1" w:rsidRPr="00433ECC">
                              <w:rPr>
                                <w:rFonts w:ascii="Cambria" w:hAnsi="Cambria"/>
                                <w:bCs/>
                                <w:lang w:val="es-ES"/>
                              </w:rPr>
                              <w:t xml:space="preserve">GUTIERREZ CORTEZ </w:t>
                            </w:r>
                            <w:r w:rsidRPr="00433ECC">
                              <w:rPr>
                                <w:rFonts w:ascii="Cambria" w:hAnsi="Cambria"/>
                                <w:bCs/>
                                <w:lang w:val="es-ES"/>
                              </w:rPr>
                              <w:t xml:space="preserve">Y OTROS </w:t>
                            </w:r>
                          </w:p>
                          <w:p w:rsidR="00433ECC" w:rsidRPr="00E675A1" w:rsidRDefault="00433ECC" w:rsidP="00997BC5">
                            <w:pPr>
                              <w:spacing w:line="276" w:lineRule="auto"/>
                              <w:rPr>
                                <w:rFonts w:ascii="Cambria" w:hAnsi="Cambria"/>
                                <w:bCs/>
                                <w:lang w:val="es-ES"/>
                              </w:rPr>
                            </w:pPr>
                            <w:r w:rsidRPr="00433ECC">
                              <w:rPr>
                                <w:rFonts w:ascii="Cambria" w:hAnsi="Cambria"/>
                                <w:bCs/>
                                <w:lang w:val="es-ES"/>
                              </w:rPr>
                              <w:t>(TRAGEDIA “MESA REDONDA”)</w:t>
                            </w:r>
                          </w:p>
                          <w:bookmarkEnd w:id="1"/>
                          <w:p w:rsidR="00C04B2A" w:rsidRPr="0010736F" w:rsidRDefault="00C04B2A"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433ECC">
                              <w:rPr>
                                <w:rFonts w:asciiTheme="majorHAnsi" w:hAnsiTheme="majorHAnsi" w:cs="Arial"/>
                                <w:color w:val="0D0D0D" w:themeColor="text1" w:themeTint="F2"/>
                                <w:szCs w:val="22"/>
                                <w:lang w:val="es-ES_tradnl"/>
                              </w:rPr>
                              <w:t>ERÚ</w:t>
                            </w:r>
                          </w:p>
                          <w:p w:rsidR="00C04B2A" w:rsidRPr="00AE5488" w:rsidRDefault="00C04B2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04B2A" w:rsidRPr="004E2649" w:rsidRDefault="00C04B2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72AB5">
                        <w:rPr>
                          <w:rFonts w:asciiTheme="majorHAnsi" w:hAnsiTheme="majorHAnsi" w:cs="Arial"/>
                          <w:b/>
                          <w:bCs/>
                          <w:color w:val="0D0D0D" w:themeColor="text1" w:themeTint="F2"/>
                          <w:sz w:val="36"/>
                          <w:szCs w:val="22"/>
                          <w:lang w:val="es-ES_tradnl"/>
                        </w:rPr>
                        <w:t>42</w:t>
                      </w:r>
                      <w:r>
                        <w:rPr>
                          <w:rFonts w:asciiTheme="majorHAnsi" w:hAnsiTheme="majorHAnsi" w:cs="Arial"/>
                          <w:b/>
                          <w:bCs/>
                          <w:color w:val="0D0D0D" w:themeColor="text1" w:themeTint="F2"/>
                          <w:sz w:val="36"/>
                          <w:szCs w:val="22"/>
                          <w:lang w:val="es-ES_tradnl"/>
                        </w:rPr>
                        <w:t>/1</w:t>
                      </w:r>
                      <w:r w:rsidR="00AF2BAD">
                        <w:rPr>
                          <w:rFonts w:asciiTheme="majorHAnsi" w:hAnsiTheme="majorHAnsi" w:cs="Arial"/>
                          <w:b/>
                          <w:bCs/>
                          <w:color w:val="0D0D0D" w:themeColor="text1" w:themeTint="F2"/>
                          <w:sz w:val="36"/>
                          <w:szCs w:val="22"/>
                          <w:lang w:val="es-ES_tradnl"/>
                        </w:rPr>
                        <w:t>9</w:t>
                      </w:r>
                    </w:p>
                    <w:p w:rsidR="00C04B2A" w:rsidRDefault="00C04B2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3ECC">
                        <w:rPr>
                          <w:rFonts w:asciiTheme="majorHAnsi" w:hAnsiTheme="majorHAnsi" w:cs="Arial"/>
                          <w:b/>
                          <w:color w:val="0D0D0D" w:themeColor="text1" w:themeTint="F2"/>
                          <w:sz w:val="36"/>
                          <w:szCs w:val="22"/>
                          <w:lang w:val="es-ES_tradnl"/>
                        </w:rPr>
                        <w:t>467</w:t>
                      </w:r>
                      <w:r w:rsidRPr="004E2649">
                        <w:rPr>
                          <w:rFonts w:asciiTheme="majorHAnsi" w:hAnsiTheme="majorHAnsi" w:cs="Arial"/>
                          <w:b/>
                          <w:color w:val="0D0D0D" w:themeColor="text1" w:themeTint="F2"/>
                          <w:sz w:val="36"/>
                          <w:szCs w:val="22"/>
                          <w:lang w:val="es-ES_tradnl"/>
                        </w:rPr>
                        <w:t>-</w:t>
                      </w:r>
                      <w:r w:rsidR="00433ECC">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C04B2A" w:rsidRPr="0010736F" w:rsidRDefault="00C04B2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C04B2A" w:rsidRPr="0010736F" w:rsidRDefault="00C04B2A" w:rsidP="00997BC5">
                      <w:pPr>
                        <w:spacing w:line="276" w:lineRule="auto"/>
                        <w:rPr>
                          <w:rFonts w:asciiTheme="majorHAnsi" w:hAnsiTheme="majorHAnsi" w:cs="Arial"/>
                          <w:color w:val="0D0D0D" w:themeColor="text1" w:themeTint="F2"/>
                          <w:szCs w:val="22"/>
                          <w:lang w:val="es-ES_tradnl"/>
                        </w:rPr>
                      </w:pPr>
                      <w:bookmarkStart w:id="2" w:name="_ftnref1"/>
                    </w:p>
                    <w:p w:rsidR="00B72AB5" w:rsidRDefault="00433ECC" w:rsidP="00997BC5">
                      <w:pPr>
                        <w:spacing w:line="276" w:lineRule="auto"/>
                        <w:rPr>
                          <w:rFonts w:ascii="Cambria" w:hAnsi="Cambria"/>
                          <w:bCs/>
                          <w:lang w:val="es-ES"/>
                        </w:rPr>
                      </w:pPr>
                      <w:r w:rsidRPr="00433ECC">
                        <w:rPr>
                          <w:rFonts w:ascii="Cambria" w:hAnsi="Cambria"/>
                          <w:bCs/>
                          <w:lang w:val="es-ES"/>
                        </w:rPr>
                        <w:t xml:space="preserve">MARITZA ELIZABETH </w:t>
                      </w:r>
                      <w:r w:rsidR="00E675A1" w:rsidRPr="00433ECC">
                        <w:rPr>
                          <w:rFonts w:ascii="Cambria" w:hAnsi="Cambria"/>
                          <w:bCs/>
                          <w:lang w:val="es-ES"/>
                        </w:rPr>
                        <w:t xml:space="preserve">GUTIERREZ CORTEZ </w:t>
                      </w:r>
                      <w:r w:rsidRPr="00433ECC">
                        <w:rPr>
                          <w:rFonts w:ascii="Cambria" w:hAnsi="Cambria"/>
                          <w:bCs/>
                          <w:lang w:val="es-ES"/>
                        </w:rPr>
                        <w:t xml:space="preserve">Y OTROS </w:t>
                      </w:r>
                    </w:p>
                    <w:p w:rsidR="00433ECC" w:rsidRPr="00E675A1" w:rsidRDefault="00433ECC" w:rsidP="00997BC5">
                      <w:pPr>
                        <w:spacing w:line="276" w:lineRule="auto"/>
                        <w:rPr>
                          <w:rFonts w:ascii="Cambria" w:hAnsi="Cambria"/>
                          <w:bCs/>
                          <w:lang w:val="es-ES"/>
                        </w:rPr>
                      </w:pPr>
                      <w:r w:rsidRPr="00433ECC">
                        <w:rPr>
                          <w:rFonts w:ascii="Cambria" w:hAnsi="Cambria"/>
                          <w:bCs/>
                          <w:lang w:val="es-ES"/>
                        </w:rPr>
                        <w:t>(TRAGEDIA “MESA REDONDA”)</w:t>
                      </w:r>
                    </w:p>
                    <w:bookmarkEnd w:id="2"/>
                    <w:p w:rsidR="00C04B2A" w:rsidRPr="0010736F" w:rsidRDefault="00C04B2A"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433ECC">
                        <w:rPr>
                          <w:rFonts w:asciiTheme="majorHAnsi" w:hAnsiTheme="majorHAnsi" w:cs="Arial"/>
                          <w:color w:val="0D0D0D" w:themeColor="text1" w:themeTint="F2"/>
                          <w:szCs w:val="22"/>
                          <w:lang w:val="es-ES_tradnl"/>
                        </w:rPr>
                        <w:t>ERÚ</w:t>
                      </w:r>
                    </w:p>
                    <w:p w:rsidR="00C04B2A" w:rsidRPr="00AE5488" w:rsidRDefault="00C04B2A"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2A" w:rsidRPr="004E2649" w:rsidRDefault="00C04B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C04B2A" w:rsidRPr="004E2649" w:rsidRDefault="00B72AB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47</w:t>
                            </w:r>
                          </w:p>
                          <w:p w:rsidR="00C04B2A" w:rsidRPr="004E2649" w:rsidRDefault="00B72AB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abril</w:t>
                            </w:r>
                            <w:proofErr w:type="spellEnd"/>
                            <w:r w:rsidR="00C04B2A" w:rsidRPr="004E2649">
                              <w:rPr>
                                <w:rFonts w:asciiTheme="minorHAnsi" w:hAnsiTheme="minorHAnsi"/>
                                <w:color w:val="FFFFFF" w:themeColor="background1"/>
                                <w:sz w:val="22"/>
                              </w:rPr>
                              <w:t xml:space="preserve"> 201</w:t>
                            </w:r>
                            <w:r w:rsidR="00640177">
                              <w:rPr>
                                <w:rFonts w:asciiTheme="minorHAnsi" w:hAnsiTheme="minorHAnsi"/>
                                <w:color w:val="FFFFFF" w:themeColor="background1"/>
                                <w:sz w:val="22"/>
                              </w:rPr>
                              <w:t>9</w:t>
                            </w:r>
                          </w:p>
                          <w:p w:rsidR="00C04B2A" w:rsidRPr="004E2649" w:rsidRDefault="00C04B2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04B2A" w:rsidRPr="004E2649" w:rsidRDefault="00C04B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C04B2A" w:rsidRPr="004E2649" w:rsidRDefault="00B72AB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47</w:t>
                      </w:r>
                    </w:p>
                    <w:p w:rsidR="00C04B2A" w:rsidRPr="004E2649" w:rsidRDefault="00B72AB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abril</w:t>
                      </w:r>
                      <w:proofErr w:type="spellEnd"/>
                      <w:r w:rsidR="00C04B2A" w:rsidRPr="004E2649">
                        <w:rPr>
                          <w:rFonts w:asciiTheme="minorHAnsi" w:hAnsiTheme="minorHAnsi"/>
                          <w:color w:val="FFFFFF" w:themeColor="background1"/>
                          <w:sz w:val="22"/>
                        </w:rPr>
                        <w:t xml:space="preserve"> 201</w:t>
                      </w:r>
                      <w:r w:rsidR="00640177">
                        <w:rPr>
                          <w:rFonts w:asciiTheme="minorHAnsi" w:hAnsiTheme="minorHAnsi"/>
                          <w:color w:val="FFFFFF" w:themeColor="background1"/>
                          <w:sz w:val="22"/>
                        </w:rPr>
                        <w:t>9</w:t>
                      </w:r>
                    </w:p>
                    <w:p w:rsidR="00C04B2A" w:rsidRPr="004E2649" w:rsidRDefault="00C04B2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2A" w:rsidRPr="007A5817" w:rsidRDefault="00AF2BAD"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72AB5">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B72AB5">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proofErr w:type="gramStart"/>
                            <w:r w:rsidRPr="00890650">
                              <w:rPr>
                                <w:rFonts w:asciiTheme="majorHAnsi" w:hAnsiTheme="majorHAnsi"/>
                                <w:color w:val="0D0D0D" w:themeColor="text1" w:themeTint="F2"/>
                                <w:sz w:val="18"/>
                                <w:szCs w:val="22"/>
                                <w:lang w:val="es-ES"/>
                              </w:rPr>
                              <w:t>201</w:t>
                            </w:r>
                            <w:r>
                              <w:rPr>
                                <w:rFonts w:asciiTheme="majorHAnsi" w:hAnsiTheme="majorHAnsi"/>
                                <w:color w:val="0D0D0D" w:themeColor="text1" w:themeTint="F2"/>
                                <w:sz w:val="18"/>
                                <w:szCs w:val="22"/>
                                <w:lang w:val="es-ES"/>
                              </w:rPr>
                              <w:t xml:space="preserve">9 </w:t>
                            </w:r>
                            <w:r w:rsidR="003A598E">
                              <w:rPr>
                                <w:rFonts w:asciiTheme="majorHAnsi" w:hAnsiTheme="majorHAnsi"/>
                                <w:color w:val="0D0D0D" w:themeColor="text1" w:themeTint="F2"/>
                                <w:sz w:val="18"/>
                                <w:szCs w:val="22"/>
                                <w:lang w:val="es-ES"/>
                              </w:rPr>
                              <w:t>.</w:t>
                            </w:r>
                            <w:proofErr w:type="gramEnd"/>
                          </w:p>
                          <w:p w:rsidR="00C04B2A" w:rsidRPr="00167A34" w:rsidRDefault="00C04B2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04B2A" w:rsidRPr="007A5817" w:rsidRDefault="00AF2BAD"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72AB5">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B72AB5">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proofErr w:type="gramStart"/>
                      <w:r w:rsidRPr="00890650">
                        <w:rPr>
                          <w:rFonts w:asciiTheme="majorHAnsi" w:hAnsiTheme="majorHAnsi"/>
                          <w:color w:val="0D0D0D" w:themeColor="text1" w:themeTint="F2"/>
                          <w:sz w:val="18"/>
                          <w:szCs w:val="22"/>
                          <w:lang w:val="es-ES"/>
                        </w:rPr>
                        <w:t>201</w:t>
                      </w:r>
                      <w:r>
                        <w:rPr>
                          <w:rFonts w:asciiTheme="majorHAnsi" w:hAnsiTheme="majorHAnsi"/>
                          <w:color w:val="0D0D0D" w:themeColor="text1" w:themeTint="F2"/>
                          <w:sz w:val="18"/>
                          <w:szCs w:val="22"/>
                          <w:lang w:val="es-ES"/>
                        </w:rPr>
                        <w:t xml:space="preserve">9 </w:t>
                      </w:r>
                      <w:r w:rsidR="003A598E">
                        <w:rPr>
                          <w:rFonts w:asciiTheme="majorHAnsi" w:hAnsiTheme="majorHAnsi"/>
                          <w:color w:val="0D0D0D" w:themeColor="text1" w:themeTint="F2"/>
                          <w:sz w:val="18"/>
                          <w:szCs w:val="22"/>
                          <w:lang w:val="es-ES"/>
                        </w:rPr>
                        <w:t>.</w:t>
                      </w:r>
                      <w:proofErr w:type="gramEnd"/>
                    </w:p>
                    <w:p w:rsidR="00C04B2A" w:rsidRPr="00167A34" w:rsidRDefault="00C04B2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2A" w:rsidRDefault="00C04B2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B9787A">
                              <w:rPr>
                                <w:rFonts w:asciiTheme="majorHAnsi" w:hAnsiTheme="majorHAnsi"/>
                                <w:color w:val="595959" w:themeColor="text1" w:themeTint="A6"/>
                                <w:sz w:val="18"/>
                                <w:szCs w:val="18"/>
                                <w:lang w:val="es-ES"/>
                              </w:rPr>
                              <w:t xml:space="preserve">CIDH, Informe No. </w:t>
                            </w:r>
                            <w:r w:rsidR="00B72AB5" w:rsidRPr="00B9787A">
                              <w:rPr>
                                <w:rFonts w:asciiTheme="majorHAnsi" w:hAnsiTheme="majorHAnsi"/>
                                <w:color w:val="595959" w:themeColor="text1" w:themeTint="A6"/>
                                <w:sz w:val="18"/>
                                <w:szCs w:val="18"/>
                                <w:lang w:val="es-ES"/>
                              </w:rPr>
                              <w:t>42</w:t>
                            </w:r>
                            <w:r w:rsidRPr="00B9787A">
                              <w:rPr>
                                <w:rFonts w:asciiTheme="majorHAnsi" w:hAnsiTheme="majorHAnsi"/>
                                <w:color w:val="595959" w:themeColor="text1" w:themeTint="A6"/>
                                <w:sz w:val="18"/>
                                <w:szCs w:val="18"/>
                                <w:lang w:val="es-ES"/>
                              </w:rPr>
                              <w:t>/</w:t>
                            </w:r>
                            <w:r w:rsidR="00B72AB5" w:rsidRPr="00B9787A">
                              <w:rPr>
                                <w:rFonts w:asciiTheme="majorHAnsi" w:hAnsiTheme="majorHAnsi"/>
                                <w:color w:val="595959" w:themeColor="text1" w:themeTint="A6"/>
                                <w:sz w:val="18"/>
                                <w:szCs w:val="18"/>
                                <w:lang w:val="es-ES"/>
                              </w:rPr>
                              <w:t>19</w:t>
                            </w:r>
                            <w:r w:rsidRPr="00B9787A">
                              <w:rPr>
                                <w:rFonts w:asciiTheme="majorHAnsi" w:hAnsiTheme="majorHAnsi"/>
                                <w:color w:val="595959" w:themeColor="text1" w:themeTint="A6"/>
                                <w:sz w:val="18"/>
                                <w:szCs w:val="18"/>
                                <w:lang w:val="es-ES"/>
                              </w:rPr>
                              <w:t>. Admisibilidad.</w:t>
                            </w:r>
                            <w:r w:rsidR="00B9787A" w:rsidRPr="00B9787A">
                              <w:rPr>
                                <w:rFonts w:asciiTheme="majorHAnsi" w:hAnsiTheme="majorHAnsi"/>
                                <w:color w:val="595959" w:themeColor="text1" w:themeTint="A6"/>
                                <w:sz w:val="18"/>
                                <w:szCs w:val="18"/>
                                <w:lang w:val="es-ES"/>
                              </w:rPr>
                              <w:t xml:space="preserve"> Petición 467-10.</w:t>
                            </w:r>
                            <w:r w:rsidRPr="00B9787A">
                              <w:rPr>
                                <w:rFonts w:asciiTheme="majorHAnsi" w:hAnsiTheme="majorHAnsi"/>
                                <w:color w:val="595959" w:themeColor="text1" w:themeTint="A6"/>
                                <w:sz w:val="18"/>
                                <w:szCs w:val="18"/>
                                <w:lang w:val="es-ES"/>
                              </w:rPr>
                              <w:t xml:space="preserve"> </w:t>
                            </w:r>
                            <w:r w:rsidR="009A3C74" w:rsidRPr="00B9787A">
                              <w:rPr>
                                <w:rFonts w:asciiTheme="majorHAnsi" w:hAnsiTheme="majorHAnsi"/>
                                <w:color w:val="595959" w:themeColor="text1" w:themeTint="A6"/>
                                <w:sz w:val="18"/>
                                <w:szCs w:val="18"/>
                                <w:lang w:val="es-ES"/>
                              </w:rPr>
                              <w:t xml:space="preserve">Maritza Elizabeth </w:t>
                            </w:r>
                            <w:r w:rsidR="00E675A1" w:rsidRPr="00B9787A">
                              <w:rPr>
                                <w:rFonts w:asciiTheme="majorHAnsi" w:hAnsiTheme="majorHAnsi"/>
                                <w:color w:val="595959" w:themeColor="text1" w:themeTint="A6"/>
                                <w:sz w:val="18"/>
                                <w:szCs w:val="18"/>
                                <w:lang w:val="es-ES"/>
                              </w:rPr>
                              <w:t xml:space="preserve">Gutierrez Cortez </w:t>
                            </w:r>
                            <w:r w:rsidR="009A3C74" w:rsidRPr="00B9787A">
                              <w:rPr>
                                <w:rFonts w:asciiTheme="majorHAnsi" w:hAnsiTheme="majorHAnsi"/>
                                <w:color w:val="595959" w:themeColor="text1" w:themeTint="A6"/>
                                <w:sz w:val="18"/>
                                <w:szCs w:val="18"/>
                                <w:lang w:val="es-ES"/>
                              </w:rPr>
                              <w:t>y otros (</w:t>
                            </w:r>
                            <w:r w:rsidR="00E675A1" w:rsidRPr="00B9787A">
                              <w:rPr>
                                <w:rFonts w:asciiTheme="majorHAnsi" w:hAnsiTheme="majorHAnsi"/>
                                <w:color w:val="595959" w:themeColor="text1" w:themeTint="A6"/>
                                <w:sz w:val="18"/>
                                <w:szCs w:val="18"/>
                                <w:lang w:val="es-ES"/>
                              </w:rPr>
                              <w:t>T</w:t>
                            </w:r>
                            <w:r w:rsidR="009A3C74" w:rsidRPr="00B9787A">
                              <w:rPr>
                                <w:rFonts w:asciiTheme="majorHAnsi" w:hAnsiTheme="majorHAnsi"/>
                                <w:color w:val="595959" w:themeColor="text1" w:themeTint="A6"/>
                                <w:sz w:val="18"/>
                                <w:szCs w:val="18"/>
                                <w:lang w:val="es-ES"/>
                              </w:rPr>
                              <w:t>ragedia “</w:t>
                            </w:r>
                            <w:r w:rsidR="00E675A1" w:rsidRPr="00B9787A">
                              <w:rPr>
                                <w:rFonts w:asciiTheme="majorHAnsi" w:hAnsiTheme="majorHAnsi"/>
                                <w:color w:val="595959" w:themeColor="text1" w:themeTint="A6"/>
                                <w:sz w:val="18"/>
                                <w:szCs w:val="18"/>
                                <w:lang w:val="es-ES"/>
                              </w:rPr>
                              <w:t>M</w:t>
                            </w:r>
                            <w:r w:rsidR="009A3C74" w:rsidRPr="00B9787A">
                              <w:rPr>
                                <w:rFonts w:asciiTheme="majorHAnsi" w:hAnsiTheme="majorHAnsi"/>
                                <w:color w:val="595959" w:themeColor="text1" w:themeTint="A6"/>
                                <w:sz w:val="18"/>
                                <w:szCs w:val="18"/>
                                <w:lang w:val="es-ES"/>
                              </w:rPr>
                              <w:t xml:space="preserve">esa </w:t>
                            </w:r>
                            <w:r w:rsidR="00E675A1" w:rsidRPr="00B9787A">
                              <w:rPr>
                                <w:rFonts w:asciiTheme="majorHAnsi" w:hAnsiTheme="majorHAnsi"/>
                                <w:color w:val="595959" w:themeColor="text1" w:themeTint="A6"/>
                                <w:sz w:val="18"/>
                                <w:szCs w:val="18"/>
                                <w:lang w:val="es-ES"/>
                              </w:rPr>
                              <w:t>R</w:t>
                            </w:r>
                            <w:r w:rsidR="009A3C74" w:rsidRPr="00B9787A">
                              <w:rPr>
                                <w:rFonts w:asciiTheme="majorHAnsi" w:hAnsiTheme="majorHAnsi"/>
                                <w:color w:val="595959" w:themeColor="text1" w:themeTint="A6"/>
                                <w:sz w:val="18"/>
                                <w:szCs w:val="18"/>
                                <w:lang w:val="es-ES"/>
                              </w:rPr>
                              <w:t>edonda”)</w:t>
                            </w:r>
                            <w:r w:rsidRPr="00B9787A">
                              <w:rPr>
                                <w:rFonts w:asciiTheme="majorHAnsi" w:hAnsiTheme="majorHAnsi"/>
                                <w:color w:val="595959" w:themeColor="text1" w:themeTint="A6"/>
                                <w:sz w:val="18"/>
                                <w:szCs w:val="18"/>
                                <w:lang w:val="es-ES"/>
                              </w:rPr>
                              <w:t xml:space="preserve">. </w:t>
                            </w:r>
                            <w:r w:rsidR="009A3C74" w:rsidRPr="00B9787A">
                              <w:rPr>
                                <w:rFonts w:asciiTheme="majorHAnsi" w:hAnsiTheme="majorHAnsi"/>
                                <w:color w:val="595959" w:themeColor="text1" w:themeTint="A6"/>
                                <w:sz w:val="18"/>
                                <w:szCs w:val="18"/>
                                <w:lang w:val="es-ES"/>
                              </w:rPr>
                              <w:t>Perú</w:t>
                            </w:r>
                            <w:r w:rsidRPr="00B9787A">
                              <w:rPr>
                                <w:rFonts w:asciiTheme="majorHAnsi" w:hAnsiTheme="majorHAnsi"/>
                                <w:color w:val="595959" w:themeColor="text1" w:themeTint="A6"/>
                                <w:sz w:val="18"/>
                                <w:szCs w:val="18"/>
                                <w:lang w:val="es-ES"/>
                              </w:rPr>
                              <w:t xml:space="preserve">. </w:t>
                            </w:r>
                            <w:r w:rsidR="00B72AB5">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p w:rsidR="004F2DBC" w:rsidRPr="007B05C4" w:rsidRDefault="004F2DBC"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04B2A" w:rsidRDefault="00C04B2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B9787A">
                        <w:rPr>
                          <w:rFonts w:asciiTheme="majorHAnsi" w:hAnsiTheme="majorHAnsi"/>
                          <w:color w:val="595959" w:themeColor="text1" w:themeTint="A6"/>
                          <w:sz w:val="18"/>
                          <w:szCs w:val="18"/>
                          <w:lang w:val="es-ES"/>
                        </w:rPr>
                        <w:t xml:space="preserve">CIDH, Informe No. </w:t>
                      </w:r>
                      <w:r w:rsidR="00B72AB5" w:rsidRPr="00B9787A">
                        <w:rPr>
                          <w:rFonts w:asciiTheme="majorHAnsi" w:hAnsiTheme="majorHAnsi"/>
                          <w:color w:val="595959" w:themeColor="text1" w:themeTint="A6"/>
                          <w:sz w:val="18"/>
                          <w:szCs w:val="18"/>
                          <w:lang w:val="es-ES"/>
                        </w:rPr>
                        <w:t>42</w:t>
                      </w:r>
                      <w:r w:rsidRPr="00B9787A">
                        <w:rPr>
                          <w:rFonts w:asciiTheme="majorHAnsi" w:hAnsiTheme="majorHAnsi"/>
                          <w:color w:val="595959" w:themeColor="text1" w:themeTint="A6"/>
                          <w:sz w:val="18"/>
                          <w:szCs w:val="18"/>
                          <w:lang w:val="es-ES"/>
                        </w:rPr>
                        <w:t>/</w:t>
                      </w:r>
                      <w:r w:rsidR="00B72AB5" w:rsidRPr="00B9787A">
                        <w:rPr>
                          <w:rFonts w:asciiTheme="majorHAnsi" w:hAnsiTheme="majorHAnsi"/>
                          <w:color w:val="595959" w:themeColor="text1" w:themeTint="A6"/>
                          <w:sz w:val="18"/>
                          <w:szCs w:val="18"/>
                          <w:lang w:val="es-ES"/>
                        </w:rPr>
                        <w:t>19</w:t>
                      </w:r>
                      <w:r w:rsidRPr="00B9787A">
                        <w:rPr>
                          <w:rFonts w:asciiTheme="majorHAnsi" w:hAnsiTheme="majorHAnsi"/>
                          <w:color w:val="595959" w:themeColor="text1" w:themeTint="A6"/>
                          <w:sz w:val="18"/>
                          <w:szCs w:val="18"/>
                          <w:lang w:val="es-ES"/>
                        </w:rPr>
                        <w:t>. Admisibilidad.</w:t>
                      </w:r>
                      <w:r w:rsidR="00B9787A" w:rsidRPr="00B9787A">
                        <w:rPr>
                          <w:rFonts w:asciiTheme="majorHAnsi" w:hAnsiTheme="majorHAnsi"/>
                          <w:color w:val="595959" w:themeColor="text1" w:themeTint="A6"/>
                          <w:sz w:val="18"/>
                          <w:szCs w:val="18"/>
                          <w:lang w:val="es-ES"/>
                        </w:rPr>
                        <w:t xml:space="preserve"> Petición 467-10.</w:t>
                      </w:r>
                      <w:r w:rsidRPr="00B9787A">
                        <w:rPr>
                          <w:rFonts w:asciiTheme="majorHAnsi" w:hAnsiTheme="majorHAnsi"/>
                          <w:color w:val="595959" w:themeColor="text1" w:themeTint="A6"/>
                          <w:sz w:val="18"/>
                          <w:szCs w:val="18"/>
                          <w:lang w:val="es-ES"/>
                        </w:rPr>
                        <w:t xml:space="preserve"> </w:t>
                      </w:r>
                      <w:r w:rsidR="009A3C74" w:rsidRPr="00B9787A">
                        <w:rPr>
                          <w:rFonts w:asciiTheme="majorHAnsi" w:hAnsiTheme="majorHAnsi"/>
                          <w:color w:val="595959" w:themeColor="text1" w:themeTint="A6"/>
                          <w:sz w:val="18"/>
                          <w:szCs w:val="18"/>
                          <w:lang w:val="es-ES"/>
                        </w:rPr>
                        <w:t xml:space="preserve">Maritza Elizabeth </w:t>
                      </w:r>
                      <w:r w:rsidR="00E675A1" w:rsidRPr="00B9787A">
                        <w:rPr>
                          <w:rFonts w:asciiTheme="majorHAnsi" w:hAnsiTheme="majorHAnsi"/>
                          <w:color w:val="595959" w:themeColor="text1" w:themeTint="A6"/>
                          <w:sz w:val="18"/>
                          <w:szCs w:val="18"/>
                          <w:lang w:val="es-ES"/>
                        </w:rPr>
                        <w:t xml:space="preserve">Gutierrez Cortez </w:t>
                      </w:r>
                      <w:r w:rsidR="009A3C74" w:rsidRPr="00B9787A">
                        <w:rPr>
                          <w:rFonts w:asciiTheme="majorHAnsi" w:hAnsiTheme="majorHAnsi"/>
                          <w:color w:val="595959" w:themeColor="text1" w:themeTint="A6"/>
                          <w:sz w:val="18"/>
                          <w:szCs w:val="18"/>
                          <w:lang w:val="es-ES"/>
                        </w:rPr>
                        <w:t>y otros (</w:t>
                      </w:r>
                      <w:r w:rsidR="00E675A1" w:rsidRPr="00B9787A">
                        <w:rPr>
                          <w:rFonts w:asciiTheme="majorHAnsi" w:hAnsiTheme="majorHAnsi"/>
                          <w:color w:val="595959" w:themeColor="text1" w:themeTint="A6"/>
                          <w:sz w:val="18"/>
                          <w:szCs w:val="18"/>
                          <w:lang w:val="es-ES"/>
                        </w:rPr>
                        <w:t>T</w:t>
                      </w:r>
                      <w:r w:rsidR="009A3C74" w:rsidRPr="00B9787A">
                        <w:rPr>
                          <w:rFonts w:asciiTheme="majorHAnsi" w:hAnsiTheme="majorHAnsi"/>
                          <w:color w:val="595959" w:themeColor="text1" w:themeTint="A6"/>
                          <w:sz w:val="18"/>
                          <w:szCs w:val="18"/>
                          <w:lang w:val="es-ES"/>
                        </w:rPr>
                        <w:t>ragedia “</w:t>
                      </w:r>
                      <w:r w:rsidR="00E675A1" w:rsidRPr="00B9787A">
                        <w:rPr>
                          <w:rFonts w:asciiTheme="majorHAnsi" w:hAnsiTheme="majorHAnsi"/>
                          <w:color w:val="595959" w:themeColor="text1" w:themeTint="A6"/>
                          <w:sz w:val="18"/>
                          <w:szCs w:val="18"/>
                          <w:lang w:val="es-ES"/>
                        </w:rPr>
                        <w:t>M</w:t>
                      </w:r>
                      <w:r w:rsidR="009A3C74" w:rsidRPr="00B9787A">
                        <w:rPr>
                          <w:rFonts w:asciiTheme="majorHAnsi" w:hAnsiTheme="majorHAnsi"/>
                          <w:color w:val="595959" w:themeColor="text1" w:themeTint="A6"/>
                          <w:sz w:val="18"/>
                          <w:szCs w:val="18"/>
                          <w:lang w:val="es-ES"/>
                        </w:rPr>
                        <w:t xml:space="preserve">esa </w:t>
                      </w:r>
                      <w:r w:rsidR="00E675A1" w:rsidRPr="00B9787A">
                        <w:rPr>
                          <w:rFonts w:asciiTheme="majorHAnsi" w:hAnsiTheme="majorHAnsi"/>
                          <w:color w:val="595959" w:themeColor="text1" w:themeTint="A6"/>
                          <w:sz w:val="18"/>
                          <w:szCs w:val="18"/>
                          <w:lang w:val="es-ES"/>
                        </w:rPr>
                        <w:t>R</w:t>
                      </w:r>
                      <w:r w:rsidR="009A3C74" w:rsidRPr="00B9787A">
                        <w:rPr>
                          <w:rFonts w:asciiTheme="majorHAnsi" w:hAnsiTheme="majorHAnsi"/>
                          <w:color w:val="595959" w:themeColor="text1" w:themeTint="A6"/>
                          <w:sz w:val="18"/>
                          <w:szCs w:val="18"/>
                          <w:lang w:val="es-ES"/>
                        </w:rPr>
                        <w:t>edonda”)</w:t>
                      </w:r>
                      <w:r w:rsidRPr="00B9787A">
                        <w:rPr>
                          <w:rFonts w:asciiTheme="majorHAnsi" w:hAnsiTheme="majorHAnsi"/>
                          <w:color w:val="595959" w:themeColor="text1" w:themeTint="A6"/>
                          <w:sz w:val="18"/>
                          <w:szCs w:val="18"/>
                          <w:lang w:val="es-ES"/>
                        </w:rPr>
                        <w:t xml:space="preserve">. </w:t>
                      </w:r>
                      <w:r w:rsidR="009A3C74" w:rsidRPr="00B9787A">
                        <w:rPr>
                          <w:rFonts w:asciiTheme="majorHAnsi" w:hAnsiTheme="majorHAnsi"/>
                          <w:color w:val="595959" w:themeColor="text1" w:themeTint="A6"/>
                          <w:sz w:val="18"/>
                          <w:szCs w:val="18"/>
                          <w:lang w:val="es-ES"/>
                        </w:rPr>
                        <w:t>Perú</w:t>
                      </w:r>
                      <w:r w:rsidRPr="00B9787A">
                        <w:rPr>
                          <w:rFonts w:asciiTheme="majorHAnsi" w:hAnsiTheme="majorHAnsi"/>
                          <w:color w:val="595959" w:themeColor="text1" w:themeTint="A6"/>
                          <w:sz w:val="18"/>
                          <w:szCs w:val="18"/>
                          <w:lang w:val="es-ES"/>
                        </w:rPr>
                        <w:t xml:space="preserve">. </w:t>
                      </w:r>
                      <w:r w:rsidR="00B72AB5">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p w:rsidR="004F2DBC" w:rsidRPr="007B05C4" w:rsidRDefault="004F2DBC"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2A" w:rsidRPr="00D72DC6" w:rsidRDefault="00C04B2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04B2A" w:rsidRPr="00D72DC6" w:rsidRDefault="00C04B2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2A" w:rsidRPr="004B7EB6" w:rsidRDefault="00C04B2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04B2A" w:rsidRPr="004B7EB6" w:rsidRDefault="00C04B2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8745C2" w:rsidRDefault="003239B8" w:rsidP="004A6A54">
      <w:pPr>
        <w:spacing w:after="240"/>
        <w:ind w:firstLine="720"/>
        <w:jc w:val="both"/>
        <w:rPr>
          <w:rFonts w:asciiTheme="majorHAnsi" w:hAnsiTheme="majorHAnsi"/>
          <w:b/>
          <w:bCs/>
          <w:sz w:val="19"/>
          <w:szCs w:val="19"/>
          <w:lang w:val="es-ES"/>
        </w:rPr>
      </w:pPr>
      <w:r w:rsidRPr="008745C2">
        <w:rPr>
          <w:rFonts w:asciiTheme="majorHAnsi" w:hAnsiTheme="majorHAnsi"/>
          <w:b/>
          <w:bCs/>
          <w:sz w:val="19"/>
          <w:szCs w:val="19"/>
          <w:lang w:val="es-ES"/>
        </w:rPr>
        <w:lastRenderedPageBreak/>
        <w:t>I.</w:t>
      </w:r>
      <w:r w:rsidRPr="008745C2">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72AB5" w:rsidTr="004A6A54">
        <w:tc>
          <w:tcPr>
            <w:tcW w:w="3600" w:type="dxa"/>
            <w:tcBorders>
              <w:top w:val="single" w:sz="4" w:space="0" w:color="auto"/>
              <w:bottom w:val="single" w:sz="6" w:space="0" w:color="auto"/>
            </w:tcBorders>
            <w:shd w:val="clear" w:color="auto" w:fill="386294"/>
            <w:vAlign w:val="center"/>
          </w:tcPr>
          <w:p w:rsidR="003239B8" w:rsidRPr="008745C2" w:rsidRDefault="003239B8" w:rsidP="003A2464">
            <w:pPr>
              <w:jc w:val="center"/>
              <w:rPr>
                <w:rFonts w:asciiTheme="majorHAnsi" w:hAnsiTheme="majorHAnsi"/>
                <w:b/>
                <w:bCs/>
                <w:color w:val="FFFFFF" w:themeColor="background1"/>
                <w:sz w:val="19"/>
                <w:szCs w:val="19"/>
              </w:rPr>
            </w:pPr>
            <w:r w:rsidRPr="008745C2">
              <w:rPr>
                <w:rFonts w:asciiTheme="majorHAnsi" w:hAnsiTheme="majorHAnsi"/>
                <w:b/>
                <w:bCs/>
                <w:color w:val="FFFFFF" w:themeColor="background1"/>
                <w:sz w:val="19"/>
                <w:szCs w:val="19"/>
              </w:rPr>
              <w:t>Parte peticionaria:</w:t>
            </w:r>
          </w:p>
        </w:tc>
        <w:tc>
          <w:tcPr>
            <w:tcW w:w="5760" w:type="dxa"/>
            <w:vAlign w:val="center"/>
          </w:tcPr>
          <w:p w:rsidR="003239B8" w:rsidRPr="008745C2" w:rsidRDefault="00D80CA3" w:rsidP="00D80CA3">
            <w:pPr>
              <w:jc w:val="both"/>
              <w:rPr>
                <w:rFonts w:asciiTheme="majorHAnsi" w:hAnsiTheme="majorHAnsi"/>
                <w:bCs/>
                <w:sz w:val="19"/>
                <w:szCs w:val="19"/>
                <w:lang w:val="es-CO"/>
              </w:rPr>
            </w:pPr>
            <w:r w:rsidRPr="008745C2">
              <w:rPr>
                <w:rFonts w:asciiTheme="majorHAnsi" w:hAnsiTheme="majorHAnsi"/>
                <w:bCs/>
                <w:sz w:val="19"/>
                <w:szCs w:val="19"/>
                <w:lang w:val="es-CO"/>
              </w:rPr>
              <w:t>Marcos Herrera Castro y otros</w:t>
            </w:r>
            <w:r w:rsidR="00C057D4" w:rsidRPr="008745C2">
              <w:rPr>
                <w:rStyle w:val="FootnoteReference"/>
                <w:rFonts w:asciiTheme="majorHAnsi" w:hAnsiTheme="majorHAnsi"/>
                <w:bCs/>
                <w:sz w:val="19"/>
                <w:szCs w:val="19"/>
                <w:lang w:val="es-CO"/>
              </w:rPr>
              <w:footnoteReference w:id="2"/>
            </w:r>
          </w:p>
        </w:tc>
      </w:tr>
      <w:tr w:rsidR="003239B8" w:rsidRPr="00B72AB5" w:rsidTr="004A6A54">
        <w:tc>
          <w:tcPr>
            <w:tcW w:w="3600" w:type="dxa"/>
            <w:tcBorders>
              <w:top w:val="single" w:sz="6" w:space="0" w:color="auto"/>
              <w:bottom w:val="single" w:sz="6" w:space="0" w:color="auto"/>
            </w:tcBorders>
            <w:shd w:val="clear" w:color="auto" w:fill="386294"/>
            <w:vAlign w:val="center"/>
          </w:tcPr>
          <w:p w:rsidR="003239B8" w:rsidRPr="008745C2" w:rsidRDefault="000C7167" w:rsidP="003A2464">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745C2">
                  <w:rPr>
                    <w:rFonts w:asciiTheme="majorHAnsi" w:hAnsiTheme="majorHAnsi"/>
                    <w:b/>
                    <w:bCs/>
                    <w:color w:val="FFFFFF" w:themeColor="background1"/>
                    <w:sz w:val="19"/>
                    <w:szCs w:val="19"/>
                  </w:rPr>
                  <w:t>Presunta víctima</w:t>
                </w:r>
              </w:sdtContent>
            </w:sdt>
            <w:r w:rsidR="003239B8" w:rsidRPr="008745C2">
              <w:rPr>
                <w:rFonts w:asciiTheme="majorHAnsi" w:hAnsiTheme="majorHAnsi"/>
                <w:b/>
                <w:bCs/>
                <w:color w:val="FFFFFF" w:themeColor="background1"/>
                <w:sz w:val="19"/>
                <w:szCs w:val="19"/>
              </w:rPr>
              <w:t>:</w:t>
            </w:r>
          </w:p>
        </w:tc>
        <w:tc>
          <w:tcPr>
            <w:tcW w:w="5760" w:type="dxa"/>
            <w:vAlign w:val="center"/>
          </w:tcPr>
          <w:p w:rsidR="003239B8" w:rsidRPr="008745C2" w:rsidRDefault="00D80CA3" w:rsidP="00CB2AB7">
            <w:pPr>
              <w:jc w:val="both"/>
              <w:rPr>
                <w:rFonts w:asciiTheme="majorHAnsi" w:hAnsiTheme="majorHAnsi"/>
                <w:bCs/>
                <w:sz w:val="19"/>
                <w:szCs w:val="19"/>
                <w:lang w:val="es-ES"/>
              </w:rPr>
            </w:pPr>
            <w:r w:rsidRPr="008745C2">
              <w:rPr>
                <w:rFonts w:asciiTheme="majorHAnsi" w:hAnsiTheme="majorHAnsi"/>
                <w:bCs/>
                <w:sz w:val="19"/>
                <w:szCs w:val="19"/>
                <w:lang w:val="es-ES"/>
              </w:rPr>
              <w:t xml:space="preserve">Maritza Elizabeth </w:t>
            </w:r>
            <w:r w:rsidR="00E675A1" w:rsidRPr="008745C2">
              <w:rPr>
                <w:rFonts w:asciiTheme="majorHAnsi" w:hAnsiTheme="majorHAnsi"/>
                <w:bCs/>
                <w:sz w:val="19"/>
                <w:szCs w:val="19"/>
                <w:lang w:val="es-ES"/>
              </w:rPr>
              <w:t xml:space="preserve">Gutierrez Cortez </w:t>
            </w:r>
            <w:r w:rsidRPr="008745C2">
              <w:rPr>
                <w:rFonts w:asciiTheme="majorHAnsi" w:hAnsiTheme="majorHAnsi"/>
                <w:bCs/>
                <w:sz w:val="19"/>
                <w:szCs w:val="19"/>
                <w:lang w:val="es-ES"/>
              </w:rPr>
              <w:t>y otros (</w:t>
            </w:r>
            <w:r w:rsidR="00CB2AB7" w:rsidRPr="008745C2">
              <w:rPr>
                <w:rFonts w:asciiTheme="majorHAnsi" w:hAnsiTheme="majorHAnsi"/>
                <w:bCs/>
                <w:sz w:val="19"/>
                <w:szCs w:val="19"/>
                <w:lang w:val="es-ES"/>
              </w:rPr>
              <w:t>T</w:t>
            </w:r>
            <w:r w:rsidRPr="008745C2">
              <w:rPr>
                <w:rFonts w:asciiTheme="majorHAnsi" w:hAnsiTheme="majorHAnsi"/>
                <w:bCs/>
                <w:sz w:val="19"/>
                <w:szCs w:val="19"/>
                <w:lang w:val="es-ES"/>
              </w:rPr>
              <w:t>ragedia “</w:t>
            </w:r>
            <w:r w:rsidR="00CB2AB7" w:rsidRPr="008745C2">
              <w:rPr>
                <w:rFonts w:asciiTheme="majorHAnsi" w:hAnsiTheme="majorHAnsi"/>
                <w:bCs/>
                <w:sz w:val="19"/>
                <w:szCs w:val="19"/>
                <w:lang w:val="es-ES"/>
              </w:rPr>
              <w:t>M</w:t>
            </w:r>
            <w:r w:rsidRPr="008745C2">
              <w:rPr>
                <w:rFonts w:asciiTheme="majorHAnsi" w:hAnsiTheme="majorHAnsi"/>
                <w:bCs/>
                <w:sz w:val="19"/>
                <w:szCs w:val="19"/>
                <w:lang w:val="es-ES"/>
              </w:rPr>
              <w:t xml:space="preserve">esa </w:t>
            </w:r>
            <w:r w:rsidR="00CB2AB7" w:rsidRPr="008745C2">
              <w:rPr>
                <w:rFonts w:asciiTheme="majorHAnsi" w:hAnsiTheme="majorHAnsi"/>
                <w:bCs/>
                <w:sz w:val="19"/>
                <w:szCs w:val="19"/>
                <w:lang w:val="es-ES"/>
              </w:rPr>
              <w:t>R</w:t>
            </w:r>
            <w:r w:rsidRPr="008745C2">
              <w:rPr>
                <w:rFonts w:asciiTheme="majorHAnsi" w:hAnsiTheme="majorHAnsi"/>
                <w:bCs/>
                <w:sz w:val="19"/>
                <w:szCs w:val="19"/>
                <w:lang w:val="es-ES"/>
              </w:rPr>
              <w:t>edonda”)</w:t>
            </w:r>
            <w:r w:rsidR="00C057D4" w:rsidRPr="008745C2">
              <w:rPr>
                <w:rStyle w:val="FootnoteReference"/>
                <w:rFonts w:asciiTheme="majorHAnsi" w:hAnsiTheme="majorHAnsi"/>
                <w:bCs/>
                <w:sz w:val="19"/>
                <w:szCs w:val="19"/>
                <w:lang w:val="es-ES"/>
              </w:rPr>
              <w:footnoteReference w:id="3"/>
            </w:r>
          </w:p>
        </w:tc>
      </w:tr>
      <w:tr w:rsidR="003239B8" w:rsidRPr="008745C2" w:rsidTr="004A6A54">
        <w:tc>
          <w:tcPr>
            <w:tcW w:w="3600" w:type="dxa"/>
            <w:tcBorders>
              <w:top w:val="single" w:sz="6" w:space="0" w:color="auto"/>
              <w:bottom w:val="single" w:sz="6" w:space="0" w:color="auto"/>
            </w:tcBorders>
            <w:shd w:val="clear" w:color="auto" w:fill="386294"/>
            <w:vAlign w:val="center"/>
          </w:tcPr>
          <w:p w:rsidR="003239B8" w:rsidRPr="008745C2" w:rsidRDefault="003239B8" w:rsidP="003A2464">
            <w:pPr>
              <w:jc w:val="center"/>
              <w:rPr>
                <w:rFonts w:asciiTheme="majorHAnsi" w:hAnsiTheme="majorHAnsi"/>
                <w:b/>
                <w:bCs/>
                <w:color w:val="FFFFFF" w:themeColor="background1"/>
                <w:sz w:val="19"/>
                <w:szCs w:val="19"/>
                <w:lang w:val="es-CO"/>
              </w:rPr>
            </w:pPr>
            <w:r w:rsidRPr="008745C2">
              <w:rPr>
                <w:rFonts w:asciiTheme="majorHAnsi" w:hAnsiTheme="majorHAnsi"/>
                <w:b/>
                <w:bCs/>
                <w:color w:val="FFFFFF" w:themeColor="background1"/>
                <w:sz w:val="19"/>
                <w:szCs w:val="19"/>
                <w:lang w:val="es-CO"/>
              </w:rPr>
              <w:t>Estado denunciado:</w:t>
            </w:r>
          </w:p>
        </w:tc>
        <w:tc>
          <w:tcPr>
            <w:tcW w:w="5760" w:type="dxa"/>
            <w:vAlign w:val="center"/>
          </w:tcPr>
          <w:p w:rsidR="003239B8" w:rsidRPr="008745C2" w:rsidRDefault="00D80CA3" w:rsidP="003A2464">
            <w:pPr>
              <w:jc w:val="both"/>
              <w:rPr>
                <w:rFonts w:asciiTheme="majorHAnsi" w:hAnsiTheme="majorHAnsi"/>
                <w:bCs/>
                <w:sz w:val="19"/>
                <w:szCs w:val="19"/>
                <w:lang w:val="es-CO"/>
              </w:rPr>
            </w:pPr>
            <w:r w:rsidRPr="008745C2">
              <w:rPr>
                <w:rFonts w:asciiTheme="majorHAnsi" w:hAnsiTheme="majorHAnsi"/>
                <w:bCs/>
                <w:sz w:val="19"/>
                <w:szCs w:val="19"/>
                <w:lang w:val="es-CO"/>
              </w:rPr>
              <w:t>Perú</w:t>
            </w:r>
            <w:r w:rsidR="004A6A54" w:rsidRPr="008745C2">
              <w:rPr>
                <w:rStyle w:val="FootnoteReference"/>
                <w:rFonts w:asciiTheme="majorHAnsi" w:hAnsiTheme="majorHAnsi"/>
                <w:bCs/>
                <w:sz w:val="19"/>
                <w:szCs w:val="19"/>
              </w:rPr>
              <w:footnoteReference w:id="4"/>
            </w:r>
          </w:p>
        </w:tc>
      </w:tr>
      <w:tr w:rsidR="00223A29" w:rsidRPr="00B72AB5" w:rsidTr="004A6A54">
        <w:tc>
          <w:tcPr>
            <w:tcW w:w="3600" w:type="dxa"/>
            <w:tcBorders>
              <w:top w:val="single" w:sz="6" w:space="0" w:color="auto"/>
              <w:bottom w:val="single" w:sz="6" w:space="0" w:color="auto"/>
            </w:tcBorders>
            <w:shd w:val="clear" w:color="auto" w:fill="386294"/>
            <w:vAlign w:val="center"/>
          </w:tcPr>
          <w:p w:rsidR="00223A29" w:rsidRPr="008745C2" w:rsidRDefault="001B3A00" w:rsidP="00E4118C">
            <w:pPr>
              <w:jc w:val="center"/>
              <w:rPr>
                <w:rFonts w:asciiTheme="majorHAnsi" w:hAnsiTheme="majorHAnsi"/>
                <w:b/>
                <w:bCs/>
                <w:color w:val="FFFFFF" w:themeColor="background1"/>
                <w:sz w:val="19"/>
                <w:szCs w:val="19"/>
                <w:lang w:val="es-CO"/>
              </w:rPr>
            </w:pPr>
            <w:r w:rsidRPr="008745C2">
              <w:rPr>
                <w:rFonts w:asciiTheme="majorHAnsi" w:hAnsiTheme="majorHAnsi"/>
                <w:b/>
                <w:bCs/>
                <w:color w:val="FFFFFF" w:themeColor="background1"/>
                <w:sz w:val="19"/>
                <w:szCs w:val="19"/>
                <w:lang w:val="es-CO"/>
              </w:rPr>
              <w:t xml:space="preserve">Derechos </w:t>
            </w:r>
            <w:r w:rsidR="00E4118C" w:rsidRPr="008745C2">
              <w:rPr>
                <w:rFonts w:asciiTheme="majorHAnsi" w:hAnsiTheme="majorHAnsi"/>
                <w:b/>
                <w:bCs/>
                <w:color w:val="FFFFFF" w:themeColor="background1"/>
                <w:sz w:val="19"/>
                <w:szCs w:val="19"/>
                <w:lang w:val="es-CO"/>
              </w:rPr>
              <w:t>invocados</w:t>
            </w:r>
            <w:r w:rsidRPr="008745C2">
              <w:rPr>
                <w:rFonts w:asciiTheme="majorHAnsi" w:hAnsiTheme="majorHAnsi"/>
                <w:b/>
                <w:bCs/>
                <w:color w:val="FFFFFF" w:themeColor="background1"/>
                <w:sz w:val="19"/>
                <w:szCs w:val="19"/>
                <w:lang w:val="es-CO"/>
              </w:rPr>
              <w:t>:</w:t>
            </w:r>
          </w:p>
        </w:tc>
        <w:tc>
          <w:tcPr>
            <w:tcW w:w="5760" w:type="dxa"/>
            <w:vAlign w:val="center"/>
          </w:tcPr>
          <w:p w:rsidR="00223A29" w:rsidRPr="008745C2" w:rsidRDefault="008A5017" w:rsidP="00654D42">
            <w:pPr>
              <w:jc w:val="both"/>
              <w:rPr>
                <w:rFonts w:asciiTheme="majorHAnsi" w:hAnsiTheme="majorHAnsi"/>
                <w:bCs/>
                <w:sz w:val="19"/>
                <w:szCs w:val="19"/>
                <w:lang w:val="es-CO"/>
              </w:rPr>
            </w:pPr>
            <w:r w:rsidRPr="008745C2">
              <w:rPr>
                <w:rFonts w:asciiTheme="majorHAnsi" w:hAnsiTheme="majorHAnsi"/>
                <w:bCs/>
                <w:sz w:val="19"/>
                <w:szCs w:val="19"/>
                <w:lang w:val="es-CO"/>
              </w:rPr>
              <w:t xml:space="preserve">Artículos 4 (vida), 5 (integridad personal), 8 (garantías judiciales), </w:t>
            </w:r>
            <w:r w:rsidR="00CB7F0F" w:rsidRPr="008745C2">
              <w:rPr>
                <w:rFonts w:asciiTheme="majorHAnsi" w:hAnsiTheme="majorHAnsi"/>
                <w:bCs/>
                <w:sz w:val="19"/>
                <w:szCs w:val="19"/>
                <w:lang w:val="es-CO"/>
              </w:rPr>
              <w:t xml:space="preserve">21 (propiedad), </w:t>
            </w:r>
            <w:r w:rsidR="009D6AB8" w:rsidRPr="008745C2">
              <w:rPr>
                <w:rFonts w:asciiTheme="majorHAnsi" w:hAnsiTheme="majorHAnsi"/>
                <w:bCs/>
                <w:sz w:val="19"/>
                <w:szCs w:val="19"/>
                <w:lang w:val="es-CO"/>
              </w:rPr>
              <w:t xml:space="preserve">24 (igualdad), </w:t>
            </w:r>
            <w:r w:rsidRPr="008745C2">
              <w:rPr>
                <w:rFonts w:asciiTheme="majorHAnsi" w:hAnsiTheme="majorHAnsi"/>
                <w:bCs/>
                <w:sz w:val="19"/>
                <w:szCs w:val="19"/>
                <w:lang w:val="es-CO"/>
              </w:rPr>
              <w:t>25 (</w:t>
            </w:r>
            <w:r w:rsidR="009D6AB8" w:rsidRPr="008745C2">
              <w:rPr>
                <w:rFonts w:asciiTheme="majorHAnsi" w:hAnsiTheme="majorHAnsi"/>
                <w:bCs/>
                <w:sz w:val="19"/>
                <w:szCs w:val="19"/>
                <w:lang w:val="es-CO"/>
              </w:rPr>
              <w:t>protección judicial</w:t>
            </w:r>
            <w:r w:rsidRPr="008745C2">
              <w:rPr>
                <w:rFonts w:asciiTheme="majorHAnsi" w:hAnsiTheme="majorHAnsi"/>
                <w:bCs/>
                <w:sz w:val="19"/>
                <w:szCs w:val="19"/>
                <w:lang w:val="es-CO"/>
              </w:rPr>
              <w:t>)</w:t>
            </w:r>
            <w:r w:rsidR="009D6AB8" w:rsidRPr="008745C2">
              <w:rPr>
                <w:rFonts w:asciiTheme="majorHAnsi" w:hAnsiTheme="majorHAnsi"/>
                <w:bCs/>
                <w:sz w:val="19"/>
                <w:szCs w:val="19"/>
                <w:lang w:val="es-CO"/>
              </w:rPr>
              <w:t xml:space="preserve"> de la Convenció</w:t>
            </w:r>
            <w:r w:rsidR="00844676" w:rsidRPr="008745C2">
              <w:rPr>
                <w:rFonts w:asciiTheme="majorHAnsi" w:hAnsiTheme="majorHAnsi"/>
                <w:bCs/>
                <w:sz w:val="19"/>
                <w:szCs w:val="19"/>
                <w:lang w:val="es-CO"/>
              </w:rPr>
              <w:t xml:space="preserve">n Americana </w:t>
            </w:r>
            <w:r w:rsidR="00654D42" w:rsidRPr="008745C2">
              <w:rPr>
                <w:rFonts w:asciiTheme="majorHAnsi" w:hAnsiTheme="majorHAnsi"/>
                <w:bCs/>
                <w:sz w:val="19"/>
                <w:szCs w:val="19"/>
                <w:lang w:val="es-CO"/>
              </w:rPr>
              <w:t xml:space="preserve">sobre </w:t>
            </w:r>
            <w:r w:rsidR="00844676" w:rsidRPr="008745C2">
              <w:rPr>
                <w:rFonts w:asciiTheme="majorHAnsi" w:hAnsiTheme="majorHAnsi"/>
                <w:bCs/>
                <w:sz w:val="19"/>
                <w:szCs w:val="19"/>
                <w:lang w:val="es-CO"/>
              </w:rPr>
              <w:t>Derechos Humanos</w:t>
            </w:r>
            <w:r w:rsidR="00844676" w:rsidRPr="008745C2">
              <w:rPr>
                <w:rStyle w:val="FootnoteReference"/>
                <w:rFonts w:asciiTheme="majorHAnsi" w:hAnsiTheme="majorHAnsi"/>
                <w:bCs/>
                <w:sz w:val="19"/>
                <w:szCs w:val="19"/>
                <w:lang w:val="es-CO"/>
              </w:rPr>
              <w:footnoteReference w:id="5"/>
            </w:r>
            <w:r w:rsidR="00844676" w:rsidRPr="008745C2">
              <w:rPr>
                <w:rFonts w:asciiTheme="majorHAnsi" w:hAnsiTheme="majorHAnsi"/>
                <w:bCs/>
                <w:sz w:val="19"/>
                <w:szCs w:val="19"/>
                <w:lang w:val="es-CO"/>
              </w:rPr>
              <w:t xml:space="preserve"> en relación a su artículo 1</w:t>
            </w:r>
          </w:p>
        </w:tc>
      </w:tr>
    </w:tbl>
    <w:p w:rsidR="003239B8" w:rsidRPr="008745C2" w:rsidRDefault="003239B8" w:rsidP="003239B8">
      <w:pPr>
        <w:spacing w:before="240" w:after="240"/>
        <w:ind w:firstLine="720"/>
        <w:jc w:val="both"/>
        <w:rPr>
          <w:rFonts w:asciiTheme="majorHAnsi" w:hAnsiTheme="majorHAnsi"/>
          <w:b/>
          <w:bCs/>
          <w:sz w:val="19"/>
          <w:szCs w:val="19"/>
          <w:lang w:val="es-ES"/>
        </w:rPr>
      </w:pPr>
      <w:r w:rsidRPr="008745C2">
        <w:rPr>
          <w:rFonts w:asciiTheme="majorHAnsi" w:hAnsiTheme="majorHAnsi"/>
          <w:b/>
          <w:bCs/>
          <w:sz w:val="19"/>
          <w:szCs w:val="19"/>
          <w:lang w:val="es-ES"/>
        </w:rPr>
        <w:t>II.</w:t>
      </w:r>
      <w:r w:rsidRPr="008745C2">
        <w:rPr>
          <w:rFonts w:asciiTheme="majorHAnsi" w:hAnsiTheme="majorHAnsi"/>
          <w:b/>
          <w:bCs/>
          <w:sz w:val="19"/>
          <w:szCs w:val="19"/>
          <w:lang w:val="es-ES"/>
        </w:rPr>
        <w:tab/>
        <w:t>TRÁMITE ANTE LA CIDH</w:t>
      </w:r>
      <w:r w:rsidR="008E3BFE" w:rsidRPr="008745C2">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745C2" w:rsidTr="004A6A54">
        <w:tc>
          <w:tcPr>
            <w:tcW w:w="3600" w:type="dxa"/>
            <w:tcBorders>
              <w:top w:val="single" w:sz="6" w:space="0" w:color="auto"/>
              <w:bottom w:val="single" w:sz="6" w:space="0" w:color="auto"/>
            </w:tcBorders>
            <w:shd w:val="clear" w:color="auto" w:fill="386294"/>
            <w:vAlign w:val="center"/>
          </w:tcPr>
          <w:p w:rsidR="004C2312" w:rsidRPr="008745C2" w:rsidRDefault="004A6A54" w:rsidP="004A6A54">
            <w:pPr>
              <w:jc w:val="center"/>
              <w:rPr>
                <w:rFonts w:asciiTheme="majorHAnsi" w:hAnsiTheme="majorHAnsi"/>
                <w:b/>
                <w:bCs/>
                <w:color w:val="FFFFFF" w:themeColor="background1"/>
                <w:sz w:val="19"/>
                <w:szCs w:val="19"/>
                <w:lang w:val="es-ES"/>
              </w:rPr>
            </w:pPr>
            <w:r w:rsidRPr="008745C2">
              <w:rPr>
                <w:rFonts w:asciiTheme="majorHAnsi" w:hAnsiTheme="majorHAnsi"/>
                <w:b/>
                <w:bCs/>
                <w:color w:val="FFFFFF" w:themeColor="background1"/>
                <w:sz w:val="19"/>
                <w:szCs w:val="19"/>
                <w:lang w:val="es-ES"/>
              </w:rPr>
              <w:t>P</w:t>
            </w:r>
            <w:r w:rsidR="004C2312" w:rsidRPr="008745C2">
              <w:rPr>
                <w:rFonts w:asciiTheme="majorHAnsi" w:hAnsiTheme="majorHAnsi"/>
                <w:b/>
                <w:bCs/>
                <w:color w:val="FFFFFF" w:themeColor="background1"/>
                <w:sz w:val="19"/>
                <w:szCs w:val="19"/>
                <w:lang w:val="es-ES"/>
              </w:rPr>
              <w:t>resentación de la petición:</w:t>
            </w:r>
          </w:p>
        </w:tc>
        <w:tc>
          <w:tcPr>
            <w:tcW w:w="5760" w:type="dxa"/>
            <w:vAlign w:val="center"/>
          </w:tcPr>
          <w:p w:rsidR="004C2312" w:rsidRPr="008745C2" w:rsidRDefault="004545C7" w:rsidP="003A2464">
            <w:pPr>
              <w:jc w:val="both"/>
              <w:rPr>
                <w:rFonts w:asciiTheme="majorHAnsi" w:hAnsiTheme="majorHAnsi"/>
                <w:bCs/>
                <w:sz w:val="19"/>
                <w:szCs w:val="19"/>
                <w:lang w:val="es-ES"/>
              </w:rPr>
            </w:pPr>
            <w:r w:rsidRPr="008745C2">
              <w:rPr>
                <w:rFonts w:asciiTheme="majorHAnsi" w:hAnsiTheme="majorHAnsi"/>
                <w:bCs/>
                <w:sz w:val="19"/>
                <w:szCs w:val="19"/>
                <w:lang w:val="es-ES"/>
              </w:rPr>
              <w:t>1 de abril 2010</w:t>
            </w:r>
          </w:p>
        </w:tc>
      </w:tr>
      <w:tr w:rsidR="001E49E7" w:rsidRPr="00B72AB5" w:rsidTr="004A6A54">
        <w:tc>
          <w:tcPr>
            <w:tcW w:w="3600" w:type="dxa"/>
            <w:tcBorders>
              <w:top w:val="single" w:sz="6" w:space="0" w:color="auto"/>
              <w:bottom w:val="single" w:sz="6" w:space="0" w:color="auto"/>
            </w:tcBorders>
            <w:shd w:val="clear" w:color="auto" w:fill="386294"/>
            <w:vAlign w:val="center"/>
          </w:tcPr>
          <w:p w:rsidR="001E49E7" w:rsidRPr="008745C2" w:rsidRDefault="001E49E7" w:rsidP="001E49E7">
            <w:pPr>
              <w:jc w:val="center"/>
              <w:rPr>
                <w:rFonts w:asciiTheme="majorHAnsi" w:hAnsiTheme="majorHAnsi"/>
                <w:b/>
                <w:bCs/>
                <w:color w:val="FFFFFF" w:themeColor="background1"/>
                <w:sz w:val="19"/>
                <w:szCs w:val="19"/>
                <w:lang w:val="es-ES"/>
              </w:rPr>
            </w:pPr>
            <w:r w:rsidRPr="008745C2">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8745C2" w:rsidRDefault="006C1CDD" w:rsidP="006C1CDD">
            <w:pPr>
              <w:rPr>
                <w:rFonts w:asciiTheme="majorHAnsi" w:hAnsiTheme="majorHAnsi"/>
                <w:bCs/>
                <w:color w:val="FFFFFF" w:themeColor="background1"/>
                <w:sz w:val="19"/>
                <w:szCs w:val="19"/>
                <w:lang w:val="es-CO"/>
              </w:rPr>
            </w:pPr>
            <w:r w:rsidRPr="008745C2">
              <w:rPr>
                <w:rFonts w:asciiTheme="majorHAnsi" w:hAnsiTheme="majorHAnsi"/>
                <w:bCs/>
                <w:sz w:val="19"/>
                <w:szCs w:val="19"/>
                <w:lang w:val="es-AR"/>
              </w:rPr>
              <w:t>1</w:t>
            </w:r>
            <w:r w:rsidR="00A2683C" w:rsidRPr="008745C2">
              <w:rPr>
                <w:rFonts w:asciiTheme="majorHAnsi" w:hAnsiTheme="majorHAnsi"/>
                <w:bCs/>
                <w:sz w:val="19"/>
                <w:szCs w:val="19"/>
                <w:lang w:val="es-AR"/>
              </w:rPr>
              <w:t xml:space="preserve">7 de mayo del 2011, </w:t>
            </w:r>
            <w:r w:rsidR="00EF441F" w:rsidRPr="008745C2">
              <w:rPr>
                <w:rFonts w:asciiTheme="majorHAnsi" w:hAnsiTheme="majorHAnsi"/>
                <w:bCs/>
                <w:sz w:val="19"/>
                <w:szCs w:val="19"/>
                <w:lang w:val="es-ES"/>
              </w:rPr>
              <w:t>21 de octubre del 2013</w:t>
            </w:r>
            <w:r w:rsidR="00EF441F" w:rsidRPr="008745C2">
              <w:rPr>
                <w:rFonts w:asciiTheme="majorHAnsi" w:hAnsiTheme="majorHAnsi"/>
                <w:bCs/>
                <w:sz w:val="19"/>
                <w:szCs w:val="19"/>
                <w:highlight w:val="yellow"/>
                <w:lang w:val="es-CO"/>
              </w:rPr>
              <w:t xml:space="preserve"> </w:t>
            </w:r>
          </w:p>
        </w:tc>
      </w:tr>
      <w:tr w:rsidR="004C2312" w:rsidRPr="008745C2" w:rsidTr="004A6A54">
        <w:tc>
          <w:tcPr>
            <w:tcW w:w="3600" w:type="dxa"/>
            <w:tcBorders>
              <w:top w:val="single" w:sz="6" w:space="0" w:color="auto"/>
              <w:bottom w:val="single" w:sz="6" w:space="0" w:color="auto"/>
            </w:tcBorders>
            <w:shd w:val="clear" w:color="auto" w:fill="386294"/>
            <w:vAlign w:val="center"/>
          </w:tcPr>
          <w:p w:rsidR="004C2312" w:rsidRPr="008745C2" w:rsidRDefault="004A6A54" w:rsidP="004A6A54">
            <w:pPr>
              <w:jc w:val="center"/>
              <w:rPr>
                <w:rFonts w:asciiTheme="majorHAnsi" w:hAnsiTheme="majorHAnsi"/>
                <w:b/>
                <w:bCs/>
                <w:color w:val="FFFFFF" w:themeColor="background1"/>
                <w:sz w:val="19"/>
                <w:szCs w:val="19"/>
                <w:lang w:val="es-ES"/>
              </w:rPr>
            </w:pPr>
            <w:r w:rsidRPr="008745C2">
              <w:rPr>
                <w:rFonts w:asciiTheme="majorHAnsi" w:hAnsiTheme="majorHAnsi"/>
                <w:b/>
                <w:color w:val="FFFFFF" w:themeColor="background1"/>
                <w:sz w:val="19"/>
                <w:szCs w:val="19"/>
                <w:lang w:val="es-ES"/>
              </w:rPr>
              <w:t>N</w:t>
            </w:r>
            <w:r w:rsidR="004C2312" w:rsidRPr="008745C2">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8745C2" w:rsidRDefault="00B209A1" w:rsidP="003A2464">
            <w:pPr>
              <w:jc w:val="both"/>
              <w:rPr>
                <w:rFonts w:asciiTheme="majorHAnsi" w:hAnsiTheme="majorHAnsi"/>
                <w:bCs/>
                <w:sz w:val="19"/>
                <w:szCs w:val="19"/>
                <w:lang w:val="es-ES"/>
              </w:rPr>
            </w:pPr>
            <w:r w:rsidRPr="008745C2">
              <w:rPr>
                <w:rFonts w:asciiTheme="majorHAnsi" w:hAnsiTheme="majorHAnsi"/>
                <w:bCs/>
                <w:sz w:val="19"/>
                <w:szCs w:val="19"/>
                <w:lang w:val="es-ES"/>
              </w:rPr>
              <w:t>31 de julio de 2012</w:t>
            </w:r>
          </w:p>
        </w:tc>
      </w:tr>
      <w:tr w:rsidR="004C2312" w:rsidRPr="008745C2" w:rsidTr="004A6A54">
        <w:tc>
          <w:tcPr>
            <w:tcW w:w="3600" w:type="dxa"/>
            <w:tcBorders>
              <w:top w:val="single" w:sz="6" w:space="0" w:color="auto"/>
              <w:bottom w:val="single" w:sz="6" w:space="0" w:color="auto"/>
            </w:tcBorders>
            <w:shd w:val="clear" w:color="auto" w:fill="386294"/>
            <w:vAlign w:val="center"/>
          </w:tcPr>
          <w:p w:rsidR="004C2312" w:rsidRPr="008745C2" w:rsidRDefault="004A6A54" w:rsidP="004A6A54">
            <w:pPr>
              <w:jc w:val="center"/>
              <w:rPr>
                <w:rFonts w:asciiTheme="majorHAnsi" w:hAnsiTheme="majorHAnsi"/>
                <w:b/>
                <w:bCs/>
                <w:color w:val="FFFFFF" w:themeColor="background1"/>
                <w:sz w:val="19"/>
                <w:szCs w:val="19"/>
                <w:lang w:val="es-ES"/>
              </w:rPr>
            </w:pPr>
            <w:r w:rsidRPr="008745C2">
              <w:rPr>
                <w:rFonts w:asciiTheme="majorHAnsi" w:hAnsiTheme="majorHAnsi"/>
                <w:b/>
                <w:color w:val="FFFFFF" w:themeColor="background1"/>
                <w:sz w:val="19"/>
                <w:szCs w:val="19"/>
                <w:lang w:val="es-ES"/>
              </w:rPr>
              <w:t>P</w:t>
            </w:r>
            <w:r w:rsidR="004C2312" w:rsidRPr="008745C2">
              <w:rPr>
                <w:rFonts w:asciiTheme="majorHAnsi" w:hAnsiTheme="majorHAnsi"/>
                <w:b/>
                <w:color w:val="FFFFFF" w:themeColor="background1"/>
                <w:sz w:val="19"/>
                <w:szCs w:val="19"/>
                <w:lang w:val="es-ES"/>
              </w:rPr>
              <w:t>rimera respuesta del Estado:</w:t>
            </w:r>
          </w:p>
        </w:tc>
        <w:tc>
          <w:tcPr>
            <w:tcW w:w="5760" w:type="dxa"/>
            <w:vAlign w:val="center"/>
          </w:tcPr>
          <w:p w:rsidR="004C2312" w:rsidRPr="008745C2" w:rsidRDefault="00B70BB7" w:rsidP="003A2464">
            <w:pPr>
              <w:jc w:val="both"/>
              <w:rPr>
                <w:rFonts w:asciiTheme="majorHAnsi" w:hAnsiTheme="majorHAnsi"/>
                <w:bCs/>
                <w:sz w:val="19"/>
                <w:szCs w:val="19"/>
                <w:lang w:val="es-ES"/>
              </w:rPr>
            </w:pPr>
            <w:r w:rsidRPr="008745C2">
              <w:rPr>
                <w:rFonts w:asciiTheme="majorHAnsi" w:hAnsiTheme="majorHAnsi"/>
                <w:bCs/>
                <w:sz w:val="19"/>
                <w:szCs w:val="19"/>
                <w:lang w:val="es-ES"/>
              </w:rPr>
              <w:t>13 de noviembre de 2013</w:t>
            </w:r>
          </w:p>
        </w:tc>
      </w:tr>
      <w:tr w:rsidR="004C2312" w:rsidRPr="00B72AB5" w:rsidTr="004A6A54">
        <w:tc>
          <w:tcPr>
            <w:tcW w:w="3600" w:type="dxa"/>
            <w:tcBorders>
              <w:top w:val="single" w:sz="6" w:space="0" w:color="auto"/>
              <w:bottom w:val="single" w:sz="6" w:space="0" w:color="auto"/>
            </w:tcBorders>
            <w:shd w:val="clear" w:color="auto" w:fill="386294"/>
            <w:vAlign w:val="center"/>
          </w:tcPr>
          <w:p w:rsidR="004C2312" w:rsidRPr="008745C2" w:rsidRDefault="008E3BFE" w:rsidP="008E3BFE">
            <w:pPr>
              <w:jc w:val="center"/>
              <w:rPr>
                <w:rFonts w:asciiTheme="majorHAnsi" w:hAnsiTheme="majorHAnsi"/>
                <w:b/>
                <w:bCs/>
                <w:color w:val="FFFFFF" w:themeColor="background1"/>
                <w:sz w:val="19"/>
                <w:szCs w:val="19"/>
                <w:lang w:val="es-ES"/>
              </w:rPr>
            </w:pPr>
            <w:r w:rsidRPr="008745C2">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8745C2" w:rsidRDefault="00B70BB7" w:rsidP="003A2464">
            <w:pPr>
              <w:jc w:val="both"/>
              <w:rPr>
                <w:rFonts w:asciiTheme="majorHAnsi" w:hAnsiTheme="majorHAnsi"/>
                <w:bCs/>
                <w:sz w:val="19"/>
                <w:szCs w:val="19"/>
                <w:lang w:val="es-ES"/>
              </w:rPr>
            </w:pPr>
            <w:r w:rsidRPr="008745C2">
              <w:rPr>
                <w:rFonts w:asciiTheme="majorHAnsi" w:hAnsiTheme="majorHAnsi"/>
                <w:bCs/>
                <w:sz w:val="19"/>
                <w:szCs w:val="19"/>
                <w:lang w:val="es-ES"/>
              </w:rPr>
              <w:t>6 de octubre de 2014, 7 de julio de 2017</w:t>
            </w:r>
          </w:p>
        </w:tc>
      </w:tr>
      <w:tr w:rsidR="004C2312" w:rsidRPr="008745C2" w:rsidTr="004A6A54">
        <w:tc>
          <w:tcPr>
            <w:tcW w:w="3600" w:type="dxa"/>
            <w:tcBorders>
              <w:top w:val="single" w:sz="6" w:space="0" w:color="auto"/>
              <w:bottom w:val="single" w:sz="6" w:space="0" w:color="auto"/>
            </w:tcBorders>
            <w:shd w:val="clear" w:color="auto" w:fill="386294"/>
            <w:vAlign w:val="center"/>
          </w:tcPr>
          <w:p w:rsidR="004C2312" w:rsidRPr="008745C2" w:rsidRDefault="004C2312" w:rsidP="008E3BFE">
            <w:pPr>
              <w:jc w:val="center"/>
              <w:rPr>
                <w:rFonts w:asciiTheme="majorHAnsi" w:hAnsiTheme="majorHAnsi"/>
                <w:b/>
                <w:bCs/>
                <w:color w:val="FFFFFF" w:themeColor="background1"/>
                <w:sz w:val="19"/>
                <w:szCs w:val="19"/>
              </w:rPr>
            </w:pPr>
            <w:proofErr w:type="spellStart"/>
            <w:r w:rsidRPr="008745C2">
              <w:rPr>
                <w:rFonts w:asciiTheme="majorHAnsi" w:hAnsiTheme="majorHAnsi"/>
                <w:b/>
                <w:bCs/>
                <w:color w:val="FFFFFF" w:themeColor="background1"/>
                <w:sz w:val="19"/>
                <w:szCs w:val="19"/>
              </w:rPr>
              <w:t>Observaciones</w:t>
            </w:r>
            <w:proofErr w:type="spellEnd"/>
            <w:r w:rsidRPr="008745C2">
              <w:rPr>
                <w:rFonts w:asciiTheme="majorHAnsi" w:hAnsiTheme="majorHAnsi"/>
                <w:b/>
                <w:bCs/>
                <w:color w:val="FFFFFF" w:themeColor="background1"/>
                <w:sz w:val="19"/>
                <w:szCs w:val="19"/>
              </w:rPr>
              <w:t xml:space="preserve"> </w:t>
            </w:r>
            <w:proofErr w:type="spellStart"/>
            <w:r w:rsidRPr="008745C2">
              <w:rPr>
                <w:rFonts w:asciiTheme="majorHAnsi" w:hAnsiTheme="majorHAnsi"/>
                <w:b/>
                <w:bCs/>
                <w:color w:val="FFFFFF" w:themeColor="background1"/>
                <w:sz w:val="19"/>
                <w:szCs w:val="19"/>
              </w:rPr>
              <w:t>adicionales</w:t>
            </w:r>
            <w:proofErr w:type="spellEnd"/>
            <w:r w:rsidRPr="008745C2">
              <w:rPr>
                <w:rFonts w:asciiTheme="majorHAnsi" w:hAnsiTheme="majorHAnsi"/>
                <w:b/>
                <w:bCs/>
                <w:color w:val="FFFFFF" w:themeColor="background1"/>
                <w:sz w:val="19"/>
                <w:szCs w:val="19"/>
              </w:rPr>
              <w:t xml:space="preserve"> del Estado:</w:t>
            </w:r>
          </w:p>
        </w:tc>
        <w:tc>
          <w:tcPr>
            <w:tcW w:w="5760" w:type="dxa"/>
            <w:vAlign w:val="center"/>
          </w:tcPr>
          <w:p w:rsidR="004C2312" w:rsidRPr="008745C2" w:rsidRDefault="00B70BB7" w:rsidP="003A2464">
            <w:pPr>
              <w:jc w:val="both"/>
              <w:rPr>
                <w:rFonts w:asciiTheme="majorHAnsi" w:hAnsiTheme="majorHAnsi"/>
                <w:bCs/>
                <w:sz w:val="19"/>
                <w:szCs w:val="19"/>
              </w:rPr>
            </w:pPr>
            <w:r w:rsidRPr="008745C2">
              <w:rPr>
                <w:rFonts w:asciiTheme="majorHAnsi" w:hAnsiTheme="majorHAnsi"/>
                <w:bCs/>
                <w:sz w:val="19"/>
                <w:szCs w:val="19"/>
              </w:rPr>
              <w:t>20 de enero de 2015</w:t>
            </w:r>
          </w:p>
        </w:tc>
      </w:tr>
    </w:tbl>
    <w:p w:rsidR="003239B8" w:rsidRPr="008745C2" w:rsidRDefault="003239B8" w:rsidP="003239B8">
      <w:pPr>
        <w:spacing w:before="240" w:after="240"/>
        <w:ind w:firstLine="720"/>
        <w:jc w:val="both"/>
        <w:rPr>
          <w:rFonts w:asciiTheme="majorHAnsi" w:hAnsiTheme="majorHAnsi"/>
          <w:b/>
          <w:bCs/>
          <w:sz w:val="19"/>
          <w:szCs w:val="19"/>
          <w:lang w:val="es-ES"/>
        </w:rPr>
      </w:pPr>
      <w:r w:rsidRPr="008745C2">
        <w:rPr>
          <w:rFonts w:asciiTheme="majorHAnsi" w:hAnsiTheme="majorHAnsi"/>
          <w:b/>
          <w:bCs/>
          <w:sz w:val="19"/>
          <w:szCs w:val="19"/>
          <w:lang w:val="es-ES"/>
        </w:rPr>
        <w:t xml:space="preserve">III. </w:t>
      </w:r>
      <w:r w:rsidRPr="008745C2">
        <w:rPr>
          <w:rFonts w:asciiTheme="majorHAnsi" w:hAnsiTheme="majorHAnsi"/>
          <w:b/>
          <w:bCs/>
          <w:sz w:val="19"/>
          <w:szCs w:val="19"/>
          <w:lang w:val="es-ES"/>
        </w:rPr>
        <w:tab/>
        <w:t>COMPETENCIA</w:t>
      </w:r>
      <w:r w:rsidR="00EE00E9" w:rsidRPr="008745C2">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745C2" w:rsidTr="004A6A54">
        <w:trPr>
          <w:cantSplit/>
        </w:trPr>
        <w:tc>
          <w:tcPr>
            <w:tcW w:w="3600" w:type="dxa"/>
            <w:tcBorders>
              <w:top w:val="single" w:sz="4" w:space="0" w:color="auto"/>
              <w:bottom w:val="single" w:sz="6" w:space="0" w:color="auto"/>
            </w:tcBorders>
            <w:shd w:val="clear" w:color="auto" w:fill="386294"/>
            <w:vAlign w:val="center"/>
          </w:tcPr>
          <w:p w:rsidR="003239B8" w:rsidRPr="008745C2" w:rsidRDefault="003239B8" w:rsidP="003A2464">
            <w:pPr>
              <w:jc w:val="center"/>
              <w:rPr>
                <w:rFonts w:asciiTheme="majorHAnsi" w:hAnsiTheme="majorHAnsi"/>
                <w:b/>
                <w:bCs/>
                <w:i/>
                <w:color w:val="FFFFFF" w:themeColor="background1"/>
                <w:sz w:val="19"/>
                <w:szCs w:val="19"/>
              </w:rPr>
            </w:pPr>
            <w:r w:rsidRPr="008745C2">
              <w:rPr>
                <w:rFonts w:asciiTheme="majorHAnsi" w:hAnsiTheme="majorHAnsi"/>
                <w:b/>
                <w:bCs/>
                <w:color w:val="FFFFFF" w:themeColor="background1"/>
                <w:sz w:val="19"/>
                <w:szCs w:val="19"/>
              </w:rPr>
              <w:t>Competencia</w:t>
            </w:r>
            <w:r w:rsidRPr="008745C2">
              <w:rPr>
                <w:rFonts w:asciiTheme="majorHAnsi" w:hAnsiTheme="majorHAnsi"/>
                <w:b/>
                <w:bCs/>
                <w:i/>
                <w:color w:val="FFFFFF" w:themeColor="background1"/>
                <w:sz w:val="19"/>
                <w:szCs w:val="19"/>
              </w:rPr>
              <w:t xml:space="preserve"> Ratione personae:</w:t>
            </w:r>
          </w:p>
        </w:tc>
        <w:tc>
          <w:tcPr>
            <w:tcW w:w="5760" w:type="dxa"/>
            <w:vAlign w:val="center"/>
          </w:tcPr>
          <w:p w:rsidR="003239B8" w:rsidRPr="008745C2" w:rsidRDefault="00B7115F" w:rsidP="003A2464">
            <w:pPr>
              <w:rPr>
                <w:rFonts w:asciiTheme="majorHAnsi" w:hAnsiTheme="majorHAnsi"/>
                <w:bCs/>
                <w:sz w:val="19"/>
                <w:szCs w:val="19"/>
              </w:rPr>
            </w:pPr>
            <w:r w:rsidRPr="008745C2">
              <w:rPr>
                <w:rFonts w:asciiTheme="majorHAnsi" w:hAnsiTheme="majorHAnsi"/>
                <w:bCs/>
                <w:sz w:val="19"/>
                <w:szCs w:val="19"/>
              </w:rPr>
              <w:t>Sí</w:t>
            </w:r>
          </w:p>
        </w:tc>
      </w:tr>
      <w:tr w:rsidR="003239B8" w:rsidRPr="008745C2" w:rsidTr="004A6A54">
        <w:trPr>
          <w:cantSplit/>
        </w:trPr>
        <w:tc>
          <w:tcPr>
            <w:tcW w:w="3600" w:type="dxa"/>
            <w:tcBorders>
              <w:top w:val="single" w:sz="6" w:space="0" w:color="auto"/>
              <w:bottom w:val="single" w:sz="6" w:space="0" w:color="auto"/>
            </w:tcBorders>
            <w:shd w:val="clear" w:color="auto" w:fill="386294"/>
            <w:vAlign w:val="center"/>
          </w:tcPr>
          <w:p w:rsidR="003239B8" w:rsidRPr="008745C2" w:rsidRDefault="003239B8" w:rsidP="003A2464">
            <w:pPr>
              <w:jc w:val="center"/>
              <w:rPr>
                <w:rFonts w:asciiTheme="majorHAnsi" w:hAnsiTheme="majorHAnsi"/>
                <w:b/>
                <w:bCs/>
                <w:color w:val="FFFFFF" w:themeColor="background1"/>
                <w:sz w:val="19"/>
                <w:szCs w:val="19"/>
              </w:rPr>
            </w:pPr>
            <w:r w:rsidRPr="008745C2">
              <w:rPr>
                <w:rFonts w:asciiTheme="majorHAnsi" w:hAnsiTheme="majorHAnsi"/>
                <w:b/>
                <w:bCs/>
                <w:color w:val="FFFFFF" w:themeColor="background1"/>
                <w:sz w:val="19"/>
                <w:szCs w:val="19"/>
              </w:rPr>
              <w:t>Competencia</w:t>
            </w:r>
            <w:r w:rsidRPr="008745C2">
              <w:rPr>
                <w:rFonts w:asciiTheme="majorHAnsi" w:hAnsiTheme="majorHAnsi"/>
                <w:b/>
                <w:bCs/>
                <w:i/>
                <w:color w:val="FFFFFF" w:themeColor="background1"/>
                <w:sz w:val="19"/>
                <w:szCs w:val="19"/>
              </w:rPr>
              <w:t xml:space="preserve"> Ratione loci</w:t>
            </w:r>
            <w:r w:rsidRPr="008745C2">
              <w:rPr>
                <w:rFonts w:asciiTheme="majorHAnsi" w:hAnsiTheme="majorHAnsi"/>
                <w:b/>
                <w:bCs/>
                <w:color w:val="FFFFFF" w:themeColor="background1"/>
                <w:sz w:val="19"/>
                <w:szCs w:val="19"/>
              </w:rPr>
              <w:t>:</w:t>
            </w:r>
          </w:p>
        </w:tc>
        <w:tc>
          <w:tcPr>
            <w:tcW w:w="5760" w:type="dxa"/>
            <w:vAlign w:val="center"/>
          </w:tcPr>
          <w:p w:rsidR="003239B8" w:rsidRPr="008745C2" w:rsidRDefault="00B7115F" w:rsidP="003A2464">
            <w:pPr>
              <w:rPr>
                <w:rFonts w:asciiTheme="majorHAnsi" w:hAnsiTheme="majorHAnsi"/>
                <w:bCs/>
                <w:sz w:val="19"/>
                <w:szCs w:val="19"/>
              </w:rPr>
            </w:pPr>
            <w:r w:rsidRPr="008745C2">
              <w:rPr>
                <w:rFonts w:asciiTheme="majorHAnsi" w:hAnsiTheme="majorHAnsi"/>
                <w:bCs/>
                <w:sz w:val="19"/>
                <w:szCs w:val="19"/>
              </w:rPr>
              <w:t xml:space="preserve">Sí </w:t>
            </w:r>
          </w:p>
        </w:tc>
      </w:tr>
      <w:tr w:rsidR="003239B8" w:rsidRPr="008745C2" w:rsidTr="004A6A54">
        <w:trPr>
          <w:cantSplit/>
        </w:trPr>
        <w:tc>
          <w:tcPr>
            <w:tcW w:w="3600" w:type="dxa"/>
            <w:tcBorders>
              <w:top w:val="single" w:sz="6" w:space="0" w:color="auto"/>
              <w:bottom w:val="single" w:sz="6" w:space="0" w:color="auto"/>
            </w:tcBorders>
            <w:shd w:val="clear" w:color="auto" w:fill="386294"/>
            <w:vAlign w:val="center"/>
          </w:tcPr>
          <w:p w:rsidR="003239B8" w:rsidRPr="008745C2" w:rsidRDefault="003239B8" w:rsidP="003A2464">
            <w:pPr>
              <w:jc w:val="center"/>
              <w:rPr>
                <w:rFonts w:asciiTheme="majorHAnsi" w:hAnsiTheme="majorHAnsi"/>
                <w:b/>
                <w:bCs/>
                <w:color w:val="FFFFFF" w:themeColor="background1"/>
                <w:sz w:val="19"/>
                <w:szCs w:val="19"/>
              </w:rPr>
            </w:pPr>
            <w:r w:rsidRPr="008745C2">
              <w:rPr>
                <w:rFonts w:asciiTheme="majorHAnsi" w:hAnsiTheme="majorHAnsi"/>
                <w:b/>
                <w:bCs/>
                <w:color w:val="FFFFFF" w:themeColor="background1"/>
                <w:sz w:val="19"/>
                <w:szCs w:val="19"/>
              </w:rPr>
              <w:t>Competencia</w:t>
            </w:r>
            <w:r w:rsidRPr="008745C2">
              <w:rPr>
                <w:rFonts w:asciiTheme="majorHAnsi" w:hAnsiTheme="majorHAnsi"/>
                <w:b/>
                <w:bCs/>
                <w:i/>
                <w:color w:val="FFFFFF" w:themeColor="background1"/>
                <w:sz w:val="19"/>
                <w:szCs w:val="19"/>
              </w:rPr>
              <w:t xml:space="preserve"> Ratione temporis</w:t>
            </w:r>
            <w:r w:rsidRPr="008745C2">
              <w:rPr>
                <w:rFonts w:asciiTheme="majorHAnsi" w:hAnsiTheme="majorHAnsi"/>
                <w:b/>
                <w:bCs/>
                <w:color w:val="FFFFFF" w:themeColor="background1"/>
                <w:sz w:val="19"/>
                <w:szCs w:val="19"/>
              </w:rPr>
              <w:t>:</w:t>
            </w:r>
          </w:p>
        </w:tc>
        <w:tc>
          <w:tcPr>
            <w:tcW w:w="5760" w:type="dxa"/>
            <w:vAlign w:val="center"/>
          </w:tcPr>
          <w:p w:rsidR="003239B8" w:rsidRPr="008745C2" w:rsidRDefault="003A2464" w:rsidP="003A2464">
            <w:pPr>
              <w:rPr>
                <w:rFonts w:asciiTheme="majorHAnsi" w:hAnsiTheme="majorHAnsi"/>
                <w:bCs/>
                <w:sz w:val="19"/>
                <w:szCs w:val="19"/>
              </w:rPr>
            </w:pPr>
            <w:r w:rsidRPr="008745C2">
              <w:rPr>
                <w:rFonts w:asciiTheme="majorHAnsi" w:hAnsiTheme="majorHAnsi"/>
                <w:bCs/>
                <w:sz w:val="19"/>
                <w:szCs w:val="19"/>
              </w:rPr>
              <w:t>Sí</w:t>
            </w:r>
          </w:p>
        </w:tc>
      </w:tr>
      <w:tr w:rsidR="003239B8" w:rsidRPr="00B72AB5" w:rsidTr="004A6A54">
        <w:trPr>
          <w:cantSplit/>
        </w:trPr>
        <w:tc>
          <w:tcPr>
            <w:tcW w:w="3600" w:type="dxa"/>
            <w:tcBorders>
              <w:top w:val="single" w:sz="6" w:space="0" w:color="auto"/>
              <w:bottom w:val="single" w:sz="6" w:space="0" w:color="auto"/>
            </w:tcBorders>
            <w:shd w:val="clear" w:color="auto" w:fill="386294"/>
            <w:vAlign w:val="center"/>
          </w:tcPr>
          <w:p w:rsidR="003239B8" w:rsidRPr="008745C2" w:rsidRDefault="003239B8" w:rsidP="003A2464">
            <w:pPr>
              <w:jc w:val="center"/>
              <w:rPr>
                <w:rFonts w:asciiTheme="majorHAnsi" w:hAnsiTheme="majorHAnsi"/>
                <w:b/>
                <w:bCs/>
                <w:color w:val="FFFFFF" w:themeColor="background1"/>
                <w:sz w:val="19"/>
                <w:szCs w:val="19"/>
              </w:rPr>
            </w:pPr>
            <w:r w:rsidRPr="008745C2">
              <w:rPr>
                <w:rFonts w:asciiTheme="majorHAnsi" w:hAnsiTheme="majorHAnsi"/>
                <w:b/>
                <w:bCs/>
                <w:color w:val="FFFFFF" w:themeColor="background1"/>
                <w:sz w:val="19"/>
                <w:szCs w:val="19"/>
              </w:rPr>
              <w:t>Competencia</w:t>
            </w:r>
            <w:r w:rsidRPr="008745C2">
              <w:rPr>
                <w:rFonts w:asciiTheme="majorHAnsi" w:hAnsiTheme="majorHAnsi"/>
                <w:b/>
                <w:bCs/>
                <w:i/>
                <w:color w:val="FFFFFF" w:themeColor="background1"/>
                <w:sz w:val="19"/>
                <w:szCs w:val="19"/>
              </w:rPr>
              <w:t xml:space="preserve"> Ratione materia</w:t>
            </w:r>
            <w:r w:rsidR="00EE00E9" w:rsidRPr="008745C2">
              <w:rPr>
                <w:rFonts w:asciiTheme="majorHAnsi" w:hAnsiTheme="majorHAnsi"/>
                <w:b/>
                <w:bCs/>
                <w:i/>
                <w:color w:val="FFFFFF" w:themeColor="background1"/>
                <w:sz w:val="19"/>
                <w:szCs w:val="19"/>
              </w:rPr>
              <w:t>e</w:t>
            </w:r>
            <w:r w:rsidRPr="008745C2">
              <w:rPr>
                <w:rFonts w:asciiTheme="majorHAnsi" w:hAnsiTheme="majorHAnsi"/>
                <w:b/>
                <w:bCs/>
                <w:color w:val="FFFFFF" w:themeColor="background1"/>
                <w:sz w:val="19"/>
                <w:szCs w:val="19"/>
              </w:rPr>
              <w:t>:</w:t>
            </w:r>
          </w:p>
        </w:tc>
        <w:tc>
          <w:tcPr>
            <w:tcW w:w="5760" w:type="dxa"/>
            <w:vAlign w:val="center"/>
          </w:tcPr>
          <w:p w:rsidR="003239B8" w:rsidRPr="008745C2" w:rsidRDefault="00B7115F" w:rsidP="00B248A1">
            <w:pPr>
              <w:jc w:val="both"/>
              <w:rPr>
                <w:rFonts w:asciiTheme="majorHAnsi" w:hAnsiTheme="majorHAnsi"/>
                <w:bCs/>
                <w:sz w:val="19"/>
                <w:szCs w:val="19"/>
                <w:lang w:val="es-ES"/>
              </w:rPr>
            </w:pPr>
            <w:r w:rsidRPr="008745C2">
              <w:rPr>
                <w:rFonts w:asciiTheme="majorHAnsi" w:hAnsiTheme="majorHAnsi"/>
                <w:bCs/>
                <w:sz w:val="19"/>
                <w:szCs w:val="19"/>
                <w:lang w:val="es-ES"/>
              </w:rPr>
              <w:t>Sí, Convención Americana (</w:t>
            </w:r>
            <w:r w:rsidR="00B248A1" w:rsidRPr="008745C2">
              <w:rPr>
                <w:rFonts w:asciiTheme="majorHAnsi" w:hAnsiTheme="majorHAnsi"/>
                <w:bCs/>
                <w:sz w:val="19"/>
                <w:szCs w:val="19"/>
                <w:lang w:val="es-ES"/>
              </w:rPr>
              <w:t>depósito de instrumento realizado el 28 de julio de 1978</w:t>
            </w:r>
            <w:r w:rsidRPr="008745C2">
              <w:rPr>
                <w:rFonts w:asciiTheme="majorHAnsi" w:hAnsiTheme="majorHAnsi"/>
                <w:bCs/>
                <w:sz w:val="19"/>
                <w:szCs w:val="19"/>
                <w:lang w:val="es-ES"/>
              </w:rPr>
              <w:t>)</w:t>
            </w:r>
          </w:p>
        </w:tc>
      </w:tr>
    </w:tbl>
    <w:p w:rsidR="003239B8" w:rsidRPr="008745C2" w:rsidRDefault="003239B8" w:rsidP="003239B8">
      <w:pPr>
        <w:spacing w:before="240" w:after="240"/>
        <w:ind w:firstLine="720"/>
        <w:jc w:val="both"/>
        <w:rPr>
          <w:rFonts w:asciiTheme="majorHAnsi" w:hAnsiTheme="majorHAnsi"/>
          <w:b/>
          <w:bCs/>
          <w:sz w:val="19"/>
          <w:szCs w:val="19"/>
          <w:lang w:val="es-ES"/>
        </w:rPr>
      </w:pPr>
      <w:r w:rsidRPr="008745C2">
        <w:rPr>
          <w:rFonts w:asciiTheme="majorHAnsi" w:hAnsiTheme="majorHAnsi"/>
          <w:b/>
          <w:bCs/>
          <w:sz w:val="19"/>
          <w:szCs w:val="19"/>
          <w:lang w:val="es-ES"/>
        </w:rPr>
        <w:t xml:space="preserve">IV. </w:t>
      </w:r>
      <w:r w:rsidRPr="008745C2">
        <w:rPr>
          <w:rFonts w:asciiTheme="majorHAnsi" w:hAnsiTheme="majorHAnsi"/>
          <w:b/>
          <w:bCs/>
          <w:sz w:val="19"/>
          <w:szCs w:val="19"/>
          <w:lang w:val="es-ES"/>
        </w:rPr>
        <w:tab/>
      </w:r>
      <w:r w:rsidR="00EE00E9" w:rsidRPr="008745C2">
        <w:rPr>
          <w:rFonts w:asciiTheme="majorHAnsi" w:hAnsiTheme="majorHAnsi"/>
          <w:b/>
          <w:bCs/>
          <w:sz w:val="19"/>
          <w:szCs w:val="19"/>
          <w:lang w:val="es-ES"/>
        </w:rPr>
        <w:t>DUPLICACIÓN</w:t>
      </w:r>
      <w:r w:rsidR="00EE00E9" w:rsidRPr="008745C2">
        <w:rPr>
          <w:rFonts w:asciiTheme="majorHAnsi" w:hAnsiTheme="majorHAnsi"/>
          <w:b/>
          <w:bCs/>
          <w:color w:val="FFFFFF" w:themeColor="background1"/>
          <w:sz w:val="19"/>
          <w:szCs w:val="19"/>
          <w:lang w:val="es-ES"/>
        </w:rPr>
        <w:t xml:space="preserve"> </w:t>
      </w:r>
      <w:r w:rsidR="00EE00E9" w:rsidRPr="008745C2">
        <w:rPr>
          <w:rFonts w:asciiTheme="majorHAnsi" w:hAnsiTheme="majorHAnsi"/>
          <w:b/>
          <w:bCs/>
          <w:sz w:val="19"/>
          <w:szCs w:val="19"/>
          <w:lang w:val="es-ES"/>
        </w:rPr>
        <w:t>DE PROCEDIMIENTOS Y COSA JUZGADA</w:t>
      </w:r>
      <w:r w:rsidR="00EE00E9" w:rsidRPr="008745C2">
        <w:rPr>
          <w:rFonts w:asciiTheme="majorHAnsi" w:hAnsiTheme="majorHAnsi"/>
          <w:b/>
          <w:bCs/>
          <w:i/>
          <w:sz w:val="19"/>
          <w:szCs w:val="19"/>
          <w:lang w:val="es-ES"/>
        </w:rPr>
        <w:t xml:space="preserve"> </w:t>
      </w:r>
      <w:r w:rsidR="00EE00E9" w:rsidRPr="008745C2">
        <w:rPr>
          <w:rFonts w:asciiTheme="majorHAnsi" w:hAnsiTheme="majorHAnsi"/>
          <w:b/>
          <w:bCs/>
          <w:sz w:val="19"/>
          <w:szCs w:val="19"/>
          <w:lang w:val="es-ES"/>
        </w:rPr>
        <w:t xml:space="preserve">INTERNACIONAL, </w:t>
      </w:r>
      <w:r w:rsidRPr="008745C2">
        <w:rPr>
          <w:rFonts w:asciiTheme="majorHAnsi" w:hAnsiTheme="majorHAnsi"/>
          <w:b/>
          <w:bCs/>
          <w:sz w:val="19"/>
          <w:szCs w:val="19"/>
          <w:lang w:val="es-ES"/>
        </w:rPr>
        <w:t xml:space="preserve"> CARACTERIZACIÓN, </w:t>
      </w:r>
      <w:r w:rsidRPr="008745C2">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745C2" w:rsidTr="004A6A54">
        <w:trPr>
          <w:cantSplit/>
        </w:trPr>
        <w:tc>
          <w:tcPr>
            <w:tcW w:w="3600" w:type="dxa"/>
            <w:tcBorders>
              <w:top w:val="single" w:sz="4" w:space="0" w:color="auto"/>
              <w:bottom w:val="single" w:sz="6" w:space="0" w:color="auto"/>
            </w:tcBorders>
            <w:shd w:val="clear" w:color="auto" w:fill="386294"/>
            <w:vAlign w:val="center"/>
          </w:tcPr>
          <w:p w:rsidR="00EE00E9" w:rsidRPr="008745C2" w:rsidRDefault="00EE00E9" w:rsidP="003A2464">
            <w:pPr>
              <w:jc w:val="center"/>
              <w:rPr>
                <w:rFonts w:asciiTheme="majorHAnsi" w:hAnsiTheme="majorHAnsi"/>
                <w:b/>
                <w:bCs/>
                <w:color w:val="FFFFFF" w:themeColor="background1"/>
                <w:sz w:val="19"/>
                <w:szCs w:val="19"/>
                <w:lang w:val="es-ES"/>
              </w:rPr>
            </w:pPr>
            <w:r w:rsidRPr="008745C2">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8745C2" w:rsidRDefault="004B4F6B" w:rsidP="003A2464">
            <w:pPr>
              <w:jc w:val="both"/>
              <w:rPr>
                <w:rFonts w:asciiTheme="majorHAnsi" w:hAnsiTheme="majorHAnsi"/>
                <w:bCs/>
                <w:sz w:val="19"/>
                <w:szCs w:val="19"/>
                <w:lang w:val="es-ES"/>
              </w:rPr>
            </w:pPr>
            <w:r w:rsidRPr="008745C2">
              <w:rPr>
                <w:rFonts w:asciiTheme="majorHAnsi" w:hAnsiTheme="majorHAnsi"/>
                <w:bCs/>
                <w:sz w:val="19"/>
                <w:szCs w:val="19"/>
                <w:lang w:val="es-ES"/>
              </w:rPr>
              <w:t>No</w:t>
            </w:r>
          </w:p>
        </w:tc>
      </w:tr>
      <w:tr w:rsidR="003239B8" w:rsidRPr="00B72AB5" w:rsidTr="004A6A54">
        <w:trPr>
          <w:cantSplit/>
        </w:trPr>
        <w:tc>
          <w:tcPr>
            <w:tcW w:w="3600" w:type="dxa"/>
            <w:tcBorders>
              <w:top w:val="single" w:sz="4" w:space="0" w:color="auto"/>
              <w:bottom w:val="single" w:sz="6" w:space="0" w:color="auto"/>
            </w:tcBorders>
            <w:shd w:val="clear" w:color="auto" w:fill="386294"/>
            <w:vAlign w:val="center"/>
          </w:tcPr>
          <w:p w:rsidR="003239B8" w:rsidRPr="008745C2" w:rsidRDefault="003239B8" w:rsidP="003A2464">
            <w:pPr>
              <w:jc w:val="center"/>
              <w:rPr>
                <w:rFonts w:asciiTheme="majorHAnsi" w:hAnsiTheme="majorHAnsi"/>
                <w:b/>
                <w:bCs/>
                <w:i/>
                <w:color w:val="FFFFFF" w:themeColor="background1"/>
                <w:sz w:val="19"/>
                <w:szCs w:val="19"/>
              </w:rPr>
            </w:pPr>
            <w:r w:rsidRPr="008745C2">
              <w:rPr>
                <w:rFonts w:asciiTheme="majorHAnsi" w:hAnsiTheme="majorHAnsi"/>
                <w:b/>
                <w:bCs/>
                <w:color w:val="FFFFFF" w:themeColor="background1"/>
                <w:sz w:val="19"/>
                <w:szCs w:val="19"/>
              </w:rPr>
              <w:t>Derechos declarados admisibles</w:t>
            </w:r>
            <w:r w:rsidRPr="008745C2">
              <w:rPr>
                <w:rFonts w:asciiTheme="majorHAnsi" w:hAnsiTheme="majorHAnsi"/>
                <w:b/>
                <w:bCs/>
                <w:i/>
                <w:color w:val="FFFFFF" w:themeColor="background1"/>
                <w:sz w:val="19"/>
                <w:szCs w:val="19"/>
              </w:rPr>
              <w:t>:</w:t>
            </w:r>
          </w:p>
        </w:tc>
        <w:tc>
          <w:tcPr>
            <w:tcW w:w="5760" w:type="dxa"/>
            <w:vAlign w:val="center"/>
          </w:tcPr>
          <w:p w:rsidR="003239B8" w:rsidRPr="008745C2" w:rsidRDefault="00B248A1" w:rsidP="00640177">
            <w:pPr>
              <w:jc w:val="both"/>
              <w:rPr>
                <w:rFonts w:asciiTheme="majorHAnsi" w:hAnsiTheme="majorHAnsi"/>
                <w:bCs/>
                <w:sz w:val="19"/>
                <w:szCs w:val="19"/>
                <w:lang w:val="es-CO"/>
              </w:rPr>
            </w:pPr>
            <w:r w:rsidRPr="008745C2">
              <w:rPr>
                <w:rFonts w:asciiTheme="majorHAnsi" w:hAnsiTheme="majorHAnsi"/>
                <w:bCs/>
                <w:sz w:val="19"/>
                <w:szCs w:val="19"/>
                <w:lang w:val="es-CO"/>
              </w:rPr>
              <w:t>Artículos 4 (vida), 5 (integridad personal), 8 (garantías judiciales),</w:t>
            </w:r>
            <w:r w:rsidR="00363A10" w:rsidRPr="008745C2">
              <w:rPr>
                <w:rFonts w:asciiTheme="majorHAnsi" w:hAnsiTheme="majorHAnsi"/>
                <w:bCs/>
                <w:sz w:val="19"/>
                <w:szCs w:val="19"/>
                <w:lang w:val="es-CO"/>
              </w:rPr>
              <w:t xml:space="preserve"> </w:t>
            </w:r>
            <w:r w:rsidR="00640177" w:rsidRPr="008745C2">
              <w:rPr>
                <w:rFonts w:asciiTheme="majorHAnsi" w:hAnsiTheme="majorHAnsi"/>
                <w:bCs/>
                <w:sz w:val="19"/>
                <w:szCs w:val="19"/>
                <w:lang w:val="es-CO"/>
              </w:rPr>
              <w:t xml:space="preserve">13 (libertad de pensamiento y de expresión), </w:t>
            </w:r>
            <w:r w:rsidR="00363A10" w:rsidRPr="008745C2">
              <w:rPr>
                <w:rFonts w:asciiTheme="majorHAnsi" w:hAnsiTheme="majorHAnsi"/>
                <w:bCs/>
                <w:sz w:val="19"/>
                <w:szCs w:val="19"/>
                <w:lang w:val="es-CO"/>
              </w:rPr>
              <w:t>19 (derechos del niño),</w:t>
            </w:r>
            <w:r w:rsidR="00654D42" w:rsidRPr="008745C2">
              <w:rPr>
                <w:rFonts w:asciiTheme="majorHAnsi" w:hAnsiTheme="majorHAnsi"/>
                <w:bCs/>
                <w:sz w:val="19"/>
                <w:szCs w:val="19"/>
                <w:lang w:val="es-CO"/>
              </w:rPr>
              <w:t xml:space="preserve"> </w:t>
            </w:r>
            <w:r w:rsidR="00ED0B51" w:rsidRPr="008745C2">
              <w:rPr>
                <w:rFonts w:asciiTheme="majorHAnsi" w:hAnsiTheme="majorHAnsi"/>
                <w:bCs/>
                <w:sz w:val="19"/>
                <w:szCs w:val="19"/>
                <w:lang w:val="es-CO"/>
              </w:rPr>
              <w:t xml:space="preserve">21 (propiedad privad), </w:t>
            </w:r>
            <w:r w:rsidRPr="008745C2">
              <w:rPr>
                <w:rFonts w:asciiTheme="majorHAnsi" w:hAnsiTheme="majorHAnsi"/>
                <w:bCs/>
                <w:sz w:val="19"/>
                <w:szCs w:val="19"/>
                <w:lang w:val="es-CO"/>
              </w:rPr>
              <w:t>24 (igualdad</w:t>
            </w:r>
            <w:r w:rsidR="00363A10" w:rsidRPr="008745C2">
              <w:rPr>
                <w:rFonts w:asciiTheme="majorHAnsi" w:hAnsiTheme="majorHAnsi"/>
                <w:bCs/>
                <w:sz w:val="19"/>
                <w:szCs w:val="19"/>
                <w:lang w:val="es-CO"/>
              </w:rPr>
              <w:t xml:space="preserve"> ante la ley</w:t>
            </w:r>
            <w:r w:rsidRPr="008745C2">
              <w:rPr>
                <w:rFonts w:asciiTheme="majorHAnsi" w:hAnsiTheme="majorHAnsi"/>
                <w:bCs/>
                <w:sz w:val="19"/>
                <w:szCs w:val="19"/>
                <w:lang w:val="es-CO"/>
              </w:rPr>
              <w:t xml:space="preserve">), 25 (protección judicial) </w:t>
            </w:r>
            <w:r w:rsidR="00CB2AB7" w:rsidRPr="008745C2">
              <w:rPr>
                <w:rFonts w:asciiTheme="majorHAnsi" w:hAnsiTheme="majorHAnsi"/>
                <w:bCs/>
                <w:sz w:val="19"/>
                <w:szCs w:val="19"/>
                <w:lang w:val="es-CO"/>
              </w:rPr>
              <w:t xml:space="preserve">y 26 (derechos económicos, sociales y culturales) </w:t>
            </w:r>
            <w:r w:rsidRPr="008745C2">
              <w:rPr>
                <w:rFonts w:asciiTheme="majorHAnsi" w:hAnsiTheme="majorHAnsi"/>
                <w:bCs/>
                <w:sz w:val="19"/>
                <w:szCs w:val="19"/>
                <w:lang w:val="es-CO"/>
              </w:rPr>
              <w:t>de la Convención Americana</w:t>
            </w:r>
            <w:r w:rsidR="00654D42" w:rsidRPr="008745C2">
              <w:rPr>
                <w:rFonts w:asciiTheme="majorHAnsi" w:hAnsiTheme="majorHAnsi"/>
                <w:bCs/>
                <w:sz w:val="19"/>
                <w:szCs w:val="19"/>
                <w:lang w:val="es-CO"/>
              </w:rPr>
              <w:t>,</w:t>
            </w:r>
            <w:r w:rsidRPr="008745C2">
              <w:rPr>
                <w:rFonts w:asciiTheme="majorHAnsi" w:hAnsiTheme="majorHAnsi"/>
                <w:bCs/>
                <w:sz w:val="19"/>
                <w:szCs w:val="19"/>
                <w:lang w:val="es-CO"/>
              </w:rPr>
              <w:t xml:space="preserve"> en relación </w:t>
            </w:r>
            <w:r w:rsidR="00363A10" w:rsidRPr="008745C2">
              <w:rPr>
                <w:rFonts w:asciiTheme="majorHAnsi" w:hAnsiTheme="majorHAnsi"/>
                <w:bCs/>
                <w:sz w:val="19"/>
                <w:szCs w:val="19"/>
                <w:lang w:val="es-CO"/>
              </w:rPr>
              <w:t xml:space="preserve">con </w:t>
            </w:r>
            <w:r w:rsidRPr="008745C2">
              <w:rPr>
                <w:rFonts w:asciiTheme="majorHAnsi" w:hAnsiTheme="majorHAnsi"/>
                <w:bCs/>
                <w:sz w:val="19"/>
                <w:szCs w:val="19"/>
                <w:lang w:val="es-CO"/>
              </w:rPr>
              <w:t>su</w:t>
            </w:r>
            <w:r w:rsidR="00363A10" w:rsidRPr="008745C2">
              <w:rPr>
                <w:rFonts w:asciiTheme="majorHAnsi" w:hAnsiTheme="majorHAnsi"/>
                <w:bCs/>
                <w:sz w:val="19"/>
                <w:szCs w:val="19"/>
                <w:lang w:val="es-CO"/>
              </w:rPr>
              <w:t>s</w:t>
            </w:r>
            <w:r w:rsidRPr="008745C2">
              <w:rPr>
                <w:rFonts w:asciiTheme="majorHAnsi" w:hAnsiTheme="majorHAnsi"/>
                <w:bCs/>
                <w:sz w:val="19"/>
                <w:szCs w:val="19"/>
                <w:lang w:val="es-CO"/>
              </w:rPr>
              <w:t xml:space="preserve"> artículo</w:t>
            </w:r>
            <w:r w:rsidR="00363A10" w:rsidRPr="008745C2">
              <w:rPr>
                <w:rFonts w:asciiTheme="majorHAnsi" w:hAnsiTheme="majorHAnsi"/>
                <w:bCs/>
                <w:sz w:val="19"/>
                <w:szCs w:val="19"/>
                <w:lang w:val="es-CO"/>
              </w:rPr>
              <w:t>s</w:t>
            </w:r>
            <w:r w:rsidRPr="008745C2">
              <w:rPr>
                <w:rFonts w:asciiTheme="majorHAnsi" w:hAnsiTheme="majorHAnsi"/>
                <w:bCs/>
                <w:sz w:val="19"/>
                <w:szCs w:val="19"/>
                <w:lang w:val="es-CO"/>
              </w:rPr>
              <w:t xml:space="preserve"> 1</w:t>
            </w:r>
            <w:r w:rsidR="00654D42" w:rsidRPr="008745C2">
              <w:rPr>
                <w:rFonts w:asciiTheme="majorHAnsi" w:hAnsiTheme="majorHAnsi"/>
                <w:bCs/>
                <w:sz w:val="19"/>
                <w:szCs w:val="19"/>
                <w:lang w:val="es-CO"/>
              </w:rPr>
              <w:t>.1</w:t>
            </w:r>
            <w:r w:rsidR="00363A10" w:rsidRPr="008745C2">
              <w:rPr>
                <w:rFonts w:asciiTheme="majorHAnsi" w:hAnsiTheme="majorHAnsi"/>
                <w:bCs/>
                <w:sz w:val="19"/>
                <w:szCs w:val="19"/>
                <w:lang w:val="es-CO"/>
              </w:rPr>
              <w:t xml:space="preserve"> y 2</w:t>
            </w:r>
          </w:p>
        </w:tc>
      </w:tr>
      <w:tr w:rsidR="003239B8" w:rsidRPr="00B72AB5" w:rsidTr="004A6A54">
        <w:trPr>
          <w:cantSplit/>
        </w:trPr>
        <w:tc>
          <w:tcPr>
            <w:tcW w:w="3600" w:type="dxa"/>
            <w:tcBorders>
              <w:top w:val="single" w:sz="6" w:space="0" w:color="auto"/>
              <w:bottom w:val="single" w:sz="6" w:space="0" w:color="auto"/>
            </w:tcBorders>
            <w:shd w:val="clear" w:color="auto" w:fill="386294"/>
            <w:vAlign w:val="center"/>
          </w:tcPr>
          <w:p w:rsidR="003239B8" w:rsidRPr="008745C2" w:rsidRDefault="003239B8" w:rsidP="003A2464">
            <w:pPr>
              <w:jc w:val="center"/>
              <w:rPr>
                <w:rFonts w:asciiTheme="majorHAnsi" w:hAnsiTheme="majorHAnsi"/>
                <w:b/>
                <w:bCs/>
                <w:color w:val="FFFFFF" w:themeColor="background1"/>
                <w:sz w:val="19"/>
                <w:szCs w:val="19"/>
                <w:lang w:val="es-ES"/>
              </w:rPr>
            </w:pPr>
            <w:r w:rsidRPr="008745C2">
              <w:rPr>
                <w:rFonts w:asciiTheme="majorHAnsi" w:hAnsiTheme="majorHAnsi"/>
                <w:b/>
                <w:bCs/>
                <w:color w:val="FFFFFF" w:themeColor="background1"/>
                <w:sz w:val="19"/>
                <w:szCs w:val="19"/>
                <w:lang w:val="es-ES"/>
              </w:rPr>
              <w:t>Agotamiento de recursos internos</w:t>
            </w:r>
            <w:r w:rsidR="00EE00E9" w:rsidRPr="008745C2">
              <w:rPr>
                <w:rFonts w:asciiTheme="majorHAnsi" w:hAnsiTheme="majorHAnsi"/>
                <w:b/>
                <w:bCs/>
                <w:color w:val="FFFFFF" w:themeColor="background1"/>
                <w:sz w:val="19"/>
                <w:szCs w:val="19"/>
                <w:lang w:val="es-ES"/>
              </w:rPr>
              <w:t xml:space="preserve"> o procedencia de una excepción</w:t>
            </w:r>
            <w:r w:rsidRPr="008745C2">
              <w:rPr>
                <w:rFonts w:asciiTheme="majorHAnsi" w:hAnsiTheme="majorHAnsi"/>
                <w:b/>
                <w:bCs/>
                <w:color w:val="FFFFFF" w:themeColor="background1"/>
                <w:sz w:val="19"/>
                <w:szCs w:val="19"/>
                <w:lang w:val="es-ES"/>
              </w:rPr>
              <w:t>:</w:t>
            </w:r>
          </w:p>
        </w:tc>
        <w:tc>
          <w:tcPr>
            <w:tcW w:w="5760" w:type="dxa"/>
            <w:vAlign w:val="center"/>
          </w:tcPr>
          <w:p w:rsidR="003239B8" w:rsidRPr="008745C2" w:rsidRDefault="00AA0DB2" w:rsidP="003A2464">
            <w:pPr>
              <w:rPr>
                <w:rFonts w:asciiTheme="majorHAnsi" w:hAnsiTheme="majorHAnsi"/>
                <w:bCs/>
                <w:sz w:val="19"/>
                <w:szCs w:val="19"/>
                <w:lang w:val="es-ES"/>
              </w:rPr>
            </w:pPr>
            <w:r w:rsidRPr="008745C2">
              <w:rPr>
                <w:rFonts w:asciiTheme="majorHAnsi" w:hAnsiTheme="majorHAnsi"/>
                <w:bCs/>
                <w:sz w:val="19"/>
                <w:szCs w:val="19"/>
                <w:lang w:val="es-ES"/>
              </w:rPr>
              <w:t>Sí</w:t>
            </w:r>
            <w:r w:rsidR="003A2464" w:rsidRPr="008745C2">
              <w:rPr>
                <w:rFonts w:asciiTheme="majorHAnsi" w:hAnsiTheme="majorHAnsi"/>
                <w:bCs/>
                <w:sz w:val="19"/>
                <w:szCs w:val="19"/>
                <w:lang w:val="es-ES"/>
              </w:rPr>
              <w:t>, en los términos de la Sección VI</w:t>
            </w:r>
          </w:p>
        </w:tc>
      </w:tr>
      <w:tr w:rsidR="003239B8" w:rsidRPr="00B72AB5" w:rsidTr="004A6A54">
        <w:trPr>
          <w:cantSplit/>
        </w:trPr>
        <w:tc>
          <w:tcPr>
            <w:tcW w:w="3600" w:type="dxa"/>
            <w:tcBorders>
              <w:top w:val="single" w:sz="6" w:space="0" w:color="auto"/>
              <w:bottom w:val="single" w:sz="6" w:space="0" w:color="auto"/>
            </w:tcBorders>
            <w:shd w:val="clear" w:color="auto" w:fill="386294"/>
            <w:vAlign w:val="center"/>
          </w:tcPr>
          <w:p w:rsidR="003239B8" w:rsidRPr="008745C2" w:rsidRDefault="003239B8" w:rsidP="003A2464">
            <w:pPr>
              <w:jc w:val="center"/>
              <w:rPr>
                <w:rFonts w:asciiTheme="majorHAnsi" w:hAnsiTheme="majorHAnsi"/>
                <w:b/>
                <w:bCs/>
                <w:color w:val="FFFFFF" w:themeColor="background1"/>
                <w:sz w:val="19"/>
                <w:szCs w:val="19"/>
              </w:rPr>
            </w:pPr>
            <w:proofErr w:type="spellStart"/>
            <w:r w:rsidRPr="008745C2">
              <w:rPr>
                <w:rFonts w:asciiTheme="majorHAnsi" w:hAnsiTheme="majorHAnsi"/>
                <w:b/>
                <w:bCs/>
                <w:color w:val="FFFFFF" w:themeColor="background1"/>
                <w:sz w:val="19"/>
                <w:szCs w:val="19"/>
              </w:rPr>
              <w:t>Presentación</w:t>
            </w:r>
            <w:proofErr w:type="spellEnd"/>
            <w:r w:rsidRPr="008745C2">
              <w:rPr>
                <w:rFonts w:asciiTheme="majorHAnsi" w:hAnsiTheme="majorHAnsi"/>
                <w:b/>
                <w:bCs/>
                <w:color w:val="FFFFFF" w:themeColor="background1"/>
                <w:sz w:val="19"/>
                <w:szCs w:val="19"/>
              </w:rPr>
              <w:t xml:space="preserve"> </w:t>
            </w:r>
            <w:proofErr w:type="spellStart"/>
            <w:r w:rsidRPr="008745C2">
              <w:rPr>
                <w:rFonts w:asciiTheme="majorHAnsi" w:hAnsiTheme="majorHAnsi"/>
                <w:b/>
                <w:bCs/>
                <w:color w:val="FFFFFF" w:themeColor="background1"/>
                <w:sz w:val="19"/>
                <w:szCs w:val="19"/>
              </w:rPr>
              <w:t>dentro</w:t>
            </w:r>
            <w:proofErr w:type="spellEnd"/>
            <w:r w:rsidRPr="008745C2">
              <w:rPr>
                <w:rFonts w:asciiTheme="majorHAnsi" w:hAnsiTheme="majorHAnsi"/>
                <w:b/>
                <w:bCs/>
                <w:color w:val="FFFFFF" w:themeColor="background1"/>
                <w:sz w:val="19"/>
                <w:szCs w:val="19"/>
              </w:rPr>
              <w:t xml:space="preserve"> de </w:t>
            </w:r>
            <w:proofErr w:type="spellStart"/>
            <w:r w:rsidRPr="008745C2">
              <w:rPr>
                <w:rFonts w:asciiTheme="majorHAnsi" w:hAnsiTheme="majorHAnsi"/>
                <w:b/>
                <w:bCs/>
                <w:color w:val="FFFFFF" w:themeColor="background1"/>
                <w:sz w:val="19"/>
                <w:szCs w:val="19"/>
              </w:rPr>
              <w:t>plazo</w:t>
            </w:r>
            <w:proofErr w:type="spellEnd"/>
            <w:r w:rsidRPr="008745C2">
              <w:rPr>
                <w:rFonts w:asciiTheme="majorHAnsi" w:hAnsiTheme="majorHAnsi"/>
                <w:b/>
                <w:bCs/>
                <w:color w:val="FFFFFF" w:themeColor="background1"/>
                <w:sz w:val="19"/>
                <w:szCs w:val="19"/>
              </w:rPr>
              <w:t>:</w:t>
            </w:r>
          </w:p>
        </w:tc>
        <w:tc>
          <w:tcPr>
            <w:tcW w:w="5760" w:type="dxa"/>
            <w:vAlign w:val="center"/>
          </w:tcPr>
          <w:p w:rsidR="003239B8" w:rsidRPr="008745C2" w:rsidRDefault="00AA0DB2" w:rsidP="003A2464">
            <w:pPr>
              <w:rPr>
                <w:rFonts w:asciiTheme="majorHAnsi" w:hAnsiTheme="majorHAnsi"/>
                <w:bCs/>
                <w:sz w:val="19"/>
                <w:szCs w:val="19"/>
                <w:lang w:val="es-BO"/>
              </w:rPr>
            </w:pPr>
            <w:r w:rsidRPr="008745C2">
              <w:rPr>
                <w:rFonts w:asciiTheme="majorHAnsi" w:hAnsiTheme="majorHAnsi"/>
                <w:bCs/>
                <w:sz w:val="19"/>
                <w:szCs w:val="19"/>
                <w:lang w:val="es-ES"/>
              </w:rPr>
              <w:t>Sí</w:t>
            </w:r>
            <w:r w:rsidR="003A2464" w:rsidRPr="008745C2">
              <w:rPr>
                <w:rFonts w:asciiTheme="majorHAnsi" w:hAnsiTheme="majorHAnsi"/>
                <w:bCs/>
                <w:sz w:val="19"/>
                <w:szCs w:val="19"/>
                <w:lang w:val="es-ES"/>
              </w:rPr>
              <w:t>, en los términos de la Sección VI</w:t>
            </w:r>
          </w:p>
        </w:tc>
      </w:tr>
    </w:tbl>
    <w:p w:rsidR="003A598E" w:rsidRDefault="003A598E" w:rsidP="003239B8">
      <w:pPr>
        <w:spacing w:before="240" w:after="240"/>
        <w:ind w:firstLine="720"/>
        <w:jc w:val="both"/>
        <w:rPr>
          <w:rFonts w:asciiTheme="majorHAnsi" w:hAnsiTheme="majorHAnsi"/>
          <w:b/>
          <w:sz w:val="20"/>
          <w:szCs w:val="20"/>
          <w:lang w:val="es-UY"/>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2618D7" w:rsidRDefault="0091234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UY"/>
        </w:rPr>
        <w:t xml:space="preserve">Los peticionarios señalan que </w:t>
      </w:r>
      <w:r w:rsidR="00527C30" w:rsidRPr="002618D7">
        <w:rPr>
          <w:rFonts w:ascii="Cambria" w:hAnsi="Cambria"/>
          <w:sz w:val="20"/>
          <w:szCs w:val="20"/>
          <w:lang w:val="es-CO"/>
        </w:rPr>
        <w:t>el 29 de diciembre de 2001, en “Mesa Redonda”,</w:t>
      </w:r>
      <w:r>
        <w:rPr>
          <w:rFonts w:ascii="Cambria" w:hAnsi="Cambria"/>
          <w:sz w:val="20"/>
          <w:szCs w:val="20"/>
          <w:lang w:val="es-CO"/>
        </w:rPr>
        <w:t xml:space="preserve"> un</w:t>
      </w:r>
      <w:r w:rsidR="00527C30" w:rsidRPr="002618D7">
        <w:rPr>
          <w:rFonts w:ascii="Cambria" w:hAnsi="Cambria"/>
          <w:sz w:val="20"/>
          <w:szCs w:val="20"/>
          <w:lang w:val="es-CO"/>
        </w:rPr>
        <w:t xml:space="preserve"> ba</w:t>
      </w:r>
      <w:r>
        <w:rPr>
          <w:rFonts w:ascii="Cambria" w:hAnsi="Cambria"/>
          <w:sz w:val="20"/>
          <w:szCs w:val="20"/>
          <w:lang w:val="es-CO"/>
        </w:rPr>
        <w:t>r</w:t>
      </w:r>
      <w:r w:rsidR="00527C30" w:rsidRPr="002618D7">
        <w:rPr>
          <w:rFonts w:ascii="Cambria" w:hAnsi="Cambria"/>
          <w:sz w:val="20"/>
          <w:szCs w:val="20"/>
          <w:lang w:val="es-CO"/>
        </w:rPr>
        <w:t>rio popular ubicado en la parte</w:t>
      </w:r>
      <w:r w:rsidR="00DA59BF" w:rsidRPr="002618D7">
        <w:rPr>
          <w:rFonts w:ascii="Cambria" w:hAnsi="Cambria"/>
          <w:sz w:val="20"/>
          <w:szCs w:val="20"/>
          <w:lang w:val="es-CO"/>
        </w:rPr>
        <w:t xml:space="preserve"> ant</w:t>
      </w:r>
      <w:r w:rsidR="002618D7">
        <w:rPr>
          <w:rFonts w:ascii="Cambria" w:hAnsi="Cambria"/>
          <w:sz w:val="20"/>
          <w:szCs w:val="20"/>
          <w:lang w:val="es-CO"/>
        </w:rPr>
        <w:t>igua de la ciudad de Lima,</w:t>
      </w:r>
      <w:r w:rsidR="00DA59BF" w:rsidRPr="002618D7">
        <w:rPr>
          <w:rFonts w:ascii="Cambria" w:hAnsi="Cambria"/>
          <w:sz w:val="20"/>
          <w:szCs w:val="20"/>
          <w:lang w:val="es-CO"/>
        </w:rPr>
        <w:t xml:space="preserve"> </w:t>
      </w:r>
      <w:r w:rsidR="00DD6E57">
        <w:rPr>
          <w:rFonts w:ascii="Cambria" w:hAnsi="Cambria"/>
          <w:sz w:val="20"/>
          <w:szCs w:val="20"/>
          <w:lang w:val="es-CO"/>
        </w:rPr>
        <w:t>se produjo</w:t>
      </w:r>
      <w:r w:rsidR="00DA59BF" w:rsidRPr="002618D7">
        <w:rPr>
          <w:rFonts w:ascii="Cambria" w:hAnsi="Cambria"/>
          <w:sz w:val="20"/>
          <w:szCs w:val="20"/>
          <w:lang w:val="es-CO"/>
        </w:rPr>
        <w:t xml:space="preserve"> un incend</w:t>
      </w:r>
      <w:r w:rsidR="00527C30" w:rsidRPr="002618D7">
        <w:rPr>
          <w:rFonts w:ascii="Cambria" w:hAnsi="Cambria"/>
          <w:sz w:val="20"/>
          <w:szCs w:val="20"/>
          <w:lang w:val="es-CO"/>
        </w:rPr>
        <w:t xml:space="preserve">io </w:t>
      </w:r>
      <w:r w:rsidR="00DD6E57">
        <w:rPr>
          <w:rFonts w:ascii="Cambria" w:hAnsi="Cambria"/>
          <w:sz w:val="20"/>
          <w:szCs w:val="20"/>
          <w:lang w:val="es-CO"/>
        </w:rPr>
        <w:t>debido a</w:t>
      </w:r>
      <w:r w:rsidR="00527C30" w:rsidRPr="002618D7">
        <w:rPr>
          <w:rFonts w:ascii="Cambria" w:hAnsi="Cambria"/>
          <w:sz w:val="20"/>
          <w:szCs w:val="20"/>
          <w:lang w:val="es-CO"/>
        </w:rPr>
        <w:t xml:space="preserve"> la activación en gran escala de todo tipo de artefactos pirotécnicos</w:t>
      </w:r>
      <w:r w:rsidR="002618D7">
        <w:rPr>
          <w:rFonts w:ascii="Cambria" w:hAnsi="Cambria"/>
          <w:sz w:val="20"/>
          <w:szCs w:val="20"/>
          <w:lang w:val="es-CO"/>
        </w:rPr>
        <w:t xml:space="preserve"> que eran</w:t>
      </w:r>
      <w:r w:rsidR="00527C30" w:rsidRPr="002618D7">
        <w:rPr>
          <w:rFonts w:ascii="Cambria" w:hAnsi="Cambria"/>
          <w:sz w:val="20"/>
          <w:szCs w:val="20"/>
          <w:lang w:val="es-CO"/>
        </w:rPr>
        <w:t xml:space="preserve"> </w:t>
      </w:r>
      <w:r w:rsidR="00FD0E0F" w:rsidRPr="002618D7">
        <w:rPr>
          <w:rFonts w:ascii="Cambria" w:hAnsi="Cambria"/>
          <w:sz w:val="20"/>
          <w:szCs w:val="20"/>
          <w:lang w:val="es-CO"/>
        </w:rPr>
        <w:t>comercializados ilegalmente</w:t>
      </w:r>
      <w:r w:rsidR="00DD6E57">
        <w:rPr>
          <w:rFonts w:ascii="Cambria" w:hAnsi="Cambria"/>
          <w:sz w:val="20"/>
          <w:szCs w:val="20"/>
          <w:lang w:val="es-CO"/>
        </w:rPr>
        <w:t xml:space="preserve"> en el lugar. Refieren que </w:t>
      </w:r>
      <w:r w:rsidR="000708FE" w:rsidRPr="002618D7">
        <w:rPr>
          <w:rFonts w:ascii="Cambria" w:hAnsi="Cambria"/>
          <w:sz w:val="20"/>
          <w:szCs w:val="20"/>
          <w:lang w:val="es-CO"/>
        </w:rPr>
        <w:t xml:space="preserve"> 277 personas</w:t>
      </w:r>
      <w:r w:rsidR="00DD6E57">
        <w:rPr>
          <w:rFonts w:ascii="Cambria" w:hAnsi="Cambria"/>
          <w:sz w:val="20"/>
          <w:szCs w:val="20"/>
          <w:lang w:val="es-CO"/>
        </w:rPr>
        <w:t xml:space="preserve"> </w:t>
      </w:r>
      <w:r w:rsidR="000674F2">
        <w:rPr>
          <w:rFonts w:ascii="Cambria" w:hAnsi="Cambria"/>
          <w:sz w:val="20"/>
          <w:szCs w:val="20"/>
          <w:lang w:val="es-CO"/>
        </w:rPr>
        <w:t>perdieron la vida</w:t>
      </w:r>
      <w:r w:rsidR="00DD6E57">
        <w:rPr>
          <w:rFonts w:ascii="Cambria" w:hAnsi="Cambria"/>
          <w:sz w:val="20"/>
          <w:szCs w:val="20"/>
          <w:lang w:val="es-CO"/>
        </w:rPr>
        <w:t>,</w:t>
      </w:r>
      <w:r w:rsidR="000708FE" w:rsidRPr="002618D7">
        <w:rPr>
          <w:rFonts w:ascii="Cambria" w:hAnsi="Cambria"/>
          <w:sz w:val="20"/>
          <w:szCs w:val="20"/>
          <w:lang w:val="es-CO"/>
        </w:rPr>
        <w:t xml:space="preserve"> 189 </w:t>
      </w:r>
      <w:r w:rsidR="000674F2">
        <w:rPr>
          <w:rFonts w:ascii="Cambria" w:hAnsi="Cambria"/>
          <w:sz w:val="20"/>
          <w:szCs w:val="20"/>
          <w:lang w:val="es-CO"/>
        </w:rPr>
        <w:t>desaparecieron</w:t>
      </w:r>
      <w:r w:rsidR="000708FE" w:rsidRPr="002618D7">
        <w:rPr>
          <w:rFonts w:ascii="Cambria" w:hAnsi="Cambria"/>
          <w:sz w:val="20"/>
          <w:szCs w:val="20"/>
          <w:lang w:val="es-CO"/>
        </w:rPr>
        <w:t>, alrededor de 220</w:t>
      </w:r>
      <w:r w:rsidR="000674F2">
        <w:rPr>
          <w:rFonts w:ascii="Cambria" w:hAnsi="Cambria"/>
          <w:sz w:val="20"/>
          <w:szCs w:val="20"/>
          <w:lang w:val="es-CO"/>
        </w:rPr>
        <w:t xml:space="preserve"> resultaron </w:t>
      </w:r>
      <w:r w:rsidR="00DD6E57">
        <w:rPr>
          <w:rFonts w:ascii="Cambria" w:hAnsi="Cambria"/>
          <w:sz w:val="20"/>
          <w:szCs w:val="20"/>
          <w:lang w:val="es-CO"/>
        </w:rPr>
        <w:t>heridas, entre las</w:t>
      </w:r>
      <w:r w:rsidR="000708FE" w:rsidRPr="002618D7">
        <w:rPr>
          <w:rFonts w:ascii="Cambria" w:hAnsi="Cambria"/>
          <w:sz w:val="20"/>
          <w:szCs w:val="20"/>
          <w:lang w:val="es-CO"/>
        </w:rPr>
        <w:t xml:space="preserve"> cuales 28 eran </w:t>
      </w:r>
      <w:r w:rsidR="00DD6E57">
        <w:rPr>
          <w:rFonts w:ascii="Cambria" w:hAnsi="Cambria"/>
          <w:sz w:val="20"/>
          <w:szCs w:val="20"/>
          <w:lang w:val="es-CO"/>
        </w:rPr>
        <w:t>niños y niñas</w:t>
      </w:r>
      <w:r w:rsidR="000708FE" w:rsidRPr="002618D7">
        <w:rPr>
          <w:rFonts w:ascii="Cambria" w:hAnsi="Cambria"/>
          <w:sz w:val="20"/>
          <w:szCs w:val="20"/>
          <w:lang w:val="es-CO"/>
        </w:rPr>
        <w:t>,</w:t>
      </w:r>
      <w:r w:rsidR="00FA707D">
        <w:rPr>
          <w:rFonts w:ascii="Cambria" w:hAnsi="Cambria"/>
          <w:sz w:val="20"/>
          <w:szCs w:val="20"/>
          <w:lang w:val="es-CO"/>
        </w:rPr>
        <w:t xml:space="preserve"> </w:t>
      </w:r>
      <w:r w:rsidR="00AF2BAD">
        <w:rPr>
          <w:rFonts w:ascii="Cambria" w:hAnsi="Cambria"/>
          <w:sz w:val="20"/>
          <w:szCs w:val="20"/>
          <w:lang w:val="es-CO"/>
        </w:rPr>
        <w:t xml:space="preserve">además </w:t>
      </w:r>
      <w:r w:rsidR="000708FE" w:rsidRPr="002618D7">
        <w:rPr>
          <w:rFonts w:ascii="Cambria" w:hAnsi="Cambria"/>
          <w:sz w:val="20"/>
          <w:szCs w:val="20"/>
          <w:lang w:val="es-CO"/>
        </w:rPr>
        <w:t>173 niños</w:t>
      </w:r>
      <w:r w:rsidR="00DD6E57">
        <w:rPr>
          <w:rFonts w:ascii="Cambria" w:hAnsi="Cambria"/>
          <w:sz w:val="20"/>
          <w:szCs w:val="20"/>
          <w:lang w:val="es-CO"/>
        </w:rPr>
        <w:t xml:space="preserve"> quedaron en la orfandad</w:t>
      </w:r>
      <w:r w:rsidR="00FA707D">
        <w:rPr>
          <w:rFonts w:ascii="Cambria" w:hAnsi="Cambria"/>
          <w:sz w:val="20"/>
          <w:szCs w:val="20"/>
          <w:lang w:val="es-CO"/>
        </w:rPr>
        <w:t>,</w:t>
      </w:r>
      <w:r w:rsidR="000708FE" w:rsidRPr="002618D7">
        <w:rPr>
          <w:rFonts w:ascii="Cambria" w:hAnsi="Cambria"/>
          <w:sz w:val="20"/>
          <w:szCs w:val="20"/>
          <w:lang w:val="es-CO"/>
        </w:rPr>
        <w:t xml:space="preserve"> y cientos de comerciantes sufrieron pérdidas de propiedad</w:t>
      </w:r>
      <w:r w:rsidR="00DD6E57">
        <w:rPr>
          <w:rFonts w:ascii="Cambria" w:hAnsi="Cambria"/>
          <w:sz w:val="20"/>
          <w:szCs w:val="20"/>
          <w:lang w:val="es-CO"/>
        </w:rPr>
        <w:t xml:space="preserve">. </w:t>
      </w:r>
    </w:p>
    <w:p w:rsidR="00262818" w:rsidRPr="002618D7" w:rsidRDefault="00EA342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2618D7">
        <w:rPr>
          <w:rFonts w:ascii="Cambria" w:hAnsi="Cambria"/>
          <w:sz w:val="20"/>
          <w:szCs w:val="20"/>
          <w:lang w:val="es-CO"/>
        </w:rPr>
        <w:t>Indica</w:t>
      </w:r>
      <w:r w:rsidR="00422450">
        <w:rPr>
          <w:rFonts w:ascii="Cambria" w:hAnsi="Cambria"/>
          <w:sz w:val="20"/>
          <w:szCs w:val="20"/>
          <w:lang w:val="es-CO"/>
        </w:rPr>
        <w:t>n</w:t>
      </w:r>
      <w:r w:rsidRPr="002618D7">
        <w:rPr>
          <w:rFonts w:ascii="Cambria" w:hAnsi="Cambria"/>
          <w:sz w:val="20"/>
          <w:szCs w:val="20"/>
          <w:lang w:val="es-CO"/>
        </w:rPr>
        <w:t xml:space="preserve"> que </w:t>
      </w:r>
      <w:r w:rsidR="00AD4A75">
        <w:rPr>
          <w:rFonts w:ascii="Cambria" w:hAnsi="Cambria"/>
          <w:sz w:val="20"/>
          <w:szCs w:val="20"/>
          <w:lang w:val="es-CO"/>
        </w:rPr>
        <w:t xml:space="preserve">el Estado incumplió su </w:t>
      </w:r>
      <w:r w:rsidR="004A462D">
        <w:rPr>
          <w:rFonts w:ascii="Cambria" w:hAnsi="Cambria"/>
          <w:sz w:val="20"/>
          <w:szCs w:val="20"/>
          <w:lang w:val="es-CO"/>
        </w:rPr>
        <w:t>deber</w:t>
      </w:r>
      <w:r w:rsidR="004A462D" w:rsidRPr="002618D7">
        <w:rPr>
          <w:rFonts w:ascii="Cambria" w:hAnsi="Cambria"/>
          <w:sz w:val="20"/>
          <w:szCs w:val="20"/>
          <w:lang w:val="es-CO"/>
        </w:rPr>
        <w:t xml:space="preserve"> </w:t>
      </w:r>
      <w:r w:rsidR="00AD4A75" w:rsidRPr="002618D7">
        <w:rPr>
          <w:rFonts w:ascii="Cambria" w:hAnsi="Cambria"/>
          <w:sz w:val="20"/>
          <w:szCs w:val="20"/>
          <w:lang w:val="es-CO"/>
        </w:rPr>
        <w:t xml:space="preserve">de prevenir </w:t>
      </w:r>
      <w:r w:rsidR="00AD4A75">
        <w:rPr>
          <w:rFonts w:ascii="Cambria" w:hAnsi="Cambria"/>
          <w:sz w:val="20"/>
          <w:szCs w:val="20"/>
          <w:lang w:val="es-CO"/>
        </w:rPr>
        <w:t xml:space="preserve">los hechos, toda vez que </w:t>
      </w:r>
      <w:r w:rsidRPr="002618D7">
        <w:rPr>
          <w:rFonts w:ascii="Cambria" w:hAnsi="Cambria"/>
          <w:sz w:val="20"/>
          <w:szCs w:val="20"/>
          <w:lang w:val="es-CO"/>
        </w:rPr>
        <w:t>p</w:t>
      </w:r>
      <w:r w:rsidR="000C7423" w:rsidRPr="002618D7">
        <w:rPr>
          <w:rFonts w:ascii="Cambria" w:hAnsi="Cambria"/>
          <w:sz w:val="20"/>
          <w:szCs w:val="20"/>
          <w:lang w:val="es-CO"/>
        </w:rPr>
        <w:t>revi</w:t>
      </w:r>
      <w:r w:rsidR="00207F37">
        <w:rPr>
          <w:rFonts w:ascii="Cambria" w:hAnsi="Cambria"/>
          <w:sz w:val="20"/>
          <w:szCs w:val="20"/>
          <w:lang w:val="es-CO"/>
        </w:rPr>
        <w:t xml:space="preserve">amente </w:t>
      </w:r>
      <w:r w:rsidR="000C7423" w:rsidRPr="002618D7">
        <w:rPr>
          <w:rFonts w:ascii="Cambria" w:hAnsi="Cambria"/>
          <w:sz w:val="20"/>
          <w:szCs w:val="20"/>
          <w:lang w:val="es-CO"/>
        </w:rPr>
        <w:t xml:space="preserve"> en el área comercial de “Mesa Redonda” se produjeron cuatro </w:t>
      </w:r>
      <w:r w:rsidR="00335B4F" w:rsidRPr="002618D7">
        <w:rPr>
          <w:rFonts w:ascii="Cambria" w:hAnsi="Cambria"/>
          <w:sz w:val="20"/>
          <w:szCs w:val="20"/>
          <w:lang w:val="es-CO"/>
        </w:rPr>
        <w:t>incendios</w:t>
      </w:r>
      <w:r w:rsidR="005E07C7" w:rsidRPr="002618D7">
        <w:rPr>
          <w:rFonts w:ascii="Cambria" w:hAnsi="Cambria"/>
          <w:sz w:val="20"/>
          <w:szCs w:val="20"/>
          <w:lang w:val="es-CO"/>
        </w:rPr>
        <w:t xml:space="preserve"> entre los meses de noviembre y diciembre de ese año</w:t>
      </w:r>
      <w:r w:rsidR="004A462D">
        <w:rPr>
          <w:rFonts w:ascii="Cambria" w:hAnsi="Cambria"/>
          <w:sz w:val="20"/>
          <w:szCs w:val="20"/>
          <w:lang w:val="es-CO"/>
        </w:rPr>
        <w:t xml:space="preserve">. Aducen que </w:t>
      </w:r>
      <w:r w:rsidRPr="002618D7">
        <w:rPr>
          <w:rFonts w:ascii="Cambria" w:hAnsi="Cambria"/>
          <w:sz w:val="20"/>
          <w:szCs w:val="20"/>
          <w:lang w:val="es-CO"/>
        </w:rPr>
        <w:t>dichos acontecimientos</w:t>
      </w:r>
      <w:r w:rsidR="004A462D">
        <w:rPr>
          <w:rFonts w:ascii="Cambria" w:hAnsi="Cambria"/>
          <w:sz w:val="20"/>
          <w:szCs w:val="20"/>
          <w:lang w:val="es-CO"/>
        </w:rPr>
        <w:t xml:space="preserve"> </w:t>
      </w:r>
      <w:r w:rsidR="000C7423" w:rsidRPr="002618D7">
        <w:rPr>
          <w:rFonts w:ascii="Cambria" w:hAnsi="Cambria"/>
          <w:sz w:val="20"/>
          <w:szCs w:val="20"/>
          <w:lang w:val="es-CO"/>
        </w:rPr>
        <w:t>debieron ser tomados e</w:t>
      </w:r>
      <w:r w:rsidR="005E07C7" w:rsidRPr="002618D7">
        <w:rPr>
          <w:rFonts w:ascii="Cambria" w:hAnsi="Cambria"/>
          <w:sz w:val="20"/>
          <w:szCs w:val="20"/>
          <w:lang w:val="es-CO"/>
        </w:rPr>
        <w:t>n cuenta por las autoridades</w:t>
      </w:r>
      <w:r w:rsidR="004A462D">
        <w:rPr>
          <w:rFonts w:ascii="Cambria" w:hAnsi="Cambria"/>
          <w:sz w:val="20"/>
          <w:szCs w:val="20"/>
          <w:lang w:val="es-CO"/>
        </w:rPr>
        <w:t>,</w:t>
      </w:r>
      <w:r w:rsidR="00C83099" w:rsidRPr="002618D7">
        <w:rPr>
          <w:rFonts w:ascii="Cambria" w:hAnsi="Cambria"/>
          <w:sz w:val="20"/>
          <w:szCs w:val="20"/>
          <w:lang w:val="es-CO"/>
        </w:rPr>
        <w:t xml:space="preserve"> </w:t>
      </w:r>
      <w:r w:rsidRPr="002618D7">
        <w:rPr>
          <w:rFonts w:ascii="Cambria" w:hAnsi="Cambria"/>
          <w:sz w:val="20"/>
          <w:szCs w:val="20"/>
          <w:lang w:val="es-CO"/>
        </w:rPr>
        <w:t>ya que constitu</w:t>
      </w:r>
      <w:r w:rsidR="004A462D">
        <w:rPr>
          <w:rFonts w:ascii="Cambria" w:hAnsi="Cambria"/>
          <w:sz w:val="20"/>
          <w:szCs w:val="20"/>
          <w:lang w:val="es-CO"/>
        </w:rPr>
        <w:t xml:space="preserve">ían </w:t>
      </w:r>
      <w:r w:rsidR="005E07C7" w:rsidRPr="002618D7">
        <w:rPr>
          <w:rFonts w:ascii="Cambria" w:hAnsi="Cambria"/>
          <w:sz w:val="20"/>
          <w:szCs w:val="20"/>
          <w:lang w:val="es-CO"/>
        </w:rPr>
        <w:t xml:space="preserve">una obvia demostración de la vulnerabilidad de la zona y </w:t>
      </w:r>
      <w:r w:rsidR="002618D7">
        <w:rPr>
          <w:rFonts w:ascii="Cambria" w:hAnsi="Cambria"/>
          <w:sz w:val="20"/>
          <w:szCs w:val="20"/>
          <w:lang w:val="es-CO"/>
        </w:rPr>
        <w:t>d</w:t>
      </w:r>
      <w:r w:rsidR="005E07C7" w:rsidRPr="002618D7">
        <w:rPr>
          <w:rFonts w:ascii="Cambria" w:hAnsi="Cambria"/>
          <w:sz w:val="20"/>
          <w:szCs w:val="20"/>
          <w:lang w:val="es-CO"/>
        </w:rPr>
        <w:t xml:space="preserve">el inminente riesgo </w:t>
      </w:r>
      <w:r w:rsidRPr="002618D7">
        <w:rPr>
          <w:rFonts w:ascii="Cambria" w:hAnsi="Cambria"/>
          <w:sz w:val="20"/>
          <w:szCs w:val="20"/>
          <w:lang w:val="es-CO"/>
        </w:rPr>
        <w:t>que representaba</w:t>
      </w:r>
      <w:r w:rsidR="005E07C7" w:rsidRPr="002618D7">
        <w:rPr>
          <w:rFonts w:ascii="Cambria" w:hAnsi="Cambria"/>
          <w:sz w:val="20"/>
          <w:szCs w:val="20"/>
          <w:lang w:val="es-CO"/>
        </w:rPr>
        <w:t xml:space="preserve"> para las personas</w:t>
      </w:r>
      <w:r w:rsidR="00533A10" w:rsidRPr="002618D7">
        <w:rPr>
          <w:rFonts w:ascii="Cambria" w:hAnsi="Cambria"/>
          <w:sz w:val="20"/>
          <w:szCs w:val="20"/>
          <w:lang w:val="es-CO"/>
        </w:rPr>
        <w:t xml:space="preserve">. </w:t>
      </w:r>
      <w:r w:rsidR="00BA5388" w:rsidRPr="002618D7">
        <w:rPr>
          <w:rFonts w:ascii="Cambria" w:hAnsi="Cambria"/>
          <w:sz w:val="20"/>
          <w:szCs w:val="20"/>
          <w:lang w:val="es-CO"/>
        </w:rPr>
        <w:t>Señala</w:t>
      </w:r>
      <w:r w:rsidR="00207F37">
        <w:rPr>
          <w:rFonts w:ascii="Cambria" w:hAnsi="Cambria"/>
          <w:sz w:val="20"/>
          <w:szCs w:val="20"/>
          <w:lang w:val="es-CO"/>
        </w:rPr>
        <w:t>n</w:t>
      </w:r>
      <w:r w:rsidR="00BA5388" w:rsidRPr="002618D7">
        <w:rPr>
          <w:rFonts w:ascii="Cambria" w:hAnsi="Cambria"/>
          <w:sz w:val="20"/>
          <w:szCs w:val="20"/>
          <w:lang w:val="es-CO"/>
        </w:rPr>
        <w:t xml:space="preserve"> que </w:t>
      </w:r>
      <w:r w:rsidR="00207F37">
        <w:rPr>
          <w:rFonts w:ascii="Cambria" w:hAnsi="Cambria"/>
          <w:sz w:val="20"/>
          <w:szCs w:val="20"/>
          <w:lang w:val="es-CO"/>
        </w:rPr>
        <w:t>después de</w:t>
      </w:r>
      <w:r w:rsidR="00533A10" w:rsidRPr="002618D7">
        <w:rPr>
          <w:rFonts w:ascii="Cambria" w:hAnsi="Cambria"/>
          <w:sz w:val="20"/>
          <w:szCs w:val="20"/>
          <w:lang w:val="es-CO"/>
        </w:rPr>
        <w:t xml:space="preserve"> </w:t>
      </w:r>
      <w:r w:rsidR="00260430" w:rsidRPr="002618D7">
        <w:rPr>
          <w:rFonts w:ascii="Cambria" w:hAnsi="Cambria"/>
          <w:sz w:val="20"/>
          <w:szCs w:val="20"/>
          <w:lang w:val="es-CO"/>
        </w:rPr>
        <w:t>los incendios y de las inspecciones judiciales practicadas se evidenci</w:t>
      </w:r>
      <w:r w:rsidRPr="002618D7">
        <w:rPr>
          <w:rFonts w:ascii="Cambria" w:hAnsi="Cambria"/>
          <w:sz w:val="20"/>
          <w:szCs w:val="20"/>
          <w:lang w:val="es-CO"/>
        </w:rPr>
        <w:t>ó</w:t>
      </w:r>
      <w:r w:rsidR="002618D7">
        <w:rPr>
          <w:rFonts w:ascii="Cambria" w:hAnsi="Cambria"/>
          <w:sz w:val="20"/>
          <w:szCs w:val="20"/>
          <w:lang w:val="es-CO"/>
        </w:rPr>
        <w:t xml:space="preserve"> que ninguno de los comercios</w:t>
      </w:r>
      <w:r w:rsidR="00260430" w:rsidRPr="002618D7">
        <w:rPr>
          <w:rFonts w:ascii="Cambria" w:hAnsi="Cambria"/>
          <w:sz w:val="20"/>
          <w:szCs w:val="20"/>
          <w:lang w:val="es-CO"/>
        </w:rPr>
        <w:t xml:space="preserve"> </w:t>
      </w:r>
      <w:r w:rsidRPr="002618D7">
        <w:rPr>
          <w:rFonts w:ascii="Cambria" w:hAnsi="Cambria"/>
          <w:sz w:val="20"/>
          <w:szCs w:val="20"/>
          <w:lang w:val="es-CO"/>
        </w:rPr>
        <w:t>cumplía con reglamentos</w:t>
      </w:r>
      <w:r w:rsidR="000126FE" w:rsidRPr="002618D7">
        <w:rPr>
          <w:rFonts w:ascii="Cambria" w:hAnsi="Cambria"/>
          <w:sz w:val="20"/>
          <w:szCs w:val="20"/>
          <w:lang w:val="es-CO"/>
        </w:rPr>
        <w:t xml:space="preserve"> y </w:t>
      </w:r>
      <w:r w:rsidRPr="002618D7">
        <w:rPr>
          <w:rFonts w:ascii="Cambria" w:hAnsi="Cambria"/>
          <w:sz w:val="20"/>
          <w:szCs w:val="20"/>
          <w:lang w:val="es-CO"/>
        </w:rPr>
        <w:t>normas legales concernientes a vías de evacuación</w:t>
      </w:r>
      <w:r w:rsidR="00533A10" w:rsidRPr="002618D7">
        <w:rPr>
          <w:rFonts w:ascii="Cambria" w:hAnsi="Cambria"/>
          <w:sz w:val="20"/>
          <w:szCs w:val="20"/>
          <w:lang w:val="es-CO"/>
        </w:rPr>
        <w:t xml:space="preserve">, detección </w:t>
      </w:r>
      <w:r w:rsidRPr="002618D7">
        <w:rPr>
          <w:rFonts w:ascii="Cambria" w:hAnsi="Cambria"/>
          <w:sz w:val="20"/>
          <w:szCs w:val="20"/>
          <w:lang w:val="es-CO"/>
        </w:rPr>
        <w:t>y protección contra incendio</w:t>
      </w:r>
      <w:r w:rsidR="00533A10" w:rsidRPr="002618D7">
        <w:rPr>
          <w:rFonts w:ascii="Cambria" w:hAnsi="Cambria"/>
          <w:sz w:val="20"/>
          <w:szCs w:val="20"/>
          <w:lang w:val="es-CO"/>
        </w:rPr>
        <w:t xml:space="preserve">s. </w:t>
      </w:r>
      <w:r w:rsidR="000126FE" w:rsidRPr="002618D7">
        <w:rPr>
          <w:rFonts w:ascii="Cambria" w:hAnsi="Cambria"/>
          <w:sz w:val="20"/>
          <w:szCs w:val="20"/>
          <w:lang w:val="es-CO"/>
        </w:rPr>
        <w:t>Por otra parte</w:t>
      </w:r>
      <w:r w:rsidR="00610612" w:rsidRPr="002618D7">
        <w:rPr>
          <w:rFonts w:ascii="Cambria" w:hAnsi="Cambria"/>
          <w:sz w:val="20"/>
          <w:szCs w:val="20"/>
          <w:lang w:val="es-CO"/>
        </w:rPr>
        <w:t>,</w:t>
      </w:r>
      <w:r w:rsidR="00C83099" w:rsidRPr="002618D7">
        <w:rPr>
          <w:rFonts w:ascii="Cambria" w:hAnsi="Cambria"/>
          <w:sz w:val="20"/>
          <w:szCs w:val="20"/>
          <w:lang w:val="es-CO"/>
        </w:rPr>
        <w:t xml:space="preserve"> manifiesta</w:t>
      </w:r>
      <w:r w:rsidR="00207F37">
        <w:rPr>
          <w:rFonts w:ascii="Cambria" w:hAnsi="Cambria"/>
          <w:sz w:val="20"/>
          <w:szCs w:val="20"/>
          <w:lang w:val="es-CO"/>
        </w:rPr>
        <w:t>n</w:t>
      </w:r>
      <w:r w:rsidR="00C83099" w:rsidRPr="002618D7">
        <w:rPr>
          <w:rFonts w:ascii="Cambria" w:hAnsi="Cambria"/>
          <w:sz w:val="20"/>
          <w:szCs w:val="20"/>
          <w:lang w:val="es-CO"/>
        </w:rPr>
        <w:t xml:space="preserve"> que</w:t>
      </w:r>
      <w:r w:rsidR="00E62A10" w:rsidRPr="002618D7">
        <w:rPr>
          <w:rFonts w:ascii="Cambria" w:hAnsi="Cambria"/>
          <w:sz w:val="20"/>
          <w:szCs w:val="20"/>
          <w:lang w:val="es-CO"/>
        </w:rPr>
        <w:t xml:space="preserve"> </w:t>
      </w:r>
      <w:r w:rsidR="00533A10" w:rsidRPr="002618D7">
        <w:rPr>
          <w:rFonts w:ascii="Cambria" w:hAnsi="Cambria"/>
          <w:sz w:val="20"/>
          <w:szCs w:val="20"/>
          <w:lang w:val="es-CO"/>
        </w:rPr>
        <w:t xml:space="preserve">la Policía Nacional de Perú </w:t>
      </w:r>
      <w:r w:rsidR="00444A41" w:rsidRPr="002618D7">
        <w:rPr>
          <w:rFonts w:ascii="Cambria" w:hAnsi="Cambria"/>
          <w:sz w:val="20"/>
          <w:szCs w:val="20"/>
          <w:lang w:val="es-CO"/>
        </w:rPr>
        <w:t>dispuso un conjunto de operati</w:t>
      </w:r>
      <w:r w:rsidR="00E62A10" w:rsidRPr="002618D7">
        <w:rPr>
          <w:rFonts w:ascii="Cambria" w:hAnsi="Cambria"/>
          <w:sz w:val="20"/>
          <w:szCs w:val="20"/>
          <w:lang w:val="es-CO"/>
        </w:rPr>
        <w:t>v</w:t>
      </w:r>
      <w:r w:rsidR="00444A41" w:rsidRPr="002618D7">
        <w:rPr>
          <w:rFonts w:ascii="Cambria" w:hAnsi="Cambria"/>
          <w:sz w:val="20"/>
          <w:szCs w:val="20"/>
          <w:lang w:val="es-CO"/>
        </w:rPr>
        <w:t>os</w:t>
      </w:r>
      <w:r w:rsidR="002A64F6">
        <w:rPr>
          <w:rFonts w:ascii="Cambria" w:hAnsi="Cambria"/>
          <w:sz w:val="20"/>
          <w:szCs w:val="20"/>
          <w:lang w:val="es-CO"/>
        </w:rPr>
        <w:t>, denominados</w:t>
      </w:r>
      <w:r w:rsidR="002A64F6" w:rsidRPr="002A64F6">
        <w:rPr>
          <w:rFonts w:ascii="Cambria" w:hAnsi="Cambria"/>
          <w:sz w:val="20"/>
          <w:szCs w:val="20"/>
          <w:lang w:val="es-CO"/>
        </w:rPr>
        <w:t xml:space="preserve"> </w:t>
      </w:r>
      <w:r w:rsidR="002A64F6" w:rsidRPr="002618D7">
        <w:rPr>
          <w:rFonts w:ascii="Cambria" w:hAnsi="Cambria"/>
          <w:sz w:val="20"/>
          <w:szCs w:val="20"/>
          <w:lang w:val="es-CO"/>
        </w:rPr>
        <w:t>planes “Erradicación III” “Pirotecnia I y II” y “Plan operativo Noel”</w:t>
      </w:r>
      <w:r w:rsidR="002A64F6">
        <w:rPr>
          <w:rFonts w:ascii="Cambria" w:hAnsi="Cambria"/>
          <w:sz w:val="20"/>
          <w:szCs w:val="20"/>
          <w:lang w:val="es-CO"/>
        </w:rPr>
        <w:t>,</w:t>
      </w:r>
      <w:r w:rsidR="00444A41" w:rsidRPr="002618D7">
        <w:rPr>
          <w:rFonts w:ascii="Cambria" w:hAnsi="Cambria"/>
          <w:sz w:val="20"/>
          <w:szCs w:val="20"/>
          <w:lang w:val="es-CO"/>
        </w:rPr>
        <w:t xml:space="preserve"> a </w:t>
      </w:r>
      <w:r w:rsidR="000126FE" w:rsidRPr="002618D7">
        <w:rPr>
          <w:rFonts w:ascii="Cambria" w:hAnsi="Cambria"/>
          <w:sz w:val="20"/>
          <w:szCs w:val="20"/>
          <w:lang w:val="es-CO"/>
        </w:rPr>
        <w:t>f</w:t>
      </w:r>
      <w:r w:rsidR="00444A41" w:rsidRPr="002618D7">
        <w:rPr>
          <w:rFonts w:ascii="Cambria" w:hAnsi="Cambria"/>
          <w:sz w:val="20"/>
          <w:szCs w:val="20"/>
          <w:lang w:val="es-CO"/>
        </w:rPr>
        <w:t>in de mantener el orden público y contrarrestar</w:t>
      </w:r>
      <w:r w:rsidR="00661565" w:rsidRPr="002618D7">
        <w:rPr>
          <w:rFonts w:ascii="Cambria" w:hAnsi="Cambria"/>
          <w:sz w:val="20"/>
          <w:szCs w:val="20"/>
          <w:lang w:val="es-CO"/>
        </w:rPr>
        <w:t xml:space="preserve"> el comercio ambula</w:t>
      </w:r>
      <w:r w:rsidR="001564B2">
        <w:rPr>
          <w:rFonts w:ascii="Cambria" w:hAnsi="Cambria"/>
          <w:sz w:val="20"/>
          <w:szCs w:val="20"/>
          <w:lang w:val="es-CO"/>
        </w:rPr>
        <w:t>nte</w:t>
      </w:r>
      <w:r w:rsidR="00661565" w:rsidRPr="002618D7">
        <w:rPr>
          <w:rFonts w:ascii="Cambria" w:hAnsi="Cambria"/>
          <w:sz w:val="20"/>
          <w:szCs w:val="20"/>
          <w:lang w:val="es-CO"/>
        </w:rPr>
        <w:t xml:space="preserve"> de </w:t>
      </w:r>
      <w:r w:rsidR="00E62A10" w:rsidRPr="002618D7">
        <w:rPr>
          <w:rFonts w:ascii="Cambria" w:hAnsi="Cambria"/>
          <w:sz w:val="20"/>
          <w:szCs w:val="20"/>
          <w:lang w:val="es-CO"/>
        </w:rPr>
        <w:t>pirotécnicos</w:t>
      </w:r>
      <w:r w:rsidR="002A64F6">
        <w:rPr>
          <w:rFonts w:ascii="Cambria" w:hAnsi="Cambria"/>
          <w:sz w:val="20"/>
          <w:szCs w:val="20"/>
          <w:lang w:val="es-CO"/>
        </w:rPr>
        <w:t>.</w:t>
      </w:r>
      <w:r w:rsidR="00E46CCA" w:rsidRPr="002618D7">
        <w:rPr>
          <w:rFonts w:ascii="Cambria" w:hAnsi="Cambria"/>
          <w:sz w:val="20"/>
          <w:szCs w:val="20"/>
          <w:lang w:val="es-CO"/>
        </w:rPr>
        <w:t xml:space="preserve"> </w:t>
      </w:r>
      <w:r w:rsidR="00207F37">
        <w:rPr>
          <w:rFonts w:ascii="Cambria" w:hAnsi="Cambria"/>
          <w:sz w:val="20"/>
          <w:szCs w:val="20"/>
          <w:lang w:val="es-CO"/>
        </w:rPr>
        <w:t>S</w:t>
      </w:r>
      <w:r w:rsidR="00E46CCA" w:rsidRPr="002618D7">
        <w:rPr>
          <w:rFonts w:ascii="Cambria" w:hAnsi="Cambria"/>
          <w:sz w:val="20"/>
          <w:szCs w:val="20"/>
          <w:lang w:val="es-CO"/>
        </w:rPr>
        <w:t>in embargo</w:t>
      </w:r>
      <w:r w:rsidR="00964869" w:rsidRPr="002618D7">
        <w:rPr>
          <w:rFonts w:ascii="Cambria" w:hAnsi="Cambria"/>
          <w:sz w:val="20"/>
          <w:szCs w:val="20"/>
          <w:lang w:val="es-CO"/>
        </w:rPr>
        <w:t>,</w:t>
      </w:r>
      <w:r w:rsidR="00E46CCA" w:rsidRPr="002618D7">
        <w:rPr>
          <w:rFonts w:ascii="Cambria" w:hAnsi="Cambria"/>
          <w:sz w:val="20"/>
          <w:szCs w:val="20"/>
          <w:lang w:val="es-CO"/>
        </w:rPr>
        <w:t xml:space="preserve"> </w:t>
      </w:r>
      <w:r w:rsidR="002618D7">
        <w:rPr>
          <w:rFonts w:ascii="Cambria" w:hAnsi="Cambria"/>
          <w:sz w:val="20"/>
          <w:szCs w:val="20"/>
          <w:lang w:val="es-CO"/>
        </w:rPr>
        <w:t>afirma</w:t>
      </w:r>
      <w:r w:rsidR="00207F37">
        <w:rPr>
          <w:rFonts w:ascii="Cambria" w:hAnsi="Cambria"/>
          <w:sz w:val="20"/>
          <w:szCs w:val="20"/>
          <w:lang w:val="es-CO"/>
        </w:rPr>
        <w:t>n</w:t>
      </w:r>
      <w:r w:rsidR="002618D7">
        <w:rPr>
          <w:rFonts w:ascii="Cambria" w:hAnsi="Cambria"/>
          <w:sz w:val="20"/>
          <w:szCs w:val="20"/>
          <w:lang w:val="es-CO"/>
        </w:rPr>
        <w:t xml:space="preserve"> que </w:t>
      </w:r>
      <w:r w:rsidR="00E46CCA" w:rsidRPr="002618D7">
        <w:rPr>
          <w:rFonts w:ascii="Cambria" w:hAnsi="Cambria"/>
          <w:sz w:val="20"/>
          <w:szCs w:val="20"/>
          <w:lang w:val="es-CO"/>
        </w:rPr>
        <w:t xml:space="preserve">el 15 de diciembre de 2001 el </w:t>
      </w:r>
      <w:r w:rsidR="00E62A10" w:rsidRPr="002618D7">
        <w:rPr>
          <w:rFonts w:ascii="Cambria" w:hAnsi="Cambria"/>
          <w:sz w:val="20"/>
          <w:szCs w:val="20"/>
          <w:lang w:val="es-CO"/>
        </w:rPr>
        <w:t>General</w:t>
      </w:r>
      <w:r w:rsidR="007C31BD" w:rsidRPr="002618D7">
        <w:rPr>
          <w:rFonts w:ascii="Cambria" w:hAnsi="Cambria"/>
          <w:sz w:val="20"/>
          <w:szCs w:val="20"/>
          <w:lang w:val="es-CO"/>
        </w:rPr>
        <w:t xml:space="preserve"> de la Policía Nacional</w:t>
      </w:r>
      <w:r w:rsidR="00E46CCA" w:rsidRPr="002618D7">
        <w:rPr>
          <w:rFonts w:ascii="Cambria" w:hAnsi="Cambria"/>
          <w:sz w:val="20"/>
          <w:szCs w:val="20"/>
          <w:lang w:val="es-CO"/>
        </w:rPr>
        <w:t xml:space="preserve"> dispuso la </w:t>
      </w:r>
      <w:r w:rsidR="00E62A10" w:rsidRPr="002618D7">
        <w:rPr>
          <w:rFonts w:ascii="Cambria" w:hAnsi="Cambria"/>
          <w:sz w:val="20"/>
          <w:szCs w:val="20"/>
          <w:lang w:val="es-CO"/>
        </w:rPr>
        <w:t>suspensión</w:t>
      </w:r>
      <w:r w:rsidR="00E46CCA" w:rsidRPr="002618D7">
        <w:rPr>
          <w:rFonts w:ascii="Cambria" w:hAnsi="Cambria"/>
          <w:sz w:val="20"/>
          <w:szCs w:val="20"/>
          <w:lang w:val="es-CO"/>
        </w:rPr>
        <w:t xml:space="preserve"> del apoyo del personal</w:t>
      </w:r>
      <w:r w:rsidR="00207F37">
        <w:rPr>
          <w:rFonts w:ascii="Cambria" w:hAnsi="Cambria"/>
          <w:sz w:val="20"/>
          <w:szCs w:val="20"/>
          <w:lang w:val="es-CO"/>
        </w:rPr>
        <w:t xml:space="preserve"> policial en </w:t>
      </w:r>
      <w:r w:rsidR="00E46CCA" w:rsidRPr="002618D7">
        <w:rPr>
          <w:rFonts w:ascii="Cambria" w:hAnsi="Cambria"/>
          <w:sz w:val="20"/>
          <w:szCs w:val="20"/>
          <w:lang w:val="es-CO"/>
        </w:rPr>
        <w:t xml:space="preserve">la </w:t>
      </w:r>
      <w:r w:rsidR="00E62A10" w:rsidRPr="002618D7">
        <w:rPr>
          <w:rFonts w:ascii="Cambria" w:hAnsi="Cambria"/>
          <w:sz w:val="20"/>
          <w:szCs w:val="20"/>
          <w:lang w:val="es-CO"/>
        </w:rPr>
        <w:t>ejecución</w:t>
      </w:r>
      <w:r w:rsidR="00E46CCA" w:rsidRPr="002618D7">
        <w:rPr>
          <w:rFonts w:ascii="Cambria" w:hAnsi="Cambria"/>
          <w:sz w:val="20"/>
          <w:szCs w:val="20"/>
          <w:lang w:val="es-CO"/>
        </w:rPr>
        <w:t xml:space="preserve"> de los citados planes preventivos,</w:t>
      </w:r>
      <w:r w:rsidR="001B71F4">
        <w:rPr>
          <w:rFonts w:ascii="Cambria" w:hAnsi="Cambria"/>
          <w:sz w:val="20"/>
          <w:szCs w:val="20"/>
          <w:lang w:val="es-CO"/>
        </w:rPr>
        <w:t xml:space="preserve"> refieren que dicho</w:t>
      </w:r>
      <w:r w:rsidR="00E46CCA" w:rsidRPr="002618D7">
        <w:rPr>
          <w:rFonts w:ascii="Cambria" w:hAnsi="Cambria"/>
          <w:sz w:val="20"/>
          <w:szCs w:val="20"/>
          <w:lang w:val="es-CO"/>
        </w:rPr>
        <w:t xml:space="preserve"> </w:t>
      </w:r>
      <w:r w:rsidR="002618D7">
        <w:rPr>
          <w:rFonts w:ascii="Cambria" w:hAnsi="Cambria"/>
          <w:sz w:val="20"/>
          <w:szCs w:val="20"/>
          <w:lang w:val="es-CO"/>
        </w:rPr>
        <w:t xml:space="preserve">acto se </w:t>
      </w:r>
      <w:r w:rsidR="00E62A10" w:rsidRPr="002618D7">
        <w:rPr>
          <w:rFonts w:ascii="Cambria" w:hAnsi="Cambria"/>
          <w:sz w:val="20"/>
          <w:szCs w:val="20"/>
          <w:lang w:val="es-CO"/>
        </w:rPr>
        <w:t>efectivizó el 19 de ese mes y año</w:t>
      </w:r>
      <w:r w:rsidR="002618D7">
        <w:rPr>
          <w:rFonts w:ascii="Cambria" w:hAnsi="Cambria"/>
          <w:sz w:val="20"/>
          <w:szCs w:val="20"/>
          <w:lang w:val="es-CO"/>
        </w:rPr>
        <w:t>.</w:t>
      </w:r>
      <w:r w:rsidR="00316025">
        <w:rPr>
          <w:rFonts w:ascii="Cambria" w:hAnsi="Cambria"/>
          <w:sz w:val="20"/>
          <w:szCs w:val="20"/>
          <w:lang w:val="es-CO"/>
        </w:rPr>
        <w:t xml:space="preserve"> </w:t>
      </w:r>
    </w:p>
    <w:p w:rsidR="007E2C12" w:rsidRPr="008745C2" w:rsidRDefault="001B71F4" w:rsidP="00FA3A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Cambria" w:hAnsi="Cambria"/>
          <w:sz w:val="20"/>
          <w:szCs w:val="20"/>
          <w:lang w:val="es-CO"/>
        </w:rPr>
      </w:pPr>
      <w:r>
        <w:rPr>
          <w:rFonts w:ascii="Cambria" w:hAnsi="Cambria"/>
          <w:sz w:val="20"/>
          <w:szCs w:val="20"/>
          <w:lang w:val="es-CO"/>
        </w:rPr>
        <w:t>Sostienen</w:t>
      </w:r>
      <w:r w:rsidRPr="00E67E35">
        <w:rPr>
          <w:rFonts w:ascii="Cambria" w:hAnsi="Cambria"/>
          <w:sz w:val="20"/>
          <w:szCs w:val="20"/>
          <w:lang w:val="es-CO"/>
        </w:rPr>
        <w:t xml:space="preserve"> </w:t>
      </w:r>
      <w:r w:rsidR="007C634B" w:rsidRPr="00E67E35">
        <w:rPr>
          <w:rFonts w:ascii="Cambria" w:hAnsi="Cambria"/>
          <w:sz w:val="20"/>
          <w:szCs w:val="20"/>
          <w:lang w:val="es-CO"/>
        </w:rPr>
        <w:t xml:space="preserve">que </w:t>
      </w:r>
      <w:r w:rsidR="00C0193C" w:rsidRPr="00E67E35">
        <w:rPr>
          <w:rFonts w:ascii="Cambria" w:hAnsi="Cambria"/>
          <w:sz w:val="20"/>
          <w:szCs w:val="20"/>
          <w:lang w:val="es-CO"/>
        </w:rPr>
        <w:t xml:space="preserve">tras el levantamiento del cerco policial de protección del </w:t>
      </w:r>
      <w:r>
        <w:rPr>
          <w:rFonts w:ascii="Cambria" w:hAnsi="Cambria"/>
          <w:sz w:val="20"/>
          <w:szCs w:val="20"/>
          <w:lang w:val="es-CO"/>
        </w:rPr>
        <w:t>mercado</w:t>
      </w:r>
      <w:r w:rsidR="00C0193C" w:rsidRPr="00E67E35">
        <w:rPr>
          <w:rFonts w:ascii="Cambria" w:hAnsi="Cambria"/>
          <w:sz w:val="20"/>
          <w:szCs w:val="20"/>
          <w:lang w:val="es-CO"/>
        </w:rPr>
        <w:t xml:space="preserve"> “Mesa Redonda” las calles fueron tomadas por </w:t>
      </w:r>
      <w:r w:rsidR="00A321A8" w:rsidRPr="00E67E35">
        <w:rPr>
          <w:rFonts w:ascii="Cambria" w:hAnsi="Cambria"/>
          <w:sz w:val="20"/>
          <w:szCs w:val="20"/>
          <w:lang w:val="es-CO"/>
        </w:rPr>
        <w:t>vendedores</w:t>
      </w:r>
      <w:r w:rsidR="00C0193C" w:rsidRPr="00E67E35">
        <w:rPr>
          <w:rFonts w:ascii="Cambria" w:hAnsi="Cambria"/>
          <w:sz w:val="20"/>
          <w:szCs w:val="20"/>
          <w:lang w:val="es-CO"/>
        </w:rPr>
        <w:t xml:space="preserve"> de productos pirotécnicos</w:t>
      </w:r>
      <w:r w:rsidR="00B265D8" w:rsidRPr="00E67E35">
        <w:rPr>
          <w:rFonts w:ascii="Cambria" w:hAnsi="Cambria"/>
          <w:sz w:val="20"/>
          <w:szCs w:val="20"/>
          <w:lang w:val="es-CO"/>
        </w:rPr>
        <w:t xml:space="preserve"> q</w:t>
      </w:r>
      <w:r w:rsidR="000B229C">
        <w:rPr>
          <w:rFonts w:ascii="Cambria" w:hAnsi="Cambria"/>
          <w:sz w:val="20"/>
          <w:szCs w:val="20"/>
          <w:lang w:val="es-CO"/>
        </w:rPr>
        <w:t>uienes</w:t>
      </w:r>
      <w:r w:rsidR="00B265D8" w:rsidRPr="00E67E35">
        <w:rPr>
          <w:rFonts w:ascii="Cambria" w:hAnsi="Cambria"/>
          <w:sz w:val="20"/>
          <w:szCs w:val="20"/>
          <w:lang w:val="es-CO"/>
        </w:rPr>
        <w:t xml:space="preserve"> comercializaba</w:t>
      </w:r>
      <w:r w:rsidR="000B229C">
        <w:rPr>
          <w:rFonts w:ascii="Cambria" w:hAnsi="Cambria"/>
          <w:sz w:val="20"/>
          <w:szCs w:val="20"/>
          <w:lang w:val="es-CO"/>
        </w:rPr>
        <w:t>n</w:t>
      </w:r>
      <w:r w:rsidR="00B265D8" w:rsidRPr="00E67E35">
        <w:rPr>
          <w:rFonts w:ascii="Cambria" w:hAnsi="Cambria"/>
          <w:sz w:val="20"/>
          <w:szCs w:val="20"/>
          <w:lang w:val="es-CO"/>
        </w:rPr>
        <w:t xml:space="preserve"> </w:t>
      </w:r>
      <w:r w:rsidR="00297193" w:rsidRPr="00E67E35">
        <w:rPr>
          <w:rFonts w:ascii="Cambria" w:hAnsi="Cambria"/>
          <w:sz w:val="20"/>
          <w:szCs w:val="20"/>
          <w:lang w:val="es-CO"/>
        </w:rPr>
        <w:t xml:space="preserve">y almacenaban </w:t>
      </w:r>
      <w:r w:rsidR="00B265D8" w:rsidRPr="00E67E35">
        <w:rPr>
          <w:rFonts w:ascii="Cambria" w:hAnsi="Cambria"/>
          <w:sz w:val="20"/>
          <w:szCs w:val="20"/>
          <w:lang w:val="es-CO"/>
        </w:rPr>
        <w:t>sus productos en l</w:t>
      </w:r>
      <w:r w:rsidR="00297193">
        <w:rPr>
          <w:rFonts w:ascii="Cambria" w:hAnsi="Cambria"/>
          <w:sz w:val="20"/>
          <w:szCs w:val="20"/>
          <w:lang w:val="es-CO"/>
        </w:rPr>
        <w:t xml:space="preserve">os locales, </w:t>
      </w:r>
      <w:r w:rsidR="00B265D8" w:rsidRPr="00E67E35">
        <w:rPr>
          <w:rFonts w:ascii="Cambria" w:hAnsi="Cambria"/>
          <w:sz w:val="20"/>
          <w:szCs w:val="20"/>
          <w:lang w:val="es-CO"/>
        </w:rPr>
        <w:t>veredas y calles</w:t>
      </w:r>
      <w:r>
        <w:rPr>
          <w:rFonts w:ascii="Cambria" w:hAnsi="Cambria"/>
          <w:sz w:val="20"/>
          <w:szCs w:val="20"/>
          <w:lang w:val="es-CO"/>
        </w:rPr>
        <w:t xml:space="preserve"> </w:t>
      </w:r>
      <w:r w:rsidR="002618D7">
        <w:rPr>
          <w:rFonts w:ascii="Cambria" w:hAnsi="Cambria"/>
          <w:sz w:val="20"/>
          <w:szCs w:val="20"/>
          <w:lang w:val="es-CO"/>
        </w:rPr>
        <w:t>de la zona</w:t>
      </w:r>
      <w:r w:rsidR="00257963" w:rsidRPr="00E67E35">
        <w:rPr>
          <w:rFonts w:ascii="Cambria" w:hAnsi="Cambria"/>
          <w:sz w:val="20"/>
          <w:szCs w:val="20"/>
          <w:lang w:val="es-CO"/>
        </w:rPr>
        <w:t>. Señala</w:t>
      </w:r>
      <w:r>
        <w:rPr>
          <w:rFonts w:ascii="Cambria" w:hAnsi="Cambria"/>
          <w:sz w:val="20"/>
          <w:szCs w:val="20"/>
          <w:lang w:val="es-CO"/>
        </w:rPr>
        <w:t>n</w:t>
      </w:r>
      <w:r w:rsidR="00B265D8" w:rsidRPr="00E67E35">
        <w:rPr>
          <w:rFonts w:ascii="Cambria" w:hAnsi="Cambria"/>
          <w:sz w:val="20"/>
          <w:szCs w:val="20"/>
          <w:lang w:val="es-CO"/>
        </w:rPr>
        <w:t xml:space="preserve"> que</w:t>
      </w:r>
      <w:r w:rsidR="00C0193C" w:rsidRPr="00E67E35">
        <w:rPr>
          <w:rFonts w:ascii="Cambria" w:hAnsi="Cambria"/>
          <w:sz w:val="20"/>
          <w:szCs w:val="20"/>
          <w:lang w:val="es-CO"/>
        </w:rPr>
        <w:t xml:space="preserve"> </w:t>
      </w:r>
      <w:r w:rsidR="007C634B" w:rsidRPr="00E67E35">
        <w:rPr>
          <w:rFonts w:ascii="Cambria" w:hAnsi="Cambria"/>
          <w:sz w:val="20"/>
          <w:szCs w:val="20"/>
          <w:lang w:val="es-CO"/>
        </w:rPr>
        <w:t>el</w:t>
      </w:r>
      <w:r w:rsidR="00BF6180" w:rsidRPr="00E67E35">
        <w:rPr>
          <w:rFonts w:ascii="Cambria" w:hAnsi="Cambria"/>
          <w:sz w:val="20"/>
          <w:szCs w:val="20"/>
          <w:lang w:val="es-CO"/>
        </w:rPr>
        <w:t xml:space="preserve"> 29 de diciembre de 2001,</w:t>
      </w:r>
      <w:r w:rsidR="00B265D8" w:rsidRPr="00E67E35">
        <w:rPr>
          <w:rFonts w:ascii="Cambria" w:hAnsi="Cambria"/>
          <w:sz w:val="20"/>
          <w:szCs w:val="20"/>
          <w:lang w:val="es-CO"/>
        </w:rPr>
        <w:t xml:space="preserve"> uno de los vendedores decidió mostrar a un cliente el funcionamiento de</w:t>
      </w:r>
      <w:r w:rsidR="000B229C">
        <w:rPr>
          <w:rFonts w:ascii="Cambria" w:hAnsi="Cambria"/>
          <w:sz w:val="20"/>
          <w:szCs w:val="20"/>
          <w:lang w:val="es-CO"/>
        </w:rPr>
        <w:t xml:space="preserve"> uno de</w:t>
      </w:r>
      <w:r w:rsidR="00B265D8" w:rsidRPr="00E67E35">
        <w:rPr>
          <w:rFonts w:ascii="Cambria" w:hAnsi="Cambria"/>
          <w:sz w:val="20"/>
          <w:szCs w:val="20"/>
          <w:lang w:val="es-CO"/>
        </w:rPr>
        <w:t xml:space="preserve"> los dispositivos pirotécnicos que vendía</w:t>
      </w:r>
      <w:r>
        <w:rPr>
          <w:rFonts w:ascii="Cambria" w:hAnsi="Cambria"/>
          <w:sz w:val="20"/>
          <w:szCs w:val="20"/>
          <w:lang w:val="es-CO"/>
        </w:rPr>
        <w:t>,</w:t>
      </w:r>
      <w:r w:rsidR="00B265D8" w:rsidRPr="00E67E35">
        <w:rPr>
          <w:rFonts w:ascii="Cambria" w:hAnsi="Cambria"/>
          <w:sz w:val="20"/>
          <w:szCs w:val="20"/>
          <w:lang w:val="es-CO"/>
        </w:rPr>
        <w:t xml:space="preserve"> y </w:t>
      </w:r>
      <w:r w:rsidR="000B229C">
        <w:rPr>
          <w:rFonts w:ascii="Cambria" w:hAnsi="Cambria"/>
          <w:sz w:val="20"/>
          <w:szCs w:val="20"/>
          <w:lang w:val="es-CO"/>
        </w:rPr>
        <w:t xml:space="preserve">que </w:t>
      </w:r>
      <w:r w:rsidR="00B265D8" w:rsidRPr="00E67E35">
        <w:rPr>
          <w:rFonts w:ascii="Cambria" w:hAnsi="Cambria"/>
          <w:sz w:val="20"/>
          <w:szCs w:val="20"/>
          <w:lang w:val="es-CO"/>
        </w:rPr>
        <w:t>al encenderlo hizo contacto con ot</w:t>
      </w:r>
      <w:r w:rsidR="000B229C">
        <w:rPr>
          <w:rFonts w:ascii="Cambria" w:hAnsi="Cambria"/>
          <w:sz w:val="20"/>
          <w:szCs w:val="20"/>
          <w:lang w:val="es-CO"/>
        </w:rPr>
        <w:t>ros semejantes, afirma que minutos después de ello</w:t>
      </w:r>
      <w:r w:rsidR="00BF6180" w:rsidRPr="00E67E35">
        <w:rPr>
          <w:rFonts w:ascii="Cambria" w:hAnsi="Cambria"/>
          <w:sz w:val="20"/>
          <w:szCs w:val="20"/>
          <w:lang w:val="es-CO"/>
        </w:rPr>
        <w:t xml:space="preserve"> se pro</w:t>
      </w:r>
      <w:r w:rsidR="007C634B" w:rsidRPr="00E67E35">
        <w:rPr>
          <w:rFonts w:ascii="Cambria" w:hAnsi="Cambria"/>
          <w:sz w:val="20"/>
          <w:szCs w:val="20"/>
          <w:lang w:val="es-CO"/>
        </w:rPr>
        <w:t xml:space="preserve">dujo </w:t>
      </w:r>
      <w:r w:rsidR="00934FEB" w:rsidRPr="00E67E35">
        <w:rPr>
          <w:rFonts w:ascii="Cambria" w:hAnsi="Cambria"/>
          <w:sz w:val="20"/>
          <w:szCs w:val="20"/>
          <w:lang w:val="es-CO"/>
        </w:rPr>
        <w:t>el</w:t>
      </w:r>
      <w:r w:rsidR="00D45ED3" w:rsidRPr="00E67E35">
        <w:rPr>
          <w:rFonts w:ascii="Cambria" w:hAnsi="Cambria"/>
          <w:sz w:val="20"/>
          <w:szCs w:val="20"/>
          <w:lang w:val="es-CO"/>
        </w:rPr>
        <w:t xml:space="preserve"> incendio</w:t>
      </w:r>
      <w:r>
        <w:rPr>
          <w:rFonts w:ascii="Cambria" w:hAnsi="Cambria"/>
          <w:sz w:val="20"/>
          <w:szCs w:val="20"/>
          <w:lang w:val="es-CO"/>
        </w:rPr>
        <w:t xml:space="preserve">. </w:t>
      </w:r>
      <w:r w:rsidR="00257963" w:rsidRPr="00E67E35">
        <w:rPr>
          <w:rFonts w:ascii="Cambria" w:hAnsi="Cambria"/>
          <w:sz w:val="20"/>
          <w:szCs w:val="20"/>
          <w:lang w:val="es-CO"/>
        </w:rPr>
        <w:t>Indica</w:t>
      </w:r>
      <w:r>
        <w:rPr>
          <w:rFonts w:ascii="Cambria" w:hAnsi="Cambria"/>
          <w:sz w:val="20"/>
          <w:szCs w:val="20"/>
          <w:lang w:val="es-CO"/>
        </w:rPr>
        <w:t>n</w:t>
      </w:r>
      <w:r w:rsidR="00257963" w:rsidRPr="00E67E35">
        <w:rPr>
          <w:rFonts w:ascii="Cambria" w:hAnsi="Cambria"/>
          <w:sz w:val="20"/>
          <w:szCs w:val="20"/>
          <w:lang w:val="es-CO"/>
        </w:rPr>
        <w:t xml:space="preserve"> </w:t>
      </w:r>
      <w:r w:rsidR="006739C2" w:rsidRPr="008745C2">
        <w:rPr>
          <w:rFonts w:ascii="Cambria" w:hAnsi="Cambria"/>
          <w:sz w:val="20"/>
          <w:szCs w:val="20"/>
          <w:lang w:val="es-CO"/>
        </w:rPr>
        <w:t>que a</w:t>
      </w:r>
      <w:r w:rsidR="000B229C" w:rsidRPr="008745C2">
        <w:rPr>
          <w:rFonts w:ascii="Cambria" w:hAnsi="Cambria"/>
          <w:sz w:val="20"/>
          <w:szCs w:val="20"/>
          <w:lang w:val="es-CO"/>
        </w:rPr>
        <w:t>l</w:t>
      </w:r>
      <w:r w:rsidR="006739C2" w:rsidRPr="008745C2">
        <w:rPr>
          <w:rFonts w:ascii="Cambria" w:hAnsi="Cambria"/>
          <w:sz w:val="20"/>
          <w:szCs w:val="20"/>
          <w:lang w:val="es-CO"/>
        </w:rPr>
        <w:t xml:space="preserve"> momento de la tragedia alrededor de 900 toneladas de productos pirotécnicos se mantenían ilegalmente en el emporio comercial.</w:t>
      </w:r>
      <w:r w:rsidR="00D44C26" w:rsidRPr="008745C2">
        <w:rPr>
          <w:rFonts w:ascii="Cambria" w:hAnsi="Cambria"/>
          <w:sz w:val="20"/>
          <w:szCs w:val="20"/>
          <w:lang w:val="es-CO"/>
        </w:rPr>
        <w:t xml:space="preserve"> Alegan que desde el momento de los hechos, el Estado incumplió con su obligación de elaborar listados de todas las víctimas del incendio, que incluyeran tanto a las personas que resultaron afectadas o heridas, las que perdieron la vida y las personas desparecidas, o cuyos restos no pudieron ser identificados.</w:t>
      </w:r>
    </w:p>
    <w:p w:rsidR="002B0DAF" w:rsidRPr="008745C2" w:rsidRDefault="001B71F4" w:rsidP="00FA3A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Cambria" w:hAnsi="Cambria"/>
          <w:sz w:val="20"/>
          <w:szCs w:val="20"/>
          <w:lang w:val="es-CO"/>
        </w:rPr>
      </w:pPr>
      <w:r w:rsidRPr="008745C2">
        <w:rPr>
          <w:rFonts w:ascii="Cambria" w:hAnsi="Cambria"/>
          <w:color w:val="000000" w:themeColor="text1"/>
          <w:sz w:val="20"/>
          <w:szCs w:val="20"/>
          <w:lang w:val="es-CO"/>
        </w:rPr>
        <w:t>Afirman</w:t>
      </w:r>
      <w:r w:rsidR="006739C2" w:rsidRPr="008745C2">
        <w:rPr>
          <w:rFonts w:ascii="Cambria" w:hAnsi="Cambria"/>
          <w:sz w:val="20"/>
          <w:szCs w:val="20"/>
          <w:lang w:val="es-CO"/>
        </w:rPr>
        <w:t xml:space="preserve"> que </w:t>
      </w:r>
      <w:r w:rsidR="008C22F5" w:rsidRPr="008745C2">
        <w:rPr>
          <w:rFonts w:ascii="Cambria" w:hAnsi="Cambria"/>
          <w:sz w:val="20"/>
          <w:szCs w:val="20"/>
          <w:lang w:val="es-CO"/>
        </w:rPr>
        <w:t xml:space="preserve">por los hechos </w:t>
      </w:r>
      <w:r w:rsidR="006739C2" w:rsidRPr="008745C2">
        <w:rPr>
          <w:rFonts w:ascii="Cambria" w:hAnsi="Cambria"/>
          <w:sz w:val="20"/>
          <w:szCs w:val="20"/>
          <w:lang w:val="es-CO"/>
        </w:rPr>
        <w:t>se desar</w:t>
      </w:r>
      <w:r w:rsidR="00AC23BD" w:rsidRPr="008745C2">
        <w:rPr>
          <w:rFonts w:ascii="Cambria" w:hAnsi="Cambria"/>
          <w:sz w:val="20"/>
          <w:szCs w:val="20"/>
          <w:lang w:val="es-CO"/>
        </w:rPr>
        <w:t>rollaron dos procesos penales</w:t>
      </w:r>
      <w:r w:rsidR="00E67E35" w:rsidRPr="008745C2">
        <w:rPr>
          <w:rFonts w:ascii="Cambria" w:hAnsi="Cambria"/>
          <w:sz w:val="20"/>
          <w:szCs w:val="20"/>
          <w:lang w:val="es-CO"/>
        </w:rPr>
        <w:t>,</w:t>
      </w:r>
      <w:r w:rsidR="00AC23BD" w:rsidRPr="008745C2">
        <w:rPr>
          <w:rFonts w:ascii="Cambria" w:hAnsi="Cambria"/>
          <w:sz w:val="20"/>
          <w:szCs w:val="20"/>
          <w:lang w:val="es-CO"/>
        </w:rPr>
        <w:t xml:space="preserve"> </w:t>
      </w:r>
      <w:r w:rsidR="008C22F5" w:rsidRPr="008745C2">
        <w:rPr>
          <w:rFonts w:ascii="Cambria" w:hAnsi="Cambria"/>
          <w:sz w:val="20"/>
          <w:szCs w:val="20"/>
          <w:lang w:val="es-CO"/>
        </w:rPr>
        <w:t xml:space="preserve">que </w:t>
      </w:r>
      <w:r w:rsidR="006739C2" w:rsidRPr="008745C2">
        <w:rPr>
          <w:rFonts w:ascii="Cambria" w:hAnsi="Cambria"/>
          <w:sz w:val="20"/>
          <w:szCs w:val="20"/>
          <w:lang w:val="es-CO"/>
        </w:rPr>
        <w:t xml:space="preserve">tras nueve años no lograron proteger los derechos de las </w:t>
      </w:r>
      <w:r w:rsidR="00E87FA7" w:rsidRPr="008745C2">
        <w:rPr>
          <w:rFonts w:ascii="Cambria" w:hAnsi="Cambria"/>
          <w:sz w:val="20"/>
          <w:szCs w:val="20"/>
          <w:lang w:val="es-CO"/>
        </w:rPr>
        <w:t>víctimas</w:t>
      </w:r>
      <w:r w:rsidR="00E675A1" w:rsidRPr="008745C2">
        <w:rPr>
          <w:rFonts w:ascii="Cambria" w:hAnsi="Cambria"/>
          <w:sz w:val="20"/>
          <w:szCs w:val="20"/>
          <w:lang w:val="es-CO"/>
        </w:rPr>
        <w:t xml:space="preserve"> ni establecer responsabilidades</w:t>
      </w:r>
      <w:r w:rsidR="008C22F5" w:rsidRPr="008745C2">
        <w:rPr>
          <w:rFonts w:ascii="Cambria" w:hAnsi="Cambria"/>
          <w:sz w:val="20"/>
          <w:szCs w:val="20"/>
          <w:lang w:val="es-CO"/>
        </w:rPr>
        <w:t xml:space="preserve">. </w:t>
      </w:r>
      <w:r w:rsidR="00FB70B5" w:rsidRPr="008745C2">
        <w:rPr>
          <w:rFonts w:ascii="Cambria" w:hAnsi="Cambria"/>
          <w:sz w:val="20"/>
          <w:szCs w:val="20"/>
          <w:lang w:val="es-CO"/>
        </w:rPr>
        <w:t>Explican que</w:t>
      </w:r>
      <w:r w:rsidR="006739C2" w:rsidRPr="008745C2">
        <w:rPr>
          <w:rFonts w:ascii="Cambria" w:hAnsi="Cambria"/>
          <w:sz w:val="20"/>
          <w:szCs w:val="20"/>
          <w:lang w:val="es-CO"/>
        </w:rPr>
        <w:t xml:space="preserve"> el primer proceso penal </w:t>
      </w:r>
      <w:r w:rsidR="00111F94" w:rsidRPr="008745C2">
        <w:rPr>
          <w:rFonts w:ascii="Cambria" w:hAnsi="Cambria"/>
          <w:sz w:val="20"/>
          <w:szCs w:val="20"/>
          <w:lang w:val="es-CO"/>
        </w:rPr>
        <w:t xml:space="preserve">se formalizó </w:t>
      </w:r>
      <w:r w:rsidR="00526F81" w:rsidRPr="008745C2">
        <w:rPr>
          <w:rFonts w:ascii="Cambria" w:hAnsi="Cambria"/>
          <w:sz w:val="20"/>
          <w:szCs w:val="20"/>
          <w:lang w:val="es-CO"/>
        </w:rPr>
        <w:t xml:space="preserve">el 5 de junio de 2002 por </w:t>
      </w:r>
      <w:r w:rsidR="0055203F" w:rsidRPr="008745C2">
        <w:rPr>
          <w:rFonts w:ascii="Cambria" w:hAnsi="Cambria"/>
          <w:sz w:val="20"/>
          <w:szCs w:val="20"/>
          <w:lang w:val="es-CO"/>
        </w:rPr>
        <w:t>denuncia</w:t>
      </w:r>
      <w:r w:rsidR="00526F81" w:rsidRPr="008745C2">
        <w:rPr>
          <w:rFonts w:ascii="Cambria" w:hAnsi="Cambria"/>
          <w:sz w:val="20"/>
          <w:szCs w:val="20"/>
          <w:lang w:val="es-CO"/>
        </w:rPr>
        <w:t xml:space="preserve"> del representante del Ministerio P</w:t>
      </w:r>
      <w:r w:rsidR="00A622B1" w:rsidRPr="008745C2">
        <w:rPr>
          <w:rFonts w:ascii="Cambria" w:hAnsi="Cambria"/>
          <w:sz w:val="20"/>
          <w:szCs w:val="20"/>
          <w:lang w:val="es-CO"/>
        </w:rPr>
        <w:t>úblico</w:t>
      </w:r>
      <w:r w:rsidR="00465AE8" w:rsidRPr="008745C2">
        <w:rPr>
          <w:rFonts w:ascii="Cambria" w:hAnsi="Cambria"/>
          <w:sz w:val="20"/>
          <w:szCs w:val="20"/>
          <w:lang w:val="es-CO"/>
        </w:rPr>
        <w:t xml:space="preserve">. </w:t>
      </w:r>
      <w:r w:rsidR="0082555C" w:rsidRPr="008745C2">
        <w:rPr>
          <w:rFonts w:ascii="Cambria" w:hAnsi="Cambria"/>
          <w:sz w:val="20"/>
          <w:szCs w:val="20"/>
          <w:lang w:val="es-CO"/>
        </w:rPr>
        <w:t>Re</w:t>
      </w:r>
      <w:r w:rsidR="00FB70B5" w:rsidRPr="008745C2">
        <w:rPr>
          <w:rFonts w:ascii="Cambria" w:hAnsi="Cambria"/>
          <w:sz w:val="20"/>
          <w:szCs w:val="20"/>
          <w:lang w:val="es-CO"/>
        </w:rPr>
        <w:t>latan</w:t>
      </w:r>
      <w:r w:rsidR="0082555C" w:rsidRPr="008745C2">
        <w:rPr>
          <w:rFonts w:ascii="Cambria" w:hAnsi="Cambria"/>
          <w:sz w:val="20"/>
          <w:szCs w:val="20"/>
          <w:lang w:val="es-CO"/>
        </w:rPr>
        <w:t xml:space="preserve"> </w:t>
      </w:r>
      <w:r w:rsidR="001725C4" w:rsidRPr="008745C2">
        <w:rPr>
          <w:rFonts w:ascii="Cambria" w:hAnsi="Cambria"/>
          <w:sz w:val="20"/>
          <w:szCs w:val="20"/>
          <w:lang w:val="es-CO"/>
        </w:rPr>
        <w:t xml:space="preserve">que </w:t>
      </w:r>
      <w:r w:rsidR="002B0DAF" w:rsidRPr="008745C2">
        <w:rPr>
          <w:rFonts w:ascii="Cambria" w:hAnsi="Cambria"/>
          <w:sz w:val="20"/>
          <w:szCs w:val="20"/>
          <w:lang w:val="es-CO"/>
        </w:rPr>
        <w:t>dicho proceso</w:t>
      </w:r>
      <w:r w:rsidR="00A05ACA" w:rsidRPr="008745C2">
        <w:rPr>
          <w:rFonts w:ascii="Cambria" w:hAnsi="Cambria"/>
          <w:sz w:val="20"/>
          <w:szCs w:val="20"/>
          <w:lang w:val="es-CO"/>
        </w:rPr>
        <w:t xml:space="preserve"> estuvo caracterizado </w:t>
      </w:r>
      <w:r w:rsidR="004E0526" w:rsidRPr="008745C2">
        <w:rPr>
          <w:rFonts w:ascii="Cambria" w:hAnsi="Cambria"/>
          <w:sz w:val="20"/>
          <w:szCs w:val="20"/>
          <w:lang w:val="es-CO"/>
        </w:rPr>
        <w:t>por</w:t>
      </w:r>
      <w:r w:rsidR="00A05ACA" w:rsidRPr="008745C2">
        <w:rPr>
          <w:rFonts w:ascii="Cambria" w:hAnsi="Cambria"/>
          <w:sz w:val="20"/>
          <w:szCs w:val="20"/>
          <w:lang w:val="es-CO"/>
        </w:rPr>
        <w:t xml:space="preserve"> diversos vicios que vulneraron el debido</w:t>
      </w:r>
      <w:r w:rsidR="004E0526" w:rsidRPr="008745C2">
        <w:rPr>
          <w:rFonts w:ascii="Cambria" w:hAnsi="Cambria"/>
          <w:sz w:val="20"/>
          <w:szCs w:val="20"/>
          <w:lang w:val="es-CO"/>
        </w:rPr>
        <w:t xml:space="preserve"> </w:t>
      </w:r>
      <w:r w:rsidR="00A05ACA" w:rsidRPr="008745C2">
        <w:rPr>
          <w:rFonts w:ascii="Cambria" w:hAnsi="Cambria"/>
          <w:sz w:val="20"/>
          <w:szCs w:val="20"/>
          <w:lang w:val="es-CO"/>
        </w:rPr>
        <w:t xml:space="preserve">proceso ya que se </w:t>
      </w:r>
      <w:r w:rsidR="004E0526" w:rsidRPr="008745C2">
        <w:rPr>
          <w:rFonts w:ascii="Cambria" w:hAnsi="Cambria"/>
          <w:sz w:val="20"/>
          <w:szCs w:val="20"/>
          <w:lang w:val="es-CO"/>
        </w:rPr>
        <w:t>basó</w:t>
      </w:r>
      <w:r w:rsidR="00A05ACA" w:rsidRPr="008745C2">
        <w:rPr>
          <w:rFonts w:ascii="Cambria" w:hAnsi="Cambria"/>
          <w:sz w:val="20"/>
          <w:szCs w:val="20"/>
          <w:lang w:val="es-CO"/>
        </w:rPr>
        <w:t xml:space="preserve"> en evidencias </w:t>
      </w:r>
      <w:r w:rsidR="004E0526" w:rsidRPr="008745C2">
        <w:rPr>
          <w:rFonts w:ascii="Cambria" w:hAnsi="Cambria"/>
          <w:sz w:val="20"/>
          <w:szCs w:val="20"/>
          <w:lang w:val="es-CO"/>
        </w:rPr>
        <w:t>superficiales</w:t>
      </w:r>
      <w:r w:rsidR="00A05ACA" w:rsidRPr="008745C2">
        <w:rPr>
          <w:rFonts w:ascii="Cambria" w:hAnsi="Cambria"/>
          <w:sz w:val="20"/>
          <w:szCs w:val="20"/>
          <w:lang w:val="es-CO"/>
        </w:rPr>
        <w:t xml:space="preserve">, </w:t>
      </w:r>
      <w:r w:rsidR="004E0526" w:rsidRPr="008745C2">
        <w:rPr>
          <w:rFonts w:ascii="Cambria" w:hAnsi="Cambria"/>
          <w:sz w:val="20"/>
          <w:szCs w:val="20"/>
          <w:lang w:val="es-CO"/>
        </w:rPr>
        <w:t>ocasionando</w:t>
      </w:r>
      <w:r w:rsidR="00A05ACA" w:rsidRPr="008745C2">
        <w:rPr>
          <w:rFonts w:ascii="Cambria" w:hAnsi="Cambria"/>
          <w:sz w:val="20"/>
          <w:szCs w:val="20"/>
          <w:lang w:val="es-CO"/>
        </w:rPr>
        <w:t xml:space="preserve"> que muchos responsa</w:t>
      </w:r>
      <w:r w:rsidR="004E0526" w:rsidRPr="008745C2">
        <w:rPr>
          <w:rFonts w:ascii="Cambria" w:hAnsi="Cambria"/>
          <w:sz w:val="20"/>
          <w:szCs w:val="20"/>
          <w:lang w:val="es-CO"/>
        </w:rPr>
        <w:t>bl</w:t>
      </w:r>
      <w:r w:rsidR="00A05ACA" w:rsidRPr="008745C2">
        <w:rPr>
          <w:rFonts w:ascii="Cambria" w:hAnsi="Cambria"/>
          <w:sz w:val="20"/>
          <w:szCs w:val="20"/>
          <w:lang w:val="es-CO"/>
        </w:rPr>
        <w:t xml:space="preserve">es </w:t>
      </w:r>
      <w:r w:rsidR="00FB70B5" w:rsidRPr="008745C2">
        <w:rPr>
          <w:rFonts w:ascii="Cambria" w:hAnsi="Cambria"/>
          <w:sz w:val="20"/>
          <w:szCs w:val="20"/>
          <w:lang w:val="es-CO"/>
        </w:rPr>
        <w:t>como empresarios, funcionarios de la Municipalidad y de la Dirección General de Control de Servicios de Seguridad, Control de Armas, Munición y Explosivos de Uso Civil</w:t>
      </w:r>
      <w:r w:rsidR="00873EFE" w:rsidRPr="008745C2">
        <w:rPr>
          <w:rFonts w:ascii="Cambria" w:hAnsi="Cambria"/>
          <w:sz w:val="20"/>
          <w:szCs w:val="20"/>
          <w:lang w:val="es-CO"/>
        </w:rPr>
        <w:t xml:space="preserve">, </w:t>
      </w:r>
      <w:r w:rsidR="00AF2BAD" w:rsidRPr="008745C2">
        <w:rPr>
          <w:rFonts w:ascii="Cambria" w:hAnsi="Cambria"/>
          <w:sz w:val="20"/>
          <w:szCs w:val="20"/>
          <w:lang w:val="es-CO"/>
        </w:rPr>
        <w:t xml:space="preserve">fueran </w:t>
      </w:r>
      <w:r w:rsidR="000B229C" w:rsidRPr="008745C2">
        <w:rPr>
          <w:rFonts w:ascii="Cambria" w:hAnsi="Cambria"/>
          <w:sz w:val="20"/>
          <w:szCs w:val="20"/>
          <w:lang w:val="es-CO"/>
        </w:rPr>
        <w:t xml:space="preserve">excluidos. </w:t>
      </w:r>
      <w:r w:rsidR="008801A8" w:rsidRPr="008745C2">
        <w:rPr>
          <w:rFonts w:ascii="Cambria" w:hAnsi="Cambria"/>
          <w:sz w:val="20"/>
          <w:szCs w:val="20"/>
          <w:lang w:val="es-CO"/>
        </w:rPr>
        <w:t>En ese sentido, m</w:t>
      </w:r>
      <w:r w:rsidR="0082555C" w:rsidRPr="008745C2">
        <w:rPr>
          <w:rFonts w:ascii="Cambria" w:hAnsi="Cambria"/>
          <w:sz w:val="20"/>
          <w:szCs w:val="20"/>
          <w:lang w:val="es-CO"/>
        </w:rPr>
        <w:t>anifiesta</w:t>
      </w:r>
      <w:r w:rsidR="00873EFE" w:rsidRPr="008745C2">
        <w:rPr>
          <w:rFonts w:ascii="Cambria" w:hAnsi="Cambria"/>
          <w:sz w:val="20"/>
          <w:szCs w:val="20"/>
          <w:lang w:val="es-CO"/>
        </w:rPr>
        <w:t>n</w:t>
      </w:r>
      <w:r w:rsidR="0082555C" w:rsidRPr="008745C2">
        <w:rPr>
          <w:rFonts w:ascii="Cambria" w:hAnsi="Cambria"/>
          <w:sz w:val="20"/>
          <w:szCs w:val="20"/>
          <w:lang w:val="es-CO"/>
        </w:rPr>
        <w:t xml:space="preserve"> </w:t>
      </w:r>
      <w:r w:rsidR="002B0DAF" w:rsidRPr="008745C2">
        <w:rPr>
          <w:rFonts w:ascii="Cambria" w:hAnsi="Cambria"/>
          <w:sz w:val="20"/>
          <w:szCs w:val="20"/>
          <w:lang w:val="es-CO"/>
        </w:rPr>
        <w:t>que la</w:t>
      </w:r>
      <w:r w:rsidR="008801A8" w:rsidRPr="008745C2">
        <w:rPr>
          <w:rFonts w:ascii="Cambria" w:hAnsi="Cambria"/>
          <w:sz w:val="20"/>
          <w:szCs w:val="20"/>
          <w:lang w:val="es-CO"/>
        </w:rPr>
        <w:t xml:space="preserve"> Sala Quinta Penal de la Corte Superior de Lima emitió una sentencia el</w:t>
      </w:r>
      <w:r w:rsidR="002B0DAF" w:rsidRPr="008745C2">
        <w:rPr>
          <w:rFonts w:ascii="Cambria" w:hAnsi="Cambria"/>
          <w:sz w:val="20"/>
          <w:szCs w:val="20"/>
          <w:lang w:val="es-CO"/>
        </w:rPr>
        <w:t xml:space="preserve"> 17 de octubre de 2007</w:t>
      </w:r>
      <w:r w:rsidR="008801A8" w:rsidRPr="008745C2">
        <w:rPr>
          <w:rFonts w:ascii="Cambria" w:hAnsi="Cambria"/>
          <w:sz w:val="20"/>
          <w:szCs w:val="20"/>
          <w:lang w:val="es-CO"/>
        </w:rPr>
        <w:t xml:space="preserve">, </w:t>
      </w:r>
      <w:r w:rsidR="009B221C" w:rsidRPr="008745C2">
        <w:rPr>
          <w:rFonts w:ascii="Cambria" w:hAnsi="Cambria"/>
          <w:sz w:val="20"/>
          <w:szCs w:val="20"/>
          <w:lang w:val="es-CO"/>
        </w:rPr>
        <w:t>condenando a 18 personas por los delitos de homicidio culposo agravado, lesiones culposas graves y tenencia ilegítima de productos pirotécnicos, a penas privativas de libertad de 3 a 4 años. Indican, además que</w:t>
      </w:r>
      <w:r w:rsidR="0082555C" w:rsidRPr="008745C2">
        <w:rPr>
          <w:rFonts w:ascii="Cambria" w:hAnsi="Cambria"/>
          <w:sz w:val="20"/>
          <w:szCs w:val="20"/>
          <w:lang w:val="es-CO"/>
        </w:rPr>
        <w:t xml:space="preserve"> </w:t>
      </w:r>
      <w:r w:rsidR="00A54A14" w:rsidRPr="008745C2">
        <w:rPr>
          <w:rFonts w:ascii="Cambria" w:hAnsi="Cambria"/>
          <w:sz w:val="20"/>
          <w:szCs w:val="20"/>
          <w:lang w:val="es-CO"/>
        </w:rPr>
        <w:t>en la audiencia de lectura de</w:t>
      </w:r>
      <w:r w:rsidR="009B221C" w:rsidRPr="008745C2">
        <w:rPr>
          <w:rFonts w:ascii="Cambria" w:hAnsi="Cambria"/>
          <w:sz w:val="20"/>
          <w:szCs w:val="20"/>
          <w:lang w:val="es-CO"/>
        </w:rPr>
        <w:t>l citado</w:t>
      </w:r>
      <w:r w:rsidR="002B0DAF" w:rsidRPr="008745C2">
        <w:rPr>
          <w:rFonts w:ascii="Cambria" w:hAnsi="Cambria"/>
          <w:sz w:val="20"/>
          <w:szCs w:val="20"/>
          <w:lang w:val="es-CO"/>
        </w:rPr>
        <w:t xml:space="preserve"> fallo</w:t>
      </w:r>
      <w:r w:rsidR="001E03FA" w:rsidRPr="008745C2">
        <w:rPr>
          <w:rFonts w:ascii="Cambria" w:hAnsi="Cambria"/>
          <w:sz w:val="20"/>
          <w:szCs w:val="20"/>
          <w:lang w:val="es-CO"/>
        </w:rPr>
        <w:t>,</w:t>
      </w:r>
      <w:r w:rsidR="00A54A14" w:rsidRPr="008745C2">
        <w:rPr>
          <w:rFonts w:ascii="Cambria" w:hAnsi="Cambria"/>
          <w:sz w:val="20"/>
          <w:szCs w:val="20"/>
          <w:lang w:val="es-CO"/>
        </w:rPr>
        <w:t xml:space="preserve"> se </w:t>
      </w:r>
      <w:r w:rsidR="008C5F86" w:rsidRPr="008745C2">
        <w:rPr>
          <w:rFonts w:ascii="Cambria" w:hAnsi="Cambria"/>
          <w:sz w:val="20"/>
          <w:szCs w:val="20"/>
          <w:lang w:val="es-CO"/>
        </w:rPr>
        <w:t>fijó</w:t>
      </w:r>
      <w:r w:rsidR="00A54A14" w:rsidRPr="008745C2">
        <w:rPr>
          <w:rFonts w:ascii="Cambria" w:hAnsi="Cambria"/>
          <w:sz w:val="20"/>
          <w:szCs w:val="20"/>
          <w:lang w:val="es-CO"/>
        </w:rPr>
        <w:t xml:space="preserve"> como monto</w:t>
      </w:r>
      <w:r w:rsidR="0083697E" w:rsidRPr="008745C2">
        <w:rPr>
          <w:rFonts w:ascii="Cambria" w:hAnsi="Cambria"/>
          <w:sz w:val="20"/>
          <w:szCs w:val="20"/>
          <w:lang w:val="es-CO"/>
        </w:rPr>
        <w:t xml:space="preserve"> reparación civil por cada </w:t>
      </w:r>
      <w:r w:rsidR="0082555C" w:rsidRPr="008745C2">
        <w:rPr>
          <w:rFonts w:ascii="Cambria" w:hAnsi="Cambria"/>
          <w:sz w:val="20"/>
          <w:szCs w:val="20"/>
          <w:lang w:val="es-CO"/>
        </w:rPr>
        <w:t xml:space="preserve">persona fallecida </w:t>
      </w:r>
      <w:r w:rsidR="00A54A14" w:rsidRPr="008745C2">
        <w:rPr>
          <w:rFonts w:ascii="Cambria" w:hAnsi="Cambria"/>
          <w:sz w:val="20"/>
          <w:szCs w:val="20"/>
          <w:lang w:val="es-CO"/>
        </w:rPr>
        <w:t xml:space="preserve">la suma </w:t>
      </w:r>
      <w:r w:rsidR="008C5F86" w:rsidRPr="008745C2">
        <w:rPr>
          <w:rFonts w:ascii="Cambria" w:hAnsi="Cambria"/>
          <w:sz w:val="20"/>
          <w:szCs w:val="20"/>
          <w:lang w:val="es-CO"/>
        </w:rPr>
        <w:t>de doscientos</w:t>
      </w:r>
      <w:r w:rsidR="00A54A14" w:rsidRPr="008745C2">
        <w:rPr>
          <w:rFonts w:ascii="Cambria" w:hAnsi="Cambria"/>
          <w:sz w:val="20"/>
          <w:szCs w:val="20"/>
          <w:lang w:val="es-CO"/>
        </w:rPr>
        <w:t xml:space="preserve"> mil nuevos soles</w:t>
      </w:r>
      <w:r w:rsidR="004B6B45" w:rsidRPr="008745C2">
        <w:rPr>
          <w:rFonts w:ascii="Cambria" w:hAnsi="Cambria"/>
          <w:sz w:val="20"/>
          <w:szCs w:val="20"/>
          <w:lang w:val="es-CO"/>
        </w:rPr>
        <w:t xml:space="preserve"> </w:t>
      </w:r>
      <w:r w:rsidR="0082555C" w:rsidRPr="008745C2">
        <w:rPr>
          <w:rFonts w:ascii="Cambria" w:hAnsi="Cambria"/>
          <w:sz w:val="20"/>
          <w:szCs w:val="20"/>
          <w:lang w:val="es-CO"/>
        </w:rPr>
        <w:t xml:space="preserve">y </w:t>
      </w:r>
      <w:r w:rsidR="008C5F86" w:rsidRPr="008745C2">
        <w:rPr>
          <w:rFonts w:ascii="Cambria" w:hAnsi="Cambria"/>
          <w:sz w:val="20"/>
          <w:szCs w:val="20"/>
          <w:lang w:val="es-CO"/>
        </w:rPr>
        <w:t xml:space="preserve">treinta mil nuevos soles </w:t>
      </w:r>
      <w:r w:rsidR="004B6B45" w:rsidRPr="008745C2">
        <w:rPr>
          <w:rFonts w:ascii="Cambria" w:hAnsi="Cambria"/>
          <w:sz w:val="20"/>
          <w:szCs w:val="20"/>
          <w:lang w:val="es-CO"/>
        </w:rPr>
        <w:t>por cada lesionado</w:t>
      </w:r>
      <w:r w:rsidR="001E03FA" w:rsidRPr="008745C2">
        <w:rPr>
          <w:rFonts w:ascii="Cambria" w:hAnsi="Cambria"/>
          <w:sz w:val="20"/>
          <w:szCs w:val="20"/>
          <w:lang w:val="es-CO"/>
        </w:rPr>
        <w:t xml:space="preserve">. Señalan que por ello, </w:t>
      </w:r>
      <w:r w:rsidR="009B221C" w:rsidRPr="008745C2">
        <w:rPr>
          <w:rFonts w:ascii="Cambria" w:hAnsi="Cambria"/>
          <w:sz w:val="20"/>
          <w:szCs w:val="20"/>
          <w:lang w:val="es-CO"/>
        </w:rPr>
        <w:t xml:space="preserve">las presuntas víctimas </w:t>
      </w:r>
      <w:r w:rsidR="00EB3B82" w:rsidRPr="008745C2">
        <w:rPr>
          <w:rFonts w:ascii="Cambria" w:hAnsi="Cambria"/>
          <w:sz w:val="20"/>
          <w:szCs w:val="20"/>
          <w:lang w:val="es-CO"/>
        </w:rPr>
        <w:t>no reservaron</w:t>
      </w:r>
      <w:r w:rsidR="009B221C" w:rsidRPr="008745C2">
        <w:rPr>
          <w:rFonts w:ascii="Cambria" w:hAnsi="Cambria"/>
          <w:sz w:val="20"/>
          <w:szCs w:val="20"/>
          <w:lang w:val="es-CO"/>
        </w:rPr>
        <w:t xml:space="preserve"> el</w:t>
      </w:r>
      <w:r w:rsidR="00EB3B82" w:rsidRPr="008745C2">
        <w:rPr>
          <w:rFonts w:ascii="Cambria" w:hAnsi="Cambria"/>
          <w:sz w:val="20"/>
          <w:szCs w:val="20"/>
          <w:lang w:val="es-CO"/>
        </w:rPr>
        <w:t xml:space="preserve"> derecho de impugnación</w:t>
      </w:r>
      <w:r w:rsidR="003D68D0" w:rsidRPr="008745C2">
        <w:rPr>
          <w:rFonts w:ascii="Cambria" w:hAnsi="Cambria"/>
          <w:sz w:val="20"/>
          <w:szCs w:val="20"/>
          <w:lang w:val="es-CO"/>
        </w:rPr>
        <w:t xml:space="preserve"> en ese momento y que el Ministerio Público tampoco apeló el fallo. </w:t>
      </w:r>
      <w:r w:rsidR="001E03FA" w:rsidRPr="008745C2">
        <w:rPr>
          <w:rFonts w:ascii="Cambria" w:hAnsi="Cambria"/>
          <w:sz w:val="20"/>
          <w:szCs w:val="20"/>
          <w:lang w:val="es-CO"/>
        </w:rPr>
        <w:t>Sin embargo,</w:t>
      </w:r>
      <w:r w:rsidR="008C5F86" w:rsidRPr="008745C2">
        <w:rPr>
          <w:rFonts w:ascii="Cambria" w:hAnsi="Cambria"/>
          <w:sz w:val="20"/>
          <w:szCs w:val="20"/>
          <w:lang w:val="es-CO"/>
        </w:rPr>
        <w:t xml:space="preserve"> </w:t>
      </w:r>
      <w:r w:rsidR="001E03FA" w:rsidRPr="008745C2">
        <w:rPr>
          <w:rFonts w:ascii="Cambria" w:hAnsi="Cambria"/>
          <w:sz w:val="20"/>
          <w:szCs w:val="20"/>
          <w:lang w:val="es-CO"/>
        </w:rPr>
        <w:t xml:space="preserve">precisan </w:t>
      </w:r>
      <w:r w:rsidR="008C5F86" w:rsidRPr="008745C2">
        <w:rPr>
          <w:rFonts w:ascii="Cambria" w:hAnsi="Cambria"/>
          <w:sz w:val="20"/>
          <w:szCs w:val="20"/>
          <w:lang w:val="es-CO"/>
        </w:rPr>
        <w:t>que cuando fueron</w:t>
      </w:r>
      <w:r w:rsidR="002923AD" w:rsidRPr="008745C2">
        <w:rPr>
          <w:rFonts w:ascii="Cambria" w:hAnsi="Cambria"/>
          <w:sz w:val="20"/>
          <w:szCs w:val="20"/>
          <w:lang w:val="es-CO"/>
        </w:rPr>
        <w:t xml:space="preserve"> notificados con</w:t>
      </w:r>
      <w:r w:rsidR="008C5F86" w:rsidRPr="008745C2">
        <w:rPr>
          <w:rFonts w:ascii="Cambria" w:hAnsi="Cambria"/>
          <w:sz w:val="20"/>
          <w:szCs w:val="20"/>
          <w:lang w:val="es-CO"/>
        </w:rPr>
        <w:t xml:space="preserve"> </w:t>
      </w:r>
      <w:r w:rsidR="0082555C" w:rsidRPr="008745C2">
        <w:rPr>
          <w:rFonts w:ascii="Cambria" w:hAnsi="Cambria"/>
          <w:sz w:val="20"/>
          <w:szCs w:val="20"/>
          <w:lang w:val="es-CO"/>
        </w:rPr>
        <w:t xml:space="preserve">la </w:t>
      </w:r>
      <w:r w:rsidR="002923AD" w:rsidRPr="008745C2">
        <w:rPr>
          <w:rFonts w:ascii="Cambria" w:hAnsi="Cambria"/>
          <w:sz w:val="20"/>
          <w:szCs w:val="20"/>
          <w:lang w:val="es-CO"/>
        </w:rPr>
        <w:t>versión escrita</w:t>
      </w:r>
      <w:r w:rsidR="001E03FA" w:rsidRPr="008745C2">
        <w:rPr>
          <w:rFonts w:ascii="Cambria" w:hAnsi="Cambria"/>
          <w:sz w:val="20"/>
          <w:szCs w:val="20"/>
          <w:lang w:val="es-CO"/>
        </w:rPr>
        <w:t xml:space="preserve"> de la sentencia</w:t>
      </w:r>
      <w:r w:rsidR="008C5F86" w:rsidRPr="008745C2">
        <w:rPr>
          <w:rFonts w:ascii="Cambria" w:hAnsi="Cambria"/>
          <w:sz w:val="20"/>
          <w:szCs w:val="20"/>
          <w:lang w:val="es-CO"/>
        </w:rPr>
        <w:t xml:space="preserve">, </w:t>
      </w:r>
      <w:r w:rsidR="001E03FA" w:rsidRPr="008745C2">
        <w:rPr>
          <w:rFonts w:ascii="Cambria" w:hAnsi="Cambria"/>
          <w:sz w:val="20"/>
          <w:szCs w:val="20"/>
          <w:lang w:val="es-CO"/>
        </w:rPr>
        <w:t xml:space="preserve">observaron que </w:t>
      </w:r>
      <w:r w:rsidR="0082555C" w:rsidRPr="008745C2">
        <w:rPr>
          <w:rFonts w:ascii="Cambria" w:hAnsi="Cambria"/>
          <w:sz w:val="20"/>
          <w:szCs w:val="20"/>
          <w:lang w:val="es-CO"/>
        </w:rPr>
        <w:t xml:space="preserve">se </w:t>
      </w:r>
      <w:r w:rsidR="001E03FA" w:rsidRPr="008745C2">
        <w:rPr>
          <w:rFonts w:ascii="Cambria" w:hAnsi="Cambria"/>
          <w:sz w:val="20"/>
          <w:szCs w:val="20"/>
          <w:lang w:val="es-CO"/>
        </w:rPr>
        <w:t xml:space="preserve">había </w:t>
      </w:r>
      <w:r w:rsidR="0082555C" w:rsidRPr="008745C2">
        <w:rPr>
          <w:rFonts w:ascii="Cambria" w:hAnsi="Cambria"/>
          <w:sz w:val="20"/>
          <w:szCs w:val="20"/>
          <w:lang w:val="es-CO"/>
        </w:rPr>
        <w:t>estableci</w:t>
      </w:r>
      <w:r w:rsidR="001E03FA" w:rsidRPr="008745C2">
        <w:rPr>
          <w:rFonts w:ascii="Cambria" w:hAnsi="Cambria"/>
          <w:sz w:val="20"/>
          <w:szCs w:val="20"/>
          <w:lang w:val="es-CO"/>
        </w:rPr>
        <w:t>do</w:t>
      </w:r>
      <w:r w:rsidR="0082555C" w:rsidRPr="008745C2">
        <w:rPr>
          <w:rFonts w:ascii="Cambria" w:hAnsi="Cambria"/>
          <w:sz w:val="20"/>
          <w:szCs w:val="20"/>
          <w:lang w:val="es-CO"/>
        </w:rPr>
        <w:t xml:space="preserve"> que el monto de la reparación civil</w:t>
      </w:r>
      <w:r w:rsidR="002923AD" w:rsidRPr="008745C2">
        <w:rPr>
          <w:rFonts w:ascii="Cambria" w:hAnsi="Cambria"/>
          <w:sz w:val="20"/>
          <w:szCs w:val="20"/>
          <w:lang w:val="es-CO"/>
        </w:rPr>
        <w:t xml:space="preserve"> </w:t>
      </w:r>
      <w:r w:rsidR="001E03FA" w:rsidRPr="008745C2">
        <w:rPr>
          <w:rFonts w:ascii="Cambria" w:hAnsi="Cambria"/>
          <w:sz w:val="20"/>
          <w:szCs w:val="20"/>
          <w:lang w:val="es-CO"/>
        </w:rPr>
        <w:t>sería</w:t>
      </w:r>
      <w:r w:rsidR="002923AD" w:rsidRPr="008745C2">
        <w:rPr>
          <w:rFonts w:ascii="Cambria" w:hAnsi="Cambria"/>
          <w:sz w:val="20"/>
          <w:szCs w:val="20"/>
          <w:lang w:val="es-CO"/>
        </w:rPr>
        <w:t xml:space="preserve"> pagado solidaria</w:t>
      </w:r>
      <w:r w:rsidR="009B221C" w:rsidRPr="008745C2">
        <w:rPr>
          <w:rFonts w:ascii="Cambria" w:hAnsi="Cambria"/>
          <w:sz w:val="20"/>
          <w:szCs w:val="20"/>
          <w:lang w:val="es-CO"/>
        </w:rPr>
        <w:t>mente entre</w:t>
      </w:r>
      <w:r w:rsidR="002923AD" w:rsidRPr="008745C2">
        <w:rPr>
          <w:rFonts w:ascii="Cambria" w:hAnsi="Cambria"/>
          <w:sz w:val="20"/>
          <w:szCs w:val="20"/>
          <w:lang w:val="es-CO"/>
        </w:rPr>
        <w:t xml:space="preserve"> todas las </w:t>
      </w:r>
      <w:r w:rsidR="008C5F86" w:rsidRPr="008745C2">
        <w:rPr>
          <w:rFonts w:ascii="Cambria" w:hAnsi="Cambria"/>
          <w:sz w:val="20"/>
          <w:szCs w:val="20"/>
          <w:lang w:val="es-CO"/>
        </w:rPr>
        <w:t>víctimas</w:t>
      </w:r>
      <w:r w:rsidR="009B221C" w:rsidRPr="008745C2">
        <w:rPr>
          <w:rFonts w:ascii="Cambria" w:hAnsi="Cambria"/>
          <w:sz w:val="20"/>
          <w:szCs w:val="20"/>
          <w:lang w:val="es-CO"/>
        </w:rPr>
        <w:t>,</w:t>
      </w:r>
      <w:r w:rsidR="008C5F86" w:rsidRPr="008745C2">
        <w:rPr>
          <w:rFonts w:ascii="Cambria" w:hAnsi="Cambria"/>
          <w:sz w:val="20"/>
          <w:szCs w:val="20"/>
          <w:lang w:val="es-CO"/>
        </w:rPr>
        <w:t xml:space="preserve"> y no así de forma individual</w:t>
      </w:r>
      <w:r w:rsidR="004A3F6E" w:rsidRPr="008745C2">
        <w:rPr>
          <w:rFonts w:ascii="Cambria" w:hAnsi="Cambria"/>
          <w:sz w:val="20"/>
          <w:szCs w:val="20"/>
          <w:lang w:val="es-CO"/>
        </w:rPr>
        <w:t>.</w:t>
      </w:r>
    </w:p>
    <w:p w:rsidR="000218EF" w:rsidRPr="007C1361" w:rsidRDefault="002B0DAF" w:rsidP="00FA3A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Cambria" w:hAnsi="Cambria"/>
          <w:sz w:val="20"/>
          <w:szCs w:val="20"/>
          <w:lang w:val="es-CO"/>
        </w:rPr>
      </w:pPr>
      <w:r w:rsidRPr="007C1361">
        <w:rPr>
          <w:rFonts w:ascii="Cambria" w:hAnsi="Cambria"/>
          <w:sz w:val="20"/>
          <w:szCs w:val="20"/>
          <w:lang w:val="es-CO"/>
        </w:rPr>
        <w:t>Señala</w:t>
      </w:r>
      <w:r w:rsidR="00A82314">
        <w:rPr>
          <w:rFonts w:ascii="Cambria" w:hAnsi="Cambria"/>
          <w:sz w:val="20"/>
          <w:szCs w:val="20"/>
          <w:lang w:val="es-CO"/>
        </w:rPr>
        <w:t>n</w:t>
      </w:r>
      <w:r w:rsidRPr="007C1361">
        <w:rPr>
          <w:rFonts w:ascii="Cambria" w:hAnsi="Cambria"/>
          <w:sz w:val="20"/>
          <w:szCs w:val="20"/>
          <w:lang w:val="es-CO"/>
        </w:rPr>
        <w:t xml:space="preserve"> </w:t>
      </w:r>
      <w:r w:rsidR="00ED7E2B" w:rsidRPr="007C1361">
        <w:rPr>
          <w:rFonts w:ascii="Cambria" w:hAnsi="Cambria"/>
          <w:sz w:val="20"/>
          <w:szCs w:val="20"/>
          <w:lang w:val="es-CO"/>
        </w:rPr>
        <w:t>qu</w:t>
      </w:r>
      <w:r w:rsidR="007C1361">
        <w:rPr>
          <w:rFonts w:ascii="Cambria" w:hAnsi="Cambria"/>
          <w:sz w:val="20"/>
          <w:szCs w:val="20"/>
          <w:lang w:val="es-CO"/>
        </w:rPr>
        <w:t xml:space="preserve">e </w:t>
      </w:r>
      <w:r w:rsidR="00A82314">
        <w:rPr>
          <w:rFonts w:ascii="Cambria" w:hAnsi="Cambria"/>
          <w:sz w:val="20"/>
          <w:szCs w:val="20"/>
          <w:lang w:val="es-CO"/>
        </w:rPr>
        <w:t xml:space="preserve">interpusieron un recurso de </w:t>
      </w:r>
      <w:r w:rsidR="007C1361">
        <w:rPr>
          <w:rFonts w:ascii="Cambria" w:hAnsi="Cambria"/>
          <w:sz w:val="20"/>
          <w:szCs w:val="20"/>
          <w:lang w:val="es-CO"/>
        </w:rPr>
        <w:t xml:space="preserve">nulidad </w:t>
      </w:r>
      <w:r w:rsidR="00B628F1">
        <w:rPr>
          <w:rFonts w:ascii="Cambria" w:hAnsi="Cambria"/>
          <w:sz w:val="20"/>
          <w:szCs w:val="20"/>
          <w:lang w:val="es-CO"/>
        </w:rPr>
        <w:t xml:space="preserve">que fue desestimado por </w:t>
      </w:r>
      <w:r w:rsidR="00ED7E2B" w:rsidRPr="007C1361">
        <w:rPr>
          <w:rFonts w:ascii="Cambria" w:hAnsi="Cambria"/>
          <w:sz w:val="20"/>
          <w:szCs w:val="20"/>
          <w:lang w:val="es-CO"/>
        </w:rPr>
        <w:t xml:space="preserve">la Segunda Sala Penal Transitoria de </w:t>
      </w:r>
      <w:r w:rsidRPr="007C1361">
        <w:rPr>
          <w:rFonts w:ascii="Cambria" w:hAnsi="Cambria"/>
          <w:sz w:val="20"/>
          <w:szCs w:val="20"/>
          <w:lang w:val="es-CO"/>
        </w:rPr>
        <w:t>la Corte Suprema de Justicia</w:t>
      </w:r>
      <w:r w:rsidR="00EC3E32">
        <w:rPr>
          <w:rFonts w:ascii="Cambria" w:hAnsi="Cambria"/>
          <w:sz w:val="20"/>
          <w:szCs w:val="20"/>
          <w:lang w:val="es-CO"/>
        </w:rPr>
        <w:t xml:space="preserve">, el </w:t>
      </w:r>
      <w:r w:rsidR="00EB3B82" w:rsidRPr="007C1361">
        <w:rPr>
          <w:rFonts w:ascii="Cambria" w:hAnsi="Cambria"/>
          <w:sz w:val="20"/>
          <w:szCs w:val="20"/>
          <w:lang w:val="es-CO"/>
        </w:rPr>
        <w:t>27 de agosto de 2008</w:t>
      </w:r>
      <w:r w:rsidR="009532F1">
        <w:rPr>
          <w:rFonts w:ascii="Cambria" w:hAnsi="Cambria"/>
          <w:sz w:val="20"/>
          <w:szCs w:val="20"/>
          <w:lang w:val="es-CO"/>
        </w:rPr>
        <w:t xml:space="preserve">. Indican que </w:t>
      </w:r>
      <w:r w:rsidR="007B12F4">
        <w:rPr>
          <w:rFonts w:ascii="Cambria" w:hAnsi="Cambria"/>
          <w:sz w:val="20"/>
          <w:szCs w:val="20"/>
          <w:lang w:val="es-CO"/>
        </w:rPr>
        <w:t xml:space="preserve">el voto dirimitorio que definió la anterior decisión, fue emitido el </w:t>
      </w:r>
      <w:r w:rsidR="00ED7E2B" w:rsidRPr="007C1361">
        <w:rPr>
          <w:rFonts w:ascii="Cambria" w:hAnsi="Cambria"/>
          <w:sz w:val="20"/>
          <w:szCs w:val="20"/>
          <w:lang w:val="es-CO"/>
        </w:rPr>
        <w:t>4 de marzo de 2009</w:t>
      </w:r>
      <w:r w:rsidR="002C523D" w:rsidRPr="007C1361">
        <w:rPr>
          <w:rFonts w:ascii="Cambria" w:hAnsi="Cambria"/>
          <w:sz w:val="20"/>
          <w:szCs w:val="20"/>
          <w:lang w:val="es-CO"/>
        </w:rPr>
        <w:t xml:space="preserve">. </w:t>
      </w:r>
      <w:r w:rsidR="009532F1">
        <w:rPr>
          <w:rFonts w:ascii="Cambria" w:hAnsi="Cambria"/>
          <w:sz w:val="20"/>
          <w:szCs w:val="20"/>
          <w:lang w:val="es-CO"/>
        </w:rPr>
        <w:t xml:space="preserve">Relatan que </w:t>
      </w:r>
      <w:r w:rsidR="00607A98" w:rsidRPr="007C1361">
        <w:rPr>
          <w:rFonts w:ascii="Cambria" w:hAnsi="Cambria"/>
          <w:sz w:val="20"/>
          <w:szCs w:val="20"/>
          <w:lang w:val="es-CO"/>
        </w:rPr>
        <w:t>el</w:t>
      </w:r>
      <w:r w:rsidR="004A3F6E" w:rsidRPr="007C1361">
        <w:rPr>
          <w:rFonts w:ascii="Cambria" w:hAnsi="Cambria"/>
          <w:sz w:val="20"/>
          <w:szCs w:val="20"/>
          <w:lang w:val="es-CO"/>
        </w:rPr>
        <w:t xml:space="preserve"> 20</w:t>
      </w:r>
      <w:r w:rsidR="00607A98" w:rsidRPr="007C1361">
        <w:rPr>
          <w:rFonts w:ascii="Cambria" w:hAnsi="Cambria"/>
          <w:sz w:val="20"/>
          <w:szCs w:val="20"/>
          <w:lang w:val="es-CO"/>
        </w:rPr>
        <w:t xml:space="preserve"> de abril de 2009, la</w:t>
      </w:r>
      <w:r w:rsidR="003E42D0">
        <w:rPr>
          <w:rFonts w:ascii="Cambria" w:hAnsi="Cambria"/>
          <w:sz w:val="20"/>
          <w:szCs w:val="20"/>
          <w:lang w:val="es-CO"/>
        </w:rPr>
        <w:t xml:space="preserve">s presuntas víctimas </w:t>
      </w:r>
      <w:r w:rsidR="00607A98" w:rsidRPr="007C1361">
        <w:rPr>
          <w:rFonts w:ascii="Cambria" w:hAnsi="Cambria"/>
          <w:sz w:val="20"/>
          <w:szCs w:val="20"/>
          <w:lang w:val="es-CO"/>
        </w:rPr>
        <w:t>solicit</w:t>
      </w:r>
      <w:r w:rsidR="003E42D0">
        <w:rPr>
          <w:rFonts w:ascii="Cambria" w:hAnsi="Cambria"/>
          <w:sz w:val="20"/>
          <w:szCs w:val="20"/>
          <w:lang w:val="es-CO"/>
        </w:rPr>
        <w:t>aron</w:t>
      </w:r>
      <w:r w:rsidR="00607A98" w:rsidRPr="007C1361">
        <w:rPr>
          <w:rFonts w:ascii="Cambria" w:hAnsi="Cambria"/>
          <w:sz w:val="20"/>
          <w:szCs w:val="20"/>
          <w:lang w:val="es-CO"/>
        </w:rPr>
        <w:t xml:space="preserve"> a la Quinta Sala Penal de la Corte Superior de Lima aclaración de su sentencia</w:t>
      </w:r>
      <w:r w:rsidR="003E42D0">
        <w:rPr>
          <w:rFonts w:ascii="Cambria" w:hAnsi="Cambria"/>
          <w:sz w:val="20"/>
          <w:szCs w:val="20"/>
          <w:lang w:val="es-CO"/>
        </w:rPr>
        <w:t xml:space="preserve"> en lo referido al monto de reparación civil</w:t>
      </w:r>
      <w:r w:rsidR="009532F1">
        <w:rPr>
          <w:rFonts w:ascii="Cambria" w:hAnsi="Cambria"/>
          <w:sz w:val="20"/>
          <w:szCs w:val="20"/>
          <w:lang w:val="es-CO"/>
        </w:rPr>
        <w:t>. Destacan que</w:t>
      </w:r>
      <w:r w:rsidR="00607A98" w:rsidRPr="007C1361">
        <w:rPr>
          <w:rFonts w:ascii="Cambria" w:hAnsi="Cambria"/>
          <w:sz w:val="20"/>
          <w:szCs w:val="20"/>
          <w:lang w:val="es-CO"/>
        </w:rPr>
        <w:t xml:space="preserve"> dicha Sala </w:t>
      </w:r>
      <w:r w:rsidR="009532F1">
        <w:rPr>
          <w:rFonts w:ascii="Cambria" w:hAnsi="Cambria"/>
          <w:sz w:val="20"/>
          <w:szCs w:val="20"/>
          <w:lang w:val="es-CO"/>
        </w:rPr>
        <w:t xml:space="preserve">estableció </w:t>
      </w:r>
      <w:r w:rsidR="00607A98" w:rsidRPr="007C1361">
        <w:rPr>
          <w:rFonts w:ascii="Cambria" w:hAnsi="Cambria"/>
          <w:color w:val="000000" w:themeColor="text1"/>
          <w:sz w:val="20"/>
          <w:szCs w:val="20"/>
          <w:lang w:val="es-CO"/>
        </w:rPr>
        <w:t xml:space="preserve">que los montos deberían ser </w:t>
      </w:r>
      <w:r w:rsidR="00607A98" w:rsidRPr="007C1361">
        <w:rPr>
          <w:rFonts w:ascii="Cambria" w:hAnsi="Cambria"/>
          <w:color w:val="000000" w:themeColor="text1"/>
          <w:sz w:val="20"/>
          <w:szCs w:val="20"/>
          <w:lang w:val="es-CO"/>
        </w:rPr>
        <w:lastRenderedPageBreak/>
        <w:t xml:space="preserve">abonados por los sentenciados </w:t>
      </w:r>
      <w:r w:rsidR="004A3F6E" w:rsidRPr="007C1361">
        <w:rPr>
          <w:rFonts w:ascii="Cambria" w:hAnsi="Cambria"/>
          <w:color w:val="000000" w:themeColor="text1"/>
          <w:sz w:val="20"/>
          <w:szCs w:val="20"/>
          <w:lang w:val="es-CO"/>
        </w:rPr>
        <w:t>de forma solidaria con los terceros responsables</w:t>
      </w:r>
      <w:r w:rsidR="009532F1">
        <w:rPr>
          <w:rFonts w:ascii="Cambria" w:hAnsi="Cambria"/>
          <w:color w:val="000000" w:themeColor="text1"/>
          <w:sz w:val="20"/>
          <w:szCs w:val="20"/>
          <w:lang w:val="es-CO"/>
        </w:rPr>
        <w:t xml:space="preserve">. Además determinó que como </w:t>
      </w:r>
      <w:r w:rsidR="007C1361" w:rsidRPr="007C1361">
        <w:rPr>
          <w:rFonts w:ascii="Cambria" w:hAnsi="Cambria"/>
          <w:color w:val="000000" w:themeColor="text1"/>
          <w:sz w:val="20"/>
          <w:szCs w:val="20"/>
          <w:lang w:val="es-CO"/>
        </w:rPr>
        <w:t>la reparación civil</w:t>
      </w:r>
      <w:r w:rsidR="000218EF" w:rsidRPr="007C1361">
        <w:rPr>
          <w:rFonts w:ascii="Cambria" w:hAnsi="Cambria"/>
          <w:color w:val="000000" w:themeColor="text1"/>
          <w:sz w:val="20"/>
          <w:szCs w:val="20"/>
          <w:lang w:val="es-CO"/>
        </w:rPr>
        <w:t xml:space="preserve"> no </w:t>
      </w:r>
      <w:r w:rsidR="009532F1">
        <w:rPr>
          <w:rFonts w:ascii="Cambria" w:hAnsi="Cambria"/>
          <w:color w:val="000000" w:themeColor="text1"/>
          <w:sz w:val="20"/>
          <w:szCs w:val="20"/>
          <w:lang w:val="es-CO"/>
        </w:rPr>
        <w:t xml:space="preserve">había sido </w:t>
      </w:r>
      <w:r w:rsidR="000218EF" w:rsidRPr="007C1361">
        <w:rPr>
          <w:rFonts w:ascii="Cambria" w:hAnsi="Cambria"/>
          <w:color w:val="000000" w:themeColor="text1"/>
          <w:sz w:val="20"/>
          <w:szCs w:val="20"/>
          <w:lang w:val="es-CO"/>
        </w:rPr>
        <w:t>impugnad</w:t>
      </w:r>
      <w:r w:rsidR="009532F1">
        <w:rPr>
          <w:rFonts w:ascii="Cambria" w:hAnsi="Cambria"/>
          <w:color w:val="000000" w:themeColor="text1"/>
          <w:sz w:val="20"/>
          <w:szCs w:val="20"/>
          <w:lang w:val="es-CO"/>
        </w:rPr>
        <w:t>a</w:t>
      </w:r>
      <w:r w:rsidR="000218EF" w:rsidRPr="007C1361">
        <w:rPr>
          <w:rFonts w:ascii="Cambria" w:hAnsi="Cambria"/>
          <w:color w:val="000000" w:themeColor="text1"/>
          <w:sz w:val="20"/>
          <w:szCs w:val="20"/>
          <w:lang w:val="es-CO"/>
        </w:rPr>
        <w:t xml:space="preserve"> </w:t>
      </w:r>
      <w:r w:rsidR="007C1361" w:rsidRPr="007C1361">
        <w:rPr>
          <w:rFonts w:ascii="Cambria" w:hAnsi="Cambria"/>
          <w:color w:val="000000" w:themeColor="text1"/>
          <w:sz w:val="20"/>
          <w:szCs w:val="20"/>
          <w:lang w:val="es-CO"/>
        </w:rPr>
        <w:t xml:space="preserve">en su oportunidad, </w:t>
      </w:r>
      <w:r w:rsidR="009532F1">
        <w:rPr>
          <w:rFonts w:ascii="Cambria" w:hAnsi="Cambria"/>
          <w:color w:val="000000" w:themeColor="text1"/>
          <w:sz w:val="20"/>
          <w:szCs w:val="20"/>
          <w:lang w:val="es-CO"/>
        </w:rPr>
        <w:t xml:space="preserve">el fallo se </w:t>
      </w:r>
      <w:r w:rsidR="000E723A">
        <w:rPr>
          <w:rFonts w:ascii="Cambria" w:hAnsi="Cambria"/>
          <w:color w:val="000000" w:themeColor="text1"/>
          <w:sz w:val="20"/>
          <w:szCs w:val="20"/>
          <w:lang w:val="es-CO"/>
        </w:rPr>
        <w:t xml:space="preserve">había ejecutoriado y adquirido </w:t>
      </w:r>
      <w:r w:rsidR="000218EF" w:rsidRPr="007C1361">
        <w:rPr>
          <w:rFonts w:ascii="Cambria" w:hAnsi="Cambria"/>
          <w:color w:val="000000" w:themeColor="text1"/>
          <w:sz w:val="20"/>
          <w:szCs w:val="20"/>
          <w:lang w:val="es-CO"/>
        </w:rPr>
        <w:t>autoridad de cosa juzgada.</w:t>
      </w:r>
      <w:r w:rsidR="004B6B45" w:rsidRPr="007C1361">
        <w:rPr>
          <w:rFonts w:ascii="Cambria" w:hAnsi="Cambria"/>
          <w:color w:val="000000" w:themeColor="text1"/>
          <w:sz w:val="20"/>
          <w:szCs w:val="20"/>
          <w:lang w:val="es-CO"/>
        </w:rPr>
        <w:t xml:space="preserve"> </w:t>
      </w:r>
    </w:p>
    <w:p w:rsidR="006C0A44" w:rsidRDefault="003E0EAB" w:rsidP="00FA3A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Cambria" w:hAnsi="Cambria"/>
          <w:sz w:val="20"/>
          <w:szCs w:val="20"/>
          <w:lang w:val="es-CO"/>
        </w:rPr>
      </w:pPr>
      <w:r w:rsidRPr="006C0A44">
        <w:rPr>
          <w:rFonts w:ascii="Cambria" w:hAnsi="Cambria"/>
          <w:sz w:val="20"/>
          <w:szCs w:val="20"/>
          <w:lang w:val="es-CO"/>
        </w:rPr>
        <w:t>Refiere</w:t>
      </w:r>
      <w:r w:rsidR="000E723A">
        <w:rPr>
          <w:rFonts w:ascii="Cambria" w:hAnsi="Cambria"/>
          <w:sz w:val="20"/>
          <w:szCs w:val="20"/>
          <w:lang w:val="es-CO"/>
        </w:rPr>
        <w:t>n</w:t>
      </w:r>
      <w:r w:rsidRPr="006C0A44">
        <w:rPr>
          <w:rFonts w:ascii="Cambria" w:hAnsi="Cambria"/>
          <w:sz w:val="20"/>
          <w:szCs w:val="20"/>
          <w:lang w:val="es-CO"/>
        </w:rPr>
        <w:t xml:space="preserve"> que el 13 de noviembre de 2009, </w:t>
      </w:r>
      <w:r w:rsidR="000E723A">
        <w:rPr>
          <w:rFonts w:ascii="Cambria" w:hAnsi="Cambria"/>
          <w:sz w:val="20"/>
          <w:szCs w:val="20"/>
          <w:lang w:val="es-CO"/>
        </w:rPr>
        <w:t xml:space="preserve">las presuntas víctimas </w:t>
      </w:r>
      <w:r w:rsidRPr="006C0A44">
        <w:rPr>
          <w:rFonts w:ascii="Cambria" w:hAnsi="Cambria"/>
          <w:sz w:val="20"/>
          <w:szCs w:val="20"/>
          <w:lang w:val="es-CO"/>
        </w:rPr>
        <w:t xml:space="preserve">se </w:t>
      </w:r>
      <w:r w:rsidR="00505E8D" w:rsidRPr="006C0A44">
        <w:rPr>
          <w:rFonts w:ascii="Cambria" w:hAnsi="Cambria"/>
          <w:sz w:val="20"/>
          <w:szCs w:val="20"/>
          <w:lang w:val="es-CO"/>
        </w:rPr>
        <w:t>constituyeron</w:t>
      </w:r>
      <w:r w:rsidRPr="006C0A44">
        <w:rPr>
          <w:rFonts w:ascii="Cambria" w:hAnsi="Cambria"/>
          <w:sz w:val="20"/>
          <w:szCs w:val="20"/>
          <w:lang w:val="es-CO"/>
        </w:rPr>
        <w:t xml:space="preserve"> en el </w:t>
      </w:r>
      <w:r w:rsidR="00966BBE" w:rsidRPr="006C0A44">
        <w:rPr>
          <w:rFonts w:ascii="Cambria" w:hAnsi="Cambria"/>
          <w:sz w:val="20"/>
          <w:szCs w:val="20"/>
          <w:lang w:val="es-CO"/>
        </w:rPr>
        <w:t>V</w:t>
      </w:r>
      <w:r w:rsidRPr="006C0A44">
        <w:rPr>
          <w:rFonts w:ascii="Cambria" w:hAnsi="Cambria"/>
          <w:sz w:val="20"/>
          <w:szCs w:val="20"/>
          <w:lang w:val="es-CO"/>
        </w:rPr>
        <w:t xml:space="preserve">igésimo </w:t>
      </w:r>
      <w:r w:rsidR="00966BBE" w:rsidRPr="006C0A44">
        <w:rPr>
          <w:rFonts w:ascii="Cambria" w:hAnsi="Cambria"/>
          <w:sz w:val="20"/>
          <w:szCs w:val="20"/>
          <w:lang w:val="es-CO"/>
        </w:rPr>
        <w:t>T</w:t>
      </w:r>
      <w:r w:rsidRPr="006C0A44">
        <w:rPr>
          <w:rFonts w:ascii="Cambria" w:hAnsi="Cambria"/>
          <w:sz w:val="20"/>
          <w:szCs w:val="20"/>
          <w:lang w:val="es-CO"/>
        </w:rPr>
        <w:t>ercero Juzgado Penal de Lima para solicitar la debida ejecución de la sentencia</w:t>
      </w:r>
      <w:r w:rsidR="00505E8D" w:rsidRPr="006C0A44">
        <w:rPr>
          <w:rFonts w:ascii="Cambria" w:hAnsi="Cambria"/>
          <w:sz w:val="20"/>
          <w:szCs w:val="20"/>
          <w:lang w:val="es-CO"/>
        </w:rPr>
        <w:t xml:space="preserve">, es decir </w:t>
      </w:r>
      <w:r w:rsidR="002B0DAF">
        <w:rPr>
          <w:rFonts w:ascii="Cambria" w:hAnsi="Cambria"/>
          <w:sz w:val="20"/>
          <w:szCs w:val="20"/>
          <w:lang w:val="es-CO"/>
        </w:rPr>
        <w:t>el pago</w:t>
      </w:r>
      <w:r w:rsidR="00505E8D" w:rsidRPr="006C0A44">
        <w:rPr>
          <w:rFonts w:ascii="Cambria" w:hAnsi="Cambria"/>
          <w:sz w:val="20"/>
          <w:szCs w:val="20"/>
          <w:lang w:val="es-CO"/>
        </w:rPr>
        <w:t xml:space="preserve"> de doscientos mil nuevos soles por cada </w:t>
      </w:r>
      <w:r w:rsidR="001F4D62">
        <w:rPr>
          <w:rFonts w:ascii="Cambria" w:hAnsi="Cambria"/>
          <w:sz w:val="20"/>
          <w:szCs w:val="20"/>
          <w:lang w:val="es-CO"/>
        </w:rPr>
        <w:t>persona fallecida</w:t>
      </w:r>
      <w:r w:rsidR="00505E8D" w:rsidRPr="006C0A44">
        <w:rPr>
          <w:rFonts w:ascii="Cambria" w:hAnsi="Cambria"/>
          <w:sz w:val="20"/>
          <w:szCs w:val="20"/>
          <w:lang w:val="es-CO"/>
        </w:rPr>
        <w:t xml:space="preserve"> y treinta mil nuevos soles a cada </w:t>
      </w:r>
      <w:r w:rsidR="001F4D62">
        <w:rPr>
          <w:rFonts w:ascii="Cambria" w:hAnsi="Cambria"/>
          <w:sz w:val="20"/>
          <w:szCs w:val="20"/>
          <w:lang w:val="es-CO"/>
        </w:rPr>
        <w:t>persona</w:t>
      </w:r>
      <w:r w:rsidR="001F4D62" w:rsidRPr="006C0A44">
        <w:rPr>
          <w:rFonts w:ascii="Cambria" w:hAnsi="Cambria"/>
          <w:sz w:val="20"/>
          <w:szCs w:val="20"/>
          <w:lang w:val="es-CO"/>
        </w:rPr>
        <w:t xml:space="preserve"> </w:t>
      </w:r>
      <w:r w:rsidR="001F4D62">
        <w:rPr>
          <w:rFonts w:ascii="Cambria" w:hAnsi="Cambria"/>
          <w:sz w:val="20"/>
          <w:szCs w:val="20"/>
          <w:lang w:val="es-CO"/>
        </w:rPr>
        <w:t>herida</w:t>
      </w:r>
      <w:r w:rsidR="00505E8D" w:rsidRPr="006C0A44">
        <w:rPr>
          <w:rFonts w:ascii="Cambria" w:hAnsi="Cambria"/>
          <w:sz w:val="20"/>
          <w:szCs w:val="20"/>
          <w:lang w:val="es-CO"/>
        </w:rPr>
        <w:t xml:space="preserve">. Alegan que </w:t>
      </w:r>
      <w:r w:rsidR="00012735" w:rsidRPr="006C0A44">
        <w:rPr>
          <w:rFonts w:ascii="Cambria" w:hAnsi="Cambria"/>
          <w:sz w:val="20"/>
          <w:szCs w:val="20"/>
          <w:lang w:val="es-CO"/>
        </w:rPr>
        <w:t xml:space="preserve">el </w:t>
      </w:r>
      <w:r w:rsidR="00231BA1">
        <w:rPr>
          <w:rFonts w:ascii="Cambria" w:hAnsi="Cambria"/>
          <w:sz w:val="20"/>
          <w:szCs w:val="20"/>
          <w:lang w:val="es-CO"/>
        </w:rPr>
        <w:t>monto fijado para la reparación civil</w:t>
      </w:r>
      <w:r w:rsidR="00966BBE" w:rsidRPr="006C0A44">
        <w:rPr>
          <w:rFonts w:ascii="Cambria" w:hAnsi="Cambria"/>
          <w:sz w:val="20"/>
          <w:szCs w:val="20"/>
          <w:lang w:val="es-CO"/>
        </w:rPr>
        <w:t xml:space="preserve"> resulta insultantemente bajo</w:t>
      </w:r>
      <w:r w:rsidR="00012735" w:rsidRPr="006C0A44">
        <w:rPr>
          <w:rFonts w:ascii="Cambria" w:hAnsi="Cambria"/>
          <w:sz w:val="20"/>
          <w:szCs w:val="20"/>
          <w:lang w:val="es-CO"/>
        </w:rPr>
        <w:t xml:space="preserve"> y que </w:t>
      </w:r>
      <w:r w:rsidR="00966BBE" w:rsidRPr="006C0A44">
        <w:rPr>
          <w:rFonts w:ascii="Cambria" w:hAnsi="Cambria"/>
          <w:sz w:val="20"/>
          <w:szCs w:val="20"/>
          <w:lang w:val="es-CO"/>
        </w:rPr>
        <w:t xml:space="preserve">el mismo </w:t>
      </w:r>
      <w:r w:rsidR="00012735" w:rsidRPr="006C0A44">
        <w:rPr>
          <w:rFonts w:ascii="Cambria" w:hAnsi="Cambria"/>
          <w:sz w:val="20"/>
          <w:szCs w:val="20"/>
          <w:lang w:val="es-CO"/>
        </w:rPr>
        <w:t>atenta</w:t>
      </w:r>
      <w:r w:rsidR="009270D4" w:rsidRPr="006C0A44">
        <w:rPr>
          <w:rFonts w:ascii="Cambria" w:hAnsi="Cambria"/>
          <w:sz w:val="20"/>
          <w:szCs w:val="20"/>
          <w:lang w:val="es-CO"/>
        </w:rPr>
        <w:t xml:space="preserve"> contra la dignidad de las </w:t>
      </w:r>
      <w:r w:rsidR="00966BBE" w:rsidRPr="006C0A44">
        <w:rPr>
          <w:rFonts w:ascii="Cambria" w:hAnsi="Cambria"/>
          <w:sz w:val="20"/>
          <w:szCs w:val="20"/>
          <w:lang w:val="es-CO"/>
        </w:rPr>
        <w:t xml:space="preserve">víctimas, sin </w:t>
      </w:r>
      <w:r w:rsidR="009270D4" w:rsidRPr="006C0A44">
        <w:rPr>
          <w:rFonts w:ascii="Cambria" w:hAnsi="Cambria"/>
          <w:sz w:val="20"/>
          <w:szCs w:val="20"/>
          <w:lang w:val="es-CO"/>
        </w:rPr>
        <w:t xml:space="preserve">ajustarse remotamente a los estándares internacionales de derechos humanos. </w:t>
      </w:r>
      <w:r w:rsidR="00966BBE" w:rsidRPr="006C0A44">
        <w:rPr>
          <w:rFonts w:ascii="Cambria" w:hAnsi="Cambria"/>
          <w:sz w:val="20"/>
          <w:szCs w:val="20"/>
          <w:lang w:val="es-CO"/>
        </w:rPr>
        <w:t>Manifiesta</w:t>
      </w:r>
      <w:r w:rsidR="00C907A0">
        <w:rPr>
          <w:rFonts w:ascii="Cambria" w:hAnsi="Cambria"/>
          <w:sz w:val="20"/>
          <w:szCs w:val="20"/>
          <w:lang w:val="es-CO"/>
        </w:rPr>
        <w:t>n</w:t>
      </w:r>
      <w:r w:rsidR="00966BBE" w:rsidRPr="006C0A44">
        <w:rPr>
          <w:rFonts w:ascii="Cambria" w:hAnsi="Cambria"/>
          <w:sz w:val="20"/>
          <w:szCs w:val="20"/>
          <w:lang w:val="es-CO"/>
        </w:rPr>
        <w:t xml:space="preserve"> que el Juez Vigésimo Tercero Penal de Lima s</w:t>
      </w:r>
      <w:r w:rsidR="00C907A0">
        <w:rPr>
          <w:rFonts w:ascii="Cambria" w:hAnsi="Cambria"/>
          <w:sz w:val="20"/>
          <w:szCs w:val="20"/>
          <w:lang w:val="es-CO"/>
        </w:rPr>
        <w:t>ó</w:t>
      </w:r>
      <w:r w:rsidR="00966BBE" w:rsidRPr="006C0A44">
        <w:rPr>
          <w:rFonts w:ascii="Cambria" w:hAnsi="Cambria"/>
          <w:sz w:val="20"/>
          <w:szCs w:val="20"/>
          <w:lang w:val="es-CO"/>
        </w:rPr>
        <w:t xml:space="preserve">lo </w:t>
      </w:r>
      <w:r w:rsidR="00231BA1">
        <w:rPr>
          <w:rFonts w:ascii="Cambria" w:hAnsi="Cambria"/>
          <w:sz w:val="20"/>
          <w:szCs w:val="20"/>
          <w:lang w:val="es-CO"/>
        </w:rPr>
        <w:t xml:space="preserve">ha recibido pagos parciales </w:t>
      </w:r>
      <w:r w:rsidR="006C0A44" w:rsidRPr="006C0A44">
        <w:rPr>
          <w:rFonts w:ascii="Cambria" w:hAnsi="Cambria"/>
          <w:sz w:val="20"/>
          <w:szCs w:val="20"/>
          <w:lang w:val="es-CO"/>
        </w:rPr>
        <w:t xml:space="preserve">por </w:t>
      </w:r>
      <w:r w:rsidR="009270D4" w:rsidRPr="006C0A44">
        <w:rPr>
          <w:rFonts w:ascii="Cambria" w:hAnsi="Cambria"/>
          <w:sz w:val="20"/>
          <w:szCs w:val="20"/>
          <w:lang w:val="es-CO"/>
        </w:rPr>
        <w:t xml:space="preserve">parte de los </w:t>
      </w:r>
      <w:r w:rsidR="006C0A44" w:rsidRPr="006C0A44">
        <w:rPr>
          <w:rFonts w:ascii="Cambria" w:hAnsi="Cambria"/>
          <w:sz w:val="20"/>
          <w:szCs w:val="20"/>
          <w:lang w:val="es-CO"/>
        </w:rPr>
        <w:t>importadores</w:t>
      </w:r>
      <w:r w:rsidR="009270D4" w:rsidRPr="006C0A44">
        <w:rPr>
          <w:rFonts w:ascii="Cambria" w:hAnsi="Cambria"/>
          <w:sz w:val="20"/>
          <w:szCs w:val="20"/>
          <w:lang w:val="es-CO"/>
        </w:rPr>
        <w:t xml:space="preserve"> de productos </w:t>
      </w:r>
      <w:r w:rsidR="00452CAC">
        <w:rPr>
          <w:rFonts w:ascii="Cambria" w:hAnsi="Cambria"/>
          <w:sz w:val="20"/>
          <w:szCs w:val="20"/>
          <w:lang w:val="es-CO"/>
        </w:rPr>
        <w:t>pirotécnicos</w:t>
      </w:r>
      <w:r w:rsidR="009270D4" w:rsidRPr="006C0A44">
        <w:rPr>
          <w:rFonts w:ascii="Cambria" w:hAnsi="Cambria"/>
          <w:sz w:val="20"/>
          <w:szCs w:val="20"/>
          <w:lang w:val="es-CO"/>
        </w:rPr>
        <w:t xml:space="preserve">, </w:t>
      </w:r>
      <w:r w:rsidR="00C907A0">
        <w:rPr>
          <w:rFonts w:ascii="Cambria" w:hAnsi="Cambria"/>
          <w:sz w:val="20"/>
          <w:szCs w:val="20"/>
          <w:lang w:val="es-CO"/>
        </w:rPr>
        <w:t xml:space="preserve"> y que </w:t>
      </w:r>
      <w:r w:rsidR="009270D4" w:rsidRPr="006C0A44">
        <w:rPr>
          <w:rFonts w:ascii="Cambria" w:hAnsi="Cambria"/>
          <w:sz w:val="20"/>
          <w:szCs w:val="20"/>
          <w:lang w:val="es-CO"/>
        </w:rPr>
        <w:t xml:space="preserve">el monto que </w:t>
      </w:r>
      <w:r w:rsidR="006C0A44" w:rsidRPr="006C0A44">
        <w:rPr>
          <w:rFonts w:ascii="Cambria" w:hAnsi="Cambria"/>
          <w:sz w:val="20"/>
          <w:szCs w:val="20"/>
          <w:lang w:val="es-CO"/>
        </w:rPr>
        <w:t>correspondía</w:t>
      </w:r>
      <w:r w:rsidR="009270D4" w:rsidRPr="006C0A44">
        <w:rPr>
          <w:rFonts w:ascii="Cambria" w:hAnsi="Cambria"/>
          <w:sz w:val="20"/>
          <w:szCs w:val="20"/>
          <w:lang w:val="es-CO"/>
        </w:rPr>
        <w:t xml:space="preserve"> pagar al </w:t>
      </w:r>
      <w:r w:rsidR="006C0A44" w:rsidRPr="006C0A44">
        <w:rPr>
          <w:rFonts w:ascii="Cambria" w:hAnsi="Cambria"/>
          <w:sz w:val="20"/>
          <w:szCs w:val="20"/>
          <w:lang w:val="es-CO"/>
        </w:rPr>
        <w:t>Ministerio del Interior</w:t>
      </w:r>
      <w:r w:rsidR="009270D4" w:rsidRPr="006C0A44">
        <w:rPr>
          <w:rFonts w:ascii="Cambria" w:hAnsi="Cambria"/>
          <w:sz w:val="20"/>
          <w:szCs w:val="20"/>
          <w:lang w:val="es-CO"/>
        </w:rPr>
        <w:t xml:space="preserve"> a</w:t>
      </w:r>
      <w:r w:rsidR="006C0A44" w:rsidRPr="006C0A44">
        <w:rPr>
          <w:rFonts w:ascii="Cambria" w:hAnsi="Cambria"/>
          <w:sz w:val="20"/>
          <w:szCs w:val="20"/>
          <w:lang w:val="es-CO"/>
        </w:rPr>
        <w:t>ú</w:t>
      </w:r>
      <w:r w:rsidR="009270D4" w:rsidRPr="006C0A44">
        <w:rPr>
          <w:rFonts w:ascii="Cambria" w:hAnsi="Cambria"/>
          <w:sz w:val="20"/>
          <w:szCs w:val="20"/>
          <w:lang w:val="es-CO"/>
        </w:rPr>
        <w:t>n no</w:t>
      </w:r>
      <w:r w:rsidR="006C0A44" w:rsidRPr="006C0A44">
        <w:rPr>
          <w:rFonts w:ascii="Cambria" w:hAnsi="Cambria"/>
          <w:sz w:val="20"/>
          <w:szCs w:val="20"/>
          <w:lang w:val="es-CO"/>
        </w:rPr>
        <w:t xml:space="preserve"> </w:t>
      </w:r>
      <w:r w:rsidR="00C907A0">
        <w:rPr>
          <w:rFonts w:ascii="Cambria" w:hAnsi="Cambria"/>
          <w:sz w:val="20"/>
          <w:szCs w:val="20"/>
          <w:lang w:val="es-CO"/>
        </w:rPr>
        <w:t>ha sido</w:t>
      </w:r>
      <w:r w:rsidR="00C907A0" w:rsidRPr="006C0A44">
        <w:rPr>
          <w:rFonts w:ascii="Cambria" w:hAnsi="Cambria"/>
          <w:sz w:val="20"/>
          <w:szCs w:val="20"/>
          <w:lang w:val="es-CO"/>
        </w:rPr>
        <w:t xml:space="preserve"> </w:t>
      </w:r>
      <w:r w:rsidR="006C0A44" w:rsidRPr="006C0A44">
        <w:rPr>
          <w:rFonts w:ascii="Cambria" w:hAnsi="Cambria"/>
          <w:sz w:val="20"/>
          <w:szCs w:val="20"/>
          <w:lang w:val="es-CO"/>
        </w:rPr>
        <w:t>cancelado.</w:t>
      </w:r>
    </w:p>
    <w:p w:rsidR="007E2C12" w:rsidRPr="00231BA1" w:rsidRDefault="00231BA1" w:rsidP="005D7A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Cambria" w:hAnsi="Cambria"/>
          <w:sz w:val="20"/>
          <w:szCs w:val="20"/>
          <w:lang w:val="es-CO"/>
        </w:rPr>
      </w:pPr>
      <w:r w:rsidRPr="00231BA1">
        <w:rPr>
          <w:rFonts w:ascii="Cambria" w:hAnsi="Cambria"/>
          <w:sz w:val="20"/>
          <w:szCs w:val="20"/>
          <w:lang w:val="es-CO"/>
        </w:rPr>
        <w:t>Afirma</w:t>
      </w:r>
      <w:r w:rsidR="00D44358">
        <w:rPr>
          <w:rFonts w:ascii="Cambria" w:hAnsi="Cambria"/>
          <w:sz w:val="20"/>
          <w:szCs w:val="20"/>
          <w:lang w:val="es-CO"/>
        </w:rPr>
        <w:t>n</w:t>
      </w:r>
      <w:r w:rsidR="007E2C12" w:rsidRPr="00231BA1">
        <w:rPr>
          <w:rFonts w:ascii="Cambria" w:hAnsi="Cambria"/>
          <w:sz w:val="20"/>
          <w:szCs w:val="20"/>
          <w:lang w:val="es-CO"/>
        </w:rPr>
        <w:t xml:space="preserve"> que l</w:t>
      </w:r>
      <w:r w:rsidR="00026AF1">
        <w:rPr>
          <w:rFonts w:ascii="Cambria" w:hAnsi="Cambria"/>
          <w:sz w:val="20"/>
          <w:szCs w:val="20"/>
          <w:lang w:val="es-CO"/>
        </w:rPr>
        <w:t>a</w:t>
      </w:r>
      <w:r w:rsidR="007E2C12" w:rsidRPr="00231BA1">
        <w:rPr>
          <w:rFonts w:ascii="Cambria" w:hAnsi="Cambria"/>
          <w:sz w:val="20"/>
          <w:szCs w:val="20"/>
          <w:lang w:val="es-CO"/>
        </w:rPr>
        <w:t xml:space="preserve"> segund</w:t>
      </w:r>
      <w:r w:rsidR="00026AF1">
        <w:rPr>
          <w:rFonts w:ascii="Cambria" w:hAnsi="Cambria"/>
          <w:sz w:val="20"/>
          <w:szCs w:val="20"/>
          <w:lang w:val="es-CO"/>
        </w:rPr>
        <w:t>a causa</w:t>
      </w:r>
      <w:r w:rsidR="007E2C12" w:rsidRPr="00231BA1">
        <w:rPr>
          <w:rFonts w:ascii="Cambria" w:hAnsi="Cambria"/>
          <w:sz w:val="20"/>
          <w:szCs w:val="20"/>
          <w:lang w:val="es-CO"/>
        </w:rPr>
        <w:t xml:space="preserve"> penal inició el año 2007 </w:t>
      </w:r>
      <w:r w:rsidR="003E42D0">
        <w:rPr>
          <w:rFonts w:ascii="Cambria" w:hAnsi="Cambria"/>
          <w:sz w:val="20"/>
          <w:szCs w:val="20"/>
          <w:lang w:val="es-CO"/>
        </w:rPr>
        <w:t>ante</w:t>
      </w:r>
      <w:r w:rsidR="003E42D0" w:rsidRPr="00231BA1">
        <w:rPr>
          <w:rFonts w:ascii="Cambria" w:hAnsi="Cambria"/>
          <w:sz w:val="20"/>
          <w:szCs w:val="20"/>
          <w:lang w:val="es-CO"/>
        </w:rPr>
        <w:t xml:space="preserve"> </w:t>
      </w:r>
      <w:r w:rsidR="007E2C12" w:rsidRPr="00231BA1">
        <w:rPr>
          <w:rFonts w:ascii="Cambria" w:hAnsi="Cambria"/>
          <w:sz w:val="20"/>
          <w:szCs w:val="20"/>
          <w:lang w:val="es-CO"/>
        </w:rPr>
        <w:t xml:space="preserve">el Quincuagésimo Cuarto Juzgado Penal de Reos Libres de Lima, </w:t>
      </w:r>
      <w:r w:rsidR="00D44358">
        <w:rPr>
          <w:rFonts w:ascii="Cambria" w:hAnsi="Cambria"/>
          <w:sz w:val="20"/>
          <w:szCs w:val="20"/>
          <w:lang w:val="es-CO"/>
        </w:rPr>
        <w:t>y</w:t>
      </w:r>
      <w:r w:rsidR="007E2C12" w:rsidRPr="00231BA1">
        <w:rPr>
          <w:rFonts w:ascii="Cambria" w:hAnsi="Cambria"/>
          <w:sz w:val="20"/>
          <w:szCs w:val="20"/>
          <w:lang w:val="es-CO"/>
        </w:rPr>
        <w:t xml:space="preserve"> </w:t>
      </w:r>
      <w:r w:rsidR="003E42D0">
        <w:rPr>
          <w:rFonts w:ascii="Cambria" w:hAnsi="Cambria"/>
          <w:sz w:val="20"/>
          <w:szCs w:val="20"/>
          <w:lang w:val="es-CO"/>
        </w:rPr>
        <w:t xml:space="preserve">que </w:t>
      </w:r>
      <w:r w:rsidR="007E2C12" w:rsidRPr="00231BA1">
        <w:rPr>
          <w:rFonts w:ascii="Cambria" w:hAnsi="Cambria"/>
          <w:sz w:val="20"/>
          <w:szCs w:val="20"/>
          <w:lang w:val="es-CO"/>
        </w:rPr>
        <w:t>fue</w:t>
      </w:r>
      <w:r w:rsidRPr="00231BA1">
        <w:rPr>
          <w:rFonts w:ascii="Cambria" w:hAnsi="Cambria"/>
          <w:sz w:val="20"/>
          <w:szCs w:val="20"/>
          <w:lang w:val="es-CO"/>
        </w:rPr>
        <w:t xml:space="preserve"> impulsado por un</w:t>
      </w:r>
      <w:r w:rsidR="007E2C12" w:rsidRPr="00231BA1">
        <w:rPr>
          <w:rFonts w:ascii="Cambria" w:hAnsi="Cambria"/>
          <w:sz w:val="20"/>
          <w:szCs w:val="20"/>
          <w:lang w:val="es-CO"/>
        </w:rPr>
        <w:t xml:space="preserve"> grupo de víctimas </w:t>
      </w:r>
      <w:r w:rsidR="003E42D0">
        <w:rPr>
          <w:rFonts w:ascii="Cambria" w:hAnsi="Cambria"/>
          <w:sz w:val="20"/>
          <w:szCs w:val="20"/>
          <w:lang w:val="es-CO"/>
        </w:rPr>
        <w:t>del incendio que no habían sido identificadas en</w:t>
      </w:r>
      <w:r w:rsidR="003E42D0" w:rsidRPr="00231BA1">
        <w:rPr>
          <w:rFonts w:ascii="Cambria" w:hAnsi="Cambria"/>
          <w:sz w:val="20"/>
          <w:szCs w:val="20"/>
          <w:lang w:val="es-CO"/>
        </w:rPr>
        <w:t xml:space="preserve"> </w:t>
      </w:r>
      <w:r w:rsidRPr="00231BA1">
        <w:rPr>
          <w:rFonts w:ascii="Cambria" w:hAnsi="Cambria"/>
          <w:sz w:val="20"/>
          <w:szCs w:val="20"/>
          <w:lang w:val="es-CO"/>
        </w:rPr>
        <w:t>el</w:t>
      </w:r>
      <w:r w:rsidR="007E2C12" w:rsidRPr="00231BA1">
        <w:rPr>
          <w:rFonts w:ascii="Cambria" w:hAnsi="Cambria"/>
          <w:sz w:val="20"/>
          <w:szCs w:val="20"/>
          <w:lang w:val="es-CO"/>
        </w:rPr>
        <w:t xml:space="preserve"> primer proceso penal. Señala</w:t>
      </w:r>
      <w:r w:rsidR="00D44358">
        <w:rPr>
          <w:rFonts w:ascii="Cambria" w:hAnsi="Cambria"/>
          <w:sz w:val="20"/>
          <w:szCs w:val="20"/>
          <w:lang w:val="es-CO"/>
        </w:rPr>
        <w:t>n</w:t>
      </w:r>
      <w:r w:rsidR="007E2C12" w:rsidRPr="00231BA1">
        <w:rPr>
          <w:rFonts w:ascii="Cambria" w:hAnsi="Cambria"/>
          <w:sz w:val="20"/>
          <w:szCs w:val="20"/>
          <w:lang w:val="es-CO"/>
        </w:rPr>
        <w:t xml:space="preserve"> que actualmente</w:t>
      </w:r>
      <w:r w:rsidR="00502DBF">
        <w:rPr>
          <w:rFonts w:ascii="Cambria" w:hAnsi="Cambria"/>
          <w:sz w:val="20"/>
          <w:szCs w:val="20"/>
          <w:lang w:val="es-CO"/>
        </w:rPr>
        <w:t xml:space="preserve"> </w:t>
      </w:r>
      <w:r w:rsidR="0040329D">
        <w:rPr>
          <w:rFonts w:ascii="Cambria" w:hAnsi="Cambria"/>
          <w:sz w:val="20"/>
          <w:szCs w:val="20"/>
          <w:lang w:val="es-CO"/>
        </w:rPr>
        <w:t xml:space="preserve">el </w:t>
      </w:r>
      <w:r w:rsidR="00502DBF">
        <w:rPr>
          <w:rFonts w:ascii="Cambria" w:hAnsi="Cambria"/>
          <w:sz w:val="20"/>
          <w:szCs w:val="20"/>
          <w:lang w:val="es-CO"/>
        </w:rPr>
        <w:t>caso aún</w:t>
      </w:r>
      <w:r w:rsidR="007E2C12" w:rsidRPr="00231BA1">
        <w:rPr>
          <w:rFonts w:ascii="Cambria" w:hAnsi="Cambria"/>
          <w:sz w:val="20"/>
          <w:szCs w:val="20"/>
          <w:lang w:val="es-CO"/>
        </w:rPr>
        <w:t xml:space="preserve"> se encuentra en etapa de investigación</w:t>
      </w:r>
      <w:r w:rsidR="00D44358">
        <w:rPr>
          <w:rFonts w:ascii="Cambria" w:hAnsi="Cambria"/>
          <w:sz w:val="20"/>
          <w:szCs w:val="20"/>
          <w:lang w:val="es-CO"/>
        </w:rPr>
        <w:t xml:space="preserve">. Destacan que </w:t>
      </w:r>
      <w:r w:rsidR="00502DBF">
        <w:rPr>
          <w:rFonts w:ascii="Cambria" w:hAnsi="Cambria"/>
          <w:sz w:val="20"/>
          <w:szCs w:val="20"/>
          <w:lang w:val="es-CO"/>
        </w:rPr>
        <w:t>el</w:t>
      </w:r>
      <w:r w:rsidR="00502DBF" w:rsidRPr="00231BA1">
        <w:rPr>
          <w:rFonts w:ascii="Cambria" w:hAnsi="Cambria"/>
          <w:sz w:val="20"/>
          <w:szCs w:val="20"/>
          <w:lang w:val="es-CO"/>
        </w:rPr>
        <w:t xml:space="preserve"> 3 de marzo de 2010</w:t>
      </w:r>
      <w:r w:rsidR="00502DBF" w:rsidRPr="00502DBF">
        <w:rPr>
          <w:rFonts w:ascii="Cambria" w:hAnsi="Cambria"/>
          <w:sz w:val="20"/>
          <w:szCs w:val="20"/>
          <w:lang w:val="es-CO"/>
        </w:rPr>
        <w:t xml:space="preserve"> </w:t>
      </w:r>
      <w:r w:rsidR="00502DBF" w:rsidRPr="00231BA1">
        <w:rPr>
          <w:rFonts w:ascii="Cambria" w:hAnsi="Cambria"/>
          <w:sz w:val="20"/>
          <w:szCs w:val="20"/>
          <w:lang w:val="es-CO"/>
        </w:rPr>
        <w:t xml:space="preserve">el Fiscal </w:t>
      </w:r>
      <w:r w:rsidR="00502DBF">
        <w:rPr>
          <w:rFonts w:ascii="Cambria" w:hAnsi="Cambria"/>
          <w:sz w:val="20"/>
          <w:szCs w:val="20"/>
          <w:lang w:val="es-CO"/>
        </w:rPr>
        <w:t>asignado al caso, realizó una solicitud para recabar los testimonios de 12 personas</w:t>
      </w:r>
      <w:r w:rsidR="00286C3B">
        <w:rPr>
          <w:rFonts w:ascii="Cambria" w:hAnsi="Cambria"/>
          <w:sz w:val="20"/>
          <w:szCs w:val="20"/>
          <w:lang w:val="es-CO"/>
        </w:rPr>
        <w:t xml:space="preserve">, siendo </w:t>
      </w:r>
      <w:r w:rsidR="00502DBF">
        <w:rPr>
          <w:rFonts w:ascii="Cambria" w:hAnsi="Cambria"/>
          <w:sz w:val="20"/>
          <w:szCs w:val="20"/>
          <w:lang w:val="es-CO"/>
        </w:rPr>
        <w:t xml:space="preserve">su </w:t>
      </w:r>
      <w:r w:rsidR="00D44358">
        <w:rPr>
          <w:rFonts w:ascii="Cambria" w:hAnsi="Cambria"/>
          <w:sz w:val="20"/>
          <w:szCs w:val="20"/>
          <w:lang w:val="es-CO"/>
        </w:rPr>
        <w:t xml:space="preserve">última actuación </w:t>
      </w:r>
      <w:r w:rsidR="00502DBF">
        <w:rPr>
          <w:rFonts w:ascii="Cambria" w:hAnsi="Cambria"/>
          <w:sz w:val="20"/>
          <w:szCs w:val="20"/>
          <w:lang w:val="es-CO"/>
        </w:rPr>
        <w:t>procesal.</w:t>
      </w:r>
      <w:r w:rsidR="007E2C12" w:rsidRPr="00231BA1">
        <w:rPr>
          <w:rFonts w:ascii="Cambria" w:hAnsi="Cambria"/>
          <w:sz w:val="20"/>
          <w:szCs w:val="20"/>
          <w:lang w:val="es-CO"/>
        </w:rPr>
        <w:t xml:space="preserve"> Asimismo indica</w:t>
      </w:r>
      <w:r w:rsidR="00D44358">
        <w:rPr>
          <w:rFonts w:ascii="Cambria" w:hAnsi="Cambria"/>
          <w:sz w:val="20"/>
          <w:szCs w:val="20"/>
          <w:lang w:val="es-CO"/>
        </w:rPr>
        <w:t>n</w:t>
      </w:r>
      <w:r w:rsidR="007E2C12" w:rsidRPr="00231BA1">
        <w:rPr>
          <w:rFonts w:ascii="Cambria" w:hAnsi="Cambria"/>
          <w:sz w:val="20"/>
          <w:szCs w:val="20"/>
          <w:lang w:val="es-CO"/>
        </w:rPr>
        <w:t xml:space="preserve"> que </w:t>
      </w:r>
      <w:r w:rsidR="00286C3B">
        <w:rPr>
          <w:rFonts w:ascii="Cambria" w:hAnsi="Cambria"/>
          <w:sz w:val="20"/>
          <w:szCs w:val="20"/>
          <w:lang w:val="es-CO"/>
        </w:rPr>
        <w:t>éste</w:t>
      </w:r>
      <w:r w:rsidR="00286C3B" w:rsidRPr="00231BA1">
        <w:rPr>
          <w:rFonts w:ascii="Cambria" w:hAnsi="Cambria"/>
          <w:sz w:val="20"/>
          <w:szCs w:val="20"/>
          <w:lang w:val="es-CO"/>
        </w:rPr>
        <w:t xml:space="preserve"> </w:t>
      </w:r>
      <w:r w:rsidRPr="00231BA1">
        <w:rPr>
          <w:rFonts w:ascii="Cambria" w:hAnsi="Cambria"/>
          <w:sz w:val="20"/>
          <w:szCs w:val="20"/>
          <w:lang w:val="es-CO"/>
        </w:rPr>
        <w:t xml:space="preserve">proceso </w:t>
      </w:r>
      <w:r w:rsidR="00286C3B">
        <w:rPr>
          <w:rFonts w:ascii="Cambria" w:hAnsi="Cambria"/>
          <w:sz w:val="20"/>
          <w:szCs w:val="20"/>
          <w:lang w:val="es-CO"/>
        </w:rPr>
        <w:t xml:space="preserve">tampoco </w:t>
      </w:r>
      <w:r w:rsidR="007E2C12" w:rsidRPr="00231BA1">
        <w:rPr>
          <w:rFonts w:ascii="Cambria" w:hAnsi="Cambria"/>
          <w:sz w:val="20"/>
          <w:szCs w:val="20"/>
          <w:lang w:val="es-CO"/>
        </w:rPr>
        <w:t>constituye</w:t>
      </w:r>
      <w:r w:rsidR="00286C3B">
        <w:rPr>
          <w:rFonts w:ascii="Cambria" w:hAnsi="Cambria"/>
          <w:sz w:val="20"/>
          <w:szCs w:val="20"/>
          <w:lang w:val="es-CO"/>
        </w:rPr>
        <w:t xml:space="preserve"> </w:t>
      </w:r>
      <w:r w:rsidR="007E2C12" w:rsidRPr="00231BA1">
        <w:rPr>
          <w:rFonts w:ascii="Cambria" w:hAnsi="Cambria"/>
          <w:sz w:val="20"/>
          <w:szCs w:val="20"/>
          <w:lang w:val="es-CO"/>
        </w:rPr>
        <w:t>un recurso interno exigible para efectos de admisibilidad</w:t>
      </w:r>
      <w:r w:rsidR="00286C3B">
        <w:rPr>
          <w:rFonts w:ascii="Cambria" w:hAnsi="Cambria"/>
          <w:sz w:val="20"/>
          <w:szCs w:val="20"/>
          <w:lang w:val="es-CO"/>
        </w:rPr>
        <w:t xml:space="preserve">, debido al tiempo excesivo de tramitación y la falta de resultados. </w:t>
      </w:r>
      <w:r w:rsidR="00E02FD1">
        <w:rPr>
          <w:rFonts w:ascii="Cambria" w:hAnsi="Cambria"/>
          <w:sz w:val="20"/>
          <w:szCs w:val="20"/>
          <w:lang w:val="es-CO"/>
        </w:rPr>
        <w:t>Además aducen que éste</w:t>
      </w:r>
      <w:r w:rsidR="00E02FD1" w:rsidRPr="00E02FD1">
        <w:rPr>
          <w:rFonts w:ascii="Cambria" w:hAnsi="Cambria"/>
          <w:sz w:val="20"/>
          <w:szCs w:val="20"/>
          <w:lang w:val="es-CO"/>
        </w:rPr>
        <w:t xml:space="preserve"> </w:t>
      </w:r>
      <w:r w:rsidR="00E02FD1">
        <w:rPr>
          <w:rFonts w:ascii="Cambria" w:hAnsi="Cambria"/>
          <w:sz w:val="20"/>
          <w:szCs w:val="20"/>
          <w:lang w:val="es-CO"/>
        </w:rPr>
        <w:t xml:space="preserve">es </w:t>
      </w:r>
      <w:r w:rsidR="00E02FD1" w:rsidRPr="00231BA1">
        <w:rPr>
          <w:rFonts w:ascii="Cambria" w:hAnsi="Cambria"/>
          <w:sz w:val="20"/>
          <w:szCs w:val="20"/>
          <w:lang w:val="es-CO"/>
        </w:rPr>
        <w:t>ineficaz</w:t>
      </w:r>
      <w:r w:rsidR="00E02FD1">
        <w:rPr>
          <w:rFonts w:ascii="Cambria" w:hAnsi="Cambria"/>
          <w:sz w:val="20"/>
          <w:szCs w:val="20"/>
          <w:lang w:val="es-CO"/>
        </w:rPr>
        <w:t xml:space="preserve">, pues no considera a las presuntas víctimas comprendidas en el primer proceso penal.  </w:t>
      </w:r>
      <w:r w:rsidR="007E2C12" w:rsidRPr="00231BA1">
        <w:rPr>
          <w:rFonts w:ascii="Cambria" w:hAnsi="Cambria"/>
          <w:sz w:val="20"/>
          <w:szCs w:val="20"/>
          <w:lang w:val="es-CO"/>
        </w:rPr>
        <w:t xml:space="preserve"> </w:t>
      </w:r>
    </w:p>
    <w:p w:rsidR="00650E1F" w:rsidRDefault="00650E1F" w:rsidP="00FA3A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Cambria" w:hAnsi="Cambria"/>
          <w:sz w:val="20"/>
          <w:szCs w:val="20"/>
          <w:lang w:val="es-CO"/>
        </w:rPr>
      </w:pPr>
      <w:r>
        <w:rPr>
          <w:rFonts w:ascii="Cambria" w:hAnsi="Cambria"/>
          <w:sz w:val="20"/>
          <w:szCs w:val="20"/>
          <w:lang w:val="es-CO"/>
        </w:rPr>
        <w:t xml:space="preserve">Por otra parte </w:t>
      </w:r>
      <w:r w:rsidR="005A7EC4">
        <w:rPr>
          <w:rFonts w:ascii="Cambria" w:hAnsi="Cambria"/>
          <w:sz w:val="20"/>
          <w:szCs w:val="20"/>
          <w:lang w:val="es-CO"/>
        </w:rPr>
        <w:t>señala</w:t>
      </w:r>
      <w:r>
        <w:rPr>
          <w:rFonts w:ascii="Cambria" w:hAnsi="Cambria"/>
          <w:sz w:val="20"/>
          <w:szCs w:val="20"/>
          <w:lang w:val="es-CO"/>
        </w:rPr>
        <w:t xml:space="preserve"> que </w:t>
      </w:r>
      <w:r w:rsidR="005A7EC4">
        <w:rPr>
          <w:rFonts w:ascii="Cambria" w:hAnsi="Cambria"/>
          <w:sz w:val="20"/>
          <w:szCs w:val="20"/>
          <w:lang w:val="es-CO"/>
        </w:rPr>
        <w:t xml:space="preserve">a consecuencia de los sucesos ocurridos en el centro comercial Mesa Redonda, mediante Decreto Supremo N° 008-2002-PCM de 8 de febrero de 2002, se constituyó una </w:t>
      </w:r>
      <w:r w:rsidR="00265AAB">
        <w:rPr>
          <w:rFonts w:ascii="Cambria" w:hAnsi="Cambria"/>
          <w:sz w:val="20"/>
          <w:szCs w:val="20"/>
          <w:lang w:val="es-CO"/>
        </w:rPr>
        <w:t>C</w:t>
      </w:r>
      <w:r w:rsidR="005A7EC4">
        <w:rPr>
          <w:rFonts w:ascii="Cambria" w:hAnsi="Cambria"/>
          <w:sz w:val="20"/>
          <w:szCs w:val="20"/>
          <w:lang w:val="es-CO"/>
        </w:rPr>
        <w:t xml:space="preserve">omisión </w:t>
      </w:r>
      <w:r w:rsidR="00265AAB">
        <w:rPr>
          <w:rFonts w:ascii="Cambria" w:hAnsi="Cambria"/>
          <w:sz w:val="20"/>
          <w:szCs w:val="20"/>
          <w:lang w:val="es-CO"/>
        </w:rPr>
        <w:t>M</w:t>
      </w:r>
      <w:r w:rsidR="005A7EC4">
        <w:rPr>
          <w:rFonts w:ascii="Cambria" w:hAnsi="Cambria"/>
          <w:sz w:val="20"/>
          <w:szCs w:val="20"/>
          <w:lang w:val="es-CO"/>
        </w:rPr>
        <w:t>ultisectorial encargada de coordinar</w:t>
      </w:r>
      <w:r w:rsidR="00265AAB">
        <w:rPr>
          <w:rFonts w:ascii="Cambria" w:hAnsi="Cambria"/>
          <w:sz w:val="20"/>
          <w:szCs w:val="20"/>
          <w:lang w:val="es-CO"/>
        </w:rPr>
        <w:t xml:space="preserve"> el Programa Integral de Rehabilitación y Reconstrucción de la zona en emergencia,</w:t>
      </w:r>
      <w:r w:rsidR="005A7EC4">
        <w:rPr>
          <w:rFonts w:ascii="Cambria" w:hAnsi="Cambria"/>
          <w:sz w:val="20"/>
          <w:szCs w:val="20"/>
          <w:lang w:val="es-CO"/>
        </w:rPr>
        <w:t xml:space="preserve"> con los sectores de la administración </w:t>
      </w:r>
      <w:r w:rsidR="00265AAB">
        <w:rPr>
          <w:rFonts w:ascii="Cambria" w:hAnsi="Cambria"/>
          <w:sz w:val="20"/>
          <w:szCs w:val="20"/>
          <w:lang w:val="es-CO"/>
        </w:rPr>
        <w:t>pública</w:t>
      </w:r>
      <w:r w:rsidR="00621A47">
        <w:rPr>
          <w:rFonts w:ascii="Cambria" w:hAnsi="Cambria"/>
          <w:sz w:val="20"/>
          <w:szCs w:val="20"/>
          <w:lang w:val="es-CO"/>
        </w:rPr>
        <w:t>. Refiere</w:t>
      </w:r>
      <w:r w:rsidR="00506EBE">
        <w:rPr>
          <w:rFonts w:ascii="Cambria" w:hAnsi="Cambria"/>
          <w:sz w:val="20"/>
          <w:szCs w:val="20"/>
          <w:lang w:val="es-CO"/>
        </w:rPr>
        <w:t>n</w:t>
      </w:r>
      <w:r w:rsidR="005A7EC4">
        <w:rPr>
          <w:rFonts w:ascii="Cambria" w:hAnsi="Cambria"/>
          <w:sz w:val="20"/>
          <w:szCs w:val="20"/>
          <w:lang w:val="es-CO"/>
        </w:rPr>
        <w:t xml:space="preserve"> que a través de la Resolución 026-2002 de 19 de marzo de 2002, se aprobó la transferencia a título gratuito </w:t>
      </w:r>
      <w:r w:rsidR="00621A47">
        <w:rPr>
          <w:rFonts w:ascii="Cambria" w:hAnsi="Cambria"/>
          <w:sz w:val="20"/>
          <w:szCs w:val="20"/>
          <w:lang w:val="es-CO"/>
        </w:rPr>
        <w:t xml:space="preserve">de dos predios territoriales </w:t>
      </w:r>
      <w:r w:rsidR="00265AAB">
        <w:rPr>
          <w:rFonts w:ascii="Cambria" w:hAnsi="Cambria"/>
          <w:sz w:val="20"/>
          <w:szCs w:val="20"/>
          <w:lang w:val="es-CO"/>
        </w:rPr>
        <w:t>en</w:t>
      </w:r>
      <w:r w:rsidR="005A7EC4">
        <w:rPr>
          <w:rFonts w:ascii="Cambria" w:hAnsi="Cambria"/>
          <w:sz w:val="20"/>
          <w:szCs w:val="20"/>
          <w:lang w:val="es-CO"/>
        </w:rPr>
        <w:t xml:space="preserve"> favor de la </w:t>
      </w:r>
      <w:r w:rsidR="00506EBE">
        <w:rPr>
          <w:rFonts w:ascii="Cambria" w:hAnsi="Cambria"/>
          <w:sz w:val="20"/>
          <w:szCs w:val="20"/>
          <w:lang w:val="es-CO"/>
        </w:rPr>
        <w:t>M</w:t>
      </w:r>
      <w:r w:rsidR="005A7EC4">
        <w:rPr>
          <w:rFonts w:ascii="Cambria" w:hAnsi="Cambria"/>
          <w:sz w:val="20"/>
          <w:szCs w:val="20"/>
          <w:lang w:val="es-CO"/>
        </w:rPr>
        <w:t xml:space="preserve">unicipalidad de </w:t>
      </w:r>
      <w:r w:rsidR="00506EBE">
        <w:rPr>
          <w:rFonts w:ascii="Cambria" w:hAnsi="Cambria"/>
          <w:sz w:val="20"/>
          <w:szCs w:val="20"/>
          <w:lang w:val="es-CO"/>
        </w:rPr>
        <w:t>L</w:t>
      </w:r>
      <w:r w:rsidR="005A7EC4">
        <w:rPr>
          <w:rFonts w:ascii="Cambria" w:hAnsi="Cambria"/>
          <w:sz w:val="20"/>
          <w:szCs w:val="20"/>
          <w:lang w:val="es-CO"/>
        </w:rPr>
        <w:t xml:space="preserve">ima, con el objeto de otorgar a las </w:t>
      </w:r>
      <w:r w:rsidR="00621A47">
        <w:rPr>
          <w:rFonts w:ascii="Cambria" w:hAnsi="Cambria"/>
          <w:sz w:val="20"/>
          <w:szCs w:val="20"/>
          <w:lang w:val="es-CO"/>
        </w:rPr>
        <w:t>víctimas</w:t>
      </w:r>
      <w:r w:rsidR="005A7EC4">
        <w:rPr>
          <w:rFonts w:ascii="Cambria" w:hAnsi="Cambria"/>
          <w:sz w:val="20"/>
          <w:szCs w:val="20"/>
          <w:lang w:val="es-CO"/>
        </w:rPr>
        <w:t xml:space="preserve"> de la tragedia de Mesa Redonda un espacio físico donde puedan reali</w:t>
      </w:r>
      <w:r w:rsidR="00621A47">
        <w:rPr>
          <w:rFonts w:ascii="Cambria" w:hAnsi="Cambria"/>
          <w:sz w:val="20"/>
          <w:szCs w:val="20"/>
          <w:lang w:val="es-CO"/>
        </w:rPr>
        <w:t xml:space="preserve">zar sus </w:t>
      </w:r>
      <w:r w:rsidR="00621A47" w:rsidRPr="008745C2">
        <w:rPr>
          <w:rFonts w:ascii="Cambria" w:hAnsi="Cambria"/>
          <w:sz w:val="20"/>
          <w:szCs w:val="20"/>
          <w:lang w:val="es-CO"/>
        </w:rPr>
        <w:t>actividades de comercio</w:t>
      </w:r>
      <w:r w:rsidR="00506EBE" w:rsidRPr="008745C2">
        <w:rPr>
          <w:rFonts w:ascii="Cambria" w:hAnsi="Cambria"/>
          <w:sz w:val="20"/>
          <w:szCs w:val="20"/>
          <w:lang w:val="es-CO"/>
        </w:rPr>
        <w:t>. Alegan</w:t>
      </w:r>
      <w:r w:rsidR="00621A47" w:rsidRPr="008745C2">
        <w:rPr>
          <w:rFonts w:ascii="Cambria" w:hAnsi="Cambria"/>
          <w:sz w:val="20"/>
          <w:szCs w:val="20"/>
          <w:lang w:val="es-CO"/>
        </w:rPr>
        <w:t xml:space="preserve"> sin embargo, que dichos inmuebles </w:t>
      </w:r>
      <w:r w:rsidR="00621A47" w:rsidRPr="008745C2">
        <w:rPr>
          <w:rFonts w:asciiTheme="majorHAnsi" w:hAnsiTheme="majorHAnsi"/>
          <w:sz w:val="20"/>
          <w:szCs w:val="20"/>
          <w:lang w:val="es-CO"/>
        </w:rPr>
        <w:t>no llegaron a la totalidad de</w:t>
      </w:r>
      <w:r w:rsidR="00506EBE" w:rsidRPr="008745C2">
        <w:rPr>
          <w:rFonts w:asciiTheme="majorHAnsi" w:hAnsiTheme="majorHAnsi"/>
          <w:sz w:val="20"/>
          <w:szCs w:val="20"/>
          <w:lang w:val="es-CO"/>
        </w:rPr>
        <w:t xml:space="preserve"> los afectados</w:t>
      </w:r>
      <w:r w:rsidR="00721758" w:rsidRPr="008745C2">
        <w:rPr>
          <w:rFonts w:asciiTheme="majorHAnsi" w:hAnsiTheme="majorHAnsi"/>
          <w:sz w:val="20"/>
          <w:szCs w:val="20"/>
          <w:lang w:val="es-CO"/>
        </w:rPr>
        <w:t>, toda vez que el Estado no ha proporcionado un listado oficial de</w:t>
      </w:r>
      <w:r w:rsidR="000704A1" w:rsidRPr="008745C2">
        <w:rPr>
          <w:rFonts w:asciiTheme="majorHAnsi" w:hAnsiTheme="majorHAnsi"/>
          <w:sz w:val="20"/>
          <w:szCs w:val="20"/>
          <w:lang w:val="es-CO"/>
        </w:rPr>
        <w:t xml:space="preserve"> víctimas,</w:t>
      </w:r>
      <w:r w:rsidR="00721758" w:rsidRPr="008745C2">
        <w:rPr>
          <w:rFonts w:asciiTheme="majorHAnsi" w:hAnsiTheme="majorHAnsi"/>
          <w:sz w:val="20"/>
          <w:szCs w:val="20"/>
          <w:lang w:val="es-CO"/>
        </w:rPr>
        <w:t xml:space="preserve"> </w:t>
      </w:r>
      <w:r w:rsidR="00AF28E0" w:rsidRPr="008745C2">
        <w:rPr>
          <w:rFonts w:asciiTheme="majorHAnsi" w:hAnsiTheme="majorHAnsi" w:cs="Arial"/>
          <w:bCs/>
          <w:color w:val="000000"/>
          <w:sz w:val="20"/>
          <w:szCs w:val="20"/>
          <w:lang w:val="es-CO"/>
        </w:rPr>
        <w:t>debido a que las instituciones competentes no apoyaron en la obtención de los certificados de muerte presunta</w:t>
      </w:r>
      <w:r w:rsidR="00506EBE" w:rsidRPr="008745C2">
        <w:rPr>
          <w:rFonts w:asciiTheme="majorHAnsi" w:hAnsiTheme="majorHAnsi"/>
          <w:sz w:val="20"/>
          <w:szCs w:val="20"/>
          <w:lang w:val="es-CO"/>
        </w:rPr>
        <w:t>.</w:t>
      </w:r>
      <w:r w:rsidR="00506EBE" w:rsidRPr="008745C2">
        <w:rPr>
          <w:rFonts w:ascii="Cambria" w:hAnsi="Cambria"/>
          <w:sz w:val="20"/>
          <w:szCs w:val="20"/>
          <w:lang w:val="es-CO"/>
        </w:rPr>
        <w:t xml:space="preserve"> </w:t>
      </w:r>
      <w:r w:rsidR="00D90B19" w:rsidRPr="008745C2">
        <w:rPr>
          <w:rFonts w:ascii="Cambria" w:hAnsi="Cambria"/>
          <w:sz w:val="20"/>
          <w:szCs w:val="20"/>
          <w:lang w:val="es-CO"/>
        </w:rPr>
        <w:t xml:space="preserve">Argumentan que debido a la falta de un padrón consolidado de víctimas, algunos de esos inmuebles fueron invadidos por personas sin ningún tipo de relación con la tragedia. </w:t>
      </w:r>
      <w:r w:rsidR="00C93CA7" w:rsidRPr="008745C2">
        <w:rPr>
          <w:rFonts w:ascii="Cambria" w:hAnsi="Cambria"/>
          <w:sz w:val="20"/>
          <w:szCs w:val="20"/>
          <w:lang w:val="es-CO"/>
        </w:rPr>
        <w:t>Además s</w:t>
      </w:r>
      <w:r w:rsidR="00506EBE" w:rsidRPr="008745C2">
        <w:rPr>
          <w:rFonts w:ascii="Cambria" w:hAnsi="Cambria"/>
          <w:sz w:val="20"/>
          <w:szCs w:val="20"/>
          <w:lang w:val="es-CO"/>
        </w:rPr>
        <w:t>eñalan que</w:t>
      </w:r>
      <w:r w:rsidR="00621A47" w:rsidRPr="008745C2">
        <w:rPr>
          <w:rFonts w:ascii="Cambria" w:hAnsi="Cambria"/>
          <w:sz w:val="20"/>
          <w:szCs w:val="20"/>
          <w:lang w:val="es-CO"/>
        </w:rPr>
        <w:t xml:space="preserve"> </w:t>
      </w:r>
      <w:r w:rsidR="004E764F" w:rsidRPr="008745C2">
        <w:rPr>
          <w:rFonts w:ascii="Cambria" w:hAnsi="Cambria"/>
          <w:sz w:val="20"/>
          <w:szCs w:val="20"/>
          <w:lang w:val="es-CO"/>
        </w:rPr>
        <w:t>esta situación de desigualdad genera que una cantidad mayoritaria de víctimas se encuentren impedidas de acogerse a la muy limitada medida reparadora de la posesión de inmuebles</w:t>
      </w:r>
      <w:r w:rsidR="00070B05" w:rsidRPr="008745C2">
        <w:rPr>
          <w:rFonts w:ascii="Cambria" w:hAnsi="Cambria"/>
          <w:sz w:val="20"/>
          <w:szCs w:val="20"/>
          <w:lang w:val="es-CO"/>
        </w:rPr>
        <w:t>.</w:t>
      </w:r>
      <w:r w:rsidR="00D90B19">
        <w:rPr>
          <w:rFonts w:ascii="Cambria" w:hAnsi="Cambria"/>
          <w:sz w:val="20"/>
          <w:szCs w:val="20"/>
          <w:lang w:val="es-CO"/>
        </w:rPr>
        <w:t xml:space="preserve"> </w:t>
      </w:r>
    </w:p>
    <w:p w:rsidR="009270D4" w:rsidRDefault="007C22A3" w:rsidP="00FA3A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Cambria" w:hAnsi="Cambria"/>
          <w:sz w:val="20"/>
          <w:szCs w:val="20"/>
          <w:lang w:val="es-CO"/>
        </w:rPr>
      </w:pPr>
      <w:r>
        <w:rPr>
          <w:rFonts w:ascii="Cambria" w:hAnsi="Cambria"/>
          <w:sz w:val="20"/>
          <w:szCs w:val="20"/>
          <w:lang w:val="es-CO"/>
        </w:rPr>
        <w:t xml:space="preserve">Finalmente </w:t>
      </w:r>
      <w:r w:rsidR="00F67039">
        <w:rPr>
          <w:rFonts w:ascii="Cambria" w:hAnsi="Cambria"/>
          <w:sz w:val="20"/>
          <w:szCs w:val="20"/>
          <w:lang w:val="es-CO"/>
        </w:rPr>
        <w:t xml:space="preserve">alegan </w:t>
      </w:r>
      <w:r>
        <w:rPr>
          <w:rFonts w:ascii="Cambria" w:hAnsi="Cambria"/>
          <w:sz w:val="20"/>
          <w:szCs w:val="20"/>
          <w:lang w:val="es-CO"/>
        </w:rPr>
        <w:t xml:space="preserve">que la responsabilidad del Estado se configura por modificar irregularmente la decisión judicial, </w:t>
      </w:r>
      <w:r w:rsidR="00F67039">
        <w:rPr>
          <w:rFonts w:ascii="Cambria" w:hAnsi="Cambria"/>
          <w:sz w:val="20"/>
          <w:szCs w:val="20"/>
          <w:lang w:val="es-CO"/>
        </w:rPr>
        <w:t>fijando</w:t>
      </w:r>
      <w:r>
        <w:rPr>
          <w:rFonts w:ascii="Cambria" w:hAnsi="Cambria"/>
          <w:sz w:val="20"/>
          <w:szCs w:val="20"/>
          <w:lang w:val="es-CO"/>
        </w:rPr>
        <w:t xml:space="preserve"> un monto </w:t>
      </w:r>
      <w:r w:rsidR="00026AF1">
        <w:rPr>
          <w:rFonts w:ascii="Cambria" w:hAnsi="Cambria"/>
          <w:sz w:val="20"/>
          <w:szCs w:val="20"/>
          <w:lang w:val="es-CO"/>
        </w:rPr>
        <w:t xml:space="preserve">de reparación civil </w:t>
      </w:r>
      <w:r w:rsidR="004A0E37">
        <w:rPr>
          <w:rFonts w:ascii="Cambria" w:hAnsi="Cambria"/>
          <w:sz w:val="20"/>
          <w:szCs w:val="20"/>
          <w:lang w:val="es-CO"/>
        </w:rPr>
        <w:t>irrisoriamente</w:t>
      </w:r>
      <w:r>
        <w:rPr>
          <w:rFonts w:ascii="Cambria" w:hAnsi="Cambria"/>
          <w:sz w:val="20"/>
          <w:szCs w:val="20"/>
          <w:lang w:val="es-CO"/>
        </w:rPr>
        <w:t xml:space="preserve"> bajo</w:t>
      </w:r>
      <w:r w:rsidR="00026AF1">
        <w:rPr>
          <w:rFonts w:ascii="Cambria" w:hAnsi="Cambria"/>
          <w:sz w:val="20"/>
          <w:szCs w:val="20"/>
          <w:lang w:val="es-CO"/>
        </w:rPr>
        <w:t xml:space="preserve">, </w:t>
      </w:r>
      <w:r>
        <w:rPr>
          <w:rFonts w:ascii="Cambria" w:hAnsi="Cambria"/>
          <w:sz w:val="20"/>
          <w:szCs w:val="20"/>
          <w:lang w:val="es-CO"/>
        </w:rPr>
        <w:t>incompatible</w:t>
      </w:r>
      <w:r w:rsidR="004A0E37">
        <w:rPr>
          <w:rFonts w:ascii="Cambria" w:hAnsi="Cambria"/>
          <w:sz w:val="20"/>
          <w:szCs w:val="20"/>
          <w:lang w:val="es-CO"/>
        </w:rPr>
        <w:t xml:space="preserve"> con los estándares de derechos humanos</w:t>
      </w:r>
      <w:r w:rsidR="00F67039">
        <w:rPr>
          <w:rFonts w:ascii="Cambria" w:hAnsi="Cambria"/>
          <w:sz w:val="20"/>
          <w:szCs w:val="20"/>
          <w:lang w:val="es-CO"/>
        </w:rPr>
        <w:t xml:space="preserve">. Además, aducen que las autoridades han sido incapaces </w:t>
      </w:r>
      <w:r w:rsidR="004A0E37">
        <w:rPr>
          <w:rFonts w:ascii="Cambria" w:hAnsi="Cambria"/>
          <w:sz w:val="20"/>
          <w:szCs w:val="20"/>
          <w:lang w:val="es-CO"/>
        </w:rPr>
        <w:t>de ejecutar efectivamente el pago de dicha reparación civil</w:t>
      </w:r>
      <w:r w:rsidR="00F67039">
        <w:rPr>
          <w:rFonts w:ascii="Cambria" w:hAnsi="Cambria"/>
          <w:sz w:val="20"/>
          <w:szCs w:val="20"/>
          <w:lang w:val="es-CO"/>
        </w:rPr>
        <w:t>,</w:t>
      </w:r>
      <w:r w:rsidR="004A0E37">
        <w:rPr>
          <w:rFonts w:ascii="Cambria" w:hAnsi="Cambria"/>
          <w:sz w:val="20"/>
          <w:szCs w:val="20"/>
          <w:lang w:val="es-CO"/>
        </w:rPr>
        <w:t xml:space="preserve"> y</w:t>
      </w:r>
      <w:r w:rsidR="00F67039">
        <w:rPr>
          <w:rFonts w:ascii="Cambria" w:hAnsi="Cambria"/>
          <w:sz w:val="20"/>
          <w:szCs w:val="20"/>
          <w:lang w:val="es-CO"/>
        </w:rPr>
        <w:t xml:space="preserve">a que </w:t>
      </w:r>
      <w:r w:rsidR="00B628F1">
        <w:rPr>
          <w:rFonts w:ascii="Cambria" w:hAnsi="Cambria"/>
          <w:sz w:val="20"/>
          <w:szCs w:val="20"/>
          <w:lang w:val="es-CO"/>
        </w:rPr>
        <w:t xml:space="preserve">el </w:t>
      </w:r>
      <w:r w:rsidR="00452CAC">
        <w:rPr>
          <w:rFonts w:ascii="Cambria" w:hAnsi="Cambria"/>
          <w:sz w:val="20"/>
          <w:szCs w:val="20"/>
          <w:lang w:val="es-CO"/>
        </w:rPr>
        <w:t>Ministerio del Interior</w:t>
      </w:r>
      <w:r w:rsidR="004A0E37">
        <w:rPr>
          <w:rFonts w:ascii="Cambria" w:hAnsi="Cambria"/>
          <w:sz w:val="20"/>
          <w:szCs w:val="20"/>
          <w:lang w:val="es-CO"/>
        </w:rPr>
        <w:t xml:space="preserve"> </w:t>
      </w:r>
      <w:r w:rsidR="00F67039" w:rsidRPr="00F67039">
        <w:rPr>
          <w:rFonts w:ascii="Cambria" w:hAnsi="Cambria"/>
          <w:sz w:val="20"/>
          <w:szCs w:val="20"/>
          <w:lang w:val="es-CO"/>
        </w:rPr>
        <w:t xml:space="preserve"> </w:t>
      </w:r>
      <w:r w:rsidR="00F67039">
        <w:rPr>
          <w:rFonts w:ascii="Cambria" w:hAnsi="Cambria"/>
          <w:sz w:val="20"/>
          <w:szCs w:val="20"/>
          <w:lang w:val="es-CO"/>
        </w:rPr>
        <w:t xml:space="preserve">en su condición de tercero civilmente responsable, </w:t>
      </w:r>
      <w:r w:rsidR="004A0E37">
        <w:rPr>
          <w:rFonts w:ascii="Cambria" w:hAnsi="Cambria"/>
          <w:sz w:val="20"/>
          <w:szCs w:val="20"/>
          <w:lang w:val="es-CO"/>
        </w:rPr>
        <w:t xml:space="preserve">sigue incumpliendo su obligación de aportar </w:t>
      </w:r>
      <w:r w:rsidR="00F67039">
        <w:rPr>
          <w:rFonts w:ascii="Cambria" w:hAnsi="Cambria"/>
          <w:sz w:val="20"/>
          <w:szCs w:val="20"/>
          <w:lang w:val="es-CO"/>
        </w:rPr>
        <w:t>para realizar el</w:t>
      </w:r>
      <w:r w:rsidR="004A0E37">
        <w:rPr>
          <w:rFonts w:ascii="Cambria" w:hAnsi="Cambria"/>
          <w:sz w:val="20"/>
          <w:szCs w:val="20"/>
          <w:lang w:val="es-CO"/>
        </w:rPr>
        <w:t xml:space="preserve"> pago.</w:t>
      </w:r>
    </w:p>
    <w:p w:rsidR="005D7AA9" w:rsidRPr="000E7332" w:rsidRDefault="004A0E37" w:rsidP="000E73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Cambria" w:hAnsi="Cambria"/>
          <w:sz w:val="20"/>
          <w:szCs w:val="20"/>
          <w:lang w:val="es-CO"/>
        </w:rPr>
      </w:pPr>
      <w:r w:rsidRPr="000E7332">
        <w:rPr>
          <w:rFonts w:ascii="Cambria" w:hAnsi="Cambria"/>
          <w:sz w:val="20"/>
          <w:szCs w:val="20"/>
          <w:lang w:val="es-CO"/>
        </w:rPr>
        <w:t xml:space="preserve">Por </w:t>
      </w:r>
      <w:r w:rsidR="005A6EE9" w:rsidRPr="000E7332">
        <w:rPr>
          <w:rFonts w:ascii="Cambria" w:hAnsi="Cambria"/>
          <w:sz w:val="20"/>
          <w:szCs w:val="20"/>
          <w:lang w:val="es-CO"/>
        </w:rPr>
        <w:t>su parte</w:t>
      </w:r>
      <w:r w:rsidR="005C055F" w:rsidRPr="000E7332">
        <w:rPr>
          <w:rFonts w:ascii="Cambria" w:hAnsi="Cambria"/>
          <w:sz w:val="20"/>
          <w:szCs w:val="20"/>
          <w:lang w:val="es-CO"/>
        </w:rPr>
        <w:t>,</w:t>
      </w:r>
      <w:r w:rsidR="005A6EE9" w:rsidRPr="000E7332">
        <w:rPr>
          <w:rFonts w:ascii="Cambria" w:hAnsi="Cambria"/>
          <w:sz w:val="20"/>
          <w:szCs w:val="20"/>
          <w:lang w:val="es-CO"/>
        </w:rPr>
        <w:t xml:space="preserve"> el Estado señal</w:t>
      </w:r>
      <w:r w:rsidR="00A43ECD" w:rsidRPr="000E7332">
        <w:rPr>
          <w:rFonts w:ascii="Cambria" w:hAnsi="Cambria"/>
          <w:sz w:val="20"/>
          <w:szCs w:val="20"/>
          <w:lang w:val="es-CO"/>
        </w:rPr>
        <w:t>a</w:t>
      </w:r>
      <w:r w:rsidR="00253DC0" w:rsidRPr="000E7332">
        <w:rPr>
          <w:rFonts w:ascii="Cambria" w:hAnsi="Cambria"/>
          <w:sz w:val="20"/>
          <w:szCs w:val="20"/>
          <w:lang w:val="es-CO"/>
        </w:rPr>
        <w:t xml:space="preserve"> que </w:t>
      </w:r>
      <w:r w:rsidR="005A6EE9" w:rsidRPr="000E7332">
        <w:rPr>
          <w:rFonts w:ascii="Cambria" w:hAnsi="Cambria"/>
          <w:sz w:val="20"/>
          <w:szCs w:val="20"/>
          <w:lang w:val="es-CO"/>
        </w:rPr>
        <w:t>los peticionarios no agotaron eficazmente los recursos internos</w:t>
      </w:r>
      <w:r w:rsidR="00E35B7D">
        <w:rPr>
          <w:rFonts w:ascii="Cambria" w:hAnsi="Cambria"/>
          <w:sz w:val="20"/>
          <w:szCs w:val="20"/>
          <w:lang w:val="es-CO"/>
        </w:rPr>
        <w:t xml:space="preserve">. Sostiene que </w:t>
      </w:r>
      <w:r w:rsidR="005D7AA9" w:rsidRPr="000E7332">
        <w:rPr>
          <w:rFonts w:ascii="Cambria" w:hAnsi="Cambria"/>
          <w:sz w:val="20"/>
          <w:szCs w:val="20"/>
          <w:lang w:val="es-CO"/>
        </w:rPr>
        <w:t xml:space="preserve">en el marco del </w:t>
      </w:r>
      <w:r w:rsidR="005B7E6A" w:rsidRPr="000E7332">
        <w:rPr>
          <w:rFonts w:ascii="Cambria" w:hAnsi="Cambria"/>
          <w:sz w:val="20"/>
          <w:szCs w:val="20"/>
          <w:lang w:val="es-CO"/>
        </w:rPr>
        <w:t>primer proceso</w:t>
      </w:r>
      <w:r w:rsidR="005D7AA9" w:rsidRPr="000E7332">
        <w:rPr>
          <w:rFonts w:ascii="Cambria" w:hAnsi="Cambria"/>
          <w:sz w:val="20"/>
          <w:szCs w:val="20"/>
          <w:lang w:val="es-CO"/>
        </w:rPr>
        <w:t xml:space="preserve"> penal </w:t>
      </w:r>
      <w:r w:rsidR="005C055F" w:rsidRPr="000E7332">
        <w:rPr>
          <w:rFonts w:ascii="Cambria" w:hAnsi="Cambria"/>
          <w:sz w:val="20"/>
          <w:szCs w:val="20"/>
          <w:lang w:val="es-CO"/>
        </w:rPr>
        <w:t xml:space="preserve">no utilizaron </w:t>
      </w:r>
      <w:r w:rsidR="006E2117" w:rsidRPr="000E7332">
        <w:rPr>
          <w:rFonts w:ascii="Cambria" w:hAnsi="Cambria"/>
          <w:sz w:val="20"/>
          <w:szCs w:val="20"/>
          <w:lang w:val="es-CO"/>
        </w:rPr>
        <w:t xml:space="preserve">el recurso de nulidad, </w:t>
      </w:r>
      <w:r w:rsidR="000E66B2">
        <w:rPr>
          <w:rFonts w:ascii="Cambria" w:hAnsi="Cambria"/>
          <w:sz w:val="20"/>
          <w:szCs w:val="20"/>
          <w:lang w:val="es-CO"/>
        </w:rPr>
        <w:t>que debió interponerse a</w:t>
      </w:r>
      <w:r w:rsidR="006E2117" w:rsidRPr="000E7332">
        <w:rPr>
          <w:rFonts w:ascii="Cambria" w:hAnsi="Cambria"/>
          <w:sz w:val="20"/>
          <w:szCs w:val="20"/>
          <w:lang w:val="es-CO"/>
        </w:rPr>
        <w:t>l día siguiente de expedición y lectura de la sentencia o</w:t>
      </w:r>
      <w:r w:rsidR="000E66B2">
        <w:rPr>
          <w:rFonts w:ascii="Cambria" w:hAnsi="Cambria"/>
          <w:sz w:val="20"/>
          <w:szCs w:val="20"/>
          <w:lang w:val="es-CO"/>
        </w:rPr>
        <w:t xml:space="preserve"> de la</w:t>
      </w:r>
      <w:r w:rsidR="006E2117" w:rsidRPr="000E7332">
        <w:rPr>
          <w:rFonts w:ascii="Cambria" w:hAnsi="Cambria"/>
          <w:sz w:val="20"/>
          <w:szCs w:val="20"/>
          <w:lang w:val="es-CO"/>
        </w:rPr>
        <w:t xml:space="preserve"> notificación </w:t>
      </w:r>
      <w:r w:rsidR="000E7332" w:rsidRPr="000E7332">
        <w:rPr>
          <w:rFonts w:ascii="Cambria" w:hAnsi="Cambria"/>
          <w:sz w:val="20"/>
          <w:szCs w:val="20"/>
          <w:lang w:val="es-CO"/>
        </w:rPr>
        <w:t>del auto impugnado</w:t>
      </w:r>
      <w:r w:rsidR="005232BB">
        <w:rPr>
          <w:rFonts w:ascii="Cambria" w:hAnsi="Cambria"/>
          <w:sz w:val="20"/>
          <w:szCs w:val="20"/>
          <w:lang w:val="es-CO"/>
        </w:rPr>
        <w:t xml:space="preserve">. Refiere que </w:t>
      </w:r>
      <w:r w:rsidR="000E7332" w:rsidRPr="000E7332">
        <w:rPr>
          <w:rFonts w:ascii="Cambria" w:hAnsi="Cambria"/>
          <w:sz w:val="20"/>
          <w:szCs w:val="20"/>
          <w:lang w:val="es-CO"/>
        </w:rPr>
        <w:t xml:space="preserve"> ese fue el momento procesal oportuno para </w:t>
      </w:r>
      <w:r w:rsidR="005232BB">
        <w:rPr>
          <w:rFonts w:ascii="Cambria" w:hAnsi="Cambria"/>
          <w:sz w:val="20"/>
          <w:szCs w:val="20"/>
          <w:lang w:val="es-CO"/>
        </w:rPr>
        <w:t>cuestionar la indemnización. N</w:t>
      </w:r>
      <w:r w:rsidR="000E7332" w:rsidRPr="000E7332">
        <w:rPr>
          <w:rFonts w:ascii="Cambria" w:hAnsi="Cambria"/>
          <w:sz w:val="20"/>
          <w:szCs w:val="20"/>
          <w:lang w:val="es-CO"/>
        </w:rPr>
        <w:t>o obstante</w:t>
      </w:r>
      <w:r w:rsidR="005232BB">
        <w:rPr>
          <w:rFonts w:ascii="Cambria" w:hAnsi="Cambria"/>
          <w:sz w:val="20"/>
          <w:szCs w:val="20"/>
          <w:lang w:val="es-CO"/>
        </w:rPr>
        <w:t xml:space="preserve">, las presuntas víctimas </w:t>
      </w:r>
      <w:r w:rsidR="000E7332" w:rsidRPr="000E7332">
        <w:rPr>
          <w:rFonts w:ascii="Cambria" w:hAnsi="Cambria"/>
          <w:sz w:val="20"/>
          <w:szCs w:val="20"/>
          <w:lang w:val="es-CO"/>
        </w:rPr>
        <w:t xml:space="preserve">acudieron al recurso de aclaración que no se </w:t>
      </w:r>
      <w:r w:rsidR="00CE6DC4" w:rsidRPr="000E7332">
        <w:rPr>
          <w:rFonts w:ascii="Cambria" w:hAnsi="Cambria"/>
          <w:sz w:val="20"/>
          <w:szCs w:val="20"/>
          <w:lang w:val="es-CO"/>
        </w:rPr>
        <w:t>constituye</w:t>
      </w:r>
      <w:r w:rsidR="000E7332" w:rsidRPr="000E7332">
        <w:rPr>
          <w:rFonts w:ascii="Cambria" w:hAnsi="Cambria"/>
          <w:sz w:val="20"/>
          <w:szCs w:val="20"/>
          <w:lang w:val="es-CO"/>
        </w:rPr>
        <w:t xml:space="preserve"> en</w:t>
      </w:r>
      <w:r w:rsidR="00CE6DC4">
        <w:rPr>
          <w:rFonts w:ascii="Cambria" w:hAnsi="Cambria"/>
          <w:sz w:val="20"/>
          <w:szCs w:val="20"/>
          <w:lang w:val="es-CO"/>
        </w:rPr>
        <w:t xml:space="preserve"> </w:t>
      </w:r>
      <w:r w:rsidR="000E7332" w:rsidRPr="00CE6DC4">
        <w:rPr>
          <w:rFonts w:ascii="Cambria" w:hAnsi="Cambria"/>
          <w:sz w:val="20"/>
          <w:szCs w:val="20"/>
          <w:lang w:val="es-CO"/>
        </w:rPr>
        <w:t>un</w:t>
      </w:r>
      <w:r w:rsidR="00CE6DC4">
        <w:rPr>
          <w:rFonts w:ascii="Cambria" w:hAnsi="Cambria"/>
          <w:sz w:val="20"/>
          <w:szCs w:val="20"/>
          <w:lang w:val="es-CO"/>
        </w:rPr>
        <w:t xml:space="preserve"> </w:t>
      </w:r>
      <w:r w:rsidR="000E7332" w:rsidRPr="00CE6DC4">
        <w:rPr>
          <w:rFonts w:ascii="Cambria" w:hAnsi="Cambria"/>
          <w:sz w:val="20"/>
          <w:szCs w:val="20"/>
          <w:lang w:val="es-CO"/>
        </w:rPr>
        <w:t xml:space="preserve">medio </w:t>
      </w:r>
      <w:r w:rsidR="00CE6DC4" w:rsidRPr="00CE6DC4">
        <w:rPr>
          <w:rFonts w:ascii="Cambria" w:hAnsi="Cambria"/>
          <w:sz w:val="20"/>
          <w:szCs w:val="20"/>
          <w:lang w:val="es-CO"/>
        </w:rPr>
        <w:t>impugnatorio</w:t>
      </w:r>
      <w:r w:rsidR="00CE6DC4">
        <w:rPr>
          <w:rFonts w:ascii="Cambria" w:hAnsi="Cambria"/>
          <w:sz w:val="20"/>
          <w:szCs w:val="20"/>
          <w:lang w:val="es-CO"/>
        </w:rPr>
        <w:t xml:space="preserve"> como tal</w:t>
      </w:r>
      <w:r w:rsidR="000E7332" w:rsidRPr="00CE6DC4">
        <w:rPr>
          <w:rFonts w:ascii="Cambria" w:hAnsi="Cambria"/>
          <w:sz w:val="20"/>
          <w:szCs w:val="20"/>
          <w:lang w:val="es-CO"/>
        </w:rPr>
        <w:t>.</w:t>
      </w:r>
      <w:r w:rsidR="005B7E6A" w:rsidRPr="00CE6DC4">
        <w:rPr>
          <w:rFonts w:ascii="Cambria" w:hAnsi="Cambria"/>
          <w:sz w:val="20"/>
          <w:szCs w:val="20"/>
          <w:lang w:val="es-CO"/>
        </w:rPr>
        <w:t xml:space="preserve"> </w:t>
      </w:r>
      <w:r w:rsidR="005C055F" w:rsidRPr="00CE6DC4">
        <w:rPr>
          <w:rFonts w:ascii="Cambria" w:hAnsi="Cambria"/>
          <w:sz w:val="20"/>
          <w:szCs w:val="20"/>
          <w:lang w:val="es-CO"/>
        </w:rPr>
        <w:t>Sostiene que en e</w:t>
      </w:r>
      <w:r w:rsidR="005B7E6A" w:rsidRPr="00CE6DC4">
        <w:rPr>
          <w:rFonts w:ascii="Cambria" w:hAnsi="Cambria"/>
          <w:sz w:val="20"/>
          <w:szCs w:val="20"/>
          <w:lang w:val="es-CO"/>
        </w:rPr>
        <w:t>l segundo proceso penal</w:t>
      </w:r>
      <w:r w:rsidR="0089435B" w:rsidRPr="00CE6DC4">
        <w:rPr>
          <w:rFonts w:ascii="Cambria" w:hAnsi="Cambria"/>
          <w:sz w:val="20"/>
          <w:szCs w:val="20"/>
          <w:lang w:val="es-CO"/>
        </w:rPr>
        <w:t xml:space="preserve"> se </w:t>
      </w:r>
      <w:r w:rsidR="000704A1" w:rsidRPr="00CE6DC4">
        <w:rPr>
          <w:rFonts w:ascii="Cambria" w:hAnsi="Cambria"/>
          <w:sz w:val="20"/>
          <w:szCs w:val="20"/>
          <w:lang w:val="es-CO"/>
        </w:rPr>
        <w:t xml:space="preserve">encuentran </w:t>
      </w:r>
      <w:r w:rsidR="0089435B" w:rsidRPr="00CE6DC4">
        <w:rPr>
          <w:rFonts w:ascii="Cambria" w:hAnsi="Cambria"/>
          <w:sz w:val="20"/>
          <w:szCs w:val="20"/>
          <w:lang w:val="es-CO"/>
        </w:rPr>
        <w:t>inmers</w:t>
      </w:r>
      <w:r w:rsidR="005C055F" w:rsidRPr="000E7332">
        <w:rPr>
          <w:rFonts w:ascii="Cambria" w:hAnsi="Cambria"/>
          <w:sz w:val="20"/>
          <w:szCs w:val="20"/>
          <w:lang w:val="es-CO"/>
        </w:rPr>
        <w:t>a</w:t>
      </w:r>
      <w:r w:rsidR="0089435B" w:rsidRPr="000E7332">
        <w:rPr>
          <w:rFonts w:ascii="Cambria" w:hAnsi="Cambria"/>
          <w:sz w:val="20"/>
          <w:szCs w:val="20"/>
          <w:lang w:val="es-CO"/>
        </w:rPr>
        <w:t>s otras víctimas no identificadas en el primer proceso</w:t>
      </w:r>
      <w:r w:rsidR="000704A1" w:rsidRPr="000E7332">
        <w:rPr>
          <w:rFonts w:ascii="Cambria" w:hAnsi="Cambria"/>
          <w:sz w:val="20"/>
          <w:szCs w:val="20"/>
          <w:lang w:val="es-CO"/>
        </w:rPr>
        <w:t>. Asimismo</w:t>
      </w:r>
      <w:r w:rsidR="0089435B" w:rsidRPr="000E7332">
        <w:rPr>
          <w:rFonts w:ascii="Cambria" w:hAnsi="Cambria"/>
          <w:sz w:val="20"/>
          <w:szCs w:val="20"/>
          <w:lang w:val="es-CO"/>
        </w:rPr>
        <w:t xml:space="preserve">, </w:t>
      </w:r>
      <w:r w:rsidR="007C7300" w:rsidRPr="000E7332">
        <w:rPr>
          <w:rFonts w:ascii="Cambria" w:hAnsi="Cambria"/>
          <w:sz w:val="20"/>
          <w:szCs w:val="20"/>
          <w:lang w:val="es-CO"/>
        </w:rPr>
        <w:t xml:space="preserve">alega que los peticionarios </w:t>
      </w:r>
      <w:r w:rsidR="00546F71" w:rsidRPr="000E7332">
        <w:rPr>
          <w:rFonts w:ascii="Cambria" w:hAnsi="Cambria"/>
          <w:sz w:val="20"/>
          <w:szCs w:val="20"/>
          <w:lang w:val="es-CO"/>
        </w:rPr>
        <w:t xml:space="preserve">no agotaron los recursos internos pertinentes, pues </w:t>
      </w:r>
      <w:r w:rsidR="0089435B" w:rsidRPr="000E7332">
        <w:rPr>
          <w:rFonts w:ascii="Cambria" w:hAnsi="Cambria"/>
          <w:sz w:val="20"/>
          <w:szCs w:val="20"/>
          <w:lang w:val="es-CO"/>
        </w:rPr>
        <w:t>tenían expedita la vía civil</w:t>
      </w:r>
      <w:r w:rsidR="00546F71" w:rsidRPr="000E7332">
        <w:rPr>
          <w:rFonts w:ascii="Cambria" w:hAnsi="Cambria"/>
          <w:sz w:val="20"/>
          <w:szCs w:val="20"/>
          <w:lang w:val="es-CO"/>
        </w:rPr>
        <w:t>,</w:t>
      </w:r>
      <w:r w:rsidR="0089435B" w:rsidRPr="000E7332">
        <w:rPr>
          <w:rFonts w:ascii="Cambria" w:hAnsi="Cambria"/>
          <w:sz w:val="20"/>
          <w:szCs w:val="20"/>
          <w:lang w:val="es-CO"/>
        </w:rPr>
        <w:t xml:space="preserve"> a través de la cual pudieron impulsar la declaración judicial de muerte presunta o de ausencia</w:t>
      </w:r>
      <w:r w:rsidR="000704A1" w:rsidRPr="000E7332">
        <w:rPr>
          <w:rFonts w:ascii="Cambria" w:hAnsi="Cambria"/>
          <w:sz w:val="20"/>
          <w:szCs w:val="20"/>
          <w:lang w:val="es-CO"/>
        </w:rPr>
        <w:t xml:space="preserve">, y </w:t>
      </w:r>
      <w:r w:rsidR="0089435B" w:rsidRPr="000E7332">
        <w:rPr>
          <w:rFonts w:ascii="Cambria" w:hAnsi="Cambria"/>
          <w:sz w:val="20"/>
          <w:szCs w:val="20"/>
          <w:lang w:val="es-CO"/>
        </w:rPr>
        <w:t>no lo hicieron</w:t>
      </w:r>
      <w:r w:rsidR="00546F71" w:rsidRPr="000E7332">
        <w:rPr>
          <w:rFonts w:ascii="Cambria" w:hAnsi="Cambria"/>
          <w:sz w:val="20"/>
          <w:szCs w:val="20"/>
          <w:lang w:val="es-CO"/>
        </w:rPr>
        <w:t>.</w:t>
      </w:r>
    </w:p>
    <w:p w:rsidR="004E2C8A" w:rsidRPr="00070B05" w:rsidRDefault="006D02A7" w:rsidP="00FA3A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Cambria" w:hAnsi="Cambria"/>
          <w:sz w:val="20"/>
          <w:szCs w:val="20"/>
          <w:lang w:val="es-CO"/>
        </w:rPr>
      </w:pPr>
      <w:r w:rsidRPr="00070B05">
        <w:rPr>
          <w:rFonts w:ascii="Cambria" w:hAnsi="Cambria"/>
          <w:sz w:val="20"/>
          <w:szCs w:val="20"/>
          <w:lang w:val="es-CO"/>
        </w:rPr>
        <w:t>A</w:t>
      </w:r>
      <w:r w:rsidR="00A00506">
        <w:rPr>
          <w:rFonts w:ascii="Cambria" w:hAnsi="Cambria"/>
          <w:sz w:val="20"/>
          <w:szCs w:val="20"/>
          <w:lang w:val="es-CO"/>
        </w:rPr>
        <w:t>dicionalmente, a</w:t>
      </w:r>
      <w:r w:rsidRPr="00070B05">
        <w:rPr>
          <w:rFonts w:ascii="Cambria" w:hAnsi="Cambria"/>
          <w:sz w:val="20"/>
          <w:szCs w:val="20"/>
          <w:lang w:val="es-CO"/>
        </w:rPr>
        <w:t xml:space="preserve">lega </w:t>
      </w:r>
      <w:r w:rsidR="00546F71">
        <w:rPr>
          <w:rFonts w:ascii="Cambria" w:hAnsi="Cambria"/>
          <w:sz w:val="20"/>
          <w:szCs w:val="20"/>
          <w:lang w:val="es-CO"/>
        </w:rPr>
        <w:t xml:space="preserve">que la petición es extemporánea pues fue presentada después del </w:t>
      </w:r>
      <w:r w:rsidR="007C7300">
        <w:rPr>
          <w:rFonts w:ascii="Cambria" w:hAnsi="Cambria"/>
          <w:sz w:val="20"/>
          <w:szCs w:val="20"/>
          <w:lang w:val="es-CO"/>
        </w:rPr>
        <w:t>plazo de presentación de 6 meses a partir de  notificación de la última resolución en sede nacional</w:t>
      </w:r>
      <w:r w:rsidR="00546F71">
        <w:rPr>
          <w:rFonts w:ascii="Cambria" w:hAnsi="Cambria"/>
          <w:sz w:val="20"/>
          <w:szCs w:val="20"/>
          <w:lang w:val="es-CO"/>
        </w:rPr>
        <w:t>, que data de 2 de abril de 2009</w:t>
      </w:r>
      <w:r w:rsidR="00A00506">
        <w:rPr>
          <w:rFonts w:ascii="Cambria" w:hAnsi="Cambria"/>
          <w:sz w:val="20"/>
          <w:szCs w:val="20"/>
          <w:lang w:val="es-CO"/>
        </w:rPr>
        <w:t>. Por otro lado,</w:t>
      </w:r>
      <w:r w:rsidR="00D64281">
        <w:rPr>
          <w:rFonts w:ascii="Cambria" w:hAnsi="Cambria"/>
          <w:sz w:val="20"/>
          <w:szCs w:val="20"/>
          <w:lang w:val="es-CO"/>
        </w:rPr>
        <w:t xml:space="preserve"> afirma que los hechos denunciados no </w:t>
      </w:r>
      <w:r w:rsidR="000177D6" w:rsidRPr="00070B05">
        <w:rPr>
          <w:rFonts w:ascii="Cambria" w:hAnsi="Cambria"/>
          <w:sz w:val="20"/>
          <w:szCs w:val="20"/>
          <w:lang w:val="es-CO"/>
        </w:rPr>
        <w:t>configur</w:t>
      </w:r>
      <w:r w:rsidR="00D64281">
        <w:rPr>
          <w:rFonts w:ascii="Cambria" w:hAnsi="Cambria"/>
          <w:sz w:val="20"/>
          <w:szCs w:val="20"/>
          <w:lang w:val="es-CO"/>
        </w:rPr>
        <w:t>a</w:t>
      </w:r>
      <w:r w:rsidR="000177D6" w:rsidRPr="00070B05">
        <w:rPr>
          <w:rFonts w:ascii="Cambria" w:hAnsi="Cambria"/>
          <w:sz w:val="20"/>
          <w:szCs w:val="20"/>
          <w:lang w:val="es-CO"/>
        </w:rPr>
        <w:t xml:space="preserve">n </w:t>
      </w:r>
      <w:r w:rsidR="00D64281">
        <w:rPr>
          <w:rFonts w:ascii="Cambria" w:hAnsi="Cambria"/>
          <w:sz w:val="20"/>
          <w:szCs w:val="20"/>
          <w:lang w:val="es-CO"/>
        </w:rPr>
        <w:t xml:space="preserve">violaciones a </w:t>
      </w:r>
      <w:r w:rsidR="000177D6" w:rsidRPr="00070B05">
        <w:rPr>
          <w:rFonts w:ascii="Cambria" w:hAnsi="Cambria"/>
          <w:sz w:val="20"/>
          <w:szCs w:val="20"/>
          <w:lang w:val="es-CO"/>
        </w:rPr>
        <w:t xml:space="preserve">derechos </w:t>
      </w:r>
      <w:r w:rsidR="000177D6" w:rsidRPr="00070B05">
        <w:rPr>
          <w:rFonts w:ascii="Cambria" w:hAnsi="Cambria"/>
          <w:sz w:val="20"/>
          <w:szCs w:val="20"/>
          <w:lang w:val="es-CO"/>
        </w:rPr>
        <w:lastRenderedPageBreak/>
        <w:t xml:space="preserve">garantizados por </w:t>
      </w:r>
      <w:r w:rsidR="00D64281">
        <w:rPr>
          <w:rFonts w:ascii="Cambria" w:hAnsi="Cambria"/>
          <w:sz w:val="20"/>
          <w:szCs w:val="20"/>
          <w:lang w:val="es-CO"/>
        </w:rPr>
        <w:t>la Convención</w:t>
      </w:r>
      <w:r w:rsidR="000177D6" w:rsidRPr="00070B05">
        <w:rPr>
          <w:rFonts w:ascii="Cambria" w:hAnsi="Cambria"/>
          <w:sz w:val="20"/>
          <w:szCs w:val="20"/>
          <w:lang w:val="es-CO"/>
        </w:rPr>
        <w:t xml:space="preserve">, toda vez que se desarrolló un proceso penal con observancia de las garantías </w:t>
      </w:r>
      <w:r w:rsidR="00D64281">
        <w:rPr>
          <w:rFonts w:ascii="Cambria" w:hAnsi="Cambria"/>
          <w:sz w:val="20"/>
          <w:szCs w:val="20"/>
          <w:lang w:val="es-CO"/>
        </w:rPr>
        <w:t>judiciales</w:t>
      </w:r>
      <w:r w:rsidR="000177D6" w:rsidRPr="00070B05">
        <w:rPr>
          <w:rFonts w:ascii="Cambria" w:hAnsi="Cambria"/>
          <w:sz w:val="20"/>
          <w:szCs w:val="20"/>
          <w:lang w:val="es-CO"/>
        </w:rPr>
        <w:t xml:space="preserve"> que culminó con una sentencia firme</w:t>
      </w:r>
      <w:r w:rsidR="00D64281">
        <w:rPr>
          <w:rFonts w:ascii="Cambria" w:hAnsi="Cambria"/>
          <w:sz w:val="20"/>
          <w:szCs w:val="20"/>
          <w:lang w:val="es-CO"/>
        </w:rPr>
        <w:t xml:space="preserve">. Señala que </w:t>
      </w:r>
      <w:r w:rsidR="000177D6" w:rsidRPr="00070B05">
        <w:rPr>
          <w:rFonts w:ascii="Cambria" w:hAnsi="Cambria"/>
          <w:sz w:val="20"/>
          <w:szCs w:val="20"/>
          <w:lang w:val="es-CO"/>
        </w:rPr>
        <w:t xml:space="preserve">la inconformidad de los peticionarios no implica </w:t>
      </w:r>
      <w:r w:rsidR="00D64281">
        <w:rPr>
          <w:rFonts w:ascii="Cambria" w:hAnsi="Cambria"/>
          <w:sz w:val="20"/>
          <w:szCs w:val="20"/>
          <w:lang w:val="es-CO"/>
        </w:rPr>
        <w:t>una</w:t>
      </w:r>
      <w:r w:rsidR="000177D6" w:rsidRPr="00070B05">
        <w:rPr>
          <w:rFonts w:ascii="Cambria" w:hAnsi="Cambria"/>
          <w:sz w:val="20"/>
          <w:szCs w:val="20"/>
          <w:lang w:val="es-CO"/>
        </w:rPr>
        <w:t xml:space="preserve"> vulneración</w:t>
      </w:r>
      <w:r w:rsidR="00D64281">
        <w:rPr>
          <w:rFonts w:ascii="Cambria" w:hAnsi="Cambria"/>
          <w:sz w:val="20"/>
          <w:szCs w:val="20"/>
          <w:lang w:val="es-CO"/>
        </w:rPr>
        <w:t xml:space="preserve"> de</w:t>
      </w:r>
      <w:r w:rsidR="000177D6" w:rsidRPr="00070B05">
        <w:rPr>
          <w:rFonts w:ascii="Cambria" w:hAnsi="Cambria"/>
          <w:sz w:val="20"/>
          <w:szCs w:val="20"/>
          <w:lang w:val="es-CO"/>
        </w:rPr>
        <w:t xml:space="preserve"> derechos</w:t>
      </w:r>
      <w:r w:rsidR="00D64281">
        <w:rPr>
          <w:rFonts w:ascii="Cambria" w:hAnsi="Cambria"/>
          <w:sz w:val="20"/>
          <w:szCs w:val="20"/>
          <w:lang w:val="es-CO"/>
        </w:rPr>
        <w:t xml:space="preserve"> y por el contrario observa que éstos </w:t>
      </w:r>
      <w:r w:rsidR="00070B05">
        <w:rPr>
          <w:rFonts w:ascii="Cambria" w:hAnsi="Cambria"/>
          <w:sz w:val="20"/>
          <w:szCs w:val="20"/>
          <w:lang w:val="es-CO"/>
        </w:rPr>
        <w:t xml:space="preserve">pretenden </w:t>
      </w:r>
      <w:r w:rsidR="000177D6" w:rsidRPr="00070B05">
        <w:rPr>
          <w:rFonts w:ascii="Cambria" w:hAnsi="Cambria"/>
          <w:sz w:val="20"/>
          <w:szCs w:val="20"/>
          <w:lang w:val="es-CO"/>
        </w:rPr>
        <w:t xml:space="preserve">que la </w:t>
      </w:r>
      <w:r w:rsidR="00AA6356" w:rsidRPr="00070B05">
        <w:rPr>
          <w:rFonts w:ascii="Cambria" w:hAnsi="Cambria"/>
          <w:sz w:val="20"/>
          <w:szCs w:val="20"/>
          <w:lang w:val="es-CO"/>
        </w:rPr>
        <w:t>C</w:t>
      </w:r>
      <w:r w:rsidR="000177D6" w:rsidRPr="00070B05">
        <w:rPr>
          <w:rFonts w:ascii="Cambria" w:hAnsi="Cambria"/>
          <w:sz w:val="20"/>
          <w:szCs w:val="20"/>
          <w:lang w:val="es-CO"/>
        </w:rPr>
        <w:t xml:space="preserve">omisión revise </w:t>
      </w:r>
      <w:r w:rsidR="00AA6356" w:rsidRPr="00070B05">
        <w:rPr>
          <w:rFonts w:ascii="Cambria" w:hAnsi="Cambria"/>
          <w:sz w:val="20"/>
          <w:szCs w:val="20"/>
          <w:lang w:val="es-CO"/>
        </w:rPr>
        <w:t>una decisión de la</w:t>
      </w:r>
      <w:r w:rsidR="000177D6" w:rsidRPr="00070B05">
        <w:rPr>
          <w:rFonts w:ascii="Cambria" w:hAnsi="Cambria"/>
          <w:sz w:val="20"/>
          <w:szCs w:val="20"/>
          <w:lang w:val="es-CO"/>
        </w:rPr>
        <w:t xml:space="preserve"> jurisdicción interna asumiendo un rol</w:t>
      </w:r>
      <w:r w:rsidR="00AA6356" w:rsidRPr="00070B05">
        <w:rPr>
          <w:rFonts w:ascii="Cambria" w:hAnsi="Cambria"/>
          <w:sz w:val="20"/>
          <w:szCs w:val="20"/>
          <w:lang w:val="es-CO"/>
        </w:rPr>
        <w:t xml:space="preserve"> </w:t>
      </w:r>
      <w:r w:rsidR="000177D6" w:rsidRPr="00070B05">
        <w:rPr>
          <w:rFonts w:ascii="Cambria" w:hAnsi="Cambria"/>
          <w:sz w:val="20"/>
          <w:szCs w:val="20"/>
          <w:lang w:val="es-CO"/>
        </w:rPr>
        <w:t xml:space="preserve">de cuarta instancia que no le corresponde ni es conforme a sus competencias. </w:t>
      </w:r>
    </w:p>
    <w:p w:rsidR="00D73A18" w:rsidRPr="00AF2805" w:rsidRDefault="00D73A18" w:rsidP="00D73A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sz w:val="20"/>
          <w:szCs w:val="20"/>
          <w:lang w:val="es-CO"/>
        </w:rPr>
      </w:pPr>
      <w:r w:rsidRPr="00E77208">
        <w:rPr>
          <w:rFonts w:ascii="Cambria" w:hAnsi="Cambria"/>
          <w:sz w:val="20"/>
          <w:szCs w:val="20"/>
          <w:lang w:val="es-CO"/>
        </w:rPr>
        <w:t xml:space="preserve">Por último, refiere que </w:t>
      </w:r>
      <w:r w:rsidR="00C86A64">
        <w:rPr>
          <w:rFonts w:ascii="Cambria" w:hAnsi="Cambria"/>
          <w:sz w:val="20"/>
          <w:szCs w:val="20"/>
          <w:lang w:val="es-CO"/>
        </w:rPr>
        <w:t>el</w:t>
      </w:r>
      <w:r w:rsidR="00C86A64" w:rsidRPr="00E77208">
        <w:rPr>
          <w:rFonts w:ascii="Cambria" w:hAnsi="Cambria"/>
          <w:sz w:val="20"/>
          <w:szCs w:val="20"/>
          <w:lang w:val="es-CO"/>
        </w:rPr>
        <w:t xml:space="preserve"> listado </w:t>
      </w:r>
      <w:r w:rsidR="00C86A64">
        <w:rPr>
          <w:rFonts w:ascii="Cambria" w:hAnsi="Cambria"/>
          <w:sz w:val="20"/>
          <w:szCs w:val="20"/>
          <w:lang w:val="es-CO"/>
        </w:rPr>
        <w:t xml:space="preserve">de </w:t>
      </w:r>
      <w:r w:rsidRPr="00E77208">
        <w:rPr>
          <w:rFonts w:ascii="Cambria" w:hAnsi="Cambria"/>
          <w:sz w:val="20"/>
          <w:szCs w:val="20"/>
          <w:lang w:val="es-CO"/>
        </w:rPr>
        <w:t>las</w:t>
      </w:r>
      <w:r w:rsidR="00C86A64">
        <w:rPr>
          <w:rFonts w:ascii="Cambria" w:hAnsi="Cambria"/>
          <w:sz w:val="20"/>
          <w:szCs w:val="20"/>
          <w:lang w:val="es-CO"/>
        </w:rPr>
        <w:t xml:space="preserve"> presuntas </w:t>
      </w:r>
      <w:r w:rsidRPr="00E77208">
        <w:rPr>
          <w:rFonts w:ascii="Cambria" w:hAnsi="Cambria"/>
          <w:sz w:val="20"/>
          <w:szCs w:val="20"/>
          <w:lang w:val="es-CO"/>
        </w:rPr>
        <w:t xml:space="preserve">víctimas </w:t>
      </w:r>
      <w:r w:rsidR="001C12AC" w:rsidRPr="00E77208">
        <w:rPr>
          <w:rFonts w:ascii="Cambria" w:hAnsi="Cambria"/>
          <w:sz w:val="20"/>
          <w:szCs w:val="20"/>
          <w:lang w:val="es-CO"/>
        </w:rPr>
        <w:t>anex</w:t>
      </w:r>
      <w:r w:rsidR="00C86A64">
        <w:rPr>
          <w:rFonts w:ascii="Cambria" w:hAnsi="Cambria"/>
          <w:sz w:val="20"/>
          <w:szCs w:val="20"/>
          <w:lang w:val="es-CO"/>
        </w:rPr>
        <w:t>ado</w:t>
      </w:r>
      <w:r w:rsidR="001C12AC" w:rsidRPr="00E77208">
        <w:rPr>
          <w:rFonts w:ascii="Cambria" w:hAnsi="Cambria"/>
          <w:sz w:val="20"/>
          <w:szCs w:val="20"/>
          <w:lang w:val="es-CO"/>
        </w:rPr>
        <w:t xml:space="preserve"> a la petición es</w:t>
      </w:r>
      <w:r w:rsidRPr="00E77208">
        <w:rPr>
          <w:rFonts w:ascii="Cambria" w:hAnsi="Cambria"/>
          <w:sz w:val="20"/>
          <w:szCs w:val="20"/>
          <w:lang w:val="es-CO"/>
        </w:rPr>
        <w:t xml:space="preserve"> insuficiente</w:t>
      </w:r>
      <w:r w:rsidR="00C86A64">
        <w:rPr>
          <w:rFonts w:ascii="Cambria" w:hAnsi="Cambria"/>
          <w:sz w:val="20"/>
          <w:szCs w:val="20"/>
          <w:lang w:val="es-CO"/>
        </w:rPr>
        <w:t xml:space="preserve">. Ello porque la identificación de los </w:t>
      </w:r>
      <w:r w:rsidRPr="00E77208">
        <w:rPr>
          <w:rFonts w:ascii="Cambria" w:hAnsi="Cambria"/>
          <w:sz w:val="20"/>
          <w:szCs w:val="20"/>
          <w:lang w:val="es-CO"/>
        </w:rPr>
        <w:t>familiares de</w:t>
      </w:r>
      <w:r w:rsidR="001C12AC" w:rsidRPr="00E77208">
        <w:rPr>
          <w:rFonts w:ascii="Cambria" w:hAnsi="Cambria"/>
          <w:sz w:val="20"/>
          <w:szCs w:val="20"/>
          <w:lang w:val="es-CO"/>
        </w:rPr>
        <w:t xml:space="preserve"> </w:t>
      </w:r>
      <w:r w:rsidR="00C86A64">
        <w:rPr>
          <w:rFonts w:ascii="Cambria" w:hAnsi="Cambria"/>
          <w:sz w:val="20"/>
          <w:szCs w:val="20"/>
          <w:lang w:val="es-CO"/>
        </w:rPr>
        <w:t xml:space="preserve">las personas fallecidas, es </w:t>
      </w:r>
      <w:r w:rsidR="001C12AC" w:rsidRPr="00E77208">
        <w:rPr>
          <w:rFonts w:ascii="Cambria" w:hAnsi="Cambria"/>
          <w:sz w:val="20"/>
          <w:szCs w:val="20"/>
          <w:lang w:val="es-CO"/>
        </w:rPr>
        <w:t>general</w:t>
      </w:r>
      <w:r w:rsidR="007C3F85">
        <w:rPr>
          <w:rFonts w:ascii="Cambria" w:hAnsi="Cambria"/>
          <w:sz w:val="20"/>
          <w:szCs w:val="20"/>
          <w:lang w:val="es-CO"/>
        </w:rPr>
        <w:t xml:space="preserve"> y no</w:t>
      </w:r>
      <w:r w:rsidR="001C12AC" w:rsidRPr="00E77208">
        <w:rPr>
          <w:rFonts w:ascii="Cambria" w:hAnsi="Cambria"/>
          <w:sz w:val="20"/>
          <w:szCs w:val="20"/>
          <w:lang w:val="es-CO"/>
        </w:rPr>
        <w:t xml:space="preserve"> especifica</w:t>
      </w:r>
      <w:r w:rsidR="007C3F85">
        <w:rPr>
          <w:rFonts w:ascii="Cambria" w:hAnsi="Cambria"/>
          <w:sz w:val="20"/>
          <w:szCs w:val="20"/>
          <w:lang w:val="es-CO"/>
        </w:rPr>
        <w:t xml:space="preserve">, lo cual considera </w:t>
      </w:r>
      <w:r w:rsidR="001C12AC" w:rsidRPr="00E77208">
        <w:rPr>
          <w:rFonts w:ascii="Cambria" w:hAnsi="Cambria"/>
          <w:sz w:val="20"/>
          <w:szCs w:val="20"/>
          <w:lang w:val="es-CO"/>
        </w:rPr>
        <w:t xml:space="preserve">es importante a efectos de </w:t>
      </w:r>
      <w:r w:rsidR="007C3F85">
        <w:rPr>
          <w:rFonts w:ascii="Cambria" w:hAnsi="Cambria"/>
          <w:sz w:val="20"/>
          <w:szCs w:val="20"/>
          <w:lang w:val="es-CO"/>
        </w:rPr>
        <w:t>determinar</w:t>
      </w:r>
      <w:r w:rsidR="001C12AC" w:rsidRPr="00E77208">
        <w:rPr>
          <w:rFonts w:ascii="Cambria" w:hAnsi="Cambria"/>
          <w:sz w:val="20"/>
          <w:szCs w:val="20"/>
          <w:lang w:val="es-CO"/>
        </w:rPr>
        <w:t xml:space="preserve"> </w:t>
      </w:r>
      <w:r w:rsidR="007C3F85">
        <w:rPr>
          <w:rFonts w:ascii="Cambria" w:hAnsi="Cambria"/>
          <w:sz w:val="20"/>
          <w:szCs w:val="20"/>
          <w:lang w:val="es-CO"/>
        </w:rPr>
        <w:t>si sus casos</w:t>
      </w:r>
      <w:r w:rsidR="001C12AC" w:rsidRPr="00E77208">
        <w:rPr>
          <w:rFonts w:ascii="Cambria" w:hAnsi="Cambria"/>
          <w:sz w:val="20"/>
          <w:szCs w:val="20"/>
          <w:lang w:val="es-CO"/>
        </w:rPr>
        <w:t xml:space="preserve"> fueron materia de pronunciamiento judicial interno</w:t>
      </w:r>
      <w:r w:rsidR="001C12AC" w:rsidRPr="00AF2805">
        <w:rPr>
          <w:rFonts w:asciiTheme="majorHAnsi" w:hAnsiTheme="majorHAnsi"/>
          <w:sz w:val="20"/>
          <w:szCs w:val="20"/>
          <w:lang w:val="es-CO"/>
        </w:rPr>
        <w:t>.</w:t>
      </w:r>
    </w:p>
    <w:p w:rsidR="003239B8" w:rsidRPr="00AF2805" w:rsidRDefault="003239B8" w:rsidP="003A59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Cambria" w:hAnsiTheme="majorHAnsi" w:cs="Cambria"/>
          <w:b/>
          <w:bCs/>
          <w:color w:val="000000"/>
          <w:sz w:val="20"/>
          <w:szCs w:val="20"/>
          <w:u w:color="000000"/>
          <w:lang w:val="es-ES" w:eastAsia="es-ES"/>
        </w:rPr>
      </w:pPr>
      <w:r w:rsidRPr="00AF2805">
        <w:rPr>
          <w:rFonts w:asciiTheme="majorHAnsi" w:eastAsia="Cambria" w:hAnsiTheme="majorHAnsi" w:cs="Cambria"/>
          <w:b/>
          <w:bCs/>
          <w:color w:val="000000"/>
          <w:sz w:val="20"/>
          <w:szCs w:val="20"/>
          <w:u w:color="000000"/>
          <w:lang w:val="es-ES" w:eastAsia="es-ES"/>
        </w:rPr>
        <w:t>VI.</w:t>
      </w:r>
      <w:r w:rsidRPr="00AF2805">
        <w:rPr>
          <w:rFonts w:asciiTheme="majorHAnsi" w:eastAsia="Cambria" w:hAnsiTheme="majorHAnsi" w:cs="Cambria"/>
          <w:b/>
          <w:bCs/>
          <w:color w:val="000000"/>
          <w:sz w:val="20"/>
          <w:szCs w:val="20"/>
          <w:u w:color="000000"/>
          <w:lang w:val="es-ES" w:eastAsia="es-ES"/>
        </w:rPr>
        <w:tab/>
      </w:r>
      <w:r w:rsidR="004A6A54" w:rsidRPr="00AF2805">
        <w:rPr>
          <w:rFonts w:asciiTheme="majorHAnsi" w:hAnsiTheme="majorHAnsi"/>
          <w:b/>
          <w:bCs/>
          <w:sz w:val="20"/>
          <w:szCs w:val="20"/>
          <w:lang w:val="es-ES_tradnl"/>
        </w:rPr>
        <w:t xml:space="preserve">ANÁLISIS DE </w:t>
      </w:r>
      <w:r w:rsidR="00C21FEF" w:rsidRPr="00AF2805">
        <w:rPr>
          <w:rFonts w:asciiTheme="majorHAnsi" w:hAnsiTheme="majorHAnsi"/>
          <w:b/>
          <w:sz w:val="20"/>
          <w:szCs w:val="20"/>
          <w:lang w:val="es-ES"/>
        </w:rPr>
        <w:t>AGOTAMIENTO DE LOS RECURSOS INTERNOS Y PLAZO DE PRESENTACIÓN</w:t>
      </w:r>
      <w:r w:rsidR="00C21FEF" w:rsidRPr="00AF2805">
        <w:rPr>
          <w:rFonts w:asciiTheme="majorHAnsi" w:eastAsia="Cambria" w:hAnsiTheme="majorHAnsi" w:cs="Cambria"/>
          <w:b/>
          <w:bCs/>
          <w:color w:val="000000"/>
          <w:sz w:val="20"/>
          <w:szCs w:val="20"/>
          <w:u w:color="000000"/>
          <w:lang w:val="es-ES" w:eastAsia="es-ES"/>
        </w:rPr>
        <w:t xml:space="preserve"> </w:t>
      </w:r>
    </w:p>
    <w:p w:rsidR="002C27D8" w:rsidRPr="00AF2805" w:rsidRDefault="002C27D8" w:rsidP="001725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p>
    <w:p w:rsidR="00E52863" w:rsidRPr="00AF2805" w:rsidRDefault="007C3F85" w:rsidP="00E70B0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Los peticionarios</w:t>
      </w:r>
      <w:r w:rsidR="00CC061F" w:rsidRPr="00AF2805">
        <w:rPr>
          <w:rFonts w:asciiTheme="majorHAnsi" w:hAnsiTheme="majorHAnsi"/>
          <w:sz w:val="20"/>
          <w:szCs w:val="20"/>
          <w:lang w:val="es-ES"/>
        </w:rPr>
        <w:t xml:space="preserve"> manifiesta</w:t>
      </w:r>
      <w:r>
        <w:rPr>
          <w:rFonts w:asciiTheme="majorHAnsi" w:hAnsiTheme="majorHAnsi"/>
          <w:sz w:val="20"/>
          <w:szCs w:val="20"/>
          <w:lang w:val="es-ES"/>
        </w:rPr>
        <w:t>n</w:t>
      </w:r>
      <w:r w:rsidR="00CC061F" w:rsidRPr="00AF2805">
        <w:rPr>
          <w:rFonts w:asciiTheme="majorHAnsi" w:hAnsiTheme="majorHAnsi"/>
          <w:sz w:val="20"/>
          <w:szCs w:val="20"/>
          <w:lang w:val="es-ES"/>
        </w:rPr>
        <w:t xml:space="preserve"> que </w:t>
      </w:r>
      <w:r w:rsidR="00C6008E">
        <w:rPr>
          <w:rFonts w:asciiTheme="majorHAnsi" w:hAnsiTheme="majorHAnsi"/>
          <w:sz w:val="20"/>
          <w:szCs w:val="20"/>
          <w:lang w:val="es-ES"/>
        </w:rPr>
        <w:t>los procesos penales desarrollados por los hechos</w:t>
      </w:r>
      <w:r w:rsidR="00EF4997" w:rsidRPr="00AF2805">
        <w:rPr>
          <w:rFonts w:asciiTheme="majorHAnsi" w:hAnsiTheme="majorHAnsi"/>
          <w:sz w:val="20"/>
          <w:szCs w:val="20"/>
          <w:lang w:val="es-ES"/>
        </w:rPr>
        <w:t xml:space="preserve"> </w:t>
      </w:r>
      <w:r w:rsidR="003F43C8" w:rsidRPr="00AF2805">
        <w:rPr>
          <w:rFonts w:asciiTheme="majorHAnsi" w:hAnsiTheme="majorHAnsi"/>
          <w:sz w:val="20"/>
          <w:szCs w:val="20"/>
          <w:lang w:val="es-ES"/>
        </w:rPr>
        <w:t>excedi</w:t>
      </w:r>
      <w:r w:rsidR="00C6008E">
        <w:rPr>
          <w:rFonts w:asciiTheme="majorHAnsi" w:hAnsiTheme="majorHAnsi"/>
          <w:sz w:val="20"/>
          <w:szCs w:val="20"/>
          <w:lang w:val="es-ES"/>
        </w:rPr>
        <w:t>eron</w:t>
      </w:r>
      <w:r w:rsidR="00EF4997" w:rsidRPr="00AF2805">
        <w:rPr>
          <w:rFonts w:asciiTheme="majorHAnsi" w:hAnsiTheme="majorHAnsi"/>
          <w:sz w:val="20"/>
          <w:szCs w:val="20"/>
          <w:lang w:val="es-ES"/>
        </w:rPr>
        <w:t xml:space="preserve"> el plazo razonable</w:t>
      </w:r>
      <w:r w:rsidR="00C6008E">
        <w:rPr>
          <w:rFonts w:asciiTheme="majorHAnsi" w:hAnsiTheme="majorHAnsi"/>
          <w:sz w:val="20"/>
          <w:szCs w:val="20"/>
          <w:lang w:val="es-ES"/>
        </w:rPr>
        <w:t xml:space="preserve"> y que hasta el momento no han sido sancionados todos</w:t>
      </w:r>
      <w:r w:rsidR="003B1529" w:rsidRPr="00AF2805">
        <w:rPr>
          <w:rFonts w:asciiTheme="majorHAnsi" w:hAnsiTheme="majorHAnsi"/>
          <w:sz w:val="20"/>
          <w:szCs w:val="20"/>
          <w:lang w:val="es-ES"/>
        </w:rPr>
        <w:t xml:space="preserve"> los responsables</w:t>
      </w:r>
      <w:r w:rsidR="00EF4997" w:rsidRPr="00AF2805">
        <w:rPr>
          <w:rFonts w:asciiTheme="majorHAnsi" w:hAnsiTheme="majorHAnsi"/>
          <w:sz w:val="20"/>
          <w:szCs w:val="20"/>
          <w:lang w:val="es-ES"/>
        </w:rPr>
        <w:t>.</w:t>
      </w:r>
      <w:r w:rsidR="0084799E" w:rsidRPr="00AF2805">
        <w:rPr>
          <w:rFonts w:asciiTheme="majorHAnsi" w:hAnsiTheme="majorHAnsi"/>
          <w:sz w:val="20"/>
          <w:szCs w:val="20"/>
          <w:lang w:val="es-ES"/>
        </w:rPr>
        <w:t xml:space="preserve"> I</w:t>
      </w:r>
      <w:r w:rsidR="00DB31C3" w:rsidRPr="00AF2805">
        <w:rPr>
          <w:rFonts w:asciiTheme="majorHAnsi" w:hAnsiTheme="majorHAnsi"/>
          <w:sz w:val="20"/>
          <w:szCs w:val="20"/>
          <w:lang w:val="es-ES"/>
        </w:rPr>
        <w:t>ndica</w:t>
      </w:r>
      <w:r w:rsidR="00092F36">
        <w:rPr>
          <w:rFonts w:asciiTheme="majorHAnsi" w:hAnsiTheme="majorHAnsi"/>
          <w:sz w:val="20"/>
          <w:szCs w:val="20"/>
          <w:lang w:val="es-ES"/>
        </w:rPr>
        <w:t xml:space="preserve">n que </w:t>
      </w:r>
      <w:r w:rsidR="00092F36" w:rsidRPr="00AF2805">
        <w:rPr>
          <w:rFonts w:asciiTheme="majorHAnsi" w:hAnsiTheme="majorHAnsi"/>
          <w:sz w:val="20"/>
          <w:szCs w:val="20"/>
          <w:lang w:val="es-ES"/>
        </w:rPr>
        <w:t>el primer proceso penal</w:t>
      </w:r>
      <w:r w:rsidR="00092F36">
        <w:rPr>
          <w:rFonts w:asciiTheme="majorHAnsi" w:hAnsiTheme="majorHAnsi"/>
          <w:sz w:val="20"/>
          <w:szCs w:val="20"/>
          <w:lang w:val="es-ES"/>
        </w:rPr>
        <w:t xml:space="preserve"> fue ineficaz, se desarrolló vulnerando e</w:t>
      </w:r>
      <w:r w:rsidR="00092F36" w:rsidRPr="00AF2805">
        <w:rPr>
          <w:rFonts w:asciiTheme="majorHAnsi" w:hAnsiTheme="majorHAnsi"/>
          <w:sz w:val="20"/>
          <w:szCs w:val="20"/>
          <w:lang w:val="es-ES"/>
        </w:rPr>
        <w:t>l debido proceso</w:t>
      </w:r>
      <w:r w:rsidR="00092F36">
        <w:rPr>
          <w:rFonts w:asciiTheme="majorHAnsi" w:hAnsiTheme="majorHAnsi"/>
          <w:sz w:val="20"/>
          <w:szCs w:val="20"/>
          <w:lang w:val="es-ES"/>
        </w:rPr>
        <w:t xml:space="preserve"> y</w:t>
      </w:r>
      <w:r w:rsidR="005F66D3">
        <w:rPr>
          <w:rFonts w:asciiTheme="majorHAnsi" w:hAnsiTheme="majorHAnsi"/>
          <w:sz w:val="20"/>
          <w:szCs w:val="20"/>
          <w:lang w:val="es-ES"/>
        </w:rPr>
        <w:t xml:space="preserve"> que</w:t>
      </w:r>
      <w:r w:rsidR="00092F36">
        <w:rPr>
          <w:rFonts w:asciiTheme="majorHAnsi" w:hAnsiTheme="majorHAnsi"/>
          <w:sz w:val="20"/>
          <w:szCs w:val="20"/>
          <w:lang w:val="es-ES"/>
        </w:rPr>
        <w:t xml:space="preserve"> la</w:t>
      </w:r>
      <w:r w:rsidR="00092F36" w:rsidRPr="00AF2805">
        <w:rPr>
          <w:rFonts w:asciiTheme="majorHAnsi" w:hAnsiTheme="majorHAnsi"/>
          <w:sz w:val="20"/>
          <w:szCs w:val="20"/>
          <w:lang w:val="es-ES"/>
        </w:rPr>
        <w:t xml:space="preserve"> sentencia aún no </w:t>
      </w:r>
      <w:r w:rsidR="00092F36">
        <w:rPr>
          <w:rFonts w:asciiTheme="majorHAnsi" w:hAnsiTheme="majorHAnsi"/>
          <w:sz w:val="20"/>
          <w:szCs w:val="20"/>
          <w:lang w:val="es-ES"/>
        </w:rPr>
        <w:t>ha sido</w:t>
      </w:r>
      <w:r w:rsidR="00092F36" w:rsidRPr="00AF2805">
        <w:rPr>
          <w:rFonts w:asciiTheme="majorHAnsi" w:hAnsiTheme="majorHAnsi"/>
          <w:sz w:val="20"/>
          <w:szCs w:val="20"/>
          <w:lang w:val="es-ES"/>
        </w:rPr>
        <w:t xml:space="preserve"> ejecutada</w:t>
      </w:r>
      <w:r w:rsidR="00092F36">
        <w:rPr>
          <w:rFonts w:asciiTheme="majorHAnsi" w:hAnsiTheme="majorHAnsi"/>
          <w:sz w:val="20"/>
          <w:szCs w:val="20"/>
          <w:lang w:val="es-ES"/>
        </w:rPr>
        <w:t xml:space="preserve">. </w:t>
      </w:r>
      <w:r w:rsidR="005F66D3">
        <w:rPr>
          <w:rFonts w:asciiTheme="majorHAnsi" w:hAnsiTheme="majorHAnsi"/>
          <w:sz w:val="20"/>
          <w:szCs w:val="20"/>
          <w:lang w:val="es-ES"/>
        </w:rPr>
        <w:t xml:space="preserve">Asimismo, refieren que </w:t>
      </w:r>
      <w:r w:rsidR="008B1D8D" w:rsidRPr="00AF2805">
        <w:rPr>
          <w:rFonts w:asciiTheme="majorHAnsi" w:hAnsiTheme="majorHAnsi"/>
          <w:sz w:val="20"/>
          <w:szCs w:val="20"/>
          <w:lang w:val="es-ES"/>
        </w:rPr>
        <w:t xml:space="preserve">el segundo proceso penal </w:t>
      </w:r>
      <w:r w:rsidR="005F66D3">
        <w:rPr>
          <w:rFonts w:asciiTheme="majorHAnsi" w:hAnsiTheme="majorHAnsi"/>
          <w:sz w:val="20"/>
          <w:szCs w:val="20"/>
          <w:lang w:val="es-ES"/>
        </w:rPr>
        <w:t xml:space="preserve">aún se encuentra en trámite esperando actuaciones de </w:t>
      </w:r>
      <w:r w:rsidR="008B1D8D" w:rsidRPr="00AF2805">
        <w:rPr>
          <w:rFonts w:asciiTheme="majorHAnsi" w:hAnsiTheme="majorHAnsi"/>
          <w:sz w:val="20"/>
          <w:szCs w:val="20"/>
          <w:lang w:val="es-ES"/>
        </w:rPr>
        <w:t>la Fiscal</w:t>
      </w:r>
      <w:r w:rsidR="006A1F29" w:rsidRPr="00AF2805">
        <w:rPr>
          <w:rFonts w:asciiTheme="majorHAnsi" w:hAnsiTheme="majorHAnsi"/>
          <w:sz w:val="20"/>
          <w:szCs w:val="20"/>
          <w:lang w:val="es-ES"/>
        </w:rPr>
        <w:t>ía Provincial de Lima</w:t>
      </w:r>
      <w:r w:rsidR="005F66D3">
        <w:rPr>
          <w:rFonts w:asciiTheme="majorHAnsi" w:hAnsiTheme="majorHAnsi"/>
          <w:sz w:val="20"/>
          <w:szCs w:val="20"/>
          <w:lang w:val="es-ES"/>
        </w:rPr>
        <w:t xml:space="preserve">. </w:t>
      </w:r>
      <w:r w:rsidR="00046240" w:rsidRPr="00AF2805">
        <w:rPr>
          <w:rFonts w:asciiTheme="majorHAnsi" w:hAnsiTheme="majorHAnsi"/>
          <w:sz w:val="20"/>
          <w:szCs w:val="20"/>
          <w:lang w:val="es-ES"/>
        </w:rPr>
        <w:t>Por su parte</w:t>
      </w:r>
      <w:r w:rsidR="005F66D3">
        <w:rPr>
          <w:rFonts w:asciiTheme="majorHAnsi" w:hAnsiTheme="majorHAnsi"/>
          <w:sz w:val="20"/>
          <w:szCs w:val="20"/>
          <w:lang w:val="es-ES"/>
        </w:rPr>
        <w:t>,</w:t>
      </w:r>
      <w:r w:rsidR="00046240" w:rsidRPr="00AF2805">
        <w:rPr>
          <w:rFonts w:asciiTheme="majorHAnsi" w:hAnsiTheme="majorHAnsi"/>
          <w:sz w:val="20"/>
          <w:szCs w:val="20"/>
          <w:lang w:val="es-ES"/>
        </w:rPr>
        <w:t xml:space="preserve"> el Estado </w:t>
      </w:r>
      <w:r w:rsidR="00A61F5B" w:rsidRPr="00AF2805">
        <w:rPr>
          <w:rFonts w:asciiTheme="majorHAnsi" w:hAnsiTheme="majorHAnsi"/>
          <w:sz w:val="20"/>
          <w:szCs w:val="20"/>
          <w:lang w:val="es-ES"/>
        </w:rPr>
        <w:t>indica que</w:t>
      </w:r>
      <w:r w:rsidR="00341217" w:rsidRPr="00AF2805">
        <w:rPr>
          <w:rFonts w:asciiTheme="majorHAnsi" w:hAnsiTheme="majorHAnsi"/>
          <w:sz w:val="20"/>
          <w:szCs w:val="20"/>
          <w:lang w:val="es-ES"/>
        </w:rPr>
        <w:t xml:space="preserve"> </w:t>
      </w:r>
      <w:r w:rsidR="00096731">
        <w:rPr>
          <w:rFonts w:asciiTheme="majorHAnsi" w:hAnsiTheme="majorHAnsi"/>
          <w:sz w:val="20"/>
          <w:szCs w:val="20"/>
          <w:lang w:val="es-ES"/>
        </w:rPr>
        <w:t xml:space="preserve">las presuntas víctimas </w:t>
      </w:r>
      <w:r w:rsidR="00BB75D9" w:rsidRPr="00AF2805">
        <w:rPr>
          <w:rFonts w:asciiTheme="majorHAnsi" w:hAnsiTheme="majorHAnsi"/>
          <w:sz w:val="20"/>
          <w:szCs w:val="20"/>
          <w:lang w:val="es-ES"/>
        </w:rPr>
        <w:t>no agot</w:t>
      </w:r>
      <w:r w:rsidR="00096731">
        <w:rPr>
          <w:rFonts w:asciiTheme="majorHAnsi" w:hAnsiTheme="majorHAnsi"/>
          <w:sz w:val="20"/>
          <w:szCs w:val="20"/>
          <w:lang w:val="es-ES"/>
        </w:rPr>
        <w:t>aron el recurso de nulidad en el primer proceso penal y que el segundo proceso penal</w:t>
      </w:r>
      <w:r w:rsidR="00096731" w:rsidRPr="00096731">
        <w:rPr>
          <w:rFonts w:asciiTheme="majorHAnsi" w:hAnsiTheme="majorHAnsi"/>
          <w:sz w:val="20"/>
          <w:szCs w:val="20"/>
          <w:lang w:val="es-ES"/>
        </w:rPr>
        <w:t xml:space="preserve"> </w:t>
      </w:r>
      <w:r w:rsidR="00096731">
        <w:rPr>
          <w:rFonts w:asciiTheme="majorHAnsi" w:hAnsiTheme="majorHAnsi"/>
          <w:sz w:val="20"/>
          <w:szCs w:val="20"/>
          <w:lang w:val="es-ES"/>
        </w:rPr>
        <w:t>aún está pendiente de resolución. Adicionalmente, plantea que la petición es extemporánea</w:t>
      </w:r>
      <w:r w:rsidR="00D02500">
        <w:rPr>
          <w:rFonts w:asciiTheme="majorHAnsi" w:hAnsiTheme="majorHAnsi"/>
          <w:sz w:val="20"/>
          <w:szCs w:val="20"/>
          <w:lang w:val="es-ES"/>
        </w:rPr>
        <w:t xml:space="preserve">, pues la </w:t>
      </w:r>
      <w:r w:rsidR="00A61F5B" w:rsidRPr="00AF2805">
        <w:rPr>
          <w:rFonts w:asciiTheme="majorHAnsi" w:hAnsiTheme="majorHAnsi"/>
          <w:sz w:val="20"/>
          <w:szCs w:val="20"/>
          <w:lang w:val="es-ES"/>
        </w:rPr>
        <w:t xml:space="preserve"> Ejecutoria Suprema de 27 de agosto de 2008 fue n</w:t>
      </w:r>
      <w:r w:rsidR="00285586" w:rsidRPr="00AF2805">
        <w:rPr>
          <w:rFonts w:asciiTheme="majorHAnsi" w:hAnsiTheme="majorHAnsi"/>
          <w:sz w:val="20"/>
          <w:szCs w:val="20"/>
          <w:lang w:val="es-ES"/>
        </w:rPr>
        <w:t>otificada el 2 de abril de 2009</w:t>
      </w:r>
      <w:r w:rsidR="00D02500">
        <w:rPr>
          <w:rFonts w:asciiTheme="majorHAnsi" w:hAnsiTheme="majorHAnsi"/>
          <w:sz w:val="20"/>
          <w:szCs w:val="20"/>
          <w:lang w:val="es-ES"/>
        </w:rPr>
        <w:t xml:space="preserve"> y la petición presentada el 1 de abril de 2010.</w:t>
      </w:r>
    </w:p>
    <w:p w:rsidR="00376502" w:rsidRPr="008745C2" w:rsidRDefault="00376502" w:rsidP="007F1A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7F1A56">
        <w:rPr>
          <w:rFonts w:asciiTheme="majorHAnsi" w:hAnsiTheme="majorHAnsi"/>
          <w:sz w:val="20"/>
          <w:szCs w:val="20"/>
          <w:lang w:val="es-ES"/>
        </w:rPr>
        <w:t>L</w:t>
      </w:r>
      <w:r w:rsidR="00C01EBD" w:rsidRPr="007F1A56">
        <w:rPr>
          <w:rFonts w:asciiTheme="majorHAnsi" w:hAnsiTheme="majorHAnsi"/>
          <w:sz w:val="20"/>
          <w:szCs w:val="20"/>
          <w:lang w:val="es-ES"/>
        </w:rPr>
        <w:t xml:space="preserve">a Comisión </w:t>
      </w:r>
      <w:r w:rsidRPr="007F1A56">
        <w:rPr>
          <w:rFonts w:asciiTheme="majorHAnsi" w:hAnsiTheme="majorHAnsi"/>
          <w:sz w:val="20"/>
          <w:szCs w:val="20"/>
          <w:lang w:val="es-ES"/>
        </w:rPr>
        <w:t xml:space="preserve">observa que  en el presente caso, </w:t>
      </w:r>
      <w:r w:rsidR="00C01EBD" w:rsidRPr="007F1A56">
        <w:rPr>
          <w:rFonts w:asciiTheme="majorHAnsi" w:hAnsiTheme="majorHAnsi"/>
          <w:sz w:val="20"/>
          <w:szCs w:val="20"/>
          <w:lang w:val="es-ES"/>
        </w:rPr>
        <w:t>las investigaciones realizadas por el Ministerio Público</w:t>
      </w:r>
      <w:r w:rsidRPr="007F1A56">
        <w:rPr>
          <w:rFonts w:asciiTheme="majorHAnsi" w:hAnsiTheme="majorHAnsi"/>
          <w:sz w:val="20"/>
          <w:szCs w:val="20"/>
          <w:lang w:val="es-ES"/>
        </w:rPr>
        <w:t>,</w:t>
      </w:r>
      <w:r w:rsidR="00BC4064" w:rsidRPr="007F1A56">
        <w:rPr>
          <w:rFonts w:asciiTheme="majorHAnsi" w:hAnsiTheme="majorHAnsi"/>
          <w:sz w:val="20"/>
          <w:szCs w:val="20"/>
          <w:lang w:val="es-ES"/>
        </w:rPr>
        <w:t xml:space="preserve"> en el marco del primer proceso penal</w:t>
      </w:r>
      <w:r w:rsidR="00F458B1" w:rsidRPr="007F1A56">
        <w:rPr>
          <w:rFonts w:asciiTheme="majorHAnsi" w:hAnsiTheme="majorHAnsi"/>
          <w:sz w:val="20"/>
          <w:szCs w:val="20"/>
          <w:lang w:val="es-ES"/>
        </w:rPr>
        <w:t>,</w:t>
      </w:r>
      <w:r w:rsidR="00BC4064" w:rsidRPr="007F1A56">
        <w:rPr>
          <w:rFonts w:asciiTheme="majorHAnsi" w:hAnsiTheme="majorHAnsi"/>
          <w:sz w:val="20"/>
          <w:szCs w:val="20"/>
          <w:lang w:val="es-ES"/>
        </w:rPr>
        <w:t xml:space="preserve"> concluyeron con la condena de 18 personas. P</w:t>
      </w:r>
      <w:r w:rsidRPr="007F1A56">
        <w:rPr>
          <w:rFonts w:asciiTheme="majorHAnsi" w:hAnsiTheme="majorHAnsi"/>
          <w:sz w:val="20"/>
          <w:szCs w:val="20"/>
          <w:lang w:val="es-ES"/>
        </w:rPr>
        <w:t>or otro</w:t>
      </w:r>
      <w:r w:rsidR="00BC4064" w:rsidRPr="007F1A56">
        <w:rPr>
          <w:rFonts w:asciiTheme="majorHAnsi" w:hAnsiTheme="majorHAnsi"/>
          <w:sz w:val="20"/>
          <w:szCs w:val="20"/>
          <w:lang w:val="es-ES"/>
        </w:rPr>
        <w:t xml:space="preserve"> </w:t>
      </w:r>
      <w:r w:rsidR="00F458B1" w:rsidRPr="007F1A56">
        <w:rPr>
          <w:rFonts w:asciiTheme="majorHAnsi" w:hAnsiTheme="majorHAnsi"/>
          <w:sz w:val="20"/>
          <w:szCs w:val="20"/>
          <w:lang w:val="es-ES"/>
        </w:rPr>
        <w:t>lado</w:t>
      </w:r>
      <w:r w:rsidR="00BC4064" w:rsidRPr="007F1A56">
        <w:rPr>
          <w:rFonts w:asciiTheme="majorHAnsi" w:hAnsiTheme="majorHAnsi"/>
          <w:sz w:val="20"/>
          <w:szCs w:val="20"/>
          <w:lang w:val="es-ES"/>
        </w:rPr>
        <w:t xml:space="preserve">, </w:t>
      </w:r>
      <w:r w:rsidR="00F458B1" w:rsidRPr="007F1A56">
        <w:rPr>
          <w:rFonts w:asciiTheme="majorHAnsi" w:hAnsiTheme="majorHAnsi"/>
          <w:sz w:val="20"/>
          <w:szCs w:val="20"/>
          <w:lang w:val="es-ES"/>
        </w:rPr>
        <w:t>según la información proporcionada por las partes, un</w:t>
      </w:r>
      <w:r w:rsidR="00BC4064" w:rsidRPr="007F1A56">
        <w:rPr>
          <w:rFonts w:asciiTheme="majorHAnsi" w:hAnsiTheme="majorHAnsi"/>
          <w:sz w:val="20"/>
          <w:szCs w:val="20"/>
          <w:lang w:val="es-ES"/>
        </w:rPr>
        <w:t xml:space="preserve"> segundo proceso</w:t>
      </w:r>
      <w:r w:rsidR="00F458B1" w:rsidRPr="007F1A56">
        <w:rPr>
          <w:rFonts w:asciiTheme="majorHAnsi" w:hAnsiTheme="majorHAnsi"/>
          <w:sz w:val="20"/>
          <w:szCs w:val="20"/>
          <w:lang w:val="es-ES"/>
        </w:rPr>
        <w:t xml:space="preserve"> penal iniciado </w:t>
      </w:r>
      <w:r w:rsidR="00F458B1" w:rsidRPr="007F1A56">
        <w:rPr>
          <w:rFonts w:ascii="Cambria" w:hAnsi="Cambria"/>
          <w:sz w:val="20"/>
          <w:szCs w:val="20"/>
          <w:lang w:val="es-CO"/>
        </w:rPr>
        <w:t>el año 2007 ante el Quincuagésimo Cuarto Juzgado Penal de Reos Libres de Lima,</w:t>
      </w:r>
      <w:r w:rsidR="00F458B1" w:rsidRPr="007F1A56">
        <w:rPr>
          <w:rFonts w:asciiTheme="majorHAnsi" w:hAnsiTheme="majorHAnsi"/>
          <w:sz w:val="20"/>
          <w:szCs w:val="20"/>
          <w:lang w:val="es-ES"/>
        </w:rPr>
        <w:t xml:space="preserve"> aún se encuentra en trámite.</w:t>
      </w:r>
      <w:r w:rsidRPr="007F1A56">
        <w:rPr>
          <w:rFonts w:asciiTheme="majorHAnsi" w:hAnsiTheme="majorHAnsi"/>
          <w:sz w:val="20"/>
          <w:szCs w:val="20"/>
          <w:lang w:val="es-ES"/>
        </w:rPr>
        <w:t xml:space="preserve"> La Comisión observa que luego de dieciocho años de ocurridos los </w:t>
      </w:r>
      <w:r w:rsidRPr="008745C2">
        <w:rPr>
          <w:rFonts w:asciiTheme="majorHAnsi" w:hAnsiTheme="majorHAnsi"/>
          <w:sz w:val="20"/>
          <w:szCs w:val="20"/>
          <w:lang w:val="es-ES"/>
        </w:rPr>
        <w:t xml:space="preserve">hechos, no se han determinado </w:t>
      </w:r>
      <w:r w:rsidR="00296FC6" w:rsidRPr="008745C2">
        <w:rPr>
          <w:rFonts w:asciiTheme="majorHAnsi" w:hAnsiTheme="majorHAnsi"/>
          <w:sz w:val="20"/>
          <w:szCs w:val="20"/>
          <w:lang w:val="es-ES"/>
        </w:rPr>
        <w:t>las causas del incendio</w:t>
      </w:r>
      <w:r w:rsidRPr="008745C2">
        <w:rPr>
          <w:rFonts w:asciiTheme="majorHAnsi" w:hAnsiTheme="majorHAnsi"/>
          <w:sz w:val="20"/>
          <w:szCs w:val="20"/>
          <w:lang w:val="es-ES"/>
        </w:rPr>
        <w:t xml:space="preserve">, la responsabilidad de todos los implicados, entre ellos </w:t>
      </w:r>
      <w:r w:rsidRPr="008745C2">
        <w:rPr>
          <w:rFonts w:ascii="Cambria" w:hAnsi="Cambria"/>
          <w:sz w:val="20"/>
          <w:szCs w:val="20"/>
          <w:lang w:val="es-CO"/>
        </w:rPr>
        <w:t xml:space="preserve">empresarios, funcionarios </w:t>
      </w:r>
      <w:r w:rsidR="00296FC6" w:rsidRPr="008745C2">
        <w:rPr>
          <w:rFonts w:ascii="Cambria" w:hAnsi="Cambria"/>
          <w:sz w:val="20"/>
          <w:szCs w:val="20"/>
          <w:lang w:val="es-CO"/>
        </w:rPr>
        <w:t>públicos de diferentes entidades estatales</w:t>
      </w:r>
      <w:r w:rsidRPr="008745C2">
        <w:rPr>
          <w:rFonts w:asciiTheme="majorHAnsi" w:hAnsiTheme="majorHAnsi"/>
          <w:sz w:val="20"/>
          <w:szCs w:val="20"/>
          <w:lang w:val="es-ES"/>
        </w:rPr>
        <w:t xml:space="preserve">, ni se han </w:t>
      </w:r>
      <w:r w:rsidR="00296FC6" w:rsidRPr="008745C2">
        <w:rPr>
          <w:rFonts w:asciiTheme="majorHAnsi" w:hAnsiTheme="majorHAnsi"/>
          <w:sz w:val="20"/>
          <w:szCs w:val="20"/>
          <w:lang w:val="es-ES"/>
        </w:rPr>
        <w:t>identificado plenamente a todas</w:t>
      </w:r>
      <w:r w:rsidRPr="008745C2">
        <w:rPr>
          <w:rFonts w:asciiTheme="majorHAnsi" w:hAnsiTheme="majorHAnsi"/>
          <w:sz w:val="20"/>
          <w:szCs w:val="20"/>
          <w:lang w:val="es-ES"/>
        </w:rPr>
        <w:t xml:space="preserve"> l</w:t>
      </w:r>
      <w:r w:rsidR="00296FC6" w:rsidRPr="008745C2">
        <w:rPr>
          <w:rFonts w:asciiTheme="majorHAnsi" w:hAnsiTheme="majorHAnsi"/>
          <w:sz w:val="20"/>
          <w:szCs w:val="20"/>
          <w:lang w:val="es-ES"/>
        </w:rPr>
        <w:t>a</w:t>
      </w:r>
      <w:r w:rsidRPr="008745C2">
        <w:rPr>
          <w:rFonts w:asciiTheme="majorHAnsi" w:hAnsiTheme="majorHAnsi"/>
          <w:sz w:val="20"/>
          <w:szCs w:val="20"/>
          <w:lang w:val="es-ES"/>
        </w:rPr>
        <w:t xml:space="preserve">s </w:t>
      </w:r>
      <w:r w:rsidR="00296FC6" w:rsidRPr="008745C2">
        <w:rPr>
          <w:rFonts w:asciiTheme="majorHAnsi" w:hAnsiTheme="majorHAnsi"/>
          <w:sz w:val="20"/>
          <w:szCs w:val="20"/>
          <w:lang w:val="es-ES"/>
        </w:rPr>
        <w:t>víctimas del incendio</w:t>
      </w:r>
      <w:r w:rsidRPr="008745C2">
        <w:rPr>
          <w:rFonts w:asciiTheme="majorHAnsi" w:hAnsiTheme="majorHAnsi"/>
          <w:sz w:val="20"/>
          <w:szCs w:val="20"/>
          <w:lang w:val="es-ES"/>
        </w:rPr>
        <w:t xml:space="preserve">. </w:t>
      </w:r>
      <w:r w:rsidR="007F1A56" w:rsidRPr="008745C2">
        <w:rPr>
          <w:rFonts w:asciiTheme="majorHAnsi" w:hAnsiTheme="majorHAnsi"/>
          <w:sz w:val="20"/>
          <w:szCs w:val="20"/>
          <w:lang w:val="es-ES"/>
        </w:rPr>
        <w:t xml:space="preserve">Por otra parte, en relación con los montos de reparación previstos por la sentencia emitida por la </w:t>
      </w:r>
      <w:r w:rsidR="007F1A56" w:rsidRPr="008745C2">
        <w:rPr>
          <w:rFonts w:ascii="Cambria" w:hAnsi="Cambria"/>
          <w:sz w:val="20"/>
          <w:szCs w:val="20"/>
          <w:lang w:val="es-CO"/>
        </w:rPr>
        <w:t>Quinta Sala Penal de la Corte Superior de Lima</w:t>
      </w:r>
      <w:r w:rsidR="007F1A56" w:rsidRPr="008745C2">
        <w:rPr>
          <w:rFonts w:asciiTheme="majorHAnsi" w:hAnsiTheme="majorHAnsi"/>
          <w:sz w:val="20"/>
          <w:szCs w:val="20"/>
          <w:lang w:val="es-ES"/>
        </w:rPr>
        <w:t xml:space="preserve">, la Comisión ha sostenido reiteradamente que dicha vía no constituye un recurso idóneo a efectos de analizar la admisibilidad de un reclamo de la naturaleza del presente, ya que la misma no es adecuada para proporcionar una reparación integral y justicia a los familiares. </w:t>
      </w:r>
      <w:r w:rsidRPr="008745C2">
        <w:rPr>
          <w:rFonts w:asciiTheme="majorHAnsi" w:hAnsiTheme="majorHAnsi"/>
          <w:sz w:val="20"/>
          <w:szCs w:val="20"/>
          <w:lang w:val="es-ES"/>
        </w:rPr>
        <w:t>Con base en ello, la Comisión concluye que es aplicable la excepción al agotamiento de los recursos internos establecida en el artículo 46.2.c de la Convención Americana</w:t>
      </w:r>
      <w:r w:rsidR="00515C20" w:rsidRPr="008745C2">
        <w:rPr>
          <w:rFonts w:asciiTheme="majorHAnsi" w:hAnsiTheme="majorHAnsi"/>
          <w:sz w:val="20"/>
          <w:szCs w:val="20"/>
          <w:lang w:val="es-ES"/>
        </w:rPr>
        <w:t xml:space="preserve">. </w:t>
      </w:r>
    </w:p>
    <w:p w:rsidR="00285586" w:rsidRPr="008745C2" w:rsidRDefault="007F1A56" w:rsidP="007F1A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8745C2">
        <w:rPr>
          <w:rFonts w:asciiTheme="majorHAnsi" w:hAnsiTheme="majorHAnsi"/>
          <w:sz w:val="20"/>
          <w:szCs w:val="20"/>
          <w:lang w:val="es-ES"/>
        </w:rPr>
        <w:t>Finalmente, la petición fue presentada el 1 de abril de 2010, los alegados hechos materia</w:t>
      </w:r>
      <w:r w:rsidRPr="008745C2">
        <w:rPr>
          <w:rFonts w:asciiTheme="majorHAnsi" w:hAnsiTheme="majorHAnsi"/>
          <w:sz w:val="20"/>
          <w:szCs w:val="20"/>
          <w:lang w:val="es-BO"/>
        </w:rPr>
        <w:t xml:space="preserve"> </w:t>
      </w:r>
      <w:r w:rsidRPr="008745C2">
        <w:rPr>
          <w:rFonts w:asciiTheme="majorHAnsi" w:hAnsiTheme="majorHAnsi"/>
          <w:sz w:val="20"/>
          <w:szCs w:val="20"/>
          <w:lang w:val="es-ES"/>
        </w:rPr>
        <w:t xml:space="preserve">del reclamo iniciaron el 29 de diciembre de 2001, y sus presuntos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 </w:t>
      </w:r>
    </w:p>
    <w:p w:rsidR="003239B8" w:rsidRPr="008745C2" w:rsidRDefault="003239B8" w:rsidP="003239B8">
      <w:pPr>
        <w:pStyle w:val="ListParagraph"/>
        <w:spacing w:before="240" w:after="240"/>
        <w:jc w:val="both"/>
        <w:rPr>
          <w:rFonts w:asciiTheme="majorHAnsi" w:hAnsiTheme="majorHAnsi"/>
          <w:b/>
          <w:sz w:val="20"/>
          <w:szCs w:val="20"/>
          <w:lang w:val="es-ES"/>
        </w:rPr>
      </w:pPr>
      <w:r w:rsidRPr="008745C2">
        <w:rPr>
          <w:rFonts w:asciiTheme="majorHAnsi" w:hAnsiTheme="majorHAnsi"/>
          <w:b/>
          <w:bCs/>
          <w:sz w:val="20"/>
          <w:szCs w:val="20"/>
          <w:lang w:val="es-ES"/>
        </w:rPr>
        <w:t>VII.</w:t>
      </w:r>
      <w:r w:rsidRPr="008745C2">
        <w:rPr>
          <w:rFonts w:asciiTheme="majorHAnsi" w:hAnsiTheme="majorHAnsi"/>
          <w:b/>
          <w:bCs/>
          <w:sz w:val="20"/>
          <w:szCs w:val="20"/>
          <w:lang w:val="es-ES"/>
        </w:rPr>
        <w:tab/>
      </w:r>
      <w:r w:rsidR="004A6A54" w:rsidRPr="008745C2">
        <w:rPr>
          <w:rFonts w:asciiTheme="majorHAnsi" w:hAnsiTheme="majorHAnsi"/>
          <w:b/>
          <w:bCs/>
          <w:sz w:val="20"/>
          <w:szCs w:val="20"/>
          <w:lang w:val="es-ES_tradnl"/>
        </w:rPr>
        <w:t xml:space="preserve">ANÁLISIS DE </w:t>
      </w:r>
      <w:r w:rsidR="00C21FEF" w:rsidRPr="008745C2">
        <w:rPr>
          <w:rFonts w:asciiTheme="majorHAnsi" w:hAnsiTheme="majorHAnsi"/>
          <w:b/>
          <w:bCs/>
          <w:sz w:val="20"/>
          <w:szCs w:val="20"/>
          <w:lang w:val="es-ES"/>
        </w:rPr>
        <w:t xml:space="preserve">CARACTERIZACIÓN </w:t>
      </w:r>
      <w:r w:rsidR="00C21FEF" w:rsidRPr="008745C2">
        <w:rPr>
          <w:rFonts w:asciiTheme="majorHAnsi" w:hAnsiTheme="majorHAnsi"/>
          <w:b/>
          <w:bCs/>
          <w:sz w:val="20"/>
          <w:szCs w:val="20"/>
          <w:lang w:val="es-UY"/>
        </w:rPr>
        <w:t>DE LOS HECHOS ALEGADOS</w:t>
      </w:r>
    </w:p>
    <w:p w:rsidR="00DD1F81" w:rsidRPr="008745C2" w:rsidRDefault="001E7EA4" w:rsidP="000B5F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8745C2">
        <w:rPr>
          <w:rFonts w:ascii="Cambria" w:hAnsi="Cambria"/>
          <w:color w:val="000000" w:themeColor="text1"/>
          <w:sz w:val="20"/>
          <w:szCs w:val="20"/>
          <w:lang w:val="es-BO"/>
        </w:rPr>
        <w:t>En vista de los elementos de hecho y de derecho expuestos por las partes y la naturaleza del asunto puesto bajo su conocimiento, la Comi</w:t>
      </w:r>
      <w:r w:rsidR="00DD1F81" w:rsidRPr="008745C2">
        <w:rPr>
          <w:rFonts w:ascii="Cambria" w:hAnsi="Cambria"/>
          <w:color w:val="000000" w:themeColor="text1"/>
          <w:sz w:val="20"/>
          <w:szCs w:val="20"/>
          <w:lang w:val="es-BO"/>
        </w:rPr>
        <w:t>sión considera que</w:t>
      </w:r>
      <w:r w:rsidR="00C04B2A" w:rsidRPr="008745C2">
        <w:rPr>
          <w:rFonts w:ascii="Cambria" w:hAnsi="Cambria"/>
          <w:color w:val="000000" w:themeColor="text1"/>
          <w:sz w:val="20"/>
          <w:szCs w:val="20"/>
          <w:lang w:val="es-BO"/>
        </w:rPr>
        <w:t xml:space="preserve"> de ser prob</w:t>
      </w:r>
      <w:r w:rsidR="00746E04" w:rsidRPr="008745C2">
        <w:rPr>
          <w:rFonts w:ascii="Cambria" w:hAnsi="Cambria"/>
          <w:color w:val="000000" w:themeColor="text1"/>
          <w:sz w:val="20"/>
          <w:szCs w:val="20"/>
          <w:lang w:val="es-BO"/>
        </w:rPr>
        <w:t xml:space="preserve">ado que </w:t>
      </w:r>
      <w:r w:rsidR="00DD1F81" w:rsidRPr="008745C2">
        <w:rPr>
          <w:rFonts w:ascii="Cambria" w:hAnsi="Cambria"/>
          <w:color w:val="000000" w:themeColor="text1"/>
          <w:sz w:val="20"/>
          <w:szCs w:val="20"/>
          <w:lang w:val="es-BO"/>
        </w:rPr>
        <w:t xml:space="preserve">el </w:t>
      </w:r>
      <w:r w:rsidR="00DD1F81" w:rsidRPr="008745C2">
        <w:rPr>
          <w:rFonts w:ascii="Cambria" w:hAnsi="Cambria"/>
          <w:sz w:val="20"/>
          <w:szCs w:val="20"/>
          <w:lang w:val="es-CO"/>
        </w:rPr>
        <w:t xml:space="preserve">alegado incumplimiento </w:t>
      </w:r>
      <w:r w:rsidR="00C04B2A" w:rsidRPr="008745C2">
        <w:rPr>
          <w:rFonts w:ascii="Cambria" w:hAnsi="Cambria"/>
          <w:sz w:val="20"/>
          <w:szCs w:val="20"/>
          <w:lang w:val="es-CO"/>
        </w:rPr>
        <w:t xml:space="preserve">del deber </w:t>
      </w:r>
      <w:r w:rsidR="00746E04" w:rsidRPr="008745C2">
        <w:rPr>
          <w:rFonts w:ascii="Cambria" w:hAnsi="Cambria"/>
          <w:sz w:val="20"/>
          <w:szCs w:val="20"/>
          <w:lang w:val="es-CO"/>
        </w:rPr>
        <w:t xml:space="preserve">estatal </w:t>
      </w:r>
      <w:r w:rsidR="00C04B2A" w:rsidRPr="008745C2">
        <w:rPr>
          <w:rFonts w:ascii="Cambria" w:hAnsi="Cambria"/>
          <w:sz w:val="20"/>
          <w:szCs w:val="20"/>
          <w:lang w:val="es-CO"/>
        </w:rPr>
        <w:t xml:space="preserve">de </w:t>
      </w:r>
      <w:r w:rsidR="00DD1F81" w:rsidRPr="008745C2">
        <w:rPr>
          <w:rFonts w:ascii="Cambria" w:hAnsi="Cambria"/>
          <w:sz w:val="20"/>
          <w:szCs w:val="20"/>
          <w:lang w:val="es-CO"/>
        </w:rPr>
        <w:t>preven</w:t>
      </w:r>
      <w:r w:rsidR="00C04B2A" w:rsidRPr="008745C2">
        <w:rPr>
          <w:rFonts w:ascii="Cambria" w:hAnsi="Cambria"/>
          <w:sz w:val="20"/>
          <w:szCs w:val="20"/>
          <w:lang w:val="es-CO"/>
        </w:rPr>
        <w:t>ción</w:t>
      </w:r>
      <w:r w:rsidR="00746E04" w:rsidRPr="008745C2">
        <w:rPr>
          <w:rFonts w:ascii="Cambria" w:hAnsi="Cambria"/>
          <w:sz w:val="20"/>
          <w:szCs w:val="20"/>
          <w:lang w:val="es-CO"/>
        </w:rPr>
        <w:t xml:space="preserve">, </w:t>
      </w:r>
      <w:r w:rsidR="00363A10" w:rsidRPr="008745C2">
        <w:rPr>
          <w:rFonts w:ascii="Cambria" w:hAnsi="Cambria"/>
          <w:sz w:val="20"/>
          <w:szCs w:val="20"/>
          <w:lang w:val="es-CO"/>
        </w:rPr>
        <w:t xml:space="preserve">habría </w:t>
      </w:r>
      <w:r w:rsidR="00746E04" w:rsidRPr="008745C2">
        <w:rPr>
          <w:rFonts w:ascii="Cambria" w:hAnsi="Cambria"/>
          <w:sz w:val="20"/>
          <w:szCs w:val="20"/>
          <w:lang w:val="es-CO"/>
        </w:rPr>
        <w:t>propici</w:t>
      </w:r>
      <w:r w:rsidR="00363A10" w:rsidRPr="008745C2">
        <w:rPr>
          <w:rFonts w:ascii="Cambria" w:hAnsi="Cambria"/>
          <w:sz w:val="20"/>
          <w:szCs w:val="20"/>
          <w:lang w:val="es-CO"/>
        </w:rPr>
        <w:t xml:space="preserve">ado </w:t>
      </w:r>
      <w:r w:rsidR="00746E04" w:rsidRPr="008745C2">
        <w:rPr>
          <w:rFonts w:ascii="Cambria" w:hAnsi="Cambria"/>
          <w:sz w:val="20"/>
          <w:szCs w:val="20"/>
          <w:lang w:val="es-CO"/>
        </w:rPr>
        <w:t xml:space="preserve">el incendio que acabo con la vida de </w:t>
      </w:r>
      <w:r w:rsidR="00F71987" w:rsidRPr="008745C2">
        <w:rPr>
          <w:rFonts w:ascii="Cambria" w:hAnsi="Cambria"/>
          <w:sz w:val="20"/>
          <w:szCs w:val="20"/>
          <w:lang w:val="es-CO"/>
        </w:rPr>
        <w:t>277</w:t>
      </w:r>
      <w:r w:rsidR="00746E04" w:rsidRPr="008745C2">
        <w:rPr>
          <w:rFonts w:ascii="Cambria" w:hAnsi="Cambria"/>
          <w:sz w:val="20"/>
          <w:szCs w:val="20"/>
          <w:lang w:val="es-CO"/>
        </w:rPr>
        <w:t xml:space="preserve"> personas, la desaparición de </w:t>
      </w:r>
      <w:r w:rsidR="00F71987" w:rsidRPr="008745C2">
        <w:rPr>
          <w:rFonts w:ascii="Cambria" w:hAnsi="Cambria"/>
          <w:sz w:val="20"/>
          <w:szCs w:val="20"/>
          <w:lang w:val="es-CO"/>
        </w:rPr>
        <w:t>189</w:t>
      </w:r>
      <w:r w:rsidR="00746E04" w:rsidRPr="008745C2">
        <w:rPr>
          <w:rFonts w:ascii="Cambria" w:hAnsi="Cambria"/>
          <w:sz w:val="20"/>
          <w:szCs w:val="20"/>
          <w:lang w:val="es-CO"/>
        </w:rPr>
        <w:t xml:space="preserve"> y las lesiones</w:t>
      </w:r>
      <w:r w:rsidR="00F71987" w:rsidRPr="008745C2">
        <w:rPr>
          <w:rFonts w:ascii="Cambria" w:hAnsi="Cambria"/>
          <w:sz w:val="20"/>
          <w:szCs w:val="20"/>
          <w:lang w:val="es-CO"/>
        </w:rPr>
        <w:t xml:space="preserve"> causadas</w:t>
      </w:r>
      <w:r w:rsidR="00746E04" w:rsidRPr="008745C2">
        <w:rPr>
          <w:rFonts w:ascii="Cambria" w:hAnsi="Cambria"/>
          <w:sz w:val="20"/>
          <w:szCs w:val="20"/>
          <w:lang w:val="es-CO"/>
        </w:rPr>
        <w:t xml:space="preserve"> en otras </w:t>
      </w:r>
      <w:r w:rsidR="00F71987" w:rsidRPr="008745C2">
        <w:rPr>
          <w:rFonts w:ascii="Cambria" w:hAnsi="Cambria"/>
          <w:sz w:val="20"/>
          <w:szCs w:val="20"/>
          <w:lang w:val="es-CO"/>
        </w:rPr>
        <w:t>220</w:t>
      </w:r>
      <w:r w:rsidR="00564FE0" w:rsidRPr="008745C2">
        <w:rPr>
          <w:rFonts w:ascii="Cambria" w:hAnsi="Cambria"/>
          <w:sz w:val="20"/>
          <w:szCs w:val="20"/>
          <w:lang w:val="es-CO"/>
        </w:rPr>
        <w:t xml:space="preserve"> personas</w:t>
      </w:r>
      <w:r w:rsidR="00936586" w:rsidRPr="008745C2">
        <w:rPr>
          <w:rFonts w:ascii="Cambria" w:hAnsi="Cambria"/>
          <w:sz w:val="20"/>
          <w:szCs w:val="20"/>
          <w:lang w:val="es-CO"/>
        </w:rPr>
        <w:t>,</w:t>
      </w:r>
      <w:r w:rsidR="00674B28" w:rsidRPr="008745C2">
        <w:rPr>
          <w:rFonts w:ascii="Cambria" w:hAnsi="Cambria"/>
          <w:sz w:val="20"/>
          <w:szCs w:val="20"/>
          <w:lang w:val="es-CO"/>
        </w:rPr>
        <w:t xml:space="preserve"> entre ellas 28 </w:t>
      </w:r>
      <w:r w:rsidR="00936586" w:rsidRPr="008745C2">
        <w:rPr>
          <w:rFonts w:ascii="Cambria" w:hAnsi="Cambria"/>
          <w:sz w:val="20"/>
          <w:szCs w:val="20"/>
          <w:lang w:val="es-CO"/>
        </w:rPr>
        <w:t>niños</w:t>
      </w:r>
      <w:r w:rsidR="00363A10" w:rsidRPr="008745C2">
        <w:rPr>
          <w:rFonts w:ascii="Cambria" w:hAnsi="Cambria"/>
          <w:sz w:val="20"/>
          <w:szCs w:val="20"/>
          <w:lang w:val="es-CO"/>
        </w:rPr>
        <w:t xml:space="preserve">; </w:t>
      </w:r>
      <w:r w:rsidR="00186090" w:rsidRPr="008745C2">
        <w:rPr>
          <w:rFonts w:ascii="Cambria" w:hAnsi="Cambria"/>
          <w:sz w:val="20"/>
          <w:szCs w:val="20"/>
          <w:lang w:val="es-CO"/>
        </w:rPr>
        <w:t>la supuesta falta de identificación de las personas afectadas,</w:t>
      </w:r>
      <w:r w:rsidR="002D1771" w:rsidRPr="008745C2">
        <w:rPr>
          <w:rFonts w:ascii="Cambria" w:hAnsi="Cambria"/>
          <w:sz w:val="20"/>
          <w:szCs w:val="20"/>
          <w:lang w:val="es-CO"/>
        </w:rPr>
        <w:t xml:space="preserve"> la falta de diligencia en la elaboración de listados de víctimas,</w:t>
      </w:r>
      <w:r w:rsidR="00186090" w:rsidRPr="008745C2">
        <w:rPr>
          <w:rFonts w:ascii="Cambria" w:hAnsi="Cambria"/>
          <w:sz w:val="20"/>
          <w:szCs w:val="20"/>
          <w:lang w:val="es-CO"/>
        </w:rPr>
        <w:t xml:space="preserve"> </w:t>
      </w:r>
      <w:r w:rsidR="00363A10" w:rsidRPr="008745C2">
        <w:rPr>
          <w:rFonts w:ascii="Cambria" w:hAnsi="Cambria"/>
          <w:sz w:val="20"/>
          <w:szCs w:val="20"/>
          <w:lang w:val="es-CO"/>
        </w:rPr>
        <w:t>así como</w:t>
      </w:r>
      <w:r w:rsidR="00DD1F81" w:rsidRPr="008745C2">
        <w:rPr>
          <w:rFonts w:ascii="Cambria" w:hAnsi="Cambria"/>
          <w:sz w:val="20"/>
          <w:szCs w:val="20"/>
          <w:lang w:val="es-CO"/>
        </w:rPr>
        <w:t xml:space="preserve"> </w:t>
      </w:r>
      <w:r w:rsidR="00746E04" w:rsidRPr="008745C2">
        <w:rPr>
          <w:rFonts w:ascii="Cambria" w:hAnsi="Cambria"/>
          <w:sz w:val="20"/>
          <w:szCs w:val="20"/>
          <w:lang w:val="es-CO"/>
        </w:rPr>
        <w:t xml:space="preserve">la presunta falta de protección judicial efectiva, </w:t>
      </w:r>
      <w:r w:rsidR="00DF6CBD" w:rsidRPr="008745C2">
        <w:rPr>
          <w:rFonts w:ascii="Cambria" w:hAnsi="Cambria"/>
          <w:sz w:val="20"/>
          <w:szCs w:val="20"/>
          <w:lang w:val="es-CO"/>
        </w:rPr>
        <w:t>la</w:t>
      </w:r>
      <w:r w:rsidR="00746E04" w:rsidRPr="008745C2">
        <w:rPr>
          <w:rFonts w:ascii="Cambria" w:hAnsi="Cambria"/>
          <w:sz w:val="20"/>
          <w:szCs w:val="20"/>
          <w:lang w:val="es-CO"/>
        </w:rPr>
        <w:t xml:space="preserve"> alegada</w:t>
      </w:r>
      <w:r w:rsidR="00DF6CBD" w:rsidRPr="008745C2">
        <w:rPr>
          <w:rFonts w:ascii="Cambria" w:hAnsi="Cambria"/>
          <w:sz w:val="20"/>
          <w:szCs w:val="20"/>
          <w:lang w:val="es-CO"/>
        </w:rPr>
        <w:t xml:space="preserve"> fijación </w:t>
      </w:r>
      <w:r w:rsidR="00746E04" w:rsidRPr="008745C2">
        <w:rPr>
          <w:rFonts w:ascii="Cambria" w:hAnsi="Cambria"/>
          <w:sz w:val="20"/>
          <w:szCs w:val="20"/>
          <w:lang w:val="es-CO"/>
        </w:rPr>
        <w:t>montos indemnizatorios</w:t>
      </w:r>
      <w:r w:rsidR="00DF6CBD" w:rsidRPr="008745C2">
        <w:rPr>
          <w:rFonts w:ascii="Cambria" w:hAnsi="Cambria"/>
          <w:sz w:val="20"/>
          <w:szCs w:val="20"/>
          <w:lang w:val="es-CO"/>
        </w:rPr>
        <w:t xml:space="preserve"> irrisori</w:t>
      </w:r>
      <w:r w:rsidR="00746E04" w:rsidRPr="008745C2">
        <w:rPr>
          <w:rFonts w:ascii="Cambria" w:hAnsi="Cambria"/>
          <w:sz w:val="20"/>
          <w:szCs w:val="20"/>
          <w:lang w:val="es-CO"/>
        </w:rPr>
        <w:t>os</w:t>
      </w:r>
      <w:r w:rsidR="00C93CA7" w:rsidRPr="008745C2">
        <w:rPr>
          <w:rFonts w:ascii="Cambria" w:hAnsi="Cambria"/>
          <w:sz w:val="20"/>
          <w:szCs w:val="20"/>
          <w:lang w:val="es-CO"/>
        </w:rPr>
        <w:t xml:space="preserve">, la </w:t>
      </w:r>
      <w:r w:rsidR="0053146E" w:rsidRPr="008745C2">
        <w:rPr>
          <w:rFonts w:ascii="Cambria" w:hAnsi="Cambria"/>
          <w:sz w:val="20"/>
          <w:szCs w:val="20"/>
          <w:lang w:val="es-CO"/>
        </w:rPr>
        <w:t xml:space="preserve">concesión de bienes inmuebles sin un adecuado control ni brindando protección ante posibles invasiones </w:t>
      </w:r>
      <w:r w:rsidR="00363A10" w:rsidRPr="008745C2">
        <w:rPr>
          <w:rFonts w:ascii="Cambria" w:hAnsi="Cambria"/>
          <w:sz w:val="20"/>
          <w:szCs w:val="20"/>
          <w:lang w:val="es-CO"/>
        </w:rPr>
        <w:t>y la supuesta violación a la igualdad en los criterios de reparación</w:t>
      </w:r>
      <w:r w:rsidR="00DD1F81" w:rsidRPr="008745C2">
        <w:rPr>
          <w:rFonts w:ascii="Cambria" w:hAnsi="Cambria"/>
          <w:sz w:val="20"/>
          <w:szCs w:val="20"/>
          <w:lang w:val="es-CO"/>
        </w:rPr>
        <w:t xml:space="preserve">, </w:t>
      </w:r>
      <w:r w:rsidRPr="008745C2">
        <w:rPr>
          <w:rFonts w:ascii="Cambria" w:hAnsi="Cambria"/>
          <w:color w:val="000000" w:themeColor="text1"/>
          <w:sz w:val="20"/>
          <w:szCs w:val="20"/>
          <w:lang w:val="es-BO"/>
        </w:rPr>
        <w:t xml:space="preserve">podrían caracterizar </w:t>
      </w:r>
      <w:r w:rsidR="00DF6CBD" w:rsidRPr="008745C2">
        <w:rPr>
          <w:rFonts w:ascii="Cambria" w:hAnsi="Cambria"/>
          <w:color w:val="000000" w:themeColor="text1"/>
          <w:sz w:val="20"/>
          <w:szCs w:val="20"/>
          <w:lang w:val="es-BO"/>
        </w:rPr>
        <w:t xml:space="preserve">en </w:t>
      </w:r>
      <w:r w:rsidRPr="008745C2">
        <w:rPr>
          <w:rFonts w:ascii="Cambria" w:hAnsi="Cambria"/>
          <w:color w:val="000000" w:themeColor="text1"/>
          <w:sz w:val="20"/>
          <w:szCs w:val="20"/>
          <w:lang w:val="es-BO"/>
        </w:rPr>
        <w:t>posibles violaciones de los artículos 4 (vida), 5 (integridad personal), 8 (garantías judiciales),</w:t>
      </w:r>
      <w:r w:rsidR="000B5FCD" w:rsidRPr="008745C2">
        <w:rPr>
          <w:rFonts w:ascii="Cambria" w:hAnsi="Cambria"/>
          <w:color w:val="000000" w:themeColor="text1"/>
          <w:sz w:val="20"/>
          <w:szCs w:val="20"/>
          <w:lang w:val="es-BO"/>
        </w:rPr>
        <w:t xml:space="preserve"> 13 (libertad de </w:t>
      </w:r>
      <w:r w:rsidR="000B5FCD" w:rsidRPr="008745C2">
        <w:rPr>
          <w:rFonts w:ascii="Cambria" w:hAnsi="Cambria"/>
          <w:color w:val="000000" w:themeColor="text1"/>
          <w:sz w:val="20"/>
          <w:szCs w:val="20"/>
          <w:lang w:val="es-BO"/>
        </w:rPr>
        <w:lastRenderedPageBreak/>
        <w:t>pensamiento y de expresión)</w:t>
      </w:r>
      <w:r w:rsidR="00EE3E32" w:rsidRPr="008745C2">
        <w:rPr>
          <w:rFonts w:ascii="Cambria" w:hAnsi="Cambria"/>
          <w:color w:val="000000" w:themeColor="text1"/>
          <w:sz w:val="20"/>
          <w:szCs w:val="20"/>
          <w:lang w:val="es-BO"/>
        </w:rPr>
        <w:t>,</w:t>
      </w:r>
      <w:r w:rsidRPr="008745C2">
        <w:rPr>
          <w:rFonts w:ascii="Cambria" w:hAnsi="Cambria"/>
          <w:color w:val="000000" w:themeColor="text1"/>
          <w:sz w:val="20"/>
          <w:szCs w:val="20"/>
          <w:lang w:val="es-BO"/>
        </w:rPr>
        <w:t xml:space="preserve"> </w:t>
      </w:r>
      <w:r w:rsidR="00363A10" w:rsidRPr="008745C2">
        <w:rPr>
          <w:rFonts w:ascii="Cambria" w:hAnsi="Cambria"/>
          <w:color w:val="000000" w:themeColor="text1"/>
          <w:sz w:val="20"/>
          <w:szCs w:val="20"/>
          <w:lang w:val="es-BO"/>
        </w:rPr>
        <w:t xml:space="preserve">19 (derechos del niño), </w:t>
      </w:r>
      <w:r w:rsidR="00C93CA7" w:rsidRPr="008745C2">
        <w:rPr>
          <w:rFonts w:ascii="Cambria" w:hAnsi="Cambria"/>
          <w:color w:val="000000"/>
          <w:sz w:val="20"/>
          <w:szCs w:val="20"/>
          <w:lang w:val="es-ES_tradnl"/>
        </w:rPr>
        <w:t>21</w:t>
      </w:r>
      <w:r w:rsidR="00C93CA7" w:rsidRPr="008745C2">
        <w:rPr>
          <w:rFonts w:ascii="Cambria" w:hAnsi="Cambria"/>
          <w:color w:val="000000"/>
          <w:sz w:val="20"/>
          <w:szCs w:val="20"/>
          <w:lang w:val="es-ES"/>
        </w:rPr>
        <w:t xml:space="preserve"> (propiedad)</w:t>
      </w:r>
      <w:r w:rsidR="00C93CA7" w:rsidRPr="008745C2">
        <w:rPr>
          <w:rFonts w:ascii="Cambria" w:hAnsi="Cambria"/>
          <w:color w:val="000000"/>
          <w:sz w:val="20"/>
          <w:szCs w:val="20"/>
          <w:lang w:val="es-ES_tradnl"/>
        </w:rPr>
        <w:t xml:space="preserve">, </w:t>
      </w:r>
      <w:r w:rsidR="00DF6CBD" w:rsidRPr="008745C2">
        <w:rPr>
          <w:rFonts w:ascii="Cambria" w:hAnsi="Cambria"/>
          <w:color w:val="000000" w:themeColor="text1"/>
          <w:sz w:val="20"/>
          <w:szCs w:val="20"/>
          <w:lang w:val="es-BO"/>
        </w:rPr>
        <w:t>24 (igualdad</w:t>
      </w:r>
      <w:r w:rsidR="00363A10" w:rsidRPr="008745C2">
        <w:rPr>
          <w:rFonts w:ascii="Cambria" w:hAnsi="Cambria"/>
          <w:color w:val="000000" w:themeColor="text1"/>
          <w:sz w:val="20"/>
          <w:szCs w:val="20"/>
          <w:lang w:val="es-BO"/>
        </w:rPr>
        <w:t xml:space="preserve"> ante la ley</w:t>
      </w:r>
      <w:r w:rsidR="00DF6CBD" w:rsidRPr="008745C2">
        <w:rPr>
          <w:rFonts w:ascii="Cambria" w:hAnsi="Cambria"/>
          <w:color w:val="000000" w:themeColor="text1"/>
          <w:sz w:val="20"/>
          <w:szCs w:val="20"/>
          <w:lang w:val="es-BO"/>
        </w:rPr>
        <w:t xml:space="preserve">), </w:t>
      </w:r>
      <w:r w:rsidRPr="008745C2">
        <w:rPr>
          <w:rFonts w:ascii="Cambria" w:hAnsi="Cambria"/>
          <w:color w:val="000000" w:themeColor="text1"/>
          <w:sz w:val="20"/>
          <w:szCs w:val="20"/>
          <w:lang w:val="es-BO"/>
        </w:rPr>
        <w:t>25 (protección judicial)</w:t>
      </w:r>
      <w:r w:rsidR="00E534F3" w:rsidRPr="008745C2">
        <w:rPr>
          <w:rFonts w:ascii="Cambria" w:hAnsi="Cambria"/>
          <w:color w:val="000000" w:themeColor="text1"/>
          <w:sz w:val="20"/>
          <w:szCs w:val="20"/>
          <w:lang w:val="es-BO"/>
        </w:rPr>
        <w:t xml:space="preserve"> y 26</w:t>
      </w:r>
      <w:r w:rsidR="00936586" w:rsidRPr="008745C2">
        <w:rPr>
          <w:rFonts w:ascii="Cambria" w:hAnsi="Cambria"/>
          <w:color w:val="000000" w:themeColor="text1"/>
          <w:sz w:val="20"/>
          <w:szCs w:val="20"/>
          <w:lang w:val="es-BO"/>
        </w:rPr>
        <w:t xml:space="preserve"> (derechos económicos, sociales y culturales)</w:t>
      </w:r>
      <w:r w:rsidRPr="008745C2">
        <w:rPr>
          <w:rFonts w:ascii="Cambria" w:hAnsi="Cambria"/>
          <w:color w:val="000000" w:themeColor="text1"/>
          <w:sz w:val="20"/>
          <w:szCs w:val="20"/>
          <w:lang w:val="es-BO"/>
        </w:rPr>
        <w:t xml:space="preserve"> de la Convenció</w:t>
      </w:r>
      <w:r w:rsidR="00DD1F81" w:rsidRPr="008745C2">
        <w:rPr>
          <w:rFonts w:ascii="Cambria" w:hAnsi="Cambria"/>
          <w:color w:val="000000" w:themeColor="text1"/>
          <w:sz w:val="20"/>
          <w:szCs w:val="20"/>
          <w:lang w:val="es-BO"/>
        </w:rPr>
        <w:t>n Americana en relación con su</w:t>
      </w:r>
      <w:r w:rsidR="00363A10" w:rsidRPr="008745C2">
        <w:rPr>
          <w:rFonts w:ascii="Cambria" w:hAnsi="Cambria"/>
          <w:color w:val="000000" w:themeColor="text1"/>
          <w:sz w:val="20"/>
          <w:szCs w:val="20"/>
          <w:lang w:val="es-BO"/>
        </w:rPr>
        <w:t>s</w:t>
      </w:r>
      <w:r w:rsidR="00DD1F81" w:rsidRPr="008745C2">
        <w:rPr>
          <w:rFonts w:ascii="Cambria" w:hAnsi="Cambria"/>
          <w:color w:val="000000" w:themeColor="text1"/>
          <w:sz w:val="20"/>
          <w:szCs w:val="20"/>
          <w:lang w:val="es-BO"/>
        </w:rPr>
        <w:t xml:space="preserve"> </w:t>
      </w:r>
      <w:r w:rsidRPr="008745C2">
        <w:rPr>
          <w:rFonts w:ascii="Cambria" w:hAnsi="Cambria"/>
          <w:color w:val="000000" w:themeColor="text1"/>
          <w:sz w:val="20"/>
          <w:szCs w:val="20"/>
          <w:lang w:val="es-BO"/>
        </w:rPr>
        <w:t>artículo</w:t>
      </w:r>
      <w:r w:rsidR="00363A10" w:rsidRPr="008745C2">
        <w:rPr>
          <w:rFonts w:ascii="Cambria" w:hAnsi="Cambria"/>
          <w:color w:val="000000" w:themeColor="text1"/>
          <w:sz w:val="20"/>
          <w:szCs w:val="20"/>
          <w:lang w:val="es-BO"/>
        </w:rPr>
        <w:t>s</w:t>
      </w:r>
      <w:r w:rsidRPr="008745C2">
        <w:rPr>
          <w:rFonts w:ascii="Cambria" w:hAnsi="Cambria"/>
          <w:color w:val="000000" w:themeColor="text1"/>
          <w:sz w:val="20"/>
          <w:szCs w:val="20"/>
          <w:lang w:val="es-BO"/>
        </w:rPr>
        <w:t xml:space="preserve"> 1</w:t>
      </w:r>
      <w:r w:rsidR="00363A10" w:rsidRPr="008745C2">
        <w:rPr>
          <w:rFonts w:ascii="Cambria" w:hAnsi="Cambria"/>
          <w:color w:val="000000" w:themeColor="text1"/>
          <w:sz w:val="20"/>
          <w:szCs w:val="20"/>
          <w:lang w:val="es-BO"/>
        </w:rPr>
        <w:t>.1 y 2,</w:t>
      </w:r>
      <w:r w:rsidRPr="008745C2">
        <w:rPr>
          <w:rFonts w:ascii="Cambria" w:hAnsi="Cambria"/>
          <w:color w:val="000000" w:themeColor="text1"/>
          <w:sz w:val="20"/>
          <w:szCs w:val="20"/>
          <w:lang w:val="es-BO"/>
        </w:rPr>
        <w:t xml:space="preserve"> en perjuicio de las presu</w:t>
      </w:r>
      <w:r w:rsidR="0074297A" w:rsidRPr="008745C2">
        <w:rPr>
          <w:rFonts w:ascii="Cambria" w:hAnsi="Cambria"/>
          <w:color w:val="000000" w:themeColor="text1"/>
          <w:sz w:val="20"/>
          <w:szCs w:val="20"/>
          <w:lang w:val="es-BO"/>
        </w:rPr>
        <w:t>ntas víctimas y sus familiares.</w:t>
      </w:r>
      <w:r w:rsidR="00564FE0" w:rsidRPr="008745C2">
        <w:rPr>
          <w:rFonts w:ascii="Cambria" w:hAnsi="Cambria"/>
          <w:color w:val="000000" w:themeColor="text1"/>
          <w:sz w:val="20"/>
          <w:szCs w:val="20"/>
          <w:lang w:val="es-BO"/>
        </w:rPr>
        <w:t xml:space="preserve"> </w:t>
      </w:r>
    </w:p>
    <w:p w:rsidR="003239B8" w:rsidRPr="008745C2" w:rsidRDefault="003239B8" w:rsidP="003239B8">
      <w:pPr>
        <w:pStyle w:val="ListParagraph"/>
        <w:spacing w:before="240" w:after="240"/>
        <w:jc w:val="both"/>
        <w:rPr>
          <w:rFonts w:asciiTheme="majorHAnsi" w:hAnsiTheme="majorHAnsi"/>
          <w:b/>
          <w:bCs/>
          <w:sz w:val="20"/>
          <w:szCs w:val="20"/>
          <w:lang w:val="es-ES"/>
        </w:rPr>
      </w:pPr>
      <w:r w:rsidRPr="008745C2">
        <w:rPr>
          <w:rFonts w:asciiTheme="majorHAnsi" w:hAnsiTheme="majorHAnsi"/>
          <w:b/>
          <w:bCs/>
          <w:sz w:val="20"/>
          <w:szCs w:val="20"/>
          <w:lang w:val="es-ES"/>
        </w:rPr>
        <w:t xml:space="preserve">VIII. </w:t>
      </w:r>
      <w:r w:rsidRPr="008745C2">
        <w:rPr>
          <w:rFonts w:asciiTheme="majorHAnsi" w:hAnsiTheme="majorHAnsi"/>
          <w:b/>
          <w:bCs/>
          <w:sz w:val="20"/>
          <w:szCs w:val="20"/>
          <w:lang w:val="es-ES"/>
        </w:rPr>
        <w:tab/>
        <w:t>DECISIÓN</w:t>
      </w:r>
    </w:p>
    <w:p w:rsidR="003239B8" w:rsidRPr="008745C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745C2">
        <w:rPr>
          <w:rFonts w:asciiTheme="majorHAnsi" w:hAnsiTheme="majorHAnsi"/>
          <w:sz w:val="20"/>
          <w:szCs w:val="20"/>
          <w:lang w:val="es-ES"/>
        </w:rPr>
        <w:t>Declarar admisible la presente petición en relación con</w:t>
      </w:r>
      <w:r w:rsidR="0074297A" w:rsidRPr="008745C2">
        <w:rPr>
          <w:rFonts w:ascii="Cambria" w:hAnsi="Cambria"/>
          <w:color w:val="000000" w:themeColor="text1"/>
          <w:sz w:val="20"/>
          <w:szCs w:val="20"/>
          <w:lang w:val="es-BO"/>
        </w:rPr>
        <w:t xml:space="preserve"> los artículos 4 , 5, 8,</w:t>
      </w:r>
      <w:r w:rsidR="00363A10" w:rsidRPr="008745C2">
        <w:rPr>
          <w:rFonts w:ascii="Cambria" w:hAnsi="Cambria"/>
          <w:color w:val="000000" w:themeColor="text1"/>
          <w:sz w:val="20"/>
          <w:szCs w:val="20"/>
          <w:lang w:val="es-BO"/>
        </w:rPr>
        <w:t xml:space="preserve"> </w:t>
      </w:r>
      <w:r w:rsidR="002D1771" w:rsidRPr="008745C2">
        <w:rPr>
          <w:rFonts w:ascii="Cambria" w:hAnsi="Cambria"/>
          <w:color w:val="000000" w:themeColor="text1"/>
          <w:sz w:val="20"/>
          <w:szCs w:val="20"/>
          <w:lang w:val="es-BO"/>
        </w:rPr>
        <w:t xml:space="preserve">13, </w:t>
      </w:r>
      <w:r w:rsidR="00363A10" w:rsidRPr="008745C2">
        <w:rPr>
          <w:rFonts w:ascii="Cambria" w:hAnsi="Cambria"/>
          <w:color w:val="000000" w:themeColor="text1"/>
          <w:sz w:val="20"/>
          <w:szCs w:val="20"/>
          <w:lang w:val="es-BO"/>
        </w:rPr>
        <w:t>19,</w:t>
      </w:r>
      <w:r w:rsidR="0074297A" w:rsidRPr="008745C2">
        <w:rPr>
          <w:rFonts w:ascii="Cambria" w:hAnsi="Cambria"/>
          <w:color w:val="000000" w:themeColor="text1"/>
          <w:sz w:val="20"/>
          <w:szCs w:val="20"/>
          <w:lang w:val="es-BO"/>
        </w:rPr>
        <w:t xml:space="preserve"> </w:t>
      </w:r>
      <w:r w:rsidR="00C93CA7" w:rsidRPr="008745C2">
        <w:rPr>
          <w:rFonts w:ascii="Cambria" w:hAnsi="Cambria"/>
          <w:color w:val="000000" w:themeColor="text1"/>
          <w:sz w:val="20"/>
          <w:szCs w:val="20"/>
          <w:lang w:val="es-BO"/>
        </w:rPr>
        <w:t xml:space="preserve">21, </w:t>
      </w:r>
      <w:r w:rsidR="0074297A" w:rsidRPr="008745C2">
        <w:rPr>
          <w:rFonts w:ascii="Cambria" w:hAnsi="Cambria"/>
          <w:color w:val="000000" w:themeColor="text1"/>
          <w:sz w:val="20"/>
          <w:szCs w:val="20"/>
          <w:lang w:val="es-BO"/>
        </w:rPr>
        <w:t>24</w:t>
      </w:r>
      <w:r w:rsidR="00026AF1" w:rsidRPr="008745C2">
        <w:rPr>
          <w:rFonts w:ascii="Cambria" w:hAnsi="Cambria"/>
          <w:color w:val="000000" w:themeColor="text1"/>
          <w:sz w:val="20"/>
          <w:szCs w:val="20"/>
          <w:lang w:val="es-BO"/>
        </w:rPr>
        <w:t>,</w:t>
      </w:r>
      <w:r w:rsidR="0074297A" w:rsidRPr="008745C2">
        <w:rPr>
          <w:rFonts w:ascii="Cambria" w:hAnsi="Cambria"/>
          <w:color w:val="000000" w:themeColor="text1"/>
          <w:sz w:val="20"/>
          <w:szCs w:val="20"/>
          <w:lang w:val="es-BO"/>
        </w:rPr>
        <w:t xml:space="preserve"> 25</w:t>
      </w:r>
      <w:r w:rsidR="00026AF1" w:rsidRPr="008745C2">
        <w:rPr>
          <w:rFonts w:ascii="Cambria" w:hAnsi="Cambria"/>
          <w:color w:val="000000" w:themeColor="text1"/>
          <w:sz w:val="20"/>
          <w:szCs w:val="20"/>
          <w:lang w:val="es-BO"/>
        </w:rPr>
        <w:t xml:space="preserve"> y 26</w:t>
      </w:r>
      <w:r w:rsidR="0074297A" w:rsidRPr="008745C2">
        <w:rPr>
          <w:rFonts w:ascii="Cambria" w:hAnsi="Cambria"/>
          <w:color w:val="000000" w:themeColor="text1"/>
          <w:sz w:val="20"/>
          <w:szCs w:val="20"/>
          <w:lang w:val="es-BO"/>
        </w:rPr>
        <w:t xml:space="preserve"> de la Convención Americana en relación con su</w:t>
      </w:r>
      <w:r w:rsidR="00363A10" w:rsidRPr="008745C2">
        <w:rPr>
          <w:rFonts w:ascii="Cambria" w:hAnsi="Cambria"/>
          <w:color w:val="000000" w:themeColor="text1"/>
          <w:sz w:val="20"/>
          <w:szCs w:val="20"/>
          <w:lang w:val="es-BO"/>
        </w:rPr>
        <w:t>s</w:t>
      </w:r>
      <w:r w:rsidR="0074297A" w:rsidRPr="008745C2">
        <w:rPr>
          <w:rFonts w:ascii="Cambria" w:hAnsi="Cambria"/>
          <w:color w:val="000000" w:themeColor="text1"/>
          <w:sz w:val="20"/>
          <w:szCs w:val="20"/>
          <w:lang w:val="es-BO"/>
        </w:rPr>
        <w:t xml:space="preserve"> artículo</w:t>
      </w:r>
      <w:r w:rsidR="00363A10" w:rsidRPr="008745C2">
        <w:rPr>
          <w:rFonts w:ascii="Cambria" w:hAnsi="Cambria"/>
          <w:color w:val="000000" w:themeColor="text1"/>
          <w:sz w:val="20"/>
          <w:szCs w:val="20"/>
          <w:lang w:val="es-BO"/>
        </w:rPr>
        <w:t>s</w:t>
      </w:r>
      <w:r w:rsidR="0074297A" w:rsidRPr="008745C2">
        <w:rPr>
          <w:rFonts w:ascii="Cambria" w:hAnsi="Cambria"/>
          <w:color w:val="000000" w:themeColor="text1"/>
          <w:sz w:val="20"/>
          <w:szCs w:val="20"/>
          <w:lang w:val="es-BO"/>
        </w:rPr>
        <w:t xml:space="preserve"> 1</w:t>
      </w:r>
      <w:r w:rsidR="00363A10" w:rsidRPr="008745C2">
        <w:rPr>
          <w:rFonts w:ascii="Cambria" w:hAnsi="Cambria"/>
          <w:color w:val="000000" w:themeColor="text1"/>
          <w:sz w:val="20"/>
          <w:szCs w:val="20"/>
          <w:lang w:val="es-BO"/>
        </w:rPr>
        <w:t>.1 y 2</w:t>
      </w:r>
      <w:r w:rsidR="00A758AA" w:rsidRPr="008745C2">
        <w:rPr>
          <w:rFonts w:asciiTheme="majorHAnsi" w:hAnsiTheme="majorHAnsi"/>
          <w:sz w:val="20"/>
          <w:szCs w:val="20"/>
          <w:lang w:val="es-ES"/>
        </w:rPr>
        <w:t>;</w:t>
      </w:r>
    </w:p>
    <w:p w:rsidR="004A6A54" w:rsidRPr="008745C2"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45C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B72AB5" w:rsidRPr="002B7B81" w:rsidRDefault="00B72AB5" w:rsidP="00B72A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24</w:t>
      </w:r>
      <w:r w:rsidRPr="002B7B81">
        <w:rPr>
          <w:rFonts w:ascii="Cambria" w:hAnsi="Cambria"/>
          <w:sz w:val="20"/>
          <w:szCs w:val="20"/>
          <w:lang w:val="es-ES"/>
        </w:rPr>
        <w:t xml:space="preserve"> días del mes de </w:t>
      </w:r>
      <w:r>
        <w:rPr>
          <w:rFonts w:ascii="Cambria" w:hAnsi="Cambria" w:cs="Arial"/>
          <w:noProof/>
          <w:spacing w:val="-2"/>
          <w:sz w:val="20"/>
          <w:szCs w:val="20"/>
          <w:lang w:val="es-CL"/>
        </w:rPr>
        <w:t>abril</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w:t>
      </w:r>
      <w:proofErr w:type="spellStart"/>
      <w:r w:rsidRPr="002B7B81">
        <w:rPr>
          <w:rFonts w:ascii="Cambria" w:hAnsi="Cambria"/>
          <w:sz w:val="20"/>
          <w:szCs w:val="20"/>
          <w:lang w:val="es-ES"/>
        </w:rPr>
        <w:t>May</w:t>
      </w:r>
      <w:proofErr w:type="spellEnd"/>
      <w:r w:rsidRPr="002B7B81">
        <w:rPr>
          <w:rFonts w:ascii="Cambria" w:hAnsi="Cambria"/>
          <w:sz w:val="20"/>
          <w:szCs w:val="20"/>
          <w:lang w:val="es-ES"/>
        </w:rPr>
        <w:t xml:space="preserve"> Macaulay</w:t>
      </w:r>
      <w:r>
        <w:rPr>
          <w:rFonts w:ascii="Cambria" w:hAnsi="Cambria"/>
          <w:sz w:val="20"/>
          <w:szCs w:val="20"/>
          <w:lang w:val="es-ES"/>
        </w:rPr>
        <w:t>, Luis Ernesto Vargas Silva</w:t>
      </w:r>
      <w:r w:rsidRPr="002B7B81">
        <w:rPr>
          <w:rFonts w:ascii="Cambria" w:hAnsi="Cambria"/>
          <w:sz w:val="20"/>
          <w:szCs w:val="20"/>
          <w:lang w:val="es-ES"/>
        </w:rPr>
        <w:t xml:space="preserve"> y Flávia Piovesan, Miembros de la Comisión.</w:t>
      </w:r>
    </w:p>
    <w:p w:rsidR="00B72AB5" w:rsidRDefault="00B72AB5" w:rsidP="00B72A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3A598E" w:rsidRDefault="00B72AB5" w:rsidP="003A59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p>
    <w:p w:rsidR="003A598E" w:rsidRDefault="003A598E">
      <w:pPr>
        <w:rPr>
          <w:rFonts w:ascii="Cambria" w:hAnsi="Cambria"/>
          <w:sz w:val="20"/>
          <w:szCs w:val="20"/>
          <w:lang w:val="es-ES"/>
        </w:rPr>
      </w:pPr>
      <w:r>
        <w:rPr>
          <w:rFonts w:ascii="Cambria" w:hAnsi="Cambria"/>
          <w:sz w:val="20"/>
          <w:szCs w:val="20"/>
          <w:lang w:val="es-ES"/>
        </w:rPr>
        <w:br w:type="page"/>
      </w:r>
    </w:p>
    <w:p w:rsidR="00186090" w:rsidRPr="00AA06A9" w:rsidRDefault="00186090" w:rsidP="003A59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pt-BR"/>
        </w:rPr>
      </w:pPr>
    </w:p>
    <w:p w:rsidR="00AA06A9" w:rsidRPr="00AA06A9" w:rsidRDefault="00186090" w:rsidP="00AA06A9">
      <w:pPr>
        <w:spacing w:before="120"/>
        <w:jc w:val="center"/>
        <w:rPr>
          <w:rFonts w:asciiTheme="majorHAnsi" w:hAnsiTheme="majorHAnsi"/>
          <w:b/>
          <w:sz w:val="20"/>
          <w:szCs w:val="20"/>
          <w:lang w:val="pt-BR"/>
        </w:rPr>
      </w:pPr>
      <w:r w:rsidRPr="00AA06A9">
        <w:rPr>
          <w:rFonts w:asciiTheme="majorHAnsi" w:hAnsiTheme="majorHAnsi" w:cs="Calibri"/>
          <w:b/>
          <w:sz w:val="20"/>
          <w:szCs w:val="20"/>
          <w:lang w:val="pt-BR"/>
        </w:rPr>
        <w:t>Anexo  1</w:t>
      </w:r>
    </w:p>
    <w:p w:rsidR="00186090" w:rsidRPr="00640177" w:rsidRDefault="00186090" w:rsidP="00AA06A9">
      <w:pPr>
        <w:spacing w:before="120"/>
        <w:jc w:val="center"/>
        <w:rPr>
          <w:rFonts w:asciiTheme="majorHAnsi" w:hAnsiTheme="majorHAnsi"/>
          <w:b/>
          <w:sz w:val="20"/>
          <w:szCs w:val="20"/>
          <w:lang w:val="es-CO"/>
        </w:rPr>
      </w:pPr>
      <w:r w:rsidRPr="00640177">
        <w:rPr>
          <w:rFonts w:asciiTheme="majorHAnsi" w:hAnsiTheme="majorHAnsi"/>
          <w:b/>
          <w:sz w:val="20"/>
          <w:szCs w:val="20"/>
          <w:lang w:val="es-CO"/>
        </w:rPr>
        <w:t>Listado de</w:t>
      </w:r>
      <w:r>
        <w:rPr>
          <w:rFonts w:asciiTheme="majorHAnsi" w:hAnsiTheme="majorHAnsi"/>
          <w:b/>
          <w:sz w:val="20"/>
          <w:szCs w:val="20"/>
          <w:lang w:val="es-CO"/>
        </w:rPr>
        <w:t xml:space="preserve"> presunta </w:t>
      </w:r>
      <w:r w:rsidRPr="00640177">
        <w:rPr>
          <w:rFonts w:asciiTheme="majorHAnsi" w:hAnsiTheme="majorHAnsi"/>
          <w:b/>
          <w:sz w:val="20"/>
          <w:szCs w:val="20"/>
          <w:lang w:val="es-CO"/>
        </w:rPr>
        <w:t xml:space="preserve"> víctimas</w:t>
      </w:r>
    </w:p>
    <w:p w:rsidR="00186090" w:rsidRDefault="00186090" w:rsidP="00640177">
      <w:pPr>
        <w:spacing w:before="120"/>
        <w:ind w:firstLine="720"/>
        <w:jc w:val="both"/>
        <w:rPr>
          <w:rFonts w:asciiTheme="majorHAnsi" w:hAnsiTheme="majorHAnsi"/>
          <w:sz w:val="20"/>
          <w:szCs w:val="20"/>
          <w:lang w:val="es-CO"/>
        </w:rPr>
      </w:pPr>
    </w:p>
    <w:p w:rsidR="00186090" w:rsidRPr="00640177" w:rsidRDefault="00186090" w:rsidP="00640177">
      <w:pPr>
        <w:spacing w:before="120"/>
        <w:ind w:firstLine="720"/>
        <w:jc w:val="both"/>
        <w:rPr>
          <w:rFonts w:asciiTheme="majorHAnsi" w:hAnsiTheme="majorHAnsi"/>
          <w:sz w:val="20"/>
          <w:szCs w:val="20"/>
          <w:lang w:val="es-CO"/>
        </w:rPr>
      </w:pP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1. Ana María Luque Gutiérrez de Cruz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2. Miria Macahualli Chasnamote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3. Dorita Chasnamote Maurajari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4. María Olga Huaranga Mendoza</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5. Juan Aguilar Mendivil</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6. Mari TangoaPardo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7. Deonocc Bacelisa Yauri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8. Maura Cecilia Barboza Rojas</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9. Tomas Año Amachi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10. Bertha Ruiz De Gómez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11. Camilo Matías Fabian Valverde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12. Yessenia Gómez Hinostroza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13. Juan Sánchez Marcelo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14. Jesús Armando Canchari Díaz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15. Ayarquispe Jarico, Helaria</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16. Constancia SerranoPillihuaman</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17. Gloria María Balvin Ramírez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18. Elizabeth Crespo Barragan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19. Milton Joel Urcos Cano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20. Feliciana Paredes Dechancas</w:t>
      </w:r>
    </w:p>
    <w:p w:rsidR="00186090" w:rsidRPr="00AA06A9" w:rsidRDefault="00186090" w:rsidP="00640177">
      <w:pPr>
        <w:spacing w:before="120"/>
        <w:ind w:firstLine="720"/>
        <w:jc w:val="both"/>
        <w:rPr>
          <w:rFonts w:asciiTheme="majorHAnsi" w:hAnsiTheme="majorHAnsi"/>
          <w:sz w:val="20"/>
          <w:szCs w:val="20"/>
          <w:lang w:val="es-CO"/>
        </w:rPr>
      </w:pPr>
      <w:r w:rsidRPr="00AA06A9">
        <w:rPr>
          <w:rFonts w:asciiTheme="majorHAnsi" w:hAnsiTheme="majorHAnsi"/>
          <w:sz w:val="20"/>
          <w:szCs w:val="20"/>
          <w:lang w:val="es-CO"/>
        </w:rPr>
        <w:t xml:space="preserve">21. Irma Aquino Tito </w:t>
      </w:r>
    </w:p>
    <w:p w:rsidR="00186090" w:rsidRPr="00AA06A9" w:rsidRDefault="00186090" w:rsidP="00640177">
      <w:pPr>
        <w:spacing w:before="120"/>
        <w:ind w:firstLine="720"/>
        <w:jc w:val="both"/>
        <w:rPr>
          <w:rFonts w:asciiTheme="majorHAnsi" w:hAnsiTheme="majorHAnsi"/>
          <w:sz w:val="20"/>
          <w:szCs w:val="20"/>
          <w:lang w:val="es-CO"/>
        </w:rPr>
      </w:pPr>
      <w:r w:rsidRPr="00AA06A9">
        <w:rPr>
          <w:rFonts w:asciiTheme="majorHAnsi" w:hAnsiTheme="majorHAnsi"/>
          <w:sz w:val="20"/>
          <w:szCs w:val="20"/>
          <w:lang w:val="es-CO"/>
        </w:rPr>
        <w:t xml:space="preserve">22. Adela Aguilar Quispe </w:t>
      </w:r>
    </w:p>
    <w:p w:rsidR="00186090" w:rsidRPr="00AA06A9" w:rsidRDefault="00186090" w:rsidP="00640177">
      <w:pPr>
        <w:spacing w:before="120"/>
        <w:ind w:firstLine="720"/>
        <w:jc w:val="both"/>
        <w:rPr>
          <w:rFonts w:asciiTheme="majorHAnsi" w:hAnsiTheme="majorHAnsi"/>
          <w:sz w:val="20"/>
          <w:szCs w:val="20"/>
          <w:lang w:val="es-CO"/>
        </w:rPr>
      </w:pPr>
      <w:r w:rsidRPr="00AA06A9">
        <w:rPr>
          <w:rFonts w:asciiTheme="majorHAnsi" w:hAnsiTheme="majorHAnsi"/>
          <w:sz w:val="20"/>
          <w:szCs w:val="20"/>
          <w:lang w:val="es-CO"/>
        </w:rPr>
        <w:t xml:space="preserve">23. Jorge Luis Mendoza Romero </w:t>
      </w:r>
    </w:p>
    <w:p w:rsidR="00186090" w:rsidRPr="00AA06A9" w:rsidRDefault="00186090" w:rsidP="00640177">
      <w:pPr>
        <w:spacing w:before="120"/>
        <w:ind w:firstLine="720"/>
        <w:jc w:val="both"/>
        <w:rPr>
          <w:rFonts w:asciiTheme="majorHAnsi" w:hAnsiTheme="majorHAnsi"/>
          <w:sz w:val="20"/>
          <w:szCs w:val="20"/>
          <w:lang w:val="es-CO"/>
        </w:rPr>
      </w:pPr>
      <w:r w:rsidRPr="00AA06A9">
        <w:rPr>
          <w:rFonts w:asciiTheme="majorHAnsi" w:hAnsiTheme="majorHAnsi"/>
          <w:sz w:val="20"/>
          <w:szCs w:val="20"/>
          <w:lang w:val="es-CO"/>
        </w:rPr>
        <w:t xml:space="preserve">24. Saturnino Ferro García </w:t>
      </w:r>
    </w:p>
    <w:p w:rsidR="00186090" w:rsidRPr="00AA06A9" w:rsidRDefault="00186090" w:rsidP="00640177">
      <w:pPr>
        <w:spacing w:before="120"/>
        <w:ind w:firstLine="720"/>
        <w:jc w:val="both"/>
        <w:rPr>
          <w:rFonts w:asciiTheme="majorHAnsi" w:hAnsiTheme="majorHAnsi"/>
          <w:sz w:val="20"/>
          <w:szCs w:val="20"/>
          <w:lang w:val="es-CO"/>
        </w:rPr>
      </w:pPr>
      <w:r w:rsidRPr="00AA06A9">
        <w:rPr>
          <w:rFonts w:asciiTheme="majorHAnsi" w:hAnsiTheme="majorHAnsi"/>
          <w:sz w:val="20"/>
          <w:szCs w:val="20"/>
          <w:lang w:val="es-CO"/>
        </w:rPr>
        <w:t xml:space="preserve">25. Olga María Luis </w:t>
      </w:r>
      <w:proofErr w:type="spellStart"/>
      <w:r w:rsidRPr="00AA06A9">
        <w:rPr>
          <w:rFonts w:asciiTheme="majorHAnsi" w:hAnsiTheme="majorHAnsi"/>
          <w:sz w:val="20"/>
          <w:szCs w:val="20"/>
          <w:lang w:val="es-CO"/>
        </w:rPr>
        <w:t>Conqui</w:t>
      </w:r>
      <w:proofErr w:type="spellEnd"/>
      <w:r w:rsidRPr="00AA06A9">
        <w:rPr>
          <w:rFonts w:asciiTheme="majorHAnsi" w:hAnsiTheme="majorHAnsi"/>
          <w:sz w:val="20"/>
          <w:szCs w:val="20"/>
          <w:lang w:val="es-CO"/>
        </w:rPr>
        <w:tab/>
      </w:r>
    </w:p>
    <w:p w:rsidR="00186090" w:rsidRPr="00AA06A9" w:rsidRDefault="00186090" w:rsidP="00640177">
      <w:pPr>
        <w:spacing w:before="120"/>
        <w:ind w:firstLine="720"/>
        <w:jc w:val="both"/>
        <w:rPr>
          <w:rFonts w:asciiTheme="majorHAnsi" w:hAnsiTheme="majorHAnsi"/>
          <w:sz w:val="20"/>
          <w:szCs w:val="20"/>
          <w:lang w:val="es-CO"/>
        </w:rPr>
      </w:pPr>
      <w:r w:rsidRPr="00AA06A9">
        <w:rPr>
          <w:rFonts w:asciiTheme="majorHAnsi" w:hAnsiTheme="majorHAnsi"/>
          <w:sz w:val="20"/>
          <w:szCs w:val="20"/>
          <w:lang w:val="es-CO"/>
        </w:rPr>
        <w:t xml:space="preserve">26. Ricardo Jesús Ávila Valenzuela </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 xml:space="preserve">27. Rosas Choque Condorapa </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 xml:space="preserve">28. Carlos Vicente Ortiz Villegas </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 xml:space="preserve">29. Guillermo Canales Llacta </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 xml:space="preserve">30. Florentina Rosa Simón Mora </w:t>
      </w:r>
    </w:p>
    <w:p w:rsidR="00186090" w:rsidRPr="00B72AB5" w:rsidRDefault="00186090" w:rsidP="00640177">
      <w:pPr>
        <w:spacing w:before="120"/>
        <w:ind w:firstLine="720"/>
        <w:jc w:val="both"/>
        <w:rPr>
          <w:rFonts w:asciiTheme="majorHAnsi" w:hAnsiTheme="majorHAnsi"/>
          <w:sz w:val="20"/>
          <w:szCs w:val="20"/>
          <w:lang w:val="pt-BR"/>
        </w:rPr>
      </w:pPr>
      <w:r w:rsidRPr="00B72AB5">
        <w:rPr>
          <w:rFonts w:asciiTheme="majorHAnsi" w:hAnsiTheme="majorHAnsi"/>
          <w:sz w:val="20"/>
          <w:szCs w:val="20"/>
          <w:lang w:val="pt-BR"/>
        </w:rPr>
        <w:t xml:space="preserve">31. Herlinda Isabel Gil De la Cruz </w:t>
      </w:r>
    </w:p>
    <w:p w:rsidR="00186090" w:rsidRPr="00B72AB5" w:rsidRDefault="00186090" w:rsidP="00640177">
      <w:pPr>
        <w:spacing w:before="120"/>
        <w:ind w:firstLine="720"/>
        <w:jc w:val="both"/>
        <w:rPr>
          <w:rFonts w:asciiTheme="majorHAnsi" w:hAnsiTheme="majorHAnsi"/>
          <w:sz w:val="20"/>
          <w:szCs w:val="20"/>
          <w:lang w:val="pt-BR"/>
        </w:rPr>
      </w:pPr>
      <w:r w:rsidRPr="00B72AB5">
        <w:rPr>
          <w:rFonts w:asciiTheme="majorHAnsi" w:hAnsiTheme="majorHAnsi"/>
          <w:sz w:val="20"/>
          <w:szCs w:val="20"/>
          <w:lang w:val="pt-BR"/>
        </w:rPr>
        <w:lastRenderedPageBreak/>
        <w:t>32. Pedro Diestra García</w:t>
      </w:r>
    </w:p>
    <w:p w:rsidR="00186090" w:rsidRPr="00B72AB5" w:rsidRDefault="00186090" w:rsidP="00640177">
      <w:pPr>
        <w:spacing w:before="120"/>
        <w:ind w:firstLine="720"/>
        <w:jc w:val="both"/>
        <w:rPr>
          <w:rFonts w:asciiTheme="majorHAnsi" w:hAnsiTheme="majorHAnsi"/>
          <w:sz w:val="20"/>
          <w:szCs w:val="20"/>
          <w:lang w:val="pt-BR"/>
        </w:rPr>
      </w:pPr>
      <w:r w:rsidRPr="00B72AB5">
        <w:rPr>
          <w:rFonts w:asciiTheme="majorHAnsi" w:hAnsiTheme="majorHAnsi"/>
          <w:sz w:val="20"/>
          <w:szCs w:val="20"/>
          <w:lang w:val="pt-BR"/>
        </w:rPr>
        <w:t>33. Amalia Pretel Torres</w:t>
      </w:r>
    </w:p>
    <w:p w:rsidR="00186090" w:rsidRPr="00B72AB5" w:rsidRDefault="00186090" w:rsidP="00640177">
      <w:pPr>
        <w:spacing w:before="120"/>
        <w:ind w:firstLine="720"/>
        <w:jc w:val="both"/>
        <w:rPr>
          <w:rFonts w:asciiTheme="majorHAnsi" w:hAnsiTheme="majorHAnsi"/>
          <w:sz w:val="20"/>
          <w:szCs w:val="20"/>
          <w:lang w:val="pt-BR"/>
        </w:rPr>
      </w:pPr>
      <w:r w:rsidRPr="00B72AB5">
        <w:rPr>
          <w:rFonts w:asciiTheme="majorHAnsi" w:hAnsiTheme="majorHAnsi"/>
          <w:sz w:val="20"/>
          <w:szCs w:val="20"/>
          <w:lang w:val="pt-BR"/>
        </w:rPr>
        <w:t xml:space="preserve">34. Aquilina Teodora García Rodríguez </w:t>
      </w:r>
    </w:p>
    <w:p w:rsidR="00186090" w:rsidRPr="00B72AB5" w:rsidRDefault="00186090" w:rsidP="00640177">
      <w:pPr>
        <w:spacing w:before="120"/>
        <w:ind w:firstLine="720"/>
        <w:jc w:val="both"/>
        <w:rPr>
          <w:rFonts w:asciiTheme="majorHAnsi" w:hAnsiTheme="majorHAnsi"/>
          <w:sz w:val="20"/>
          <w:szCs w:val="20"/>
          <w:lang w:val="pt-BR"/>
        </w:rPr>
      </w:pPr>
      <w:r w:rsidRPr="00B72AB5">
        <w:rPr>
          <w:rFonts w:asciiTheme="majorHAnsi" w:hAnsiTheme="majorHAnsi"/>
          <w:sz w:val="20"/>
          <w:szCs w:val="20"/>
          <w:lang w:val="pt-BR"/>
        </w:rPr>
        <w:t xml:space="preserve">35. Lidia Beatriz Marcial Mora </w:t>
      </w:r>
    </w:p>
    <w:p w:rsidR="00186090" w:rsidRPr="00B72AB5" w:rsidRDefault="00186090" w:rsidP="00640177">
      <w:pPr>
        <w:spacing w:before="120"/>
        <w:ind w:firstLine="720"/>
        <w:jc w:val="both"/>
        <w:rPr>
          <w:rFonts w:asciiTheme="majorHAnsi" w:hAnsiTheme="majorHAnsi"/>
          <w:sz w:val="20"/>
          <w:szCs w:val="20"/>
          <w:lang w:val="pt-BR"/>
        </w:rPr>
      </w:pPr>
      <w:r w:rsidRPr="00B72AB5">
        <w:rPr>
          <w:rFonts w:asciiTheme="majorHAnsi" w:hAnsiTheme="majorHAnsi"/>
          <w:sz w:val="20"/>
          <w:szCs w:val="20"/>
          <w:lang w:val="pt-BR"/>
        </w:rPr>
        <w:t xml:space="preserve">36. Alex Víctor Atencio Luna </w:t>
      </w:r>
    </w:p>
    <w:p w:rsidR="00186090" w:rsidRPr="00B72AB5" w:rsidRDefault="00186090" w:rsidP="00640177">
      <w:pPr>
        <w:spacing w:before="120"/>
        <w:ind w:firstLine="720"/>
        <w:jc w:val="both"/>
        <w:rPr>
          <w:rFonts w:asciiTheme="majorHAnsi" w:hAnsiTheme="majorHAnsi"/>
          <w:sz w:val="20"/>
          <w:szCs w:val="20"/>
          <w:lang w:val="pt-BR"/>
        </w:rPr>
      </w:pPr>
      <w:r w:rsidRPr="00B72AB5">
        <w:rPr>
          <w:rFonts w:asciiTheme="majorHAnsi" w:hAnsiTheme="majorHAnsi"/>
          <w:sz w:val="20"/>
          <w:szCs w:val="20"/>
          <w:lang w:val="pt-BR"/>
        </w:rPr>
        <w:t xml:space="preserve">37. Celia Lucila Paucar Aguirre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38. Timoteo De La Cruz Lozano</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39. Liz Cáceres Palomino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40. Rosario Paypay Palomino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41. Máximo Paypay Candela</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42. Antonio Paypay Palomino</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43. Efraín Campos Rosales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44. Maria Nila Micaya Espinoza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45. Javier Paucar Moreno</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 xml:space="preserve">46. Pastora Nuñez Izaguirre </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47. Zenaida Valverde Rodríguez</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48. Luz Elena Bustamante Saldaña</w:t>
      </w:r>
    </w:p>
    <w:p w:rsidR="00186090" w:rsidRPr="00640177" w:rsidRDefault="00186090" w:rsidP="00640177">
      <w:pPr>
        <w:spacing w:before="120"/>
        <w:ind w:firstLine="720"/>
        <w:jc w:val="both"/>
        <w:rPr>
          <w:rFonts w:asciiTheme="majorHAnsi" w:hAnsiTheme="majorHAnsi"/>
          <w:sz w:val="20"/>
          <w:szCs w:val="20"/>
          <w:lang w:val="es-CO"/>
        </w:rPr>
      </w:pPr>
      <w:r w:rsidRPr="00640177">
        <w:rPr>
          <w:rFonts w:asciiTheme="majorHAnsi" w:hAnsiTheme="majorHAnsi"/>
          <w:sz w:val="20"/>
          <w:szCs w:val="20"/>
          <w:lang w:val="es-CO"/>
        </w:rPr>
        <w:t>49. Lidia Mamani Condori</w:t>
      </w:r>
    </w:p>
    <w:p w:rsidR="00186090" w:rsidRPr="00B72AB5" w:rsidRDefault="00186090" w:rsidP="00640177">
      <w:pPr>
        <w:spacing w:before="120"/>
        <w:ind w:firstLine="720"/>
        <w:jc w:val="both"/>
        <w:rPr>
          <w:rFonts w:asciiTheme="majorHAnsi" w:hAnsiTheme="majorHAnsi"/>
          <w:sz w:val="20"/>
          <w:szCs w:val="20"/>
          <w:lang w:val="pt-BR"/>
        </w:rPr>
      </w:pPr>
      <w:r w:rsidRPr="00B72AB5">
        <w:rPr>
          <w:rFonts w:asciiTheme="majorHAnsi" w:hAnsiTheme="majorHAnsi"/>
          <w:sz w:val="20"/>
          <w:szCs w:val="20"/>
          <w:lang w:val="pt-BR"/>
        </w:rPr>
        <w:t xml:space="preserve">50. Manuela Quispe Mamani </w:t>
      </w:r>
    </w:p>
    <w:p w:rsidR="00186090" w:rsidRPr="00640177" w:rsidRDefault="00186090" w:rsidP="00640177">
      <w:pPr>
        <w:spacing w:before="120"/>
        <w:ind w:firstLine="720"/>
        <w:jc w:val="both"/>
        <w:rPr>
          <w:rFonts w:asciiTheme="majorHAnsi" w:hAnsiTheme="majorHAnsi"/>
          <w:sz w:val="20"/>
          <w:szCs w:val="20"/>
          <w:lang w:val="pt-BR"/>
        </w:rPr>
      </w:pPr>
      <w:r w:rsidRPr="00640177">
        <w:rPr>
          <w:rFonts w:asciiTheme="majorHAnsi" w:hAnsiTheme="majorHAnsi"/>
          <w:sz w:val="20"/>
          <w:szCs w:val="20"/>
          <w:lang w:val="pt-BR"/>
        </w:rPr>
        <w:t>51. Donatila Marquina Torres</w:t>
      </w:r>
    </w:p>
    <w:p w:rsidR="00186090" w:rsidRPr="00640177" w:rsidRDefault="00186090" w:rsidP="00640177">
      <w:pPr>
        <w:spacing w:before="120"/>
        <w:ind w:firstLine="720"/>
        <w:jc w:val="both"/>
        <w:rPr>
          <w:rFonts w:asciiTheme="majorHAnsi" w:hAnsiTheme="majorHAnsi"/>
          <w:sz w:val="20"/>
          <w:szCs w:val="20"/>
          <w:lang w:val="pt-BR"/>
        </w:rPr>
      </w:pPr>
      <w:r w:rsidRPr="00640177">
        <w:rPr>
          <w:rFonts w:asciiTheme="majorHAnsi" w:hAnsiTheme="majorHAnsi"/>
          <w:sz w:val="20"/>
          <w:szCs w:val="20"/>
          <w:lang w:val="pt-BR"/>
        </w:rPr>
        <w:t>52. Pelaya Cordova Alvites</w:t>
      </w:r>
    </w:p>
    <w:p w:rsidR="00186090" w:rsidRPr="00640177" w:rsidRDefault="00186090" w:rsidP="00640177">
      <w:pPr>
        <w:spacing w:before="120"/>
        <w:ind w:firstLine="720"/>
        <w:jc w:val="both"/>
        <w:rPr>
          <w:rFonts w:asciiTheme="majorHAnsi" w:hAnsiTheme="majorHAnsi"/>
          <w:sz w:val="20"/>
          <w:szCs w:val="20"/>
          <w:lang w:val="pt-BR"/>
        </w:rPr>
      </w:pPr>
      <w:r w:rsidRPr="00640177">
        <w:rPr>
          <w:rFonts w:asciiTheme="majorHAnsi" w:hAnsiTheme="majorHAnsi"/>
          <w:sz w:val="20"/>
          <w:szCs w:val="20"/>
          <w:lang w:val="pt-BR"/>
        </w:rPr>
        <w:t xml:space="preserve">53. Nelitón Prado Mamani </w:t>
      </w:r>
    </w:p>
    <w:p w:rsidR="00186090" w:rsidRPr="00640177" w:rsidRDefault="00186090" w:rsidP="00640177">
      <w:pPr>
        <w:spacing w:before="120"/>
        <w:ind w:firstLine="720"/>
        <w:jc w:val="both"/>
        <w:rPr>
          <w:rFonts w:asciiTheme="majorHAnsi" w:hAnsiTheme="majorHAnsi"/>
          <w:sz w:val="20"/>
          <w:szCs w:val="20"/>
          <w:lang w:val="pt-BR"/>
        </w:rPr>
      </w:pPr>
      <w:r w:rsidRPr="00640177">
        <w:rPr>
          <w:rFonts w:asciiTheme="majorHAnsi" w:hAnsiTheme="majorHAnsi"/>
          <w:sz w:val="20"/>
          <w:szCs w:val="20"/>
          <w:lang w:val="pt-BR"/>
        </w:rPr>
        <w:t xml:space="preserve">54. Reynaldo Bernardo Castañeda </w:t>
      </w:r>
    </w:p>
    <w:p w:rsidR="00186090" w:rsidRPr="00640177" w:rsidRDefault="00186090" w:rsidP="00640177">
      <w:pPr>
        <w:spacing w:before="120"/>
        <w:ind w:firstLine="720"/>
        <w:jc w:val="both"/>
        <w:rPr>
          <w:rFonts w:asciiTheme="majorHAnsi" w:hAnsiTheme="majorHAnsi"/>
          <w:sz w:val="20"/>
          <w:szCs w:val="20"/>
          <w:lang w:val="pt-BR"/>
        </w:rPr>
      </w:pPr>
      <w:r w:rsidRPr="00640177">
        <w:rPr>
          <w:rFonts w:asciiTheme="majorHAnsi" w:hAnsiTheme="majorHAnsi"/>
          <w:sz w:val="20"/>
          <w:szCs w:val="20"/>
          <w:lang w:val="pt-BR"/>
        </w:rPr>
        <w:t>55. David Lavado Dávila</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56. Encarnación Pérez Quispe</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 xml:space="preserve">57. Iván Crisóstomo Paredes Choque </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58. Melchora Yolanda Triqueros Romero</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 xml:space="preserve">59. Luís Alberto Tito Huarcaya </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60. Florina Fernández Vega</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61. Tania Simón Mora</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 xml:space="preserve">62. Soledad Areche Yauri </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63. Felipa Gladis Trigueros Romero</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 xml:space="preserve">64. Luis Felipe Castillo Navarro </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 xml:space="preserve">65. Rosa Violeta Gala Vásquez </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66. José Fernández Vega</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t>67. Jhonny Carlos Cartagena Salazar</w:t>
      </w:r>
    </w:p>
    <w:p w:rsidR="00186090" w:rsidRPr="00640177" w:rsidRDefault="00186090" w:rsidP="00640177">
      <w:pPr>
        <w:spacing w:before="120"/>
        <w:ind w:firstLine="720"/>
        <w:jc w:val="both"/>
        <w:rPr>
          <w:rFonts w:asciiTheme="majorHAnsi" w:hAnsiTheme="majorHAnsi"/>
          <w:sz w:val="20"/>
          <w:szCs w:val="20"/>
          <w:lang w:val="es-BO"/>
        </w:rPr>
      </w:pPr>
      <w:r w:rsidRPr="00640177">
        <w:rPr>
          <w:rFonts w:asciiTheme="majorHAnsi" w:hAnsiTheme="majorHAnsi"/>
          <w:sz w:val="20"/>
          <w:szCs w:val="20"/>
          <w:lang w:val="es-BO"/>
        </w:rPr>
        <w:lastRenderedPageBreak/>
        <w:t xml:space="preserve">68. Martha Gladis De La Cruz De Velarde </w:t>
      </w:r>
    </w:p>
    <w:sectPr w:rsidR="00186090" w:rsidRPr="0064017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67" w:rsidRDefault="000C7167">
      <w:r>
        <w:separator/>
      </w:r>
    </w:p>
  </w:endnote>
  <w:endnote w:type="continuationSeparator" w:id="0">
    <w:p w:rsidR="000C7167" w:rsidRDefault="000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83" w:rsidRDefault="00286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C04B2A" w:rsidRPr="00934A2C" w:rsidRDefault="00C04B2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86183">
          <w:rPr>
            <w:noProof/>
            <w:sz w:val="16"/>
            <w:szCs w:val="22"/>
          </w:rPr>
          <w:t>1</w:t>
        </w:r>
        <w:r w:rsidRPr="00934A2C">
          <w:rPr>
            <w:noProof/>
            <w:sz w:val="16"/>
            <w:szCs w:val="22"/>
          </w:rPr>
          <w:fldChar w:fldCharType="end"/>
        </w:r>
      </w:p>
    </w:sdtContent>
  </w:sdt>
  <w:p w:rsidR="00C04B2A" w:rsidRDefault="00C04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2A" w:rsidRPr="00934A2C" w:rsidRDefault="00C04B2A">
    <w:pPr>
      <w:pStyle w:val="Footer"/>
      <w:jc w:val="center"/>
      <w:rPr>
        <w:sz w:val="16"/>
        <w:szCs w:val="22"/>
      </w:rPr>
    </w:pPr>
  </w:p>
  <w:p w:rsidR="00C04B2A" w:rsidRDefault="00C04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67" w:rsidRPr="000F35ED" w:rsidRDefault="000C716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C7167" w:rsidRPr="000F35ED" w:rsidRDefault="000C7167" w:rsidP="000F35ED">
      <w:pPr>
        <w:rPr>
          <w:rFonts w:asciiTheme="majorHAnsi" w:hAnsiTheme="majorHAnsi"/>
          <w:sz w:val="16"/>
          <w:szCs w:val="16"/>
        </w:rPr>
      </w:pPr>
      <w:r w:rsidRPr="000F35ED">
        <w:rPr>
          <w:rFonts w:asciiTheme="majorHAnsi" w:hAnsiTheme="majorHAnsi"/>
          <w:sz w:val="16"/>
          <w:szCs w:val="16"/>
        </w:rPr>
        <w:separator/>
      </w:r>
    </w:p>
    <w:p w:rsidR="000C7167" w:rsidRPr="000F35ED" w:rsidRDefault="000C716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C7167" w:rsidRPr="000F35ED" w:rsidRDefault="000C716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C04B2A" w:rsidRPr="00CB2AB7" w:rsidRDefault="00C04B2A" w:rsidP="00CB2AB7">
      <w:pPr>
        <w:pStyle w:val="FootnoteText"/>
        <w:ind w:firstLine="720"/>
        <w:jc w:val="both"/>
        <w:rPr>
          <w:rFonts w:asciiTheme="majorHAnsi" w:hAnsiTheme="majorHAnsi"/>
          <w:sz w:val="16"/>
          <w:szCs w:val="16"/>
          <w:lang w:val="es-BO"/>
        </w:rPr>
      </w:pPr>
      <w:r w:rsidRPr="00CB2AB7">
        <w:rPr>
          <w:rStyle w:val="FootnoteReference"/>
          <w:rFonts w:asciiTheme="majorHAnsi" w:hAnsiTheme="majorHAnsi"/>
          <w:sz w:val="16"/>
          <w:szCs w:val="16"/>
        </w:rPr>
        <w:footnoteRef/>
      </w:r>
      <w:r w:rsidRPr="00CB2AB7">
        <w:rPr>
          <w:rFonts w:asciiTheme="majorHAnsi" w:hAnsiTheme="majorHAnsi"/>
          <w:lang w:val="es-BO"/>
        </w:rPr>
        <w:t xml:space="preserve"> </w:t>
      </w:r>
      <w:r w:rsidRPr="00CB2AB7">
        <w:rPr>
          <w:rFonts w:asciiTheme="majorHAnsi" w:hAnsiTheme="majorHAnsi"/>
          <w:sz w:val="16"/>
          <w:szCs w:val="16"/>
          <w:lang w:val="es-BO"/>
        </w:rPr>
        <w:t xml:space="preserve">Se identificaron como peticionarios </w:t>
      </w:r>
      <w:r w:rsidRPr="00CB2AB7">
        <w:rPr>
          <w:rFonts w:asciiTheme="majorHAnsi" w:hAnsiTheme="majorHAnsi"/>
          <w:sz w:val="16"/>
          <w:szCs w:val="16"/>
          <w:lang w:val="es-ES"/>
        </w:rPr>
        <w:t xml:space="preserve">Víctor </w:t>
      </w:r>
      <w:proofErr w:type="spellStart"/>
      <w:r w:rsidRPr="00CB2AB7">
        <w:rPr>
          <w:rFonts w:asciiTheme="majorHAnsi" w:hAnsiTheme="majorHAnsi"/>
          <w:sz w:val="16"/>
          <w:szCs w:val="16"/>
          <w:lang w:val="es-ES"/>
        </w:rPr>
        <w:t>Ccanahuire</w:t>
      </w:r>
      <w:proofErr w:type="spellEnd"/>
      <w:r w:rsidRPr="00CB2AB7">
        <w:rPr>
          <w:rFonts w:asciiTheme="majorHAnsi" w:hAnsiTheme="majorHAnsi"/>
          <w:sz w:val="16"/>
          <w:szCs w:val="16"/>
          <w:lang w:val="es-ES"/>
        </w:rPr>
        <w:t xml:space="preserve"> Mamani, Oscar </w:t>
      </w:r>
      <w:proofErr w:type="spellStart"/>
      <w:r w:rsidRPr="00CB2AB7">
        <w:rPr>
          <w:rFonts w:asciiTheme="majorHAnsi" w:hAnsiTheme="majorHAnsi"/>
          <w:sz w:val="16"/>
          <w:szCs w:val="16"/>
          <w:lang w:val="es-ES"/>
        </w:rPr>
        <w:t>Schiappa-Pietra</w:t>
      </w:r>
      <w:proofErr w:type="spellEnd"/>
      <w:r w:rsidRPr="00CB2AB7">
        <w:rPr>
          <w:rFonts w:asciiTheme="majorHAnsi" w:hAnsiTheme="majorHAnsi"/>
          <w:sz w:val="16"/>
          <w:szCs w:val="16"/>
          <w:lang w:val="es-ES"/>
        </w:rPr>
        <w:t xml:space="preserve">, </w:t>
      </w:r>
      <w:proofErr w:type="spellStart"/>
      <w:r w:rsidRPr="00CB2AB7">
        <w:rPr>
          <w:rFonts w:asciiTheme="majorHAnsi" w:hAnsiTheme="majorHAnsi"/>
          <w:sz w:val="16"/>
          <w:szCs w:val="16"/>
          <w:lang w:val="es-ES"/>
        </w:rPr>
        <w:t>Ivar</w:t>
      </w:r>
      <w:proofErr w:type="spellEnd"/>
      <w:r w:rsidRPr="00CB2AB7">
        <w:rPr>
          <w:rFonts w:asciiTheme="majorHAnsi" w:hAnsiTheme="majorHAnsi"/>
          <w:sz w:val="16"/>
          <w:szCs w:val="16"/>
          <w:lang w:val="es-ES"/>
        </w:rPr>
        <w:t xml:space="preserve"> Jesús Calixto</w:t>
      </w:r>
      <w:r w:rsidR="00CB2AB7">
        <w:rPr>
          <w:rFonts w:asciiTheme="majorHAnsi" w:hAnsiTheme="majorHAnsi"/>
          <w:sz w:val="16"/>
          <w:szCs w:val="16"/>
          <w:lang w:val="es-ES"/>
        </w:rPr>
        <w:t xml:space="preserve"> </w:t>
      </w:r>
      <w:r w:rsidRPr="00CB2AB7">
        <w:rPr>
          <w:rFonts w:asciiTheme="majorHAnsi" w:hAnsiTheme="majorHAnsi"/>
          <w:sz w:val="16"/>
          <w:szCs w:val="16"/>
          <w:lang w:val="es-ES"/>
        </w:rPr>
        <w:t xml:space="preserve">Peñafiel y </w:t>
      </w:r>
      <w:proofErr w:type="spellStart"/>
      <w:r w:rsidRPr="00CB2AB7">
        <w:rPr>
          <w:rFonts w:asciiTheme="majorHAnsi" w:hAnsiTheme="majorHAnsi"/>
          <w:sz w:val="16"/>
          <w:szCs w:val="16"/>
          <w:lang w:val="es-ES"/>
        </w:rPr>
        <w:t>Yurica</w:t>
      </w:r>
      <w:proofErr w:type="spellEnd"/>
      <w:r w:rsidRPr="00CB2AB7">
        <w:rPr>
          <w:rFonts w:asciiTheme="majorHAnsi" w:hAnsiTheme="majorHAnsi"/>
          <w:sz w:val="16"/>
          <w:szCs w:val="16"/>
          <w:lang w:val="es-ES"/>
        </w:rPr>
        <w:t xml:space="preserve"> Ramos</w:t>
      </w:r>
      <w:r w:rsidR="00CB2AB7">
        <w:rPr>
          <w:rFonts w:asciiTheme="majorHAnsi" w:hAnsiTheme="majorHAnsi"/>
          <w:sz w:val="16"/>
          <w:szCs w:val="16"/>
          <w:lang w:val="es-ES"/>
        </w:rPr>
        <w:t xml:space="preserve"> </w:t>
      </w:r>
      <w:r w:rsidRPr="00CB2AB7">
        <w:rPr>
          <w:rFonts w:asciiTheme="majorHAnsi" w:hAnsiTheme="majorHAnsi"/>
          <w:sz w:val="16"/>
          <w:szCs w:val="16"/>
          <w:lang w:val="es-ES"/>
        </w:rPr>
        <w:t>Montes.</w:t>
      </w:r>
    </w:p>
  </w:footnote>
  <w:footnote w:id="3">
    <w:p w:rsidR="00C04B2A" w:rsidRPr="00CB2AB7" w:rsidRDefault="00C04B2A" w:rsidP="00CB2AB7">
      <w:pPr>
        <w:pStyle w:val="FootnoteText"/>
        <w:ind w:firstLine="720"/>
        <w:jc w:val="both"/>
        <w:rPr>
          <w:rFonts w:asciiTheme="majorHAnsi" w:hAnsiTheme="majorHAnsi"/>
          <w:sz w:val="16"/>
          <w:szCs w:val="16"/>
          <w:lang w:val="es-BO"/>
        </w:rPr>
      </w:pPr>
      <w:r w:rsidRPr="00CB2AB7">
        <w:rPr>
          <w:rStyle w:val="FootnoteReference"/>
          <w:rFonts w:asciiTheme="majorHAnsi" w:hAnsiTheme="majorHAnsi"/>
          <w:sz w:val="16"/>
          <w:szCs w:val="16"/>
        </w:rPr>
        <w:footnoteRef/>
      </w:r>
      <w:r w:rsidRPr="00CB2AB7">
        <w:rPr>
          <w:rFonts w:asciiTheme="majorHAnsi" w:hAnsiTheme="majorHAnsi"/>
          <w:sz w:val="16"/>
          <w:szCs w:val="16"/>
          <w:lang w:val="es-BO"/>
        </w:rPr>
        <w:t xml:space="preserve"> La petició</w:t>
      </w:r>
      <w:r w:rsidR="00ED0B51">
        <w:rPr>
          <w:rFonts w:asciiTheme="majorHAnsi" w:hAnsiTheme="majorHAnsi"/>
          <w:sz w:val="16"/>
          <w:szCs w:val="16"/>
          <w:lang w:val="es-BO"/>
        </w:rPr>
        <w:t xml:space="preserve">n fue presentada a favor de </w:t>
      </w:r>
      <w:r w:rsidR="006A3344">
        <w:rPr>
          <w:rFonts w:asciiTheme="majorHAnsi" w:hAnsiTheme="majorHAnsi"/>
          <w:sz w:val="16"/>
          <w:szCs w:val="16"/>
          <w:lang w:val="es-BO"/>
        </w:rPr>
        <w:t>68</w:t>
      </w:r>
      <w:r w:rsidR="00ED0B51">
        <w:rPr>
          <w:rFonts w:asciiTheme="majorHAnsi" w:hAnsiTheme="majorHAnsi"/>
          <w:sz w:val="16"/>
          <w:szCs w:val="16"/>
          <w:lang w:val="es-BO"/>
        </w:rPr>
        <w:t xml:space="preserve"> presuntas </w:t>
      </w:r>
      <w:r w:rsidRPr="00CB2AB7">
        <w:rPr>
          <w:rFonts w:asciiTheme="majorHAnsi" w:hAnsiTheme="majorHAnsi"/>
          <w:sz w:val="16"/>
          <w:szCs w:val="16"/>
          <w:lang w:val="es-BO"/>
        </w:rPr>
        <w:t>víctimas de la tragedia “Mesa Redonda”, individualizados en documento anexo.</w:t>
      </w:r>
    </w:p>
  </w:footnote>
  <w:footnote w:id="4">
    <w:p w:rsidR="00C04B2A" w:rsidRPr="00CB2AB7" w:rsidRDefault="00C04B2A" w:rsidP="00CB2AB7">
      <w:pPr>
        <w:pStyle w:val="FootnoteText"/>
        <w:ind w:firstLine="720"/>
        <w:jc w:val="both"/>
        <w:rPr>
          <w:rFonts w:asciiTheme="majorHAnsi" w:hAnsiTheme="majorHAnsi"/>
          <w:lang w:val="es-CO"/>
        </w:rPr>
      </w:pPr>
      <w:r w:rsidRPr="00CB2AB7">
        <w:rPr>
          <w:rStyle w:val="FootnoteReference"/>
          <w:rFonts w:asciiTheme="majorHAnsi" w:hAnsiTheme="majorHAnsi"/>
          <w:sz w:val="16"/>
          <w:szCs w:val="16"/>
        </w:rPr>
        <w:footnoteRef/>
      </w:r>
      <w:r w:rsidRPr="00CB2AB7">
        <w:rPr>
          <w:rFonts w:asciiTheme="majorHAnsi" w:hAnsiTheme="majorHAnsi"/>
          <w:lang w:val="es-ES"/>
        </w:rPr>
        <w:t xml:space="preserve"> </w:t>
      </w:r>
      <w:r w:rsidRPr="00CB2AB7">
        <w:rPr>
          <w:rFonts w:asciiTheme="majorHAnsi" w:hAnsiTheme="majorHAnsi"/>
          <w:sz w:val="16"/>
          <w:szCs w:val="16"/>
          <w:lang w:val="es-ES"/>
        </w:rPr>
        <w:t>Conforme a lo dispuesto en el artículo 17.2.a del Reglamento de la Comisión el Comisionado Francisco José Eguiguren Praeli, de nacionalidad peruana, no participó en el debate ni en la decisión del presente asunto.</w:t>
      </w:r>
    </w:p>
  </w:footnote>
  <w:footnote w:id="5">
    <w:p w:rsidR="00C04B2A" w:rsidRPr="00CB2AB7" w:rsidRDefault="00C04B2A" w:rsidP="00CB2AB7">
      <w:pPr>
        <w:pStyle w:val="FootnoteText"/>
        <w:ind w:firstLine="720"/>
        <w:jc w:val="both"/>
        <w:rPr>
          <w:rFonts w:asciiTheme="majorHAnsi" w:hAnsiTheme="majorHAnsi"/>
          <w:lang w:val="es-CO"/>
        </w:rPr>
      </w:pPr>
      <w:r w:rsidRPr="00CB2AB7">
        <w:rPr>
          <w:rStyle w:val="FootnoteReference"/>
          <w:rFonts w:asciiTheme="majorHAnsi" w:hAnsiTheme="majorHAnsi"/>
          <w:sz w:val="16"/>
          <w:szCs w:val="16"/>
        </w:rPr>
        <w:footnoteRef/>
      </w:r>
      <w:r w:rsidRPr="00CB2AB7">
        <w:rPr>
          <w:rFonts w:asciiTheme="majorHAnsi" w:hAnsiTheme="majorHAnsi"/>
          <w:sz w:val="16"/>
          <w:szCs w:val="16"/>
          <w:lang w:val="es-CO"/>
        </w:rPr>
        <w:t xml:space="preserve"> En adelante “Convención” o “Convención Americana”.</w:t>
      </w:r>
    </w:p>
  </w:footnote>
  <w:footnote w:id="6">
    <w:p w:rsidR="00C04B2A" w:rsidRPr="00CB2AB7" w:rsidRDefault="00C04B2A" w:rsidP="00CB2AB7">
      <w:pPr>
        <w:pStyle w:val="FootnoteText"/>
        <w:ind w:firstLine="720"/>
        <w:jc w:val="both"/>
        <w:rPr>
          <w:rFonts w:asciiTheme="majorHAnsi" w:hAnsiTheme="majorHAnsi"/>
          <w:sz w:val="16"/>
          <w:szCs w:val="16"/>
          <w:lang w:val="es-ES"/>
        </w:rPr>
      </w:pPr>
      <w:r w:rsidRPr="00CB2AB7">
        <w:rPr>
          <w:rStyle w:val="FootnoteReference"/>
          <w:rFonts w:asciiTheme="majorHAnsi" w:hAnsiTheme="majorHAnsi"/>
          <w:sz w:val="16"/>
          <w:szCs w:val="16"/>
        </w:rPr>
        <w:footnoteRef/>
      </w:r>
      <w:r w:rsidRPr="00CB2AB7">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2A" w:rsidRDefault="00C04B2A" w:rsidP="003A246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04B2A" w:rsidRDefault="00C04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2A" w:rsidRDefault="00C04B2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04B2A" w:rsidRPr="00EC7D62" w:rsidRDefault="000C716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83" w:rsidRDefault="00286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DA283C"/>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1DFA"/>
    <w:rsid w:val="00006E1F"/>
    <w:rsid w:val="000070D7"/>
    <w:rsid w:val="000126FE"/>
    <w:rsid w:val="00012735"/>
    <w:rsid w:val="000177D6"/>
    <w:rsid w:val="0001788C"/>
    <w:rsid w:val="000218EF"/>
    <w:rsid w:val="00026AF1"/>
    <w:rsid w:val="000337EF"/>
    <w:rsid w:val="00040C3A"/>
    <w:rsid w:val="000419AD"/>
    <w:rsid w:val="00046240"/>
    <w:rsid w:val="000674F2"/>
    <w:rsid w:val="000704A1"/>
    <w:rsid w:val="000708FE"/>
    <w:rsid w:val="00070B05"/>
    <w:rsid w:val="000716C5"/>
    <w:rsid w:val="00075E23"/>
    <w:rsid w:val="00092F36"/>
    <w:rsid w:val="0009344A"/>
    <w:rsid w:val="0009542C"/>
    <w:rsid w:val="00096731"/>
    <w:rsid w:val="000A12CF"/>
    <w:rsid w:val="000A1CC6"/>
    <w:rsid w:val="000A392E"/>
    <w:rsid w:val="000A575F"/>
    <w:rsid w:val="000B229C"/>
    <w:rsid w:val="000B5FCD"/>
    <w:rsid w:val="000B661F"/>
    <w:rsid w:val="000C7167"/>
    <w:rsid w:val="000C7423"/>
    <w:rsid w:val="000D10DB"/>
    <w:rsid w:val="000E5EB5"/>
    <w:rsid w:val="000E66B2"/>
    <w:rsid w:val="000E723A"/>
    <w:rsid w:val="000E7332"/>
    <w:rsid w:val="000F35ED"/>
    <w:rsid w:val="00107131"/>
    <w:rsid w:val="0010736F"/>
    <w:rsid w:val="00111F94"/>
    <w:rsid w:val="00113F73"/>
    <w:rsid w:val="00121CC2"/>
    <w:rsid w:val="00133EE5"/>
    <w:rsid w:val="00152CBF"/>
    <w:rsid w:val="001564B2"/>
    <w:rsid w:val="00167A34"/>
    <w:rsid w:val="001725C4"/>
    <w:rsid w:val="00184583"/>
    <w:rsid w:val="00186090"/>
    <w:rsid w:val="001A0F88"/>
    <w:rsid w:val="001A3723"/>
    <w:rsid w:val="001A7870"/>
    <w:rsid w:val="001B3A00"/>
    <w:rsid w:val="001B71F4"/>
    <w:rsid w:val="001C12AC"/>
    <w:rsid w:val="001C1B41"/>
    <w:rsid w:val="001D65EF"/>
    <w:rsid w:val="001E03FA"/>
    <w:rsid w:val="001E49E7"/>
    <w:rsid w:val="001E7EA4"/>
    <w:rsid w:val="001F0BC2"/>
    <w:rsid w:val="001F4D62"/>
    <w:rsid w:val="001F7201"/>
    <w:rsid w:val="002052DE"/>
    <w:rsid w:val="00207F37"/>
    <w:rsid w:val="00223A29"/>
    <w:rsid w:val="00224E00"/>
    <w:rsid w:val="002250A3"/>
    <w:rsid w:val="00227C3C"/>
    <w:rsid w:val="00231BA1"/>
    <w:rsid w:val="00235217"/>
    <w:rsid w:val="002413CA"/>
    <w:rsid w:val="00246D1F"/>
    <w:rsid w:val="00247403"/>
    <w:rsid w:val="00247542"/>
    <w:rsid w:val="00252859"/>
    <w:rsid w:val="00253DC0"/>
    <w:rsid w:val="00257963"/>
    <w:rsid w:val="00260430"/>
    <w:rsid w:val="002618D7"/>
    <w:rsid w:val="00262818"/>
    <w:rsid w:val="00262C21"/>
    <w:rsid w:val="00265AAB"/>
    <w:rsid w:val="00266B61"/>
    <w:rsid w:val="0026712A"/>
    <w:rsid w:val="002704DB"/>
    <w:rsid w:val="00277FBA"/>
    <w:rsid w:val="00285586"/>
    <w:rsid w:val="00286183"/>
    <w:rsid w:val="00286C3B"/>
    <w:rsid w:val="002923AD"/>
    <w:rsid w:val="00296FC6"/>
    <w:rsid w:val="00297193"/>
    <w:rsid w:val="002A0054"/>
    <w:rsid w:val="002A048F"/>
    <w:rsid w:val="002A0AAE"/>
    <w:rsid w:val="002A5820"/>
    <w:rsid w:val="002A64F6"/>
    <w:rsid w:val="002B0DAF"/>
    <w:rsid w:val="002C27D8"/>
    <w:rsid w:val="002C4A4D"/>
    <w:rsid w:val="002C523D"/>
    <w:rsid w:val="002D1771"/>
    <w:rsid w:val="002D1E54"/>
    <w:rsid w:val="002D2B26"/>
    <w:rsid w:val="002D7EA2"/>
    <w:rsid w:val="002E187C"/>
    <w:rsid w:val="002E6E13"/>
    <w:rsid w:val="00302733"/>
    <w:rsid w:val="003079DC"/>
    <w:rsid w:val="003132F4"/>
    <w:rsid w:val="00314078"/>
    <w:rsid w:val="0031535D"/>
    <w:rsid w:val="00316025"/>
    <w:rsid w:val="003239B8"/>
    <w:rsid w:val="00327AC4"/>
    <w:rsid w:val="0033169F"/>
    <w:rsid w:val="00335B4F"/>
    <w:rsid w:val="00341217"/>
    <w:rsid w:val="003429CF"/>
    <w:rsid w:val="00344977"/>
    <w:rsid w:val="00346C95"/>
    <w:rsid w:val="00356185"/>
    <w:rsid w:val="00360380"/>
    <w:rsid w:val="00363A10"/>
    <w:rsid w:val="0036673B"/>
    <w:rsid w:val="003720EE"/>
    <w:rsid w:val="0037519E"/>
    <w:rsid w:val="00376502"/>
    <w:rsid w:val="00386CF0"/>
    <w:rsid w:val="003A0AE9"/>
    <w:rsid w:val="003A11FB"/>
    <w:rsid w:val="003A2464"/>
    <w:rsid w:val="003A598E"/>
    <w:rsid w:val="003B1529"/>
    <w:rsid w:val="003B70FB"/>
    <w:rsid w:val="003C676B"/>
    <w:rsid w:val="003D3BC2"/>
    <w:rsid w:val="003D68D0"/>
    <w:rsid w:val="003E0EAB"/>
    <w:rsid w:val="003E42D0"/>
    <w:rsid w:val="003E6CA1"/>
    <w:rsid w:val="003F28F2"/>
    <w:rsid w:val="003F43C8"/>
    <w:rsid w:val="0040329D"/>
    <w:rsid w:val="004065A8"/>
    <w:rsid w:val="00411ECF"/>
    <w:rsid w:val="004165C2"/>
    <w:rsid w:val="00422011"/>
    <w:rsid w:val="00422450"/>
    <w:rsid w:val="00425AFA"/>
    <w:rsid w:val="00433ECC"/>
    <w:rsid w:val="00434600"/>
    <w:rsid w:val="00434CAD"/>
    <w:rsid w:val="00441ECB"/>
    <w:rsid w:val="00444A41"/>
    <w:rsid w:val="00445193"/>
    <w:rsid w:val="00452CAC"/>
    <w:rsid w:val="004545C7"/>
    <w:rsid w:val="00462C1B"/>
    <w:rsid w:val="00465AE8"/>
    <w:rsid w:val="00467B7E"/>
    <w:rsid w:val="00473BB4"/>
    <w:rsid w:val="00477592"/>
    <w:rsid w:val="00486F1C"/>
    <w:rsid w:val="0049419D"/>
    <w:rsid w:val="004A0E37"/>
    <w:rsid w:val="004A3F6E"/>
    <w:rsid w:val="004A462D"/>
    <w:rsid w:val="004A6A54"/>
    <w:rsid w:val="004B4F6B"/>
    <w:rsid w:val="004B6B45"/>
    <w:rsid w:val="004B6EA6"/>
    <w:rsid w:val="004C20D2"/>
    <w:rsid w:val="004C2312"/>
    <w:rsid w:val="004C4B62"/>
    <w:rsid w:val="004C54C9"/>
    <w:rsid w:val="004D4ABA"/>
    <w:rsid w:val="004D6025"/>
    <w:rsid w:val="004E0526"/>
    <w:rsid w:val="004E25B7"/>
    <w:rsid w:val="004E2649"/>
    <w:rsid w:val="004E2C8A"/>
    <w:rsid w:val="004E6C36"/>
    <w:rsid w:val="004E764F"/>
    <w:rsid w:val="004F2DBC"/>
    <w:rsid w:val="00500D4F"/>
    <w:rsid w:val="00501399"/>
    <w:rsid w:val="00502DBF"/>
    <w:rsid w:val="005032E8"/>
    <w:rsid w:val="00505E8D"/>
    <w:rsid w:val="0050633D"/>
    <w:rsid w:val="00506EBE"/>
    <w:rsid w:val="00507BC4"/>
    <w:rsid w:val="005128E4"/>
    <w:rsid w:val="005133DB"/>
    <w:rsid w:val="00515C20"/>
    <w:rsid w:val="005232BB"/>
    <w:rsid w:val="00524340"/>
    <w:rsid w:val="00525560"/>
    <w:rsid w:val="00526B24"/>
    <w:rsid w:val="00526F81"/>
    <w:rsid w:val="00527C30"/>
    <w:rsid w:val="0053146E"/>
    <w:rsid w:val="00533A10"/>
    <w:rsid w:val="00533EE6"/>
    <w:rsid w:val="00544C49"/>
    <w:rsid w:val="00546F71"/>
    <w:rsid w:val="005516A1"/>
    <w:rsid w:val="00551F1C"/>
    <w:rsid w:val="0055203F"/>
    <w:rsid w:val="00563557"/>
    <w:rsid w:val="00564FE0"/>
    <w:rsid w:val="0057402A"/>
    <w:rsid w:val="005771D0"/>
    <w:rsid w:val="00584314"/>
    <w:rsid w:val="0059191A"/>
    <w:rsid w:val="005921FF"/>
    <w:rsid w:val="005A24ED"/>
    <w:rsid w:val="005A4FD6"/>
    <w:rsid w:val="005A6D0E"/>
    <w:rsid w:val="005A6EE9"/>
    <w:rsid w:val="005A7EC4"/>
    <w:rsid w:val="005B52B0"/>
    <w:rsid w:val="005B6806"/>
    <w:rsid w:val="005B7E6A"/>
    <w:rsid w:val="005C055F"/>
    <w:rsid w:val="005C4225"/>
    <w:rsid w:val="005D7AA9"/>
    <w:rsid w:val="005E07C7"/>
    <w:rsid w:val="005F0DAD"/>
    <w:rsid w:val="005F0F33"/>
    <w:rsid w:val="005F66D3"/>
    <w:rsid w:val="00600DEB"/>
    <w:rsid w:val="00607A98"/>
    <w:rsid w:val="00610612"/>
    <w:rsid w:val="00621A47"/>
    <w:rsid w:val="006239C5"/>
    <w:rsid w:val="00627C9F"/>
    <w:rsid w:val="006311E9"/>
    <w:rsid w:val="00632354"/>
    <w:rsid w:val="00635234"/>
    <w:rsid w:val="00640177"/>
    <w:rsid w:val="00642810"/>
    <w:rsid w:val="00650E1F"/>
    <w:rsid w:val="00652333"/>
    <w:rsid w:val="00654D42"/>
    <w:rsid w:val="00661565"/>
    <w:rsid w:val="006739C2"/>
    <w:rsid w:val="00674B28"/>
    <w:rsid w:val="0068009E"/>
    <w:rsid w:val="00692219"/>
    <w:rsid w:val="006A17D2"/>
    <w:rsid w:val="006A1F29"/>
    <w:rsid w:val="006A3344"/>
    <w:rsid w:val="006A73E6"/>
    <w:rsid w:val="006B2D5C"/>
    <w:rsid w:val="006C0A44"/>
    <w:rsid w:val="006C1CDD"/>
    <w:rsid w:val="006C4EB1"/>
    <w:rsid w:val="006D02A7"/>
    <w:rsid w:val="006D7B70"/>
    <w:rsid w:val="006E0166"/>
    <w:rsid w:val="006E2117"/>
    <w:rsid w:val="006E7B34"/>
    <w:rsid w:val="0070011F"/>
    <w:rsid w:val="0070471A"/>
    <w:rsid w:val="0070697F"/>
    <w:rsid w:val="00721758"/>
    <w:rsid w:val="0072199C"/>
    <w:rsid w:val="00722C9F"/>
    <w:rsid w:val="007253B8"/>
    <w:rsid w:val="0073741F"/>
    <w:rsid w:val="007425B1"/>
    <w:rsid w:val="0074297A"/>
    <w:rsid w:val="00744164"/>
    <w:rsid w:val="007461E5"/>
    <w:rsid w:val="00746E04"/>
    <w:rsid w:val="007545D8"/>
    <w:rsid w:val="00756044"/>
    <w:rsid w:val="007639A0"/>
    <w:rsid w:val="0076643F"/>
    <w:rsid w:val="00777F63"/>
    <w:rsid w:val="00783611"/>
    <w:rsid w:val="00794E93"/>
    <w:rsid w:val="007A5817"/>
    <w:rsid w:val="007B05C4"/>
    <w:rsid w:val="007B12F4"/>
    <w:rsid w:val="007B60E9"/>
    <w:rsid w:val="007B6CC3"/>
    <w:rsid w:val="007B6F4D"/>
    <w:rsid w:val="007C1361"/>
    <w:rsid w:val="007C22A3"/>
    <w:rsid w:val="007C31BD"/>
    <w:rsid w:val="007C3334"/>
    <w:rsid w:val="007C3F85"/>
    <w:rsid w:val="007C634B"/>
    <w:rsid w:val="007C7300"/>
    <w:rsid w:val="007D2B98"/>
    <w:rsid w:val="007D78B9"/>
    <w:rsid w:val="007E21BC"/>
    <w:rsid w:val="007E2C12"/>
    <w:rsid w:val="007E7C82"/>
    <w:rsid w:val="007F1A56"/>
    <w:rsid w:val="007F588D"/>
    <w:rsid w:val="008010E2"/>
    <w:rsid w:val="00803F1C"/>
    <w:rsid w:val="0080600E"/>
    <w:rsid w:val="00817612"/>
    <w:rsid w:val="0082555C"/>
    <w:rsid w:val="008258FB"/>
    <w:rsid w:val="008338A4"/>
    <w:rsid w:val="00834D49"/>
    <w:rsid w:val="0083697E"/>
    <w:rsid w:val="00837C45"/>
    <w:rsid w:val="00844676"/>
    <w:rsid w:val="00844730"/>
    <w:rsid w:val="008457C2"/>
    <w:rsid w:val="0084799E"/>
    <w:rsid w:val="00857A82"/>
    <w:rsid w:val="00872BBD"/>
    <w:rsid w:val="0087330E"/>
    <w:rsid w:val="00873836"/>
    <w:rsid w:val="00873EFE"/>
    <w:rsid w:val="008745C2"/>
    <w:rsid w:val="008801A8"/>
    <w:rsid w:val="00885737"/>
    <w:rsid w:val="00890650"/>
    <w:rsid w:val="0089435B"/>
    <w:rsid w:val="00897E12"/>
    <w:rsid w:val="008A5017"/>
    <w:rsid w:val="008A7E0F"/>
    <w:rsid w:val="008B12F5"/>
    <w:rsid w:val="008B1D8D"/>
    <w:rsid w:val="008C17E1"/>
    <w:rsid w:val="008C22F5"/>
    <w:rsid w:val="008C5F86"/>
    <w:rsid w:val="008D6921"/>
    <w:rsid w:val="008D768D"/>
    <w:rsid w:val="008E3759"/>
    <w:rsid w:val="008E3BFE"/>
    <w:rsid w:val="008F1912"/>
    <w:rsid w:val="008F255D"/>
    <w:rsid w:val="0090270B"/>
    <w:rsid w:val="009041DC"/>
    <w:rsid w:val="00912343"/>
    <w:rsid w:val="00917B5A"/>
    <w:rsid w:val="00920A58"/>
    <w:rsid w:val="00920A8C"/>
    <w:rsid w:val="009270D4"/>
    <w:rsid w:val="0093124A"/>
    <w:rsid w:val="00934A2C"/>
    <w:rsid w:val="00934FEB"/>
    <w:rsid w:val="00936586"/>
    <w:rsid w:val="009454DB"/>
    <w:rsid w:val="009532F1"/>
    <w:rsid w:val="00964869"/>
    <w:rsid w:val="00966BBE"/>
    <w:rsid w:val="0096706E"/>
    <w:rsid w:val="00974491"/>
    <w:rsid w:val="009758E4"/>
    <w:rsid w:val="00975C4E"/>
    <w:rsid w:val="00975F9B"/>
    <w:rsid w:val="00977F10"/>
    <w:rsid w:val="00981FBA"/>
    <w:rsid w:val="00997BC5"/>
    <w:rsid w:val="009A3C74"/>
    <w:rsid w:val="009A4F41"/>
    <w:rsid w:val="009B221C"/>
    <w:rsid w:val="009B381B"/>
    <w:rsid w:val="009C0AA5"/>
    <w:rsid w:val="009D1753"/>
    <w:rsid w:val="009D6AB8"/>
    <w:rsid w:val="009D7611"/>
    <w:rsid w:val="009E0B61"/>
    <w:rsid w:val="009E53DE"/>
    <w:rsid w:val="009F0906"/>
    <w:rsid w:val="00A00506"/>
    <w:rsid w:val="00A05ACA"/>
    <w:rsid w:val="00A11E44"/>
    <w:rsid w:val="00A1333A"/>
    <w:rsid w:val="00A2399E"/>
    <w:rsid w:val="00A2683C"/>
    <w:rsid w:val="00A31603"/>
    <w:rsid w:val="00A321A8"/>
    <w:rsid w:val="00A328B3"/>
    <w:rsid w:val="00A35310"/>
    <w:rsid w:val="00A43ECD"/>
    <w:rsid w:val="00A50FCF"/>
    <w:rsid w:val="00A528D1"/>
    <w:rsid w:val="00A54A14"/>
    <w:rsid w:val="00A557DE"/>
    <w:rsid w:val="00A610CD"/>
    <w:rsid w:val="00A61A9A"/>
    <w:rsid w:val="00A61F5B"/>
    <w:rsid w:val="00A622B1"/>
    <w:rsid w:val="00A6439F"/>
    <w:rsid w:val="00A758AA"/>
    <w:rsid w:val="00A82314"/>
    <w:rsid w:val="00AA06A9"/>
    <w:rsid w:val="00AA09A2"/>
    <w:rsid w:val="00AA0DB2"/>
    <w:rsid w:val="00AA6356"/>
    <w:rsid w:val="00AA7996"/>
    <w:rsid w:val="00AC01B4"/>
    <w:rsid w:val="00AC19CB"/>
    <w:rsid w:val="00AC23BD"/>
    <w:rsid w:val="00AD4349"/>
    <w:rsid w:val="00AD4A75"/>
    <w:rsid w:val="00AD5747"/>
    <w:rsid w:val="00AE5488"/>
    <w:rsid w:val="00AE6F91"/>
    <w:rsid w:val="00AF2805"/>
    <w:rsid w:val="00AF28E0"/>
    <w:rsid w:val="00AF2BAD"/>
    <w:rsid w:val="00AF5571"/>
    <w:rsid w:val="00B03659"/>
    <w:rsid w:val="00B07341"/>
    <w:rsid w:val="00B209A1"/>
    <w:rsid w:val="00B24631"/>
    <w:rsid w:val="00B248A1"/>
    <w:rsid w:val="00B265D8"/>
    <w:rsid w:val="00B30539"/>
    <w:rsid w:val="00B314DB"/>
    <w:rsid w:val="00B361F2"/>
    <w:rsid w:val="00B3718B"/>
    <w:rsid w:val="00B4632A"/>
    <w:rsid w:val="00B47DAD"/>
    <w:rsid w:val="00B530F1"/>
    <w:rsid w:val="00B628F1"/>
    <w:rsid w:val="00B70BB7"/>
    <w:rsid w:val="00B7115F"/>
    <w:rsid w:val="00B72AB5"/>
    <w:rsid w:val="00B82616"/>
    <w:rsid w:val="00B913CD"/>
    <w:rsid w:val="00B94160"/>
    <w:rsid w:val="00B9787A"/>
    <w:rsid w:val="00BA2161"/>
    <w:rsid w:val="00BA276C"/>
    <w:rsid w:val="00BA50E0"/>
    <w:rsid w:val="00BA5388"/>
    <w:rsid w:val="00BA7F45"/>
    <w:rsid w:val="00BB306F"/>
    <w:rsid w:val="00BB490D"/>
    <w:rsid w:val="00BB75D9"/>
    <w:rsid w:val="00BC4064"/>
    <w:rsid w:val="00BD3DC1"/>
    <w:rsid w:val="00BD4B89"/>
    <w:rsid w:val="00BD5922"/>
    <w:rsid w:val="00BE283F"/>
    <w:rsid w:val="00BE5EFC"/>
    <w:rsid w:val="00BF02CB"/>
    <w:rsid w:val="00BF6180"/>
    <w:rsid w:val="00BF6FD8"/>
    <w:rsid w:val="00C0193C"/>
    <w:rsid w:val="00C01EBD"/>
    <w:rsid w:val="00C03680"/>
    <w:rsid w:val="00C04B2A"/>
    <w:rsid w:val="00C054DF"/>
    <w:rsid w:val="00C057D4"/>
    <w:rsid w:val="00C21762"/>
    <w:rsid w:val="00C21FEF"/>
    <w:rsid w:val="00C2445F"/>
    <w:rsid w:val="00C24543"/>
    <w:rsid w:val="00C256A2"/>
    <w:rsid w:val="00C51515"/>
    <w:rsid w:val="00C5591C"/>
    <w:rsid w:val="00C5660B"/>
    <w:rsid w:val="00C6008E"/>
    <w:rsid w:val="00C66B72"/>
    <w:rsid w:val="00C76929"/>
    <w:rsid w:val="00C83099"/>
    <w:rsid w:val="00C84214"/>
    <w:rsid w:val="00C86A64"/>
    <w:rsid w:val="00C87AC4"/>
    <w:rsid w:val="00C907A0"/>
    <w:rsid w:val="00C93CA7"/>
    <w:rsid w:val="00C94F28"/>
    <w:rsid w:val="00C9567A"/>
    <w:rsid w:val="00CB18B7"/>
    <w:rsid w:val="00CB212D"/>
    <w:rsid w:val="00CB2660"/>
    <w:rsid w:val="00CB2AB7"/>
    <w:rsid w:val="00CB7F0F"/>
    <w:rsid w:val="00CC061F"/>
    <w:rsid w:val="00CC3B6C"/>
    <w:rsid w:val="00CC5E90"/>
    <w:rsid w:val="00CD046C"/>
    <w:rsid w:val="00CD6235"/>
    <w:rsid w:val="00CE076C"/>
    <w:rsid w:val="00CE3911"/>
    <w:rsid w:val="00CE5199"/>
    <w:rsid w:val="00CE587F"/>
    <w:rsid w:val="00CE66D5"/>
    <w:rsid w:val="00CE6DC4"/>
    <w:rsid w:val="00CF637A"/>
    <w:rsid w:val="00D02500"/>
    <w:rsid w:val="00D02D5F"/>
    <w:rsid w:val="00D059DE"/>
    <w:rsid w:val="00D05ABD"/>
    <w:rsid w:val="00D13FCE"/>
    <w:rsid w:val="00D306D1"/>
    <w:rsid w:val="00D30800"/>
    <w:rsid w:val="00D34786"/>
    <w:rsid w:val="00D37BFC"/>
    <w:rsid w:val="00D44358"/>
    <w:rsid w:val="00D44611"/>
    <w:rsid w:val="00D44C26"/>
    <w:rsid w:val="00D45ED3"/>
    <w:rsid w:val="00D47A8E"/>
    <w:rsid w:val="00D52D14"/>
    <w:rsid w:val="00D56660"/>
    <w:rsid w:val="00D64281"/>
    <w:rsid w:val="00D67D0F"/>
    <w:rsid w:val="00D712D3"/>
    <w:rsid w:val="00D71422"/>
    <w:rsid w:val="00D72167"/>
    <w:rsid w:val="00D72DC6"/>
    <w:rsid w:val="00D73A18"/>
    <w:rsid w:val="00D7558D"/>
    <w:rsid w:val="00D80CA3"/>
    <w:rsid w:val="00D81D92"/>
    <w:rsid w:val="00D876F9"/>
    <w:rsid w:val="00D90B19"/>
    <w:rsid w:val="00DA59BF"/>
    <w:rsid w:val="00DA7B5F"/>
    <w:rsid w:val="00DB31C3"/>
    <w:rsid w:val="00DB5258"/>
    <w:rsid w:val="00DC11E7"/>
    <w:rsid w:val="00DC7023"/>
    <w:rsid w:val="00DC769A"/>
    <w:rsid w:val="00DD1930"/>
    <w:rsid w:val="00DD1F81"/>
    <w:rsid w:val="00DD3D86"/>
    <w:rsid w:val="00DD6E57"/>
    <w:rsid w:val="00DF08C3"/>
    <w:rsid w:val="00DF1EC4"/>
    <w:rsid w:val="00DF6638"/>
    <w:rsid w:val="00DF6CBD"/>
    <w:rsid w:val="00E02FD1"/>
    <w:rsid w:val="00E0340B"/>
    <w:rsid w:val="00E04A90"/>
    <w:rsid w:val="00E0551F"/>
    <w:rsid w:val="00E17382"/>
    <w:rsid w:val="00E219C7"/>
    <w:rsid w:val="00E23E7C"/>
    <w:rsid w:val="00E35B7D"/>
    <w:rsid w:val="00E40F6C"/>
    <w:rsid w:val="00E4118C"/>
    <w:rsid w:val="00E43157"/>
    <w:rsid w:val="00E461CE"/>
    <w:rsid w:val="00E46CCA"/>
    <w:rsid w:val="00E52863"/>
    <w:rsid w:val="00E534F3"/>
    <w:rsid w:val="00E62A10"/>
    <w:rsid w:val="00E675A1"/>
    <w:rsid w:val="00E67E35"/>
    <w:rsid w:val="00E70B03"/>
    <w:rsid w:val="00E720CA"/>
    <w:rsid w:val="00E77208"/>
    <w:rsid w:val="00E84EB5"/>
    <w:rsid w:val="00E85662"/>
    <w:rsid w:val="00E8789F"/>
    <w:rsid w:val="00E87FA7"/>
    <w:rsid w:val="00E91482"/>
    <w:rsid w:val="00E97B71"/>
    <w:rsid w:val="00EA3422"/>
    <w:rsid w:val="00EA3D34"/>
    <w:rsid w:val="00EB3B82"/>
    <w:rsid w:val="00EB454D"/>
    <w:rsid w:val="00EC3E32"/>
    <w:rsid w:val="00ED0B51"/>
    <w:rsid w:val="00ED549D"/>
    <w:rsid w:val="00ED76BE"/>
    <w:rsid w:val="00ED7E2B"/>
    <w:rsid w:val="00EE00E9"/>
    <w:rsid w:val="00EE3E32"/>
    <w:rsid w:val="00EF441F"/>
    <w:rsid w:val="00EF4997"/>
    <w:rsid w:val="00EF619B"/>
    <w:rsid w:val="00EF7797"/>
    <w:rsid w:val="00F00B55"/>
    <w:rsid w:val="00F02AD1"/>
    <w:rsid w:val="00F253CC"/>
    <w:rsid w:val="00F37106"/>
    <w:rsid w:val="00F41AAE"/>
    <w:rsid w:val="00F4583B"/>
    <w:rsid w:val="00F458B1"/>
    <w:rsid w:val="00F519CF"/>
    <w:rsid w:val="00F56BA5"/>
    <w:rsid w:val="00F60E22"/>
    <w:rsid w:val="00F63898"/>
    <w:rsid w:val="00F65DA1"/>
    <w:rsid w:val="00F67039"/>
    <w:rsid w:val="00F71987"/>
    <w:rsid w:val="00F761FC"/>
    <w:rsid w:val="00F81395"/>
    <w:rsid w:val="00F81BB8"/>
    <w:rsid w:val="00F917D1"/>
    <w:rsid w:val="00F9653B"/>
    <w:rsid w:val="00FA3A80"/>
    <w:rsid w:val="00FA49E8"/>
    <w:rsid w:val="00FA707D"/>
    <w:rsid w:val="00FB62CF"/>
    <w:rsid w:val="00FB70B5"/>
    <w:rsid w:val="00FC00E0"/>
    <w:rsid w:val="00FC14F5"/>
    <w:rsid w:val="00FC6963"/>
    <w:rsid w:val="00FD0E0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4676"/>
    <w:rPr>
      <w:sz w:val="16"/>
      <w:szCs w:val="16"/>
    </w:rPr>
  </w:style>
  <w:style w:type="paragraph" w:styleId="CommentText">
    <w:name w:val="annotation text"/>
    <w:basedOn w:val="Normal"/>
    <w:link w:val="CommentTextChar"/>
    <w:uiPriority w:val="99"/>
    <w:semiHidden/>
    <w:unhideWhenUsed/>
    <w:rsid w:val="00844676"/>
    <w:rPr>
      <w:sz w:val="20"/>
      <w:szCs w:val="20"/>
    </w:rPr>
  </w:style>
  <w:style w:type="character" w:customStyle="1" w:styleId="CommentTextChar">
    <w:name w:val="Comment Text Char"/>
    <w:basedOn w:val="DefaultParagraphFont"/>
    <w:link w:val="CommentText"/>
    <w:uiPriority w:val="99"/>
    <w:semiHidden/>
    <w:rsid w:val="00844676"/>
    <w:rPr>
      <w:lang w:val="en-US" w:eastAsia="en-US"/>
    </w:rPr>
  </w:style>
  <w:style w:type="paragraph" w:styleId="CommentSubject">
    <w:name w:val="annotation subject"/>
    <w:basedOn w:val="CommentText"/>
    <w:next w:val="CommentText"/>
    <w:link w:val="CommentSubjectChar"/>
    <w:uiPriority w:val="99"/>
    <w:semiHidden/>
    <w:unhideWhenUsed/>
    <w:rsid w:val="00844676"/>
    <w:rPr>
      <w:b/>
      <w:bCs/>
    </w:rPr>
  </w:style>
  <w:style w:type="character" w:customStyle="1" w:styleId="CommentSubjectChar">
    <w:name w:val="Comment Subject Char"/>
    <w:basedOn w:val="CommentTextChar"/>
    <w:link w:val="CommentSubject"/>
    <w:uiPriority w:val="99"/>
    <w:semiHidden/>
    <w:rsid w:val="00844676"/>
    <w:rPr>
      <w:b/>
      <w:bCs/>
      <w:lang w:val="en-US" w:eastAsia="en-US"/>
    </w:rPr>
  </w:style>
  <w:style w:type="character" w:customStyle="1" w:styleId="apple-converted-space">
    <w:name w:val="apple-converted-space"/>
    <w:basedOn w:val="DefaultParagraphFont"/>
    <w:rsid w:val="00BE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78BC"/>
    <w:rsid w:val="00094FDC"/>
    <w:rsid w:val="001B1BF2"/>
    <w:rsid w:val="00200821"/>
    <w:rsid w:val="00227983"/>
    <w:rsid w:val="00276087"/>
    <w:rsid w:val="002E2F0E"/>
    <w:rsid w:val="00394049"/>
    <w:rsid w:val="00414F83"/>
    <w:rsid w:val="004F2DF8"/>
    <w:rsid w:val="004F36D9"/>
    <w:rsid w:val="00745A89"/>
    <w:rsid w:val="00897D86"/>
    <w:rsid w:val="009A261B"/>
    <w:rsid w:val="00AC15A4"/>
    <w:rsid w:val="00AE3F08"/>
    <w:rsid w:val="00B0336C"/>
    <w:rsid w:val="00BA3078"/>
    <w:rsid w:val="00BA5562"/>
    <w:rsid w:val="00C350EB"/>
    <w:rsid w:val="00C50F2F"/>
    <w:rsid w:val="00D243B0"/>
    <w:rsid w:val="00D40455"/>
    <w:rsid w:val="00D5285F"/>
    <w:rsid w:val="00DE00C9"/>
    <w:rsid w:val="00DE69D8"/>
    <w:rsid w:val="00E04797"/>
    <w:rsid w:val="00E33855"/>
    <w:rsid w:val="00F00D2F"/>
    <w:rsid w:val="00F128DF"/>
    <w:rsid w:val="00F2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1486-4BF8-4EDC-9613-73040F12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2933</Words>
  <Characters>16719</Characters>
  <Application>Microsoft Office Word</Application>
  <DocSecurity>0</DocSecurity>
  <Lines>139</Lines>
  <Paragraphs>39</Paragraphs>
  <ScaleCrop>false</ScaleCrop>
  <Company/>
  <LinksUpToDate>false</LinksUpToDate>
  <CharactersWithSpaces>19613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42/19</dc:title>
  <dc:creator/>
  <cp:lastModifiedBy/>
  <cp:revision>1</cp:revision>
  <dcterms:created xsi:type="dcterms:W3CDTF">2019-05-23T19:58:00Z</dcterms:created>
  <dcterms:modified xsi:type="dcterms:W3CDTF">2019-05-23T19:58:00Z</dcterms:modified>
</cp:coreProperties>
</file>