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D22"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51D9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1D419138"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750D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1D419138"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750DF">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E502" w14:textId="33815264"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17183">
                              <w:rPr>
                                <w:rFonts w:asciiTheme="majorHAnsi" w:hAnsiTheme="majorHAnsi" w:cs="Arial"/>
                                <w:b/>
                                <w:bCs/>
                                <w:color w:val="0D0D0D" w:themeColor="text1" w:themeTint="F2"/>
                                <w:sz w:val="36"/>
                                <w:szCs w:val="22"/>
                                <w:lang w:val="es-ES_tradnl"/>
                              </w:rPr>
                              <w:t>231</w:t>
                            </w:r>
                            <w:r>
                              <w:rPr>
                                <w:rFonts w:asciiTheme="majorHAnsi" w:hAnsiTheme="majorHAnsi" w:cs="Arial"/>
                                <w:b/>
                                <w:bCs/>
                                <w:color w:val="0D0D0D" w:themeColor="text1" w:themeTint="F2"/>
                                <w:sz w:val="36"/>
                                <w:szCs w:val="22"/>
                                <w:lang w:val="es-ES_tradnl"/>
                              </w:rPr>
                              <w:t>/</w:t>
                            </w:r>
                            <w:r w:rsidR="00B17183">
                              <w:rPr>
                                <w:rFonts w:asciiTheme="majorHAnsi" w:hAnsiTheme="majorHAnsi" w:cs="Arial"/>
                                <w:b/>
                                <w:bCs/>
                                <w:color w:val="0D0D0D" w:themeColor="text1" w:themeTint="F2"/>
                                <w:sz w:val="36"/>
                                <w:szCs w:val="22"/>
                                <w:lang w:val="es-ES_tradnl"/>
                              </w:rPr>
                              <w:t>19</w:t>
                            </w:r>
                          </w:p>
                          <w:p w14:paraId="5C646F17" w14:textId="4A0ABD32"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0976C2">
                              <w:rPr>
                                <w:rFonts w:asciiTheme="majorHAnsi" w:hAnsiTheme="majorHAnsi" w:cs="Arial"/>
                                <w:b/>
                                <w:color w:val="0D0D0D" w:themeColor="text1" w:themeTint="F2"/>
                                <w:sz w:val="36"/>
                                <w:szCs w:val="22"/>
                                <w:lang w:val="es-ES_tradnl"/>
                              </w:rPr>
                              <w:t>178</w:t>
                            </w:r>
                            <w:r>
                              <w:rPr>
                                <w:rFonts w:asciiTheme="majorHAnsi" w:hAnsiTheme="majorHAnsi" w:cs="Arial"/>
                                <w:b/>
                                <w:color w:val="0D0D0D" w:themeColor="text1" w:themeTint="F2"/>
                                <w:sz w:val="36"/>
                                <w:szCs w:val="22"/>
                                <w:lang w:val="es-ES_tradnl"/>
                              </w:rPr>
                              <w:t>-</w:t>
                            </w:r>
                            <w:r w:rsidR="000976C2">
                              <w:rPr>
                                <w:rFonts w:asciiTheme="majorHAnsi" w:hAnsiTheme="majorHAnsi" w:cs="Arial"/>
                                <w:b/>
                                <w:color w:val="0D0D0D" w:themeColor="text1" w:themeTint="F2"/>
                                <w:sz w:val="36"/>
                                <w:szCs w:val="22"/>
                                <w:lang w:val="es-ES_tradnl"/>
                              </w:rPr>
                              <w:t>13</w:t>
                            </w:r>
                          </w:p>
                          <w:p w14:paraId="1406BEBE" w14:textId="7372E071"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p w14:paraId="0CA9991B" w14:textId="1BCFB699" w:rsidR="009629C7" w:rsidRDefault="000976C2"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DOUGLAS MORIN</w:t>
                            </w:r>
                          </w:p>
                          <w:bookmarkEnd w:id="1"/>
                          <w:p w14:paraId="61634CF1" w14:textId="58559AFA" w:rsidR="009629C7" w:rsidRDefault="000976C2" w:rsidP="009629C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AMÉRICA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E93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BEE502" w14:textId="33815264"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17183">
                        <w:rPr>
                          <w:rFonts w:asciiTheme="majorHAnsi" w:hAnsiTheme="majorHAnsi" w:cs="Arial"/>
                          <w:b/>
                          <w:bCs/>
                          <w:color w:val="0D0D0D" w:themeColor="text1" w:themeTint="F2"/>
                          <w:sz w:val="36"/>
                          <w:szCs w:val="22"/>
                          <w:lang w:val="es-ES_tradnl"/>
                        </w:rPr>
                        <w:t>231</w:t>
                      </w:r>
                      <w:r>
                        <w:rPr>
                          <w:rFonts w:asciiTheme="majorHAnsi" w:hAnsiTheme="majorHAnsi" w:cs="Arial"/>
                          <w:b/>
                          <w:bCs/>
                          <w:color w:val="0D0D0D" w:themeColor="text1" w:themeTint="F2"/>
                          <w:sz w:val="36"/>
                          <w:szCs w:val="22"/>
                          <w:lang w:val="es-ES_tradnl"/>
                        </w:rPr>
                        <w:t>/</w:t>
                      </w:r>
                      <w:r w:rsidR="00B17183">
                        <w:rPr>
                          <w:rFonts w:asciiTheme="majorHAnsi" w:hAnsiTheme="majorHAnsi" w:cs="Arial"/>
                          <w:b/>
                          <w:bCs/>
                          <w:color w:val="0D0D0D" w:themeColor="text1" w:themeTint="F2"/>
                          <w:sz w:val="36"/>
                          <w:szCs w:val="22"/>
                          <w:lang w:val="es-ES_tradnl"/>
                        </w:rPr>
                        <w:t>19</w:t>
                      </w:r>
                    </w:p>
                    <w:p w14:paraId="5C646F17" w14:textId="4A0ABD32"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0976C2">
                        <w:rPr>
                          <w:rFonts w:asciiTheme="majorHAnsi" w:hAnsiTheme="majorHAnsi" w:cs="Arial"/>
                          <w:b/>
                          <w:color w:val="0D0D0D" w:themeColor="text1" w:themeTint="F2"/>
                          <w:sz w:val="36"/>
                          <w:szCs w:val="22"/>
                          <w:lang w:val="es-ES_tradnl"/>
                        </w:rPr>
                        <w:t>178</w:t>
                      </w:r>
                      <w:r>
                        <w:rPr>
                          <w:rFonts w:asciiTheme="majorHAnsi" w:hAnsiTheme="majorHAnsi" w:cs="Arial"/>
                          <w:b/>
                          <w:color w:val="0D0D0D" w:themeColor="text1" w:themeTint="F2"/>
                          <w:sz w:val="36"/>
                          <w:szCs w:val="22"/>
                          <w:lang w:val="es-ES_tradnl"/>
                        </w:rPr>
                        <w:t>-</w:t>
                      </w:r>
                      <w:r w:rsidR="000976C2">
                        <w:rPr>
                          <w:rFonts w:asciiTheme="majorHAnsi" w:hAnsiTheme="majorHAnsi" w:cs="Arial"/>
                          <w:b/>
                          <w:color w:val="0D0D0D" w:themeColor="text1" w:themeTint="F2"/>
                          <w:sz w:val="36"/>
                          <w:szCs w:val="22"/>
                          <w:lang w:val="es-ES_tradnl"/>
                        </w:rPr>
                        <w:t>13</w:t>
                      </w:r>
                    </w:p>
                    <w:p w14:paraId="1406BEBE" w14:textId="7372E071"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2" w:name="_ftnref1"/>
                    </w:p>
                    <w:p w14:paraId="0CA9991B" w14:textId="1BCFB699" w:rsidR="009629C7" w:rsidRDefault="000976C2"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DOUGLAS MORIN</w:t>
                      </w:r>
                    </w:p>
                    <w:bookmarkEnd w:id="2"/>
                    <w:p w14:paraId="61634CF1" w14:textId="58559AFA" w:rsidR="009629C7" w:rsidRDefault="000976C2" w:rsidP="009629C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AMÉRICA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03429CF3"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2178AA3C"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17183">
                              <w:rPr>
                                <w:rFonts w:asciiTheme="minorHAnsi" w:hAnsiTheme="minorHAnsi"/>
                                <w:color w:val="FFFFFF" w:themeColor="background1"/>
                                <w:sz w:val="22"/>
                                <w:lang w:val="pt-BR"/>
                              </w:rPr>
                              <w:t>258</w:t>
                            </w:r>
                          </w:p>
                          <w:p w14:paraId="06176FA9" w14:textId="7E1A7C81" w:rsidR="0099258D" w:rsidRPr="007160BD" w:rsidRDefault="00B1718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w:t>
                            </w:r>
                            <w:r w:rsidR="0099258D" w:rsidRPr="007160BD">
                              <w:rPr>
                                <w:rFonts w:asciiTheme="minorHAnsi" w:hAnsiTheme="minorHAnsi"/>
                                <w:color w:val="FFFFFF" w:themeColor="background1"/>
                                <w:sz w:val="22"/>
                                <w:lang w:val="es-US"/>
                              </w:rPr>
                              <w:t xml:space="preserve"> </w:t>
                            </w:r>
                            <w:r w:rsidR="000976C2">
                              <w:rPr>
                                <w:rFonts w:asciiTheme="minorHAnsi" w:hAnsiTheme="minorHAnsi"/>
                                <w:color w:val="FFFFFF" w:themeColor="background1"/>
                                <w:sz w:val="22"/>
                                <w:lang w:val="es-US"/>
                              </w:rPr>
                              <w:t>2019</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797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03429CF3"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2178AA3C"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17183">
                        <w:rPr>
                          <w:rFonts w:asciiTheme="minorHAnsi" w:hAnsiTheme="minorHAnsi"/>
                          <w:color w:val="FFFFFF" w:themeColor="background1"/>
                          <w:sz w:val="22"/>
                          <w:lang w:val="pt-BR"/>
                        </w:rPr>
                        <w:t>258</w:t>
                      </w:r>
                    </w:p>
                    <w:p w14:paraId="06176FA9" w14:textId="7E1A7C81" w:rsidR="0099258D" w:rsidRPr="007160BD" w:rsidRDefault="00B1718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w:t>
                      </w:r>
                      <w:r w:rsidR="0099258D" w:rsidRPr="007160BD">
                        <w:rPr>
                          <w:rFonts w:asciiTheme="minorHAnsi" w:hAnsiTheme="minorHAnsi"/>
                          <w:color w:val="FFFFFF" w:themeColor="background1"/>
                          <w:sz w:val="22"/>
                          <w:lang w:val="es-US"/>
                        </w:rPr>
                        <w:t xml:space="preserve"> </w:t>
                      </w:r>
                      <w:r w:rsidR="000976C2">
                        <w:rPr>
                          <w:rFonts w:asciiTheme="minorHAnsi" w:hAnsiTheme="minorHAnsi"/>
                          <w:color w:val="FFFFFF" w:themeColor="background1"/>
                          <w:sz w:val="22"/>
                          <w:lang w:val="es-US"/>
                        </w:rPr>
                        <w:t>2019</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2139B41A"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17183">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17183">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B17183">
                              <w:rPr>
                                <w:rFonts w:asciiTheme="majorHAnsi" w:hAnsiTheme="majorHAnsi"/>
                                <w:color w:val="0D0D0D" w:themeColor="text1" w:themeTint="F2"/>
                                <w:sz w:val="18"/>
                                <w:szCs w:val="22"/>
                                <w:lang w:val="es-ES"/>
                              </w:rPr>
                              <w:t>2019.</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2139B41A"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17183">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17183">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B17183">
                        <w:rPr>
                          <w:rFonts w:asciiTheme="majorHAnsi" w:hAnsiTheme="majorHAnsi"/>
                          <w:color w:val="0D0D0D" w:themeColor="text1" w:themeTint="F2"/>
                          <w:sz w:val="18"/>
                          <w:szCs w:val="22"/>
                          <w:lang w:val="es-ES"/>
                        </w:rPr>
                        <w:t>2019.</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7AE7E7FF"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7183">
                              <w:rPr>
                                <w:rFonts w:asciiTheme="majorHAnsi" w:hAnsiTheme="majorHAnsi"/>
                                <w:color w:val="595959" w:themeColor="text1" w:themeTint="A6"/>
                                <w:sz w:val="18"/>
                                <w:szCs w:val="18"/>
                                <w:lang w:val="es-ES_tradnl"/>
                              </w:rPr>
                              <w:t>231/19. Admisibilidad</w:t>
                            </w:r>
                            <w:r w:rsidRPr="00890650">
                              <w:rPr>
                                <w:rFonts w:asciiTheme="majorHAnsi" w:hAnsiTheme="majorHAnsi"/>
                                <w:color w:val="595959" w:themeColor="text1" w:themeTint="A6"/>
                                <w:sz w:val="18"/>
                                <w:szCs w:val="18"/>
                                <w:lang w:val="es-ES_tradnl"/>
                              </w:rPr>
                              <w:t xml:space="preserve">. </w:t>
                            </w:r>
                            <w:r w:rsidR="00B17183">
                              <w:rPr>
                                <w:rFonts w:asciiTheme="majorHAnsi" w:hAnsiTheme="majorHAnsi"/>
                                <w:color w:val="595959" w:themeColor="text1" w:themeTint="A6"/>
                                <w:sz w:val="18"/>
                                <w:szCs w:val="18"/>
                                <w:lang w:val="es-ES_tradnl"/>
                              </w:rPr>
                              <w:t>Douglas Morin. Admisibilidad. Estados Unidos de América. 31 de diciembre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E4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7AE7E7FF"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7183">
                        <w:rPr>
                          <w:rFonts w:asciiTheme="majorHAnsi" w:hAnsiTheme="majorHAnsi"/>
                          <w:color w:val="595959" w:themeColor="text1" w:themeTint="A6"/>
                          <w:sz w:val="18"/>
                          <w:szCs w:val="18"/>
                          <w:lang w:val="es-ES_tradnl"/>
                        </w:rPr>
                        <w:t>231/19. Admisibilidad</w:t>
                      </w:r>
                      <w:r w:rsidRPr="00890650">
                        <w:rPr>
                          <w:rFonts w:asciiTheme="majorHAnsi" w:hAnsiTheme="majorHAnsi"/>
                          <w:color w:val="595959" w:themeColor="text1" w:themeTint="A6"/>
                          <w:sz w:val="18"/>
                          <w:szCs w:val="18"/>
                          <w:lang w:val="es-ES_tradnl"/>
                        </w:rPr>
                        <w:t xml:space="preserve">. </w:t>
                      </w:r>
                      <w:r w:rsidR="00B17183">
                        <w:rPr>
                          <w:rFonts w:asciiTheme="majorHAnsi" w:hAnsiTheme="majorHAnsi"/>
                          <w:color w:val="595959" w:themeColor="text1" w:themeTint="A6"/>
                          <w:sz w:val="18"/>
                          <w:szCs w:val="18"/>
                          <w:lang w:val="es-ES_tradnl"/>
                        </w:rPr>
                        <w:t>Douglas Morin. Admisibilidad. Estados Unidos de América. 31 de diciembre de 2019.</w:t>
                      </w:r>
                    </w:p>
                  </w:txbxContent>
                </v:textbox>
              </v:shape>
            </w:pict>
          </mc:Fallback>
        </mc:AlternateContent>
      </w:r>
    </w:p>
    <w:p w14:paraId="23181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44F37CE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4012B702" wp14:editId="2F347E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B702" id="Text Box 4" o:spid="_x0000_s1031" type="#_x0000_t202" style="position:absolute;left:0;text-align:left;margin-left:-21.45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720C7DBC" w:rsidR="0070697F" w:rsidRDefault="0045247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43E559D9" wp14:editId="59B4FD3E">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514EB5F8" w:rsidR="0099258D" w:rsidRPr="00D72DC6" w:rsidRDefault="006553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A7D27E" wp14:editId="68431F1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2" type="#_x0000_t202" style="position:absolute;left:0;text-align:left;margin-left:104.8pt;margin-top:38.55pt;width:180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CC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pkODbCEeot94aGbq+D4tcLi3bAQ75nH&#10;QcJ643KId/iRGpB86CVKVuB/v3Wf8NjfqKWkwcGsaPi1Zl5Qor9Z7Pyz0fFxmuR8OJ6cjPHgDzXL&#10;Q41dm0vAjhjhGnI8iwkf9SBKD+YJd8giRUUVsxxjVzQO4mXs1gXuIC4WiwzC2XUs3tgHx5PrxHJq&#10;zcf2iXnX92/Ezr+FYYTZ7FUbd9hkaWGxjiBV7vHEc8dqzz/OfZ6SfkelxXJ4zqj9Jp2/AA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cQHQgo0CAACRBQAADgAAAAAAAAAAAAAAAAAuAgAAZHJzL2Uyb0RvYy54bWxQSwEC&#10;LQAUAAYACAAAACEAcKbUyuAAAAAKAQAADwAAAAAAAAAAAAAAAADnBAAAZHJzL2Rvd25yZXYueG1s&#10;UEsFBgAAAAAEAAQA8wAAAPQFAAAAAA==&#10;" fillcolor="white [3201]" stroked="f" strokeweight=".5pt">
                <v:textbox>
                  <w:txbxContent>
                    <w:p w14:paraId="0AEAAA1D" w14:textId="514EB5F8" w:rsidR="0099258D" w:rsidRPr="00D72DC6" w:rsidRDefault="006553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A7D27E" wp14:editId="68431F1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802833" w:rsidRPr="009629C7" w14:paraId="14353E3A" w14:textId="77777777" w:rsidTr="0045247F">
        <w:tc>
          <w:tcPr>
            <w:tcW w:w="3544" w:type="dxa"/>
            <w:shd w:val="clear" w:color="auto" w:fill="386294"/>
            <w:vAlign w:val="center"/>
          </w:tcPr>
          <w:p w14:paraId="0EC9DE2C" w14:textId="0CB556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706D0974" w14:textId="7D9A8FEC" w:rsidR="00802833" w:rsidRPr="00802833" w:rsidRDefault="00C850FE" w:rsidP="00802833">
            <w:pPr>
              <w:jc w:val="both"/>
              <w:rPr>
                <w:rFonts w:ascii="Cambria" w:hAnsi="Cambria"/>
                <w:bCs/>
                <w:sz w:val="20"/>
                <w:szCs w:val="20"/>
                <w:lang w:val="es-ES"/>
              </w:rPr>
            </w:pPr>
            <w:r>
              <w:rPr>
                <w:rFonts w:ascii="Cambria" w:hAnsi="Cambria"/>
                <w:bCs/>
                <w:sz w:val="20"/>
                <w:szCs w:val="20"/>
                <w:lang w:val="es-ES"/>
              </w:rPr>
              <w:t>Douglas Morin</w:t>
            </w:r>
          </w:p>
        </w:tc>
      </w:tr>
      <w:tr w:rsidR="00802833" w:rsidRPr="00171A7E" w14:paraId="2355CD53" w14:textId="77777777" w:rsidTr="0045247F">
        <w:tc>
          <w:tcPr>
            <w:tcW w:w="3544" w:type="dxa"/>
            <w:shd w:val="clear" w:color="auto" w:fill="386294"/>
            <w:vAlign w:val="center"/>
          </w:tcPr>
          <w:p w14:paraId="59A0E4B3" w14:textId="23C5F734" w:rsidR="00802833" w:rsidRPr="009629C7" w:rsidRDefault="00700421" w:rsidP="0080283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sidRPr="009629C7">
                  <w:rPr>
                    <w:rFonts w:ascii="Cambria" w:hAnsi="Cambria"/>
                    <w:bCs/>
                    <w:color w:val="FFFFFF" w:themeColor="background1"/>
                    <w:sz w:val="19"/>
                    <w:szCs w:val="19"/>
                    <w:lang w:val="es-ES"/>
                  </w:rPr>
                  <w:t>Presunta víctima</w:t>
                </w:r>
              </w:sdtContent>
            </w:sdt>
          </w:p>
        </w:tc>
        <w:tc>
          <w:tcPr>
            <w:tcW w:w="5812" w:type="dxa"/>
            <w:vAlign w:val="center"/>
          </w:tcPr>
          <w:p w14:paraId="70B7B1C1" w14:textId="48DF1285" w:rsidR="00802833" w:rsidRDefault="00C850FE" w:rsidP="00802833">
            <w:pPr>
              <w:jc w:val="both"/>
              <w:rPr>
                <w:rFonts w:ascii="Cambria" w:hAnsi="Cambria"/>
                <w:bCs/>
                <w:sz w:val="20"/>
                <w:szCs w:val="20"/>
              </w:rPr>
            </w:pPr>
            <w:r>
              <w:rPr>
                <w:rFonts w:ascii="Cambria" w:hAnsi="Cambria"/>
                <w:bCs/>
                <w:sz w:val="20"/>
                <w:szCs w:val="20"/>
              </w:rPr>
              <w:t>Douglas Morin</w:t>
            </w:r>
          </w:p>
        </w:tc>
      </w:tr>
      <w:tr w:rsidR="00802833" w14:paraId="6B9385E9" w14:textId="77777777" w:rsidTr="0045247F">
        <w:tc>
          <w:tcPr>
            <w:tcW w:w="3544" w:type="dxa"/>
            <w:shd w:val="clear" w:color="auto" w:fill="386294"/>
            <w:vAlign w:val="center"/>
          </w:tcPr>
          <w:p w14:paraId="2DB2C085" w14:textId="7CA93E2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Estado denunciado</w:t>
            </w:r>
          </w:p>
        </w:tc>
        <w:tc>
          <w:tcPr>
            <w:tcW w:w="5812" w:type="dxa"/>
            <w:vAlign w:val="center"/>
          </w:tcPr>
          <w:p w14:paraId="5E375646" w14:textId="33DB61B9" w:rsidR="00802833" w:rsidRDefault="00C850FE" w:rsidP="00802833">
            <w:pPr>
              <w:jc w:val="both"/>
              <w:rPr>
                <w:rFonts w:ascii="Cambria" w:hAnsi="Cambria"/>
                <w:bCs/>
                <w:sz w:val="20"/>
                <w:szCs w:val="20"/>
              </w:rPr>
            </w:pPr>
            <w:r>
              <w:rPr>
                <w:rFonts w:ascii="Cambria" w:hAnsi="Cambria"/>
                <w:bCs/>
                <w:sz w:val="20"/>
                <w:szCs w:val="20"/>
              </w:rPr>
              <w:t>Estados Unidos de América</w:t>
            </w:r>
            <w:r>
              <w:rPr>
                <w:rStyle w:val="FootnoteReference"/>
                <w:rFonts w:ascii="Cambria" w:hAnsi="Cambria"/>
                <w:bCs/>
                <w:sz w:val="20"/>
                <w:szCs w:val="20"/>
              </w:rPr>
              <w:footnoteReference w:id="2"/>
            </w:r>
          </w:p>
        </w:tc>
      </w:tr>
      <w:tr w:rsidR="00802833" w:rsidRPr="009629C7" w14:paraId="2485421D" w14:textId="77777777" w:rsidTr="0045247F">
        <w:tc>
          <w:tcPr>
            <w:tcW w:w="3544" w:type="dxa"/>
            <w:shd w:val="clear" w:color="auto" w:fill="386294"/>
            <w:vAlign w:val="center"/>
          </w:tcPr>
          <w:p w14:paraId="158523DF" w14:textId="03C294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invocados</w:t>
            </w:r>
          </w:p>
        </w:tc>
        <w:tc>
          <w:tcPr>
            <w:tcW w:w="5812" w:type="dxa"/>
            <w:vAlign w:val="center"/>
          </w:tcPr>
          <w:p w14:paraId="6963531B" w14:textId="67BC216A" w:rsidR="00802833" w:rsidRDefault="00D046B4" w:rsidP="00802833">
            <w:pPr>
              <w:jc w:val="both"/>
              <w:rPr>
                <w:rFonts w:ascii="Cambria" w:hAnsi="Cambria"/>
                <w:bCs/>
                <w:sz w:val="20"/>
                <w:szCs w:val="20"/>
                <w:lang w:val="es-PA"/>
              </w:rPr>
            </w:pPr>
            <w:r>
              <w:rPr>
                <w:rFonts w:ascii="Cambria" w:hAnsi="Cambria"/>
                <w:bCs/>
                <w:sz w:val="20"/>
                <w:szCs w:val="20"/>
                <w:lang w:val="es-PA"/>
              </w:rPr>
              <w:t>No se especifican artículos</w:t>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9629C7" w:rsidRPr="00960625" w14:paraId="78A941EA" w14:textId="77777777" w:rsidTr="009629C7">
        <w:tc>
          <w:tcPr>
            <w:tcW w:w="3544" w:type="dxa"/>
            <w:tcBorders>
              <w:top w:val="single" w:sz="6" w:space="0" w:color="auto"/>
              <w:bottom w:val="single" w:sz="6" w:space="0" w:color="auto"/>
            </w:tcBorders>
            <w:shd w:val="clear" w:color="auto" w:fill="386294"/>
            <w:vAlign w:val="center"/>
          </w:tcPr>
          <w:p w14:paraId="470D93FB" w14:textId="4BD55022" w:rsidR="009629C7" w:rsidRPr="009629C7" w:rsidRDefault="009629C7"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Recepción </w:t>
            </w:r>
            <w:r w:rsidRPr="009629C7">
              <w:rPr>
                <w:rFonts w:ascii="Cambria" w:hAnsi="Cambria"/>
                <w:bCs/>
                <w:color w:val="FFFFFF" w:themeColor="background1"/>
                <w:sz w:val="19"/>
                <w:szCs w:val="19"/>
                <w:lang w:val="es-ES"/>
              </w:rPr>
              <w:t>de la petición</w:t>
            </w:r>
          </w:p>
        </w:tc>
        <w:tc>
          <w:tcPr>
            <w:tcW w:w="5812" w:type="dxa"/>
          </w:tcPr>
          <w:p w14:paraId="1C0FBE93" w14:textId="791278FD" w:rsidR="009629C7" w:rsidRPr="003239B8" w:rsidRDefault="00D046B4" w:rsidP="00802833">
            <w:pPr>
              <w:jc w:val="both"/>
              <w:rPr>
                <w:rFonts w:ascii="Cambria" w:hAnsi="Cambria"/>
                <w:bCs/>
                <w:sz w:val="20"/>
                <w:szCs w:val="20"/>
                <w:lang w:val="es-ES"/>
              </w:rPr>
            </w:pPr>
            <w:r>
              <w:rPr>
                <w:rFonts w:ascii="Cambria" w:hAnsi="Cambria"/>
                <w:bCs/>
                <w:sz w:val="20"/>
                <w:szCs w:val="20"/>
                <w:lang w:val="es-ES"/>
              </w:rPr>
              <w:t>5 de febrero de 2013</w:t>
            </w:r>
          </w:p>
        </w:tc>
      </w:tr>
      <w:tr w:rsidR="009629C7" w:rsidRPr="006A62CE" w14:paraId="33F566F4" w14:textId="77777777" w:rsidTr="009629C7">
        <w:tc>
          <w:tcPr>
            <w:tcW w:w="3544" w:type="dxa"/>
            <w:tcBorders>
              <w:top w:val="single" w:sz="6" w:space="0" w:color="auto"/>
              <w:bottom w:val="single" w:sz="6" w:space="0" w:color="auto"/>
            </w:tcBorders>
            <w:shd w:val="clear" w:color="auto" w:fill="386294"/>
            <w:vAlign w:val="center"/>
          </w:tcPr>
          <w:p w14:paraId="1052A61F" w14:textId="5A43CEF4"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Información adicional recibida durante la etapa de estudio</w:t>
            </w:r>
          </w:p>
        </w:tc>
        <w:tc>
          <w:tcPr>
            <w:tcW w:w="5812" w:type="dxa"/>
          </w:tcPr>
          <w:p w14:paraId="08E4BF96" w14:textId="6DA58123" w:rsidR="009629C7" w:rsidRPr="009C2076" w:rsidRDefault="00D046B4" w:rsidP="00802833">
            <w:pPr>
              <w:rPr>
                <w:rFonts w:ascii="Cambria" w:hAnsi="Cambria"/>
                <w:color w:val="FF0000"/>
                <w:sz w:val="20"/>
                <w:szCs w:val="20"/>
                <w:lang w:val="es"/>
              </w:rPr>
            </w:pPr>
            <w:r>
              <w:rPr>
                <w:rFonts w:ascii="Cambria" w:hAnsi="Cambria"/>
                <w:sz w:val="20"/>
                <w:szCs w:val="20"/>
                <w:lang w:val="es"/>
              </w:rPr>
              <w:t>16 de agosto de 2013, 4 de marzo, 28 de junio y 7 de octubre de 2014</w:t>
            </w:r>
            <w:r w:rsidR="009C2076">
              <w:rPr>
                <w:rFonts w:ascii="Cambria" w:hAnsi="Cambria"/>
                <w:sz w:val="20"/>
                <w:szCs w:val="20"/>
                <w:lang w:val="es"/>
              </w:rPr>
              <w:t xml:space="preserve">; </w:t>
            </w:r>
            <w:r w:rsidR="009C2076" w:rsidRPr="004C7F19">
              <w:rPr>
                <w:rFonts w:ascii="Cambria" w:hAnsi="Cambria"/>
                <w:sz w:val="20"/>
                <w:szCs w:val="20"/>
                <w:lang w:val="es"/>
              </w:rPr>
              <w:t>17 de diciembre de 2015</w:t>
            </w:r>
          </w:p>
        </w:tc>
      </w:tr>
      <w:tr w:rsidR="009629C7" w:rsidRPr="00802833" w14:paraId="4C078278" w14:textId="77777777" w:rsidTr="009629C7">
        <w:tc>
          <w:tcPr>
            <w:tcW w:w="3544" w:type="dxa"/>
            <w:tcBorders>
              <w:top w:val="single" w:sz="6" w:space="0" w:color="auto"/>
              <w:bottom w:val="single" w:sz="6" w:space="0" w:color="auto"/>
            </w:tcBorders>
            <w:shd w:val="clear" w:color="auto" w:fill="386294"/>
            <w:vAlign w:val="center"/>
          </w:tcPr>
          <w:p w14:paraId="687B66A5" w14:textId="7667493E"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Notificación de la petición</w:t>
            </w:r>
          </w:p>
        </w:tc>
        <w:tc>
          <w:tcPr>
            <w:tcW w:w="5812" w:type="dxa"/>
          </w:tcPr>
          <w:p w14:paraId="0C419769" w14:textId="763DAE92" w:rsidR="009629C7" w:rsidRDefault="00D046B4" w:rsidP="00802833">
            <w:pPr>
              <w:jc w:val="both"/>
              <w:rPr>
                <w:rFonts w:ascii="Cambria" w:hAnsi="Cambria"/>
                <w:sz w:val="20"/>
                <w:szCs w:val="20"/>
                <w:lang w:val="es"/>
              </w:rPr>
            </w:pPr>
            <w:r>
              <w:rPr>
                <w:rFonts w:ascii="Cambria" w:hAnsi="Cambria"/>
                <w:sz w:val="20"/>
                <w:szCs w:val="20"/>
                <w:lang w:val="es"/>
              </w:rPr>
              <w:t>14 de marzo de 2016</w:t>
            </w:r>
          </w:p>
        </w:tc>
      </w:tr>
      <w:tr w:rsidR="009629C7" w:rsidRPr="004A6A54" w14:paraId="13AC9F25" w14:textId="77777777" w:rsidTr="009629C7">
        <w:tc>
          <w:tcPr>
            <w:tcW w:w="3544" w:type="dxa"/>
            <w:tcBorders>
              <w:top w:val="single" w:sz="6" w:space="0" w:color="auto"/>
              <w:bottom w:val="single" w:sz="6" w:space="0" w:color="auto"/>
            </w:tcBorders>
            <w:shd w:val="clear" w:color="auto" w:fill="386294"/>
            <w:vAlign w:val="center"/>
          </w:tcPr>
          <w:p w14:paraId="57251DBE" w14:textId="7371D139"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Primera respuesta del Estado</w:t>
            </w:r>
          </w:p>
        </w:tc>
        <w:tc>
          <w:tcPr>
            <w:tcW w:w="5812" w:type="dxa"/>
          </w:tcPr>
          <w:p w14:paraId="5FF39E31" w14:textId="7F0DBFB0" w:rsidR="009629C7" w:rsidRDefault="00D046B4" w:rsidP="00802833">
            <w:pPr>
              <w:jc w:val="both"/>
              <w:rPr>
                <w:rFonts w:ascii="Cambria" w:hAnsi="Cambria"/>
                <w:sz w:val="20"/>
                <w:szCs w:val="20"/>
                <w:lang w:val="es"/>
              </w:rPr>
            </w:pPr>
            <w:r>
              <w:rPr>
                <w:rFonts w:ascii="Cambria" w:hAnsi="Cambria"/>
                <w:sz w:val="20"/>
                <w:szCs w:val="20"/>
                <w:lang w:val="es"/>
              </w:rPr>
              <w:t>2 de junio de 2016</w:t>
            </w:r>
          </w:p>
        </w:tc>
      </w:tr>
      <w:tr w:rsidR="009629C7" w:rsidRPr="006A62CE" w14:paraId="72BEADE5" w14:textId="77777777" w:rsidTr="009629C7">
        <w:tc>
          <w:tcPr>
            <w:tcW w:w="3544" w:type="dxa"/>
            <w:tcBorders>
              <w:top w:val="single" w:sz="6" w:space="0" w:color="auto"/>
              <w:bottom w:val="single" w:sz="6" w:space="0" w:color="auto"/>
            </w:tcBorders>
            <w:shd w:val="clear" w:color="auto" w:fill="386294"/>
            <w:vAlign w:val="center"/>
          </w:tcPr>
          <w:p w14:paraId="3B4BFBD8" w14:textId="77777777" w:rsid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Observaciones adicionales de la </w:t>
            </w:r>
          </w:p>
          <w:p w14:paraId="6062177F" w14:textId="345EFE3B"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tcPr>
          <w:p w14:paraId="09D2C506" w14:textId="4E9F16CE" w:rsidR="009629C7" w:rsidRDefault="00D046B4" w:rsidP="00802833">
            <w:pPr>
              <w:jc w:val="both"/>
              <w:rPr>
                <w:rFonts w:ascii="Cambria" w:hAnsi="Cambria"/>
                <w:sz w:val="20"/>
                <w:szCs w:val="20"/>
                <w:lang w:val="es"/>
              </w:rPr>
            </w:pPr>
            <w:r>
              <w:rPr>
                <w:rFonts w:ascii="Cambria" w:hAnsi="Cambria"/>
                <w:sz w:val="20"/>
                <w:szCs w:val="20"/>
                <w:lang w:val="es"/>
              </w:rPr>
              <w:t>19, 26 y 28 de abril y</w:t>
            </w:r>
            <w:r w:rsidR="00CD6478">
              <w:rPr>
                <w:rFonts w:ascii="Cambria" w:hAnsi="Cambria"/>
                <w:sz w:val="20"/>
                <w:szCs w:val="20"/>
                <w:lang w:val="es"/>
              </w:rPr>
              <w:t xml:space="preserve"> </w:t>
            </w:r>
            <w:r>
              <w:rPr>
                <w:rFonts w:ascii="Cambria" w:hAnsi="Cambria"/>
                <w:sz w:val="20"/>
                <w:szCs w:val="20"/>
                <w:lang w:val="es"/>
              </w:rPr>
              <w:t>14 de septiembre de 2016; 2 de febrero, 16 de junio, 28 de agosto, 7 de septiembre y 17 de octubre de 2017</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540F17" w14:paraId="716354D3" w14:textId="77777777" w:rsidTr="009629C7">
        <w:trPr>
          <w:cantSplit/>
        </w:trPr>
        <w:tc>
          <w:tcPr>
            <w:tcW w:w="3600" w:type="dxa"/>
            <w:tcBorders>
              <w:top w:val="single" w:sz="4" w:space="0" w:color="auto"/>
              <w:bottom w:val="single" w:sz="6" w:space="0" w:color="auto"/>
            </w:tcBorders>
            <w:shd w:val="clear" w:color="auto" w:fill="386294"/>
            <w:vAlign w:val="center"/>
          </w:tcPr>
          <w:p w14:paraId="6EEFB6D2" w14:textId="4CA13AE7"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personae</w:t>
            </w:r>
          </w:p>
        </w:tc>
        <w:tc>
          <w:tcPr>
            <w:tcW w:w="5760" w:type="dxa"/>
            <w:vAlign w:val="center"/>
          </w:tcPr>
          <w:p w14:paraId="5E836BC1" w14:textId="302058F4" w:rsidR="00802833" w:rsidRPr="00DA671F" w:rsidRDefault="0069186E" w:rsidP="00802833">
            <w:pPr>
              <w:rPr>
                <w:rFonts w:asciiTheme="majorHAnsi" w:hAnsiTheme="majorHAnsi"/>
                <w:bCs/>
                <w:sz w:val="20"/>
                <w:szCs w:val="20"/>
              </w:rPr>
            </w:pPr>
            <w:r>
              <w:rPr>
                <w:rFonts w:asciiTheme="majorHAnsi" w:hAnsiTheme="majorHAnsi"/>
                <w:bCs/>
                <w:sz w:val="20"/>
                <w:szCs w:val="20"/>
              </w:rPr>
              <w:t>Sí</w:t>
            </w:r>
          </w:p>
        </w:tc>
      </w:tr>
      <w:tr w:rsidR="00802833" w:rsidRPr="00540F17" w14:paraId="139DBF83" w14:textId="77777777" w:rsidTr="009629C7">
        <w:trPr>
          <w:cantSplit/>
        </w:trPr>
        <w:tc>
          <w:tcPr>
            <w:tcW w:w="3600" w:type="dxa"/>
            <w:tcBorders>
              <w:top w:val="single" w:sz="6" w:space="0" w:color="auto"/>
              <w:bottom w:val="single" w:sz="6" w:space="0" w:color="auto"/>
            </w:tcBorders>
            <w:shd w:val="clear" w:color="auto" w:fill="386294"/>
            <w:vAlign w:val="center"/>
          </w:tcPr>
          <w:p w14:paraId="0ABA245B" w14:textId="7CD6845F"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loci</w:t>
            </w:r>
          </w:p>
        </w:tc>
        <w:tc>
          <w:tcPr>
            <w:tcW w:w="5760" w:type="dxa"/>
            <w:vAlign w:val="center"/>
          </w:tcPr>
          <w:p w14:paraId="41226443" w14:textId="246B1783" w:rsidR="00802833" w:rsidRPr="00DA671F" w:rsidRDefault="0069186E" w:rsidP="00802833">
            <w:pPr>
              <w:rPr>
                <w:rFonts w:asciiTheme="majorHAnsi" w:hAnsiTheme="majorHAnsi"/>
                <w:bCs/>
                <w:sz w:val="20"/>
                <w:szCs w:val="20"/>
              </w:rPr>
            </w:pPr>
            <w:r>
              <w:rPr>
                <w:rFonts w:asciiTheme="majorHAnsi" w:hAnsiTheme="majorHAnsi"/>
                <w:bCs/>
                <w:sz w:val="20"/>
                <w:szCs w:val="20"/>
              </w:rPr>
              <w:t>Sí</w:t>
            </w:r>
          </w:p>
        </w:tc>
      </w:tr>
      <w:tr w:rsidR="00802833" w:rsidRPr="00540F17" w14:paraId="77BF1F3F" w14:textId="77777777" w:rsidTr="009629C7">
        <w:trPr>
          <w:cantSplit/>
        </w:trPr>
        <w:tc>
          <w:tcPr>
            <w:tcW w:w="3600" w:type="dxa"/>
            <w:tcBorders>
              <w:top w:val="single" w:sz="6" w:space="0" w:color="auto"/>
              <w:bottom w:val="single" w:sz="6" w:space="0" w:color="auto"/>
            </w:tcBorders>
            <w:shd w:val="clear" w:color="auto" w:fill="386294"/>
            <w:vAlign w:val="center"/>
          </w:tcPr>
          <w:p w14:paraId="25C8AFD3" w14:textId="22C50ED3"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temporis</w:t>
            </w:r>
          </w:p>
        </w:tc>
        <w:tc>
          <w:tcPr>
            <w:tcW w:w="5760" w:type="dxa"/>
            <w:vAlign w:val="center"/>
          </w:tcPr>
          <w:p w14:paraId="7E7832B4" w14:textId="17142477" w:rsidR="00802833" w:rsidRPr="00DA671F" w:rsidRDefault="0069186E" w:rsidP="00802833">
            <w:pPr>
              <w:rPr>
                <w:rFonts w:asciiTheme="majorHAnsi" w:hAnsiTheme="majorHAnsi"/>
                <w:bCs/>
                <w:sz w:val="20"/>
                <w:szCs w:val="20"/>
              </w:rPr>
            </w:pPr>
            <w:r>
              <w:rPr>
                <w:rFonts w:asciiTheme="majorHAnsi" w:hAnsiTheme="majorHAnsi"/>
                <w:bCs/>
                <w:sz w:val="20"/>
                <w:szCs w:val="20"/>
              </w:rPr>
              <w:t>Sí</w:t>
            </w:r>
          </w:p>
        </w:tc>
      </w:tr>
      <w:tr w:rsidR="00802833" w:rsidRPr="006A62CE" w14:paraId="0FFDD8DB" w14:textId="77777777" w:rsidTr="009629C7">
        <w:trPr>
          <w:cantSplit/>
        </w:trPr>
        <w:tc>
          <w:tcPr>
            <w:tcW w:w="3600" w:type="dxa"/>
            <w:tcBorders>
              <w:top w:val="single" w:sz="6" w:space="0" w:color="auto"/>
              <w:bottom w:val="single" w:sz="6" w:space="0" w:color="auto"/>
            </w:tcBorders>
            <w:shd w:val="clear" w:color="auto" w:fill="386294"/>
            <w:vAlign w:val="center"/>
          </w:tcPr>
          <w:p w14:paraId="7A1EA5A0" w14:textId="1C41C8E7"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materiae</w:t>
            </w:r>
          </w:p>
        </w:tc>
        <w:tc>
          <w:tcPr>
            <w:tcW w:w="5760" w:type="dxa"/>
            <w:vAlign w:val="center"/>
          </w:tcPr>
          <w:p w14:paraId="3EE84FF7" w14:textId="511C124E" w:rsidR="00802833" w:rsidRPr="004C2312" w:rsidRDefault="0069186E" w:rsidP="00802833">
            <w:pPr>
              <w:jc w:val="both"/>
              <w:rPr>
                <w:rFonts w:ascii="Cambria" w:hAnsi="Cambria"/>
                <w:bCs/>
                <w:sz w:val="20"/>
                <w:szCs w:val="20"/>
                <w:lang w:val="es-ES"/>
              </w:rPr>
            </w:pPr>
            <w:r>
              <w:rPr>
                <w:rFonts w:ascii="Cambria" w:hAnsi="Cambria"/>
                <w:bCs/>
                <w:sz w:val="20"/>
                <w:szCs w:val="20"/>
                <w:lang w:val="es-ES"/>
              </w:rPr>
              <w:t>Sí, Declaración Americana de los Derechos y Deberes del Hombre</w:t>
            </w:r>
            <w:r>
              <w:rPr>
                <w:rStyle w:val="FootnoteReference"/>
                <w:rFonts w:ascii="Cambria" w:hAnsi="Cambria"/>
                <w:bCs/>
                <w:sz w:val="20"/>
                <w:szCs w:val="20"/>
                <w:lang w:val="es-ES"/>
              </w:rPr>
              <w:footnoteReference w:id="4"/>
            </w:r>
            <w:r>
              <w:rPr>
                <w:rFonts w:ascii="Cambria" w:hAnsi="Cambria"/>
                <w:bCs/>
                <w:sz w:val="20"/>
                <w:szCs w:val="20"/>
                <w:lang w:val="es-ES"/>
              </w:rPr>
              <w:t xml:space="preserve"> (ratificación de la Carta de la OEA el 19 de junio de 1951)</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8E670E" w14:paraId="3BE0CDDD" w14:textId="77777777" w:rsidTr="0045247F">
        <w:trPr>
          <w:cantSplit/>
        </w:trPr>
        <w:tc>
          <w:tcPr>
            <w:tcW w:w="3600" w:type="dxa"/>
            <w:shd w:val="clear" w:color="auto" w:fill="386294"/>
            <w:vAlign w:val="center"/>
          </w:tcPr>
          <w:p w14:paraId="1D139C97" w14:textId="77777777" w:rsidR="009629C7" w:rsidRPr="008E670E" w:rsidRDefault="00802833" w:rsidP="00802833">
            <w:pPr>
              <w:jc w:val="center"/>
              <w:rPr>
                <w:rFonts w:asciiTheme="majorHAnsi" w:hAnsiTheme="majorHAnsi"/>
                <w:bCs/>
                <w:color w:val="FFFFFF" w:themeColor="background1"/>
                <w:sz w:val="19"/>
                <w:szCs w:val="19"/>
                <w:lang w:val="es-ES"/>
              </w:rPr>
            </w:pPr>
            <w:r w:rsidRPr="008E670E">
              <w:rPr>
                <w:rFonts w:asciiTheme="majorHAnsi" w:hAnsiTheme="majorHAnsi"/>
                <w:bCs/>
                <w:color w:val="FFFFFF" w:themeColor="background1"/>
                <w:sz w:val="19"/>
                <w:szCs w:val="19"/>
                <w:lang w:val="es-ES"/>
              </w:rPr>
              <w:t xml:space="preserve">Duplicación y cosa juzgada </w:t>
            </w:r>
          </w:p>
          <w:p w14:paraId="59D7428E" w14:textId="7C031398" w:rsidR="00802833" w:rsidRPr="008E670E" w:rsidRDefault="00802833" w:rsidP="00802833">
            <w:pPr>
              <w:jc w:val="center"/>
              <w:rPr>
                <w:rFonts w:asciiTheme="majorHAnsi" w:hAnsiTheme="majorHAnsi"/>
                <w:bCs/>
                <w:color w:val="FFFFFF" w:themeColor="background1"/>
                <w:sz w:val="19"/>
                <w:szCs w:val="19"/>
                <w:lang w:val="es-ES"/>
              </w:rPr>
            </w:pPr>
            <w:r w:rsidRPr="008E670E">
              <w:rPr>
                <w:rFonts w:asciiTheme="majorHAnsi" w:hAnsiTheme="majorHAnsi"/>
                <w:bCs/>
                <w:color w:val="FFFFFF" w:themeColor="background1"/>
                <w:sz w:val="19"/>
                <w:szCs w:val="19"/>
                <w:lang w:val="es-ES"/>
              </w:rPr>
              <w:t>internacional</w:t>
            </w:r>
          </w:p>
        </w:tc>
        <w:tc>
          <w:tcPr>
            <w:tcW w:w="5760" w:type="dxa"/>
            <w:vAlign w:val="center"/>
          </w:tcPr>
          <w:p w14:paraId="44ABEC84" w14:textId="744DFDA5" w:rsidR="00802833" w:rsidRPr="008E670E" w:rsidRDefault="00C62D06" w:rsidP="00802833">
            <w:pPr>
              <w:jc w:val="both"/>
              <w:rPr>
                <w:rFonts w:asciiTheme="majorHAnsi" w:hAnsiTheme="majorHAnsi"/>
                <w:bCs/>
                <w:sz w:val="20"/>
                <w:szCs w:val="20"/>
                <w:lang w:val="es-ES"/>
              </w:rPr>
            </w:pPr>
            <w:r w:rsidRPr="008E670E">
              <w:rPr>
                <w:rFonts w:asciiTheme="majorHAnsi" w:hAnsiTheme="majorHAnsi"/>
                <w:bCs/>
                <w:sz w:val="20"/>
                <w:szCs w:val="20"/>
                <w:lang w:val="es-ES"/>
              </w:rPr>
              <w:t>No</w:t>
            </w:r>
          </w:p>
        </w:tc>
      </w:tr>
      <w:tr w:rsidR="00802833" w:rsidRPr="006A62CE" w14:paraId="6A5B3CAB" w14:textId="77777777" w:rsidTr="0045247F">
        <w:trPr>
          <w:cantSplit/>
        </w:trPr>
        <w:tc>
          <w:tcPr>
            <w:tcW w:w="3600" w:type="dxa"/>
            <w:shd w:val="clear" w:color="auto" w:fill="386294"/>
            <w:vAlign w:val="center"/>
          </w:tcPr>
          <w:p w14:paraId="3A46715A" w14:textId="66C52666" w:rsidR="00802833" w:rsidRPr="008E670E" w:rsidRDefault="00802833" w:rsidP="00802833">
            <w:pPr>
              <w:jc w:val="center"/>
              <w:rPr>
                <w:rFonts w:asciiTheme="majorHAnsi" w:hAnsiTheme="majorHAnsi"/>
                <w:bCs/>
                <w:color w:val="FFFFFF" w:themeColor="background1"/>
                <w:sz w:val="19"/>
                <w:szCs w:val="19"/>
                <w:lang w:val="es-ES"/>
              </w:rPr>
            </w:pPr>
            <w:r w:rsidRPr="008E670E">
              <w:rPr>
                <w:rFonts w:asciiTheme="majorHAnsi" w:hAnsiTheme="majorHAnsi"/>
                <w:bCs/>
                <w:color w:val="FFFFFF" w:themeColor="background1"/>
                <w:sz w:val="19"/>
                <w:szCs w:val="19"/>
                <w:lang w:val="es-ES"/>
              </w:rPr>
              <w:t>Derechos admi</w:t>
            </w:r>
            <w:r w:rsidR="009629C7" w:rsidRPr="008E670E">
              <w:rPr>
                <w:rFonts w:asciiTheme="majorHAnsi" w:hAnsiTheme="majorHAnsi"/>
                <w:bCs/>
                <w:color w:val="FFFFFF" w:themeColor="background1"/>
                <w:sz w:val="19"/>
                <w:szCs w:val="19"/>
                <w:lang w:val="es-ES"/>
              </w:rPr>
              <w:t>tido</w:t>
            </w:r>
            <w:r w:rsidRPr="008E670E">
              <w:rPr>
                <w:rFonts w:asciiTheme="majorHAnsi" w:hAnsiTheme="majorHAnsi"/>
                <w:bCs/>
                <w:color w:val="FFFFFF" w:themeColor="background1"/>
                <w:sz w:val="19"/>
                <w:szCs w:val="19"/>
                <w:lang w:val="es-ES"/>
              </w:rPr>
              <w:t>s</w:t>
            </w:r>
          </w:p>
        </w:tc>
        <w:tc>
          <w:tcPr>
            <w:tcW w:w="5760" w:type="dxa"/>
            <w:vAlign w:val="center"/>
          </w:tcPr>
          <w:p w14:paraId="3A3B0562" w14:textId="2E0BFF7D" w:rsidR="00802833" w:rsidRPr="008E670E" w:rsidRDefault="00C62D06" w:rsidP="00802833">
            <w:pPr>
              <w:jc w:val="both"/>
              <w:rPr>
                <w:rFonts w:asciiTheme="majorHAnsi" w:hAnsiTheme="majorHAnsi"/>
                <w:bCs/>
                <w:sz w:val="20"/>
                <w:szCs w:val="20"/>
                <w:lang w:val="es-PA"/>
              </w:rPr>
            </w:pPr>
            <w:r w:rsidRPr="008E670E">
              <w:rPr>
                <w:rFonts w:asciiTheme="majorHAnsi" w:hAnsiTheme="majorHAnsi"/>
                <w:bCs/>
                <w:sz w:val="20"/>
                <w:szCs w:val="20"/>
                <w:lang w:val="es-PA"/>
              </w:rPr>
              <w:t>Artículos II (igualdad ante la ley), XVIII (justicia), XXV (protección contra la detención arbitraria) y XXVI (proceso regular)</w:t>
            </w:r>
            <w:r w:rsidR="00337DA5" w:rsidRPr="008E670E">
              <w:rPr>
                <w:rFonts w:asciiTheme="majorHAnsi" w:hAnsiTheme="majorHAnsi"/>
                <w:bCs/>
                <w:sz w:val="20"/>
                <w:szCs w:val="20"/>
                <w:lang w:val="es-PA"/>
              </w:rPr>
              <w:t xml:space="preserve"> de la Declaración Americana</w:t>
            </w:r>
          </w:p>
        </w:tc>
      </w:tr>
      <w:tr w:rsidR="00802833" w:rsidRPr="006A62CE" w14:paraId="6898F859" w14:textId="77777777" w:rsidTr="0045247F">
        <w:trPr>
          <w:cantSplit/>
        </w:trPr>
        <w:tc>
          <w:tcPr>
            <w:tcW w:w="3600" w:type="dxa"/>
            <w:shd w:val="clear" w:color="auto" w:fill="386294"/>
            <w:vAlign w:val="center"/>
          </w:tcPr>
          <w:p w14:paraId="05A42EA0" w14:textId="77777777" w:rsidR="009629C7" w:rsidRPr="008E670E" w:rsidRDefault="00802833" w:rsidP="00802833">
            <w:pPr>
              <w:jc w:val="center"/>
              <w:rPr>
                <w:rFonts w:asciiTheme="majorHAnsi" w:hAnsiTheme="majorHAnsi"/>
                <w:bCs/>
                <w:color w:val="FFFFFF" w:themeColor="background1"/>
                <w:sz w:val="19"/>
                <w:szCs w:val="19"/>
                <w:lang w:val="es-ES"/>
              </w:rPr>
            </w:pPr>
            <w:r w:rsidRPr="008E670E">
              <w:rPr>
                <w:rFonts w:asciiTheme="majorHAnsi" w:hAnsiTheme="majorHAnsi"/>
                <w:bCs/>
                <w:color w:val="FFFFFF" w:themeColor="background1"/>
                <w:sz w:val="19"/>
                <w:szCs w:val="19"/>
                <w:lang w:val="es-ES"/>
              </w:rPr>
              <w:t xml:space="preserve">Agotamiento de recursos </w:t>
            </w:r>
          </w:p>
          <w:p w14:paraId="493361D5" w14:textId="24B317C9" w:rsidR="00802833" w:rsidRPr="008E670E" w:rsidRDefault="00802833" w:rsidP="00802833">
            <w:pPr>
              <w:jc w:val="center"/>
              <w:rPr>
                <w:rFonts w:asciiTheme="majorHAnsi" w:hAnsiTheme="majorHAnsi"/>
                <w:bCs/>
                <w:color w:val="FFFFFF" w:themeColor="background1"/>
                <w:sz w:val="19"/>
                <w:szCs w:val="19"/>
                <w:lang w:val="es-ES"/>
              </w:rPr>
            </w:pPr>
            <w:r w:rsidRPr="008E670E">
              <w:rPr>
                <w:rFonts w:asciiTheme="majorHAnsi" w:hAnsiTheme="majorHAnsi"/>
                <w:bCs/>
                <w:color w:val="FFFFFF" w:themeColor="background1"/>
                <w:sz w:val="19"/>
                <w:szCs w:val="19"/>
                <w:lang w:val="es-ES"/>
              </w:rPr>
              <w:t>o procedencia de una excepció</w:t>
            </w:r>
            <w:r w:rsidR="009629C7" w:rsidRPr="008E670E">
              <w:rPr>
                <w:rFonts w:asciiTheme="majorHAnsi" w:hAnsiTheme="majorHAnsi"/>
                <w:bCs/>
                <w:color w:val="FFFFFF" w:themeColor="background1"/>
                <w:sz w:val="19"/>
                <w:szCs w:val="19"/>
                <w:lang w:val="es-ES"/>
              </w:rPr>
              <w:t>n</w:t>
            </w:r>
          </w:p>
        </w:tc>
        <w:tc>
          <w:tcPr>
            <w:tcW w:w="5760" w:type="dxa"/>
            <w:vAlign w:val="center"/>
          </w:tcPr>
          <w:p w14:paraId="113A2A31" w14:textId="18865BDC" w:rsidR="00802833" w:rsidRPr="008E670E" w:rsidRDefault="00337DA5" w:rsidP="00337DA5">
            <w:pPr>
              <w:jc w:val="both"/>
              <w:rPr>
                <w:rFonts w:asciiTheme="majorHAnsi" w:hAnsiTheme="majorHAnsi"/>
                <w:bCs/>
                <w:sz w:val="20"/>
                <w:szCs w:val="20"/>
                <w:lang w:val="es-ES"/>
              </w:rPr>
            </w:pPr>
            <w:r w:rsidRPr="008E670E">
              <w:rPr>
                <w:rFonts w:asciiTheme="majorHAnsi" w:hAnsiTheme="majorHAnsi"/>
                <w:bCs/>
                <w:sz w:val="20"/>
                <w:szCs w:val="20"/>
                <w:lang w:val="es-ES"/>
              </w:rPr>
              <w:t>Sí, aplica la excepción establecida en el artículo 31(2)(b) del Reglamento de la CIDH</w:t>
            </w:r>
          </w:p>
        </w:tc>
      </w:tr>
      <w:tr w:rsidR="00802833" w:rsidRPr="006A62CE" w14:paraId="01019AF2" w14:textId="77777777" w:rsidTr="0045247F">
        <w:trPr>
          <w:cantSplit/>
        </w:trPr>
        <w:tc>
          <w:tcPr>
            <w:tcW w:w="3600" w:type="dxa"/>
            <w:shd w:val="clear" w:color="auto" w:fill="386294"/>
            <w:vAlign w:val="center"/>
          </w:tcPr>
          <w:p w14:paraId="4F7C54D5" w14:textId="5661FE5F" w:rsidR="00802833" w:rsidRPr="008E670E" w:rsidRDefault="00802833" w:rsidP="00802833">
            <w:pPr>
              <w:jc w:val="center"/>
              <w:rPr>
                <w:rFonts w:asciiTheme="majorHAnsi" w:hAnsiTheme="majorHAnsi"/>
                <w:bCs/>
                <w:color w:val="FFFFFF" w:themeColor="background1"/>
                <w:sz w:val="19"/>
                <w:szCs w:val="19"/>
                <w:lang w:val="es-ES"/>
              </w:rPr>
            </w:pPr>
            <w:r w:rsidRPr="008E670E">
              <w:rPr>
                <w:rFonts w:asciiTheme="majorHAnsi" w:hAnsiTheme="majorHAnsi"/>
                <w:bCs/>
                <w:color w:val="FFFFFF" w:themeColor="background1"/>
                <w:sz w:val="19"/>
                <w:szCs w:val="19"/>
                <w:lang w:val="es-ES"/>
              </w:rPr>
              <w:t>Presentación dentro de plazo</w:t>
            </w:r>
          </w:p>
        </w:tc>
        <w:tc>
          <w:tcPr>
            <w:tcW w:w="5760" w:type="dxa"/>
            <w:vAlign w:val="center"/>
          </w:tcPr>
          <w:p w14:paraId="3818F531" w14:textId="77A2BC54" w:rsidR="00802833" w:rsidRPr="008E670E" w:rsidRDefault="00337DA5" w:rsidP="00802833">
            <w:pPr>
              <w:rPr>
                <w:rFonts w:asciiTheme="majorHAnsi" w:hAnsiTheme="majorHAnsi"/>
                <w:bCs/>
                <w:sz w:val="20"/>
                <w:szCs w:val="20"/>
                <w:lang w:val="es-PA"/>
              </w:rPr>
            </w:pPr>
            <w:r w:rsidRPr="008E670E">
              <w:rPr>
                <w:rFonts w:asciiTheme="majorHAnsi" w:hAnsiTheme="majorHAnsi"/>
                <w:bCs/>
                <w:sz w:val="20"/>
                <w:szCs w:val="20"/>
                <w:lang w:val="es-PA"/>
              </w:rPr>
              <w:t>Sí, en los términos de la sección VI</w:t>
            </w:r>
          </w:p>
        </w:tc>
      </w:tr>
    </w:tbl>
    <w:p w14:paraId="35A1F6E1" w14:textId="2FCB2D9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CE2A41">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6E55BE9F" w14:textId="428DDD9D" w:rsidR="00D57584" w:rsidRPr="00D57584" w:rsidRDefault="000750DF" w:rsidP="00D575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u w:color="000000"/>
          <w:lang w:val="es"/>
        </w:rPr>
        <w:t xml:space="preserve"> </w:t>
      </w:r>
      <w:r w:rsidRPr="00824EB4">
        <w:rPr>
          <w:rFonts w:ascii="Cambria" w:hAnsi="Cambria"/>
          <w:sz w:val="20"/>
          <w:szCs w:val="20"/>
          <w:lang w:val="es-ES"/>
        </w:rPr>
        <w:t xml:space="preserve">Douglas Morin, peticionario y presunta víctima, alega </w:t>
      </w:r>
      <w:r w:rsidR="00E3358A">
        <w:rPr>
          <w:rFonts w:ascii="Cambria" w:hAnsi="Cambria"/>
          <w:sz w:val="20"/>
          <w:szCs w:val="20"/>
          <w:lang w:val="es-ES"/>
        </w:rPr>
        <w:t xml:space="preserve">haber sido </w:t>
      </w:r>
      <w:r w:rsidR="003A5CDB" w:rsidRPr="00824EB4">
        <w:rPr>
          <w:rFonts w:ascii="Cambria" w:hAnsi="Cambria"/>
          <w:sz w:val="20"/>
          <w:szCs w:val="20"/>
          <w:lang w:val="es-ES"/>
        </w:rPr>
        <w:t>arrestado el 8 de abril de 2009 por robo a mano armada, por lo que pagó una fianza de $50 000. Señala que el 30 de abril del mismo año fue arrestado nuevamente por robo de mayor cuantía, por lo que pagó otra fianza de $50 000. Sin embargo, indica que en junio de 2009 sus fianzas fueron rechazadas y fue puesto en prisión preventiva</w:t>
      </w:r>
      <w:r w:rsidR="00824EB4" w:rsidRPr="00824EB4">
        <w:rPr>
          <w:rFonts w:ascii="Cambria" w:hAnsi="Cambria"/>
          <w:sz w:val="20"/>
          <w:szCs w:val="20"/>
          <w:lang w:val="es-ES"/>
        </w:rPr>
        <w:t xml:space="preserve">, alegando haber sido sujeto a </w:t>
      </w:r>
      <w:r w:rsidR="00824EB4">
        <w:rPr>
          <w:rFonts w:ascii="Cambria" w:hAnsi="Cambria"/>
          <w:sz w:val="20"/>
          <w:szCs w:val="20"/>
          <w:lang w:val="es-ES"/>
        </w:rPr>
        <w:t>golpes</w:t>
      </w:r>
      <w:r w:rsidR="003A5CDB" w:rsidRPr="00824EB4">
        <w:rPr>
          <w:rFonts w:ascii="Cambria" w:hAnsi="Cambria"/>
          <w:sz w:val="20"/>
          <w:szCs w:val="20"/>
          <w:lang w:val="es-ES"/>
        </w:rPr>
        <w:t xml:space="preserve">. En razón de lo anterior, indica </w:t>
      </w:r>
      <w:r w:rsidRPr="00824EB4">
        <w:rPr>
          <w:rFonts w:ascii="Cambria" w:hAnsi="Cambria"/>
          <w:sz w:val="20"/>
          <w:szCs w:val="20"/>
          <w:lang w:val="es-ES"/>
        </w:rPr>
        <w:t xml:space="preserve">que en 2011 se </w:t>
      </w:r>
      <w:r w:rsidR="00E3358A">
        <w:rPr>
          <w:rFonts w:ascii="Cambria" w:hAnsi="Cambria"/>
          <w:sz w:val="20"/>
          <w:szCs w:val="20"/>
          <w:lang w:val="es-ES"/>
        </w:rPr>
        <w:t xml:space="preserve">le </w:t>
      </w:r>
      <w:r w:rsidRPr="00824EB4">
        <w:rPr>
          <w:rFonts w:ascii="Cambria" w:hAnsi="Cambria"/>
          <w:sz w:val="20"/>
          <w:szCs w:val="20"/>
          <w:lang w:val="es-ES"/>
        </w:rPr>
        <w:t>declaró culpable de los delitos de robo a mano armada y robo de mayor cuantía, por lo</w:t>
      </w:r>
      <w:r w:rsidR="00813393" w:rsidRPr="00824EB4">
        <w:rPr>
          <w:rFonts w:ascii="Cambria" w:hAnsi="Cambria"/>
          <w:sz w:val="20"/>
          <w:szCs w:val="20"/>
          <w:lang w:val="es-ES"/>
        </w:rPr>
        <w:t>s que</w:t>
      </w:r>
      <w:r w:rsidRPr="00824EB4">
        <w:rPr>
          <w:rFonts w:ascii="Cambria" w:hAnsi="Cambria"/>
          <w:sz w:val="20"/>
          <w:szCs w:val="20"/>
          <w:lang w:val="es-ES"/>
        </w:rPr>
        <w:t xml:space="preserve"> fue sentenciado a 10 años de prisión. En general, el peticionario denuncia que su </w:t>
      </w:r>
      <w:r w:rsidR="00287FC9" w:rsidRPr="00824EB4">
        <w:rPr>
          <w:rFonts w:ascii="Cambria" w:hAnsi="Cambria"/>
          <w:sz w:val="20"/>
          <w:szCs w:val="20"/>
          <w:lang w:val="es-ES"/>
        </w:rPr>
        <w:t>procesamiento</w:t>
      </w:r>
      <w:r w:rsidRPr="00824EB4">
        <w:rPr>
          <w:rFonts w:ascii="Cambria" w:hAnsi="Cambria"/>
          <w:sz w:val="20"/>
          <w:szCs w:val="20"/>
          <w:lang w:val="es-ES"/>
        </w:rPr>
        <w:t xml:space="preserve"> y posterior condena estuvieron viciad</w:t>
      </w:r>
      <w:r w:rsidR="00DA6807" w:rsidRPr="00824EB4">
        <w:rPr>
          <w:rFonts w:ascii="Cambria" w:hAnsi="Cambria"/>
          <w:sz w:val="20"/>
          <w:szCs w:val="20"/>
          <w:lang w:val="es-ES"/>
        </w:rPr>
        <w:t>o</w:t>
      </w:r>
      <w:r w:rsidRPr="00824EB4">
        <w:rPr>
          <w:rFonts w:ascii="Cambria" w:hAnsi="Cambria"/>
          <w:sz w:val="20"/>
          <w:szCs w:val="20"/>
          <w:lang w:val="es-ES"/>
        </w:rPr>
        <w:t>s por diversas violaciones del debido proceso como por otras violaciones, entre ellas, el maltrato físico durante la prisión preventiva</w:t>
      </w:r>
      <w:r w:rsidRPr="00824EB4">
        <w:rPr>
          <w:rFonts w:ascii="Cambria" w:hAnsi="Cambria"/>
          <w:color w:val="FF0000"/>
          <w:sz w:val="20"/>
          <w:szCs w:val="20"/>
          <w:lang w:val="es-ES"/>
        </w:rPr>
        <w:t>.</w:t>
      </w:r>
    </w:p>
    <w:p w14:paraId="1D20023D" w14:textId="50661737" w:rsidR="000750DF" w:rsidRPr="00D57584" w:rsidRDefault="000750DF" w:rsidP="00D575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D57584">
        <w:rPr>
          <w:rFonts w:ascii="Cambria" w:hAnsi="Cambria"/>
          <w:sz w:val="20"/>
          <w:szCs w:val="20"/>
          <w:lang w:val="es-ES"/>
        </w:rPr>
        <w:lastRenderedPageBreak/>
        <w:t xml:space="preserve">El peticionario sostiene, entre otros, que (a) el 27 de junio de 2010 los agentes de la Penitenciaría del Condado de Volusia (donde estaba detenido) lo golpearon y posteriormente le negaron asistencia médica; (b) el 14 de julio de 2010, cuando compareció ante la jueza de primera instancia, ésta no hizo ninguna gestión para investigar dicha golpiza; (c) los agentes policiales que lo arrestaron </w:t>
      </w:r>
      <w:r w:rsidR="00DA6807" w:rsidRPr="00D57584">
        <w:rPr>
          <w:rFonts w:ascii="Cambria" w:hAnsi="Cambria"/>
          <w:sz w:val="20"/>
          <w:szCs w:val="20"/>
          <w:lang w:val="es-ES"/>
        </w:rPr>
        <w:t>allanaron ilegalmente</w:t>
      </w:r>
      <w:r w:rsidRPr="00D57584">
        <w:rPr>
          <w:rFonts w:ascii="Cambria" w:hAnsi="Cambria"/>
          <w:sz w:val="20"/>
          <w:szCs w:val="20"/>
          <w:lang w:val="es-ES"/>
        </w:rPr>
        <w:t xml:space="preserve"> </w:t>
      </w:r>
      <w:r w:rsidR="00DA6807" w:rsidRPr="00D57584">
        <w:rPr>
          <w:rFonts w:ascii="Cambria" w:hAnsi="Cambria"/>
          <w:sz w:val="20"/>
          <w:szCs w:val="20"/>
          <w:lang w:val="es-ES"/>
        </w:rPr>
        <w:t xml:space="preserve">su </w:t>
      </w:r>
      <w:r w:rsidRPr="00D57584">
        <w:rPr>
          <w:rFonts w:ascii="Cambria" w:hAnsi="Cambria"/>
          <w:sz w:val="20"/>
          <w:szCs w:val="20"/>
          <w:lang w:val="es-ES"/>
        </w:rPr>
        <w:t xml:space="preserve">domicilio, vehículo y persona y que el accionar del tribunal de primera instancia tuvo como objetivo ocultar </w:t>
      </w:r>
      <w:r w:rsidR="00DA6807" w:rsidRPr="00D57584">
        <w:rPr>
          <w:rFonts w:ascii="Cambria" w:hAnsi="Cambria"/>
          <w:sz w:val="20"/>
          <w:szCs w:val="20"/>
          <w:lang w:val="es-ES"/>
        </w:rPr>
        <w:t>esos</w:t>
      </w:r>
      <w:r w:rsidRPr="00D57584">
        <w:rPr>
          <w:rFonts w:ascii="Cambria" w:hAnsi="Cambria"/>
          <w:sz w:val="20"/>
          <w:szCs w:val="20"/>
          <w:lang w:val="es-ES"/>
        </w:rPr>
        <w:t xml:space="preserve"> </w:t>
      </w:r>
      <w:r w:rsidR="00DA6807" w:rsidRPr="00D57584">
        <w:rPr>
          <w:rFonts w:ascii="Cambria" w:hAnsi="Cambria"/>
          <w:sz w:val="20"/>
          <w:szCs w:val="20"/>
          <w:lang w:val="es-ES"/>
        </w:rPr>
        <w:t xml:space="preserve">actos </w:t>
      </w:r>
      <w:r w:rsidRPr="00D57584">
        <w:rPr>
          <w:rFonts w:ascii="Cambria" w:hAnsi="Cambria"/>
          <w:sz w:val="20"/>
          <w:szCs w:val="20"/>
          <w:lang w:val="es-ES"/>
        </w:rPr>
        <w:t>il</w:t>
      </w:r>
      <w:r w:rsidR="00DA6807" w:rsidRPr="00D57584">
        <w:rPr>
          <w:rFonts w:ascii="Cambria" w:hAnsi="Cambria"/>
          <w:sz w:val="20"/>
          <w:szCs w:val="20"/>
          <w:lang w:val="es-ES"/>
        </w:rPr>
        <w:t>ícitos</w:t>
      </w:r>
      <w:r w:rsidRPr="00D57584">
        <w:rPr>
          <w:rFonts w:ascii="Cambria" w:hAnsi="Cambria"/>
          <w:sz w:val="20"/>
          <w:szCs w:val="20"/>
          <w:lang w:val="es-ES"/>
        </w:rPr>
        <w:t xml:space="preserve">; y (d) </w:t>
      </w:r>
      <w:r w:rsidR="00DA6807" w:rsidRPr="00D57584">
        <w:rPr>
          <w:rFonts w:ascii="Cambria" w:hAnsi="Cambria"/>
          <w:sz w:val="20"/>
          <w:szCs w:val="20"/>
          <w:lang w:val="es-ES"/>
        </w:rPr>
        <w:t>no recibió asesoramiento</w:t>
      </w:r>
      <w:r w:rsidRPr="00D57584">
        <w:rPr>
          <w:rFonts w:ascii="Cambria" w:hAnsi="Cambria"/>
          <w:sz w:val="20"/>
          <w:szCs w:val="20"/>
          <w:lang w:val="es-ES"/>
        </w:rPr>
        <w:t xml:space="preserve"> legal </w:t>
      </w:r>
      <w:r w:rsidR="00DA6807" w:rsidRPr="00D57584">
        <w:rPr>
          <w:rFonts w:ascii="Cambria" w:hAnsi="Cambria"/>
          <w:sz w:val="20"/>
          <w:szCs w:val="20"/>
          <w:lang w:val="es-ES"/>
        </w:rPr>
        <w:t>adecuado</w:t>
      </w:r>
      <w:r w:rsidRPr="00D57584">
        <w:rPr>
          <w:rFonts w:ascii="Cambria" w:hAnsi="Cambria"/>
          <w:sz w:val="20"/>
          <w:szCs w:val="20"/>
          <w:lang w:val="es-ES"/>
        </w:rPr>
        <w:t>.</w:t>
      </w:r>
      <w:r w:rsidR="00D57584" w:rsidRPr="00D57584">
        <w:rPr>
          <w:rFonts w:ascii="Cambria" w:hAnsi="Cambria"/>
          <w:sz w:val="20"/>
          <w:szCs w:val="20"/>
          <w:lang w:val="es-ES"/>
        </w:rPr>
        <w:t xml:space="preserve"> </w:t>
      </w:r>
      <w:r w:rsidR="00D57584" w:rsidRPr="00AA3E9A">
        <w:rPr>
          <w:rFonts w:asciiTheme="majorHAnsi" w:hAnsiTheme="majorHAnsi"/>
          <w:sz w:val="20"/>
          <w:szCs w:val="20"/>
          <w:lang w:val="es-ES"/>
        </w:rPr>
        <w:t xml:space="preserve">En cuanto a este </w:t>
      </w:r>
      <w:r w:rsidR="00AA3E9A" w:rsidRPr="00AA3E9A">
        <w:rPr>
          <w:rFonts w:asciiTheme="majorHAnsi" w:hAnsiTheme="majorHAnsi"/>
          <w:sz w:val="20"/>
          <w:szCs w:val="20"/>
          <w:lang w:val="es-ES"/>
        </w:rPr>
        <w:t xml:space="preserve">último </w:t>
      </w:r>
      <w:r w:rsidR="00D57584" w:rsidRPr="00AA3E9A">
        <w:rPr>
          <w:rFonts w:asciiTheme="majorHAnsi" w:hAnsiTheme="majorHAnsi"/>
          <w:sz w:val="20"/>
          <w:szCs w:val="20"/>
          <w:lang w:val="es-ES"/>
        </w:rPr>
        <w:t xml:space="preserve">reclamo, </w:t>
      </w:r>
      <w:r w:rsidR="00AA3E9A" w:rsidRPr="00AA3E9A">
        <w:rPr>
          <w:rFonts w:asciiTheme="majorHAnsi" w:hAnsiTheme="majorHAnsi"/>
          <w:sz w:val="20"/>
          <w:szCs w:val="20"/>
          <w:lang w:val="es-ES"/>
        </w:rPr>
        <w:t>según la información d</w:t>
      </w:r>
      <w:r w:rsidR="00D57584" w:rsidRPr="00AA3E9A">
        <w:rPr>
          <w:rFonts w:asciiTheme="majorHAnsi" w:hAnsiTheme="majorHAnsi"/>
          <w:sz w:val="20"/>
          <w:szCs w:val="20"/>
          <w:lang w:val="es-ES"/>
        </w:rPr>
        <w:t>isponible, el peticionario menciona a cinco abogados diferentes —Edward Greco (instrucción y acusación); Richard Jackson (juicio de primera instancia), Kevin Proul (juicio de primera instancia), Richard Jackson (juicio postcondena) y Kimberley Nolan Hopkins (juicio de segunda instancia)—. Con respecto a Kevin Proul, el peticionario aduce que el tribunal de primera instancia rechazó la solicitud del señor Proul de retirarse del proceso tras supuestamente haberse declarado no competente para representar al peticionario. El peticionario también alega que el señor Proul no investigó ni consiguió pruebas relevantes para la defensa. Con respecto a Richard Jackson, el peticionario alega que este representante lo “mal asesoró” al decirle que la corte de apelaciones automáticamente revisaría el rechazo de su solicitud para retirar la declaración de culpabilidad. Con respecto a Kimberly Nolan Hopkins, el peticionario sostiene que la abogada no planteó todos los motivos relevantes de la apelación, incluida la cuestión del rechazo de su solicitud para retirar la declaración de culpabilidad. También aduce que Kimberly Nolan Hopkins no se comunicaba con él.</w:t>
      </w:r>
      <w:r w:rsidRPr="00AA3E9A">
        <w:rPr>
          <w:rFonts w:ascii="Cambria" w:hAnsi="Cambria"/>
          <w:sz w:val="20"/>
          <w:szCs w:val="20"/>
          <w:lang w:val="es-ES"/>
        </w:rPr>
        <w:t xml:space="preserve"> </w:t>
      </w:r>
      <w:r w:rsidR="00D57584" w:rsidRPr="00AA3E9A">
        <w:rPr>
          <w:rFonts w:ascii="Cambria" w:hAnsi="Cambria"/>
          <w:sz w:val="20"/>
          <w:szCs w:val="20"/>
          <w:lang w:val="es-ES"/>
        </w:rPr>
        <w:t>Además,</w:t>
      </w:r>
      <w:r w:rsidR="00D57584">
        <w:rPr>
          <w:rFonts w:ascii="Cambria" w:hAnsi="Cambria"/>
          <w:sz w:val="20"/>
          <w:szCs w:val="20"/>
          <w:lang w:val="es-ES"/>
        </w:rPr>
        <w:t xml:space="preserve"> i</w:t>
      </w:r>
      <w:r w:rsidRPr="00D57584">
        <w:rPr>
          <w:rFonts w:ascii="Cambria" w:hAnsi="Cambria"/>
          <w:sz w:val="20"/>
          <w:szCs w:val="20"/>
          <w:lang w:val="es-ES"/>
        </w:rPr>
        <w:t xml:space="preserve">ndica que finalmente se declaró culpable de los delitos en parte porque su abogado le informó que era improbable que él (el peticionario) recibiera una condena superior a 34 meses. Sin embargo, el peticionario </w:t>
      </w:r>
      <w:r w:rsidR="00AD17E6" w:rsidRPr="00D57584">
        <w:rPr>
          <w:rFonts w:ascii="Cambria" w:hAnsi="Cambria"/>
          <w:sz w:val="20"/>
          <w:szCs w:val="20"/>
          <w:lang w:val="es-ES"/>
        </w:rPr>
        <w:t>fue finalmente</w:t>
      </w:r>
      <w:r w:rsidRPr="00D57584">
        <w:rPr>
          <w:rFonts w:ascii="Cambria" w:hAnsi="Cambria"/>
          <w:sz w:val="20"/>
          <w:szCs w:val="20"/>
          <w:lang w:val="es-ES"/>
        </w:rPr>
        <w:t xml:space="preserve"> condenado a 10 años de cárcel.</w:t>
      </w:r>
    </w:p>
    <w:p w14:paraId="7002A6EA" w14:textId="75D4372F" w:rsidR="000750DF" w:rsidRPr="000750DF" w:rsidRDefault="000750DF" w:rsidP="004E7E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De acuerdo con el expediente, el peticionario </w:t>
      </w:r>
      <w:r w:rsidR="00A66F3B">
        <w:rPr>
          <w:rFonts w:ascii="Cambria" w:hAnsi="Cambria"/>
          <w:sz w:val="20"/>
          <w:szCs w:val="20"/>
          <w:lang w:val="es-ES"/>
        </w:rPr>
        <w:t>presentó</w:t>
      </w:r>
      <w:r>
        <w:rPr>
          <w:rFonts w:ascii="Cambria" w:hAnsi="Cambria"/>
          <w:sz w:val="20"/>
          <w:szCs w:val="20"/>
          <w:lang w:val="es-ES"/>
        </w:rPr>
        <w:t xml:space="preserve"> </w:t>
      </w:r>
      <w:r w:rsidR="00A66F3B">
        <w:rPr>
          <w:rFonts w:ascii="Cambria" w:hAnsi="Cambria"/>
          <w:sz w:val="20"/>
          <w:szCs w:val="20"/>
          <w:lang w:val="es-ES"/>
        </w:rPr>
        <w:t>varios</w:t>
      </w:r>
      <w:r>
        <w:rPr>
          <w:rFonts w:ascii="Cambria" w:hAnsi="Cambria"/>
          <w:sz w:val="20"/>
          <w:szCs w:val="20"/>
          <w:lang w:val="es-ES"/>
        </w:rPr>
        <w:t xml:space="preserve"> </w:t>
      </w:r>
      <w:r w:rsidR="00A66F3B">
        <w:rPr>
          <w:rFonts w:ascii="Cambria" w:hAnsi="Cambria"/>
          <w:sz w:val="20"/>
          <w:szCs w:val="20"/>
          <w:lang w:val="es-ES"/>
        </w:rPr>
        <w:t>recursos</w:t>
      </w:r>
      <w:r>
        <w:rPr>
          <w:rFonts w:ascii="Cambria" w:hAnsi="Cambria"/>
          <w:sz w:val="20"/>
          <w:szCs w:val="20"/>
          <w:lang w:val="es-ES"/>
        </w:rPr>
        <w:t xml:space="preserve"> judiciales para apelar su condena </w:t>
      </w:r>
      <w:r w:rsidR="00A66F3B">
        <w:rPr>
          <w:rFonts w:ascii="Cambria" w:hAnsi="Cambria"/>
          <w:sz w:val="20"/>
          <w:szCs w:val="20"/>
          <w:lang w:val="es-ES"/>
        </w:rPr>
        <w:t>al igual que</w:t>
      </w:r>
      <w:r>
        <w:rPr>
          <w:rFonts w:ascii="Cambria" w:hAnsi="Cambria"/>
          <w:sz w:val="20"/>
          <w:szCs w:val="20"/>
          <w:lang w:val="es-ES"/>
        </w:rPr>
        <w:t xml:space="preserve"> para remediar las violaciones alegadas. Dichos </w:t>
      </w:r>
      <w:r w:rsidR="00A66F3B">
        <w:rPr>
          <w:rFonts w:ascii="Cambria" w:hAnsi="Cambria"/>
          <w:sz w:val="20"/>
          <w:szCs w:val="20"/>
          <w:lang w:val="es-ES"/>
        </w:rPr>
        <w:t>recursos</w:t>
      </w:r>
      <w:r>
        <w:rPr>
          <w:rFonts w:ascii="Cambria" w:hAnsi="Cambria"/>
          <w:sz w:val="20"/>
          <w:szCs w:val="20"/>
          <w:lang w:val="es-ES"/>
        </w:rPr>
        <w:t xml:space="preserve"> incluyeron (a) una solicitud de </w:t>
      </w:r>
      <w:r w:rsidRPr="00A66F3B">
        <w:rPr>
          <w:rFonts w:ascii="Cambria" w:hAnsi="Cambria"/>
          <w:i/>
          <w:iCs/>
          <w:sz w:val="20"/>
          <w:szCs w:val="20"/>
          <w:lang w:val="es-ES"/>
        </w:rPr>
        <w:t>habeas corpus</w:t>
      </w:r>
      <w:r>
        <w:rPr>
          <w:rFonts w:ascii="Cambria" w:hAnsi="Cambria"/>
          <w:sz w:val="20"/>
          <w:szCs w:val="20"/>
          <w:lang w:val="es-ES"/>
        </w:rPr>
        <w:t xml:space="preserve"> contra prisión preventiva</w:t>
      </w:r>
      <w:r>
        <w:rPr>
          <w:rStyle w:val="FootnoteReference"/>
          <w:rFonts w:ascii="Cambria" w:hAnsi="Cambria"/>
          <w:sz w:val="20"/>
          <w:szCs w:val="20"/>
          <w:lang w:val="es-ES"/>
        </w:rPr>
        <w:footnoteReference w:id="5"/>
      </w:r>
      <w:r w:rsidR="00C57622">
        <w:rPr>
          <w:rFonts w:ascii="Cambria" w:hAnsi="Cambria"/>
          <w:sz w:val="20"/>
          <w:szCs w:val="20"/>
          <w:lang w:val="es-ES"/>
        </w:rPr>
        <w:t>,</w:t>
      </w:r>
      <w:r>
        <w:rPr>
          <w:rFonts w:ascii="Cambria" w:hAnsi="Cambria"/>
          <w:sz w:val="20"/>
          <w:szCs w:val="20"/>
          <w:lang w:val="es-ES"/>
        </w:rPr>
        <w:t xml:space="preserve"> (b) una solicitud para retirar declaración de culpabilidad</w:t>
      </w:r>
      <w:r>
        <w:rPr>
          <w:rStyle w:val="FootnoteReference"/>
          <w:rFonts w:ascii="Cambria" w:hAnsi="Cambria"/>
          <w:sz w:val="20"/>
          <w:szCs w:val="20"/>
          <w:lang w:val="es-ES"/>
        </w:rPr>
        <w:footnoteReference w:id="6"/>
      </w:r>
      <w:r w:rsidR="00C57622">
        <w:rPr>
          <w:rFonts w:ascii="Cambria" w:hAnsi="Cambria"/>
          <w:sz w:val="20"/>
          <w:szCs w:val="20"/>
          <w:lang w:val="es-ES"/>
        </w:rPr>
        <w:t>,</w:t>
      </w:r>
      <w:r>
        <w:rPr>
          <w:rFonts w:ascii="Cambria" w:hAnsi="Cambria"/>
          <w:sz w:val="20"/>
          <w:szCs w:val="20"/>
          <w:lang w:val="es-ES"/>
        </w:rPr>
        <w:t xml:space="preserve"> (c) una demanda de apelación (de condena) ante la Corte de Apelaciones para el Quinto Distrito</w:t>
      </w:r>
      <w:r>
        <w:rPr>
          <w:rStyle w:val="FootnoteReference"/>
          <w:rFonts w:ascii="Cambria" w:hAnsi="Cambria"/>
          <w:sz w:val="20"/>
          <w:szCs w:val="20"/>
          <w:lang w:val="es-ES"/>
        </w:rPr>
        <w:footnoteReference w:id="7"/>
      </w:r>
      <w:r w:rsidR="00C57622">
        <w:rPr>
          <w:rFonts w:ascii="Cambria" w:hAnsi="Cambria"/>
          <w:sz w:val="20"/>
          <w:szCs w:val="20"/>
          <w:lang w:val="es-ES"/>
        </w:rPr>
        <w:t>,</w:t>
      </w:r>
      <w:r>
        <w:rPr>
          <w:rFonts w:ascii="Cambria" w:hAnsi="Cambria"/>
          <w:sz w:val="20"/>
          <w:szCs w:val="20"/>
          <w:lang w:val="es-ES"/>
        </w:rPr>
        <w:t xml:space="preserve"> (d) una demanda de apelación ante la Corte Suprema de Florida</w:t>
      </w:r>
      <w:r>
        <w:rPr>
          <w:rStyle w:val="FootnoteReference"/>
          <w:rFonts w:ascii="Cambria" w:hAnsi="Cambria"/>
          <w:sz w:val="20"/>
          <w:szCs w:val="20"/>
          <w:lang w:val="es-ES"/>
        </w:rPr>
        <w:footnoteReference w:id="8"/>
      </w:r>
      <w:r>
        <w:rPr>
          <w:rFonts w:ascii="Cambria" w:hAnsi="Cambria"/>
          <w:sz w:val="20"/>
          <w:szCs w:val="20"/>
          <w:lang w:val="es-ES"/>
        </w:rPr>
        <w:t xml:space="preserve">. </w:t>
      </w:r>
      <w:r w:rsidR="00C57622">
        <w:rPr>
          <w:rFonts w:ascii="Cambria" w:hAnsi="Cambria"/>
          <w:sz w:val="20"/>
          <w:szCs w:val="20"/>
          <w:lang w:val="es-ES"/>
        </w:rPr>
        <w:t>M</w:t>
      </w:r>
      <w:r>
        <w:rPr>
          <w:rFonts w:ascii="Cambria" w:hAnsi="Cambria"/>
          <w:sz w:val="20"/>
          <w:szCs w:val="20"/>
          <w:lang w:val="es-ES"/>
        </w:rPr>
        <w:t xml:space="preserve">enciona </w:t>
      </w:r>
      <w:r w:rsidR="00C57622">
        <w:rPr>
          <w:rFonts w:ascii="Cambria" w:hAnsi="Cambria"/>
          <w:sz w:val="20"/>
          <w:szCs w:val="20"/>
          <w:lang w:val="es-ES"/>
        </w:rPr>
        <w:t xml:space="preserve">que el último recurso judicial presentado fue </w:t>
      </w:r>
      <w:r>
        <w:rPr>
          <w:rFonts w:ascii="Cambria" w:hAnsi="Cambria"/>
          <w:sz w:val="20"/>
          <w:szCs w:val="20"/>
          <w:lang w:val="es-ES"/>
        </w:rPr>
        <w:t xml:space="preserve">un recurso federal de </w:t>
      </w:r>
      <w:r w:rsidRPr="00C57622">
        <w:rPr>
          <w:rFonts w:ascii="Cambria" w:hAnsi="Cambria"/>
          <w:i/>
          <w:iCs/>
          <w:sz w:val="20"/>
          <w:szCs w:val="20"/>
          <w:lang w:val="es-ES"/>
        </w:rPr>
        <w:t>habeas corpus</w:t>
      </w:r>
      <w:r>
        <w:rPr>
          <w:rFonts w:ascii="Cambria" w:hAnsi="Cambria"/>
          <w:sz w:val="20"/>
          <w:szCs w:val="20"/>
          <w:lang w:val="es-ES"/>
        </w:rPr>
        <w:t xml:space="preserve"> ante la Tribunal de Distrito de Estados Unidos para el Distrito Centro de Florida. El proceso se inició el 19 de noviembre de 2015</w:t>
      </w:r>
      <w:r w:rsidR="00C57622">
        <w:rPr>
          <w:rFonts w:ascii="Cambria" w:hAnsi="Cambria"/>
          <w:sz w:val="20"/>
          <w:szCs w:val="20"/>
          <w:lang w:val="es-ES"/>
        </w:rPr>
        <w:t xml:space="preserve"> y</w:t>
      </w:r>
      <w:r>
        <w:rPr>
          <w:rFonts w:ascii="Cambria" w:hAnsi="Cambria"/>
          <w:sz w:val="20"/>
          <w:szCs w:val="20"/>
          <w:lang w:val="es-ES"/>
        </w:rPr>
        <w:t xml:space="preserve"> fue rechazado el 10 de octubre de 2017.</w:t>
      </w:r>
    </w:p>
    <w:p w14:paraId="30CA4729" w14:textId="35C48839" w:rsidR="000750DF" w:rsidRPr="000750DF" w:rsidRDefault="000750DF" w:rsidP="004E7E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El Estado rechaza la petición principalmente</w:t>
      </w:r>
      <w:r w:rsidR="0082170C">
        <w:rPr>
          <w:rFonts w:ascii="Cambria" w:hAnsi="Cambria"/>
          <w:sz w:val="20"/>
          <w:szCs w:val="20"/>
          <w:lang w:val="es-ES"/>
        </w:rPr>
        <w:t xml:space="preserve"> al señalar</w:t>
      </w:r>
      <w:r>
        <w:rPr>
          <w:rFonts w:ascii="Cambria" w:hAnsi="Cambria"/>
          <w:sz w:val="20"/>
          <w:szCs w:val="20"/>
          <w:lang w:val="es-ES"/>
        </w:rPr>
        <w:t xml:space="preserve"> que el peticionario no había agotado los recursos internos al momento de presentar su petición. Nota qu</w:t>
      </w:r>
      <w:r w:rsidR="0082170C">
        <w:rPr>
          <w:rFonts w:ascii="Cambria" w:hAnsi="Cambria"/>
          <w:sz w:val="20"/>
          <w:szCs w:val="20"/>
          <w:lang w:val="es-ES"/>
        </w:rPr>
        <w:t>e</w:t>
      </w:r>
      <w:r>
        <w:rPr>
          <w:rFonts w:ascii="Cambria" w:hAnsi="Cambria"/>
          <w:sz w:val="20"/>
          <w:szCs w:val="20"/>
          <w:lang w:val="es-ES"/>
        </w:rPr>
        <w:t xml:space="preserve"> el peticionario</w:t>
      </w:r>
      <w:r w:rsidR="0082170C">
        <w:rPr>
          <w:rFonts w:ascii="Cambria" w:hAnsi="Cambria"/>
          <w:sz w:val="20"/>
          <w:szCs w:val="20"/>
          <w:lang w:val="es-ES"/>
        </w:rPr>
        <w:t>, tras enviar su petición,</w:t>
      </w:r>
      <w:r>
        <w:rPr>
          <w:rFonts w:ascii="Cambria" w:hAnsi="Cambria"/>
          <w:sz w:val="20"/>
          <w:szCs w:val="20"/>
          <w:lang w:val="es-ES"/>
        </w:rPr>
        <w:t xml:space="preserve"> continuó interponiendo acciones judiciales que en gran parte reproducen l</w:t>
      </w:r>
      <w:r w:rsidR="0082170C">
        <w:rPr>
          <w:rFonts w:ascii="Cambria" w:hAnsi="Cambria"/>
          <w:sz w:val="20"/>
          <w:szCs w:val="20"/>
          <w:lang w:val="es-ES"/>
        </w:rPr>
        <w:t>a</w:t>
      </w:r>
      <w:r>
        <w:rPr>
          <w:rFonts w:ascii="Cambria" w:hAnsi="Cambria"/>
          <w:sz w:val="20"/>
          <w:szCs w:val="20"/>
          <w:lang w:val="es-ES"/>
        </w:rPr>
        <w:t>s mism</w:t>
      </w:r>
      <w:r w:rsidR="0082170C">
        <w:rPr>
          <w:rFonts w:ascii="Cambria" w:hAnsi="Cambria"/>
          <w:sz w:val="20"/>
          <w:szCs w:val="20"/>
          <w:lang w:val="es-ES"/>
        </w:rPr>
        <w:t>a</w:t>
      </w:r>
      <w:r>
        <w:rPr>
          <w:rFonts w:ascii="Cambria" w:hAnsi="Cambria"/>
          <w:sz w:val="20"/>
          <w:szCs w:val="20"/>
          <w:lang w:val="es-ES"/>
        </w:rPr>
        <w:t xml:space="preserve">s </w:t>
      </w:r>
      <w:r w:rsidR="0082170C">
        <w:rPr>
          <w:rFonts w:ascii="Cambria" w:hAnsi="Cambria"/>
          <w:sz w:val="20"/>
          <w:szCs w:val="20"/>
          <w:lang w:val="es-ES"/>
        </w:rPr>
        <w:t>cuestione</w:t>
      </w:r>
      <w:r>
        <w:rPr>
          <w:rFonts w:ascii="Cambria" w:hAnsi="Cambria"/>
          <w:sz w:val="20"/>
          <w:szCs w:val="20"/>
          <w:lang w:val="es-ES"/>
        </w:rPr>
        <w:t>s presentad</w:t>
      </w:r>
      <w:r w:rsidR="0082170C">
        <w:rPr>
          <w:rFonts w:ascii="Cambria" w:hAnsi="Cambria"/>
          <w:sz w:val="20"/>
          <w:szCs w:val="20"/>
          <w:lang w:val="es-ES"/>
        </w:rPr>
        <w:t>a</w:t>
      </w:r>
      <w:r>
        <w:rPr>
          <w:rFonts w:ascii="Cambria" w:hAnsi="Cambria"/>
          <w:sz w:val="20"/>
          <w:szCs w:val="20"/>
          <w:lang w:val="es-ES"/>
        </w:rPr>
        <w:t xml:space="preserve">s en </w:t>
      </w:r>
      <w:r w:rsidR="005C4DB9">
        <w:rPr>
          <w:rFonts w:ascii="Cambria" w:hAnsi="Cambria"/>
          <w:sz w:val="20"/>
          <w:szCs w:val="20"/>
          <w:lang w:val="es-ES"/>
        </w:rPr>
        <w:t>la</w:t>
      </w:r>
      <w:r>
        <w:rPr>
          <w:rFonts w:ascii="Cambria" w:hAnsi="Cambria"/>
          <w:sz w:val="20"/>
          <w:szCs w:val="20"/>
          <w:lang w:val="es-ES"/>
        </w:rPr>
        <w:t xml:space="preserve"> petición. El Estado sostiene que la doctrina del agotamiento de recursos internos tiene como finalidad que las instituciones internacionales permitan que un proceso a nivel nacional se lleve a cabo de modo </w:t>
      </w:r>
      <w:r w:rsidR="005C4DB9">
        <w:rPr>
          <w:rFonts w:ascii="Cambria" w:hAnsi="Cambria"/>
          <w:sz w:val="20"/>
          <w:szCs w:val="20"/>
          <w:lang w:val="es-ES"/>
        </w:rPr>
        <w:t xml:space="preserve">tal </w:t>
      </w:r>
      <w:r>
        <w:rPr>
          <w:rFonts w:ascii="Cambria" w:hAnsi="Cambria"/>
          <w:sz w:val="20"/>
          <w:szCs w:val="20"/>
          <w:lang w:val="es-ES"/>
        </w:rPr>
        <w:t xml:space="preserve">que el Estado tenga la oportunidad de </w:t>
      </w:r>
      <w:r w:rsidR="005C4DB9">
        <w:rPr>
          <w:rFonts w:ascii="Cambria" w:hAnsi="Cambria"/>
          <w:sz w:val="20"/>
          <w:szCs w:val="20"/>
          <w:lang w:val="es-ES"/>
        </w:rPr>
        <w:t>adoptar</w:t>
      </w:r>
      <w:r>
        <w:rPr>
          <w:rFonts w:ascii="Cambria" w:hAnsi="Cambria"/>
          <w:sz w:val="20"/>
          <w:szCs w:val="20"/>
          <w:lang w:val="es-ES"/>
        </w:rPr>
        <w:t xml:space="preserve"> soluciones </w:t>
      </w:r>
      <w:r w:rsidR="005C4DB9">
        <w:rPr>
          <w:rFonts w:ascii="Cambria" w:hAnsi="Cambria"/>
          <w:sz w:val="20"/>
          <w:szCs w:val="20"/>
          <w:lang w:val="es-ES"/>
        </w:rPr>
        <w:t>conformes</w:t>
      </w:r>
      <w:r>
        <w:rPr>
          <w:rFonts w:ascii="Cambria" w:hAnsi="Cambria"/>
          <w:sz w:val="20"/>
          <w:szCs w:val="20"/>
          <w:lang w:val="es-ES"/>
        </w:rPr>
        <w:t xml:space="preserve"> </w:t>
      </w:r>
      <w:r w:rsidR="005C4DB9">
        <w:rPr>
          <w:rFonts w:ascii="Cambria" w:hAnsi="Cambria"/>
          <w:sz w:val="20"/>
          <w:szCs w:val="20"/>
          <w:lang w:val="es-ES"/>
        </w:rPr>
        <w:t xml:space="preserve">a </w:t>
      </w:r>
      <w:r>
        <w:rPr>
          <w:rFonts w:ascii="Cambria" w:hAnsi="Cambria"/>
          <w:sz w:val="20"/>
          <w:szCs w:val="20"/>
          <w:lang w:val="es-ES"/>
        </w:rPr>
        <w:t>su legislación interna.</w:t>
      </w:r>
    </w:p>
    <w:p w14:paraId="5B18B5F3" w14:textId="77777777" w:rsidR="000750DF" w:rsidRPr="000750DF" w:rsidRDefault="000750DF" w:rsidP="000750DF">
      <w:pPr>
        <w:spacing w:before="120" w:after="120"/>
        <w:ind w:firstLine="720"/>
        <w:jc w:val="both"/>
        <w:rPr>
          <w:rFonts w:ascii="Cambria" w:hAnsi="Cambria"/>
          <w:sz w:val="20"/>
          <w:szCs w:val="20"/>
          <w:lang w:val="es-ES"/>
        </w:rPr>
      </w:pPr>
      <w:r>
        <w:rPr>
          <w:rFonts w:asciiTheme="majorHAnsi" w:hAnsiTheme="majorHAnsi"/>
          <w:b/>
          <w:bCs/>
          <w:color w:val="000000"/>
          <w:sz w:val="20"/>
          <w:szCs w:val="20"/>
          <w:lang w:val="es-ES"/>
        </w:rPr>
        <w:t>VI.</w:t>
      </w:r>
      <w:r>
        <w:rPr>
          <w:rFonts w:asciiTheme="majorHAnsi" w:hAnsiTheme="majorHAnsi"/>
          <w:b/>
          <w:bCs/>
          <w:color w:val="000000"/>
          <w:sz w:val="20"/>
          <w:szCs w:val="20"/>
          <w:lang w:val="es-ES"/>
        </w:rPr>
        <w:tab/>
      </w:r>
      <w:r>
        <w:rPr>
          <w:rFonts w:asciiTheme="majorHAnsi" w:hAnsiTheme="majorHAnsi"/>
          <w:b/>
          <w:bCs/>
          <w:sz w:val="20"/>
          <w:szCs w:val="20"/>
          <w:lang w:val="es-ES"/>
        </w:rPr>
        <w:t>AGOTAMIENTO DE LOS RECURSOS INTERNOS Y PLAZO DE PRESENTACIÓN</w:t>
      </w:r>
      <w:r>
        <w:rPr>
          <w:rFonts w:asciiTheme="majorHAnsi" w:hAnsiTheme="majorHAnsi"/>
          <w:b/>
          <w:bCs/>
          <w:color w:val="000000"/>
          <w:sz w:val="20"/>
          <w:szCs w:val="20"/>
          <w:lang w:val="es-ES"/>
        </w:rPr>
        <w:t xml:space="preserve"> </w:t>
      </w:r>
    </w:p>
    <w:p w14:paraId="1CAD488D" w14:textId="664A580D" w:rsidR="00540097" w:rsidRDefault="000750DF" w:rsidP="004E7E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Los </w:t>
      </w:r>
      <w:r w:rsidR="005C4DB9">
        <w:rPr>
          <w:rFonts w:ascii="Cambria" w:hAnsi="Cambria"/>
          <w:sz w:val="20"/>
          <w:szCs w:val="20"/>
          <w:lang w:val="es-ES"/>
        </w:rPr>
        <w:t>reclamos</w:t>
      </w:r>
      <w:r>
        <w:rPr>
          <w:rFonts w:ascii="Cambria" w:hAnsi="Cambria"/>
          <w:sz w:val="20"/>
          <w:szCs w:val="20"/>
          <w:lang w:val="es-ES"/>
        </w:rPr>
        <w:t xml:space="preserve"> del peticionario versan sobre su procesamiento, sentencia y condena a prisión por robo y robo de mayor cuantía. Éste sostiene que interpuso varios recursos internos de los cuales todos fueron finalmente desestimados. El último recurso judicial que presentó fue un recurso federal de </w:t>
      </w:r>
      <w:r w:rsidRPr="005C4DB9">
        <w:rPr>
          <w:rFonts w:ascii="Cambria" w:hAnsi="Cambria"/>
          <w:i/>
          <w:iCs/>
          <w:sz w:val="20"/>
          <w:szCs w:val="20"/>
          <w:lang w:val="es-ES"/>
        </w:rPr>
        <w:t>habeas corpus</w:t>
      </w:r>
      <w:r>
        <w:rPr>
          <w:rFonts w:ascii="Cambria" w:hAnsi="Cambria"/>
          <w:sz w:val="20"/>
          <w:szCs w:val="20"/>
          <w:lang w:val="es-ES"/>
        </w:rPr>
        <w:t xml:space="preserve"> ante el Tribunal de Distrito de Estados Unidos para el Distrito Centro de Florida, que fue desestimado en octubre de 2017. Sin embargo, el Estado manifiesta que el peticionario no había agotado los recursos internos al momento de presentar su petición (el 5 de febrero de 2013).</w:t>
      </w:r>
      <w:r w:rsidR="00540097">
        <w:rPr>
          <w:rFonts w:ascii="Cambria" w:hAnsi="Cambria"/>
          <w:sz w:val="20"/>
          <w:szCs w:val="20"/>
          <w:lang w:val="es-ES"/>
        </w:rPr>
        <w:t xml:space="preserve"> </w:t>
      </w:r>
      <w:r w:rsidR="00540097" w:rsidRPr="00E62BDD">
        <w:rPr>
          <w:rFonts w:ascii="Cambria" w:hAnsi="Cambria"/>
          <w:sz w:val="20"/>
          <w:szCs w:val="20"/>
          <w:lang w:val="es-ES"/>
        </w:rPr>
        <w:t xml:space="preserve">La Comisión </w:t>
      </w:r>
      <w:r w:rsidR="00E62BDD" w:rsidRPr="00E62BDD">
        <w:rPr>
          <w:rFonts w:ascii="Cambria" w:hAnsi="Cambria"/>
          <w:sz w:val="20"/>
          <w:szCs w:val="20"/>
          <w:lang w:val="es-ES"/>
        </w:rPr>
        <w:t xml:space="preserve">indica </w:t>
      </w:r>
      <w:r w:rsidR="00540097" w:rsidRPr="00E62BDD">
        <w:rPr>
          <w:rFonts w:ascii="Cambria" w:hAnsi="Cambria"/>
          <w:sz w:val="20"/>
          <w:szCs w:val="20"/>
          <w:lang w:val="es-ES"/>
        </w:rPr>
        <w:t xml:space="preserve">que es </w:t>
      </w:r>
      <w:r w:rsidR="00E62BDD" w:rsidRPr="00E62BDD">
        <w:rPr>
          <w:rFonts w:ascii="Cambria" w:hAnsi="Cambria"/>
          <w:sz w:val="20"/>
          <w:szCs w:val="20"/>
          <w:lang w:val="es-ES"/>
        </w:rPr>
        <w:t xml:space="preserve">al momento de decidir la admisibilidad cuando </w:t>
      </w:r>
      <w:r w:rsidR="00540097" w:rsidRPr="00E62BDD">
        <w:rPr>
          <w:rFonts w:ascii="Cambria" w:hAnsi="Cambria"/>
          <w:sz w:val="20"/>
          <w:szCs w:val="20"/>
          <w:lang w:val="es-ES"/>
        </w:rPr>
        <w:t xml:space="preserve">observa el agotamiento de los recursos internos, por lo tanto, como el recurso federal de </w:t>
      </w:r>
      <w:r w:rsidR="00540097" w:rsidRPr="00E62BDD">
        <w:rPr>
          <w:rFonts w:ascii="Cambria" w:hAnsi="Cambria"/>
          <w:i/>
          <w:sz w:val="20"/>
          <w:szCs w:val="20"/>
          <w:lang w:val="es-ES"/>
        </w:rPr>
        <w:t xml:space="preserve">habeas corpus </w:t>
      </w:r>
      <w:r w:rsidR="00540097" w:rsidRPr="00E62BDD">
        <w:rPr>
          <w:rFonts w:ascii="Cambria" w:hAnsi="Cambria"/>
          <w:sz w:val="20"/>
          <w:szCs w:val="20"/>
          <w:lang w:val="es-ES"/>
        </w:rPr>
        <w:t>fue desestimado en 2017, los recursos internos fueron agotados.</w:t>
      </w:r>
      <w:r w:rsidR="00540097" w:rsidRPr="00D57584">
        <w:rPr>
          <w:rFonts w:ascii="Cambria" w:hAnsi="Cambria"/>
          <w:sz w:val="20"/>
          <w:szCs w:val="20"/>
          <w:lang w:val="es-ES"/>
        </w:rPr>
        <w:t xml:space="preserve"> </w:t>
      </w:r>
    </w:p>
    <w:p w14:paraId="1FE18A5A" w14:textId="534FDF27" w:rsidR="000750DF" w:rsidRPr="000750DF" w:rsidRDefault="000750DF" w:rsidP="004E7E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La Comisión nota que uno de los alegatos del peticionario se refiere al maltrato físico durante su prisión preventiva y la privación de asistencia médica. Según el expediente, el Estado nunca habría investigado la denuncia del peticionario.</w:t>
      </w:r>
      <w:r w:rsidR="006F1247">
        <w:rPr>
          <w:rFonts w:ascii="Cambria" w:hAnsi="Cambria"/>
          <w:sz w:val="20"/>
          <w:szCs w:val="20"/>
          <w:lang w:val="es-ES"/>
        </w:rPr>
        <w:t xml:space="preserve"> </w:t>
      </w:r>
      <w:r>
        <w:rPr>
          <w:rFonts w:ascii="Cambria" w:hAnsi="Cambria"/>
          <w:sz w:val="20"/>
          <w:szCs w:val="20"/>
          <w:lang w:val="es-ES"/>
        </w:rPr>
        <w:t>La Comisión reitera que de acuerdo con los estándares internacionales aplicables a casos como el presente</w:t>
      </w:r>
      <w:r w:rsidR="006F1247">
        <w:rPr>
          <w:rFonts w:ascii="Cambria" w:hAnsi="Cambria"/>
          <w:sz w:val="20"/>
          <w:szCs w:val="20"/>
          <w:lang w:val="es-ES"/>
        </w:rPr>
        <w:t>,</w:t>
      </w:r>
      <w:r>
        <w:rPr>
          <w:rFonts w:ascii="Cambria" w:hAnsi="Cambria"/>
          <w:sz w:val="20"/>
          <w:szCs w:val="20"/>
          <w:lang w:val="es-ES"/>
        </w:rPr>
        <w:t xml:space="preserve"> en los que se alegan graves violaciones de los derechos humanos, como el maltrato físico, el recurso adecuado y efectivo es precisamente el inicio y desarrollo de una </w:t>
      </w:r>
      <w:r>
        <w:rPr>
          <w:rFonts w:ascii="Cambria" w:hAnsi="Cambria"/>
          <w:sz w:val="20"/>
          <w:szCs w:val="20"/>
          <w:lang w:val="es-ES"/>
        </w:rPr>
        <w:lastRenderedPageBreak/>
        <w:t>investigación penal eficaz destinada a esclarecer los hechos, y de ser el caso, individualizar a los responsables y establecer las responsabilidades correspondientes</w:t>
      </w:r>
      <w:r>
        <w:rPr>
          <w:rStyle w:val="FootnoteReference"/>
          <w:rFonts w:ascii="Cambria" w:hAnsi="Cambria"/>
          <w:sz w:val="20"/>
          <w:szCs w:val="20"/>
          <w:lang w:val="es-ES"/>
        </w:rPr>
        <w:footnoteReference w:id="9"/>
      </w:r>
      <w:r>
        <w:rPr>
          <w:rFonts w:ascii="Cambria" w:hAnsi="Cambria"/>
          <w:sz w:val="20"/>
          <w:szCs w:val="20"/>
          <w:lang w:val="es-ES"/>
        </w:rPr>
        <w:t>.</w:t>
      </w:r>
      <w:r w:rsidR="00A66F3B">
        <w:rPr>
          <w:rFonts w:ascii="Cambria" w:hAnsi="Cambria"/>
          <w:sz w:val="20"/>
          <w:szCs w:val="20"/>
          <w:lang w:val="es-ES"/>
        </w:rPr>
        <w:t xml:space="preserve"> </w:t>
      </w:r>
      <w:r>
        <w:rPr>
          <w:rFonts w:ascii="Cambria" w:hAnsi="Cambria"/>
          <w:sz w:val="20"/>
          <w:szCs w:val="20"/>
          <w:lang w:val="es-ES"/>
        </w:rPr>
        <w:t xml:space="preserve">La Comisión observa que los hechos alegados ocurrieron a partir de 2010 y </w:t>
      </w:r>
      <w:r w:rsidR="006F1247">
        <w:rPr>
          <w:rFonts w:ascii="Cambria" w:hAnsi="Cambria"/>
          <w:sz w:val="20"/>
          <w:szCs w:val="20"/>
          <w:lang w:val="es-ES"/>
        </w:rPr>
        <w:t xml:space="preserve">que </w:t>
      </w:r>
      <w:r>
        <w:rPr>
          <w:rFonts w:ascii="Cambria" w:hAnsi="Cambria"/>
          <w:sz w:val="20"/>
          <w:szCs w:val="20"/>
          <w:lang w:val="es-ES"/>
        </w:rPr>
        <w:t xml:space="preserve">sus efectos respecto de la falta de investigación y condena de dichos actos contra la presunta víctima </w:t>
      </w:r>
      <w:r w:rsidR="006F1247">
        <w:rPr>
          <w:rFonts w:ascii="Cambria" w:hAnsi="Cambria"/>
          <w:sz w:val="20"/>
          <w:szCs w:val="20"/>
          <w:lang w:val="es-ES"/>
        </w:rPr>
        <w:t>continúan</w:t>
      </w:r>
      <w:r>
        <w:rPr>
          <w:rFonts w:ascii="Cambria" w:hAnsi="Cambria"/>
          <w:sz w:val="20"/>
          <w:szCs w:val="20"/>
          <w:lang w:val="es-ES"/>
        </w:rPr>
        <w:t xml:space="preserve"> </w:t>
      </w:r>
      <w:r w:rsidR="006F1247">
        <w:rPr>
          <w:rFonts w:ascii="Cambria" w:hAnsi="Cambria"/>
          <w:sz w:val="20"/>
          <w:szCs w:val="20"/>
          <w:lang w:val="es-ES"/>
        </w:rPr>
        <w:t>hasta</w:t>
      </w:r>
      <w:r>
        <w:rPr>
          <w:rFonts w:ascii="Cambria" w:hAnsi="Cambria"/>
          <w:sz w:val="20"/>
          <w:szCs w:val="20"/>
          <w:lang w:val="es-ES"/>
        </w:rPr>
        <w:t xml:space="preserve"> la fecha. En consecuencia, en vista del contexto y las características del asunto, la Comisión concluye que dispone de elementos suficientes para </w:t>
      </w:r>
      <w:r w:rsidR="006F1247">
        <w:rPr>
          <w:rFonts w:ascii="Cambria" w:hAnsi="Cambria"/>
          <w:sz w:val="20"/>
          <w:szCs w:val="20"/>
          <w:lang w:val="es-ES"/>
        </w:rPr>
        <w:t xml:space="preserve">decidir </w:t>
      </w:r>
      <w:r>
        <w:rPr>
          <w:rFonts w:ascii="Cambria" w:hAnsi="Cambria"/>
          <w:sz w:val="20"/>
          <w:szCs w:val="20"/>
          <w:lang w:val="es-ES"/>
        </w:rPr>
        <w:t xml:space="preserve">aplicar a este caso la excepción establecida en el artículo 31(2)(b) del Reglamento de la CIDH y que la petición fue presentada en un plazo razonable </w:t>
      </w:r>
      <w:r w:rsidR="006F1247">
        <w:rPr>
          <w:rFonts w:ascii="Cambria" w:hAnsi="Cambria"/>
          <w:sz w:val="20"/>
          <w:szCs w:val="20"/>
          <w:lang w:val="es-ES"/>
        </w:rPr>
        <w:t>en</w:t>
      </w:r>
      <w:r>
        <w:rPr>
          <w:rFonts w:ascii="Cambria" w:hAnsi="Cambria"/>
          <w:sz w:val="20"/>
          <w:szCs w:val="20"/>
          <w:lang w:val="es-ES"/>
        </w:rPr>
        <w:t xml:space="preserve"> los términos del artículo 32(2) del Reglamento de la CIDH. </w:t>
      </w:r>
    </w:p>
    <w:p w14:paraId="2A8556BE" w14:textId="77777777" w:rsidR="000750DF" w:rsidRPr="000750DF" w:rsidRDefault="000750DF" w:rsidP="000750DF">
      <w:pPr>
        <w:pStyle w:val="ListParagraph"/>
        <w:spacing w:before="120" w:after="12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t>CARACTERIZACIÓN DE LOS HECHOS ALEGADOS</w:t>
      </w:r>
    </w:p>
    <w:p w14:paraId="585D8BC4" w14:textId="77777777" w:rsidR="000750DF" w:rsidRPr="000750DF" w:rsidRDefault="000750DF" w:rsidP="004E7E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El Reglamento de la Comisión Interamericana no exige a los peticionarios identificar los derechos específicos que se alegan violados por parte del Estado en un asunto sometido a la Comisión, aunque los peticionarios pueden hacerlo. Corresponde a la Comisión, con base en la jurisprudencia del sistema interamericano, determinar en sus informes de admisibilidad, qué disposición de los instrumentos interamericanos relevantes es aplicable y podría establecerse su violación si los hechos alegados son probados mediante elementos suficientes.</w:t>
      </w:r>
    </w:p>
    <w:p w14:paraId="17C7C8C1" w14:textId="4B65F7CB" w:rsidR="000750DF" w:rsidRPr="00F66F92" w:rsidRDefault="000750DF" w:rsidP="00F66F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F66F92">
        <w:rPr>
          <w:rFonts w:ascii="Cambria" w:hAnsi="Cambria"/>
          <w:sz w:val="20"/>
          <w:szCs w:val="20"/>
          <w:lang w:val="es-ES"/>
        </w:rPr>
        <w:t xml:space="preserve">En vista de los elementos de hecho y de derecho presentados por las partes y considerando la naturaleza del asunto puesto a su consideración, la Comisión estima que los alegatos referidos al maltrato físico cometidos contra la presunta víctima como la falta de investigación de dichas denuncias </w:t>
      </w:r>
      <w:r w:rsidR="000A4FC4">
        <w:rPr>
          <w:rFonts w:asciiTheme="majorHAnsi" w:hAnsiTheme="majorHAnsi"/>
          <w:sz w:val="20"/>
          <w:szCs w:val="20"/>
          <w:lang w:val="es-AR"/>
        </w:rPr>
        <w:t xml:space="preserve">no resultan manifiestamente infundados y que de ser probados </w:t>
      </w:r>
      <w:r w:rsidR="000A4FC4">
        <w:rPr>
          <w:rFonts w:asciiTheme="majorHAnsi" w:hAnsiTheme="majorHAnsi"/>
          <w:sz w:val="20"/>
          <w:szCs w:val="20"/>
          <w:lang w:val="es-ES_tradnl"/>
        </w:rPr>
        <w:t>podrían caracterizar posibles violaciones a los derechos reconocidos</w:t>
      </w:r>
      <w:r w:rsidRPr="00F66F92">
        <w:rPr>
          <w:rFonts w:ascii="Cambria" w:hAnsi="Cambria"/>
          <w:sz w:val="20"/>
          <w:szCs w:val="20"/>
          <w:lang w:val="es-ES"/>
        </w:rPr>
        <w:t xml:space="preserve"> en los artículos II (igualdad ante la ley), XVIII (justicia), XXV (protección contra la detención arbitraria) y XXVI (proceso regular) de la Declaración Americana.</w:t>
      </w:r>
    </w:p>
    <w:p w14:paraId="666D52D4" w14:textId="720C4771" w:rsidR="000750DF" w:rsidRPr="000750DF" w:rsidRDefault="000750DF" w:rsidP="004E7E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Con respecto a los alegatos de ineficacia del asesoramiento legal, la Comisión Interamericana ha establecido con anterioridad que el derecho al debido proceso y la justicia incluyen el derecho a los medios adecuados para la elaboración de la defensa con la asistencia de un representante legal </w:t>
      </w:r>
      <w:r w:rsidR="00844273">
        <w:rPr>
          <w:rFonts w:ascii="Cambria" w:hAnsi="Cambria"/>
          <w:sz w:val="20"/>
          <w:szCs w:val="20"/>
          <w:lang w:val="es-ES"/>
        </w:rPr>
        <w:t>competente</w:t>
      </w:r>
      <w:r>
        <w:rPr>
          <w:rFonts w:ascii="Cambria" w:hAnsi="Cambria"/>
          <w:sz w:val="20"/>
          <w:szCs w:val="20"/>
          <w:lang w:val="es-ES"/>
        </w:rPr>
        <w:t>. Por lo tanto, la representación legal adecuada es una parte fundamental del derecho a la justicia</w:t>
      </w:r>
      <w:r>
        <w:rPr>
          <w:rStyle w:val="FootnoteReference"/>
          <w:rFonts w:ascii="Cambria" w:hAnsi="Cambria"/>
          <w:sz w:val="20"/>
          <w:szCs w:val="20"/>
          <w:lang w:val="es-ES"/>
        </w:rPr>
        <w:footnoteReference w:id="10"/>
      </w:r>
      <w:r>
        <w:rPr>
          <w:rFonts w:ascii="Cambria" w:hAnsi="Cambria"/>
          <w:sz w:val="20"/>
          <w:szCs w:val="20"/>
          <w:lang w:val="es-ES"/>
        </w:rPr>
        <w:t>. Teniendo en cuenta los alegatos del peticionario referidos a la ineficacia de su representación legal en las etapas de juicio</w:t>
      </w:r>
      <w:r>
        <w:rPr>
          <w:rStyle w:val="FootnoteReference"/>
          <w:rFonts w:ascii="Cambria" w:hAnsi="Cambria"/>
          <w:sz w:val="20"/>
          <w:szCs w:val="20"/>
          <w:lang w:val="es-ES"/>
        </w:rPr>
        <w:footnoteReference w:id="11"/>
      </w:r>
      <w:r>
        <w:rPr>
          <w:rFonts w:ascii="Cambria" w:hAnsi="Cambria"/>
          <w:sz w:val="20"/>
          <w:szCs w:val="20"/>
          <w:lang w:val="es-ES"/>
        </w:rPr>
        <w:t xml:space="preserve"> y apelación</w:t>
      </w:r>
      <w:r>
        <w:rPr>
          <w:rStyle w:val="FootnoteReference"/>
          <w:rFonts w:ascii="Cambria" w:hAnsi="Cambria"/>
          <w:sz w:val="20"/>
          <w:szCs w:val="20"/>
          <w:lang w:val="es-ES"/>
        </w:rPr>
        <w:footnoteReference w:id="12"/>
      </w:r>
      <w:r>
        <w:rPr>
          <w:rFonts w:ascii="Cambria" w:hAnsi="Cambria"/>
          <w:sz w:val="20"/>
          <w:szCs w:val="20"/>
          <w:lang w:val="es-ES"/>
        </w:rPr>
        <w:t xml:space="preserve"> del proceso interno, la CIDH estima que dichos alegatos </w:t>
      </w:r>
      <w:r w:rsidR="000A4FC4">
        <w:rPr>
          <w:rFonts w:ascii="Cambria" w:hAnsi="Cambria"/>
          <w:sz w:val="20"/>
          <w:szCs w:val="20"/>
          <w:lang w:val="es-ES"/>
        </w:rPr>
        <w:t xml:space="preserve">no resultan manifiestamente infundados y de comprobarse </w:t>
      </w:r>
      <w:r>
        <w:rPr>
          <w:rFonts w:ascii="Cambria" w:hAnsi="Cambria"/>
          <w:sz w:val="20"/>
          <w:szCs w:val="20"/>
          <w:lang w:val="es-ES"/>
        </w:rPr>
        <w:t xml:space="preserve">también podrían caracterizar </w:t>
      </w:r>
      <w:r w:rsidR="00844273">
        <w:rPr>
          <w:rFonts w:ascii="Cambria" w:hAnsi="Cambria"/>
          <w:sz w:val="20"/>
          <w:szCs w:val="20"/>
          <w:lang w:val="es-ES"/>
        </w:rPr>
        <w:t xml:space="preserve">una </w:t>
      </w:r>
      <w:r>
        <w:rPr>
          <w:rFonts w:ascii="Cambria" w:hAnsi="Cambria"/>
          <w:sz w:val="20"/>
          <w:szCs w:val="20"/>
          <w:lang w:val="es-ES"/>
        </w:rPr>
        <w:t>violación de los artículos XVIII y XXVI de la Declaración Americana.</w:t>
      </w:r>
    </w:p>
    <w:p w14:paraId="0B0F6A22" w14:textId="77777777" w:rsidR="000750DF" w:rsidRDefault="000750DF" w:rsidP="000750DF">
      <w:pPr>
        <w:pStyle w:val="ListParagraph"/>
        <w:spacing w:before="120" w:after="120"/>
        <w:jc w:val="both"/>
        <w:rPr>
          <w:rFonts w:asciiTheme="majorHAnsi" w:hAnsiTheme="majorHAnsi"/>
          <w:b/>
          <w:bCs/>
          <w:sz w:val="20"/>
          <w:szCs w:val="20"/>
        </w:rPr>
      </w:pPr>
      <w:r>
        <w:rPr>
          <w:rFonts w:asciiTheme="majorHAnsi" w:hAnsiTheme="majorHAnsi"/>
          <w:b/>
          <w:bCs/>
          <w:sz w:val="20"/>
          <w:szCs w:val="20"/>
          <w:lang w:val="es-ES"/>
        </w:rPr>
        <w:t xml:space="preserve">VIII. </w:t>
      </w:r>
      <w:r>
        <w:rPr>
          <w:rFonts w:asciiTheme="majorHAnsi" w:hAnsiTheme="majorHAnsi"/>
          <w:b/>
          <w:bCs/>
          <w:sz w:val="20"/>
          <w:szCs w:val="20"/>
          <w:lang w:val="es-ES"/>
        </w:rPr>
        <w:tab/>
        <w:t>DECISIÓN</w:t>
      </w:r>
    </w:p>
    <w:p w14:paraId="69674908" w14:textId="77777777" w:rsidR="000750DF" w:rsidRPr="000750DF" w:rsidRDefault="000750DF" w:rsidP="004E7E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Theme="majorHAnsi" w:hAnsiTheme="majorHAnsi"/>
          <w:sz w:val="20"/>
          <w:szCs w:val="20"/>
          <w:lang w:val="es-ES"/>
        </w:rPr>
        <w:t>Declarar admisible la presente petición respecto de los artículos II, XVIII, XXV y XXVI de la Declaración Americana;</w:t>
      </w:r>
    </w:p>
    <w:p w14:paraId="3A6997F7" w14:textId="77777777" w:rsidR="000750DF" w:rsidRPr="000750DF" w:rsidRDefault="000750DF" w:rsidP="004E7E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24C9C86" w14:textId="2125B830" w:rsidR="006A62CE" w:rsidRPr="006A62CE" w:rsidRDefault="006A62CE" w:rsidP="006A62CE">
      <w:pPr>
        <w:pStyle w:val="ListParagraph"/>
        <w:suppressAutoHyphens/>
        <w:ind w:left="0" w:firstLine="720"/>
        <w:jc w:val="both"/>
        <w:rPr>
          <w:rFonts w:cs="Calibri"/>
          <w:sz w:val="20"/>
          <w:szCs w:val="20"/>
          <w:lang w:val="es-US"/>
        </w:rPr>
      </w:pPr>
      <w:r>
        <w:rPr>
          <w:sz w:val="20"/>
          <w:szCs w:val="20"/>
          <w:lang w:val="es-US"/>
        </w:rPr>
        <w:t xml:space="preserve">Aprobado por la Comisión Interamericana de Derechos Humanos a los </w:t>
      </w:r>
      <w:r>
        <w:rPr>
          <w:sz w:val="20"/>
          <w:szCs w:val="20"/>
          <w:lang w:val="es-US"/>
        </w:rPr>
        <w:t>31</w:t>
      </w:r>
      <w:r>
        <w:rPr>
          <w:sz w:val="20"/>
          <w:szCs w:val="20"/>
          <w:lang w:val="es-US"/>
        </w:rPr>
        <w:t xml:space="preserve"> días del mes de </w:t>
      </w:r>
      <w:r>
        <w:rPr>
          <w:sz w:val="20"/>
          <w:szCs w:val="20"/>
          <w:lang w:val="es-US"/>
        </w:rPr>
        <w:t>diciembre</w:t>
      </w:r>
      <w:r>
        <w:rPr>
          <w:sz w:val="20"/>
          <w:szCs w:val="20"/>
          <w:lang w:val="es-US"/>
        </w:rPr>
        <w:t xml:space="preserve"> de 2019.  (Firmado): Esmeralda E. Arosemena Bernal de </w:t>
      </w:r>
      <w:proofErr w:type="spellStart"/>
      <w:r>
        <w:rPr>
          <w:sz w:val="20"/>
          <w:szCs w:val="20"/>
          <w:lang w:val="es-US"/>
        </w:rPr>
        <w:t>Troitiño</w:t>
      </w:r>
      <w:proofErr w:type="spellEnd"/>
      <w:r>
        <w:rPr>
          <w:sz w:val="20"/>
          <w:szCs w:val="20"/>
          <w:lang w:val="es-US"/>
        </w:rPr>
        <w:t xml:space="preserve">, Presidenta; Joel Hernández, Primer Vicepresidente; Antonia Urrejola, Segunda Vicepresidenta; Margarette May Macaulay, Francisco José Eguiguren, Luis Ernesto Vargas Silva, y </w:t>
      </w:r>
      <w:proofErr w:type="spellStart"/>
      <w:r>
        <w:rPr>
          <w:sz w:val="20"/>
          <w:szCs w:val="20"/>
          <w:lang w:val="es-US"/>
        </w:rPr>
        <w:t>Flávia</w:t>
      </w:r>
      <w:proofErr w:type="spellEnd"/>
      <w:r>
        <w:rPr>
          <w:sz w:val="20"/>
          <w:szCs w:val="20"/>
          <w:lang w:val="es-US"/>
        </w:rPr>
        <w:t xml:space="preserve"> </w:t>
      </w:r>
      <w:proofErr w:type="spellStart"/>
      <w:r>
        <w:rPr>
          <w:sz w:val="20"/>
          <w:szCs w:val="20"/>
          <w:lang w:val="es-US"/>
        </w:rPr>
        <w:t>Piovesan</w:t>
      </w:r>
      <w:proofErr w:type="spellEnd"/>
      <w:r>
        <w:rPr>
          <w:sz w:val="20"/>
          <w:szCs w:val="20"/>
          <w:lang w:val="es-US"/>
        </w:rPr>
        <w:t>, Miembros de la Comisión.</w:t>
      </w:r>
    </w:p>
    <w:sectPr w:rsidR="006A62CE" w:rsidRPr="006A62C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DBAB5" w14:textId="77777777" w:rsidR="00700421" w:rsidRDefault="00700421">
      <w:r>
        <w:separator/>
      </w:r>
    </w:p>
  </w:endnote>
  <w:endnote w:type="continuationSeparator" w:id="0">
    <w:p w14:paraId="1B67550C" w14:textId="77777777" w:rsidR="00700421" w:rsidRDefault="0070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83305" w14:textId="77777777" w:rsidR="00FC6791" w:rsidRDefault="00FC6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4B2D5500"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C6791">
          <w:rPr>
            <w:noProof/>
            <w:sz w:val="16"/>
            <w:szCs w:val="22"/>
          </w:rPr>
          <w:t>3</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4B61B" w14:textId="77777777" w:rsidR="00700421" w:rsidRPr="000F35ED" w:rsidRDefault="007004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9DE5E4" w14:textId="77777777" w:rsidR="00700421" w:rsidRPr="000F35ED" w:rsidRDefault="00700421" w:rsidP="000F35ED">
      <w:pPr>
        <w:rPr>
          <w:rFonts w:asciiTheme="majorHAnsi" w:hAnsiTheme="majorHAnsi"/>
          <w:sz w:val="16"/>
          <w:szCs w:val="16"/>
        </w:rPr>
      </w:pPr>
      <w:r w:rsidRPr="000F35ED">
        <w:rPr>
          <w:rFonts w:asciiTheme="majorHAnsi" w:hAnsiTheme="majorHAnsi"/>
          <w:sz w:val="16"/>
          <w:szCs w:val="16"/>
        </w:rPr>
        <w:separator/>
      </w:r>
    </w:p>
    <w:p w14:paraId="118925B6" w14:textId="77777777" w:rsidR="00700421" w:rsidRPr="000F35ED" w:rsidRDefault="0070042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82DD46E" w14:textId="77777777" w:rsidR="00700421" w:rsidRPr="000F35ED" w:rsidRDefault="0070042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240B2C1" w14:textId="0247B61A" w:rsidR="00C850FE" w:rsidRPr="003C52C6" w:rsidRDefault="00C850FE" w:rsidP="000750DF">
      <w:pPr>
        <w:pStyle w:val="FootnoteText"/>
        <w:jc w:val="both"/>
        <w:rPr>
          <w:rFonts w:asciiTheme="majorHAnsi" w:hAnsiTheme="majorHAnsi"/>
          <w:sz w:val="16"/>
          <w:szCs w:val="16"/>
          <w:lang w:val="es-ES"/>
        </w:rPr>
      </w:pPr>
      <w:r w:rsidRPr="003C52C6">
        <w:rPr>
          <w:rStyle w:val="FootnoteReference"/>
          <w:rFonts w:asciiTheme="majorHAnsi" w:hAnsiTheme="majorHAnsi"/>
          <w:sz w:val="16"/>
          <w:szCs w:val="16"/>
        </w:rPr>
        <w:footnoteRef/>
      </w:r>
      <w:r w:rsidRPr="003C52C6">
        <w:rPr>
          <w:rFonts w:asciiTheme="majorHAnsi" w:hAnsiTheme="majorHAnsi"/>
          <w:sz w:val="16"/>
          <w:szCs w:val="16"/>
          <w:lang w:val="es-ES"/>
        </w:rPr>
        <w:t xml:space="preserve"> En adelante, “Estados Unidos” o “el Estado”.</w:t>
      </w:r>
    </w:p>
  </w:footnote>
  <w:footnote w:id="3">
    <w:p w14:paraId="2551BE75" w14:textId="77777777" w:rsidR="0099258D" w:rsidRPr="003C52C6" w:rsidRDefault="0099258D" w:rsidP="000750DF">
      <w:pPr>
        <w:pStyle w:val="FootnoteText"/>
        <w:jc w:val="both"/>
        <w:rPr>
          <w:rFonts w:asciiTheme="majorHAnsi" w:hAnsiTheme="majorHAnsi"/>
          <w:sz w:val="16"/>
          <w:szCs w:val="16"/>
          <w:lang w:val="es-ES"/>
        </w:rPr>
      </w:pPr>
      <w:r w:rsidRPr="003C52C6">
        <w:rPr>
          <w:rStyle w:val="FootnoteReference"/>
          <w:rFonts w:asciiTheme="majorHAnsi" w:hAnsiTheme="majorHAnsi"/>
          <w:sz w:val="16"/>
          <w:szCs w:val="16"/>
        </w:rPr>
        <w:footnoteRef/>
      </w:r>
      <w:r w:rsidRPr="003C52C6">
        <w:rPr>
          <w:rFonts w:asciiTheme="majorHAnsi" w:hAnsiTheme="majorHAnsi"/>
          <w:sz w:val="16"/>
          <w:szCs w:val="16"/>
          <w:lang w:val="es-ES"/>
        </w:rPr>
        <w:t xml:space="preserve"> Las observaciones de cada parte fueron debidamente trasladadas a la parte contraria.</w:t>
      </w:r>
    </w:p>
  </w:footnote>
  <w:footnote w:id="4">
    <w:p w14:paraId="3CF725A2" w14:textId="79F653BB" w:rsidR="0069186E" w:rsidRPr="003C52C6" w:rsidRDefault="0069186E" w:rsidP="000750DF">
      <w:pPr>
        <w:pStyle w:val="FootnoteText"/>
        <w:jc w:val="both"/>
        <w:rPr>
          <w:rFonts w:asciiTheme="majorHAnsi" w:hAnsiTheme="majorHAnsi"/>
          <w:sz w:val="16"/>
          <w:szCs w:val="16"/>
          <w:lang w:val="es-ES"/>
        </w:rPr>
      </w:pPr>
      <w:r w:rsidRPr="003C52C6">
        <w:rPr>
          <w:rStyle w:val="FootnoteReference"/>
          <w:rFonts w:asciiTheme="majorHAnsi" w:hAnsiTheme="majorHAnsi"/>
          <w:sz w:val="16"/>
          <w:szCs w:val="16"/>
        </w:rPr>
        <w:footnoteRef/>
      </w:r>
      <w:r w:rsidRPr="00824EB4">
        <w:rPr>
          <w:rFonts w:asciiTheme="majorHAnsi" w:hAnsiTheme="majorHAnsi"/>
          <w:sz w:val="16"/>
          <w:szCs w:val="16"/>
          <w:lang w:val="es-AR"/>
        </w:rPr>
        <w:t xml:space="preserve"> </w:t>
      </w:r>
      <w:r w:rsidRPr="003C52C6">
        <w:rPr>
          <w:rFonts w:asciiTheme="majorHAnsi" w:hAnsiTheme="majorHAnsi"/>
          <w:sz w:val="16"/>
          <w:szCs w:val="16"/>
          <w:lang w:val="es-ES"/>
        </w:rPr>
        <w:t>En adelante “Declaración Americana”.</w:t>
      </w:r>
    </w:p>
  </w:footnote>
  <w:footnote w:id="5">
    <w:p w14:paraId="5CA753C3" w14:textId="77777777" w:rsidR="000750DF" w:rsidRPr="000750DF" w:rsidRDefault="000750DF" w:rsidP="000750DF">
      <w:pPr>
        <w:pStyle w:val="FootnoteText"/>
        <w:jc w:val="both"/>
        <w:rPr>
          <w:rFonts w:asciiTheme="majorHAnsi" w:hAnsiTheme="majorHAnsi"/>
          <w:sz w:val="16"/>
          <w:szCs w:val="16"/>
          <w:lang w:val="es-ES"/>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Presentada el 21 de enero de 2011; desestimada en febrero de 2012.</w:t>
      </w:r>
    </w:p>
  </w:footnote>
  <w:footnote w:id="6">
    <w:p w14:paraId="1A454D2A" w14:textId="77777777" w:rsidR="000750DF" w:rsidRPr="000750DF" w:rsidRDefault="000750DF" w:rsidP="000750DF">
      <w:pPr>
        <w:pStyle w:val="FootnoteText"/>
        <w:jc w:val="both"/>
        <w:rPr>
          <w:rFonts w:asciiTheme="majorHAnsi" w:hAnsiTheme="majorHAnsi"/>
          <w:sz w:val="16"/>
          <w:szCs w:val="16"/>
          <w:lang w:val="es-ES"/>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Presentada el 1 de junio de 2011; desestimada en febrero de 2012.</w:t>
      </w:r>
    </w:p>
  </w:footnote>
  <w:footnote w:id="7">
    <w:p w14:paraId="6FADF841" w14:textId="77777777" w:rsidR="000750DF" w:rsidRPr="000750DF" w:rsidRDefault="000750DF" w:rsidP="000750DF">
      <w:pPr>
        <w:pStyle w:val="FootnoteText"/>
        <w:jc w:val="both"/>
        <w:rPr>
          <w:rFonts w:asciiTheme="majorHAnsi" w:hAnsiTheme="majorHAnsi"/>
          <w:sz w:val="16"/>
          <w:szCs w:val="16"/>
          <w:lang w:val="es-ES"/>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Desestimada el 29 de enero de 2013.</w:t>
      </w:r>
    </w:p>
  </w:footnote>
  <w:footnote w:id="8">
    <w:p w14:paraId="0019D811" w14:textId="77777777" w:rsidR="000750DF" w:rsidRPr="000750DF" w:rsidRDefault="000750DF" w:rsidP="000750DF">
      <w:pPr>
        <w:pStyle w:val="FootnoteText"/>
        <w:jc w:val="both"/>
        <w:rPr>
          <w:rFonts w:asciiTheme="majorHAnsi" w:hAnsiTheme="majorHAnsi"/>
          <w:sz w:val="16"/>
          <w:szCs w:val="16"/>
          <w:lang w:val="es-ES"/>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Denegada el 6 de marzo de 2013.</w:t>
      </w:r>
    </w:p>
  </w:footnote>
  <w:footnote w:id="9">
    <w:p w14:paraId="7A82C0CA" w14:textId="77777777" w:rsidR="000750DF" w:rsidRPr="000750DF" w:rsidRDefault="000750DF" w:rsidP="000750DF">
      <w:pPr>
        <w:pStyle w:val="FootnoteText"/>
        <w:jc w:val="both"/>
        <w:rPr>
          <w:rFonts w:asciiTheme="majorHAnsi" w:hAnsiTheme="majorHAnsi"/>
          <w:sz w:val="16"/>
          <w:szCs w:val="16"/>
          <w:lang w:val="es-ES"/>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CIDH, Informe No. 156/17. Admisibilidad. Carlos Alfonso Fonseca Murillo. Ecuador. 30 de noviembre de 2017, párr. 13.</w:t>
      </w:r>
    </w:p>
  </w:footnote>
  <w:footnote w:id="10">
    <w:p w14:paraId="052B0391" w14:textId="1C817AA3" w:rsidR="000750DF" w:rsidRPr="000750DF" w:rsidRDefault="000750DF" w:rsidP="000750DF">
      <w:pPr>
        <w:pStyle w:val="FootnoteText"/>
        <w:jc w:val="both"/>
        <w:rPr>
          <w:rFonts w:asciiTheme="majorHAnsi" w:hAnsiTheme="majorHAnsi"/>
          <w:sz w:val="16"/>
          <w:szCs w:val="16"/>
          <w:lang w:val="es-ES"/>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En CIDH, Informe No. 52/13, Casos 11.575 y 12.341, </w:t>
      </w:r>
      <w:proofErr w:type="spellStart"/>
      <w:r>
        <w:rPr>
          <w:rFonts w:asciiTheme="majorHAnsi" w:hAnsiTheme="majorHAnsi"/>
          <w:sz w:val="16"/>
          <w:szCs w:val="16"/>
          <w:lang w:val="es-ES"/>
        </w:rPr>
        <w:t>Clarence</w:t>
      </w:r>
      <w:proofErr w:type="spellEnd"/>
      <w:r>
        <w:rPr>
          <w:rFonts w:asciiTheme="majorHAnsi" w:hAnsiTheme="majorHAnsi"/>
          <w:sz w:val="16"/>
          <w:szCs w:val="16"/>
          <w:lang w:val="es-ES"/>
        </w:rPr>
        <w:t xml:space="preserve"> Allen </w:t>
      </w:r>
      <w:proofErr w:type="spellStart"/>
      <w:r>
        <w:rPr>
          <w:rFonts w:asciiTheme="majorHAnsi" w:hAnsiTheme="majorHAnsi"/>
          <w:sz w:val="16"/>
          <w:szCs w:val="16"/>
          <w:lang w:val="es-ES"/>
        </w:rPr>
        <w:t>Lackey</w:t>
      </w:r>
      <w:proofErr w:type="spellEnd"/>
      <w:r>
        <w:rPr>
          <w:rFonts w:asciiTheme="majorHAnsi" w:hAnsiTheme="majorHAnsi"/>
          <w:sz w:val="16"/>
          <w:szCs w:val="16"/>
          <w:lang w:val="es-ES"/>
        </w:rPr>
        <w:t xml:space="preserve"> y otros; Miguel Ángel Flores y James Wilson </w:t>
      </w:r>
      <w:proofErr w:type="spellStart"/>
      <w:r>
        <w:rPr>
          <w:rFonts w:asciiTheme="majorHAnsi" w:hAnsiTheme="majorHAnsi"/>
          <w:sz w:val="16"/>
          <w:szCs w:val="16"/>
          <w:lang w:val="es-ES"/>
        </w:rPr>
        <w:t>Chambers</w:t>
      </w:r>
      <w:proofErr w:type="spellEnd"/>
      <w:r>
        <w:rPr>
          <w:rFonts w:asciiTheme="majorHAnsi" w:hAnsiTheme="majorHAnsi"/>
          <w:sz w:val="16"/>
          <w:szCs w:val="16"/>
          <w:lang w:val="es-ES"/>
        </w:rPr>
        <w:t xml:space="preserve"> (Fondo), Estados Unidos, 15 de julio de 2013, la CIDH observó en el párrafo 202 que: “El derecho a la asistencia letrada brindada por el Estado debe ser garantizado en forma tal que resulte efectivo, por lo cual no sólo requiere el suministro de defensor, sino que el mismo ejerza ese patrocinio en forma competente. La Comisión Interamericana ha reconocido también que el Estado no puede ser considerado responsable de todas las fallas de desempeño del abogado defensor, dado que la profesión de abogado es independiente del Estado y éste no tiene conocimiento ni control de la manera en que un abogado defensor patrocina a su cliente. No obstante, las autoridades nacionales tienen la obligación de intervenir si la omisión del abogado de brindar un patrocinio eficaz es evidente o si la omisión es puesta en su conocimiento con suficiente claridad. Dicho deber se ve reforzado en los casos en que la asistencia letrada sea proporcionada por el Estado”</w:t>
      </w:r>
      <w:r>
        <w:rPr>
          <w:lang w:val="es-ES"/>
        </w:rPr>
        <w:t>.</w:t>
      </w:r>
    </w:p>
  </w:footnote>
  <w:footnote w:id="11">
    <w:p w14:paraId="5E348E71" w14:textId="77777777" w:rsidR="000750DF" w:rsidRPr="000750DF" w:rsidRDefault="000750DF" w:rsidP="000750DF">
      <w:pPr>
        <w:pStyle w:val="FootnoteText"/>
        <w:jc w:val="both"/>
        <w:rPr>
          <w:rFonts w:asciiTheme="majorHAnsi" w:hAnsiTheme="majorHAnsi"/>
          <w:sz w:val="16"/>
          <w:szCs w:val="16"/>
          <w:lang w:val="fr-FR"/>
        </w:rPr>
      </w:pPr>
      <w:r>
        <w:rPr>
          <w:rStyle w:val="FootnoteReference"/>
          <w:rFonts w:asciiTheme="majorHAnsi" w:hAnsiTheme="majorHAnsi"/>
          <w:sz w:val="16"/>
          <w:szCs w:val="16"/>
          <w:lang w:val="es-ES"/>
        </w:rPr>
        <w:footnoteRef/>
      </w:r>
      <w:r w:rsidRPr="000750DF">
        <w:rPr>
          <w:rFonts w:asciiTheme="majorHAnsi" w:hAnsiTheme="majorHAnsi"/>
          <w:sz w:val="16"/>
          <w:szCs w:val="16"/>
          <w:lang w:val="fr-FR"/>
        </w:rPr>
        <w:t xml:space="preserve"> Richard Jackson y Kevin </w:t>
      </w:r>
      <w:proofErr w:type="spellStart"/>
      <w:r w:rsidRPr="000750DF">
        <w:rPr>
          <w:rFonts w:asciiTheme="majorHAnsi" w:hAnsiTheme="majorHAnsi"/>
          <w:sz w:val="16"/>
          <w:szCs w:val="16"/>
          <w:lang w:val="fr-FR"/>
        </w:rPr>
        <w:t>Proul</w:t>
      </w:r>
      <w:proofErr w:type="spellEnd"/>
      <w:r w:rsidRPr="000750DF">
        <w:rPr>
          <w:rFonts w:asciiTheme="majorHAnsi" w:hAnsiTheme="majorHAnsi"/>
          <w:sz w:val="16"/>
          <w:szCs w:val="16"/>
          <w:lang w:val="fr-FR"/>
        </w:rPr>
        <w:t>.</w:t>
      </w:r>
    </w:p>
  </w:footnote>
  <w:footnote w:id="12">
    <w:p w14:paraId="21496ACE" w14:textId="77777777" w:rsidR="000750DF" w:rsidRDefault="000750DF" w:rsidP="000750DF">
      <w:pPr>
        <w:pStyle w:val="FootnoteText"/>
        <w:jc w:val="both"/>
        <w:rPr>
          <w:rFonts w:asciiTheme="majorHAnsi" w:hAnsiTheme="majorHAnsi"/>
          <w:sz w:val="16"/>
          <w:szCs w:val="16"/>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Kimberly </w:t>
      </w:r>
      <w:proofErr w:type="spellStart"/>
      <w:r>
        <w:rPr>
          <w:rFonts w:asciiTheme="majorHAnsi" w:hAnsiTheme="majorHAnsi"/>
          <w:sz w:val="16"/>
          <w:szCs w:val="16"/>
          <w:lang w:val="es-ES"/>
        </w:rPr>
        <w:t>Nolan</w:t>
      </w:r>
      <w:proofErr w:type="spellEnd"/>
      <w:r>
        <w:rPr>
          <w:rFonts w:asciiTheme="majorHAnsi" w:hAnsiTheme="majorHAnsi"/>
          <w:sz w:val="16"/>
          <w:szCs w:val="16"/>
          <w:lang w:val="es-ES"/>
        </w:rPr>
        <w:t xml:space="preserve"> Hopkins.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700421"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D3D3A" w14:textId="77777777" w:rsidR="00FC6791" w:rsidRDefault="00FC6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716C5"/>
    <w:rsid w:val="000750DF"/>
    <w:rsid w:val="00075E23"/>
    <w:rsid w:val="0009344A"/>
    <w:rsid w:val="000976C2"/>
    <w:rsid w:val="000A392E"/>
    <w:rsid w:val="000A4FC4"/>
    <w:rsid w:val="000A575F"/>
    <w:rsid w:val="000A785C"/>
    <w:rsid w:val="000C0F58"/>
    <w:rsid w:val="000C521D"/>
    <w:rsid w:val="000C5F6A"/>
    <w:rsid w:val="000D10DB"/>
    <w:rsid w:val="000E5EB5"/>
    <w:rsid w:val="000F35ED"/>
    <w:rsid w:val="000F7505"/>
    <w:rsid w:val="001066CC"/>
    <w:rsid w:val="00107131"/>
    <w:rsid w:val="0010736F"/>
    <w:rsid w:val="001136CF"/>
    <w:rsid w:val="00113F73"/>
    <w:rsid w:val="00121CC2"/>
    <w:rsid w:val="00133EE5"/>
    <w:rsid w:val="0013619C"/>
    <w:rsid w:val="00157768"/>
    <w:rsid w:val="00167A34"/>
    <w:rsid w:val="00171A7E"/>
    <w:rsid w:val="001A7870"/>
    <w:rsid w:val="001B31B5"/>
    <w:rsid w:val="001B3A00"/>
    <w:rsid w:val="001C1B41"/>
    <w:rsid w:val="001C434B"/>
    <w:rsid w:val="001D65EF"/>
    <w:rsid w:val="001E49E7"/>
    <w:rsid w:val="001F7201"/>
    <w:rsid w:val="001F76DC"/>
    <w:rsid w:val="00202F66"/>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87FC9"/>
    <w:rsid w:val="002A0602"/>
    <w:rsid w:val="002A0AAE"/>
    <w:rsid w:val="002A5820"/>
    <w:rsid w:val="002B0C4E"/>
    <w:rsid w:val="002D2B26"/>
    <w:rsid w:val="002D5DFD"/>
    <w:rsid w:val="002D7EA2"/>
    <w:rsid w:val="002E187C"/>
    <w:rsid w:val="00300985"/>
    <w:rsid w:val="00302733"/>
    <w:rsid w:val="00312CCC"/>
    <w:rsid w:val="00314078"/>
    <w:rsid w:val="0031535D"/>
    <w:rsid w:val="003239B8"/>
    <w:rsid w:val="0032427A"/>
    <w:rsid w:val="0033169F"/>
    <w:rsid w:val="00335E12"/>
    <w:rsid w:val="00337DA5"/>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5CDB"/>
    <w:rsid w:val="003A7451"/>
    <w:rsid w:val="003B2204"/>
    <w:rsid w:val="003B5237"/>
    <w:rsid w:val="003B6B4F"/>
    <w:rsid w:val="003B70FB"/>
    <w:rsid w:val="003C093F"/>
    <w:rsid w:val="003C4279"/>
    <w:rsid w:val="003C52C6"/>
    <w:rsid w:val="003C676B"/>
    <w:rsid w:val="003D3BC2"/>
    <w:rsid w:val="003E05E8"/>
    <w:rsid w:val="003E2C82"/>
    <w:rsid w:val="003E6CA1"/>
    <w:rsid w:val="004065A8"/>
    <w:rsid w:val="00414671"/>
    <w:rsid w:val="004165C2"/>
    <w:rsid w:val="0043200A"/>
    <w:rsid w:val="004403A2"/>
    <w:rsid w:val="00440B44"/>
    <w:rsid w:val="00441ECB"/>
    <w:rsid w:val="00445193"/>
    <w:rsid w:val="00447897"/>
    <w:rsid w:val="00447BBF"/>
    <w:rsid w:val="004504B2"/>
    <w:rsid w:val="0045247F"/>
    <w:rsid w:val="00454503"/>
    <w:rsid w:val="00462C1B"/>
    <w:rsid w:val="00467B7E"/>
    <w:rsid w:val="00473BB4"/>
    <w:rsid w:val="00477592"/>
    <w:rsid w:val="00486F1C"/>
    <w:rsid w:val="0049419D"/>
    <w:rsid w:val="004A6A54"/>
    <w:rsid w:val="004C20D2"/>
    <w:rsid w:val="004C2312"/>
    <w:rsid w:val="004C4B62"/>
    <w:rsid w:val="004C54C9"/>
    <w:rsid w:val="004C7F19"/>
    <w:rsid w:val="004D4ABA"/>
    <w:rsid w:val="004D6025"/>
    <w:rsid w:val="004D78C1"/>
    <w:rsid w:val="004E1619"/>
    <w:rsid w:val="004E2649"/>
    <w:rsid w:val="004E7E82"/>
    <w:rsid w:val="004F7707"/>
    <w:rsid w:val="00501399"/>
    <w:rsid w:val="0050633D"/>
    <w:rsid w:val="00507951"/>
    <w:rsid w:val="00507BC4"/>
    <w:rsid w:val="005128E4"/>
    <w:rsid w:val="005133DB"/>
    <w:rsid w:val="0051652D"/>
    <w:rsid w:val="00525560"/>
    <w:rsid w:val="00540097"/>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4DB9"/>
    <w:rsid w:val="005C5CCF"/>
    <w:rsid w:val="005E5869"/>
    <w:rsid w:val="005F0182"/>
    <w:rsid w:val="005F0DAD"/>
    <w:rsid w:val="005F0F33"/>
    <w:rsid w:val="00600DEB"/>
    <w:rsid w:val="0060356B"/>
    <w:rsid w:val="00606CDA"/>
    <w:rsid w:val="00611DA8"/>
    <w:rsid w:val="00613C8A"/>
    <w:rsid w:val="006218E4"/>
    <w:rsid w:val="00622697"/>
    <w:rsid w:val="00623C62"/>
    <w:rsid w:val="00627C9F"/>
    <w:rsid w:val="00627DA9"/>
    <w:rsid w:val="006311E9"/>
    <w:rsid w:val="00632354"/>
    <w:rsid w:val="00642810"/>
    <w:rsid w:val="00652333"/>
    <w:rsid w:val="00655387"/>
    <w:rsid w:val="00663E46"/>
    <w:rsid w:val="006731B9"/>
    <w:rsid w:val="0068009E"/>
    <w:rsid w:val="0069186E"/>
    <w:rsid w:val="00692219"/>
    <w:rsid w:val="006A0DC2"/>
    <w:rsid w:val="006A17D2"/>
    <w:rsid w:val="006A3251"/>
    <w:rsid w:val="006A62CE"/>
    <w:rsid w:val="006A73E6"/>
    <w:rsid w:val="006B2D5C"/>
    <w:rsid w:val="006C4EB1"/>
    <w:rsid w:val="006D421B"/>
    <w:rsid w:val="006E0166"/>
    <w:rsid w:val="006E2CC0"/>
    <w:rsid w:val="006E7B34"/>
    <w:rsid w:val="006F00E7"/>
    <w:rsid w:val="006F084F"/>
    <w:rsid w:val="006F1247"/>
    <w:rsid w:val="006F1C9E"/>
    <w:rsid w:val="006F5ACD"/>
    <w:rsid w:val="00700421"/>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C4150"/>
    <w:rsid w:val="007D2B98"/>
    <w:rsid w:val="007D42C1"/>
    <w:rsid w:val="007D48DE"/>
    <w:rsid w:val="007E21BC"/>
    <w:rsid w:val="007E7C82"/>
    <w:rsid w:val="007F203C"/>
    <w:rsid w:val="007F588D"/>
    <w:rsid w:val="00802833"/>
    <w:rsid w:val="00803F1C"/>
    <w:rsid w:val="0080600E"/>
    <w:rsid w:val="0080687A"/>
    <w:rsid w:val="00813393"/>
    <w:rsid w:val="00817612"/>
    <w:rsid w:val="0082170C"/>
    <w:rsid w:val="00824EB4"/>
    <w:rsid w:val="008338A4"/>
    <w:rsid w:val="00834D49"/>
    <w:rsid w:val="00837C45"/>
    <w:rsid w:val="00844273"/>
    <w:rsid w:val="00844730"/>
    <w:rsid w:val="008457C2"/>
    <w:rsid w:val="00857A82"/>
    <w:rsid w:val="0086535E"/>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E670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29C7"/>
    <w:rsid w:val="0096706E"/>
    <w:rsid w:val="0096709F"/>
    <w:rsid w:val="00974491"/>
    <w:rsid w:val="00975C4E"/>
    <w:rsid w:val="00981FBA"/>
    <w:rsid w:val="00986116"/>
    <w:rsid w:val="0099258D"/>
    <w:rsid w:val="00997BC5"/>
    <w:rsid w:val="009A4F41"/>
    <w:rsid w:val="009B381B"/>
    <w:rsid w:val="009C2076"/>
    <w:rsid w:val="009C42F3"/>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66F3B"/>
    <w:rsid w:val="00A73A26"/>
    <w:rsid w:val="00A74695"/>
    <w:rsid w:val="00A758AA"/>
    <w:rsid w:val="00AA09A2"/>
    <w:rsid w:val="00AA3E9A"/>
    <w:rsid w:val="00AA7996"/>
    <w:rsid w:val="00AC19CB"/>
    <w:rsid w:val="00AD17E6"/>
    <w:rsid w:val="00AE33F9"/>
    <w:rsid w:val="00AE5488"/>
    <w:rsid w:val="00AE6F91"/>
    <w:rsid w:val="00AE7900"/>
    <w:rsid w:val="00AF17EB"/>
    <w:rsid w:val="00AF5571"/>
    <w:rsid w:val="00B07341"/>
    <w:rsid w:val="00B10D88"/>
    <w:rsid w:val="00B15E72"/>
    <w:rsid w:val="00B165FF"/>
    <w:rsid w:val="00B17183"/>
    <w:rsid w:val="00B254A3"/>
    <w:rsid w:val="00B259EF"/>
    <w:rsid w:val="00B30539"/>
    <w:rsid w:val="00B314DB"/>
    <w:rsid w:val="00B361F2"/>
    <w:rsid w:val="00B3718B"/>
    <w:rsid w:val="00B44E2A"/>
    <w:rsid w:val="00B4632A"/>
    <w:rsid w:val="00B46C68"/>
    <w:rsid w:val="00B530F1"/>
    <w:rsid w:val="00B532AA"/>
    <w:rsid w:val="00B60C16"/>
    <w:rsid w:val="00B643B4"/>
    <w:rsid w:val="00B73438"/>
    <w:rsid w:val="00BA276C"/>
    <w:rsid w:val="00BB306F"/>
    <w:rsid w:val="00BC1EE3"/>
    <w:rsid w:val="00BD4B89"/>
    <w:rsid w:val="00BD5460"/>
    <w:rsid w:val="00BD5922"/>
    <w:rsid w:val="00BF02CB"/>
    <w:rsid w:val="00BF561B"/>
    <w:rsid w:val="00BF6FD8"/>
    <w:rsid w:val="00C03680"/>
    <w:rsid w:val="00C05296"/>
    <w:rsid w:val="00C054DF"/>
    <w:rsid w:val="00C21762"/>
    <w:rsid w:val="00C21FEF"/>
    <w:rsid w:val="00C225C4"/>
    <w:rsid w:val="00C24543"/>
    <w:rsid w:val="00C256A2"/>
    <w:rsid w:val="00C26D0A"/>
    <w:rsid w:val="00C450AE"/>
    <w:rsid w:val="00C51515"/>
    <w:rsid w:val="00C53201"/>
    <w:rsid w:val="00C5660B"/>
    <w:rsid w:val="00C57622"/>
    <w:rsid w:val="00C62D06"/>
    <w:rsid w:val="00C66B72"/>
    <w:rsid w:val="00C725B5"/>
    <w:rsid w:val="00C74927"/>
    <w:rsid w:val="00C765B7"/>
    <w:rsid w:val="00C76649"/>
    <w:rsid w:val="00C850FE"/>
    <w:rsid w:val="00C85BEA"/>
    <w:rsid w:val="00C87AC4"/>
    <w:rsid w:val="00C9567A"/>
    <w:rsid w:val="00CB212D"/>
    <w:rsid w:val="00CB2660"/>
    <w:rsid w:val="00CB2E5A"/>
    <w:rsid w:val="00CB5210"/>
    <w:rsid w:val="00CB6A64"/>
    <w:rsid w:val="00CC09CB"/>
    <w:rsid w:val="00CC0AD2"/>
    <w:rsid w:val="00CC5E90"/>
    <w:rsid w:val="00CD046C"/>
    <w:rsid w:val="00CD6478"/>
    <w:rsid w:val="00CE076C"/>
    <w:rsid w:val="00CE2A41"/>
    <w:rsid w:val="00CE5199"/>
    <w:rsid w:val="00CE66D5"/>
    <w:rsid w:val="00CF637A"/>
    <w:rsid w:val="00D046B4"/>
    <w:rsid w:val="00D059DE"/>
    <w:rsid w:val="00D05ABD"/>
    <w:rsid w:val="00D13FCE"/>
    <w:rsid w:val="00D14F60"/>
    <w:rsid w:val="00D306D1"/>
    <w:rsid w:val="00D30800"/>
    <w:rsid w:val="00D34786"/>
    <w:rsid w:val="00D37BFC"/>
    <w:rsid w:val="00D4529C"/>
    <w:rsid w:val="00D45905"/>
    <w:rsid w:val="00D47A8E"/>
    <w:rsid w:val="00D52D14"/>
    <w:rsid w:val="00D57584"/>
    <w:rsid w:val="00D64F28"/>
    <w:rsid w:val="00D712D3"/>
    <w:rsid w:val="00D71422"/>
    <w:rsid w:val="00D72DC6"/>
    <w:rsid w:val="00D7558D"/>
    <w:rsid w:val="00D81471"/>
    <w:rsid w:val="00D81D92"/>
    <w:rsid w:val="00D876F9"/>
    <w:rsid w:val="00DA2715"/>
    <w:rsid w:val="00DA671F"/>
    <w:rsid w:val="00DA6807"/>
    <w:rsid w:val="00DA7B5F"/>
    <w:rsid w:val="00DB42D0"/>
    <w:rsid w:val="00DC11E7"/>
    <w:rsid w:val="00DC7023"/>
    <w:rsid w:val="00DC769A"/>
    <w:rsid w:val="00DD0231"/>
    <w:rsid w:val="00DD26CE"/>
    <w:rsid w:val="00DD3D86"/>
    <w:rsid w:val="00DE02AB"/>
    <w:rsid w:val="00DF05F0"/>
    <w:rsid w:val="00DF1EC4"/>
    <w:rsid w:val="00E0340B"/>
    <w:rsid w:val="00E04A90"/>
    <w:rsid w:val="00E0551F"/>
    <w:rsid w:val="00E069A1"/>
    <w:rsid w:val="00E219C7"/>
    <w:rsid w:val="00E25F59"/>
    <w:rsid w:val="00E2743A"/>
    <w:rsid w:val="00E3358A"/>
    <w:rsid w:val="00E4118C"/>
    <w:rsid w:val="00E43157"/>
    <w:rsid w:val="00E44035"/>
    <w:rsid w:val="00E461CE"/>
    <w:rsid w:val="00E47256"/>
    <w:rsid w:val="00E50BE8"/>
    <w:rsid w:val="00E62BDD"/>
    <w:rsid w:val="00E6386B"/>
    <w:rsid w:val="00E720CA"/>
    <w:rsid w:val="00E75E2E"/>
    <w:rsid w:val="00E84EB5"/>
    <w:rsid w:val="00E85662"/>
    <w:rsid w:val="00E8734F"/>
    <w:rsid w:val="00E8789F"/>
    <w:rsid w:val="00E91F8C"/>
    <w:rsid w:val="00E97B71"/>
    <w:rsid w:val="00EA00F0"/>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66F92"/>
    <w:rsid w:val="00F717C2"/>
    <w:rsid w:val="00F730D3"/>
    <w:rsid w:val="00F81395"/>
    <w:rsid w:val="00F81BB8"/>
    <w:rsid w:val="00F917D1"/>
    <w:rsid w:val="00F9653B"/>
    <w:rsid w:val="00FB62CF"/>
    <w:rsid w:val="00FC6791"/>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 w:type="paragraph" w:styleId="HTMLPreformatted">
    <w:name w:val="HTML Preformatted"/>
    <w:basedOn w:val="Normal"/>
    <w:link w:val="HTMLPreformattedChar"/>
    <w:uiPriority w:val="99"/>
    <w:semiHidden/>
    <w:unhideWhenUsed/>
    <w:rsid w:val="00D5758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pt-BR" w:eastAsia="pt-BR"/>
    </w:rPr>
  </w:style>
  <w:style w:type="character" w:customStyle="1" w:styleId="HTMLPreformattedChar">
    <w:name w:val="HTML Preformatted Char"/>
    <w:basedOn w:val="DefaultParagraphFont"/>
    <w:link w:val="HTMLPreformatted"/>
    <w:uiPriority w:val="99"/>
    <w:semiHidden/>
    <w:rsid w:val="00D57584"/>
    <w:rPr>
      <w:rFonts w:ascii="Courier New" w:eastAsia="Times New Roman" w:hAnsi="Courier New" w:cs="Courier New"/>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87893539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371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7171D"/>
    <w:rsid w:val="00394049"/>
    <w:rsid w:val="004F2DF8"/>
    <w:rsid w:val="005342BA"/>
    <w:rsid w:val="005C0C44"/>
    <w:rsid w:val="005F1A2F"/>
    <w:rsid w:val="0060264A"/>
    <w:rsid w:val="00646803"/>
    <w:rsid w:val="0067227E"/>
    <w:rsid w:val="007200C3"/>
    <w:rsid w:val="0073427B"/>
    <w:rsid w:val="00782223"/>
    <w:rsid w:val="0095435A"/>
    <w:rsid w:val="009A261B"/>
    <w:rsid w:val="009A52DD"/>
    <w:rsid w:val="009E15C8"/>
    <w:rsid w:val="009E7D65"/>
    <w:rsid w:val="00A56429"/>
    <w:rsid w:val="00AC0348"/>
    <w:rsid w:val="00AC15A4"/>
    <w:rsid w:val="00B0336C"/>
    <w:rsid w:val="00B248A9"/>
    <w:rsid w:val="00C05E53"/>
    <w:rsid w:val="00D223B1"/>
    <w:rsid w:val="00D435D1"/>
    <w:rsid w:val="00DE7283"/>
    <w:rsid w:val="00E114B9"/>
    <w:rsid w:val="00E32515"/>
    <w:rsid w:val="00EF1061"/>
    <w:rsid w:val="00F00D2F"/>
    <w:rsid w:val="00F128DF"/>
    <w:rsid w:val="00F3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44B1-C21F-48AF-91D2-EB851667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8944</Characters>
  <Application>Microsoft Office Word</Application>
  <DocSecurity>0</DocSecurity>
  <Lines>182</Lines>
  <Paragraphs>58</Paragraphs>
  <ScaleCrop>false</ScaleCrop>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231/19</dc:title>
  <dc:creator/>
  <cp:lastModifiedBy/>
  <cp:revision>1</cp:revision>
  <dcterms:created xsi:type="dcterms:W3CDTF">2020-05-18T14:00:00Z</dcterms:created>
  <dcterms:modified xsi:type="dcterms:W3CDTF">2020-05-18T14:00:00Z</dcterms:modified>
</cp:coreProperties>
</file>