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D96E8B5" wp14:editId="516A4A4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264C30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5B0A6F6" wp14:editId="1502206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BA" w:rsidRDefault="00C46ABA" w:rsidP="00AE5488">
                            <w:r>
                              <w:rPr>
                                <w:noProof/>
                              </w:rPr>
                              <w:drawing>
                                <wp:inline distT="0" distB="0" distL="0" distR="0" wp14:anchorId="6509E9FB" wp14:editId="486220F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B0A6F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46ABA" w:rsidRDefault="00C46ABA" w:rsidP="00AE5488">
                      <w:r>
                        <w:rPr>
                          <w:noProof/>
                        </w:rPr>
                        <w:drawing>
                          <wp:inline distT="0" distB="0" distL="0" distR="0" wp14:anchorId="6509E9FB" wp14:editId="486220F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bookmarkStart w:id="0" w:name="_GoBack"/>
    </w:p>
    <w:bookmarkEnd w:id="0"/>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9A144F" w:rsidP="00040C3A">
      <w:pPr>
        <w:tabs>
          <w:tab w:val="center" w:pos="5400"/>
        </w:tabs>
        <w:suppressAutoHyphens/>
        <w:jc w:val="center"/>
        <w:rPr>
          <w:rFonts w:asciiTheme="majorHAnsi" w:hAnsiTheme="majorHAnsi"/>
          <w:sz w:val="22"/>
          <w:szCs w:val="22"/>
          <w:lang w:val="es-ES_tradnl"/>
        </w:rPr>
      </w:pPr>
      <w:r w:rsidRPr="00B8169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DA20522" wp14:editId="1BABAA8B">
                <wp:simplePos x="0" y="0"/>
                <wp:positionH relativeFrom="column">
                  <wp:posOffset>1371600</wp:posOffset>
                </wp:positionH>
                <wp:positionV relativeFrom="paragraph">
                  <wp:posOffset>42545</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BA" w:rsidRPr="004E2649" w:rsidRDefault="00C46ABA" w:rsidP="009A144F">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82B91">
                              <w:rPr>
                                <w:rFonts w:asciiTheme="majorHAnsi" w:hAnsiTheme="majorHAnsi" w:cs="Arial"/>
                                <w:b/>
                                <w:bCs/>
                                <w:color w:val="0D0D0D" w:themeColor="text1" w:themeTint="F2"/>
                                <w:sz w:val="36"/>
                                <w:szCs w:val="22"/>
                                <w:lang w:val="es-ES_tradnl"/>
                              </w:rPr>
                              <w:t xml:space="preserve"> 359</w:t>
                            </w:r>
                            <w:r>
                              <w:rPr>
                                <w:rFonts w:asciiTheme="majorHAnsi" w:hAnsiTheme="majorHAnsi" w:cs="Arial"/>
                                <w:b/>
                                <w:bCs/>
                                <w:color w:val="0D0D0D" w:themeColor="text1" w:themeTint="F2"/>
                                <w:sz w:val="36"/>
                                <w:szCs w:val="22"/>
                                <w:lang w:val="es-ES_tradnl"/>
                              </w:rPr>
                              <w:t>/20</w:t>
                            </w:r>
                          </w:p>
                          <w:p w:rsidR="00C46ABA" w:rsidRDefault="00C46ABA" w:rsidP="009A144F">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1020-11</w:t>
                            </w:r>
                            <w:r w:rsidRPr="004E2649">
                              <w:rPr>
                                <w:rFonts w:asciiTheme="majorHAnsi" w:hAnsiTheme="majorHAnsi" w:cs="Arial"/>
                                <w:b/>
                                <w:color w:val="0D0D0D" w:themeColor="text1" w:themeTint="F2"/>
                                <w:sz w:val="36"/>
                                <w:szCs w:val="22"/>
                                <w:lang w:val="es-ES_tradnl"/>
                              </w:rPr>
                              <w:t xml:space="preserve"> </w:t>
                            </w:r>
                          </w:p>
                          <w:p w:rsidR="00C46ABA" w:rsidRPr="0010736F" w:rsidRDefault="00C46ABA" w:rsidP="009A144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C46ABA" w:rsidRPr="0010736F" w:rsidRDefault="00C46ABA" w:rsidP="009A144F">
                            <w:pPr>
                              <w:spacing w:line="276" w:lineRule="auto"/>
                              <w:rPr>
                                <w:rFonts w:asciiTheme="majorHAnsi" w:hAnsiTheme="majorHAnsi" w:cs="Arial"/>
                                <w:color w:val="0D0D0D" w:themeColor="text1" w:themeTint="F2"/>
                                <w:szCs w:val="22"/>
                                <w:lang w:val="es-ES_tradnl"/>
                              </w:rPr>
                            </w:pPr>
                            <w:bookmarkStart w:id="1" w:name="_ftnref1"/>
                          </w:p>
                          <w:p w:rsidR="00C46ABA" w:rsidRPr="0010736F" w:rsidRDefault="00C46ABA" w:rsidP="009A144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ALEJANDRA VILLEGAS</w:t>
                            </w:r>
                          </w:p>
                          <w:bookmarkEnd w:id="1"/>
                          <w:p w:rsidR="00C46ABA" w:rsidRPr="0010736F" w:rsidRDefault="00C46ABA" w:rsidP="009A144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C46ABA" w:rsidRPr="00AE5488" w:rsidRDefault="00C46ABA" w:rsidP="009A144F">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A20522" id="Text Box 5" o:spid="_x0000_s1027" type="#_x0000_t202" style="position:absolute;left:0;text-align:left;margin-left:108pt;margin-top:3.35pt;width:349.7pt;height:17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" filled="f" stroked="f" strokeweight=".5pt">
                <v:textbox>
                  <w:txbxContent>
                    <w:p w:rsidR="00C46ABA" w:rsidRPr="004E2649" w:rsidRDefault="00C46ABA" w:rsidP="009A144F">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82B91">
                        <w:rPr>
                          <w:rFonts w:asciiTheme="majorHAnsi" w:hAnsiTheme="majorHAnsi" w:cs="Arial"/>
                          <w:b/>
                          <w:bCs/>
                          <w:color w:val="0D0D0D" w:themeColor="text1" w:themeTint="F2"/>
                          <w:sz w:val="36"/>
                          <w:szCs w:val="22"/>
                          <w:lang w:val="es-ES_tradnl"/>
                        </w:rPr>
                        <w:t xml:space="preserve"> 359</w:t>
                      </w:r>
                      <w:r>
                        <w:rPr>
                          <w:rFonts w:asciiTheme="majorHAnsi" w:hAnsiTheme="majorHAnsi" w:cs="Arial"/>
                          <w:b/>
                          <w:bCs/>
                          <w:color w:val="0D0D0D" w:themeColor="text1" w:themeTint="F2"/>
                          <w:sz w:val="36"/>
                          <w:szCs w:val="22"/>
                          <w:lang w:val="es-ES_tradnl"/>
                        </w:rPr>
                        <w:t>/20</w:t>
                      </w:r>
                    </w:p>
                    <w:p w:rsidR="00C46ABA" w:rsidRDefault="00C46ABA" w:rsidP="009A144F">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1020-11</w:t>
                      </w:r>
                      <w:r w:rsidRPr="004E2649">
                        <w:rPr>
                          <w:rFonts w:asciiTheme="majorHAnsi" w:hAnsiTheme="majorHAnsi" w:cs="Arial"/>
                          <w:b/>
                          <w:color w:val="0D0D0D" w:themeColor="text1" w:themeTint="F2"/>
                          <w:sz w:val="36"/>
                          <w:szCs w:val="22"/>
                          <w:lang w:val="es-ES_tradnl"/>
                        </w:rPr>
                        <w:t xml:space="preserve"> </w:t>
                      </w:r>
                    </w:p>
                    <w:p w:rsidR="00C46ABA" w:rsidRPr="0010736F" w:rsidRDefault="00C46ABA" w:rsidP="009A144F">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rsidR="00C46ABA" w:rsidRPr="0010736F" w:rsidRDefault="00C46ABA" w:rsidP="009A144F">
                      <w:pPr>
                        <w:spacing w:line="276" w:lineRule="auto"/>
                        <w:rPr>
                          <w:rFonts w:asciiTheme="majorHAnsi" w:hAnsiTheme="majorHAnsi" w:cs="Arial"/>
                          <w:color w:val="0D0D0D" w:themeColor="text1" w:themeTint="F2"/>
                          <w:szCs w:val="22"/>
                          <w:lang w:val="es-ES_tradnl"/>
                        </w:rPr>
                      </w:pPr>
                      <w:bookmarkStart w:id="1" w:name="_ftnref1"/>
                    </w:p>
                    <w:p w:rsidR="00C46ABA" w:rsidRPr="0010736F" w:rsidRDefault="00C46ABA" w:rsidP="009A144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ALEJANDRA VILLEGAS</w:t>
                      </w:r>
                    </w:p>
                    <w:bookmarkEnd w:id="1"/>
                    <w:p w:rsidR="00C46ABA" w:rsidRPr="0010736F" w:rsidRDefault="00C46ABA" w:rsidP="009A144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C46ABA" w:rsidRPr="00AE5488" w:rsidRDefault="00C46ABA" w:rsidP="009A144F">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3BA4B06" wp14:editId="3CDCE55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BA" w:rsidRPr="00882B91" w:rsidRDefault="00882B91" w:rsidP="007A5817">
                            <w:pPr>
                              <w:spacing w:line="276" w:lineRule="auto"/>
                              <w:jc w:val="right"/>
                              <w:rPr>
                                <w:rFonts w:asciiTheme="minorHAnsi" w:hAnsiTheme="minorHAnsi"/>
                                <w:color w:val="FFFFFF" w:themeColor="background1"/>
                                <w:sz w:val="22"/>
                                <w:lang w:val="es-419"/>
                              </w:rPr>
                            </w:pPr>
                            <w:r w:rsidRPr="00882B91">
                              <w:rPr>
                                <w:rFonts w:asciiTheme="minorHAnsi" w:hAnsiTheme="minorHAnsi"/>
                                <w:color w:val="FFFFFF" w:themeColor="background1"/>
                                <w:sz w:val="22"/>
                                <w:lang w:val="es-419"/>
                              </w:rPr>
                              <w:t>OEA/</w:t>
                            </w:r>
                            <w:proofErr w:type="spellStart"/>
                            <w:r w:rsidRPr="00882B91">
                              <w:rPr>
                                <w:rFonts w:asciiTheme="minorHAnsi" w:hAnsiTheme="minorHAnsi"/>
                                <w:color w:val="FFFFFF" w:themeColor="background1"/>
                                <w:sz w:val="22"/>
                                <w:lang w:val="es-419"/>
                              </w:rPr>
                              <w:t>Ser.L</w:t>
                            </w:r>
                            <w:proofErr w:type="spellEnd"/>
                            <w:r w:rsidRPr="00882B91">
                              <w:rPr>
                                <w:rFonts w:asciiTheme="minorHAnsi" w:hAnsiTheme="minorHAnsi"/>
                                <w:color w:val="FFFFFF" w:themeColor="background1"/>
                                <w:sz w:val="22"/>
                                <w:lang w:val="es-419"/>
                              </w:rPr>
                              <w:t>/V/II</w:t>
                            </w:r>
                          </w:p>
                          <w:p w:rsidR="00C46ABA" w:rsidRPr="00882B91" w:rsidRDefault="00882B91" w:rsidP="007A5817">
                            <w:pPr>
                              <w:spacing w:line="276" w:lineRule="auto"/>
                              <w:jc w:val="right"/>
                              <w:rPr>
                                <w:rFonts w:asciiTheme="minorHAnsi" w:hAnsiTheme="minorHAnsi"/>
                                <w:color w:val="FFFFFF" w:themeColor="background1"/>
                                <w:sz w:val="22"/>
                                <w:lang w:val="es-419"/>
                              </w:rPr>
                            </w:pPr>
                            <w:r w:rsidRPr="00882B91">
                              <w:rPr>
                                <w:rFonts w:asciiTheme="minorHAnsi" w:hAnsiTheme="minorHAnsi"/>
                                <w:color w:val="FFFFFF" w:themeColor="background1"/>
                                <w:sz w:val="22"/>
                                <w:lang w:val="es-419"/>
                              </w:rPr>
                              <w:t>Doc. 3</w:t>
                            </w:r>
                            <w:r>
                              <w:rPr>
                                <w:rFonts w:asciiTheme="minorHAnsi" w:hAnsiTheme="minorHAnsi"/>
                                <w:color w:val="FFFFFF" w:themeColor="background1"/>
                                <w:sz w:val="22"/>
                                <w:lang w:val="es-419"/>
                              </w:rPr>
                              <w:t>77</w:t>
                            </w:r>
                          </w:p>
                          <w:p w:rsidR="00C46ABA" w:rsidRPr="00C25ADB" w:rsidRDefault="00882B9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AE7090" w:rsidRPr="00C25ADB">
                              <w:rPr>
                                <w:rFonts w:asciiTheme="minorHAnsi" w:hAnsiTheme="minorHAnsi"/>
                                <w:color w:val="FFFFFF" w:themeColor="background1"/>
                                <w:sz w:val="22"/>
                                <w:lang w:val="es-PA"/>
                              </w:rPr>
                              <w:t xml:space="preserve"> 2020</w:t>
                            </w:r>
                          </w:p>
                          <w:p w:rsidR="00C46ABA" w:rsidRPr="00C25ADB" w:rsidRDefault="00C46AB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BA4B0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46ABA" w:rsidRPr="00882B91" w:rsidRDefault="00882B91" w:rsidP="007A5817">
                      <w:pPr>
                        <w:spacing w:line="276" w:lineRule="auto"/>
                        <w:jc w:val="right"/>
                        <w:rPr>
                          <w:rFonts w:asciiTheme="minorHAnsi" w:hAnsiTheme="minorHAnsi"/>
                          <w:color w:val="FFFFFF" w:themeColor="background1"/>
                          <w:sz w:val="22"/>
                          <w:lang w:val="es-419"/>
                        </w:rPr>
                      </w:pPr>
                      <w:r w:rsidRPr="00882B91">
                        <w:rPr>
                          <w:rFonts w:asciiTheme="minorHAnsi" w:hAnsiTheme="minorHAnsi"/>
                          <w:color w:val="FFFFFF" w:themeColor="background1"/>
                          <w:sz w:val="22"/>
                          <w:lang w:val="es-419"/>
                        </w:rPr>
                        <w:t>OEA/Ser.L/V/II</w:t>
                      </w:r>
                    </w:p>
                    <w:p w:rsidR="00C46ABA" w:rsidRPr="00882B91" w:rsidRDefault="00882B91" w:rsidP="007A5817">
                      <w:pPr>
                        <w:spacing w:line="276" w:lineRule="auto"/>
                        <w:jc w:val="right"/>
                        <w:rPr>
                          <w:rFonts w:asciiTheme="minorHAnsi" w:hAnsiTheme="minorHAnsi"/>
                          <w:color w:val="FFFFFF" w:themeColor="background1"/>
                          <w:sz w:val="22"/>
                          <w:lang w:val="es-419"/>
                        </w:rPr>
                      </w:pPr>
                      <w:r w:rsidRPr="00882B91">
                        <w:rPr>
                          <w:rFonts w:asciiTheme="minorHAnsi" w:hAnsiTheme="minorHAnsi"/>
                          <w:color w:val="FFFFFF" w:themeColor="background1"/>
                          <w:sz w:val="22"/>
                          <w:lang w:val="es-419"/>
                        </w:rPr>
                        <w:t>Doc. 3</w:t>
                      </w:r>
                      <w:r>
                        <w:rPr>
                          <w:rFonts w:asciiTheme="minorHAnsi" w:hAnsiTheme="minorHAnsi"/>
                          <w:color w:val="FFFFFF" w:themeColor="background1"/>
                          <w:sz w:val="22"/>
                          <w:lang w:val="es-419"/>
                        </w:rPr>
                        <w:t>77</w:t>
                      </w:r>
                    </w:p>
                    <w:p w:rsidR="00C46ABA" w:rsidRPr="00C25ADB" w:rsidRDefault="00882B9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diciembre</w:t>
                      </w:r>
                      <w:r w:rsidR="00AE7090" w:rsidRPr="00C25ADB">
                        <w:rPr>
                          <w:rFonts w:asciiTheme="minorHAnsi" w:hAnsiTheme="minorHAnsi"/>
                          <w:color w:val="FFFFFF" w:themeColor="background1"/>
                          <w:sz w:val="22"/>
                          <w:lang w:val="es-PA"/>
                        </w:rPr>
                        <w:t xml:space="preserve"> 2020</w:t>
                      </w:r>
                    </w:p>
                    <w:p w:rsidR="00C46ABA" w:rsidRPr="00C25ADB" w:rsidRDefault="00C46AB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15640DA" wp14:editId="6502984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BA" w:rsidRPr="00890650" w:rsidRDefault="00C46AB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82B91">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882B9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C0A1A">
                              <w:rPr>
                                <w:rFonts w:asciiTheme="majorHAnsi" w:hAnsiTheme="majorHAnsi"/>
                                <w:color w:val="0D0D0D" w:themeColor="text1" w:themeTint="F2"/>
                                <w:sz w:val="18"/>
                                <w:szCs w:val="22"/>
                                <w:lang w:val="es-ES"/>
                              </w:rPr>
                              <w:t>.</w:t>
                            </w:r>
                          </w:p>
                          <w:p w:rsidR="00C46ABA" w:rsidRPr="007A5817" w:rsidRDefault="00C46ABA" w:rsidP="00247403">
                            <w:pPr>
                              <w:tabs>
                                <w:tab w:val="center" w:pos="5400"/>
                              </w:tabs>
                              <w:suppressAutoHyphens/>
                              <w:spacing w:before="60"/>
                              <w:rPr>
                                <w:rFonts w:asciiTheme="minorHAnsi" w:hAnsiTheme="minorHAnsi" w:cs="Univers"/>
                                <w:color w:val="0D0D0D" w:themeColor="text1" w:themeTint="F2"/>
                                <w:sz w:val="20"/>
                                <w:szCs w:val="20"/>
                                <w:lang w:val="es-ES"/>
                              </w:rPr>
                            </w:pPr>
                          </w:p>
                          <w:p w:rsidR="00C46ABA" w:rsidRPr="00167A34" w:rsidRDefault="00C46AB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640D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46ABA" w:rsidRPr="00890650" w:rsidRDefault="00C46AB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82B91">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882B91">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C0A1A">
                        <w:rPr>
                          <w:rFonts w:asciiTheme="majorHAnsi" w:hAnsiTheme="majorHAnsi"/>
                          <w:color w:val="0D0D0D" w:themeColor="text1" w:themeTint="F2"/>
                          <w:sz w:val="18"/>
                          <w:szCs w:val="22"/>
                          <w:lang w:val="es-ES"/>
                        </w:rPr>
                        <w:t>.</w:t>
                      </w:r>
                    </w:p>
                    <w:p w:rsidR="00C46ABA" w:rsidRPr="007A5817" w:rsidRDefault="00C46ABA" w:rsidP="00247403">
                      <w:pPr>
                        <w:tabs>
                          <w:tab w:val="center" w:pos="5400"/>
                        </w:tabs>
                        <w:suppressAutoHyphens/>
                        <w:spacing w:before="60"/>
                        <w:rPr>
                          <w:rFonts w:asciiTheme="minorHAnsi" w:hAnsiTheme="minorHAnsi" w:cs="Univers"/>
                          <w:color w:val="0D0D0D" w:themeColor="text1" w:themeTint="F2"/>
                          <w:sz w:val="20"/>
                          <w:szCs w:val="20"/>
                          <w:lang w:val="es-ES"/>
                        </w:rPr>
                      </w:pPr>
                    </w:p>
                    <w:p w:rsidR="00C46ABA" w:rsidRPr="00167A34" w:rsidRDefault="00C46AB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9A927" wp14:editId="34FB00A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BA" w:rsidRPr="007B05C4" w:rsidRDefault="00C46A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82B91" w:rsidRPr="00882B91">
                              <w:rPr>
                                <w:rFonts w:asciiTheme="majorHAnsi" w:hAnsiTheme="majorHAnsi"/>
                                <w:color w:val="595959" w:themeColor="text1" w:themeTint="A6"/>
                                <w:sz w:val="18"/>
                                <w:szCs w:val="18"/>
                                <w:lang w:val="pt-BR"/>
                              </w:rPr>
                              <w:t>359</w:t>
                            </w:r>
                            <w:r w:rsidRPr="00882B91">
                              <w:rPr>
                                <w:rFonts w:asciiTheme="majorHAnsi" w:hAnsiTheme="majorHAnsi"/>
                                <w:color w:val="595959" w:themeColor="text1" w:themeTint="A6"/>
                                <w:sz w:val="18"/>
                                <w:szCs w:val="18"/>
                                <w:lang w:val="pt-BR"/>
                              </w:rPr>
                              <w:t>/</w:t>
                            </w:r>
                            <w:r w:rsidR="00882B91" w:rsidRPr="00882B91">
                              <w:rPr>
                                <w:rFonts w:asciiTheme="majorHAnsi" w:hAnsiTheme="majorHAnsi"/>
                                <w:color w:val="595959" w:themeColor="text1" w:themeTint="A6"/>
                                <w:sz w:val="18"/>
                                <w:szCs w:val="18"/>
                                <w:lang w:val="pt-BR"/>
                              </w:rPr>
                              <w:t>20</w:t>
                            </w:r>
                            <w:r w:rsidRPr="00882B9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882B91">
                              <w:rPr>
                                <w:rFonts w:asciiTheme="majorHAnsi" w:hAnsiTheme="majorHAnsi"/>
                                <w:color w:val="595959" w:themeColor="text1" w:themeTint="A6"/>
                                <w:sz w:val="18"/>
                                <w:szCs w:val="18"/>
                                <w:lang w:val="es-ES"/>
                              </w:rPr>
                              <w:t>1020</w:t>
                            </w:r>
                            <w:r>
                              <w:rPr>
                                <w:rFonts w:asciiTheme="majorHAnsi" w:hAnsiTheme="majorHAnsi"/>
                                <w:color w:val="595959" w:themeColor="text1" w:themeTint="A6"/>
                                <w:sz w:val="18"/>
                                <w:szCs w:val="18"/>
                                <w:lang w:val="es-ES"/>
                              </w:rPr>
                              <w:t>-</w:t>
                            </w:r>
                            <w:r w:rsidR="00882B91">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82B91">
                              <w:rPr>
                                <w:rFonts w:asciiTheme="majorHAnsi" w:hAnsiTheme="majorHAnsi"/>
                                <w:color w:val="595959" w:themeColor="text1" w:themeTint="A6"/>
                                <w:sz w:val="18"/>
                                <w:szCs w:val="18"/>
                                <w:lang w:val="es-ES_tradnl"/>
                              </w:rPr>
                              <w:t>María Alejandra Villegas</w:t>
                            </w:r>
                            <w:r w:rsidRPr="00890650">
                              <w:rPr>
                                <w:rFonts w:asciiTheme="majorHAnsi" w:hAnsiTheme="majorHAnsi"/>
                                <w:color w:val="595959" w:themeColor="text1" w:themeTint="A6"/>
                                <w:sz w:val="18"/>
                                <w:szCs w:val="18"/>
                                <w:lang w:val="es-ES_tradnl"/>
                              </w:rPr>
                              <w:t xml:space="preserve">. </w:t>
                            </w:r>
                            <w:r w:rsidR="00882B9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82B91">
                              <w:rPr>
                                <w:rFonts w:asciiTheme="majorHAnsi" w:hAnsiTheme="majorHAnsi"/>
                                <w:color w:val="595959" w:themeColor="text1" w:themeTint="A6"/>
                                <w:sz w:val="18"/>
                                <w:szCs w:val="18"/>
                                <w:lang w:val="es-ES"/>
                              </w:rPr>
                              <w:t>14 de diciembre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99A92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46ABA" w:rsidRPr="007B05C4" w:rsidRDefault="00C46A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82B91" w:rsidRPr="00882B91">
                        <w:rPr>
                          <w:rFonts w:asciiTheme="majorHAnsi" w:hAnsiTheme="majorHAnsi"/>
                          <w:color w:val="595959" w:themeColor="text1" w:themeTint="A6"/>
                          <w:sz w:val="18"/>
                          <w:szCs w:val="18"/>
                          <w:lang w:val="pt-BR"/>
                        </w:rPr>
                        <w:t>359</w:t>
                      </w:r>
                      <w:r w:rsidRPr="00882B91">
                        <w:rPr>
                          <w:rFonts w:asciiTheme="majorHAnsi" w:hAnsiTheme="majorHAnsi"/>
                          <w:color w:val="595959" w:themeColor="text1" w:themeTint="A6"/>
                          <w:sz w:val="18"/>
                          <w:szCs w:val="18"/>
                          <w:lang w:val="pt-BR"/>
                        </w:rPr>
                        <w:t>/</w:t>
                      </w:r>
                      <w:r w:rsidR="00882B91" w:rsidRPr="00882B91">
                        <w:rPr>
                          <w:rFonts w:asciiTheme="majorHAnsi" w:hAnsiTheme="majorHAnsi"/>
                          <w:color w:val="595959" w:themeColor="text1" w:themeTint="A6"/>
                          <w:sz w:val="18"/>
                          <w:szCs w:val="18"/>
                          <w:lang w:val="pt-BR"/>
                        </w:rPr>
                        <w:t>20</w:t>
                      </w:r>
                      <w:r w:rsidRPr="00882B91">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882B91">
                        <w:rPr>
                          <w:rFonts w:asciiTheme="majorHAnsi" w:hAnsiTheme="majorHAnsi"/>
                          <w:color w:val="595959" w:themeColor="text1" w:themeTint="A6"/>
                          <w:sz w:val="18"/>
                          <w:szCs w:val="18"/>
                          <w:lang w:val="es-ES"/>
                        </w:rPr>
                        <w:t>1020</w:t>
                      </w:r>
                      <w:r>
                        <w:rPr>
                          <w:rFonts w:asciiTheme="majorHAnsi" w:hAnsiTheme="majorHAnsi"/>
                          <w:color w:val="595959" w:themeColor="text1" w:themeTint="A6"/>
                          <w:sz w:val="18"/>
                          <w:szCs w:val="18"/>
                          <w:lang w:val="es-ES"/>
                        </w:rPr>
                        <w:t>-</w:t>
                      </w:r>
                      <w:r w:rsidR="00882B91">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82B91">
                        <w:rPr>
                          <w:rFonts w:asciiTheme="majorHAnsi" w:hAnsiTheme="majorHAnsi"/>
                          <w:color w:val="595959" w:themeColor="text1" w:themeTint="A6"/>
                          <w:sz w:val="18"/>
                          <w:szCs w:val="18"/>
                          <w:lang w:val="es-ES_tradnl"/>
                        </w:rPr>
                        <w:t>María Alejandra Villegas</w:t>
                      </w:r>
                      <w:r w:rsidRPr="00890650">
                        <w:rPr>
                          <w:rFonts w:asciiTheme="majorHAnsi" w:hAnsiTheme="majorHAnsi"/>
                          <w:color w:val="595959" w:themeColor="text1" w:themeTint="A6"/>
                          <w:sz w:val="18"/>
                          <w:szCs w:val="18"/>
                          <w:lang w:val="es-ES_tradnl"/>
                        </w:rPr>
                        <w:t xml:space="preserve">. </w:t>
                      </w:r>
                      <w:r w:rsidR="00882B9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82B91">
                        <w:rPr>
                          <w:rFonts w:asciiTheme="majorHAnsi" w:hAnsiTheme="majorHAnsi"/>
                          <w:color w:val="595959" w:themeColor="text1" w:themeTint="A6"/>
                          <w:sz w:val="18"/>
                          <w:szCs w:val="18"/>
                          <w:lang w:val="es-ES"/>
                        </w:rPr>
                        <w:t>14 de diciembre de 2020</w:t>
                      </w:r>
                      <w:bookmarkStart w:id="3" w:name="_GoBack"/>
                      <w:bookmarkEnd w:id="3"/>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C55DFF1" wp14:editId="257CD40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BA" w:rsidRPr="00D72DC6" w:rsidRDefault="00CC0A1A"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DFF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46ABA" w:rsidRPr="00D72DC6" w:rsidRDefault="00CC0A1A" w:rsidP="00F02AD1">
                      <w:pPr>
                        <w:rPr>
                          <w:color w:val="FFFFFF" w:themeColor="background1"/>
                          <w14:textFill>
                            <w14:noFill/>
                          </w14:textFill>
                        </w:rPr>
                      </w:pPr>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0DEE237" wp14:editId="4199315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ABA" w:rsidRPr="004B7EB6" w:rsidRDefault="00C46A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DEE23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46ABA" w:rsidRPr="004B7EB6" w:rsidRDefault="00C46A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9A144F" w:rsidRPr="009A144F" w:rsidRDefault="003239B8" w:rsidP="009A144F">
      <w:pPr>
        <w:pStyle w:val="ListParagraph"/>
        <w:numPr>
          <w:ilvl w:val="0"/>
          <w:numId w:val="59"/>
        </w:numPr>
        <w:spacing w:after="240"/>
        <w:jc w:val="both"/>
        <w:rPr>
          <w:rFonts w:asciiTheme="majorHAnsi" w:hAnsiTheme="majorHAnsi"/>
          <w:b/>
          <w:bCs/>
          <w:sz w:val="20"/>
          <w:szCs w:val="20"/>
          <w:lang w:val="es-ES"/>
        </w:rPr>
      </w:pPr>
      <w:r w:rsidRPr="009A144F">
        <w:rPr>
          <w:rFonts w:asciiTheme="majorHAnsi" w:hAnsiTheme="majorHAnsi"/>
          <w:b/>
          <w:bCs/>
          <w:sz w:val="20"/>
          <w:szCs w:val="20"/>
          <w:lang w:val="es-ES"/>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A144F" w:rsidRPr="00B81692" w:rsidTr="00A036EC">
        <w:tc>
          <w:tcPr>
            <w:tcW w:w="3600" w:type="dxa"/>
            <w:tcBorders>
              <w:top w:val="single" w:sz="4" w:space="0" w:color="auto"/>
              <w:bottom w:val="single" w:sz="6" w:space="0" w:color="auto"/>
            </w:tcBorders>
            <w:shd w:val="clear" w:color="auto" w:fill="386294"/>
            <w:vAlign w:val="center"/>
          </w:tcPr>
          <w:p w:rsidR="009A144F" w:rsidRPr="005F4DE2" w:rsidRDefault="009A144F" w:rsidP="00A036EC">
            <w:pPr>
              <w:jc w:val="center"/>
              <w:rPr>
                <w:rFonts w:asciiTheme="majorHAnsi" w:hAnsiTheme="majorHAnsi"/>
                <w:b/>
                <w:bCs/>
                <w:color w:val="FFFFFF" w:themeColor="background1"/>
                <w:sz w:val="20"/>
                <w:szCs w:val="20"/>
                <w:lang w:val="es-ES_tradnl"/>
              </w:rPr>
            </w:pPr>
            <w:r w:rsidRPr="005F4DE2">
              <w:rPr>
                <w:rFonts w:asciiTheme="majorHAnsi" w:hAnsiTheme="majorHAnsi"/>
                <w:b/>
                <w:bCs/>
                <w:color w:val="FFFFFF" w:themeColor="background1"/>
                <w:sz w:val="20"/>
                <w:szCs w:val="20"/>
                <w:lang w:val="es-ES_tradnl"/>
              </w:rPr>
              <w:t>Parte peticionaria:</w:t>
            </w:r>
          </w:p>
        </w:tc>
        <w:tc>
          <w:tcPr>
            <w:tcW w:w="5760" w:type="dxa"/>
            <w:vAlign w:val="center"/>
          </w:tcPr>
          <w:p w:rsidR="009A144F" w:rsidRPr="00B81692" w:rsidRDefault="009A144F" w:rsidP="00A036EC">
            <w:pPr>
              <w:jc w:val="both"/>
              <w:rPr>
                <w:rFonts w:asciiTheme="majorHAnsi" w:hAnsiTheme="majorHAnsi"/>
                <w:bCs/>
                <w:sz w:val="20"/>
                <w:szCs w:val="20"/>
                <w:lang w:val="es-ES_tradnl"/>
              </w:rPr>
            </w:pPr>
            <w:r w:rsidRPr="00B81692">
              <w:rPr>
                <w:rFonts w:asciiTheme="majorHAnsi" w:hAnsiTheme="majorHAnsi"/>
                <w:bCs/>
                <w:sz w:val="20"/>
                <w:szCs w:val="20"/>
                <w:lang w:val="es-ES_tradnl"/>
              </w:rPr>
              <w:t>Carlos Valera Álvarez</w:t>
            </w:r>
          </w:p>
        </w:tc>
      </w:tr>
      <w:tr w:rsidR="009A144F" w:rsidRPr="00B81692" w:rsidTr="00A036EC">
        <w:tc>
          <w:tcPr>
            <w:tcW w:w="3600" w:type="dxa"/>
            <w:tcBorders>
              <w:top w:val="single" w:sz="6" w:space="0" w:color="auto"/>
              <w:bottom w:val="single" w:sz="6" w:space="0" w:color="auto"/>
            </w:tcBorders>
            <w:shd w:val="clear" w:color="auto" w:fill="386294"/>
            <w:vAlign w:val="center"/>
          </w:tcPr>
          <w:p w:rsidR="009A144F" w:rsidRPr="005F4DE2" w:rsidRDefault="004C7440" w:rsidP="00A036EC">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4B5363CAEBF38D4DA8B57100EFE02230"/>
                </w:placeholder>
                <w:dropDownList>
                  <w:listItem w:value="Choose an item."/>
                  <w:listItem w:displayText="Presunta víctima" w:value="Presunta víctima"/>
                  <w:listItem w:displayText="Presuntas víctimas" w:value="Presuntas víctimas"/>
                </w:dropDownList>
              </w:sdtPr>
              <w:sdtEndPr/>
              <w:sdtContent>
                <w:r w:rsidR="009A144F" w:rsidRPr="005F4DE2">
                  <w:rPr>
                    <w:rFonts w:asciiTheme="majorHAnsi" w:hAnsiTheme="majorHAnsi"/>
                    <w:b/>
                    <w:bCs/>
                    <w:color w:val="FFFFFF" w:themeColor="background1"/>
                    <w:sz w:val="20"/>
                    <w:szCs w:val="20"/>
                    <w:lang w:val="es-ES_tradnl"/>
                  </w:rPr>
                  <w:t>Presunta víctima</w:t>
                </w:r>
              </w:sdtContent>
            </w:sdt>
            <w:r w:rsidR="009A144F" w:rsidRPr="005F4DE2">
              <w:rPr>
                <w:rFonts w:asciiTheme="majorHAnsi" w:hAnsiTheme="majorHAnsi"/>
                <w:b/>
                <w:bCs/>
                <w:color w:val="FFFFFF" w:themeColor="background1"/>
                <w:sz w:val="20"/>
                <w:szCs w:val="20"/>
                <w:lang w:val="es-ES_tradnl"/>
              </w:rPr>
              <w:t>:</w:t>
            </w:r>
          </w:p>
        </w:tc>
        <w:tc>
          <w:tcPr>
            <w:tcW w:w="5760" w:type="dxa"/>
            <w:vAlign w:val="center"/>
          </w:tcPr>
          <w:p w:rsidR="009A144F" w:rsidRPr="00B81692" w:rsidRDefault="009A144F" w:rsidP="00A036EC">
            <w:pPr>
              <w:jc w:val="both"/>
              <w:rPr>
                <w:rFonts w:asciiTheme="majorHAnsi" w:hAnsiTheme="majorHAnsi"/>
                <w:bCs/>
                <w:sz w:val="20"/>
                <w:szCs w:val="20"/>
                <w:lang w:val="es-ES_tradnl"/>
              </w:rPr>
            </w:pPr>
            <w:r w:rsidRPr="00B81692">
              <w:rPr>
                <w:rFonts w:asciiTheme="majorHAnsi" w:hAnsiTheme="majorHAnsi"/>
                <w:bCs/>
                <w:sz w:val="20"/>
                <w:szCs w:val="20"/>
                <w:lang w:val="es-ES_tradnl"/>
              </w:rPr>
              <w:t>María Alejandra Villegas</w:t>
            </w:r>
          </w:p>
        </w:tc>
      </w:tr>
      <w:tr w:rsidR="009A144F" w:rsidRPr="00B81692" w:rsidTr="00A036EC">
        <w:tc>
          <w:tcPr>
            <w:tcW w:w="3600" w:type="dxa"/>
            <w:tcBorders>
              <w:top w:val="single" w:sz="6" w:space="0" w:color="auto"/>
              <w:bottom w:val="single" w:sz="6" w:space="0" w:color="auto"/>
            </w:tcBorders>
            <w:shd w:val="clear" w:color="auto" w:fill="386294"/>
            <w:vAlign w:val="center"/>
          </w:tcPr>
          <w:p w:rsidR="009A144F" w:rsidRPr="005F4DE2" w:rsidRDefault="009A144F" w:rsidP="00A036EC">
            <w:pPr>
              <w:jc w:val="center"/>
              <w:rPr>
                <w:rFonts w:asciiTheme="majorHAnsi" w:hAnsiTheme="majorHAnsi"/>
                <w:b/>
                <w:bCs/>
                <w:color w:val="FFFFFF" w:themeColor="background1"/>
                <w:sz w:val="20"/>
                <w:szCs w:val="20"/>
                <w:lang w:val="es-ES_tradnl"/>
              </w:rPr>
            </w:pPr>
            <w:r w:rsidRPr="005F4DE2">
              <w:rPr>
                <w:rFonts w:asciiTheme="majorHAnsi" w:hAnsiTheme="majorHAnsi"/>
                <w:b/>
                <w:bCs/>
                <w:color w:val="FFFFFF" w:themeColor="background1"/>
                <w:sz w:val="20"/>
                <w:szCs w:val="20"/>
                <w:lang w:val="es-ES_tradnl"/>
              </w:rPr>
              <w:t>Estado denunciado:</w:t>
            </w:r>
          </w:p>
        </w:tc>
        <w:tc>
          <w:tcPr>
            <w:tcW w:w="5760" w:type="dxa"/>
            <w:vAlign w:val="center"/>
          </w:tcPr>
          <w:p w:rsidR="009A144F" w:rsidRPr="00B81692" w:rsidRDefault="009A144F" w:rsidP="00A036EC">
            <w:pPr>
              <w:jc w:val="both"/>
              <w:rPr>
                <w:rFonts w:asciiTheme="majorHAnsi" w:hAnsiTheme="majorHAnsi"/>
                <w:bCs/>
                <w:sz w:val="20"/>
                <w:szCs w:val="20"/>
                <w:lang w:val="es-ES_tradnl"/>
              </w:rPr>
            </w:pPr>
            <w:r w:rsidRPr="00B81692">
              <w:rPr>
                <w:rFonts w:asciiTheme="majorHAnsi" w:hAnsiTheme="majorHAnsi"/>
                <w:bCs/>
                <w:sz w:val="20"/>
                <w:szCs w:val="20"/>
                <w:lang w:val="es-ES_tradnl"/>
              </w:rPr>
              <w:t>Argentina</w:t>
            </w:r>
          </w:p>
        </w:tc>
      </w:tr>
      <w:tr w:rsidR="009A144F" w:rsidRPr="00CC0A1A" w:rsidTr="00A036EC">
        <w:tc>
          <w:tcPr>
            <w:tcW w:w="3600" w:type="dxa"/>
            <w:tcBorders>
              <w:top w:val="single" w:sz="6" w:space="0" w:color="auto"/>
              <w:bottom w:val="single" w:sz="6" w:space="0" w:color="auto"/>
            </w:tcBorders>
            <w:shd w:val="clear" w:color="auto" w:fill="386294"/>
            <w:vAlign w:val="center"/>
          </w:tcPr>
          <w:p w:rsidR="009A144F" w:rsidRPr="005F4DE2" w:rsidRDefault="009A144F" w:rsidP="00A036EC">
            <w:pPr>
              <w:jc w:val="center"/>
              <w:rPr>
                <w:rFonts w:asciiTheme="majorHAnsi" w:hAnsiTheme="majorHAnsi"/>
                <w:b/>
                <w:bCs/>
                <w:color w:val="FFFFFF" w:themeColor="background1"/>
                <w:sz w:val="20"/>
                <w:szCs w:val="20"/>
                <w:lang w:val="es-ES_tradnl"/>
              </w:rPr>
            </w:pPr>
            <w:r w:rsidRPr="005F4DE2">
              <w:rPr>
                <w:rFonts w:asciiTheme="majorHAnsi" w:hAnsiTheme="majorHAnsi"/>
                <w:b/>
                <w:bCs/>
                <w:color w:val="FFFFFF" w:themeColor="background1"/>
                <w:sz w:val="20"/>
                <w:szCs w:val="20"/>
                <w:lang w:val="es-ES_tradnl"/>
              </w:rPr>
              <w:t>Derechos invocados:</w:t>
            </w:r>
          </w:p>
        </w:tc>
        <w:tc>
          <w:tcPr>
            <w:tcW w:w="5760" w:type="dxa"/>
            <w:vAlign w:val="center"/>
          </w:tcPr>
          <w:p w:rsidR="009A144F" w:rsidRPr="0086500A" w:rsidRDefault="009A144F" w:rsidP="007174A2">
            <w:pPr>
              <w:jc w:val="both"/>
              <w:rPr>
                <w:rFonts w:asciiTheme="majorHAnsi" w:hAnsiTheme="majorHAnsi"/>
                <w:bCs/>
                <w:sz w:val="20"/>
                <w:szCs w:val="20"/>
                <w:lang w:val="es-ES_tradnl"/>
              </w:rPr>
            </w:pPr>
            <w:r w:rsidRPr="0086500A">
              <w:rPr>
                <w:rFonts w:asciiTheme="majorHAnsi" w:hAnsiTheme="majorHAnsi"/>
                <w:bCs/>
                <w:sz w:val="20"/>
                <w:szCs w:val="20"/>
                <w:lang w:val="es-ES"/>
              </w:rPr>
              <w:t>Artículos 5 (integridad personal), 8 (garantías judiciales), 11 (honra y dignidad), 13 (libertad de pensamiento y expresión), 24 (igualdad ante la ley), 25 (protección judicial) y 26 (derechos económicos, sociales y culturales) de la Convención Americana sobre Derechos Humanos</w:t>
            </w:r>
            <w:r w:rsidRPr="0086500A">
              <w:rPr>
                <w:rStyle w:val="FootnoteReference"/>
                <w:rFonts w:asciiTheme="majorHAnsi" w:hAnsiTheme="majorHAnsi"/>
                <w:bCs/>
                <w:sz w:val="20"/>
                <w:szCs w:val="20"/>
                <w:lang w:val="es-ES"/>
              </w:rPr>
              <w:footnoteReference w:id="2"/>
            </w:r>
            <w:r w:rsidRPr="0086500A">
              <w:rPr>
                <w:rFonts w:asciiTheme="majorHAnsi" w:hAnsiTheme="majorHAnsi"/>
                <w:bCs/>
                <w:sz w:val="20"/>
                <w:szCs w:val="20"/>
                <w:lang w:val="es-ES"/>
              </w:rPr>
              <w:t>,</w:t>
            </w:r>
            <w:r w:rsidRPr="0086500A">
              <w:rPr>
                <w:rFonts w:asciiTheme="majorHAnsi" w:hAnsiTheme="majorHAnsi"/>
                <w:sz w:val="20"/>
                <w:szCs w:val="20"/>
                <w:lang w:val="es-ES"/>
              </w:rPr>
              <w:t xml:space="preserve"> </w:t>
            </w:r>
            <w:r w:rsidRPr="0086500A">
              <w:rPr>
                <w:rFonts w:asciiTheme="majorHAnsi" w:hAnsiTheme="majorHAnsi"/>
                <w:bCs/>
                <w:sz w:val="20"/>
                <w:szCs w:val="20"/>
                <w:lang w:val="es-ES"/>
              </w:rPr>
              <w:t>en relación con su</w:t>
            </w:r>
            <w:r w:rsidR="00E40189" w:rsidRPr="0086500A">
              <w:rPr>
                <w:rFonts w:asciiTheme="majorHAnsi" w:hAnsiTheme="majorHAnsi"/>
                <w:bCs/>
                <w:sz w:val="20"/>
                <w:szCs w:val="20"/>
                <w:lang w:val="es-ES"/>
              </w:rPr>
              <w:t>s</w:t>
            </w:r>
            <w:r w:rsidRPr="0086500A">
              <w:rPr>
                <w:rFonts w:asciiTheme="majorHAnsi" w:hAnsiTheme="majorHAnsi"/>
                <w:bCs/>
                <w:sz w:val="20"/>
                <w:szCs w:val="20"/>
                <w:lang w:val="es-ES"/>
              </w:rPr>
              <w:t xml:space="preserve"> artículo</w:t>
            </w:r>
            <w:r w:rsidR="005F4DE2" w:rsidRPr="0086500A">
              <w:rPr>
                <w:rFonts w:asciiTheme="majorHAnsi" w:hAnsiTheme="majorHAnsi"/>
                <w:bCs/>
                <w:sz w:val="20"/>
                <w:szCs w:val="20"/>
                <w:lang w:val="es-ES"/>
              </w:rPr>
              <w:t>s</w:t>
            </w:r>
            <w:r w:rsidRPr="0086500A">
              <w:rPr>
                <w:rFonts w:asciiTheme="majorHAnsi" w:hAnsiTheme="majorHAnsi"/>
                <w:bCs/>
                <w:sz w:val="20"/>
                <w:szCs w:val="20"/>
                <w:lang w:val="es-ES"/>
              </w:rPr>
              <w:t xml:space="preserve"> 1.1 (obligación de respetar los derechos) y 2 (adoptar disposiciones de derecho interno); artículo</w:t>
            </w:r>
            <w:r w:rsidR="00E40189" w:rsidRPr="0086500A">
              <w:rPr>
                <w:rFonts w:asciiTheme="majorHAnsi" w:hAnsiTheme="majorHAnsi"/>
                <w:bCs/>
                <w:sz w:val="20"/>
                <w:szCs w:val="20"/>
                <w:lang w:val="es-ES"/>
              </w:rPr>
              <w:t>s</w:t>
            </w:r>
            <w:r w:rsidRPr="0086500A">
              <w:rPr>
                <w:rFonts w:asciiTheme="majorHAnsi" w:hAnsiTheme="majorHAnsi"/>
                <w:bCs/>
                <w:sz w:val="20"/>
                <w:szCs w:val="20"/>
                <w:lang w:val="es-ES"/>
              </w:rPr>
              <w:t xml:space="preserve"> 4.b, 4.f y 4.g de la </w:t>
            </w:r>
            <w:r w:rsidRPr="0086500A">
              <w:rPr>
                <w:rFonts w:asciiTheme="majorHAnsi" w:hAnsiTheme="majorHAnsi"/>
                <w:sz w:val="20"/>
                <w:szCs w:val="20"/>
                <w:lang w:val="es-ES"/>
              </w:rPr>
              <w:t>Convención Interamericana para Prevenir, Sancionar y Erradicar la Violencia Contra la Mujer</w:t>
            </w:r>
            <w:r w:rsidRPr="0086500A">
              <w:rPr>
                <w:rStyle w:val="FootnoteReference"/>
                <w:rFonts w:asciiTheme="majorHAnsi" w:hAnsiTheme="majorHAnsi"/>
                <w:bCs/>
                <w:sz w:val="20"/>
                <w:szCs w:val="20"/>
                <w:lang w:val="es-ES"/>
              </w:rPr>
              <w:t xml:space="preserve"> </w:t>
            </w:r>
            <w:r w:rsidRPr="0086500A">
              <w:rPr>
                <w:rStyle w:val="FootnoteReference"/>
                <w:rFonts w:asciiTheme="majorHAnsi" w:hAnsiTheme="majorHAnsi"/>
                <w:bCs/>
                <w:sz w:val="20"/>
                <w:szCs w:val="20"/>
                <w:lang w:val="es-ES"/>
              </w:rPr>
              <w:footnoteReference w:id="3"/>
            </w:r>
            <w:r w:rsidR="00E40189" w:rsidRPr="0086500A">
              <w:rPr>
                <w:rFonts w:asciiTheme="majorHAnsi" w:hAnsiTheme="majorHAnsi"/>
                <w:bCs/>
                <w:sz w:val="20"/>
                <w:szCs w:val="20"/>
                <w:lang w:val="es-ES"/>
              </w:rPr>
              <w:t xml:space="preserve">; </w:t>
            </w:r>
            <w:r w:rsidRPr="0086500A">
              <w:rPr>
                <w:rFonts w:asciiTheme="majorHAnsi" w:hAnsiTheme="majorHAnsi"/>
                <w:bCs/>
                <w:sz w:val="20"/>
                <w:szCs w:val="20"/>
                <w:lang w:val="es-ES"/>
              </w:rPr>
              <w:t xml:space="preserve">y </w:t>
            </w:r>
            <w:r w:rsidR="007174A2">
              <w:rPr>
                <w:rFonts w:asciiTheme="majorHAnsi" w:hAnsiTheme="majorHAnsi"/>
                <w:bCs/>
                <w:sz w:val="20"/>
                <w:szCs w:val="20"/>
                <w:lang w:val="es-ES"/>
              </w:rPr>
              <w:t>el artículo 10 del Protocolo Adicional a la Convención Americana sobre Derechos Humanos en Materia de Derechos Económicos, Sociales y Culturales</w:t>
            </w:r>
            <w:r w:rsidRPr="0086500A">
              <w:rPr>
                <w:rStyle w:val="FootnoteReference"/>
                <w:rFonts w:asciiTheme="majorHAnsi" w:hAnsiTheme="majorHAnsi"/>
                <w:bCs/>
                <w:sz w:val="20"/>
                <w:szCs w:val="20"/>
                <w:lang w:val="es-ES"/>
              </w:rPr>
              <w:footnoteReference w:id="4"/>
            </w:r>
          </w:p>
        </w:tc>
      </w:tr>
    </w:tbl>
    <w:p w:rsidR="009A144F" w:rsidRPr="00CC0A1A" w:rsidRDefault="009A144F" w:rsidP="003239B8">
      <w:pPr>
        <w:spacing w:before="240" w:after="240"/>
        <w:ind w:firstLine="720"/>
        <w:jc w:val="both"/>
        <w:rPr>
          <w:rFonts w:asciiTheme="majorHAnsi" w:hAnsiTheme="majorHAnsi"/>
          <w:b/>
          <w:bCs/>
          <w:sz w:val="20"/>
          <w:szCs w:val="20"/>
          <w:lang w:val="es-US"/>
        </w:rPr>
      </w:pPr>
      <w:r>
        <w:rPr>
          <w:rFonts w:asciiTheme="majorHAnsi" w:hAnsiTheme="majorHAnsi"/>
          <w:b/>
          <w:bCs/>
          <w:sz w:val="20"/>
          <w:szCs w:val="20"/>
          <w:lang w:val="es-ES"/>
        </w:rPr>
        <w:t>I</w:t>
      </w:r>
      <w:r w:rsidR="003239B8" w:rsidRPr="004C2312">
        <w:rPr>
          <w:rFonts w:asciiTheme="majorHAnsi" w:hAnsiTheme="majorHAnsi"/>
          <w:b/>
          <w:bCs/>
          <w:sz w:val="20"/>
          <w:szCs w:val="20"/>
          <w:lang w:val="es-ES"/>
        </w:rPr>
        <w:t>I.</w:t>
      </w:r>
      <w:r w:rsidR="003239B8" w:rsidRPr="004C2312">
        <w:rPr>
          <w:rFonts w:asciiTheme="majorHAnsi" w:hAnsiTheme="majorHAnsi"/>
          <w:b/>
          <w:bCs/>
          <w:sz w:val="20"/>
          <w:szCs w:val="20"/>
          <w:lang w:val="es-ES"/>
        </w:rPr>
        <w:tab/>
        <w:t>TRÁMITE ANTE LA CIDH</w:t>
      </w:r>
      <w:r w:rsidR="008E3BFE" w:rsidRPr="00882B91">
        <w:rPr>
          <w:rStyle w:val="FootnoteReference"/>
          <w:rFonts w:ascii="Cambria" w:hAnsi="Cambria"/>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A144F" w:rsidRPr="00B81692" w:rsidTr="00A036EC">
        <w:tc>
          <w:tcPr>
            <w:tcW w:w="3600" w:type="dxa"/>
            <w:tcBorders>
              <w:top w:val="single" w:sz="6" w:space="0" w:color="auto"/>
              <w:bottom w:val="single" w:sz="6" w:space="0" w:color="auto"/>
            </w:tcBorders>
            <w:shd w:val="clear" w:color="auto" w:fill="386294"/>
            <w:vAlign w:val="center"/>
          </w:tcPr>
          <w:p w:rsidR="009A144F" w:rsidRPr="005F4DE2" w:rsidRDefault="009A144F" w:rsidP="00A036EC">
            <w:pPr>
              <w:jc w:val="center"/>
              <w:rPr>
                <w:rFonts w:asciiTheme="majorHAnsi" w:hAnsiTheme="majorHAnsi"/>
                <w:b/>
                <w:bCs/>
                <w:color w:val="FFFFFF" w:themeColor="background1"/>
                <w:sz w:val="20"/>
                <w:szCs w:val="20"/>
                <w:lang w:val="es-ES_tradnl"/>
              </w:rPr>
            </w:pPr>
            <w:r w:rsidRPr="005F4DE2">
              <w:rPr>
                <w:rFonts w:asciiTheme="majorHAnsi" w:hAnsiTheme="majorHAnsi"/>
                <w:b/>
                <w:bCs/>
                <w:color w:val="FFFFFF" w:themeColor="background1"/>
                <w:sz w:val="20"/>
                <w:szCs w:val="20"/>
                <w:lang w:val="es-ES_tradnl"/>
              </w:rPr>
              <w:t>Presentación de la petición:</w:t>
            </w:r>
          </w:p>
        </w:tc>
        <w:tc>
          <w:tcPr>
            <w:tcW w:w="5760" w:type="dxa"/>
            <w:vAlign w:val="center"/>
          </w:tcPr>
          <w:p w:rsidR="009A144F" w:rsidRPr="00B81692" w:rsidRDefault="009A144F" w:rsidP="00A036EC">
            <w:pPr>
              <w:jc w:val="both"/>
              <w:rPr>
                <w:rFonts w:asciiTheme="majorHAnsi" w:hAnsiTheme="majorHAnsi"/>
                <w:bCs/>
                <w:sz w:val="20"/>
                <w:szCs w:val="20"/>
                <w:lang w:val="es-ES_tradnl"/>
              </w:rPr>
            </w:pPr>
            <w:r w:rsidRPr="00B81692">
              <w:rPr>
                <w:rFonts w:asciiTheme="majorHAnsi" w:hAnsiTheme="majorHAnsi"/>
                <w:bCs/>
                <w:sz w:val="20"/>
                <w:szCs w:val="20"/>
                <w:lang w:val="es-ES_tradnl"/>
              </w:rPr>
              <w:t>30 de julio de 2011</w:t>
            </w:r>
          </w:p>
        </w:tc>
      </w:tr>
      <w:tr w:rsidR="009A144F" w:rsidRPr="00B81692" w:rsidTr="00A036EC">
        <w:tc>
          <w:tcPr>
            <w:tcW w:w="3600" w:type="dxa"/>
            <w:tcBorders>
              <w:top w:val="single" w:sz="6" w:space="0" w:color="auto"/>
              <w:bottom w:val="single" w:sz="6" w:space="0" w:color="auto"/>
            </w:tcBorders>
            <w:shd w:val="clear" w:color="auto" w:fill="386294"/>
            <w:vAlign w:val="center"/>
          </w:tcPr>
          <w:p w:rsidR="009A144F" w:rsidRPr="005F4DE2" w:rsidRDefault="009A144F" w:rsidP="00A036EC">
            <w:pPr>
              <w:jc w:val="center"/>
              <w:rPr>
                <w:rFonts w:asciiTheme="majorHAnsi" w:hAnsiTheme="majorHAnsi"/>
                <w:b/>
                <w:bCs/>
                <w:color w:val="FFFFFF" w:themeColor="background1"/>
                <w:sz w:val="20"/>
                <w:szCs w:val="20"/>
                <w:lang w:val="es-ES_tradnl"/>
              </w:rPr>
            </w:pPr>
            <w:r w:rsidRPr="005F4DE2">
              <w:rPr>
                <w:rFonts w:asciiTheme="majorHAnsi" w:hAnsiTheme="majorHAnsi"/>
                <w:b/>
                <w:color w:val="FFFFFF" w:themeColor="background1"/>
                <w:sz w:val="20"/>
                <w:szCs w:val="20"/>
                <w:lang w:val="es-ES_tradnl"/>
              </w:rPr>
              <w:t>Notificación de la petición al Estado:</w:t>
            </w:r>
          </w:p>
        </w:tc>
        <w:tc>
          <w:tcPr>
            <w:tcW w:w="5760" w:type="dxa"/>
            <w:vAlign w:val="center"/>
          </w:tcPr>
          <w:p w:rsidR="009A144F" w:rsidRPr="00B81692" w:rsidRDefault="009A144F" w:rsidP="00A036EC">
            <w:pPr>
              <w:jc w:val="both"/>
              <w:rPr>
                <w:rFonts w:asciiTheme="majorHAnsi" w:hAnsiTheme="majorHAnsi"/>
                <w:bCs/>
                <w:sz w:val="20"/>
                <w:szCs w:val="20"/>
                <w:lang w:val="es-ES_tradnl"/>
              </w:rPr>
            </w:pPr>
            <w:r>
              <w:rPr>
                <w:rFonts w:asciiTheme="majorHAnsi" w:hAnsiTheme="majorHAnsi"/>
                <w:bCs/>
                <w:sz w:val="20"/>
                <w:szCs w:val="20"/>
                <w:lang w:val="es-ES_tradnl"/>
              </w:rPr>
              <w:t>2</w:t>
            </w:r>
            <w:r w:rsidRPr="00B81692">
              <w:rPr>
                <w:rFonts w:asciiTheme="majorHAnsi" w:hAnsiTheme="majorHAnsi"/>
                <w:bCs/>
                <w:sz w:val="20"/>
                <w:szCs w:val="20"/>
                <w:lang w:val="es-ES_tradnl"/>
              </w:rPr>
              <w:t>7 de junio de 2017</w:t>
            </w:r>
          </w:p>
        </w:tc>
      </w:tr>
      <w:tr w:rsidR="009A144F" w:rsidRPr="00B81692" w:rsidTr="00A036EC">
        <w:tc>
          <w:tcPr>
            <w:tcW w:w="3600" w:type="dxa"/>
            <w:tcBorders>
              <w:top w:val="single" w:sz="6" w:space="0" w:color="auto"/>
              <w:bottom w:val="single" w:sz="6" w:space="0" w:color="auto"/>
            </w:tcBorders>
            <w:shd w:val="clear" w:color="auto" w:fill="386294"/>
            <w:vAlign w:val="center"/>
          </w:tcPr>
          <w:p w:rsidR="009A144F" w:rsidRPr="005F4DE2" w:rsidRDefault="009A144F" w:rsidP="00A036EC">
            <w:pPr>
              <w:jc w:val="center"/>
              <w:rPr>
                <w:rFonts w:asciiTheme="majorHAnsi" w:hAnsiTheme="majorHAnsi"/>
                <w:b/>
                <w:bCs/>
                <w:color w:val="FFFFFF" w:themeColor="background1"/>
                <w:sz w:val="20"/>
                <w:szCs w:val="20"/>
                <w:lang w:val="es-ES_tradnl"/>
              </w:rPr>
            </w:pPr>
            <w:r w:rsidRPr="005F4DE2">
              <w:rPr>
                <w:rFonts w:asciiTheme="majorHAnsi" w:hAnsiTheme="majorHAnsi"/>
                <w:b/>
                <w:color w:val="FFFFFF" w:themeColor="background1"/>
                <w:sz w:val="20"/>
                <w:szCs w:val="20"/>
                <w:lang w:val="es-ES_tradnl"/>
              </w:rPr>
              <w:t>Primera respuesta del Estado:</w:t>
            </w:r>
          </w:p>
        </w:tc>
        <w:tc>
          <w:tcPr>
            <w:tcW w:w="5760" w:type="dxa"/>
            <w:vAlign w:val="center"/>
          </w:tcPr>
          <w:p w:rsidR="009A144F" w:rsidRPr="00B81692" w:rsidRDefault="009A144F" w:rsidP="00A036EC">
            <w:pPr>
              <w:jc w:val="both"/>
              <w:rPr>
                <w:rFonts w:asciiTheme="majorHAnsi" w:hAnsiTheme="majorHAnsi"/>
                <w:bCs/>
                <w:sz w:val="20"/>
                <w:szCs w:val="20"/>
                <w:lang w:val="es-ES_tradnl"/>
              </w:rPr>
            </w:pPr>
            <w:r>
              <w:rPr>
                <w:rFonts w:asciiTheme="majorHAnsi" w:hAnsiTheme="majorHAnsi"/>
                <w:bCs/>
                <w:sz w:val="20"/>
                <w:szCs w:val="20"/>
                <w:lang w:val="es-ES_tradnl"/>
              </w:rPr>
              <w:t>4 de septiembre de 2018</w:t>
            </w:r>
          </w:p>
        </w:tc>
      </w:tr>
      <w:tr w:rsidR="009A144F" w:rsidRPr="00B81692" w:rsidTr="00A036EC">
        <w:tc>
          <w:tcPr>
            <w:tcW w:w="3600" w:type="dxa"/>
            <w:tcBorders>
              <w:top w:val="single" w:sz="6" w:space="0" w:color="auto"/>
              <w:bottom w:val="single" w:sz="6" w:space="0" w:color="auto"/>
            </w:tcBorders>
            <w:shd w:val="clear" w:color="auto" w:fill="386294"/>
            <w:vAlign w:val="center"/>
          </w:tcPr>
          <w:p w:rsidR="009A144F" w:rsidRPr="005F4DE2" w:rsidRDefault="009A144F" w:rsidP="00A036EC">
            <w:pPr>
              <w:jc w:val="center"/>
              <w:rPr>
                <w:rFonts w:asciiTheme="majorHAnsi" w:hAnsiTheme="majorHAnsi"/>
                <w:b/>
                <w:bCs/>
                <w:color w:val="FFFFFF" w:themeColor="background1"/>
                <w:sz w:val="20"/>
                <w:szCs w:val="20"/>
                <w:lang w:val="es-ES_tradnl"/>
              </w:rPr>
            </w:pPr>
            <w:r w:rsidRPr="005F4DE2">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rsidR="009A144F" w:rsidRPr="00B81692" w:rsidRDefault="009A144F" w:rsidP="00A036EC">
            <w:pPr>
              <w:jc w:val="both"/>
              <w:rPr>
                <w:rFonts w:asciiTheme="majorHAnsi" w:hAnsiTheme="majorHAnsi"/>
                <w:bCs/>
                <w:sz w:val="20"/>
                <w:szCs w:val="20"/>
                <w:lang w:val="es-ES_tradnl"/>
              </w:rPr>
            </w:pPr>
            <w:r w:rsidRPr="00B81692">
              <w:rPr>
                <w:rFonts w:asciiTheme="majorHAnsi" w:hAnsiTheme="majorHAnsi"/>
                <w:bCs/>
                <w:sz w:val="20"/>
                <w:szCs w:val="20"/>
                <w:lang w:val="es-ES_tradnl"/>
              </w:rPr>
              <w:t>15 de abril de 2019</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A036EC">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rsidR="003239B8" w:rsidRPr="00B3745F" w:rsidRDefault="009A144F" w:rsidP="00A036EC">
            <w:pPr>
              <w:rPr>
                <w:rFonts w:ascii="Cambria" w:hAnsi="Cambria"/>
                <w:bCs/>
                <w:sz w:val="20"/>
                <w:szCs w:val="20"/>
              </w:rPr>
            </w:pPr>
            <w:r w:rsidRPr="00E43A5B">
              <w:rPr>
                <w:rFonts w:asciiTheme="majorHAnsi" w:hAnsiTheme="majorHAnsi"/>
                <w:bCs/>
                <w:sz w:val="20"/>
                <w:szCs w:val="20"/>
                <w:lang w:val="es-ES_tradnl"/>
              </w:rPr>
              <w:t>Sí</w:t>
            </w:r>
          </w:p>
        </w:tc>
      </w:tr>
      <w:tr w:rsidR="009A144F" w:rsidRPr="00540F17" w:rsidTr="00A036EC">
        <w:trPr>
          <w:cantSplit/>
        </w:trPr>
        <w:tc>
          <w:tcPr>
            <w:tcW w:w="3600" w:type="dxa"/>
            <w:tcBorders>
              <w:top w:val="single" w:sz="6" w:space="0" w:color="auto"/>
              <w:bottom w:val="single" w:sz="6" w:space="0" w:color="auto"/>
            </w:tcBorders>
            <w:shd w:val="clear" w:color="auto" w:fill="386294"/>
            <w:vAlign w:val="center"/>
          </w:tcPr>
          <w:p w:rsidR="009A144F" w:rsidRPr="00B3745F" w:rsidRDefault="009A144F" w:rsidP="00A036EC">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tcPr>
          <w:p w:rsidR="009A144F" w:rsidRDefault="009A144F">
            <w:r w:rsidRPr="00BC6599">
              <w:rPr>
                <w:rFonts w:asciiTheme="majorHAnsi" w:hAnsiTheme="majorHAnsi"/>
                <w:bCs/>
                <w:sz w:val="20"/>
                <w:szCs w:val="20"/>
                <w:lang w:val="es-ES_tradnl"/>
              </w:rPr>
              <w:t>Sí</w:t>
            </w:r>
          </w:p>
        </w:tc>
      </w:tr>
      <w:tr w:rsidR="009A144F" w:rsidRPr="00540F17" w:rsidTr="00A036EC">
        <w:trPr>
          <w:cantSplit/>
        </w:trPr>
        <w:tc>
          <w:tcPr>
            <w:tcW w:w="3600" w:type="dxa"/>
            <w:tcBorders>
              <w:top w:val="single" w:sz="6" w:space="0" w:color="auto"/>
              <w:bottom w:val="single" w:sz="6" w:space="0" w:color="auto"/>
            </w:tcBorders>
            <w:shd w:val="clear" w:color="auto" w:fill="386294"/>
            <w:vAlign w:val="center"/>
          </w:tcPr>
          <w:p w:rsidR="009A144F" w:rsidRPr="00C97EE1" w:rsidRDefault="009A144F" w:rsidP="00A036EC">
            <w:pPr>
              <w:jc w:val="center"/>
              <w:rPr>
                <w:rFonts w:ascii="Cambria" w:hAnsi="Cambria"/>
                <w:b/>
                <w:bCs/>
                <w:color w:val="FFFFFF" w:themeColor="background1"/>
                <w:sz w:val="20"/>
                <w:szCs w:val="20"/>
              </w:rPr>
            </w:pPr>
            <w:r w:rsidRPr="00C97EE1">
              <w:rPr>
                <w:rFonts w:ascii="Cambria" w:hAnsi="Cambria"/>
                <w:b/>
                <w:bCs/>
                <w:color w:val="FFFFFF" w:themeColor="background1"/>
                <w:sz w:val="20"/>
                <w:szCs w:val="20"/>
              </w:rPr>
              <w:t>Competencia</w:t>
            </w:r>
            <w:r w:rsidRPr="00C97EE1">
              <w:rPr>
                <w:rFonts w:ascii="Cambria" w:hAnsi="Cambria"/>
                <w:b/>
                <w:bCs/>
                <w:i/>
                <w:color w:val="FFFFFF" w:themeColor="background1"/>
                <w:sz w:val="20"/>
                <w:szCs w:val="20"/>
              </w:rPr>
              <w:t xml:space="preserve"> Ratione temporis</w:t>
            </w:r>
            <w:r w:rsidRPr="00C97EE1">
              <w:rPr>
                <w:rFonts w:ascii="Cambria" w:hAnsi="Cambria"/>
                <w:b/>
                <w:bCs/>
                <w:color w:val="FFFFFF" w:themeColor="background1"/>
                <w:sz w:val="20"/>
                <w:szCs w:val="20"/>
              </w:rPr>
              <w:t>:</w:t>
            </w:r>
          </w:p>
        </w:tc>
        <w:tc>
          <w:tcPr>
            <w:tcW w:w="5760" w:type="dxa"/>
          </w:tcPr>
          <w:p w:rsidR="009A144F" w:rsidRPr="00C97EE1" w:rsidRDefault="009A144F">
            <w:r w:rsidRPr="00C97EE1">
              <w:rPr>
                <w:rFonts w:asciiTheme="majorHAnsi" w:hAnsiTheme="majorHAnsi"/>
                <w:bCs/>
                <w:sz w:val="20"/>
                <w:szCs w:val="20"/>
                <w:lang w:val="es-ES_tradnl"/>
              </w:rPr>
              <w:t>Sí</w:t>
            </w:r>
          </w:p>
        </w:tc>
      </w:tr>
      <w:tr w:rsidR="003239B8" w:rsidRPr="00CC0A1A" w:rsidTr="004A6A54">
        <w:trPr>
          <w:cantSplit/>
        </w:trPr>
        <w:tc>
          <w:tcPr>
            <w:tcW w:w="3600" w:type="dxa"/>
            <w:tcBorders>
              <w:top w:val="single" w:sz="6" w:space="0" w:color="auto"/>
              <w:bottom w:val="single" w:sz="6" w:space="0" w:color="auto"/>
            </w:tcBorders>
            <w:shd w:val="clear" w:color="auto" w:fill="386294"/>
            <w:vAlign w:val="center"/>
          </w:tcPr>
          <w:p w:rsidR="003239B8" w:rsidRPr="00C97EE1" w:rsidRDefault="003239B8" w:rsidP="00A036EC">
            <w:pPr>
              <w:jc w:val="center"/>
              <w:rPr>
                <w:rFonts w:ascii="Cambria" w:hAnsi="Cambria"/>
                <w:b/>
                <w:bCs/>
                <w:color w:val="FFFFFF" w:themeColor="background1"/>
                <w:sz w:val="20"/>
                <w:szCs w:val="20"/>
              </w:rPr>
            </w:pPr>
            <w:r w:rsidRPr="00C97EE1">
              <w:rPr>
                <w:rFonts w:ascii="Cambria" w:hAnsi="Cambria"/>
                <w:b/>
                <w:bCs/>
                <w:color w:val="FFFFFF" w:themeColor="background1"/>
                <w:sz w:val="20"/>
                <w:szCs w:val="20"/>
              </w:rPr>
              <w:t>Competencia</w:t>
            </w:r>
            <w:r w:rsidRPr="00C97EE1">
              <w:rPr>
                <w:rFonts w:ascii="Cambria" w:hAnsi="Cambria"/>
                <w:b/>
                <w:bCs/>
                <w:i/>
                <w:color w:val="FFFFFF" w:themeColor="background1"/>
                <w:sz w:val="20"/>
                <w:szCs w:val="20"/>
              </w:rPr>
              <w:t xml:space="preserve"> Ratione materia</w:t>
            </w:r>
            <w:r w:rsidR="00EE00E9" w:rsidRPr="00C97EE1">
              <w:rPr>
                <w:rFonts w:ascii="Cambria" w:hAnsi="Cambria"/>
                <w:b/>
                <w:bCs/>
                <w:i/>
                <w:color w:val="FFFFFF" w:themeColor="background1"/>
                <w:sz w:val="20"/>
                <w:szCs w:val="20"/>
              </w:rPr>
              <w:t>e</w:t>
            </w:r>
            <w:r w:rsidRPr="00C97EE1">
              <w:rPr>
                <w:rFonts w:ascii="Cambria" w:hAnsi="Cambria"/>
                <w:b/>
                <w:bCs/>
                <w:color w:val="FFFFFF" w:themeColor="background1"/>
                <w:sz w:val="20"/>
                <w:szCs w:val="20"/>
              </w:rPr>
              <w:t>:</w:t>
            </w:r>
          </w:p>
        </w:tc>
        <w:tc>
          <w:tcPr>
            <w:tcW w:w="5760" w:type="dxa"/>
            <w:vAlign w:val="center"/>
          </w:tcPr>
          <w:p w:rsidR="003239B8" w:rsidRPr="00C97EE1" w:rsidRDefault="009A144F" w:rsidP="00A036EC">
            <w:pPr>
              <w:jc w:val="both"/>
              <w:rPr>
                <w:rFonts w:ascii="Cambria" w:hAnsi="Cambria"/>
                <w:bCs/>
                <w:sz w:val="20"/>
                <w:szCs w:val="20"/>
                <w:lang w:val="es-ES"/>
              </w:rPr>
            </w:pPr>
            <w:r w:rsidRPr="00C97EE1">
              <w:rPr>
                <w:rFonts w:asciiTheme="majorHAnsi" w:hAnsiTheme="majorHAnsi"/>
                <w:bCs/>
                <w:sz w:val="20"/>
                <w:szCs w:val="20"/>
                <w:lang w:val="es-ES_tradnl"/>
              </w:rPr>
              <w:t>Sí</w:t>
            </w:r>
            <w:r w:rsidR="0086500A">
              <w:rPr>
                <w:rFonts w:asciiTheme="majorHAnsi" w:hAnsiTheme="majorHAnsi"/>
                <w:bCs/>
                <w:sz w:val="20"/>
                <w:szCs w:val="20"/>
                <w:lang w:val="es-ES_tradnl"/>
              </w:rPr>
              <w:t>,</w:t>
            </w:r>
            <w:r w:rsidR="0086500A">
              <w:rPr>
                <w:rFonts w:asciiTheme="majorHAnsi" w:hAnsiTheme="majorHAnsi"/>
                <w:sz w:val="20"/>
                <w:szCs w:val="20"/>
                <w:lang w:val="es-ES"/>
              </w:rPr>
              <w:t xml:space="preserve"> </w:t>
            </w:r>
            <w:r w:rsidR="0086500A" w:rsidRPr="00A036EC">
              <w:rPr>
                <w:rFonts w:asciiTheme="majorHAnsi" w:hAnsiTheme="majorHAnsi"/>
                <w:sz w:val="20"/>
                <w:szCs w:val="20"/>
                <w:lang w:val="es-ES"/>
              </w:rPr>
              <w:t>Convención Americana (depósito del instrumento de ratificación realizado el 5 de septiembre de 1984) y Convención de Belém do Pará (depósito del instrumento de ratificación realizado el 5 de julio de 1996)</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B04AFA" w:rsidRPr="003239B8">
        <w:rPr>
          <w:rFonts w:asciiTheme="majorHAnsi" w:hAnsiTheme="majorHAnsi"/>
          <w:b/>
          <w:bCs/>
          <w:sz w:val="20"/>
          <w:szCs w:val="20"/>
          <w:lang w:val="es-ES"/>
        </w:rPr>
        <w:t>INTERNACIONAL</w:t>
      </w:r>
      <w:r w:rsidR="00B04AFA">
        <w:rPr>
          <w:rFonts w:asciiTheme="majorHAnsi" w:hAnsiTheme="majorHAnsi"/>
          <w:b/>
          <w:bCs/>
          <w:sz w:val="20"/>
          <w:szCs w:val="20"/>
          <w:lang w:val="es-ES"/>
        </w:rPr>
        <w:t xml:space="preserve">, </w:t>
      </w:r>
      <w:r w:rsidR="00B04AF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B93D7F"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A036E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9A144F" w:rsidP="00A036EC">
            <w:pPr>
              <w:jc w:val="both"/>
              <w:rPr>
                <w:rFonts w:ascii="Cambria" w:hAnsi="Cambria"/>
                <w:bCs/>
                <w:sz w:val="20"/>
                <w:szCs w:val="20"/>
                <w:lang w:val="es-ES"/>
              </w:rPr>
            </w:pPr>
            <w:r>
              <w:rPr>
                <w:rFonts w:ascii="Cambria" w:hAnsi="Cambria"/>
                <w:bCs/>
                <w:sz w:val="20"/>
                <w:szCs w:val="20"/>
                <w:lang w:val="es-ES"/>
              </w:rPr>
              <w:t>No</w:t>
            </w:r>
          </w:p>
        </w:tc>
      </w:tr>
      <w:tr w:rsidR="003239B8" w:rsidRPr="00CC0A1A" w:rsidTr="004A6A54">
        <w:trPr>
          <w:cantSplit/>
        </w:trPr>
        <w:tc>
          <w:tcPr>
            <w:tcW w:w="3600" w:type="dxa"/>
            <w:tcBorders>
              <w:top w:val="single" w:sz="4" w:space="0" w:color="auto"/>
              <w:bottom w:val="single" w:sz="6" w:space="0" w:color="auto"/>
            </w:tcBorders>
            <w:shd w:val="clear" w:color="auto" w:fill="386294"/>
            <w:vAlign w:val="center"/>
          </w:tcPr>
          <w:p w:rsidR="003239B8" w:rsidRPr="00A036EC" w:rsidRDefault="003239B8" w:rsidP="00A036EC">
            <w:pPr>
              <w:jc w:val="center"/>
              <w:rPr>
                <w:rFonts w:ascii="Cambria" w:hAnsi="Cambria"/>
                <w:b/>
                <w:bCs/>
                <w:i/>
                <w:color w:val="FFFFFF" w:themeColor="background1"/>
                <w:sz w:val="20"/>
                <w:szCs w:val="20"/>
              </w:rPr>
            </w:pPr>
            <w:r w:rsidRPr="00A036EC">
              <w:rPr>
                <w:rFonts w:ascii="Cambria" w:hAnsi="Cambria"/>
                <w:b/>
                <w:bCs/>
                <w:color w:val="FFFFFF" w:themeColor="background1"/>
                <w:sz w:val="20"/>
                <w:szCs w:val="20"/>
              </w:rPr>
              <w:t>Derechos declarados admisibles</w:t>
            </w:r>
            <w:r w:rsidRPr="00A036EC">
              <w:rPr>
                <w:rFonts w:ascii="Cambria" w:hAnsi="Cambria"/>
                <w:b/>
                <w:bCs/>
                <w:i/>
                <w:color w:val="FFFFFF" w:themeColor="background1"/>
                <w:sz w:val="20"/>
                <w:szCs w:val="20"/>
              </w:rPr>
              <w:t>:</w:t>
            </w:r>
          </w:p>
        </w:tc>
        <w:tc>
          <w:tcPr>
            <w:tcW w:w="5760" w:type="dxa"/>
            <w:vAlign w:val="center"/>
          </w:tcPr>
          <w:p w:rsidR="003239B8" w:rsidRPr="005F4DE2" w:rsidRDefault="009A144F" w:rsidP="004A4C9E">
            <w:pPr>
              <w:jc w:val="both"/>
              <w:rPr>
                <w:rFonts w:ascii="Cambria" w:hAnsi="Cambria"/>
                <w:bCs/>
                <w:sz w:val="20"/>
                <w:szCs w:val="20"/>
                <w:lang w:val="es-US"/>
              </w:rPr>
            </w:pPr>
            <w:r w:rsidRPr="00B81692">
              <w:rPr>
                <w:rFonts w:asciiTheme="majorHAnsi" w:hAnsiTheme="majorHAnsi"/>
                <w:bCs/>
                <w:sz w:val="20"/>
                <w:szCs w:val="20"/>
                <w:lang w:val="es-ES"/>
              </w:rPr>
              <w:t>Artículos 5 (integridad personal), 8 (garantías judiciales),</w:t>
            </w:r>
            <w:r>
              <w:rPr>
                <w:rFonts w:asciiTheme="majorHAnsi" w:hAnsiTheme="majorHAnsi"/>
                <w:bCs/>
                <w:sz w:val="20"/>
                <w:szCs w:val="20"/>
                <w:lang w:val="es-ES"/>
              </w:rPr>
              <w:t xml:space="preserve"> </w:t>
            </w:r>
            <w:r w:rsidR="004A4C9E">
              <w:rPr>
                <w:rFonts w:asciiTheme="majorHAnsi" w:hAnsiTheme="majorHAnsi"/>
                <w:bCs/>
                <w:sz w:val="20"/>
                <w:szCs w:val="20"/>
                <w:lang w:val="es-ES"/>
              </w:rPr>
              <w:t>11 (honra y dignidad), 24</w:t>
            </w:r>
            <w:r w:rsidRPr="00B81692">
              <w:rPr>
                <w:rFonts w:asciiTheme="majorHAnsi" w:hAnsiTheme="majorHAnsi"/>
                <w:bCs/>
                <w:sz w:val="20"/>
                <w:szCs w:val="20"/>
                <w:lang w:val="es-ES"/>
              </w:rPr>
              <w:t xml:space="preserve"> (</w:t>
            </w:r>
            <w:r w:rsidR="004A4C9E">
              <w:rPr>
                <w:rFonts w:asciiTheme="majorHAnsi" w:hAnsiTheme="majorHAnsi"/>
                <w:bCs/>
                <w:sz w:val="20"/>
                <w:szCs w:val="20"/>
                <w:lang w:val="es-ES"/>
              </w:rPr>
              <w:t>igualdad ante la ley</w:t>
            </w:r>
            <w:r w:rsidRPr="00B81692">
              <w:rPr>
                <w:rFonts w:asciiTheme="majorHAnsi" w:hAnsiTheme="majorHAnsi"/>
                <w:bCs/>
                <w:sz w:val="20"/>
                <w:szCs w:val="20"/>
                <w:lang w:val="es-ES"/>
              </w:rPr>
              <w:t>), 25 (protección judicial) y 26 (derechos económicos, sociales y culturales) de la Convención Americana</w:t>
            </w:r>
            <w:r w:rsidR="00E40189">
              <w:rPr>
                <w:rFonts w:asciiTheme="majorHAnsi" w:hAnsiTheme="majorHAnsi"/>
                <w:bCs/>
                <w:sz w:val="20"/>
                <w:szCs w:val="20"/>
                <w:lang w:val="es-ES"/>
              </w:rPr>
              <w:t>,</w:t>
            </w:r>
            <w:r w:rsidRPr="00B81692">
              <w:rPr>
                <w:rFonts w:asciiTheme="majorHAnsi" w:hAnsiTheme="majorHAnsi"/>
                <w:lang w:val="es-ES"/>
              </w:rPr>
              <w:t xml:space="preserve"> </w:t>
            </w:r>
            <w:r w:rsidRPr="00B81692">
              <w:rPr>
                <w:rFonts w:asciiTheme="majorHAnsi" w:hAnsiTheme="majorHAnsi"/>
                <w:bCs/>
                <w:sz w:val="20"/>
                <w:szCs w:val="20"/>
                <w:lang w:val="es-ES"/>
              </w:rPr>
              <w:t>en relación con su artículo 1.1 (obligación de respetar los derechos)</w:t>
            </w:r>
            <w:r w:rsidR="00E40189">
              <w:rPr>
                <w:rFonts w:asciiTheme="majorHAnsi" w:hAnsiTheme="majorHAnsi"/>
                <w:bCs/>
                <w:sz w:val="20"/>
                <w:szCs w:val="20"/>
                <w:lang w:val="es-ES"/>
              </w:rPr>
              <w:t>;</w:t>
            </w:r>
            <w:r w:rsidRPr="00B81692">
              <w:rPr>
                <w:rFonts w:asciiTheme="majorHAnsi" w:hAnsiTheme="majorHAnsi"/>
                <w:bCs/>
                <w:sz w:val="20"/>
                <w:szCs w:val="20"/>
                <w:lang w:val="es-ES"/>
              </w:rPr>
              <w:t xml:space="preserve"> y</w:t>
            </w:r>
            <w:r w:rsidR="00E40189">
              <w:rPr>
                <w:rFonts w:asciiTheme="majorHAnsi" w:hAnsiTheme="majorHAnsi"/>
                <w:bCs/>
                <w:sz w:val="20"/>
                <w:szCs w:val="20"/>
                <w:lang w:val="es-ES"/>
              </w:rPr>
              <w:t xml:space="preserve"> el</w:t>
            </w:r>
            <w:r w:rsidRPr="00B81692">
              <w:rPr>
                <w:rFonts w:asciiTheme="majorHAnsi" w:hAnsiTheme="majorHAnsi"/>
                <w:bCs/>
                <w:sz w:val="20"/>
                <w:szCs w:val="20"/>
                <w:lang w:val="es-ES"/>
              </w:rPr>
              <w:t xml:space="preserve"> artículo 7 de la Convención </w:t>
            </w:r>
            <w:r>
              <w:rPr>
                <w:rFonts w:asciiTheme="majorHAnsi" w:hAnsiTheme="majorHAnsi"/>
                <w:bCs/>
                <w:sz w:val="20"/>
                <w:szCs w:val="20"/>
                <w:lang w:val="es-ES"/>
              </w:rPr>
              <w:t xml:space="preserve">de </w:t>
            </w:r>
            <w:r w:rsidRPr="00C85D22">
              <w:rPr>
                <w:rFonts w:asciiTheme="majorHAnsi" w:hAnsiTheme="majorHAnsi"/>
                <w:sz w:val="20"/>
                <w:szCs w:val="20"/>
                <w:lang w:val="es-US"/>
              </w:rPr>
              <w:t>Belém do Pará</w:t>
            </w:r>
          </w:p>
        </w:tc>
      </w:tr>
      <w:tr w:rsidR="003239B8" w:rsidRPr="00CC0A1A" w:rsidTr="004A6A54">
        <w:trPr>
          <w:cantSplit/>
        </w:trPr>
        <w:tc>
          <w:tcPr>
            <w:tcW w:w="3600" w:type="dxa"/>
            <w:tcBorders>
              <w:top w:val="single" w:sz="6" w:space="0" w:color="auto"/>
              <w:bottom w:val="single" w:sz="6" w:space="0" w:color="auto"/>
            </w:tcBorders>
            <w:shd w:val="clear" w:color="auto" w:fill="386294"/>
            <w:vAlign w:val="center"/>
          </w:tcPr>
          <w:p w:rsidR="003239B8" w:rsidRPr="00A036EC" w:rsidRDefault="003239B8" w:rsidP="00A036EC">
            <w:pPr>
              <w:jc w:val="center"/>
              <w:rPr>
                <w:rFonts w:ascii="Cambria" w:hAnsi="Cambria"/>
                <w:b/>
                <w:bCs/>
                <w:color w:val="FFFFFF" w:themeColor="background1"/>
                <w:sz w:val="20"/>
                <w:szCs w:val="20"/>
                <w:lang w:val="es-ES"/>
              </w:rPr>
            </w:pPr>
            <w:r w:rsidRPr="00A036EC">
              <w:rPr>
                <w:rFonts w:ascii="Cambria" w:hAnsi="Cambria"/>
                <w:b/>
                <w:bCs/>
                <w:color w:val="FFFFFF" w:themeColor="background1"/>
                <w:sz w:val="20"/>
                <w:szCs w:val="20"/>
                <w:lang w:val="es-ES"/>
              </w:rPr>
              <w:t>Agotamiento de recursos internos</w:t>
            </w:r>
            <w:r w:rsidR="00EE00E9" w:rsidRPr="00A036EC">
              <w:rPr>
                <w:rFonts w:ascii="Cambria" w:hAnsi="Cambria"/>
                <w:b/>
                <w:bCs/>
                <w:color w:val="FFFFFF" w:themeColor="background1"/>
                <w:sz w:val="20"/>
                <w:szCs w:val="20"/>
                <w:lang w:val="es-ES"/>
              </w:rPr>
              <w:t xml:space="preserve"> o procedencia de una excepción</w:t>
            </w:r>
            <w:r w:rsidRPr="00A036EC">
              <w:rPr>
                <w:rFonts w:ascii="Cambria" w:hAnsi="Cambria"/>
                <w:b/>
                <w:bCs/>
                <w:color w:val="FFFFFF" w:themeColor="background1"/>
                <w:sz w:val="20"/>
                <w:szCs w:val="20"/>
                <w:lang w:val="es-ES"/>
              </w:rPr>
              <w:t>:</w:t>
            </w:r>
          </w:p>
        </w:tc>
        <w:tc>
          <w:tcPr>
            <w:tcW w:w="5760" w:type="dxa"/>
            <w:vAlign w:val="center"/>
          </w:tcPr>
          <w:p w:rsidR="003239B8" w:rsidRPr="005F4DE2" w:rsidRDefault="009A144F" w:rsidP="0086500A">
            <w:pPr>
              <w:jc w:val="both"/>
              <w:rPr>
                <w:rFonts w:ascii="Cambria" w:hAnsi="Cambria"/>
                <w:bCs/>
                <w:sz w:val="20"/>
                <w:szCs w:val="20"/>
                <w:highlight w:val="yellow"/>
                <w:lang w:val="es-ES"/>
              </w:rPr>
            </w:pPr>
            <w:r w:rsidRPr="00A036EC">
              <w:rPr>
                <w:rFonts w:asciiTheme="majorHAnsi" w:hAnsiTheme="majorHAnsi"/>
                <w:bCs/>
                <w:sz w:val="20"/>
                <w:szCs w:val="20"/>
                <w:lang w:val="es-ES_tradnl"/>
              </w:rPr>
              <w:t>Sí</w:t>
            </w:r>
            <w:r w:rsidR="006D630D">
              <w:rPr>
                <w:rFonts w:asciiTheme="majorHAnsi" w:hAnsiTheme="majorHAnsi"/>
                <w:sz w:val="20"/>
                <w:szCs w:val="20"/>
                <w:lang w:val="es-ES"/>
              </w:rPr>
              <w:t>, el 1 de febrero de 2011</w:t>
            </w:r>
          </w:p>
        </w:tc>
      </w:tr>
      <w:tr w:rsidR="003239B8" w:rsidRPr="00B2155F" w:rsidTr="004A6A54">
        <w:trPr>
          <w:cantSplit/>
        </w:trPr>
        <w:tc>
          <w:tcPr>
            <w:tcW w:w="3600" w:type="dxa"/>
            <w:tcBorders>
              <w:top w:val="single" w:sz="6" w:space="0" w:color="auto"/>
              <w:bottom w:val="single" w:sz="6" w:space="0" w:color="auto"/>
            </w:tcBorders>
            <w:shd w:val="clear" w:color="auto" w:fill="386294"/>
            <w:vAlign w:val="center"/>
          </w:tcPr>
          <w:p w:rsidR="003239B8" w:rsidRPr="00A036EC" w:rsidRDefault="003239B8" w:rsidP="00A036EC">
            <w:pPr>
              <w:jc w:val="center"/>
              <w:rPr>
                <w:rFonts w:ascii="Cambria" w:hAnsi="Cambria"/>
                <w:b/>
                <w:bCs/>
                <w:color w:val="FFFFFF" w:themeColor="background1"/>
                <w:sz w:val="20"/>
                <w:szCs w:val="20"/>
              </w:rPr>
            </w:pPr>
            <w:proofErr w:type="spellStart"/>
            <w:r w:rsidRPr="00A036EC">
              <w:rPr>
                <w:rFonts w:ascii="Cambria" w:hAnsi="Cambria"/>
                <w:b/>
                <w:bCs/>
                <w:color w:val="FFFFFF" w:themeColor="background1"/>
                <w:sz w:val="20"/>
                <w:szCs w:val="20"/>
              </w:rPr>
              <w:t>Presentación</w:t>
            </w:r>
            <w:proofErr w:type="spellEnd"/>
            <w:r w:rsidRPr="00A036EC">
              <w:rPr>
                <w:rFonts w:ascii="Cambria" w:hAnsi="Cambria"/>
                <w:b/>
                <w:bCs/>
                <w:color w:val="FFFFFF" w:themeColor="background1"/>
                <w:sz w:val="20"/>
                <w:szCs w:val="20"/>
              </w:rPr>
              <w:t xml:space="preserve"> </w:t>
            </w:r>
            <w:proofErr w:type="spellStart"/>
            <w:r w:rsidRPr="00A036EC">
              <w:rPr>
                <w:rFonts w:ascii="Cambria" w:hAnsi="Cambria"/>
                <w:b/>
                <w:bCs/>
                <w:color w:val="FFFFFF" w:themeColor="background1"/>
                <w:sz w:val="20"/>
                <w:szCs w:val="20"/>
              </w:rPr>
              <w:t>dentro</w:t>
            </w:r>
            <w:proofErr w:type="spellEnd"/>
            <w:r w:rsidRPr="00A036EC">
              <w:rPr>
                <w:rFonts w:ascii="Cambria" w:hAnsi="Cambria"/>
                <w:b/>
                <w:bCs/>
                <w:color w:val="FFFFFF" w:themeColor="background1"/>
                <w:sz w:val="20"/>
                <w:szCs w:val="20"/>
              </w:rPr>
              <w:t xml:space="preserve"> de </w:t>
            </w:r>
            <w:proofErr w:type="spellStart"/>
            <w:r w:rsidRPr="00A036EC">
              <w:rPr>
                <w:rFonts w:ascii="Cambria" w:hAnsi="Cambria"/>
                <w:b/>
                <w:bCs/>
                <w:color w:val="FFFFFF" w:themeColor="background1"/>
                <w:sz w:val="20"/>
                <w:szCs w:val="20"/>
              </w:rPr>
              <w:t>plazo</w:t>
            </w:r>
            <w:proofErr w:type="spellEnd"/>
            <w:r w:rsidRPr="00A036EC">
              <w:rPr>
                <w:rFonts w:ascii="Cambria" w:hAnsi="Cambria"/>
                <w:b/>
                <w:bCs/>
                <w:color w:val="FFFFFF" w:themeColor="background1"/>
                <w:sz w:val="20"/>
                <w:szCs w:val="20"/>
              </w:rPr>
              <w:t>:</w:t>
            </w:r>
          </w:p>
        </w:tc>
        <w:tc>
          <w:tcPr>
            <w:tcW w:w="5760" w:type="dxa"/>
            <w:vAlign w:val="center"/>
          </w:tcPr>
          <w:p w:rsidR="003239B8" w:rsidRPr="00A036EC" w:rsidRDefault="003129EE" w:rsidP="0086500A">
            <w:pPr>
              <w:rPr>
                <w:rFonts w:ascii="Cambria" w:hAnsi="Cambria"/>
                <w:bCs/>
                <w:sz w:val="20"/>
                <w:szCs w:val="20"/>
              </w:rPr>
            </w:pPr>
            <w:r>
              <w:rPr>
                <w:rFonts w:asciiTheme="majorHAnsi" w:hAnsiTheme="majorHAnsi"/>
                <w:bCs/>
                <w:sz w:val="20"/>
                <w:szCs w:val="20"/>
                <w:lang w:val="es-ES_tradnl"/>
              </w:rPr>
              <w:t>Sí</w:t>
            </w:r>
          </w:p>
        </w:tc>
      </w:tr>
    </w:tbl>
    <w:p w:rsidR="003239B8" w:rsidRDefault="00223A29" w:rsidP="007174A2">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9A144F" w:rsidRPr="00B81692" w:rsidRDefault="009A144F" w:rsidP="009A144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suppressAutoHyphens/>
        <w:spacing w:after="240"/>
        <w:ind w:left="90" w:firstLine="630"/>
        <w:jc w:val="both"/>
        <w:rPr>
          <w:rFonts w:asciiTheme="majorHAnsi" w:hAnsiTheme="majorHAnsi"/>
          <w:color w:val="auto"/>
          <w:sz w:val="20"/>
          <w:szCs w:val="20"/>
          <w:lang w:val="es-ES_tradnl"/>
        </w:rPr>
      </w:pPr>
      <w:r w:rsidRPr="00B81692">
        <w:rPr>
          <w:rFonts w:asciiTheme="majorHAnsi" w:hAnsiTheme="majorHAnsi"/>
          <w:color w:val="auto"/>
          <w:sz w:val="20"/>
          <w:szCs w:val="20"/>
          <w:lang w:val="es-ES_tradnl"/>
        </w:rPr>
        <w:t xml:space="preserve">La parte peticionaria </w:t>
      </w:r>
      <w:r w:rsidR="00D315AB">
        <w:rPr>
          <w:rFonts w:asciiTheme="majorHAnsi" w:hAnsiTheme="majorHAnsi"/>
          <w:color w:val="auto"/>
          <w:sz w:val="20"/>
          <w:szCs w:val="20"/>
          <w:lang w:val="es-ES_tradnl"/>
        </w:rPr>
        <w:t xml:space="preserve">señala </w:t>
      </w:r>
      <w:r w:rsidRPr="00B81692">
        <w:rPr>
          <w:rFonts w:asciiTheme="majorHAnsi" w:hAnsiTheme="majorHAnsi"/>
          <w:color w:val="auto"/>
          <w:sz w:val="20"/>
          <w:szCs w:val="20"/>
          <w:lang w:val="es-ES_tradnl"/>
        </w:rPr>
        <w:t>que l</w:t>
      </w:r>
      <w:r w:rsidR="005028B9">
        <w:rPr>
          <w:rFonts w:asciiTheme="majorHAnsi" w:hAnsiTheme="majorHAnsi"/>
          <w:color w:val="auto"/>
          <w:sz w:val="20"/>
          <w:szCs w:val="20"/>
          <w:lang w:val="es-ES_tradnl"/>
        </w:rPr>
        <w:t>a Sra. María Alejandra Villegas</w:t>
      </w:r>
      <w:r w:rsidRPr="00B81692">
        <w:rPr>
          <w:rFonts w:asciiTheme="majorHAnsi" w:hAnsiTheme="majorHAnsi"/>
          <w:color w:val="auto"/>
          <w:sz w:val="20"/>
          <w:szCs w:val="20"/>
          <w:lang w:val="es-ES_tradnl"/>
        </w:rPr>
        <w:t xml:space="preserve"> </w:t>
      </w:r>
      <w:r w:rsidR="00737E73">
        <w:rPr>
          <w:rFonts w:asciiTheme="majorHAnsi" w:hAnsiTheme="majorHAnsi"/>
          <w:color w:val="auto"/>
          <w:sz w:val="20"/>
          <w:szCs w:val="20"/>
          <w:lang w:val="es-ES_tradnl"/>
        </w:rPr>
        <w:t>llevó adelante</w:t>
      </w:r>
      <w:r w:rsidRPr="00B81692">
        <w:rPr>
          <w:rFonts w:asciiTheme="majorHAnsi" w:hAnsiTheme="majorHAnsi"/>
          <w:color w:val="auto"/>
          <w:sz w:val="20"/>
          <w:szCs w:val="20"/>
          <w:lang w:val="es-ES_tradnl"/>
        </w:rPr>
        <w:t xml:space="preserve"> un proceso judicial por daños y perjuicios</w:t>
      </w:r>
      <w:r w:rsidR="00737E73">
        <w:rPr>
          <w:rFonts w:asciiTheme="majorHAnsi" w:hAnsiTheme="majorHAnsi"/>
          <w:color w:val="auto"/>
          <w:sz w:val="20"/>
          <w:szCs w:val="20"/>
          <w:lang w:val="es-ES_tradnl"/>
        </w:rPr>
        <w:t xml:space="preserve"> </w:t>
      </w:r>
      <w:r w:rsidR="00737E73" w:rsidRPr="00B81692">
        <w:rPr>
          <w:rFonts w:asciiTheme="majorHAnsi" w:hAnsiTheme="majorHAnsi"/>
          <w:color w:val="auto"/>
          <w:sz w:val="20"/>
          <w:szCs w:val="20"/>
          <w:lang w:val="es-ES_tradnl"/>
        </w:rPr>
        <w:t xml:space="preserve">a raíz de una mala </w:t>
      </w:r>
      <w:r w:rsidR="00737E73">
        <w:rPr>
          <w:rFonts w:asciiTheme="majorHAnsi" w:hAnsiTheme="majorHAnsi"/>
          <w:color w:val="auto"/>
          <w:sz w:val="20"/>
          <w:szCs w:val="20"/>
          <w:lang w:val="es-ES_tradnl"/>
        </w:rPr>
        <w:t>práctica</w:t>
      </w:r>
      <w:r w:rsidR="00737E73" w:rsidRPr="00B81692">
        <w:rPr>
          <w:rFonts w:asciiTheme="majorHAnsi" w:hAnsiTheme="majorHAnsi"/>
          <w:color w:val="auto"/>
          <w:sz w:val="20"/>
          <w:szCs w:val="20"/>
          <w:lang w:val="es-ES_tradnl"/>
        </w:rPr>
        <w:t xml:space="preserve"> médica de la cual resultó estéril</w:t>
      </w:r>
      <w:r w:rsidR="00737E73">
        <w:rPr>
          <w:rFonts w:asciiTheme="majorHAnsi" w:hAnsiTheme="majorHAnsi"/>
          <w:color w:val="auto"/>
          <w:sz w:val="20"/>
          <w:szCs w:val="20"/>
          <w:lang w:val="es-ES_tradnl"/>
        </w:rPr>
        <w:t>. Alega</w:t>
      </w:r>
      <w:r w:rsidRPr="00B81692">
        <w:rPr>
          <w:rFonts w:asciiTheme="majorHAnsi" w:hAnsiTheme="majorHAnsi"/>
          <w:color w:val="auto"/>
          <w:sz w:val="20"/>
          <w:szCs w:val="20"/>
          <w:lang w:val="es-ES_tradnl"/>
        </w:rPr>
        <w:t xml:space="preserve"> que los procesos judiciales</w:t>
      </w:r>
      <w:r w:rsidR="00737E73">
        <w:rPr>
          <w:rFonts w:asciiTheme="majorHAnsi" w:hAnsiTheme="majorHAnsi"/>
          <w:color w:val="auto"/>
          <w:sz w:val="20"/>
          <w:szCs w:val="20"/>
          <w:lang w:val="es-ES_tradnl"/>
        </w:rPr>
        <w:t xml:space="preserve"> internos</w:t>
      </w:r>
      <w:r w:rsidRPr="00B81692">
        <w:rPr>
          <w:rFonts w:asciiTheme="majorHAnsi" w:hAnsiTheme="majorHAnsi"/>
          <w:color w:val="auto"/>
          <w:sz w:val="20"/>
          <w:szCs w:val="20"/>
          <w:lang w:val="es-ES_tradnl"/>
        </w:rPr>
        <w:t xml:space="preserve"> fueron irregulares y arbitrarios</w:t>
      </w:r>
      <w:r w:rsidR="00737E73">
        <w:rPr>
          <w:rFonts w:asciiTheme="majorHAnsi" w:hAnsiTheme="majorHAnsi"/>
          <w:color w:val="auto"/>
          <w:sz w:val="20"/>
          <w:szCs w:val="20"/>
          <w:lang w:val="es-ES_tradnl"/>
        </w:rPr>
        <w:t>; y que</w:t>
      </w:r>
      <w:r>
        <w:rPr>
          <w:rFonts w:asciiTheme="majorHAnsi" w:hAnsiTheme="majorHAnsi"/>
          <w:color w:val="auto"/>
          <w:sz w:val="20"/>
          <w:szCs w:val="20"/>
          <w:lang w:val="es-ES_tradnl"/>
        </w:rPr>
        <w:t xml:space="preserve"> no tuvo </w:t>
      </w:r>
      <w:r w:rsidRPr="00B81692">
        <w:rPr>
          <w:rFonts w:asciiTheme="majorHAnsi" w:hAnsiTheme="majorHAnsi"/>
          <w:color w:val="auto"/>
          <w:sz w:val="20"/>
          <w:szCs w:val="20"/>
          <w:lang w:val="es-ES_tradnl"/>
        </w:rPr>
        <w:t xml:space="preserve">acceso a un tribunal independiente e imparcial, ni </w:t>
      </w:r>
      <w:r w:rsidR="00D315AB">
        <w:rPr>
          <w:rFonts w:asciiTheme="majorHAnsi" w:hAnsiTheme="majorHAnsi"/>
          <w:color w:val="auto"/>
          <w:sz w:val="20"/>
          <w:szCs w:val="20"/>
          <w:lang w:val="es-ES_tradnl"/>
        </w:rPr>
        <w:t xml:space="preserve">a </w:t>
      </w:r>
      <w:r w:rsidRPr="00B81692">
        <w:rPr>
          <w:rFonts w:asciiTheme="majorHAnsi" w:hAnsiTheme="majorHAnsi"/>
          <w:color w:val="auto"/>
          <w:sz w:val="20"/>
          <w:szCs w:val="20"/>
          <w:lang w:val="es-ES_tradnl"/>
        </w:rPr>
        <w:t xml:space="preserve">una decisión debidamente fundada. </w:t>
      </w:r>
    </w:p>
    <w:p w:rsidR="009A144F" w:rsidRPr="00085B11" w:rsidRDefault="009A144F" w:rsidP="00F864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85B11">
        <w:rPr>
          <w:rFonts w:asciiTheme="majorHAnsi" w:hAnsiTheme="majorHAnsi"/>
          <w:sz w:val="20"/>
          <w:szCs w:val="20"/>
          <w:lang w:val="es-ES_tradnl"/>
        </w:rPr>
        <w:t>2.</w:t>
      </w:r>
      <w:r w:rsidRPr="00085B11">
        <w:rPr>
          <w:rFonts w:asciiTheme="majorHAnsi" w:hAnsiTheme="majorHAnsi"/>
          <w:sz w:val="20"/>
          <w:szCs w:val="20"/>
          <w:lang w:val="es-ES_tradnl"/>
        </w:rPr>
        <w:tab/>
      </w:r>
      <w:r w:rsidR="00977F73">
        <w:rPr>
          <w:rFonts w:asciiTheme="majorHAnsi" w:hAnsiTheme="majorHAnsi"/>
          <w:sz w:val="20"/>
          <w:szCs w:val="20"/>
          <w:lang w:val="es-ES_tradnl"/>
        </w:rPr>
        <w:t xml:space="preserve">De acuerdo a lo narrado por el </w:t>
      </w:r>
      <w:r w:rsidR="005F6374" w:rsidRPr="00977F73">
        <w:rPr>
          <w:rFonts w:asciiTheme="majorHAnsi" w:hAnsiTheme="majorHAnsi"/>
          <w:sz w:val="20"/>
          <w:szCs w:val="20"/>
          <w:lang w:val="es-ES_tradnl"/>
        </w:rPr>
        <w:t>peticionario</w:t>
      </w:r>
      <w:r w:rsidR="00977F73">
        <w:rPr>
          <w:rFonts w:asciiTheme="majorHAnsi" w:hAnsiTheme="majorHAnsi"/>
          <w:sz w:val="20"/>
          <w:szCs w:val="20"/>
          <w:lang w:val="es-ES_tradnl"/>
        </w:rPr>
        <w:t>,</w:t>
      </w:r>
      <w:r w:rsidR="005F6374" w:rsidRPr="00977F73">
        <w:rPr>
          <w:rFonts w:asciiTheme="majorHAnsi" w:hAnsiTheme="majorHAnsi"/>
          <w:sz w:val="20"/>
          <w:szCs w:val="20"/>
          <w:lang w:val="es-ES_tradnl"/>
        </w:rPr>
        <w:t xml:space="preserve"> la</w:t>
      </w:r>
      <w:r w:rsidR="00977F73">
        <w:rPr>
          <w:rFonts w:asciiTheme="majorHAnsi" w:hAnsiTheme="majorHAnsi"/>
          <w:sz w:val="20"/>
          <w:szCs w:val="20"/>
          <w:lang w:val="es-ES_tradnl"/>
        </w:rPr>
        <w:t xml:space="preserve"> Sra. Villegas </w:t>
      </w:r>
      <w:r w:rsidR="00BA5472">
        <w:rPr>
          <w:rFonts w:asciiTheme="majorHAnsi" w:hAnsiTheme="majorHAnsi"/>
          <w:sz w:val="20"/>
          <w:szCs w:val="20"/>
          <w:lang w:val="es-ES_tradnl"/>
        </w:rPr>
        <w:t xml:space="preserve">tenía una </w:t>
      </w:r>
      <w:r w:rsidR="00D321CC">
        <w:rPr>
          <w:rFonts w:asciiTheme="majorHAnsi" w:hAnsiTheme="majorHAnsi"/>
          <w:sz w:val="20"/>
          <w:szCs w:val="20"/>
          <w:lang w:val="es-ES_tradnl"/>
        </w:rPr>
        <w:t>condición de salud denominada</w:t>
      </w:r>
      <w:r w:rsidR="00FD7AAC">
        <w:rPr>
          <w:rFonts w:asciiTheme="majorHAnsi" w:hAnsiTheme="majorHAnsi"/>
          <w:sz w:val="20"/>
          <w:szCs w:val="20"/>
          <w:lang w:val="es-ES_tradnl"/>
        </w:rPr>
        <w:t xml:space="preserve"> </w:t>
      </w:r>
      <w:r w:rsidR="00977F73" w:rsidRPr="00977F73">
        <w:rPr>
          <w:rFonts w:asciiTheme="majorHAnsi" w:hAnsiTheme="majorHAnsi"/>
          <w:sz w:val="20"/>
          <w:szCs w:val="20"/>
          <w:lang w:val="es-ES_tradnl"/>
        </w:rPr>
        <w:t>“</w:t>
      </w:r>
      <w:r w:rsidR="00977F73" w:rsidRPr="00977F73">
        <w:rPr>
          <w:rFonts w:asciiTheme="majorHAnsi" w:hAnsiTheme="majorHAnsi"/>
          <w:i/>
          <w:sz w:val="20"/>
          <w:szCs w:val="20"/>
          <w:lang w:val="es-ES_tradnl"/>
        </w:rPr>
        <w:t>deformaciones expansivas quísticas con ecos finos de distribución homogénea (…) que son compatibles con probables quistes endométricos”</w:t>
      </w:r>
      <w:r w:rsidR="00BA5472">
        <w:rPr>
          <w:rFonts w:asciiTheme="majorHAnsi" w:hAnsiTheme="majorHAnsi"/>
          <w:i/>
          <w:sz w:val="20"/>
          <w:szCs w:val="20"/>
          <w:lang w:val="es-ES_tradnl"/>
        </w:rPr>
        <w:t>,</w:t>
      </w:r>
      <w:r w:rsidR="00977F73" w:rsidRPr="00977F73">
        <w:rPr>
          <w:rFonts w:asciiTheme="majorHAnsi" w:hAnsiTheme="majorHAnsi"/>
          <w:i/>
          <w:sz w:val="20"/>
          <w:szCs w:val="20"/>
          <w:lang w:val="es-ES_tradnl"/>
        </w:rPr>
        <w:t xml:space="preserve"> </w:t>
      </w:r>
      <w:r w:rsidR="00977F73" w:rsidRPr="00977F73">
        <w:rPr>
          <w:rFonts w:asciiTheme="majorHAnsi" w:hAnsiTheme="majorHAnsi"/>
          <w:sz w:val="20"/>
          <w:szCs w:val="20"/>
          <w:lang w:val="es-ES_tradnl"/>
        </w:rPr>
        <w:t>que le habían diagnosticado previamente</w:t>
      </w:r>
      <w:r w:rsidR="00D321CC">
        <w:rPr>
          <w:rFonts w:asciiTheme="majorHAnsi" w:hAnsiTheme="majorHAnsi"/>
          <w:sz w:val="20"/>
          <w:szCs w:val="20"/>
          <w:lang w:val="es-ES_tradnl"/>
        </w:rPr>
        <w:t xml:space="preserve">, </w:t>
      </w:r>
      <w:r w:rsidR="00BA5472">
        <w:rPr>
          <w:rFonts w:asciiTheme="majorHAnsi" w:hAnsiTheme="majorHAnsi"/>
          <w:sz w:val="20"/>
          <w:szCs w:val="20"/>
          <w:lang w:val="es-ES_tradnl"/>
        </w:rPr>
        <w:t xml:space="preserve">por lo cual </w:t>
      </w:r>
      <w:r w:rsidR="00D321CC">
        <w:rPr>
          <w:rFonts w:asciiTheme="majorHAnsi" w:hAnsiTheme="majorHAnsi"/>
          <w:sz w:val="20"/>
          <w:szCs w:val="20"/>
          <w:lang w:val="es-ES_tradnl"/>
        </w:rPr>
        <w:t>acudió</w:t>
      </w:r>
      <w:r w:rsidR="00977F73">
        <w:rPr>
          <w:rFonts w:asciiTheme="majorHAnsi" w:hAnsiTheme="majorHAnsi"/>
          <w:sz w:val="20"/>
          <w:szCs w:val="20"/>
          <w:lang w:val="es-ES_tradnl"/>
        </w:rPr>
        <w:t xml:space="preserve"> </w:t>
      </w:r>
      <w:r w:rsidR="00BA5472">
        <w:rPr>
          <w:rFonts w:asciiTheme="majorHAnsi" w:hAnsiTheme="majorHAnsi"/>
          <w:sz w:val="20"/>
          <w:szCs w:val="20"/>
          <w:lang w:val="es-ES_tradnl"/>
        </w:rPr>
        <w:t>a la consulta privada de un médico</w:t>
      </w:r>
      <w:r w:rsidR="00977F73">
        <w:rPr>
          <w:rFonts w:asciiTheme="majorHAnsi" w:hAnsiTheme="majorHAnsi"/>
          <w:sz w:val="20"/>
          <w:szCs w:val="20"/>
          <w:lang w:val="es-ES_tradnl"/>
        </w:rPr>
        <w:t xml:space="preserve"> </w:t>
      </w:r>
      <w:r w:rsidR="00A30A4F">
        <w:rPr>
          <w:rFonts w:asciiTheme="majorHAnsi" w:hAnsiTheme="majorHAnsi"/>
          <w:sz w:val="20"/>
          <w:szCs w:val="20"/>
          <w:lang w:val="es-ES_tradnl"/>
        </w:rPr>
        <w:t>cirujano general</w:t>
      </w:r>
      <w:r w:rsidR="00977F73">
        <w:rPr>
          <w:rFonts w:asciiTheme="majorHAnsi" w:hAnsiTheme="majorHAnsi"/>
          <w:sz w:val="20"/>
          <w:szCs w:val="20"/>
          <w:lang w:val="es-ES_tradnl"/>
        </w:rPr>
        <w:t xml:space="preserve">. </w:t>
      </w:r>
      <w:r w:rsidR="00FD7AAC">
        <w:rPr>
          <w:rFonts w:asciiTheme="majorHAnsi" w:hAnsiTheme="majorHAnsi"/>
          <w:sz w:val="20"/>
          <w:szCs w:val="20"/>
          <w:lang w:val="es-ES_tradnl"/>
        </w:rPr>
        <w:t>Señala</w:t>
      </w:r>
      <w:r w:rsidR="00977F73">
        <w:rPr>
          <w:rFonts w:asciiTheme="majorHAnsi" w:hAnsiTheme="majorHAnsi"/>
          <w:sz w:val="20"/>
          <w:szCs w:val="20"/>
          <w:lang w:val="es-ES_tradnl"/>
        </w:rPr>
        <w:t xml:space="preserve"> que este médico le </w:t>
      </w:r>
      <w:r w:rsidR="00D321CC">
        <w:rPr>
          <w:rFonts w:asciiTheme="majorHAnsi" w:hAnsiTheme="majorHAnsi"/>
          <w:sz w:val="20"/>
          <w:szCs w:val="20"/>
          <w:lang w:val="es-ES_tradnl"/>
        </w:rPr>
        <w:t>comunicó</w:t>
      </w:r>
      <w:r w:rsidR="00977F73">
        <w:rPr>
          <w:rFonts w:asciiTheme="majorHAnsi" w:hAnsiTheme="majorHAnsi"/>
          <w:sz w:val="20"/>
          <w:szCs w:val="20"/>
          <w:lang w:val="es-ES_tradnl"/>
        </w:rPr>
        <w:t xml:space="preserve"> que su “asunto” era grave y le propuso una in</w:t>
      </w:r>
      <w:r w:rsidR="0042477E">
        <w:rPr>
          <w:rFonts w:asciiTheme="majorHAnsi" w:hAnsiTheme="majorHAnsi"/>
          <w:sz w:val="20"/>
          <w:szCs w:val="20"/>
          <w:lang w:val="es-ES_tradnl"/>
        </w:rPr>
        <w:t>tervención quirúrgica inmediata;</w:t>
      </w:r>
      <w:r w:rsidR="00977F73">
        <w:rPr>
          <w:rFonts w:asciiTheme="majorHAnsi" w:hAnsiTheme="majorHAnsi"/>
          <w:sz w:val="20"/>
          <w:szCs w:val="20"/>
          <w:lang w:val="es-ES_tradnl"/>
        </w:rPr>
        <w:t xml:space="preserve"> pero, </w:t>
      </w:r>
      <w:r w:rsidR="00FD7AAC">
        <w:rPr>
          <w:rFonts w:asciiTheme="majorHAnsi" w:hAnsiTheme="majorHAnsi"/>
          <w:sz w:val="20"/>
          <w:szCs w:val="20"/>
          <w:lang w:val="es-ES_tradnl"/>
        </w:rPr>
        <w:t xml:space="preserve">que </w:t>
      </w:r>
      <w:r w:rsidR="00977F73">
        <w:rPr>
          <w:rFonts w:asciiTheme="majorHAnsi" w:hAnsiTheme="majorHAnsi"/>
          <w:sz w:val="20"/>
          <w:szCs w:val="20"/>
          <w:lang w:val="es-ES_tradnl"/>
        </w:rPr>
        <w:t xml:space="preserve">también </w:t>
      </w:r>
      <w:r w:rsidR="00FD7AAC">
        <w:rPr>
          <w:rFonts w:asciiTheme="majorHAnsi" w:hAnsiTheme="majorHAnsi"/>
          <w:sz w:val="20"/>
          <w:szCs w:val="20"/>
          <w:lang w:val="es-ES_tradnl"/>
        </w:rPr>
        <w:t xml:space="preserve">le </w:t>
      </w:r>
      <w:r w:rsidR="00D321CC">
        <w:rPr>
          <w:rFonts w:asciiTheme="majorHAnsi" w:hAnsiTheme="majorHAnsi"/>
          <w:sz w:val="20"/>
          <w:szCs w:val="20"/>
          <w:lang w:val="es-ES_tradnl"/>
        </w:rPr>
        <w:t>expresó</w:t>
      </w:r>
      <w:r w:rsidR="00977F73">
        <w:rPr>
          <w:rFonts w:asciiTheme="majorHAnsi" w:hAnsiTheme="majorHAnsi"/>
          <w:sz w:val="20"/>
          <w:szCs w:val="20"/>
          <w:lang w:val="es-ES_tradnl"/>
        </w:rPr>
        <w:t xml:space="preserve"> que la operación era de rutina</w:t>
      </w:r>
      <w:r w:rsidR="0042477E">
        <w:rPr>
          <w:rFonts w:asciiTheme="majorHAnsi" w:hAnsiTheme="majorHAnsi"/>
          <w:sz w:val="20"/>
          <w:szCs w:val="20"/>
          <w:lang w:val="es-ES_tradnl"/>
        </w:rPr>
        <w:t>,</w:t>
      </w:r>
      <w:r w:rsidR="00977F73">
        <w:rPr>
          <w:rFonts w:asciiTheme="majorHAnsi" w:hAnsiTheme="majorHAnsi"/>
          <w:sz w:val="20"/>
          <w:szCs w:val="20"/>
          <w:lang w:val="es-ES_tradnl"/>
        </w:rPr>
        <w:t xml:space="preserve"> que se había “cansado de hacerla”</w:t>
      </w:r>
      <w:r w:rsidR="00845769">
        <w:rPr>
          <w:rFonts w:asciiTheme="majorHAnsi" w:hAnsiTheme="majorHAnsi"/>
          <w:sz w:val="20"/>
          <w:szCs w:val="20"/>
          <w:lang w:val="es-ES_tradnl"/>
        </w:rPr>
        <w:t xml:space="preserve"> y que “no quedarían consecuencias de la intervención”</w:t>
      </w:r>
      <w:r w:rsidR="00977F73">
        <w:rPr>
          <w:rFonts w:asciiTheme="majorHAnsi" w:hAnsiTheme="majorHAnsi"/>
          <w:sz w:val="20"/>
          <w:szCs w:val="20"/>
          <w:lang w:val="es-ES_tradnl"/>
        </w:rPr>
        <w:t>.</w:t>
      </w:r>
      <w:r w:rsidR="00BA5472" w:rsidRPr="00BA5472">
        <w:rPr>
          <w:rFonts w:asciiTheme="majorHAnsi" w:hAnsiTheme="majorHAnsi"/>
          <w:sz w:val="20"/>
          <w:szCs w:val="20"/>
          <w:lang w:val="es-ES_tradnl"/>
        </w:rPr>
        <w:t xml:space="preserve"> </w:t>
      </w:r>
      <w:r w:rsidR="00FD7AAC">
        <w:rPr>
          <w:rFonts w:asciiTheme="majorHAnsi" w:hAnsiTheme="majorHAnsi"/>
          <w:sz w:val="20"/>
          <w:szCs w:val="20"/>
          <w:lang w:val="es-ES_tradnl"/>
        </w:rPr>
        <w:t>Indica</w:t>
      </w:r>
      <w:r w:rsidR="00BA5472">
        <w:rPr>
          <w:rFonts w:asciiTheme="majorHAnsi" w:hAnsiTheme="majorHAnsi"/>
          <w:sz w:val="20"/>
          <w:szCs w:val="20"/>
          <w:lang w:val="es-ES_tradnl"/>
        </w:rPr>
        <w:t xml:space="preserve"> que l</w:t>
      </w:r>
      <w:r w:rsidR="00BA5472" w:rsidRPr="00977F73">
        <w:rPr>
          <w:rFonts w:asciiTheme="majorHAnsi" w:hAnsiTheme="majorHAnsi"/>
          <w:sz w:val="20"/>
          <w:szCs w:val="20"/>
          <w:lang w:val="es-ES_tradnl"/>
        </w:rPr>
        <w:t xml:space="preserve">a </w:t>
      </w:r>
      <w:r w:rsidR="00296261">
        <w:rPr>
          <w:rFonts w:asciiTheme="majorHAnsi" w:hAnsiTheme="majorHAnsi"/>
          <w:sz w:val="20"/>
          <w:szCs w:val="20"/>
          <w:lang w:val="es-ES_tradnl"/>
        </w:rPr>
        <w:t xml:space="preserve">presunta víctima se realizó la </w:t>
      </w:r>
      <w:r w:rsidR="00BA5472">
        <w:rPr>
          <w:rFonts w:asciiTheme="majorHAnsi" w:hAnsiTheme="majorHAnsi"/>
          <w:sz w:val="20"/>
          <w:szCs w:val="20"/>
          <w:lang w:val="es-ES_tradnl"/>
        </w:rPr>
        <w:t>intervención quirúrgica</w:t>
      </w:r>
      <w:r w:rsidR="00F86493">
        <w:rPr>
          <w:rFonts w:asciiTheme="majorHAnsi" w:hAnsiTheme="majorHAnsi"/>
          <w:sz w:val="20"/>
          <w:szCs w:val="20"/>
          <w:lang w:val="es-ES_tradnl"/>
        </w:rPr>
        <w:t>, en ese entonces de veinticuatro años de edad</w:t>
      </w:r>
      <w:r w:rsidR="00DC1489">
        <w:rPr>
          <w:rFonts w:asciiTheme="majorHAnsi" w:hAnsiTheme="majorHAnsi"/>
          <w:sz w:val="20"/>
          <w:szCs w:val="20"/>
          <w:lang w:val="es-ES_tradnl"/>
        </w:rPr>
        <w:t>,</w:t>
      </w:r>
      <w:r w:rsidR="00296261">
        <w:rPr>
          <w:rFonts w:asciiTheme="majorHAnsi" w:hAnsiTheme="majorHAnsi"/>
          <w:sz w:val="20"/>
          <w:szCs w:val="20"/>
          <w:lang w:val="es-ES_tradnl"/>
        </w:rPr>
        <w:t xml:space="preserve"> </w:t>
      </w:r>
      <w:r w:rsidR="00DC1489">
        <w:rPr>
          <w:rFonts w:asciiTheme="majorHAnsi" w:hAnsiTheme="majorHAnsi"/>
          <w:sz w:val="20"/>
          <w:szCs w:val="20"/>
          <w:lang w:val="es-ES_tradnl"/>
        </w:rPr>
        <w:t xml:space="preserve">el 5 de mayo de 2003 </w:t>
      </w:r>
      <w:r w:rsidR="00F86493">
        <w:rPr>
          <w:rFonts w:asciiTheme="majorHAnsi" w:hAnsiTheme="majorHAnsi"/>
          <w:sz w:val="20"/>
          <w:szCs w:val="20"/>
          <w:lang w:val="es-ES_tradnl"/>
        </w:rPr>
        <w:t xml:space="preserve">por personal del </w:t>
      </w:r>
      <w:r w:rsidR="00F86493" w:rsidRPr="00085B11">
        <w:rPr>
          <w:rFonts w:asciiTheme="majorHAnsi" w:hAnsiTheme="majorHAnsi"/>
          <w:sz w:val="20"/>
          <w:szCs w:val="20"/>
          <w:lang w:val="es-ES_tradnl"/>
        </w:rPr>
        <w:t xml:space="preserve">hospital privado </w:t>
      </w:r>
      <w:r w:rsidR="00F86493">
        <w:rPr>
          <w:rFonts w:asciiTheme="majorHAnsi" w:hAnsiTheme="majorHAnsi"/>
          <w:sz w:val="20"/>
          <w:szCs w:val="20"/>
          <w:lang w:val="es-ES_tradnl"/>
        </w:rPr>
        <w:t>“</w:t>
      </w:r>
      <w:r w:rsidR="00F86493" w:rsidRPr="00085B11">
        <w:rPr>
          <w:rFonts w:asciiTheme="majorHAnsi" w:hAnsiTheme="majorHAnsi"/>
          <w:sz w:val="20"/>
          <w:szCs w:val="20"/>
          <w:lang w:val="es-ES_tradnl"/>
        </w:rPr>
        <w:t>Policlínico de Cuyo</w:t>
      </w:r>
      <w:r w:rsidR="00F86493">
        <w:rPr>
          <w:rFonts w:asciiTheme="majorHAnsi" w:hAnsiTheme="majorHAnsi"/>
          <w:sz w:val="20"/>
          <w:szCs w:val="20"/>
          <w:lang w:val="es-ES_tradnl"/>
        </w:rPr>
        <w:t>”,</w:t>
      </w:r>
      <w:r w:rsidR="00004D72">
        <w:rPr>
          <w:rFonts w:asciiTheme="majorHAnsi" w:hAnsiTheme="majorHAnsi"/>
          <w:sz w:val="20"/>
          <w:szCs w:val="20"/>
          <w:lang w:val="es-ES_tradnl"/>
        </w:rPr>
        <w:t xml:space="preserve"> en el cual trabajaba el </w:t>
      </w:r>
      <w:r w:rsidR="00A30A4F">
        <w:rPr>
          <w:rFonts w:asciiTheme="majorHAnsi" w:hAnsiTheme="majorHAnsi"/>
          <w:sz w:val="20"/>
          <w:szCs w:val="20"/>
          <w:lang w:val="es-ES_tradnl"/>
        </w:rPr>
        <w:t>cirujano general</w:t>
      </w:r>
      <w:r w:rsidR="00004D72">
        <w:rPr>
          <w:rFonts w:asciiTheme="majorHAnsi" w:hAnsiTheme="majorHAnsi"/>
          <w:sz w:val="20"/>
          <w:szCs w:val="20"/>
          <w:lang w:val="es-ES_tradnl"/>
        </w:rPr>
        <w:t xml:space="preserve"> que</w:t>
      </w:r>
      <w:r w:rsidR="00DC1489">
        <w:rPr>
          <w:rFonts w:asciiTheme="majorHAnsi" w:hAnsiTheme="majorHAnsi"/>
          <w:sz w:val="20"/>
          <w:szCs w:val="20"/>
          <w:lang w:val="es-ES_tradnl"/>
        </w:rPr>
        <w:t xml:space="preserve"> la atendió</w:t>
      </w:r>
      <w:r w:rsidR="00004D72">
        <w:rPr>
          <w:rFonts w:asciiTheme="majorHAnsi" w:hAnsiTheme="majorHAnsi"/>
          <w:sz w:val="20"/>
          <w:szCs w:val="20"/>
          <w:lang w:val="es-ES_tradnl"/>
        </w:rPr>
        <w:t xml:space="preserve"> previamente en su consulta privada en</w:t>
      </w:r>
      <w:r w:rsidR="00F86493">
        <w:rPr>
          <w:rFonts w:asciiTheme="majorHAnsi" w:hAnsiTheme="majorHAnsi"/>
          <w:sz w:val="20"/>
          <w:szCs w:val="20"/>
          <w:lang w:val="es-ES_tradnl"/>
        </w:rPr>
        <w:t xml:space="preserve"> la ciudad de </w:t>
      </w:r>
      <w:r w:rsidR="00DC1489" w:rsidRPr="00085B11">
        <w:rPr>
          <w:rFonts w:asciiTheme="majorHAnsi" w:hAnsiTheme="majorHAnsi"/>
          <w:sz w:val="20"/>
          <w:szCs w:val="20"/>
          <w:lang w:val="es-ES_tradnl"/>
        </w:rPr>
        <w:t>Mendoza</w:t>
      </w:r>
      <w:r w:rsidR="00DC1489">
        <w:rPr>
          <w:rFonts w:asciiTheme="majorHAnsi" w:hAnsiTheme="majorHAnsi"/>
          <w:sz w:val="20"/>
          <w:szCs w:val="20"/>
          <w:lang w:val="es-ES_tradnl"/>
        </w:rPr>
        <w:t>.</w:t>
      </w:r>
      <w:r w:rsidR="00296261">
        <w:rPr>
          <w:rFonts w:asciiTheme="majorHAnsi" w:hAnsiTheme="majorHAnsi"/>
          <w:sz w:val="20"/>
          <w:szCs w:val="20"/>
          <w:lang w:val="es-ES_tradnl"/>
        </w:rPr>
        <w:t xml:space="preserve"> Conforme a lo señalado por el peticionario</w:t>
      </w:r>
      <w:r w:rsidR="00DC1489">
        <w:rPr>
          <w:rFonts w:asciiTheme="majorHAnsi" w:hAnsiTheme="majorHAnsi"/>
          <w:sz w:val="20"/>
          <w:szCs w:val="20"/>
          <w:lang w:val="es-ES_tradnl"/>
        </w:rPr>
        <w:t>,</w:t>
      </w:r>
      <w:r w:rsidR="00296261">
        <w:rPr>
          <w:rFonts w:asciiTheme="majorHAnsi" w:hAnsiTheme="majorHAnsi"/>
          <w:sz w:val="20"/>
          <w:szCs w:val="20"/>
          <w:lang w:val="es-ES_tradnl"/>
        </w:rPr>
        <w:t xml:space="preserve"> como resultado </w:t>
      </w:r>
      <w:r w:rsidR="00DC1489">
        <w:rPr>
          <w:rFonts w:asciiTheme="majorHAnsi" w:hAnsiTheme="majorHAnsi"/>
          <w:sz w:val="20"/>
          <w:szCs w:val="20"/>
          <w:lang w:val="es-ES_tradnl"/>
        </w:rPr>
        <w:t>del</w:t>
      </w:r>
      <w:r w:rsidR="00296261">
        <w:rPr>
          <w:rFonts w:asciiTheme="majorHAnsi" w:hAnsiTheme="majorHAnsi"/>
          <w:sz w:val="20"/>
          <w:szCs w:val="20"/>
          <w:lang w:val="es-ES_tradnl"/>
        </w:rPr>
        <w:t xml:space="preserve"> procedimiento médico mal practicado, la presunta víctima quedo estéril, lo que derivó</w:t>
      </w:r>
      <w:r w:rsidR="00296261" w:rsidRPr="00296261">
        <w:rPr>
          <w:rFonts w:asciiTheme="majorHAnsi" w:hAnsiTheme="majorHAnsi"/>
          <w:sz w:val="20"/>
          <w:szCs w:val="20"/>
          <w:lang w:val="es-ES_tradnl"/>
        </w:rPr>
        <w:t xml:space="preserve"> </w:t>
      </w:r>
      <w:r w:rsidR="00296261" w:rsidRPr="00977F73">
        <w:rPr>
          <w:rFonts w:asciiTheme="majorHAnsi" w:hAnsiTheme="majorHAnsi"/>
          <w:sz w:val="20"/>
          <w:szCs w:val="20"/>
          <w:lang w:val="es-ES_tradnl"/>
        </w:rPr>
        <w:t xml:space="preserve">en la afectación permanente de </w:t>
      </w:r>
      <w:r w:rsidR="00296261">
        <w:rPr>
          <w:rFonts w:asciiTheme="majorHAnsi" w:hAnsiTheme="majorHAnsi"/>
          <w:sz w:val="20"/>
          <w:szCs w:val="20"/>
          <w:lang w:val="es-ES_tradnl"/>
        </w:rPr>
        <w:t>sus</w:t>
      </w:r>
      <w:r w:rsidR="00296261" w:rsidRPr="00977F73">
        <w:rPr>
          <w:rFonts w:asciiTheme="majorHAnsi" w:hAnsiTheme="majorHAnsi"/>
          <w:sz w:val="20"/>
          <w:szCs w:val="20"/>
          <w:lang w:val="es-ES_tradnl"/>
        </w:rPr>
        <w:t xml:space="preserve"> órganos sexuales y reproductivos</w:t>
      </w:r>
      <w:r w:rsidR="00296261">
        <w:rPr>
          <w:rFonts w:asciiTheme="majorHAnsi" w:hAnsiTheme="majorHAnsi"/>
          <w:sz w:val="20"/>
          <w:szCs w:val="20"/>
          <w:lang w:val="es-ES_tradnl"/>
        </w:rPr>
        <w:t xml:space="preserve">. Asimismo, </w:t>
      </w:r>
      <w:r w:rsidR="00BA5472">
        <w:rPr>
          <w:rFonts w:asciiTheme="majorHAnsi" w:hAnsiTheme="majorHAnsi"/>
          <w:sz w:val="20"/>
          <w:szCs w:val="20"/>
          <w:lang w:val="es-ES_tradnl"/>
        </w:rPr>
        <w:t>según el peticionario,</w:t>
      </w:r>
      <w:r w:rsidRPr="00977F73">
        <w:rPr>
          <w:rFonts w:asciiTheme="majorHAnsi" w:hAnsiTheme="majorHAnsi"/>
          <w:sz w:val="20"/>
          <w:szCs w:val="20"/>
          <w:lang w:val="es-ES_tradnl"/>
        </w:rPr>
        <w:t xml:space="preserve"> </w:t>
      </w:r>
      <w:r w:rsidR="005028B9" w:rsidRPr="00977F73">
        <w:rPr>
          <w:rFonts w:asciiTheme="majorHAnsi" w:hAnsiTheme="majorHAnsi"/>
          <w:sz w:val="20"/>
          <w:szCs w:val="20"/>
          <w:lang w:val="es-ES_tradnl"/>
        </w:rPr>
        <w:t xml:space="preserve">la presunta víctima </w:t>
      </w:r>
      <w:r w:rsidRPr="00977F73">
        <w:rPr>
          <w:rFonts w:asciiTheme="majorHAnsi" w:hAnsiTheme="majorHAnsi"/>
          <w:sz w:val="20"/>
          <w:szCs w:val="20"/>
          <w:lang w:val="es-ES_tradnl"/>
        </w:rPr>
        <w:t>no fue informada de los riesgos y consecuencias</w:t>
      </w:r>
      <w:r w:rsidR="00D67F92">
        <w:rPr>
          <w:rFonts w:asciiTheme="majorHAnsi" w:hAnsiTheme="majorHAnsi"/>
          <w:sz w:val="20"/>
          <w:szCs w:val="20"/>
          <w:lang w:val="es-ES_tradnl"/>
        </w:rPr>
        <w:t xml:space="preserve"> de </w:t>
      </w:r>
      <w:r w:rsidR="00296261">
        <w:rPr>
          <w:rFonts w:asciiTheme="majorHAnsi" w:hAnsiTheme="majorHAnsi"/>
          <w:sz w:val="20"/>
          <w:szCs w:val="20"/>
          <w:lang w:val="es-ES_tradnl"/>
        </w:rPr>
        <w:t>dicha</w:t>
      </w:r>
      <w:r w:rsidR="002508C8" w:rsidRPr="00977F73">
        <w:rPr>
          <w:rFonts w:asciiTheme="majorHAnsi" w:hAnsiTheme="majorHAnsi"/>
          <w:sz w:val="20"/>
          <w:szCs w:val="20"/>
          <w:lang w:val="es-ES_tradnl"/>
        </w:rPr>
        <w:t xml:space="preserve"> </w:t>
      </w:r>
      <w:r w:rsidR="00BA5472">
        <w:rPr>
          <w:rFonts w:asciiTheme="majorHAnsi" w:hAnsiTheme="majorHAnsi"/>
          <w:sz w:val="20"/>
          <w:szCs w:val="20"/>
          <w:lang w:val="es-ES_tradnl"/>
        </w:rPr>
        <w:t>cirugía</w:t>
      </w:r>
      <w:r w:rsidRPr="00977F73">
        <w:rPr>
          <w:rFonts w:asciiTheme="majorHAnsi" w:hAnsiTheme="majorHAnsi"/>
          <w:sz w:val="20"/>
          <w:szCs w:val="20"/>
          <w:lang w:val="es-ES_tradnl"/>
        </w:rPr>
        <w:t xml:space="preserve">. </w:t>
      </w:r>
      <w:r w:rsidR="001908ED">
        <w:rPr>
          <w:rFonts w:asciiTheme="majorHAnsi" w:hAnsiTheme="majorHAnsi"/>
          <w:sz w:val="20"/>
          <w:szCs w:val="20"/>
          <w:lang w:val="es-ES_tradnl"/>
        </w:rPr>
        <w:t xml:space="preserve">Posteriormente, por recomendación del médico que le realizó la cirugía, la presunta víctima se continuó tratando con una ginecóloga, quien el 20 de mayo de 2003, </w:t>
      </w:r>
      <w:r w:rsidR="00E76180">
        <w:rPr>
          <w:rFonts w:asciiTheme="majorHAnsi" w:hAnsiTheme="majorHAnsi"/>
          <w:sz w:val="20"/>
          <w:szCs w:val="20"/>
          <w:lang w:val="es-ES_tradnl"/>
        </w:rPr>
        <w:t xml:space="preserve">le informó </w:t>
      </w:r>
      <w:r w:rsidRPr="00977F73">
        <w:rPr>
          <w:rFonts w:asciiTheme="majorHAnsi" w:hAnsiTheme="majorHAnsi"/>
          <w:sz w:val="20"/>
          <w:szCs w:val="20"/>
          <w:lang w:val="es-ES_tradnl"/>
        </w:rPr>
        <w:t>de la extirpac</w:t>
      </w:r>
      <w:r w:rsidR="00D315AB" w:rsidRPr="00977F73">
        <w:rPr>
          <w:rFonts w:asciiTheme="majorHAnsi" w:hAnsiTheme="majorHAnsi"/>
          <w:sz w:val="20"/>
          <w:szCs w:val="20"/>
          <w:lang w:val="es-ES_tradnl"/>
        </w:rPr>
        <w:t>ión de sus ovarios</w:t>
      </w:r>
      <w:r w:rsidR="001908ED">
        <w:rPr>
          <w:rFonts w:asciiTheme="majorHAnsi" w:hAnsiTheme="majorHAnsi"/>
          <w:sz w:val="20"/>
          <w:szCs w:val="20"/>
          <w:lang w:val="es-ES_tradnl"/>
        </w:rPr>
        <w:t>,</w:t>
      </w:r>
      <w:r w:rsidR="00D315AB" w:rsidRPr="00977F73">
        <w:rPr>
          <w:rFonts w:asciiTheme="majorHAnsi" w:hAnsiTheme="majorHAnsi"/>
          <w:sz w:val="20"/>
          <w:szCs w:val="20"/>
          <w:lang w:val="es-ES_tradnl"/>
        </w:rPr>
        <w:t xml:space="preserve"> lo</w:t>
      </w:r>
      <w:r w:rsidRPr="00977F73">
        <w:rPr>
          <w:rFonts w:asciiTheme="majorHAnsi" w:hAnsiTheme="majorHAnsi"/>
          <w:sz w:val="20"/>
          <w:szCs w:val="20"/>
          <w:lang w:val="es-ES_tradnl"/>
        </w:rPr>
        <w:t xml:space="preserve"> que anuló toda posibilidad de ser madre y tener una familia.</w:t>
      </w:r>
      <w:r w:rsidR="00BA5472" w:rsidRPr="00BA5472">
        <w:rPr>
          <w:rFonts w:asciiTheme="majorHAnsi" w:hAnsiTheme="majorHAnsi"/>
          <w:sz w:val="20"/>
          <w:szCs w:val="20"/>
          <w:lang w:val="es-ES_tradnl"/>
        </w:rPr>
        <w:t xml:space="preserve"> </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81692">
        <w:rPr>
          <w:rFonts w:asciiTheme="majorHAnsi" w:hAnsiTheme="majorHAnsi"/>
          <w:sz w:val="20"/>
          <w:szCs w:val="20"/>
          <w:lang w:val="es-ES_tradnl"/>
        </w:rPr>
        <w:t>3.</w:t>
      </w:r>
      <w:r w:rsidRPr="00B81692">
        <w:rPr>
          <w:rFonts w:asciiTheme="majorHAnsi" w:hAnsiTheme="majorHAnsi"/>
          <w:sz w:val="20"/>
          <w:szCs w:val="20"/>
          <w:lang w:val="es-ES_tradnl"/>
        </w:rPr>
        <w:tab/>
      </w:r>
      <w:r w:rsidR="00CE336C">
        <w:rPr>
          <w:rFonts w:asciiTheme="majorHAnsi" w:hAnsiTheme="majorHAnsi"/>
          <w:sz w:val="20"/>
          <w:szCs w:val="20"/>
          <w:lang w:val="es-ES_tradnl"/>
        </w:rPr>
        <w:t>Frente a</w:t>
      </w:r>
      <w:r w:rsidR="00D315AB">
        <w:rPr>
          <w:rFonts w:asciiTheme="majorHAnsi" w:hAnsiTheme="majorHAnsi"/>
          <w:sz w:val="20"/>
          <w:szCs w:val="20"/>
          <w:lang w:val="es-ES_tradnl"/>
        </w:rPr>
        <w:t xml:space="preserve"> estos hechos</w:t>
      </w:r>
      <w:r>
        <w:rPr>
          <w:rFonts w:asciiTheme="majorHAnsi" w:hAnsiTheme="majorHAnsi"/>
          <w:sz w:val="20"/>
          <w:szCs w:val="20"/>
          <w:lang w:val="es-ES_tradnl"/>
        </w:rPr>
        <w:t xml:space="preserve">, </w:t>
      </w:r>
      <w:r w:rsidRPr="00EB05B8">
        <w:rPr>
          <w:rFonts w:asciiTheme="majorHAnsi" w:hAnsiTheme="majorHAnsi"/>
          <w:sz w:val="20"/>
          <w:szCs w:val="20"/>
          <w:lang w:val="es-ES_tradnl"/>
        </w:rPr>
        <w:t xml:space="preserve">el 20 de agosto de 2004 </w:t>
      </w:r>
      <w:r w:rsidR="00CE336C" w:rsidRPr="00EB05B8">
        <w:rPr>
          <w:rFonts w:asciiTheme="majorHAnsi" w:hAnsiTheme="majorHAnsi"/>
          <w:sz w:val="20"/>
          <w:szCs w:val="20"/>
          <w:lang w:val="es-ES_tradnl"/>
        </w:rPr>
        <w:t>el peticionario</w:t>
      </w:r>
      <w:r w:rsidR="00D00B99">
        <w:rPr>
          <w:rFonts w:asciiTheme="majorHAnsi" w:hAnsiTheme="majorHAnsi"/>
          <w:sz w:val="20"/>
          <w:szCs w:val="20"/>
          <w:lang w:val="es-ES_tradnl"/>
        </w:rPr>
        <w:t xml:space="preserve"> inició</w:t>
      </w:r>
      <w:r w:rsidR="00CE336C" w:rsidRPr="00EB05B8">
        <w:rPr>
          <w:rFonts w:asciiTheme="majorHAnsi" w:hAnsiTheme="majorHAnsi"/>
          <w:sz w:val="20"/>
          <w:szCs w:val="20"/>
          <w:lang w:val="es-ES_tradnl"/>
        </w:rPr>
        <w:t xml:space="preserve"> </w:t>
      </w:r>
      <w:r w:rsidR="00D00B99">
        <w:rPr>
          <w:rFonts w:asciiTheme="majorHAnsi" w:hAnsiTheme="majorHAnsi"/>
          <w:sz w:val="20"/>
          <w:szCs w:val="20"/>
          <w:lang w:val="es-ES_tradnl"/>
        </w:rPr>
        <w:t>una</w:t>
      </w:r>
      <w:r w:rsidR="00EB05B8" w:rsidRPr="00EB05B8">
        <w:rPr>
          <w:rFonts w:asciiTheme="majorHAnsi" w:hAnsiTheme="majorHAnsi"/>
          <w:sz w:val="20"/>
          <w:szCs w:val="20"/>
          <w:lang w:val="es-ES_tradnl"/>
        </w:rPr>
        <w:t xml:space="preserve"> </w:t>
      </w:r>
      <w:r w:rsidR="00C46ABA" w:rsidRPr="00EB05B8">
        <w:rPr>
          <w:rFonts w:asciiTheme="majorHAnsi" w:hAnsiTheme="majorHAnsi"/>
          <w:sz w:val="20"/>
          <w:szCs w:val="20"/>
          <w:lang w:val="es-ES_tradnl"/>
        </w:rPr>
        <w:t>demanda</w:t>
      </w:r>
      <w:r w:rsidRPr="00EB05B8">
        <w:rPr>
          <w:rFonts w:asciiTheme="majorHAnsi" w:hAnsiTheme="majorHAnsi"/>
          <w:sz w:val="20"/>
          <w:szCs w:val="20"/>
          <w:lang w:val="es-ES_tradnl"/>
        </w:rPr>
        <w:t xml:space="preserve"> por</w:t>
      </w:r>
      <w:r w:rsidR="00D67F92" w:rsidRPr="00EB05B8">
        <w:rPr>
          <w:rFonts w:asciiTheme="majorHAnsi" w:hAnsiTheme="majorHAnsi"/>
          <w:sz w:val="20"/>
          <w:szCs w:val="20"/>
          <w:lang w:val="es-ES_tradnl"/>
        </w:rPr>
        <w:t xml:space="preserve"> daños y perjuicios contra </w:t>
      </w:r>
      <w:r w:rsidR="00A30A4F">
        <w:rPr>
          <w:rFonts w:asciiTheme="majorHAnsi" w:hAnsiTheme="majorHAnsi"/>
          <w:sz w:val="20"/>
          <w:szCs w:val="20"/>
          <w:lang w:val="es-ES_tradnl"/>
        </w:rPr>
        <w:t>el cirujano general</w:t>
      </w:r>
      <w:r w:rsidR="00D67F92" w:rsidRPr="00EB05B8">
        <w:rPr>
          <w:rFonts w:asciiTheme="majorHAnsi" w:hAnsiTheme="majorHAnsi"/>
          <w:sz w:val="20"/>
          <w:szCs w:val="20"/>
          <w:lang w:val="es-ES_tradnl"/>
        </w:rPr>
        <w:t xml:space="preserve"> que </w:t>
      </w:r>
      <w:r w:rsidR="00A30A4F" w:rsidRPr="00EB05B8">
        <w:rPr>
          <w:rFonts w:asciiTheme="majorHAnsi" w:hAnsiTheme="majorHAnsi"/>
          <w:sz w:val="20"/>
          <w:szCs w:val="20"/>
          <w:lang w:val="es-ES_tradnl"/>
        </w:rPr>
        <w:t>realiz</w:t>
      </w:r>
      <w:r w:rsidR="00A30A4F">
        <w:rPr>
          <w:rFonts w:asciiTheme="majorHAnsi" w:hAnsiTheme="majorHAnsi"/>
          <w:sz w:val="20"/>
          <w:szCs w:val="20"/>
          <w:lang w:val="es-ES_tradnl"/>
        </w:rPr>
        <w:t>ó</w:t>
      </w:r>
      <w:r w:rsidR="00D67F92" w:rsidRPr="00EB05B8">
        <w:rPr>
          <w:rFonts w:asciiTheme="majorHAnsi" w:hAnsiTheme="majorHAnsi"/>
          <w:sz w:val="20"/>
          <w:szCs w:val="20"/>
          <w:lang w:val="es-ES_tradnl"/>
        </w:rPr>
        <w:t xml:space="preserve"> la intervención quirúrgica</w:t>
      </w:r>
      <w:r w:rsidRPr="00EB05B8">
        <w:rPr>
          <w:rFonts w:asciiTheme="majorHAnsi" w:hAnsiTheme="majorHAnsi"/>
          <w:sz w:val="20"/>
          <w:szCs w:val="20"/>
          <w:lang w:val="es-ES_tradnl"/>
        </w:rPr>
        <w:t xml:space="preserve"> </w:t>
      </w:r>
      <w:r w:rsidR="00D00B99">
        <w:rPr>
          <w:rFonts w:asciiTheme="majorHAnsi" w:hAnsiTheme="majorHAnsi"/>
          <w:sz w:val="20"/>
          <w:szCs w:val="20"/>
          <w:lang w:val="es-ES_tradnl"/>
        </w:rPr>
        <w:t>ante</w:t>
      </w:r>
      <w:r w:rsidRPr="00EB05B8">
        <w:rPr>
          <w:rFonts w:asciiTheme="majorHAnsi" w:hAnsiTheme="majorHAnsi"/>
          <w:sz w:val="20"/>
          <w:szCs w:val="20"/>
          <w:lang w:val="es-ES_tradnl"/>
        </w:rPr>
        <w:t xml:space="preserve"> el Décimo Séptimo Juzgado Civil,</w:t>
      </w:r>
      <w:r w:rsidRPr="00B81692">
        <w:rPr>
          <w:rFonts w:asciiTheme="majorHAnsi" w:hAnsiTheme="majorHAnsi"/>
          <w:sz w:val="20"/>
          <w:szCs w:val="20"/>
          <w:lang w:val="es-ES_tradnl"/>
        </w:rPr>
        <w:t xml:space="preserve"> Comercial y de Minas de Mendoza (expediente </w:t>
      </w:r>
      <w:r w:rsidRPr="005F4DE2">
        <w:rPr>
          <w:rFonts w:asciiTheme="majorHAnsi" w:hAnsiTheme="majorHAnsi"/>
          <w:sz w:val="20"/>
          <w:szCs w:val="20"/>
          <w:lang w:val="es-US"/>
        </w:rPr>
        <w:t>No. 1</w:t>
      </w:r>
      <w:r w:rsidRPr="00B81692">
        <w:rPr>
          <w:rFonts w:asciiTheme="majorHAnsi" w:hAnsiTheme="majorHAnsi"/>
          <w:sz w:val="20"/>
          <w:szCs w:val="20"/>
          <w:lang w:val="es-ES_tradnl"/>
        </w:rPr>
        <w:t xml:space="preserve">79.124). Este tribunal, el 24 de febrero de 2009 admitió parcialmente la demanda y condenó </w:t>
      </w:r>
      <w:r w:rsidR="00D00B99">
        <w:rPr>
          <w:rFonts w:asciiTheme="majorHAnsi" w:hAnsiTheme="majorHAnsi"/>
          <w:sz w:val="20"/>
          <w:szCs w:val="20"/>
          <w:lang w:val="es-ES_tradnl"/>
        </w:rPr>
        <w:t>al médico al</w:t>
      </w:r>
      <w:r w:rsidRPr="00B81692">
        <w:rPr>
          <w:rFonts w:asciiTheme="majorHAnsi" w:hAnsiTheme="majorHAnsi"/>
          <w:sz w:val="20"/>
          <w:szCs w:val="20"/>
          <w:lang w:val="es-ES_tradnl"/>
        </w:rPr>
        <w:t xml:space="preserve"> pago de </w:t>
      </w:r>
      <w:r>
        <w:rPr>
          <w:rFonts w:asciiTheme="majorHAnsi" w:hAnsiTheme="majorHAnsi"/>
          <w:sz w:val="20"/>
          <w:szCs w:val="20"/>
          <w:lang w:val="es-ES_tradnl"/>
        </w:rPr>
        <w:t>cincuenta</w:t>
      </w:r>
      <w:r w:rsidRPr="00B81692">
        <w:rPr>
          <w:rFonts w:asciiTheme="majorHAnsi" w:hAnsiTheme="majorHAnsi"/>
          <w:sz w:val="20"/>
          <w:szCs w:val="20"/>
          <w:lang w:val="es-ES_tradnl"/>
        </w:rPr>
        <w:t xml:space="preserve"> mil pesos por daño moral</w:t>
      </w:r>
      <w:r w:rsidR="00D00B99">
        <w:rPr>
          <w:rFonts w:asciiTheme="majorHAnsi" w:hAnsiTheme="majorHAnsi"/>
          <w:sz w:val="20"/>
          <w:szCs w:val="20"/>
          <w:lang w:val="es-ES_tradnl"/>
        </w:rPr>
        <w:t>,</w:t>
      </w:r>
      <w:r>
        <w:rPr>
          <w:rFonts w:asciiTheme="majorHAnsi" w:hAnsiTheme="majorHAnsi"/>
          <w:sz w:val="20"/>
          <w:szCs w:val="20"/>
          <w:lang w:val="es-ES_tradnl"/>
        </w:rPr>
        <w:t xml:space="preserve"> al ignorar </w:t>
      </w:r>
      <w:r w:rsidRPr="005B3ABF">
        <w:rPr>
          <w:rFonts w:asciiTheme="majorHAnsi" w:hAnsiTheme="majorHAnsi"/>
          <w:sz w:val="20"/>
          <w:szCs w:val="20"/>
          <w:lang w:val="es-ES_tradnl"/>
        </w:rPr>
        <w:t xml:space="preserve">las secuelas de la cirugía. Sin embargo, rechazó el daño material e incapacidad sobreviniente, </w:t>
      </w:r>
      <w:r w:rsidR="00203101">
        <w:rPr>
          <w:rFonts w:asciiTheme="majorHAnsi" w:hAnsiTheme="majorHAnsi"/>
          <w:sz w:val="20"/>
          <w:szCs w:val="20"/>
          <w:lang w:val="es-ES_tradnl"/>
        </w:rPr>
        <w:t>por considerar que</w:t>
      </w:r>
      <w:r w:rsidRPr="005B3ABF">
        <w:rPr>
          <w:rFonts w:asciiTheme="majorHAnsi" w:hAnsiTheme="majorHAnsi"/>
          <w:sz w:val="20"/>
          <w:szCs w:val="20"/>
          <w:lang w:val="es-ES_tradnl"/>
        </w:rPr>
        <w:t xml:space="preserve"> la lesión no fue efecto y consecuencia de una </w:t>
      </w:r>
      <w:r>
        <w:rPr>
          <w:rFonts w:asciiTheme="majorHAnsi" w:hAnsiTheme="majorHAnsi"/>
          <w:sz w:val="20"/>
          <w:szCs w:val="20"/>
          <w:lang w:val="es-ES_tradnl"/>
        </w:rPr>
        <w:t>mala práctica</w:t>
      </w:r>
      <w:r w:rsidRPr="005B3ABF">
        <w:rPr>
          <w:rFonts w:asciiTheme="majorHAnsi" w:hAnsiTheme="majorHAnsi"/>
          <w:sz w:val="20"/>
          <w:szCs w:val="20"/>
          <w:lang w:val="es-ES_tradnl"/>
        </w:rPr>
        <w:t xml:space="preserve"> médica</w:t>
      </w:r>
      <w:r w:rsidR="00A0373A">
        <w:rPr>
          <w:rFonts w:asciiTheme="majorHAnsi" w:hAnsiTheme="majorHAnsi"/>
          <w:sz w:val="20"/>
          <w:szCs w:val="20"/>
          <w:lang w:val="es-ES_tradnl"/>
        </w:rPr>
        <w:t>,</w:t>
      </w:r>
      <w:r w:rsidRPr="005B3ABF">
        <w:rPr>
          <w:rFonts w:asciiTheme="majorHAnsi" w:hAnsiTheme="majorHAnsi"/>
          <w:sz w:val="20"/>
          <w:szCs w:val="20"/>
          <w:lang w:val="es-ES_tradnl"/>
        </w:rPr>
        <w:t xml:space="preserve"> sino </w:t>
      </w:r>
      <w:r>
        <w:rPr>
          <w:rFonts w:asciiTheme="majorHAnsi" w:hAnsiTheme="majorHAnsi"/>
          <w:sz w:val="20"/>
          <w:szCs w:val="20"/>
          <w:lang w:val="es-ES_tradnl"/>
        </w:rPr>
        <w:t>de</w:t>
      </w:r>
      <w:r w:rsidRPr="005B3ABF">
        <w:rPr>
          <w:rFonts w:asciiTheme="majorHAnsi" w:hAnsiTheme="majorHAnsi"/>
          <w:sz w:val="20"/>
          <w:szCs w:val="20"/>
          <w:lang w:val="es-ES_tradnl"/>
        </w:rPr>
        <w:t xml:space="preserve"> </w:t>
      </w:r>
      <w:r w:rsidR="00A0373A">
        <w:rPr>
          <w:rFonts w:asciiTheme="majorHAnsi" w:hAnsiTheme="majorHAnsi"/>
          <w:sz w:val="20"/>
          <w:szCs w:val="20"/>
          <w:lang w:val="es-ES_tradnl"/>
        </w:rPr>
        <w:t>una</w:t>
      </w:r>
      <w:r w:rsidRPr="005B3ABF">
        <w:rPr>
          <w:rFonts w:asciiTheme="majorHAnsi" w:hAnsiTheme="majorHAnsi"/>
          <w:sz w:val="20"/>
          <w:szCs w:val="20"/>
          <w:lang w:val="es-ES_tradnl"/>
        </w:rPr>
        <w:t xml:space="preserve"> condición preexistente</w:t>
      </w:r>
      <w:r w:rsidRPr="00332133">
        <w:rPr>
          <w:rFonts w:asciiTheme="majorHAnsi" w:hAnsiTheme="majorHAnsi"/>
          <w:sz w:val="20"/>
          <w:szCs w:val="20"/>
          <w:lang w:val="es-ES_tradnl"/>
        </w:rPr>
        <w:t xml:space="preserve"> </w:t>
      </w:r>
      <w:r w:rsidRPr="005B3ABF">
        <w:rPr>
          <w:rFonts w:asciiTheme="majorHAnsi" w:hAnsiTheme="majorHAnsi"/>
          <w:sz w:val="20"/>
          <w:szCs w:val="20"/>
          <w:lang w:val="es-ES_tradnl"/>
        </w:rPr>
        <w:t>de la presunta víctima</w:t>
      </w:r>
      <w:r>
        <w:rPr>
          <w:rFonts w:asciiTheme="majorHAnsi" w:hAnsiTheme="majorHAnsi"/>
          <w:sz w:val="20"/>
          <w:szCs w:val="20"/>
          <w:lang w:val="es-ES_tradnl"/>
        </w:rPr>
        <w:t>.</w:t>
      </w:r>
      <w:r w:rsidRPr="005B3ABF">
        <w:rPr>
          <w:rFonts w:asciiTheme="majorHAnsi" w:hAnsiTheme="majorHAnsi"/>
          <w:sz w:val="20"/>
          <w:szCs w:val="20"/>
          <w:lang w:val="es-ES_tradnl"/>
        </w:rPr>
        <w:t xml:space="preserve"> </w:t>
      </w:r>
      <w:r w:rsidR="00D315AB">
        <w:rPr>
          <w:rFonts w:asciiTheme="majorHAnsi" w:hAnsiTheme="majorHAnsi"/>
          <w:sz w:val="20"/>
          <w:szCs w:val="20"/>
          <w:lang w:val="es-ES_tradnl"/>
        </w:rPr>
        <w:t>Alega</w:t>
      </w:r>
      <w:r w:rsidRPr="005B3ABF">
        <w:rPr>
          <w:rFonts w:asciiTheme="majorHAnsi" w:hAnsiTheme="majorHAnsi"/>
          <w:sz w:val="20"/>
          <w:szCs w:val="20"/>
          <w:lang w:val="es-ES_tradnl"/>
        </w:rPr>
        <w:t>,</w:t>
      </w:r>
      <w:r>
        <w:rPr>
          <w:rFonts w:asciiTheme="majorHAnsi" w:hAnsiTheme="majorHAnsi"/>
          <w:sz w:val="20"/>
          <w:szCs w:val="20"/>
          <w:lang w:val="es-ES_tradnl"/>
        </w:rPr>
        <w:t xml:space="preserve"> </w:t>
      </w:r>
      <w:r w:rsidRPr="005B3ABF">
        <w:rPr>
          <w:rFonts w:asciiTheme="majorHAnsi" w:hAnsiTheme="majorHAnsi"/>
          <w:sz w:val="20"/>
          <w:szCs w:val="20"/>
          <w:lang w:val="es-ES_tradnl"/>
        </w:rPr>
        <w:t>además</w:t>
      </w:r>
      <w:r>
        <w:rPr>
          <w:rFonts w:asciiTheme="majorHAnsi" w:hAnsiTheme="majorHAnsi"/>
          <w:sz w:val="20"/>
          <w:szCs w:val="20"/>
          <w:lang w:val="es-ES_tradnl"/>
        </w:rPr>
        <w:t xml:space="preserve"> que</w:t>
      </w:r>
      <w:r w:rsidRPr="005B3ABF">
        <w:rPr>
          <w:rFonts w:asciiTheme="majorHAnsi" w:hAnsiTheme="majorHAnsi"/>
          <w:sz w:val="20"/>
          <w:szCs w:val="20"/>
          <w:lang w:val="es-ES_tradnl"/>
        </w:rPr>
        <w:t xml:space="preserve"> el hospital “extravió” la historia clínica y protocolo quirúrgico; y que las autoridades</w:t>
      </w:r>
      <w:r w:rsidRPr="00B81692">
        <w:rPr>
          <w:rFonts w:asciiTheme="majorHAnsi" w:hAnsiTheme="majorHAnsi"/>
          <w:sz w:val="20"/>
          <w:szCs w:val="20"/>
          <w:lang w:val="es-ES_tradnl"/>
        </w:rPr>
        <w:t xml:space="preserve"> judiciales no realizaron ninguna gestión al respecto, siendo este documento</w:t>
      </w:r>
      <w:r w:rsidR="00D00B99">
        <w:rPr>
          <w:rFonts w:asciiTheme="majorHAnsi" w:hAnsiTheme="majorHAnsi"/>
          <w:sz w:val="20"/>
          <w:szCs w:val="20"/>
          <w:lang w:val="es-ES_tradnl"/>
        </w:rPr>
        <w:t>, a su juicio,</w:t>
      </w:r>
      <w:r w:rsidRPr="00B81692">
        <w:rPr>
          <w:rFonts w:asciiTheme="majorHAnsi" w:hAnsiTheme="majorHAnsi"/>
          <w:sz w:val="20"/>
          <w:szCs w:val="20"/>
          <w:lang w:val="es-ES_tradnl"/>
        </w:rPr>
        <w:t xml:space="preserve"> un medio de prueba importante para el caso.</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81692">
        <w:rPr>
          <w:rFonts w:asciiTheme="majorHAnsi" w:hAnsiTheme="majorHAnsi"/>
          <w:sz w:val="20"/>
          <w:szCs w:val="20"/>
          <w:lang w:val="es-ES_tradnl"/>
        </w:rPr>
        <w:t>4.</w:t>
      </w:r>
      <w:r w:rsidRPr="00B81692">
        <w:rPr>
          <w:rFonts w:asciiTheme="majorHAnsi" w:hAnsiTheme="majorHAnsi"/>
          <w:sz w:val="20"/>
          <w:szCs w:val="20"/>
          <w:lang w:val="es-ES_tradnl"/>
        </w:rPr>
        <w:tab/>
      </w:r>
      <w:r w:rsidR="00D00B99">
        <w:rPr>
          <w:rFonts w:asciiTheme="majorHAnsi" w:hAnsiTheme="majorHAnsi"/>
          <w:sz w:val="20"/>
          <w:szCs w:val="20"/>
          <w:lang w:val="es-ES_tradnl"/>
        </w:rPr>
        <w:t xml:space="preserve">El peticionario apeló esta decisión </w:t>
      </w:r>
      <w:r w:rsidRPr="00B81692">
        <w:rPr>
          <w:rFonts w:asciiTheme="majorHAnsi" w:hAnsiTheme="majorHAnsi"/>
          <w:sz w:val="20"/>
          <w:szCs w:val="20"/>
          <w:lang w:val="es-ES_tradnl"/>
        </w:rPr>
        <w:t>ante la Primera Cámara de Apelaciones en lo Civil, Comercial y Minas, de Paz y Tributaria</w:t>
      </w:r>
      <w:r w:rsidRPr="00EB05B8">
        <w:rPr>
          <w:rFonts w:asciiTheme="majorHAnsi" w:hAnsiTheme="majorHAnsi"/>
          <w:sz w:val="20"/>
          <w:szCs w:val="20"/>
          <w:lang w:val="es-ES_tradnl"/>
        </w:rPr>
        <w:t xml:space="preserve">. </w:t>
      </w:r>
      <w:r w:rsidR="00A0373A" w:rsidRPr="00EB05B8">
        <w:rPr>
          <w:rFonts w:asciiTheme="majorHAnsi" w:hAnsiTheme="majorHAnsi"/>
          <w:sz w:val="20"/>
          <w:szCs w:val="20"/>
          <w:lang w:val="es-ES_tradnl"/>
        </w:rPr>
        <w:t>El 17 de marzo de 2010 este</w:t>
      </w:r>
      <w:r w:rsidR="00A0373A">
        <w:rPr>
          <w:rFonts w:asciiTheme="majorHAnsi" w:hAnsiTheme="majorHAnsi"/>
          <w:sz w:val="20"/>
          <w:szCs w:val="20"/>
          <w:lang w:val="es-ES_tradnl"/>
        </w:rPr>
        <w:t xml:space="preserve"> tribunal </w:t>
      </w:r>
      <w:r w:rsidRPr="00B81692">
        <w:rPr>
          <w:rFonts w:asciiTheme="majorHAnsi" w:hAnsiTheme="majorHAnsi"/>
          <w:sz w:val="20"/>
          <w:szCs w:val="20"/>
          <w:lang w:val="es-ES_tradnl"/>
        </w:rPr>
        <w:t xml:space="preserve">revocó la sentencia </w:t>
      </w:r>
      <w:r>
        <w:rPr>
          <w:rFonts w:asciiTheme="majorHAnsi" w:hAnsiTheme="majorHAnsi"/>
          <w:sz w:val="20"/>
          <w:szCs w:val="20"/>
          <w:lang w:val="es-ES_tradnl"/>
        </w:rPr>
        <w:t xml:space="preserve">de primera instancia </w:t>
      </w:r>
      <w:r w:rsidR="00C46ABA">
        <w:rPr>
          <w:rFonts w:asciiTheme="majorHAnsi" w:hAnsiTheme="majorHAnsi"/>
          <w:sz w:val="20"/>
          <w:szCs w:val="20"/>
          <w:lang w:val="es-ES_tradnl"/>
        </w:rPr>
        <w:t>que había recono</w:t>
      </w:r>
      <w:r w:rsidR="00ED7883">
        <w:rPr>
          <w:rFonts w:asciiTheme="majorHAnsi" w:hAnsiTheme="majorHAnsi"/>
          <w:sz w:val="20"/>
          <w:szCs w:val="20"/>
          <w:lang w:val="es-ES_tradnl"/>
        </w:rPr>
        <w:t>cido el daño moral, tomando</w:t>
      </w:r>
      <w:r w:rsidR="00C46ABA">
        <w:rPr>
          <w:rFonts w:asciiTheme="majorHAnsi" w:hAnsiTheme="majorHAnsi"/>
          <w:sz w:val="20"/>
          <w:szCs w:val="20"/>
          <w:lang w:val="es-ES_tradnl"/>
        </w:rPr>
        <w:t xml:space="preserve"> </w:t>
      </w:r>
      <w:r w:rsidRPr="00B81692">
        <w:rPr>
          <w:rFonts w:asciiTheme="majorHAnsi" w:hAnsiTheme="majorHAnsi"/>
          <w:sz w:val="20"/>
          <w:szCs w:val="20"/>
          <w:lang w:val="es-ES_tradnl"/>
        </w:rPr>
        <w:t xml:space="preserve">en cuenta el testimonio de los médicos, </w:t>
      </w:r>
      <w:r w:rsidR="00C46ABA">
        <w:rPr>
          <w:rFonts w:asciiTheme="majorHAnsi" w:hAnsiTheme="majorHAnsi"/>
          <w:sz w:val="20"/>
          <w:szCs w:val="20"/>
          <w:lang w:val="es-ES_tradnl"/>
        </w:rPr>
        <w:t xml:space="preserve">uno de </w:t>
      </w:r>
      <w:r w:rsidR="00D00B99">
        <w:rPr>
          <w:rFonts w:asciiTheme="majorHAnsi" w:hAnsiTheme="majorHAnsi"/>
          <w:sz w:val="20"/>
          <w:szCs w:val="20"/>
          <w:lang w:val="es-ES_tradnl"/>
        </w:rPr>
        <w:t>los cuales</w:t>
      </w:r>
      <w:r w:rsidR="00C46ABA">
        <w:rPr>
          <w:rFonts w:asciiTheme="majorHAnsi" w:hAnsiTheme="majorHAnsi"/>
          <w:sz w:val="20"/>
          <w:szCs w:val="20"/>
          <w:lang w:val="es-ES_tradnl"/>
        </w:rPr>
        <w:t>,</w:t>
      </w:r>
      <w:r w:rsidRPr="00B81692">
        <w:rPr>
          <w:rFonts w:asciiTheme="majorHAnsi" w:hAnsiTheme="majorHAnsi"/>
          <w:sz w:val="20"/>
          <w:szCs w:val="20"/>
          <w:lang w:val="es-ES_tradnl"/>
        </w:rPr>
        <w:t xml:space="preserve"> </w:t>
      </w:r>
      <w:r>
        <w:rPr>
          <w:rFonts w:asciiTheme="majorHAnsi" w:hAnsiTheme="majorHAnsi"/>
          <w:sz w:val="20"/>
          <w:szCs w:val="20"/>
          <w:lang w:val="es-ES_tradnl"/>
        </w:rPr>
        <w:t xml:space="preserve">supuestamente habría </w:t>
      </w:r>
      <w:r w:rsidRPr="00B81692">
        <w:rPr>
          <w:rFonts w:asciiTheme="majorHAnsi" w:hAnsiTheme="majorHAnsi"/>
          <w:sz w:val="20"/>
          <w:szCs w:val="20"/>
          <w:lang w:val="es-ES_tradnl"/>
        </w:rPr>
        <w:t>inform</w:t>
      </w:r>
      <w:r>
        <w:rPr>
          <w:rFonts w:asciiTheme="majorHAnsi" w:hAnsiTheme="majorHAnsi"/>
          <w:sz w:val="20"/>
          <w:szCs w:val="20"/>
          <w:lang w:val="es-ES_tradnl"/>
        </w:rPr>
        <w:t>ado</w:t>
      </w:r>
      <w:r w:rsidRPr="00B81692">
        <w:rPr>
          <w:rFonts w:asciiTheme="majorHAnsi" w:hAnsiTheme="majorHAnsi"/>
          <w:sz w:val="20"/>
          <w:szCs w:val="20"/>
          <w:lang w:val="es-ES_tradnl"/>
        </w:rPr>
        <w:t xml:space="preserve"> </w:t>
      </w:r>
      <w:r>
        <w:rPr>
          <w:rFonts w:asciiTheme="majorHAnsi" w:hAnsiTheme="majorHAnsi"/>
          <w:sz w:val="20"/>
          <w:szCs w:val="20"/>
          <w:lang w:val="es-ES_tradnl"/>
        </w:rPr>
        <w:t xml:space="preserve">y obtenido consentimiento verbal </w:t>
      </w:r>
      <w:r w:rsidR="00D315AB">
        <w:rPr>
          <w:rFonts w:asciiTheme="majorHAnsi" w:hAnsiTheme="majorHAnsi"/>
          <w:sz w:val="20"/>
          <w:szCs w:val="20"/>
          <w:lang w:val="es-ES_tradnl"/>
        </w:rPr>
        <w:t xml:space="preserve">de los familiares </w:t>
      </w:r>
      <w:r>
        <w:rPr>
          <w:rFonts w:asciiTheme="majorHAnsi" w:hAnsiTheme="majorHAnsi"/>
          <w:sz w:val="20"/>
          <w:szCs w:val="20"/>
          <w:lang w:val="es-ES_tradnl"/>
        </w:rPr>
        <w:t xml:space="preserve">para continuar con la cirugía dado </w:t>
      </w:r>
      <w:r w:rsidRPr="00B81692">
        <w:rPr>
          <w:rFonts w:asciiTheme="majorHAnsi" w:hAnsiTheme="majorHAnsi"/>
          <w:sz w:val="20"/>
          <w:szCs w:val="20"/>
          <w:lang w:val="es-ES_tradnl"/>
        </w:rPr>
        <w:t xml:space="preserve">el hallazgo médico que provocó </w:t>
      </w:r>
      <w:r>
        <w:rPr>
          <w:rFonts w:asciiTheme="majorHAnsi" w:hAnsiTheme="majorHAnsi"/>
          <w:sz w:val="20"/>
          <w:szCs w:val="20"/>
          <w:lang w:val="es-ES_tradnl"/>
        </w:rPr>
        <w:t xml:space="preserve">la urgencia; </w:t>
      </w:r>
      <w:r w:rsidR="00596CF9">
        <w:rPr>
          <w:rFonts w:asciiTheme="majorHAnsi" w:hAnsiTheme="majorHAnsi"/>
          <w:sz w:val="20"/>
          <w:szCs w:val="20"/>
          <w:lang w:val="es-ES_tradnl"/>
        </w:rPr>
        <w:t>y,</w:t>
      </w:r>
      <w:r>
        <w:rPr>
          <w:rFonts w:asciiTheme="majorHAnsi" w:hAnsiTheme="majorHAnsi"/>
          <w:sz w:val="20"/>
          <w:szCs w:val="20"/>
          <w:lang w:val="es-ES_tradnl"/>
        </w:rPr>
        <w:t xml:space="preserve"> por ende,</w:t>
      </w:r>
      <w:r w:rsidRPr="00B81692">
        <w:rPr>
          <w:rFonts w:asciiTheme="majorHAnsi" w:hAnsiTheme="majorHAnsi"/>
          <w:sz w:val="20"/>
          <w:szCs w:val="20"/>
          <w:lang w:val="es-ES_tradnl"/>
        </w:rPr>
        <w:t xml:space="preserve"> esta cámara estimó que el consentimiento fue dado verbalmente por los familiares</w:t>
      </w:r>
      <w:r>
        <w:rPr>
          <w:rFonts w:asciiTheme="majorHAnsi" w:hAnsiTheme="majorHAnsi"/>
          <w:sz w:val="20"/>
          <w:szCs w:val="20"/>
          <w:lang w:val="es-ES_tradnl"/>
        </w:rPr>
        <w:t xml:space="preserve"> y que el procedimiento quirúrgico fue el correcto. </w:t>
      </w:r>
      <w:r w:rsidRPr="00B81692">
        <w:rPr>
          <w:rFonts w:asciiTheme="majorHAnsi" w:hAnsiTheme="majorHAnsi"/>
          <w:sz w:val="20"/>
          <w:szCs w:val="20"/>
          <w:lang w:val="es-ES_tradnl"/>
        </w:rPr>
        <w:t>Al respecto</w:t>
      </w:r>
      <w:r w:rsidR="00D315AB">
        <w:rPr>
          <w:rFonts w:asciiTheme="majorHAnsi" w:hAnsiTheme="majorHAnsi"/>
          <w:sz w:val="20"/>
          <w:szCs w:val="20"/>
          <w:lang w:val="es-ES_tradnl"/>
        </w:rPr>
        <w:t>,</w:t>
      </w:r>
      <w:r w:rsidRPr="00B81692">
        <w:rPr>
          <w:rFonts w:asciiTheme="majorHAnsi" w:hAnsiTheme="majorHAnsi"/>
          <w:sz w:val="20"/>
          <w:szCs w:val="20"/>
          <w:lang w:val="es-ES_tradnl"/>
        </w:rPr>
        <w:t xml:space="preserve"> el peticionario alega</w:t>
      </w:r>
      <w:r>
        <w:rPr>
          <w:rFonts w:asciiTheme="majorHAnsi" w:hAnsiTheme="majorHAnsi"/>
          <w:sz w:val="20"/>
          <w:szCs w:val="20"/>
          <w:lang w:val="es-ES_tradnl"/>
        </w:rPr>
        <w:t xml:space="preserve"> que</w:t>
      </w:r>
      <w:r w:rsidR="000334D1">
        <w:rPr>
          <w:rFonts w:asciiTheme="majorHAnsi" w:hAnsiTheme="majorHAnsi"/>
          <w:sz w:val="20"/>
          <w:szCs w:val="20"/>
          <w:lang w:val="es-ES_tradnl"/>
        </w:rPr>
        <w:t>: (a</w:t>
      </w:r>
      <w:r w:rsidRPr="00B81692">
        <w:rPr>
          <w:rFonts w:asciiTheme="majorHAnsi" w:hAnsiTheme="majorHAnsi"/>
          <w:sz w:val="20"/>
          <w:szCs w:val="20"/>
          <w:lang w:val="es-ES_tradnl"/>
        </w:rPr>
        <w:t>) no existió consentimiento verbal ni escri</w:t>
      </w:r>
      <w:r>
        <w:rPr>
          <w:rFonts w:asciiTheme="majorHAnsi" w:hAnsiTheme="majorHAnsi"/>
          <w:sz w:val="20"/>
          <w:szCs w:val="20"/>
          <w:lang w:val="es-ES_tradnl"/>
        </w:rPr>
        <w:t>to</w:t>
      </w:r>
      <w:r w:rsidRPr="00B81692">
        <w:rPr>
          <w:rFonts w:asciiTheme="majorHAnsi" w:hAnsiTheme="majorHAnsi"/>
          <w:sz w:val="20"/>
          <w:szCs w:val="20"/>
          <w:lang w:val="es-ES_tradnl"/>
        </w:rPr>
        <w:t xml:space="preserve"> de los familiares o de la presunta víctima</w:t>
      </w:r>
      <w:r w:rsidR="000334D1">
        <w:rPr>
          <w:rFonts w:asciiTheme="majorHAnsi" w:hAnsiTheme="majorHAnsi"/>
          <w:sz w:val="20"/>
          <w:szCs w:val="20"/>
          <w:lang w:val="es-ES_tradnl"/>
        </w:rPr>
        <w:t xml:space="preserve"> (de acuerdo con la Ley 17.132 </w:t>
      </w:r>
      <w:r w:rsidR="000334D1" w:rsidRPr="000334D1">
        <w:rPr>
          <w:rFonts w:asciiTheme="majorHAnsi" w:hAnsiTheme="majorHAnsi"/>
          <w:sz w:val="20"/>
          <w:szCs w:val="20"/>
          <w:lang w:val="es-ES_tradnl"/>
        </w:rPr>
        <w:t>en casos de procedimientos quirúrgicos mutilantes resulta exigible la conformidad del paciente por escrito</w:t>
      </w:r>
      <w:r w:rsidR="000334D1">
        <w:rPr>
          <w:rFonts w:asciiTheme="majorHAnsi" w:hAnsiTheme="majorHAnsi"/>
          <w:sz w:val="20"/>
          <w:szCs w:val="20"/>
          <w:lang w:val="es-ES_tradnl"/>
        </w:rPr>
        <w:t>); (b</w:t>
      </w:r>
      <w:r w:rsidRPr="00B81692">
        <w:rPr>
          <w:rFonts w:asciiTheme="majorHAnsi" w:hAnsiTheme="majorHAnsi"/>
          <w:sz w:val="20"/>
          <w:szCs w:val="20"/>
          <w:lang w:val="es-ES_tradnl"/>
        </w:rPr>
        <w:t>) ni urgencia para continuar con la cirugía</w:t>
      </w:r>
      <w:r w:rsidR="00ED7883">
        <w:rPr>
          <w:rFonts w:asciiTheme="majorHAnsi" w:hAnsiTheme="majorHAnsi"/>
          <w:sz w:val="20"/>
          <w:szCs w:val="20"/>
          <w:lang w:val="es-ES_tradnl"/>
        </w:rPr>
        <w:t>,</w:t>
      </w:r>
      <w:r w:rsidR="00D67F92">
        <w:rPr>
          <w:rFonts w:asciiTheme="majorHAnsi" w:hAnsiTheme="majorHAnsi"/>
          <w:sz w:val="20"/>
          <w:szCs w:val="20"/>
          <w:lang w:val="es-ES_tradnl"/>
        </w:rPr>
        <w:t xml:space="preserve"> toda vez que se le </w:t>
      </w:r>
      <w:r w:rsidRPr="00B81692">
        <w:rPr>
          <w:rFonts w:asciiTheme="majorHAnsi" w:hAnsiTheme="majorHAnsi"/>
          <w:sz w:val="20"/>
          <w:szCs w:val="20"/>
          <w:lang w:val="es-ES_tradnl"/>
        </w:rPr>
        <w:t xml:space="preserve"> informó que la cirugía habría salido bien y que solo</w:t>
      </w:r>
      <w:r w:rsidR="00ED7883">
        <w:rPr>
          <w:rFonts w:asciiTheme="majorHAnsi" w:hAnsiTheme="majorHAnsi"/>
          <w:sz w:val="20"/>
          <w:szCs w:val="20"/>
          <w:lang w:val="es-ES_tradnl"/>
        </w:rPr>
        <w:t xml:space="preserve"> se</w:t>
      </w:r>
      <w:r w:rsidRPr="00B81692">
        <w:rPr>
          <w:rFonts w:asciiTheme="majorHAnsi" w:hAnsiTheme="majorHAnsi"/>
          <w:sz w:val="20"/>
          <w:szCs w:val="20"/>
          <w:lang w:val="es-ES_tradnl"/>
        </w:rPr>
        <w:t xml:space="preserve"> sacó un</w:t>
      </w:r>
      <w:r w:rsidR="000334D1">
        <w:rPr>
          <w:rFonts w:asciiTheme="majorHAnsi" w:hAnsiTheme="majorHAnsi"/>
          <w:sz w:val="20"/>
          <w:szCs w:val="20"/>
          <w:lang w:val="es-ES_tradnl"/>
        </w:rPr>
        <w:t xml:space="preserve"> pedacito de cada ovario; y (c</w:t>
      </w:r>
      <w:r w:rsidRPr="00B81692">
        <w:rPr>
          <w:rFonts w:asciiTheme="majorHAnsi" w:hAnsiTheme="majorHAnsi"/>
          <w:sz w:val="20"/>
          <w:szCs w:val="20"/>
          <w:lang w:val="es-ES_tradnl"/>
        </w:rPr>
        <w:t xml:space="preserve">) </w:t>
      </w:r>
      <w:r>
        <w:rPr>
          <w:rFonts w:asciiTheme="majorHAnsi" w:hAnsiTheme="majorHAnsi"/>
          <w:sz w:val="20"/>
          <w:szCs w:val="20"/>
          <w:lang w:val="es-ES_tradnl"/>
        </w:rPr>
        <w:t>tampoco</w:t>
      </w:r>
      <w:r w:rsidRPr="00B81692">
        <w:rPr>
          <w:rFonts w:asciiTheme="majorHAnsi" w:hAnsiTheme="majorHAnsi"/>
          <w:sz w:val="20"/>
          <w:szCs w:val="20"/>
          <w:lang w:val="es-ES_tradnl"/>
        </w:rPr>
        <w:t xml:space="preserve"> información previa </w:t>
      </w:r>
      <w:r>
        <w:rPr>
          <w:rFonts w:asciiTheme="majorHAnsi" w:hAnsiTheme="majorHAnsi"/>
          <w:sz w:val="20"/>
          <w:szCs w:val="20"/>
          <w:lang w:val="es-ES_tradnl"/>
        </w:rPr>
        <w:t xml:space="preserve">y posterior </w:t>
      </w:r>
      <w:r w:rsidRPr="00B81692">
        <w:rPr>
          <w:rFonts w:asciiTheme="majorHAnsi" w:hAnsiTheme="majorHAnsi"/>
          <w:sz w:val="20"/>
          <w:szCs w:val="20"/>
          <w:lang w:val="es-ES_tradnl"/>
        </w:rPr>
        <w:t>sobre los posibles riesgos y consecuencias</w:t>
      </w:r>
      <w:r w:rsidR="00A0373A">
        <w:rPr>
          <w:rFonts w:asciiTheme="majorHAnsi" w:hAnsiTheme="majorHAnsi"/>
          <w:sz w:val="20"/>
          <w:szCs w:val="20"/>
          <w:lang w:val="es-ES_tradnl"/>
        </w:rPr>
        <w:t xml:space="preserve"> de ese procedimiento médico</w:t>
      </w:r>
      <w:r w:rsidRPr="00B81692">
        <w:rPr>
          <w:rFonts w:asciiTheme="majorHAnsi" w:hAnsiTheme="majorHAnsi"/>
          <w:sz w:val="20"/>
          <w:szCs w:val="20"/>
          <w:lang w:val="es-ES_tradnl"/>
        </w:rPr>
        <w:t>.</w:t>
      </w:r>
      <w:r>
        <w:rPr>
          <w:rFonts w:asciiTheme="majorHAnsi" w:hAnsiTheme="majorHAnsi"/>
          <w:sz w:val="20"/>
          <w:szCs w:val="20"/>
          <w:lang w:val="es-ES_tradnl"/>
        </w:rPr>
        <w:t xml:space="preserve"> </w:t>
      </w:r>
      <w:r w:rsidR="00D67F92">
        <w:rPr>
          <w:rFonts w:asciiTheme="majorHAnsi" w:hAnsiTheme="majorHAnsi"/>
          <w:sz w:val="20"/>
          <w:szCs w:val="20"/>
          <w:lang w:val="es-ES_tradnl"/>
        </w:rPr>
        <w:t>Además, el</w:t>
      </w:r>
      <w:r w:rsidR="00C46ABA">
        <w:rPr>
          <w:rFonts w:asciiTheme="majorHAnsi" w:hAnsiTheme="majorHAnsi"/>
          <w:sz w:val="20"/>
          <w:szCs w:val="20"/>
          <w:lang w:val="es-ES_tradnl"/>
        </w:rPr>
        <w:t xml:space="preserve"> peticionario argumenta </w:t>
      </w:r>
      <w:r w:rsidR="00A0373A">
        <w:rPr>
          <w:rFonts w:asciiTheme="majorHAnsi" w:hAnsiTheme="majorHAnsi"/>
          <w:sz w:val="20"/>
          <w:szCs w:val="20"/>
          <w:lang w:val="es-ES_tradnl"/>
        </w:rPr>
        <w:t xml:space="preserve">que </w:t>
      </w:r>
      <w:r w:rsidR="00701B34">
        <w:rPr>
          <w:rFonts w:asciiTheme="majorHAnsi" w:hAnsiTheme="majorHAnsi"/>
          <w:sz w:val="20"/>
          <w:szCs w:val="20"/>
          <w:lang w:val="es-ES_tradnl"/>
        </w:rPr>
        <w:t>como tod</w:t>
      </w:r>
      <w:r w:rsidR="00002560">
        <w:rPr>
          <w:rFonts w:asciiTheme="majorHAnsi" w:hAnsiTheme="majorHAnsi"/>
          <w:sz w:val="20"/>
          <w:szCs w:val="20"/>
          <w:lang w:val="es-ES_tradnl"/>
        </w:rPr>
        <w:t>o</w:t>
      </w:r>
      <w:r w:rsidR="00C46ABA">
        <w:rPr>
          <w:rFonts w:asciiTheme="majorHAnsi" w:hAnsiTheme="majorHAnsi"/>
          <w:sz w:val="20"/>
          <w:szCs w:val="20"/>
          <w:lang w:val="es-ES_tradnl"/>
        </w:rPr>
        <w:t xml:space="preserve"> paciente tiene derecho a ser informado de las </w:t>
      </w:r>
      <w:r w:rsidR="00701B34">
        <w:rPr>
          <w:rFonts w:asciiTheme="majorHAnsi" w:hAnsiTheme="majorHAnsi"/>
          <w:sz w:val="20"/>
          <w:szCs w:val="20"/>
          <w:lang w:val="es-ES_tradnl"/>
        </w:rPr>
        <w:t>consecuencias</w:t>
      </w:r>
      <w:r w:rsidR="00C46ABA">
        <w:rPr>
          <w:rFonts w:asciiTheme="majorHAnsi" w:hAnsiTheme="majorHAnsi"/>
          <w:sz w:val="20"/>
          <w:szCs w:val="20"/>
          <w:lang w:val="es-ES_tradnl"/>
        </w:rPr>
        <w:t xml:space="preserve"> y</w:t>
      </w:r>
      <w:r w:rsidR="00701B34">
        <w:rPr>
          <w:rFonts w:asciiTheme="majorHAnsi" w:hAnsiTheme="majorHAnsi"/>
          <w:sz w:val="20"/>
          <w:szCs w:val="20"/>
          <w:lang w:val="es-ES_tradnl"/>
        </w:rPr>
        <w:t xml:space="preserve"> riesgo</w:t>
      </w:r>
      <w:r w:rsidR="00ED7883">
        <w:rPr>
          <w:rFonts w:asciiTheme="majorHAnsi" w:hAnsiTheme="majorHAnsi"/>
          <w:sz w:val="20"/>
          <w:szCs w:val="20"/>
          <w:lang w:val="es-ES_tradnl"/>
        </w:rPr>
        <w:t>s</w:t>
      </w:r>
      <w:r w:rsidR="00C46ABA">
        <w:rPr>
          <w:rFonts w:asciiTheme="majorHAnsi" w:hAnsiTheme="majorHAnsi"/>
          <w:sz w:val="20"/>
          <w:szCs w:val="20"/>
          <w:lang w:val="es-ES_tradnl"/>
        </w:rPr>
        <w:t xml:space="preserve"> de una </w:t>
      </w:r>
      <w:r w:rsidR="00701B34">
        <w:rPr>
          <w:rFonts w:asciiTheme="majorHAnsi" w:hAnsiTheme="majorHAnsi"/>
          <w:sz w:val="20"/>
          <w:szCs w:val="20"/>
          <w:lang w:val="es-ES_tradnl"/>
        </w:rPr>
        <w:t>intervención</w:t>
      </w:r>
      <w:r w:rsidR="00C46ABA">
        <w:rPr>
          <w:rFonts w:asciiTheme="majorHAnsi" w:hAnsiTheme="majorHAnsi"/>
          <w:sz w:val="20"/>
          <w:szCs w:val="20"/>
          <w:lang w:val="es-ES_tradnl"/>
        </w:rPr>
        <w:t xml:space="preserve"> </w:t>
      </w:r>
      <w:r w:rsidR="00701B34">
        <w:rPr>
          <w:rFonts w:asciiTheme="majorHAnsi" w:hAnsiTheme="majorHAnsi"/>
          <w:sz w:val="20"/>
          <w:szCs w:val="20"/>
          <w:lang w:val="es-ES_tradnl"/>
        </w:rPr>
        <w:t>quirúrgica</w:t>
      </w:r>
      <w:r w:rsidR="000334D1">
        <w:rPr>
          <w:rFonts w:asciiTheme="majorHAnsi" w:hAnsiTheme="majorHAnsi"/>
          <w:sz w:val="20"/>
          <w:szCs w:val="20"/>
          <w:lang w:val="es-ES_tradnl"/>
        </w:rPr>
        <w:t xml:space="preserve">, y que en el </w:t>
      </w:r>
      <w:r w:rsidR="00C46ABA">
        <w:rPr>
          <w:rFonts w:asciiTheme="majorHAnsi" w:hAnsiTheme="majorHAnsi"/>
          <w:sz w:val="20"/>
          <w:szCs w:val="20"/>
          <w:lang w:val="es-ES_tradnl"/>
        </w:rPr>
        <w:t>presente caso</w:t>
      </w:r>
      <w:r w:rsidR="000334D1">
        <w:rPr>
          <w:rFonts w:asciiTheme="majorHAnsi" w:hAnsiTheme="majorHAnsi"/>
          <w:sz w:val="20"/>
          <w:szCs w:val="20"/>
          <w:lang w:val="es-ES_tradnl"/>
        </w:rPr>
        <w:t xml:space="preserve"> </w:t>
      </w:r>
      <w:r w:rsidR="00C46ABA">
        <w:rPr>
          <w:rFonts w:asciiTheme="majorHAnsi" w:hAnsiTheme="majorHAnsi"/>
          <w:sz w:val="20"/>
          <w:szCs w:val="20"/>
          <w:lang w:val="es-ES_tradnl"/>
        </w:rPr>
        <w:t xml:space="preserve">no se </w:t>
      </w:r>
      <w:r w:rsidR="00D67F92">
        <w:rPr>
          <w:rFonts w:asciiTheme="majorHAnsi" w:hAnsiTheme="majorHAnsi"/>
          <w:sz w:val="20"/>
          <w:szCs w:val="20"/>
          <w:lang w:val="es-ES_tradnl"/>
        </w:rPr>
        <w:t>informó</w:t>
      </w:r>
      <w:r w:rsidR="00C46ABA">
        <w:rPr>
          <w:rFonts w:asciiTheme="majorHAnsi" w:hAnsiTheme="majorHAnsi"/>
          <w:sz w:val="20"/>
          <w:szCs w:val="20"/>
          <w:lang w:val="es-ES_tradnl"/>
        </w:rPr>
        <w:t xml:space="preserve"> debidamente ni a los </w:t>
      </w:r>
      <w:r w:rsidR="00701B34">
        <w:rPr>
          <w:rFonts w:asciiTheme="majorHAnsi" w:hAnsiTheme="majorHAnsi"/>
          <w:sz w:val="20"/>
          <w:szCs w:val="20"/>
          <w:lang w:val="es-ES_tradnl"/>
        </w:rPr>
        <w:t>familiares</w:t>
      </w:r>
      <w:r w:rsidR="00C46ABA">
        <w:rPr>
          <w:rFonts w:asciiTheme="majorHAnsi" w:hAnsiTheme="majorHAnsi"/>
          <w:sz w:val="20"/>
          <w:szCs w:val="20"/>
          <w:lang w:val="es-ES_tradnl"/>
        </w:rPr>
        <w:t xml:space="preserve"> ni a la presunta </w:t>
      </w:r>
      <w:r w:rsidR="000310EE">
        <w:rPr>
          <w:rFonts w:asciiTheme="majorHAnsi" w:hAnsiTheme="majorHAnsi"/>
          <w:sz w:val="20"/>
          <w:szCs w:val="20"/>
          <w:lang w:val="es-ES_tradnl"/>
        </w:rPr>
        <w:t xml:space="preserve">víctima </w:t>
      </w:r>
      <w:r w:rsidR="00ED7883">
        <w:rPr>
          <w:rFonts w:asciiTheme="majorHAnsi" w:hAnsiTheme="majorHAnsi"/>
          <w:sz w:val="20"/>
          <w:szCs w:val="20"/>
          <w:lang w:val="es-ES_tradnl"/>
        </w:rPr>
        <w:t>por escrito</w:t>
      </w:r>
      <w:r w:rsidR="00701B34">
        <w:rPr>
          <w:rFonts w:asciiTheme="majorHAnsi" w:hAnsiTheme="majorHAnsi"/>
          <w:sz w:val="20"/>
          <w:szCs w:val="20"/>
          <w:lang w:val="es-ES_tradnl"/>
        </w:rPr>
        <w:t xml:space="preserve"> </w:t>
      </w:r>
      <w:r w:rsidR="00ED7883">
        <w:rPr>
          <w:rFonts w:asciiTheme="majorHAnsi" w:hAnsiTheme="majorHAnsi"/>
          <w:sz w:val="20"/>
          <w:szCs w:val="20"/>
          <w:lang w:val="es-ES_tradnl"/>
        </w:rPr>
        <w:t>o</w:t>
      </w:r>
      <w:r w:rsidR="00701B34">
        <w:rPr>
          <w:rFonts w:asciiTheme="majorHAnsi" w:hAnsiTheme="majorHAnsi"/>
          <w:sz w:val="20"/>
          <w:szCs w:val="20"/>
          <w:lang w:val="es-ES_tradnl"/>
        </w:rPr>
        <w:t xml:space="preserve"> verbalmente</w:t>
      </w:r>
      <w:r w:rsidR="00ED7883">
        <w:rPr>
          <w:rFonts w:asciiTheme="majorHAnsi" w:hAnsiTheme="majorHAnsi"/>
          <w:sz w:val="20"/>
          <w:szCs w:val="20"/>
          <w:lang w:val="es-ES_tradnl"/>
        </w:rPr>
        <w:t>,</w:t>
      </w:r>
      <w:r w:rsidR="00701B34">
        <w:rPr>
          <w:rFonts w:asciiTheme="majorHAnsi" w:hAnsiTheme="majorHAnsi"/>
          <w:sz w:val="20"/>
          <w:szCs w:val="20"/>
          <w:lang w:val="es-ES_tradnl"/>
        </w:rPr>
        <w:t xml:space="preserve"> </w:t>
      </w:r>
      <w:r w:rsidR="000334D1">
        <w:rPr>
          <w:rFonts w:asciiTheme="majorHAnsi" w:hAnsiTheme="majorHAnsi"/>
          <w:sz w:val="20"/>
          <w:szCs w:val="20"/>
          <w:lang w:val="es-ES_tradnl"/>
        </w:rPr>
        <w:t>entonces</w:t>
      </w:r>
      <w:r w:rsidR="00701B34">
        <w:rPr>
          <w:rFonts w:asciiTheme="majorHAnsi" w:hAnsiTheme="majorHAnsi"/>
          <w:sz w:val="20"/>
          <w:szCs w:val="20"/>
          <w:lang w:val="es-ES_tradnl"/>
        </w:rPr>
        <w:t xml:space="preserve"> se habría dado un</w:t>
      </w:r>
      <w:r w:rsidR="000334D1">
        <w:rPr>
          <w:rFonts w:asciiTheme="majorHAnsi" w:hAnsiTheme="majorHAnsi"/>
          <w:sz w:val="20"/>
          <w:szCs w:val="20"/>
          <w:lang w:val="es-ES_tradnl"/>
        </w:rPr>
        <w:t xml:space="preserve"> trato discriminatorio</w:t>
      </w:r>
      <w:r w:rsidR="00701B34">
        <w:rPr>
          <w:rFonts w:asciiTheme="majorHAnsi" w:hAnsiTheme="majorHAnsi"/>
          <w:sz w:val="20"/>
          <w:szCs w:val="20"/>
          <w:lang w:val="es-ES_tradnl"/>
        </w:rPr>
        <w:t>.</w:t>
      </w:r>
      <w:r w:rsidRPr="00B81692">
        <w:rPr>
          <w:rFonts w:asciiTheme="majorHAnsi" w:hAnsiTheme="majorHAnsi"/>
          <w:sz w:val="20"/>
          <w:szCs w:val="20"/>
          <w:lang w:val="es-ES_tradnl"/>
        </w:rPr>
        <w:t xml:space="preserve"> </w:t>
      </w:r>
    </w:p>
    <w:p w:rsidR="009A144F" w:rsidRPr="00B81692" w:rsidRDefault="009A144F" w:rsidP="00AE18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81692">
        <w:rPr>
          <w:rFonts w:asciiTheme="majorHAnsi" w:hAnsiTheme="majorHAnsi"/>
          <w:sz w:val="20"/>
          <w:szCs w:val="20"/>
          <w:lang w:val="es-ES_tradnl"/>
        </w:rPr>
        <w:t>5.</w:t>
      </w:r>
      <w:r w:rsidRPr="00B81692">
        <w:rPr>
          <w:rFonts w:asciiTheme="majorHAnsi" w:hAnsiTheme="majorHAnsi"/>
          <w:sz w:val="20"/>
          <w:szCs w:val="20"/>
          <w:lang w:val="es-ES_tradnl"/>
        </w:rPr>
        <w:tab/>
      </w:r>
      <w:r>
        <w:rPr>
          <w:rFonts w:asciiTheme="majorHAnsi" w:hAnsiTheme="majorHAnsi"/>
          <w:sz w:val="20"/>
          <w:szCs w:val="20"/>
          <w:lang w:val="es-ES_tradnl"/>
        </w:rPr>
        <w:t xml:space="preserve">A raíz </w:t>
      </w:r>
      <w:r w:rsidRPr="00B81692">
        <w:rPr>
          <w:rFonts w:asciiTheme="majorHAnsi" w:hAnsiTheme="majorHAnsi"/>
          <w:sz w:val="20"/>
          <w:szCs w:val="20"/>
          <w:lang w:val="es-ES_tradnl"/>
        </w:rPr>
        <w:t>de e</w:t>
      </w:r>
      <w:r>
        <w:rPr>
          <w:rFonts w:asciiTheme="majorHAnsi" w:hAnsiTheme="majorHAnsi"/>
          <w:sz w:val="20"/>
          <w:szCs w:val="20"/>
          <w:lang w:val="es-ES_tradnl"/>
        </w:rPr>
        <w:t xml:space="preserve">sta resolución, el peticionario </w:t>
      </w:r>
      <w:r w:rsidRPr="00B81692">
        <w:rPr>
          <w:rFonts w:asciiTheme="majorHAnsi" w:hAnsiTheme="majorHAnsi"/>
          <w:sz w:val="20"/>
          <w:szCs w:val="20"/>
          <w:lang w:val="es-ES_tradnl"/>
        </w:rPr>
        <w:t xml:space="preserve">indica que </w:t>
      </w:r>
      <w:r>
        <w:rPr>
          <w:rFonts w:asciiTheme="majorHAnsi" w:hAnsiTheme="majorHAnsi"/>
          <w:sz w:val="20"/>
          <w:szCs w:val="20"/>
          <w:lang w:val="es-ES_tradnl"/>
        </w:rPr>
        <w:t>interpus</w:t>
      </w:r>
      <w:r w:rsidRPr="00B81692">
        <w:rPr>
          <w:rFonts w:asciiTheme="majorHAnsi" w:hAnsiTheme="majorHAnsi"/>
          <w:sz w:val="20"/>
          <w:szCs w:val="20"/>
          <w:lang w:val="es-ES_tradnl"/>
        </w:rPr>
        <w:t>o</w:t>
      </w:r>
      <w:r>
        <w:rPr>
          <w:rFonts w:asciiTheme="majorHAnsi" w:hAnsiTheme="majorHAnsi"/>
          <w:sz w:val="20"/>
          <w:szCs w:val="20"/>
          <w:lang w:val="es-ES_tradnl"/>
        </w:rPr>
        <w:t xml:space="preserve"> un </w:t>
      </w:r>
      <w:r w:rsidRPr="00B81692">
        <w:rPr>
          <w:rFonts w:asciiTheme="majorHAnsi" w:hAnsiTheme="majorHAnsi"/>
          <w:sz w:val="20"/>
          <w:szCs w:val="20"/>
          <w:lang w:val="es-ES_tradnl"/>
        </w:rPr>
        <w:t xml:space="preserve">recurso de inconstitucionalidad </w:t>
      </w:r>
      <w:r>
        <w:rPr>
          <w:rFonts w:asciiTheme="majorHAnsi" w:hAnsiTheme="majorHAnsi"/>
          <w:sz w:val="20"/>
          <w:szCs w:val="20"/>
          <w:lang w:val="es-ES_tradnl"/>
        </w:rPr>
        <w:t xml:space="preserve">y casación </w:t>
      </w:r>
      <w:r w:rsidRPr="00B81692">
        <w:rPr>
          <w:rFonts w:asciiTheme="majorHAnsi" w:hAnsiTheme="majorHAnsi"/>
          <w:sz w:val="20"/>
          <w:szCs w:val="20"/>
          <w:lang w:val="es-ES_tradnl"/>
        </w:rPr>
        <w:t>ante la Corte Suprema de Justicia de la provincia de Mendoza</w:t>
      </w:r>
      <w:r w:rsidR="00AE1816">
        <w:rPr>
          <w:rFonts w:asciiTheme="majorHAnsi" w:hAnsiTheme="majorHAnsi"/>
          <w:sz w:val="20"/>
          <w:szCs w:val="20"/>
          <w:lang w:val="es-ES_tradnl"/>
        </w:rPr>
        <w:t>;</w:t>
      </w:r>
      <w:r>
        <w:rPr>
          <w:rFonts w:asciiTheme="majorHAnsi" w:hAnsiTheme="majorHAnsi"/>
          <w:sz w:val="20"/>
          <w:szCs w:val="20"/>
          <w:lang w:val="es-ES_tradnl"/>
        </w:rPr>
        <w:t xml:space="preserve"> </w:t>
      </w:r>
      <w:r w:rsidR="00AE1816">
        <w:rPr>
          <w:rFonts w:asciiTheme="majorHAnsi" w:hAnsiTheme="majorHAnsi"/>
          <w:sz w:val="20"/>
          <w:szCs w:val="20"/>
          <w:lang w:val="es-ES_tradnl"/>
        </w:rPr>
        <w:t xml:space="preserve">la cual rechazó los recursos el 28 de diciembre de 2010 </w:t>
      </w:r>
      <w:r w:rsidR="00A0373A">
        <w:rPr>
          <w:rFonts w:asciiTheme="majorHAnsi" w:hAnsiTheme="majorHAnsi"/>
          <w:sz w:val="20"/>
          <w:szCs w:val="20"/>
          <w:lang w:val="es-ES_tradnl"/>
        </w:rPr>
        <w:t>por considerar</w:t>
      </w:r>
      <w:r>
        <w:rPr>
          <w:rFonts w:asciiTheme="majorHAnsi" w:hAnsiTheme="majorHAnsi"/>
          <w:sz w:val="20"/>
          <w:szCs w:val="20"/>
          <w:lang w:val="es-ES_tradnl"/>
        </w:rPr>
        <w:t xml:space="preserve"> que la técnica médica fue correcta</w:t>
      </w:r>
      <w:r w:rsidR="00AE1816">
        <w:rPr>
          <w:rFonts w:asciiTheme="majorHAnsi" w:hAnsiTheme="majorHAnsi"/>
          <w:sz w:val="20"/>
          <w:szCs w:val="20"/>
          <w:lang w:val="es-ES_tradnl"/>
        </w:rPr>
        <w:t>; y</w:t>
      </w:r>
      <w:r>
        <w:rPr>
          <w:rFonts w:asciiTheme="majorHAnsi" w:hAnsiTheme="majorHAnsi"/>
          <w:sz w:val="20"/>
          <w:szCs w:val="20"/>
          <w:lang w:val="es-ES_tradnl"/>
        </w:rPr>
        <w:t xml:space="preserve"> </w:t>
      </w:r>
      <w:r w:rsidR="00A0373A">
        <w:rPr>
          <w:rFonts w:asciiTheme="majorHAnsi" w:hAnsiTheme="majorHAnsi"/>
          <w:sz w:val="20"/>
          <w:szCs w:val="20"/>
          <w:lang w:val="es-ES_tradnl"/>
        </w:rPr>
        <w:t>que</w:t>
      </w:r>
      <w:r>
        <w:rPr>
          <w:rFonts w:asciiTheme="majorHAnsi" w:hAnsiTheme="majorHAnsi"/>
          <w:sz w:val="20"/>
          <w:szCs w:val="20"/>
          <w:lang w:val="es-ES_tradnl"/>
        </w:rPr>
        <w:t xml:space="preserve"> </w:t>
      </w:r>
      <w:r w:rsidRPr="00B81692">
        <w:rPr>
          <w:rFonts w:asciiTheme="majorHAnsi" w:hAnsiTheme="majorHAnsi"/>
          <w:sz w:val="20"/>
          <w:szCs w:val="20"/>
          <w:lang w:val="es-ES_tradnl"/>
        </w:rPr>
        <w:t xml:space="preserve">la </w:t>
      </w:r>
      <w:r w:rsidR="00A0373A">
        <w:rPr>
          <w:rFonts w:asciiTheme="majorHAnsi" w:hAnsiTheme="majorHAnsi"/>
          <w:sz w:val="20"/>
          <w:szCs w:val="20"/>
          <w:lang w:val="es-ES_tradnl"/>
        </w:rPr>
        <w:t xml:space="preserve">prueba pericial concluyó que la </w:t>
      </w:r>
      <w:r>
        <w:rPr>
          <w:rFonts w:asciiTheme="majorHAnsi" w:hAnsiTheme="majorHAnsi"/>
          <w:sz w:val="20"/>
          <w:szCs w:val="20"/>
          <w:lang w:val="es-ES_tradnl"/>
        </w:rPr>
        <w:t>intervención</w:t>
      </w:r>
      <w:r w:rsidR="00A0373A">
        <w:rPr>
          <w:rFonts w:asciiTheme="majorHAnsi" w:hAnsiTheme="majorHAnsi"/>
          <w:sz w:val="20"/>
          <w:szCs w:val="20"/>
          <w:lang w:val="es-ES_tradnl"/>
        </w:rPr>
        <w:t xml:space="preserve"> quirúrgica</w:t>
      </w:r>
      <w:r>
        <w:rPr>
          <w:rFonts w:asciiTheme="majorHAnsi" w:hAnsiTheme="majorHAnsi"/>
          <w:sz w:val="20"/>
          <w:szCs w:val="20"/>
          <w:lang w:val="es-ES_tradnl"/>
        </w:rPr>
        <w:t xml:space="preserve"> </w:t>
      </w:r>
      <w:r w:rsidR="00A0373A">
        <w:rPr>
          <w:rFonts w:asciiTheme="majorHAnsi" w:hAnsiTheme="majorHAnsi"/>
          <w:sz w:val="20"/>
          <w:szCs w:val="20"/>
          <w:lang w:val="es-ES_tradnl"/>
        </w:rPr>
        <w:t>era</w:t>
      </w:r>
      <w:r w:rsidR="00AE1816">
        <w:rPr>
          <w:rFonts w:asciiTheme="majorHAnsi" w:hAnsiTheme="majorHAnsi"/>
          <w:sz w:val="20"/>
          <w:szCs w:val="20"/>
          <w:lang w:val="es-ES_tradnl"/>
        </w:rPr>
        <w:t xml:space="preserve"> imprescindible,</w:t>
      </w:r>
      <w:r>
        <w:rPr>
          <w:rFonts w:asciiTheme="majorHAnsi" w:hAnsiTheme="majorHAnsi"/>
          <w:sz w:val="20"/>
          <w:szCs w:val="20"/>
          <w:lang w:val="es-ES_tradnl"/>
        </w:rPr>
        <w:t xml:space="preserve"> </w:t>
      </w:r>
      <w:r w:rsidR="00AE1816">
        <w:rPr>
          <w:rFonts w:asciiTheme="majorHAnsi" w:hAnsiTheme="majorHAnsi"/>
          <w:sz w:val="20"/>
          <w:szCs w:val="20"/>
          <w:lang w:val="es-ES_tradnl"/>
        </w:rPr>
        <w:t xml:space="preserve">y </w:t>
      </w:r>
      <w:r>
        <w:rPr>
          <w:rFonts w:asciiTheme="majorHAnsi" w:hAnsiTheme="majorHAnsi"/>
          <w:sz w:val="20"/>
          <w:szCs w:val="20"/>
          <w:lang w:val="es-ES_tradnl"/>
        </w:rPr>
        <w:t xml:space="preserve">por ende, urgente y necesaria. </w:t>
      </w:r>
      <w:r w:rsidRPr="00B81692">
        <w:rPr>
          <w:rFonts w:asciiTheme="majorHAnsi" w:hAnsiTheme="majorHAnsi"/>
          <w:sz w:val="20"/>
          <w:szCs w:val="20"/>
          <w:lang w:val="es-ES_tradnl"/>
        </w:rPr>
        <w:t xml:space="preserve">El peticionario, señala que esta decisión fue notificada a la presunta víctima el 1 de febrero de 2011. </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81692">
        <w:rPr>
          <w:rFonts w:asciiTheme="majorHAnsi" w:hAnsiTheme="majorHAnsi"/>
          <w:sz w:val="20"/>
          <w:szCs w:val="20"/>
          <w:lang w:val="es-ES_tradnl"/>
        </w:rPr>
        <w:lastRenderedPageBreak/>
        <w:t>6.</w:t>
      </w:r>
      <w:r w:rsidRPr="00B81692">
        <w:rPr>
          <w:rFonts w:asciiTheme="majorHAnsi" w:hAnsiTheme="majorHAnsi"/>
          <w:sz w:val="20"/>
          <w:szCs w:val="20"/>
          <w:lang w:val="es-ES_tradnl"/>
        </w:rPr>
        <w:tab/>
      </w:r>
      <w:r w:rsidR="00F71E6B">
        <w:rPr>
          <w:rFonts w:asciiTheme="majorHAnsi" w:hAnsiTheme="majorHAnsi"/>
          <w:sz w:val="20"/>
          <w:szCs w:val="20"/>
          <w:lang w:val="es-ES_tradnl"/>
        </w:rPr>
        <w:t>El peticionario a</w:t>
      </w:r>
      <w:r>
        <w:rPr>
          <w:rFonts w:asciiTheme="majorHAnsi" w:hAnsiTheme="majorHAnsi"/>
          <w:sz w:val="20"/>
          <w:szCs w:val="20"/>
          <w:lang w:val="es-ES_tradnl"/>
        </w:rPr>
        <w:t>duce</w:t>
      </w:r>
      <w:r w:rsidRPr="00B81692">
        <w:rPr>
          <w:rFonts w:asciiTheme="majorHAnsi" w:hAnsiTheme="majorHAnsi"/>
          <w:sz w:val="20"/>
          <w:szCs w:val="20"/>
          <w:lang w:val="es-ES_tradnl"/>
        </w:rPr>
        <w:t xml:space="preserve"> que para los tribunales solo bastó un supuesto consentimiento informal y no escri</w:t>
      </w:r>
      <w:r w:rsidR="006E4D9A">
        <w:rPr>
          <w:rFonts w:asciiTheme="majorHAnsi" w:hAnsiTheme="majorHAnsi"/>
          <w:sz w:val="20"/>
          <w:szCs w:val="20"/>
          <w:lang w:val="es-ES_tradnl"/>
        </w:rPr>
        <w:t xml:space="preserve">to por parte de los familiares; </w:t>
      </w:r>
      <w:r w:rsidRPr="00B81692">
        <w:rPr>
          <w:rFonts w:asciiTheme="majorHAnsi" w:hAnsiTheme="majorHAnsi"/>
          <w:sz w:val="20"/>
          <w:szCs w:val="20"/>
          <w:lang w:val="es-ES_tradnl"/>
        </w:rPr>
        <w:t xml:space="preserve">que solo habrían tomado en cuenta el testimonio de los médicos y </w:t>
      </w:r>
      <w:r>
        <w:rPr>
          <w:rFonts w:asciiTheme="majorHAnsi" w:hAnsiTheme="majorHAnsi"/>
          <w:sz w:val="20"/>
          <w:szCs w:val="20"/>
          <w:lang w:val="es-ES_tradnl"/>
        </w:rPr>
        <w:t xml:space="preserve">no el de los </w:t>
      </w:r>
      <w:r w:rsidR="006E4D9A">
        <w:rPr>
          <w:rFonts w:asciiTheme="majorHAnsi" w:hAnsiTheme="majorHAnsi"/>
          <w:sz w:val="20"/>
          <w:szCs w:val="20"/>
          <w:lang w:val="es-ES_tradnl"/>
        </w:rPr>
        <w:t>familiares;</w:t>
      </w:r>
      <w:r>
        <w:rPr>
          <w:rFonts w:asciiTheme="majorHAnsi" w:hAnsiTheme="majorHAnsi"/>
          <w:sz w:val="20"/>
          <w:szCs w:val="20"/>
          <w:lang w:val="es-ES_tradnl"/>
        </w:rPr>
        <w:t xml:space="preserve"> </w:t>
      </w:r>
      <w:r w:rsidRPr="00B81692">
        <w:rPr>
          <w:rFonts w:asciiTheme="majorHAnsi" w:hAnsiTheme="majorHAnsi"/>
          <w:sz w:val="20"/>
          <w:szCs w:val="20"/>
          <w:lang w:val="es-ES_tradnl"/>
        </w:rPr>
        <w:t xml:space="preserve">que restaron importancia al extravío de la historia clínica </w:t>
      </w:r>
      <w:r>
        <w:rPr>
          <w:rFonts w:asciiTheme="majorHAnsi" w:hAnsiTheme="majorHAnsi"/>
          <w:sz w:val="20"/>
          <w:szCs w:val="20"/>
          <w:lang w:val="es-ES_tradnl"/>
        </w:rPr>
        <w:t>y del protocolo quirúrgico</w:t>
      </w:r>
      <w:r w:rsidR="006E4D9A">
        <w:rPr>
          <w:rFonts w:asciiTheme="majorHAnsi" w:hAnsiTheme="majorHAnsi"/>
          <w:sz w:val="20"/>
          <w:szCs w:val="20"/>
          <w:lang w:val="es-ES_tradnl"/>
        </w:rPr>
        <w:t>; y</w:t>
      </w:r>
      <w:r w:rsidRPr="00B81692">
        <w:rPr>
          <w:rFonts w:asciiTheme="majorHAnsi" w:hAnsiTheme="majorHAnsi"/>
          <w:sz w:val="20"/>
          <w:szCs w:val="20"/>
          <w:lang w:val="es-ES_tradnl"/>
        </w:rPr>
        <w:t xml:space="preserve"> que los tribunales habrían actu</w:t>
      </w:r>
      <w:r>
        <w:rPr>
          <w:rFonts w:asciiTheme="majorHAnsi" w:hAnsiTheme="majorHAnsi"/>
          <w:sz w:val="20"/>
          <w:szCs w:val="20"/>
          <w:lang w:val="es-ES_tradnl"/>
        </w:rPr>
        <w:t>ado arbitrariamente,</w:t>
      </w:r>
      <w:r w:rsidRPr="00B81692">
        <w:rPr>
          <w:rFonts w:asciiTheme="majorHAnsi" w:hAnsiTheme="majorHAnsi"/>
          <w:sz w:val="20"/>
          <w:szCs w:val="20"/>
          <w:lang w:val="es-ES_tradnl"/>
        </w:rPr>
        <w:t xml:space="preserve"> valorado erróneamente la prueba, los hechos y</w:t>
      </w:r>
      <w:r>
        <w:rPr>
          <w:rFonts w:asciiTheme="majorHAnsi" w:hAnsiTheme="majorHAnsi"/>
          <w:sz w:val="20"/>
          <w:szCs w:val="20"/>
          <w:lang w:val="es-ES_tradnl"/>
        </w:rPr>
        <w:t xml:space="preserve"> </w:t>
      </w:r>
      <w:r w:rsidRPr="00B81692">
        <w:rPr>
          <w:rFonts w:asciiTheme="majorHAnsi" w:hAnsiTheme="majorHAnsi"/>
          <w:sz w:val="20"/>
          <w:szCs w:val="20"/>
          <w:lang w:val="es-ES_tradnl"/>
        </w:rPr>
        <w:t>violado el derecho al consentimiento previo e informado</w:t>
      </w:r>
      <w:r>
        <w:rPr>
          <w:rFonts w:asciiTheme="majorHAnsi" w:hAnsiTheme="majorHAnsi"/>
          <w:sz w:val="20"/>
          <w:szCs w:val="20"/>
          <w:lang w:val="es-ES_tradnl"/>
        </w:rPr>
        <w:t>.</w:t>
      </w:r>
      <w:r w:rsidRPr="00B81692">
        <w:rPr>
          <w:rFonts w:asciiTheme="majorHAnsi" w:hAnsiTheme="majorHAnsi"/>
          <w:sz w:val="20"/>
          <w:szCs w:val="20"/>
          <w:lang w:val="es-ES_tradnl"/>
        </w:rPr>
        <w:t xml:space="preserve"> </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7</w:t>
      </w:r>
      <w:r w:rsidRPr="00B81692">
        <w:rPr>
          <w:rFonts w:asciiTheme="majorHAnsi" w:hAnsiTheme="majorHAnsi"/>
          <w:sz w:val="20"/>
          <w:szCs w:val="20"/>
          <w:lang w:val="es-ES_tradnl"/>
        </w:rPr>
        <w:t>.</w:t>
      </w:r>
      <w:r w:rsidRPr="00B81692">
        <w:rPr>
          <w:rFonts w:asciiTheme="majorHAnsi" w:hAnsiTheme="majorHAnsi"/>
          <w:sz w:val="20"/>
          <w:szCs w:val="20"/>
          <w:lang w:val="es-ES_tradnl"/>
        </w:rPr>
        <w:tab/>
        <w:t>Por su parte, el Estado alega que la petición es inadmisible, puesto que no cumple con los requisitos de admisibilidad previsto en los artículos 46 y 47</w:t>
      </w:r>
      <w:r>
        <w:rPr>
          <w:rFonts w:asciiTheme="majorHAnsi" w:hAnsiTheme="majorHAnsi"/>
          <w:sz w:val="20"/>
          <w:szCs w:val="20"/>
          <w:lang w:val="es-ES_tradnl"/>
        </w:rPr>
        <w:t xml:space="preserve"> de la Convención Americana</w:t>
      </w:r>
      <w:r w:rsidRPr="00B81692">
        <w:rPr>
          <w:rFonts w:asciiTheme="majorHAnsi" w:hAnsiTheme="majorHAnsi"/>
          <w:sz w:val="20"/>
          <w:szCs w:val="20"/>
          <w:lang w:val="es-ES_tradnl"/>
        </w:rPr>
        <w:t xml:space="preserve">. </w:t>
      </w:r>
      <w:r w:rsidR="00596CF9" w:rsidRPr="00B81692">
        <w:rPr>
          <w:rFonts w:asciiTheme="majorHAnsi" w:hAnsiTheme="majorHAnsi"/>
          <w:sz w:val="20"/>
          <w:szCs w:val="20"/>
          <w:lang w:val="es-ES_tradnl"/>
        </w:rPr>
        <w:t>Asimismo,</w:t>
      </w:r>
      <w:r w:rsidRPr="00B81692">
        <w:rPr>
          <w:rFonts w:asciiTheme="majorHAnsi" w:hAnsiTheme="majorHAnsi"/>
          <w:sz w:val="20"/>
          <w:szCs w:val="20"/>
          <w:lang w:val="es-ES_tradnl"/>
        </w:rPr>
        <w:t xml:space="preserve"> exp</w:t>
      </w:r>
      <w:r w:rsidR="00D315AB">
        <w:rPr>
          <w:rFonts w:asciiTheme="majorHAnsi" w:hAnsiTheme="majorHAnsi"/>
          <w:sz w:val="20"/>
          <w:szCs w:val="20"/>
          <w:lang w:val="es-ES_tradnl"/>
        </w:rPr>
        <w:t>one que los hechos no caracterizan</w:t>
      </w:r>
      <w:r w:rsidRPr="00B81692">
        <w:rPr>
          <w:rFonts w:asciiTheme="majorHAnsi" w:hAnsiTheme="majorHAnsi"/>
          <w:sz w:val="20"/>
          <w:szCs w:val="20"/>
          <w:lang w:val="es-ES_tradnl"/>
        </w:rPr>
        <w:t xml:space="preserve"> violaciones a la Convención. Adicionalmente, alegó que los recursos internos no fueron agotados y que el peticionario pret</w:t>
      </w:r>
      <w:r>
        <w:rPr>
          <w:rFonts w:asciiTheme="majorHAnsi" w:hAnsiTheme="majorHAnsi"/>
          <w:sz w:val="20"/>
          <w:szCs w:val="20"/>
          <w:lang w:val="es-ES_tradnl"/>
        </w:rPr>
        <w:t>ende hacer uso de la CIDH como cuarta instancia</w:t>
      </w:r>
      <w:r w:rsidRPr="00B81692">
        <w:rPr>
          <w:rFonts w:asciiTheme="majorHAnsi" w:hAnsiTheme="majorHAnsi"/>
          <w:sz w:val="20"/>
          <w:szCs w:val="20"/>
          <w:lang w:val="es-ES_tradnl"/>
        </w:rPr>
        <w:t xml:space="preserve">. Ello, por cuanto las sentencias de las causas tramitadas a nivel interno fueron dictadas por tribunales que actuaron en la esfera de su competencia y aplicando las debidas garantías judiciales del debido proceso. </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8</w:t>
      </w:r>
      <w:r w:rsidRPr="00B81692">
        <w:rPr>
          <w:rFonts w:asciiTheme="majorHAnsi" w:hAnsiTheme="majorHAnsi"/>
          <w:sz w:val="20"/>
          <w:szCs w:val="20"/>
          <w:lang w:val="es-ES_tradnl"/>
        </w:rPr>
        <w:t>.</w:t>
      </w:r>
      <w:r w:rsidRPr="00B81692">
        <w:rPr>
          <w:rFonts w:asciiTheme="majorHAnsi" w:hAnsiTheme="majorHAnsi"/>
          <w:sz w:val="20"/>
          <w:szCs w:val="20"/>
          <w:lang w:val="es-ES_tradnl"/>
        </w:rPr>
        <w:tab/>
      </w:r>
      <w:r w:rsidR="00D82399">
        <w:rPr>
          <w:rFonts w:asciiTheme="majorHAnsi" w:hAnsiTheme="majorHAnsi"/>
          <w:sz w:val="20"/>
          <w:szCs w:val="20"/>
          <w:lang w:val="es-ES_tradnl"/>
        </w:rPr>
        <w:t>Alega</w:t>
      </w:r>
      <w:r w:rsidRPr="00B81692">
        <w:rPr>
          <w:rFonts w:asciiTheme="majorHAnsi" w:hAnsiTheme="majorHAnsi"/>
          <w:sz w:val="20"/>
          <w:szCs w:val="20"/>
          <w:lang w:val="es-ES_tradnl"/>
        </w:rPr>
        <w:t xml:space="preserve"> </w:t>
      </w:r>
      <w:r w:rsidR="00596CF9" w:rsidRPr="00B81692">
        <w:rPr>
          <w:rFonts w:asciiTheme="majorHAnsi" w:hAnsiTheme="majorHAnsi"/>
          <w:sz w:val="20"/>
          <w:szCs w:val="20"/>
          <w:lang w:val="es-ES_tradnl"/>
        </w:rPr>
        <w:t>que,</w:t>
      </w:r>
      <w:r w:rsidRPr="00B81692">
        <w:rPr>
          <w:rFonts w:asciiTheme="majorHAnsi" w:hAnsiTheme="majorHAnsi"/>
          <w:sz w:val="20"/>
          <w:szCs w:val="20"/>
          <w:lang w:val="es-ES_tradnl"/>
        </w:rPr>
        <w:t xml:space="preserve"> ante la resolución de la Corte Suprema de Justicia de la provincia de Mendoza, el peticionario omitió presentar el recurso extraordinario federal por arbitrariedad de sentencia</w:t>
      </w:r>
      <w:r w:rsidR="00D82399">
        <w:rPr>
          <w:rFonts w:asciiTheme="majorHAnsi" w:hAnsiTheme="majorHAnsi"/>
          <w:sz w:val="20"/>
          <w:szCs w:val="20"/>
          <w:lang w:val="es-ES_tradnl"/>
        </w:rPr>
        <w:t>, el cual eventualmente sería conocido por la Corte Suprema de Justicia de la Nación.</w:t>
      </w:r>
      <w:r w:rsidRPr="00B81692">
        <w:rPr>
          <w:rFonts w:asciiTheme="majorHAnsi" w:hAnsiTheme="majorHAnsi"/>
          <w:sz w:val="20"/>
          <w:szCs w:val="20"/>
          <w:lang w:val="es-ES_tradnl"/>
        </w:rPr>
        <w:t xml:space="preserve"> Señala que el recurso extraordinario federal es idóneo y eficaz para tratar la cuestión en sede interna, en tanto </w:t>
      </w:r>
      <w:r w:rsidRPr="00B81692">
        <w:rPr>
          <w:rFonts w:asciiTheme="majorHAnsi" w:hAnsiTheme="majorHAnsi"/>
          <w:i/>
          <w:sz w:val="20"/>
          <w:szCs w:val="20"/>
          <w:lang w:val="es-ES_tradnl"/>
        </w:rPr>
        <w:t>“el objeto d</w:t>
      </w:r>
      <w:r>
        <w:rPr>
          <w:rFonts w:asciiTheme="majorHAnsi" w:hAnsiTheme="majorHAnsi"/>
          <w:i/>
          <w:sz w:val="20"/>
          <w:szCs w:val="20"/>
          <w:lang w:val="es-ES_tradnl"/>
        </w:rPr>
        <w:t>e la denuncia del peticionario -</w:t>
      </w:r>
      <w:r w:rsidRPr="00B81692">
        <w:rPr>
          <w:rFonts w:asciiTheme="majorHAnsi" w:hAnsiTheme="majorHAnsi"/>
          <w:i/>
          <w:sz w:val="20"/>
          <w:szCs w:val="20"/>
          <w:lang w:val="es-ES_tradnl"/>
        </w:rPr>
        <w:t xml:space="preserve"> la alegada violación de derechos fundamentales por vía de una sentencia arbitraria en cuanto al análisis de prueba y los hechos</w:t>
      </w:r>
      <w:r>
        <w:rPr>
          <w:rFonts w:asciiTheme="majorHAnsi" w:hAnsiTheme="majorHAnsi"/>
          <w:i/>
          <w:sz w:val="20"/>
          <w:szCs w:val="20"/>
          <w:lang w:val="es-ES_tradnl"/>
        </w:rPr>
        <w:t xml:space="preserve"> -</w:t>
      </w:r>
      <w:r w:rsidRPr="00B81692">
        <w:rPr>
          <w:rFonts w:asciiTheme="majorHAnsi" w:hAnsiTheme="majorHAnsi"/>
          <w:i/>
          <w:sz w:val="20"/>
          <w:szCs w:val="20"/>
          <w:lang w:val="es-ES_tradnl"/>
        </w:rPr>
        <w:t xml:space="preserve"> coincide con el supuesto de procedencia de arbitrariedad</w:t>
      </w:r>
      <w:r w:rsidRPr="00B81692">
        <w:rPr>
          <w:rFonts w:asciiTheme="majorHAnsi" w:hAnsiTheme="majorHAnsi"/>
          <w:sz w:val="20"/>
          <w:szCs w:val="20"/>
          <w:lang w:val="es-ES_tradnl"/>
        </w:rPr>
        <w:t xml:space="preserve"> </w:t>
      </w:r>
      <w:r w:rsidRPr="00B81692">
        <w:rPr>
          <w:rFonts w:asciiTheme="majorHAnsi" w:hAnsiTheme="majorHAnsi"/>
          <w:i/>
          <w:sz w:val="20"/>
          <w:szCs w:val="20"/>
          <w:lang w:val="es-ES_tradnl"/>
        </w:rPr>
        <w:t xml:space="preserve">de sentencia del recurso extraordinario federal”. </w:t>
      </w:r>
      <w:r w:rsidRPr="00B81692">
        <w:rPr>
          <w:rFonts w:asciiTheme="majorHAnsi" w:hAnsiTheme="majorHAnsi"/>
          <w:sz w:val="20"/>
          <w:szCs w:val="20"/>
          <w:lang w:val="es-ES_tradnl"/>
        </w:rPr>
        <w:t xml:space="preserve">Por lo tanto, resalta que el peticionario no agotó la jurisdicción interna y lo que pretende es una revisión por parte de la Comisión de las decisiones que rechazaron </w:t>
      </w:r>
      <w:r>
        <w:rPr>
          <w:rFonts w:asciiTheme="majorHAnsi" w:hAnsiTheme="majorHAnsi"/>
          <w:sz w:val="20"/>
          <w:szCs w:val="20"/>
          <w:lang w:val="es-ES_tradnl"/>
        </w:rPr>
        <w:t>sus planteamientos</w:t>
      </w:r>
      <w:r w:rsidRPr="00B81692">
        <w:rPr>
          <w:rFonts w:asciiTheme="majorHAnsi" w:hAnsiTheme="majorHAnsi"/>
          <w:sz w:val="20"/>
          <w:szCs w:val="20"/>
          <w:lang w:val="es-ES_tradnl"/>
        </w:rPr>
        <w:t>.</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9</w:t>
      </w:r>
      <w:r w:rsidRPr="00B81692">
        <w:rPr>
          <w:rFonts w:asciiTheme="majorHAnsi" w:hAnsiTheme="majorHAnsi"/>
          <w:sz w:val="20"/>
          <w:szCs w:val="20"/>
          <w:lang w:val="es-ES_tradnl"/>
        </w:rPr>
        <w:t>.</w:t>
      </w:r>
      <w:r w:rsidRPr="00B81692">
        <w:rPr>
          <w:rFonts w:asciiTheme="majorHAnsi" w:hAnsiTheme="majorHAnsi"/>
          <w:sz w:val="20"/>
          <w:szCs w:val="20"/>
          <w:lang w:val="es-ES_tradnl"/>
        </w:rPr>
        <w:tab/>
        <w:t xml:space="preserve">El Estado </w:t>
      </w:r>
      <w:r>
        <w:rPr>
          <w:rFonts w:asciiTheme="majorHAnsi" w:hAnsiTheme="majorHAnsi"/>
          <w:sz w:val="20"/>
          <w:szCs w:val="20"/>
          <w:lang w:val="es-ES_tradnl"/>
        </w:rPr>
        <w:t xml:space="preserve">señala </w:t>
      </w:r>
      <w:r w:rsidR="00596CF9" w:rsidRPr="00B81692">
        <w:rPr>
          <w:rFonts w:asciiTheme="majorHAnsi" w:hAnsiTheme="majorHAnsi"/>
          <w:sz w:val="20"/>
          <w:szCs w:val="20"/>
          <w:lang w:val="es-ES_tradnl"/>
        </w:rPr>
        <w:t>que,</w:t>
      </w:r>
      <w:r w:rsidRPr="00B81692">
        <w:rPr>
          <w:rFonts w:asciiTheme="majorHAnsi" w:hAnsiTheme="majorHAnsi"/>
          <w:sz w:val="20"/>
          <w:szCs w:val="20"/>
          <w:lang w:val="es-ES_tradnl"/>
        </w:rPr>
        <w:t xml:space="preserve"> de los hechos y prueba del proceso, durante la intervención quirúrgica realizada a la presunta víctima, luego de encontrarse un cuadro agravado que se </w:t>
      </w:r>
      <w:r w:rsidR="00596CF9" w:rsidRPr="00B81692">
        <w:rPr>
          <w:rFonts w:asciiTheme="majorHAnsi" w:hAnsiTheme="majorHAnsi"/>
          <w:sz w:val="20"/>
          <w:szCs w:val="20"/>
          <w:lang w:val="es-ES_tradnl"/>
        </w:rPr>
        <w:t>tornó</w:t>
      </w:r>
      <w:r w:rsidRPr="00B81692">
        <w:rPr>
          <w:rFonts w:asciiTheme="majorHAnsi" w:hAnsiTheme="majorHAnsi"/>
          <w:sz w:val="20"/>
          <w:szCs w:val="20"/>
          <w:lang w:val="es-ES_tradnl"/>
        </w:rPr>
        <w:t xml:space="preserve"> urgente e imprescindible se dio aviso a los padres, quienes dieron su consentimiento </w:t>
      </w:r>
      <w:r>
        <w:rPr>
          <w:rFonts w:asciiTheme="majorHAnsi" w:hAnsiTheme="majorHAnsi"/>
          <w:sz w:val="20"/>
          <w:szCs w:val="20"/>
          <w:lang w:val="es-ES_tradnl"/>
        </w:rPr>
        <w:t>“</w:t>
      </w:r>
      <w:r w:rsidRPr="00B81692">
        <w:rPr>
          <w:rFonts w:asciiTheme="majorHAnsi" w:hAnsiTheme="majorHAnsi"/>
          <w:sz w:val="20"/>
          <w:szCs w:val="20"/>
          <w:lang w:val="es-ES_tradnl"/>
        </w:rPr>
        <w:t>para proseguir del modo que se juzgará adecuado</w:t>
      </w:r>
      <w:r>
        <w:rPr>
          <w:rFonts w:asciiTheme="majorHAnsi" w:hAnsiTheme="majorHAnsi"/>
          <w:sz w:val="20"/>
          <w:szCs w:val="20"/>
          <w:lang w:val="es-ES_tradnl"/>
        </w:rPr>
        <w:t>”</w:t>
      </w:r>
      <w:r w:rsidRPr="00B81692">
        <w:rPr>
          <w:rFonts w:asciiTheme="majorHAnsi" w:hAnsiTheme="majorHAnsi"/>
          <w:sz w:val="20"/>
          <w:szCs w:val="20"/>
          <w:lang w:val="es-ES_tradnl"/>
        </w:rPr>
        <w:t xml:space="preserve">; y que la técnica </w:t>
      </w:r>
      <w:r>
        <w:rPr>
          <w:rFonts w:asciiTheme="majorHAnsi" w:hAnsiTheme="majorHAnsi"/>
          <w:sz w:val="20"/>
          <w:szCs w:val="20"/>
          <w:lang w:val="es-ES_tradnl"/>
        </w:rPr>
        <w:t>médica</w:t>
      </w:r>
      <w:r w:rsidRPr="00B81692">
        <w:rPr>
          <w:rFonts w:asciiTheme="majorHAnsi" w:hAnsiTheme="majorHAnsi"/>
          <w:sz w:val="20"/>
          <w:szCs w:val="20"/>
          <w:lang w:val="es-ES_tradnl"/>
        </w:rPr>
        <w:t xml:space="preserve"> </w:t>
      </w:r>
      <w:r>
        <w:rPr>
          <w:rFonts w:asciiTheme="majorHAnsi" w:hAnsiTheme="majorHAnsi"/>
          <w:sz w:val="20"/>
          <w:szCs w:val="20"/>
          <w:lang w:val="es-ES_tradnl"/>
        </w:rPr>
        <w:t>fue la correcta</w:t>
      </w:r>
      <w:r w:rsidRPr="00B81692">
        <w:rPr>
          <w:rFonts w:asciiTheme="majorHAnsi" w:hAnsiTheme="majorHAnsi"/>
          <w:sz w:val="20"/>
          <w:szCs w:val="20"/>
          <w:lang w:val="es-ES_tradnl"/>
        </w:rPr>
        <w:t>. Asimismo, indica sobre el alegado extravío de la historia clínica y el protocolo quirúrgico de la presunta víctima, est</w:t>
      </w:r>
      <w:r>
        <w:rPr>
          <w:rFonts w:asciiTheme="majorHAnsi" w:hAnsiTheme="majorHAnsi"/>
          <w:sz w:val="20"/>
          <w:szCs w:val="20"/>
          <w:lang w:val="es-ES_tradnl"/>
        </w:rPr>
        <w:t>á</w:t>
      </w:r>
      <w:r w:rsidRPr="00B81692">
        <w:rPr>
          <w:rFonts w:asciiTheme="majorHAnsi" w:hAnsiTheme="majorHAnsi"/>
          <w:sz w:val="20"/>
          <w:szCs w:val="20"/>
          <w:lang w:val="es-ES_tradnl"/>
        </w:rPr>
        <w:t xml:space="preserve"> </w:t>
      </w:r>
      <w:r>
        <w:rPr>
          <w:rFonts w:asciiTheme="majorHAnsi" w:hAnsiTheme="majorHAnsi"/>
          <w:sz w:val="20"/>
          <w:szCs w:val="20"/>
          <w:lang w:val="es-ES_tradnl"/>
        </w:rPr>
        <w:t xml:space="preserve">no </w:t>
      </w:r>
      <w:r w:rsidRPr="00B81692">
        <w:rPr>
          <w:rFonts w:asciiTheme="majorHAnsi" w:hAnsiTheme="majorHAnsi"/>
          <w:sz w:val="20"/>
          <w:szCs w:val="20"/>
          <w:lang w:val="es-ES_tradnl"/>
        </w:rPr>
        <w:t>agot</w:t>
      </w:r>
      <w:r>
        <w:rPr>
          <w:rFonts w:asciiTheme="majorHAnsi" w:hAnsiTheme="majorHAnsi"/>
          <w:sz w:val="20"/>
          <w:szCs w:val="20"/>
          <w:lang w:val="es-ES_tradnl"/>
        </w:rPr>
        <w:t>ó</w:t>
      </w:r>
      <w:r w:rsidRPr="00B81692">
        <w:rPr>
          <w:rFonts w:asciiTheme="majorHAnsi" w:hAnsiTheme="majorHAnsi"/>
          <w:sz w:val="20"/>
          <w:szCs w:val="20"/>
          <w:lang w:val="es-ES_tradnl"/>
        </w:rPr>
        <w:t xml:space="preserve"> los recursos disponibles en el ámbito interno</w:t>
      </w:r>
      <w:r>
        <w:rPr>
          <w:rFonts w:asciiTheme="majorHAnsi" w:hAnsiTheme="majorHAnsi"/>
          <w:sz w:val="20"/>
          <w:szCs w:val="20"/>
          <w:lang w:val="es-ES_tradnl"/>
        </w:rPr>
        <w:t>;</w:t>
      </w:r>
      <w:r w:rsidRPr="00B81692">
        <w:rPr>
          <w:rFonts w:asciiTheme="majorHAnsi" w:hAnsiTheme="majorHAnsi"/>
          <w:sz w:val="20"/>
          <w:szCs w:val="20"/>
          <w:lang w:val="es-ES_tradnl"/>
        </w:rPr>
        <w:t xml:space="preserve"> y que la documentación estaba en poder del hospital</w:t>
      </w:r>
      <w:r>
        <w:rPr>
          <w:rFonts w:asciiTheme="majorHAnsi" w:hAnsiTheme="majorHAnsi"/>
          <w:sz w:val="20"/>
          <w:szCs w:val="20"/>
          <w:lang w:val="es-ES_tradnl"/>
        </w:rPr>
        <w:t xml:space="preserve"> </w:t>
      </w:r>
      <w:r w:rsidRPr="00B81692">
        <w:rPr>
          <w:rFonts w:asciiTheme="majorHAnsi" w:hAnsiTheme="majorHAnsi"/>
          <w:sz w:val="20"/>
          <w:szCs w:val="20"/>
          <w:lang w:val="es-ES_tradnl"/>
        </w:rPr>
        <w:t xml:space="preserve">privado. </w:t>
      </w:r>
      <w:r w:rsidR="00C010D0">
        <w:rPr>
          <w:rFonts w:asciiTheme="majorHAnsi" w:hAnsiTheme="majorHAnsi"/>
          <w:sz w:val="20"/>
          <w:szCs w:val="20"/>
          <w:lang w:val="es-ES_tradnl"/>
        </w:rPr>
        <w:t>Según información aportada por el</w:t>
      </w:r>
      <w:r w:rsidR="00FE6E3D" w:rsidRPr="00FE6E3D">
        <w:rPr>
          <w:rFonts w:asciiTheme="majorHAnsi" w:hAnsiTheme="majorHAnsi"/>
          <w:sz w:val="20"/>
          <w:szCs w:val="20"/>
          <w:lang w:val="es-ES_tradnl"/>
        </w:rPr>
        <w:t xml:space="preserve"> Estado, en virtud del artículo 18 de la Ley 26.529, la guardia y custodia de las historias clínicas </w:t>
      </w:r>
      <w:r w:rsidR="00C010D0">
        <w:rPr>
          <w:rFonts w:asciiTheme="majorHAnsi" w:hAnsiTheme="majorHAnsi"/>
          <w:sz w:val="20"/>
          <w:szCs w:val="20"/>
          <w:lang w:val="es-ES_tradnl"/>
        </w:rPr>
        <w:t>la tienen</w:t>
      </w:r>
      <w:r w:rsidR="00FE6E3D" w:rsidRPr="00FE6E3D">
        <w:rPr>
          <w:rFonts w:asciiTheme="majorHAnsi" w:hAnsiTheme="majorHAnsi"/>
          <w:sz w:val="20"/>
          <w:szCs w:val="20"/>
          <w:lang w:val="es-ES_tradnl"/>
        </w:rPr>
        <w:t xml:space="preserve"> los establecimientos asistenciales</w:t>
      </w:r>
      <w:r w:rsidR="00C010D0">
        <w:rPr>
          <w:rFonts w:asciiTheme="majorHAnsi" w:hAnsiTheme="majorHAnsi"/>
          <w:sz w:val="20"/>
          <w:szCs w:val="20"/>
          <w:lang w:val="es-ES_tradnl"/>
        </w:rPr>
        <w:t xml:space="preserve"> públicos o privados, y </w:t>
      </w:r>
      <w:r w:rsidR="00FE6E3D" w:rsidRPr="00FE6E3D">
        <w:rPr>
          <w:rFonts w:asciiTheme="majorHAnsi" w:hAnsiTheme="majorHAnsi"/>
          <w:sz w:val="20"/>
          <w:szCs w:val="20"/>
          <w:lang w:val="es-ES_tradnl"/>
        </w:rPr>
        <w:t>los profesionales de salud con consultorios privados</w:t>
      </w:r>
      <w:r w:rsidR="00FE6E3D">
        <w:rPr>
          <w:rFonts w:asciiTheme="majorHAnsi" w:hAnsiTheme="majorHAnsi"/>
          <w:sz w:val="20"/>
          <w:szCs w:val="20"/>
          <w:lang w:val="es-ES_tradnl"/>
        </w:rPr>
        <w:t>.</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81692">
        <w:rPr>
          <w:rFonts w:asciiTheme="majorHAnsi" w:hAnsiTheme="majorHAnsi"/>
          <w:sz w:val="20"/>
          <w:szCs w:val="20"/>
          <w:lang w:val="es-ES_tradnl"/>
        </w:rPr>
        <w:t>1</w:t>
      </w:r>
      <w:r>
        <w:rPr>
          <w:rFonts w:asciiTheme="majorHAnsi" w:hAnsiTheme="majorHAnsi"/>
          <w:sz w:val="20"/>
          <w:szCs w:val="20"/>
          <w:lang w:val="es-ES_tradnl"/>
        </w:rPr>
        <w:t>0</w:t>
      </w:r>
      <w:r w:rsidRPr="00B81692">
        <w:rPr>
          <w:rFonts w:asciiTheme="majorHAnsi" w:hAnsiTheme="majorHAnsi"/>
          <w:sz w:val="20"/>
          <w:szCs w:val="20"/>
          <w:lang w:val="es-ES_tradnl"/>
        </w:rPr>
        <w:t>.</w:t>
      </w:r>
      <w:r w:rsidRPr="00B81692">
        <w:rPr>
          <w:rFonts w:asciiTheme="majorHAnsi" w:hAnsiTheme="majorHAnsi"/>
          <w:sz w:val="20"/>
          <w:szCs w:val="20"/>
          <w:lang w:val="es-ES_tradnl"/>
        </w:rPr>
        <w:tab/>
      </w:r>
      <w:r>
        <w:rPr>
          <w:rFonts w:asciiTheme="majorHAnsi" w:hAnsiTheme="majorHAnsi"/>
          <w:sz w:val="20"/>
          <w:szCs w:val="20"/>
          <w:lang w:val="es-ES_tradnl"/>
        </w:rPr>
        <w:t>Por otro lado, el Estado indica que</w:t>
      </w:r>
      <w:r w:rsidRPr="00B81692">
        <w:rPr>
          <w:rFonts w:asciiTheme="majorHAnsi" w:hAnsiTheme="majorHAnsi"/>
          <w:sz w:val="20"/>
          <w:szCs w:val="20"/>
          <w:lang w:val="es-ES_tradnl"/>
        </w:rPr>
        <w:t xml:space="preserve"> en cuanto a la alega</w:t>
      </w:r>
      <w:r>
        <w:rPr>
          <w:rFonts w:asciiTheme="majorHAnsi" w:hAnsiTheme="majorHAnsi"/>
          <w:sz w:val="20"/>
          <w:szCs w:val="20"/>
          <w:lang w:val="es-ES_tradnl"/>
        </w:rPr>
        <w:t>da</w:t>
      </w:r>
      <w:r w:rsidRPr="00B81692">
        <w:rPr>
          <w:rFonts w:asciiTheme="majorHAnsi" w:hAnsiTheme="majorHAnsi"/>
          <w:sz w:val="20"/>
          <w:szCs w:val="20"/>
          <w:lang w:val="es-ES_tradnl"/>
        </w:rPr>
        <w:t xml:space="preserve"> vulneración del artículo 10 de Protocolo de San Salvador como el artículo 4 inciso b), f) y g) de la Convención de </w:t>
      </w:r>
      <w:r>
        <w:rPr>
          <w:rFonts w:asciiTheme="majorHAnsi" w:hAnsiTheme="majorHAnsi"/>
          <w:sz w:val="20"/>
          <w:szCs w:val="20"/>
          <w:lang w:val="es-ES_tradnl"/>
        </w:rPr>
        <w:t>Belem do Pará,</w:t>
      </w:r>
      <w:r w:rsidRPr="00B81692">
        <w:rPr>
          <w:rFonts w:asciiTheme="majorHAnsi" w:hAnsiTheme="majorHAnsi"/>
          <w:sz w:val="20"/>
          <w:szCs w:val="20"/>
          <w:lang w:val="es-ES_tradnl"/>
        </w:rPr>
        <w:t xml:space="preserve"> amparan derechos que no han sido reconocidos en cada uno de los tratados mencionados para ser invocados ante la Comisión y la Corte</w:t>
      </w:r>
      <w:r>
        <w:rPr>
          <w:rFonts w:asciiTheme="majorHAnsi" w:hAnsiTheme="majorHAnsi"/>
          <w:sz w:val="20"/>
          <w:szCs w:val="20"/>
          <w:lang w:val="es-ES_tradnl"/>
        </w:rPr>
        <w:t xml:space="preserve"> Interamericana de Derechos Humanos</w:t>
      </w:r>
      <w:r w:rsidRPr="00B81692">
        <w:rPr>
          <w:rFonts w:asciiTheme="majorHAnsi" w:hAnsiTheme="majorHAnsi"/>
          <w:sz w:val="20"/>
          <w:szCs w:val="20"/>
          <w:lang w:val="es-ES_tradnl"/>
        </w:rPr>
        <w:t xml:space="preserve">. </w:t>
      </w:r>
    </w:p>
    <w:p w:rsidR="009A144F" w:rsidRPr="00B81692"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11.</w:t>
      </w:r>
      <w:r>
        <w:rPr>
          <w:rFonts w:asciiTheme="majorHAnsi" w:hAnsiTheme="majorHAnsi"/>
          <w:sz w:val="20"/>
          <w:szCs w:val="20"/>
          <w:lang w:val="es-ES_tradnl"/>
        </w:rPr>
        <w:tab/>
      </w:r>
      <w:r w:rsidRPr="00B81692">
        <w:rPr>
          <w:rFonts w:asciiTheme="majorHAnsi" w:hAnsiTheme="majorHAnsi"/>
          <w:sz w:val="20"/>
          <w:szCs w:val="20"/>
          <w:lang w:val="es-ES_tradnl"/>
        </w:rPr>
        <w:t xml:space="preserve">Finalmente, </w:t>
      </w:r>
      <w:r w:rsidR="006F298F">
        <w:rPr>
          <w:rFonts w:asciiTheme="majorHAnsi" w:hAnsiTheme="majorHAnsi"/>
          <w:sz w:val="20"/>
          <w:szCs w:val="20"/>
          <w:lang w:val="es-ES_tradnl"/>
        </w:rPr>
        <w:t>alega lo que considera “</w:t>
      </w:r>
      <w:r>
        <w:rPr>
          <w:rFonts w:asciiTheme="majorHAnsi" w:hAnsiTheme="majorHAnsi"/>
          <w:sz w:val="20"/>
          <w:szCs w:val="20"/>
          <w:lang w:val="es-ES_tradnl"/>
        </w:rPr>
        <w:t>la extemporaneidad de la petición</w:t>
      </w:r>
      <w:r w:rsidR="006F298F">
        <w:rPr>
          <w:rFonts w:asciiTheme="majorHAnsi" w:hAnsiTheme="majorHAnsi"/>
          <w:sz w:val="20"/>
          <w:szCs w:val="20"/>
          <w:lang w:val="es-ES_tradnl"/>
        </w:rPr>
        <w:t>”</w:t>
      </w:r>
      <w:r>
        <w:rPr>
          <w:rFonts w:asciiTheme="majorHAnsi" w:hAnsiTheme="majorHAnsi"/>
          <w:sz w:val="20"/>
          <w:szCs w:val="20"/>
          <w:lang w:val="es-ES_tradnl"/>
        </w:rPr>
        <w:t>, toda vez</w:t>
      </w:r>
      <w:r w:rsidRPr="00B81692">
        <w:rPr>
          <w:rFonts w:asciiTheme="majorHAnsi" w:hAnsiTheme="majorHAnsi"/>
          <w:sz w:val="20"/>
          <w:szCs w:val="20"/>
          <w:lang w:val="es-ES_tradnl"/>
        </w:rPr>
        <w:t xml:space="preserve"> que la petición inicial fue recibida el 30 de julio de 2011 por la Comisión, siendo notificado del traslado el 27 de junio de 2017</w:t>
      </w:r>
      <w:r>
        <w:rPr>
          <w:rFonts w:asciiTheme="majorHAnsi" w:hAnsiTheme="majorHAnsi"/>
          <w:sz w:val="20"/>
          <w:szCs w:val="20"/>
          <w:lang w:val="es-ES_tradnl"/>
        </w:rPr>
        <w:t xml:space="preserve">, </w:t>
      </w:r>
      <w:r w:rsidR="006F298F">
        <w:rPr>
          <w:rFonts w:asciiTheme="majorHAnsi" w:hAnsiTheme="majorHAnsi"/>
          <w:sz w:val="20"/>
          <w:szCs w:val="20"/>
          <w:lang w:val="es-ES_tradnl"/>
        </w:rPr>
        <w:t>recibiendo</w:t>
      </w:r>
      <w:r w:rsidRPr="00B81692">
        <w:rPr>
          <w:rFonts w:asciiTheme="majorHAnsi" w:hAnsiTheme="majorHAnsi"/>
          <w:sz w:val="20"/>
          <w:szCs w:val="20"/>
          <w:lang w:val="es-ES_tradnl"/>
        </w:rPr>
        <w:t xml:space="preserve"> la denuncia con una demora de casi seis años. </w:t>
      </w:r>
    </w:p>
    <w:p w:rsidR="009A144F" w:rsidRPr="00B81692" w:rsidRDefault="009A144F" w:rsidP="009A144F">
      <w:pPr>
        <w:spacing w:before="240" w:after="240"/>
        <w:ind w:firstLine="720"/>
        <w:jc w:val="both"/>
        <w:rPr>
          <w:rFonts w:asciiTheme="majorHAnsi" w:hAnsiTheme="majorHAnsi"/>
          <w:sz w:val="20"/>
          <w:szCs w:val="20"/>
          <w:lang w:val="es-ES_tradnl"/>
        </w:rPr>
      </w:pPr>
      <w:r w:rsidRPr="00B81692">
        <w:rPr>
          <w:rFonts w:asciiTheme="majorHAnsi" w:eastAsia="Cambria" w:hAnsiTheme="majorHAnsi" w:cs="Cambria"/>
          <w:b/>
          <w:bCs/>
          <w:sz w:val="20"/>
          <w:szCs w:val="20"/>
          <w:u w:color="000000"/>
          <w:lang w:val="es-ES_tradnl" w:eastAsia="es-ES"/>
        </w:rPr>
        <w:t>VI.</w:t>
      </w:r>
      <w:r w:rsidRPr="00B81692">
        <w:rPr>
          <w:rFonts w:asciiTheme="majorHAnsi" w:eastAsia="Cambria" w:hAnsiTheme="majorHAnsi" w:cs="Cambria"/>
          <w:b/>
          <w:bCs/>
          <w:sz w:val="20"/>
          <w:szCs w:val="20"/>
          <w:u w:color="000000"/>
          <w:lang w:val="es-ES_tradnl" w:eastAsia="es-ES"/>
        </w:rPr>
        <w:tab/>
      </w:r>
      <w:r w:rsidRPr="00B81692">
        <w:rPr>
          <w:rFonts w:asciiTheme="majorHAnsi" w:hAnsiTheme="majorHAnsi"/>
          <w:b/>
          <w:bCs/>
          <w:sz w:val="20"/>
          <w:szCs w:val="20"/>
          <w:lang w:val="es-ES_tradnl"/>
        </w:rPr>
        <w:t xml:space="preserve">ANÁLISIS DE </w:t>
      </w:r>
      <w:r w:rsidRPr="00B81692">
        <w:rPr>
          <w:rFonts w:asciiTheme="majorHAnsi" w:hAnsiTheme="majorHAnsi"/>
          <w:b/>
          <w:sz w:val="20"/>
          <w:szCs w:val="20"/>
          <w:lang w:val="es-ES_tradnl"/>
        </w:rPr>
        <w:t>AGOTAMIENTO DE LOS RECURSOS INTERNOS Y PLAZO DE PRESENTACIÓN</w:t>
      </w:r>
      <w:r w:rsidRPr="00B81692">
        <w:rPr>
          <w:rFonts w:asciiTheme="majorHAnsi" w:eastAsia="Cambria" w:hAnsiTheme="majorHAnsi" w:cs="Cambria"/>
          <w:b/>
          <w:bCs/>
          <w:sz w:val="20"/>
          <w:szCs w:val="20"/>
          <w:u w:color="000000"/>
          <w:lang w:val="es-ES_tradnl" w:eastAsia="es-ES"/>
        </w:rPr>
        <w:t xml:space="preserve"> </w:t>
      </w:r>
    </w:p>
    <w:p w:rsidR="009A144F" w:rsidRDefault="00213C7B" w:rsidP="009A144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En el presente caso</w:t>
      </w:r>
      <w:r w:rsidR="009A144F">
        <w:rPr>
          <w:rFonts w:asciiTheme="majorHAnsi" w:hAnsiTheme="majorHAnsi"/>
          <w:sz w:val="20"/>
          <w:szCs w:val="20"/>
          <w:lang w:val="es-ES_tradnl"/>
        </w:rPr>
        <w:t xml:space="preserve"> la parte peticionaria alega que agotó los recursos internos al haberse presentado el recurso de inconstitucionalidad y casación ante la Corte Suprema de Justicia de la provincia de Mendoza, instancia que negó el recurso mediante decisión del 28 de diciembre de 2010. Por su parte, el Estado señala que, contra la resolución judicial del recurso de inconstitucionalidad y casación, la parte peticionaria tenía la posibilidad de promover </w:t>
      </w:r>
      <w:r w:rsidR="009A144F" w:rsidRPr="00B81692">
        <w:rPr>
          <w:rFonts w:asciiTheme="majorHAnsi" w:hAnsiTheme="majorHAnsi"/>
          <w:sz w:val="20"/>
          <w:szCs w:val="20"/>
          <w:lang w:val="es-ES_tradnl"/>
        </w:rPr>
        <w:t xml:space="preserve">el recurso extraordinario federal por arbitrariedad de </w:t>
      </w:r>
      <w:r w:rsidR="00596CF9" w:rsidRPr="00B81692">
        <w:rPr>
          <w:rFonts w:asciiTheme="majorHAnsi" w:hAnsiTheme="majorHAnsi"/>
          <w:sz w:val="20"/>
          <w:szCs w:val="20"/>
          <w:lang w:val="es-ES_tradnl"/>
        </w:rPr>
        <w:t xml:space="preserve">sentencia </w:t>
      </w:r>
      <w:r w:rsidR="00596CF9">
        <w:rPr>
          <w:rFonts w:asciiTheme="majorHAnsi" w:hAnsiTheme="majorHAnsi"/>
          <w:sz w:val="20"/>
          <w:szCs w:val="20"/>
          <w:lang w:val="es-ES_tradnl"/>
        </w:rPr>
        <w:t>de</w:t>
      </w:r>
      <w:r w:rsidR="009A144F">
        <w:rPr>
          <w:rFonts w:asciiTheme="majorHAnsi" w:hAnsiTheme="majorHAnsi"/>
          <w:sz w:val="20"/>
          <w:szCs w:val="20"/>
          <w:lang w:val="es-ES_tradnl"/>
        </w:rPr>
        <w:t xml:space="preserve"> conformidad con el artículo 14 de la Ley 48.  </w:t>
      </w:r>
    </w:p>
    <w:p w:rsidR="009A144F" w:rsidRPr="00D83CD1" w:rsidRDefault="009A144F" w:rsidP="009A144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_tradnl"/>
        </w:rPr>
      </w:pPr>
      <w:r w:rsidRPr="00D83CD1">
        <w:rPr>
          <w:rFonts w:asciiTheme="majorHAnsi" w:hAnsiTheme="majorHAnsi"/>
          <w:sz w:val="20"/>
          <w:szCs w:val="20"/>
          <w:lang w:val="es-ES_tradnl"/>
        </w:rPr>
        <w:t xml:space="preserve"> </w:t>
      </w:r>
      <w:r>
        <w:rPr>
          <w:rFonts w:asciiTheme="majorHAnsi" w:hAnsiTheme="majorHAnsi"/>
          <w:sz w:val="20"/>
          <w:szCs w:val="20"/>
          <w:lang w:val="es-ES_tradnl"/>
        </w:rPr>
        <w:t>13.</w:t>
      </w:r>
      <w:r>
        <w:rPr>
          <w:rFonts w:asciiTheme="majorHAnsi" w:hAnsiTheme="majorHAnsi"/>
          <w:sz w:val="20"/>
          <w:szCs w:val="20"/>
          <w:lang w:val="es-ES_tradnl"/>
        </w:rPr>
        <w:tab/>
        <w:t>L</w:t>
      </w:r>
      <w:r w:rsidRPr="0039484C">
        <w:rPr>
          <w:rFonts w:asciiTheme="majorHAnsi" w:hAnsiTheme="majorHAnsi"/>
          <w:sz w:val="20"/>
          <w:szCs w:val="20"/>
          <w:lang w:val="es-ES_tradnl"/>
        </w:rPr>
        <w:t xml:space="preserve">a Comisión </w:t>
      </w:r>
      <w:r>
        <w:rPr>
          <w:rFonts w:asciiTheme="majorHAnsi" w:hAnsiTheme="majorHAnsi"/>
          <w:sz w:val="20"/>
          <w:szCs w:val="20"/>
          <w:lang w:val="es-ES_tradnl"/>
        </w:rPr>
        <w:t>reitera</w:t>
      </w:r>
      <w:r w:rsidRPr="0039484C">
        <w:rPr>
          <w:rFonts w:asciiTheme="majorHAnsi" w:hAnsiTheme="majorHAnsi"/>
          <w:sz w:val="20"/>
          <w:szCs w:val="20"/>
          <w:lang w:val="es-ES_tradnl"/>
        </w:rPr>
        <w:t>, en relación con el alegato del Estado que</w:t>
      </w:r>
      <w:r>
        <w:rPr>
          <w:rFonts w:asciiTheme="majorHAnsi" w:hAnsiTheme="majorHAnsi"/>
          <w:sz w:val="20"/>
          <w:szCs w:val="20"/>
          <w:lang w:val="es-ES_tradnl"/>
        </w:rPr>
        <w:t>,</w:t>
      </w:r>
      <w:r w:rsidRPr="0039484C">
        <w:rPr>
          <w:rFonts w:asciiTheme="majorHAnsi" w:hAnsiTheme="majorHAnsi"/>
          <w:sz w:val="20"/>
          <w:szCs w:val="20"/>
          <w:lang w:val="es-ES_tradnl"/>
        </w:rPr>
        <w:t xml:space="preserve"> en principio, “</w:t>
      </w:r>
      <w:r w:rsidRPr="00A6245A">
        <w:rPr>
          <w:rFonts w:asciiTheme="majorHAnsi" w:hAnsiTheme="majorHAnsi"/>
          <w:i/>
          <w:sz w:val="20"/>
          <w:szCs w:val="20"/>
          <w:lang w:val="es-ES_tradnl"/>
        </w:rPr>
        <w:t>los únicos recursos que es necesario agotar son aquellos cuyas funciones, dentro del sistema jurídico, son apropiadas para brindar protección tendiente a remediar una infracción de determinado derecho legal</w:t>
      </w:r>
      <w:r w:rsidRPr="0039484C">
        <w:rPr>
          <w:rFonts w:asciiTheme="majorHAnsi" w:hAnsiTheme="majorHAnsi"/>
          <w:sz w:val="20"/>
          <w:szCs w:val="20"/>
          <w:lang w:val="es-ES_tradnl"/>
        </w:rPr>
        <w:t>”</w:t>
      </w:r>
      <w:r w:rsidRPr="0039484C">
        <w:rPr>
          <w:rStyle w:val="FootnoteReference"/>
          <w:rFonts w:asciiTheme="majorHAnsi" w:hAnsiTheme="majorHAnsi"/>
          <w:sz w:val="20"/>
          <w:szCs w:val="20"/>
          <w:lang w:val="es-ES_tradnl"/>
        </w:rPr>
        <w:footnoteReference w:id="6"/>
      </w:r>
      <w:r w:rsidRPr="0039484C">
        <w:rPr>
          <w:rFonts w:asciiTheme="majorHAnsi" w:hAnsiTheme="majorHAnsi"/>
          <w:sz w:val="20"/>
          <w:szCs w:val="20"/>
          <w:lang w:val="es-ES_tradnl"/>
        </w:rPr>
        <w:t xml:space="preserve">. </w:t>
      </w:r>
      <w:bookmarkStart w:id="2" w:name="_Hlk498707024"/>
      <w:r w:rsidRPr="0039484C">
        <w:rPr>
          <w:rFonts w:asciiTheme="majorHAnsi" w:hAnsiTheme="majorHAnsi"/>
          <w:sz w:val="20"/>
          <w:szCs w:val="20"/>
          <w:lang w:val="es-ES_tradnl"/>
        </w:rPr>
        <w:t xml:space="preserve">En este sentido, </w:t>
      </w:r>
      <w:r>
        <w:rPr>
          <w:rFonts w:asciiTheme="majorHAnsi" w:hAnsiTheme="majorHAnsi"/>
          <w:sz w:val="20"/>
          <w:szCs w:val="20"/>
          <w:lang w:val="es-ES_tradnl"/>
        </w:rPr>
        <w:t xml:space="preserve">y dadas las </w:t>
      </w:r>
      <w:r>
        <w:rPr>
          <w:rFonts w:asciiTheme="majorHAnsi" w:hAnsiTheme="majorHAnsi"/>
          <w:sz w:val="20"/>
          <w:szCs w:val="20"/>
          <w:lang w:val="es-ES_tradnl"/>
        </w:rPr>
        <w:lastRenderedPageBreak/>
        <w:t xml:space="preserve">características del presente caso, </w:t>
      </w:r>
      <w:r w:rsidRPr="0039484C">
        <w:rPr>
          <w:rFonts w:asciiTheme="majorHAnsi" w:hAnsiTheme="majorHAnsi"/>
          <w:sz w:val="20"/>
          <w:szCs w:val="20"/>
          <w:lang w:val="es-ES_tradnl" w:eastAsia="ko-KR"/>
        </w:rPr>
        <w:t>la Comisión advierte que el</w:t>
      </w:r>
      <w:r>
        <w:rPr>
          <w:rFonts w:asciiTheme="majorHAnsi" w:hAnsiTheme="majorHAnsi"/>
          <w:sz w:val="20"/>
          <w:szCs w:val="20"/>
          <w:lang w:val="es-ES_tradnl" w:eastAsia="ko-KR"/>
        </w:rPr>
        <w:t xml:space="preserve"> recurso extraordinario federal al ser extraordinario,</w:t>
      </w:r>
      <w:r w:rsidRPr="0039484C">
        <w:rPr>
          <w:rFonts w:asciiTheme="majorHAnsi" w:hAnsiTheme="majorHAnsi"/>
          <w:sz w:val="20"/>
          <w:szCs w:val="20"/>
          <w:lang w:val="es-ES_tradnl" w:eastAsia="ko-KR"/>
        </w:rPr>
        <w:t xml:space="preserve"> no es obligatorio agotarlo. </w:t>
      </w:r>
      <w:r>
        <w:rPr>
          <w:rFonts w:asciiTheme="majorHAnsi" w:hAnsiTheme="majorHAnsi"/>
          <w:sz w:val="20"/>
          <w:szCs w:val="20"/>
          <w:lang w:val="es-ES_tradnl" w:eastAsia="ko-KR"/>
        </w:rPr>
        <w:t xml:space="preserve">Así, </w:t>
      </w:r>
      <w:r w:rsidRPr="0039484C">
        <w:rPr>
          <w:rFonts w:asciiTheme="majorHAnsi" w:hAnsiTheme="majorHAnsi"/>
          <w:sz w:val="20"/>
          <w:szCs w:val="20"/>
          <w:lang w:val="es-ES_tradnl"/>
        </w:rPr>
        <w:t xml:space="preserve">la Comisión </w:t>
      </w:r>
      <w:r>
        <w:rPr>
          <w:rFonts w:asciiTheme="majorHAnsi" w:hAnsiTheme="majorHAnsi"/>
          <w:sz w:val="20"/>
          <w:szCs w:val="20"/>
          <w:lang w:val="es-ES_tradnl"/>
        </w:rPr>
        <w:t>concluye</w:t>
      </w:r>
      <w:r w:rsidRPr="0039484C">
        <w:rPr>
          <w:rFonts w:asciiTheme="majorHAnsi" w:hAnsiTheme="majorHAnsi"/>
          <w:sz w:val="20"/>
          <w:szCs w:val="20"/>
          <w:lang w:val="es-ES_tradnl"/>
        </w:rPr>
        <w:t xml:space="preserve"> que </w:t>
      </w:r>
      <w:bookmarkEnd w:id="2"/>
      <w:r w:rsidRPr="0039484C">
        <w:rPr>
          <w:rFonts w:asciiTheme="majorHAnsi" w:hAnsiTheme="majorHAnsi"/>
          <w:sz w:val="20"/>
          <w:szCs w:val="20"/>
          <w:lang w:val="es-ES_tradnl"/>
        </w:rPr>
        <w:t xml:space="preserve">con la decisión de </w:t>
      </w:r>
      <w:r>
        <w:rPr>
          <w:rFonts w:asciiTheme="majorHAnsi" w:hAnsiTheme="majorHAnsi"/>
          <w:sz w:val="20"/>
          <w:szCs w:val="20"/>
          <w:lang w:val="es-ES_tradnl"/>
        </w:rPr>
        <w:t>la Corte Suprema de Justica de Mendoza</w:t>
      </w:r>
      <w:r w:rsidRPr="0039484C">
        <w:rPr>
          <w:rFonts w:asciiTheme="majorHAnsi" w:hAnsiTheme="majorHAnsi"/>
          <w:sz w:val="20"/>
          <w:szCs w:val="20"/>
          <w:lang w:val="es-ES_tradnl"/>
        </w:rPr>
        <w:t xml:space="preserve"> que ratificó</w:t>
      </w:r>
      <w:r>
        <w:rPr>
          <w:rFonts w:asciiTheme="majorHAnsi" w:hAnsiTheme="majorHAnsi"/>
          <w:sz w:val="20"/>
          <w:szCs w:val="20"/>
          <w:lang w:val="es-ES_tradnl"/>
        </w:rPr>
        <w:t xml:space="preserve"> que la</w:t>
      </w:r>
      <w:r w:rsidRPr="0039484C">
        <w:rPr>
          <w:rFonts w:asciiTheme="majorHAnsi" w:hAnsiTheme="majorHAnsi"/>
          <w:sz w:val="20"/>
          <w:szCs w:val="20"/>
          <w:lang w:val="es-ES_tradnl"/>
        </w:rPr>
        <w:t xml:space="preserve"> </w:t>
      </w:r>
      <w:r w:rsidRPr="00B81692">
        <w:rPr>
          <w:rFonts w:asciiTheme="majorHAnsi" w:hAnsiTheme="majorHAnsi"/>
          <w:sz w:val="20"/>
          <w:szCs w:val="20"/>
          <w:lang w:val="es-ES_tradnl"/>
        </w:rPr>
        <w:t xml:space="preserve">intervención quirúrgica fue </w:t>
      </w:r>
      <w:r w:rsidRPr="00E621D2">
        <w:rPr>
          <w:rFonts w:asciiTheme="majorHAnsi" w:hAnsiTheme="majorHAnsi"/>
          <w:sz w:val="20"/>
          <w:szCs w:val="20"/>
          <w:lang w:val="es-ES_tradnl"/>
        </w:rPr>
        <w:t>correcta, imprescindible</w:t>
      </w:r>
      <w:r>
        <w:rPr>
          <w:rFonts w:asciiTheme="majorHAnsi" w:hAnsiTheme="majorHAnsi"/>
          <w:sz w:val="20"/>
          <w:szCs w:val="20"/>
          <w:lang w:val="es-ES_tradnl"/>
        </w:rPr>
        <w:t xml:space="preserve">, </w:t>
      </w:r>
      <w:r w:rsidR="00F06592">
        <w:rPr>
          <w:rFonts w:asciiTheme="majorHAnsi" w:hAnsiTheme="majorHAnsi"/>
          <w:sz w:val="20"/>
          <w:szCs w:val="20"/>
          <w:lang w:val="es-ES_tradnl"/>
        </w:rPr>
        <w:t>y,</w:t>
      </w:r>
      <w:r>
        <w:rPr>
          <w:rFonts w:asciiTheme="majorHAnsi" w:hAnsiTheme="majorHAnsi"/>
          <w:sz w:val="20"/>
          <w:szCs w:val="20"/>
          <w:lang w:val="es-ES_tradnl"/>
        </w:rPr>
        <w:t xml:space="preserve"> por ende, urgente y necesaria, </w:t>
      </w:r>
      <w:r w:rsidRPr="00E621D2">
        <w:rPr>
          <w:rFonts w:asciiTheme="majorHAnsi" w:hAnsiTheme="majorHAnsi"/>
          <w:sz w:val="20"/>
          <w:szCs w:val="20"/>
          <w:lang w:val="es-ES_tradnl"/>
        </w:rPr>
        <w:t>queda satisfecho el requisito establecido en el artículo 46.1.a) de la Convención Americana. Asimismo, tomando</w:t>
      </w:r>
      <w:r>
        <w:rPr>
          <w:rFonts w:asciiTheme="majorHAnsi" w:hAnsiTheme="majorHAnsi"/>
          <w:sz w:val="20"/>
          <w:szCs w:val="20"/>
          <w:lang w:val="es-ES_tradnl"/>
        </w:rPr>
        <w:t xml:space="preserve"> en cuenta que esta decisión fue notificada a la presunta víctima el 1 de febrero de 2011 y su petición presentada a la CIDH el 30 de julio de ese año, la Comisión concluye además que </w:t>
      </w:r>
      <w:r w:rsidR="005672C6">
        <w:rPr>
          <w:rFonts w:asciiTheme="majorHAnsi" w:hAnsiTheme="majorHAnsi"/>
          <w:sz w:val="20"/>
          <w:szCs w:val="20"/>
          <w:lang w:val="es-ES_tradnl"/>
        </w:rPr>
        <w:t>esta</w:t>
      </w:r>
      <w:r>
        <w:rPr>
          <w:rFonts w:asciiTheme="majorHAnsi" w:hAnsiTheme="majorHAnsi"/>
          <w:sz w:val="20"/>
          <w:szCs w:val="20"/>
          <w:lang w:val="es-ES_tradnl"/>
        </w:rPr>
        <w:t xml:space="preserve"> cumple con el requisito del plazo de presentación establecido en el artículo 46.1.b) de la Convención Americana. </w:t>
      </w:r>
      <w:r w:rsidRPr="00D83CD1">
        <w:rPr>
          <w:rFonts w:asciiTheme="majorHAnsi" w:hAnsiTheme="majorHAnsi"/>
          <w:sz w:val="20"/>
          <w:szCs w:val="20"/>
          <w:lang w:val="es-ES_tradnl"/>
        </w:rPr>
        <w:t xml:space="preserve">  </w:t>
      </w:r>
    </w:p>
    <w:p w:rsidR="009A144F" w:rsidRPr="00696F7E" w:rsidRDefault="009A144F" w:rsidP="009A144F">
      <w:pPr>
        <w:pStyle w:val="ListParagraph"/>
        <w:spacing w:before="240" w:after="240"/>
        <w:jc w:val="both"/>
        <w:rPr>
          <w:rFonts w:asciiTheme="majorHAnsi" w:hAnsiTheme="majorHAnsi"/>
          <w:b/>
          <w:color w:val="auto"/>
          <w:sz w:val="20"/>
          <w:szCs w:val="20"/>
          <w:lang w:val="es-ES_tradnl"/>
        </w:rPr>
      </w:pPr>
      <w:r w:rsidRPr="00B81692">
        <w:rPr>
          <w:rFonts w:asciiTheme="majorHAnsi" w:hAnsiTheme="majorHAnsi"/>
          <w:b/>
          <w:bCs/>
          <w:color w:val="auto"/>
          <w:sz w:val="20"/>
          <w:szCs w:val="20"/>
          <w:lang w:val="es-ES_tradnl"/>
        </w:rPr>
        <w:t>VII.</w:t>
      </w:r>
      <w:r w:rsidRPr="00B81692">
        <w:rPr>
          <w:rFonts w:asciiTheme="majorHAnsi" w:hAnsiTheme="majorHAnsi"/>
          <w:b/>
          <w:bCs/>
          <w:color w:val="auto"/>
          <w:sz w:val="20"/>
          <w:szCs w:val="20"/>
          <w:lang w:val="es-ES_tradnl"/>
        </w:rPr>
        <w:tab/>
        <w:t>ANÁLISIS DE CARACTERIZACIÓN DE LOS HECHOS ALEGADOS</w:t>
      </w:r>
      <w:r w:rsidRPr="00B81692">
        <w:rPr>
          <w:rFonts w:asciiTheme="majorHAnsi" w:hAnsiTheme="majorHAnsi"/>
          <w:sz w:val="20"/>
          <w:szCs w:val="20"/>
          <w:lang w:val="es-ES_tradnl"/>
        </w:rPr>
        <w:tab/>
      </w:r>
    </w:p>
    <w:p w:rsidR="00433742" w:rsidRPr="00433742" w:rsidRDefault="009A144F" w:rsidP="004337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6500A">
        <w:rPr>
          <w:rFonts w:asciiTheme="majorHAnsi" w:hAnsiTheme="majorHAnsi"/>
          <w:sz w:val="20"/>
          <w:szCs w:val="20"/>
          <w:lang w:val="es-ES_tradnl"/>
        </w:rPr>
        <w:t>14.</w:t>
      </w:r>
      <w:r w:rsidRPr="0086500A">
        <w:rPr>
          <w:rFonts w:asciiTheme="majorHAnsi" w:hAnsiTheme="majorHAnsi"/>
          <w:sz w:val="20"/>
          <w:szCs w:val="20"/>
          <w:lang w:val="es-ES_tradnl"/>
        </w:rPr>
        <w:tab/>
      </w:r>
      <w:r w:rsidR="00433742" w:rsidRPr="00433742">
        <w:rPr>
          <w:rFonts w:asciiTheme="majorHAnsi" w:hAnsiTheme="majorHAnsi"/>
          <w:sz w:val="20"/>
          <w:szCs w:val="20"/>
          <w:lang w:val="es-ES_tradnl"/>
        </w:rPr>
        <w:t>La Comisión observa que, de acuerdo a la posición de las partes, el expediente y el protocolo quirúrgico habría desaparecido, por lo cual no se cuenta con los contenidos mínimos que permitan extender si la presunta víctima o sus familiares recibieron información concreta para efectuar el consentimiento previo e informado. La parte peticionaria, señaló que la presunta víctima se encontraba inconsciente al momento en el que se decidió continuar con la cirugía dado el hallazgo médico y por ello no estaba en condiciones de consentir ningún tipo de procedimiento y que tomó conocimiento del hecho quince días después por otro médico. Y, además, que el procedimiento quirúrgico no era urgente y que a sus familiares en ningún momento se les informó y que nunca autorizaron continuar con la intervención.</w:t>
      </w:r>
    </w:p>
    <w:p w:rsidR="0015474D" w:rsidRPr="001D3329" w:rsidRDefault="00433742" w:rsidP="001D33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33742">
        <w:rPr>
          <w:rFonts w:asciiTheme="majorHAnsi" w:hAnsiTheme="majorHAnsi"/>
          <w:sz w:val="20"/>
          <w:szCs w:val="20"/>
          <w:lang w:val="es-ES_tradnl"/>
        </w:rPr>
        <w:t xml:space="preserve"> 15.</w:t>
      </w:r>
      <w:r w:rsidRPr="00433742">
        <w:rPr>
          <w:rFonts w:asciiTheme="majorHAnsi" w:hAnsiTheme="majorHAnsi"/>
          <w:sz w:val="20"/>
          <w:szCs w:val="20"/>
          <w:lang w:val="es-ES_tradnl"/>
        </w:rPr>
        <w:tab/>
      </w:r>
      <w:r>
        <w:rPr>
          <w:rFonts w:asciiTheme="majorHAnsi" w:hAnsiTheme="majorHAnsi"/>
          <w:sz w:val="20"/>
          <w:szCs w:val="20"/>
          <w:lang w:val="es-ES_tradnl"/>
        </w:rPr>
        <w:t>En este sentido,</w:t>
      </w:r>
      <w:r w:rsidRPr="00433742">
        <w:rPr>
          <w:rFonts w:asciiTheme="majorHAnsi" w:hAnsiTheme="majorHAnsi"/>
          <w:sz w:val="20"/>
          <w:szCs w:val="20"/>
          <w:lang w:val="es-ES_tradnl"/>
        </w:rPr>
        <w:t xml:space="preserve"> la Comisión considera que, de ser probada las supuestas afectaciones </w:t>
      </w:r>
      <w:r w:rsidR="0071310F">
        <w:rPr>
          <w:rFonts w:asciiTheme="majorHAnsi" w:hAnsiTheme="majorHAnsi"/>
          <w:sz w:val="20"/>
          <w:szCs w:val="20"/>
          <w:lang w:val="es-ES_tradnl"/>
        </w:rPr>
        <w:t xml:space="preserve">materializadas en el cuerpo de </w:t>
      </w:r>
      <w:r w:rsidRPr="00433742">
        <w:rPr>
          <w:rFonts w:asciiTheme="majorHAnsi" w:hAnsiTheme="majorHAnsi"/>
          <w:sz w:val="20"/>
          <w:szCs w:val="20"/>
          <w:lang w:val="es-ES_tradnl"/>
        </w:rPr>
        <w:t xml:space="preserve">la </w:t>
      </w:r>
      <w:r w:rsidR="0071310F">
        <w:rPr>
          <w:rFonts w:asciiTheme="majorHAnsi" w:hAnsiTheme="majorHAnsi"/>
          <w:sz w:val="20"/>
          <w:szCs w:val="20"/>
          <w:lang w:val="es-ES_tradnl"/>
        </w:rPr>
        <w:t xml:space="preserve">presunta víctima, ante la falta de protección judicial efectiva del Estado y eventualmente ante su omisión en cuando sus deberes de </w:t>
      </w:r>
      <w:r w:rsidRPr="00433742">
        <w:rPr>
          <w:rFonts w:asciiTheme="majorHAnsi" w:hAnsiTheme="majorHAnsi"/>
          <w:sz w:val="20"/>
          <w:szCs w:val="20"/>
          <w:lang w:val="es-ES_tradnl"/>
        </w:rPr>
        <w:t xml:space="preserve">supervisión y fiscalización de las instituciones de salud públicas y privadas, </w:t>
      </w:r>
      <w:r w:rsidR="0071310F">
        <w:rPr>
          <w:rFonts w:asciiTheme="majorHAnsi" w:hAnsiTheme="majorHAnsi"/>
          <w:sz w:val="20"/>
          <w:szCs w:val="20"/>
          <w:lang w:val="es-ES_tradnl"/>
        </w:rPr>
        <w:t xml:space="preserve">los mismos podrían constituir violaciones a </w:t>
      </w:r>
      <w:r w:rsidRPr="00433742">
        <w:rPr>
          <w:rFonts w:asciiTheme="majorHAnsi" w:hAnsiTheme="majorHAnsi"/>
          <w:sz w:val="20"/>
          <w:szCs w:val="20"/>
          <w:lang w:val="es-ES_tradnl"/>
        </w:rPr>
        <w:t xml:space="preserve">los artículos 5 (integridad personal), 8 (garantías judiciales), 11 (honra y dignidad), </w:t>
      </w:r>
      <w:r w:rsidR="006631A6">
        <w:rPr>
          <w:rFonts w:asciiTheme="majorHAnsi" w:hAnsiTheme="majorHAnsi"/>
          <w:sz w:val="20"/>
          <w:szCs w:val="20"/>
          <w:lang w:val="es-ES_tradnl"/>
        </w:rPr>
        <w:t xml:space="preserve">24 (igualdad ante la ley), </w:t>
      </w:r>
      <w:r w:rsidRPr="00433742">
        <w:rPr>
          <w:rFonts w:asciiTheme="majorHAnsi" w:hAnsiTheme="majorHAnsi"/>
          <w:sz w:val="20"/>
          <w:szCs w:val="20"/>
          <w:lang w:val="es-ES_tradnl"/>
        </w:rPr>
        <w:t>25 (protección judicial) y 26 (derechos económicos, sociales y culturales) de la Convención Americana</w:t>
      </w:r>
      <w:r w:rsidR="006631A6">
        <w:rPr>
          <w:rFonts w:asciiTheme="majorHAnsi" w:hAnsiTheme="majorHAnsi"/>
          <w:sz w:val="20"/>
          <w:szCs w:val="20"/>
          <w:lang w:val="es-ES_tradnl"/>
        </w:rPr>
        <w:t>,</w:t>
      </w:r>
      <w:r w:rsidRPr="00433742">
        <w:rPr>
          <w:rFonts w:asciiTheme="majorHAnsi" w:hAnsiTheme="majorHAnsi"/>
          <w:sz w:val="20"/>
          <w:szCs w:val="20"/>
          <w:lang w:val="es-ES_tradnl"/>
        </w:rPr>
        <w:t xml:space="preserve"> en relación con su artículo 1.1 (obligación de respetar los derechos)</w:t>
      </w:r>
      <w:r w:rsidR="006631A6">
        <w:rPr>
          <w:rFonts w:asciiTheme="majorHAnsi" w:hAnsiTheme="majorHAnsi"/>
          <w:sz w:val="20"/>
          <w:szCs w:val="20"/>
          <w:lang w:val="es-ES_tradnl"/>
        </w:rPr>
        <w:t>;</w:t>
      </w:r>
      <w:r w:rsidRPr="00433742">
        <w:rPr>
          <w:rFonts w:asciiTheme="majorHAnsi" w:hAnsiTheme="majorHAnsi"/>
          <w:sz w:val="20"/>
          <w:szCs w:val="20"/>
          <w:lang w:val="es-ES_tradnl"/>
        </w:rPr>
        <w:t xml:space="preserve"> y artículo 7 de la Convención de Belém do Pará.</w:t>
      </w:r>
      <w:r w:rsidR="0015474D">
        <w:rPr>
          <w:rFonts w:asciiTheme="majorHAnsi" w:hAnsiTheme="majorHAnsi"/>
          <w:sz w:val="20"/>
          <w:szCs w:val="20"/>
          <w:lang w:val="es-ES_tradnl"/>
        </w:rPr>
        <w:t xml:space="preserve"> </w:t>
      </w:r>
      <w:r w:rsidR="008C781E">
        <w:rPr>
          <w:rFonts w:asciiTheme="majorHAnsi" w:hAnsiTheme="majorHAnsi"/>
          <w:sz w:val="20"/>
          <w:szCs w:val="20"/>
          <w:lang w:val="es-ES_tradnl"/>
        </w:rPr>
        <w:t>Con relación al artículo 26 de la Convención, la CIDH analizará en la etapa de fondo del presente caso, además del cumplimiento de la obligación de regulación y fiscalización de los servicios de salud, si la presunta víctima contó con recursos judiciales para instrumentalizar o tutelar su derecho a la salud. A juicio de la CIDH los deberes generales de respeto y garantía de los derechos económicos, sociales y culturales, en cabeza del Estado, pueden tener efectos frente a terceros.</w:t>
      </w:r>
    </w:p>
    <w:p w:rsidR="006631A6" w:rsidRDefault="00433742" w:rsidP="004337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33742">
        <w:rPr>
          <w:rFonts w:asciiTheme="majorHAnsi" w:hAnsiTheme="majorHAnsi"/>
          <w:sz w:val="20"/>
          <w:szCs w:val="20"/>
          <w:lang w:val="es-ES_tradnl"/>
        </w:rPr>
        <w:t>16.</w:t>
      </w:r>
      <w:r w:rsidRPr="00433742">
        <w:rPr>
          <w:rFonts w:asciiTheme="majorHAnsi" w:hAnsiTheme="majorHAnsi"/>
          <w:sz w:val="20"/>
          <w:szCs w:val="20"/>
          <w:lang w:val="es-ES_tradnl"/>
        </w:rPr>
        <w:tab/>
        <w:t>En cuanto al reclamo sobre la presunta violación de artículo</w:t>
      </w:r>
      <w:r w:rsidR="006631A6">
        <w:rPr>
          <w:rFonts w:asciiTheme="majorHAnsi" w:hAnsiTheme="majorHAnsi"/>
          <w:sz w:val="20"/>
          <w:szCs w:val="20"/>
          <w:lang w:val="es-ES_tradnl"/>
        </w:rPr>
        <w:t>s</w:t>
      </w:r>
      <w:r w:rsidRPr="00433742">
        <w:rPr>
          <w:rFonts w:asciiTheme="majorHAnsi" w:hAnsiTheme="majorHAnsi"/>
          <w:sz w:val="20"/>
          <w:szCs w:val="20"/>
          <w:lang w:val="es-ES_tradnl"/>
        </w:rPr>
        <w:t xml:space="preserve"> 2 (adoptar disposiciones de derecho interno) </w:t>
      </w:r>
      <w:r w:rsidR="006631A6">
        <w:rPr>
          <w:rFonts w:asciiTheme="majorHAnsi" w:hAnsiTheme="majorHAnsi"/>
          <w:sz w:val="20"/>
          <w:szCs w:val="20"/>
          <w:lang w:val="es-ES_tradnl"/>
        </w:rPr>
        <w:t xml:space="preserve">y 13 </w:t>
      </w:r>
      <w:r w:rsidR="006631A6" w:rsidRPr="0086500A">
        <w:rPr>
          <w:rFonts w:asciiTheme="majorHAnsi" w:hAnsiTheme="majorHAnsi"/>
          <w:bCs/>
          <w:sz w:val="20"/>
          <w:szCs w:val="20"/>
          <w:lang w:val="es-ES"/>
        </w:rPr>
        <w:t>(libertad de pensamiento y expresión)</w:t>
      </w:r>
      <w:r w:rsidR="006631A6">
        <w:rPr>
          <w:rFonts w:asciiTheme="majorHAnsi" w:hAnsiTheme="majorHAnsi"/>
          <w:sz w:val="20"/>
          <w:szCs w:val="20"/>
          <w:lang w:val="es-ES_tradnl"/>
        </w:rPr>
        <w:t xml:space="preserve"> </w:t>
      </w:r>
      <w:r w:rsidRPr="00433742">
        <w:rPr>
          <w:rFonts w:asciiTheme="majorHAnsi" w:hAnsiTheme="majorHAnsi"/>
          <w:sz w:val="20"/>
          <w:szCs w:val="20"/>
          <w:lang w:val="es-ES_tradnl"/>
        </w:rPr>
        <w:t xml:space="preserve">de la Convención Americana la Comisión observa que el peticionario no ha ofrecido alegatos o sustento suficiente que permita considerar </w:t>
      </w:r>
      <w:r w:rsidRPr="006631A6">
        <w:rPr>
          <w:rFonts w:asciiTheme="majorHAnsi" w:hAnsiTheme="majorHAnsi"/>
          <w:i/>
          <w:sz w:val="20"/>
          <w:szCs w:val="20"/>
          <w:lang w:val="es-ES_tradnl"/>
        </w:rPr>
        <w:t>prima facie</w:t>
      </w:r>
      <w:r w:rsidRPr="00433742">
        <w:rPr>
          <w:rFonts w:asciiTheme="majorHAnsi" w:hAnsiTheme="majorHAnsi"/>
          <w:sz w:val="20"/>
          <w:szCs w:val="20"/>
          <w:lang w:val="es-ES_tradnl"/>
        </w:rPr>
        <w:t xml:space="preserve"> su posible violación</w:t>
      </w:r>
      <w:r w:rsidR="006631A6">
        <w:rPr>
          <w:rFonts w:asciiTheme="majorHAnsi" w:hAnsiTheme="majorHAnsi"/>
          <w:sz w:val="20"/>
          <w:szCs w:val="20"/>
          <w:lang w:val="es-ES_tradnl"/>
        </w:rPr>
        <w:t xml:space="preserve"> como derechos autónomos</w:t>
      </w:r>
      <w:r w:rsidR="006631A6">
        <w:rPr>
          <w:rStyle w:val="FootnoteReference"/>
          <w:rFonts w:asciiTheme="majorHAnsi" w:hAnsiTheme="majorHAnsi"/>
          <w:sz w:val="20"/>
          <w:szCs w:val="20"/>
          <w:lang w:val="es-ES_tradnl"/>
        </w:rPr>
        <w:footnoteReference w:id="7"/>
      </w:r>
      <w:r w:rsidRPr="00433742">
        <w:rPr>
          <w:rFonts w:asciiTheme="majorHAnsi" w:hAnsiTheme="majorHAnsi"/>
          <w:sz w:val="20"/>
          <w:szCs w:val="20"/>
          <w:lang w:val="es-ES_tradnl"/>
        </w:rPr>
        <w:t>.</w:t>
      </w:r>
      <w:r w:rsidR="006631A6">
        <w:rPr>
          <w:rFonts w:asciiTheme="majorHAnsi" w:hAnsiTheme="majorHAnsi"/>
          <w:sz w:val="20"/>
          <w:szCs w:val="20"/>
          <w:lang w:val="es-ES_tradnl"/>
        </w:rPr>
        <w:t xml:space="preserve"> Las eventuales afectaciones a estos derechos, de acuerdo con los elementos planteados por el peticionario, se subsumen en el ámbito de aplicación de los otros derechos declarados admisibles en la presente petición.  </w:t>
      </w:r>
    </w:p>
    <w:p w:rsidR="00433742" w:rsidRPr="00433742" w:rsidRDefault="00433742" w:rsidP="004337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33742">
        <w:rPr>
          <w:rFonts w:asciiTheme="majorHAnsi" w:hAnsiTheme="majorHAnsi"/>
          <w:sz w:val="20"/>
          <w:szCs w:val="20"/>
          <w:lang w:val="es-ES_tradnl"/>
        </w:rPr>
        <w:t>18.</w:t>
      </w:r>
      <w:r w:rsidRPr="00433742">
        <w:rPr>
          <w:rFonts w:asciiTheme="majorHAnsi" w:hAnsiTheme="majorHAnsi"/>
          <w:sz w:val="20"/>
          <w:szCs w:val="20"/>
          <w:lang w:val="es-ES_tradnl"/>
        </w:rPr>
        <w:tab/>
        <w:t>“En cuanto a los alegatos sobre violaciones al artículo 10 del Protocolo de San Salvador, la CIDH nota que la competencia prevista en los términos del artículo 19.6 de dicho tratado para pronunciarse en el contexto de un caso individual se limita a los artículos 8 y 13. Respecto a los demás artículos, de conformidad con el artículo 29 de la Convención Americana, la Comisión los puede tomar en cuenta para interpretar y aplicar la Convención Americana y</w:t>
      </w:r>
      <w:r w:rsidR="00650C7F">
        <w:rPr>
          <w:rFonts w:asciiTheme="majorHAnsi" w:hAnsiTheme="majorHAnsi"/>
          <w:sz w:val="20"/>
          <w:szCs w:val="20"/>
          <w:lang w:val="es-ES_tradnl"/>
        </w:rPr>
        <w:t xml:space="preserve"> otros instrumentos aplicables.</w:t>
      </w:r>
      <w:r w:rsidRPr="00433742">
        <w:rPr>
          <w:rFonts w:asciiTheme="majorHAnsi" w:hAnsiTheme="majorHAnsi"/>
          <w:sz w:val="20"/>
          <w:szCs w:val="20"/>
          <w:lang w:val="es-ES_tradnl"/>
        </w:rPr>
        <w:t xml:space="preserve">  Asimismo, en cuanto a los alegatos sobre violaciones al artículo 4.b, 4.f y 4.g de la Convención de Belém do Pará, la CIDH nota que la competencia prevista en los términos del artículo 12 de dicha Convención para pronunciarse en el contexto de un caso individual se limita al artículo 7. </w:t>
      </w:r>
    </w:p>
    <w:p w:rsidR="009A144F" w:rsidRDefault="00650C7F" w:rsidP="004337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19.</w:t>
      </w:r>
      <w:r>
        <w:rPr>
          <w:rFonts w:asciiTheme="majorHAnsi" w:hAnsiTheme="majorHAnsi"/>
          <w:sz w:val="20"/>
          <w:szCs w:val="20"/>
          <w:lang w:val="es-ES_tradnl"/>
        </w:rPr>
        <w:tab/>
        <w:t>R</w:t>
      </w:r>
      <w:r w:rsidR="00433742" w:rsidRPr="00433742">
        <w:rPr>
          <w:rFonts w:asciiTheme="majorHAnsi" w:hAnsiTheme="majorHAnsi"/>
          <w:sz w:val="20"/>
          <w:szCs w:val="20"/>
          <w:lang w:val="es-ES_tradnl"/>
        </w:rPr>
        <w:t xml:space="preserve">especto a los alegatos del Estado referidos a la fórmula de la cuarta instancia, la Comisión reitera que, según su mandato, si es competente para declarar admisible una petición y fallar sobre el fondo </w:t>
      </w:r>
      <w:r w:rsidR="00433742" w:rsidRPr="00433742">
        <w:rPr>
          <w:rFonts w:asciiTheme="majorHAnsi" w:hAnsiTheme="majorHAnsi"/>
          <w:sz w:val="20"/>
          <w:szCs w:val="20"/>
          <w:lang w:val="es-ES_tradnl"/>
        </w:rPr>
        <w:lastRenderedPageBreak/>
        <w:t>cuando esta se refiere a procesos internos que podrían ser violatorios de los derechos garantizados por la Convención Americana como el presente caso.</w:t>
      </w:r>
    </w:p>
    <w:p w:rsidR="00650C7F" w:rsidRPr="00B81692" w:rsidRDefault="00650C7F" w:rsidP="00650C7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17.</w:t>
      </w:r>
      <w:r>
        <w:rPr>
          <w:rFonts w:asciiTheme="majorHAnsi" w:hAnsiTheme="majorHAnsi"/>
          <w:sz w:val="20"/>
          <w:szCs w:val="20"/>
          <w:lang w:val="es-ES_tradnl"/>
        </w:rPr>
        <w:tab/>
        <w:t xml:space="preserve">Por último, </w:t>
      </w:r>
      <w:r w:rsidRPr="00433742">
        <w:rPr>
          <w:rFonts w:asciiTheme="majorHAnsi" w:hAnsiTheme="majorHAnsi"/>
          <w:sz w:val="20"/>
          <w:szCs w:val="20"/>
          <w:lang w:val="es-ES_tradnl"/>
        </w:rPr>
        <w:t>la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w:t>
      </w:r>
      <w:r>
        <w:rPr>
          <w:rFonts w:asciiTheme="majorHAnsi" w:hAnsiTheme="majorHAnsi"/>
          <w:sz w:val="20"/>
          <w:szCs w:val="20"/>
          <w:lang w:val="es-ES_tradnl"/>
        </w:rPr>
        <w:t xml:space="preserve"> no son aplicables por analogía. </w:t>
      </w:r>
    </w:p>
    <w:p w:rsidR="009A144F" w:rsidRPr="00B81692" w:rsidRDefault="009A144F" w:rsidP="009A144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r w:rsidRPr="00B81692">
        <w:rPr>
          <w:rFonts w:asciiTheme="majorHAnsi" w:hAnsiTheme="majorHAnsi"/>
          <w:b/>
          <w:bCs/>
          <w:color w:val="auto"/>
          <w:sz w:val="20"/>
          <w:szCs w:val="20"/>
          <w:lang w:val="es-ES_tradnl"/>
        </w:rPr>
        <w:t xml:space="preserve">VIII. </w:t>
      </w:r>
      <w:r w:rsidRPr="00B81692">
        <w:rPr>
          <w:rFonts w:asciiTheme="majorHAnsi" w:hAnsiTheme="majorHAnsi"/>
          <w:b/>
          <w:bCs/>
          <w:color w:val="auto"/>
          <w:sz w:val="20"/>
          <w:szCs w:val="20"/>
          <w:lang w:val="es-ES_tradnl"/>
        </w:rPr>
        <w:tab/>
        <w:t>DECISIÓN</w:t>
      </w:r>
    </w:p>
    <w:p w:rsidR="009A144F" w:rsidRPr="00B81692" w:rsidRDefault="009A144F" w:rsidP="009A14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_tradnl"/>
        </w:rPr>
      </w:pPr>
      <w:r w:rsidRPr="00B81692">
        <w:rPr>
          <w:rFonts w:asciiTheme="majorHAnsi" w:hAnsiTheme="majorHAnsi"/>
          <w:sz w:val="20"/>
          <w:szCs w:val="20"/>
          <w:lang w:val="es-ES_tradnl"/>
        </w:rPr>
        <w:t xml:space="preserve">Declarar admisible la presente petición en relación con los artículos </w:t>
      </w:r>
      <w:r w:rsidRPr="00B81692">
        <w:rPr>
          <w:rFonts w:asciiTheme="majorHAnsi" w:hAnsiTheme="majorHAnsi"/>
          <w:color w:val="auto"/>
          <w:sz w:val="20"/>
          <w:szCs w:val="20"/>
          <w:lang w:val="es-ES_tradnl"/>
        </w:rPr>
        <w:t xml:space="preserve">5, </w:t>
      </w:r>
      <w:r w:rsidR="00650C7F">
        <w:rPr>
          <w:rFonts w:asciiTheme="majorHAnsi" w:hAnsiTheme="majorHAnsi"/>
          <w:bCs/>
          <w:sz w:val="20"/>
          <w:szCs w:val="20"/>
          <w:lang w:val="es-ES"/>
        </w:rPr>
        <w:t>8, 11, 24,</w:t>
      </w:r>
      <w:r w:rsidRPr="00B81692">
        <w:rPr>
          <w:rFonts w:asciiTheme="majorHAnsi" w:hAnsiTheme="majorHAnsi"/>
          <w:bCs/>
          <w:sz w:val="20"/>
          <w:szCs w:val="20"/>
          <w:lang w:val="es-ES"/>
        </w:rPr>
        <w:t xml:space="preserve"> 25 y 26 de la Convención Americana</w:t>
      </w:r>
      <w:r w:rsidR="00650C7F">
        <w:rPr>
          <w:rFonts w:asciiTheme="majorHAnsi" w:hAnsiTheme="majorHAnsi"/>
          <w:bCs/>
          <w:sz w:val="20"/>
          <w:szCs w:val="20"/>
          <w:lang w:val="es-ES"/>
        </w:rPr>
        <w:t>,</w:t>
      </w:r>
      <w:r w:rsidRPr="00B81692">
        <w:rPr>
          <w:rFonts w:asciiTheme="majorHAnsi" w:hAnsiTheme="majorHAnsi"/>
          <w:lang w:val="es-ES"/>
        </w:rPr>
        <w:t xml:space="preserve"> </w:t>
      </w:r>
      <w:r w:rsidRPr="00B81692">
        <w:rPr>
          <w:rFonts w:asciiTheme="majorHAnsi" w:hAnsiTheme="majorHAnsi"/>
          <w:bCs/>
          <w:sz w:val="20"/>
          <w:szCs w:val="20"/>
          <w:lang w:val="es-ES"/>
        </w:rPr>
        <w:t>en relación con su artículo 1.1</w:t>
      </w:r>
      <w:r w:rsidR="00650C7F">
        <w:rPr>
          <w:rFonts w:asciiTheme="majorHAnsi" w:hAnsiTheme="majorHAnsi"/>
          <w:bCs/>
          <w:sz w:val="20"/>
          <w:szCs w:val="20"/>
          <w:lang w:val="es-ES"/>
        </w:rPr>
        <w:t>;</w:t>
      </w:r>
      <w:r w:rsidRPr="00B81692">
        <w:rPr>
          <w:rFonts w:asciiTheme="majorHAnsi" w:hAnsiTheme="majorHAnsi"/>
          <w:bCs/>
          <w:sz w:val="20"/>
          <w:szCs w:val="20"/>
          <w:lang w:val="es-ES"/>
        </w:rPr>
        <w:t xml:space="preserve"> y </w:t>
      </w:r>
      <w:r w:rsidR="00650C7F">
        <w:rPr>
          <w:rFonts w:asciiTheme="majorHAnsi" w:hAnsiTheme="majorHAnsi"/>
          <w:bCs/>
          <w:sz w:val="20"/>
          <w:szCs w:val="20"/>
          <w:lang w:val="es-ES"/>
        </w:rPr>
        <w:t xml:space="preserve">el </w:t>
      </w:r>
      <w:r w:rsidRPr="00B81692">
        <w:rPr>
          <w:rFonts w:asciiTheme="majorHAnsi" w:hAnsiTheme="majorHAnsi"/>
          <w:bCs/>
          <w:sz w:val="20"/>
          <w:szCs w:val="20"/>
          <w:lang w:val="es-ES"/>
        </w:rPr>
        <w:t xml:space="preserve">artículo 7 de la Convención de </w:t>
      </w:r>
      <w:r w:rsidRPr="00C85D22">
        <w:rPr>
          <w:rFonts w:asciiTheme="majorHAnsi" w:hAnsiTheme="majorHAnsi"/>
          <w:sz w:val="20"/>
          <w:szCs w:val="20"/>
          <w:lang w:val="es-US"/>
        </w:rPr>
        <w:t>Belém do Pará</w:t>
      </w:r>
      <w:r w:rsidRPr="00B81692">
        <w:rPr>
          <w:rFonts w:asciiTheme="majorHAnsi" w:hAnsiTheme="majorHAnsi"/>
          <w:bCs/>
          <w:sz w:val="20"/>
          <w:szCs w:val="20"/>
          <w:lang w:val="es-ES"/>
        </w:rPr>
        <w:t>;</w:t>
      </w:r>
    </w:p>
    <w:p w:rsidR="009A144F" w:rsidRPr="00C554FE" w:rsidRDefault="009A144F" w:rsidP="009A144F">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B81692">
        <w:rPr>
          <w:rFonts w:asciiTheme="majorHAnsi" w:eastAsia="Arial Unicode MS" w:hAnsiTheme="majorHAnsi" w:cs="Times New Roman"/>
          <w:color w:val="auto"/>
          <w:sz w:val="20"/>
          <w:szCs w:val="20"/>
          <w:lang w:val="es-ES_tradnl" w:eastAsia="en-US"/>
        </w:rPr>
        <w:t xml:space="preserve">Declarar inadmisible la presente petición en relación con </w:t>
      </w:r>
      <w:r w:rsidR="00650C7F">
        <w:rPr>
          <w:rFonts w:asciiTheme="majorHAnsi" w:eastAsia="Arial Unicode MS" w:hAnsiTheme="majorHAnsi" w:cs="Times New Roman"/>
          <w:color w:val="auto"/>
          <w:sz w:val="20"/>
          <w:szCs w:val="20"/>
          <w:lang w:val="es-ES_tradnl" w:eastAsia="en-US"/>
        </w:rPr>
        <w:t>los</w:t>
      </w:r>
      <w:r w:rsidRPr="00B81692">
        <w:rPr>
          <w:rFonts w:asciiTheme="majorHAnsi" w:eastAsia="Arial Unicode MS" w:hAnsiTheme="majorHAnsi" w:cs="Times New Roman"/>
          <w:color w:val="auto"/>
          <w:sz w:val="20"/>
          <w:szCs w:val="20"/>
          <w:lang w:val="es-ES_tradnl" w:eastAsia="en-US"/>
        </w:rPr>
        <w:t xml:space="preserve"> </w:t>
      </w:r>
      <w:r w:rsidRPr="00C554FE">
        <w:rPr>
          <w:rFonts w:asciiTheme="majorHAnsi" w:hAnsiTheme="majorHAnsi"/>
          <w:bCs/>
          <w:sz w:val="20"/>
          <w:szCs w:val="20"/>
          <w:lang w:val="es-ES"/>
        </w:rPr>
        <w:t>artículo</w:t>
      </w:r>
      <w:r w:rsidR="00650C7F">
        <w:rPr>
          <w:rFonts w:asciiTheme="majorHAnsi" w:hAnsiTheme="majorHAnsi"/>
          <w:bCs/>
          <w:sz w:val="20"/>
          <w:szCs w:val="20"/>
          <w:lang w:val="es-ES"/>
        </w:rPr>
        <w:t>s 2 y 13</w:t>
      </w:r>
      <w:r w:rsidRPr="00C554FE">
        <w:rPr>
          <w:rFonts w:asciiTheme="majorHAnsi" w:hAnsiTheme="majorHAnsi"/>
          <w:bCs/>
          <w:sz w:val="20"/>
          <w:szCs w:val="20"/>
          <w:lang w:val="es-ES"/>
        </w:rPr>
        <w:t xml:space="preserve"> de la Convención Americana</w:t>
      </w:r>
      <w:r w:rsidRPr="00C554FE">
        <w:rPr>
          <w:rFonts w:asciiTheme="majorHAnsi" w:eastAsia="Arial Unicode MS" w:hAnsiTheme="majorHAnsi" w:cs="Times New Roman"/>
          <w:color w:val="auto"/>
          <w:sz w:val="20"/>
          <w:szCs w:val="20"/>
          <w:lang w:val="es-ES_tradnl" w:eastAsia="en-US"/>
        </w:rPr>
        <w:t>; y</w:t>
      </w:r>
    </w:p>
    <w:p w:rsidR="009A144F" w:rsidRPr="00B81692" w:rsidRDefault="009A144F" w:rsidP="009A144F">
      <w:pPr>
        <w:pStyle w:val="ListParagraph"/>
        <w:rPr>
          <w:rFonts w:asciiTheme="majorHAnsi" w:eastAsia="Arial Unicode MS" w:hAnsiTheme="majorHAnsi" w:cs="Times New Roman"/>
          <w:color w:val="auto"/>
          <w:sz w:val="20"/>
          <w:szCs w:val="20"/>
          <w:lang w:val="es-ES_tradnl" w:eastAsia="en-US"/>
        </w:rPr>
      </w:pPr>
    </w:p>
    <w:p w:rsidR="009A144F" w:rsidRPr="006B7D1B" w:rsidRDefault="009A144F" w:rsidP="009A14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ES_tradnl"/>
        </w:rPr>
      </w:pPr>
      <w:r w:rsidRPr="006B7D1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Pr="006B7D1B">
        <w:rPr>
          <w:rFonts w:asciiTheme="majorHAnsi" w:hAnsiTheme="majorHAnsi"/>
          <w:sz w:val="20"/>
          <w:szCs w:val="20"/>
          <w:lang w:val="es-ES_tradnl"/>
        </w:rPr>
        <w:tab/>
      </w:r>
    </w:p>
    <w:p w:rsidR="007D0DD5" w:rsidRPr="00A37B82" w:rsidRDefault="007D0DD5" w:rsidP="007D0DD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D0DD5" w:rsidRPr="00A37B82" w:rsidRDefault="007D0DD5" w:rsidP="007D0DD5">
      <w:pPr>
        <w:suppressAutoHyphens/>
        <w:ind w:firstLine="720"/>
        <w:jc w:val="both"/>
        <w:rPr>
          <w:rFonts w:asciiTheme="majorHAnsi" w:hAnsiTheme="majorHAnsi" w:cs="Arial"/>
          <w:noProof/>
          <w:spacing w:val="-2"/>
          <w:sz w:val="20"/>
          <w:szCs w:val="20"/>
          <w:lang w:val="es-CL"/>
        </w:rPr>
      </w:pPr>
    </w:p>
    <w:sectPr w:rsidR="007D0DD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40" w:rsidRDefault="004C7440">
      <w:r>
        <w:separator/>
      </w:r>
    </w:p>
  </w:endnote>
  <w:endnote w:type="continuationSeparator" w:id="0">
    <w:p w:rsidR="004C7440" w:rsidRDefault="004C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B9" w:rsidRDefault="00664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46ABA" w:rsidRPr="00934A2C" w:rsidRDefault="00C46A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641B9">
          <w:rPr>
            <w:noProof/>
            <w:sz w:val="16"/>
            <w:szCs w:val="22"/>
          </w:rPr>
          <w:t>1</w:t>
        </w:r>
        <w:r w:rsidRPr="00934A2C">
          <w:rPr>
            <w:noProof/>
            <w:sz w:val="16"/>
            <w:szCs w:val="22"/>
          </w:rPr>
          <w:fldChar w:fldCharType="end"/>
        </w:r>
      </w:p>
    </w:sdtContent>
  </w:sdt>
  <w:p w:rsidR="00C46ABA" w:rsidRDefault="00C46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BA" w:rsidRPr="00934A2C" w:rsidRDefault="00C46ABA">
    <w:pPr>
      <w:pStyle w:val="Footer"/>
      <w:jc w:val="center"/>
      <w:rPr>
        <w:sz w:val="16"/>
        <w:szCs w:val="22"/>
      </w:rPr>
    </w:pPr>
  </w:p>
  <w:p w:rsidR="00C46ABA" w:rsidRDefault="00C4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40" w:rsidRPr="000F35ED" w:rsidRDefault="004C744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C7440" w:rsidRPr="000F35ED" w:rsidRDefault="004C7440" w:rsidP="000F35ED">
      <w:pPr>
        <w:rPr>
          <w:rFonts w:asciiTheme="majorHAnsi" w:hAnsiTheme="majorHAnsi"/>
          <w:sz w:val="16"/>
          <w:szCs w:val="16"/>
        </w:rPr>
      </w:pPr>
      <w:r w:rsidRPr="000F35ED">
        <w:rPr>
          <w:rFonts w:asciiTheme="majorHAnsi" w:hAnsiTheme="majorHAnsi"/>
          <w:sz w:val="16"/>
          <w:szCs w:val="16"/>
        </w:rPr>
        <w:separator/>
      </w:r>
    </w:p>
    <w:p w:rsidR="004C7440" w:rsidRPr="000F35ED" w:rsidRDefault="004C744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C7440" w:rsidRPr="000F35ED" w:rsidRDefault="004C744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46ABA" w:rsidRPr="001B402E" w:rsidRDefault="00C46ABA" w:rsidP="009A144F">
      <w:pPr>
        <w:pStyle w:val="FootnoteText"/>
        <w:ind w:firstLine="709"/>
        <w:jc w:val="both"/>
        <w:rPr>
          <w:rFonts w:asciiTheme="majorHAnsi" w:hAnsiTheme="majorHAnsi"/>
          <w:sz w:val="16"/>
          <w:szCs w:val="16"/>
          <w:lang w:val="es-ES_tradnl"/>
        </w:rPr>
      </w:pPr>
      <w:r w:rsidRPr="001B402E">
        <w:rPr>
          <w:rStyle w:val="FootnoteReference"/>
          <w:rFonts w:asciiTheme="majorHAnsi" w:hAnsiTheme="majorHAnsi"/>
          <w:sz w:val="16"/>
          <w:szCs w:val="16"/>
          <w:lang w:val="es-ES_tradnl"/>
        </w:rPr>
        <w:footnoteRef/>
      </w:r>
      <w:r w:rsidRPr="001B402E">
        <w:rPr>
          <w:rFonts w:asciiTheme="majorHAnsi" w:hAnsiTheme="majorHAnsi"/>
          <w:sz w:val="16"/>
          <w:szCs w:val="16"/>
          <w:lang w:val="es-ES_tradnl"/>
        </w:rPr>
        <w:t xml:space="preserve"> En adelante “la Convención” o “la Convención Americana”.</w:t>
      </w:r>
    </w:p>
  </w:footnote>
  <w:footnote w:id="3">
    <w:p w:rsidR="00C46ABA" w:rsidRPr="005F4DE2" w:rsidRDefault="00C46ABA" w:rsidP="009A144F">
      <w:pPr>
        <w:pStyle w:val="FootnoteText"/>
        <w:ind w:firstLine="709"/>
        <w:rPr>
          <w:rFonts w:asciiTheme="majorHAnsi" w:hAnsiTheme="majorHAnsi"/>
          <w:sz w:val="16"/>
          <w:szCs w:val="16"/>
          <w:lang w:val="es-US"/>
        </w:rPr>
      </w:pPr>
      <w:r w:rsidRPr="001B402E">
        <w:rPr>
          <w:rStyle w:val="FootnoteReference"/>
          <w:rFonts w:asciiTheme="majorHAnsi" w:hAnsiTheme="majorHAnsi"/>
          <w:sz w:val="16"/>
          <w:szCs w:val="16"/>
        </w:rPr>
        <w:footnoteRef/>
      </w:r>
      <w:r w:rsidRPr="005F4DE2">
        <w:rPr>
          <w:rFonts w:asciiTheme="majorHAnsi" w:hAnsiTheme="majorHAnsi"/>
          <w:sz w:val="16"/>
          <w:szCs w:val="16"/>
          <w:lang w:val="es-US"/>
        </w:rPr>
        <w:t xml:space="preserve"> </w:t>
      </w:r>
      <w:r w:rsidRPr="001B402E">
        <w:rPr>
          <w:rFonts w:asciiTheme="majorHAnsi" w:hAnsiTheme="majorHAnsi"/>
          <w:sz w:val="16"/>
          <w:szCs w:val="16"/>
          <w:lang w:val="es-ES_tradnl"/>
        </w:rPr>
        <w:t xml:space="preserve">En adelante “la Convención de Belem </w:t>
      </w:r>
      <w:r w:rsidRPr="00D93238">
        <w:rPr>
          <w:rFonts w:asciiTheme="majorHAnsi" w:hAnsiTheme="majorHAnsi"/>
          <w:sz w:val="16"/>
          <w:szCs w:val="16"/>
          <w:lang w:val="es-US"/>
        </w:rPr>
        <w:t>Belém do Pará</w:t>
      </w:r>
      <w:r w:rsidRPr="00D93238">
        <w:rPr>
          <w:rFonts w:asciiTheme="majorHAnsi" w:hAnsiTheme="majorHAnsi"/>
          <w:sz w:val="16"/>
          <w:szCs w:val="16"/>
          <w:lang w:val="es-ES_tradnl"/>
        </w:rPr>
        <w:t>”</w:t>
      </w:r>
      <w:r>
        <w:rPr>
          <w:rFonts w:asciiTheme="majorHAnsi" w:hAnsiTheme="majorHAnsi"/>
          <w:sz w:val="16"/>
          <w:szCs w:val="16"/>
          <w:lang w:val="es-ES_tradnl"/>
        </w:rPr>
        <w:t>.</w:t>
      </w:r>
    </w:p>
  </w:footnote>
  <w:footnote w:id="4">
    <w:p w:rsidR="00C46ABA" w:rsidRPr="001B402E" w:rsidRDefault="00C46ABA" w:rsidP="009A144F">
      <w:pPr>
        <w:pStyle w:val="FootnoteText"/>
        <w:ind w:firstLine="709"/>
        <w:jc w:val="both"/>
        <w:rPr>
          <w:rFonts w:asciiTheme="majorHAnsi" w:hAnsiTheme="majorHAnsi"/>
          <w:sz w:val="16"/>
          <w:szCs w:val="16"/>
          <w:lang w:val="es-ES_tradnl"/>
        </w:rPr>
      </w:pPr>
      <w:r w:rsidRPr="001B402E">
        <w:rPr>
          <w:rStyle w:val="FootnoteReference"/>
          <w:rFonts w:asciiTheme="majorHAnsi" w:hAnsiTheme="majorHAnsi"/>
          <w:sz w:val="16"/>
          <w:szCs w:val="16"/>
          <w:lang w:val="es-ES_tradnl"/>
        </w:rPr>
        <w:footnoteRef/>
      </w:r>
      <w:r w:rsidRPr="001B402E">
        <w:rPr>
          <w:rFonts w:asciiTheme="majorHAnsi" w:hAnsiTheme="majorHAnsi"/>
          <w:sz w:val="16"/>
          <w:szCs w:val="16"/>
          <w:lang w:val="es-ES_tradnl"/>
        </w:rPr>
        <w:t xml:space="preserve"> </w:t>
      </w:r>
      <w:r>
        <w:rPr>
          <w:rFonts w:asciiTheme="majorHAnsi" w:hAnsiTheme="majorHAnsi"/>
          <w:sz w:val="16"/>
          <w:szCs w:val="16"/>
          <w:lang w:val="es-ES_tradnl"/>
        </w:rPr>
        <w:t xml:space="preserve">En adelante “el </w:t>
      </w:r>
      <w:r w:rsidRPr="001B402E">
        <w:rPr>
          <w:rFonts w:asciiTheme="majorHAnsi" w:hAnsiTheme="majorHAnsi"/>
          <w:sz w:val="16"/>
          <w:szCs w:val="16"/>
          <w:lang w:val="es-ES_tradnl"/>
        </w:rPr>
        <w:t>Protocolo de San Salvador</w:t>
      </w:r>
      <w:r>
        <w:rPr>
          <w:rFonts w:asciiTheme="majorHAnsi" w:hAnsiTheme="majorHAnsi"/>
          <w:sz w:val="16"/>
          <w:szCs w:val="16"/>
          <w:lang w:val="es-ES_tradnl"/>
        </w:rPr>
        <w:t>”</w:t>
      </w:r>
      <w:r w:rsidRPr="001B402E">
        <w:rPr>
          <w:rFonts w:asciiTheme="majorHAnsi" w:hAnsiTheme="majorHAnsi"/>
          <w:sz w:val="16"/>
          <w:szCs w:val="16"/>
          <w:lang w:val="es-ES_tradnl"/>
        </w:rPr>
        <w:t>.</w:t>
      </w:r>
    </w:p>
  </w:footnote>
  <w:footnote w:id="5">
    <w:p w:rsidR="00C46ABA" w:rsidRPr="00306F33" w:rsidRDefault="00C46ABA"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C46ABA" w:rsidRPr="00E4153B" w:rsidRDefault="00C46ABA" w:rsidP="009A144F">
      <w:pPr>
        <w:pStyle w:val="FootnoteText"/>
        <w:ind w:firstLine="720"/>
        <w:jc w:val="both"/>
        <w:rPr>
          <w:rFonts w:asciiTheme="majorHAnsi" w:hAnsiTheme="majorHAnsi"/>
          <w:sz w:val="16"/>
          <w:szCs w:val="16"/>
          <w:lang w:val="es-ES"/>
        </w:rPr>
      </w:pPr>
      <w:r w:rsidRPr="00824122">
        <w:rPr>
          <w:rStyle w:val="FootnoteReference"/>
          <w:rFonts w:asciiTheme="majorHAnsi" w:hAnsiTheme="majorHAnsi"/>
          <w:sz w:val="16"/>
          <w:szCs w:val="16"/>
        </w:rPr>
        <w:footnoteRef/>
      </w:r>
      <w:r w:rsidRPr="00824122">
        <w:rPr>
          <w:rFonts w:asciiTheme="majorHAnsi" w:hAnsiTheme="majorHAnsi"/>
          <w:sz w:val="16"/>
          <w:szCs w:val="16"/>
          <w:lang w:val="es-ES"/>
        </w:rPr>
        <w:t xml:space="preserve"> </w:t>
      </w:r>
      <w:r>
        <w:rPr>
          <w:rFonts w:asciiTheme="majorHAnsi" w:hAnsiTheme="majorHAnsi"/>
          <w:sz w:val="16"/>
          <w:szCs w:val="16"/>
          <w:lang w:val="es-ES"/>
        </w:rPr>
        <w:t xml:space="preserve">CIDH. </w:t>
      </w:r>
      <w:r w:rsidRPr="00E4153B">
        <w:rPr>
          <w:rFonts w:asciiTheme="majorHAnsi" w:hAnsiTheme="majorHAnsi"/>
          <w:sz w:val="16"/>
          <w:szCs w:val="16"/>
          <w:lang w:val="es-ES"/>
        </w:rPr>
        <w:t>Informe No. 59/16. Petición 89-07. Admisibilidad. Juan Alberto Contreras González, Jorge Contreras González y Familia. Chile, 6 de diciembre de 2016, párr. 5.</w:t>
      </w:r>
    </w:p>
  </w:footnote>
  <w:footnote w:id="7">
    <w:p w:rsidR="006631A6" w:rsidRPr="00650C7F" w:rsidRDefault="006631A6" w:rsidP="006631A6">
      <w:pPr>
        <w:pStyle w:val="FootnoteText"/>
        <w:ind w:firstLine="720"/>
        <w:jc w:val="both"/>
        <w:rPr>
          <w:rFonts w:asciiTheme="majorHAnsi" w:hAnsiTheme="majorHAnsi" w:cs="Times New Roman"/>
          <w:sz w:val="16"/>
          <w:szCs w:val="16"/>
          <w:lang w:val="es-US"/>
        </w:rPr>
      </w:pPr>
      <w:r w:rsidRPr="00650C7F">
        <w:rPr>
          <w:rStyle w:val="FootnoteReference"/>
          <w:rFonts w:asciiTheme="majorHAnsi" w:hAnsiTheme="majorHAnsi" w:cs="Times New Roman"/>
          <w:sz w:val="16"/>
          <w:szCs w:val="16"/>
        </w:rPr>
        <w:footnoteRef/>
      </w:r>
      <w:r w:rsidRPr="00650C7F">
        <w:rPr>
          <w:rFonts w:asciiTheme="majorHAnsi" w:hAnsiTheme="majorHAnsi" w:cs="Times New Roman"/>
          <w:sz w:val="16"/>
          <w:szCs w:val="16"/>
          <w:lang w:val="es-US"/>
        </w:rPr>
        <w:t xml:space="preserve"> En el caso concreto del artículo 13 </w:t>
      </w:r>
      <w:r w:rsidRPr="00650C7F">
        <w:rPr>
          <w:rFonts w:asciiTheme="majorHAnsi" w:hAnsiTheme="majorHAnsi" w:cs="Times New Roman"/>
          <w:bCs/>
          <w:sz w:val="16"/>
          <w:szCs w:val="16"/>
          <w:lang w:val="es-ES"/>
        </w:rPr>
        <w:t>(libertad de pensamiento y expresión)</w:t>
      </w:r>
      <w:r w:rsidRPr="00650C7F">
        <w:rPr>
          <w:rFonts w:asciiTheme="majorHAnsi" w:hAnsiTheme="majorHAnsi" w:cs="Times New Roman"/>
          <w:sz w:val="16"/>
          <w:szCs w:val="16"/>
          <w:lang w:val="es-US"/>
        </w:rPr>
        <w:t xml:space="preserve">, la Comisión reconoce que en un reciente caso (CIDH, Informe No. 67/20. Petición 1223-17. Admisibilidad. Rosaura Almonte Hernández y familiares. República Dominicana. 24 de febrero de 2020), similar en algunos aspectos al presente </w:t>
      </w:r>
      <w:r w:rsidR="00650C7F" w:rsidRPr="00650C7F">
        <w:rPr>
          <w:rFonts w:asciiTheme="majorHAnsi" w:hAnsiTheme="majorHAnsi" w:cs="Times New Roman"/>
          <w:sz w:val="16"/>
          <w:szCs w:val="16"/>
          <w:lang w:val="es-US"/>
        </w:rPr>
        <w:t xml:space="preserve">sí declaró la admisibilidad de dicho artículo; sin embargo, en aquel caso los peticionarios formularon alegatos específicos al respecto, y además aportaron información que mostraba que presentaron recursos judiciales orientados a obtener información médica de la víctima.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BA" w:rsidRDefault="00C46ABA" w:rsidP="00A036E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46ABA" w:rsidRDefault="00C46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BA" w:rsidRDefault="00C46ABA" w:rsidP="00A50FCF">
    <w:pPr>
      <w:pStyle w:val="Header"/>
      <w:tabs>
        <w:tab w:val="clear" w:pos="4320"/>
        <w:tab w:val="clear" w:pos="8640"/>
      </w:tabs>
      <w:jc w:val="center"/>
      <w:rPr>
        <w:sz w:val="22"/>
        <w:szCs w:val="22"/>
      </w:rPr>
    </w:pPr>
    <w:r>
      <w:rPr>
        <w:noProof/>
        <w:sz w:val="22"/>
        <w:szCs w:val="22"/>
      </w:rPr>
      <w:drawing>
        <wp:inline distT="0" distB="0" distL="0" distR="0" wp14:anchorId="65A4C11B" wp14:editId="7C91158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46ABA" w:rsidRPr="00EC7D62" w:rsidRDefault="004C7440" w:rsidP="00A50FCF">
    <w:pPr>
      <w:pStyle w:val="Header"/>
      <w:tabs>
        <w:tab w:val="clear" w:pos="4320"/>
        <w:tab w:val="clear" w:pos="8640"/>
      </w:tabs>
      <w:jc w:val="center"/>
      <w:rPr>
        <w:sz w:val="22"/>
        <w:szCs w:val="22"/>
      </w:rPr>
    </w:pPr>
    <w:r>
      <w:rPr>
        <w:sz w:val="22"/>
        <w:szCs w:val="22"/>
      </w:rPr>
      <w:pict w14:anchorId="64F3CB6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B9" w:rsidRDefault="00664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7451EA"/>
    <w:multiLevelType w:val="hybridMultilevel"/>
    <w:tmpl w:val="7FFEA4BA"/>
    <w:lvl w:ilvl="0" w:tplc="A67A29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DD13AF"/>
    <w:multiLevelType w:val="hybridMultilevel"/>
    <w:tmpl w:val="9A94893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3773B95"/>
    <w:multiLevelType w:val="hybridMultilevel"/>
    <w:tmpl w:val="427289DC"/>
    <w:lvl w:ilvl="0" w:tplc="5C9C395E">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2"/>
  </w:num>
  <w:num w:numId="5">
    <w:abstractNumId w:val="49"/>
  </w:num>
  <w:num w:numId="6">
    <w:abstractNumId w:val="29"/>
  </w:num>
  <w:num w:numId="7">
    <w:abstractNumId w:val="6"/>
  </w:num>
  <w:num w:numId="8">
    <w:abstractNumId w:val="18"/>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3"/>
  </w:num>
  <w:num w:numId="53">
    <w:abstractNumId w:val="52"/>
  </w:num>
  <w:num w:numId="54">
    <w:abstractNumId w:val="47"/>
  </w:num>
  <w:num w:numId="55">
    <w:abstractNumId w:val="45"/>
  </w:num>
  <w:num w:numId="56">
    <w:abstractNumId w:val="28"/>
  </w:num>
  <w:num w:numId="57">
    <w:abstractNumId w:val="26"/>
  </w:num>
  <w:num w:numId="58">
    <w:abstractNumId w:val="38"/>
  </w:num>
  <w:num w:numId="59">
    <w:abstractNumId w:val="5"/>
  </w:num>
  <w:num w:numId="60">
    <w:abstractNumId w:val="12"/>
  </w:num>
  <w:num w:numId="61">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560"/>
    <w:rsid w:val="00004D72"/>
    <w:rsid w:val="00006E1F"/>
    <w:rsid w:val="000070D7"/>
    <w:rsid w:val="0001788C"/>
    <w:rsid w:val="00022675"/>
    <w:rsid w:val="000269A1"/>
    <w:rsid w:val="000310EE"/>
    <w:rsid w:val="00032919"/>
    <w:rsid w:val="000334D1"/>
    <w:rsid w:val="000337EF"/>
    <w:rsid w:val="00040C3A"/>
    <w:rsid w:val="000419AD"/>
    <w:rsid w:val="000433C9"/>
    <w:rsid w:val="00071174"/>
    <w:rsid w:val="000716C5"/>
    <w:rsid w:val="00075E23"/>
    <w:rsid w:val="0009344A"/>
    <w:rsid w:val="000A392E"/>
    <w:rsid w:val="000A575F"/>
    <w:rsid w:val="000D05CB"/>
    <w:rsid w:val="000D10DB"/>
    <w:rsid w:val="000D7C59"/>
    <w:rsid w:val="000E5EB5"/>
    <w:rsid w:val="000F35ED"/>
    <w:rsid w:val="00107131"/>
    <w:rsid w:val="0010736F"/>
    <w:rsid w:val="00113F73"/>
    <w:rsid w:val="00121CC2"/>
    <w:rsid w:val="00131425"/>
    <w:rsid w:val="00133EE5"/>
    <w:rsid w:val="0015474D"/>
    <w:rsid w:val="00167A34"/>
    <w:rsid w:val="001908ED"/>
    <w:rsid w:val="001A520D"/>
    <w:rsid w:val="001A7870"/>
    <w:rsid w:val="001B3A00"/>
    <w:rsid w:val="001C1B41"/>
    <w:rsid w:val="001D3329"/>
    <w:rsid w:val="001D65EF"/>
    <w:rsid w:val="001E49E7"/>
    <w:rsid w:val="001F7201"/>
    <w:rsid w:val="00203101"/>
    <w:rsid w:val="00213C7B"/>
    <w:rsid w:val="00223A29"/>
    <w:rsid w:val="002250A3"/>
    <w:rsid w:val="00235217"/>
    <w:rsid w:val="00244466"/>
    <w:rsid w:val="00246D1F"/>
    <w:rsid w:val="00247403"/>
    <w:rsid w:val="00247542"/>
    <w:rsid w:val="002508C8"/>
    <w:rsid w:val="00266B61"/>
    <w:rsid w:val="0026712A"/>
    <w:rsid w:val="002704DB"/>
    <w:rsid w:val="002743F4"/>
    <w:rsid w:val="00296261"/>
    <w:rsid w:val="002A0AAE"/>
    <w:rsid w:val="002A5820"/>
    <w:rsid w:val="002C6FDC"/>
    <w:rsid w:val="002D2B26"/>
    <w:rsid w:val="002D7EA2"/>
    <w:rsid w:val="002E187C"/>
    <w:rsid w:val="002E6F08"/>
    <w:rsid w:val="00302733"/>
    <w:rsid w:val="00305835"/>
    <w:rsid w:val="00306F33"/>
    <w:rsid w:val="003129EE"/>
    <w:rsid w:val="00314078"/>
    <w:rsid w:val="0031535D"/>
    <w:rsid w:val="003239B8"/>
    <w:rsid w:val="0033169F"/>
    <w:rsid w:val="00344977"/>
    <w:rsid w:val="00346068"/>
    <w:rsid w:val="00346C95"/>
    <w:rsid w:val="00356185"/>
    <w:rsid w:val="00360380"/>
    <w:rsid w:val="0037519E"/>
    <w:rsid w:val="00386CF0"/>
    <w:rsid w:val="003A5ED5"/>
    <w:rsid w:val="003B70FB"/>
    <w:rsid w:val="003C2B2D"/>
    <w:rsid w:val="003C676B"/>
    <w:rsid w:val="003D3BC2"/>
    <w:rsid w:val="003E41A0"/>
    <w:rsid w:val="003E6CA1"/>
    <w:rsid w:val="003F2310"/>
    <w:rsid w:val="003F5154"/>
    <w:rsid w:val="00405F9C"/>
    <w:rsid w:val="004065A8"/>
    <w:rsid w:val="004165C2"/>
    <w:rsid w:val="0042477E"/>
    <w:rsid w:val="0043160C"/>
    <w:rsid w:val="00433742"/>
    <w:rsid w:val="00441ECB"/>
    <w:rsid w:val="00445193"/>
    <w:rsid w:val="004470AC"/>
    <w:rsid w:val="004533FA"/>
    <w:rsid w:val="00462C1B"/>
    <w:rsid w:val="00467B7E"/>
    <w:rsid w:val="00473BB4"/>
    <w:rsid w:val="00477592"/>
    <w:rsid w:val="00486F1C"/>
    <w:rsid w:val="0049419D"/>
    <w:rsid w:val="004A4C9E"/>
    <w:rsid w:val="004A6A54"/>
    <w:rsid w:val="004B421C"/>
    <w:rsid w:val="004C20D2"/>
    <w:rsid w:val="004C2312"/>
    <w:rsid w:val="004C3D98"/>
    <w:rsid w:val="004C4B62"/>
    <w:rsid w:val="004C54C9"/>
    <w:rsid w:val="004C7440"/>
    <w:rsid w:val="004D4ABA"/>
    <w:rsid w:val="004D6025"/>
    <w:rsid w:val="004E2649"/>
    <w:rsid w:val="004F626F"/>
    <w:rsid w:val="004F74DC"/>
    <w:rsid w:val="00501399"/>
    <w:rsid w:val="005028B9"/>
    <w:rsid w:val="005047ED"/>
    <w:rsid w:val="0050633D"/>
    <w:rsid w:val="00507BC4"/>
    <w:rsid w:val="005128E4"/>
    <w:rsid w:val="005133DB"/>
    <w:rsid w:val="00514504"/>
    <w:rsid w:val="00521E1F"/>
    <w:rsid w:val="00525560"/>
    <w:rsid w:val="00544C49"/>
    <w:rsid w:val="005516A1"/>
    <w:rsid w:val="005559EF"/>
    <w:rsid w:val="00563557"/>
    <w:rsid w:val="005672C6"/>
    <w:rsid w:val="0057402A"/>
    <w:rsid w:val="005771D0"/>
    <w:rsid w:val="0059191A"/>
    <w:rsid w:val="005921FF"/>
    <w:rsid w:val="00596CF9"/>
    <w:rsid w:val="005A24ED"/>
    <w:rsid w:val="005A6D0E"/>
    <w:rsid w:val="005B52B0"/>
    <w:rsid w:val="005B6806"/>
    <w:rsid w:val="005C4225"/>
    <w:rsid w:val="005D355A"/>
    <w:rsid w:val="005F0DAD"/>
    <w:rsid w:val="005F0F33"/>
    <w:rsid w:val="005F4DE2"/>
    <w:rsid w:val="005F6374"/>
    <w:rsid w:val="00600DEB"/>
    <w:rsid w:val="00627C9F"/>
    <w:rsid w:val="006311E9"/>
    <w:rsid w:val="00632354"/>
    <w:rsid w:val="00635421"/>
    <w:rsid w:val="00642810"/>
    <w:rsid w:val="00650C7F"/>
    <w:rsid w:val="00652333"/>
    <w:rsid w:val="006631A6"/>
    <w:rsid w:val="006641B9"/>
    <w:rsid w:val="0068009E"/>
    <w:rsid w:val="00692219"/>
    <w:rsid w:val="0069415C"/>
    <w:rsid w:val="006A17D2"/>
    <w:rsid w:val="006A73E6"/>
    <w:rsid w:val="006B2D5C"/>
    <w:rsid w:val="006C0ECF"/>
    <w:rsid w:val="006C3E60"/>
    <w:rsid w:val="006C4EB1"/>
    <w:rsid w:val="006D630D"/>
    <w:rsid w:val="006E0166"/>
    <w:rsid w:val="006E2FFB"/>
    <w:rsid w:val="006E4D9A"/>
    <w:rsid w:val="006E7B34"/>
    <w:rsid w:val="006F298F"/>
    <w:rsid w:val="00701B34"/>
    <w:rsid w:val="0070697F"/>
    <w:rsid w:val="007103C4"/>
    <w:rsid w:val="0071310F"/>
    <w:rsid w:val="007174A2"/>
    <w:rsid w:val="0072199C"/>
    <w:rsid w:val="00722C9F"/>
    <w:rsid w:val="007253B8"/>
    <w:rsid w:val="0073741F"/>
    <w:rsid w:val="00737E73"/>
    <w:rsid w:val="0076643F"/>
    <w:rsid w:val="00777F63"/>
    <w:rsid w:val="007A5817"/>
    <w:rsid w:val="007B05C4"/>
    <w:rsid w:val="007B51A4"/>
    <w:rsid w:val="007B60E9"/>
    <w:rsid w:val="007B6CC3"/>
    <w:rsid w:val="007B76D3"/>
    <w:rsid w:val="007C3334"/>
    <w:rsid w:val="007D0DD5"/>
    <w:rsid w:val="007D2B98"/>
    <w:rsid w:val="007E21BC"/>
    <w:rsid w:val="007E7C82"/>
    <w:rsid w:val="007F2AA1"/>
    <w:rsid w:val="007F588D"/>
    <w:rsid w:val="00803F1C"/>
    <w:rsid w:val="0080600E"/>
    <w:rsid w:val="00806446"/>
    <w:rsid w:val="00814688"/>
    <w:rsid w:val="00817612"/>
    <w:rsid w:val="008338A4"/>
    <w:rsid w:val="00834D49"/>
    <w:rsid w:val="00837C45"/>
    <w:rsid w:val="00844730"/>
    <w:rsid w:val="00845769"/>
    <w:rsid w:val="008457C2"/>
    <w:rsid w:val="00857A82"/>
    <w:rsid w:val="0086500A"/>
    <w:rsid w:val="00873836"/>
    <w:rsid w:val="00882B91"/>
    <w:rsid w:val="00885737"/>
    <w:rsid w:val="00890650"/>
    <w:rsid w:val="00894187"/>
    <w:rsid w:val="008944DC"/>
    <w:rsid w:val="00897E12"/>
    <w:rsid w:val="008A7E0F"/>
    <w:rsid w:val="008B12F5"/>
    <w:rsid w:val="008C5E2D"/>
    <w:rsid w:val="008C781E"/>
    <w:rsid w:val="008D768D"/>
    <w:rsid w:val="008E3759"/>
    <w:rsid w:val="008E3BFE"/>
    <w:rsid w:val="008F0C0A"/>
    <w:rsid w:val="008F1912"/>
    <w:rsid w:val="0090270B"/>
    <w:rsid w:val="009041DC"/>
    <w:rsid w:val="00917B5A"/>
    <w:rsid w:val="00920A58"/>
    <w:rsid w:val="00920A8C"/>
    <w:rsid w:val="009223FF"/>
    <w:rsid w:val="00934A2C"/>
    <w:rsid w:val="00941BBF"/>
    <w:rsid w:val="0096706E"/>
    <w:rsid w:val="00972836"/>
    <w:rsid w:val="00974491"/>
    <w:rsid w:val="00975C4E"/>
    <w:rsid w:val="00977F73"/>
    <w:rsid w:val="00981FBA"/>
    <w:rsid w:val="00997BC5"/>
    <w:rsid w:val="009A144F"/>
    <w:rsid w:val="009A4F41"/>
    <w:rsid w:val="009B381B"/>
    <w:rsid w:val="009D1753"/>
    <w:rsid w:val="009D7611"/>
    <w:rsid w:val="009E0B61"/>
    <w:rsid w:val="009E53DE"/>
    <w:rsid w:val="00A036EC"/>
    <w:rsid w:val="00A0373A"/>
    <w:rsid w:val="00A11212"/>
    <w:rsid w:val="00A11E44"/>
    <w:rsid w:val="00A16686"/>
    <w:rsid w:val="00A30100"/>
    <w:rsid w:val="00A30A4F"/>
    <w:rsid w:val="00A328B3"/>
    <w:rsid w:val="00A50FCF"/>
    <w:rsid w:val="00A528D1"/>
    <w:rsid w:val="00A610CD"/>
    <w:rsid w:val="00A758AA"/>
    <w:rsid w:val="00AA09A2"/>
    <w:rsid w:val="00AA7996"/>
    <w:rsid w:val="00AB750B"/>
    <w:rsid w:val="00AC19CB"/>
    <w:rsid w:val="00AE1816"/>
    <w:rsid w:val="00AE5488"/>
    <w:rsid w:val="00AE6F91"/>
    <w:rsid w:val="00AE7090"/>
    <w:rsid w:val="00AF5571"/>
    <w:rsid w:val="00B04AFA"/>
    <w:rsid w:val="00B07341"/>
    <w:rsid w:val="00B30539"/>
    <w:rsid w:val="00B314DB"/>
    <w:rsid w:val="00B361F2"/>
    <w:rsid w:val="00B3718B"/>
    <w:rsid w:val="00B3745F"/>
    <w:rsid w:val="00B4632A"/>
    <w:rsid w:val="00B530F1"/>
    <w:rsid w:val="00B65D6A"/>
    <w:rsid w:val="00B93D7F"/>
    <w:rsid w:val="00BA276C"/>
    <w:rsid w:val="00BA5472"/>
    <w:rsid w:val="00BB019D"/>
    <w:rsid w:val="00BB306F"/>
    <w:rsid w:val="00BB5985"/>
    <w:rsid w:val="00BD0FF5"/>
    <w:rsid w:val="00BD4B89"/>
    <w:rsid w:val="00BD5922"/>
    <w:rsid w:val="00BF02CB"/>
    <w:rsid w:val="00BF3235"/>
    <w:rsid w:val="00BF6FD8"/>
    <w:rsid w:val="00C010D0"/>
    <w:rsid w:val="00C03680"/>
    <w:rsid w:val="00C054DF"/>
    <w:rsid w:val="00C21762"/>
    <w:rsid w:val="00C21FEF"/>
    <w:rsid w:val="00C23BA4"/>
    <w:rsid w:val="00C24543"/>
    <w:rsid w:val="00C256A2"/>
    <w:rsid w:val="00C25ADB"/>
    <w:rsid w:val="00C3617C"/>
    <w:rsid w:val="00C46ABA"/>
    <w:rsid w:val="00C51515"/>
    <w:rsid w:val="00C554FE"/>
    <w:rsid w:val="00C5660B"/>
    <w:rsid w:val="00C66B72"/>
    <w:rsid w:val="00C70B6E"/>
    <w:rsid w:val="00C87AC4"/>
    <w:rsid w:val="00C9567A"/>
    <w:rsid w:val="00C97EE1"/>
    <w:rsid w:val="00CA3197"/>
    <w:rsid w:val="00CB212D"/>
    <w:rsid w:val="00CB2660"/>
    <w:rsid w:val="00CC0A1A"/>
    <w:rsid w:val="00CC5E90"/>
    <w:rsid w:val="00CD046C"/>
    <w:rsid w:val="00CE076C"/>
    <w:rsid w:val="00CE336C"/>
    <w:rsid w:val="00CE5199"/>
    <w:rsid w:val="00CE66D5"/>
    <w:rsid w:val="00CF637A"/>
    <w:rsid w:val="00D00B99"/>
    <w:rsid w:val="00D0321E"/>
    <w:rsid w:val="00D059DE"/>
    <w:rsid w:val="00D05ABD"/>
    <w:rsid w:val="00D13FCE"/>
    <w:rsid w:val="00D306D1"/>
    <w:rsid w:val="00D30800"/>
    <w:rsid w:val="00D315AB"/>
    <w:rsid w:val="00D321CC"/>
    <w:rsid w:val="00D34786"/>
    <w:rsid w:val="00D37BFC"/>
    <w:rsid w:val="00D47A8E"/>
    <w:rsid w:val="00D52D14"/>
    <w:rsid w:val="00D67F92"/>
    <w:rsid w:val="00D712D3"/>
    <w:rsid w:val="00D71422"/>
    <w:rsid w:val="00D71AC1"/>
    <w:rsid w:val="00D72DC6"/>
    <w:rsid w:val="00D7558D"/>
    <w:rsid w:val="00D81D92"/>
    <w:rsid w:val="00D82399"/>
    <w:rsid w:val="00D864A3"/>
    <w:rsid w:val="00D876F9"/>
    <w:rsid w:val="00DA7B5F"/>
    <w:rsid w:val="00DC01AA"/>
    <w:rsid w:val="00DC11E7"/>
    <w:rsid w:val="00DC1489"/>
    <w:rsid w:val="00DC24E3"/>
    <w:rsid w:val="00DC7023"/>
    <w:rsid w:val="00DC769A"/>
    <w:rsid w:val="00DD3D86"/>
    <w:rsid w:val="00DD4AD2"/>
    <w:rsid w:val="00DE2862"/>
    <w:rsid w:val="00DF1EC4"/>
    <w:rsid w:val="00DF32C1"/>
    <w:rsid w:val="00DF3386"/>
    <w:rsid w:val="00E0340B"/>
    <w:rsid w:val="00E04A90"/>
    <w:rsid w:val="00E0551F"/>
    <w:rsid w:val="00E219C7"/>
    <w:rsid w:val="00E40189"/>
    <w:rsid w:val="00E4118C"/>
    <w:rsid w:val="00E43157"/>
    <w:rsid w:val="00E461CE"/>
    <w:rsid w:val="00E573E4"/>
    <w:rsid w:val="00E62595"/>
    <w:rsid w:val="00E64C3D"/>
    <w:rsid w:val="00E720CA"/>
    <w:rsid w:val="00E76180"/>
    <w:rsid w:val="00E84EB5"/>
    <w:rsid w:val="00E85662"/>
    <w:rsid w:val="00E8789F"/>
    <w:rsid w:val="00E97B71"/>
    <w:rsid w:val="00EA3D34"/>
    <w:rsid w:val="00EB05B8"/>
    <w:rsid w:val="00EB454D"/>
    <w:rsid w:val="00ED549D"/>
    <w:rsid w:val="00ED5E10"/>
    <w:rsid w:val="00ED76BE"/>
    <w:rsid w:val="00ED7883"/>
    <w:rsid w:val="00EE00E9"/>
    <w:rsid w:val="00EF1AAA"/>
    <w:rsid w:val="00EF619B"/>
    <w:rsid w:val="00F00B55"/>
    <w:rsid w:val="00F02AD1"/>
    <w:rsid w:val="00F06592"/>
    <w:rsid w:val="00F253CC"/>
    <w:rsid w:val="00F32306"/>
    <w:rsid w:val="00F37106"/>
    <w:rsid w:val="00F44E25"/>
    <w:rsid w:val="00F519CF"/>
    <w:rsid w:val="00F56BA5"/>
    <w:rsid w:val="00F60E22"/>
    <w:rsid w:val="00F71E6B"/>
    <w:rsid w:val="00F81395"/>
    <w:rsid w:val="00F81BB8"/>
    <w:rsid w:val="00F86493"/>
    <w:rsid w:val="00F90C64"/>
    <w:rsid w:val="00F917D1"/>
    <w:rsid w:val="00F9653B"/>
    <w:rsid w:val="00FB62CF"/>
    <w:rsid w:val="00FD3C3B"/>
    <w:rsid w:val="00FD7AAC"/>
    <w:rsid w:val="00FE07DD"/>
    <w:rsid w:val="00FE6B45"/>
    <w:rsid w:val="00FE6E3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A144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2508C8"/>
    <w:rPr>
      <w:sz w:val="16"/>
      <w:szCs w:val="16"/>
    </w:rPr>
  </w:style>
  <w:style w:type="paragraph" w:styleId="CommentText">
    <w:name w:val="annotation text"/>
    <w:basedOn w:val="Normal"/>
    <w:link w:val="CommentTextChar"/>
    <w:uiPriority w:val="99"/>
    <w:semiHidden/>
    <w:unhideWhenUsed/>
    <w:rsid w:val="002508C8"/>
    <w:rPr>
      <w:sz w:val="20"/>
      <w:szCs w:val="20"/>
    </w:rPr>
  </w:style>
  <w:style w:type="character" w:customStyle="1" w:styleId="CommentTextChar">
    <w:name w:val="Comment Text Char"/>
    <w:basedOn w:val="DefaultParagraphFont"/>
    <w:link w:val="CommentText"/>
    <w:uiPriority w:val="99"/>
    <w:semiHidden/>
    <w:rsid w:val="002508C8"/>
    <w:rPr>
      <w:lang w:val="en-US" w:eastAsia="en-US"/>
    </w:rPr>
  </w:style>
  <w:style w:type="paragraph" w:styleId="CommentSubject">
    <w:name w:val="annotation subject"/>
    <w:basedOn w:val="CommentText"/>
    <w:next w:val="CommentText"/>
    <w:link w:val="CommentSubjectChar"/>
    <w:uiPriority w:val="99"/>
    <w:semiHidden/>
    <w:unhideWhenUsed/>
    <w:rsid w:val="002508C8"/>
    <w:rPr>
      <w:b/>
      <w:bCs/>
    </w:rPr>
  </w:style>
  <w:style w:type="character" w:customStyle="1" w:styleId="CommentSubjectChar">
    <w:name w:val="Comment Subject Char"/>
    <w:basedOn w:val="CommentTextChar"/>
    <w:link w:val="CommentSubject"/>
    <w:uiPriority w:val="99"/>
    <w:semiHidden/>
    <w:rsid w:val="002508C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5363CAEBF38D4DA8B57100EFE02230"/>
        <w:category>
          <w:name w:val="General"/>
          <w:gallery w:val="placeholder"/>
        </w:category>
        <w:types>
          <w:type w:val="bbPlcHdr"/>
        </w:types>
        <w:behaviors>
          <w:behavior w:val="content"/>
        </w:behaviors>
        <w:guid w:val="{DA803F4D-2E70-E34F-A4D9-A1795F6DF463}"/>
      </w:docPartPr>
      <w:docPartBody>
        <w:p w:rsidR="007063B9" w:rsidRDefault="0038500E" w:rsidP="0038500E">
          <w:pPr>
            <w:pStyle w:val="4B5363CAEBF38D4DA8B57100EFE02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31733"/>
    <w:rsid w:val="0038500E"/>
    <w:rsid w:val="00394049"/>
    <w:rsid w:val="003A3FFC"/>
    <w:rsid w:val="003B0C71"/>
    <w:rsid w:val="004B5BBB"/>
    <w:rsid w:val="004F2DF8"/>
    <w:rsid w:val="00517E2A"/>
    <w:rsid w:val="00563656"/>
    <w:rsid w:val="006E0785"/>
    <w:rsid w:val="006F24A1"/>
    <w:rsid w:val="00700663"/>
    <w:rsid w:val="007063B9"/>
    <w:rsid w:val="00913455"/>
    <w:rsid w:val="009A261B"/>
    <w:rsid w:val="00A36389"/>
    <w:rsid w:val="00AA2E17"/>
    <w:rsid w:val="00AC15A4"/>
    <w:rsid w:val="00B0336C"/>
    <w:rsid w:val="00B057FF"/>
    <w:rsid w:val="00D241E9"/>
    <w:rsid w:val="00D6172B"/>
    <w:rsid w:val="00D7750D"/>
    <w:rsid w:val="00E91E71"/>
    <w:rsid w:val="00ED596F"/>
    <w:rsid w:val="00F00D2F"/>
    <w:rsid w:val="00F128DF"/>
    <w:rsid w:val="00F4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00E"/>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0406E6455E529B47824004498651B0DC">
    <w:name w:val="0406E6455E529B47824004498651B0DC"/>
    <w:rsid w:val="0038500E"/>
    <w:pPr>
      <w:spacing w:after="0" w:line="240" w:lineRule="auto"/>
    </w:pPr>
    <w:rPr>
      <w:sz w:val="24"/>
      <w:szCs w:val="24"/>
      <w:lang w:eastAsia="ja-JP"/>
    </w:rPr>
  </w:style>
  <w:style w:type="paragraph" w:customStyle="1" w:styleId="4B5363CAEBF38D4DA8B57100EFE02230">
    <w:name w:val="4B5363CAEBF38D4DA8B57100EFE02230"/>
    <w:rsid w:val="0038500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C3A9-843F-4E7B-8730-CC6360AF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14590</Characters>
  <Application>Microsoft Office Word</Application>
  <DocSecurity>0</DocSecurity>
  <Lines>202</Lines>
  <Paragraphs>31</Paragraphs>
  <ScaleCrop>false</ScaleCrop>
  <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359/20</dc:title>
  <dc:creator/>
  <cp:lastModifiedBy/>
  <cp:revision>1</cp:revision>
  <dcterms:created xsi:type="dcterms:W3CDTF">2021-01-12T20:33:00Z</dcterms:created>
  <dcterms:modified xsi:type="dcterms:W3CDTF">2021-01-12T20:34:00Z</dcterms:modified>
</cp:coreProperties>
</file>