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937B52B" w14:textId="2B145433" w:rsidR="00816ADF" w:rsidRPr="0090270B" w:rsidRDefault="00D46291" w:rsidP="00627C9F">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lang w:val="es-ES_tradnl"/>
        </w:rPr>
      </w:pPr>
      <w:r>
        <w:rPr>
          <w:noProof/>
        </w:rPr>
        <mc:AlternateContent>
          <mc:Choice Requires="wps">
            <w:drawing>
              <wp:anchor distT="0" distB="0" distL="114300" distR="114300" simplePos="0" relativeHeight="251654144" behindDoc="0" locked="0" layoutInCell="1" allowOverlap="1" wp14:anchorId="21EC4602" wp14:editId="5991025B">
                <wp:simplePos x="0" y="0"/>
                <wp:positionH relativeFrom="column">
                  <wp:posOffset>-415925</wp:posOffset>
                </wp:positionH>
                <wp:positionV relativeFrom="paragraph">
                  <wp:posOffset>-439420</wp:posOffset>
                </wp:positionV>
                <wp:extent cx="1543050" cy="9096375"/>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2259877"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er7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A98er7ogIAAJ8FAAAOAAAAAAAAAAAAAAAA&#10;AC4CAABkcnMvZTJvRG9jLnhtbFBLAQItABQABgAIAAAAIQDzmg9R4gAAAAwBAAAPAAAAAAAAAAAA&#10;AAAAAPwEAABkcnMvZG93bnJldi54bWxQSwUGAAAAAAQABADzAAAACwYAAAAA&#10;" fillcolor="#4a7194" stroked="f" strokeweight="2pt">
                <v:path arrowok="t"/>
              </v:rect>
            </w:pict>
          </mc:Fallback>
        </mc:AlternateContent>
      </w:r>
      <w:r>
        <w:rPr>
          <w:noProof/>
        </w:rPr>
        <mc:AlternateContent>
          <mc:Choice Requires="wps">
            <w:drawing>
              <wp:anchor distT="0" distB="0" distL="114300" distR="114300" simplePos="0" relativeHeight="251658240" behindDoc="0" locked="0" layoutInCell="1" allowOverlap="1" wp14:anchorId="0046703B" wp14:editId="1E21BED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F81EF5" w14:textId="19AAD855" w:rsidR="009B64C3" w:rsidRDefault="009B64C3"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2B741A9C" wp14:editId="2C5A2785">
                                  <wp:extent cx="2628900" cy="50482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50482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046703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14:paraId="19F81EF5" w14:textId="19AAD855" w:rsidR="009B64C3" w:rsidRDefault="009B64C3"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2B741A9C" wp14:editId="2C5A2785">
                            <wp:extent cx="2628900" cy="50482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504825"/>
                                    </a:xfrm>
                                    <a:prstGeom prst="rect">
                                      <a:avLst/>
                                    </a:prstGeom>
                                    <a:noFill/>
                                    <a:ln>
                                      <a:noFill/>
                                    </a:ln>
                                  </pic:spPr>
                                </pic:pic>
                              </a:graphicData>
                            </a:graphic>
                          </wp:inline>
                        </w:drawing>
                      </w:r>
                      <w:r>
                        <w:tab/>
                        <w:t xml:space="preserve">                              </w:t>
                      </w:r>
                    </w:p>
                  </w:txbxContent>
                </v:textbox>
              </v:shape>
            </w:pict>
          </mc:Fallback>
        </mc:AlternateContent>
      </w:r>
    </w:p>
    <w:p w14:paraId="492E0AA9" w14:textId="77777777" w:rsidR="00816ADF" w:rsidRPr="0090270B" w:rsidRDefault="00816AD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14:paraId="065BDFA6" w14:textId="77777777" w:rsidR="00816ADF" w:rsidRPr="0090270B" w:rsidRDefault="00816AD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14:paraId="0D9F8626" w14:textId="77777777" w:rsidR="00816ADF" w:rsidRPr="0090270B" w:rsidRDefault="00816AD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14:paraId="3BEA250A" w14:textId="77777777" w:rsidR="00816ADF" w:rsidRPr="0090270B" w:rsidRDefault="00816AD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14:paraId="209BC42E" w14:textId="77777777" w:rsidR="00816ADF" w:rsidRPr="0090270B" w:rsidRDefault="00816AD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14:paraId="12C1E07F" w14:textId="77777777" w:rsidR="00816ADF" w:rsidRPr="0090270B" w:rsidRDefault="00816ADF"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32CE1C10" w14:textId="77777777" w:rsidR="00816ADF" w:rsidRPr="0090270B" w:rsidRDefault="00816ADF"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281766EF" w14:textId="77777777" w:rsidR="00816ADF" w:rsidRPr="0090270B" w:rsidRDefault="00816ADF"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24D49F7D" w14:textId="77777777" w:rsidR="00816ADF" w:rsidRPr="0090270B" w:rsidRDefault="00816ADF"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0BF74EE3" w14:textId="77777777" w:rsidR="00816ADF" w:rsidRPr="0090270B" w:rsidRDefault="00816ADF"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299A1117" w14:textId="77777777" w:rsidR="00816ADF" w:rsidRPr="0090270B" w:rsidRDefault="00816AD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168E62CB" w14:textId="77777777" w:rsidR="00816ADF" w:rsidRPr="0090270B" w:rsidRDefault="00816AD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6F70CB80" w14:textId="56C83E0F" w:rsidR="00816ADF" w:rsidRPr="0090270B" w:rsidRDefault="00D46291"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r>
        <w:rPr>
          <w:noProof/>
        </w:rPr>
        <mc:AlternateContent>
          <mc:Choice Requires="wps">
            <w:drawing>
              <wp:anchor distT="0" distB="0" distL="114300" distR="114300" simplePos="0" relativeHeight="251655168" behindDoc="0" locked="0" layoutInCell="1" allowOverlap="1" wp14:anchorId="294C2F13" wp14:editId="3C2AF365">
                <wp:simplePos x="0" y="0"/>
                <wp:positionH relativeFrom="column">
                  <wp:posOffset>1352550</wp:posOffset>
                </wp:positionH>
                <wp:positionV relativeFrom="paragraph">
                  <wp:posOffset>107315</wp:posOffset>
                </wp:positionV>
                <wp:extent cx="4441190" cy="2181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5C7DFE" w14:textId="5E821CFF" w:rsidR="009B64C3" w:rsidRPr="003F6C6C" w:rsidRDefault="009B64C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3F6C6C">
                              <w:rPr>
                                <w:rFonts w:ascii="Cambria" w:hAnsi="Cambria" w:cs="Arial"/>
                                <w:b/>
                                <w:bCs/>
                                <w:color w:val="0D0D0D"/>
                                <w:sz w:val="36"/>
                                <w:szCs w:val="22"/>
                                <w:lang w:val="es-ES_tradnl"/>
                              </w:rPr>
                              <w:t xml:space="preserve">INFORME </w:t>
                            </w:r>
                            <w:r w:rsidRPr="003F6C6C">
                              <w:rPr>
                                <w:rFonts w:ascii="Cambria" w:hAnsi="Cambria" w:cs="Arial"/>
                                <w:b/>
                                <w:bCs/>
                                <w:color w:val="0D0D0D"/>
                                <w:sz w:val="36"/>
                                <w:szCs w:val="40"/>
                                <w:lang w:val="es-ES_tradnl"/>
                              </w:rPr>
                              <w:t>No.</w:t>
                            </w:r>
                            <w:r w:rsidR="008F36A3">
                              <w:rPr>
                                <w:rFonts w:ascii="Cambria" w:hAnsi="Cambria" w:cs="Arial"/>
                                <w:b/>
                                <w:bCs/>
                                <w:color w:val="0D0D0D"/>
                                <w:sz w:val="36"/>
                                <w:szCs w:val="22"/>
                                <w:lang w:val="es-ES_tradnl"/>
                              </w:rPr>
                              <w:t xml:space="preserve"> 272</w:t>
                            </w:r>
                            <w:r w:rsidRPr="003F6C6C">
                              <w:rPr>
                                <w:rFonts w:ascii="Cambria" w:hAnsi="Cambria" w:cs="Arial"/>
                                <w:b/>
                                <w:bCs/>
                                <w:color w:val="0D0D0D"/>
                                <w:sz w:val="36"/>
                                <w:szCs w:val="22"/>
                                <w:lang w:val="es-ES_tradnl"/>
                              </w:rPr>
                              <w:t>/20</w:t>
                            </w:r>
                          </w:p>
                          <w:p w14:paraId="425A48EC" w14:textId="3A4D008A" w:rsidR="009B64C3" w:rsidRPr="003F6C6C" w:rsidRDefault="009B64C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3F6C6C">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381-07</w:t>
                            </w:r>
                            <w:r w:rsidRPr="003F6C6C">
                              <w:rPr>
                                <w:rFonts w:ascii="Cambria" w:hAnsi="Cambria" w:cs="Arial"/>
                                <w:b/>
                                <w:color w:val="0D0D0D"/>
                                <w:sz w:val="36"/>
                                <w:szCs w:val="22"/>
                                <w:lang w:val="es-ES_tradnl"/>
                              </w:rPr>
                              <w:t xml:space="preserve"> </w:t>
                            </w:r>
                          </w:p>
                          <w:p w14:paraId="1CAC62CC" w14:textId="77777777" w:rsidR="009B64C3" w:rsidRPr="003F6C6C" w:rsidRDefault="009B64C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3F6C6C">
                              <w:rPr>
                                <w:rFonts w:ascii="Cambria" w:hAnsi="Cambria" w:cs="Arial"/>
                                <w:color w:val="0D0D0D"/>
                                <w:szCs w:val="22"/>
                                <w:lang w:val="es-ES_tradnl"/>
                              </w:rPr>
                              <w:t xml:space="preserve">INFORME DE ADMISIBILIDAD </w:t>
                            </w:r>
                          </w:p>
                          <w:p w14:paraId="1C56F684" w14:textId="77777777" w:rsidR="009B64C3" w:rsidRPr="003F6C6C" w:rsidRDefault="009B64C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4F3BE797" w14:textId="020E04B1" w:rsidR="009B64C3" w:rsidRPr="003F6C6C" w:rsidRDefault="009B64C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Cambria" w:hAnsi="Cambria" w:cs="Arial"/>
                                <w:color w:val="0D0D0D"/>
                                <w:szCs w:val="22"/>
                                <w:lang w:val="es-ES_tradnl"/>
                              </w:rPr>
                              <w:t>LIDIA FANNY REYES Y OTRAS PERSONAS</w:t>
                            </w:r>
                          </w:p>
                          <w:bookmarkEnd w:id="1"/>
                          <w:p w14:paraId="48306A31" w14:textId="77777777" w:rsidR="009B64C3" w:rsidRPr="003F6C6C" w:rsidRDefault="009B64C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3F6C6C">
                              <w:rPr>
                                <w:rFonts w:ascii="Cambria" w:hAnsi="Cambria" w:cs="Arial"/>
                                <w:color w:val="0D0D0D"/>
                                <w:szCs w:val="22"/>
                                <w:lang w:val="es-ES_tradnl"/>
                              </w:rPr>
                              <w:t>ARGENTINA</w:t>
                            </w:r>
                          </w:p>
                          <w:p w14:paraId="0466A795" w14:textId="77777777" w:rsidR="009B64C3" w:rsidRPr="003F6C6C" w:rsidRDefault="009B64C3"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94C2F13"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Si4FyI0CAACDBQAADgAAAAAAAAAAAAAAAAAuAgAAZHJzL2Uyb0RvYy54bWxQSwEC&#10;LQAUAAYACAAAACEA9UR3F+AAAAAKAQAADwAAAAAAAAAAAAAAAADnBAAAZHJzL2Rvd25yZXYueG1s&#10;UEsFBgAAAAAEAAQA8wAAAPQFAAAAAA==&#10;" filled="f" stroked="f" strokeweight=".5pt">
                <v:path arrowok="t"/>
                <v:textbox>
                  <w:txbxContent>
                    <w:p w14:paraId="475C7DFE" w14:textId="5E821CFF" w:rsidR="009B64C3" w:rsidRPr="003F6C6C" w:rsidRDefault="009B64C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3F6C6C">
                        <w:rPr>
                          <w:rFonts w:ascii="Cambria" w:hAnsi="Cambria" w:cs="Arial"/>
                          <w:b/>
                          <w:bCs/>
                          <w:color w:val="0D0D0D"/>
                          <w:sz w:val="36"/>
                          <w:szCs w:val="22"/>
                          <w:lang w:val="es-ES_tradnl"/>
                        </w:rPr>
                        <w:t xml:space="preserve">INFORME </w:t>
                      </w:r>
                      <w:r w:rsidRPr="003F6C6C">
                        <w:rPr>
                          <w:rFonts w:ascii="Cambria" w:hAnsi="Cambria" w:cs="Arial"/>
                          <w:b/>
                          <w:bCs/>
                          <w:color w:val="0D0D0D"/>
                          <w:sz w:val="36"/>
                          <w:szCs w:val="40"/>
                          <w:lang w:val="es-ES_tradnl"/>
                        </w:rPr>
                        <w:t>No.</w:t>
                      </w:r>
                      <w:r w:rsidR="008F36A3">
                        <w:rPr>
                          <w:rFonts w:ascii="Cambria" w:hAnsi="Cambria" w:cs="Arial"/>
                          <w:b/>
                          <w:bCs/>
                          <w:color w:val="0D0D0D"/>
                          <w:sz w:val="36"/>
                          <w:szCs w:val="22"/>
                          <w:lang w:val="es-ES_tradnl"/>
                        </w:rPr>
                        <w:t xml:space="preserve"> 272</w:t>
                      </w:r>
                      <w:r w:rsidRPr="003F6C6C">
                        <w:rPr>
                          <w:rFonts w:ascii="Cambria" w:hAnsi="Cambria" w:cs="Arial"/>
                          <w:b/>
                          <w:bCs/>
                          <w:color w:val="0D0D0D"/>
                          <w:sz w:val="36"/>
                          <w:szCs w:val="22"/>
                          <w:lang w:val="es-ES_tradnl"/>
                        </w:rPr>
                        <w:t>/20</w:t>
                      </w:r>
                    </w:p>
                    <w:p w14:paraId="425A48EC" w14:textId="3A4D008A" w:rsidR="009B64C3" w:rsidRPr="003F6C6C" w:rsidRDefault="009B64C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3F6C6C">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381-07</w:t>
                      </w:r>
                      <w:r w:rsidRPr="003F6C6C">
                        <w:rPr>
                          <w:rFonts w:ascii="Cambria" w:hAnsi="Cambria" w:cs="Arial"/>
                          <w:b/>
                          <w:color w:val="0D0D0D"/>
                          <w:sz w:val="36"/>
                          <w:szCs w:val="22"/>
                          <w:lang w:val="es-ES_tradnl"/>
                        </w:rPr>
                        <w:t xml:space="preserve"> </w:t>
                      </w:r>
                    </w:p>
                    <w:p w14:paraId="1CAC62CC" w14:textId="77777777" w:rsidR="009B64C3" w:rsidRPr="003F6C6C" w:rsidRDefault="009B64C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3F6C6C">
                        <w:rPr>
                          <w:rFonts w:ascii="Cambria" w:hAnsi="Cambria" w:cs="Arial"/>
                          <w:color w:val="0D0D0D"/>
                          <w:szCs w:val="22"/>
                          <w:lang w:val="es-ES_tradnl"/>
                        </w:rPr>
                        <w:t xml:space="preserve">INFORME DE ADMISIBILIDAD </w:t>
                      </w:r>
                    </w:p>
                    <w:p w14:paraId="1C56F684" w14:textId="77777777" w:rsidR="009B64C3" w:rsidRPr="003F6C6C" w:rsidRDefault="009B64C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4F3BE797" w14:textId="020E04B1" w:rsidR="009B64C3" w:rsidRPr="003F6C6C" w:rsidRDefault="009B64C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Cambria" w:hAnsi="Cambria" w:cs="Arial"/>
                          <w:color w:val="0D0D0D"/>
                          <w:szCs w:val="22"/>
                          <w:lang w:val="es-ES_tradnl"/>
                        </w:rPr>
                        <w:t>LIDIA FANNY REYES Y OTRAS PERSONAS</w:t>
                      </w:r>
                    </w:p>
                    <w:bookmarkEnd w:id="1"/>
                    <w:p w14:paraId="48306A31" w14:textId="77777777" w:rsidR="009B64C3" w:rsidRPr="003F6C6C" w:rsidRDefault="009B64C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3F6C6C">
                        <w:rPr>
                          <w:rFonts w:ascii="Cambria" w:hAnsi="Cambria" w:cs="Arial"/>
                          <w:color w:val="0D0D0D"/>
                          <w:szCs w:val="22"/>
                          <w:lang w:val="es-ES_tradnl"/>
                        </w:rPr>
                        <w:t>ARGENTINA</w:t>
                      </w:r>
                    </w:p>
                    <w:p w14:paraId="0466A795" w14:textId="77777777" w:rsidR="009B64C3" w:rsidRPr="003F6C6C" w:rsidRDefault="009B64C3"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AB6A2C0" wp14:editId="00BC4A00">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B143D" w14:textId="790A2BBB" w:rsidR="009B64C3" w:rsidRPr="003F6C6C" w:rsidRDefault="008F36A3"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OEA/Ser.L/V/II.</w:t>
                            </w:r>
                          </w:p>
                          <w:p w14:paraId="55B46D28" w14:textId="2FF80F75" w:rsidR="009B64C3" w:rsidRPr="003F6C6C" w:rsidRDefault="008F36A3"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Doc. 289</w:t>
                            </w:r>
                          </w:p>
                          <w:p w14:paraId="05CC8142" w14:textId="7118E9C7" w:rsidR="009B64C3" w:rsidRPr="003F6C6C" w:rsidRDefault="008F36A3"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PA"/>
                              </w:rPr>
                            </w:pPr>
                            <w:r>
                              <w:rPr>
                                <w:rFonts w:ascii="Calibri" w:hAnsi="Calibri"/>
                                <w:color w:val="FFFFFF"/>
                                <w:sz w:val="22"/>
                                <w:lang w:val="es-PA"/>
                              </w:rPr>
                              <w:t>13 octubre</w:t>
                            </w:r>
                            <w:r w:rsidR="009B64C3" w:rsidRPr="003F6C6C">
                              <w:rPr>
                                <w:rFonts w:ascii="Calibri" w:hAnsi="Calibri"/>
                                <w:color w:val="FFFFFF"/>
                                <w:sz w:val="22"/>
                                <w:lang w:val="es-PA"/>
                              </w:rPr>
                              <w:t xml:space="preserve"> 2020</w:t>
                            </w:r>
                          </w:p>
                          <w:p w14:paraId="11877FC5" w14:textId="77777777" w:rsidR="009B64C3" w:rsidRPr="003F6C6C" w:rsidRDefault="009B64C3"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PA"/>
                              </w:rPr>
                            </w:pPr>
                            <w:r w:rsidRPr="003F6C6C">
                              <w:rPr>
                                <w:rFonts w:ascii="Calibri" w:hAnsi="Calibri"/>
                                <w:color w:val="FFFFFF"/>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AB6A2C0"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14:paraId="7E2B143D" w14:textId="790A2BBB" w:rsidR="009B64C3" w:rsidRPr="003F6C6C" w:rsidRDefault="008F36A3"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OEA/Ser.L/V/II.</w:t>
                      </w:r>
                    </w:p>
                    <w:p w14:paraId="55B46D28" w14:textId="2FF80F75" w:rsidR="009B64C3" w:rsidRPr="003F6C6C" w:rsidRDefault="008F36A3"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Doc. 289</w:t>
                      </w:r>
                    </w:p>
                    <w:p w14:paraId="05CC8142" w14:textId="7118E9C7" w:rsidR="009B64C3" w:rsidRPr="003F6C6C" w:rsidRDefault="008F36A3"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PA"/>
                        </w:rPr>
                      </w:pPr>
                      <w:r>
                        <w:rPr>
                          <w:rFonts w:ascii="Calibri" w:hAnsi="Calibri"/>
                          <w:color w:val="FFFFFF"/>
                          <w:sz w:val="22"/>
                          <w:lang w:val="es-PA"/>
                        </w:rPr>
                        <w:t>13 octubre</w:t>
                      </w:r>
                      <w:r w:rsidR="009B64C3" w:rsidRPr="003F6C6C">
                        <w:rPr>
                          <w:rFonts w:ascii="Calibri" w:hAnsi="Calibri"/>
                          <w:color w:val="FFFFFF"/>
                          <w:sz w:val="22"/>
                          <w:lang w:val="es-PA"/>
                        </w:rPr>
                        <w:t xml:space="preserve"> 2020</w:t>
                      </w:r>
                    </w:p>
                    <w:p w14:paraId="11877FC5" w14:textId="77777777" w:rsidR="009B64C3" w:rsidRPr="003F6C6C" w:rsidRDefault="009B64C3"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PA"/>
                        </w:rPr>
                      </w:pPr>
                      <w:r w:rsidRPr="003F6C6C">
                        <w:rPr>
                          <w:rFonts w:ascii="Calibri" w:hAnsi="Calibri"/>
                          <w:color w:val="FFFFFF"/>
                          <w:sz w:val="22"/>
                          <w:lang w:val="es-PA"/>
                        </w:rPr>
                        <w:t>Original: español</w:t>
                      </w:r>
                    </w:p>
                  </w:txbxContent>
                </v:textbox>
              </v:shape>
            </w:pict>
          </mc:Fallback>
        </mc:AlternateContent>
      </w:r>
    </w:p>
    <w:p w14:paraId="553BF1D3" w14:textId="77777777" w:rsidR="00816ADF" w:rsidRPr="0090270B" w:rsidRDefault="00816AD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77B8FD19" w14:textId="77777777" w:rsidR="00816ADF" w:rsidRPr="0090270B" w:rsidRDefault="00816AD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0ED292EF" w14:textId="77777777" w:rsidR="00816ADF" w:rsidRPr="0090270B" w:rsidRDefault="00816AD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2"/>
          <w:szCs w:val="22"/>
          <w:lang w:val="es-ES_tradnl"/>
        </w:rPr>
      </w:pPr>
    </w:p>
    <w:p w14:paraId="3F5B8F33" w14:textId="77777777" w:rsidR="00816ADF" w:rsidRPr="0090270B" w:rsidRDefault="00816AD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36917018" w14:textId="77777777" w:rsidR="00816ADF" w:rsidRPr="0090270B" w:rsidRDefault="00816AD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04861706" w14:textId="77777777" w:rsidR="00816ADF" w:rsidRPr="0090270B" w:rsidRDefault="00816AD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272DED8A" w14:textId="77777777" w:rsidR="00816ADF" w:rsidRPr="0090270B" w:rsidRDefault="00816AD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27FE8EFE" w14:textId="77777777" w:rsidR="00816ADF" w:rsidRPr="0090270B" w:rsidRDefault="00816AD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6BC0612A" w14:textId="77777777" w:rsidR="00816ADF" w:rsidRPr="0090270B" w:rsidRDefault="00816AD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4E5C7F9E" w14:textId="77777777" w:rsidR="00816ADF" w:rsidRPr="0090270B" w:rsidRDefault="00816AD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4D98B7E0" w14:textId="77777777" w:rsidR="00816ADF" w:rsidRPr="0090270B" w:rsidRDefault="00816AD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76D2E04B" w14:textId="77777777" w:rsidR="00816ADF" w:rsidRPr="0090270B" w:rsidRDefault="00816AD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12F387DF" w14:textId="77777777" w:rsidR="00816ADF" w:rsidRPr="0090270B" w:rsidRDefault="00816AD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23B03BC6" w14:textId="77777777" w:rsidR="00816ADF" w:rsidRPr="0090270B" w:rsidRDefault="00816AD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3AF1D287" w14:textId="77777777" w:rsidR="00816ADF" w:rsidRPr="0090270B" w:rsidRDefault="00816AD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6A265657" w14:textId="77777777" w:rsidR="00816ADF" w:rsidRPr="0090270B" w:rsidRDefault="00816AD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5BCB2484" w14:textId="77777777" w:rsidR="00816ADF" w:rsidRPr="0090270B" w:rsidRDefault="00816AD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1B44BEC9" w14:textId="77777777" w:rsidR="00816ADF" w:rsidRPr="0090270B" w:rsidRDefault="00816AD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3757EEE6" w14:textId="77777777" w:rsidR="00816ADF" w:rsidRPr="0090270B" w:rsidRDefault="00816AD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4374CB24" w14:textId="77777777" w:rsidR="00816ADF" w:rsidRPr="0090270B" w:rsidRDefault="00816AD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72A1F8E5" w14:textId="77777777" w:rsidR="00816ADF" w:rsidRPr="0090270B" w:rsidRDefault="00816AD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4AD65AB5" w14:textId="77777777" w:rsidR="00816ADF" w:rsidRPr="0090270B" w:rsidRDefault="00816AD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1C62B2CA" w14:textId="77777777" w:rsidR="00816ADF" w:rsidRPr="0090270B" w:rsidRDefault="00816AD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1171AB7A" w14:textId="77777777" w:rsidR="00816ADF" w:rsidRPr="0090270B" w:rsidRDefault="00816AD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50CC34B8" w14:textId="77777777" w:rsidR="00816ADF" w:rsidRPr="0090270B" w:rsidRDefault="00816AD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450F6909" w14:textId="77777777" w:rsidR="00816ADF" w:rsidRPr="0090270B" w:rsidRDefault="00816AD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7B3D5136" w14:textId="77777777" w:rsidR="00816ADF" w:rsidRPr="0090270B" w:rsidRDefault="00816AD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7A6187BD" w14:textId="77777777" w:rsidR="00816ADF" w:rsidRPr="0090270B" w:rsidRDefault="00816AD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0AA15912" w14:textId="049B21A7" w:rsidR="00816ADF" w:rsidRPr="0090270B" w:rsidRDefault="00D46291"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56192" behindDoc="0" locked="0" layoutInCell="1" allowOverlap="1" wp14:anchorId="7B8E8679" wp14:editId="08F6F17E">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6C707B" w14:textId="6CA7BBA6" w:rsidR="009B64C3" w:rsidRPr="003F6C6C" w:rsidRDefault="009B64C3" w:rsidP="00DD3D86">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lang w:val="es-ES"/>
                              </w:rPr>
                            </w:pPr>
                            <w:r w:rsidRPr="003F6C6C">
                              <w:rPr>
                                <w:rFonts w:ascii="Cambria" w:hAnsi="Cambria"/>
                                <w:color w:val="0D0D0D"/>
                                <w:sz w:val="18"/>
                                <w:szCs w:val="22"/>
                                <w:lang w:val="es-ES"/>
                              </w:rPr>
                              <w:t xml:space="preserve">Aprobado </w:t>
                            </w:r>
                            <w:proofErr w:type="spellStart"/>
                            <w:r w:rsidRPr="003F6C6C">
                              <w:rPr>
                                <w:rFonts w:ascii="Cambria" w:hAnsi="Cambria"/>
                                <w:color w:val="0D0D0D"/>
                                <w:sz w:val="18"/>
                                <w:szCs w:val="22"/>
                                <w:lang w:val="es-ES"/>
                              </w:rPr>
                              <w:t>electr</w:t>
                            </w:r>
                            <w:r w:rsidRPr="003F6C6C">
                              <w:rPr>
                                <w:rFonts w:ascii="Cambria" w:hAnsi="Cambria"/>
                                <w:color w:val="0D0D0D"/>
                                <w:sz w:val="18"/>
                                <w:szCs w:val="22"/>
                                <w:lang w:val="es-ES_tradnl"/>
                              </w:rPr>
                              <w:t>ónicamente</w:t>
                            </w:r>
                            <w:proofErr w:type="spellEnd"/>
                            <w:r w:rsidRPr="003F6C6C">
                              <w:rPr>
                                <w:rFonts w:ascii="Cambria" w:hAnsi="Cambria"/>
                                <w:color w:val="0D0D0D"/>
                                <w:sz w:val="18"/>
                                <w:szCs w:val="22"/>
                                <w:lang w:val="es-ES"/>
                              </w:rPr>
                              <w:t xml:space="preserve"> por la Comisión el </w:t>
                            </w:r>
                            <w:r w:rsidR="008F36A3">
                              <w:rPr>
                                <w:rFonts w:ascii="Cambria" w:hAnsi="Cambria"/>
                                <w:color w:val="0D0D0D"/>
                                <w:sz w:val="18"/>
                                <w:szCs w:val="22"/>
                                <w:lang w:val="es-ES"/>
                              </w:rPr>
                              <w:t>13</w:t>
                            </w:r>
                            <w:r w:rsidRPr="003F6C6C">
                              <w:rPr>
                                <w:rFonts w:ascii="Cambria" w:hAnsi="Cambria"/>
                                <w:color w:val="0D0D0D"/>
                                <w:sz w:val="18"/>
                                <w:szCs w:val="22"/>
                                <w:lang w:val="es-ES"/>
                              </w:rPr>
                              <w:t xml:space="preserve"> de </w:t>
                            </w:r>
                            <w:r w:rsidR="008F36A3">
                              <w:rPr>
                                <w:rFonts w:ascii="Cambria" w:hAnsi="Cambria"/>
                                <w:color w:val="0D0D0D"/>
                                <w:sz w:val="18"/>
                                <w:szCs w:val="22"/>
                                <w:lang w:val="es-ES"/>
                              </w:rPr>
                              <w:t>octubre</w:t>
                            </w:r>
                            <w:r w:rsidRPr="003F6C6C">
                              <w:rPr>
                                <w:rFonts w:ascii="Cambria" w:hAnsi="Cambria"/>
                                <w:color w:val="0D0D0D"/>
                                <w:sz w:val="18"/>
                                <w:szCs w:val="22"/>
                                <w:lang w:val="es-ES"/>
                              </w:rPr>
                              <w:t xml:space="preserve"> de 2020</w:t>
                            </w:r>
                            <w:r w:rsidR="008E4641">
                              <w:rPr>
                                <w:rFonts w:ascii="Cambria" w:hAnsi="Cambria"/>
                                <w:color w:val="0D0D0D"/>
                                <w:sz w:val="18"/>
                                <w:szCs w:val="22"/>
                                <w:lang w:val="es-ES"/>
                              </w:rPr>
                              <w:t>.</w:t>
                            </w:r>
                          </w:p>
                          <w:p w14:paraId="01241620" w14:textId="77777777" w:rsidR="009B64C3" w:rsidRPr="003F6C6C" w:rsidRDefault="009B64C3"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14:paraId="60716B44" w14:textId="77777777" w:rsidR="009B64C3" w:rsidRPr="003F6C6C" w:rsidRDefault="009B64C3"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B8E867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14:paraId="5E6C707B" w14:textId="6CA7BBA6" w:rsidR="009B64C3" w:rsidRPr="003F6C6C" w:rsidRDefault="009B64C3" w:rsidP="00DD3D86">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lang w:val="es-ES"/>
                        </w:rPr>
                      </w:pPr>
                      <w:r w:rsidRPr="003F6C6C">
                        <w:rPr>
                          <w:rFonts w:ascii="Cambria" w:hAnsi="Cambria"/>
                          <w:color w:val="0D0D0D"/>
                          <w:sz w:val="18"/>
                          <w:szCs w:val="22"/>
                          <w:lang w:val="es-ES"/>
                        </w:rPr>
                        <w:t xml:space="preserve">Aprobado </w:t>
                      </w:r>
                      <w:proofErr w:type="spellStart"/>
                      <w:r w:rsidRPr="003F6C6C">
                        <w:rPr>
                          <w:rFonts w:ascii="Cambria" w:hAnsi="Cambria"/>
                          <w:color w:val="0D0D0D"/>
                          <w:sz w:val="18"/>
                          <w:szCs w:val="22"/>
                          <w:lang w:val="es-ES"/>
                        </w:rPr>
                        <w:t>electr</w:t>
                      </w:r>
                      <w:r w:rsidRPr="003F6C6C">
                        <w:rPr>
                          <w:rFonts w:ascii="Cambria" w:hAnsi="Cambria"/>
                          <w:color w:val="0D0D0D"/>
                          <w:sz w:val="18"/>
                          <w:szCs w:val="22"/>
                          <w:lang w:val="es-ES_tradnl"/>
                        </w:rPr>
                        <w:t>ónicamente</w:t>
                      </w:r>
                      <w:proofErr w:type="spellEnd"/>
                      <w:r w:rsidRPr="003F6C6C">
                        <w:rPr>
                          <w:rFonts w:ascii="Cambria" w:hAnsi="Cambria"/>
                          <w:color w:val="0D0D0D"/>
                          <w:sz w:val="18"/>
                          <w:szCs w:val="22"/>
                          <w:lang w:val="es-ES"/>
                        </w:rPr>
                        <w:t xml:space="preserve"> por la Comisión el </w:t>
                      </w:r>
                      <w:r w:rsidR="008F36A3">
                        <w:rPr>
                          <w:rFonts w:ascii="Cambria" w:hAnsi="Cambria"/>
                          <w:color w:val="0D0D0D"/>
                          <w:sz w:val="18"/>
                          <w:szCs w:val="22"/>
                          <w:lang w:val="es-ES"/>
                        </w:rPr>
                        <w:t>13</w:t>
                      </w:r>
                      <w:r w:rsidRPr="003F6C6C">
                        <w:rPr>
                          <w:rFonts w:ascii="Cambria" w:hAnsi="Cambria"/>
                          <w:color w:val="0D0D0D"/>
                          <w:sz w:val="18"/>
                          <w:szCs w:val="22"/>
                          <w:lang w:val="es-ES"/>
                        </w:rPr>
                        <w:t xml:space="preserve"> de </w:t>
                      </w:r>
                      <w:r w:rsidR="008F36A3">
                        <w:rPr>
                          <w:rFonts w:ascii="Cambria" w:hAnsi="Cambria"/>
                          <w:color w:val="0D0D0D"/>
                          <w:sz w:val="18"/>
                          <w:szCs w:val="22"/>
                          <w:lang w:val="es-ES"/>
                        </w:rPr>
                        <w:t>octubre</w:t>
                      </w:r>
                      <w:r w:rsidRPr="003F6C6C">
                        <w:rPr>
                          <w:rFonts w:ascii="Cambria" w:hAnsi="Cambria"/>
                          <w:color w:val="0D0D0D"/>
                          <w:sz w:val="18"/>
                          <w:szCs w:val="22"/>
                          <w:lang w:val="es-ES"/>
                        </w:rPr>
                        <w:t xml:space="preserve"> de 2020</w:t>
                      </w:r>
                      <w:r w:rsidR="008E4641">
                        <w:rPr>
                          <w:rFonts w:ascii="Cambria" w:hAnsi="Cambria"/>
                          <w:color w:val="0D0D0D"/>
                          <w:sz w:val="18"/>
                          <w:szCs w:val="22"/>
                          <w:lang w:val="es-ES"/>
                        </w:rPr>
                        <w:t>.</w:t>
                      </w:r>
                    </w:p>
                    <w:p w14:paraId="01241620" w14:textId="77777777" w:rsidR="009B64C3" w:rsidRPr="003F6C6C" w:rsidRDefault="009B64C3"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14:paraId="60716B44" w14:textId="77777777" w:rsidR="009B64C3" w:rsidRPr="003F6C6C" w:rsidRDefault="009B64C3"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v:textbox>
              </v:shape>
            </w:pict>
          </mc:Fallback>
        </mc:AlternateContent>
      </w:r>
    </w:p>
    <w:p w14:paraId="6AE2C14E" w14:textId="77777777" w:rsidR="00816ADF" w:rsidRPr="0090270B" w:rsidRDefault="00816AD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181ECF44" w14:textId="77777777" w:rsidR="00816ADF" w:rsidRPr="0090270B" w:rsidRDefault="00816AD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710215FA" w14:textId="77777777" w:rsidR="00816ADF" w:rsidRPr="0090270B" w:rsidRDefault="00816AD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78121373" w14:textId="77777777" w:rsidR="00816ADF" w:rsidRPr="0090270B" w:rsidRDefault="00816AD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688117E3" w14:textId="33DAB83C" w:rsidR="00816ADF" w:rsidRPr="0090270B" w:rsidRDefault="00D46291"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59264" behindDoc="0" locked="0" layoutInCell="1" allowOverlap="1" wp14:anchorId="25C9D149" wp14:editId="3FC2EBB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3B91C7" w14:textId="569D4C2F" w:rsidR="009B64C3" w:rsidRPr="003F6C6C" w:rsidRDefault="009B64C3"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3F6C6C">
                              <w:rPr>
                                <w:rFonts w:ascii="Cambria" w:hAnsi="Cambria"/>
                                <w:b/>
                                <w:color w:val="595959"/>
                                <w:sz w:val="18"/>
                                <w:szCs w:val="18"/>
                                <w:lang w:val="pt-BR"/>
                              </w:rPr>
                              <w:t>Citar como:</w:t>
                            </w:r>
                            <w:r w:rsidRPr="003F6C6C">
                              <w:rPr>
                                <w:rFonts w:ascii="Cambria" w:hAnsi="Cambria"/>
                                <w:color w:val="595959"/>
                                <w:sz w:val="18"/>
                                <w:szCs w:val="18"/>
                                <w:lang w:val="pt-BR"/>
                              </w:rPr>
                              <w:t xml:space="preserve"> CIDH, Informe No. </w:t>
                            </w:r>
                            <w:r w:rsidR="008F36A3" w:rsidRPr="008F36A3">
                              <w:rPr>
                                <w:rFonts w:ascii="Cambria" w:hAnsi="Cambria"/>
                                <w:color w:val="595959"/>
                                <w:sz w:val="18"/>
                                <w:szCs w:val="18"/>
                                <w:lang w:val="pt-BR"/>
                              </w:rPr>
                              <w:t>272</w:t>
                            </w:r>
                            <w:r w:rsidRPr="008F36A3">
                              <w:rPr>
                                <w:rFonts w:ascii="Cambria" w:hAnsi="Cambria"/>
                                <w:color w:val="595959"/>
                                <w:sz w:val="18"/>
                                <w:szCs w:val="18"/>
                                <w:lang w:val="pt-BR"/>
                              </w:rPr>
                              <w:t xml:space="preserve">/20. </w:t>
                            </w:r>
                            <w:r w:rsidRPr="003F6C6C">
                              <w:rPr>
                                <w:rFonts w:ascii="Cambria" w:hAnsi="Cambria"/>
                                <w:color w:val="595959"/>
                                <w:sz w:val="18"/>
                                <w:szCs w:val="18"/>
                                <w:lang w:val="es-ES_tradnl"/>
                              </w:rPr>
                              <w:t xml:space="preserve">Admisibilidad. </w:t>
                            </w:r>
                            <w:r w:rsidR="008F36A3">
                              <w:rPr>
                                <w:rFonts w:ascii="Cambria" w:hAnsi="Cambria"/>
                                <w:color w:val="595959"/>
                                <w:sz w:val="18"/>
                                <w:szCs w:val="18"/>
                                <w:lang w:val="es-ES_tradnl"/>
                              </w:rPr>
                              <w:t>Lidia Fanny Reyes y otras p</w:t>
                            </w:r>
                            <w:r>
                              <w:rPr>
                                <w:rFonts w:ascii="Cambria" w:hAnsi="Cambria"/>
                                <w:color w:val="595959"/>
                                <w:sz w:val="18"/>
                                <w:szCs w:val="18"/>
                                <w:lang w:val="es-ES_tradnl"/>
                              </w:rPr>
                              <w:t>ersonas</w:t>
                            </w:r>
                            <w:r w:rsidRPr="003F6C6C">
                              <w:rPr>
                                <w:rFonts w:ascii="Cambria" w:hAnsi="Cambria"/>
                                <w:color w:val="595959"/>
                                <w:sz w:val="18"/>
                                <w:szCs w:val="18"/>
                                <w:lang w:val="es-ES_tradnl"/>
                              </w:rPr>
                              <w:t xml:space="preserve">. Argentina. </w:t>
                            </w:r>
                            <w:r w:rsidR="008F36A3">
                              <w:rPr>
                                <w:rFonts w:ascii="Cambria" w:hAnsi="Cambria"/>
                                <w:color w:val="595959"/>
                                <w:sz w:val="18"/>
                                <w:szCs w:val="18"/>
                                <w:lang w:val="es-ES"/>
                              </w:rPr>
                              <w:t>13 de octubre de 2020</w:t>
                            </w:r>
                            <w:r w:rsidRPr="003F6C6C">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5C9D149"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14:paraId="2B3B91C7" w14:textId="569D4C2F" w:rsidR="009B64C3" w:rsidRPr="003F6C6C" w:rsidRDefault="009B64C3"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3F6C6C">
                        <w:rPr>
                          <w:rFonts w:ascii="Cambria" w:hAnsi="Cambria"/>
                          <w:b/>
                          <w:color w:val="595959"/>
                          <w:sz w:val="18"/>
                          <w:szCs w:val="18"/>
                          <w:lang w:val="pt-BR"/>
                        </w:rPr>
                        <w:t>Citar como:</w:t>
                      </w:r>
                      <w:r w:rsidRPr="003F6C6C">
                        <w:rPr>
                          <w:rFonts w:ascii="Cambria" w:hAnsi="Cambria"/>
                          <w:color w:val="595959"/>
                          <w:sz w:val="18"/>
                          <w:szCs w:val="18"/>
                          <w:lang w:val="pt-BR"/>
                        </w:rPr>
                        <w:t xml:space="preserve"> CIDH, Informe No. </w:t>
                      </w:r>
                      <w:r w:rsidR="008F36A3" w:rsidRPr="008F36A3">
                        <w:rPr>
                          <w:rFonts w:ascii="Cambria" w:hAnsi="Cambria"/>
                          <w:color w:val="595959"/>
                          <w:sz w:val="18"/>
                          <w:szCs w:val="18"/>
                          <w:lang w:val="pt-BR"/>
                        </w:rPr>
                        <w:t>272</w:t>
                      </w:r>
                      <w:r w:rsidRPr="008F36A3">
                        <w:rPr>
                          <w:rFonts w:ascii="Cambria" w:hAnsi="Cambria"/>
                          <w:color w:val="595959"/>
                          <w:sz w:val="18"/>
                          <w:szCs w:val="18"/>
                          <w:lang w:val="pt-BR"/>
                        </w:rPr>
                        <w:t xml:space="preserve">/20. </w:t>
                      </w:r>
                      <w:r w:rsidRPr="003F6C6C">
                        <w:rPr>
                          <w:rFonts w:ascii="Cambria" w:hAnsi="Cambria"/>
                          <w:color w:val="595959"/>
                          <w:sz w:val="18"/>
                          <w:szCs w:val="18"/>
                          <w:lang w:val="es-ES_tradnl"/>
                        </w:rPr>
                        <w:t xml:space="preserve">Admisibilidad. </w:t>
                      </w:r>
                      <w:r w:rsidR="008F36A3">
                        <w:rPr>
                          <w:rFonts w:ascii="Cambria" w:hAnsi="Cambria"/>
                          <w:color w:val="595959"/>
                          <w:sz w:val="18"/>
                          <w:szCs w:val="18"/>
                          <w:lang w:val="es-ES_tradnl"/>
                        </w:rPr>
                        <w:t>Lidia Fanny Reyes y otras p</w:t>
                      </w:r>
                      <w:r>
                        <w:rPr>
                          <w:rFonts w:ascii="Cambria" w:hAnsi="Cambria"/>
                          <w:color w:val="595959"/>
                          <w:sz w:val="18"/>
                          <w:szCs w:val="18"/>
                          <w:lang w:val="es-ES_tradnl"/>
                        </w:rPr>
                        <w:t>ersonas</w:t>
                      </w:r>
                      <w:r w:rsidRPr="003F6C6C">
                        <w:rPr>
                          <w:rFonts w:ascii="Cambria" w:hAnsi="Cambria"/>
                          <w:color w:val="595959"/>
                          <w:sz w:val="18"/>
                          <w:szCs w:val="18"/>
                          <w:lang w:val="es-ES_tradnl"/>
                        </w:rPr>
                        <w:t xml:space="preserve">. Argentina. </w:t>
                      </w:r>
                      <w:r w:rsidR="008F36A3">
                        <w:rPr>
                          <w:rFonts w:ascii="Cambria" w:hAnsi="Cambria"/>
                          <w:color w:val="595959"/>
                          <w:sz w:val="18"/>
                          <w:szCs w:val="18"/>
                          <w:lang w:val="es-ES"/>
                        </w:rPr>
                        <w:t>13 de octubre de 2020</w:t>
                      </w:r>
                      <w:r w:rsidRPr="003F6C6C">
                        <w:rPr>
                          <w:rFonts w:ascii="Cambria" w:hAnsi="Cambria"/>
                          <w:color w:val="595959"/>
                          <w:sz w:val="18"/>
                          <w:szCs w:val="18"/>
                          <w:lang w:val="es-ES"/>
                        </w:rPr>
                        <w:t>.</w:t>
                      </w:r>
                    </w:p>
                  </w:txbxContent>
                </v:textbox>
              </v:shape>
            </w:pict>
          </mc:Fallback>
        </mc:AlternateContent>
      </w:r>
    </w:p>
    <w:p w14:paraId="3B7E5C12" w14:textId="77777777" w:rsidR="00816ADF" w:rsidRPr="0090270B" w:rsidRDefault="00816AD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799EFAFF" w14:textId="558649EB" w:rsidR="00816ADF" w:rsidRDefault="00D46291"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_tradnl"/>
        </w:rPr>
      </w:pPr>
      <w:r>
        <w:rPr>
          <w:noProof/>
        </w:rPr>
        <mc:AlternateContent>
          <mc:Choice Requires="wps">
            <w:drawing>
              <wp:anchor distT="0" distB="0" distL="114300" distR="114300" simplePos="0" relativeHeight="251660288" behindDoc="0" locked="0" layoutInCell="1" allowOverlap="1" wp14:anchorId="4A6EA4C7" wp14:editId="5A00388C">
                <wp:simplePos x="0" y="0"/>
                <wp:positionH relativeFrom="column">
                  <wp:posOffset>1329690</wp:posOffset>
                </wp:positionH>
                <wp:positionV relativeFrom="paragraph">
                  <wp:posOffset>638810</wp:posOffset>
                </wp:positionV>
                <wp:extent cx="4096385" cy="567055"/>
                <wp:effectExtent l="0" t="0" r="317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51DF65F" w14:textId="74C9D4DD" w:rsidR="009B64C3" w:rsidRPr="003F6C6C" w:rsidRDefault="009B64C3"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14:anchorId="202D9FDA" wp14:editId="54F276F1">
                                  <wp:extent cx="1323975" cy="381000"/>
                                  <wp:effectExtent l="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381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A6EA4C7"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ZqHhQIAABY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" stroked="f" strokeweight=".5pt">
                <v:textbox>
                  <w:txbxContent>
                    <w:p w14:paraId="651DF65F" w14:textId="74C9D4DD" w:rsidR="009B64C3" w:rsidRPr="003F6C6C" w:rsidRDefault="009B64C3"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14:anchorId="202D9FDA" wp14:editId="54F276F1">
                            <wp:extent cx="1323975" cy="381000"/>
                            <wp:effectExtent l="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3810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1B4362B" wp14:editId="50CCBC41">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E5727C" w14:textId="77777777" w:rsidR="009B64C3" w:rsidRPr="003F6C6C" w:rsidRDefault="009B64C3"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3F6C6C">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1B4362B" id="Text Box 4" o:spid="_x0000_s1032"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dDjA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" filled="f" stroked="f" strokeweight=".5pt">
                <v:path arrowok="t"/>
                <v:textbox>
                  <w:txbxContent>
                    <w:p w14:paraId="0BE5727C" w14:textId="77777777" w:rsidR="009B64C3" w:rsidRPr="003F6C6C" w:rsidRDefault="009B64C3"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3F6C6C">
                        <w:rPr>
                          <w:rFonts w:ascii="Calibri" w:hAnsi="Calibri"/>
                          <w:b/>
                          <w:color w:val="FFFFFF"/>
                          <w:lang w:val="pt-BR"/>
                        </w:rPr>
                        <w:t>www.cidh.org</w:t>
                      </w:r>
                    </w:p>
                  </w:txbxContent>
                </v:textbox>
              </v:shape>
            </w:pict>
          </mc:Fallback>
        </mc:AlternateContent>
      </w:r>
    </w:p>
    <w:p w14:paraId="63100E62" w14:textId="77777777" w:rsidR="00816ADF" w:rsidRDefault="00816ADF"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_tradnl"/>
        </w:rPr>
        <w:sectPr w:rsidR="00816ADF" w:rsidSect="003E09B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0"/>
          <w:cols w:space="720"/>
          <w:titlePg/>
          <w:rtlGutter/>
          <w:docGrid w:linePitch="326"/>
        </w:sectPr>
      </w:pPr>
      <w:r>
        <w:rPr>
          <w:rFonts w:ascii="Cambria" w:hAnsi="Cambria"/>
          <w:b/>
          <w:sz w:val="20"/>
          <w:lang w:val="es-ES_tradnl"/>
        </w:rPr>
        <w:tab/>
      </w:r>
    </w:p>
    <w:p w14:paraId="7A04A847" w14:textId="77777777" w:rsidR="00816ADF" w:rsidRPr="000419AD" w:rsidRDefault="00816ADF" w:rsidP="004A6A54">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ES"/>
        </w:rPr>
      </w:pPr>
      <w:r w:rsidRPr="000419AD">
        <w:rPr>
          <w:rFonts w:ascii="Cambria" w:hAnsi="Cambria"/>
          <w:b/>
          <w:bCs/>
          <w:sz w:val="20"/>
          <w:szCs w:val="20"/>
          <w:lang w:val="es-ES"/>
        </w:rPr>
        <w:lastRenderedPageBreak/>
        <w:t>I.</w:t>
      </w:r>
      <w:r w:rsidRPr="000419AD">
        <w:rPr>
          <w:rFonts w:ascii="Cambria" w:hAnsi="Cambria"/>
          <w:b/>
          <w:bCs/>
          <w:sz w:val="20"/>
          <w:szCs w:val="20"/>
          <w:lang w:val="es-ES"/>
        </w:rPr>
        <w:tab/>
        <w:t xml:space="preserve">DATOS DE LA PETICIÓN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816ADF" w:rsidRPr="00C15FD9" w14:paraId="102498BD" w14:textId="77777777" w:rsidTr="003F6C6C">
        <w:tc>
          <w:tcPr>
            <w:tcW w:w="3600" w:type="dxa"/>
            <w:tcBorders>
              <w:top w:val="single" w:sz="4" w:space="0" w:color="auto"/>
            </w:tcBorders>
            <w:shd w:val="clear" w:color="auto" w:fill="386294"/>
            <w:vAlign w:val="center"/>
          </w:tcPr>
          <w:p w14:paraId="1FB8B477" w14:textId="77777777" w:rsidR="00816ADF" w:rsidRPr="003F6C6C" w:rsidRDefault="00816ADF" w:rsidP="003F6C6C">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3F6C6C">
              <w:rPr>
                <w:rFonts w:ascii="Cambria" w:hAnsi="Cambria"/>
                <w:b/>
                <w:bCs/>
                <w:color w:val="FFFFFF"/>
                <w:sz w:val="20"/>
                <w:szCs w:val="20"/>
              </w:rPr>
              <w:t xml:space="preserve">Parte </w:t>
            </w:r>
            <w:proofErr w:type="spellStart"/>
            <w:r w:rsidRPr="003F6C6C">
              <w:rPr>
                <w:rFonts w:ascii="Cambria" w:hAnsi="Cambria"/>
                <w:b/>
                <w:bCs/>
                <w:color w:val="FFFFFF"/>
                <w:sz w:val="20"/>
                <w:szCs w:val="20"/>
              </w:rPr>
              <w:t>peticionaria</w:t>
            </w:r>
            <w:proofErr w:type="spellEnd"/>
            <w:r w:rsidRPr="003F6C6C">
              <w:rPr>
                <w:rFonts w:ascii="Cambria" w:hAnsi="Cambria"/>
                <w:b/>
                <w:bCs/>
                <w:color w:val="FFFFFF"/>
                <w:sz w:val="20"/>
                <w:szCs w:val="20"/>
              </w:rPr>
              <w:t>:</w:t>
            </w:r>
          </w:p>
        </w:tc>
        <w:tc>
          <w:tcPr>
            <w:tcW w:w="5760" w:type="dxa"/>
            <w:tcBorders>
              <w:top w:val="single" w:sz="4" w:space="0" w:color="auto"/>
            </w:tcBorders>
            <w:vAlign w:val="center"/>
          </w:tcPr>
          <w:p w14:paraId="0BEFF8B3" w14:textId="6905A918" w:rsidR="00816ADF" w:rsidRPr="003F6C6C" w:rsidRDefault="003941D2" w:rsidP="003F6C6C">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PA"/>
              </w:rPr>
            </w:pPr>
            <w:r>
              <w:rPr>
                <w:rFonts w:ascii="Cambria" w:hAnsi="Cambria"/>
                <w:sz w:val="20"/>
                <w:szCs w:val="20"/>
                <w:lang w:val="es-ES_tradnl"/>
              </w:rPr>
              <w:t>Stella Maris Martinez</w:t>
            </w:r>
          </w:p>
        </w:tc>
      </w:tr>
      <w:tr w:rsidR="00816ADF" w:rsidRPr="008E4641" w14:paraId="7517FC81" w14:textId="77777777" w:rsidTr="003F6C6C">
        <w:tc>
          <w:tcPr>
            <w:tcW w:w="3600" w:type="dxa"/>
            <w:shd w:val="clear" w:color="auto" w:fill="386294"/>
            <w:vAlign w:val="center"/>
          </w:tcPr>
          <w:p w14:paraId="6704367E" w14:textId="77777777" w:rsidR="00816ADF" w:rsidRPr="003F6C6C" w:rsidRDefault="00816ADF" w:rsidP="003F6C6C">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proofErr w:type="spellStart"/>
            <w:r w:rsidRPr="003F6C6C">
              <w:rPr>
                <w:rFonts w:ascii="Cambria" w:hAnsi="Cambria"/>
                <w:b/>
                <w:bCs/>
                <w:color w:val="FFFFFF"/>
                <w:sz w:val="20"/>
                <w:szCs w:val="20"/>
              </w:rPr>
              <w:t>Presunta</w:t>
            </w:r>
            <w:proofErr w:type="spellEnd"/>
            <w:r w:rsidRPr="003F6C6C">
              <w:rPr>
                <w:rFonts w:ascii="Cambria" w:hAnsi="Cambria"/>
                <w:b/>
                <w:bCs/>
                <w:color w:val="FFFFFF"/>
                <w:sz w:val="20"/>
                <w:szCs w:val="20"/>
              </w:rPr>
              <w:t xml:space="preserve"> </w:t>
            </w:r>
            <w:proofErr w:type="spellStart"/>
            <w:r w:rsidRPr="003F6C6C">
              <w:rPr>
                <w:rFonts w:ascii="Cambria" w:hAnsi="Cambria"/>
                <w:b/>
                <w:bCs/>
                <w:color w:val="FFFFFF"/>
                <w:sz w:val="20"/>
                <w:szCs w:val="20"/>
              </w:rPr>
              <w:t>víctima</w:t>
            </w:r>
            <w:proofErr w:type="spellEnd"/>
            <w:r w:rsidRPr="003F6C6C">
              <w:rPr>
                <w:rFonts w:ascii="Cambria" w:hAnsi="Cambria"/>
                <w:b/>
                <w:bCs/>
                <w:color w:val="FFFFFF"/>
                <w:sz w:val="20"/>
                <w:szCs w:val="20"/>
              </w:rPr>
              <w:t>:</w:t>
            </w:r>
          </w:p>
        </w:tc>
        <w:tc>
          <w:tcPr>
            <w:tcW w:w="5760" w:type="dxa"/>
            <w:vAlign w:val="center"/>
          </w:tcPr>
          <w:p w14:paraId="27AB6394" w14:textId="5C51DEBE" w:rsidR="00816ADF" w:rsidRPr="003941D2" w:rsidRDefault="003941D2" w:rsidP="003F6C6C">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PA"/>
              </w:rPr>
            </w:pPr>
            <w:r>
              <w:rPr>
                <w:rFonts w:ascii="Cambria" w:hAnsi="Cambria"/>
                <w:sz w:val="20"/>
                <w:szCs w:val="20"/>
                <w:lang w:val="es-ES_tradnl"/>
              </w:rPr>
              <w:t>Lidia Fanny Reyes y otras personas</w:t>
            </w:r>
            <w:r>
              <w:rPr>
                <w:rStyle w:val="FootnoteReference"/>
                <w:rFonts w:ascii="Cambria" w:hAnsi="Cambria"/>
                <w:bCs/>
                <w:sz w:val="20"/>
                <w:szCs w:val="20"/>
                <w:lang w:val="es-PA"/>
              </w:rPr>
              <w:footnoteReference w:id="2"/>
            </w:r>
          </w:p>
        </w:tc>
      </w:tr>
      <w:tr w:rsidR="00816ADF" w14:paraId="1FFC46B2" w14:textId="77777777" w:rsidTr="003F6C6C">
        <w:tc>
          <w:tcPr>
            <w:tcW w:w="3600" w:type="dxa"/>
            <w:shd w:val="clear" w:color="auto" w:fill="386294"/>
            <w:vAlign w:val="center"/>
          </w:tcPr>
          <w:p w14:paraId="343ED59A" w14:textId="77777777" w:rsidR="00816ADF" w:rsidRPr="003F6C6C" w:rsidRDefault="00816ADF" w:rsidP="003F6C6C">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3F6C6C">
              <w:rPr>
                <w:rFonts w:ascii="Cambria" w:hAnsi="Cambria"/>
                <w:b/>
                <w:bCs/>
                <w:color w:val="FFFFFF"/>
                <w:sz w:val="20"/>
                <w:szCs w:val="20"/>
              </w:rPr>
              <w:t xml:space="preserve">Estado </w:t>
            </w:r>
            <w:proofErr w:type="spellStart"/>
            <w:r w:rsidRPr="003F6C6C">
              <w:rPr>
                <w:rFonts w:ascii="Cambria" w:hAnsi="Cambria"/>
                <w:b/>
                <w:bCs/>
                <w:color w:val="FFFFFF"/>
                <w:sz w:val="20"/>
                <w:szCs w:val="20"/>
              </w:rPr>
              <w:t>denunciado</w:t>
            </w:r>
            <w:proofErr w:type="spellEnd"/>
            <w:r w:rsidRPr="003F6C6C">
              <w:rPr>
                <w:rFonts w:ascii="Cambria" w:hAnsi="Cambria"/>
                <w:b/>
                <w:bCs/>
                <w:color w:val="FFFFFF"/>
                <w:sz w:val="20"/>
                <w:szCs w:val="20"/>
              </w:rPr>
              <w:t>:</w:t>
            </w:r>
          </w:p>
        </w:tc>
        <w:tc>
          <w:tcPr>
            <w:tcW w:w="5760" w:type="dxa"/>
            <w:vAlign w:val="center"/>
          </w:tcPr>
          <w:p w14:paraId="69954EC8" w14:textId="77777777" w:rsidR="00816ADF" w:rsidRPr="003F6C6C" w:rsidRDefault="00816ADF" w:rsidP="003F6C6C">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smartTag w:uri="urn:schemas-microsoft-com:office:smarttags" w:element="place">
              <w:smartTag w:uri="urn:schemas-microsoft-com:office:smarttags" w:element="country-region">
                <w:r w:rsidRPr="003F6C6C">
                  <w:rPr>
                    <w:rFonts w:ascii="Cambria" w:hAnsi="Cambria"/>
                    <w:bCs/>
                    <w:sz w:val="20"/>
                    <w:szCs w:val="20"/>
                  </w:rPr>
                  <w:t>Argentina</w:t>
                </w:r>
              </w:smartTag>
            </w:smartTag>
          </w:p>
        </w:tc>
      </w:tr>
      <w:tr w:rsidR="00816ADF" w:rsidRPr="00F06319" w14:paraId="7B8C7FCB" w14:textId="77777777" w:rsidTr="003F6C6C">
        <w:tc>
          <w:tcPr>
            <w:tcW w:w="3600" w:type="dxa"/>
            <w:tcBorders>
              <w:bottom w:val="single" w:sz="4" w:space="0" w:color="auto"/>
            </w:tcBorders>
            <w:shd w:val="clear" w:color="auto" w:fill="386294"/>
            <w:vAlign w:val="center"/>
          </w:tcPr>
          <w:p w14:paraId="2C30CDB1" w14:textId="77777777" w:rsidR="00816ADF" w:rsidRPr="003F6C6C" w:rsidRDefault="00816ADF" w:rsidP="003F6C6C">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3F6C6C">
              <w:rPr>
                <w:rFonts w:ascii="Cambria" w:hAnsi="Cambria"/>
                <w:b/>
                <w:bCs/>
                <w:color w:val="FFFFFF"/>
                <w:sz w:val="20"/>
                <w:szCs w:val="20"/>
              </w:rPr>
              <w:t xml:space="preserve">Derechos </w:t>
            </w:r>
            <w:proofErr w:type="spellStart"/>
            <w:r w:rsidRPr="003F6C6C">
              <w:rPr>
                <w:rFonts w:ascii="Cambria" w:hAnsi="Cambria"/>
                <w:b/>
                <w:bCs/>
                <w:color w:val="FFFFFF"/>
                <w:sz w:val="20"/>
                <w:szCs w:val="20"/>
              </w:rPr>
              <w:t>invocados</w:t>
            </w:r>
            <w:proofErr w:type="spellEnd"/>
            <w:r w:rsidRPr="003F6C6C">
              <w:rPr>
                <w:rFonts w:ascii="Cambria" w:hAnsi="Cambria"/>
                <w:b/>
                <w:bCs/>
                <w:color w:val="FFFFFF"/>
                <w:sz w:val="20"/>
                <w:szCs w:val="20"/>
              </w:rPr>
              <w:t>:</w:t>
            </w:r>
          </w:p>
        </w:tc>
        <w:tc>
          <w:tcPr>
            <w:tcW w:w="5760" w:type="dxa"/>
            <w:tcBorders>
              <w:bottom w:val="single" w:sz="4" w:space="0" w:color="auto"/>
            </w:tcBorders>
            <w:vAlign w:val="center"/>
          </w:tcPr>
          <w:p w14:paraId="674FCD86" w14:textId="1DEBD54B" w:rsidR="00816ADF" w:rsidRPr="003F6C6C" w:rsidRDefault="003941D2" w:rsidP="003941D2">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PA"/>
              </w:rPr>
            </w:pPr>
            <w:r>
              <w:rPr>
                <w:rFonts w:ascii="Cambria" w:hAnsi="Cambria"/>
                <w:bCs/>
                <w:sz w:val="20"/>
                <w:szCs w:val="20"/>
                <w:lang w:val="es-PA"/>
              </w:rPr>
              <w:t>Artículo</w:t>
            </w:r>
            <w:r w:rsidR="00816ADF" w:rsidRPr="003F6C6C">
              <w:rPr>
                <w:rFonts w:ascii="Cambria" w:hAnsi="Cambria"/>
                <w:bCs/>
                <w:sz w:val="20"/>
                <w:szCs w:val="20"/>
                <w:lang w:val="es-PA"/>
              </w:rPr>
              <w:t xml:space="preserve"> </w:t>
            </w:r>
            <w:r>
              <w:rPr>
                <w:rFonts w:ascii="Cambria" w:hAnsi="Cambria"/>
                <w:bCs/>
                <w:sz w:val="20"/>
                <w:szCs w:val="20"/>
                <w:lang w:val="es-PA"/>
              </w:rPr>
              <w:t xml:space="preserve"> 8 (garantías judiciales)</w:t>
            </w:r>
            <w:r w:rsidR="00CE0F20">
              <w:rPr>
                <w:rFonts w:ascii="Cambria" w:hAnsi="Cambria"/>
                <w:bCs/>
                <w:sz w:val="20"/>
                <w:szCs w:val="20"/>
                <w:lang w:val="es-PA"/>
              </w:rPr>
              <w:t xml:space="preserve"> y 24 (igualdad ante la ley)</w:t>
            </w:r>
            <w:r>
              <w:rPr>
                <w:rFonts w:ascii="Cambria" w:hAnsi="Cambria"/>
                <w:bCs/>
                <w:sz w:val="20"/>
                <w:szCs w:val="20"/>
                <w:lang w:val="es-PA"/>
              </w:rPr>
              <w:t xml:space="preserve"> </w:t>
            </w:r>
            <w:r w:rsidR="00816ADF">
              <w:rPr>
                <w:rFonts w:ascii="Cambria" w:hAnsi="Cambria"/>
                <w:bCs/>
                <w:sz w:val="20"/>
                <w:szCs w:val="20"/>
                <w:lang w:val="es-PA"/>
              </w:rPr>
              <w:t>de la Convención Americana Sobre Derechos Humanos</w:t>
            </w:r>
            <w:r w:rsidR="00816ADF">
              <w:rPr>
                <w:rStyle w:val="FootnoteReference"/>
                <w:rFonts w:ascii="Cambria" w:hAnsi="Cambria"/>
                <w:bCs/>
                <w:sz w:val="20"/>
                <w:szCs w:val="20"/>
                <w:lang w:val="es-PA"/>
              </w:rPr>
              <w:footnoteReference w:id="3"/>
            </w:r>
            <w:r w:rsidR="00816ADF">
              <w:rPr>
                <w:rFonts w:ascii="Cambria" w:hAnsi="Cambria"/>
                <w:bCs/>
                <w:sz w:val="20"/>
                <w:szCs w:val="20"/>
                <w:lang w:val="es-PA"/>
              </w:rPr>
              <w:t xml:space="preserve"> </w:t>
            </w:r>
          </w:p>
        </w:tc>
      </w:tr>
    </w:tbl>
    <w:p w14:paraId="580F8116" w14:textId="77777777" w:rsidR="00816ADF" w:rsidRPr="00E4118C" w:rsidRDefault="00816ADF"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lang w:val="es-ES"/>
        </w:rPr>
      </w:pPr>
      <w:r w:rsidRPr="004C2312">
        <w:rPr>
          <w:rFonts w:ascii="Cambria" w:hAnsi="Cambria"/>
          <w:b/>
          <w:bCs/>
          <w:sz w:val="20"/>
          <w:szCs w:val="20"/>
          <w:lang w:val="es-ES"/>
        </w:rPr>
        <w:t>II.</w:t>
      </w:r>
      <w:r w:rsidRPr="004C2312">
        <w:rPr>
          <w:rFonts w:ascii="Cambria" w:hAnsi="Cambria"/>
          <w:b/>
          <w:bCs/>
          <w:sz w:val="20"/>
          <w:szCs w:val="20"/>
          <w:lang w:val="es-ES"/>
        </w:rPr>
        <w:tab/>
        <w:t>TRÁMITE ANTE LA CIDH</w:t>
      </w:r>
      <w:r w:rsidRPr="008E3BFE">
        <w:rPr>
          <w:rStyle w:val="FootnoteReference"/>
          <w:rFonts w:ascii="Cambria" w:hAnsi="Cambria"/>
          <w:b/>
          <w:sz w:val="20"/>
          <w:szCs w:val="20"/>
        </w:rPr>
        <w:footnoteReference w:id="4"/>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816ADF" w:rsidRPr="004E376D" w14:paraId="66D8BC9D" w14:textId="77777777" w:rsidTr="003F6C6C">
        <w:tc>
          <w:tcPr>
            <w:tcW w:w="3600" w:type="dxa"/>
            <w:tcBorders>
              <w:top w:val="single" w:sz="4" w:space="0" w:color="auto"/>
            </w:tcBorders>
            <w:shd w:val="clear" w:color="auto" w:fill="386294"/>
            <w:vAlign w:val="center"/>
          </w:tcPr>
          <w:p w14:paraId="65D80A06" w14:textId="77777777" w:rsidR="00816ADF" w:rsidRPr="003F6C6C" w:rsidRDefault="00816ADF" w:rsidP="003F6C6C">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3F6C6C">
              <w:rPr>
                <w:rFonts w:ascii="Cambria" w:hAnsi="Cambria"/>
                <w:b/>
                <w:bCs/>
                <w:color w:val="FFFFFF"/>
                <w:sz w:val="20"/>
                <w:szCs w:val="20"/>
                <w:lang w:val="es-ES"/>
              </w:rPr>
              <w:t>Presentación de la petición:</w:t>
            </w:r>
          </w:p>
        </w:tc>
        <w:tc>
          <w:tcPr>
            <w:tcW w:w="5760" w:type="dxa"/>
            <w:tcBorders>
              <w:top w:val="single" w:sz="4" w:space="0" w:color="auto"/>
            </w:tcBorders>
            <w:vAlign w:val="center"/>
          </w:tcPr>
          <w:p w14:paraId="2C056AA3" w14:textId="1E935881" w:rsidR="00816ADF" w:rsidRPr="003F6C6C" w:rsidRDefault="003941D2" w:rsidP="003F6C6C">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Pr>
                <w:rFonts w:ascii="Cambria" w:hAnsi="Cambria"/>
                <w:bCs/>
                <w:sz w:val="20"/>
                <w:szCs w:val="20"/>
                <w:lang w:val="es-ES"/>
              </w:rPr>
              <w:t>29 de marzo de 2007</w:t>
            </w:r>
          </w:p>
        </w:tc>
      </w:tr>
      <w:tr w:rsidR="00816ADF" w:rsidRPr="00F06319" w14:paraId="708A1736" w14:textId="77777777" w:rsidTr="003F6C6C">
        <w:tc>
          <w:tcPr>
            <w:tcW w:w="3600" w:type="dxa"/>
            <w:shd w:val="clear" w:color="auto" w:fill="386294"/>
            <w:vAlign w:val="center"/>
          </w:tcPr>
          <w:p w14:paraId="23C8C53A" w14:textId="77777777" w:rsidR="00816ADF" w:rsidRPr="003F6C6C" w:rsidRDefault="00816ADF" w:rsidP="003F6C6C">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3F6C6C">
              <w:rPr>
                <w:rFonts w:ascii="Cambria" w:hAnsi="Cambria"/>
                <w:b/>
                <w:bCs/>
                <w:color w:val="FFFFFF"/>
                <w:sz w:val="20"/>
                <w:szCs w:val="20"/>
                <w:lang w:val="es-ES"/>
              </w:rPr>
              <w:t>Información adicional recibida durante la etapa de estudio:</w:t>
            </w:r>
          </w:p>
        </w:tc>
        <w:tc>
          <w:tcPr>
            <w:tcW w:w="5760" w:type="dxa"/>
            <w:vAlign w:val="center"/>
          </w:tcPr>
          <w:p w14:paraId="68431504" w14:textId="2EFCD590" w:rsidR="00816ADF" w:rsidRPr="003F6C6C" w:rsidRDefault="003941D2" w:rsidP="00C15FD9">
            <w:pPr>
              <w:pBdr>
                <w:top w:val="none" w:sz="0" w:space="0" w:color="auto"/>
                <w:left w:val="none" w:sz="0" w:space="0" w:color="auto"/>
                <w:bottom w:val="none" w:sz="0" w:space="0" w:color="auto"/>
                <w:right w:val="none" w:sz="0" w:space="0" w:color="auto"/>
                <w:bar w:val="none" w:sz="0" w:color="auto"/>
              </w:pBdr>
              <w:rPr>
                <w:rFonts w:ascii="Cambria" w:hAnsi="Cambria"/>
                <w:b/>
                <w:bCs/>
                <w:color w:val="FFFFFF"/>
                <w:sz w:val="20"/>
                <w:szCs w:val="20"/>
                <w:lang w:val="es-AR"/>
              </w:rPr>
            </w:pPr>
            <w:r>
              <w:rPr>
                <w:rFonts w:ascii="Cambria" w:hAnsi="Cambria"/>
                <w:bCs/>
                <w:sz w:val="20"/>
                <w:szCs w:val="20"/>
                <w:lang w:val="es-ES"/>
              </w:rPr>
              <w:t>11 de septiembre de 2007</w:t>
            </w:r>
            <w:r w:rsidR="00B469D3">
              <w:rPr>
                <w:rFonts w:ascii="Cambria" w:hAnsi="Cambria"/>
                <w:bCs/>
                <w:sz w:val="20"/>
                <w:szCs w:val="20"/>
                <w:lang w:val="es-ES"/>
              </w:rPr>
              <w:t xml:space="preserve"> y </w:t>
            </w:r>
            <w:r>
              <w:rPr>
                <w:rFonts w:ascii="Cambria" w:hAnsi="Cambria"/>
                <w:bCs/>
                <w:sz w:val="20"/>
                <w:szCs w:val="20"/>
                <w:lang w:val="es-ES"/>
              </w:rPr>
              <w:t>6 de agosto de 2010</w:t>
            </w:r>
          </w:p>
        </w:tc>
      </w:tr>
      <w:tr w:rsidR="00816ADF" w:rsidRPr="00B83D13" w14:paraId="272E50EC" w14:textId="77777777" w:rsidTr="003F6C6C">
        <w:tc>
          <w:tcPr>
            <w:tcW w:w="3600" w:type="dxa"/>
            <w:shd w:val="clear" w:color="auto" w:fill="386294"/>
            <w:vAlign w:val="center"/>
          </w:tcPr>
          <w:p w14:paraId="7CA96DDF" w14:textId="77777777" w:rsidR="00816ADF" w:rsidRPr="003F6C6C" w:rsidRDefault="00816ADF" w:rsidP="003F6C6C">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3F6C6C">
              <w:rPr>
                <w:rFonts w:ascii="Cambria" w:hAnsi="Cambria"/>
                <w:b/>
                <w:color w:val="FFFFFF"/>
                <w:sz w:val="20"/>
                <w:szCs w:val="20"/>
                <w:lang w:val="es-ES"/>
              </w:rPr>
              <w:t>Notificación de la petición al Estado:</w:t>
            </w:r>
          </w:p>
        </w:tc>
        <w:tc>
          <w:tcPr>
            <w:tcW w:w="5760" w:type="dxa"/>
            <w:vAlign w:val="center"/>
          </w:tcPr>
          <w:p w14:paraId="0AE8FC93" w14:textId="17E55F7C" w:rsidR="00816ADF" w:rsidRPr="003F6C6C" w:rsidRDefault="00B469D3" w:rsidP="003F6C6C">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Pr>
                <w:rFonts w:ascii="Cambria" w:hAnsi="Cambria"/>
                <w:bCs/>
                <w:sz w:val="20"/>
                <w:szCs w:val="20"/>
                <w:lang w:val="es-ES"/>
              </w:rPr>
              <w:t>29 de junio de 2011</w:t>
            </w:r>
          </w:p>
        </w:tc>
      </w:tr>
      <w:tr w:rsidR="00816ADF" w:rsidRPr="004A6A54" w14:paraId="72D9612A" w14:textId="77777777" w:rsidTr="003F6C6C">
        <w:tc>
          <w:tcPr>
            <w:tcW w:w="3600" w:type="dxa"/>
            <w:shd w:val="clear" w:color="auto" w:fill="386294"/>
            <w:vAlign w:val="center"/>
          </w:tcPr>
          <w:p w14:paraId="36E32615" w14:textId="77777777" w:rsidR="00816ADF" w:rsidRPr="003F6C6C" w:rsidRDefault="00816ADF" w:rsidP="003F6C6C">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3F6C6C">
              <w:rPr>
                <w:rFonts w:ascii="Cambria" w:hAnsi="Cambria"/>
                <w:b/>
                <w:color w:val="FFFFFF"/>
                <w:sz w:val="20"/>
                <w:szCs w:val="20"/>
                <w:lang w:val="es-ES"/>
              </w:rPr>
              <w:t>Primera respuesta del Estado:</w:t>
            </w:r>
          </w:p>
        </w:tc>
        <w:tc>
          <w:tcPr>
            <w:tcW w:w="5760" w:type="dxa"/>
            <w:vAlign w:val="center"/>
          </w:tcPr>
          <w:p w14:paraId="4338BDE2" w14:textId="6F8089D0" w:rsidR="00816ADF" w:rsidRPr="003F6C6C" w:rsidRDefault="00B469D3" w:rsidP="003F6C6C">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Pr>
                <w:rFonts w:ascii="Cambria" w:hAnsi="Cambria"/>
                <w:bCs/>
                <w:sz w:val="20"/>
                <w:szCs w:val="20"/>
              </w:rPr>
              <w:t xml:space="preserve">29 de </w:t>
            </w:r>
            <w:proofErr w:type="spellStart"/>
            <w:r>
              <w:rPr>
                <w:rFonts w:ascii="Cambria" w:hAnsi="Cambria"/>
                <w:bCs/>
                <w:sz w:val="20"/>
                <w:szCs w:val="20"/>
              </w:rPr>
              <w:t>septiembre</w:t>
            </w:r>
            <w:proofErr w:type="spellEnd"/>
            <w:r>
              <w:rPr>
                <w:rFonts w:ascii="Cambria" w:hAnsi="Cambria"/>
                <w:bCs/>
                <w:sz w:val="20"/>
                <w:szCs w:val="20"/>
              </w:rPr>
              <w:t xml:space="preserve"> de 2018</w:t>
            </w:r>
          </w:p>
        </w:tc>
      </w:tr>
      <w:tr w:rsidR="00816ADF" w:rsidRPr="00F06319" w14:paraId="24B338CA" w14:textId="77777777" w:rsidTr="003F6C6C">
        <w:tc>
          <w:tcPr>
            <w:tcW w:w="3600" w:type="dxa"/>
            <w:shd w:val="clear" w:color="auto" w:fill="386294"/>
            <w:vAlign w:val="center"/>
          </w:tcPr>
          <w:p w14:paraId="18716ED6" w14:textId="77777777" w:rsidR="00816ADF" w:rsidRPr="003F6C6C" w:rsidRDefault="00816ADF" w:rsidP="003F6C6C">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3F6C6C">
              <w:rPr>
                <w:rFonts w:ascii="Cambria" w:hAnsi="Cambria"/>
                <w:b/>
                <w:bCs/>
                <w:color w:val="FFFFFF"/>
                <w:sz w:val="20"/>
                <w:szCs w:val="20"/>
                <w:lang w:val="es-ES"/>
              </w:rPr>
              <w:t>Observaciones adicionales de la parte peticionaria:</w:t>
            </w:r>
          </w:p>
        </w:tc>
        <w:tc>
          <w:tcPr>
            <w:tcW w:w="5760" w:type="dxa"/>
            <w:vAlign w:val="center"/>
          </w:tcPr>
          <w:p w14:paraId="52B5D4D8" w14:textId="75238C74" w:rsidR="00816ADF" w:rsidRPr="003F6C6C" w:rsidRDefault="00B469D3" w:rsidP="003F6C6C">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Pr>
                <w:rFonts w:ascii="Cambria" w:hAnsi="Cambria"/>
                <w:bCs/>
                <w:sz w:val="20"/>
                <w:szCs w:val="20"/>
                <w:lang w:val="es-ES"/>
              </w:rPr>
              <w:t>19 de julio de 2018</w:t>
            </w:r>
            <w:r w:rsidR="00522B0E">
              <w:rPr>
                <w:rFonts w:ascii="Cambria" w:hAnsi="Cambria"/>
                <w:bCs/>
                <w:sz w:val="20"/>
                <w:szCs w:val="20"/>
                <w:lang w:val="es-ES"/>
              </w:rPr>
              <w:t xml:space="preserve">  y 15 de enero de 2019</w:t>
            </w:r>
          </w:p>
        </w:tc>
      </w:tr>
      <w:tr w:rsidR="00816ADF" w:rsidRPr="00C15FD9" w14:paraId="62E5679C" w14:textId="77777777" w:rsidTr="00B469D3">
        <w:tc>
          <w:tcPr>
            <w:tcW w:w="3600" w:type="dxa"/>
            <w:shd w:val="clear" w:color="auto" w:fill="386294"/>
            <w:vAlign w:val="center"/>
          </w:tcPr>
          <w:p w14:paraId="0A965A74" w14:textId="77777777" w:rsidR="00816ADF" w:rsidRPr="003F6C6C" w:rsidRDefault="00816ADF" w:rsidP="003F6C6C">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proofErr w:type="spellStart"/>
            <w:r w:rsidRPr="003F6C6C">
              <w:rPr>
                <w:rFonts w:ascii="Cambria" w:hAnsi="Cambria"/>
                <w:b/>
                <w:bCs/>
                <w:color w:val="FFFFFF"/>
                <w:sz w:val="20"/>
                <w:szCs w:val="20"/>
              </w:rPr>
              <w:t>Observaciones</w:t>
            </w:r>
            <w:proofErr w:type="spellEnd"/>
            <w:r w:rsidRPr="003F6C6C">
              <w:rPr>
                <w:rFonts w:ascii="Cambria" w:hAnsi="Cambria"/>
                <w:b/>
                <w:bCs/>
                <w:color w:val="FFFFFF"/>
                <w:sz w:val="20"/>
                <w:szCs w:val="20"/>
              </w:rPr>
              <w:t xml:space="preserve"> </w:t>
            </w:r>
            <w:proofErr w:type="spellStart"/>
            <w:r w:rsidRPr="003F6C6C">
              <w:rPr>
                <w:rFonts w:ascii="Cambria" w:hAnsi="Cambria"/>
                <w:b/>
                <w:bCs/>
                <w:color w:val="FFFFFF"/>
                <w:sz w:val="20"/>
                <w:szCs w:val="20"/>
              </w:rPr>
              <w:t>adicionales</w:t>
            </w:r>
            <w:proofErr w:type="spellEnd"/>
            <w:r w:rsidRPr="003F6C6C">
              <w:rPr>
                <w:rFonts w:ascii="Cambria" w:hAnsi="Cambria"/>
                <w:b/>
                <w:bCs/>
                <w:color w:val="FFFFFF"/>
                <w:sz w:val="20"/>
                <w:szCs w:val="20"/>
              </w:rPr>
              <w:t xml:space="preserve"> del Estado:</w:t>
            </w:r>
          </w:p>
        </w:tc>
        <w:tc>
          <w:tcPr>
            <w:tcW w:w="5760" w:type="dxa"/>
            <w:vAlign w:val="center"/>
          </w:tcPr>
          <w:p w14:paraId="4518C90A" w14:textId="4B4D5184" w:rsidR="00816ADF" w:rsidRPr="003F6C6C" w:rsidRDefault="00691617" w:rsidP="003F6C6C">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PA"/>
              </w:rPr>
            </w:pPr>
            <w:r>
              <w:rPr>
                <w:rFonts w:ascii="Cambria" w:hAnsi="Cambria"/>
                <w:bCs/>
                <w:sz w:val="20"/>
                <w:szCs w:val="20"/>
                <w:lang w:val="es-PA"/>
              </w:rPr>
              <w:t>12 de abril de 2019</w:t>
            </w:r>
          </w:p>
        </w:tc>
      </w:tr>
      <w:tr w:rsidR="00B469D3" w:rsidRPr="00C15FD9" w14:paraId="396B6565" w14:textId="77777777" w:rsidTr="00691617">
        <w:tc>
          <w:tcPr>
            <w:tcW w:w="3600" w:type="dxa"/>
            <w:shd w:val="clear" w:color="auto" w:fill="386294"/>
            <w:vAlign w:val="center"/>
          </w:tcPr>
          <w:p w14:paraId="0F2FD70B" w14:textId="5308EB15" w:rsidR="00B469D3" w:rsidRPr="003F6C6C" w:rsidRDefault="00B469D3" w:rsidP="003F6C6C">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Pr>
                <w:rFonts w:ascii="Cambria" w:hAnsi="Cambria"/>
                <w:b/>
                <w:bCs/>
                <w:color w:val="FFFFFF" w:themeColor="background1"/>
                <w:sz w:val="20"/>
                <w:szCs w:val="20"/>
                <w:lang w:val="es-ES"/>
              </w:rPr>
              <w:t>A</w:t>
            </w:r>
            <w:r w:rsidRPr="003239B8">
              <w:rPr>
                <w:rFonts w:ascii="Cambria" w:hAnsi="Cambria"/>
                <w:b/>
                <w:bCs/>
                <w:color w:val="FFFFFF" w:themeColor="background1"/>
                <w:sz w:val="20"/>
                <w:szCs w:val="20"/>
                <w:lang w:val="es-ES"/>
              </w:rPr>
              <w:t>dvertencia sobre posible archivo:</w:t>
            </w:r>
          </w:p>
        </w:tc>
        <w:tc>
          <w:tcPr>
            <w:tcW w:w="5760" w:type="dxa"/>
            <w:vAlign w:val="center"/>
          </w:tcPr>
          <w:p w14:paraId="39597F0A" w14:textId="0E6FA282" w:rsidR="00B469D3" w:rsidRPr="003F6C6C" w:rsidRDefault="00B469D3" w:rsidP="003F6C6C">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PA"/>
              </w:rPr>
            </w:pPr>
            <w:r>
              <w:rPr>
                <w:rFonts w:ascii="Cambria" w:hAnsi="Cambria"/>
                <w:bCs/>
                <w:sz w:val="20"/>
                <w:szCs w:val="20"/>
                <w:lang w:val="es-PA"/>
              </w:rPr>
              <w:t>6 de julio de 2018</w:t>
            </w:r>
          </w:p>
        </w:tc>
      </w:tr>
      <w:tr w:rsidR="00691617" w:rsidRPr="00691617" w14:paraId="312C00C6" w14:textId="77777777" w:rsidTr="003F6C6C">
        <w:tc>
          <w:tcPr>
            <w:tcW w:w="3600" w:type="dxa"/>
            <w:tcBorders>
              <w:bottom w:val="single" w:sz="4" w:space="0" w:color="auto"/>
            </w:tcBorders>
            <w:shd w:val="clear" w:color="auto" w:fill="386294"/>
            <w:vAlign w:val="center"/>
          </w:tcPr>
          <w:p w14:paraId="58B52A05" w14:textId="42D02732" w:rsidR="00691617" w:rsidRDefault="00691617" w:rsidP="003F6C6C">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Pr="003239B8">
              <w:rPr>
                <w:rFonts w:ascii="Cambria" w:hAnsi="Cambria"/>
                <w:b/>
                <w:bCs/>
                <w:color w:val="FFFFFF" w:themeColor="background1"/>
                <w:sz w:val="20"/>
                <w:szCs w:val="20"/>
                <w:lang w:val="es-ES"/>
              </w:rPr>
              <w:t xml:space="preserve">espuesta de la parte peticionaria ante advertencia </w:t>
            </w:r>
            <w:r>
              <w:rPr>
                <w:rFonts w:ascii="Cambria" w:hAnsi="Cambria"/>
                <w:b/>
                <w:bCs/>
                <w:color w:val="FFFFFF" w:themeColor="background1"/>
                <w:sz w:val="20"/>
                <w:szCs w:val="20"/>
                <w:lang w:val="es-ES"/>
              </w:rPr>
              <w:t xml:space="preserve">de </w:t>
            </w:r>
            <w:r w:rsidRPr="003239B8">
              <w:rPr>
                <w:rFonts w:ascii="Cambria" w:hAnsi="Cambria"/>
                <w:b/>
                <w:bCs/>
                <w:color w:val="FFFFFF" w:themeColor="background1"/>
                <w:sz w:val="20"/>
                <w:szCs w:val="20"/>
                <w:lang w:val="es-ES"/>
              </w:rPr>
              <w:t>posible archivo:</w:t>
            </w:r>
          </w:p>
        </w:tc>
        <w:tc>
          <w:tcPr>
            <w:tcW w:w="5760" w:type="dxa"/>
            <w:tcBorders>
              <w:bottom w:val="single" w:sz="4" w:space="0" w:color="auto"/>
            </w:tcBorders>
            <w:vAlign w:val="center"/>
          </w:tcPr>
          <w:p w14:paraId="3919E326" w14:textId="63B97084" w:rsidR="00691617" w:rsidRDefault="00691617" w:rsidP="003F6C6C">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PA"/>
              </w:rPr>
            </w:pPr>
            <w:r>
              <w:rPr>
                <w:rFonts w:ascii="Cambria" w:hAnsi="Cambria"/>
                <w:bCs/>
                <w:sz w:val="20"/>
                <w:szCs w:val="20"/>
                <w:lang w:val="es-PA"/>
              </w:rPr>
              <w:t>19 de julio de 2018</w:t>
            </w:r>
          </w:p>
        </w:tc>
      </w:tr>
    </w:tbl>
    <w:p w14:paraId="15C4C9DB" w14:textId="77777777" w:rsidR="00816ADF" w:rsidRPr="003239B8" w:rsidRDefault="00816ADF"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lang w:val="es-ES"/>
        </w:rPr>
      </w:pPr>
      <w:r w:rsidRPr="003239B8">
        <w:rPr>
          <w:rFonts w:ascii="Cambria" w:hAnsi="Cambria"/>
          <w:b/>
          <w:bCs/>
          <w:sz w:val="20"/>
          <w:szCs w:val="20"/>
          <w:lang w:val="es-ES"/>
        </w:rPr>
        <w:t xml:space="preserve">III. </w:t>
      </w:r>
      <w:r w:rsidRPr="003239B8">
        <w:rPr>
          <w:rFonts w:ascii="Cambria" w:hAnsi="Cambria"/>
          <w:b/>
          <w:bCs/>
          <w:sz w:val="20"/>
          <w:szCs w:val="20"/>
          <w:lang w:val="es-ES"/>
        </w:rPr>
        <w:tab/>
        <w:t>COMPETENCIA</w:t>
      </w:r>
      <w:r>
        <w:rPr>
          <w:rFonts w:ascii="Cambria" w:hAnsi="Cambria"/>
          <w:b/>
          <w:bCs/>
          <w:sz w:val="20"/>
          <w:szCs w:val="20"/>
          <w:lang w:val="es-E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561"/>
        <w:gridCol w:w="5681"/>
      </w:tblGrid>
      <w:tr w:rsidR="00816ADF" w:rsidRPr="00540F17" w14:paraId="32DFC180" w14:textId="77777777" w:rsidTr="003F6C6C">
        <w:trPr>
          <w:cantSplit/>
        </w:trPr>
        <w:tc>
          <w:tcPr>
            <w:tcW w:w="3600" w:type="dxa"/>
            <w:tcBorders>
              <w:top w:val="single" w:sz="4" w:space="0" w:color="auto"/>
            </w:tcBorders>
            <w:shd w:val="clear" w:color="auto" w:fill="386294"/>
            <w:vAlign w:val="center"/>
          </w:tcPr>
          <w:p w14:paraId="3980858A" w14:textId="77777777" w:rsidR="00816ADF" w:rsidRPr="003F6C6C" w:rsidRDefault="00816ADF" w:rsidP="003F6C6C">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sz w:val="20"/>
                <w:szCs w:val="20"/>
              </w:rPr>
            </w:pPr>
            <w:proofErr w:type="spellStart"/>
            <w:r w:rsidRPr="003F6C6C">
              <w:rPr>
                <w:rFonts w:ascii="Cambria" w:hAnsi="Cambria"/>
                <w:b/>
                <w:bCs/>
                <w:color w:val="FFFFFF"/>
                <w:sz w:val="20"/>
                <w:szCs w:val="20"/>
              </w:rPr>
              <w:t>Competencia</w:t>
            </w:r>
            <w:proofErr w:type="spellEnd"/>
            <w:r w:rsidRPr="003F6C6C">
              <w:rPr>
                <w:rFonts w:ascii="Cambria" w:hAnsi="Cambria"/>
                <w:b/>
                <w:bCs/>
                <w:i/>
                <w:color w:val="FFFFFF"/>
                <w:sz w:val="20"/>
                <w:szCs w:val="20"/>
              </w:rPr>
              <w:t xml:space="preserve"> </w:t>
            </w:r>
            <w:proofErr w:type="spellStart"/>
            <w:r w:rsidRPr="003F6C6C">
              <w:rPr>
                <w:rFonts w:ascii="Cambria" w:hAnsi="Cambria"/>
                <w:b/>
                <w:bCs/>
                <w:i/>
                <w:color w:val="FFFFFF"/>
                <w:sz w:val="20"/>
                <w:szCs w:val="20"/>
              </w:rPr>
              <w:t>Ratione</w:t>
            </w:r>
            <w:proofErr w:type="spellEnd"/>
            <w:r w:rsidRPr="003F6C6C">
              <w:rPr>
                <w:rFonts w:ascii="Cambria" w:hAnsi="Cambria"/>
                <w:b/>
                <w:bCs/>
                <w:i/>
                <w:color w:val="FFFFFF"/>
                <w:sz w:val="20"/>
                <w:szCs w:val="20"/>
              </w:rPr>
              <w:t xml:space="preserve"> personae:</w:t>
            </w:r>
          </w:p>
        </w:tc>
        <w:tc>
          <w:tcPr>
            <w:tcW w:w="5760" w:type="dxa"/>
            <w:tcBorders>
              <w:top w:val="single" w:sz="4" w:space="0" w:color="auto"/>
            </w:tcBorders>
            <w:vAlign w:val="center"/>
          </w:tcPr>
          <w:p w14:paraId="128FD4B4" w14:textId="77777777" w:rsidR="00816ADF" w:rsidRPr="003F6C6C" w:rsidRDefault="00816ADF" w:rsidP="00597945">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proofErr w:type="spellStart"/>
            <w:r w:rsidRPr="003F6C6C">
              <w:rPr>
                <w:rFonts w:ascii="Cambria" w:hAnsi="Cambria"/>
                <w:bCs/>
                <w:sz w:val="20"/>
                <w:szCs w:val="20"/>
              </w:rPr>
              <w:t>Sí</w:t>
            </w:r>
            <w:proofErr w:type="spellEnd"/>
          </w:p>
        </w:tc>
      </w:tr>
      <w:tr w:rsidR="00816ADF" w:rsidRPr="00540F17" w14:paraId="21E0ACF4" w14:textId="77777777" w:rsidTr="003F6C6C">
        <w:trPr>
          <w:cantSplit/>
        </w:trPr>
        <w:tc>
          <w:tcPr>
            <w:tcW w:w="3600" w:type="dxa"/>
            <w:shd w:val="clear" w:color="auto" w:fill="386294"/>
            <w:vAlign w:val="center"/>
          </w:tcPr>
          <w:p w14:paraId="4D0F299C" w14:textId="77777777" w:rsidR="00816ADF" w:rsidRPr="003F6C6C" w:rsidRDefault="00816ADF" w:rsidP="003F6C6C">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proofErr w:type="spellStart"/>
            <w:r w:rsidRPr="003F6C6C">
              <w:rPr>
                <w:rFonts w:ascii="Cambria" w:hAnsi="Cambria"/>
                <w:b/>
                <w:bCs/>
                <w:color w:val="FFFFFF"/>
                <w:sz w:val="20"/>
                <w:szCs w:val="20"/>
              </w:rPr>
              <w:t>Competencia</w:t>
            </w:r>
            <w:proofErr w:type="spellEnd"/>
            <w:r w:rsidRPr="003F6C6C">
              <w:rPr>
                <w:rFonts w:ascii="Cambria" w:hAnsi="Cambria"/>
                <w:b/>
                <w:bCs/>
                <w:i/>
                <w:color w:val="FFFFFF"/>
                <w:sz w:val="20"/>
                <w:szCs w:val="20"/>
              </w:rPr>
              <w:t xml:space="preserve"> </w:t>
            </w:r>
            <w:proofErr w:type="spellStart"/>
            <w:r w:rsidRPr="003F6C6C">
              <w:rPr>
                <w:rFonts w:ascii="Cambria" w:hAnsi="Cambria"/>
                <w:b/>
                <w:bCs/>
                <w:i/>
                <w:color w:val="FFFFFF"/>
                <w:sz w:val="20"/>
                <w:szCs w:val="20"/>
              </w:rPr>
              <w:t>Ratione</w:t>
            </w:r>
            <w:proofErr w:type="spellEnd"/>
            <w:r w:rsidRPr="003F6C6C">
              <w:rPr>
                <w:rFonts w:ascii="Cambria" w:hAnsi="Cambria"/>
                <w:b/>
                <w:bCs/>
                <w:i/>
                <w:color w:val="FFFFFF"/>
                <w:sz w:val="20"/>
                <w:szCs w:val="20"/>
              </w:rPr>
              <w:t xml:space="preserve"> loci</w:t>
            </w:r>
            <w:r w:rsidRPr="003F6C6C">
              <w:rPr>
                <w:rFonts w:ascii="Cambria" w:hAnsi="Cambria"/>
                <w:b/>
                <w:bCs/>
                <w:color w:val="FFFFFF"/>
                <w:sz w:val="20"/>
                <w:szCs w:val="20"/>
              </w:rPr>
              <w:t>:</w:t>
            </w:r>
          </w:p>
        </w:tc>
        <w:tc>
          <w:tcPr>
            <w:tcW w:w="5760" w:type="dxa"/>
            <w:vAlign w:val="center"/>
          </w:tcPr>
          <w:p w14:paraId="59BC24E8" w14:textId="77777777" w:rsidR="00816ADF" w:rsidRPr="003F6C6C" w:rsidRDefault="00816ADF" w:rsidP="00597945">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proofErr w:type="spellStart"/>
            <w:r w:rsidRPr="003F6C6C">
              <w:rPr>
                <w:rFonts w:ascii="Cambria" w:hAnsi="Cambria"/>
                <w:bCs/>
                <w:sz w:val="20"/>
                <w:szCs w:val="20"/>
              </w:rPr>
              <w:t>Sí</w:t>
            </w:r>
            <w:proofErr w:type="spellEnd"/>
          </w:p>
        </w:tc>
      </w:tr>
      <w:tr w:rsidR="00816ADF" w:rsidRPr="00540F17" w14:paraId="6AB45036" w14:textId="77777777" w:rsidTr="003F6C6C">
        <w:trPr>
          <w:cantSplit/>
        </w:trPr>
        <w:tc>
          <w:tcPr>
            <w:tcW w:w="3600" w:type="dxa"/>
            <w:shd w:val="clear" w:color="auto" w:fill="386294"/>
            <w:vAlign w:val="center"/>
          </w:tcPr>
          <w:p w14:paraId="4357C9DB" w14:textId="77777777" w:rsidR="00816ADF" w:rsidRPr="003F6C6C" w:rsidRDefault="00816ADF" w:rsidP="003F6C6C">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proofErr w:type="spellStart"/>
            <w:r w:rsidRPr="003F6C6C">
              <w:rPr>
                <w:rFonts w:ascii="Cambria" w:hAnsi="Cambria"/>
                <w:b/>
                <w:bCs/>
                <w:color w:val="FFFFFF"/>
                <w:sz w:val="20"/>
                <w:szCs w:val="20"/>
              </w:rPr>
              <w:t>Competencia</w:t>
            </w:r>
            <w:proofErr w:type="spellEnd"/>
            <w:r w:rsidRPr="003F6C6C">
              <w:rPr>
                <w:rFonts w:ascii="Cambria" w:hAnsi="Cambria"/>
                <w:b/>
                <w:bCs/>
                <w:i/>
                <w:color w:val="FFFFFF"/>
                <w:sz w:val="20"/>
                <w:szCs w:val="20"/>
              </w:rPr>
              <w:t xml:space="preserve"> </w:t>
            </w:r>
            <w:proofErr w:type="spellStart"/>
            <w:r w:rsidRPr="003F6C6C">
              <w:rPr>
                <w:rFonts w:ascii="Cambria" w:hAnsi="Cambria"/>
                <w:b/>
                <w:bCs/>
                <w:i/>
                <w:color w:val="FFFFFF"/>
                <w:sz w:val="20"/>
                <w:szCs w:val="20"/>
              </w:rPr>
              <w:t>Ratione</w:t>
            </w:r>
            <w:proofErr w:type="spellEnd"/>
            <w:r w:rsidRPr="003F6C6C">
              <w:rPr>
                <w:rFonts w:ascii="Cambria" w:hAnsi="Cambria"/>
                <w:b/>
                <w:bCs/>
                <w:i/>
                <w:color w:val="FFFFFF"/>
                <w:sz w:val="20"/>
                <w:szCs w:val="20"/>
              </w:rPr>
              <w:t xml:space="preserve"> </w:t>
            </w:r>
            <w:proofErr w:type="spellStart"/>
            <w:r w:rsidRPr="003F6C6C">
              <w:rPr>
                <w:rFonts w:ascii="Cambria" w:hAnsi="Cambria"/>
                <w:b/>
                <w:bCs/>
                <w:i/>
                <w:color w:val="FFFFFF"/>
                <w:sz w:val="20"/>
                <w:szCs w:val="20"/>
              </w:rPr>
              <w:t>temporis</w:t>
            </w:r>
            <w:proofErr w:type="spellEnd"/>
            <w:r w:rsidRPr="003F6C6C">
              <w:rPr>
                <w:rFonts w:ascii="Cambria" w:hAnsi="Cambria"/>
                <w:b/>
                <w:bCs/>
                <w:color w:val="FFFFFF"/>
                <w:sz w:val="20"/>
                <w:szCs w:val="20"/>
              </w:rPr>
              <w:t>:</w:t>
            </w:r>
          </w:p>
        </w:tc>
        <w:tc>
          <w:tcPr>
            <w:tcW w:w="5760" w:type="dxa"/>
            <w:vAlign w:val="center"/>
          </w:tcPr>
          <w:p w14:paraId="19E7BFC3" w14:textId="77777777" w:rsidR="00816ADF" w:rsidRPr="003F6C6C" w:rsidRDefault="00816ADF" w:rsidP="00597945">
            <w:pPr>
              <w:pBdr>
                <w:top w:val="none" w:sz="0" w:space="0" w:color="auto"/>
                <w:left w:val="none" w:sz="0" w:space="0" w:color="auto"/>
                <w:bottom w:val="none" w:sz="0" w:space="0" w:color="auto"/>
                <w:right w:val="none" w:sz="0" w:space="0" w:color="auto"/>
                <w:bar w:val="none" w:sz="0" w:color="auto"/>
              </w:pBdr>
              <w:rPr>
                <w:bCs/>
                <w:sz w:val="20"/>
                <w:szCs w:val="20"/>
              </w:rPr>
            </w:pPr>
            <w:proofErr w:type="spellStart"/>
            <w:r w:rsidRPr="003F6C6C">
              <w:rPr>
                <w:bCs/>
                <w:sz w:val="20"/>
                <w:szCs w:val="20"/>
              </w:rPr>
              <w:t>Sí</w:t>
            </w:r>
            <w:proofErr w:type="spellEnd"/>
          </w:p>
        </w:tc>
      </w:tr>
      <w:tr w:rsidR="00816ADF" w:rsidRPr="00F06319" w14:paraId="1D00D29E" w14:textId="77777777" w:rsidTr="003F6C6C">
        <w:trPr>
          <w:cantSplit/>
        </w:trPr>
        <w:tc>
          <w:tcPr>
            <w:tcW w:w="3600" w:type="dxa"/>
            <w:tcBorders>
              <w:bottom w:val="single" w:sz="4" w:space="0" w:color="auto"/>
            </w:tcBorders>
            <w:shd w:val="clear" w:color="auto" w:fill="386294"/>
            <w:vAlign w:val="center"/>
          </w:tcPr>
          <w:p w14:paraId="2276268C" w14:textId="77777777" w:rsidR="00816ADF" w:rsidRPr="003F6C6C" w:rsidRDefault="00816ADF" w:rsidP="003F6C6C">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proofErr w:type="spellStart"/>
            <w:r w:rsidRPr="003F6C6C">
              <w:rPr>
                <w:rFonts w:ascii="Cambria" w:hAnsi="Cambria"/>
                <w:b/>
                <w:bCs/>
                <w:color w:val="FFFFFF"/>
                <w:sz w:val="20"/>
                <w:szCs w:val="20"/>
              </w:rPr>
              <w:t>Competencia</w:t>
            </w:r>
            <w:proofErr w:type="spellEnd"/>
            <w:r w:rsidRPr="003F6C6C">
              <w:rPr>
                <w:rFonts w:ascii="Cambria" w:hAnsi="Cambria"/>
                <w:b/>
                <w:bCs/>
                <w:i/>
                <w:color w:val="FFFFFF"/>
                <w:sz w:val="20"/>
                <w:szCs w:val="20"/>
              </w:rPr>
              <w:t xml:space="preserve"> </w:t>
            </w:r>
            <w:proofErr w:type="spellStart"/>
            <w:r w:rsidRPr="003F6C6C">
              <w:rPr>
                <w:rFonts w:ascii="Cambria" w:hAnsi="Cambria"/>
                <w:b/>
                <w:bCs/>
                <w:i/>
                <w:color w:val="FFFFFF"/>
                <w:sz w:val="20"/>
                <w:szCs w:val="20"/>
              </w:rPr>
              <w:t>Ratione</w:t>
            </w:r>
            <w:proofErr w:type="spellEnd"/>
            <w:r w:rsidRPr="003F6C6C">
              <w:rPr>
                <w:rFonts w:ascii="Cambria" w:hAnsi="Cambria"/>
                <w:b/>
                <w:bCs/>
                <w:i/>
                <w:color w:val="FFFFFF"/>
                <w:sz w:val="20"/>
                <w:szCs w:val="20"/>
              </w:rPr>
              <w:t xml:space="preserve"> </w:t>
            </w:r>
            <w:proofErr w:type="spellStart"/>
            <w:r w:rsidRPr="003F6C6C">
              <w:rPr>
                <w:rFonts w:ascii="Cambria" w:hAnsi="Cambria"/>
                <w:b/>
                <w:bCs/>
                <w:i/>
                <w:color w:val="FFFFFF"/>
                <w:sz w:val="20"/>
                <w:szCs w:val="20"/>
              </w:rPr>
              <w:t>materiae</w:t>
            </w:r>
            <w:proofErr w:type="spellEnd"/>
            <w:r w:rsidRPr="003F6C6C">
              <w:rPr>
                <w:rFonts w:ascii="Cambria" w:hAnsi="Cambria"/>
                <w:b/>
                <w:bCs/>
                <w:color w:val="FFFFFF"/>
                <w:sz w:val="20"/>
                <w:szCs w:val="20"/>
              </w:rPr>
              <w:t>:</w:t>
            </w:r>
          </w:p>
        </w:tc>
        <w:tc>
          <w:tcPr>
            <w:tcW w:w="5760" w:type="dxa"/>
            <w:tcBorders>
              <w:bottom w:val="single" w:sz="4" w:space="0" w:color="auto"/>
            </w:tcBorders>
            <w:vAlign w:val="center"/>
          </w:tcPr>
          <w:p w14:paraId="29B19729" w14:textId="77777777" w:rsidR="00816ADF" w:rsidRPr="003F6C6C" w:rsidRDefault="00816ADF" w:rsidP="003F6C6C">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3F6C6C">
              <w:rPr>
                <w:rFonts w:ascii="Cambria" w:hAnsi="Cambria"/>
                <w:bCs/>
                <w:sz w:val="20"/>
                <w:szCs w:val="20"/>
                <w:lang w:val="es-ES"/>
              </w:rPr>
              <w:t>Sí (depósito del instrumento de ratificación realizado el 28 de diciembre de 1977)</w:t>
            </w:r>
          </w:p>
        </w:tc>
      </w:tr>
    </w:tbl>
    <w:p w14:paraId="439CBF41" w14:textId="25CE7633" w:rsidR="00816ADF" w:rsidRPr="003239B8" w:rsidRDefault="00816ADF"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lang w:val="es-ES"/>
        </w:rPr>
      </w:pPr>
      <w:r w:rsidRPr="003239B8">
        <w:rPr>
          <w:rFonts w:ascii="Cambria" w:hAnsi="Cambria"/>
          <w:b/>
          <w:bCs/>
          <w:sz w:val="20"/>
          <w:szCs w:val="20"/>
          <w:lang w:val="es-ES"/>
        </w:rPr>
        <w:t xml:space="preserve">IV. </w:t>
      </w:r>
      <w:r w:rsidRPr="003239B8">
        <w:rPr>
          <w:rFonts w:ascii="Cambria" w:hAnsi="Cambria"/>
          <w:b/>
          <w:bCs/>
          <w:sz w:val="20"/>
          <w:szCs w:val="20"/>
          <w:lang w:val="es-ES"/>
        </w:rPr>
        <w:tab/>
        <w:t>DUPLICACIÓN</w:t>
      </w:r>
      <w:r w:rsidRPr="003239B8">
        <w:rPr>
          <w:rFonts w:ascii="Cambria" w:hAnsi="Cambria"/>
          <w:b/>
          <w:bCs/>
          <w:color w:val="FFFFFF"/>
          <w:sz w:val="20"/>
          <w:szCs w:val="20"/>
          <w:lang w:val="es-ES"/>
        </w:rPr>
        <w:t xml:space="preserve"> </w:t>
      </w:r>
      <w:r w:rsidRPr="003239B8">
        <w:rPr>
          <w:rFonts w:ascii="Cambria" w:hAnsi="Cambria"/>
          <w:b/>
          <w:bCs/>
          <w:sz w:val="20"/>
          <w:szCs w:val="20"/>
          <w:lang w:val="es-ES"/>
        </w:rPr>
        <w:t>DE PROCEDIMIENTOS Y COSA JUZGADA</w:t>
      </w:r>
      <w:r w:rsidRPr="003239B8">
        <w:rPr>
          <w:rFonts w:ascii="Cambria" w:hAnsi="Cambria"/>
          <w:b/>
          <w:bCs/>
          <w:i/>
          <w:sz w:val="20"/>
          <w:szCs w:val="20"/>
          <w:lang w:val="es-ES"/>
        </w:rPr>
        <w:t xml:space="preserve"> </w:t>
      </w:r>
      <w:r w:rsidR="009528C4" w:rsidRPr="003239B8">
        <w:rPr>
          <w:rFonts w:ascii="Cambria" w:hAnsi="Cambria"/>
          <w:b/>
          <w:bCs/>
          <w:sz w:val="20"/>
          <w:szCs w:val="20"/>
          <w:lang w:val="es-ES"/>
        </w:rPr>
        <w:t>INTERNACIONAL</w:t>
      </w:r>
      <w:r w:rsidR="009528C4">
        <w:rPr>
          <w:rFonts w:ascii="Cambria" w:hAnsi="Cambria"/>
          <w:b/>
          <w:bCs/>
          <w:sz w:val="20"/>
          <w:szCs w:val="20"/>
          <w:lang w:val="es-ES"/>
        </w:rPr>
        <w:t xml:space="preserve">, </w:t>
      </w:r>
      <w:r w:rsidR="009528C4" w:rsidRPr="003239B8">
        <w:rPr>
          <w:rFonts w:ascii="Cambria" w:hAnsi="Cambria"/>
          <w:b/>
          <w:bCs/>
          <w:sz w:val="20"/>
          <w:szCs w:val="20"/>
          <w:lang w:val="es-ES"/>
        </w:rPr>
        <w:t>CARACTERIZACIÓN</w:t>
      </w:r>
      <w:r w:rsidRPr="003239B8">
        <w:rPr>
          <w:rFonts w:ascii="Cambria" w:hAnsi="Cambria"/>
          <w:b/>
          <w:bCs/>
          <w:sz w:val="20"/>
          <w:szCs w:val="20"/>
          <w:lang w:val="es-ES"/>
        </w:rPr>
        <w:t xml:space="preserve">, </w:t>
      </w:r>
      <w:r w:rsidRPr="003239B8">
        <w:rPr>
          <w:rFonts w:ascii="Cambria" w:hAnsi="Cambria"/>
          <w:b/>
          <w:sz w:val="20"/>
          <w:szCs w:val="20"/>
          <w:lang w:val="es-ES"/>
        </w:rPr>
        <w:t>AGOTAMIENTO DE LOS RECURSOS INTERNOS Y PLAZO DE PRESENTACIÓN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564"/>
        <w:gridCol w:w="5678"/>
      </w:tblGrid>
      <w:tr w:rsidR="00816ADF" w:rsidRPr="00B83D13" w14:paraId="6570C933" w14:textId="77777777" w:rsidTr="003F6C6C">
        <w:trPr>
          <w:cantSplit/>
        </w:trPr>
        <w:tc>
          <w:tcPr>
            <w:tcW w:w="3600" w:type="dxa"/>
            <w:tcBorders>
              <w:top w:val="single" w:sz="4" w:space="0" w:color="auto"/>
            </w:tcBorders>
            <w:shd w:val="clear" w:color="auto" w:fill="386294"/>
            <w:vAlign w:val="center"/>
          </w:tcPr>
          <w:p w14:paraId="6F6201DE" w14:textId="77777777" w:rsidR="00816ADF" w:rsidRPr="003F6C6C" w:rsidRDefault="00816ADF" w:rsidP="003F6C6C">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3F6C6C">
              <w:rPr>
                <w:rFonts w:ascii="Cambria" w:hAnsi="Cambria"/>
                <w:b/>
                <w:bCs/>
                <w:color w:val="FFFFFF"/>
                <w:sz w:val="20"/>
                <w:szCs w:val="20"/>
                <w:lang w:val="es-ES"/>
              </w:rPr>
              <w:t>Duplicación de procedimientos y cosa juzgada internacional:</w:t>
            </w:r>
          </w:p>
        </w:tc>
        <w:tc>
          <w:tcPr>
            <w:tcW w:w="5760" w:type="dxa"/>
            <w:tcBorders>
              <w:top w:val="single" w:sz="4" w:space="0" w:color="auto"/>
            </w:tcBorders>
            <w:vAlign w:val="center"/>
          </w:tcPr>
          <w:p w14:paraId="1DEE9903" w14:textId="77777777" w:rsidR="00816ADF" w:rsidRPr="003F6C6C" w:rsidRDefault="00816ADF" w:rsidP="003F6C6C">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3F6C6C">
              <w:rPr>
                <w:rFonts w:ascii="Cambria" w:hAnsi="Cambria"/>
                <w:bCs/>
                <w:sz w:val="20"/>
                <w:szCs w:val="20"/>
                <w:lang w:val="es-ES"/>
              </w:rPr>
              <w:t>No</w:t>
            </w:r>
          </w:p>
        </w:tc>
      </w:tr>
      <w:tr w:rsidR="00816ADF" w:rsidRPr="00F06319" w14:paraId="20AE3257" w14:textId="77777777" w:rsidTr="003F6C6C">
        <w:trPr>
          <w:cantSplit/>
        </w:trPr>
        <w:tc>
          <w:tcPr>
            <w:tcW w:w="3600" w:type="dxa"/>
            <w:tcBorders>
              <w:top w:val="single" w:sz="4" w:space="0" w:color="auto"/>
            </w:tcBorders>
            <w:shd w:val="clear" w:color="auto" w:fill="386294"/>
            <w:vAlign w:val="center"/>
          </w:tcPr>
          <w:p w14:paraId="32E3A3D0" w14:textId="77777777" w:rsidR="00816ADF" w:rsidRPr="003F6C6C" w:rsidRDefault="00816ADF" w:rsidP="003F6C6C">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sz w:val="20"/>
                <w:szCs w:val="20"/>
              </w:rPr>
            </w:pPr>
            <w:r w:rsidRPr="003F6C6C">
              <w:rPr>
                <w:rFonts w:ascii="Cambria" w:hAnsi="Cambria"/>
                <w:b/>
                <w:bCs/>
                <w:color w:val="FFFFFF"/>
                <w:sz w:val="20"/>
                <w:szCs w:val="20"/>
              </w:rPr>
              <w:t xml:space="preserve">Derechos </w:t>
            </w:r>
            <w:proofErr w:type="spellStart"/>
            <w:r w:rsidRPr="003F6C6C">
              <w:rPr>
                <w:rFonts w:ascii="Cambria" w:hAnsi="Cambria"/>
                <w:b/>
                <w:bCs/>
                <w:color w:val="FFFFFF"/>
                <w:sz w:val="20"/>
                <w:szCs w:val="20"/>
              </w:rPr>
              <w:t>declarados</w:t>
            </w:r>
            <w:proofErr w:type="spellEnd"/>
            <w:r w:rsidRPr="003F6C6C">
              <w:rPr>
                <w:rFonts w:ascii="Cambria" w:hAnsi="Cambria"/>
                <w:b/>
                <w:bCs/>
                <w:color w:val="FFFFFF"/>
                <w:sz w:val="20"/>
                <w:szCs w:val="20"/>
              </w:rPr>
              <w:t xml:space="preserve"> </w:t>
            </w:r>
            <w:proofErr w:type="spellStart"/>
            <w:r w:rsidRPr="003F6C6C">
              <w:rPr>
                <w:rFonts w:ascii="Cambria" w:hAnsi="Cambria"/>
                <w:b/>
                <w:bCs/>
                <w:color w:val="FFFFFF"/>
                <w:sz w:val="20"/>
                <w:szCs w:val="20"/>
              </w:rPr>
              <w:t>admisibles</w:t>
            </w:r>
            <w:proofErr w:type="spellEnd"/>
            <w:r w:rsidRPr="003F6C6C">
              <w:rPr>
                <w:rFonts w:ascii="Cambria" w:hAnsi="Cambria"/>
                <w:b/>
                <w:bCs/>
                <w:i/>
                <w:color w:val="FFFFFF"/>
                <w:sz w:val="20"/>
                <w:szCs w:val="20"/>
              </w:rPr>
              <w:t>:</w:t>
            </w:r>
          </w:p>
        </w:tc>
        <w:tc>
          <w:tcPr>
            <w:tcW w:w="5760" w:type="dxa"/>
            <w:vAlign w:val="center"/>
          </w:tcPr>
          <w:p w14:paraId="621026D2" w14:textId="4C0CA0E9" w:rsidR="00816ADF" w:rsidRPr="003F6C6C" w:rsidRDefault="00816ADF">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PA"/>
              </w:rPr>
            </w:pPr>
            <w:r w:rsidRPr="003F6C6C">
              <w:rPr>
                <w:rFonts w:ascii="Cambria" w:hAnsi="Cambria"/>
                <w:bCs/>
                <w:sz w:val="20"/>
                <w:szCs w:val="20"/>
                <w:lang w:val="es-PA"/>
              </w:rPr>
              <w:t>Art</w:t>
            </w:r>
            <w:r w:rsidR="00691617">
              <w:rPr>
                <w:rFonts w:ascii="Cambria" w:hAnsi="Cambria"/>
                <w:bCs/>
                <w:sz w:val="20"/>
                <w:szCs w:val="20"/>
                <w:lang w:val="es-PA"/>
              </w:rPr>
              <w:t>ículos 8 (garantías judiciales) y</w:t>
            </w:r>
            <w:r>
              <w:rPr>
                <w:rFonts w:ascii="Cambria" w:hAnsi="Cambria"/>
                <w:bCs/>
                <w:sz w:val="20"/>
                <w:szCs w:val="20"/>
                <w:lang w:val="es-PA"/>
              </w:rPr>
              <w:t xml:space="preserve"> </w:t>
            </w:r>
            <w:r w:rsidRPr="003F6C6C">
              <w:rPr>
                <w:rFonts w:ascii="Cambria" w:hAnsi="Cambria"/>
                <w:bCs/>
                <w:sz w:val="20"/>
                <w:szCs w:val="20"/>
                <w:lang w:val="es-PA"/>
              </w:rPr>
              <w:t>25 (protección judicial</w:t>
            </w:r>
            <w:r w:rsidR="009528C4">
              <w:rPr>
                <w:rFonts w:ascii="Cambria" w:hAnsi="Cambria"/>
                <w:bCs/>
                <w:sz w:val="20"/>
                <w:szCs w:val="20"/>
                <w:lang w:val="es-PA"/>
              </w:rPr>
              <w:t xml:space="preserve">) </w:t>
            </w:r>
            <w:r w:rsidRPr="003F6C6C">
              <w:rPr>
                <w:rFonts w:ascii="Cambria" w:hAnsi="Cambria"/>
                <w:bCs/>
                <w:sz w:val="20"/>
                <w:szCs w:val="20"/>
                <w:lang w:val="es-PA"/>
              </w:rPr>
              <w:t>de la Convención Americana en relación con sus artículos 1.1. (obliga</w:t>
            </w:r>
            <w:r w:rsidR="00280E6F">
              <w:rPr>
                <w:rFonts w:ascii="Cambria" w:hAnsi="Cambria"/>
                <w:bCs/>
                <w:sz w:val="20"/>
                <w:szCs w:val="20"/>
                <w:lang w:val="es-PA"/>
              </w:rPr>
              <w:t>ción de respetar los derechos),</w:t>
            </w:r>
            <w:r w:rsidRPr="003F6C6C">
              <w:rPr>
                <w:rFonts w:ascii="Cambria" w:hAnsi="Cambria"/>
                <w:bCs/>
                <w:sz w:val="20"/>
                <w:szCs w:val="20"/>
                <w:lang w:val="es-PA"/>
              </w:rPr>
              <w:t xml:space="preserve"> 2 (deber de adoptar disposiciones de derechos interno)</w:t>
            </w:r>
            <w:r w:rsidR="00280E6F">
              <w:rPr>
                <w:rFonts w:ascii="Cambria" w:hAnsi="Cambria"/>
                <w:bCs/>
                <w:sz w:val="20"/>
                <w:szCs w:val="20"/>
                <w:lang w:val="es-PA"/>
              </w:rPr>
              <w:t xml:space="preserve"> y 24 (igualdad ante la ley)</w:t>
            </w:r>
          </w:p>
        </w:tc>
      </w:tr>
      <w:tr w:rsidR="00816ADF" w:rsidRPr="00F06319" w14:paraId="2B50C585" w14:textId="77777777" w:rsidTr="003F6C6C">
        <w:trPr>
          <w:cantSplit/>
        </w:trPr>
        <w:tc>
          <w:tcPr>
            <w:tcW w:w="3600" w:type="dxa"/>
            <w:shd w:val="clear" w:color="auto" w:fill="386294"/>
            <w:vAlign w:val="center"/>
          </w:tcPr>
          <w:p w14:paraId="55CDE43C" w14:textId="77777777" w:rsidR="00816ADF" w:rsidRPr="003F6C6C" w:rsidRDefault="00816ADF" w:rsidP="003F6C6C">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3F6C6C">
              <w:rPr>
                <w:rFonts w:ascii="Cambria" w:hAnsi="Cambria"/>
                <w:b/>
                <w:bCs/>
                <w:color w:val="FFFFFF"/>
                <w:sz w:val="20"/>
                <w:szCs w:val="20"/>
                <w:lang w:val="es-ES"/>
              </w:rPr>
              <w:t>Agotamiento de recursos internos o procedencia de una excepción:</w:t>
            </w:r>
          </w:p>
        </w:tc>
        <w:tc>
          <w:tcPr>
            <w:tcW w:w="5760" w:type="dxa"/>
            <w:vAlign w:val="center"/>
          </w:tcPr>
          <w:p w14:paraId="56B9A737" w14:textId="63A85E2A" w:rsidR="00816ADF" w:rsidRPr="003F6C6C" w:rsidRDefault="00816ADF" w:rsidP="00691617">
            <w:pPr>
              <w:pBdr>
                <w:top w:val="none" w:sz="0" w:space="0" w:color="auto"/>
                <w:left w:val="none" w:sz="0" w:space="0" w:color="auto"/>
                <w:bottom w:val="none" w:sz="0" w:space="0" w:color="auto"/>
                <w:right w:val="none" w:sz="0" w:space="0" w:color="auto"/>
                <w:bar w:val="none" w:sz="0" w:color="auto"/>
              </w:pBdr>
              <w:rPr>
                <w:rFonts w:ascii="Cambria" w:hAnsi="Cambria"/>
                <w:bCs/>
                <w:sz w:val="20"/>
                <w:szCs w:val="20"/>
                <w:lang w:val="es-ES"/>
              </w:rPr>
            </w:pPr>
            <w:r w:rsidRPr="003F6C6C">
              <w:rPr>
                <w:rFonts w:ascii="Cambria" w:hAnsi="Cambria"/>
                <w:bCs/>
                <w:sz w:val="20"/>
                <w:szCs w:val="20"/>
                <w:lang w:val="es-ES"/>
              </w:rPr>
              <w:t xml:space="preserve">Sí, </w:t>
            </w:r>
            <w:r w:rsidR="00691617">
              <w:rPr>
                <w:rFonts w:ascii="Cambria" w:hAnsi="Cambria"/>
                <w:bCs/>
                <w:sz w:val="20"/>
                <w:szCs w:val="20"/>
                <w:lang w:val="es-ES"/>
              </w:rPr>
              <w:t>seg</w:t>
            </w:r>
            <w:r w:rsidR="004C7E9A">
              <w:rPr>
                <w:rFonts w:ascii="Cambria" w:hAnsi="Cambria"/>
                <w:bCs/>
                <w:sz w:val="20"/>
                <w:szCs w:val="20"/>
                <w:lang w:val="es-ES"/>
              </w:rPr>
              <w:t>ún se detalla en documento anexo</w:t>
            </w:r>
          </w:p>
        </w:tc>
      </w:tr>
      <w:tr w:rsidR="00816ADF" w:rsidRPr="003D6150" w14:paraId="28C66101" w14:textId="77777777" w:rsidTr="003F6C6C">
        <w:trPr>
          <w:cantSplit/>
        </w:trPr>
        <w:tc>
          <w:tcPr>
            <w:tcW w:w="3600" w:type="dxa"/>
            <w:tcBorders>
              <w:bottom w:val="single" w:sz="4" w:space="0" w:color="auto"/>
            </w:tcBorders>
            <w:shd w:val="clear" w:color="auto" w:fill="386294"/>
            <w:vAlign w:val="center"/>
          </w:tcPr>
          <w:p w14:paraId="54B63F4E" w14:textId="77777777" w:rsidR="00816ADF" w:rsidRPr="003F6C6C" w:rsidRDefault="00816ADF" w:rsidP="003F6C6C">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PA"/>
              </w:rPr>
            </w:pPr>
            <w:r w:rsidRPr="003F6C6C">
              <w:rPr>
                <w:rFonts w:ascii="Cambria" w:hAnsi="Cambria"/>
                <w:b/>
                <w:bCs/>
                <w:color w:val="FFFFFF"/>
                <w:sz w:val="20"/>
                <w:szCs w:val="20"/>
                <w:lang w:val="es-PA"/>
              </w:rPr>
              <w:t>Presentación dentro de plazo:</w:t>
            </w:r>
          </w:p>
        </w:tc>
        <w:tc>
          <w:tcPr>
            <w:tcW w:w="5760" w:type="dxa"/>
            <w:tcBorders>
              <w:bottom w:val="single" w:sz="4" w:space="0" w:color="auto"/>
            </w:tcBorders>
            <w:vAlign w:val="center"/>
          </w:tcPr>
          <w:p w14:paraId="6EA771D1" w14:textId="77777777" w:rsidR="00816ADF" w:rsidRPr="003F6C6C" w:rsidRDefault="00816ADF" w:rsidP="00597945">
            <w:pPr>
              <w:pBdr>
                <w:top w:val="none" w:sz="0" w:space="0" w:color="auto"/>
                <w:left w:val="none" w:sz="0" w:space="0" w:color="auto"/>
                <w:bottom w:val="none" w:sz="0" w:space="0" w:color="auto"/>
                <w:right w:val="none" w:sz="0" w:space="0" w:color="auto"/>
                <w:bar w:val="none" w:sz="0" w:color="auto"/>
              </w:pBdr>
              <w:rPr>
                <w:rFonts w:ascii="Cambria" w:hAnsi="Cambria"/>
                <w:bCs/>
                <w:sz w:val="20"/>
                <w:szCs w:val="20"/>
                <w:lang w:val="es-PA"/>
              </w:rPr>
            </w:pPr>
            <w:r w:rsidRPr="003F6C6C">
              <w:rPr>
                <w:rFonts w:ascii="Cambria" w:hAnsi="Cambria"/>
                <w:bCs/>
                <w:sz w:val="20"/>
                <w:szCs w:val="20"/>
                <w:lang w:val="es-PA"/>
              </w:rPr>
              <w:t xml:space="preserve">Sí, </w:t>
            </w:r>
            <w:r>
              <w:rPr>
                <w:rFonts w:ascii="Cambria" w:hAnsi="Cambria"/>
                <w:bCs/>
                <w:sz w:val="20"/>
                <w:szCs w:val="20"/>
                <w:lang w:val="es-PA"/>
              </w:rPr>
              <w:t>13 de octubre de 2009</w:t>
            </w:r>
          </w:p>
        </w:tc>
      </w:tr>
    </w:tbl>
    <w:p w14:paraId="5D84236D" w14:textId="77777777" w:rsidR="00816ADF" w:rsidRDefault="00816ADF"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sz w:val="20"/>
          <w:szCs w:val="20"/>
          <w:lang w:val="es-UY"/>
        </w:rPr>
      </w:pPr>
      <w:r>
        <w:rPr>
          <w:rFonts w:ascii="Cambria" w:hAnsi="Cambria"/>
          <w:b/>
          <w:sz w:val="20"/>
          <w:szCs w:val="20"/>
          <w:lang w:val="es-UY"/>
        </w:rPr>
        <w:t xml:space="preserve">V. </w:t>
      </w:r>
      <w:r>
        <w:rPr>
          <w:rFonts w:ascii="Cambria" w:hAnsi="Cambria"/>
          <w:b/>
          <w:sz w:val="20"/>
          <w:szCs w:val="20"/>
          <w:lang w:val="es-UY"/>
        </w:rPr>
        <w:tab/>
        <w:t xml:space="preserve">HECHOS ALEGADOS </w:t>
      </w:r>
    </w:p>
    <w:p w14:paraId="6337EE1E" w14:textId="0F638A1E" w:rsidR="00816ADF" w:rsidRPr="00F62935" w:rsidRDefault="004C7E9A" w:rsidP="00F10532">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PA"/>
        </w:rPr>
        <w:t xml:space="preserve">Stella Maris Martinez (en adelante “la peticionaria”) denuncia presuntas violaciones a los derechos </w:t>
      </w:r>
      <w:r w:rsidR="009528C4">
        <w:rPr>
          <w:rFonts w:ascii="Cambria" w:hAnsi="Cambria"/>
          <w:sz w:val="20"/>
          <w:szCs w:val="20"/>
          <w:lang w:val="es-PA"/>
        </w:rPr>
        <w:t xml:space="preserve">humanos </w:t>
      </w:r>
      <w:r>
        <w:rPr>
          <w:rFonts w:ascii="Cambria" w:hAnsi="Cambria"/>
          <w:sz w:val="20"/>
          <w:szCs w:val="20"/>
          <w:lang w:val="es-PA"/>
        </w:rPr>
        <w:t>de 9 personas que fueron condenadas por los tribunales penales argentinos (en adelante “las presuntas víctimas”). L</w:t>
      </w:r>
      <w:r w:rsidR="00F62935">
        <w:rPr>
          <w:rFonts w:ascii="Cambria" w:hAnsi="Cambria"/>
          <w:sz w:val="20"/>
          <w:szCs w:val="20"/>
          <w:lang w:val="es-PA"/>
        </w:rPr>
        <w:t xml:space="preserve">a peticionaria denuncia que no se respetó </w:t>
      </w:r>
      <w:r w:rsidR="009528C4">
        <w:rPr>
          <w:rFonts w:ascii="Cambria" w:hAnsi="Cambria"/>
          <w:sz w:val="20"/>
          <w:szCs w:val="20"/>
          <w:lang w:val="es-PA"/>
        </w:rPr>
        <w:t>el</w:t>
      </w:r>
      <w:r w:rsidR="00F62935">
        <w:rPr>
          <w:rFonts w:ascii="Cambria" w:hAnsi="Cambria"/>
          <w:sz w:val="20"/>
          <w:szCs w:val="20"/>
          <w:lang w:val="es-PA"/>
        </w:rPr>
        <w:t xml:space="preserve"> derecho </w:t>
      </w:r>
      <w:r w:rsidR="009528C4">
        <w:rPr>
          <w:rFonts w:ascii="Cambria" w:hAnsi="Cambria"/>
          <w:sz w:val="20"/>
          <w:szCs w:val="20"/>
          <w:lang w:val="es-PA"/>
        </w:rPr>
        <w:t xml:space="preserve">de las presuntas víctimas </w:t>
      </w:r>
      <w:r w:rsidR="00F62935">
        <w:rPr>
          <w:rFonts w:ascii="Cambria" w:hAnsi="Cambria"/>
          <w:sz w:val="20"/>
          <w:szCs w:val="20"/>
          <w:lang w:val="es-PA"/>
        </w:rPr>
        <w:t xml:space="preserve">a obtener una revisión integral de la sentencia condenatoria pues el </w:t>
      </w:r>
      <w:r>
        <w:rPr>
          <w:rFonts w:ascii="Cambria" w:hAnsi="Cambria"/>
          <w:sz w:val="20"/>
          <w:szCs w:val="20"/>
          <w:lang w:val="es-PA"/>
        </w:rPr>
        <w:t xml:space="preserve">ordenamiento jurídico argentino no </w:t>
      </w:r>
      <w:r>
        <w:rPr>
          <w:rFonts w:ascii="Cambria" w:hAnsi="Cambria"/>
          <w:sz w:val="20"/>
          <w:szCs w:val="20"/>
          <w:lang w:val="es-PA"/>
        </w:rPr>
        <w:lastRenderedPageBreak/>
        <w:t>establece un recurso ordinario que permita la revisión de las condenas penales</w:t>
      </w:r>
      <w:r w:rsidR="00541DAA">
        <w:rPr>
          <w:rFonts w:ascii="Cambria" w:hAnsi="Cambria"/>
          <w:sz w:val="20"/>
          <w:szCs w:val="20"/>
          <w:lang w:val="es-PA"/>
        </w:rPr>
        <w:t xml:space="preserve">; </w:t>
      </w:r>
      <w:r w:rsidR="00E57392">
        <w:rPr>
          <w:rFonts w:ascii="Cambria" w:hAnsi="Cambria"/>
          <w:sz w:val="20"/>
          <w:szCs w:val="20"/>
          <w:lang w:val="es-PA"/>
        </w:rPr>
        <w:t xml:space="preserve">y que </w:t>
      </w:r>
      <w:r w:rsidR="00541DAA">
        <w:rPr>
          <w:rFonts w:ascii="Cambria" w:hAnsi="Cambria"/>
          <w:sz w:val="20"/>
          <w:szCs w:val="20"/>
          <w:lang w:val="es-PA"/>
        </w:rPr>
        <w:t xml:space="preserve">solamente </w:t>
      </w:r>
      <w:r w:rsidR="00E57392">
        <w:rPr>
          <w:rFonts w:ascii="Cambria" w:hAnsi="Cambria"/>
          <w:sz w:val="20"/>
          <w:szCs w:val="20"/>
          <w:lang w:val="es-PA"/>
        </w:rPr>
        <w:t xml:space="preserve">contempla </w:t>
      </w:r>
      <w:r w:rsidR="00541DAA">
        <w:rPr>
          <w:rFonts w:ascii="Cambria" w:hAnsi="Cambria"/>
          <w:sz w:val="20"/>
          <w:szCs w:val="20"/>
          <w:lang w:val="es-PA"/>
        </w:rPr>
        <w:t>recursos extraordinarios</w:t>
      </w:r>
      <w:r w:rsidR="00185F17">
        <w:rPr>
          <w:rFonts w:ascii="Cambria" w:hAnsi="Cambria"/>
          <w:sz w:val="20"/>
          <w:szCs w:val="20"/>
          <w:lang w:val="es-PA"/>
        </w:rPr>
        <w:t xml:space="preserve"> </w:t>
      </w:r>
      <w:r w:rsidR="00541DAA">
        <w:rPr>
          <w:rFonts w:ascii="Cambria" w:hAnsi="Cambria"/>
          <w:sz w:val="20"/>
          <w:szCs w:val="20"/>
          <w:lang w:val="es-PA"/>
        </w:rPr>
        <w:t xml:space="preserve">limitados al examen de cuestiones </w:t>
      </w:r>
      <w:r w:rsidR="00185F17">
        <w:rPr>
          <w:rFonts w:ascii="Cambria" w:hAnsi="Cambria"/>
          <w:sz w:val="20"/>
          <w:szCs w:val="20"/>
          <w:lang w:val="es-PA"/>
        </w:rPr>
        <w:t>específicas de derecho</w:t>
      </w:r>
      <w:r w:rsidR="00E57392">
        <w:rPr>
          <w:rFonts w:ascii="Cambria" w:hAnsi="Cambria"/>
          <w:sz w:val="20"/>
          <w:szCs w:val="20"/>
          <w:lang w:val="es-PA"/>
        </w:rPr>
        <w:t>,</w:t>
      </w:r>
      <w:r w:rsidR="00185F17">
        <w:rPr>
          <w:rFonts w:ascii="Cambria" w:hAnsi="Cambria"/>
          <w:sz w:val="20"/>
          <w:szCs w:val="20"/>
          <w:lang w:val="es-PA"/>
        </w:rPr>
        <w:t xml:space="preserve"> que no permiten una nueva valoración de los hechos o las pruebas. </w:t>
      </w:r>
    </w:p>
    <w:p w14:paraId="75CCB446" w14:textId="447689B9" w:rsidR="00F62935" w:rsidRPr="00466EAD" w:rsidRDefault="00185F17" w:rsidP="00F10532">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La peticiona</w:t>
      </w:r>
      <w:r w:rsidR="004972B3">
        <w:rPr>
          <w:rFonts w:ascii="Cambria" w:hAnsi="Cambria"/>
          <w:sz w:val="20"/>
          <w:szCs w:val="20"/>
          <w:lang w:val="es-ES"/>
        </w:rPr>
        <w:t xml:space="preserve">ria relata que las 9 presuntas víctimas fueron condenadas a penas de privación de libertad por tribunales penales de distintos </w:t>
      </w:r>
      <w:r w:rsidR="00E57392">
        <w:rPr>
          <w:rFonts w:ascii="Cambria" w:hAnsi="Cambria"/>
          <w:sz w:val="20"/>
          <w:szCs w:val="20"/>
          <w:lang w:val="es-ES"/>
        </w:rPr>
        <w:t>lugares de A</w:t>
      </w:r>
      <w:r w:rsidR="004972B3">
        <w:rPr>
          <w:rFonts w:ascii="Cambria" w:hAnsi="Cambria"/>
          <w:sz w:val="20"/>
          <w:szCs w:val="20"/>
          <w:lang w:val="es-ES"/>
        </w:rPr>
        <w:t>rgentina, 8 de ellas en 2004 y una en 1999</w:t>
      </w:r>
      <w:r w:rsidR="004972B3">
        <w:rPr>
          <w:rStyle w:val="FootnoteReference"/>
          <w:rFonts w:ascii="Cambria" w:hAnsi="Cambria"/>
          <w:bCs/>
          <w:sz w:val="20"/>
          <w:szCs w:val="20"/>
          <w:lang w:val="es-PA"/>
        </w:rPr>
        <w:footnoteReference w:id="5"/>
      </w:r>
      <w:r w:rsidR="004972B3">
        <w:rPr>
          <w:rFonts w:ascii="Cambria" w:hAnsi="Cambria"/>
          <w:bCs/>
          <w:sz w:val="20"/>
          <w:szCs w:val="20"/>
          <w:lang w:val="es-PA"/>
        </w:rPr>
        <w:t xml:space="preserve">. Indica que </w:t>
      </w:r>
      <w:r w:rsidR="001526EC">
        <w:rPr>
          <w:rFonts w:ascii="Cambria" w:hAnsi="Cambria"/>
          <w:bCs/>
          <w:sz w:val="20"/>
          <w:szCs w:val="20"/>
          <w:lang w:val="es-PA"/>
        </w:rPr>
        <w:t>cada una de las</w:t>
      </w:r>
      <w:r w:rsidR="004972B3">
        <w:rPr>
          <w:rFonts w:ascii="Cambria" w:hAnsi="Cambria"/>
          <w:bCs/>
          <w:sz w:val="20"/>
          <w:szCs w:val="20"/>
          <w:lang w:val="es-PA"/>
        </w:rPr>
        <w:t xml:space="preserve"> presuntas víctimas </w:t>
      </w:r>
      <w:r w:rsidR="001526EC">
        <w:rPr>
          <w:rFonts w:ascii="Cambria" w:hAnsi="Cambria"/>
          <w:bCs/>
          <w:sz w:val="20"/>
          <w:szCs w:val="20"/>
          <w:lang w:val="es-PA"/>
        </w:rPr>
        <w:t>solicitó</w:t>
      </w:r>
      <w:r w:rsidR="004972B3">
        <w:rPr>
          <w:rFonts w:ascii="Cambria" w:hAnsi="Cambria"/>
          <w:bCs/>
          <w:sz w:val="20"/>
          <w:szCs w:val="20"/>
          <w:lang w:val="es-PA"/>
        </w:rPr>
        <w:t xml:space="preserve"> la revisión de su condena</w:t>
      </w:r>
      <w:r w:rsidR="00F36D9D">
        <w:rPr>
          <w:rFonts w:ascii="Cambria" w:hAnsi="Cambria"/>
          <w:bCs/>
          <w:sz w:val="20"/>
          <w:szCs w:val="20"/>
          <w:lang w:val="es-PA"/>
        </w:rPr>
        <w:t xml:space="preserve"> o de la pena impuesta</w:t>
      </w:r>
      <w:r w:rsidR="004972B3">
        <w:rPr>
          <w:rFonts w:ascii="Cambria" w:hAnsi="Cambria"/>
          <w:bCs/>
          <w:sz w:val="20"/>
          <w:szCs w:val="20"/>
          <w:lang w:val="es-PA"/>
        </w:rPr>
        <w:t xml:space="preserve"> mediante el recurso de casaci</w:t>
      </w:r>
      <w:r w:rsidR="001526EC">
        <w:rPr>
          <w:rFonts w:ascii="Cambria" w:hAnsi="Cambria"/>
          <w:bCs/>
          <w:sz w:val="20"/>
          <w:szCs w:val="20"/>
          <w:lang w:val="es-PA"/>
        </w:rPr>
        <w:t xml:space="preserve">ón, único que tenían a su disposición, </w:t>
      </w:r>
      <w:r w:rsidR="00E57392">
        <w:rPr>
          <w:rFonts w:ascii="Cambria" w:hAnsi="Cambria"/>
          <w:bCs/>
          <w:sz w:val="20"/>
          <w:szCs w:val="20"/>
          <w:lang w:val="es-PA"/>
        </w:rPr>
        <w:t>pero que</w:t>
      </w:r>
      <w:r w:rsidR="00E51898">
        <w:rPr>
          <w:rFonts w:ascii="Cambria" w:hAnsi="Cambria"/>
          <w:bCs/>
          <w:sz w:val="20"/>
          <w:szCs w:val="20"/>
          <w:lang w:val="es-PA"/>
        </w:rPr>
        <w:t xml:space="preserve"> en</w:t>
      </w:r>
      <w:r w:rsidR="00634C07">
        <w:rPr>
          <w:rFonts w:ascii="Cambria" w:hAnsi="Cambria"/>
          <w:bCs/>
          <w:sz w:val="20"/>
          <w:szCs w:val="20"/>
          <w:lang w:val="es-PA"/>
        </w:rPr>
        <w:t xml:space="preserve"> </w:t>
      </w:r>
      <w:r w:rsidR="00466EAD">
        <w:rPr>
          <w:rFonts w:ascii="Cambria" w:hAnsi="Cambria"/>
          <w:bCs/>
          <w:sz w:val="20"/>
          <w:szCs w:val="20"/>
          <w:lang w:val="es-PA"/>
        </w:rPr>
        <w:t>todos</w:t>
      </w:r>
      <w:r w:rsidR="00E51898">
        <w:rPr>
          <w:rFonts w:ascii="Cambria" w:hAnsi="Cambria"/>
          <w:bCs/>
          <w:sz w:val="20"/>
          <w:szCs w:val="20"/>
          <w:lang w:val="es-PA"/>
        </w:rPr>
        <w:t xml:space="preserve"> los casos </w:t>
      </w:r>
      <w:r w:rsidR="00E57392">
        <w:rPr>
          <w:rFonts w:ascii="Cambria" w:hAnsi="Cambria"/>
          <w:bCs/>
          <w:sz w:val="20"/>
          <w:szCs w:val="20"/>
          <w:lang w:val="es-PA"/>
        </w:rPr>
        <w:t xml:space="preserve">fueron </w:t>
      </w:r>
      <w:r w:rsidR="00E51898">
        <w:rPr>
          <w:rFonts w:ascii="Cambria" w:hAnsi="Cambria"/>
          <w:bCs/>
          <w:sz w:val="20"/>
          <w:szCs w:val="20"/>
          <w:lang w:val="es-PA"/>
        </w:rPr>
        <w:t xml:space="preserve">inadmitidos o rechazados con fundamento en que los reclamos planteados no satisfacían los requisitos para </w:t>
      </w:r>
      <w:r w:rsidR="00F36D9D">
        <w:rPr>
          <w:rFonts w:ascii="Cambria" w:hAnsi="Cambria"/>
          <w:bCs/>
          <w:sz w:val="20"/>
          <w:szCs w:val="20"/>
          <w:lang w:val="es-PA"/>
        </w:rPr>
        <w:t xml:space="preserve">la revisión </w:t>
      </w:r>
      <w:proofErr w:type="spellStart"/>
      <w:r w:rsidR="00F36D9D">
        <w:rPr>
          <w:rFonts w:ascii="Cambria" w:hAnsi="Cambria"/>
          <w:bCs/>
          <w:sz w:val="20"/>
          <w:szCs w:val="20"/>
          <w:lang w:val="es-PA"/>
        </w:rPr>
        <w:t>casatoria</w:t>
      </w:r>
      <w:proofErr w:type="spellEnd"/>
      <w:r w:rsidR="00E83FD2">
        <w:rPr>
          <w:rStyle w:val="FootnoteReference"/>
          <w:rFonts w:ascii="Cambria" w:hAnsi="Cambria"/>
          <w:bCs/>
          <w:sz w:val="20"/>
          <w:szCs w:val="20"/>
          <w:lang w:val="es-PA"/>
        </w:rPr>
        <w:footnoteReference w:id="6"/>
      </w:r>
      <w:r w:rsidR="00E51898">
        <w:rPr>
          <w:rFonts w:ascii="Cambria" w:hAnsi="Cambria"/>
          <w:bCs/>
          <w:sz w:val="20"/>
          <w:szCs w:val="20"/>
          <w:lang w:val="es-PA"/>
        </w:rPr>
        <w:t>.</w:t>
      </w:r>
      <w:r w:rsidR="00E83FD2">
        <w:rPr>
          <w:rFonts w:ascii="Cambria" w:hAnsi="Cambria"/>
          <w:bCs/>
          <w:sz w:val="20"/>
          <w:szCs w:val="20"/>
          <w:lang w:val="es-PA"/>
        </w:rPr>
        <w:t xml:space="preserve"> </w:t>
      </w:r>
      <w:r w:rsidR="00634C07">
        <w:rPr>
          <w:rFonts w:ascii="Cambria" w:hAnsi="Cambria"/>
          <w:bCs/>
          <w:sz w:val="20"/>
          <w:szCs w:val="20"/>
          <w:lang w:val="es-PA"/>
        </w:rPr>
        <w:t xml:space="preserve">La peticionaria señala que en todos los casos las presuntas víctimas presentaron </w:t>
      </w:r>
      <w:r w:rsidR="00E57392">
        <w:rPr>
          <w:rFonts w:ascii="Cambria" w:hAnsi="Cambria"/>
          <w:bCs/>
          <w:sz w:val="20"/>
          <w:szCs w:val="20"/>
          <w:lang w:val="es-PA"/>
        </w:rPr>
        <w:t xml:space="preserve">un </w:t>
      </w:r>
      <w:r w:rsidR="00634C07">
        <w:rPr>
          <w:rFonts w:ascii="Cambria" w:hAnsi="Cambria"/>
          <w:bCs/>
          <w:sz w:val="20"/>
          <w:szCs w:val="20"/>
          <w:lang w:val="es-PA"/>
        </w:rPr>
        <w:t xml:space="preserve">recurso extraordinario federal contra la denegatoria de sus recursos de casación, </w:t>
      </w:r>
      <w:r w:rsidR="00E57392">
        <w:rPr>
          <w:rFonts w:ascii="Cambria" w:hAnsi="Cambria"/>
          <w:bCs/>
          <w:sz w:val="20"/>
          <w:szCs w:val="20"/>
          <w:lang w:val="es-PA"/>
        </w:rPr>
        <w:t>pero</w:t>
      </w:r>
      <w:r w:rsidR="00634C07">
        <w:rPr>
          <w:rFonts w:ascii="Cambria" w:hAnsi="Cambria"/>
          <w:bCs/>
          <w:sz w:val="20"/>
          <w:szCs w:val="20"/>
          <w:lang w:val="es-PA"/>
        </w:rPr>
        <w:t xml:space="preserve"> </w:t>
      </w:r>
      <w:r w:rsidR="00E57392">
        <w:rPr>
          <w:rFonts w:ascii="Cambria" w:hAnsi="Cambria"/>
          <w:bCs/>
          <w:sz w:val="20"/>
          <w:szCs w:val="20"/>
          <w:lang w:val="es-PA"/>
        </w:rPr>
        <w:t>que fueron</w:t>
      </w:r>
      <w:r w:rsidR="00F36D9D">
        <w:rPr>
          <w:rFonts w:ascii="Cambria" w:hAnsi="Cambria"/>
          <w:bCs/>
          <w:sz w:val="20"/>
          <w:szCs w:val="20"/>
          <w:lang w:val="es-PA"/>
        </w:rPr>
        <w:t xml:space="preserve"> </w:t>
      </w:r>
      <w:r w:rsidR="00634C07">
        <w:rPr>
          <w:rFonts w:ascii="Cambria" w:hAnsi="Cambria"/>
          <w:bCs/>
          <w:sz w:val="20"/>
          <w:szCs w:val="20"/>
          <w:lang w:val="es-PA"/>
        </w:rPr>
        <w:t xml:space="preserve"> negados por los tribunales de casación por considerar que no </w:t>
      </w:r>
      <w:r w:rsidR="00E57392">
        <w:rPr>
          <w:rFonts w:ascii="Cambria" w:hAnsi="Cambria"/>
          <w:bCs/>
          <w:sz w:val="20"/>
          <w:szCs w:val="20"/>
          <w:lang w:val="es-PA"/>
        </w:rPr>
        <w:t>había</w:t>
      </w:r>
      <w:r w:rsidR="00634C07">
        <w:rPr>
          <w:rFonts w:ascii="Cambria" w:hAnsi="Cambria"/>
          <w:bCs/>
          <w:sz w:val="20"/>
          <w:szCs w:val="20"/>
          <w:lang w:val="es-PA"/>
        </w:rPr>
        <w:t xml:space="preserve"> causa para habilitar la vía federal</w:t>
      </w:r>
      <w:r w:rsidR="00194AED">
        <w:rPr>
          <w:rStyle w:val="FootnoteReference"/>
          <w:rFonts w:ascii="Cambria" w:hAnsi="Cambria"/>
          <w:bCs/>
          <w:sz w:val="20"/>
          <w:szCs w:val="20"/>
          <w:lang w:val="es-PA"/>
        </w:rPr>
        <w:footnoteReference w:id="7"/>
      </w:r>
      <w:r w:rsidR="00634C07">
        <w:rPr>
          <w:rFonts w:ascii="Cambria" w:hAnsi="Cambria"/>
          <w:bCs/>
          <w:sz w:val="20"/>
          <w:szCs w:val="20"/>
          <w:lang w:val="es-PA"/>
        </w:rPr>
        <w:t>. Agrega que posteriormente las presuntas víctimas intentaron recursos de hecho por denegatoria de recurso extraordinario federal</w:t>
      </w:r>
      <w:r w:rsidR="00E57392">
        <w:rPr>
          <w:rFonts w:ascii="Cambria" w:hAnsi="Cambria"/>
          <w:bCs/>
          <w:sz w:val="20"/>
          <w:szCs w:val="20"/>
          <w:lang w:val="es-PA"/>
        </w:rPr>
        <w:t>;</w:t>
      </w:r>
      <w:r w:rsidR="00634C07">
        <w:rPr>
          <w:rFonts w:ascii="Cambria" w:hAnsi="Cambria"/>
          <w:bCs/>
          <w:sz w:val="20"/>
          <w:szCs w:val="20"/>
          <w:lang w:val="es-PA"/>
        </w:rPr>
        <w:t xml:space="preserve"> todos </w:t>
      </w:r>
      <w:r w:rsidR="00E57392">
        <w:rPr>
          <w:rFonts w:ascii="Cambria" w:hAnsi="Cambria"/>
          <w:bCs/>
          <w:sz w:val="20"/>
          <w:szCs w:val="20"/>
          <w:lang w:val="es-PA"/>
        </w:rPr>
        <w:t xml:space="preserve">fueron </w:t>
      </w:r>
      <w:r w:rsidR="00634C07">
        <w:rPr>
          <w:rFonts w:ascii="Cambria" w:hAnsi="Cambria"/>
          <w:bCs/>
          <w:sz w:val="20"/>
          <w:szCs w:val="20"/>
          <w:lang w:val="es-PA"/>
        </w:rPr>
        <w:t xml:space="preserve">rechazados </w:t>
      </w:r>
      <w:r w:rsidR="00634C07">
        <w:rPr>
          <w:rFonts w:ascii="Cambria" w:hAnsi="Cambria"/>
          <w:bCs/>
          <w:i/>
          <w:sz w:val="20"/>
          <w:szCs w:val="20"/>
          <w:lang w:val="es-PA"/>
        </w:rPr>
        <w:t xml:space="preserve">in </w:t>
      </w:r>
      <w:proofErr w:type="spellStart"/>
      <w:r w:rsidR="00634C07">
        <w:rPr>
          <w:rFonts w:ascii="Cambria" w:hAnsi="Cambria"/>
          <w:bCs/>
          <w:i/>
          <w:sz w:val="20"/>
          <w:szCs w:val="20"/>
          <w:lang w:val="es-PA"/>
        </w:rPr>
        <w:t>limine</w:t>
      </w:r>
      <w:proofErr w:type="spellEnd"/>
      <w:r w:rsidR="00634C07">
        <w:rPr>
          <w:rFonts w:ascii="Cambria" w:hAnsi="Cambria"/>
          <w:bCs/>
          <w:i/>
          <w:sz w:val="20"/>
          <w:szCs w:val="20"/>
          <w:lang w:val="es-PA"/>
        </w:rPr>
        <w:t xml:space="preserve"> </w:t>
      </w:r>
      <w:r w:rsidR="00634C07">
        <w:rPr>
          <w:rFonts w:ascii="Cambria" w:hAnsi="Cambria"/>
          <w:bCs/>
          <w:sz w:val="20"/>
          <w:szCs w:val="20"/>
          <w:lang w:val="es-PA"/>
        </w:rPr>
        <w:t>por la Corte Suprema de Justicia de la Nación en 2006 con fundamento en el artículo 280 del Código Procesal Civil y Comercial de la Nación</w:t>
      </w:r>
      <w:r w:rsidR="00E32EC5">
        <w:rPr>
          <w:rFonts w:ascii="Cambria" w:hAnsi="Cambria"/>
          <w:bCs/>
          <w:sz w:val="20"/>
          <w:szCs w:val="20"/>
          <w:lang w:val="es-PA"/>
        </w:rPr>
        <w:t xml:space="preserve"> (en adelante “el CPCC”)</w:t>
      </w:r>
      <w:r w:rsidR="00634C07">
        <w:rPr>
          <w:rFonts w:ascii="Cambria" w:hAnsi="Cambria"/>
          <w:bCs/>
          <w:sz w:val="20"/>
          <w:szCs w:val="20"/>
          <w:lang w:val="es-PA"/>
        </w:rPr>
        <w:t xml:space="preserve"> que habilita a dicho tribunal para rechazar los recursos extraordinarios sin brindar fundamento alguno</w:t>
      </w:r>
      <w:r w:rsidR="00194AED">
        <w:rPr>
          <w:rStyle w:val="FootnoteReference"/>
          <w:rFonts w:ascii="Cambria" w:hAnsi="Cambria"/>
          <w:bCs/>
          <w:sz w:val="20"/>
          <w:szCs w:val="20"/>
          <w:lang w:val="es-PA"/>
        </w:rPr>
        <w:footnoteReference w:id="8"/>
      </w:r>
      <w:r w:rsidR="00634C07">
        <w:rPr>
          <w:rFonts w:ascii="Cambria" w:hAnsi="Cambria"/>
          <w:bCs/>
          <w:sz w:val="20"/>
          <w:szCs w:val="20"/>
          <w:lang w:val="es-PA"/>
        </w:rPr>
        <w:t>.</w:t>
      </w:r>
    </w:p>
    <w:p w14:paraId="3BDAB64E" w14:textId="7027B1D4" w:rsidR="003E7F31" w:rsidRPr="003E7F31" w:rsidRDefault="00466EAD" w:rsidP="00F10532">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Pr>
          <w:rFonts w:ascii="Cambria" w:hAnsi="Cambria"/>
          <w:bCs/>
          <w:sz w:val="20"/>
          <w:szCs w:val="20"/>
          <w:lang w:val="es-PA"/>
        </w:rPr>
        <w:t xml:space="preserve">La peticionaria considera que lo </w:t>
      </w:r>
      <w:r w:rsidR="00E57392">
        <w:rPr>
          <w:rFonts w:ascii="Cambria" w:hAnsi="Cambria"/>
          <w:bCs/>
          <w:sz w:val="20"/>
          <w:szCs w:val="20"/>
          <w:lang w:val="es-PA"/>
        </w:rPr>
        <w:t>anterior</w:t>
      </w:r>
      <w:r>
        <w:rPr>
          <w:rFonts w:ascii="Cambria" w:hAnsi="Cambria"/>
          <w:bCs/>
          <w:sz w:val="20"/>
          <w:szCs w:val="20"/>
          <w:lang w:val="es-PA"/>
        </w:rPr>
        <w:t xml:space="preserve"> evidencia que el ordenamiento argentino no garantiza el derecho a la revisión integral de las sentencias penales condenatorias contemplado en el artículo 8.2(h) de la Convención Americana. Explica que la jurisprudencia de la Corte Interamericana </w:t>
      </w:r>
      <w:r w:rsidR="00E57392">
        <w:rPr>
          <w:rFonts w:ascii="Cambria" w:hAnsi="Cambria"/>
          <w:bCs/>
          <w:sz w:val="20"/>
          <w:szCs w:val="20"/>
          <w:lang w:val="es-PA"/>
        </w:rPr>
        <w:t xml:space="preserve">de Derechos Humanos </w:t>
      </w:r>
      <w:r>
        <w:rPr>
          <w:rFonts w:ascii="Cambria" w:hAnsi="Cambria"/>
          <w:bCs/>
          <w:sz w:val="20"/>
          <w:szCs w:val="20"/>
          <w:lang w:val="es-PA"/>
        </w:rPr>
        <w:t>ha de</w:t>
      </w:r>
      <w:r w:rsidR="00E57392">
        <w:rPr>
          <w:rFonts w:ascii="Cambria" w:hAnsi="Cambria"/>
          <w:bCs/>
          <w:sz w:val="20"/>
          <w:szCs w:val="20"/>
          <w:lang w:val="es-PA"/>
        </w:rPr>
        <w:t>terminado que</w:t>
      </w:r>
      <w:r>
        <w:rPr>
          <w:rFonts w:ascii="Cambria" w:hAnsi="Cambria"/>
          <w:bCs/>
          <w:sz w:val="20"/>
          <w:szCs w:val="20"/>
          <w:lang w:val="es-PA"/>
        </w:rPr>
        <w:t xml:space="preserve"> el contenido del artículo 8.2(h)</w:t>
      </w:r>
      <w:r w:rsidR="001A7649">
        <w:rPr>
          <w:rFonts w:ascii="Cambria" w:hAnsi="Cambria"/>
          <w:bCs/>
          <w:sz w:val="20"/>
          <w:szCs w:val="20"/>
          <w:lang w:val="es-PA"/>
        </w:rPr>
        <w:t xml:space="preserve"> requiere que todas las personas condenadas penalmente tengan acceso a un recurso eficaz que permita un análisis de todas las cuestiones fácticas, probatorias y jurídicas en que se basa la sentencia impugnada</w:t>
      </w:r>
      <w:r w:rsidR="00E57392">
        <w:rPr>
          <w:rFonts w:ascii="Cambria" w:hAnsi="Cambria"/>
          <w:bCs/>
          <w:sz w:val="20"/>
          <w:szCs w:val="20"/>
          <w:lang w:val="es-PA"/>
        </w:rPr>
        <w:t>;</w:t>
      </w:r>
      <w:r w:rsidR="001A7649">
        <w:rPr>
          <w:rFonts w:ascii="Cambria" w:hAnsi="Cambria"/>
          <w:bCs/>
          <w:sz w:val="20"/>
          <w:szCs w:val="20"/>
          <w:lang w:val="es-PA"/>
        </w:rPr>
        <w:t xml:space="preserve"> y </w:t>
      </w:r>
      <w:r w:rsidR="00E57392">
        <w:rPr>
          <w:rFonts w:ascii="Cambria" w:hAnsi="Cambria"/>
          <w:bCs/>
          <w:sz w:val="20"/>
          <w:szCs w:val="20"/>
          <w:lang w:val="es-PA"/>
        </w:rPr>
        <w:t xml:space="preserve">que se </w:t>
      </w:r>
      <w:r w:rsidR="001A7649">
        <w:rPr>
          <w:rFonts w:ascii="Cambria" w:hAnsi="Cambria"/>
          <w:bCs/>
          <w:sz w:val="20"/>
          <w:szCs w:val="20"/>
          <w:lang w:val="es-PA"/>
        </w:rPr>
        <w:t xml:space="preserve">efectúe un control amplio de los aspectos impugnados en la sentencia condenatoria. Sostiene que el ordenamiento argentino </w:t>
      </w:r>
      <w:r w:rsidR="00034F5E">
        <w:rPr>
          <w:rFonts w:ascii="Cambria" w:hAnsi="Cambria"/>
          <w:bCs/>
          <w:sz w:val="20"/>
          <w:szCs w:val="20"/>
          <w:lang w:val="es-PA"/>
        </w:rPr>
        <w:t xml:space="preserve">no cumple con los estándares fijados por la Corte Interamericana con respecto al artículo 8.2(h) porque los tribunales continúan </w:t>
      </w:r>
      <w:r w:rsidR="00CE0F20">
        <w:rPr>
          <w:rFonts w:ascii="Cambria" w:hAnsi="Cambria"/>
          <w:bCs/>
          <w:sz w:val="20"/>
          <w:szCs w:val="20"/>
          <w:lang w:val="es-PA"/>
        </w:rPr>
        <w:t xml:space="preserve">interpretando </w:t>
      </w:r>
      <w:r w:rsidR="00034F5E">
        <w:rPr>
          <w:rFonts w:ascii="Cambria" w:hAnsi="Cambria"/>
          <w:bCs/>
          <w:sz w:val="20"/>
          <w:szCs w:val="20"/>
          <w:lang w:val="es-PA"/>
        </w:rPr>
        <w:t xml:space="preserve">el recurso de casación en base a su objetivo político original, la unificación de la interpretación de la ley penal, en detrimento </w:t>
      </w:r>
      <w:r w:rsidR="00E57392">
        <w:rPr>
          <w:rFonts w:ascii="Cambria" w:hAnsi="Cambria"/>
          <w:bCs/>
          <w:sz w:val="20"/>
          <w:szCs w:val="20"/>
          <w:lang w:val="es-PA"/>
        </w:rPr>
        <w:t>del</w:t>
      </w:r>
      <w:r w:rsidR="00034F5E">
        <w:rPr>
          <w:rFonts w:ascii="Cambria" w:hAnsi="Cambria"/>
          <w:bCs/>
          <w:sz w:val="20"/>
          <w:szCs w:val="20"/>
          <w:lang w:val="es-PA"/>
        </w:rPr>
        <w:t xml:space="preserve"> derecho a la revisión de las condenas. </w:t>
      </w:r>
      <w:r w:rsidR="00E57392">
        <w:rPr>
          <w:rFonts w:ascii="Cambria" w:hAnsi="Cambria"/>
          <w:bCs/>
          <w:sz w:val="20"/>
          <w:szCs w:val="20"/>
          <w:lang w:val="es-PA"/>
        </w:rPr>
        <w:t>La peticionaria a</w:t>
      </w:r>
      <w:r w:rsidR="00034F5E">
        <w:rPr>
          <w:rFonts w:ascii="Cambria" w:hAnsi="Cambria"/>
          <w:bCs/>
          <w:sz w:val="20"/>
          <w:szCs w:val="20"/>
          <w:lang w:val="es-PA"/>
        </w:rPr>
        <w:t>lega que esta interp</w:t>
      </w:r>
      <w:r w:rsidR="00CE0F20">
        <w:rPr>
          <w:rFonts w:ascii="Cambria" w:hAnsi="Cambria"/>
          <w:bCs/>
          <w:sz w:val="20"/>
          <w:szCs w:val="20"/>
          <w:lang w:val="es-PA"/>
        </w:rPr>
        <w:t>retación es violatoria de los tratados de derechos humanos porque obliga a las personas recurrentes a cumplir con requisitos de admisibilidad demasiado rígidos y a limitar sus agravios a cuestiones exclusivamente de derecho</w:t>
      </w:r>
      <w:r w:rsidR="00E57392">
        <w:rPr>
          <w:rFonts w:ascii="Cambria" w:hAnsi="Cambria"/>
          <w:bCs/>
          <w:sz w:val="20"/>
          <w:szCs w:val="20"/>
          <w:lang w:val="es-PA"/>
        </w:rPr>
        <w:t>, con lo que</w:t>
      </w:r>
      <w:r w:rsidR="00CE0F20">
        <w:rPr>
          <w:rFonts w:ascii="Cambria" w:hAnsi="Cambria"/>
          <w:bCs/>
          <w:sz w:val="20"/>
          <w:szCs w:val="20"/>
          <w:lang w:val="es-PA"/>
        </w:rPr>
        <w:t xml:space="preserve"> queda excluido todo lo vinculado con la valoración de los hechos y de las pruebas. Aduce además que</w:t>
      </w:r>
      <w:r w:rsidR="00B17F29">
        <w:rPr>
          <w:rFonts w:ascii="Cambria" w:hAnsi="Cambria"/>
          <w:bCs/>
          <w:sz w:val="20"/>
          <w:szCs w:val="20"/>
          <w:lang w:val="es-PA"/>
        </w:rPr>
        <w:t>,</w:t>
      </w:r>
      <w:r w:rsidR="00CE0F20">
        <w:rPr>
          <w:rFonts w:ascii="Cambria" w:hAnsi="Cambria"/>
          <w:bCs/>
          <w:sz w:val="20"/>
          <w:szCs w:val="20"/>
          <w:lang w:val="es-PA"/>
        </w:rPr>
        <w:t xml:space="preserve"> en el caso de las presuntas víctimas</w:t>
      </w:r>
      <w:r w:rsidR="00B17F29">
        <w:rPr>
          <w:rFonts w:ascii="Cambria" w:hAnsi="Cambria"/>
          <w:bCs/>
          <w:sz w:val="20"/>
          <w:szCs w:val="20"/>
          <w:lang w:val="es-PA"/>
        </w:rPr>
        <w:t>, estas</w:t>
      </w:r>
      <w:r w:rsidR="00CE0F20">
        <w:rPr>
          <w:rFonts w:ascii="Cambria" w:hAnsi="Cambria"/>
          <w:bCs/>
          <w:sz w:val="20"/>
          <w:szCs w:val="20"/>
          <w:lang w:val="es-PA"/>
        </w:rPr>
        <w:t xml:space="preserve"> ni siquiera contaron con una verdadera revisión </w:t>
      </w:r>
      <w:r w:rsidR="00B17F29">
        <w:rPr>
          <w:rFonts w:ascii="Cambria" w:hAnsi="Cambria"/>
          <w:bCs/>
          <w:sz w:val="20"/>
          <w:szCs w:val="20"/>
          <w:lang w:val="es-PA"/>
        </w:rPr>
        <w:t xml:space="preserve">integral de los asuntos de derecho que plantearon en sus recursos. </w:t>
      </w:r>
    </w:p>
    <w:p w14:paraId="3E9F1633" w14:textId="4F5772D0" w:rsidR="00466EAD" w:rsidRPr="003E7F31" w:rsidRDefault="00B17F29" w:rsidP="00F10532">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Pr>
          <w:rFonts w:ascii="Cambria" w:hAnsi="Cambria"/>
          <w:bCs/>
          <w:sz w:val="20"/>
          <w:szCs w:val="20"/>
          <w:lang w:val="es-PA"/>
        </w:rPr>
        <w:t xml:space="preserve">Agrega </w:t>
      </w:r>
      <w:r w:rsidR="00E57392">
        <w:rPr>
          <w:rFonts w:ascii="Cambria" w:hAnsi="Cambria"/>
          <w:bCs/>
          <w:sz w:val="20"/>
          <w:szCs w:val="20"/>
          <w:lang w:val="es-PA"/>
        </w:rPr>
        <w:t xml:space="preserve">la peticionaria </w:t>
      </w:r>
      <w:r>
        <w:rPr>
          <w:rFonts w:ascii="Cambria" w:hAnsi="Cambria"/>
          <w:bCs/>
          <w:sz w:val="20"/>
          <w:szCs w:val="20"/>
          <w:lang w:val="es-PA"/>
        </w:rPr>
        <w:t xml:space="preserve">que </w:t>
      </w:r>
      <w:r w:rsidR="00E57392">
        <w:rPr>
          <w:rFonts w:ascii="Cambria" w:hAnsi="Cambria"/>
          <w:bCs/>
          <w:sz w:val="20"/>
          <w:szCs w:val="20"/>
          <w:lang w:val="es-PA"/>
        </w:rPr>
        <w:t xml:space="preserve">en su </w:t>
      </w:r>
      <w:r>
        <w:rPr>
          <w:rFonts w:ascii="Cambria" w:hAnsi="Cambria"/>
          <w:bCs/>
          <w:sz w:val="20"/>
          <w:szCs w:val="20"/>
          <w:lang w:val="es-PA"/>
        </w:rPr>
        <w:t xml:space="preserve">decisión en la causa “Casal, Matías Eugenio y </w:t>
      </w:r>
      <w:proofErr w:type="spellStart"/>
      <w:r>
        <w:rPr>
          <w:rFonts w:ascii="Cambria" w:hAnsi="Cambria"/>
          <w:bCs/>
          <w:sz w:val="20"/>
          <w:szCs w:val="20"/>
          <w:lang w:val="es-PA"/>
        </w:rPr>
        <w:t>otro s</w:t>
      </w:r>
      <w:proofErr w:type="spellEnd"/>
      <w:r>
        <w:rPr>
          <w:rFonts w:ascii="Cambria" w:hAnsi="Cambria"/>
          <w:bCs/>
          <w:sz w:val="20"/>
          <w:szCs w:val="20"/>
          <w:lang w:val="es-PA"/>
        </w:rPr>
        <w:t>/robo simple en grado de tentativa”</w:t>
      </w:r>
      <w:r w:rsidR="00E57392">
        <w:rPr>
          <w:rFonts w:ascii="Cambria" w:hAnsi="Cambria"/>
          <w:bCs/>
          <w:sz w:val="20"/>
          <w:szCs w:val="20"/>
          <w:lang w:val="es-PA"/>
        </w:rPr>
        <w:t>,</w:t>
      </w:r>
      <w:r>
        <w:rPr>
          <w:rFonts w:ascii="Cambria" w:hAnsi="Cambria"/>
          <w:bCs/>
          <w:sz w:val="20"/>
          <w:szCs w:val="20"/>
          <w:lang w:val="es-PA"/>
        </w:rPr>
        <w:t xml:space="preserve"> </w:t>
      </w:r>
      <w:r w:rsidR="00E57392">
        <w:rPr>
          <w:rFonts w:ascii="Cambria" w:hAnsi="Cambria"/>
          <w:bCs/>
          <w:sz w:val="20"/>
          <w:szCs w:val="20"/>
          <w:lang w:val="es-PA"/>
        </w:rPr>
        <w:t xml:space="preserve">la Corte Suprema de la Nación </w:t>
      </w:r>
      <w:r>
        <w:rPr>
          <w:rFonts w:ascii="Cambria" w:hAnsi="Cambria"/>
          <w:bCs/>
          <w:sz w:val="20"/>
          <w:szCs w:val="20"/>
          <w:lang w:val="es-PA"/>
        </w:rPr>
        <w:t>llam</w:t>
      </w:r>
      <w:r w:rsidR="00E57392">
        <w:rPr>
          <w:rFonts w:ascii="Cambria" w:hAnsi="Cambria"/>
          <w:bCs/>
          <w:sz w:val="20"/>
          <w:szCs w:val="20"/>
          <w:lang w:val="es-PA"/>
        </w:rPr>
        <w:t>ó</w:t>
      </w:r>
      <w:r>
        <w:rPr>
          <w:rFonts w:ascii="Cambria" w:hAnsi="Cambria"/>
          <w:bCs/>
          <w:sz w:val="20"/>
          <w:szCs w:val="20"/>
          <w:lang w:val="es-PA"/>
        </w:rPr>
        <w:t xml:space="preserve"> a los tribunales inferiores a modificar el alcance tradicionalmente otorgado al recurso de casación “archivando la impracticable distinción entre cuestiones de hecho y de derecho”, a fin de respetar los estándares internacionales. Indica que, sin embargo, este precedente no ha resuelto las deficiencias del sistema argentino con respecto al derecho a recurrir la condena</w:t>
      </w:r>
      <w:r w:rsidR="00E57392">
        <w:rPr>
          <w:rFonts w:ascii="Cambria" w:hAnsi="Cambria"/>
          <w:bCs/>
          <w:sz w:val="20"/>
          <w:szCs w:val="20"/>
          <w:lang w:val="es-PA"/>
        </w:rPr>
        <w:t>,</w:t>
      </w:r>
      <w:r>
        <w:rPr>
          <w:rFonts w:ascii="Cambria" w:hAnsi="Cambria"/>
          <w:bCs/>
          <w:sz w:val="20"/>
          <w:szCs w:val="20"/>
          <w:lang w:val="es-PA"/>
        </w:rPr>
        <w:t xml:space="preserve"> pues los tribunales siguen interpretando la casación en forma restrictiva como lo hicieron en </w:t>
      </w:r>
      <w:r w:rsidR="003E7F31">
        <w:rPr>
          <w:rFonts w:ascii="Cambria" w:hAnsi="Cambria"/>
          <w:bCs/>
          <w:sz w:val="20"/>
          <w:szCs w:val="20"/>
          <w:lang w:val="es-PA"/>
        </w:rPr>
        <w:t>las causas</w:t>
      </w:r>
      <w:r>
        <w:rPr>
          <w:rFonts w:ascii="Cambria" w:hAnsi="Cambria"/>
          <w:bCs/>
          <w:sz w:val="20"/>
          <w:szCs w:val="20"/>
          <w:lang w:val="es-PA"/>
        </w:rPr>
        <w:t xml:space="preserve"> de las presuntas víctimas. Añade que</w:t>
      </w:r>
      <w:r w:rsidR="00E32EC5">
        <w:rPr>
          <w:rFonts w:ascii="Cambria" w:hAnsi="Cambria"/>
          <w:bCs/>
          <w:sz w:val="20"/>
          <w:szCs w:val="20"/>
          <w:lang w:val="es-PA"/>
        </w:rPr>
        <w:t>,</w:t>
      </w:r>
      <w:r>
        <w:rPr>
          <w:rFonts w:ascii="Cambria" w:hAnsi="Cambria"/>
          <w:bCs/>
          <w:sz w:val="20"/>
          <w:szCs w:val="20"/>
          <w:lang w:val="es-PA"/>
        </w:rPr>
        <w:t xml:space="preserve"> </w:t>
      </w:r>
      <w:r w:rsidR="00E32EC5">
        <w:rPr>
          <w:rFonts w:ascii="Cambria" w:hAnsi="Cambria"/>
          <w:bCs/>
          <w:sz w:val="20"/>
          <w:szCs w:val="20"/>
          <w:lang w:val="es-PA"/>
        </w:rPr>
        <w:t xml:space="preserve">dado que sus recursos ante la Corte Suprema de Justicia de la Nación fueron rechazados sin expresión alguna de fundamentos con base </w:t>
      </w:r>
      <w:r w:rsidR="00E57392">
        <w:rPr>
          <w:rFonts w:ascii="Cambria" w:hAnsi="Cambria"/>
          <w:bCs/>
          <w:sz w:val="20"/>
          <w:szCs w:val="20"/>
          <w:lang w:val="es-PA"/>
        </w:rPr>
        <w:t>en el</w:t>
      </w:r>
      <w:r w:rsidR="00E32EC5">
        <w:rPr>
          <w:rFonts w:ascii="Cambria" w:hAnsi="Cambria"/>
          <w:bCs/>
          <w:sz w:val="20"/>
          <w:szCs w:val="20"/>
          <w:lang w:val="es-PA"/>
        </w:rPr>
        <w:t xml:space="preserve"> artículo 280 del CPCC, no se puede distinguir </w:t>
      </w:r>
      <w:r w:rsidR="00E57392">
        <w:rPr>
          <w:rFonts w:ascii="Cambria" w:hAnsi="Cambria"/>
          <w:bCs/>
          <w:sz w:val="20"/>
          <w:szCs w:val="20"/>
          <w:lang w:val="es-PA"/>
        </w:rPr>
        <w:t>el motivo por el cual</w:t>
      </w:r>
      <w:r w:rsidR="00E32EC5">
        <w:rPr>
          <w:rFonts w:ascii="Cambria" w:hAnsi="Cambria"/>
          <w:bCs/>
          <w:sz w:val="20"/>
          <w:szCs w:val="20"/>
          <w:lang w:val="es-PA"/>
        </w:rPr>
        <w:t xml:space="preserve"> el precedente </w:t>
      </w:r>
      <w:r w:rsidR="00E57392">
        <w:rPr>
          <w:rFonts w:ascii="Cambria" w:hAnsi="Cambria"/>
          <w:bCs/>
          <w:sz w:val="20"/>
          <w:szCs w:val="20"/>
          <w:lang w:val="es-PA"/>
        </w:rPr>
        <w:t xml:space="preserve">del referido Caso </w:t>
      </w:r>
      <w:r w:rsidR="00E32EC5">
        <w:rPr>
          <w:rFonts w:ascii="Cambria" w:hAnsi="Cambria"/>
          <w:bCs/>
          <w:sz w:val="20"/>
          <w:szCs w:val="20"/>
          <w:lang w:val="es-PA"/>
        </w:rPr>
        <w:t xml:space="preserve">Casal no habría sido aplicado a los casos de las presuntas víctimas. Alega que la no aplicación del precedente vulneró el derecho de las presuntas víctimas a la igualdad por arbitrariedad y falta de justificación de la distinción. </w:t>
      </w:r>
    </w:p>
    <w:p w14:paraId="689BC255" w14:textId="6ACD3C3C" w:rsidR="003E7F31" w:rsidRPr="005C15DC" w:rsidRDefault="003E7F31" w:rsidP="00F10532">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3E7F31">
        <w:rPr>
          <w:rFonts w:ascii="Cambria" w:hAnsi="Cambria"/>
          <w:bCs/>
          <w:sz w:val="20"/>
          <w:szCs w:val="20"/>
          <w:lang w:val="es-PA"/>
        </w:rPr>
        <w:t>La peticionaria sostiene que las presuntas</w:t>
      </w:r>
      <w:r>
        <w:rPr>
          <w:rFonts w:ascii="Cambria" w:hAnsi="Cambria"/>
          <w:bCs/>
          <w:sz w:val="20"/>
          <w:szCs w:val="20"/>
          <w:lang w:val="es-PA"/>
        </w:rPr>
        <w:t xml:space="preserve"> víctimas agotaron en debida forma los recursos disponibles en la jurisdicción doméstica. Sostiene </w:t>
      </w:r>
      <w:r w:rsidR="000A67A7">
        <w:rPr>
          <w:rFonts w:ascii="Cambria" w:hAnsi="Cambria"/>
          <w:bCs/>
          <w:sz w:val="20"/>
          <w:szCs w:val="20"/>
          <w:lang w:val="es-PA"/>
        </w:rPr>
        <w:t xml:space="preserve">asimismo </w:t>
      </w:r>
      <w:r>
        <w:rPr>
          <w:rFonts w:ascii="Cambria" w:hAnsi="Cambria"/>
          <w:bCs/>
          <w:sz w:val="20"/>
          <w:szCs w:val="20"/>
          <w:lang w:val="es-PA"/>
        </w:rPr>
        <w:t xml:space="preserve">que </w:t>
      </w:r>
      <w:r w:rsidR="000A67A7">
        <w:rPr>
          <w:rFonts w:ascii="Cambria" w:hAnsi="Cambria"/>
          <w:bCs/>
          <w:sz w:val="20"/>
          <w:szCs w:val="20"/>
          <w:lang w:val="es-PA"/>
        </w:rPr>
        <w:t xml:space="preserve">plantearon en la primera oportunidad procesal pertinente </w:t>
      </w:r>
      <w:r>
        <w:rPr>
          <w:rFonts w:ascii="Cambria" w:hAnsi="Cambria"/>
          <w:bCs/>
          <w:sz w:val="20"/>
          <w:szCs w:val="20"/>
          <w:lang w:val="es-PA"/>
        </w:rPr>
        <w:t xml:space="preserve">el agravio con respecto a la falta de un recurso para la revisión integral del fallo condenatorio, luego de que se emitiera la sentencia condenatoria. Alega que </w:t>
      </w:r>
      <w:r w:rsidR="000A67A7">
        <w:rPr>
          <w:rFonts w:ascii="Cambria" w:hAnsi="Cambria"/>
          <w:bCs/>
          <w:sz w:val="20"/>
          <w:szCs w:val="20"/>
          <w:lang w:val="es-PA"/>
        </w:rPr>
        <w:t xml:space="preserve">el agravio sobre la imposibilidad de recurrir la condena penal </w:t>
      </w:r>
      <w:r>
        <w:rPr>
          <w:rFonts w:ascii="Cambria" w:hAnsi="Cambria"/>
          <w:bCs/>
          <w:sz w:val="20"/>
          <w:szCs w:val="20"/>
          <w:lang w:val="es-PA"/>
        </w:rPr>
        <w:t xml:space="preserve">no podía ser planteado en la etapa de investigación ni </w:t>
      </w:r>
      <w:r w:rsidR="000A67A7">
        <w:rPr>
          <w:rFonts w:ascii="Cambria" w:hAnsi="Cambria"/>
          <w:bCs/>
          <w:sz w:val="20"/>
          <w:szCs w:val="20"/>
          <w:lang w:val="es-PA"/>
        </w:rPr>
        <w:t xml:space="preserve">en </w:t>
      </w:r>
      <w:r>
        <w:rPr>
          <w:rFonts w:ascii="Cambria" w:hAnsi="Cambria"/>
          <w:bCs/>
          <w:sz w:val="20"/>
          <w:szCs w:val="20"/>
          <w:lang w:val="es-PA"/>
        </w:rPr>
        <w:t xml:space="preserve">el debate oral porque  </w:t>
      </w:r>
      <w:r w:rsidR="000A67A7">
        <w:rPr>
          <w:rFonts w:ascii="Cambria" w:hAnsi="Cambria"/>
          <w:bCs/>
          <w:sz w:val="20"/>
          <w:szCs w:val="20"/>
          <w:lang w:val="es-PA"/>
        </w:rPr>
        <w:t xml:space="preserve">a </w:t>
      </w:r>
      <w:r>
        <w:rPr>
          <w:rFonts w:ascii="Cambria" w:hAnsi="Cambria"/>
          <w:bCs/>
          <w:sz w:val="20"/>
          <w:szCs w:val="20"/>
          <w:lang w:val="es-PA"/>
        </w:rPr>
        <w:t xml:space="preserve">condena </w:t>
      </w:r>
      <w:r w:rsidR="000A67A7">
        <w:rPr>
          <w:rFonts w:ascii="Cambria" w:hAnsi="Cambria"/>
          <w:bCs/>
          <w:sz w:val="20"/>
          <w:szCs w:val="20"/>
          <w:lang w:val="es-PA"/>
        </w:rPr>
        <w:t>aún no había sido dictada</w:t>
      </w:r>
      <w:r>
        <w:rPr>
          <w:rFonts w:ascii="Cambria" w:hAnsi="Cambria"/>
          <w:bCs/>
          <w:sz w:val="20"/>
          <w:szCs w:val="20"/>
          <w:lang w:val="es-PA"/>
        </w:rPr>
        <w:t xml:space="preserve">. </w:t>
      </w:r>
      <w:r w:rsidR="005C15DC">
        <w:rPr>
          <w:rFonts w:ascii="Cambria" w:hAnsi="Cambria"/>
          <w:bCs/>
          <w:sz w:val="20"/>
          <w:szCs w:val="20"/>
          <w:lang w:val="es-PA"/>
        </w:rPr>
        <w:t>Destaca además que en los casos de las presuntas víctimas</w:t>
      </w:r>
      <w:r w:rsidR="000A67A7">
        <w:rPr>
          <w:rFonts w:ascii="Cambria" w:hAnsi="Cambria"/>
          <w:bCs/>
          <w:sz w:val="20"/>
          <w:szCs w:val="20"/>
          <w:lang w:val="es-PA"/>
        </w:rPr>
        <w:t>,</w:t>
      </w:r>
      <w:r w:rsidR="005C15DC">
        <w:rPr>
          <w:rFonts w:ascii="Cambria" w:hAnsi="Cambria"/>
          <w:bCs/>
          <w:sz w:val="20"/>
          <w:szCs w:val="20"/>
          <w:lang w:val="es-PA"/>
        </w:rPr>
        <w:t xml:space="preserve"> la Corte Suprema de la Nación rechaz</w:t>
      </w:r>
      <w:r w:rsidR="000A67A7">
        <w:rPr>
          <w:rFonts w:ascii="Cambria" w:hAnsi="Cambria"/>
          <w:bCs/>
          <w:sz w:val="20"/>
          <w:szCs w:val="20"/>
          <w:lang w:val="es-PA"/>
        </w:rPr>
        <w:t>ó</w:t>
      </w:r>
      <w:r w:rsidR="005C15DC">
        <w:rPr>
          <w:rFonts w:ascii="Cambria" w:hAnsi="Cambria"/>
          <w:bCs/>
          <w:sz w:val="20"/>
          <w:szCs w:val="20"/>
          <w:lang w:val="es-PA"/>
        </w:rPr>
        <w:t xml:space="preserve"> </w:t>
      </w:r>
      <w:r w:rsidR="000A67A7">
        <w:rPr>
          <w:rFonts w:ascii="Cambria" w:hAnsi="Cambria"/>
          <w:bCs/>
          <w:sz w:val="20"/>
          <w:szCs w:val="20"/>
          <w:lang w:val="es-PA"/>
        </w:rPr>
        <w:lastRenderedPageBreak/>
        <w:t xml:space="preserve">los </w:t>
      </w:r>
      <w:r w:rsidR="005C15DC">
        <w:rPr>
          <w:rFonts w:ascii="Cambria" w:hAnsi="Cambria"/>
          <w:bCs/>
          <w:sz w:val="20"/>
          <w:szCs w:val="20"/>
          <w:lang w:val="es-PA"/>
        </w:rPr>
        <w:t xml:space="preserve">recursos </w:t>
      </w:r>
      <w:r w:rsidR="000A67A7">
        <w:rPr>
          <w:rFonts w:ascii="Cambria" w:hAnsi="Cambria"/>
          <w:bCs/>
          <w:sz w:val="20"/>
          <w:szCs w:val="20"/>
          <w:lang w:val="es-PA"/>
        </w:rPr>
        <w:t xml:space="preserve">sin expresión de fundamentos, con base en </w:t>
      </w:r>
      <w:r w:rsidR="005C15DC">
        <w:rPr>
          <w:rFonts w:ascii="Cambria" w:hAnsi="Cambria"/>
          <w:bCs/>
          <w:sz w:val="20"/>
          <w:szCs w:val="20"/>
          <w:lang w:val="es-PA"/>
        </w:rPr>
        <w:t>el artículo 280 del CPCC</w:t>
      </w:r>
      <w:r w:rsidR="000A67A7">
        <w:rPr>
          <w:rFonts w:ascii="Cambria" w:hAnsi="Cambria"/>
          <w:bCs/>
          <w:sz w:val="20"/>
          <w:szCs w:val="20"/>
          <w:lang w:val="es-PA"/>
        </w:rPr>
        <w:t>,</w:t>
      </w:r>
      <w:r w:rsidR="005C15DC">
        <w:rPr>
          <w:rFonts w:ascii="Cambria" w:hAnsi="Cambria"/>
          <w:bCs/>
          <w:sz w:val="20"/>
          <w:szCs w:val="20"/>
          <w:lang w:val="es-PA"/>
        </w:rPr>
        <w:t xml:space="preserve"> </w:t>
      </w:r>
      <w:r w:rsidR="000A67A7">
        <w:rPr>
          <w:rFonts w:ascii="Cambria" w:hAnsi="Cambria"/>
          <w:bCs/>
          <w:sz w:val="20"/>
          <w:szCs w:val="20"/>
          <w:lang w:val="es-PA"/>
        </w:rPr>
        <w:t xml:space="preserve">lo que dejaría en </w:t>
      </w:r>
      <w:r w:rsidR="005C15DC">
        <w:rPr>
          <w:rFonts w:ascii="Cambria" w:hAnsi="Cambria"/>
          <w:bCs/>
          <w:sz w:val="20"/>
          <w:szCs w:val="20"/>
          <w:lang w:val="es-PA"/>
        </w:rPr>
        <w:t xml:space="preserve">evidencia que los recursos fueron rechazados en aplicación de una facultad discrecional del tribunal y no porque no fueran técnicamente admisibles. </w:t>
      </w:r>
    </w:p>
    <w:p w14:paraId="06B43A55" w14:textId="425452F3" w:rsidR="005C15DC" w:rsidRPr="00974611" w:rsidRDefault="005C15DC" w:rsidP="00974611">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Pr>
          <w:rFonts w:ascii="Cambria" w:hAnsi="Cambria"/>
          <w:bCs/>
          <w:sz w:val="20"/>
          <w:szCs w:val="20"/>
          <w:lang w:val="es-PA"/>
        </w:rPr>
        <w:t xml:space="preserve">El Estado, por su parte, sostiene que la petición deber ser inadmitida con fundamento en el artículo 46.1(a) de la Convención Americana porque las presuntas víctimas no agotaron en debida forma los recursos de la jurisdicción interna. </w:t>
      </w:r>
      <w:r w:rsidR="003A1150">
        <w:rPr>
          <w:rFonts w:ascii="Cambria" w:hAnsi="Cambria"/>
          <w:bCs/>
          <w:sz w:val="20"/>
          <w:szCs w:val="20"/>
          <w:lang w:val="es-PA"/>
        </w:rPr>
        <w:t xml:space="preserve">Alega que las presuntas víctimas no plantearon oportunamente su agravio respecto a la supuesta violación de su derecho a obtener una revisión amplia de sus condenas, privando así a los órganos judiciales que intervinieron en sus casos de la posibilidad de examinar la vulneración. Señala que el presunto agravio no fue planteado durante la instrucción ni durante el debate oral, ni tampoco durante la etapa recursiva de la condena. Sostiene que el citado agravio fue introducido recién </w:t>
      </w:r>
      <w:r w:rsidR="008D4E37">
        <w:rPr>
          <w:rFonts w:ascii="Cambria" w:hAnsi="Cambria"/>
          <w:bCs/>
          <w:sz w:val="20"/>
          <w:szCs w:val="20"/>
          <w:lang w:val="es-PA"/>
        </w:rPr>
        <w:t>al momento de presentarse los</w:t>
      </w:r>
      <w:r w:rsidR="003A1150">
        <w:rPr>
          <w:rFonts w:ascii="Cambria" w:hAnsi="Cambria"/>
          <w:bCs/>
          <w:sz w:val="20"/>
          <w:szCs w:val="20"/>
          <w:lang w:val="es-PA"/>
        </w:rPr>
        <w:t xml:space="preserve"> recurso</w:t>
      </w:r>
      <w:r w:rsidR="008D4E37">
        <w:rPr>
          <w:rFonts w:ascii="Cambria" w:hAnsi="Cambria"/>
          <w:bCs/>
          <w:sz w:val="20"/>
          <w:szCs w:val="20"/>
          <w:lang w:val="es-PA"/>
        </w:rPr>
        <w:t>s</w:t>
      </w:r>
      <w:r w:rsidR="003A1150">
        <w:rPr>
          <w:rFonts w:ascii="Cambria" w:hAnsi="Cambria"/>
          <w:bCs/>
          <w:sz w:val="20"/>
          <w:szCs w:val="20"/>
          <w:lang w:val="es-PA"/>
        </w:rPr>
        <w:t xml:space="preserve"> extraordinario</w:t>
      </w:r>
      <w:r w:rsidR="008D4E37">
        <w:rPr>
          <w:rFonts w:ascii="Cambria" w:hAnsi="Cambria"/>
          <w:bCs/>
          <w:sz w:val="20"/>
          <w:szCs w:val="20"/>
          <w:lang w:val="es-PA"/>
        </w:rPr>
        <w:t>s</w:t>
      </w:r>
      <w:r w:rsidR="003A1150">
        <w:rPr>
          <w:rFonts w:ascii="Cambria" w:hAnsi="Cambria"/>
          <w:bCs/>
          <w:sz w:val="20"/>
          <w:szCs w:val="20"/>
          <w:lang w:val="es-PA"/>
        </w:rPr>
        <w:t xml:space="preserve"> federal</w:t>
      </w:r>
      <w:r w:rsidR="008D4E37">
        <w:rPr>
          <w:rFonts w:ascii="Cambria" w:hAnsi="Cambria"/>
          <w:bCs/>
          <w:sz w:val="20"/>
          <w:szCs w:val="20"/>
          <w:lang w:val="es-PA"/>
        </w:rPr>
        <w:t>es</w:t>
      </w:r>
      <w:r w:rsidR="003A1150">
        <w:rPr>
          <w:rFonts w:ascii="Cambria" w:hAnsi="Cambria"/>
          <w:bCs/>
          <w:sz w:val="20"/>
          <w:szCs w:val="20"/>
          <w:lang w:val="es-PA"/>
        </w:rPr>
        <w:t xml:space="preserve"> luego </w:t>
      </w:r>
      <w:r w:rsidR="008D4E37">
        <w:rPr>
          <w:rFonts w:ascii="Cambria" w:hAnsi="Cambria"/>
          <w:bCs/>
          <w:sz w:val="20"/>
          <w:szCs w:val="20"/>
          <w:lang w:val="es-PA"/>
        </w:rPr>
        <w:t xml:space="preserve">de rechazados los recursos de casación y confirmadas las sentencias condenatorias. </w:t>
      </w:r>
      <w:r w:rsidR="008D4E37" w:rsidRPr="00974611">
        <w:rPr>
          <w:rFonts w:ascii="Cambria" w:hAnsi="Cambria"/>
          <w:bCs/>
          <w:sz w:val="20"/>
          <w:szCs w:val="20"/>
          <w:lang w:val="es-PA"/>
        </w:rPr>
        <w:t>Explica que según el ordenamiento</w:t>
      </w:r>
      <w:r w:rsidR="000A67A7">
        <w:rPr>
          <w:rFonts w:ascii="Cambria" w:hAnsi="Cambria"/>
          <w:bCs/>
          <w:sz w:val="20"/>
          <w:szCs w:val="20"/>
          <w:lang w:val="es-PA"/>
        </w:rPr>
        <w:t>,</w:t>
      </w:r>
      <w:r w:rsidR="008D4E37" w:rsidRPr="00974611">
        <w:rPr>
          <w:rFonts w:ascii="Cambria" w:hAnsi="Cambria"/>
          <w:bCs/>
          <w:sz w:val="20"/>
          <w:szCs w:val="20"/>
          <w:lang w:val="es-PA"/>
        </w:rPr>
        <w:t xml:space="preserve"> argentino los derechos contemplados en la Convención Americana gozan de jerarquía constitucional</w:t>
      </w:r>
      <w:r w:rsidR="000A67A7">
        <w:rPr>
          <w:rFonts w:ascii="Cambria" w:hAnsi="Cambria"/>
          <w:bCs/>
          <w:sz w:val="20"/>
          <w:szCs w:val="20"/>
          <w:lang w:val="es-PA"/>
        </w:rPr>
        <w:t>,</w:t>
      </w:r>
      <w:r w:rsidR="008D4E37" w:rsidRPr="00974611">
        <w:rPr>
          <w:rFonts w:ascii="Cambria" w:hAnsi="Cambria"/>
          <w:bCs/>
          <w:sz w:val="20"/>
          <w:szCs w:val="20"/>
          <w:lang w:val="es-PA"/>
        </w:rPr>
        <w:t xml:space="preserve"> por lo que cualquier controversia relativa a ellos constituye una “cuestión federal”</w:t>
      </w:r>
      <w:r w:rsidR="000A67A7">
        <w:rPr>
          <w:rFonts w:ascii="Cambria" w:hAnsi="Cambria"/>
          <w:bCs/>
          <w:sz w:val="20"/>
          <w:szCs w:val="20"/>
          <w:lang w:val="es-PA"/>
        </w:rPr>
        <w:t>;</w:t>
      </w:r>
      <w:r w:rsidR="008D4E37" w:rsidRPr="00974611">
        <w:rPr>
          <w:rFonts w:ascii="Cambria" w:hAnsi="Cambria"/>
          <w:bCs/>
          <w:sz w:val="20"/>
          <w:szCs w:val="20"/>
          <w:lang w:val="es-PA"/>
        </w:rPr>
        <w:t xml:space="preserve"> y que el sistema requiere </w:t>
      </w:r>
      <w:r w:rsidR="000A67A7">
        <w:rPr>
          <w:rFonts w:ascii="Cambria" w:hAnsi="Cambria"/>
          <w:bCs/>
          <w:sz w:val="20"/>
          <w:szCs w:val="20"/>
          <w:lang w:val="es-PA"/>
        </w:rPr>
        <w:t xml:space="preserve">que </w:t>
      </w:r>
      <w:r w:rsidR="008D4E37" w:rsidRPr="00974611">
        <w:rPr>
          <w:rFonts w:ascii="Cambria" w:hAnsi="Cambria"/>
          <w:bCs/>
          <w:sz w:val="20"/>
          <w:szCs w:val="20"/>
          <w:lang w:val="es-PA"/>
        </w:rPr>
        <w:t>las cuestiones federales sean introducidas en la primera oportunidad procesal que las partes tengan, a fin de que los órganos competentes puedan tratarla</w:t>
      </w:r>
      <w:r w:rsidR="000A67A7">
        <w:rPr>
          <w:rFonts w:ascii="Cambria" w:hAnsi="Cambria"/>
          <w:bCs/>
          <w:sz w:val="20"/>
          <w:szCs w:val="20"/>
          <w:lang w:val="es-PA"/>
        </w:rPr>
        <w:t>s</w:t>
      </w:r>
      <w:r w:rsidR="008D4E37" w:rsidRPr="00974611">
        <w:rPr>
          <w:rFonts w:ascii="Cambria" w:hAnsi="Cambria"/>
          <w:bCs/>
          <w:sz w:val="20"/>
          <w:szCs w:val="20"/>
          <w:lang w:val="es-PA"/>
        </w:rPr>
        <w:t xml:space="preserve"> y expedirse. Agr</w:t>
      </w:r>
      <w:r w:rsidR="0098519A" w:rsidRPr="00974611">
        <w:rPr>
          <w:rFonts w:ascii="Cambria" w:hAnsi="Cambria"/>
          <w:bCs/>
          <w:sz w:val="20"/>
          <w:szCs w:val="20"/>
          <w:lang w:val="es-PA"/>
        </w:rPr>
        <w:t>ega que la jurisprudencia de la Corte Suprema de Justicia de la Nación ha señala</w:t>
      </w:r>
      <w:r w:rsidR="000A67A7">
        <w:rPr>
          <w:rFonts w:ascii="Cambria" w:hAnsi="Cambria"/>
          <w:bCs/>
          <w:sz w:val="20"/>
          <w:szCs w:val="20"/>
          <w:lang w:val="es-PA"/>
        </w:rPr>
        <w:t xml:space="preserve">do en forma </w:t>
      </w:r>
      <w:r w:rsidR="0098519A" w:rsidRPr="00974611">
        <w:rPr>
          <w:rFonts w:ascii="Cambria" w:hAnsi="Cambria"/>
          <w:bCs/>
          <w:sz w:val="20"/>
          <w:szCs w:val="20"/>
          <w:lang w:val="es-PA"/>
        </w:rPr>
        <w:t>r</w:t>
      </w:r>
      <w:r w:rsidR="000A67A7">
        <w:rPr>
          <w:rFonts w:ascii="Cambria" w:hAnsi="Cambria"/>
          <w:bCs/>
          <w:sz w:val="20"/>
          <w:szCs w:val="20"/>
          <w:lang w:val="es-PA"/>
        </w:rPr>
        <w:t>eiterada</w:t>
      </w:r>
      <w:r w:rsidR="0098519A" w:rsidRPr="00974611">
        <w:rPr>
          <w:rFonts w:ascii="Cambria" w:hAnsi="Cambria"/>
          <w:bCs/>
          <w:sz w:val="20"/>
          <w:szCs w:val="20"/>
          <w:lang w:val="es-PA"/>
        </w:rPr>
        <w:t xml:space="preserve"> que su competencia para revisar cuestiones constitucionales depende de que el tema objeto de agravio haya sido sometido a las instancias ordinarias y debatido en ellas. Considera que las presuntas víctimas deberían haber planteado el agravio respecto a la supuesta falta de un recurso para la revisión amplia de la condena durante la instrucción de la investigación penal o durante la sustanciación del debate oral; </w:t>
      </w:r>
      <w:r w:rsidR="0044611A">
        <w:rPr>
          <w:rFonts w:ascii="Cambria" w:hAnsi="Cambria"/>
          <w:bCs/>
          <w:sz w:val="20"/>
          <w:szCs w:val="20"/>
          <w:lang w:val="es-PA"/>
        </w:rPr>
        <w:t xml:space="preserve">y </w:t>
      </w:r>
      <w:r w:rsidR="0098519A" w:rsidRPr="00974611">
        <w:rPr>
          <w:rFonts w:ascii="Cambria" w:hAnsi="Cambria"/>
          <w:bCs/>
          <w:sz w:val="20"/>
          <w:szCs w:val="20"/>
          <w:lang w:val="es-PA"/>
        </w:rPr>
        <w:t xml:space="preserve">destaca que la situación que provocaba el aducido agravio </w:t>
      </w:r>
      <w:r w:rsidR="0044611A">
        <w:rPr>
          <w:rFonts w:ascii="Cambria" w:hAnsi="Cambria"/>
          <w:bCs/>
          <w:sz w:val="20"/>
          <w:szCs w:val="20"/>
          <w:lang w:val="es-PA"/>
        </w:rPr>
        <w:t>se presentó</w:t>
      </w:r>
      <w:r w:rsidR="0098519A" w:rsidRPr="00974611">
        <w:rPr>
          <w:rFonts w:ascii="Cambria" w:hAnsi="Cambria"/>
          <w:bCs/>
          <w:sz w:val="20"/>
          <w:szCs w:val="20"/>
          <w:lang w:val="es-PA"/>
        </w:rPr>
        <w:t xml:space="preserve"> aún antes de ini</w:t>
      </w:r>
      <w:r w:rsidR="00692165" w:rsidRPr="00974611">
        <w:rPr>
          <w:rFonts w:ascii="Cambria" w:hAnsi="Cambria"/>
          <w:bCs/>
          <w:sz w:val="20"/>
          <w:szCs w:val="20"/>
          <w:lang w:val="es-PA"/>
        </w:rPr>
        <w:t xml:space="preserve">ciarse los procesos contra las presuntas víctimas. Agrega que sería contrario al principio de complementariedad que rige al Sistema Interamericano que </w:t>
      </w:r>
      <w:r w:rsidR="0044611A">
        <w:rPr>
          <w:rFonts w:ascii="Cambria" w:hAnsi="Cambria"/>
          <w:bCs/>
          <w:sz w:val="20"/>
          <w:szCs w:val="20"/>
          <w:lang w:val="es-PA"/>
        </w:rPr>
        <w:t xml:space="preserve">la Comisión </w:t>
      </w:r>
      <w:r w:rsidR="00692165" w:rsidRPr="00974611">
        <w:rPr>
          <w:rFonts w:ascii="Cambria" w:hAnsi="Cambria"/>
          <w:bCs/>
          <w:sz w:val="20"/>
          <w:szCs w:val="20"/>
          <w:lang w:val="es-PA"/>
        </w:rPr>
        <w:t xml:space="preserve">conozca </w:t>
      </w:r>
      <w:r w:rsidR="0044611A">
        <w:rPr>
          <w:rFonts w:ascii="Cambria" w:hAnsi="Cambria"/>
          <w:bCs/>
          <w:sz w:val="20"/>
          <w:szCs w:val="20"/>
          <w:lang w:val="es-PA"/>
        </w:rPr>
        <w:t xml:space="preserve">de </w:t>
      </w:r>
      <w:r w:rsidR="00692165" w:rsidRPr="00974611">
        <w:rPr>
          <w:rFonts w:ascii="Cambria" w:hAnsi="Cambria"/>
          <w:bCs/>
          <w:sz w:val="20"/>
          <w:szCs w:val="20"/>
          <w:lang w:val="es-PA"/>
        </w:rPr>
        <w:t>una petición que no ha</w:t>
      </w:r>
      <w:r w:rsidR="00974611">
        <w:rPr>
          <w:rFonts w:ascii="Cambria" w:hAnsi="Cambria"/>
          <w:bCs/>
          <w:sz w:val="20"/>
          <w:szCs w:val="20"/>
          <w:lang w:val="es-PA"/>
        </w:rPr>
        <w:t>ya</w:t>
      </w:r>
      <w:r w:rsidR="00692165" w:rsidRPr="00974611">
        <w:rPr>
          <w:rFonts w:ascii="Cambria" w:hAnsi="Cambria"/>
          <w:bCs/>
          <w:sz w:val="20"/>
          <w:szCs w:val="20"/>
          <w:lang w:val="es-PA"/>
        </w:rPr>
        <w:t xml:space="preserve"> sido </w:t>
      </w:r>
      <w:r w:rsidR="0044611A">
        <w:rPr>
          <w:rFonts w:ascii="Cambria" w:hAnsi="Cambria"/>
          <w:bCs/>
          <w:sz w:val="20"/>
          <w:szCs w:val="20"/>
          <w:lang w:val="es-PA"/>
        </w:rPr>
        <w:t>revisada</w:t>
      </w:r>
      <w:r w:rsidR="00692165" w:rsidRPr="00974611">
        <w:rPr>
          <w:rFonts w:ascii="Cambria" w:hAnsi="Cambria"/>
          <w:bCs/>
          <w:sz w:val="20"/>
          <w:szCs w:val="20"/>
          <w:lang w:val="es-PA"/>
        </w:rPr>
        <w:t xml:space="preserve"> en sustancia por los tribunales domésticos por razones no imputables al Estado, tal </w:t>
      </w:r>
      <w:r w:rsidR="00974611" w:rsidRPr="00974611">
        <w:rPr>
          <w:rFonts w:ascii="Cambria" w:hAnsi="Cambria"/>
          <w:bCs/>
          <w:sz w:val="20"/>
          <w:szCs w:val="20"/>
          <w:lang w:val="es-PA"/>
        </w:rPr>
        <w:t xml:space="preserve">como que los peticionarios </w:t>
      </w:r>
      <w:r w:rsidR="0044611A">
        <w:rPr>
          <w:rFonts w:ascii="Cambria" w:hAnsi="Cambria"/>
          <w:bCs/>
          <w:sz w:val="20"/>
          <w:szCs w:val="20"/>
          <w:lang w:val="es-PA"/>
        </w:rPr>
        <w:t>hubieran</w:t>
      </w:r>
      <w:r w:rsidR="00974611" w:rsidRPr="00974611">
        <w:rPr>
          <w:rFonts w:ascii="Cambria" w:hAnsi="Cambria"/>
          <w:bCs/>
          <w:sz w:val="20"/>
          <w:szCs w:val="20"/>
          <w:lang w:val="es-PA"/>
        </w:rPr>
        <w:t xml:space="preserve"> a</w:t>
      </w:r>
      <w:r w:rsidR="00974611">
        <w:rPr>
          <w:rFonts w:ascii="Cambria" w:hAnsi="Cambria"/>
          <w:bCs/>
          <w:sz w:val="20"/>
          <w:szCs w:val="20"/>
          <w:lang w:val="es-PA"/>
        </w:rPr>
        <w:t>tentado</w:t>
      </w:r>
      <w:r w:rsidR="00974611" w:rsidRPr="00974611">
        <w:rPr>
          <w:rFonts w:ascii="Cambria" w:hAnsi="Cambria"/>
          <w:bCs/>
          <w:sz w:val="20"/>
          <w:szCs w:val="20"/>
          <w:lang w:val="es-PA"/>
        </w:rPr>
        <w:t xml:space="preserve"> co</w:t>
      </w:r>
      <w:r w:rsidR="00974611">
        <w:rPr>
          <w:rFonts w:ascii="Cambria" w:hAnsi="Cambria"/>
          <w:bCs/>
          <w:sz w:val="20"/>
          <w:szCs w:val="20"/>
          <w:lang w:val="es-PA"/>
        </w:rPr>
        <w:t>ntra la eficacia de los recurso</w:t>
      </w:r>
      <w:r w:rsidR="00974611" w:rsidRPr="00974611">
        <w:rPr>
          <w:rFonts w:ascii="Cambria" w:hAnsi="Cambria"/>
          <w:bCs/>
          <w:sz w:val="20"/>
          <w:szCs w:val="20"/>
          <w:lang w:val="es-PA"/>
        </w:rPr>
        <w:t>s</w:t>
      </w:r>
      <w:r w:rsidR="00974611">
        <w:rPr>
          <w:rFonts w:ascii="Cambria" w:hAnsi="Cambria"/>
          <w:bCs/>
          <w:sz w:val="20"/>
          <w:szCs w:val="20"/>
          <w:lang w:val="es-PA"/>
        </w:rPr>
        <w:t xml:space="preserve"> </w:t>
      </w:r>
      <w:r w:rsidR="00974611" w:rsidRPr="00974611">
        <w:rPr>
          <w:rFonts w:ascii="Cambria" w:hAnsi="Cambria"/>
          <w:bCs/>
          <w:sz w:val="20"/>
          <w:szCs w:val="20"/>
          <w:lang w:val="es-PA"/>
        </w:rPr>
        <w:t xml:space="preserve">al no agotarlos en debida forma. </w:t>
      </w:r>
    </w:p>
    <w:p w14:paraId="27220D68" w14:textId="7C917F24" w:rsidR="00ED7F72" w:rsidRDefault="00974611" w:rsidP="00ED7F72">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El Estado también alega que la petición debe ser inadmitida con fundamento en el artículo 47(b) de la Convención Americana puesto que la garantía de doble instancia está garantizada en el ordenamiento y en la jurisprudencia de los tribunales argentinos, qu</w:t>
      </w:r>
      <w:r w:rsidR="0044611A">
        <w:rPr>
          <w:rFonts w:ascii="Cambria" w:hAnsi="Cambria"/>
          <w:sz w:val="20"/>
          <w:szCs w:val="20"/>
          <w:lang w:val="es-ES"/>
        </w:rPr>
        <w:t>e</w:t>
      </w:r>
      <w:r>
        <w:rPr>
          <w:rFonts w:ascii="Cambria" w:hAnsi="Cambria"/>
          <w:sz w:val="20"/>
          <w:szCs w:val="20"/>
          <w:lang w:val="es-ES"/>
        </w:rPr>
        <w:t xml:space="preserve"> receptaron la doctrina internacional. Considera que no corresponde que se sometan a debate internacional los términos en que las sentencias condenatorias han sido pronunciadas contra las presuntas víctimas, ni los hechos o pruebas en</w:t>
      </w:r>
      <w:r w:rsidR="0044611A">
        <w:rPr>
          <w:rFonts w:ascii="Cambria" w:hAnsi="Cambria"/>
          <w:sz w:val="20"/>
          <w:szCs w:val="20"/>
          <w:lang w:val="es-ES"/>
        </w:rPr>
        <w:t xml:space="preserve"> que</w:t>
      </w:r>
      <w:r>
        <w:rPr>
          <w:rFonts w:ascii="Cambria" w:hAnsi="Cambria"/>
          <w:sz w:val="20"/>
          <w:szCs w:val="20"/>
          <w:lang w:val="es-ES"/>
        </w:rPr>
        <w:t xml:space="preserve"> se han basado. Resalta que tampoco compete a la Comisión determinar la culpabilidad o inocencia de los peticionarios, puesto que ello </w:t>
      </w:r>
      <w:r w:rsidR="0044611A">
        <w:rPr>
          <w:rFonts w:ascii="Cambria" w:hAnsi="Cambria"/>
          <w:sz w:val="20"/>
          <w:szCs w:val="20"/>
          <w:lang w:val="es-ES"/>
        </w:rPr>
        <w:t>está</w:t>
      </w:r>
      <w:r>
        <w:rPr>
          <w:rFonts w:ascii="Cambria" w:hAnsi="Cambria"/>
          <w:sz w:val="20"/>
          <w:szCs w:val="20"/>
          <w:lang w:val="es-ES"/>
        </w:rPr>
        <w:t xml:space="preserve"> reservado a la jurisdicción local. Reclama además </w:t>
      </w:r>
      <w:r w:rsidR="00ED7F72">
        <w:rPr>
          <w:rFonts w:ascii="Cambria" w:hAnsi="Cambria"/>
          <w:sz w:val="20"/>
          <w:szCs w:val="20"/>
          <w:lang w:val="es-ES"/>
        </w:rPr>
        <w:t xml:space="preserve">que la petición fue traslada al Estado cerca de 4 años luego de su presentación, lo que considera extemporáneo. </w:t>
      </w:r>
    </w:p>
    <w:p w14:paraId="581FEE62" w14:textId="77777777" w:rsidR="00ED7F72" w:rsidRPr="006276BB" w:rsidRDefault="00ED7F72" w:rsidP="00ED7F72">
      <w:pPr>
        <w:pBdr>
          <w:top w:val="none" w:sz="0" w:space="0" w:color="auto"/>
          <w:left w:val="none" w:sz="0" w:space="0" w:color="auto"/>
          <w:bottom w:val="none" w:sz="0" w:space="0" w:color="auto"/>
          <w:right w:val="none" w:sz="0" w:space="0" w:color="auto"/>
          <w:bar w:val="none" w:sz="0" w:color="auto"/>
        </w:pBdr>
        <w:suppressAutoHyphens/>
        <w:spacing w:after="240"/>
        <w:ind w:left="720"/>
        <w:jc w:val="both"/>
        <w:rPr>
          <w:rFonts w:asciiTheme="majorHAnsi" w:hAnsiTheme="majorHAnsi"/>
          <w:sz w:val="20"/>
          <w:szCs w:val="20"/>
          <w:lang w:val="es-UY"/>
        </w:rPr>
      </w:pPr>
      <w:r w:rsidRPr="006276BB">
        <w:rPr>
          <w:rFonts w:asciiTheme="majorHAnsi" w:hAnsiTheme="majorHAnsi" w:cs="Cambria"/>
          <w:b/>
          <w:bCs/>
          <w:color w:val="000000"/>
          <w:sz w:val="20"/>
          <w:szCs w:val="20"/>
          <w:u w:color="000000"/>
          <w:lang w:val="es-ES" w:eastAsia="es-ES"/>
        </w:rPr>
        <w:t>VI.</w:t>
      </w:r>
      <w:r w:rsidRPr="006276BB">
        <w:rPr>
          <w:rFonts w:asciiTheme="majorHAnsi" w:hAnsiTheme="majorHAnsi" w:cs="Cambria"/>
          <w:b/>
          <w:bCs/>
          <w:color w:val="000000"/>
          <w:sz w:val="20"/>
          <w:szCs w:val="20"/>
          <w:u w:color="000000"/>
          <w:lang w:val="es-ES" w:eastAsia="es-ES"/>
        </w:rPr>
        <w:tab/>
      </w:r>
      <w:r w:rsidRPr="006276BB">
        <w:rPr>
          <w:rFonts w:asciiTheme="majorHAnsi" w:hAnsiTheme="majorHAnsi"/>
          <w:b/>
          <w:bCs/>
          <w:sz w:val="20"/>
          <w:szCs w:val="20"/>
          <w:lang w:val="es-ES_tradnl"/>
        </w:rPr>
        <w:t xml:space="preserve">ANÁLISIS DE </w:t>
      </w:r>
      <w:r w:rsidRPr="006276BB">
        <w:rPr>
          <w:rFonts w:asciiTheme="majorHAnsi" w:hAnsiTheme="majorHAnsi"/>
          <w:b/>
          <w:sz w:val="20"/>
          <w:szCs w:val="20"/>
          <w:lang w:val="es-ES"/>
        </w:rPr>
        <w:t>AGOTAMIENTO DE LOS RECURSOS INTERNOS Y PLAZO DE PRESENTACIÓN</w:t>
      </w:r>
      <w:r w:rsidRPr="006276BB">
        <w:rPr>
          <w:rFonts w:asciiTheme="majorHAnsi" w:hAnsiTheme="majorHAnsi" w:cs="Cambria"/>
          <w:b/>
          <w:bCs/>
          <w:color w:val="000000"/>
          <w:sz w:val="20"/>
          <w:szCs w:val="20"/>
          <w:u w:color="000000"/>
          <w:lang w:val="es-ES" w:eastAsia="es-ES"/>
        </w:rPr>
        <w:t xml:space="preserve"> </w:t>
      </w:r>
    </w:p>
    <w:p w14:paraId="5C09188A" w14:textId="662B4BB0" w:rsidR="00ED7F72" w:rsidRPr="00CF78BC" w:rsidRDefault="00ED7F72" w:rsidP="00ED7F72">
      <w:pPr>
        <w:pStyle w:val="Default"/>
        <w:numPr>
          <w:ilvl w:val="0"/>
          <w:numId w:val="103"/>
        </w:numPr>
        <w:pBdr>
          <w:top w:val="none" w:sz="0" w:space="0" w:color="auto"/>
          <w:left w:val="none" w:sz="0" w:space="0" w:color="auto"/>
          <w:bottom w:val="none" w:sz="0" w:space="0" w:color="auto"/>
          <w:right w:val="none" w:sz="0" w:space="0" w:color="auto"/>
          <w:bar w:val="none" w:sz="0" w:color="auto"/>
        </w:pBdr>
        <w:jc w:val="both"/>
        <w:rPr>
          <w:rFonts w:asciiTheme="majorHAnsi" w:hAnsiTheme="majorHAnsi" w:cs="Arial"/>
          <w:sz w:val="20"/>
          <w:szCs w:val="20"/>
          <w:lang w:val="es-VE"/>
        </w:rPr>
      </w:pPr>
      <w:r>
        <w:rPr>
          <w:rFonts w:asciiTheme="majorHAnsi" w:hAnsiTheme="majorHAnsi"/>
          <w:sz w:val="20"/>
          <w:szCs w:val="20"/>
          <w:lang w:val="es-ES"/>
        </w:rPr>
        <w:t xml:space="preserve">La parte peticionaria </w:t>
      </w:r>
      <w:r w:rsidR="0044611A">
        <w:rPr>
          <w:rFonts w:asciiTheme="majorHAnsi" w:hAnsiTheme="majorHAnsi"/>
          <w:sz w:val="20"/>
          <w:szCs w:val="20"/>
          <w:lang w:val="es-ES"/>
        </w:rPr>
        <w:t>afirma</w:t>
      </w:r>
      <w:r>
        <w:rPr>
          <w:rFonts w:asciiTheme="majorHAnsi" w:hAnsiTheme="majorHAnsi"/>
          <w:sz w:val="20"/>
          <w:szCs w:val="20"/>
          <w:lang w:val="es-ES"/>
        </w:rPr>
        <w:t xml:space="preserve"> que las presuntas víctimas agotaron en debida forma los recursos disponibles en la jurisdicción interna</w:t>
      </w:r>
      <w:r w:rsidR="0044611A">
        <w:rPr>
          <w:rFonts w:asciiTheme="majorHAnsi" w:hAnsiTheme="majorHAnsi"/>
          <w:sz w:val="20"/>
          <w:szCs w:val="20"/>
          <w:lang w:val="es-ES"/>
        </w:rPr>
        <w:t xml:space="preserve"> al</w:t>
      </w:r>
      <w:r>
        <w:rPr>
          <w:rFonts w:asciiTheme="majorHAnsi" w:hAnsiTheme="majorHAnsi"/>
          <w:sz w:val="20"/>
          <w:szCs w:val="20"/>
          <w:lang w:val="es-ES"/>
        </w:rPr>
        <w:t xml:space="preserve"> plantea</w:t>
      </w:r>
      <w:r w:rsidR="0044611A">
        <w:rPr>
          <w:rFonts w:asciiTheme="majorHAnsi" w:hAnsiTheme="majorHAnsi"/>
          <w:sz w:val="20"/>
          <w:szCs w:val="20"/>
          <w:lang w:val="es-ES"/>
        </w:rPr>
        <w:t>r</w:t>
      </w:r>
      <w:r>
        <w:rPr>
          <w:rFonts w:asciiTheme="majorHAnsi" w:hAnsiTheme="majorHAnsi"/>
          <w:sz w:val="20"/>
          <w:szCs w:val="20"/>
          <w:lang w:val="es-ES"/>
        </w:rPr>
        <w:t xml:space="preserve"> su reclamo con respecto a la ausencia de un recurso para la revisión integral de sus condenas en la primera oportunidad procesal a su alcance, es decir, en la fase de casación luego de haberse </w:t>
      </w:r>
      <w:r w:rsidR="0044611A">
        <w:rPr>
          <w:rFonts w:asciiTheme="majorHAnsi" w:hAnsiTheme="majorHAnsi"/>
          <w:sz w:val="20"/>
          <w:szCs w:val="20"/>
          <w:lang w:val="es-ES"/>
        </w:rPr>
        <w:t>dictado</w:t>
      </w:r>
      <w:r>
        <w:rPr>
          <w:rFonts w:asciiTheme="majorHAnsi" w:hAnsiTheme="majorHAnsi"/>
          <w:sz w:val="20"/>
          <w:szCs w:val="20"/>
          <w:lang w:val="es-ES"/>
        </w:rPr>
        <w:t xml:space="preserve"> la condena. </w:t>
      </w:r>
      <w:r w:rsidR="0044611A">
        <w:rPr>
          <w:rFonts w:asciiTheme="majorHAnsi" w:hAnsiTheme="majorHAnsi"/>
          <w:sz w:val="20"/>
          <w:szCs w:val="20"/>
          <w:lang w:val="es-ES"/>
        </w:rPr>
        <w:t xml:space="preserve">Por su parte, </w:t>
      </w:r>
      <w:r>
        <w:rPr>
          <w:rFonts w:asciiTheme="majorHAnsi" w:hAnsiTheme="majorHAnsi"/>
          <w:sz w:val="20"/>
          <w:szCs w:val="20"/>
          <w:lang w:val="es-ES"/>
        </w:rPr>
        <w:t xml:space="preserve">el Estado </w:t>
      </w:r>
      <w:r w:rsidR="0044611A">
        <w:rPr>
          <w:rFonts w:asciiTheme="majorHAnsi" w:hAnsiTheme="majorHAnsi"/>
          <w:sz w:val="20"/>
          <w:szCs w:val="20"/>
          <w:lang w:val="es-ES"/>
        </w:rPr>
        <w:t xml:space="preserve">contradice tal afirmación, </w:t>
      </w:r>
      <w:r>
        <w:rPr>
          <w:rFonts w:asciiTheme="majorHAnsi" w:hAnsiTheme="majorHAnsi"/>
          <w:sz w:val="20"/>
          <w:szCs w:val="20"/>
          <w:lang w:val="es-ES"/>
        </w:rPr>
        <w:t xml:space="preserve">pues </w:t>
      </w:r>
      <w:r w:rsidR="0044611A">
        <w:rPr>
          <w:rFonts w:asciiTheme="majorHAnsi" w:hAnsiTheme="majorHAnsi"/>
          <w:sz w:val="20"/>
          <w:szCs w:val="20"/>
          <w:lang w:val="es-ES"/>
        </w:rPr>
        <w:t xml:space="preserve">sostiene que el momento oportuno para plantear estos reclamos era durante la etapa de investigación o durante el debate oral, pero </w:t>
      </w:r>
      <w:r>
        <w:rPr>
          <w:rFonts w:asciiTheme="majorHAnsi" w:hAnsiTheme="majorHAnsi"/>
          <w:sz w:val="20"/>
          <w:szCs w:val="20"/>
          <w:lang w:val="es-ES"/>
        </w:rPr>
        <w:t xml:space="preserve">que </w:t>
      </w:r>
      <w:r w:rsidR="0044611A">
        <w:rPr>
          <w:rFonts w:asciiTheme="majorHAnsi" w:hAnsiTheme="majorHAnsi"/>
          <w:sz w:val="20"/>
          <w:szCs w:val="20"/>
          <w:lang w:val="es-ES"/>
        </w:rPr>
        <w:t>las presuntas víctimas no lo hicieron</w:t>
      </w:r>
      <w:r w:rsidR="00CF78BC">
        <w:rPr>
          <w:rFonts w:asciiTheme="majorHAnsi" w:hAnsiTheme="majorHAnsi"/>
          <w:sz w:val="20"/>
          <w:szCs w:val="20"/>
          <w:lang w:val="es-ES"/>
        </w:rPr>
        <w:t xml:space="preserve"> sino hasta la interposición de sus recursos extraordinarios federales. </w:t>
      </w:r>
    </w:p>
    <w:p w14:paraId="7930FD32" w14:textId="77777777" w:rsidR="00CF78BC" w:rsidRPr="00CF78BC" w:rsidRDefault="00CF78BC" w:rsidP="00CF78BC">
      <w:pPr>
        <w:pStyle w:val="Default"/>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s="Arial"/>
          <w:sz w:val="20"/>
          <w:szCs w:val="20"/>
          <w:lang w:val="es-VE"/>
        </w:rPr>
      </w:pPr>
    </w:p>
    <w:p w14:paraId="407837B9" w14:textId="63EB2893" w:rsidR="00CF78BC" w:rsidRPr="006508E0" w:rsidRDefault="009A1B69" w:rsidP="00ED7F72">
      <w:pPr>
        <w:pStyle w:val="Default"/>
        <w:numPr>
          <w:ilvl w:val="0"/>
          <w:numId w:val="103"/>
        </w:numPr>
        <w:pBdr>
          <w:top w:val="none" w:sz="0" w:space="0" w:color="auto"/>
          <w:left w:val="none" w:sz="0" w:space="0" w:color="auto"/>
          <w:bottom w:val="none" w:sz="0" w:space="0" w:color="auto"/>
          <w:right w:val="none" w:sz="0" w:space="0" w:color="auto"/>
          <w:bar w:val="none" w:sz="0" w:color="auto"/>
        </w:pBdr>
        <w:jc w:val="both"/>
        <w:rPr>
          <w:rFonts w:asciiTheme="majorHAnsi" w:hAnsiTheme="majorHAnsi" w:cs="Arial"/>
          <w:sz w:val="20"/>
          <w:szCs w:val="20"/>
          <w:lang w:val="es-VE"/>
        </w:rPr>
      </w:pPr>
      <w:r>
        <w:rPr>
          <w:rFonts w:asciiTheme="majorHAnsi" w:hAnsiTheme="majorHAnsi" w:cs="Arial"/>
          <w:sz w:val="20"/>
          <w:szCs w:val="20"/>
          <w:lang w:val="es-VE"/>
        </w:rPr>
        <w:t>En</w:t>
      </w:r>
      <w:r w:rsidR="00CF78BC">
        <w:rPr>
          <w:rFonts w:asciiTheme="majorHAnsi" w:hAnsiTheme="majorHAnsi" w:cs="Arial"/>
          <w:sz w:val="20"/>
          <w:szCs w:val="20"/>
          <w:lang w:val="es-VE"/>
        </w:rPr>
        <w:t xml:space="preserve"> la presente petición se reclama </w:t>
      </w:r>
      <w:r>
        <w:rPr>
          <w:rFonts w:asciiTheme="majorHAnsi" w:hAnsiTheme="majorHAnsi" w:cs="Arial"/>
          <w:sz w:val="20"/>
          <w:szCs w:val="20"/>
          <w:lang w:val="es-VE"/>
        </w:rPr>
        <w:t>que</w:t>
      </w:r>
      <w:r w:rsidR="00CF78BC">
        <w:rPr>
          <w:rFonts w:asciiTheme="majorHAnsi" w:hAnsiTheme="majorHAnsi" w:cs="Arial"/>
          <w:sz w:val="20"/>
          <w:szCs w:val="20"/>
          <w:lang w:val="es-VE"/>
        </w:rPr>
        <w:t xml:space="preserve"> el ordenamiento doméstico </w:t>
      </w:r>
      <w:r>
        <w:rPr>
          <w:rFonts w:asciiTheme="majorHAnsi" w:hAnsiTheme="majorHAnsi" w:cs="Arial"/>
          <w:sz w:val="20"/>
          <w:szCs w:val="20"/>
          <w:lang w:val="es-VE"/>
        </w:rPr>
        <w:t>no contemplaba</w:t>
      </w:r>
      <w:r w:rsidR="00CF78BC">
        <w:rPr>
          <w:rFonts w:asciiTheme="majorHAnsi" w:hAnsiTheme="majorHAnsi" w:cs="Arial"/>
          <w:sz w:val="20"/>
          <w:szCs w:val="20"/>
          <w:lang w:val="es-VE"/>
        </w:rPr>
        <w:t xml:space="preserve"> un recurso ordinario que permitiera la revisión integral de las sentencias condenatorias</w:t>
      </w:r>
      <w:r w:rsidR="00354036">
        <w:rPr>
          <w:rFonts w:asciiTheme="majorHAnsi" w:hAnsiTheme="majorHAnsi" w:cs="Arial"/>
          <w:sz w:val="20"/>
          <w:szCs w:val="20"/>
          <w:lang w:val="es-VE"/>
        </w:rPr>
        <w:t>.</w:t>
      </w:r>
      <w:r w:rsidR="00CF78BC">
        <w:rPr>
          <w:rFonts w:asciiTheme="majorHAnsi" w:hAnsiTheme="majorHAnsi" w:cs="Arial"/>
          <w:sz w:val="20"/>
          <w:szCs w:val="20"/>
          <w:lang w:val="es-VE"/>
        </w:rPr>
        <w:t xml:space="preserve"> </w:t>
      </w:r>
      <w:r w:rsidR="00354036">
        <w:rPr>
          <w:rFonts w:asciiTheme="majorHAnsi" w:hAnsiTheme="majorHAnsi" w:cs="Arial"/>
          <w:sz w:val="20"/>
          <w:szCs w:val="20"/>
          <w:lang w:val="es-VE"/>
        </w:rPr>
        <w:t>L</w:t>
      </w:r>
      <w:r w:rsidR="00CF78BC">
        <w:rPr>
          <w:rFonts w:asciiTheme="majorHAnsi" w:hAnsiTheme="majorHAnsi" w:cs="Arial"/>
          <w:sz w:val="20"/>
          <w:szCs w:val="20"/>
          <w:lang w:val="es-VE"/>
        </w:rPr>
        <w:t xml:space="preserve">as presuntas víctimas recurrieron las condenas en su contra o las penas impuestas en ellas mediante los recursos de casación, extraordinario federal y el de queja o de hecho por denegatoria de extraordinario federal. </w:t>
      </w:r>
      <w:r w:rsidR="000430EB">
        <w:rPr>
          <w:rFonts w:asciiTheme="majorHAnsi" w:hAnsiTheme="majorHAnsi" w:cs="Arial"/>
          <w:sz w:val="20"/>
          <w:szCs w:val="20"/>
          <w:lang w:val="es-VE"/>
        </w:rPr>
        <w:t xml:space="preserve">Ante esta circunstancia, la Comisión </w:t>
      </w:r>
      <w:r>
        <w:rPr>
          <w:rFonts w:asciiTheme="majorHAnsi" w:hAnsiTheme="majorHAnsi" w:cs="Arial"/>
          <w:sz w:val="20"/>
          <w:szCs w:val="20"/>
          <w:lang w:val="es-VE"/>
        </w:rPr>
        <w:t xml:space="preserve">debe reiterar </w:t>
      </w:r>
      <w:r w:rsidR="000430EB">
        <w:rPr>
          <w:rFonts w:asciiTheme="majorHAnsi" w:hAnsiTheme="majorHAnsi" w:cs="Arial"/>
          <w:sz w:val="20"/>
          <w:szCs w:val="20"/>
          <w:lang w:val="es-VE"/>
        </w:rPr>
        <w:t xml:space="preserve">su criterio </w:t>
      </w:r>
      <w:r>
        <w:rPr>
          <w:rFonts w:asciiTheme="majorHAnsi" w:hAnsiTheme="majorHAnsi" w:cs="Arial"/>
          <w:sz w:val="20"/>
          <w:szCs w:val="20"/>
          <w:lang w:val="es-VE"/>
        </w:rPr>
        <w:t>en el sentido de</w:t>
      </w:r>
      <w:r w:rsidR="000430EB">
        <w:rPr>
          <w:rFonts w:asciiTheme="majorHAnsi" w:hAnsiTheme="majorHAnsi" w:cs="Arial"/>
          <w:sz w:val="20"/>
          <w:szCs w:val="20"/>
          <w:lang w:val="es-VE"/>
        </w:rPr>
        <w:t xml:space="preserve"> que si una presunta víctima “</w:t>
      </w:r>
      <w:r w:rsidR="000430EB" w:rsidRPr="00C770F2">
        <w:rPr>
          <w:rFonts w:ascii="Cambria" w:hAnsi="Cambria" w:cs="Calibri"/>
          <w:sz w:val="20"/>
          <w:szCs w:val="20"/>
          <w:lang w:val="es-ES_tradnl"/>
        </w:rPr>
        <w:t xml:space="preserve">agota recursos extraordinarios con la expectativa razonable de obtener un resultado favorable, entonces los mismos pueden tomarse en cuenta como recursos válidamente agotados para efectos del cumplimiento de los requisitos de </w:t>
      </w:r>
      <w:r w:rsidR="000430EB" w:rsidRPr="00C770F2">
        <w:rPr>
          <w:rFonts w:ascii="Cambria" w:hAnsi="Cambria" w:cs="Calibri"/>
          <w:sz w:val="20"/>
          <w:szCs w:val="20"/>
          <w:lang w:val="es-ES_tradnl"/>
        </w:rPr>
        <w:lastRenderedPageBreak/>
        <w:t>admisibilidad de la petición</w:t>
      </w:r>
      <w:r w:rsidR="000430EB">
        <w:rPr>
          <w:rFonts w:ascii="Cambria" w:hAnsi="Cambria" w:cs="Calibri"/>
          <w:sz w:val="20"/>
          <w:szCs w:val="20"/>
          <w:lang w:val="es-ES_tradnl"/>
        </w:rPr>
        <w:t>”</w:t>
      </w:r>
      <w:r w:rsidR="000430EB" w:rsidRPr="00C770F2">
        <w:rPr>
          <w:rStyle w:val="FootnoteReference"/>
          <w:rFonts w:asciiTheme="majorHAnsi" w:hAnsiTheme="majorHAnsi"/>
          <w:bCs/>
          <w:sz w:val="20"/>
          <w:szCs w:val="20"/>
          <w:lang w:val="es-VE"/>
        </w:rPr>
        <w:t xml:space="preserve"> </w:t>
      </w:r>
      <w:r w:rsidR="000430EB" w:rsidRPr="006276BB">
        <w:rPr>
          <w:rStyle w:val="FootnoteReference"/>
          <w:rFonts w:asciiTheme="majorHAnsi" w:hAnsiTheme="majorHAnsi"/>
          <w:bCs/>
          <w:sz w:val="20"/>
          <w:szCs w:val="20"/>
          <w:lang w:val="es-VE"/>
        </w:rPr>
        <w:footnoteReference w:id="9"/>
      </w:r>
      <w:r w:rsidR="000430EB" w:rsidRPr="00C770F2">
        <w:rPr>
          <w:rFonts w:ascii="Cambria" w:hAnsi="Cambria" w:cs="Calibri"/>
          <w:sz w:val="20"/>
          <w:szCs w:val="20"/>
          <w:lang w:val="es-ES_tradnl"/>
        </w:rPr>
        <w:t>.</w:t>
      </w:r>
      <w:r w:rsidR="000430EB">
        <w:rPr>
          <w:rFonts w:ascii="Cambria" w:hAnsi="Cambria" w:cs="Calibri"/>
          <w:sz w:val="20"/>
          <w:szCs w:val="20"/>
          <w:lang w:val="es-ES_tradnl"/>
        </w:rPr>
        <w:t xml:space="preserve">  En el presente </w:t>
      </w:r>
      <w:r>
        <w:rPr>
          <w:rFonts w:ascii="Cambria" w:hAnsi="Cambria" w:cs="Calibri"/>
          <w:sz w:val="20"/>
          <w:szCs w:val="20"/>
          <w:lang w:val="es-ES_tradnl"/>
        </w:rPr>
        <w:t>asunto</w:t>
      </w:r>
      <w:r w:rsidR="000430EB">
        <w:rPr>
          <w:rFonts w:ascii="Cambria" w:hAnsi="Cambria" w:cs="Calibri"/>
          <w:sz w:val="20"/>
          <w:szCs w:val="20"/>
          <w:lang w:val="es-ES_tradnl"/>
        </w:rPr>
        <w:t xml:space="preserve"> el Estado no ha indicado que los recursos</w:t>
      </w:r>
      <w:r w:rsidR="006508E0">
        <w:rPr>
          <w:rFonts w:ascii="Cambria" w:hAnsi="Cambria" w:cs="Calibri"/>
          <w:sz w:val="20"/>
          <w:szCs w:val="20"/>
          <w:lang w:val="es-ES_tradnl"/>
        </w:rPr>
        <w:t xml:space="preserve"> extraordinarios</w:t>
      </w:r>
      <w:r w:rsidR="000430EB">
        <w:rPr>
          <w:rFonts w:ascii="Cambria" w:hAnsi="Cambria" w:cs="Calibri"/>
          <w:sz w:val="20"/>
          <w:szCs w:val="20"/>
          <w:lang w:val="es-ES_tradnl"/>
        </w:rPr>
        <w:t xml:space="preserve"> interpuestos por las presuntas víctimas fuesen </w:t>
      </w:r>
      <w:r w:rsidR="000430EB">
        <w:rPr>
          <w:rFonts w:ascii="Cambria" w:hAnsi="Cambria" w:cs="Calibri"/>
          <w:i/>
          <w:sz w:val="20"/>
          <w:szCs w:val="20"/>
          <w:lang w:val="es-ES_tradnl"/>
        </w:rPr>
        <w:t xml:space="preserve">per se </w:t>
      </w:r>
      <w:r w:rsidR="000430EB">
        <w:rPr>
          <w:rFonts w:ascii="Cambria" w:hAnsi="Cambria" w:cs="Calibri"/>
          <w:sz w:val="20"/>
          <w:szCs w:val="20"/>
          <w:lang w:val="es-ES_tradnl"/>
        </w:rPr>
        <w:t xml:space="preserve">inapropiados para </w:t>
      </w:r>
      <w:r w:rsidR="006508E0">
        <w:rPr>
          <w:rFonts w:ascii="Cambria" w:hAnsi="Cambria" w:cs="Calibri"/>
          <w:sz w:val="20"/>
          <w:szCs w:val="20"/>
          <w:lang w:val="es-ES_tradnl"/>
        </w:rPr>
        <w:t>que estas plantearan sus reclamos</w:t>
      </w:r>
      <w:r w:rsidR="000430EB">
        <w:rPr>
          <w:rFonts w:ascii="Cambria" w:hAnsi="Cambria" w:cs="Calibri"/>
          <w:sz w:val="20"/>
          <w:szCs w:val="20"/>
          <w:lang w:val="es-ES_tradnl"/>
        </w:rPr>
        <w:t xml:space="preserve">, </w:t>
      </w:r>
      <w:r>
        <w:rPr>
          <w:rFonts w:ascii="Cambria" w:hAnsi="Cambria" w:cs="Calibri"/>
          <w:sz w:val="20"/>
          <w:szCs w:val="20"/>
          <w:lang w:val="es-ES_tradnl"/>
        </w:rPr>
        <w:t xml:space="preserve">sino que se </w:t>
      </w:r>
      <w:r w:rsidR="000430EB">
        <w:rPr>
          <w:rFonts w:ascii="Cambria" w:hAnsi="Cambria" w:cs="Calibri"/>
          <w:sz w:val="20"/>
          <w:szCs w:val="20"/>
          <w:lang w:val="es-ES_tradnl"/>
        </w:rPr>
        <w:t>limit</w:t>
      </w:r>
      <w:r>
        <w:rPr>
          <w:rFonts w:ascii="Cambria" w:hAnsi="Cambria" w:cs="Calibri"/>
          <w:sz w:val="20"/>
          <w:szCs w:val="20"/>
          <w:lang w:val="es-ES_tradnl"/>
        </w:rPr>
        <w:t>a</w:t>
      </w:r>
      <w:r w:rsidR="000430EB">
        <w:rPr>
          <w:rFonts w:ascii="Cambria" w:hAnsi="Cambria" w:cs="Calibri"/>
          <w:sz w:val="20"/>
          <w:szCs w:val="20"/>
          <w:lang w:val="es-ES_tradnl"/>
        </w:rPr>
        <w:t xml:space="preserve"> a señalar que </w:t>
      </w:r>
      <w:r>
        <w:rPr>
          <w:rFonts w:ascii="Cambria" w:hAnsi="Cambria" w:cs="Calibri"/>
          <w:sz w:val="20"/>
          <w:szCs w:val="20"/>
          <w:lang w:val="es-ES_tradnl"/>
        </w:rPr>
        <w:t>las presuntas víctimas</w:t>
      </w:r>
      <w:r w:rsidR="000430EB">
        <w:rPr>
          <w:rFonts w:ascii="Cambria" w:hAnsi="Cambria" w:cs="Calibri"/>
          <w:sz w:val="20"/>
          <w:szCs w:val="20"/>
          <w:lang w:val="es-ES_tradnl"/>
        </w:rPr>
        <w:t xml:space="preserve"> no </w:t>
      </w:r>
      <w:r>
        <w:rPr>
          <w:rFonts w:ascii="Cambria" w:hAnsi="Cambria" w:cs="Calibri"/>
          <w:sz w:val="20"/>
          <w:szCs w:val="20"/>
          <w:lang w:val="es-ES_tradnl"/>
        </w:rPr>
        <w:t xml:space="preserve">los </w:t>
      </w:r>
      <w:r w:rsidR="000430EB">
        <w:rPr>
          <w:rFonts w:ascii="Cambria" w:hAnsi="Cambria" w:cs="Calibri"/>
          <w:sz w:val="20"/>
          <w:szCs w:val="20"/>
          <w:lang w:val="es-ES_tradnl"/>
        </w:rPr>
        <w:t>agotar</w:t>
      </w:r>
      <w:r>
        <w:rPr>
          <w:rFonts w:ascii="Cambria" w:hAnsi="Cambria" w:cs="Calibri"/>
          <w:sz w:val="20"/>
          <w:szCs w:val="20"/>
          <w:lang w:val="es-ES_tradnl"/>
        </w:rPr>
        <w:t>on</w:t>
      </w:r>
      <w:r w:rsidR="000430EB">
        <w:rPr>
          <w:rFonts w:ascii="Cambria" w:hAnsi="Cambria" w:cs="Calibri"/>
          <w:sz w:val="20"/>
          <w:szCs w:val="20"/>
          <w:lang w:val="es-ES_tradnl"/>
        </w:rPr>
        <w:t xml:space="preserve"> en debida forma. </w:t>
      </w:r>
      <w:r w:rsidR="006508E0">
        <w:rPr>
          <w:rFonts w:ascii="Cambria" w:hAnsi="Cambria" w:cs="Calibri"/>
          <w:sz w:val="20"/>
          <w:szCs w:val="20"/>
          <w:lang w:val="es-ES_tradnl"/>
        </w:rPr>
        <w:t xml:space="preserve">En adición, la Comisión valora </w:t>
      </w:r>
      <w:r w:rsidR="000430EB">
        <w:rPr>
          <w:rFonts w:ascii="Cambria" w:hAnsi="Cambria" w:cs="Calibri"/>
          <w:sz w:val="20"/>
          <w:szCs w:val="20"/>
          <w:lang w:val="es-ES_tradnl"/>
        </w:rPr>
        <w:t>que el Estado no ha indicado</w:t>
      </w:r>
      <w:r>
        <w:rPr>
          <w:rFonts w:ascii="Cambria" w:hAnsi="Cambria" w:cs="Calibri"/>
          <w:sz w:val="20"/>
          <w:szCs w:val="20"/>
          <w:lang w:val="es-ES_tradnl"/>
        </w:rPr>
        <w:t>,</w:t>
      </w:r>
      <w:r w:rsidR="000430EB">
        <w:rPr>
          <w:rFonts w:ascii="Cambria" w:hAnsi="Cambria" w:cs="Calibri"/>
          <w:sz w:val="20"/>
          <w:szCs w:val="20"/>
          <w:lang w:val="es-ES_tradnl"/>
        </w:rPr>
        <w:t xml:space="preserve"> ni surge del expediente</w:t>
      </w:r>
      <w:r>
        <w:rPr>
          <w:rFonts w:ascii="Cambria" w:hAnsi="Cambria" w:cs="Calibri"/>
          <w:sz w:val="20"/>
          <w:szCs w:val="20"/>
          <w:lang w:val="es-ES_tradnl"/>
        </w:rPr>
        <w:t>,</w:t>
      </w:r>
      <w:r w:rsidR="000430EB">
        <w:rPr>
          <w:rFonts w:ascii="Cambria" w:hAnsi="Cambria" w:cs="Calibri"/>
          <w:sz w:val="20"/>
          <w:szCs w:val="20"/>
          <w:lang w:val="es-ES_tradnl"/>
        </w:rPr>
        <w:t xml:space="preserve"> </w:t>
      </w:r>
      <w:r>
        <w:rPr>
          <w:rFonts w:ascii="Cambria" w:hAnsi="Cambria" w:cs="Calibri"/>
          <w:sz w:val="20"/>
          <w:szCs w:val="20"/>
          <w:lang w:val="es-ES_tradnl"/>
        </w:rPr>
        <w:t>que hubiera</w:t>
      </w:r>
      <w:r w:rsidR="000430EB">
        <w:rPr>
          <w:rFonts w:ascii="Cambria" w:hAnsi="Cambria" w:cs="Calibri"/>
          <w:sz w:val="20"/>
          <w:szCs w:val="20"/>
          <w:lang w:val="es-ES_tradnl"/>
        </w:rPr>
        <w:t xml:space="preserve"> recursos adicionales no agotados que </w:t>
      </w:r>
      <w:r>
        <w:rPr>
          <w:rFonts w:ascii="Cambria" w:hAnsi="Cambria" w:cs="Calibri"/>
          <w:sz w:val="20"/>
          <w:szCs w:val="20"/>
          <w:lang w:val="es-ES_tradnl"/>
        </w:rPr>
        <w:t>podrían</w:t>
      </w:r>
      <w:r w:rsidR="000430EB">
        <w:rPr>
          <w:rFonts w:ascii="Cambria" w:hAnsi="Cambria" w:cs="Calibri"/>
          <w:sz w:val="20"/>
          <w:szCs w:val="20"/>
          <w:lang w:val="es-ES_tradnl"/>
        </w:rPr>
        <w:t xml:space="preserve"> ser idóneos </w:t>
      </w:r>
      <w:r w:rsidR="006508E0">
        <w:rPr>
          <w:rFonts w:ascii="Cambria" w:hAnsi="Cambria" w:cs="Calibri"/>
          <w:sz w:val="20"/>
          <w:szCs w:val="20"/>
          <w:lang w:val="es-ES_tradnl"/>
        </w:rPr>
        <w:t xml:space="preserve">para que los reclamos de la peticionaria sean atendidos </w:t>
      </w:r>
      <w:r>
        <w:rPr>
          <w:rFonts w:ascii="Cambria" w:hAnsi="Cambria" w:cs="Calibri"/>
          <w:sz w:val="20"/>
          <w:szCs w:val="20"/>
          <w:lang w:val="es-ES_tradnl"/>
        </w:rPr>
        <w:t>en el ámbito interno</w:t>
      </w:r>
      <w:r w:rsidR="006508E0">
        <w:rPr>
          <w:rFonts w:ascii="Cambria" w:hAnsi="Cambria" w:cs="Calibri"/>
          <w:sz w:val="20"/>
          <w:szCs w:val="20"/>
          <w:lang w:val="es-ES_tradnl"/>
        </w:rPr>
        <w:t>. Por estas razones</w:t>
      </w:r>
      <w:r>
        <w:rPr>
          <w:rFonts w:ascii="Cambria" w:hAnsi="Cambria" w:cs="Calibri"/>
          <w:sz w:val="20"/>
          <w:szCs w:val="20"/>
          <w:lang w:val="es-ES_tradnl"/>
        </w:rPr>
        <w:t>, la Comisión</w:t>
      </w:r>
      <w:r w:rsidR="006508E0">
        <w:rPr>
          <w:rFonts w:ascii="Cambria" w:hAnsi="Cambria" w:cs="Calibri"/>
          <w:sz w:val="20"/>
          <w:szCs w:val="20"/>
          <w:lang w:val="es-ES_tradnl"/>
        </w:rPr>
        <w:t xml:space="preserve"> concluye que las decisiones definitivas que agotaron </w:t>
      </w:r>
      <w:r>
        <w:rPr>
          <w:rFonts w:ascii="Cambria" w:hAnsi="Cambria" w:cs="Calibri"/>
          <w:sz w:val="20"/>
          <w:szCs w:val="20"/>
          <w:lang w:val="es-ES_tradnl"/>
        </w:rPr>
        <w:t>la jurisdicción interna</w:t>
      </w:r>
      <w:r w:rsidR="006508E0">
        <w:rPr>
          <w:rFonts w:ascii="Cambria" w:hAnsi="Cambria" w:cs="Calibri"/>
          <w:sz w:val="20"/>
          <w:szCs w:val="20"/>
          <w:lang w:val="es-ES_tradnl"/>
        </w:rPr>
        <w:t xml:space="preserve"> con respecto a la presente petición son las </w:t>
      </w:r>
      <w:r>
        <w:rPr>
          <w:rFonts w:ascii="Cambria" w:hAnsi="Cambria" w:cs="Calibri"/>
          <w:sz w:val="20"/>
          <w:szCs w:val="20"/>
          <w:lang w:val="es-ES_tradnl"/>
        </w:rPr>
        <w:t>dictadas</w:t>
      </w:r>
      <w:r w:rsidR="006508E0">
        <w:rPr>
          <w:rFonts w:ascii="Cambria" w:hAnsi="Cambria" w:cs="Calibri"/>
          <w:sz w:val="20"/>
          <w:szCs w:val="20"/>
          <w:lang w:val="es-ES_tradnl"/>
        </w:rPr>
        <w:t xml:space="preserve"> por la Corte Suprema de Justicia de la Nación </w:t>
      </w:r>
      <w:r>
        <w:rPr>
          <w:rFonts w:ascii="Cambria" w:hAnsi="Cambria" w:cs="Calibri"/>
          <w:sz w:val="20"/>
          <w:szCs w:val="20"/>
          <w:lang w:val="es-ES_tradnl"/>
        </w:rPr>
        <w:t xml:space="preserve">para </w:t>
      </w:r>
      <w:r w:rsidR="006508E0">
        <w:rPr>
          <w:rFonts w:ascii="Cambria" w:hAnsi="Cambria" w:cs="Calibri"/>
          <w:sz w:val="20"/>
          <w:szCs w:val="20"/>
          <w:lang w:val="es-ES_tradnl"/>
        </w:rPr>
        <w:t>rechaza</w:t>
      </w:r>
      <w:r>
        <w:rPr>
          <w:rFonts w:ascii="Cambria" w:hAnsi="Cambria" w:cs="Calibri"/>
          <w:sz w:val="20"/>
          <w:szCs w:val="20"/>
          <w:lang w:val="es-ES_tradnl"/>
        </w:rPr>
        <w:t>r</w:t>
      </w:r>
      <w:r w:rsidR="006508E0">
        <w:rPr>
          <w:rFonts w:ascii="Cambria" w:hAnsi="Cambria" w:cs="Calibri"/>
          <w:sz w:val="20"/>
          <w:szCs w:val="20"/>
          <w:lang w:val="es-ES_tradnl"/>
        </w:rPr>
        <w:t xml:space="preserve"> los recursos de queja o de hecho por denegatoria de recurso extraordinario federal.</w:t>
      </w:r>
    </w:p>
    <w:p w14:paraId="70C7B003" w14:textId="77777777" w:rsidR="006508E0" w:rsidRPr="006508E0" w:rsidRDefault="006508E0" w:rsidP="006508E0">
      <w:pPr>
        <w:pStyle w:val="Default"/>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s="Arial"/>
          <w:sz w:val="20"/>
          <w:szCs w:val="20"/>
          <w:lang w:val="es-VE"/>
        </w:rPr>
      </w:pPr>
    </w:p>
    <w:p w14:paraId="462BA879" w14:textId="549E9CD0" w:rsidR="006508E0" w:rsidRPr="005F6C25" w:rsidRDefault="006508E0" w:rsidP="00ED7F72">
      <w:pPr>
        <w:pStyle w:val="Default"/>
        <w:numPr>
          <w:ilvl w:val="0"/>
          <w:numId w:val="103"/>
        </w:numPr>
        <w:pBdr>
          <w:top w:val="none" w:sz="0" w:space="0" w:color="auto"/>
          <w:left w:val="none" w:sz="0" w:space="0" w:color="auto"/>
          <w:bottom w:val="none" w:sz="0" w:space="0" w:color="auto"/>
          <w:right w:val="none" w:sz="0" w:space="0" w:color="auto"/>
          <w:bar w:val="none" w:sz="0" w:color="auto"/>
        </w:pBdr>
        <w:jc w:val="both"/>
        <w:rPr>
          <w:rFonts w:asciiTheme="majorHAnsi" w:hAnsiTheme="majorHAnsi" w:cs="Arial"/>
          <w:sz w:val="20"/>
          <w:szCs w:val="20"/>
          <w:lang w:val="es-VE"/>
        </w:rPr>
      </w:pPr>
      <w:r>
        <w:rPr>
          <w:rFonts w:asciiTheme="majorHAnsi" w:hAnsiTheme="majorHAnsi" w:cs="Arial"/>
          <w:sz w:val="20"/>
          <w:szCs w:val="20"/>
          <w:lang w:val="es-VE"/>
        </w:rPr>
        <w:t>La Comisión toma</w:t>
      </w:r>
      <w:r w:rsidR="009A1B69">
        <w:rPr>
          <w:rFonts w:asciiTheme="majorHAnsi" w:hAnsiTheme="majorHAnsi" w:cs="Arial"/>
          <w:sz w:val="20"/>
          <w:szCs w:val="20"/>
          <w:lang w:val="es-VE"/>
        </w:rPr>
        <w:t xml:space="preserve"> nota</w:t>
      </w:r>
      <w:r>
        <w:rPr>
          <w:rFonts w:asciiTheme="majorHAnsi" w:hAnsiTheme="majorHAnsi" w:cs="Arial"/>
          <w:sz w:val="20"/>
          <w:szCs w:val="20"/>
          <w:lang w:val="es-VE"/>
        </w:rPr>
        <w:t xml:space="preserve"> </w:t>
      </w:r>
      <w:r w:rsidR="00223E7A">
        <w:rPr>
          <w:rFonts w:asciiTheme="majorHAnsi" w:hAnsiTheme="majorHAnsi" w:cs="Arial"/>
          <w:sz w:val="20"/>
          <w:szCs w:val="20"/>
          <w:lang w:val="es-VE"/>
        </w:rPr>
        <w:t>del alegato del Estado respecto a</w:t>
      </w:r>
      <w:r>
        <w:rPr>
          <w:rFonts w:asciiTheme="majorHAnsi" w:hAnsiTheme="majorHAnsi" w:cs="Arial"/>
          <w:sz w:val="20"/>
          <w:szCs w:val="20"/>
          <w:lang w:val="es-VE"/>
        </w:rPr>
        <w:t xml:space="preserve"> que los tribunales domésticos se vieron </w:t>
      </w:r>
      <w:r w:rsidR="00223E7A">
        <w:rPr>
          <w:rFonts w:asciiTheme="majorHAnsi" w:hAnsiTheme="majorHAnsi" w:cs="Arial"/>
          <w:sz w:val="20"/>
          <w:szCs w:val="20"/>
          <w:lang w:val="es-VE"/>
        </w:rPr>
        <w:t xml:space="preserve">impedidos de revisar la </w:t>
      </w:r>
      <w:r w:rsidR="009A1B69">
        <w:rPr>
          <w:rFonts w:asciiTheme="majorHAnsi" w:hAnsiTheme="majorHAnsi" w:cs="Arial"/>
          <w:sz w:val="20"/>
          <w:szCs w:val="20"/>
          <w:lang w:val="es-VE"/>
        </w:rPr>
        <w:t xml:space="preserve">supuesta </w:t>
      </w:r>
      <w:r w:rsidR="00223E7A">
        <w:rPr>
          <w:rFonts w:asciiTheme="majorHAnsi" w:hAnsiTheme="majorHAnsi" w:cs="Arial"/>
          <w:sz w:val="20"/>
          <w:szCs w:val="20"/>
          <w:lang w:val="es-VE"/>
        </w:rPr>
        <w:t xml:space="preserve">vulneración al derecho a la revisión integral de condenas penales porque esta fue planteada de forma extemporánea por las presuntas víctimas. De igual manera, observa que </w:t>
      </w:r>
      <w:r w:rsidR="009A1B69">
        <w:rPr>
          <w:rFonts w:asciiTheme="majorHAnsi" w:hAnsiTheme="majorHAnsi" w:cs="Arial"/>
          <w:sz w:val="20"/>
          <w:szCs w:val="20"/>
          <w:lang w:val="es-VE"/>
        </w:rPr>
        <w:t>hay</w:t>
      </w:r>
      <w:r w:rsidR="00223E7A">
        <w:rPr>
          <w:rFonts w:asciiTheme="majorHAnsi" w:hAnsiTheme="majorHAnsi" w:cs="Arial"/>
          <w:sz w:val="20"/>
          <w:szCs w:val="20"/>
          <w:lang w:val="es-VE"/>
        </w:rPr>
        <w:t xml:space="preserve"> controversia entre las partes respecto a</w:t>
      </w:r>
      <w:r w:rsidR="009A1B69">
        <w:rPr>
          <w:rFonts w:asciiTheme="majorHAnsi" w:hAnsiTheme="majorHAnsi" w:cs="Arial"/>
          <w:sz w:val="20"/>
          <w:szCs w:val="20"/>
          <w:lang w:val="es-VE"/>
        </w:rPr>
        <w:t>l</w:t>
      </w:r>
      <w:r w:rsidR="00223E7A">
        <w:rPr>
          <w:rFonts w:asciiTheme="majorHAnsi" w:hAnsiTheme="majorHAnsi" w:cs="Arial"/>
          <w:sz w:val="20"/>
          <w:szCs w:val="20"/>
          <w:lang w:val="es-VE"/>
        </w:rPr>
        <w:t xml:space="preserve"> momento procesal oportuno para plantear este reclamo; </w:t>
      </w:r>
      <w:r w:rsidR="009A1B69">
        <w:rPr>
          <w:rFonts w:asciiTheme="majorHAnsi" w:hAnsiTheme="majorHAnsi" w:cs="Arial"/>
          <w:sz w:val="20"/>
          <w:szCs w:val="20"/>
          <w:lang w:val="es-VE"/>
        </w:rPr>
        <w:t>e igualmente</w:t>
      </w:r>
      <w:r w:rsidR="00050979">
        <w:rPr>
          <w:rFonts w:asciiTheme="majorHAnsi" w:hAnsiTheme="majorHAnsi" w:cs="Arial"/>
          <w:sz w:val="20"/>
          <w:szCs w:val="20"/>
          <w:lang w:val="es-VE"/>
        </w:rPr>
        <w:t xml:space="preserve"> a</w:t>
      </w:r>
      <w:r w:rsidR="009A1B69">
        <w:rPr>
          <w:rFonts w:asciiTheme="majorHAnsi" w:hAnsiTheme="majorHAnsi" w:cs="Arial"/>
          <w:sz w:val="20"/>
          <w:szCs w:val="20"/>
          <w:lang w:val="es-VE"/>
        </w:rPr>
        <w:t xml:space="preserve"> </w:t>
      </w:r>
      <w:r w:rsidR="00223E7A">
        <w:rPr>
          <w:rFonts w:asciiTheme="majorHAnsi" w:hAnsiTheme="majorHAnsi" w:cs="Arial"/>
          <w:sz w:val="20"/>
          <w:szCs w:val="20"/>
          <w:lang w:val="es-VE"/>
        </w:rPr>
        <w:t xml:space="preserve">si el mismo fue planteado por primera vez en las fases de casación o en los recursos extraordinarios federales. Ante los alegatos y controversias planteadas, la Comisión ha determinado </w:t>
      </w:r>
      <w:r w:rsidR="009A1B69">
        <w:rPr>
          <w:rFonts w:asciiTheme="majorHAnsi" w:hAnsiTheme="majorHAnsi" w:cs="Arial"/>
          <w:sz w:val="20"/>
          <w:szCs w:val="20"/>
          <w:lang w:val="es-VE"/>
        </w:rPr>
        <w:t xml:space="preserve">anteriormente </w:t>
      </w:r>
      <w:r w:rsidR="00223E7A">
        <w:rPr>
          <w:rFonts w:asciiTheme="majorHAnsi" w:hAnsiTheme="majorHAnsi" w:cs="Arial"/>
          <w:sz w:val="20"/>
          <w:szCs w:val="20"/>
          <w:lang w:val="es-VE"/>
        </w:rPr>
        <w:t>que “</w:t>
      </w:r>
      <w:r w:rsidR="007C7FAA">
        <w:rPr>
          <w:rFonts w:asciiTheme="majorHAnsi" w:hAnsiTheme="majorHAnsi" w:cs="Arial"/>
          <w:sz w:val="20"/>
          <w:szCs w:val="20"/>
          <w:lang w:val="es-VE"/>
        </w:rPr>
        <w:t>e</w:t>
      </w:r>
      <w:r w:rsidR="007C7FAA">
        <w:rPr>
          <w:rFonts w:ascii="Cambria" w:hAnsi="Cambria" w:cs="Calibri"/>
          <w:sz w:val="20"/>
          <w:szCs w:val="20"/>
          <w:lang w:val="es-ES_tradnl"/>
        </w:rPr>
        <w:t>l</w:t>
      </w:r>
      <w:r w:rsidR="00223E7A" w:rsidRPr="00FC2B4A">
        <w:rPr>
          <w:rFonts w:ascii="Cambria" w:hAnsi="Cambria" w:cs="Calibri"/>
          <w:sz w:val="20"/>
          <w:szCs w:val="20"/>
          <w:lang w:val="es-ES_tradnl"/>
        </w:rPr>
        <w:t xml:space="preserve"> peticionario debe agotar los recursos internos de conformidad con la legislación procesal interna. La Comisión no puede considerar que el peticionario ha cumplido debidamente con el requisito del agotamiento previo de los recursos internos si los mismos han sido rechazados con fundamentos procesales razonables y no arbitrarios</w:t>
      </w:r>
      <w:r w:rsidR="007C7FAA">
        <w:rPr>
          <w:rFonts w:ascii="Cambria" w:hAnsi="Cambria" w:cs="Calibri"/>
          <w:sz w:val="20"/>
          <w:szCs w:val="20"/>
          <w:lang w:val="es-ES_tradnl"/>
        </w:rPr>
        <w:t>”</w:t>
      </w:r>
      <w:r w:rsidR="007C7FAA" w:rsidRPr="007C7FAA">
        <w:rPr>
          <w:rFonts w:ascii="Cambria" w:hAnsi="Cambria" w:cs="Calibri"/>
          <w:sz w:val="20"/>
          <w:szCs w:val="20"/>
          <w:lang w:val="es-ES_tradnl"/>
        </w:rPr>
        <w:t xml:space="preserve"> </w:t>
      </w:r>
      <w:r w:rsidR="007C7FAA" w:rsidRPr="00FC2B4A">
        <w:rPr>
          <w:rStyle w:val="FootnoteReference"/>
          <w:rFonts w:ascii="Cambria" w:hAnsi="Cambria" w:cs="Calibri"/>
          <w:sz w:val="20"/>
          <w:szCs w:val="20"/>
          <w:lang w:val="es-ES_tradnl"/>
        </w:rPr>
        <w:footnoteReference w:id="10"/>
      </w:r>
      <w:r w:rsidR="009A1B69">
        <w:rPr>
          <w:rFonts w:ascii="Cambria" w:hAnsi="Cambria" w:cs="Calibri"/>
          <w:sz w:val="20"/>
          <w:szCs w:val="20"/>
          <w:lang w:val="es-ES_tradnl"/>
        </w:rPr>
        <w:t>.</w:t>
      </w:r>
      <w:r w:rsidR="007C7FAA">
        <w:rPr>
          <w:rFonts w:ascii="Cambria" w:hAnsi="Cambria" w:cs="Calibri"/>
          <w:sz w:val="20"/>
          <w:szCs w:val="20"/>
          <w:lang w:val="es-ES_tradnl"/>
        </w:rPr>
        <w:t xml:space="preserve"> En el presente </w:t>
      </w:r>
      <w:r w:rsidR="009A1B69">
        <w:rPr>
          <w:rFonts w:ascii="Cambria" w:hAnsi="Cambria" w:cs="Calibri"/>
          <w:sz w:val="20"/>
          <w:szCs w:val="20"/>
          <w:lang w:val="es-ES_tradnl"/>
        </w:rPr>
        <w:t>asunto</w:t>
      </w:r>
      <w:r w:rsidR="007C7FAA">
        <w:rPr>
          <w:rFonts w:ascii="Cambria" w:hAnsi="Cambria" w:cs="Calibri"/>
          <w:sz w:val="20"/>
          <w:szCs w:val="20"/>
          <w:lang w:val="es-ES_tradnl"/>
        </w:rPr>
        <w:t xml:space="preserve">, si bien el Estado ha alegado que </w:t>
      </w:r>
      <w:r w:rsidR="005F6C25">
        <w:rPr>
          <w:rFonts w:ascii="Cambria" w:hAnsi="Cambria" w:cs="Calibri"/>
          <w:sz w:val="20"/>
          <w:szCs w:val="20"/>
          <w:lang w:val="es-ES_tradnl"/>
        </w:rPr>
        <w:t>las presuntas víctimas</w:t>
      </w:r>
      <w:r w:rsidR="007C7FAA">
        <w:rPr>
          <w:rFonts w:ascii="Cambria" w:hAnsi="Cambria" w:cs="Calibri"/>
          <w:sz w:val="20"/>
          <w:szCs w:val="20"/>
          <w:lang w:val="es-ES_tradnl"/>
        </w:rPr>
        <w:t xml:space="preserve"> incumplieron la normativa procesal aplicable al no plantear oportunamente su reclamo, no ha sustentado que </w:t>
      </w:r>
      <w:r w:rsidR="009757F0">
        <w:rPr>
          <w:rFonts w:ascii="Cambria" w:hAnsi="Cambria" w:cs="Calibri"/>
          <w:sz w:val="20"/>
          <w:szCs w:val="20"/>
          <w:lang w:val="es-ES_tradnl"/>
        </w:rPr>
        <w:t>é</w:t>
      </w:r>
      <w:r w:rsidR="007C7FAA">
        <w:rPr>
          <w:rFonts w:ascii="Cambria" w:hAnsi="Cambria" w:cs="Calibri"/>
          <w:sz w:val="20"/>
          <w:szCs w:val="20"/>
          <w:lang w:val="es-ES_tradnl"/>
        </w:rPr>
        <w:t xml:space="preserve">sta haya sido la causa por la </w:t>
      </w:r>
      <w:r w:rsidR="009757F0">
        <w:rPr>
          <w:rFonts w:ascii="Cambria" w:hAnsi="Cambria" w:cs="Calibri"/>
          <w:sz w:val="20"/>
          <w:szCs w:val="20"/>
          <w:lang w:val="es-ES_tradnl"/>
        </w:rPr>
        <w:t>que</w:t>
      </w:r>
      <w:r w:rsidR="007C7FAA">
        <w:rPr>
          <w:rFonts w:ascii="Cambria" w:hAnsi="Cambria" w:cs="Calibri"/>
          <w:sz w:val="20"/>
          <w:szCs w:val="20"/>
          <w:lang w:val="es-ES_tradnl"/>
        </w:rPr>
        <w:t xml:space="preserve"> los tribunales internos rechazaron sus recursos. De lo</w:t>
      </w:r>
      <w:r w:rsidR="00E6793F">
        <w:rPr>
          <w:rFonts w:ascii="Cambria" w:hAnsi="Cambria" w:cs="Calibri"/>
          <w:sz w:val="20"/>
          <w:szCs w:val="20"/>
          <w:lang w:val="es-ES_tradnl"/>
        </w:rPr>
        <w:t xml:space="preserve"> expuesto por la peticionaria, el Estado y las constancias en expediente se desprende que los recursos de queja o de hecho por denegatoria de recurso extraordinario federal fueron rechazados por la Corte Suprema de Justicia de la Nación con fundamento en el artículo 280 del CPCC sin hacer referencia a una extemporaneidad del reclamo.</w:t>
      </w:r>
      <w:r w:rsidR="00DE67DE">
        <w:rPr>
          <w:rFonts w:ascii="Cambria" w:hAnsi="Cambria" w:cs="Calibri"/>
          <w:sz w:val="20"/>
          <w:szCs w:val="20"/>
          <w:lang w:val="es-ES_tradnl"/>
        </w:rPr>
        <w:t xml:space="preserve"> </w:t>
      </w:r>
      <w:r w:rsidR="00E6793F">
        <w:rPr>
          <w:rFonts w:ascii="Cambria" w:hAnsi="Cambria" w:cs="Calibri"/>
          <w:sz w:val="20"/>
          <w:szCs w:val="20"/>
          <w:lang w:val="es-ES_tradnl"/>
        </w:rPr>
        <w:t xml:space="preserve">Tampoco surge de lo expuesto por la peticionaria, el Estado o las constancias </w:t>
      </w:r>
      <w:r w:rsidR="009757F0">
        <w:rPr>
          <w:rFonts w:ascii="Cambria" w:hAnsi="Cambria" w:cs="Calibri"/>
          <w:sz w:val="20"/>
          <w:szCs w:val="20"/>
          <w:lang w:val="es-ES_tradnl"/>
        </w:rPr>
        <w:t>del</w:t>
      </w:r>
      <w:r w:rsidR="00E6793F">
        <w:rPr>
          <w:rFonts w:ascii="Cambria" w:hAnsi="Cambria" w:cs="Calibri"/>
          <w:sz w:val="20"/>
          <w:szCs w:val="20"/>
          <w:lang w:val="es-ES_tradnl"/>
        </w:rPr>
        <w:t xml:space="preserve"> expediente que los tribunales hayan invocado la extemporaneidad del reclamo como fundamento para la denegatoria de los recursos extraordinarios federales. </w:t>
      </w:r>
      <w:r w:rsidR="00541E0F">
        <w:rPr>
          <w:rFonts w:ascii="Cambria" w:hAnsi="Cambria" w:cs="Calibri"/>
          <w:sz w:val="20"/>
          <w:szCs w:val="20"/>
          <w:lang w:val="es-ES_tradnl"/>
        </w:rPr>
        <w:t xml:space="preserve">La Comisión considera que el Estado solo puede invocar un supuesto incumplimiento de la normativa procesal por parte de las presuntas víctimas como fundamento para desvirtuar el agotamiento de los recursos internos en aquellos casos en que los tribunales domésticos expresamente </w:t>
      </w:r>
      <w:r w:rsidR="009757F0">
        <w:rPr>
          <w:rFonts w:ascii="Cambria" w:hAnsi="Cambria" w:cs="Calibri"/>
          <w:sz w:val="20"/>
          <w:szCs w:val="20"/>
          <w:lang w:val="es-ES_tradnl"/>
        </w:rPr>
        <w:t>hubieran</w:t>
      </w:r>
      <w:r w:rsidR="00541E0F">
        <w:rPr>
          <w:rFonts w:ascii="Cambria" w:hAnsi="Cambria" w:cs="Calibri"/>
          <w:sz w:val="20"/>
          <w:szCs w:val="20"/>
          <w:lang w:val="es-ES_tradnl"/>
        </w:rPr>
        <w:t xml:space="preserve"> invocado dicho incumplimiento como fundamento para el rechazo de sus recursos. </w:t>
      </w:r>
      <w:r w:rsidR="005F6C25">
        <w:rPr>
          <w:rFonts w:ascii="Cambria" w:hAnsi="Cambria" w:cs="Calibri"/>
          <w:sz w:val="20"/>
          <w:szCs w:val="20"/>
          <w:lang w:val="es-ES_tradnl"/>
        </w:rPr>
        <w:t xml:space="preserve">Por estas razones, la Comisión estima que en el presente </w:t>
      </w:r>
      <w:r w:rsidR="009757F0">
        <w:rPr>
          <w:rFonts w:ascii="Cambria" w:hAnsi="Cambria" w:cs="Calibri"/>
          <w:sz w:val="20"/>
          <w:szCs w:val="20"/>
          <w:lang w:val="es-ES_tradnl"/>
        </w:rPr>
        <w:t>asunto</w:t>
      </w:r>
      <w:r w:rsidR="005F6C25">
        <w:rPr>
          <w:rFonts w:ascii="Cambria" w:hAnsi="Cambria" w:cs="Calibri"/>
          <w:sz w:val="20"/>
          <w:szCs w:val="20"/>
          <w:lang w:val="es-ES_tradnl"/>
        </w:rPr>
        <w:t xml:space="preserve"> no </w:t>
      </w:r>
      <w:r w:rsidR="009757F0">
        <w:rPr>
          <w:rFonts w:ascii="Cambria" w:hAnsi="Cambria" w:cs="Calibri"/>
          <w:sz w:val="20"/>
          <w:szCs w:val="20"/>
          <w:lang w:val="es-ES_tradnl"/>
        </w:rPr>
        <w:t>es</w:t>
      </w:r>
      <w:r w:rsidR="005F6C25">
        <w:rPr>
          <w:rFonts w:ascii="Cambria" w:hAnsi="Cambria" w:cs="Calibri"/>
          <w:sz w:val="20"/>
          <w:szCs w:val="20"/>
          <w:lang w:val="es-ES_tradnl"/>
        </w:rPr>
        <w:t xml:space="preserve"> necesario determinar si en efecto las presuntas incurrieron o no en el error procesal alegada por el Estado ni dirimir la controversia con respecto a en que momento fueron planteados por primera vez los reclamos. </w:t>
      </w:r>
    </w:p>
    <w:p w14:paraId="7291B6A6" w14:textId="77777777" w:rsidR="005F6C25" w:rsidRPr="005F6C25" w:rsidRDefault="005F6C25" w:rsidP="005F6C25">
      <w:pPr>
        <w:pStyle w:val="Default"/>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s="Arial"/>
          <w:sz w:val="20"/>
          <w:szCs w:val="20"/>
          <w:lang w:val="es-VE"/>
        </w:rPr>
      </w:pPr>
    </w:p>
    <w:p w14:paraId="681CEFB5" w14:textId="561EEC36" w:rsidR="005F6C25" w:rsidRDefault="005F6C25" w:rsidP="00ED7F72">
      <w:pPr>
        <w:pStyle w:val="Default"/>
        <w:numPr>
          <w:ilvl w:val="0"/>
          <w:numId w:val="103"/>
        </w:numPr>
        <w:pBdr>
          <w:top w:val="none" w:sz="0" w:space="0" w:color="auto"/>
          <w:left w:val="none" w:sz="0" w:space="0" w:color="auto"/>
          <w:bottom w:val="none" w:sz="0" w:space="0" w:color="auto"/>
          <w:right w:val="none" w:sz="0" w:space="0" w:color="auto"/>
          <w:bar w:val="none" w:sz="0" w:color="auto"/>
        </w:pBdr>
        <w:jc w:val="both"/>
        <w:rPr>
          <w:rFonts w:asciiTheme="majorHAnsi" w:hAnsiTheme="majorHAnsi" w:cs="Arial"/>
          <w:sz w:val="20"/>
          <w:szCs w:val="20"/>
          <w:lang w:val="es-VE"/>
        </w:rPr>
      </w:pPr>
      <w:r>
        <w:rPr>
          <w:rFonts w:asciiTheme="majorHAnsi" w:hAnsiTheme="majorHAnsi" w:cs="Arial"/>
          <w:sz w:val="20"/>
          <w:szCs w:val="20"/>
          <w:lang w:val="es-VE"/>
        </w:rPr>
        <w:t>Por las razones expuestas, y dado que todas las decisiones de rechazo de los recursos de queja o de hecho por denegatoria de recurso extraordinario federal por parte de la Corte Suprema de Justicia de la Nación se emitieron dentro de los 6 meses previos a la presentación de la petición</w:t>
      </w:r>
      <w:r>
        <w:rPr>
          <w:rStyle w:val="FootnoteReference"/>
          <w:rFonts w:asciiTheme="majorHAnsi" w:hAnsiTheme="majorHAnsi"/>
          <w:sz w:val="20"/>
          <w:szCs w:val="20"/>
          <w:lang w:val="es-VE"/>
        </w:rPr>
        <w:footnoteReference w:id="11"/>
      </w:r>
      <w:r>
        <w:rPr>
          <w:rFonts w:asciiTheme="majorHAnsi" w:hAnsiTheme="majorHAnsi" w:cs="Arial"/>
          <w:sz w:val="20"/>
          <w:szCs w:val="20"/>
          <w:lang w:val="es-VE"/>
        </w:rPr>
        <w:t xml:space="preserve">, la Comisión concluye que </w:t>
      </w:r>
      <w:r w:rsidR="00BE2A66">
        <w:rPr>
          <w:rFonts w:asciiTheme="majorHAnsi" w:hAnsiTheme="majorHAnsi" w:cs="Arial"/>
          <w:sz w:val="20"/>
          <w:szCs w:val="20"/>
          <w:lang w:val="es-VE"/>
        </w:rPr>
        <w:t xml:space="preserve">se ha </w:t>
      </w:r>
      <w:r>
        <w:rPr>
          <w:rFonts w:asciiTheme="majorHAnsi" w:hAnsiTheme="majorHAnsi" w:cs="Arial"/>
          <w:sz w:val="20"/>
          <w:szCs w:val="20"/>
          <w:lang w:val="es-VE"/>
        </w:rPr>
        <w:t>cumpl</w:t>
      </w:r>
      <w:r w:rsidR="00BE2A66">
        <w:rPr>
          <w:rFonts w:asciiTheme="majorHAnsi" w:hAnsiTheme="majorHAnsi" w:cs="Arial"/>
          <w:sz w:val="20"/>
          <w:szCs w:val="20"/>
          <w:lang w:val="es-VE"/>
        </w:rPr>
        <w:t>ido</w:t>
      </w:r>
      <w:r>
        <w:rPr>
          <w:rFonts w:asciiTheme="majorHAnsi" w:hAnsiTheme="majorHAnsi" w:cs="Arial"/>
          <w:sz w:val="20"/>
          <w:szCs w:val="20"/>
          <w:lang w:val="es-VE"/>
        </w:rPr>
        <w:t xml:space="preserve"> con los requisitos del artículo 46.1(a) y (b) de la Convención Americana. </w:t>
      </w:r>
    </w:p>
    <w:p w14:paraId="7B58A68F" w14:textId="49DB1A1F" w:rsidR="00050979" w:rsidRDefault="00050979" w:rsidP="00050979">
      <w:pPr>
        <w:pStyle w:val="Default"/>
        <w:pBdr>
          <w:top w:val="none" w:sz="0" w:space="0" w:color="auto"/>
          <w:left w:val="none" w:sz="0" w:space="0" w:color="auto"/>
          <w:bottom w:val="none" w:sz="0" w:space="0" w:color="auto"/>
          <w:right w:val="none" w:sz="0" w:space="0" w:color="auto"/>
          <w:bar w:val="none" w:sz="0" w:color="auto"/>
        </w:pBdr>
        <w:jc w:val="both"/>
        <w:rPr>
          <w:rFonts w:asciiTheme="majorHAnsi" w:hAnsiTheme="majorHAnsi" w:cs="Arial"/>
          <w:sz w:val="20"/>
          <w:szCs w:val="20"/>
          <w:lang w:val="es-VE"/>
        </w:rPr>
      </w:pPr>
    </w:p>
    <w:p w14:paraId="1756558C" w14:textId="73A8D4C9" w:rsidR="00280E6F" w:rsidRPr="002E39B1" w:rsidRDefault="00280E6F" w:rsidP="00ED7F72">
      <w:pPr>
        <w:pStyle w:val="Default"/>
        <w:numPr>
          <w:ilvl w:val="0"/>
          <w:numId w:val="103"/>
        </w:numPr>
        <w:pBdr>
          <w:top w:val="none" w:sz="0" w:space="0" w:color="auto"/>
          <w:left w:val="none" w:sz="0" w:space="0" w:color="auto"/>
          <w:bottom w:val="none" w:sz="0" w:space="0" w:color="auto"/>
          <w:right w:val="none" w:sz="0" w:space="0" w:color="auto"/>
          <w:bar w:val="none" w:sz="0" w:color="auto"/>
        </w:pBdr>
        <w:jc w:val="both"/>
        <w:rPr>
          <w:rFonts w:asciiTheme="majorHAnsi" w:hAnsiTheme="majorHAnsi" w:cs="Arial"/>
          <w:sz w:val="20"/>
          <w:szCs w:val="20"/>
          <w:lang w:val="es-VE"/>
        </w:rPr>
      </w:pPr>
      <w:r>
        <w:rPr>
          <w:rFonts w:ascii="Cambria" w:hAnsi="Cambria" w:cs="Calibri"/>
          <w:sz w:val="20"/>
          <w:szCs w:val="20"/>
          <w:lang w:val="es-ES_tradnl"/>
        </w:rPr>
        <w:t>L</w:t>
      </w:r>
      <w:r w:rsidRPr="00FC2B4A">
        <w:rPr>
          <w:rFonts w:ascii="Cambria" w:hAnsi="Cambria" w:cs="Calibri"/>
          <w:sz w:val="20"/>
          <w:szCs w:val="20"/>
          <w:lang w:val="es-ES_tradnl"/>
        </w:rPr>
        <w:t>a Comisión Interamericana</w:t>
      </w:r>
      <w:r>
        <w:rPr>
          <w:rFonts w:ascii="Cambria" w:hAnsi="Cambria" w:cs="Calibri"/>
          <w:sz w:val="20"/>
          <w:szCs w:val="20"/>
          <w:lang w:val="es-ES_tradnl"/>
        </w:rPr>
        <w:t xml:space="preserve"> también</w:t>
      </w:r>
      <w:r w:rsidRPr="00FC2B4A">
        <w:rPr>
          <w:rFonts w:ascii="Cambria" w:hAnsi="Cambria" w:cs="Calibri"/>
          <w:sz w:val="20"/>
          <w:szCs w:val="20"/>
          <w:lang w:val="es-ES_tradnl"/>
        </w:rPr>
        <w:t xml:space="preserve"> toma nota del reclamo del Estado sobre lo que describe o califica como la extemporaneidad en el traslado de la petición. </w:t>
      </w:r>
      <w:r w:rsidR="00BE2A66">
        <w:rPr>
          <w:rFonts w:ascii="Cambria" w:hAnsi="Cambria" w:cs="Calibri"/>
          <w:sz w:val="20"/>
          <w:szCs w:val="20"/>
          <w:lang w:val="es-ES_tradnl"/>
        </w:rPr>
        <w:t>Al</w:t>
      </w:r>
      <w:r w:rsidRPr="00FC2B4A">
        <w:rPr>
          <w:rFonts w:ascii="Cambria" w:hAnsi="Cambria" w:cs="Calibri"/>
          <w:sz w:val="20"/>
          <w:szCs w:val="20"/>
          <w:lang w:val="es-ES_tradnl"/>
        </w:rPr>
        <w:t xml:space="preserve"> respecto</w:t>
      </w:r>
      <w:r w:rsidR="00BE2A66">
        <w:rPr>
          <w:rFonts w:ascii="Cambria" w:hAnsi="Cambria" w:cs="Calibri"/>
          <w:sz w:val="20"/>
          <w:szCs w:val="20"/>
          <w:lang w:val="es-ES_tradnl"/>
        </w:rPr>
        <w:t>, cabe señalar</w:t>
      </w:r>
      <w:r w:rsidRPr="00FC2B4A">
        <w:rPr>
          <w:rFonts w:ascii="Cambria" w:hAnsi="Cambria" w:cs="Calibri"/>
          <w:sz w:val="20"/>
          <w:szCs w:val="20"/>
          <w:lang w:val="es-ES_tradnl"/>
        </w:rPr>
        <w:t xml:space="preserve"> que ni la Convención Americana ni el Reglamento de la Comisión establecen un plazo para el traslado de una petición al Estado a partir de su recepción</w:t>
      </w:r>
      <w:r w:rsidR="00BE2A66">
        <w:rPr>
          <w:rFonts w:ascii="Cambria" w:hAnsi="Cambria" w:cs="Calibri"/>
          <w:sz w:val="20"/>
          <w:szCs w:val="20"/>
          <w:lang w:val="es-ES_tradnl"/>
        </w:rPr>
        <w:t>;</w:t>
      </w:r>
      <w:r w:rsidRPr="00FC2B4A">
        <w:rPr>
          <w:rFonts w:ascii="Cambria" w:hAnsi="Cambria" w:cs="Calibri"/>
          <w:sz w:val="20"/>
          <w:szCs w:val="20"/>
          <w:lang w:val="es-ES_tradnl"/>
        </w:rPr>
        <w:t xml:space="preserve"> y que los plazos establecidos en el Reglamento y en la Convención para otras etapas del trámite no son aplicables por analogía.</w:t>
      </w:r>
    </w:p>
    <w:p w14:paraId="73B6D195" w14:textId="77777777" w:rsidR="00816ADF" w:rsidRPr="00E719B9" w:rsidRDefault="00816ADF" w:rsidP="003239B8">
      <w:pPr>
        <w:pStyle w:val="ListParagraph"/>
        <w:pBdr>
          <w:top w:val="none" w:sz="0" w:space="0" w:color="auto"/>
          <w:left w:val="none" w:sz="0" w:space="0" w:color="auto"/>
          <w:bottom w:val="none" w:sz="0" w:space="0" w:color="auto"/>
          <w:right w:val="none" w:sz="0" w:space="0" w:color="auto"/>
          <w:bar w:val="none" w:sz="0" w:color="auto"/>
        </w:pBdr>
        <w:spacing w:before="240" w:after="240"/>
        <w:jc w:val="both"/>
        <w:rPr>
          <w:b/>
          <w:sz w:val="20"/>
          <w:szCs w:val="20"/>
          <w:lang w:val="es-ES"/>
        </w:rPr>
      </w:pPr>
      <w:r>
        <w:rPr>
          <w:b/>
          <w:bCs/>
          <w:sz w:val="20"/>
          <w:szCs w:val="20"/>
          <w:lang w:val="es-ES"/>
        </w:rPr>
        <w:t>VII.</w:t>
      </w:r>
      <w:r>
        <w:rPr>
          <w:b/>
          <w:bCs/>
          <w:sz w:val="20"/>
          <w:szCs w:val="20"/>
          <w:lang w:val="es-ES"/>
        </w:rPr>
        <w:tab/>
      </w:r>
      <w:r w:rsidRPr="00151C27">
        <w:rPr>
          <w:b/>
          <w:bCs/>
          <w:sz w:val="20"/>
          <w:szCs w:val="20"/>
          <w:lang w:val="es-ES_tradnl"/>
        </w:rPr>
        <w:t xml:space="preserve">ANÁLISIS DE </w:t>
      </w:r>
      <w:r w:rsidRPr="003239B8">
        <w:rPr>
          <w:b/>
          <w:bCs/>
          <w:sz w:val="20"/>
          <w:szCs w:val="20"/>
          <w:lang w:val="es-ES"/>
        </w:rPr>
        <w:t xml:space="preserve">CARACTERIZACIÓN </w:t>
      </w:r>
      <w:r w:rsidRPr="0063685A">
        <w:rPr>
          <w:b/>
          <w:bCs/>
          <w:sz w:val="20"/>
          <w:szCs w:val="20"/>
          <w:lang w:val="es-UY"/>
        </w:rPr>
        <w:t>DE LOS HECHOS ALEGADOS</w:t>
      </w:r>
    </w:p>
    <w:p w14:paraId="36D31009" w14:textId="6AAAF7E3" w:rsidR="005F6C25" w:rsidRPr="004808B4" w:rsidRDefault="00816ADF" w:rsidP="005F6C25">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b/>
          <w:bCs/>
          <w:sz w:val="20"/>
          <w:szCs w:val="20"/>
          <w:lang w:val="es-ES"/>
        </w:rPr>
      </w:pPr>
      <w:r>
        <w:rPr>
          <w:rFonts w:ascii="Cambria" w:hAnsi="Cambria"/>
          <w:sz w:val="20"/>
          <w:szCs w:val="20"/>
          <w:lang w:val="es-ES"/>
        </w:rPr>
        <w:t>La petici</w:t>
      </w:r>
      <w:r w:rsidR="00BE2A66">
        <w:rPr>
          <w:rFonts w:ascii="Cambria" w:hAnsi="Cambria"/>
          <w:sz w:val="20"/>
          <w:szCs w:val="20"/>
          <w:lang w:val="es-ES"/>
        </w:rPr>
        <w:t>onaria</w:t>
      </w:r>
      <w:r>
        <w:rPr>
          <w:rFonts w:ascii="Cambria" w:hAnsi="Cambria"/>
          <w:sz w:val="20"/>
          <w:szCs w:val="20"/>
          <w:lang w:val="es-ES"/>
        </w:rPr>
        <w:t xml:space="preserve"> alega </w:t>
      </w:r>
      <w:r w:rsidR="005F6C25">
        <w:rPr>
          <w:rFonts w:ascii="Cambria" w:hAnsi="Cambria"/>
          <w:sz w:val="20"/>
          <w:szCs w:val="20"/>
          <w:lang w:val="es-ES"/>
        </w:rPr>
        <w:t xml:space="preserve">que las presuntas víctimas no tuvieron acceso a un recurso </w:t>
      </w:r>
      <w:r w:rsidR="00AD0D7F">
        <w:rPr>
          <w:rFonts w:ascii="Cambria" w:hAnsi="Cambria"/>
          <w:sz w:val="20"/>
          <w:szCs w:val="20"/>
          <w:lang w:val="es-ES"/>
        </w:rPr>
        <w:t xml:space="preserve">que permitiera la revisión integral de sus condenas penales, </w:t>
      </w:r>
      <w:r w:rsidR="00BE2A66">
        <w:rPr>
          <w:rFonts w:ascii="Cambria" w:hAnsi="Cambria"/>
          <w:sz w:val="20"/>
          <w:szCs w:val="20"/>
          <w:lang w:val="es-ES"/>
        </w:rPr>
        <w:t>y</w:t>
      </w:r>
      <w:r w:rsidR="00AD0D7F">
        <w:rPr>
          <w:rFonts w:ascii="Cambria" w:hAnsi="Cambria"/>
          <w:sz w:val="20"/>
          <w:szCs w:val="20"/>
          <w:lang w:val="es-ES"/>
        </w:rPr>
        <w:t xml:space="preserve"> que sus recursos ante la Corte Suprema de Justicia </w:t>
      </w:r>
      <w:r w:rsidR="00AD0D7F">
        <w:rPr>
          <w:rFonts w:ascii="Cambria" w:hAnsi="Cambria"/>
          <w:sz w:val="20"/>
          <w:szCs w:val="20"/>
          <w:lang w:val="es-ES"/>
        </w:rPr>
        <w:lastRenderedPageBreak/>
        <w:t>de la Nación fueron rechazados sin motivación</w:t>
      </w:r>
      <w:r w:rsidR="004808B4">
        <w:rPr>
          <w:rFonts w:ascii="Cambria" w:hAnsi="Cambria"/>
          <w:sz w:val="20"/>
          <w:szCs w:val="20"/>
          <w:lang w:val="es-ES"/>
        </w:rPr>
        <w:t xml:space="preserve"> algunas</w:t>
      </w:r>
      <w:r w:rsidR="00AD0D7F">
        <w:rPr>
          <w:rFonts w:ascii="Cambria" w:hAnsi="Cambria"/>
          <w:sz w:val="20"/>
          <w:szCs w:val="20"/>
          <w:lang w:val="es-ES"/>
        </w:rPr>
        <w:t xml:space="preserve"> </w:t>
      </w:r>
      <w:r w:rsidR="004808B4">
        <w:rPr>
          <w:rFonts w:ascii="Cambria" w:hAnsi="Cambria"/>
          <w:sz w:val="20"/>
          <w:szCs w:val="20"/>
          <w:lang w:val="es-ES"/>
        </w:rPr>
        <w:t xml:space="preserve">que les permitiera conocer las razones que distinguían sus casos de otros en los que el recurso </w:t>
      </w:r>
      <w:r w:rsidR="00BE2A66">
        <w:rPr>
          <w:rFonts w:ascii="Cambria" w:hAnsi="Cambria"/>
          <w:sz w:val="20"/>
          <w:szCs w:val="20"/>
          <w:lang w:val="es-ES"/>
        </w:rPr>
        <w:t>sí</w:t>
      </w:r>
      <w:r w:rsidR="004808B4">
        <w:rPr>
          <w:rFonts w:ascii="Cambria" w:hAnsi="Cambria"/>
          <w:sz w:val="20"/>
          <w:szCs w:val="20"/>
          <w:lang w:val="es-ES"/>
        </w:rPr>
        <w:t xml:space="preserve"> fue concedido. </w:t>
      </w:r>
    </w:p>
    <w:p w14:paraId="76FD53FA" w14:textId="2CD0EAF8" w:rsidR="004808B4" w:rsidRPr="00280E6F" w:rsidRDefault="004808B4" w:rsidP="005F6C25">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Theme="majorHAnsi" w:hAnsiTheme="majorHAnsi"/>
          <w:b/>
          <w:bCs/>
          <w:sz w:val="20"/>
          <w:szCs w:val="20"/>
          <w:lang w:val="es-ES"/>
        </w:rPr>
      </w:pPr>
      <w:r w:rsidRPr="00280E6F">
        <w:rPr>
          <w:rFonts w:asciiTheme="majorHAnsi" w:hAnsiTheme="majorHAnsi"/>
          <w:sz w:val="20"/>
          <w:szCs w:val="20"/>
          <w:lang w:val="es-ES"/>
        </w:rPr>
        <w:t xml:space="preserve">Dada la naturaleza de </w:t>
      </w:r>
      <w:r w:rsidR="00BE2A66">
        <w:rPr>
          <w:rFonts w:asciiTheme="majorHAnsi" w:hAnsiTheme="majorHAnsi"/>
          <w:sz w:val="20"/>
          <w:szCs w:val="20"/>
          <w:lang w:val="es-ES"/>
        </w:rPr>
        <w:t>lo alegado,</w:t>
      </w:r>
      <w:r w:rsidRPr="00280E6F">
        <w:rPr>
          <w:rFonts w:asciiTheme="majorHAnsi" w:hAnsiTheme="majorHAnsi"/>
          <w:sz w:val="20"/>
          <w:szCs w:val="20"/>
          <w:lang w:val="es-ES"/>
        </w:rPr>
        <w:t xml:space="preserve"> </w:t>
      </w:r>
      <w:r w:rsidR="00280E6F" w:rsidRPr="00280E6F">
        <w:rPr>
          <w:rFonts w:asciiTheme="majorHAnsi" w:hAnsiTheme="majorHAnsi"/>
          <w:sz w:val="20"/>
          <w:szCs w:val="20"/>
          <w:lang w:val="es-ES"/>
        </w:rPr>
        <w:t xml:space="preserve">la Comisión considera pertinente </w:t>
      </w:r>
      <w:r w:rsidR="00802425">
        <w:rPr>
          <w:rFonts w:asciiTheme="majorHAnsi" w:hAnsiTheme="majorHAnsi"/>
          <w:sz w:val="20"/>
          <w:szCs w:val="20"/>
          <w:lang w:val="es-ES"/>
        </w:rPr>
        <w:t>reiterar</w:t>
      </w:r>
      <w:r w:rsidR="00280E6F" w:rsidRPr="00280E6F">
        <w:rPr>
          <w:rFonts w:asciiTheme="majorHAnsi" w:hAnsiTheme="majorHAnsi"/>
          <w:sz w:val="20"/>
          <w:szCs w:val="20"/>
          <w:lang w:val="es-ES"/>
        </w:rPr>
        <w:t xml:space="preserve"> que el derecho a recurrir sentencias condenatorias ante juez o tribunal superior contemplado en el artículo 8.2(h) de la Convención Americana exige “la posibilidad de señalar y obtener respuestas sobre errores que hubiera podido cometer el juez o tribunal, sin excluir a prior ciertas categorías como los hechos y la valoración y recepción de la prueba”</w:t>
      </w:r>
      <w:r w:rsidR="00280E6F" w:rsidRPr="00280E6F">
        <w:rPr>
          <w:rStyle w:val="FootnoteReference"/>
          <w:rFonts w:asciiTheme="majorHAnsi" w:hAnsiTheme="majorHAnsi"/>
          <w:sz w:val="20"/>
          <w:szCs w:val="20"/>
          <w:lang w:val="es-ES"/>
        </w:rPr>
        <w:footnoteReference w:id="12"/>
      </w:r>
      <w:r w:rsidR="00280E6F" w:rsidRPr="00280E6F">
        <w:rPr>
          <w:rFonts w:asciiTheme="majorHAnsi" w:hAnsiTheme="majorHAnsi"/>
          <w:sz w:val="20"/>
          <w:szCs w:val="20"/>
          <w:lang w:val="es-ES"/>
        </w:rPr>
        <w:t>. De igual manera</w:t>
      </w:r>
      <w:r w:rsidR="00802425">
        <w:rPr>
          <w:rFonts w:asciiTheme="majorHAnsi" w:hAnsiTheme="majorHAnsi"/>
          <w:sz w:val="20"/>
          <w:szCs w:val="20"/>
          <w:lang w:val="es-ES"/>
        </w:rPr>
        <w:t>,</w:t>
      </w:r>
      <w:r w:rsidR="00280E6F" w:rsidRPr="00280E6F">
        <w:rPr>
          <w:rFonts w:asciiTheme="majorHAnsi" w:hAnsiTheme="majorHAnsi"/>
          <w:sz w:val="20"/>
          <w:szCs w:val="20"/>
          <w:lang w:val="es-ES"/>
        </w:rPr>
        <w:t xml:space="preserve"> la Corte Interamericana ha expresado con respecto al artículo 8.2(h) de la Convención Americana que “</w:t>
      </w:r>
      <w:r w:rsidR="0046288F" w:rsidRPr="00280E6F">
        <w:rPr>
          <w:rFonts w:asciiTheme="majorHAnsi" w:hAnsiTheme="majorHAnsi"/>
          <w:sz w:val="20"/>
          <w:lang w:val="es-PA"/>
        </w:rPr>
        <w:t>independientemente</w:t>
      </w:r>
      <w:r w:rsidR="00280E6F" w:rsidRPr="00280E6F">
        <w:rPr>
          <w:rFonts w:asciiTheme="majorHAnsi" w:hAnsiTheme="majorHAnsi"/>
          <w:sz w:val="20"/>
          <w:lang w:val="es-PA"/>
        </w:rPr>
        <w:t xml:space="preserve"> de la denominación que se le </w:t>
      </w:r>
      <w:r w:rsidR="00BE2A66" w:rsidRPr="00280E6F">
        <w:rPr>
          <w:rFonts w:asciiTheme="majorHAnsi" w:hAnsiTheme="majorHAnsi"/>
          <w:sz w:val="20"/>
          <w:lang w:val="es-PA"/>
        </w:rPr>
        <w:t>dé</w:t>
      </w:r>
      <w:r w:rsidR="00280E6F" w:rsidRPr="00280E6F">
        <w:rPr>
          <w:rFonts w:asciiTheme="majorHAnsi" w:hAnsiTheme="majorHAnsi"/>
          <w:sz w:val="20"/>
          <w:lang w:val="es-PA"/>
        </w:rPr>
        <w:t xml:space="preserve"> al recurso existente para recurrir un fallo, lo importante es</w:t>
      </w:r>
      <w:r w:rsidR="00280E6F">
        <w:rPr>
          <w:rFonts w:asciiTheme="majorHAnsi" w:hAnsiTheme="majorHAnsi"/>
          <w:sz w:val="20"/>
          <w:lang w:val="es-PA"/>
        </w:rPr>
        <w:t xml:space="preserve"> que dicho recurso garantice un</w:t>
      </w:r>
      <w:r w:rsidR="00280E6F" w:rsidRPr="00280E6F">
        <w:rPr>
          <w:rFonts w:asciiTheme="majorHAnsi" w:hAnsiTheme="majorHAnsi"/>
          <w:sz w:val="20"/>
          <w:lang w:val="es-PA"/>
        </w:rPr>
        <w:t xml:space="preserve"> examen integral de la decisión recurrida”</w:t>
      </w:r>
      <w:r w:rsidR="00280E6F">
        <w:rPr>
          <w:rStyle w:val="FootnoteReference"/>
          <w:rFonts w:asciiTheme="majorHAnsi" w:hAnsiTheme="majorHAnsi"/>
          <w:sz w:val="20"/>
          <w:lang w:val="es-PA"/>
        </w:rPr>
        <w:footnoteReference w:id="13"/>
      </w:r>
      <w:r w:rsidR="00280E6F" w:rsidRPr="00280E6F">
        <w:rPr>
          <w:rFonts w:asciiTheme="majorHAnsi" w:hAnsiTheme="majorHAnsi"/>
          <w:sz w:val="20"/>
          <w:lang w:val="es-PA"/>
        </w:rPr>
        <w:t>.</w:t>
      </w:r>
    </w:p>
    <w:p w14:paraId="43FD0091" w14:textId="470E24B6" w:rsidR="00280E6F" w:rsidRPr="00280E6F" w:rsidRDefault="00280E6F" w:rsidP="005F6C25">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Theme="majorHAnsi" w:hAnsiTheme="majorHAnsi"/>
          <w:b/>
          <w:bCs/>
          <w:sz w:val="20"/>
          <w:szCs w:val="20"/>
          <w:lang w:val="es-ES"/>
        </w:rPr>
      </w:pPr>
      <w:r w:rsidRPr="00293D18">
        <w:rPr>
          <w:rFonts w:ascii="Cambria" w:hAnsi="Cambria" w:cs="Arial"/>
          <w:sz w:val="20"/>
          <w:szCs w:val="20"/>
          <w:lang w:val="es-VE"/>
        </w:rPr>
        <w:t>En atención a estas consideraciones</w:t>
      </w:r>
      <w:r w:rsidR="0046288F">
        <w:rPr>
          <w:rFonts w:ascii="Cambria" w:hAnsi="Cambria" w:cs="Arial"/>
          <w:sz w:val="20"/>
          <w:szCs w:val="20"/>
          <w:lang w:val="es-VE"/>
        </w:rPr>
        <w:t>,</w:t>
      </w:r>
      <w:r w:rsidRPr="00293D18">
        <w:rPr>
          <w:rFonts w:ascii="Cambria" w:hAnsi="Cambria" w:cs="Arial"/>
          <w:sz w:val="20"/>
          <w:szCs w:val="20"/>
          <w:lang w:val="es-VE"/>
        </w:rPr>
        <w:t xml:space="preserve"> y tras examinar los elementos de hecho y de derecho expuestos por las partes</w:t>
      </w:r>
      <w:r w:rsidR="0046288F">
        <w:rPr>
          <w:rFonts w:ascii="Cambria" w:hAnsi="Cambria" w:cs="Arial"/>
          <w:sz w:val="20"/>
          <w:szCs w:val="20"/>
          <w:lang w:val="es-VE"/>
        </w:rPr>
        <w:t>,</w:t>
      </w:r>
      <w:r w:rsidRPr="00293D18">
        <w:rPr>
          <w:rFonts w:ascii="Cambria" w:hAnsi="Cambria" w:cs="Arial"/>
          <w:sz w:val="20"/>
          <w:szCs w:val="20"/>
          <w:lang w:val="es-VE"/>
        </w:rPr>
        <w:t xml:space="preserve"> la Comisión estima que </w:t>
      </w:r>
      <w:r w:rsidR="0046288F">
        <w:rPr>
          <w:rFonts w:ascii="Cambria" w:hAnsi="Cambria" w:cs="Arial"/>
          <w:sz w:val="20"/>
          <w:szCs w:val="20"/>
          <w:lang w:val="es-VE"/>
        </w:rPr>
        <w:t>los alegatos</w:t>
      </w:r>
      <w:r w:rsidRPr="00293D18">
        <w:rPr>
          <w:rFonts w:ascii="Cambria" w:hAnsi="Cambria" w:cs="Arial"/>
          <w:sz w:val="20"/>
          <w:szCs w:val="20"/>
          <w:lang w:val="es-VE"/>
        </w:rPr>
        <w:t xml:space="preserve"> de la parte peticionaria no resultan manifiestamente infundadas y requieren un estudio de fondo pues lo</w:t>
      </w:r>
      <w:r w:rsidR="0046288F">
        <w:rPr>
          <w:rFonts w:ascii="Cambria" w:hAnsi="Cambria" w:cs="Arial"/>
          <w:sz w:val="20"/>
          <w:szCs w:val="20"/>
          <w:lang w:val="es-VE"/>
        </w:rPr>
        <w:t>s</w:t>
      </w:r>
      <w:r w:rsidRPr="00293D18">
        <w:rPr>
          <w:rFonts w:ascii="Cambria" w:hAnsi="Cambria" w:cs="Arial"/>
          <w:sz w:val="20"/>
          <w:szCs w:val="20"/>
          <w:lang w:val="es-VE"/>
        </w:rPr>
        <w:t xml:space="preserve"> hechos alegados, de corroborarse como ciertos, podrían caracterizar violaciones a los artículos</w:t>
      </w:r>
      <w:r>
        <w:rPr>
          <w:rFonts w:ascii="Cambria" w:hAnsi="Cambria" w:cs="Arial"/>
          <w:sz w:val="20"/>
          <w:szCs w:val="20"/>
          <w:lang w:val="es-VE"/>
        </w:rPr>
        <w:t xml:space="preserve"> 8 (garantías judiciales) y 25 (protección judicial) de la Convención Americana en relación con sus artículos 1.1. (obligación de respetar los derechos), 2 (deber de adoptar disposiciones de derecho interno) y 24 (igualdad ante la ley).</w:t>
      </w:r>
    </w:p>
    <w:p w14:paraId="6035EC36" w14:textId="5983F822" w:rsidR="00816ADF" w:rsidRPr="00532277" w:rsidRDefault="00816ADF" w:rsidP="005F6C25">
      <w:pPr>
        <w:pBdr>
          <w:top w:val="none" w:sz="0" w:space="0" w:color="auto"/>
          <w:left w:val="none" w:sz="0" w:space="0" w:color="auto"/>
          <w:bottom w:val="none" w:sz="0" w:space="0" w:color="auto"/>
          <w:right w:val="none" w:sz="0" w:space="0" w:color="auto"/>
          <w:bar w:val="none" w:sz="0" w:color="auto"/>
        </w:pBdr>
        <w:suppressAutoHyphens/>
        <w:spacing w:after="240"/>
        <w:ind w:left="720"/>
        <w:jc w:val="both"/>
        <w:rPr>
          <w:rFonts w:asciiTheme="majorHAnsi" w:hAnsiTheme="majorHAnsi"/>
          <w:b/>
          <w:bCs/>
          <w:sz w:val="20"/>
          <w:szCs w:val="20"/>
          <w:lang w:val="es-ES"/>
        </w:rPr>
      </w:pPr>
      <w:r w:rsidRPr="00532277">
        <w:rPr>
          <w:rFonts w:asciiTheme="majorHAnsi" w:hAnsiTheme="majorHAnsi"/>
          <w:b/>
          <w:bCs/>
          <w:sz w:val="20"/>
          <w:szCs w:val="20"/>
          <w:lang w:val="es-ES"/>
        </w:rPr>
        <w:t xml:space="preserve">VIII. </w:t>
      </w:r>
      <w:r w:rsidRPr="00532277">
        <w:rPr>
          <w:rFonts w:asciiTheme="majorHAnsi" w:hAnsiTheme="majorHAnsi"/>
          <w:b/>
          <w:bCs/>
          <w:sz w:val="20"/>
          <w:szCs w:val="20"/>
          <w:lang w:val="es-ES"/>
        </w:rPr>
        <w:tab/>
        <w:t>DECISIÓN</w:t>
      </w:r>
      <w:r w:rsidRPr="00532277">
        <w:rPr>
          <w:rFonts w:asciiTheme="majorHAnsi" w:hAnsiTheme="majorHAnsi"/>
          <w:b/>
          <w:bCs/>
          <w:sz w:val="20"/>
          <w:szCs w:val="20"/>
          <w:lang w:val="es-ES"/>
        </w:rPr>
        <w:tab/>
      </w:r>
    </w:p>
    <w:p w14:paraId="0FB3C8BC" w14:textId="0F5E864F" w:rsidR="00816ADF" w:rsidRPr="001C5C47" w:rsidRDefault="00816ADF" w:rsidP="003239B8">
      <w:pPr>
        <w:numPr>
          <w:ilvl w:val="0"/>
          <w:numId w:val="109"/>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3239B8">
        <w:rPr>
          <w:rFonts w:ascii="Cambria" w:hAnsi="Cambria"/>
          <w:sz w:val="20"/>
          <w:szCs w:val="20"/>
          <w:lang w:val="es-ES"/>
        </w:rPr>
        <w:t xml:space="preserve">Declarar admisible la presente petición </w:t>
      </w:r>
      <w:r>
        <w:rPr>
          <w:rFonts w:ascii="Cambria" w:hAnsi="Cambria"/>
          <w:sz w:val="20"/>
          <w:szCs w:val="20"/>
          <w:lang w:val="es-ES"/>
        </w:rPr>
        <w:t>con respecto</w:t>
      </w:r>
      <w:r w:rsidRPr="003239B8">
        <w:rPr>
          <w:rFonts w:ascii="Cambria" w:hAnsi="Cambria"/>
          <w:sz w:val="20"/>
          <w:szCs w:val="20"/>
          <w:lang w:val="es-ES"/>
        </w:rPr>
        <w:t xml:space="preserve"> </w:t>
      </w:r>
      <w:r w:rsidR="00280E6F">
        <w:rPr>
          <w:rFonts w:ascii="Cambria" w:hAnsi="Cambria"/>
          <w:sz w:val="20"/>
          <w:szCs w:val="20"/>
          <w:lang w:val="es-ES"/>
        </w:rPr>
        <w:t>a los artículos 8 y 25 de la Convención Americana en relación con sus artículos 1.1. y 2.</w:t>
      </w:r>
    </w:p>
    <w:p w14:paraId="5427300E" w14:textId="77777777" w:rsidR="008F36A3" w:rsidRDefault="00816ADF" w:rsidP="008F36A3">
      <w:pPr>
        <w:numPr>
          <w:ilvl w:val="0"/>
          <w:numId w:val="109"/>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9B7794">
        <w:rPr>
          <w:rFonts w:ascii="Cambria" w:hAnsi="Cambria"/>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1DD1107F" w14:textId="650BD7DA" w:rsidR="008F36A3" w:rsidRPr="008F36A3" w:rsidRDefault="008F36A3" w:rsidP="008F36A3">
      <w:p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Pr>
          <w:rFonts w:asciiTheme="majorHAnsi" w:hAnsiTheme="majorHAnsi" w:cs="Arial"/>
          <w:noProof/>
          <w:spacing w:val="-2"/>
          <w:sz w:val="20"/>
          <w:szCs w:val="20"/>
          <w:lang w:val="es-CL"/>
        </w:rPr>
        <w:tab/>
      </w:r>
      <w:r w:rsidRPr="008F36A3">
        <w:rPr>
          <w:rFonts w:asciiTheme="majorHAnsi" w:hAnsiTheme="majorHAnsi" w:cs="Arial"/>
          <w:noProof/>
          <w:spacing w:val="-2"/>
          <w:sz w:val="20"/>
          <w:szCs w:val="20"/>
          <w:lang w:val="es-CL"/>
        </w:rPr>
        <w:t>Aprobado por la Comisión Interamerica</w:t>
      </w:r>
      <w:r w:rsidR="00F06319">
        <w:rPr>
          <w:rFonts w:asciiTheme="majorHAnsi" w:hAnsiTheme="majorHAnsi" w:cs="Arial"/>
          <w:noProof/>
          <w:spacing w:val="-2"/>
          <w:sz w:val="20"/>
          <w:szCs w:val="20"/>
          <w:lang w:val="es-CL"/>
        </w:rPr>
        <w:t>na de Derechos Humanos  a los 13</w:t>
      </w:r>
      <w:r w:rsidRPr="008F36A3">
        <w:rPr>
          <w:rFonts w:asciiTheme="majorHAnsi" w:hAnsiTheme="majorHAnsi" w:cs="Arial"/>
          <w:noProof/>
          <w:spacing w:val="-2"/>
          <w:sz w:val="20"/>
          <w:szCs w:val="20"/>
          <w:lang w:val="es-CL"/>
        </w:rPr>
        <w:t xml:space="preserve"> días del mes de octubre de 2020.  (Firmado): Joel Hernández, Presidente; Antonia Urrejola, Primera Vicepresidenta; Esmeralda E. Arosemena Bernal de Troitiño, Julissa Mantilla Falcón y Stuardo Ralón Orellana, Miembros de la Comisión.</w:t>
      </w:r>
      <w:r w:rsidRPr="008F36A3">
        <w:rPr>
          <w:rFonts w:asciiTheme="majorHAnsi" w:hAnsiTheme="majorHAnsi" w:cs="Arial"/>
          <w:noProof/>
          <w:sz w:val="20"/>
          <w:szCs w:val="20"/>
          <w:lang w:val="es-CL"/>
        </w:rPr>
        <w:t xml:space="preserve"> </w:t>
      </w:r>
    </w:p>
    <w:p w14:paraId="5E9669DE" w14:textId="1A527F6E" w:rsidR="008E4641" w:rsidRDefault="008F36A3" w:rsidP="008E4641">
      <w:p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Pr>
          <w:rFonts w:asciiTheme="majorHAnsi" w:hAnsiTheme="majorHAnsi" w:cs="Arial"/>
          <w:noProof/>
          <w:spacing w:val="-2"/>
          <w:sz w:val="20"/>
          <w:szCs w:val="20"/>
          <w:lang w:val="es-ES"/>
        </w:rPr>
        <w:tab/>
      </w:r>
    </w:p>
    <w:p w14:paraId="1B7C2B1D" w14:textId="79D6C623" w:rsidR="009B64C3" w:rsidRDefault="009B64C3" w:rsidP="008F36A3">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0"/>
          <w:szCs w:val="20"/>
          <w:lang w:val="es-ES"/>
        </w:rPr>
      </w:pPr>
      <w:r>
        <w:rPr>
          <w:rFonts w:ascii="Cambria" w:hAnsi="Cambria"/>
          <w:sz w:val="20"/>
          <w:szCs w:val="20"/>
          <w:lang w:val="es-ES"/>
        </w:rPr>
        <w:br w:type="page"/>
      </w:r>
    </w:p>
    <w:p w14:paraId="44AAD4C1" w14:textId="77777777" w:rsidR="003E09B5" w:rsidRDefault="003E09B5" w:rsidP="008F1B0B">
      <w:pPr>
        <w:pBdr>
          <w:top w:val="none" w:sz="0" w:space="0" w:color="auto"/>
          <w:left w:val="none" w:sz="0" w:space="0" w:color="auto"/>
          <w:bottom w:val="none" w:sz="0" w:space="0" w:color="auto"/>
          <w:right w:val="none" w:sz="0" w:space="0" w:color="auto"/>
          <w:bar w:val="none" w:sz="0" w:color="auto"/>
        </w:pBdr>
        <w:suppressAutoHyphens/>
        <w:spacing w:after="240"/>
        <w:jc w:val="center"/>
        <w:rPr>
          <w:rFonts w:ascii="Cambria" w:hAnsi="Cambria"/>
          <w:b/>
          <w:sz w:val="20"/>
          <w:szCs w:val="20"/>
          <w:lang w:val="es-ES"/>
        </w:rPr>
      </w:pPr>
    </w:p>
    <w:p w14:paraId="2F6991F2" w14:textId="38D7AA3E" w:rsidR="00816ADF" w:rsidRPr="00065E01" w:rsidRDefault="003A76B5" w:rsidP="008F1B0B">
      <w:pPr>
        <w:pBdr>
          <w:top w:val="none" w:sz="0" w:space="0" w:color="auto"/>
          <w:left w:val="none" w:sz="0" w:space="0" w:color="auto"/>
          <w:bottom w:val="none" w:sz="0" w:space="0" w:color="auto"/>
          <w:right w:val="none" w:sz="0" w:space="0" w:color="auto"/>
          <w:bar w:val="none" w:sz="0" w:color="auto"/>
        </w:pBdr>
        <w:suppressAutoHyphens/>
        <w:spacing w:after="240"/>
        <w:jc w:val="center"/>
        <w:rPr>
          <w:rFonts w:ascii="Cambria" w:hAnsi="Cambria"/>
          <w:b/>
          <w:sz w:val="20"/>
          <w:szCs w:val="20"/>
          <w:lang w:val="es-ES"/>
        </w:rPr>
      </w:pPr>
      <w:r w:rsidRPr="00065E01">
        <w:rPr>
          <w:rFonts w:ascii="Cambria" w:hAnsi="Cambria"/>
          <w:b/>
          <w:sz w:val="20"/>
          <w:szCs w:val="20"/>
          <w:lang w:val="es-ES"/>
        </w:rPr>
        <w:t>ANEXO</w:t>
      </w:r>
    </w:p>
    <w:p w14:paraId="0AA41868" w14:textId="07B79C6D" w:rsidR="00816ADF" w:rsidRDefault="00816ADF" w:rsidP="008F1B0B">
      <w:pPr>
        <w:pBdr>
          <w:top w:val="none" w:sz="0" w:space="0" w:color="auto"/>
          <w:left w:val="none" w:sz="0" w:space="0" w:color="auto"/>
          <w:bottom w:val="none" w:sz="0" w:space="0" w:color="auto"/>
          <w:right w:val="none" w:sz="0" w:space="0" w:color="auto"/>
          <w:bar w:val="none" w:sz="0" w:color="auto"/>
        </w:pBdr>
        <w:suppressAutoHyphens/>
        <w:spacing w:after="240"/>
        <w:jc w:val="center"/>
        <w:rPr>
          <w:rFonts w:ascii="Cambria" w:hAnsi="Cambria"/>
          <w:b/>
          <w:sz w:val="20"/>
          <w:szCs w:val="20"/>
          <w:lang w:val="es-ES"/>
        </w:rPr>
      </w:pPr>
      <w:r>
        <w:rPr>
          <w:rFonts w:ascii="Cambria" w:hAnsi="Cambria"/>
          <w:b/>
          <w:sz w:val="20"/>
          <w:szCs w:val="20"/>
          <w:lang w:val="es-ES"/>
        </w:rPr>
        <w:t xml:space="preserve">Lista de </w:t>
      </w:r>
      <w:r w:rsidR="009B64C3">
        <w:rPr>
          <w:rFonts w:ascii="Cambria" w:hAnsi="Cambria"/>
          <w:b/>
          <w:sz w:val="20"/>
          <w:szCs w:val="20"/>
          <w:lang w:val="es-ES"/>
        </w:rPr>
        <w:t>p</w:t>
      </w:r>
      <w:r>
        <w:rPr>
          <w:rFonts w:ascii="Cambria" w:hAnsi="Cambria"/>
          <w:b/>
          <w:sz w:val="20"/>
          <w:szCs w:val="20"/>
          <w:lang w:val="es-ES"/>
        </w:rPr>
        <w:t xml:space="preserve">resuntas </w:t>
      </w:r>
      <w:r w:rsidR="009B64C3">
        <w:rPr>
          <w:rFonts w:ascii="Cambria" w:hAnsi="Cambria"/>
          <w:b/>
          <w:sz w:val="20"/>
          <w:szCs w:val="20"/>
          <w:lang w:val="es-ES"/>
        </w:rPr>
        <w:t>v</w:t>
      </w:r>
      <w:r>
        <w:rPr>
          <w:rFonts w:ascii="Cambria" w:hAnsi="Cambria"/>
          <w:b/>
          <w:sz w:val="20"/>
          <w:szCs w:val="20"/>
          <w:lang w:val="es-ES"/>
        </w:rPr>
        <w:t>íctimas</w:t>
      </w:r>
      <w:r w:rsidR="004416A4">
        <w:rPr>
          <w:rFonts w:ascii="Cambria" w:hAnsi="Cambria"/>
          <w:b/>
          <w:sz w:val="20"/>
          <w:szCs w:val="20"/>
          <w:lang w:val="es-ES"/>
        </w:rPr>
        <w:t xml:space="preserve"> y </w:t>
      </w:r>
      <w:r w:rsidR="009B64C3">
        <w:rPr>
          <w:rFonts w:ascii="Cambria" w:hAnsi="Cambria"/>
          <w:b/>
          <w:sz w:val="20"/>
          <w:szCs w:val="20"/>
          <w:lang w:val="es-ES"/>
        </w:rPr>
        <w:t>f</w:t>
      </w:r>
      <w:r w:rsidR="004416A4">
        <w:rPr>
          <w:rFonts w:ascii="Cambria" w:hAnsi="Cambria"/>
          <w:b/>
          <w:sz w:val="20"/>
          <w:szCs w:val="20"/>
          <w:lang w:val="es-ES"/>
        </w:rPr>
        <w:t xml:space="preserve">echas de las </w:t>
      </w:r>
      <w:r w:rsidR="009B64C3">
        <w:rPr>
          <w:rFonts w:ascii="Cambria" w:hAnsi="Cambria"/>
          <w:b/>
          <w:sz w:val="20"/>
          <w:szCs w:val="20"/>
          <w:lang w:val="es-ES"/>
        </w:rPr>
        <w:t>d</w:t>
      </w:r>
      <w:r w:rsidR="004416A4">
        <w:rPr>
          <w:rFonts w:ascii="Cambria" w:hAnsi="Cambria"/>
          <w:b/>
          <w:sz w:val="20"/>
          <w:szCs w:val="20"/>
          <w:lang w:val="es-ES"/>
        </w:rPr>
        <w:t xml:space="preserve">ecisiones </w:t>
      </w:r>
      <w:r w:rsidR="00BE7A8F">
        <w:rPr>
          <w:rFonts w:ascii="Cambria" w:hAnsi="Cambria"/>
          <w:b/>
          <w:sz w:val="20"/>
          <w:szCs w:val="20"/>
          <w:lang w:val="es-ES"/>
        </w:rPr>
        <w:t>sobre</w:t>
      </w:r>
      <w:r w:rsidR="004416A4">
        <w:rPr>
          <w:rFonts w:ascii="Cambria" w:hAnsi="Cambria"/>
          <w:b/>
          <w:sz w:val="20"/>
          <w:szCs w:val="20"/>
          <w:lang w:val="es-ES"/>
        </w:rPr>
        <w:t xml:space="preserve"> los </w:t>
      </w:r>
      <w:r w:rsidR="009B64C3">
        <w:rPr>
          <w:rFonts w:ascii="Cambria" w:hAnsi="Cambria"/>
          <w:b/>
          <w:sz w:val="20"/>
          <w:szCs w:val="20"/>
          <w:lang w:val="es-ES"/>
        </w:rPr>
        <w:t>r</w:t>
      </w:r>
      <w:r w:rsidR="004416A4">
        <w:rPr>
          <w:rFonts w:ascii="Cambria" w:hAnsi="Cambria"/>
          <w:b/>
          <w:sz w:val="20"/>
          <w:szCs w:val="20"/>
          <w:lang w:val="es-ES"/>
        </w:rPr>
        <w:t xml:space="preserve">ecursos </w:t>
      </w:r>
      <w:r w:rsidR="009B64C3">
        <w:rPr>
          <w:rFonts w:ascii="Cambria" w:hAnsi="Cambria"/>
          <w:b/>
          <w:sz w:val="20"/>
          <w:szCs w:val="20"/>
          <w:lang w:val="es-ES"/>
        </w:rPr>
        <w:t>i</w:t>
      </w:r>
      <w:r w:rsidR="004416A4">
        <w:rPr>
          <w:rFonts w:ascii="Cambria" w:hAnsi="Cambria"/>
          <w:b/>
          <w:sz w:val="20"/>
          <w:szCs w:val="20"/>
          <w:lang w:val="es-ES"/>
        </w:rPr>
        <w:t>nternos</w:t>
      </w:r>
    </w:p>
    <w:p w14:paraId="785F5F4A" w14:textId="77777777" w:rsidR="00816ADF" w:rsidRPr="003239B8" w:rsidRDefault="00816ADF" w:rsidP="001D65E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rPr>
          <w:rFonts w:ascii="Cambria" w:hAnsi="Cambria"/>
          <w:sz w:val="20"/>
          <w:szCs w:val="20"/>
          <w:lang w:val="es-ES"/>
        </w:rPr>
      </w:pPr>
    </w:p>
    <w:p w14:paraId="7DD78DB8" w14:textId="77777777" w:rsidR="00816ADF" w:rsidRPr="007253B8" w:rsidRDefault="00816ADF" w:rsidP="001D65E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rPr>
          <w:rFonts w:ascii="Cambria" w:hAnsi="Cambria"/>
          <w:sz w:val="20"/>
          <w:szCs w:val="20"/>
          <w:lang w:val="es-ES_tradnl"/>
        </w:rPr>
      </w:pPr>
    </w:p>
    <w:tbl>
      <w:tblPr>
        <w:tblStyle w:val="TableGrid"/>
        <w:tblW w:w="979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45"/>
        <w:gridCol w:w="1785"/>
        <w:gridCol w:w="1774"/>
        <w:gridCol w:w="1606"/>
        <w:gridCol w:w="1585"/>
      </w:tblGrid>
      <w:tr w:rsidR="003E09B5" w:rsidRPr="00531551" w14:paraId="7039EF3D" w14:textId="77777777" w:rsidTr="003E09B5">
        <w:tc>
          <w:tcPr>
            <w:tcW w:w="3045" w:type="dxa"/>
            <w:vAlign w:val="center"/>
          </w:tcPr>
          <w:p w14:paraId="513ED212" w14:textId="66BC3AED" w:rsidR="004416A4" w:rsidRPr="004416A4" w:rsidRDefault="004416A4" w:rsidP="00065E01">
            <w:pPr>
              <w:pBdr>
                <w:top w:val="none" w:sz="0" w:space="0" w:color="auto"/>
                <w:left w:val="none" w:sz="0" w:space="0" w:color="auto"/>
                <w:bottom w:val="none" w:sz="0" w:space="0" w:color="auto"/>
                <w:right w:val="none" w:sz="0" w:space="0" w:color="auto"/>
                <w:bar w:val="none" w:sz="0" w:color="auto"/>
              </w:pBdr>
              <w:jc w:val="center"/>
              <w:rPr>
                <w:rFonts w:ascii="Cambria" w:hAnsi="Cambria" w:cs="Calibri"/>
                <w:b/>
                <w:sz w:val="20"/>
                <w:szCs w:val="20"/>
                <w:lang w:val="es-ES"/>
              </w:rPr>
            </w:pPr>
            <w:r w:rsidRPr="004416A4">
              <w:rPr>
                <w:rFonts w:ascii="Cambria" w:hAnsi="Cambria" w:cs="Calibri"/>
                <w:b/>
                <w:sz w:val="20"/>
                <w:szCs w:val="20"/>
                <w:lang w:val="es-ES"/>
              </w:rPr>
              <w:t xml:space="preserve">Presunta </w:t>
            </w:r>
            <w:r w:rsidR="003A76B5">
              <w:rPr>
                <w:rFonts w:ascii="Cambria" w:hAnsi="Cambria" w:cs="Calibri"/>
                <w:b/>
                <w:sz w:val="20"/>
                <w:szCs w:val="20"/>
                <w:lang w:val="es-ES"/>
              </w:rPr>
              <w:t>v</w:t>
            </w:r>
            <w:r w:rsidR="0046288F">
              <w:rPr>
                <w:rFonts w:ascii="Cambria" w:hAnsi="Cambria" w:cs="Calibri"/>
                <w:b/>
                <w:sz w:val="20"/>
                <w:szCs w:val="20"/>
                <w:lang w:val="es-ES"/>
              </w:rPr>
              <w:t>í</w:t>
            </w:r>
            <w:r w:rsidRPr="004416A4">
              <w:rPr>
                <w:rFonts w:ascii="Cambria" w:hAnsi="Cambria" w:cs="Calibri"/>
                <w:b/>
                <w:sz w:val="20"/>
                <w:szCs w:val="20"/>
                <w:lang w:val="es-ES"/>
              </w:rPr>
              <w:t>ctima</w:t>
            </w:r>
          </w:p>
        </w:tc>
        <w:tc>
          <w:tcPr>
            <w:tcW w:w="1785" w:type="dxa"/>
            <w:vAlign w:val="center"/>
          </w:tcPr>
          <w:p w14:paraId="720DD70D" w14:textId="12B3F23D" w:rsidR="004416A4" w:rsidRPr="004416A4" w:rsidRDefault="004416A4" w:rsidP="00065E01">
            <w:pPr>
              <w:pBdr>
                <w:top w:val="none" w:sz="0" w:space="0" w:color="auto"/>
                <w:left w:val="none" w:sz="0" w:space="0" w:color="auto"/>
                <w:bottom w:val="none" w:sz="0" w:space="0" w:color="auto"/>
                <w:right w:val="none" w:sz="0" w:space="0" w:color="auto"/>
                <w:bar w:val="none" w:sz="0" w:color="auto"/>
              </w:pBdr>
              <w:jc w:val="center"/>
              <w:rPr>
                <w:rFonts w:ascii="Cambria" w:hAnsi="Cambria" w:cs="Calibri"/>
                <w:b/>
                <w:sz w:val="20"/>
                <w:szCs w:val="20"/>
                <w:lang w:val="es-ES"/>
              </w:rPr>
            </w:pPr>
            <w:r w:rsidRPr="004416A4">
              <w:rPr>
                <w:rFonts w:ascii="Cambria" w:hAnsi="Cambria" w:cs="Calibri"/>
                <w:b/>
                <w:sz w:val="20"/>
                <w:szCs w:val="20"/>
                <w:lang w:val="es-ES"/>
              </w:rPr>
              <w:t xml:space="preserve">Sentencia </w:t>
            </w:r>
            <w:r w:rsidR="0046288F">
              <w:rPr>
                <w:rFonts w:ascii="Cambria" w:hAnsi="Cambria" w:cs="Calibri"/>
                <w:b/>
                <w:sz w:val="20"/>
                <w:szCs w:val="20"/>
                <w:lang w:val="es-ES"/>
              </w:rPr>
              <w:t>c</w:t>
            </w:r>
            <w:r w:rsidRPr="004416A4">
              <w:rPr>
                <w:rFonts w:ascii="Cambria" w:hAnsi="Cambria" w:cs="Calibri"/>
                <w:b/>
                <w:sz w:val="20"/>
                <w:szCs w:val="20"/>
                <w:lang w:val="es-ES"/>
              </w:rPr>
              <w:t>ondenatoria</w:t>
            </w:r>
          </w:p>
        </w:tc>
        <w:tc>
          <w:tcPr>
            <w:tcW w:w="1774" w:type="dxa"/>
            <w:vAlign w:val="center"/>
          </w:tcPr>
          <w:p w14:paraId="18000EC0" w14:textId="4D509DCB" w:rsidR="004416A4" w:rsidRPr="004416A4" w:rsidRDefault="004416A4" w:rsidP="00065E01">
            <w:pPr>
              <w:pBdr>
                <w:top w:val="none" w:sz="0" w:space="0" w:color="auto"/>
                <w:left w:val="none" w:sz="0" w:space="0" w:color="auto"/>
                <w:bottom w:val="none" w:sz="0" w:space="0" w:color="auto"/>
                <w:right w:val="none" w:sz="0" w:space="0" w:color="auto"/>
                <w:bar w:val="none" w:sz="0" w:color="auto"/>
              </w:pBdr>
              <w:jc w:val="center"/>
              <w:rPr>
                <w:rFonts w:ascii="Cambria" w:hAnsi="Cambria" w:cs="Calibri"/>
                <w:b/>
                <w:sz w:val="20"/>
                <w:szCs w:val="20"/>
                <w:lang w:val="es-PA"/>
              </w:rPr>
            </w:pPr>
            <w:r>
              <w:rPr>
                <w:rFonts w:ascii="Cambria" w:hAnsi="Cambria" w:cs="Calibri"/>
                <w:b/>
                <w:sz w:val="20"/>
                <w:szCs w:val="20"/>
                <w:lang w:val="es-ES"/>
              </w:rPr>
              <w:t xml:space="preserve">Decisión </w:t>
            </w:r>
            <w:r w:rsidR="0046288F">
              <w:rPr>
                <w:rFonts w:ascii="Cambria" w:hAnsi="Cambria" w:cs="Calibri"/>
                <w:b/>
                <w:sz w:val="20"/>
                <w:szCs w:val="20"/>
                <w:lang w:val="es-ES"/>
              </w:rPr>
              <w:t>f</w:t>
            </w:r>
            <w:r>
              <w:rPr>
                <w:rFonts w:ascii="Cambria" w:hAnsi="Cambria" w:cs="Calibri"/>
                <w:b/>
                <w:sz w:val="20"/>
                <w:szCs w:val="20"/>
                <w:lang w:val="es-ES"/>
              </w:rPr>
              <w:t xml:space="preserve">inal sobre </w:t>
            </w:r>
            <w:r w:rsidR="0046288F">
              <w:rPr>
                <w:rFonts w:ascii="Cambria" w:hAnsi="Cambria" w:cs="Calibri"/>
                <w:b/>
                <w:sz w:val="20"/>
                <w:szCs w:val="20"/>
                <w:lang w:val="es-ES"/>
              </w:rPr>
              <w:t>c</w:t>
            </w:r>
            <w:r w:rsidRPr="004416A4">
              <w:rPr>
                <w:rFonts w:ascii="Cambria" w:hAnsi="Cambria" w:cs="Calibri"/>
                <w:b/>
                <w:sz w:val="20"/>
                <w:szCs w:val="20"/>
                <w:lang w:val="es-ES"/>
              </w:rPr>
              <w:t>asación</w:t>
            </w:r>
          </w:p>
        </w:tc>
        <w:tc>
          <w:tcPr>
            <w:tcW w:w="1606" w:type="dxa"/>
            <w:vAlign w:val="center"/>
          </w:tcPr>
          <w:p w14:paraId="1F349266" w14:textId="77777777" w:rsidR="008F1B0B" w:rsidRDefault="004416A4" w:rsidP="00065E01">
            <w:pPr>
              <w:pBdr>
                <w:top w:val="none" w:sz="0" w:space="0" w:color="auto"/>
                <w:left w:val="none" w:sz="0" w:space="0" w:color="auto"/>
                <w:bottom w:val="none" w:sz="0" w:space="0" w:color="auto"/>
                <w:right w:val="none" w:sz="0" w:space="0" w:color="auto"/>
                <w:bar w:val="none" w:sz="0" w:color="auto"/>
              </w:pBdr>
              <w:jc w:val="center"/>
              <w:rPr>
                <w:rFonts w:ascii="Cambria" w:hAnsi="Cambria" w:cs="Calibri"/>
                <w:b/>
                <w:sz w:val="20"/>
                <w:szCs w:val="20"/>
                <w:lang w:val="es-ES"/>
              </w:rPr>
            </w:pPr>
            <w:r>
              <w:rPr>
                <w:rFonts w:ascii="Cambria" w:hAnsi="Cambria" w:cs="Calibri"/>
                <w:b/>
                <w:sz w:val="20"/>
                <w:szCs w:val="20"/>
                <w:lang w:val="es-ES"/>
              </w:rPr>
              <w:t xml:space="preserve">Decisión </w:t>
            </w:r>
          </w:p>
          <w:p w14:paraId="5542AD7F" w14:textId="3F118BFF" w:rsidR="004416A4" w:rsidRPr="004416A4" w:rsidRDefault="0046288F" w:rsidP="00065E01">
            <w:pPr>
              <w:pBdr>
                <w:top w:val="none" w:sz="0" w:space="0" w:color="auto"/>
                <w:left w:val="none" w:sz="0" w:space="0" w:color="auto"/>
                <w:bottom w:val="none" w:sz="0" w:space="0" w:color="auto"/>
                <w:right w:val="none" w:sz="0" w:space="0" w:color="auto"/>
                <w:bar w:val="none" w:sz="0" w:color="auto"/>
              </w:pBdr>
              <w:jc w:val="center"/>
              <w:rPr>
                <w:rFonts w:ascii="Cambria" w:hAnsi="Cambria" w:cs="Calibri"/>
                <w:b/>
                <w:sz w:val="20"/>
                <w:szCs w:val="20"/>
                <w:lang w:val="es-ES"/>
              </w:rPr>
            </w:pPr>
            <w:r>
              <w:rPr>
                <w:rFonts w:ascii="Cambria" w:hAnsi="Cambria" w:cs="Calibri"/>
                <w:b/>
                <w:sz w:val="20"/>
                <w:szCs w:val="20"/>
                <w:lang w:val="es-ES"/>
              </w:rPr>
              <w:t>r</w:t>
            </w:r>
            <w:r w:rsidR="004416A4" w:rsidRPr="004416A4">
              <w:rPr>
                <w:rFonts w:ascii="Cambria" w:hAnsi="Cambria" w:cs="Calibri"/>
                <w:b/>
                <w:sz w:val="20"/>
                <w:szCs w:val="20"/>
                <w:lang w:val="es-ES"/>
              </w:rPr>
              <w:t xml:space="preserve">ecurso </w:t>
            </w:r>
            <w:r>
              <w:rPr>
                <w:rFonts w:ascii="Cambria" w:hAnsi="Cambria" w:cs="Calibri"/>
                <w:b/>
                <w:sz w:val="20"/>
                <w:szCs w:val="20"/>
                <w:lang w:val="es-ES"/>
              </w:rPr>
              <w:t>e</w:t>
            </w:r>
            <w:r w:rsidR="004416A4" w:rsidRPr="004416A4">
              <w:rPr>
                <w:rFonts w:ascii="Cambria" w:hAnsi="Cambria" w:cs="Calibri"/>
                <w:b/>
                <w:sz w:val="20"/>
                <w:szCs w:val="20"/>
                <w:lang w:val="es-ES"/>
              </w:rPr>
              <w:t xml:space="preserve">xtraordinario </w:t>
            </w:r>
            <w:r>
              <w:rPr>
                <w:rFonts w:ascii="Cambria" w:hAnsi="Cambria" w:cs="Calibri"/>
                <w:b/>
                <w:sz w:val="20"/>
                <w:szCs w:val="20"/>
                <w:lang w:val="es-ES"/>
              </w:rPr>
              <w:t>f</w:t>
            </w:r>
            <w:r w:rsidR="004416A4" w:rsidRPr="004416A4">
              <w:rPr>
                <w:rFonts w:ascii="Cambria" w:hAnsi="Cambria" w:cs="Calibri"/>
                <w:b/>
                <w:sz w:val="20"/>
                <w:szCs w:val="20"/>
                <w:lang w:val="es-ES"/>
              </w:rPr>
              <w:t>ederal</w:t>
            </w:r>
          </w:p>
        </w:tc>
        <w:tc>
          <w:tcPr>
            <w:tcW w:w="1585" w:type="dxa"/>
            <w:vAlign w:val="center"/>
          </w:tcPr>
          <w:p w14:paraId="7A06C17E" w14:textId="3A766D88" w:rsidR="004416A4" w:rsidRPr="004416A4" w:rsidRDefault="004416A4" w:rsidP="002C3D11">
            <w:pPr>
              <w:pBdr>
                <w:top w:val="none" w:sz="0" w:space="0" w:color="auto"/>
                <w:left w:val="none" w:sz="0" w:space="0" w:color="auto"/>
                <w:bottom w:val="none" w:sz="0" w:space="0" w:color="auto"/>
                <w:right w:val="none" w:sz="0" w:space="0" w:color="auto"/>
                <w:bar w:val="none" w:sz="0" w:color="auto"/>
              </w:pBdr>
              <w:jc w:val="center"/>
              <w:rPr>
                <w:rFonts w:ascii="Cambria" w:hAnsi="Cambria" w:cs="Calibri"/>
                <w:b/>
                <w:sz w:val="20"/>
                <w:szCs w:val="20"/>
                <w:lang w:val="es-ES"/>
              </w:rPr>
            </w:pPr>
            <w:r w:rsidRPr="004416A4">
              <w:rPr>
                <w:rFonts w:ascii="Cambria" w:hAnsi="Cambria" w:cs="Calibri"/>
                <w:b/>
                <w:sz w:val="20"/>
                <w:szCs w:val="20"/>
                <w:lang w:val="es-ES"/>
              </w:rPr>
              <w:t xml:space="preserve">Decisión </w:t>
            </w:r>
            <w:r w:rsidR="00531551">
              <w:rPr>
                <w:rFonts w:ascii="Cambria" w:hAnsi="Cambria" w:cs="Calibri"/>
                <w:b/>
                <w:sz w:val="20"/>
                <w:szCs w:val="20"/>
                <w:lang w:val="es-ES"/>
              </w:rPr>
              <w:t>d</w:t>
            </w:r>
            <w:r w:rsidR="00531551" w:rsidRPr="004416A4">
              <w:rPr>
                <w:rFonts w:ascii="Cambria" w:hAnsi="Cambria" w:cs="Calibri"/>
                <w:b/>
                <w:sz w:val="20"/>
                <w:szCs w:val="20"/>
                <w:lang w:val="es-ES"/>
              </w:rPr>
              <w:t>efinitiva</w:t>
            </w:r>
            <w:r w:rsidR="002C3D11" w:rsidRPr="002C3D11">
              <w:rPr>
                <w:rStyle w:val="FootnoteReference"/>
                <w:rFonts w:ascii="Cambria" w:hAnsi="Cambria"/>
                <w:sz w:val="20"/>
                <w:szCs w:val="20"/>
                <w:lang w:val="es-ES"/>
              </w:rPr>
              <w:footnoteReference w:id="14"/>
            </w:r>
            <w:r w:rsidRPr="002C3D11">
              <w:rPr>
                <w:rFonts w:ascii="Cambria" w:hAnsi="Cambria" w:cs="Calibri"/>
                <w:sz w:val="20"/>
                <w:szCs w:val="20"/>
                <w:lang w:val="es-ES"/>
              </w:rPr>
              <w:t xml:space="preserve"> </w:t>
            </w:r>
          </w:p>
        </w:tc>
      </w:tr>
      <w:tr w:rsidR="003E09B5" w:rsidRPr="008F1B0B" w14:paraId="3A212277" w14:textId="77777777" w:rsidTr="003E09B5">
        <w:tc>
          <w:tcPr>
            <w:tcW w:w="3045" w:type="dxa"/>
          </w:tcPr>
          <w:p w14:paraId="799BE9B9" w14:textId="0E20C212" w:rsidR="004416A4" w:rsidRDefault="004416A4" w:rsidP="00974491">
            <w:pPr>
              <w:pBdr>
                <w:top w:val="none" w:sz="0" w:space="0" w:color="auto"/>
                <w:left w:val="none" w:sz="0" w:space="0" w:color="auto"/>
                <w:bottom w:val="none" w:sz="0" w:space="0" w:color="auto"/>
                <w:right w:val="none" w:sz="0" w:space="0" w:color="auto"/>
                <w:bar w:val="none" w:sz="0" w:color="auto"/>
              </w:pBdr>
              <w:rPr>
                <w:rFonts w:ascii="Cambria" w:hAnsi="Cambria" w:cs="Calibri"/>
                <w:sz w:val="20"/>
                <w:szCs w:val="20"/>
                <w:lang w:val="es-ES"/>
              </w:rPr>
            </w:pPr>
            <w:r>
              <w:rPr>
                <w:rFonts w:ascii="Cambria" w:hAnsi="Cambria" w:cs="Calibri"/>
                <w:sz w:val="20"/>
                <w:szCs w:val="20"/>
                <w:lang w:val="es-ES"/>
              </w:rPr>
              <w:t>1.  Lidia Fanny Reyes</w:t>
            </w:r>
          </w:p>
        </w:tc>
        <w:tc>
          <w:tcPr>
            <w:tcW w:w="1785" w:type="dxa"/>
            <w:vAlign w:val="center"/>
          </w:tcPr>
          <w:p w14:paraId="6D625411" w14:textId="217FC4D8" w:rsidR="004416A4" w:rsidRDefault="004416A4" w:rsidP="008F1B0B">
            <w:pPr>
              <w:pBdr>
                <w:top w:val="none" w:sz="0" w:space="0" w:color="auto"/>
                <w:left w:val="none" w:sz="0" w:space="0" w:color="auto"/>
                <w:bottom w:val="none" w:sz="0" w:space="0" w:color="auto"/>
                <w:right w:val="none" w:sz="0" w:space="0" w:color="auto"/>
                <w:bar w:val="none" w:sz="0" w:color="auto"/>
              </w:pBdr>
              <w:jc w:val="center"/>
              <w:rPr>
                <w:rFonts w:ascii="Cambria" w:hAnsi="Cambria" w:cs="Calibri"/>
                <w:sz w:val="20"/>
                <w:szCs w:val="20"/>
                <w:lang w:val="es-ES"/>
              </w:rPr>
            </w:pPr>
            <w:r>
              <w:rPr>
                <w:rFonts w:ascii="Cambria" w:hAnsi="Cambria" w:cs="Calibri"/>
                <w:sz w:val="20"/>
                <w:szCs w:val="20"/>
                <w:lang w:val="es-ES"/>
              </w:rPr>
              <w:t>18</w:t>
            </w:r>
            <w:r w:rsidR="008F1B0B">
              <w:rPr>
                <w:rFonts w:ascii="Cambria" w:hAnsi="Cambria" w:cs="Calibri"/>
                <w:sz w:val="20"/>
                <w:szCs w:val="20"/>
                <w:lang w:val="es-ES"/>
              </w:rPr>
              <w:t>/11/</w:t>
            </w:r>
            <w:r>
              <w:rPr>
                <w:rFonts w:ascii="Cambria" w:hAnsi="Cambria" w:cs="Calibri"/>
                <w:sz w:val="20"/>
                <w:szCs w:val="20"/>
                <w:lang w:val="es-ES"/>
              </w:rPr>
              <w:t>04</w:t>
            </w:r>
          </w:p>
        </w:tc>
        <w:tc>
          <w:tcPr>
            <w:tcW w:w="1774" w:type="dxa"/>
            <w:vAlign w:val="center"/>
          </w:tcPr>
          <w:p w14:paraId="704005BC" w14:textId="41916FD9" w:rsidR="004416A4" w:rsidRDefault="003E09B5" w:rsidP="003E09B5">
            <w:pPr>
              <w:pBdr>
                <w:top w:val="none" w:sz="0" w:space="0" w:color="auto"/>
                <w:left w:val="none" w:sz="0" w:space="0" w:color="auto"/>
                <w:bottom w:val="none" w:sz="0" w:space="0" w:color="auto"/>
                <w:right w:val="none" w:sz="0" w:space="0" w:color="auto"/>
                <w:bar w:val="none" w:sz="0" w:color="auto"/>
              </w:pBdr>
              <w:jc w:val="center"/>
              <w:rPr>
                <w:rFonts w:ascii="Cambria" w:hAnsi="Cambria" w:cs="Calibri"/>
                <w:sz w:val="20"/>
                <w:szCs w:val="20"/>
                <w:lang w:val="es-ES"/>
              </w:rPr>
            </w:pPr>
            <w:r>
              <w:rPr>
                <w:rFonts w:ascii="Cambria" w:hAnsi="Cambria" w:cs="Calibri"/>
                <w:sz w:val="20"/>
                <w:szCs w:val="20"/>
                <w:lang w:val="es-ES"/>
              </w:rPr>
              <w:t>0</w:t>
            </w:r>
            <w:r w:rsidR="004416A4">
              <w:rPr>
                <w:rFonts w:ascii="Cambria" w:hAnsi="Cambria" w:cs="Calibri"/>
                <w:sz w:val="20"/>
                <w:szCs w:val="20"/>
                <w:lang w:val="es-ES"/>
              </w:rPr>
              <w:t>2</w:t>
            </w:r>
            <w:r>
              <w:rPr>
                <w:rFonts w:ascii="Cambria" w:hAnsi="Cambria" w:cs="Calibri"/>
                <w:sz w:val="20"/>
                <w:szCs w:val="20"/>
                <w:lang w:val="es-ES"/>
              </w:rPr>
              <w:t>/02/</w:t>
            </w:r>
            <w:r w:rsidR="004416A4">
              <w:rPr>
                <w:rFonts w:ascii="Cambria" w:hAnsi="Cambria" w:cs="Calibri"/>
                <w:sz w:val="20"/>
                <w:szCs w:val="20"/>
                <w:lang w:val="es-ES"/>
              </w:rPr>
              <w:t>05</w:t>
            </w:r>
          </w:p>
        </w:tc>
        <w:tc>
          <w:tcPr>
            <w:tcW w:w="1606" w:type="dxa"/>
            <w:vAlign w:val="center"/>
          </w:tcPr>
          <w:p w14:paraId="6328FD59" w14:textId="554942F6" w:rsidR="004416A4" w:rsidRDefault="003E09B5" w:rsidP="003E09B5">
            <w:pPr>
              <w:pBdr>
                <w:top w:val="none" w:sz="0" w:space="0" w:color="auto"/>
                <w:left w:val="none" w:sz="0" w:space="0" w:color="auto"/>
                <w:bottom w:val="none" w:sz="0" w:space="0" w:color="auto"/>
                <w:right w:val="none" w:sz="0" w:space="0" w:color="auto"/>
                <w:bar w:val="none" w:sz="0" w:color="auto"/>
              </w:pBdr>
              <w:jc w:val="center"/>
              <w:rPr>
                <w:rFonts w:ascii="Cambria" w:hAnsi="Cambria" w:cs="Calibri"/>
                <w:sz w:val="20"/>
                <w:szCs w:val="20"/>
                <w:lang w:val="es-ES"/>
              </w:rPr>
            </w:pPr>
            <w:r>
              <w:rPr>
                <w:rFonts w:ascii="Cambria" w:hAnsi="Cambria" w:cs="Calibri"/>
                <w:sz w:val="20"/>
                <w:szCs w:val="20"/>
                <w:lang w:val="es-ES"/>
              </w:rPr>
              <w:t>0</w:t>
            </w:r>
            <w:r w:rsidR="004416A4">
              <w:rPr>
                <w:rFonts w:ascii="Cambria" w:hAnsi="Cambria" w:cs="Calibri"/>
                <w:sz w:val="20"/>
                <w:szCs w:val="20"/>
                <w:lang w:val="es-ES"/>
              </w:rPr>
              <w:t>8</w:t>
            </w:r>
            <w:r>
              <w:rPr>
                <w:rFonts w:ascii="Cambria" w:hAnsi="Cambria" w:cs="Calibri"/>
                <w:sz w:val="20"/>
                <w:szCs w:val="20"/>
                <w:lang w:val="es-ES"/>
              </w:rPr>
              <w:t>/03/</w:t>
            </w:r>
            <w:r w:rsidR="004416A4">
              <w:rPr>
                <w:rFonts w:ascii="Cambria" w:hAnsi="Cambria" w:cs="Calibri"/>
                <w:sz w:val="20"/>
                <w:szCs w:val="20"/>
                <w:lang w:val="es-ES"/>
              </w:rPr>
              <w:t>05</w:t>
            </w:r>
          </w:p>
        </w:tc>
        <w:tc>
          <w:tcPr>
            <w:tcW w:w="1585" w:type="dxa"/>
            <w:vAlign w:val="center"/>
          </w:tcPr>
          <w:p w14:paraId="368C2982" w14:textId="5AEE77E2" w:rsidR="004416A4" w:rsidRDefault="003E09B5" w:rsidP="003E09B5">
            <w:pPr>
              <w:pBdr>
                <w:top w:val="none" w:sz="0" w:space="0" w:color="auto"/>
                <w:left w:val="none" w:sz="0" w:space="0" w:color="auto"/>
                <w:bottom w:val="none" w:sz="0" w:space="0" w:color="auto"/>
                <w:right w:val="none" w:sz="0" w:space="0" w:color="auto"/>
                <w:bar w:val="none" w:sz="0" w:color="auto"/>
              </w:pBdr>
              <w:jc w:val="center"/>
              <w:rPr>
                <w:rFonts w:ascii="Cambria" w:hAnsi="Cambria" w:cs="Calibri"/>
                <w:sz w:val="20"/>
                <w:szCs w:val="20"/>
                <w:lang w:val="es-ES"/>
              </w:rPr>
            </w:pPr>
            <w:r>
              <w:rPr>
                <w:rFonts w:ascii="Cambria" w:hAnsi="Cambria" w:cs="Calibri"/>
                <w:sz w:val="20"/>
                <w:szCs w:val="20"/>
                <w:lang w:val="es-ES"/>
              </w:rPr>
              <w:t>0</w:t>
            </w:r>
            <w:r w:rsidR="004416A4">
              <w:rPr>
                <w:rFonts w:ascii="Cambria" w:hAnsi="Cambria" w:cs="Calibri"/>
                <w:sz w:val="20"/>
                <w:szCs w:val="20"/>
                <w:lang w:val="es-ES"/>
              </w:rPr>
              <w:t>3</w:t>
            </w:r>
            <w:r>
              <w:rPr>
                <w:rFonts w:ascii="Cambria" w:hAnsi="Cambria" w:cs="Calibri"/>
                <w:sz w:val="20"/>
                <w:szCs w:val="20"/>
                <w:lang w:val="es-ES"/>
              </w:rPr>
              <w:t>/10/</w:t>
            </w:r>
            <w:r w:rsidR="004416A4">
              <w:rPr>
                <w:rFonts w:ascii="Cambria" w:hAnsi="Cambria" w:cs="Calibri"/>
                <w:sz w:val="20"/>
                <w:szCs w:val="20"/>
                <w:lang w:val="es-ES"/>
              </w:rPr>
              <w:t>06</w:t>
            </w:r>
          </w:p>
        </w:tc>
      </w:tr>
      <w:tr w:rsidR="003E09B5" w:rsidRPr="008F1B0B" w14:paraId="0AD27D25" w14:textId="77777777" w:rsidTr="003E09B5">
        <w:tc>
          <w:tcPr>
            <w:tcW w:w="3045" w:type="dxa"/>
          </w:tcPr>
          <w:p w14:paraId="2433F896" w14:textId="2513FCD1" w:rsidR="004416A4" w:rsidRPr="004416A4" w:rsidRDefault="004416A4" w:rsidP="004416A4">
            <w:pPr>
              <w:pBdr>
                <w:top w:val="none" w:sz="0" w:space="0" w:color="auto"/>
                <w:left w:val="none" w:sz="0" w:space="0" w:color="auto"/>
                <w:bottom w:val="none" w:sz="0" w:space="0" w:color="auto"/>
                <w:right w:val="none" w:sz="0" w:space="0" w:color="auto"/>
                <w:bar w:val="none" w:sz="0" w:color="auto"/>
              </w:pBdr>
              <w:rPr>
                <w:rFonts w:cs="Calibri"/>
                <w:sz w:val="20"/>
                <w:szCs w:val="20"/>
                <w:lang w:val="es-ES"/>
              </w:rPr>
            </w:pPr>
            <w:r>
              <w:rPr>
                <w:rFonts w:cs="Calibri"/>
                <w:sz w:val="20"/>
                <w:szCs w:val="20"/>
                <w:lang w:val="es-ES"/>
              </w:rPr>
              <w:t>2. Omar Dante Correa</w:t>
            </w:r>
          </w:p>
        </w:tc>
        <w:tc>
          <w:tcPr>
            <w:tcW w:w="1785" w:type="dxa"/>
            <w:vAlign w:val="center"/>
          </w:tcPr>
          <w:p w14:paraId="78D465A9" w14:textId="21E01C50" w:rsidR="004416A4" w:rsidRDefault="004416A4" w:rsidP="003E09B5">
            <w:pPr>
              <w:pBdr>
                <w:top w:val="none" w:sz="0" w:space="0" w:color="auto"/>
                <w:left w:val="none" w:sz="0" w:space="0" w:color="auto"/>
                <w:bottom w:val="none" w:sz="0" w:space="0" w:color="auto"/>
                <w:right w:val="none" w:sz="0" w:space="0" w:color="auto"/>
                <w:bar w:val="none" w:sz="0" w:color="auto"/>
              </w:pBdr>
              <w:jc w:val="center"/>
              <w:rPr>
                <w:rFonts w:ascii="Cambria" w:hAnsi="Cambria" w:cs="Calibri"/>
                <w:sz w:val="20"/>
                <w:szCs w:val="20"/>
                <w:lang w:val="es-ES"/>
              </w:rPr>
            </w:pPr>
            <w:r>
              <w:rPr>
                <w:rFonts w:ascii="Cambria" w:hAnsi="Cambria" w:cs="Calibri"/>
                <w:sz w:val="20"/>
                <w:szCs w:val="20"/>
                <w:lang w:val="es-ES"/>
              </w:rPr>
              <w:t>17</w:t>
            </w:r>
            <w:r w:rsidR="008F1B0B">
              <w:rPr>
                <w:rFonts w:ascii="Cambria" w:hAnsi="Cambria" w:cs="Calibri"/>
                <w:sz w:val="20"/>
                <w:szCs w:val="20"/>
                <w:lang w:val="es-ES"/>
              </w:rPr>
              <w:t>/0</w:t>
            </w:r>
            <w:r w:rsidR="003E09B5">
              <w:rPr>
                <w:rFonts w:ascii="Cambria" w:hAnsi="Cambria" w:cs="Calibri"/>
                <w:sz w:val="20"/>
                <w:szCs w:val="20"/>
                <w:lang w:val="es-ES"/>
              </w:rPr>
              <w:t>9</w:t>
            </w:r>
            <w:r w:rsidR="008F1B0B">
              <w:rPr>
                <w:rFonts w:ascii="Cambria" w:hAnsi="Cambria" w:cs="Calibri"/>
                <w:sz w:val="20"/>
                <w:szCs w:val="20"/>
                <w:lang w:val="es-ES"/>
              </w:rPr>
              <w:t>/</w:t>
            </w:r>
            <w:r>
              <w:rPr>
                <w:rFonts w:ascii="Cambria" w:hAnsi="Cambria" w:cs="Calibri"/>
                <w:sz w:val="20"/>
                <w:szCs w:val="20"/>
                <w:lang w:val="es-ES"/>
              </w:rPr>
              <w:t>04</w:t>
            </w:r>
          </w:p>
        </w:tc>
        <w:tc>
          <w:tcPr>
            <w:tcW w:w="1774" w:type="dxa"/>
            <w:vAlign w:val="center"/>
          </w:tcPr>
          <w:p w14:paraId="074CF611" w14:textId="7456E4BA" w:rsidR="004416A4" w:rsidRDefault="003E09B5" w:rsidP="003E09B5">
            <w:pPr>
              <w:pBdr>
                <w:top w:val="none" w:sz="0" w:space="0" w:color="auto"/>
                <w:left w:val="none" w:sz="0" w:space="0" w:color="auto"/>
                <w:bottom w:val="none" w:sz="0" w:space="0" w:color="auto"/>
                <w:right w:val="none" w:sz="0" w:space="0" w:color="auto"/>
                <w:bar w:val="none" w:sz="0" w:color="auto"/>
              </w:pBdr>
              <w:jc w:val="center"/>
              <w:rPr>
                <w:rFonts w:ascii="Cambria" w:hAnsi="Cambria" w:cs="Calibri"/>
                <w:sz w:val="20"/>
                <w:szCs w:val="20"/>
                <w:lang w:val="es-ES"/>
              </w:rPr>
            </w:pPr>
            <w:r>
              <w:rPr>
                <w:rFonts w:ascii="Cambria" w:hAnsi="Cambria" w:cs="Calibri"/>
                <w:sz w:val="20"/>
                <w:szCs w:val="20"/>
                <w:lang w:val="es-ES"/>
              </w:rPr>
              <w:t>0</w:t>
            </w:r>
            <w:r w:rsidR="004416A4">
              <w:rPr>
                <w:rFonts w:ascii="Cambria" w:hAnsi="Cambria" w:cs="Calibri"/>
                <w:sz w:val="20"/>
                <w:szCs w:val="20"/>
                <w:lang w:val="es-ES"/>
              </w:rPr>
              <w:t>7</w:t>
            </w:r>
            <w:r>
              <w:rPr>
                <w:rFonts w:ascii="Cambria" w:hAnsi="Cambria" w:cs="Calibri"/>
                <w:sz w:val="20"/>
                <w:szCs w:val="20"/>
                <w:lang w:val="es-ES"/>
              </w:rPr>
              <w:t>/12/</w:t>
            </w:r>
            <w:r w:rsidR="004416A4">
              <w:rPr>
                <w:rFonts w:ascii="Cambria" w:hAnsi="Cambria" w:cs="Calibri"/>
                <w:sz w:val="20"/>
                <w:szCs w:val="20"/>
                <w:lang w:val="es-ES"/>
              </w:rPr>
              <w:t>04</w:t>
            </w:r>
          </w:p>
        </w:tc>
        <w:tc>
          <w:tcPr>
            <w:tcW w:w="1606" w:type="dxa"/>
            <w:vAlign w:val="center"/>
          </w:tcPr>
          <w:p w14:paraId="2E888C6B" w14:textId="0FF095E3" w:rsidR="004416A4" w:rsidRDefault="004416A4" w:rsidP="003E09B5">
            <w:pPr>
              <w:pBdr>
                <w:top w:val="none" w:sz="0" w:space="0" w:color="auto"/>
                <w:left w:val="none" w:sz="0" w:space="0" w:color="auto"/>
                <w:bottom w:val="none" w:sz="0" w:space="0" w:color="auto"/>
                <w:right w:val="none" w:sz="0" w:space="0" w:color="auto"/>
                <w:bar w:val="none" w:sz="0" w:color="auto"/>
              </w:pBdr>
              <w:jc w:val="center"/>
              <w:rPr>
                <w:rFonts w:ascii="Cambria" w:hAnsi="Cambria" w:cs="Calibri"/>
                <w:sz w:val="20"/>
                <w:szCs w:val="20"/>
                <w:lang w:val="es-ES"/>
              </w:rPr>
            </w:pPr>
            <w:r>
              <w:rPr>
                <w:rFonts w:ascii="Cambria" w:hAnsi="Cambria" w:cs="Calibri"/>
                <w:sz w:val="20"/>
                <w:szCs w:val="20"/>
                <w:lang w:val="es-ES"/>
              </w:rPr>
              <w:t>22</w:t>
            </w:r>
            <w:r w:rsidR="003E09B5">
              <w:rPr>
                <w:rFonts w:ascii="Cambria" w:hAnsi="Cambria" w:cs="Calibri"/>
                <w:sz w:val="20"/>
                <w:szCs w:val="20"/>
                <w:lang w:val="es-ES"/>
              </w:rPr>
              <w:t>/02/</w:t>
            </w:r>
            <w:r>
              <w:rPr>
                <w:rFonts w:ascii="Cambria" w:hAnsi="Cambria" w:cs="Calibri"/>
                <w:sz w:val="20"/>
                <w:szCs w:val="20"/>
                <w:lang w:val="es-ES"/>
              </w:rPr>
              <w:t>05</w:t>
            </w:r>
          </w:p>
        </w:tc>
        <w:tc>
          <w:tcPr>
            <w:tcW w:w="1585" w:type="dxa"/>
            <w:vAlign w:val="center"/>
          </w:tcPr>
          <w:p w14:paraId="477FBF16" w14:textId="5B13E5E6" w:rsidR="004416A4" w:rsidRDefault="003E09B5" w:rsidP="003E09B5">
            <w:pPr>
              <w:pBdr>
                <w:top w:val="none" w:sz="0" w:space="0" w:color="auto"/>
                <w:left w:val="none" w:sz="0" w:space="0" w:color="auto"/>
                <w:bottom w:val="none" w:sz="0" w:space="0" w:color="auto"/>
                <w:right w:val="none" w:sz="0" w:space="0" w:color="auto"/>
                <w:bar w:val="none" w:sz="0" w:color="auto"/>
              </w:pBdr>
              <w:jc w:val="center"/>
              <w:rPr>
                <w:rFonts w:ascii="Cambria" w:hAnsi="Cambria" w:cs="Calibri"/>
                <w:sz w:val="20"/>
                <w:szCs w:val="20"/>
                <w:lang w:val="es-ES"/>
              </w:rPr>
            </w:pPr>
            <w:r>
              <w:rPr>
                <w:rFonts w:ascii="Cambria" w:hAnsi="Cambria" w:cs="Calibri"/>
                <w:sz w:val="20"/>
                <w:szCs w:val="20"/>
                <w:lang w:val="es-ES"/>
              </w:rPr>
              <w:t>0</w:t>
            </w:r>
            <w:r w:rsidR="004416A4">
              <w:rPr>
                <w:rFonts w:ascii="Cambria" w:hAnsi="Cambria" w:cs="Calibri"/>
                <w:sz w:val="20"/>
                <w:szCs w:val="20"/>
                <w:lang w:val="es-ES"/>
              </w:rPr>
              <w:t>3</w:t>
            </w:r>
            <w:r>
              <w:rPr>
                <w:rFonts w:ascii="Cambria" w:hAnsi="Cambria" w:cs="Calibri"/>
                <w:sz w:val="20"/>
                <w:szCs w:val="20"/>
                <w:lang w:val="es-ES"/>
              </w:rPr>
              <w:t>/10/</w:t>
            </w:r>
            <w:r w:rsidR="004416A4">
              <w:rPr>
                <w:rFonts w:ascii="Cambria" w:hAnsi="Cambria" w:cs="Calibri"/>
                <w:sz w:val="20"/>
                <w:szCs w:val="20"/>
                <w:lang w:val="es-ES"/>
              </w:rPr>
              <w:t>06</w:t>
            </w:r>
          </w:p>
        </w:tc>
      </w:tr>
      <w:tr w:rsidR="003E09B5" w14:paraId="1B935CF4" w14:textId="77777777" w:rsidTr="003E09B5">
        <w:tc>
          <w:tcPr>
            <w:tcW w:w="3045" w:type="dxa"/>
          </w:tcPr>
          <w:p w14:paraId="4817B93A" w14:textId="1E8BA0C4" w:rsidR="004416A4" w:rsidRDefault="004416A4" w:rsidP="00974491">
            <w:pPr>
              <w:pBdr>
                <w:top w:val="none" w:sz="0" w:space="0" w:color="auto"/>
                <w:left w:val="none" w:sz="0" w:space="0" w:color="auto"/>
                <w:bottom w:val="none" w:sz="0" w:space="0" w:color="auto"/>
                <w:right w:val="none" w:sz="0" w:space="0" w:color="auto"/>
                <w:bar w:val="none" w:sz="0" w:color="auto"/>
              </w:pBdr>
              <w:rPr>
                <w:rFonts w:ascii="Cambria" w:hAnsi="Cambria" w:cs="Calibri"/>
                <w:sz w:val="20"/>
                <w:szCs w:val="20"/>
                <w:lang w:val="es-ES"/>
              </w:rPr>
            </w:pPr>
            <w:r>
              <w:rPr>
                <w:rFonts w:ascii="Cambria" w:hAnsi="Cambria" w:cs="Calibri"/>
                <w:sz w:val="20"/>
                <w:szCs w:val="20"/>
                <w:lang w:val="es-ES"/>
              </w:rPr>
              <w:t xml:space="preserve">3. </w:t>
            </w:r>
            <w:r w:rsidR="00D96F50">
              <w:rPr>
                <w:rFonts w:ascii="Cambria" w:hAnsi="Cambria" w:cs="Calibri"/>
                <w:sz w:val="20"/>
                <w:szCs w:val="20"/>
                <w:lang w:val="es-ES"/>
              </w:rPr>
              <w:t xml:space="preserve">Marcelo Alejandro </w:t>
            </w:r>
            <w:proofErr w:type="spellStart"/>
            <w:r w:rsidR="00D96F50">
              <w:rPr>
                <w:rFonts w:ascii="Cambria" w:hAnsi="Cambria" w:cs="Calibri"/>
                <w:sz w:val="20"/>
                <w:szCs w:val="20"/>
                <w:lang w:val="es-ES"/>
              </w:rPr>
              <w:t>Maydana</w:t>
            </w:r>
            <w:proofErr w:type="spellEnd"/>
          </w:p>
        </w:tc>
        <w:tc>
          <w:tcPr>
            <w:tcW w:w="1785" w:type="dxa"/>
            <w:vAlign w:val="center"/>
          </w:tcPr>
          <w:p w14:paraId="5129B62B" w14:textId="103F438C" w:rsidR="004416A4" w:rsidRDefault="00D96F50" w:rsidP="008F1B0B">
            <w:pPr>
              <w:pBdr>
                <w:top w:val="none" w:sz="0" w:space="0" w:color="auto"/>
                <w:left w:val="none" w:sz="0" w:space="0" w:color="auto"/>
                <w:bottom w:val="none" w:sz="0" w:space="0" w:color="auto"/>
                <w:right w:val="none" w:sz="0" w:space="0" w:color="auto"/>
                <w:bar w:val="none" w:sz="0" w:color="auto"/>
              </w:pBdr>
              <w:jc w:val="center"/>
              <w:rPr>
                <w:rFonts w:ascii="Cambria" w:hAnsi="Cambria" w:cs="Calibri"/>
                <w:sz w:val="20"/>
                <w:szCs w:val="20"/>
                <w:lang w:val="es-ES"/>
              </w:rPr>
            </w:pPr>
            <w:r>
              <w:rPr>
                <w:rFonts w:ascii="Cambria" w:hAnsi="Cambria" w:cs="Calibri"/>
                <w:sz w:val="20"/>
                <w:szCs w:val="20"/>
                <w:lang w:val="es-ES"/>
              </w:rPr>
              <w:t>11</w:t>
            </w:r>
            <w:r w:rsidR="008F1B0B">
              <w:rPr>
                <w:rFonts w:ascii="Cambria" w:hAnsi="Cambria" w:cs="Calibri"/>
                <w:sz w:val="20"/>
                <w:szCs w:val="20"/>
                <w:lang w:val="es-ES"/>
              </w:rPr>
              <w:t>/05/</w:t>
            </w:r>
            <w:r>
              <w:rPr>
                <w:rFonts w:ascii="Cambria" w:hAnsi="Cambria" w:cs="Calibri"/>
                <w:sz w:val="20"/>
                <w:szCs w:val="20"/>
                <w:lang w:val="es-ES"/>
              </w:rPr>
              <w:t>04</w:t>
            </w:r>
          </w:p>
        </w:tc>
        <w:tc>
          <w:tcPr>
            <w:tcW w:w="1774" w:type="dxa"/>
            <w:vAlign w:val="center"/>
          </w:tcPr>
          <w:p w14:paraId="483E7021" w14:textId="1807D080" w:rsidR="004416A4" w:rsidRDefault="003E09B5" w:rsidP="003E09B5">
            <w:pPr>
              <w:pBdr>
                <w:top w:val="none" w:sz="0" w:space="0" w:color="auto"/>
                <w:left w:val="none" w:sz="0" w:space="0" w:color="auto"/>
                <w:bottom w:val="none" w:sz="0" w:space="0" w:color="auto"/>
                <w:right w:val="none" w:sz="0" w:space="0" w:color="auto"/>
                <w:bar w:val="none" w:sz="0" w:color="auto"/>
              </w:pBdr>
              <w:jc w:val="center"/>
              <w:rPr>
                <w:rFonts w:ascii="Cambria" w:hAnsi="Cambria" w:cs="Calibri"/>
                <w:sz w:val="20"/>
                <w:szCs w:val="20"/>
                <w:lang w:val="es-ES"/>
              </w:rPr>
            </w:pPr>
            <w:r>
              <w:rPr>
                <w:rFonts w:ascii="Cambria" w:hAnsi="Cambria" w:cs="Calibri"/>
                <w:sz w:val="20"/>
                <w:szCs w:val="20"/>
                <w:lang w:val="es-ES"/>
              </w:rPr>
              <w:t>0</w:t>
            </w:r>
            <w:r w:rsidR="00D96F50">
              <w:rPr>
                <w:rFonts w:ascii="Cambria" w:hAnsi="Cambria" w:cs="Calibri"/>
                <w:sz w:val="20"/>
                <w:szCs w:val="20"/>
                <w:lang w:val="es-ES"/>
              </w:rPr>
              <w:t>9</w:t>
            </w:r>
            <w:r>
              <w:rPr>
                <w:rFonts w:ascii="Cambria" w:hAnsi="Cambria" w:cs="Calibri"/>
                <w:sz w:val="20"/>
                <w:szCs w:val="20"/>
                <w:lang w:val="es-ES"/>
              </w:rPr>
              <w:t>/03/</w:t>
            </w:r>
            <w:r w:rsidR="00D96F50">
              <w:rPr>
                <w:rFonts w:ascii="Cambria" w:hAnsi="Cambria" w:cs="Calibri"/>
                <w:sz w:val="20"/>
                <w:szCs w:val="20"/>
                <w:lang w:val="es-ES"/>
              </w:rPr>
              <w:t>05</w:t>
            </w:r>
          </w:p>
        </w:tc>
        <w:tc>
          <w:tcPr>
            <w:tcW w:w="1606" w:type="dxa"/>
            <w:vAlign w:val="center"/>
          </w:tcPr>
          <w:p w14:paraId="1E607A08" w14:textId="260449D5" w:rsidR="004416A4" w:rsidRDefault="00D96F50" w:rsidP="003E09B5">
            <w:pPr>
              <w:pBdr>
                <w:top w:val="none" w:sz="0" w:space="0" w:color="auto"/>
                <w:left w:val="none" w:sz="0" w:space="0" w:color="auto"/>
                <w:bottom w:val="none" w:sz="0" w:space="0" w:color="auto"/>
                <w:right w:val="none" w:sz="0" w:space="0" w:color="auto"/>
                <w:bar w:val="none" w:sz="0" w:color="auto"/>
              </w:pBdr>
              <w:jc w:val="center"/>
              <w:rPr>
                <w:rFonts w:ascii="Cambria" w:hAnsi="Cambria" w:cs="Calibri"/>
                <w:sz w:val="20"/>
                <w:szCs w:val="20"/>
                <w:lang w:val="es-ES"/>
              </w:rPr>
            </w:pPr>
            <w:r>
              <w:rPr>
                <w:rFonts w:ascii="Cambria" w:hAnsi="Cambria" w:cs="Calibri"/>
                <w:sz w:val="20"/>
                <w:szCs w:val="20"/>
                <w:lang w:val="es-ES"/>
              </w:rPr>
              <w:t>12</w:t>
            </w:r>
            <w:r w:rsidR="003E09B5">
              <w:rPr>
                <w:rFonts w:ascii="Cambria" w:hAnsi="Cambria" w:cs="Calibri"/>
                <w:sz w:val="20"/>
                <w:szCs w:val="20"/>
                <w:lang w:val="es-ES"/>
              </w:rPr>
              <w:t>/05/</w:t>
            </w:r>
            <w:r>
              <w:rPr>
                <w:rFonts w:ascii="Cambria" w:hAnsi="Cambria" w:cs="Calibri"/>
                <w:sz w:val="20"/>
                <w:szCs w:val="20"/>
                <w:lang w:val="es-ES"/>
              </w:rPr>
              <w:t>05</w:t>
            </w:r>
          </w:p>
        </w:tc>
        <w:tc>
          <w:tcPr>
            <w:tcW w:w="1585" w:type="dxa"/>
            <w:vAlign w:val="center"/>
          </w:tcPr>
          <w:p w14:paraId="763648CA" w14:textId="4A797BC8" w:rsidR="004416A4" w:rsidRDefault="00D96F50" w:rsidP="003E09B5">
            <w:pPr>
              <w:pBdr>
                <w:top w:val="none" w:sz="0" w:space="0" w:color="auto"/>
                <w:left w:val="none" w:sz="0" w:space="0" w:color="auto"/>
                <w:bottom w:val="none" w:sz="0" w:space="0" w:color="auto"/>
                <w:right w:val="none" w:sz="0" w:space="0" w:color="auto"/>
                <w:bar w:val="none" w:sz="0" w:color="auto"/>
              </w:pBdr>
              <w:jc w:val="center"/>
              <w:rPr>
                <w:rFonts w:ascii="Cambria" w:hAnsi="Cambria" w:cs="Calibri"/>
                <w:sz w:val="20"/>
                <w:szCs w:val="20"/>
                <w:lang w:val="es-ES"/>
              </w:rPr>
            </w:pPr>
            <w:r>
              <w:rPr>
                <w:rFonts w:ascii="Cambria" w:hAnsi="Cambria" w:cs="Calibri"/>
                <w:sz w:val="20"/>
                <w:szCs w:val="20"/>
                <w:lang w:val="es-ES"/>
              </w:rPr>
              <w:t>29</w:t>
            </w:r>
            <w:r w:rsidR="003E09B5">
              <w:rPr>
                <w:rFonts w:ascii="Cambria" w:hAnsi="Cambria" w:cs="Calibri"/>
                <w:sz w:val="20"/>
                <w:szCs w:val="20"/>
                <w:lang w:val="es-ES"/>
              </w:rPr>
              <w:t>/09/</w:t>
            </w:r>
            <w:r>
              <w:rPr>
                <w:rFonts w:ascii="Cambria" w:hAnsi="Cambria" w:cs="Calibri"/>
                <w:sz w:val="20"/>
                <w:szCs w:val="20"/>
                <w:lang w:val="es-ES"/>
              </w:rPr>
              <w:t>06</w:t>
            </w:r>
          </w:p>
        </w:tc>
      </w:tr>
      <w:tr w:rsidR="003E09B5" w14:paraId="299DFC41" w14:textId="77777777" w:rsidTr="003E09B5">
        <w:tc>
          <w:tcPr>
            <w:tcW w:w="3045" w:type="dxa"/>
          </w:tcPr>
          <w:p w14:paraId="7F61C1F2" w14:textId="75AE60D6" w:rsidR="004416A4" w:rsidRDefault="00D96F50" w:rsidP="00974491">
            <w:pPr>
              <w:pBdr>
                <w:top w:val="none" w:sz="0" w:space="0" w:color="auto"/>
                <w:left w:val="none" w:sz="0" w:space="0" w:color="auto"/>
                <w:bottom w:val="none" w:sz="0" w:space="0" w:color="auto"/>
                <w:right w:val="none" w:sz="0" w:space="0" w:color="auto"/>
                <w:bar w:val="none" w:sz="0" w:color="auto"/>
              </w:pBdr>
              <w:rPr>
                <w:rFonts w:ascii="Cambria" w:hAnsi="Cambria" w:cs="Calibri"/>
                <w:sz w:val="20"/>
                <w:szCs w:val="20"/>
                <w:lang w:val="es-ES"/>
              </w:rPr>
            </w:pPr>
            <w:r>
              <w:rPr>
                <w:rFonts w:ascii="Cambria" w:hAnsi="Cambria" w:cs="Calibri"/>
                <w:sz w:val="20"/>
                <w:szCs w:val="20"/>
                <w:lang w:val="es-ES"/>
              </w:rPr>
              <w:t xml:space="preserve">4. </w:t>
            </w:r>
            <w:r w:rsidR="00EF64D7">
              <w:rPr>
                <w:rFonts w:ascii="Cambria" w:hAnsi="Cambria" w:cs="Calibri"/>
                <w:sz w:val="20"/>
                <w:szCs w:val="20"/>
                <w:lang w:val="es-ES"/>
              </w:rPr>
              <w:t xml:space="preserve">Luis Alberto </w:t>
            </w:r>
            <w:proofErr w:type="spellStart"/>
            <w:r w:rsidR="00EF64D7">
              <w:rPr>
                <w:rFonts w:ascii="Cambria" w:hAnsi="Cambria" w:cs="Calibri"/>
                <w:sz w:val="20"/>
                <w:szCs w:val="20"/>
                <w:lang w:val="es-ES"/>
              </w:rPr>
              <w:t>Urquijo</w:t>
            </w:r>
            <w:proofErr w:type="spellEnd"/>
            <w:r w:rsidR="00EF64D7">
              <w:rPr>
                <w:rFonts w:ascii="Cambria" w:hAnsi="Cambria" w:cs="Calibri"/>
                <w:sz w:val="20"/>
                <w:szCs w:val="20"/>
                <w:lang w:val="es-ES"/>
              </w:rPr>
              <w:t xml:space="preserve"> Estévez</w:t>
            </w:r>
          </w:p>
        </w:tc>
        <w:tc>
          <w:tcPr>
            <w:tcW w:w="1785" w:type="dxa"/>
            <w:vAlign w:val="center"/>
          </w:tcPr>
          <w:p w14:paraId="645A61CA" w14:textId="042D2441" w:rsidR="004416A4" w:rsidRDefault="00EF64D7" w:rsidP="008F1B0B">
            <w:pPr>
              <w:pBdr>
                <w:top w:val="none" w:sz="0" w:space="0" w:color="auto"/>
                <w:left w:val="none" w:sz="0" w:space="0" w:color="auto"/>
                <w:bottom w:val="none" w:sz="0" w:space="0" w:color="auto"/>
                <w:right w:val="none" w:sz="0" w:space="0" w:color="auto"/>
                <w:bar w:val="none" w:sz="0" w:color="auto"/>
              </w:pBdr>
              <w:jc w:val="center"/>
              <w:rPr>
                <w:rFonts w:ascii="Cambria" w:hAnsi="Cambria" w:cs="Calibri"/>
                <w:sz w:val="20"/>
                <w:szCs w:val="20"/>
                <w:lang w:val="es-ES"/>
              </w:rPr>
            </w:pPr>
            <w:r>
              <w:rPr>
                <w:rFonts w:ascii="Cambria" w:hAnsi="Cambria" w:cs="Calibri"/>
                <w:sz w:val="20"/>
                <w:szCs w:val="20"/>
                <w:lang w:val="es-ES"/>
              </w:rPr>
              <w:t>15</w:t>
            </w:r>
            <w:r w:rsidR="008F1B0B">
              <w:rPr>
                <w:rFonts w:ascii="Cambria" w:hAnsi="Cambria" w:cs="Calibri"/>
                <w:sz w:val="20"/>
                <w:szCs w:val="20"/>
                <w:lang w:val="es-ES"/>
              </w:rPr>
              <w:t>/12/</w:t>
            </w:r>
            <w:r>
              <w:rPr>
                <w:rFonts w:ascii="Cambria" w:hAnsi="Cambria" w:cs="Calibri"/>
                <w:sz w:val="20"/>
                <w:szCs w:val="20"/>
                <w:lang w:val="es-ES"/>
              </w:rPr>
              <w:t>04</w:t>
            </w:r>
          </w:p>
        </w:tc>
        <w:tc>
          <w:tcPr>
            <w:tcW w:w="1774" w:type="dxa"/>
            <w:vAlign w:val="center"/>
          </w:tcPr>
          <w:p w14:paraId="7A666C67" w14:textId="3FB7E184" w:rsidR="004416A4" w:rsidRDefault="00EF64D7" w:rsidP="003E09B5">
            <w:pPr>
              <w:pBdr>
                <w:top w:val="none" w:sz="0" w:space="0" w:color="auto"/>
                <w:left w:val="none" w:sz="0" w:space="0" w:color="auto"/>
                <w:bottom w:val="none" w:sz="0" w:space="0" w:color="auto"/>
                <w:right w:val="none" w:sz="0" w:space="0" w:color="auto"/>
                <w:bar w:val="none" w:sz="0" w:color="auto"/>
              </w:pBdr>
              <w:jc w:val="center"/>
              <w:rPr>
                <w:rFonts w:ascii="Cambria" w:hAnsi="Cambria" w:cs="Calibri"/>
                <w:sz w:val="20"/>
                <w:szCs w:val="20"/>
                <w:lang w:val="es-ES"/>
              </w:rPr>
            </w:pPr>
            <w:r>
              <w:rPr>
                <w:rFonts w:ascii="Cambria" w:hAnsi="Cambria" w:cs="Calibri"/>
                <w:sz w:val="20"/>
                <w:szCs w:val="20"/>
                <w:lang w:val="es-ES"/>
              </w:rPr>
              <w:t>22</w:t>
            </w:r>
            <w:r w:rsidR="003E09B5">
              <w:rPr>
                <w:rFonts w:ascii="Cambria" w:hAnsi="Cambria" w:cs="Calibri"/>
                <w:sz w:val="20"/>
                <w:szCs w:val="20"/>
                <w:lang w:val="es-ES"/>
              </w:rPr>
              <w:t>/06/</w:t>
            </w:r>
            <w:r>
              <w:rPr>
                <w:rFonts w:ascii="Cambria" w:hAnsi="Cambria" w:cs="Calibri"/>
                <w:sz w:val="20"/>
                <w:szCs w:val="20"/>
                <w:lang w:val="es-ES"/>
              </w:rPr>
              <w:t>05</w:t>
            </w:r>
          </w:p>
        </w:tc>
        <w:tc>
          <w:tcPr>
            <w:tcW w:w="1606" w:type="dxa"/>
            <w:vAlign w:val="center"/>
          </w:tcPr>
          <w:p w14:paraId="4659AC72" w14:textId="491788EE" w:rsidR="004416A4" w:rsidRDefault="00EF64D7" w:rsidP="003E09B5">
            <w:pPr>
              <w:pBdr>
                <w:top w:val="none" w:sz="0" w:space="0" w:color="auto"/>
                <w:left w:val="none" w:sz="0" w:space="0" w:color="auto"/>
                <w:bottom w:val="none" w:sz="0" w:space="0" w:color="auto"/>
                <w:right w:val="none" w:sz="0" w:space="0" w:color="auto"/>
                <w:bar w:val="none" w:sz="0" w:color="auto"/>
              </w:pBdr>
              <w:jc w:val="center"/>
              <w:rPr>
                <w:rFonts w:ascii="Cambria" w:hAnsi="Cambria" w:cs="Calibri"/>
                <w:sz w:val="20"/>
                <w:szCs w:val="20"/>
                <w:lang w:val="es-ES"/>
              </w:rPr>
            </w:pPr>
            <w:r>
              <w:rPr>
                <w:rFonts w:ascii="Cambria" w:hAnsi="Cambria" w:cs="Calibri"/>
                <w:sz w:val="20"/>
                <w:szCs w:val="20"/>
                <w:lang w:val="es-ES"/>
              </w:rPr>
              <w:t>29</w:t>
            </w:r>
            <w:r w:rsidR="003E09B5">
              <w:rPr>
                <w:rFonts w:ascii="Cambria" w:hAnsi="Cambria" w:cs="Calibri"/>
                <w:sz w:val="20"/>
                <w:szCs w:val="20"/>
                <w:lang w:val="es-ES"/>
              </w:rPr>
              <w:t>/08/</w:t>
            </w:r>
            <w:r>
              <w:rPr>
                <w:rFonts w:ascii="Cambria" w:hAnsi="Cambria" w:cs="Calibri"/>
                <w:sz w:val="20"/>
                <w:szCs w:val="20"/>
                <w:lang w:val="es-ES"/>
              </w:rPr>
              <w:t>05</w:t>
            </w:r>
          </w:p>
        </w:tc>
        <w:tc>
          <w:tcPr>
            <w:tcW w:w="1585" w:type="dxa"/>
            <w:vAlign w:val="center"/>
          </w:tcPr>
          <w:p w14:paraId="79396328" w14:textId="6522291E" w:rsidR="004416A4" w:rsidRDefault="00EF64D7" w:rsidP="003E09B5">
            <w:pPr>
              <w:pBdr>
                <w:top w:val="none" w:sz="0" w:space="0" w:color="auto"/>
                <w:left w:val="none" w:sz="0" w:space="0" w:color="auto"/>
                <w:bottom w:val="none" w:sz="0" w:space="0" w:color="auto"/>
                <w:right w:val="none" w:sz="0" w:space="0" w:color="auto"/>
                <w:bar w:val="none" w:sz="0" w:color="auto"/>
              </w:pBdr>
              <w:jc w:val="center"/>
              <w:rPr>
                <w:rFonts w:ascii="Cambria" w:hAnsi="Cambria" w:cs="Calibri"/>
                <w:sz w:val="20"/>
                <w:szCs w:val="20"/>
                <w:lang w:val="es-ES"/>
              </w:rPr>
            </w:pPr>
            <w:r>
              <w:rPr>
                <w:rFonts w:ascii="Cambria" w:hAnsi="Cambria" w:cs="Calibri"/>
                <w:sz w:val="20"/>
                <w:szCs w:val="20"/>
                <w:lang w:val="es-ES"/>
              </w:rPr>
              <w:t>24</w:t>
            </w:r>
            <w:r w:rsidR="003E09B5">
              <w:rPr>
                <w:rFonts w:ascii="Cambria" w:hAnsi="Cambria" w:cs="Calibri"/>
                <w:sz w:val="20"/>
                <w:szCs w:val="20"/>
                <w:lang w:val="es-ES"/>
              </w:rPr>
              <w:t>/10/</w:t>
            </w:r>
            <w:r>
              <w:rPr>
                <w:rFonts w:ascii="Cambria" w:hAnsi="Cambria" w:cs="Calibri"/>
                <w:sz w:val="20"/>
                <w:szCs w:val="20"/>
                <w:lang w:val="es-ES"/>
              </w:rPr>
              <w:t>06</w:t>
            </w:r>
          </w:p>
        </w:tc>
      </w:tr>
      <w:tr w:rsidR="003E09B5" w14:paraId="736E9ADA" w14:textId="77777777" w:rsidTr="003E09B5">
        <w:tc>
          <w:tcPr>
            <w:tcW w:w="3045" w:type="dxa"/>
          </w:tcPr>
          <w:p w14:paraId="2CE313DE" w14:textId="2AD57F54" w:rsidR="004416A4" w:rsidRDefault="00EF64D7" w:rsidP="00974491">
            <w:pPr>
              <w:pBdr>
                <w:top w:val="none" w:sz="0" w:space="0" w:color="auto"/>
                <w:left w:val="none" w:sz="0" w:space="0" w:color="auto"/>
                <w:bottom w:val="none" w:sz="0" w:space="0" w:color="auto"/>
                <w:right w:val="none" w:sz="0" w:space="0" w:color="auto"/>
                <w:bar w:val="none" w:sz="0" w:color="auto"/>
              </w:pBdr>
              <w:rPr>
                <w:rFonts w:ascii="Cambria" w:hAnsi="Cambria" w:cs="Calibri"/>
                <w:sz w:val="20"/>
                <w:szCs w:val="20"/>
                <w:lang w:val="es-ES"/>
              </w:rPr>
            </w:pPr>
            <w:r>
              <w:rPr>
                <w:rFonts w:ascii="Cambria" w:hAnsi="Cambria" w:cs="Calibri"/>
                <w:sz w:val="20"/>
                <w:szCs w:val="20"/>
                <w:lang w:val="es-ES"/>
              </w:rPr>
              <w:t>5. José Manuel Verón</w:t>
            </w:r>
          </w:p>
        </w:tc>
        <w:tc>
          <w:tcPr>
            <w:tcW w:w="1785" w:type="dxa"/>
            <w:vAlign w:val="center"/>
          </w:tcPr>
          <w:p w14:paraId="1E7E05B7" w14:textId="7BC0CD9A" w:rsidR="004416A4" w:rsidRDefault="00EF64D7" w:rsidP="008F1B0B">
            <w:pPr>
              <w:pBdr>
                <w:top w:val="none" w:sz="0" w:space="0" w:color="auto"/>
                <w:left w:val="none" w:sz="0" w:space="0" w:color="auto"/>
                <w:bottom w:val="none" w:sz="0" w:space="0" w:color="auto"/>
                <w:right w:val="none" w:sz="0" w:space="0" w:color="auto"/>
                <w:bar w:val="none" w:sz="0" w:color="auto"/>
              </w:pBdr>
              <w:jc w:val="center"/>
              <w:rPr>
                <w:rFonts w:ascii="Cambria" w:hAnsi="Cambria" w:cs="Calibri"/>
                <w:sz w:val="20"/>
                <w:szCs w:val="20"/>
                <w:lang w:val="es-ES"/>
              </w:rPr>
            </w:pPr>
            <w:r>
              <w:rPr>
                <w:rFonts w:ascii="Cambria" w:hAnsi="Cambria" w:cs="Calibri"/>
                <w:sz w:val="20"/>
                <w:szCs w:val="20"/>
                <w:lang w:val="es-ES"/>
              </w:rPr>
              <w:t>13</w:t>
            </w:r>
            <w:r w:rsidR="008F1B0B">
              <w:rPr>
                <w:rFonts w:ascii="Cambria" w:hAnsi="Cambria" w:cs="Calibri"/>
                <w:sz w:val="20"/>
                <w:szCs w:val="20"/>
                <w:lang w:val="es-ES"/>
              </w:rPr>
              <w:t>/12/</w:t>
            </w:r>
            <w:r>
              <w:rPr>
                <w:rFonts w:ascii="Cambria" w:hAnsi="Cambria" w:cs="Calibri"/>
                <w:sz w:val="20"/>
                <w:szCs w:val="20"/>
                <w:lang w:val="es-ES"/>
              </w:rPr>
              <w:t>04</w:t>
            </w:r>
          </w:p>
        </w:tc>
        <w:tc>
          <w:tcPr>
            <w:tcW w:w="1774" w:type="dxa"/>
            <w:vAlign w:val="center"/>
          </w:tcPr>
          <w:p w14:paraId="63ADFDB1" w14:textId="10D23400" w:rsidR="004416A4" w:rsidRDefault="00EF64D7" w:rsidP="003E09B5">
            <w:pPr>
              <w:pBdr>
                <w:top w:val="none" w:sz="0" w:space="0" w:color="auto"/>
                <w:left w:val="none" w:sz="0" w:space="0" w:color="auto"/>
                <w:bottom w:val="none" w:sz="0" w:space="0" w:color="auto"/>
                <w:right w:val="none" w:sz="0" w:space="0" w:color="auto"/>
                <w:bar w:val="none" w:sz="0" w:color="auto"/>
              </w:pBdr>
              <w:jc w:val="center"/>
              <w:rPr>
                <w:rFonts w:ascii="Cambria" w:hAnsi="Cambria" w:cs="Calibri"/>
                <w:sz w:val="20"/>
                <w:szCs w:val="20"/>
                <w:lang w:val="es-ES"/>
              </w:rPr>
            </w:pPr>
            <w:r>
              <w:rPr>
                <w:rFonts w:ascii="Cambria" w:hAnsi="Cambria" w:cs="Calibri"/>
                <w:sz w:val="20"/>
                <w:szCs w:val="20"/>
                <w:lang w:val="es-ES"/>
              </w:rPr>
              <w:t>16</w:t>
            </w:r>
            <w:r w:rsidR="003E09B5">
              <w:rPr>
                <w:rFonts w:ascii="Cambria" w:hAnsi="Cambria" w:cs="Calibri"/>
                <w:sz w:val="20"/>
                <w:szCs w:val="20"/>
                <w:lang w:val="es-ES"/>
              </w:rPr>
              <w:t>/06/</w:t>
            </w:r>
            <w:r>
              <w:rPr>
                <w:rFonts w:ascii="Cambria" w:hAnsi="Cambria" w:cs="Calibri"/>
                <w:sz w:val="20"/>
                <w:szCs w:val="20"/>
                <w:lang w:val="es-ES"/>
              </w:rPr>
              <w:t>05</w:t>
            </w:r>
          </w:p>
        </w:tc>
        <w:tc>
          <w:tcPr>
            <w:tcW w:w="1606" w:type="dxa"/>
            <w:vAlign w:val="center"/>
          </w:tcPr>
          <w:p w14:paraId="24EA62B1" w14:textId="724E3C62" w:rsidR="004416A4" w:rsidRDefault="00EF64D7" w:rsidP="003E09B5">
            <w:pPr>
              <w:pBdr>
                <w:top w:val="none" w:sz="0" w:space="0" w:color="auto"/>
                <w:left w:val="none" w:sz="0" w:space="0" w:color="auto"/>
                <w:bottom w:val="none" w:sz="0" w:space="0" w:color="auto"/>
                <w:right w:val="none" w:sz="0" w:space="0" w:color="auto"/>
                <w:bar w:val="none" w:sz="0" w:color="auto"/>
              </w:pBdr>
              <w:jc w:val="center"/>
              <w:rPr>
                <w:rFonts w:ascii="Cambria" w:hAnsi="Cambria" w:cs="Calibri"/>
                <w:sz w:val="20"/>
                <w:szCs w:val="20"/>
                <w:lang w:val="es-ES"/>
              </w:rPr>
            </w:pPr>
            <w:r>
              <w:rPr>
                <w:rFonts w:ascii="Cambria" w:hAnsi="Cambria" w:cs="Calibri"/>
                <w:sz w:val="20"/>
                <w:szCs w:val="20"/>
                <w:lang w:val="es-ES"/>
              </w:rPr>
              <w:t>30</w:t>
            </w:r>
            <w:r w:rsidR="003E09B5">
              <w:rPr>
                <w:rFonts w:ascii="Cambria" w:hAnsi="Cambria" w:cs="Calibri"/>
                <w:sz w:val="20"/>
                <w:szCs w:val="20"/>
                <w:lang w:val="es-ES"/>
              </w:rPr>
              <w:t>/08/</w:t>
            </w:r>
            <w:r>
              <w:rPr>
                <w:rFonts w:ascii="Cambria" w:hAnsi="Cambria" w:cs="Calibri"/>
                <w:sz w:val="20"/>
                <w:szCs w:val="20"/>
                <w:lang w:val="es-ES"/>
              </w:rPr>
              <w:t>05</w:t>
            </w:r>
          </w:p>
        </w:tc>
        <w:tc>
          <w:tcPr>
            <w:tcW w:w="1585" w:type="dxa"/>
            <w:vAlign w:val="center"/>
          </w:tcPr>
          <w:p w14:paraId="4ED8EFA6" w14:textId="3ADB7CAC" w:rsidR="004416A4" w:rsidRDefault="00EF64D7" w:rsidP="003E09B5">
            <w:pPr>
              <w:pBdr>
                <w:top w:val="none" w:sz="0" w:space="0" w:color="auto"/>
                <w:left w:val="none" w:sz="0" w:space="0" w:color="auto"/>
                <w:bottom w:val="none" w:sz="0" w:space="0" w:color="auto"/>
                <w:right w:val="none" w:sz="0" w:space="0" w:color="auto"/>
                <w:bar w:val="none" w:sz="0" w:color="auto"/>
              </w:pBdr>
              <w:jc w:val="center"/>
              <w:rPr>
                <w:rFonts w:ascii="Cambria" w:hAnsi="Cambria" w:cs="Calibri"/>
                <w:sz w:val="20"/>
                <w:szCs w:val="20"/>
                <w:lang w:val="es-ES"/>
              </w:rPr>
            </w:pPr>
            <w:r>
              <w:rPr>
                <w:rFonts w:ascii="Cambria" w:hAnsi="Cambria" w:cs="Calibri"/>
                <w:sz w:val="20"/>
                <w:szCs w:val="20"/>
                <w:lang w:val="es-ES"/>
              </w:rPr>
              <w:t>10</w:t>
            </w:r>
            <w:r w:rsidR="003E09B5">
              <w:rPr>
                <w:rFonts w:ascii="Cambria" w:hAnsi="Cambria" w:cs="Calibri"/>
                <w:sz w:val="20"/>
                <w:szCs w:val="20"/>
                <w:lang w:val="es-ES"/>
              </w:rPr>
              <w:t>/10/</w:t>
            </w:r>
            <w:r>
              <w:rPr>
                <w:rFonts w:ascii="Cambria" w:hAnsi="Cambria" w:cs="Calibri"/>
                <w:sz w:val="20"/>
                <w:szCs w:val="20"/>
                <w:lang w:val="es-ES"/>
              </w:rPr>
              <w:t>06</w:t>
            </w:r>
          </w:p>
        </w:tc>
      </w:tr>
      <w:tr w:rsidR="003E09B5" w14:paraId="088ECE97" w14:textId="77777777" w:rsidTr="003E09B5">
        <w:tc>
          <w:tcPr>
            <w:tcW w:w="3045" w:type="dxa"/>
          </w:tcPr>
          <w:p w14:paraId="75379E72" w14:textId="474CB4CD" w:rsidR="004416A4" w:rsidRDefault="00EF64D7" w:rsidP="00974491">
            <w:pPr>
              <w:pBdr>
                <w:top w:val="none" w:sz="0" w:space="0" w:color="auto"/>
                <w:left w:val="none" w:sz="0" w:space="0" w:color="auto"/>
                <w:bottom w:val="none" w:sz="0" w:space="0" w:color="auto"/>
                <w:right w:val="none" w:sz="0" w:space="0" w:color="auto"/>
                <w:bar w:val="none" w:sz="0" w:color="auto"/>
              </w:pBdr>
              <w:rPr>
                <w:rFonts w:ascii="Cambria" w:hAnsi="Cambria" w:cs="Calibri"/>
                <w:sz w:val="20"/>
                <w:szCs w:val="20"/>
                <w:lang w:val="es-ES"/>
              </w:rPr>
            </w:pPr>
            <w:r>
              <w:rPr>
                <w:rFonts w:ascii="Cambria" w:hAnsi="Cambria" w:cs="Calibri"/>
                <w:sz w:val="20"/>
                <w:szCs w:val="20"/>
                <w:lang w:val="es-ES"/>
              </w:rPr>
              <w:t>6. Diego Ezequiel de Dios</w:t>
            </w:r>
          </w:p>
        </w:tc>
        <w:tc>
          <w:tcPr>
            <w:tcW w:w="1785" w:type="dxa"/>
            <w:vAlign w:val="center"/>
          </w:tcPr>
          <w:p w14:paraId="71C661FD" w14:textId="290E07FB" w:rsidR="004416A4" w:rsidRDefault="008F1B0B" w:rsidP="008F1B0B">
            <w:pPr>
              <w:pBdr>
                <w:top w:val="none" w:sz="0" w:space="0" w:color="auto"/>
                <w:left w:val="none" w:sz="0" w:space="0" w:color="auto"/>
                <w:bottom w:val="none" w:sz="0" w:space="0" w:color="auto"/>
                <w:right w:val="none" w:sz="0" w:space="0" w:color="auto"/>
                <w:bar w:val="none" w:sz="0" w:color="auto"/>
              </w:pBdr>
              <w:jc w:val="center"/>
              <w:rPr>
                <w:rFonts w:ascii="Cambria" w:hAnsi="Cambria" w:cs="Calibri"/>
                <w:sz w:val="20"/>
                <w:szCs w:val="20"/>
                <w:lang w:val="es-ES"/>
              </w:rPr>
            </w:pPr>
            <w:r>
              <w:rPr>
                <w:rFonts w:ascii="Cambria" w:hAnsi="Cambria" w:cs="Calibri"/>
                <w:sz w:val="20"/>
                <w:szCs w:val="20"/>
                <w:lang w:val="es-ES"/>
              </w:rPr>
              <w:t>0</w:t>
            </w:r>
            <w:r w:rsidR="00EF64D7">
              <w:rPr>
                <w:rFonts w:ascii="Cambria" w:hAnsi="Cambria" w:cs="Calibri"/>
                <w:sz w:val="20"/>
                <w:szCs w:val="20"/>
                <w:lang w:val="es-ES"/>
              </w:rPr>
              <w:t>7</w:t>
            </w:r>
            <w:r>
              <w:rPr>
                <w:rFonts w:ascii="Cambria" w:hAnsi="Cambria" w:cs="Calibri"/>
                <w:sz w:val="20"/>
                <w:szCs w:val="20"/>
                <w:lang w:val="es-ES"/>
              </w:rPr>
              <w:t>/06/</w:t>
            </w:r>
            <w:r w:rsidR="00EF64D7">
              <w:rPr>
                <w:rFonts w:ascii="Cambria" w:hAnsi="Cambria" w:cs="Calibri"/>
                <w:sz w:val="20"/>
                <w:szCs w:val="20"/>
                <w:lang w:val="es-ES"/>
              </w:rPr>
              <w:t>04</w:t>
            </w:r>
          </w:p>
        </w:tc>
        <w:tc>
          <w:tcPr>
            <w:tcW w:w="1774" w:type="dxa"/>
            <w:vAlign w:val="center"/>
          </w:tcPr>
          <w:p w14:paraId="62AA1A5F" w14:textId="49335BDD" w:rsidR="004416A4" w:rsidRDefault="00EF64D7" w:rsidP="003E09B5">
            <w:pPr>
              <w:pBdr>
                <w:top w:val="none" w:sz="0" w:space="0" w:color="auto"/>
                <w:left w:val="none" w:sz="0" w:space="0" w:color="auto"/>
                <w:bottom w:val="none" w:sz="0" w:space="0" w:color="auto"/>
                <w:right w:val="none" w:sz="0" w:space="0" w:color="auto"/>
                <w:bar w:val="none" w:sz="0" w:color="auto"/>
              </w:pBdr>
              <w:jc w:val="center"/>
              <w:rPr>
                <w:rFonts w:ascii="Cambria" w:hAnsi="Cambria" w:cs="Calibri"/>
                <w:sz w:val="20"/>
                <w:szCs w:val="20"/>
                <w:lang w:val="es-ES"/>
              </w:rPr>
            </w:pPr>
            <w:r>
              <w:rPr>
                <w:rFonts w:ascii="Cambria" w:hAnsi="Cambria" w:cs="Calibri"/>
                <w:sz w:val="20"/>
                <w:szCs w:val="20"/>
                <w:lang w:val="es-ES"/>
              </w:rPr>
              <w:t>15</w:t>
            </w:r>
            <w:r w:rsidR="003E09B5">
              <w:rPr>
                <w:rFonts w:ascii="Cambria" w:hAnsi="Cambria" w:cs="Calibri"/>
                <w:sz w:val="20"/>
                <w:szCs w:val="20"/>
                <w:lang w:val="es-ES"/>
              </w:rPr>
              <w:t>/03/</w:t>
            </w:r>
            <w:r>
              <w:rPr>
                <w:rFonts w:ascii="Cambria" w:hAnsi="Cambria" w:cs="Calibri"/>
                <w:sz w:val="20"/>
                <w:szCs w:val="20"/>
                <w:lang w:val="es-ES"/>
              </w:rPr>
              <w:t>05</w:t>
            </w:r>
          </w:p>
        </w:tc>
        <w:tc>
          <w:tcPr>
            <w:tcW w:w="1606" w:type="dxa"/>
            <w:vAlign w:val="center"/>
          </w:tcPr>
          <w:p w14:paraId="32C2AB45" w14:textId="60518AE1" w:rsidR="004416A4" w:rsidRDefault="00EF64D7" w:rsidP="003E09B5">
            <w:pPr>
              <w:pBdr>
                <w:top w:val="none" w:sz="0" w:space="0" w:color="auto"/>
                <w:left w:val="none" w:sz="0" w:space="0" w:color="auto"/>
                <w:bottom w:val="none" w:sz="0" w:space="0" w:color="auto"/>
                <w:right w:val="none" w:sz="0" w:space="0" w:color="auto"/>
                <w:bar w:val="none" w:sz="0" w:color="auto"/>
              </w:pBdr>
              <w:jc w:val="center"/>
              <w:rPr>
                <w:rFonts w:ascii="Cambria" w:hAnsi="Cambria" w:cs="Calibri"/>
                <w:sz w:val="20"/>
                <w:szCs w:val="20"/>
                <w:lang w:val="es-ES"/>
              </w:rPr>
            </w:pPr>
            <w:r>
              <w:rPr>
                <w:rFonts w:ascii="Cambria" w:hAnsi="Cambria" w:cs="Calibri"/>
                <w:sz w:val="20"/>
                <w:szCs w:val="20"/>
                <w:lang w:val="es-ES"/>
              </w:rPr>
              <w:t>13</w:t>
            </w:r>
            <w:r w:rsidR="003E09B5">
              <w:rPr>
                <w:rFonts w:ascii="Cambria" w:hAnsi="Cambria" w:cs="Calibri"/>
                <w:sz w:val="20"/>
                <w:szCs w:val="20"/>
                <w:lang w:val="es-ES"/>
              </w:rPr>
              <w:t>/06/</w:t>
            </w:r>
            <w:r>
              <w:rPr>
                <w:rFonts w:ascii="Cambria" w:hAnsi="Cambria" w:cs="Calibri"/>
                <w:sz w:val="20"/>
                <w:szCs w:val="20"/>
                <w:lang w:val="es-ES"/>
              </w:rPr>
              <w:t>05</w:t>
            </w:r>
          </w:p>
        </w:tc>
        <w:tc>
          <w:tcPr>
            <w:tcW w:w="1585" w:type="dxa"/>
            <w:vAlign w:val="center"/>
          </w:tcPr>
          <w:p w14:paraId="71313A19" w14:textId="050C0626" w:rsidR="004416A4" w:rsidRDefault="003E09B5" w:rsidP="00065E01">
            <w:pPr>
              <w:pBdr>
                <w:top w:val="none" w:sz="0" w:space="0" w:color="auto"/>
                <w:left w:val="none" w:sz="0" w:space="0" w:color="auto"/>
                <w:bottom w:val="none" w:sz="0" w:space="0" w:color="auto"/>
                <w:right w:val="none" w:sz="0" w:space="0" w:color="auto"/>
                <w:bar w:val="none" w:sz="0" w:color="auto"/>
              </w:pBdr>
              <w:jc w:val="center"/>
              <w:rPr>
                <w:rFonts w:ascii="Cambria" w:hAnsi="Cambria" w:cs="Calibri"/>
                <w:sz w:val="20"/>
                <w:szCs w:val="20"/>
                <w:lang w:val="es-ES"/>
              </w:rPr>
            </w:pPr>
            <w:r>
              <w:rPr>
                <w:rFonts w:ascii="Cambria" w:hAnsi="Cambria" w:cs="Calibri"/>
                <w:sz w:val="20"/>
                <w:szCs w:val="20"/>
                <w:lang w:val="es-ES"/>
              </w:rPr>
              <w:t>10/10/06</w:t>
            </w:r>
          </w:p>
        </w:tc>
      </w:tr>
      <w:tr w:rsidR="003E09B5" w14:paraId="6C3905B8" w14:textId="77777777" w:rsidTr="003E09B5">
        <w:tc>
          <w:tcPr>
            <w:tcW w:w="3045" w:type="dxa"/>
          </w:tcPr>
          <w:p w14:paraId="699833EB" w14:textId="77456A32" w:rsidR="004416A4" w:rsidRDefault="00EF64D7" w:rsidP="00974491">
            <w:pPr>
              <w:pBdr>
                <w:top w:val="none" w:sz="0" w:space="0" w:color="auto"/>
                <w:left w:val="none" w:sz="0" w:space="0" w:color="auto"/>
                <w:bottom w:val="none" w:sz="0" w:space="0" w:color="auto"/>
                <w:right w:val="none" w:sz="0" w:space="0" w:color="auto"/>
                <w:bar w:val="none" w:sz="0" w:color="auto"/>
              </w:pBdr>
              <w:rPr>
                <w:rFonts w:ascii="Cambria" w:hAnsi="Cambria" w:cs="Calibri"/>
                <w:sz w:val="20"/>
                <w:szCs w:val="20"/>
                <w:lang w:val="es-ES"/>
              </w:rPr>
            </w:pPr>
            <w:r>
              <w:rPr>
                <w:rFonts w:ascii="Cambria" w:hAnsi="Cambria" w:cs="Calibri"/>
                <w:sz w:val="20"/>
                <w:szCs w:val="20"/>
                <w:lang w:val="es-ES"/>
              </w:rPr>
              <w:t xml:space="preserve">7. Ana María </w:t>
            </w:r>
            <w:proofErr w:type="spellStart"/>
            <w:r>
              <w:rPr>
                <w:rFonts w:ascii="Cambria" w:hAnsi="Cambria" w:cs="Calibri"/>
                <w:sz w:val="20"/>
                <w:szCs w:val="20"/>
                <w:lang w:val="es-ES"/>
              </w:rPr>
              <w:t>Mutti</w:t>
            </w:r>
            <w:proofErr w:type="spellEnd"/>
          </w:p>
        </w:tc>
        <w:tc>
          <w:tcPr>
            <w:tcW w:w="1785" w:type="dxa"/>
            <w:vAlign w:val="center"/>
          </w:tcPr>
          <w:p w14:paraId="0F0CC000" w14:textId="4CB0F5B1" w:rsidR="004416A4" w:rsidRDefault="00EF64D7" w:rsidP="008F1B0B">
            <w:pPr>
              <w:pBdr>
                <w:top w:val="none" w:sz="0" w:space="0" w:color="auto"/>
                <w:left w:val="none" w:sz="0" w:space="0" w:color="auto"/>
                <w:bottom w:val="none" w:sz="0" w:space="0" w:color="auto"/>
                <w:right w:val="none" w:sz="0" w:space="0" w:color="auto"/>
                <w:bar w:val="none" w:sz="0" w:color="auto"/>
              </w:pBdr>
              <w:jc w:val="center"/>
              <w:rPr>
                <w:rFonts w:ascii="Cambria" w:hAnsi="Cambria" w:cs="Calibri"/>
                <w:sz w:val="20"/>
                <w:szCs w:val="20"/>
                <w:lang w:val="es-ES"/>
              </w:rPr>
            </w:pPr>
            <w:r>
              <w:rPr>
                <w:rFonts w:ascii="Cambria" w:hAnsi="Cambria" w:cs="Calibri"/>
                <w:sz w:val="20"/>
                <w:szCs w:val="20"/>
                <w:lang w:val="es-ES"/>
              </w:rPr>
              <w:t>10</w:t>
            </w:r>
            <w:r w:rsidR="008F1B0B">
              <w:rPr>
                <w:rFonts w:ascii="Cambria" w:hAnsi="Cambria" w:cs="Calibri"/>
                <w:sz w:val="20"/>
                <w:szCs w:val="20"/>
                <w:lang w:val="es-ES"/>
              </w:rPr>
              <w:t>/11/</w:t>
            </w:r>
            <w:r>
              <w:rPr>
                <w:rFonts w:ascii="Cambria" w:hAnsi="Cambria" w:cs="Calibri"/>
                <w:sz w:val="20"/>
                <w:szCs w:val="20"/>
                <w:lang w:val="es-ES"/>
              </w:rPr>
              <w:t>04</w:t>
            </w:r>
          </w:p>
        </w:tc>
        <w:tc>
          <w:tcPr>
            <w:tcW w:w="1774" w:type="dxa"/>
            <w:vAlign w:val="center"/>
          </w:tcPr>
          <w:p w14:paraId="772E7C9D" w14:textId="657A5386" w:rsidR="004416A4" w:rsidRDefault="00EF64D7" w:rsidP="003E09B5">
            <w:pPr>
              <w:pBdr>
                <w:top w:val="none" w:sz="0" w:space="0" w:color="auto"/>
                <w:left w:val="none" w:sz="0" w:space="0" w:color="auto"/>
                <w:bottom w:val="none" w:sz="0" w:space="0" w:color="auto"/>
                <w:right w:val="none" w:sz="0" w:space="0" w:color="auto"/>
                <w:bar w:val="none" w:sz="0" w:color="auto"/>
              </w:pBdr>
              <w:jc w:val="center"/>
              <w:rPr>
                <w:rFonts w:ascii="Cambria" w:hAnsi="Cambria" w:cs="Calibri"/>
                <w:sz w:val="20"/>
                <w:szCs w:val="20"/>
                <w:lang w:val="es-ES"/>
              </w:rPr>
            </w:pPr>
            <w:r>
              <w:rPr>
                <w:rFonts w:ascii="Cambria" w:hAnsi="Cambria" w:cs="Calibri"/>
                <w:sz w:val="20"/>
                <w:szCs w:val="20"/>
                <w:lang w:val="es-ES"/>
              </w:rPr>
              <w:t>27</w:t>
            </w:r>
            <w:r w:rsidR="003E09B5">
              <w:rPr>
                <w:rFonts w:ascii="Cambria" w:hAnsi="Cambria" w:cs="Calibri"/>
                <w:sz w:val="20"/>
                <w:szCs w:val="20"/>
                <w:lang w:val="es-ES"/>
              </w:rPr>
              <w:t>/07/</w:t>
            </w:r>
            <w:r>
              <w:rPr>
                <w:rFonts w:ascii="Cambria" w:hAnsi="Cambria" w:cs="Calibri"/>
                <w:sz w:val="20"/>
                <w:szCs w:val="20"/>
                <w:lang w:val="es-ES"/>
              </w:rPr>
              <w:t>05</w:t>
            </w:r>
          </w:p>
        </w:tc>
        <w:tc>
          <w:tcPr>
            <w:tcW w:w="1606" w:type="dxa"/>
            <w:vAlign w:val="center"/>
          </w:tcPr>
          <w:p w14:paraId="4D6F9137" w14:textId="3D9114F4" w:rsidR="004416A4" w:rsidRDefault="00EF64D7" w:rsidP="003E09B5">
            <w:pPr>
              <w:pBdr>
                <w:top w:val="none" w:sz="0" w:space="0" w:color="auto"/>
                <w:left w:val="none" w:sz="0" w:space="0" w:color="auto"/>
                <w:bottom w:val="none" w:sz="0" w:space="0" w:color="auto"/>
                <w:right w:val="none" w:sz="0" w:space="0" w:color="auto"/>
                <w:bar w:val="none" w:sz="0" w:color="auto"/>
              </w:pBdr>
              <w:jc w:val="center"/>
              <w:rPr>
                <w:rFonts w:ascii="Cambria" w:hAnsi="Cambria" w:cs="Calibri"/>
                <w:sz w:val="20"/>
                <w:szCs w:val="20"/>
                <w:lang w:val="es-ES"/>
              </w:rPr>
            </w:pPr>
            <w:r>
              <w:rPr>
                <w:rFonts w:ascii="Cambria" w:hAnsi="Cambria" w:cs="Calibri"/>
                <w:sz w:val="20"/>
                <w:szCs w:val="20"/>
                <w:lang w:val="es-ES"/>
              </w:rPr>
              <w:t>12</w:t>
            </w:r>
            <w:r w:rsidR="003E09B5">
              <w:rPr>
                <w:rFonts w:ascii="Cambria" w:hAnsi="Cambria" w:cs="Calibri"/>
                <w:sz w:val="20"/>
                <w:szCs w:val="20"/>
                <w:lang w:val="es-ES"/>
              </w:rPr>
              <w:t>/10/</w:t>
            </w:r>
            <w:r>
              <w:rPr>
                <w:rFonts w:ascii="Cambria" w:hAnsi="Cambria" w:cs="Calibri"/>
                <w:sz w:val="20"/>
                <w:szCs w:val="20"/>
                <w:lang w:val="es-ES"/>
              </w:rPr>
              <w:t>05</w:t>
            </w:r>
          </w:p>
        </w:tc>
        <w:tc>
          <w:tcPr>
            <w:tcW w:w="1585" w:type="dxa"/>
            <w:vAlign w:val="center"/>
          </w:tcPr>
          <w:p w14:paraId="4C22C053" w14:textId="04E1572D" w:rsidR="004416A4" w:rsidRDefault="003E09B5" w:rsidP="00065E01">
            <w:pPr>
              <w:pBdr>
                <w:top w:val="none" w:sz="0" w:space="0" w:color="auto"/>
                <w:left w:val="none" w:sz="0" w:space="0" w:color="auto"/>
                <w:bottom w:val="none" w:sz="0" w:space="0" w:color="auto"/>
                <w:right w:val="none" w:sz="0" w:space="0" w:color="auto"/>
                <w:bar w:val="none" w:sz="0" w:color="auto"/>
              </w:pBdr>
              <w:jc w:val="center"/>
              <w:rPr>
                <w:rFonts w:ascii="Cambria" w:hAnsi="Cambria" w:cs="Calibri"/>
                <w:sz w:val="20"/>
                <w:szCs w:val="20"/>
                <w:lang w:val="es-ES"/>
              </w:rPr>
            </w:pPr>
            <w:r>
              <w:rPr>
                <w:rFonts w:ascii="Cambria" w:hAnsi="Cambria" w:cs="Calibri"/>
                <w:sz w:val="20"/>
                <w:szCs w:val="20"/>
                <w:lang w:val="es-ES"/>
              </w:rPr>
              <w:t>03/10/06</w:t>
            </w:r>
          </w:p>
        </w:tc>
      </w:tr>
      <w:tr w:rsidR="003E09B5" w14:paraId="4D7E508F" w14:textId="77777777" w:rsidTr="003E09B5">
        <w:tc>
          <w:tcPr>
            <w:tcW w:w="3045" w:type="dxa"/>
          </w:tcPr>
          <w:p w14:paraId="629D4E51" w14:textId="01C84B58" w:rsidR="004416A4" w:rsidRDefault="00EF64D7" w:rsidP="00974491">
            <w:pPr>
              <w:pBdr>
                <w:top w:val="none" w:sz="0" w:space="0" w:color="auto"/>
                <w:left w:val="none" w:sz="0" w:space="0" w:color="auto"/>
                <w:bottom w:val="none" w:sz="0" w:space="0" w:color="auto"/>
                <w:right w:val="none" w:sz="0" w:space="0" w:color="auto"/>
                <w:bar w:val="none" w:sz="0" w:color="auto"/>
              </w:pBdr>
              <w:rPr>
                <w:rFonts w:ascii="Cambria" w:hAnsi="Cambria" w:cs="Calibri"/>
                <w:sz w:val="20"/>
                <w:szCs w:val="20"/>
                <w:lang w:val="es-ES"/>
              </w:rPr>
            </w:pPr>
            <w:r>
              <w:rPr>
                <w:rFonts w:ascii="Cambria" w:hAnsi="Cambria" w:cs="Calibri"/>
                <w:sz w:val="20"/>
                <w:szCs w:val="20"/>
                <w:lang w:val="es-ES"/>
              </w:rPr>
              <w:t xml:space="preserve">8. Gustavo Martín </w:t>
            </w:r>
            <w:proofErr w:type="spellStart"/>
            <w:r>
              <w:rPr>
                <w:rFonts w:ascii="Cambria" w:hAnsi="Cambria" w:cs="Calibri"/>
                <w:sz w:val="20"/>
                <w:szCs w:val="20"/>
                <w:lang w:val="es-ES"/>
              </w:rPr>
              <w:t>Orellano</w:t>
            </w:r>
            <w:proofErr w:type="spellEnd"/>
            <w:r>
              <w:rPr>
                <w:rFonts w:ascii="Cambria" w:hAnsi="Cambria" w:cs="Calibri"/>
                <w:sz w:val="20"/>
                <w:szCs w:val="20"/>
                <w:lang w:val="es-ES"/>
              </w:rPr>
              <w:t xml:space="preserve"> Sosa</w:t>
            </w:r>
          </w:p>
        </w:tc>
        <w:tc>
          <w:tcPr>
            <w:tcW w:w="1785" w:type="dxa"/>
            <w:vAlign w:val="center"/>
          </w:tcPr>
          <w:p w14:paraId="47D2579C" w14:textId="1B185375" w:rsidR="004416A4" w:rsidRDefault="00EF64D7" w:rsidP="008F1B0B">
            <w:pPr>
              <w:pBdr>
                <w:top w:val="none" w:sz="0" w:space="0" w:color="auto"/>
                <w:left w:val="none" w:sz="0" w:space="0" w:color="auto"/>
                <w:bottom w:val="none" w:sz="0" w:space="0" w:color="auto"/>
                <w:right w:val="none" w:sz="0" w:space="0" w:color="auto"/>
                <w:bar w:val="none" w:sz="0" w:color="auto"/>
              </w:pBdr>
              <w:jc w:val="center"/>
              <w:rPr>
                <w:rFonts w:ascii="Cambria" w:hAnsi="Cambria" w:cs="Calibri"/>
                <w:sz w:val="20"/>
                <w:szCs w:val="20"/>
                <w:lang w:val="es-ES"/>
              </w:rPr>
            </w:pPr>
            <w:r>
              <w:rPr>
                <w:rFonts w:ascii="Cambria" w:hAnsi="Cambria" w:cs="Calibri"/>
                <w:sz w:val="20"/>
                <w:szCs w:val="20"/>
                <w:lang w:val="es-ES"/>
              </w:rPr>
              <w:t>21</w:t>
            </w:r>
            <w:r w:rsidR="008F1B0B">
              <w:rPr>
                <w:rFonts w:ascii="Cambria" w:hAnsi="Cambria" w:cs="Calibri"/>
                <w:sz w:val="20"/>
                <w:szCs w:val="20"/>
                <w:lang w:val="es-ES"/>
              </w:rPr>
              <w:t>/08/</w:t>
            </w:r>
            <w:r>
              <w:rPr>
                <w:rFonts w:ascii="Cambria" w:hAnsi="Cambria" w:cs="Calibri"/>
                <w:sz w:val="20"/>
                <w:szCs w:val="20"/>
                <w:lang w:val="es-ES"/>
              </w:rPr>
              <w:t>04</w:t>
            </w:r>
          </w:p>
        </w:tc>
        <w:tc>
          <w:tcPr>
            <w:tcW w:w="1774" w:type="dxa"/>
            <w:vAlign w:val="center"/>
          </w:tcPr>
          <w:p w14:paraId="6B77E1DF" w14:textId="27EEAE25" w:rsidR="004416A4" w:rsidRDefault="003E09B5" w:rsidP="003E09B5">
            <w:pPr>
              <w:pBdr>
                <w:top w:val="none" w:sz="0" w:space="0" w:color="auto"/>
                <w:left w:val="none" w:sz="0" w:space="0" w:color="auto"/>
                <w:bottom w:val="none" w:sz="0" w:space="0" w:color="auto"/>
                <w:right w:val="none" w:sz="0" w:space="0" w:color="auto"/>
                <w:bar w:val="none" w:sz="0" w:color="auto"/>
              </w:pBdr>
              <w:jc w:val="center"/>
              <w:rPr>
                <w:rFonts w:ascii="Cambria" w:hAnsi="Cambria" w:cs="Calibri"/>
                <w:sz w:val="20"/>
                <w:szCs w:val="20"/>
                <w:lang w:val="es-ES"/>
              </w:rPr>
            </w:pPr>
            <w:r>
              <w:rPr>
                <w:rFonts w:ascii="Cambria" w:hAnsi="Cambria" w:cs="Calibri"/>
                <w:sz w:val="20"/>
                <w:szCs w:val="20"/>
                <w:lang w:val="es-ES"/>
              </w:rPr>
              <w:t>0</w:t>
            </w:r>
            <w:r w:rsidR="00EF64D7">
              <w:rPr>
                <w:rFonts w:ascii="Cambria" w:hAnsi="Cambria" w:cs="Calibri"/>
                <w:sz w:val="20"/>
                <w:szCs w:val="20"/>
                <w:lang w:val="es-ES"/>
              </w:rPr>
              <w:t>9</w:t>
            </w:r>
            <w:r>
              <w:rPr>
                <w:rFonts w:ascii="Cambria" w:hAnsi="Cambria" w:cs="Calibri"/>
                <w:sz w:val="20"/>
                <w:szCs w:val="20"/>
                <w:lang w:val="es-ES"/>
              </w:rPr>
              <w:t>/02/</w:t>
            </w:r>
            <w:r w:rsidR="00EF64D7">
              <w:rPr>
                <w:rFonts w:ascii="Cambria" w:hAnsi="Cambria" w:cs="Calibri"/>
                <w:sz w:val="20"/>
                <w:szCs w:val="20"/>
                <w:lang w:val="es-ES"/>
              </w:rPr>
              <w:t>05</w:t>
            </w:r>
          </w:p>
        </w:tc>
        <w:tc>
          <w:tcPr>
            <w:tcW w:w="1606" w:type="dxa"/>
            <w:vAlign w:val="center"/>
          </w:tcPr>
          <w:p w14:paraId="71211EEC" w14:textId="0C0C99A4" w:rsidR="004416A4" w:rsidRDefault="00EF64D7" w:rsidP="003E09B5">
            <w:pPr>
              <w:pBdr>
                <w:top w:val="none" w:sz="0" w:space="0" w:color="auto"/>
                <w:left w:val="none" w:sz="0" w:space="0" w:color="auto"/>
                <w:bottom w:val="none" w:sz="0" w:space="0" w:color="auto"/>
                <w:right w:val="none" w:sz="0" w:space="0" w:color="auto"/>
                <w:bar w:val="none" w:sz="0" w:color="auto"/>
              </w:pBdr>
              <w:jc w:val="center"/>
              <w:rPr>
                <w:rFonts w:ascii="Cambria" w:hAnsi="Cambria" w:cs="Calibri"/>
                <w:sz w:val="20"/>
                <w:szCs w:val="20"/>
                <w:lang w:val="es-ES"/>
              </w:rPr>
            </w:pPr>
            <w:r>
              <w:rPr>
                <w:rFonts w:ascii="Cambria" w:hAnsi="Cambria" w:cs="Calibri"/>
                <w:sz w:val="20"/>
                <w:szCs w:val="20"/>
                <w:lang w:val="es-ES"/>
              </w:rPr>
              <w:t>28</w:t>
            </w:r>
            <w:r w:rsidR="003E09B5">
              <w:rPr>
                <w:rFonts w:ascii="Cambria" w:hAnsi="Cambria" w:cs="Calibri"/>
                <w:sz w:val="20"/>
                <w:szCs w:val="20"/>
                <w:lang w:val="es-ES"/>
              </w:rPr>
              <w:t>/04/</w:t>
            </w:r>
            <w:r>
              <w:rPr>
                <w:rFonts w:ascii="Cambria" w:hAnsi="Cambria" w:cs="Calibri"/>
                <w:sz w:val="20"/>
                <w:szCs w:val="20"/>
                <w:lang w:val="es-ES"/>
              </w:rPr>
              <w:t>05</w:t>
            </w:r>
          </w:p>
        </w:tc>
        <w:tc>
          <w:tcPr>
            <w:tcW w:w="1585" w:type="dxa"/>
            <w:vAlign w:val="center"/>
          </w:tcPr>
          <w:p w14:paraId="1EAC27C4" w14:textId="0AF624F9" w:rsidR="004416A4" w:rsidRDefault="003E09B5" w:rsidP="00065E01">
            <w:pPr>
              <w:pBdr>
                <w:top w:val="none" w:sz="0" w:space="0" w:color="auto"/>
                <w:left w:val="none" w:sz="0" w:space="0" w:color="auto"/>
                <w:bottom w:val="none" w:sz="0" w:space="0" w:color="auto"/>
                <w:right w:val="none" w:sz="0" w:space="0" w:color="auto"/>
                <w:bar w:val="none" w:sz="0" w:color="auto"/>
              </w:pBdr>
              <w:jc w:val="center"/>
              <w:rPr>
                <w:rFonts w:ascii="Cambria" w:hAnsi="Cambria" w:cs="Calibri"/>
                <w:sz w:val="20"/>
                <w:szCs w:val="20"/>
                <w:lang w:val="es-ES"/>
              </w:rPr>
            </w:pPr>
            <w:r>
              <w:rPr>
                <w:rFonts w:ascii="Cambria" w:hAnsi="Cambria" w:cs="Calibri"/>
                <w:sz w:val="20"/>
                <w:szCs w:val="20"/>
                <w:lang w:val="es-ES"/>
              </w:rPr>
              <w:t>31/10/06</w:t>
            </w:r>
          </w:p>
        </w:tc>
      </w:tr>
      <w:tr w:rsidR="003E09B5" w14:paraId="69889198" w14:textId="77777777" w:rsidTr="003E09B5">
        <w:tc>
          <w:tcPr>
            <w:tcW w:w="3045" w:type="dxa"/>
          </w:tcPr>
          <w:p w14:paraId="01E56D4C" w14:textId="5F60908D" w:rsidR="004416A4" w:rsidRDefault="00DE67DE" w:rsidP="00DE67DE">
            <w:pPr>
              <w:pBdr>
                <w:top w:val="none" w:sz="0" w:space="0" w:color="auto"/>
                <w:left w:val="none" w:sz="0" w:space="0" w:color="auto"/>
                <w:bottom w:val="none" w:sz="0" w:space="0" w:color="auto"/>
                <w:right w:val="none" w:sz="0" w:space="0" w:color="auto"/>
                <w:bar w:val="none" w:sz="0" w:color="auto"/>
              </w:pBdr>
              <w:rPr>
                <w:rFonts w:ascii="Cambria" w:hAnsi="Cambria" w:cs="Calibri"/>
                <w:sz w:val="20"/>
                <w:szCs w:val="20"/>
                <w:lang w:val="es-ES"/>
              </w:rPr>
            </w:pPr>
            <w:r>
              <w:rPr>
                <w:rFonts w:ascii="Cambria" w:hAnsi="Cambria" w:cs="Calibri"/>
                <w:sz w:val="20"/>
                <w:szCs w:val="20"/>
                <w:lang w:val="es-ES"/>
              </w:rPr>
              <w:t xml:space="preserve">9. José Oscar </w:t>
            </w:r>
            <w:proofErr w:type="spellStart"/>
            <w:r>
              <w:rPr>
                <w:rFonts w:ascii="Cambria" w:hAnsi="Cambria" w:cs="Calibri"/>
                <w:sz w:val="20"/>
                <w:szCs w:val="20"/>
                <w:lang w:val="es-ES"/>
              </w:rPr>
              <w:t>Moroz</w:t>
            </w:r>
            <w:proofErr w:type="spellEnd"/>
          </w:p>
        </w:tc>
        <w:tc>
          <w:tcPr>
            <w:tcW w:w="1785" w:type="dxa"/>
            <w:vAlign w:val="center"/>
          </w:tcPr>
          <w:p w14:paraId="599EACF0" w14:textId="0D9B349C" w:rsidR="004416A4" w:rsidRDefault="00DE67DE" w:rsidP="008F1B0B">
            <w:pPr>
              <w:pBdr>
                <w:top w:val="none" w:sz="0" w:space="0" w:color="auto"/>
                <w:left w:val="none" w:sz="0" w:space="0" w:color="auto"/>
                <w:bottom w:val="none" w:sz="0" w:space="0" w:color="auto"/>
                <w:right w:val="none" w:sz="0" w:space="0" w:color="auto"/>
                <w:bar w:val="none" w:sz="0" w:color="auto"/>
              </w:pBdr>
              <w:jc w:val="center"/>
              <w:rPr>
                <w:rFonts w:ascii="Cambria" w:hAnsi="Cambria" w:cs="Calibri"/>
                <w:sz w:val="20"/>
                <w:szCs w:val="20"/>
                <w:lang w:val="es-ES"/>
              </w:rPr>
            </w:pPr>
            <w:r>
              <w:rPr>
                <w:rFonts w:ascii="Cambria" w:hAnsi="Cambria" w:cs="Calibri"/>
                <w:sz w:val="20"/>
                <w:szCs w:val="20"/>
                <w:lang w:val="es-ES"/>
              </w:rPr>
              <w:t>21</w:t>
            </w:r>
            <w:r w:rsidR="008F1B0B">
              <w:rPr>
                <w:rFonts w:ascii="Cambria" w:hAnsi="Cambria" w:cs="Calibri"/>
                <w:sz w:val="20"/>
                <w:szCs w:val="20"/>
                <w:lang w:val="es-ES"/>
              </w:rPr>
              <w:t>/10/</w:t>
            </w:r>
            <w:r>
              <w:rPr>
                <w:rFonts w:ascii="Cambria" w:hAnsi="Cambria" w:cs="Calibri"/>
                <w:sz w:val="20"/>
                <w:szCs w:val="20"/>
                <w:lang w:val="es-ES"/>
              </w:rPr>
              <w:t>99</w:t>
            </w:r>
          </w:p>
        </w:tc>
        <w:tc>
          <w:tcPr>
            <w:tcW w:w="1774" w:type="dxa"/>
            <w:vAlign w:val="center"/>
          </w:tcPr>
          <w:p w14:paraId="375D5319" w14:textId="39C351C1" w:rsidR="004416A4" w:rsidRDefault="00DE67DE" w:rsidP="003E09B5">
            <w:pPr>
              <w:pBdr>
                <w:top w:val="none" w:sz="0" w:space="0" w:color="auto"/>
                <w:left w:val="none" w:sz="0" w:space="0" w:color="auto"/>
                <w:bottom w:val="none" w:sz="0" w:space="0" w:color="auto"/>
                <w:right w:val="none" w:sz="0" w:space="0" w:color="auto"/>
                <w:bar w:val="none" w:sz="0" w:color="auto"/>
              </w:pBdr>
              <w:jc w:val="center"/>
              <w:rPr>
                <w:rFonts w:ascii="Cambria" w:hAnsi="Cambria" w:cs="Calibri"/>
                <w:sz w:val="20"/>
                <w:szCs w:val="20"/>
                <w:lang w:val="es-ES"/>
              </w:rPr>
            </w:pPr>
            <w:r>
              <w:rPr>
                <w:rFonts w:ascii="Cambria" w:hAnsi="Cambria" w:cs="Calibri"/>
                <w:sz w:val="20"/>
                <w:szCs w:val="20"/>
                <w:lang w:val="es-ES"/>
              </w:rPr>
              <w:t>17</w:t>
            </w:r>
            <w:r w:rsidR="003E09B5">
              <w:rPr>
                <w:rFonts w:ascii="Cambria" w:hAnsi="Cambria" w:cs="Calibri"/>
                <w:sz w:val="20"/>
                <w:szCs w:val="20"/>
                <w:lang w:val="es-ES"/>
              </w:rPr>
              <w:t>/12/</w:t>
            </w:r>
            <w:r>
              <w:rPr>
                <w:rFonts w:ascii="Cambria" w:hAnsi="Cambria" w:cs="Calibri"/>
                <w:sz w:val="20"/>
                <w:szCs w:val="20"/>
                <w:lang w:val="es-ES"/>
              </w:rPr>
              <w:t>04</w:t>
            </w:r>
          </w:p>
        </w:tc>
        <w:tc>
          <w:tcPr>
            <w:tcW w:w="1606" w:type="dxa"/>
            <w:vAlign w:val="center"/>
          </w:tcPr>
          <w:p w14:paraId="1249C3BF" w14:textId="7EA7DDF4" w:rsidR="004416A4" w:rsidRDefault="003E09B5" w:rsidP="003E09B5">
            <w:pPr>
              <w:pBdr>
                <w:top w:val="none" w:sz="0" w:space="0" w:color="auto"/>
                <w:left w:val="none" w:sz="0" w:space="0" w:color="auto"/>
                <w:bottom w:val="none" w:sz="0" w:space="0" w:color="auto"/>
                <w:right w:val="none" w:sz="0" w:space="0" w:color="auto"/>
                <w:bar w:val="none" w:sz="0" w:color="auto"/>
              </w:pBdr>
              <w:jc w:val="center"/>
              <w:rPr>
                <w:rFonts w:ascii="Cambria" w:hAnsi="Cambria" w:cs="Calibri"/>
                <w:sz w:val="20"/>
                <w:szCs w:val="20"/>
                <w:lang w:val="es-ES"/>
              </w:rPr>
            </w:pPr>
            <w:r>
              <w:rPr>
                <w:rFonts w:ascii="Cambria" w:hAnsi="Cambria" w:cs="Calibri"/>
                <w:sz w:val="20"/>
                <w:szCs w:val="20"/>
                <w:lang w:val="es-ES"/>
              </w:rPr>
              <w:t>0</w:t>
            </w:r>
            <w:r w:rsidR="00DE67DE">
              <w:rPr>
                <w:rFonts w:ascii="Cambria" w:hAnsi="Cambria" w:cs="Calibri"/>
                <w:sz w:val="20"/>
                <w:szCs w:val="20"/>
                <w:lang w:val="es-ES"/>
              </w:rPr>
              <w:t>4</w:t>
            </w:r>
            <w:r>
              <w:rPr>
                <w:rFonts w:ascii="Cambria" w:hAnsi="Cambria" w:cs="Calibri"/>
                <w:sz w:val="20"/>
                <w:szCs w:val="20"/>
                <w:lang w:val="es-ES"/>
              </w:rPr>
              <w:t>/07/</w:t>
            </w:r>
            <w:r w:rsidR="00DE67DE">
              <w:rPr>
                <w:rFonts w:ascii="Cambria" w:hAnsi="Cambria" w:cs="Calibri"/>
                <w:sz w:val="20"/>
                <w:szCs w:val="20"/>
                <w:lang w:val="es-ES"/>
              </w:rPr>
              <w:t>05</w:t>
            </w:r>
          </w:p>
        </w:tc>
        <w:tc>
          <w:tcPr>
            <w:tcW w:w="1585" w:type="dxa"/>
            <w:vAlign w:val="center"/>
          </w:tcPr>
          <w:p w14:paraId="32E72BD0" w14:textId="29410BF5" w:rsidR="004416A4" w:rsidRDefault="003E09B5" w:rsidP="00065E01">
            <w:pPr>
              <w:pBdr>
                <w:top w:val="none" w:sz="0" w:space="0" w:color="auto"/>
                <w:left w:val="none" w:sz="0" w:space="0" w:color="auto"/>
                <w:bottom w:val="none" w:sz="0" w:space="0" w:color="auto"/>
                <w:right w:val="none" w:sz="0" w:space="0" w:color="auto"/>
                <w:bar w:val="none" w:sz="0" w:color="auto"/>
              </w:pBdr>
              <w:jc w:val="center"/>
              <w:rPr>
                <w:rFonts w:ascii="Cambria" w:hAnsi="Cambria" w:cs="Calibri"/>
                <w:sz w:val="20"/>
                <w:szCs w:val="20"/>
                <w:lang w:val="es-ES"/>
              </w:rPr>
            </w:pPr>
            <w:r>
              <w:rPr>
                <w:rFonts w:ascii="Cambria" w:hAnsi="Cambria" w:cs="Calibri"/>
                <w:sz w:val="20"/>
                <w:szCs w:val="20"/>
                <w:lang w:val="es-ES"/>
              </w:rPr>
              <w:t>31/10/06</w:t>
            </w:r>
          </w:p>
        </w:tc>
      </w:tr>
    </w:tbl>
    <w:p w14:paraId="5164C527" w14:textId="77777777" w:rsidR="00816ADF" w:rsidRPr="00974491" w:rsidRDefault="00816ADF" w:rsidP="00974491">
      <w:pPr>
        <w:pBdr>
          <w:top w:val="none" w:sz="0" w:space="0" w:color="auto"/>
          <w:left w:val="none" w:sz="0" w:space="0" w:color="auto"/>
          <w:bottom w:val="none" w:sz="0" w:space="0" w:color="auto"/>
          <w:right w:val="none" w:sz="0" w:space="0" w:color="auto"/>
          <w:bar w:val="none" w:sz="0" w:color="auto"/>
        </w:pBdr>
        <w:rPr>
          <w:rFonts w:ascii="Cambria" w:hAnsi="Cambria" w:cs="Calibri"/>
          <w:sz w:val="20"/>
          <w:szCs w:val="20"/>
          <w:lang w:val="es-ES"/>
        </w:rPr>
      </w:pPr>
    </w:p>
    <w:sectPr w:rsidR="00816ADF" w:rsidRPr="00974491" w:rsidSect="003E09B5">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EFD62" w14:textId="77777777" w:rsidR="00E1639E" w:rsidRDefault="00E1639E">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66BB511D" w14:textId="77777777" w:rsidR="00E1639E" w:rsidRDefault="00E1639E">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9528C" w14:textId="77777777" w:rsidR="002C373F" w:rsidRDefault="002C37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19DB5" w14:textId="31626786" w:rsidR="009B64C3" w:rsidRPr="00934A2C" w:rsidRDefault="009B64C3">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C373F">
      <w:rPr>
        <w:noProof/>
        <w:sz w:val="16"/>
        <w:szCs w:val="22"/>
      </w:rPr>
      <w:t>3</w:t>
    </w:r>
    <w:r w:rsidRPr="00934A2C">
      <w:rPr>
        <w:sz w:val="16"/>
        <w:szCs w:val="22"/>
      </w:rPr>
      <w:fldChar w:fldCharType="end"/>
    </w:r>
  </w:p>
  <w:p w14:paraId="715BFCAC" w14:textId="77777777" w:rsidR="009B64C3" w:rsidRDefault="009B64C3">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A20EF" w14:textId="77777777" w:rsidR="009B64C3" w:rsidRPr="00934A2C" w:rsidRDefault="009B64C3">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p>
  <w:p w14:paraId="2DBE287F" w14:textId="77777777" w:rsidR="009B64C3" w:rsidRDefault="009B64C3">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83F45" w14:textId="77777777" w:rsidR="00E1639E" w:rsidRPr="000F35ED" w:rsidRDefault="00E1639E">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footnote>
  <w:footnote w:type="continuationSeparator" w:id="0">
    <w:p w14:paraId="6BD2D204" w14:textId="77777777" w:rsidR="00E1639E" w:rsidRPr="000F35ED" w:rsidRDefault="00E1639E" w:rsidP="000F35E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p w14:paraId="11CFC9BC" w14:textId="77777777" w:rsidR="00E1639E" w:rsidRPr="000F35ED" w:rsidRDefault="00E1639E" w:rsidP="000F35ED">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xml:space="preserve">[… </w:t>
      </w:r>
      <w:proofErr w:type="spellStart"/>
      <w:proofErr w:type="gramStart"/>
      <w:r>
        <w:rPr>
          <w:sz w:val="16"/>
          <w:szCs w:val="16"/>
        </w:rPr>
        <w:t>c</w:t>
      </w:r>
      <w:r w:rsidRPr="000F35ED">
        <w:rPr>
          <w:sz w:val="16"/>
          <w:szCs w:val="16"/>
        </w:rPr>
        <w:t>ontinuación</w:t>
      </w:r>
      <w:proofErr w:type="spellEnd"/>
      <w:proofErr w:type="gramEnd"/>
      <w:r>
        <w:rPr>
          <w:sz w:val="16"/>
          <w:szCs w:val="16"/>
        </w:rPr>
        <w:t>]</w:t>
      </w:r>
    </w:p>
  </w:footnote>
  <w:footnote w:type="continuationNotice" w:id="1">
    <w:p w14:paraId="6451157B" w14:textId="77777777" w:rsidR="00E1639E" w:rsidRPr="000F35ED" w:rsidRDefault="00E1639E" w:rsidP="000F35E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
        </w:rPr>
      </w:pPr>
      <w:r>
        <w:rPr>
          <w:rFonts w:ascii="Cambria" w:hAnsi="Cambria"/>
          <w:sz w:val="16"/>
          <w:szCs w:val="16"/>
          <w:lang w:val="es-ES"/>
        </w:rPr>
        <w:t>[</w:t>
      </w:r>
      <w:proofErr w:type="gramStart"/>
      <w:r>
        <w:rPr>
          <w:rFonts w:ascii="Cambria" w:hAnsi="Cambria"/>
          <w:sz w:val="16"/>
          <w:szCs w:val="16"/>
          <w:lang w:val="es-ES"/>
        </w:rPr>
        <w:t>c</w:t>
      </w:r>
      <w:r w:rsidRPr="000F35ED">
        <w:rPr>
          <w:rFonts w:ascii="Cambria" w:hAnsi="Cambria"/>
          <w:sz w:val="16"/>
          <w:szCs w:val="16"/>
          <w:lang w:val="es-ES"/>
        </w:rPr>
        <w:t>ontinúa</w:t>
      </w:r>
      <w:proofErr w:type="gramEnd"/>
      <w:r w:rsidRPr="000F35ED">
        <w:rPr>
          <w:rFonts w:ascii="Cambria" w:hAnsi="Cambria"/>
          <w:sz w:val="16"/>
          <w:szCs w:val="16"/>
          <w:lang w:val="es-ES"/>
        </w:rPr>
        <w:t>…</w:t>
      </w:r>
      <w:r>
        <w:rPr>
          <w:rFonts w:ascii="Cambria" w:hAnsi="Cambria"/>
          <w:sz w:val="16"/>
          <w:szCs w:val="16"/>
          <w:lang w:val="es-ES"/>
        </w:rPr>
        <w:t>]</w:t>
      </w:r>
    </w:p>
  </w:footnote>
  <w:footnote w:id="2">
    <w:p w14:paraId="4BDAFAF6" w14:textId="2DA10B88" w:rsidR="009B64C3" w:rsidRPr="0072638C" w:rsidRDefault="009B64C3" w:rsidP="009757F0">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sidRPr="004E376D">
        <w:rPr>
          <w:rStyle w:val="FootnoteReference"/>
          <w:rFonts w:ascii="Cambria" w:hAnsi="Cambria"/>
          <w:sz w:val="16"/>
          <w:szCs w:val="16"/>
        </w:rPr>
        <w:footnoteRef/>
      </w:r>
      <w:r w:rsidRPr="004E376D">
        <w:rPr>
          <w:rFonts w:ascii="Cambria" w:hAnsi="Cambria"/>
          <w:sz w:val="16"/>
          <w:szCs w:val="16"/>
          <w:lang w:val="es-ES"/>
        </w:rPr>
        <w:t xml:space="preserve"> </w:t>
      </w:r>
      <w:r>
        <w:rPr>
          <w:rFonts w:ascii="Cambria" w:hAnsi="Cambria"/>
          <w:sz w:val="16"/>
          <w:szCs w:val="16"/>
          <w:lang w:val="es-ES"/>
        </w:rPr>
        <w:t>La petición hace referencia a 9 presuntas víctimas cuyos nombres se detallan en documento anexo.</w:t>
      </w:r>
    </w:p>
  </w:footnote>
  <w:footnote w:id="3">
    <w:p w14:paraId="48BA7C9E" w14:textId="77777777" w:rsidR="009B64C3" w:rsidRPr="0072638C" w:rsidRDefault="009B64C3" w:rsidP="009757F0">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sidRPr="004E376D">
        <w:rPr>
          <w:rStyle w:val="FootnoteReference"/>
          <w:rFonts w:ascii="Cambria" w:hAnsi="Cambria"/>
          <w:sz w:val="16"/>
          <w:szCs w:val="16"/>
        </w:rPr>
        <w:footnoteRef/>
      </w:r>
      <w:r w:rsidRPr="004E376D">
        <w:rPr>
          <w:rFonts w:ascii="Cambria" w:hAnsi="Cambria"/>
          <w:sz w:val="16"/>
          <w:szCs w:val="16"/>
          <w:lang w:val="es-ES"/>
        </w:rPr>
        <w:t xml:space="preserve"> En adelante “la Convención Americana”.</w:t>
      </w:r>
    </w:p>
  </w:footnote>
  <w:footnote w:id="4">
    <w:p w14:paraId="354B95C9" w14:textId="77777777" w:rsidR="009B64C3" w:rsidRPr="0072638C" w:rsidRDefault="009B64C3" w:rsidP="00065E01">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5">
    <w:p w14:paraId="7F9803DD" w14:textId="6B4D7833" w:rsidR="009B64C3" w:rsidRPr="0072638C" w:rsidRDefault="009B64C3">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sidRPr="004E376D">
        <w:rPr>
          <w:rStyle w:val="FootnoteReference"/>
          <w:rFonts w:ascii="Cambria" w:hAnsi="Cambria"/>
          <w:sz w:val="16"/>
          <w:szCs w:val="16"/>
        </w:rPr>
        <w:footnoteRef/>
      </w:r>
      <w:r w:rsidRPr="004E376D">
        <w:rPr>
          <w:rFonts w:ascii="Cambria" w:hAnsi="Cambria"/>
          <w:sz w:val="16"/>
          <w:szCs w:val="16"/>
          <w:lang w:val="es-ES"/>
        </w:rPr>
        <w:t xml:space="preserve"> </w:t>
      </w:r>
      <w:r>
        <w:rPr>
          <w:rFonts w:ascii="Cambria" w:hAnsi="Cambria"/>
          <w:sz w:val="16"/>
          <w:szCs w:val="16"/>
          <w:lang w:val="es-ES"/>
        </w:rPr>
        <w:t xml:space="preserve">Las fechas de las sentencias condenatorias se detallan en documento anexo. </w:t>
      </w:r>
    </w:p>
  </w:footnote>
  <w:footnote w:id="6">
    <w:p w14:paraId="562513E1" w14:textId="77777777" w:rsidR="009B64C3" w:rsidRPr="0072638C" w:rsidRDefault="009B64C3">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sidRPr="004E376D">
        <w:rPr>
          <w:rStyle w:val="FootnoteReference"/>
          <w:rFonts w:ascii="Cambria" w:hAnsi="Cambria"/>
          <w:sz w:val="16"/>
          <w:szCs w:val="16"/>
        </w:rPr>
        <w:footnoteRef/>
      </w:r>
      <w:r w:rsidRPr="004E376D">
        <w:rPr>
          <w:rFonts w:ascii="Cambria" w:hAnsi="Cambria"/>
          <w:sz w:val="16"/>
          <w:szCs w:val="16"/>
          <w:lang w:val="es-ES"/>
        </w:rPr>
        <w:t xml:space="preserve"> </w:t>
      </w:r>
      <w:r>
        <w:rPr>
          <w:rFonts w:ascii="Cambria" w:hAnsi="Cambria"/>
          <w:sz w:val="16"/>
          <w:szCs w:val="16"/>
          <w:lang w:val="es-ES"/>
        </w:rPr>
        <w:t>Las fechas de las decisiones de inadmisión o rechazo de los recursos de casación se detallan en documento anexo.</w:t>
      </w:r>
    </w:p>
  </w:footnote>
  <w:footnote w:id="7">
    <w:p w14:paraId="7830E3D8" w14:textId="42C65639" w:rsidR="009B64C3" w:rsidRPr="00466EAD" w:rsidRDefault="009B64C3">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sidRPr="004E376D">
        <w:rPr>
          <w:rStyle w:val="FootnoteReference"/>
          <w:rFonts w:ascii="Cambria" w:hAnsi="Cambria"/>
          <w:sz w:val="16"/>
          <w:szCs w:val="16"/>
        </w:rPr>
        <w:footnoteRef/>
      </w:r>
      <w:r w:rsidRPr="004E376D">
        <w:rPr>
          <w:rFonts w:ascii="Cambria" w:hAnsi="Cambria"/>
          <w:sz w:val="16"/>
          <w:szCs w:val="16"/>
          <w:lang w:val="es-ES"/>
        </w:rPr>
        <w:t xml:space="preserve"> </w:t>
      </w:r>
      <w:r>
        <w:rPr>
          <w:rFonts w:ascii="Cambria" w:hAnsi="Cambria"/>
          <w:sz w:val="16"/>
          <w:szCs w:val="16"/>
          <w:lang w:val="es-ES"/>
        </w:rPr>
        <w:t>Las fechas de estas decisiones se detallan en el documento anexo.</w:t>
      </w:r>
    </w:p>
  </w:footnote>
  <w:footnote w:id="8">
    <w:p w14:paraId="60AA4DAE" w14:textId="31CB3568" w:rsidR="009B64C3" w:rsidRPr="0072638C" w:rsidRDefault="009B64C3">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sidRPr="004E376D">
        <w:rPr>
          <w:rStyle w:val="FootnoteReference"/>
          <w:rFonts w:ascii="Cambria" w:hAnsi="Cambria"/>
          <w:sz w:val="16"/>
          <w:szCs w:val="16"/>
        </w:rPr>
        <w:footnoteRef/>
      </w:r>
      <w:r w:rsidRPr="004E376D">
        <w:rPr>
          <w:rFonts w:ascii="Cambria" w:hAnsi="Cambria"/>
          <w:sz w:val="16"/>
          <w:szCs w:val="16"/>
          <w:lang w:val="es-ES"/>
        </w:rPr>
        <w:t xml:space="preserve"> </w:t>
      </w:r>
      <w:r>
        <w:rPr>
          <w:rFonts w:ascii="Cambria" w:hAnsi="Cambria"/>
          <w:sz w:val="16"/>
          <w:szCs w:val="16"/>
          <w:lang w:val="es-ES"/>
        </w:rPr>
        <w:t>Las fechas de estas decisiones se detallan en el documento anexo.</w:t>
      </w:r>
    </w:p>
  </w:footnote>
  <w:footnote w:id="9">
    <w:p w14:paraId="43DE6EAF" w14:textId="51523649" w:rsidR="009B64C3" w:rsidRPr="002C3D11" w:rsidRDefault="009B64C3" w:rsidP="002C3D11">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16"/>
          <w:szCs w:val="16"/>
          <w:lang w:val="es-ES"/>
        </w:rPr>
      </w:pPr>
      <w:r w:rsidRPr="0000193D">
        <w:rPr>
          <w:rStyle w:val="FootnoteReference"/>
          <w:rFonts w:asciiTheme="majorHAnsi" w:hAnsiTheme="majorHAnsi"/>
          <w:sz w:val="16"/>
          <w:szCs w:val="16"/>
        </w:rPr>
        <w:footnoteRef/>
      </w:r>
      <w:r w:rsidRPr="0000193D">
        <w:rPr>
          <w:rFonts w:asciiTheme="majorHAnsi" w:hAnsiTheme="majorHAnsi"/>
          <w:sz w:val="16"/>
          <w:szCs w:val="16"/>
          <w:lang w:val="es-VE"/>
        </w:rPr>
        <w:t xml:space="preserve"> </w:t>
      </w:r>
      <w:r w:rsidRPr="002C3D11">
        <w:rPr>
          <w:rFonts w:ascii="Cambria" w:hAnsi="Cambria"/>
          <w:sz w:val="16"/>
          <w:szCs w:val="16"/>
          <w:lang w:val="es-ES"/>
        </w:rPr>
        <w:t>CIDH, Informe No. 58/18. Admisibilidad. Rómulo Rubén Palma Rodríguez. Perú. 5 de mayo de 2018, párr. 15.</w:t>
      </w:r>
    </w:p>
  </w:footnote>
  <w:footnote w:id="10">
    <w:p w14:paraId="32472499" w14:textId="2D7415F7" w:rsidR="009B64C3" w:rsidRPr="002C3D11" w:rsidRDefault="009B64C3" w:rsidP="002C3D11">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16"/>
          <w:szCs w:val="16"/>
          <w:lang w:val="es-ES"/>
        </w:rPr>
      </w:pPr>
      <w:r w:rsidRPr="002C3D11">
        <w:rPr>
          <w:rStyle w:val="FootnoteReference"/>
          <w:rFonts w:asciiTheme="majorHAnsi" w:hAnsiTheme="majorHAnsi"/>
          <w:sz w:val="16"/>
          <w:szCs w:val="16"/>
        </w:rPr>
        <w:footnoteRef/>
      </w:r>
      <w:r w:rsidRPr="002C3D11">
        <w:rPr>
          <w:rFonts w:ascii="Cambria" w:hAnsi="Cambria"/>
          <w:sz w:val="16"/>
          <w:szCs w:val="16"/>
          <w:lang w:val="es-ES"/>
        </w:rPr>
        <w:t xml:space="preserve"> CIDH, Informe No. 90/03, Petición 0581/1999. Inadmisibilidad. Gustavo Trujillo González. Perú. 22 de octubre de 2003, párr. 32.</w:t>
      </w:r>
    </w:p>
  </w:footnote>
  <w:footnote w:id="11">
    <w:p w14:paraId="7BA37978" w14:textId="57F7E807" w:rsidR="009B64C3" w:rsidRPr="002C3D11" w:rsidRDefault="009B64C3" w:rsidP="002C3D11">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16"/>
          <w:szCs w:val="16"/>
          <w:lang w:val="es-ES"/>
        </w:rPr>
      </w:pPr>
      <w:r w:rsidRPr="002C3D11">
        <w:rPr>
          <w:rStyle w:val="FootnoteReference"/>
          <w:rFonts w:asciiTheme="majorHAnsi" w:hAnsiTheme="majorHAnsi"/>
        </w:rPr>
        <w:footnoteRef/>
      </w:r>
      <w:r w:rsidRPr="008F36A3">
        <w:rPr>
          <w:rStyle w:val="FootnoteReference"/>
          <w:rFonts w:asciiTheme="majorHAnsi" w:hAnsiTheme="majorHAnsi"/>
          <w:lang w:val="es-419"/>
        </w:rPr>
        <w:t xml:space="preserve"> </w:t>
      </w:r>
      <w:r w:rsidRPr="002C3D11">
        <w:rPr>
          <w:rFonts w:ascii="Cambria" w:hAnsi="Cambria"/>
          <w:sz w:val="16"/>
          <w:szCs w:val="16"/>
          <w:lang w:val="es-ES"/>
        </w:rPr>
        <w:t>Las fechas de cada una de las decisiones definitivas se detallan en el documento anexo.</w:t>
      </w:r>
    </w:p>
  </w:footnote>
  <w:footnote w:id="12">
    <w:p w14:paraId="7E04F2C6" w14:textId="75C06C7E" w:rsidR="009B64C3" w:rsidRPr="002C3D11" w:rsidRDefault="009B64C3" w:rsidP="002C3D11">
      <w:pPr>
        <w:pStyle w:val="FootnoteText"/>
        <w:pBdr>
          <w:top w:val="none" w:sz="0" w:space="0" w:color="auto"/>
          <w:left w:val="none" w:sz="0" w:space="0" w:color="auto"/>
          <w:bottom w:val="none" w:sz="0" w:space="0" w:color="auto"/>
          <w:right w:val="none" w:sz="0" w:space="0" w:color="auto"/>
          <w:bar w:val="none" w:sz="0" w:color="auto"/>
        </w:pBdr>
        <w:ind w:firstLine="720"/>
        <w:jc w:val="both"/>
        <w:rPr>
          <w:rStyle w:val="FootnoteReference"/>
          <w:rFonts w:asciiTheme="majorHAnsi" w:hAnsiTheme="majorHAnsi"/>
          <w:sz w:val="16"/>
          <w:szCs w:val="16"/>
          <w:vertAlign w:val="baseline"/>
          <w:lang w:val="es-ES"/>
        </w:rPr>
      </w:pPr>
      <w:r w:rsidRPr="002C3D11">
        <w:rPr>
          <w:rStyle w:val="FootnoteReference"/>
          <w:rFonts w:asciiTheme="majorHAnsi" w:hAnsiTheme="majorHAnsi"/>
          <w:sz w:val="16"/>
          <w:szCs w:val="16"/>
        </w:rPr>
        <w:footnoteRef/>
      </w:r>
      <w:r w:rsidRPr="002C3D11">
        <w:rPr>
          <w:rStyle w:val="FootnoteReference"/>
          <w:rFonts w:asciiTheme="majorHAnsi" w:hAnsiTheme="majorHAnsi"/>
          <w:sz w:val="16"/>
          <w:szCs w:val="16"/>
          <w:vertAlign w:val="baseline"/>
          <w:lang w:val="es-ES"/>
        </w:rPr>
        <w:t xml:space="preserve"> CIDH, Informe No. 172/10, Caso 12.651. Fondo. César Alberto Mendoza y Otros . Argentina. 2 de noviembre de 2010. párr. 189; ver también CIDH, Informe No. 158/17, Petición 404-08. Admisibilidad. José Luis Villeda Recinos. Guatemala. 30 de noviembre de 2017, párr. 13; CIDH, Informe No. 172/18, Petición 1540-07. Admisibilidad. Hugo Aroldo Aguilar Barrios. Guatemala. 23 de diciembre de 2018 párr</w:t>
      </w:r>
      <w:r w:rsidR="002C3D11" w:rsidRPr="002C3D11">
        <w:rPr>
          <w:rFonts w:asciiTheme="majorHAnsi" w:hAnsiTheme="majorHAnsi"/>
          <w:sz w:val="16"/>
          <w:szCs w:val="16"/>
          <w:lang w:val="es-ES"/>
        </w:rPr>
        <w:t>.</w:t>
      </w:r>
      <w:r w:rsidRPr="002C3D11">
        <w:rPr>
          <w:rStyle w:val="FootnoteReference"/>
          <w:rFonts w:asciiTheme="majorHAnsi" w:hAnsiTheme="majorHAnsi"/>
          <w:sz w:val="16"/>
          <w:szCs w:val="16"/>
          <w:vertAlign w:val="baseline"/>
          <w:lang w:val="es-ES"/>
        </w:rPr>
        <w:t xml:space="preserve"> 17.</w:t>
      </w:r>
    </w:p>
  </w:footnote>
  <w:footnote w:id="13">
    <w:p w14:paraId="6C728B0C" w14:textId="24962299" w:rsidR="009B64C3" w:rsidRPr="00280E6F" w:rsidRDefault="009B64C3" w:rsidP="002C3D11">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sidRPr="002C3D11">
        <w:rPr>
          <w:rStyle w:val="FootnoteReference"/>
          <w:rFonts w:asciiTheme="majorHAnsi" w:hAnsiTheme="majorHAnsi"/>
          <w:sz w:val="16"/>
          <w:szCs w:val="16"/>
        </w:rPr>
        <w:footnoteRef/>
      </w:r>
      <w:r w:rsidRPr="008F36A3">
        <w:rPr>
          <w:rStyle w:val="FootnoteReference"/>
          <w:rFonts w:asciiTheme="majorHAnsi" w:hAnsiTheme="majorHAnsi"/>
          <w:sz w:val="16"/>
          <w:szCs w:val="16"/>
          <w:lang w:val="es-ES"/>
        </w:rPr>
        <w:t xml:space="preserve"> </w:t>
      </w:r>
      <w:r w:rsidRPr="008F36A3">
        <w:rPr>
          <w:rStyle w:val="FootnoteReference"/>
          <w:rFonts w:asciiTheme="majorHAnsi" w:hAnsiTheme="majorHAnsi"/>
          <w:sz w:val="16"/>
          <w:szCs w:val="16"/>
          <w:vertAlign w:val="baseline"/>
          <w:lang w:val="es-ES"/>
        </w:rPr>
        <w:t>Corte I.D.H., Caso Herrera Ulloa vs. Costa Rica. Sentencia de Excepciones Preliminares, Fondo, Reparaciones y Costas. 2 de julio de 2004, párr. 165.</w:t>
      </w:r>
      <w:r>
        <w:rPr>
          <w:lang w:val="es-PA"/>
        </w:rPr>
        <w:t xml:space="preserve"> </w:t>
      </w:r>
    </w:p>
  </w:footnote>
  <w:footnote w:id="14">
    <w:p w14:paraId="5E1675C5" w14:textId="7242E60B" w:rsidR="002C3D11" w:rsidRPr="002C3D11" w:rsidRDefault="002C3D11" w:rsidP="002C3D11">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sidRPr="002C3D11">
        <w:rPr>
          <w:rStyle w:val="FootnoteReference"/>
          <w:rFonts w:asciiTheme="majorHAnsi" w:hAnsiTheme="majorHAnsi"/>
          <w:sz w:val="16"/>
          <w:szCs w:val="16"/>
        </w:rPr>
        <w:footnoteRef/>
      </w:r>
      <w:r w:rsidRPr="002C3D11">
        <w:rPr>
          <w:rStyle w:val="FootnoteReference"/>
          <w:rFonts w:asciiTheme="majorHAnsi" w:hAnsiTheme="majorHAnsi"/>
          <w:sz w:val="16"/>
          <w:szCs w:val="16"/>
          <w:lang w:val="es-PA"/>
        </w:rPr>
        <w:t xml:space="preserve"> </w:t>
      </w:r>
      <w:r w:rsidRPr="002C3D11">
        <w:rPr>
          <w:rStyle w:val="FootnoteReference"/>
          <w:rFonts w:asciiTheme="majorHAnsi" w:hAnsiTheme="majorHAnsi"/>
          <w:sz w:val="16"/>
          <w:szCs w:val="16"/>
          <w:vertAlign w:val="baseline"/>
          <w:lang w:val="es-PA"/>
        </w:rPr>
        <w:t>Queja por denegatoria de recurso extraordinario federal</w:t>
      </w:r>
      <w:r w:rsidRPr="002C3D11">
        <w:rPr>
          <w:rFonts w:asciiTheme="majorHAnsi" w:hAnsiTheme="majorHAnsi"/>
          <w:sz w:val="16"/>
          <w:szCs w:val="16"/>
          <w:lang w:val="es-P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CE5B5" w14:textId="77777777" w:rsidR="009B64C3" w:rsidRDefault="009B64C3" w:rsidP="00597945">
    <w:pPr>
      <w:pStyle w:val="Header"/>
      <w:framePr w:wrap="around" w:vAnchor="text" w:hAnchor="margin" w:xAlign="center" w:y="1"/>
      <w:rPr>
        <w:rStyle w:val="PageNumber"/>
        <w:rFonts w:cs="Univers"/>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14:paraId="21653037" w14:textId="77777777" w:rsidR="009B64C3" w:rsidRDefault="009B64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E3C04" w14:textId="45157918" w:rsidR="009B64C3" w:rsidRDefault="009B64C3" w:rsidP="00A50FCF">
    <w:pPr>
      <w:pStyle w:val="Header"/>
      <w:tabs>
        <w:tab w:val="clear" w:pos="4320"/>
        <w:tab w:val="clear" w:pos="8640"/>
      </w:tabs>
      <w:jc w:val="center"/>
      <w:rPr>
        <w:sz w:val="22"/>
        <w:szCs w:val="22"/>
      </w:rPr>
    </w:pPr>
    <w:r>
      <w:rPr>
        <w:noProof/>
        <w:sz w:val="22"/>
        <w:szCs w:val="22"/>
      </w:rPr>
      <w:drawing>
        <wp:inline distT="0" distB="0" distL="0" distR="0" wp14:anchorId="0768A48A" wp14:editId="2FCF7703">
          <wp:extent cx="1952625" cy="104775"/>
          <wp:effectExtent l="0" t="0" r="0" b="0"/>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04775"/>
                  </a:xfrm>
                  <a:prstGeom prst="rect">
                    <a:avLst/>
                  </a:prstGeom>
                  <a:noFill/>
                  <a:ln>
                    <a:noFill/>
                  </a:ln>
                </pic:spPr>
              </pic:pic>
            </a:graphicData>
          </a:graphic>
        </wp:inline>
      </w:drawing>
    </w:r>
  </w:p>
  <w:p w14:paraId="39114FC7" w14:textId="77777777" w:rsidR="009B64C3" w:rsidRPr="00EC7D62" w:rsidRDefault="00E1639E" w:rsidP="00A50FCF">
    <w:pPr>
      <w:pStyle w:val="Header"/>
      <w:tabs>
        <w:tab w:val="clear" w:pos="4320"/>
        <w:tab w:val="clear" w:pos="8640"/>
      </w:tabs>
      <w:jc w:val="center"/>
      <w:rPr>
        <w:sz w:val="22"/>
        <w:szCs w:val="22"/>
      </w:rPr>
    </w:pPr>
    <w:r>
      <w:rPr>
        <w:sz w:val="22"/>
        <w:szCs w:val="22"/>
      </w:rPr>
      <w:pict w14:anchorId="547CE918">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CBBF5" w14:textId="77777777" w:rsidR="002C373F" w:rsidRDefault="002C37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Calibri" w:eastAsia="Times New Roman" w:hAnsi="Calibri" w:cs="Calibri" w:hint="default"/>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 w15:restartNumberingAfterBreak="0">
    <w:nsid w:val="0AE7682C"/>
    <w:multiLevelType w:val="hybridMultilevel"/>
    <w:tmpl w:val="C77EC3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7" w15:restartNumberingAfterBreak="0">
    <w:nsid w:val="0E1D2261"/>
    <w:multiLevelType w:val="hybridMultilevel"/>
    <w:tmpl w:val="A85A0E80"/>
    <w:lvl w:ilvl="0" w:tplc="AB847902">
      <w:start w:val="1"/>
      <w:numFmt w:val="decimal"/>
      <w:lvlText w:val="%1."/>
      <w:lvlJc w:val="left"/>
      <w:pPr>
        <w:tabs>
          <w:tab w:val="num" w:pos="720"/>
        </w:tabs>
        <w:ind w:firstLine="72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Times New Roman" w:cs="Calibri"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cs="Times New Roman" w:hint="default"/>
      </w:rPr>
    </w:lvl>
    <w:lvl w:ilvl="1" w:tplc="83BC664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9"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Calibri" w:eastAsia="Times New Roman" w:hAnsi="Calibri" w:cs="Trebuchet MS" w:hint="default"/>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5"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9"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firstLine="720"/>
      </w:pPr>
      <w:rPr>
        <w:rFonts w:cs="Times New Roman" w:hint="default"/>
      </w:rPr>
    </w:lvl>
    <w:lvl w:ilvl="1" w:tplc="F2CAD2CA">
      <w:start w:val="34"/>
      <w:numFmt w:val="decimal"/>
      <w:lvlText w:val="%2."/>
      <w:lvlJc w:val="left"/>
      <w:pPr>
        <w:tabs>
          <w:tab w:val="num" w:pos="2520"/>
        </w:tabs>
        <w:ind w:left="2520" w:hanging="144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Times New Roman" w:cs="Calibri" w:hint="default"/>
      </w:rPr>
    </w:lvl>
    <w:lvl w:ilvl="1">
      <w:start w:val="2"/>
      <w:numFmt w:val="decimal"/>
      <w:lvlText w:val="%1.%2"/>
      <w:lvlJc w:val="left"/>
      <w:pPr>
        <w:ind w:left="1068" w:hanging="360"/>
      </w:pPr>
      <w:rPr>
        <w:rFonts w:eastAsia="Times New Roman" w:cs="Calibri" w:hint="default"/>
      </w:rPr>
    </w:lvl>
    <w:lvl w:ilvl="2">
      <w:start w:val="1"/>
      <w:numFmt w:val="decimal"/>
      <w:lvlText w:val="%1.%2.%3"/>
      <w:lvlJc w:val="left"/>
      <w:pPr>
        <w:ind w:left="2136" w:hanging="720"/>
      </w:pPr>
      <w:rPr>
        <w:rFonts w:eastAsia="Times New Roman" w:cs="Calibri" w:hint="default"/>
      </w:rPr>
    </w:lvl>
    <w:lvl w:ilvl="3">
      <w:start w:val="1"/>
      <w:numFmt w:val="decimal"/>
      <w:lvlText w:val="%1.%2.%3.%4"/>
      <w:lvlJc w:val="left"/>
      <w:pPr>
        <w:ind w:left="2844" w:hanging="720"/>
      </w:pPr>
      <w:rPr>
        <w:rFonts w:eastAsia="Times New Roman" w:cs="Calibri" w:hint="default"/>
      </w:rPr>
    </w:lvl>
    <w:lvl w:ilvl="4">
      <w:start w:val="1"/>
      <w:numFmt w:val="decimal"/>
      <w:lvlText w:val="%1.%2.%3.%4.%5"/>
      <w:lvlJc w:val="left"/>
      <w:pPr>
        <w:ind w:left="3912" w:hanging="1080"/>
      </w:pPr>
      <w:rPr>
        <w:rFonts w:eastAsia="Times New Roman" w:cs="Calibri" w:hint="default"/>
      </w:rPr>
    </w:lvl>
    <w:lvl w:ilvl="5">
      <w:start w:val="1"/>
      <w:numFmt w:val="decimal"/>
      <w:lvlText w:val="%1.%2.%3.%4.%5.%6"/>
      <w:lvlJc w:val="left"/>
      <w:pPr>
        <w:ind w:left="4620" w:hanging="1080"/>
      </w:pPr>
      <w:rPr>
        <w:rFonts w:eastAsia="Times New Roman" w:cs="Calibri" w:hint="default"/>
      </w:rPr>
    </w:lvl>
    <w:lvl w:ilvl="6">
      <w:start w:val="1"/>
      <w:numFmt w:val="decimal"/>
      <w:lvlText w:val="%1.%2.%3.%4.%5.%6.%7"/>
      <w:lvlJc w:val="left"/>
      <w:pPr>
        <w:ind w:left="5688" w:hanging="1440"/>
      </w:pPr>
      <w:rPr>
        <w:rFonts w:eastAsia="Times New Roman" w:cs="Calibri" w:hint="default"/>
      </w:rPr>
    </w:lvl>
    <w:lvl w:ilvl="7">
      <w:start w:val="1"/>
      <w:numFmt w:val="decimal"/>
      <w:lvlText w:val="%1.%2.%3.%4.%5.%6.%7.%8"/>
      <w:lvlJc w:val="left"/>
      <w:pPr>
        <w:ind w:left="6396" w:hanging="1440"/>
      </w:pPr>
      <w:rPr>
        <w:rFonts w:eastAsia="Times New Roman" w:cs="Calibri" w:hint="default"/>
      </w:rPr>
    </w:lvl>
    <w:lvl w:ilvl="8">
      <w:start w:val="1"/>
      <w:numFmt w:val="decimal"/>
      <w:lvlText w:val="%1.%2.%3.%4.%5.%6.%7.%8.%9"/>
      <w:lvlJc w:val="left"/>
      <w:pPr>
        <w:ind w:left="7464" w:hanging="1800"/>
      </w:pPr>
      <w:rPr>
        <w:rFonts w:eastAsia="Times New Roman"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cs="Times New Roman" w:hint="default"/>
        <w:b w:val="0"/>
        <w:color w:val="auto"/>
        <w:sz w:val="20"/>
        <w:szCs w:val="20"/>
      </w:rPr>
    </w:lvl>
    <w:lvl w:ilvl="1" w:tplc="04090019">
      <w:start w:val="1"/>
      <w:numFmt w:val="lowerLetter"/>
      <w:lvlText w:val="%2."/>
      <w:lvlJc w:val="left"/>
      <w:pPr>
        <w:tabs>
          <w:tab w:val="num" w:pos="5040"/>
        </w:tabs>
        <w:ind w:left="5040" w:hanging="360"/>
      </w:pPr>
      <w:rPr>
        <w:rFonts w:cs="Times New Roman"/>
      </w:rPr>
    </w:lvl>
    <w:lvl w:ilvl="2" w:tplc="0409001B" w:tentative="1">
      <w:start w:val="1"/>
      <w:numFmt w:val="lowerRoman"/>
      <w:lvlText w:val="%3."/>
      <w:lvlJc w:val="right"/>
      <w:pPr>
        <w:tabs>
          <w:tab w:val="num" w:pos="5760"/>
        </w:tabs>
        <w:ind w:left="5760" w:hanging="180"/>
      </w:pPr>
      <w:rPr>
        <w:rFonts w:cs="Times New Roman"/>
      </w:rPr>
    </w:lvl>
    <w:lvl w:ilvl="3" w:tplc="0409000F" w:tentative="1">
      <w:start w:val="1"/>
      <w:numFmt w:val="decimal"/>
      <w:lvlText w:val="%4."/>
      <w:lvlJc w:val="left"/>
      <w:pPr>
        <w:tabs>
          <w:tab w:val="num" w:pos="6480"/>
        </w:tabs>
        <w:ind w:left="6480" w:hanging="360"/>
      </w:pPr>
      <w:rPr>
        <w:rFonts w:cs="Times New Roman"/>
      </w:rPr>
    </w:lvl>
    <w:lvl w:ilvl="4" w:tplc="04090019" w:tentative="1">
      <w:start w:val="1"/>
      <w:numFmt w:val="lowerLetter"/>
      <w:lvlText w:val="%5."/>
      <w:lvlJc w:val="left"/>
      <w:pPr>
        <w:tabs>
          <w:tab w:val="num" w:pos="7200"/>
        </w:tabs>
        <w:ind w:left="7200" w:hanging="360"/>
      </w:pPr>
      <w:rPr>
        <w:rFonts w:cs="Times New Roman"/>
      </w:rPr>
    </w:lvl>
    <w:lvl w:ilvl="5" w:tplc="0409001B" w:tentative="1">
      <w:start w:val="1"/>
      <w:numFmt w:val="lowerRoman"/>
      <w:lvlText w:val="%6."/>
      <w:lvlJc w:val="right"/>
      <w:pPr>
        <w:tabs>
          <w:tab w:val="num" w:pos="7920"/>
        </w:tabs>
        <w:ind w:left="7920" w:hanging="180"/>
      </w:pPr>
      <w:rPr>
        <w:rFonts w:cs="Times New Roman"/>
      </w:rPr>
    </w:lvl>
    <w:lvl w:ilvl="6" w:tplc="0409000F" w:tentative="1">
      <w:start w:val="1"/>
      <w:numFmt w:val="decimal"/>
      <w:lvlText w:val="%7."/>
      <w:lvlJc w:val="left"/>
      <w:pPr>
        <w:tabs>
          <w:tab w:val="num" w:pos="8640"/>
        </w:tabs>
        <w:ind w:left="8640" w:hanging="360"/>
      </w:pPr>
      <w:rPr>
        <w:rFonts w:cs="Times New Roman"/>
      </w:rPr>
    </w:lvl>
    <w:lvl w:ilvl="7" w:tplc="04090019" w:tentative="1">
      <w:start w:val="1"/>
      <w:numFmt w:val="lowerLetter"/>
      <w:lvlText w:val="%8."/>
      <w:lvlJc w:val="left"/>
      <w:pPr>
        <w:tabs>
          <w:tab w:val="num" w:pos="9360"/>
        </w:tabs>
        <w:ind w:left="9360" w:hanging="360"/>
      </w:pPr>
      <w:rPr>
        <w:rFonts w:cs="Times New Roman"/>
      </w:rPr>
    </w:lvl>
    <w:lvl w:ilvl="8" w:tplc="0409001B" w:tentative="1">
      <w:start w:val="1"/>
      <w:numFmt w:val="lowerRoman"/>
      <w:lvlText w:val="%9."/>
      <w:lvlJc w:val="right"/>
      <w:pPr>
        <w:tabs>
          <w:tab w:val="num" w:pos="10080"/>
        </w:tabs>
        <w:ind w:left="10080" w:hanging="180"/>
      </w:pPr>
      <w:rPr>
        <w:rFonts w:cs="Times New Roman"/>
      </w:rPr>
    </w:lvl>
  </w:abstractNum>
  <w:abstractNum w:abstractNumId="56" w15:restartNumberingAfterBreak="0">
    <w:nsid w:val="6D1C19C9"/>
    <w:multiLevelType w:val="hybridMultilevel"/>
    <w:tmpl w:val="4A121338"/>
    <w:lvl w:ilvl="0" w:tplc="A9FEF18C">
      <w:start w:val="1"/>
      <w:numFmt w:val="decimal"/>
      <w:lvlText w:val="%1."/>
      <w:lvlJc w:val="left"/>
      <w:pPr>
        <w:tabs>
          <w:tab w:val="num" w:pos="720"/>
        </w:tabs>
        <w:ind w:firstLine="72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Calibri" w:eastAsia="Times New Roman" w:hAnsi="Calibri" w:cs="Calibri" w:hint="default"/>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1"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31"/>
    <w:lvlOverride w:ilvl="0">
      <w:lvl w:ilvl="0">
        <w:start w:val="1"/>
        <w:numFmt w:val="upperRoman"/>
        <w:lvlText w:val="%1."/>
        <w:lvlJc w:val="left"/>
        <w:pPr>
          <w:tabs>
            <w:tab w:val="num" w:pos="1080"/>
          </w:tabs>
          <w:ind w:left="1080" w:hanging="720"/>
        </w:pPr>
        <w:rPr>
          <w:rFonts w:ascii="Calibri" w:eastAsia="Times New Roman" w:hAnsi="Calibri" w:cs="Calibri" w:hint="default"/>
          <w:b/>
          <w:bCs/>
          <w:color w:val="000000"/>
          <w:position w:val="0"/>
          <w:sz w:val="22"/>
          <w:szCs w:val="22"/>
          <w:u w:color="000000"/>
        </w:rPr>
      </w:lvl>
    </w:lvlOverride>
  </w:num>
  <w:num w:numId="2">
    <w:abstractNumId w:val="6"/>
  </w:num>
  <w:num w:numId="3">
    <w:abstractNumId w:val="45"/>
    <w:lvlOverride w:ilvl="0">
      <w:lvl w:ilvl="0">
        <w:start w:val="1"/>
        <w:numFmt w:val="upperLetter"/>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4">
    <w:abstractNumId w:val="23"/>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5">
    <w:abstractNumId w:val="8"/>
  </w:num>
  <w:num w:numId="6">
    <w:abstractNumId w:val="49"/>
    <w:lvlOverride w:ilvl="0">
      <w:lvl w:ilvl="0">
        <w:start w:val="1"/>
        <w:numFmt w:val="decimal"/>
        <w:lvlText w:val="%1."/>
        <w:lvlJc w:val="left"/>
        <w:pPr>
          <w:tabs>
            <w:tab w:val="num" w:pos="720"/>
          </w:tabs>
          <w:ind w:left="720" w:hanging="360"/>
        </w:pPr>
        <w:rPr>
          <w:rFonts w:ascii="Calibri" w:eastAsia="Times New Roman" w:hAnsi="Calibri" w:cs="Trebuchet MS" w:hint="default"/>
          <w:b/>
          <w:bCs/>
          <w:i w:val="0"/>
          <w:color w:val="000000"/>
          <w:position w:val="0"/>
          <w:sz w:val="22"/>
          <w:szCs w:val="22"/>
          <w:u w:color="000000"/>
        </w:rPr>
      </w:lvl>
    </w:lvlOverride>
  </w:num>
  <w:num w:numId="7">
    <w:abstractNumId w:val="62"/>
  </w:num>
  <w:num w:numId="8">
    <w:abstractNumId w:val="24"/>
  </w:num>
  <w:num w:numId="9">
    <w:abstractNumId w:val="52"/>
  </w:num>
  <w:num w:numId="10">
    <w:abstractNumId w:val="17"/>
    <w:lvlOverride w:ilvl="0">
      <w:lvl w:ilvl="0">
        <w:start w:val="1"/>
        <w:numFmt w:val="upperLetter"/>
        <w:lvlText w:val="%1."/>
        <w:lvlJc w:val="left"/>
        <w:pPr>
          <w:tabs>
            <w:tab w:val="num" w:pos="1080"/>
          </w:tabs>
          <w:ind w:left="1080" w:hanging="720"/>
        </w:pPr>
        <w:rPr>
          <w:rFonts w:ascii="Calibri" w:eastAsia="Times New Roman" w:hAnsi="Calibri" w:cs="Calibri" w:hint="default"/>
          <w:b/>
          <w:bCs/>
          <w:color w:val="000000"/>
          <w:position w:val="0"/>
          <w:sz w:val="22"/>
          <w:szCs w:val="22"/>
          <w:u w:color="000000"/>
        </w:rPr>
      </w:lvl>
    </w:lvlOverride>
  </w:num>
  <w:num w:numId="11">
    <w:abstractNumId w:val="30"/>
  </w:num>
  <w:num w:numId="12">
    <w:abstractNumId w:val="60"/>
  </w:num>
  <w:num w:numId="13">
    <w:abstractNumId w:val="37"/>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4">
    <w:abstractNumId w:val="11"/>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5">
    <w:abstractNumId w:val="10"/>
    <w:lvlOverride w:ilvl="0">
      <w:lvl w:ilvl="0">
        <w:start w:val="2"/>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16">
    <w:abstractNumId w:val="21"/>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7">
    <w:abstractNumId w:val="25"/>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8">
    <w:abstractNumId w:val="13"/>
    <w:lvlOverride w:ilvl="0">
      <w:lvl w:ilvl="0">
        <w:start w:val="2"/>
        <w:numFmt w:val="upperLetter"/>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lvlText w:val="%4."/>
        <w:lvlJc w:val="left"/>
        <w:pPr>
          <w:tabs>
            <w:tab w:val="num" w:pos="2850"/>
          </w:tabs>
          <w:ind w:left="2850" w:hanging="330"/>
        </w:pPr>
        <w:rPr>
          <w:rFonts w:ascii="Calibri" w:eastAsia="Times New Roman" w:hAnsi="Calibri" w:cs="Calibri"/>
          <w:b w:val="0"/>
          <w:bCs/>
          <w:color w:val="000000"/>
          <w:position w:val="0"/>
          <w:sz w:val="22"/>
          <w:szCs w:val="22"/>
          <w:u w:color="000000"/>
        </w:rPr>
      </w:lvl>
    </w:lvlOverride>
  </w:num>
  <w:num w:numId="19">
    <w:abstractNumId w:val="57"/>
    <w:lvlOverride w:ilvl="0">
      <w:lvl w:ilvl="0">
        <w:start w:val="2"/>
        <w:numFmt w:val="decimal"/>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0">
    <w:abstractNumId w:val="9"/>
  </w:num>
  <w:num w:numId="21">
    <w:abstractNumId w:val="39"/>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22">
    <w:abstractNumId w:val="26"/>
    <w:lvlOverride w:ilvl="0">
      <w:lvl w:ilvl="0">
        <w:start w:val="1"/>
        <w:numFmt w:val="decimal"/>
        <w:lvlText w:val="%1."/>
        <w:lvlJc w:val="left"/>
        <w:pPr>
          <w:ind w:left="1440" w:hanging="360"/>
        </w:pPr>
        <w:rPr>
          <w:rFonts w:cs="Times New Roman" w:hint="default"/>
          <w:color w:val="auto"/>
        </w:rPr>
      </w:lvl>
    </w:lvlOverride>
    <w:lvlOverride w:ilvl="1">
      <w:lvl w:ilvl="1">
        <w:start w:val="1"/>
        <w:numFmt w:val="lowerLetter"/>
        <w:lvlText w:val="%2."/>
        <w:lvlJc w:val="left"/>
        <w:pPr>
          <w:ind w:left="2160" w:hanging="360"/>
        </w:pPr>
        <w:rPr>
          <w:rFonts w:cs="Times New Roman"/>
        </w:rPr>
      </w:lvl>
    </w:lvlOverride>
    <w:lvlOverride w:ilvl="2">
      <w:lvl w:ilvl="2" w:tentative="1">
        <w:start w:val="1"/>
        <w:numFmt w:val="lowerRoman"/>
        <w:lvlText w:val="%3."/>
        <w:lvlJc w:val="right"/>
        <w:pPr>
          <w:ind w:left="2880" w:hanging="180"/>
        </w:pPr>
        <w:rPr>
          <w:rFonts w:cs="Times New Roman"/>
        </w:rPr>
      </w:lvl>
    </w:lvlOverride>
    <w:lvlOverride w:ilvl="3">
      <w:lvl w:ilvl="3" w:tentative="1">
        <w:start w:val="1"/>
        <w:numFmt w:val="decimal"/>
        <w:lvlText w:val="%4."/>
        <w:lvlJc w:val="left"/>
        <w:pPr>
          <w:ind w:left="3600" w:hanging="360"/>
        </w:pPr>
        <w:rPr>
          <w:rFonts w:cs="Times New Roman"/>
        </w:rPr>
      </w:lvl>
    </w:lvlOverride>
    <w:lvlOverride w:ilvl="4">
      <w:lvl w:ilvl="4" w:tentative="1">
        <w:start w:val="1"/>
        <w:numFmt w:val="lowerLetter"/>
        <w:lvlText w:val="%5."/>
        <w:lvlJc w:val="left"/>
        <w:pPr>
          <w:ind w:left="4320" w:hanging="360"/>
        </w:pPr>
        <w:rPr>
          <w:rFonts w:cs="Times New Roman"/>
        </w:rPr>
      </w:lvl>
    </w:lvlOverride>
    <w:lvlOverride w:ilvl="5">
      <w:lvl w:ilvl="5" w:tentative="1">
        <w:start w:val="1"/>
        <w:numFmt w:val="lowerRoman"/>
        <w:lvlText w:val="%6."/>
        <w:lvlJc w:val="right"/>
        <w:pPr>
          <w:ind w:left="5040" w:hanging="180"/>
        </w:pPr>
        <w:rPr>
          <w:rFonts w:cs="Times New Roman"/>
        </w:rPr>
      </w:lvl>
    </w:lvlOverride>
    <w:lvlOverride w:ilvl="6">
      <w:lvl w:ilvl="6" w:tentative="1">
        <w:start w:val="1"/>
        <w:numFmt w:val="decimal"/>
        <w:lvlText w:val="%7."/>
        <w:lvlJc w:val="left"/>
        <w:pPr>
          <w:ind w:left="5760" w:hanging="360"/>
        </w:pPr>
        <w:rPr>
          <w:rFonts w:cs="Times New Roman"/>
        </w:rPr>
      </w:lvl>
    </w:lvlOverride>
    <w:lvlOverride w:ilvl="7">
      <w:lvl w:ilvl="7" w:tentative="1">
        <w:start w:val="1"/>
        <w:numFmt w:val="lowerLetter"/>
        <w:lvlText w:val="%8."/>
        <w:lvlJc w:val="left"/>
        <w:pPr>
          <w:ind w:left="6480" w:hanging="360"/>
        </w:pPr>
        <w:rPr>
          <w:rFonts w:cs="Times New Roman"/>
        </w:rPr>
      </w:lvl>
    </w:lvlOverride>
    <w:lvlOverride w:ilvl="8">
      <w:lvl w:ilvl="8" w:tentative="1">
        <w:start w:val="1"/>
        <w:numFmt w:val="lowerRoman"/>
        <w:lvlText w:val="%9."/>
        <w:lvlJc w:val="right"/>
        <w:pPr>
          <w:ind w:left="7200" w:hanging="180"/>
        </w:pPr>
        <w:rPr>
          <w:rFonts w:cs="Times New Roman"/>
        </w:rPr>
      </w:lvl>
    </w:lvlOverride>
  </w:num>
  <w:num w:numId="23">
    <w:abstractNumId w:val="12"/>
    <w:lvlOverride w:ilvl="0">
      <w:lvl w:ilvl="0">
        <w:start w:val="6"/>
        <w:numFmt w:val="decimal"/>
        <w:lvlText w:val="%1."/>
        <w:lvlJc w:val="left"/>
        <w:pPr>
          <w:tabs>
            <w:tab w:val="num" w:pos="360"/>
          </w:tabs>
          <w:ind w:left="360" w:hanging="360"/>
        </w:pPr>
        <w:rPr>
          <w:rFonts w:ascii="Calibri" w:eastAsia="Times New Roman" w:hAnsi="Calibri" w:cs="Calibri" w:hint="default"/>
          <w:color w:val="000000"/>
          <w:position w:val="0"/>
          <w:sz w:val="22"/>
          <w:szCs w:val="22"/>
          <w:u w:color="000000"/>
        </w:rPr>
      </w:lvl>
    </w:lvlOverride>
  </w:num>
  <w:num w:numId="24">
    <w:abstractNumId w:val="48"/>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25">
    <w:abstractNumId w:val="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6">
    <w:abstractNumId w:val="66"/>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7">
    <w:abstractNumId w:val="50"/>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8">
    <w:abstractNumId w:val="29"/>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9">
    <w:abstractNumId w:val="35"/>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0">
    <w:abstractNumId w:val="3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1">
    <w:abstractNumId w:val="61"/>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2">
    <w:abstractNumId w:val="65"/>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3">
    <w:abstractNumId w:val="22"/>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34">
    <w:abstractNumId w:val="41"/>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7">
    <w:abstractNumId w:val="6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8">
    <w:abstractNumId w:val="36"/>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9">
    <w:abstractNumId w:val="6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0">
    <w:abstractNumId w:val="16"/>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1">
    <w:abstractNumId w:val="59"/>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42">
    <w:abstractNumId w:val="4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lvlText w:val="%4."/>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43">
    <w:abstractNumId w:val="18"/>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4">
    <w:abstractNumId w:val="4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5">
    <w:abstractNumId w:val="1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6">
    <w:abstractNumId w:val="19"/>
    <w:lvlOverride w:ilvl="0">
      <w:lvl w:ilvl="0">
        <w:start w:val="1"/>
        <w:numFmt w:val="decimal"/>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7">
    <w:abstractNumId w:val="27"/>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48">
    <w:abstractNumId w:val="68"/>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49">
    <w:abstractNumId w:val="4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0">
    <w:abstractNumId w:val="38"/>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1">
    <w:abstractNumId w:val="3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3"/>
  </w:num>
  <w:num w:numId="95">
    <w:abstractNumId w:val="45"/>
  </w:num>
  <w:num w:numId="96">
    <w:abstractNumId w:val="58"/>
  </w:num>
  <w:num w:numId="97">
    <w:abstractNumId w:val="54"/>
  </w:num>
  <w:num w:numId="98">
    <w:abstractNumId w:val="49"/>
  </w:num>
  <w:num w:numId="99">
    <w:abstractNumId w:val="40"/>
  </w:num>
  <w:num w:numId="100">
    <w:abstractNumId w:val="3"/>
  </w:num>
  <w:num w:numId="101">
    <w:abstractNumId w:val="28"/>
  </w:num>
  <w:num w:numId="102">
    <w:abstractNumId w:val="51"/>
  </w:num>
  <w:num w:numId="103">
    <w:abstractNumId w:val="7"/>
  </w:num>
  <w:num w:numId="104">
    <w:abstractNumId w:val="67"/>
  </w:num>
  <w:num w:numId="105">
    <w:abstractNumId w:val="55"/>
  </w:num>
  <w:num w:numId="106">
    <w:abstractNumId w:val="5"/>
  </w:num>
  <w:num w:numId="107">
    <w:abstractNumId w:val="32"/>
  </w:num>
  <w:num w:numId="108">
    <w:abstractNumId w:val="15"/>
  </w:num>
  <w:num w:numId="109">
    <w:abstractNumId w:val="47"/>
  </w:num>
  <w:num w:numId="110">
    <w:abstractNumId w:val="56"/>
  </w:num>
  <w:num w:numId="111">
    <w:abstractNumId w:val="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A85"/>
    <w:rsid w:val="00000CDA"/>
    <w:rsid w:val="00002A0F"/>
    <w:rsid w:val="000038CB"/>
    <w:rsid w:val="00006E1F"/>
    <w:rsid w:val="000070D7"/>
    <w:rsid w:val="0001788C"/>
    <w:rsid w:val="000211E8"/>
    <w:rsid w:val="00022228"/>
    <w:rsid w:val="00031C64"/>
    <w:rsid w:val="00033127"/>
    <w:rsid w:val="000337EF"/>
    <w:rsid w:val="00034F5E"/>
    <w:rsid w:val="00040C3A"/>
    <w:rsid w:val="000419AD"/>
    <w:rsid w:val="000430EB"/>
    <w:rsid w:val="0004364E"/>
    <w:rsid w:val="000437E8"/>
    <w:rsid w:val="000441F8"/>
    <w:rsid w:val="00050979"/>
    <w:rsid w:val="00063C7F"/>
    <w:rsid w:val="00065E01"/>
    <w:rsid w:val="000663AD"/>
    <w:rsid w:val="000716C5"/>
    <w:rsid w:val="00075893"/>
    <w:rsid w:val="00075E23"/>
    <w:rsid w:val="00084710"/>
    <w:rsid w:val="000849F0"/>
    <w:rsid w:val="00085C88"/>
    <w:rsid w:val="0008732F"/>
    <w:rsid w:val="0009344A"/>
    <w:rsid w:val="000A392E"/>
    <w:rsid w:val="000A575F"/>
    <w:rsid w:val="000A67A7"/>
    <w:rsid w:val="000A7BDA"/>
    <w:rsid w:val="000C0BD0"/>
    <w:rsid w:val="000D10DB"/>
    <w:rsid w:val="000E55FB"/>
    <w:rsid w:val="000E5EB5"/>
    <w:rsid w:val="000F35ED"/>
    <w:rsid w:val="00107131"/>
    <w:rsid w:val="00107215"/>
    <w:rsid w:val="0010736F"/>
    <w:rsid w:val="00113A10"/>
    <w:rsid w:val="00113F73"/>
    <w:rsid w:val="00121CC2"/>
    <w:rsid w:val="00132BEB"/>
    <w:rsid w:val="00133C52"/>
    <w:rsid w:val="00133EE5"/>
    <w:rsid w:val="00135EF5"/>
    <w:rsid w:val="001516B9"/>
    <w:rsid w:val="00151C27"/>
    <w:rsid w:val="001526EC"/>
    <w:rsid w:val="001559FC"/>
    <w:rsid w:val="001579E3"/>
    <w:rsid w:val="001625E6"/>
    <w:rsid w:val="00167A34"/>
    <w:rsid w:val="001702AA"/>
    <w:rsid w:val="00174735"/>
    <w:rsid w:val="001770B1"/>
    <w:rsid w:val="00185F17"/>
    <w:rsid w:val="00194AED"/>
    <w:rsid w:val="001976CA"/>
    <w:rsid w:val="001A47A8"/>
    <w:rsid w:val="001A4B16"/>
    <w:rsid w:val="001A5488"/>
    <w:rsid w:val="001A7649"/>
    <w:rsid w:val="001A7870"/>
    <w:rsid w:val="001B3A00"/>
    <w:rsid w:val="001B4A01"/>
    <w:rsid w:val="001C0119"/>
    <w:rsid w:val="001C1B41"/>
    <w:rsid w:val="001C5C47"/>
    <w:rsid w:val="001D0517"/>
    <w:rsid w:val="001D319F"/>
    <w:rsid w:val="001D5E86"/>
    <w:rsid w:val="001D64AB"/>
    <w:rsid w:val="001D65EF"/>
    <w:rsid w:val="001E49E7"/>
    <w:rsid w:val="001F7201"/>
    <w:rsid w:val="001F76DC"/>
    <w:rsid w:val="00210292"/>
    <w:rsid w:val="002165C9"/>
    <w:rsid w:val="00223A29"/>
    <w:rsid w:val="00223E7A"/>
    <w:rsid w:val="002250A3"/>
    <w:rsid w:val="00235217"/>
    <w:rsid w:val="002371C6"/>
    <w:rsid w:val="00246798"/>
    <w:rsid w:val="00246D1F"/>
    <w:rsid w:val="00247403"/>
    <w:rsid w:val="00247542"/>
    <w:rsid w:val="00247CF3"/>
    <w:rsid w:val="00252864"/>
    <w:rsid w:val="002555A5"/>
    <w:rsid w:val="002623DD"/>
    <w:rsid w:val="00263766"/>
    <w:rsid w:val="00263F03"/>
    <w:rsid w:val="002662B1"/>
    <w:rsid w:val="00266B61"/>
    <w:rsid w:val="0026712A"/>
    <w:rsid w:val="002704DB"/>
    <w:rsid w:val="00271996"/>
    <w:rsid w:val="00280E6F"/>
    <w:rsid w:val="002849A6"/>
    <w:rsid w:val="002A0AAE"/>
    <w:rsid w:val="002A2A89"/>
    <w:rsid w:val="002A5820"/>
    <w:rsid w:val="002C373F"/>
    <w:rsid w:val="002C3D11"/>
    <w:rsid w:val="002D2B26"/>
    <w:rsid w:val="002D31DA"/>
    <w:rsid w:val="002D40F1"/>
    <w:rsid w:val="002D7EA2"/>
    <w:rsid w:val="002E187C"/>
    <w:rsid w:val="002F30EC"/>
    <w:rsid w:val="002F3D2A"/>
    <w:rsid w:val="002F5BF0"/>
    <w:rsid w:val="00302733"/>
    <w:rsid w:val="00314078"/>
    <w:rsid w:val="00314695"/>
    <w:rsid w:val="0031535D"/>
    <w:rsid w:val="00316A16"/>
    <w:rsid w:val="00316DAB"/>
    <w:rsid w:val="00320950"/>
    <w:rsid w:val="003239B8"/>
    <w:rsid w:val="0033169F"/>
    <w:rsid w:val="00337095"/>
    <w:rsid w:val="003373B4"/>
    <w:rsid w:val="00344977"/>
    <w:rsid w:val="00346C95"/>
    <w:rsid w:val="00354036"/>
    <w:rsid w:val="003559FB"/>
    <w:rsid w:val="00356185"/>
    <w:rsid w:val="00356F4A"/>
    <w:rsid w:val="00360249"/>
    <w:rsid w:val="00360380"/>
    <w:rsid w:val="003611B4"/>
    <w:rsid w:val="00363299"/>
    <w:rsid w:val="00364577"/>
    <w:rsid w:val="00366AA2"/>
    <w:rsid w:val="00372E10"/>
    <w:rsid w:val="00373311"/>
    <w:rsid w:val="0037519E"/>
    <w:rsid w:val="00380186"/>
    <w:rsid w:val="00381D4D"/>
    <w:rsid w:val="00383791"/>
    <w:rsid w:val="00385C22"/>
    <w:rsid w:val="00386CF0"/>
    <w:rsid w:val="00391263"/>
    <w:rsid w:val="00391753"/>
    <w:rsid w:val="00392C9E"/>
    <w:rsid w:val="003941D2"/>
    <w:rsid w:val="00395FD5"/>
    <w:rsid w:val="00396A24"/>
    <w:rsid w:val="003A1150"/>
    <w:rsid w:val="003A76B5"/>
    <w:rsid w:val="003B30BF"/>
    <w:rsid w:val="003B70FB"/>
    <w:rsid w:val="003C676B"/>
    <w:rsid w:val="003D3BC2"/>
    <w:rsid w:val="003D6150"/>
    <w:rsid w:val="003E09B5"/>
    <w:rsid w:val="003E6CA1"/>
    <w:rsid w:val="003E7F31"/>
    <w:rsid w:val="003F200B"/>
    <w:rsid w:val="003F3DD2"/>
    <w:rsid w:val="003F6C6C"/>
    <w:rsid w:val="004019DB"/>
    <w:rsid w:val="00405275"/>
    <w:rsid w:val="004059C4"/>
    <w:rsid w:val="00406197"/>
    <w:rsid w:val="004065A8"/>
    <w:rsid w:val="004165C2"/>
    <w:rsid w:val="00421BC8"/>
    <w:rsid w:val="00430BCF"/>
    <w:rsid w:val="00432FE3"/>
    <w:rsid w:val="00433BE4"/>
    <w:rsid w:val="004416A4"/>
    <w:rsid w:val="00441ECB"/>
    <w:rsid w:val="00445193"/>
    <w:rsid w:val="00445B8B"/>
    <w:rsid w:val="0044611A"/>
    <w:rsid w:val="00454BDA"/>
    <w:rsid w:val="00457BDF"/>
    <w:rsid w:val="00460106"/>
    <w:rsid w:val="00460E7A"/>
    <w:rsid w:val="0046288F"/>
    <w:rsid w:val="00462C1B"/>
    <w:rsid w:val="00466EAD"/>
    <w:rsid w:val="00467B7E"/>
    <w:rsid w:val="00473BB4"/>
    <w:rsid w:val="004766E5"/>
    <w:rsid w:val="00477592"/>
    <w:rsid w:val="00477B4A"/>
    <w:rsid w:val="004808B4"/>
    <w:rsid w:val="00486F1C"/>
    <w:rsid w:val="00487F31"/>
    <w:rsid w:val="0049419D"/>
    <w:rsid w:val="004972B3"/>
    <w:rsid w:val="004A1E14"/>
    <w:rsid w:val="004A6A54"/>
    <w:rsid w:val="004B0BE6"/>
    <w:rsid w:val="004B2EA2"/>
    <w:rsid w:val="004C20D2"/>
    <w:rsid w:val="004C2312"/>
    <w:rsid w:val="004C2AEB"/>
    <w:rsid w:val="004C2C06"/>
    <w:rsid w:val="004C4B62"/>
    <w:rsid w:val="004C54C9"/>
    <w:rsid w:val="004C7E9A"/>
    <w:rsid w:val="004D05D6"/>
    <w:rsid w:val="004D3F74"/>
    <w:rsid w:val="004D4ABA"/>
    <w:rsid w:val="004D6025"/>
    <w:rsid w:val="004E2649"/>
    <w:rsid w:val="004E376D"/>
    <w:rsid w:val="004E53C5"/>
    <w:rsid w:val="004F1CEA"/>
    <w:rsid w:val="004F3F74"/>
    <w:rsid w:val="00501399"/>
    <w:rsid w:val="005054E4"/>
    <w:rsid w:val="0050633D"/>
    <w:rsid w:val="00507BC4"/>
    <w:rsid w:val="005114AC"/>
    <w:rsid w:val="005128E4"/>
    <w:rsid w:val="005133DB"/>
    <w:rsid w:val="00515402"/>
    <w:rsid w:val="00517991"/>
    <w:rsid w:val="00522B0E"/>
    <w:rsid w:val="00524D12"/>
    <w:rsid w:val="00525560"/>
    <w:rsid w:val="00531551"/>
    <w:rsid w:val="00532277"/>
    <w:rsid w:val="00537490"/>
    <w:rsid w:val="00540F17"/>
    <w:rsid w:val="00541DAA"/>
    <w:rsid w:val="00541E0F"/>
    <w:rsid w:val="00544C49"/>
    <w:rsid w:val="0055109B"/>
    <w:rsid w:val="005516A1"/>
    <w:rsid w:val="005574B3"/>
    <w:rsid w:val="00563557"/>
    <w:rsid w:val="00565E6D"/>
    <w:rsid w:val="0057402A"/>
    <w:rsid w:val="005758F4"/>
    <w:rsid w:val="005771D0"/>
    <w:rsid w:val="00580173"/>
    <w:rsid w:val="00586B6D"/>
    <w:rsid w:val="00591838"/>
    <w:rsid w:val="0059191A"/>
    <w:rsid w:val="005921FF"/>
    <w:rsid w:val="00597945"/>
    <w:rsid w:val="005A24ED"/>
    <w:rsid w:val="005A6D0E"/>
    <w:rsid w:val="005B52B0"/>
    <w:rsid w:val="005B6806"/>
    <w:rsid w:val="005C15DC"/>
    <w:rsid w:val="005C4225"/>
    <w:rsid w:val="005D0D39"/>
    <w:rsid w:val="005D1E78"/>
    <w:rsid w:val="005D6FC4"/>
    <w:rsid w:val="005E399D"/>
    <w:rsid w:val="005F0DAD"/>
    <w:rsid w:val="005F0F33"/>
    <w:rsid w:val="005F6C25"/>
    <w:rsid w:val="00600DEB"/>
    <w:rsid w:val="00603DDB"/>
    <w:rsid w:val="00606475"/>
    <w:rsid w:val="006132CC"/>
    <w:rsid w:val="006218E4"/>
    <w:rsid w:val="00624240"/>
    <w:rsid w:val="006242ED"/>
    <w:rsid w:val="00624508"/>
    <w:rsid w:val="00627C9F"/>
    <w:rsid w:val="00627CCE"/>
    <w:rsid w:val="006311E9"/>
    <w:rsid w:val="00632354"/>
    <w:rsid w:val="00634C07"/>
    <w:rsid w:val="006358EA"/>
    <w:rsid w:val="0063685A"/>
    <w:rsid w:val="00642810"/>
    <w:rsid w:val="00642946"/>
    <w:rsid w:val="006508E0"/>
    <w:rsid w:val="00652333"/>
    <w:rsid w:val="0066038B"/>
    <w:rsid w:val="0066213D"/>
    <w:rsid w:val="006621F4"/>
    <w:rsid w:val="00663DF4"/>
    <w:rsid w:val="00663F9E"/>
    <w:rsid w:val="00671C17"/>
    <w:rsid w:val="00677A84"/>
    <w:rsid w:val="0068009E"/>
    <w:rsid w:val="0068681D"/>
    <w:rsid w:val="00687196"/>
    <w:rsid w:val="0068758C"/>
    <w:rsid w:val="00690C58"/>
    <w:rsid w:val="00691617"/>
    <w:rsid w:val="00692165"/>
    <w:rsid w:val="00692219"/>
    <w:rsid w:val="006963BE"/>
    <w:rsid w:val="00697596"/>
    <w:rsid w:val="006A17D2"/>
    <w:rsid w:val="006A73E6"/>
    <w:rsid w:val="006B0A84"/>
    <w:rsid w:val="006B18EB"/>
    <w:rsid w:val="006B2682"/>
    <w:rsid w:val="006B2D5C"/>
    <w:rsid w:val="006B549C"/>
    <w:rsid w:val="006B67EF"/>
    <w:rsid w:val="006C4EB1"/>
    <w:rsid w:val="006E0166"/>
    <w:rsid w:val="006E0241"/>
    <w:rsid w:val="006E10B3"/>
    <w:rsid w:val="006E5612"/>
    <w:rsid w:val="006E6DB0"/>
    <w:rsid w:val="006E7B34"/>
    <w:rsid w:val="007029BC"/>
    <w:rsid w:val="0070697F"/>
    <w:rsid w:val="0072199C"/>
    <w:rsid w:val="0072217C"/>
    <w:rsid w:val="00722C9F"/>
    <w:rsid w:val="007253B8"/>
    <w:rsid w:val="0072638C"/>
    <w:rsid w:val="00727E13"/>
    <w:rsid w:val="00731169"/>
    <w:rsid w:val="00737058"/>
    <w:rsid w:val="0073741F"/>
    <w:rsid w:val="00755870"/>
    <w:rsid w:val="00761C48"/>
    <w:rsid w:val="0076643F"/>
    <w:rsid w:val="00773242"/>
    <w:rsid w:val="00777F63"/>
    <w:rsid w:val="0078604E"/>
    <w:rsid w:val="0078770A"/>
    <w:rsid w:val="00795333"/>
    <w:rsid w:val="007A5817"/>
    <w:rsid w:val="007A7756"/>
    <w:rsid w:val="007B05C4"/>
    <w:rsid w:val="007B60E9"/>
    <w:rsid w:val="007B6CC3"/>
    <w:rsid w:val="007C3334"/>
    <w:rsid w:val="007C7FAA"/>
    <w:rsid w:val="007D185F"/>
    <w:rsid w:val="007D2B98"/>
    <w:rsid w:val="007E21BC"/>
    <w:rsid w:val="007E5E33"/>
    <w:rsid w:val="007E6137"/>
    <w:rsid w:val="007E6ED6"/>
    <w:rsid w:val="007E7C82"/>
    <w:rsid w:val="007F2C93"/>
    <w:rsid w:val="007F588D"/>
    <w:rsid w:val="007F668C"/>
    <w:rsid w:val="00801BCF"/>
    <w:rsid w:val="00802425"/>
    <w:rsid w:val="00803F1C"/>
    <w:rsid w:val="0080600E"/>
    <w:rsid w:val="00816ADF"/>
    <w:rsid w:val="00817612"/>
    <w:rsid w:val="008269BA"/>
    <w:rsid w:val="008338A4"/>
    <w:rsid w:val="00834D49"/>
    <w:rsid w:val="00837C45"/>
    <w:rsid w:val="008423F8"/>
    <w:rsid w:val="0084252E"/>
    <w:rsid w:val="00844730"/>
    <w:rsid w:val="008457C2"/>
    <w:rsid w:val="008506B3"/>
    <w:rsid w:val="00854F67"/>
    <w:rsid w:val="00857A82"/>
    <w:rsid w:val="00864DDB"/>
    <w:rsid w:val="00873836"/>
    <w:rsid w:val="00882517"/>
    <w:rsid w:val="008844D0"/>
    <w:rsid w:val="00885737"/>
    <w:rsid w:val="0088585B"/>
    <w:rsid w:val="00886412"/>
    <w:rsid w:val="00890650"/>
    <w:rsid w:val="0089366B"/>
    <w:rsid w:val="00897E12"/>
    <w:rsid w:val="008A7E0F"/>
    <w:rsid w:val="008B12F5"/>
    <w:rsid w:val="008C431A"/>
    <w:rsid w:val="008D4E37"/>
    <w:rsid w:val="008D68AE"/>
    <w:rsid w:val="008D6A46"/>
    <w:rsid w:val="008D768D"/>
    <w:rsid w:val="008E3759"/>
    <w:rsid w:val="008E3BFE"/>
    <w:rsid w:val="008E4641"/>
    <w:rsid w:val="008E5EBB"/>
    <w:rsid w:val="008F0766"/>
    <w:rsid w:val="008F1912"/>
    <w:rsid w:val="008F1B0B"/>
    <w:rsid w:val="008F36A3"/>
    <w:rsid w:val="008F7A8E"/>
    <w:rsid w:val="0090270B"/>
    <w:rsid w:val="009030D1"/>
    <w:rsid w:val="009041DC"/>
    <w:rsid w:val="009049FB"/>
    <w:rsid w:val="00906EA8"/>
    <w:rsid w:val="00917B5A"/>
    <w:rsid w:val="00920A58"/>
    <w:rsid w:val="00920A8C"/>
    <w:rsid w:val="00921361"/>
    <w:rsid w:val="00922B45"/>
    <w:rsid w:val="00923F6D"/>
    <w:rsid w:val="00934A2C"/>
    <w:rsid w:val="00935AC1"/>
    <w:rsid w:val="00947FDD"/>
    <w:rsid w:val="00951A78"/>
    <w:rsid w:val="009528C4"/>
    <w:rsid w:val="0096706E"/>
    <w:rsid w:val="0097061E"/>
    <w:rsid w:val="00974491"/>
    <w:rsid w:val="00974611"/>
    <w:rsid w:val="009757F0"/>
    <w:rsid w:val="00975C4E"/>
    <w:rsid w:val="00975DC7"/>
    <w:rsid w:val="00980ACB"/>
    <w:rsid w:val="00981FBA"/>
    <w:rsid w:val="00984A8E"/>
    <w:rsid w:val="0098519A"/>
    <w:rsid w:val="00986151"/>
    <w:rsid w:val="00997BC5"/>
    <w:rsid w:val="009A1B69"/>
    <w:rsid w:val="009A4695"/>
    <w:rsid w:val="009A4F41"/>
    <w:rsid w:val="009B381B"/>
    <w:rsid w:val="009B64C3"/>
    <w:rsid w:val="009B7794"/>
    <w:rsid w:val="009C2A97"/>
    <w:rsid w:val="009C3F43"/>
    <w:rsid w:val="009D1753"/>
    <w:rsid w:val="009D486B"/>
    <w:rsid w:val="009D581C"/>
    <w:rsid w:val="009D7611"/>
    <w:rsid w:val="009E0B61"/>
    <w:rsid w:val="009E0E57"/>
    <w:rsid w:val="009E53DE"/>
    <w:rsid w:val="009F445E"/>
    <w:rsid w:val="00A031C9"/>
    <w:rsid w:val="00A11E44"/>
    <w:rsid w:val="00A328B3"/>
    <w:rsid w:val="00A3719F"/>
    <w:rsid w:val="00A40A59"/>
    <w:rsid w:val="00A42A85"/>
    <w:rsid w:val="00A42DD8"/>
    <w:rsid w:val="00A43FDB"/>
    <w:rsid w:val="00A44C54"/>
    <w:rsid w:val="00A50FCF"/>
    <w:rsid w:val="00A528D1"/>
    <w:rsid w:val="00A52EF1"/>
    <w:rsid w:val="00A5752B"/>
    <w:rsid w:val="00A610CD"/>
    <w:rsid w:val="00A716A8"/>
    <w:rsid w:val="00A721F6"/>
    <w:rsid w:val="00A758AA"/>
    <w:rsid w:val="00A773B4"/>
    <w:rsid w:val="00A8286B"/>
    <w:rsid w:val="00A85EC3"/>
    <w:rsid w:val="00A9574E"/>
    <w:rsid w:val="00A97B45"/>
    <w:rsid w:val="00AA09A2"/>
    <w:rsid w:val="00AA7996"/>
    <w:rsid w:val="00AB1A39"/>
    <w:rsid w:val="00AC19CB"/>
    <w:rsid w:val="00AC22D6"/>
    <w:rsid w:val="00AD0D7F"/>
    <w:rsid w:val="00AD3684"/>
    <w:rsid w:val="00AD5788"/>
    <w:rsid w:val="00AD772B"/>
    <w:rsid w:val="00AE28BA"/>
    <w:rsid w:val="00AE5488"/>
    <w:rsid w:val="00AE6F91"/>
    <w:rsid w:val="00AE7AB7"/>
    <w:rsid w:val="00AF5571"/>
    <w:rsid w:val="00B07341"/>
    <w:rsid w:val="00B1038D"/>
    <w:rsid w:val="00B1383F"/>
    <w:rsid w:val="00B17F29"/>
    <w:rsid w:val="00B30539"/>
    <w:rsid w:val="00B314DB"/>
    <w:rsid w:val="00B3548E"/>
    <w:rsid w:val="00B361F2"/>
    <w:rsid w:val="00B3718B"/>
    <w:rsid w:val="00B4369B"/>
    <w:rsid w:val="00B4632A"/>
    <w:rsid w:val="00B469D3"/>
    <w:rsid w:val="00B5212E"/>
    <w:rsid w:val="00B530C4"/>
    <w:rsid w:val="00B530F1"/>
    <w:rsid w:val="00B625F8"/>
    <w:rsid w:val="00B76591"/>
    <w:rsid w:val="00B769B9"/>
    <w:rsid w:val="00B804A0"/>
    <w:rsid w:val="00B83D13"/>
    <w:rsid w:val="00B92847"/>
    <w:rsid w:val="00BA276C"/>
    <w:rsid w:val="00BB306F"/>
    <w:rsid w:val="00BB4D5E"/>
    <w:rsid w:val="00BC1EE3"/>
    <w:rsid w:val="00BC6807"/>
    <w:rsid w:val="00BD4B89"/>
    <w:rsid w:val="00BD5922"/>
    <w:rsid w:val="00BE120D"/>
    <w:rsid w:val="00BE2A66"/>
    <w:rsid w:val="00BE54AD"/>
    <w:rsid w:val="00BE7A8F"/>
    <w:rsid w:val="00BF02CB"/>
    <w:rsid w:val="00BF0DA0"/>
    <w:rsid w:val="00BF6FD8"/>
    <w:rsid w:val="00C00FB9"/>
    <w:rsid w:val="00C02B72"/>
    <w:rsid w:val="00C03680"/>
    <w:rsid w:val="00C054DF"/>
    <w:rsid w:val="00C11CDC"/>
    <w:rsid w:val="00C13B49"/>
    <w:rsid w:val="00C15FD9"/>
    <w:rsid w:val="00C17332"/>
    <w:rsid w:val="00C21762"/>
    <w:rsid w:val="00C21FEF"/>
    <w:rsid w:val="00C24543"/>
    <w:rsid w:val="00C25671"/>
    <w:rsid w:val="00C256A2"/>
    <w:rsid w:val="00C3182B"/>
    <w:rsid w:val="00C350A4"/>
    <w:rsid w:val="00C416CC"/>
    <w:rsid w:val="00C51515"/>
    <w:rsid w:val="00C53520"/>
    <w:rsid w:val="00C5660B"/>
    <w:rsid w:val="00C63C94"/>
    <w:rsid w:val="00C66B72"/>
    <w:rsid w:val="00C75C8C"/>
    <w:rsid w:val="00C86C53"/>
    <w:rsid w:val="00C874FB"/>
    <w:rsid w:val="00C87AC4"/>
    <w:rsid w:val="00C9567A"/>
    <w:rsid w:val="00C9784B"/>
    <w:rsid w:val="00C979B1"/>
    <w:rsid w:val="00CA508C"/>
    <w:rsid w:val="00CB1A04"/>
    <w:rsid w:val="00CB212D"/>
    <w:rsid w:val="00CB24A0"/>
    <w:rsid w:val="00CB2660"/>
    <w:rsid w:val="00CB28F0"/>
    <w:rsid w:val="00CB6043"/>
    <w:rsid w:val="00CB7F62"/>
    <w:rsid w:val="00CC5E90"/>
    <w:rsid w:val="00CC5F20"/>
    <w:rsid w:val="00CC7372"/>
    <w:rsid w:val="00CC7C02"/>
    <w:rsid w:val="00CD046C"/>
    <w:rsid w:val="00CE076C"/>
    <w:rsid w:val="00CE0F20"/>
    <w:rsid w:val="00CE28E6"/>
    <w:rsid w:val="00CE5199"/>
    <w:rsid w:val="00CE66D5"/>
    <w:rsid w:val="00CF3E01"/>
    <w:rsid w:val="00CF637A"/>
    <w:rsid w:val="00CF78BC"/>
    <w:rsid w:val="00D059DE"/>
    <w:rsid w:val="00D05ABD"/>
    <w:rsid w:val="00D06960"/>
    <w:rsid w:val="00D13FCE"/>
    <w:rsid w:val="00D306D1"/>
    <w:rsid w:val="00D30800"/>
    <w:rsid w:val="00D33A79"/>
    <w:rsid w:val="00D3467E"/>
    <w:rsid w:val="00D34786"/>
    <w:rsid w:val="00D349F7"/>
    <w:rsid w:val="00D37BFC"/>
    <w:rsid w:val="00D37EDC"/>
    <w:rsid w:val="00D43FAC"/>
    <w:rsid w:val="00D46291"/>
    <w:rsid w:val="00D47A8E"/>
    <w:rsid w:val="00D52D14"/>
    <w:rsid w:val="00D6116C"/>
    <w:rsid w:val="00D63511"/>
    <w:rsid w:val="00D712D3"/>
    <w:rsid w:val="00D71422"/>
    <w:rsid w:val="00D72DC6"/>
    <w:rsid w:val="00D7558D"/>
    <w:rsid w:val="00D75D25"/>
    <w:rsid w:val="00D81B8F"/>
    <w:rsid w:val="00D81D92"/>
    <w:rsid w:val="00D876F9"/>
    <w:rsid w:val="00D879DF"/>
    <w:rsid w:val="00D92ED2"/>
    <w:rsid w:val="00D951AF"/>
    <w:rsid w:val="00D96F50"/>
    <w:rsid w:val="00DA2B5B"/>
    <w:rsid w:val="00DA7B5F"/>
    <w:rsid w:val="00DA7BAE"/>
    <w:rsid w:val="00DC11E7"/>
    <w:rsid w:val="00DC3319"/>
    <w:rsid w:val="00DC675A"/>
    <w:rsid w:val="00DC7023"/>
    <w:rsid w:val="00DC769A"/>
    <w:rsid w:val="00DD3D86"/>
    <w:rsid w:val="00DD5B0F"/>
    <w:rsid w:val="00DD7B18"/>
    <w:rsid w:val="00DE67DE"/>
    <w:rsid w:val="00DF1EC4"/>
    <w:rsid w:val="00DF5B69"/>
    <w:rsid w:val="00DF7577"/>
    <w:rsid w:val="00E02B0A"/>
    <w:rsid w:val="00E0340B"/>
    <w:rsid w:val="00E03DE4"/>
    <w:rsid w:val="00E04A90"/>
    <w:rsid w:val="00E0551F"/>
    <w:rsid w:val="00E16066"/>
    <w:rsid w:val="00E1639E"/>
    <w:rsid w:val="00E176D2"/>
    <w:rsid w:val="00E219C7"/>
    <w:rsid w:val="00E23AFD"/>
    <w:rsid w:val="00E271BA"/>
    <w:rsid w:val="00E32EC5"/>
    <w:rsid w:val="00E355B8"/>
    <w:rsid w:val="00E3777F"/>
    <w:rsid w:val="00E4118C"/>
    <w:rsid w:val="00E41A34"/>
    <w:rsid w:val="00E427C3"/>
    <w:rsid w:val="00E43157"/>
    <w:rsid w:val="00E461CE"/>
    <w:rsid w:val="00E50C73"/>
    <w:rsid w:val="00E51898"/>
    <w:rsid w:val="00E5456C"/>
    <w:rsid w:val="00E57392"/>
    <w:rsid w:val="00E6793F"/>
    <w:rsid w:val="00E67E76"/>
    <w:rsid w:val="00E71312"/>
    <w:rsid w:val="00E719B9"/>
    <w:rsid w:val="00E71A16"/>
    <w:rsid w:val="00E720CA"/>
    <w:rsid w:val="00E73369"/>
    <w:rsid w:val="00E83FD2"/>
    <w:rsid w:val="00E84EB5"/>
    <w:rsid w:val="00E85098"/>
    <w:rsid w:val="00E85662"/>
    <w:rsid w:val="00E8789F"/>
    <w:rsid w:val="00E97B71"/>
    <w:rsid w:val="00EA00C7"/>
    <w:rsid w:val="00EA3BB0"/>
    <w:rsid w:val="00EA3D34"/>
    <w:rsid w:val="00EA5DAB"/>
    <w:rsid w:val="00EB2F22"/>
    <w:rsid w:val="00EB454D"/>
    <w:rsid w:val="00EB4EE8"/>
    <w:rsid w:val="00EB679D"/>
    <w:rsid w:val="00EB7B84"/>
    <w:rsid w:val="00EC0B9E"/>
    <w:rsid w:val="00EC1858"/>
    <w:rsid w:val="00EC33A0"/>
    <w:rsid w:val="00EC4F50"/>
    <w:rsid w:val="00EC7D62"/>
    <w:rsid w:val="00ED21FF"/>
    <w:rsid w:val="00ED24AC"/>
    <w:rsid w:val="00ED2B0A"/>
    <w:rsid w:val="00ED499C"/>
    <w:rsid w:val="00ED549D"/>
    <w:rsid w:val="00ED76BE"/>
    <w:rsid w:val="00ED7F72"/>
    <w:rsid w:val="00EE00E9"/>
    <w:rsid w:val="00EE7B70"/>
    <w:rsid w:val="00EF3BF4"/>
    <w:rsid w:val="00EF619B"/>
    <w:rsid w:val="00EF64D7"/>
    <w:rsid w:val="00F00B55"/>
    <w:rsid w:val="00F00E7E"/>
    <w:rsid w:val="00F02AD1"/>
    <w:rsid w:val="00F06319"/>
    <w:rsid w:val="00F10532"/>
    <w:rsid w:val="00F253CC"/>
    <w:rsid w:val="00F36D9D"/>
    <w:rsid w:val="00F37106"/>
    <w:rsid w:val="00F44E80"/>
    <w:rsid w:val="00F503AF"/>
    <w:rsid w:val="00F519CF"/>
    <w:rsid w:val="00F56BA5"/>
    <w:rsid w:val="00F60E22"/>
    <w:rsid w:val="00F62935"/>
    <w:rsid w:val="00F72F15"/>
    <w:rsid w:val="00F81395"/>
    <w:rsid w:val="00F81BB8"/>
    <w:rsid w:val="00F81EBA"/>
    <w:rsid w:val="00F900A1"/>
    <w:rsid w:val="00F917D1"/>
    <w:rsid w:val="00F9653B"/>
    <w:rsid w:val="00FA1AAA"/>
    <w:rsid w:val="00FA22D7"/>
    <w:rsid w:val="00FB4E75"/>
    <w:rsid w:val="00FB618B"/>
    <w:rsid w:val="00FB62CF"/>
    <w:rsid w:val="00FC1A5A"/>
    <w:rsid w:val="00FC2B4A"/>
    <w:rsid w:val="00FC621F"/>
    <w:rsid w:val="00FD15E3"/>
    <w:rsid w:val="00FD3C3B"/>
    <w:rsid w:val="00FE07DD"/>
    <w:rsid w:val="00FE6A12"/>
    <w:rsid w:val="00FE6B45"/>
    <w:rsid w:val="00FF437B"/>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A4E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s-PA" w:eastAsia="es-P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A0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rsid w:val="00D81D92"/>
    <w:pPr>
      <w:keepNext/>
      <w:keepLines/>
      <w:numPr>
        <w:numId w:val="96"/>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eastAsia="MS Gothic"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002A0F"/>
    <w:rPr>
      <w:rFonts w:cs="Times New Roman"/>
      <w:u w:val="single"/>
    </w:rPr>
  </w:style>
  <w:style w:type="paragraph" w:customStyle="1" w:styleId="Cabeceraypie">
    <w:name w:val="Cabecera y pie"/>
    <w:uiPriority w:val="99"/>
    <w:rsid w:val="00002A0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002A0F"/>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eastAsia="Times New Roman" w:hAnsi="Cambria" w:cs="Cambria"/>
      <w:color w:val="000000"/>
      <w:sz w:val="24"/>
      <w:szCs w:val="24"/>
      <w:u w:color="000000"/>
      <w:lang w:val="en-US" w:eastAsia="es-ES" w:bidi="ar-SA"/>
    </w:rPr>
  </w:style>
  <w:style w:type="paragraph" w:customStyle="1" w:styleId="Cuerpo">
    <w:name w:val="Cuerpo"/>
    <w:uiPriority w:val="99"/>
    <w:rsid w:val="00002A0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002A0F"/>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rsid w:val="00150DEC"/>
    <w:rPr>
      <w:sz w:val="24"/>
      <w:szCs w:val="24"/>
      <w:lang w:val="en-US" w:eastAsia="en-US"/>
    </w:rPr>
  </w:style>
  <w:style w:type="paragraph" w:styleId="ListParagraph">
    <w:name w:val="List Paragraph"/>
    <w:basedOn w:val="Normal"/>
    <w:uiPriority w:val="99"/>
    <w:qFormat/>
    <w:rsid w:val="00002A0F"/>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basedOn w:val="Normal"/>
    <w:link w:val="FootnoteTextChar2"/>
    <w:rsid w:val="00002A0F"/>
    <w:rPr>
      <w:rFonts w:ascii="Calibri" w:hAnsi="Calibri"/>
      <w:color w:val="000000"/>
      <w:sz w:val="20"/>
      <w:szCs w:val="20"/>
      <w:u w:color="000000"/>
      <w:lang w:eastAsia="es-PA"/>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rsid w:val="00150DEC"/>
    <w:rPr>
      <w:sz w:val="20"/>
      <w:szCs w:val="20"/>
      <w:lang w:val="en-US" w:eastAsia="en-US"/>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locked/>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semiHidden/>
    <w:rsid w:val="0031535D"/>
    <w:pPr>
      <w:spacing w:after="120"/>
    </w:pPr>
  </w:style>
  <w:style w:type="character" w:customStyle="1" w:styleId="BodyTextChar">
    <w:name w:val="Body Text Char"/>
    <w:basedOn w:val="DefaultParagraphFont"/>
    <w:link w:val="BodyText"/>
    <w:uiPriority w:val="99"/>
    <w:semiHidden/>
    <w:locked/>
    <w:rsid w:val="0031535D"/>
    <w:rPr>
      <w:rFonts w:cs="Times New Roman"/>
      <w:sz w:val="24"/>
      <w:szCs w:val="24"/>
      <w:lang w:val="en-US" w:eastAsia="en-US"/>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link w:val="FootnoteText"/>
    <w:uiPriority w:val="99"/>
    <w:locked/>
    <w:rsid w:val="0031535D"/>
    <w:rPr>
      <w:rFonts w:ascii="Calibri" w:eastAsia="Times New Roman" w:hAnsi="Calibri"/>
      <w:color w:val="000000"/>
      <w:u w:color="000000"/>
      <w:lang w:val="en-US"/>
    </w:rPr>
  </w:style>
  <w:style w:type="paragraph" w:customStyle="1" w:styleId="Default">
    <w:name w:val="Default"/>
    <w:link w:val="DefaultChar"/>
    <w:uiPriority w:val="99"/>
    <w:rsid w:val="00DF1EC4"/>
    <w:pPr>
      <w:pBdr>
        <w:top w:val="none" w:sz="96" w:space="31" w:color="FFFFFF" w:frame="1"/>
        <w:left w:val="none" w:sz="96" w:space="31" w:color="FFFFFF" w:frame="1"/>
        <w:bottom w:val="none" w:sz="96" w:space="31" w:color="FFFFFF" w:frame="1"/>
        <w:right w:val="none" w:sz="96" w:space="31" w:color="FFFFFF" w:frame="1"/>
        <w:bar w:val="none" w:sz="0" w:color="000000"/>
      </w:pBdr>
      <w:autoSpaceDE w:val="0"/>
      <w:autoSpaceDN w:val="0"/>
      <w:adjustRightInd w:val="0"/>
    </w:pPr>
    <w:rPr>
      <w:rFonts w:eastAsia="Times New Roman"/>
      <w:color w:val="000000"/>
      <w:sz w:val="24"/>
      <w:szCs w:val="24"/>
      <w:lang w:val="en-US" w:eastAsia="en-US"/>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4"/>
      <w:lang w:val="en-US" w:eastAsia="en-US"/>
    </w:rPr>
  </w:style>
  <w:style w:type="table" w:styleId="TableGrid">
    <w:name w:val="Table Grid"/>
    <w:basedOn w:val="TableNormal"/>
    <w:uiPriority w:val="99"/>
    <w:rsid w:val="003239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1838"/>
    <w:rPr>
      <w:rFonts w:cs="Times New Roman"/>
      <w:sz w:val="16"/>
      <w:szCs w:val="16"/>
    </w:rPr>
  </w:style>
  <w:style w:type="paragraph" w:styleId="CommentText">
    <w:name w:val="annotation text"/>
    <w:basedOn w:val="Normal"/>
    <w:link w:val="CommentTextChar"/>
    <w:uiPriority w:val="99"/>
    <w:semiHidden/>
    <w:rsid w:val="00591838"/>
    <w:rPr>
      <w:sz w:val="20"/>
      <w:szCs w:val="20"/>
    </w:rPr>
  </w:style>
  <w:style w:type="character" w:customStyle="1" w:styleId="CommentTextChar">
    <w:name w:val="Comment Text Char"/>
    <w:basedOn w:val="DefaultParagraphFont"/>
    <w:link w:val="CommentText"/>
    <w:uiPriority w:val="99"/>
    <w:semiHidden/>
    <w:locked/>
    <w:rsid w:val="00591838"/>
    <w:rPr>
      <w:rFonts w:cs="Times New Roman"/>
      <w:lang w:val="en-US" w:eastAsia="en-US"/>
    </w:rPr>
  </w:style>
  <w:style w:type="paragraph" w:styleId="CommentSubject">
    <w:name w:val="annotation subject"/>
    <w:basedOn w:val="CommentText"/>
    <w:next w:val="CommentText"/>
    <w:link w:val="CommentSubjectChar"/>
    <w:uiPriority w:val="99"/>
    <w:semiHidden/>
    <w:rsid w:val="00135EF5"/>
    <w:rPr>
      <w:b/>
      <w:bCs/>
    </w:rPr>
  </w:style>
  <w:style w:type="character" w:customStyle="1" w:styleId="CommentSubjectChar">
    <w:name w:val="Comment Subject Char"/>
    <w:basedOn w:val="CommentTextChar"/>
    <w:link w:val="CommentSubject"/>
    <w:uiPriority w:val="99"/>
    <w:semiHidden/>
    <w:locked/>
    <w:rsid w:val="00135EF5"/>
    <w:rPr>
      <w:rFonts w:cs="Times New Roman"/>
      <w:b/>
      <w:bCs/>
      <w:lang w:val="en-US" w:eastAsia="en-US"/>
    </w:rPr>
  </w:style>
  <w:style w:type="paragraph" w:customStyle="1" w:styleId="negritamayuscula">
    <w:name w:val="negrita mayuscula"/>
    <w:basedOn w:val="Normal"/>
    <w:uiPriority w:val="99"/>
    <w:rsid w:val="00C11CDC"/>
    <w:pPr>
      <w:widowControl w:val="0"/>
      <w:pBdr>
        <w:top w:val="none" w:sz="0" w:space="0" w:color="auto"/>
        <w:left w:val="none" w:sz="0" w:space="0" w:color="auto"/>
        <w:bottom w:val="none" w:sz="0" w:space="0" w:color="auto"/>
        <w:right w:val="none" w:sz="0" w:space="0" w:color="auto"/>
        <w:bar w:val="none" w:sz="0" w:color="auto"/>
      </w:pBdr>
      <w:tabs>
        <w:tab w:val="left" w:pos="1120"/>
      </w:tabs>
      <w:spacing w:line="360" w:lineRule="atLeast"/>
      <w:jc w:val="both"/>
    </w:pPr>
    <w:rPr>
      <w:rFonts w:ascii="Garamond" w:hAnsi="Garamond"/>
      <w:szCs w:val="20"/>
      <w:lang w:val="es-ES_tradnl" w:eastAsia="es-E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10532"/>
    <w:rPr>
      <w:rFonts w:ascii="Calibri" w:eastAsia="Times New Roman" w:hAnsi="Calibri"/>
      <w:color w:val="000000"/>
      <w:u w:color="000000"/>
      <w:lang w:val="en-U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F10532"/>
    <w:pPr>
      <w:pBdr>
        <w:top w:val="none" w:sz="0" w:space="0" w:color="auto"/>
        <w:left w:val="none" w:sz="0" w:space="0" w:color="auto"/>
        <w:bottom w:val="none" w:sz="0" w:space="0" w:color="auto"/>
        <w:right w:val="none" w:sz="0" w:space="0" w:color="auto"/>
        <w:bar w:val="none" w:sz="0" w:color="auto"/>
      </w:pBdr>
      <w:jc w:val="both"/>
    </w:pPr>
    <w:rPr>
      <w:noProof/>
      <w:sz w:val="20"/>
      <w:szCs w:val="20"/>
      <w:vertAlign w:val="superscript"/>
      <w:lang w:val="es-PA" w:eastAsia="es-PA"/>
    </w:rPr>
  </w:style>
  <w:style w:type="numbering" w:customStyle="1" w:styleId="List16">
    <w:name w:val="List 16"/>
    <w:rsid w:val="00150DEC"/>
    <w:pPr>
      <w:numPr>
        <w:numId w:val="53"/>
      </w:numPr>
    </w:pPr>
  </w:style>
  <w:style w:type="numbering" w:customStyle="1" w:styleId="List36">
    <w:name w:val="List 36"/>
    <w:rsid w:val="00150DEC"/>
    <w:pPr>
      <w:numPr>
        <w:numId w:val="57"/>
      </w:numPr>
    </w:pPr>
  </w:style>
  <w:style w:type="numbering" w:customStyle="1" w:styleId="List25">
    <w:name w:val="List 25"/>
    <w:rsid w:val="00150DEC"/>
    <w:pPr>
      <w:numPr>
        <w:numId w:val="58"/>
      </w:numPr>
    </w:pPr>
  </w:style>
  <w:style w:type="numbering" w:customStyle="1" w:styleId="List1">
    <w:name w:val="List 1"/>
    <w:rsid w:val="00150DEC"/>
    <w:pPr>
      <w:numPr>
        <w:numId w:val="2"/>
      </w:numPr>
    </w:pPr>
  </w:style>
  <w:style w:type="numbering" w:customStyle="1" w:styleId="List41">
    <w:name w:val="List 41"/>
    <w:rsid w:val="00150DEC"/>
    <w:pPr>
      <w:numPr>
        <w:numId w:val="5"/>
      </w:numPr>
    </w:pPr>
  </w:style>
  <w:style w:type="numbering" w:customStyle="1" w:styleId="List11">
    <w:name w:val="List 11"/>
    <w:rsid w:val="00150DEC"/>
    <w:pPr>
      <w:numPr>
        <w:numId w:val="20"/>
      </w:numPr>
    </w:pPr>
  </w:style>
  <w:style w:type="numbering" w:customStyle="1" w:styleId="List15">
    <w:name w:val="List 15"/>
    <w:rsid w:val="00150DEC"/>
    <w:pPr>
      <w:numPr>
        <w:numId w:val="59"/>
      </w:numPr>
    </w:pPr>
  </w:style>
  <w:style w:type="numbering" w:customStyle="1" w:styleId="List14">
    <w:name w:val="List 14"/>
    <w:rsid w:val="00150DEC"/>
    <w:pPr>
      <w:numPr>
        <w:numId w:val="60"/>
      </w:numPr>
    </w:pPr>
  </w:style>
  <w:style w:type="numbering" w:customStyle="1" w:styleId="List23">
    <w:name w:val="List 23"/>
    <w:rsid w:val="00150DEC"/>
    <w:pPr>
      <w:numPr>
        <w:numId w:val="61"/>
      </w:numPr>
    </w:pPr>
  </w:style>
  <w:style w:type="numbering" w:customStyle="1" w:styleId="List19">
    <w:name w:val="List 19"/>
    <w:rsid w:val="00150DEC"/>
    <w:pPr>
      <w:numPr>
        <w:numId w:val="62"/>
      </w:numPr>
    </w:pPr>
  </w:style>
  <w:style w:type="numbering" w:customStyle="1" w:styleId="List45">
    <w:name w:val="List 45"/>
    <w:rsid w:val="00150DEC"/>
    <w:pPr>
      <w:numPr>
        <w:numId w:val="63"/>
      </w:numPr>
    </w:pPr>
  </w:style>
  <w:style w:type="numbering" w:customStyle="1" w:styleId="List40">
    <w:name w:val="List 40"/>
    <w:rsid w:val="00150DEC"/>
    <w:pPr>
      <w:numPr>
        <w:numId w:val="64"/>
      </w:numPr>
    </w:pPr>
  </w:style>
  <w:style w:type="numbering" w:customStyle="1" w:styleId="List9">
    <w:name w:val="List 9"/>
    <w:rsid w:val="00150DEC"/>
    <w:pPr>
      <w:numPr>
        <w:numId w:val="65"/>
      </w:numPr>
    </w:pPr>
  </w:style>
  <w:style w:type="numbering" w:customStyle="1" w:styleId="List43">
    <w:name w:val="List 43"/>
    <w:rsid w:val="00150DEC"/>
    <w:pPr>
      <w:numPr>
        <w:numId w:val="66"/>
      </w:numPr>
    </w:pPr>
  </w:style>
  <w:style w:type="numbering" w:customStyle="1" w:styleId="List46">
    <w:name w:val="List 46"/>
    <w:rsid w:val="00150DEC"/>
    <w:pPr>
      <w:numPr>
        <w:numId w:val="67"/>
      </w:numPr>
    </w:pPr>
  </w:style>
  <w:style w:type="numbering" w:customStyle="1" w:styleId="List35">
    <w:name w:val="List 35"/>
    <w:rsid w:val="00150DEC"/>
    <w:pPr>
      <w:numPr>
        <w:numId w:val="35"/>
      </w:numPr>
    </w:pPr>
  </w:style>
  <w:style w:type="numbering" w:customStyle="1" w:styleId="List17">
    <w:name w:val="List 17"/>
    <w:rsid w:val="00150DEC"/>
    <w:pPr>
      <w:numPr>
        <w:numId w:val="68"/>
      </w:numPr>
    </w:pPr>
  </w:style>
  <w:style w:type="numbering" w:customStyle="1" w:styleId="List33">
    <w:name w:val="List 33"/>
    <w:rsid w:val="00150DEC"/>
    <w:pPr>
      <w:numPr>
        <w:numId w:val="69"/>
      </w:numPr>
    </w:pPr>
  </w:style>
  <w:style w:type="numbering" w:customStyle="1" w:styleId="List31">
    <w:name w:val="List 31"/>
    <w:rsid w:val="00150DEC"/>
    <w:pPr>
      <w:numPr>
        <w:numId w:val="94"/>
      </w:numPr>
    </w:pPr>
  </w:style>
  <w:style w:type="numbering" w:customStyle="1" w:styleId="List7">
    <w:name w:val="List 7"/>
    <w:rsid w:val="00150DEC"/>
    <w:pPr>
      <w:numPr>
        <w:numId w:val="8"/>
      </w:numPr>
    </w:pPr>
  </w:style>
  <w:style w:type="numbering" w:customStyle="1" w:styleId="List18">
    <w:name w:val="List 18"/>
    <w:rsid w:val="00150DEC"/>
    <w:pPr>
      <w:numPr>
        <w:numId w:val="70"/>
      </w:numPr>
    </w:pPr>
  </w:style>
  <w:style w:type="numbering" w:customStyle="1" w:styleId="List22">
    <w:name w:val="List 22"/>
    <w:rsid w:val="00150DEC"/>
    <w:pPr>
      <w:numPr>
        <w:numId w:val="71"/>
      </w:numPr>
    </w:pPr>
  </w:style>
  <w:style w:type="numbering" w:customStyle="1" w:styleId="List47">
    <w:name w:val="List 47"/>
    <w:rsid w:val="00150DEC"/>
    <w:pPr>
      <w:numPr>
        <w:numId w:val="72"/>
      </w:numPr>
    </w:pPr>
  </w:style>
  <w:style w:type="numbering" w:customStyle="1" w:styleId="List28">
    <w:name w:val="List 28"/>
    <w:rsid w:val="00150DEC"/>
    <w:pPr>
      <w:numPr>
        <w:numId w:val="73"/>
      </w:numPr>
    </w:pPr>
  </w:style>
  <w:style w:type="numbering" w:customStyle="1" w:styleId="List10">
    <w:name w:val="List 10"/>
    <w:rsid w:val="00150DEC"/>
    <w:pPr>
      <w:numPr>
        <w:numId w:val="11"/>
      </w:numPr>
    </w:pPr>
  </w:style>
  <w:style w:type="numbering" w:customStyle="1" w:styleId="List0">
    <w:name w:val="List 0"/>
    <w:rsid w:val="00150DEC"/>
    <w:pPr>
      <w:numPr>
        <w:numId w:val="74"/>
      </w:numPr>
    </w:pPr>
  </w:style>
  <w:style w:type="numbering" w:customStyle="1" w:styleId="List30">
    <w:name w:val="List 30"/>
    <w:rsid w:val="00150DEC"/>
    <w:pPr>
      <w:numPr>
        <w:numId w:val="75"/>
      </w:numPr>
    </w:pPr>
  </w:style>
  <w:style w:type="numbering" w:customStyle="1" w:styleId="List511">
    <w:name w:val="List 511"/>
    <w:rsid w:val="00150DEC"/>
    <w:pPr>
      <w:numPr>
        <w:numId w:val="76"/>
      </w:numPr>
    </w:pPr>
  </w:style>
  <w:style w:type="numbering" w:customStyle="1" w:styleId="List29">
    <w:name w:val="List 29"/>
    <w:rsid w:val="00150DEC"/>
    <w:pPr>
      <w:numPr>
        <w:numId w:val="77"/>
      </w:numPr>
    </w:pPr>
  </w:style>
  <w:style w:type="numbering" w:customStyle="1" w:styleId="List38">
    <w:name w:val="List 38"/>
    <w:rsid w:val="00150DEC"/>
    <w:pPr>
      <w:numPr>
        <w:numId w:val="78"/>
      </w:numPr>
    </w:pPr>
  </w:style>
  <w:style w:type="numbering" w:customStyle="1" w:styleId="List12">
    <w:name w:val="List 12"/>
    <w:rsid w:val="00150DEC"/>
    <w:pPr>
      <w:numPr>
        <w:numId w:val="79"/>
      </w:numPr>
    </w:pPr>
  </w:style>
  <w:style w:type="numbering" w:customStyle="1" w:styleId="List50">
    <w:name w:val="List 50"/>
    <w:rsid w:val="00150DEC"/>
    <w:pPr>
      <w:numPr>
        <w:numId w:val="80"/>
      </w:numPr>
    </w:pPr>
  </w:style>
  <w:style w:type="numbering" w:customStyle="1" w:styleId="List211">
    <w:name w:val="List 211"/>
    <w:rsid w:val="00150DEC"/>
    <w:pPr>
      <w:numPr>
        <w:numId w:val="81"/>
      </w:numPr>
    </w:pPr>
  </w:style>
  <w:style w:type="numbering" w:customStyle="1" w:styleId="List34">
    <w:name w:val="List 34"/>
    <w:rsid w:val="00150DEC"/>
    <w:pPr>
      <w:numPr>
        <w:numId w:val="54"/>
      </w:numPr>
    </w:pPr>
  </w:style>
  <w:style w:type="numbering" w:customStyle="1" w:styleId="List42">
    <w:name w:val="List 42"/>
    <w:rsid w:val="00150DEC"/>
    <w:pPr>
      <w:numPr>
        <w:numId w:val="55"/>
      </w:numPr>
    </w:pPr>
  </w:style>
  <w:style w:type="numbering" w:customStyle="1" w:styleId="List49">
    <w:name w:val="List 49"/>
    <w:rsid w:val="00150DEC"/>
    <w:pPr>
      <w:numPr>
        <w:numId w:val="82"/>
      </w:numPr>
    </w:pPr>
  </w:style>
  <w:style w:type="numbering" w:customStyle="1" w:styleId="List44">
    <w:name w:val="List 44"/>
    <w:rsid w:val="00150DEC"/>
    <w:pPr>
      <w:numPr>
        <w:numId w:val="83"/>
      </w:numPr>
    </w:pPr>
  </w:style>
  <w:style w:type="numbering" w:customStyle="1" w:styleId="List21">
    <w:name w:val="List 21"/>
    <w:rsid w:val="00150DEC"/>
    <w:pPr>
      <w:numPr>
        <w:numId w:val="95"/>
      </w:numPr>
    </w:pPr>
  </w:style>
  <w:style w:type="numbering" w:customStyle="1" w:styleId="List52">
    <w:name w:val="List 52"/>
    <w:rsid w:val="00150DEC"/>
    <w:pPr>
      <w:numPr>
        <w:numId w:val="52"/>
      </w:numPr>
    </w:pPr>
  </w:style>
  <w:style w:type="numbering" w:customStyle="1" w:styleId="List24">
    <w:name w:val="List 24"/>
    <w:rsid w:val="00150DEC"/>
    <w:pPr>
      <w:numPr>
        <w:numId w:val="56"/>
      </w:numPr>
    </w:pPr>
  </w:style>
  <w:style w:type="numbering" w:customStyle="1" w:styleId="List51">
    <w:name w:val="List 51"/>
    <w:rsid w:val="00150DEC"/>
    <w:pPr>
      <w:numPr>
        <w:numId w:val="98"/>
      </w:numPr>
    </w:pPr>
  </w:style>
  <w:style w:type="numbering" w:customStyle="1" w:styleId="List27">
    <w:name w:val="List 27"/>
    <w:rsid w:val="00150DEC"/>
    <w:pPr>
      <w:numPr>
        <w:numId w:val="84"/>
      </w:numPr>
    </w:pPr>
  </w:style>
  <w:style w:type="numbering" w:customStyle="1" w:styleId="List8">
    <w:name w:val="List 8"/>
    <w:rsid w:val="00150DEC"/>
    <w:pPr>
      <w:numPr>
        <w:numId w:val="9"/>
      </w:numPr>
    </w:pPr>
  </w:style>
  <w:style w:type="numbering" w:customStyle="1" w:styleId="List13">
    <w:name w:val="List 13"/>
    <w:rsid w:val="00150DEC"/>
    <w:pPr>
      <w:numPr>
        <w:numId w:val="85"/>
      </w:numPr>
    </w:pPr>
  </w:style>
  <w:style w:type="numbering" w:customStyle="1" w:styleId="List20">
    <w:name w:val="List 20"/>
    <w:rsid w:val="00150DEC"/>
    <w:pPr>
      <w:numPr>
        <w:numId w:val="86"/>
      </w:numPr>
    </w:pPr>
  </w:style>
  <w:style w:type="numbering" w:customStyle="1" w:styleId="List411">
    <w:name w:val="List 411"/>
    <w:rsid w:val="00150DEC"/>
    <w:pPr>
      <w:numPr>
        <w:numId w:val="87"/>
      </w:numPr>
    </w:pPr>
  </w:style>
  <w:style w:type="numbering" w:customStyle="1" w:styleId="List311">
    <w:name w:val="List 311"/>
    <w:rsid w:val="00150DEC"/>
    <w:pPr>
      <w:numPr>
        <w:numId w:val="88"/>
      </w:numPr>
    </w:pPr>
  </w:style>
  <w:style w:type="numbering" w:customStyle="1" w:styleId="List6">
    <w:name w:val="List 6"/>
    <w:rsid w:val="00150DEC"/>
    <w:pPr>
      <w:numPr>
        <w:numId w:val="7"/>
      </w:numPr>
    </w:pPr>
  </w:style>
  <w:style w:type="numbering" w:customStyle="1" w:styleId="List39">
    <w:name w:val="List 39"/>
    <w:rsid w:val="00150DEC"/>
    <w:pPr>
      <w:numPr>
        <w:numId w:val="89"/>
      </w:numPr>
    </w:pPr>
  </w:style>
  <w:style w:type="numbering" w:customStyle="1" w:styleId="List37">
    <w:name w:val="List 37"/>
    <w:rsid w:val="00150DEC"/>
    <w:pPr>
      <w:numPr>
        <w:numId w:val="90"/>
      </w:numPr>
    </w:pPr>
  </w:style>
  <w:style w:type="numbering" w:customStyle="1" w:styleId="List32">
    <w:name w:val="List 32"/>
    <w:rsid w:val="00150DEC"/>
    <w:pPr>
      <w:numPr>
        <w:numId w:val="91"/>
      </w:numPr>
    </w:pPr>
  </w:style>
  <w:style w:type="numbering" w:customStyle="1" w:styleId="List26">
    <w:name w:val="List 26"/>
    <w:rsid w:val="00150DEC"/>
    <w:pPr>
      <w:numPr>
        <w:numId w:val="92"/>
      </w:numPr>
    </w:pPr>
  </w:style>
  <w:style w:type="numbering" w:customStyle="1" w:styleId="List48">
    <w:name w:val="List 48"/>
    <w:rsid w:val="00150DEC"/>
    <w:pPr>
      <w:numPr>
        <w:numId w:val="9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4185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AF49C-1F94-40DF-8473-7413FAC97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3121</Words>
  <Characters>16199</Characters>
  <Application>Microsoft Office Word</Application>
  <DocSecurity>0</DocSecurity>
  <Lines>323</Lines>
  <Paragraphs>100</Paragraphs>
  <ScaleCrop>false</ScaleCrop>
  <Company/>
  <LinksUpToDate>false</LinksUpToDate>
  <CharactersWithSpaces>19220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272/20</dc:title>
  <dc:subject/>
  <dc:creator/>
  <cp:keywords/>
  <dc:description/>
  <cp:lastModifiedBy/>
  <cp:revision>1</cp:revision>
  <dcterms:created xsi:type="dcterms:W3CDTF">2021-01-05T20:35:00Z</dcterms:created>
  <dcterms:modified xsi:type="dcterms:W3CDTF">2021-01-05T20:36:00Z</dcterms:modified>
</cp:coreProperties>
</file>