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6D3136" w:rsidRDefault="00D306D1" w:rsidP="00627C9F">
      <w:pPr>
        <w:jc w:val="both"/>
        <w:rPr>
          <w:rFonts w:asciiTheme="majorHAnsi" w:hAnsiTheme="majorHAnsi"/>
          <w:b/>
          <w:bCs/>
          <w:sz w:val="22"/>
          <w:szCs w:val="22"/>
          <w:lang w:val="es-ES"/>
        </w:rPr>
      </w:pPr>
      <w:r w:rsidRPr="006D3136">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16se="http://schemas.microsoft.com/office/word/2015/wordml/symex" xmlns:cx1="http://schemas.microsoft.com/office/drawing/2015/9/8/chartex" xmlns:cx="http://schemas.microsoft.com/office/drawing/2014/chartex">
            <w:pict>
              <v:rect w14:anchorId="79B5A1D0"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" fillcolor="#4a7194" stroked="f" strokeweight="2pt"/>
            </w:pict>
          </mc:Fallback>
        </mc:AlternateContent>
      </w:r>
      <w:r w:rsidR="003E6CA1" w:rsidRPr="006D3136">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6D3136"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6D3136"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6D3136" w:rsidRDefault="005128E4" w:rsidP="00040C3A">
      <w:pPr>
        <w:tabs>
          <w:tab w:val="center" w:pos="5400"/>
        </w:tabs>
        <w:suppressAutoHyphens/>
        <w:rPr>
          <w:rFonts w:asciiTheme="majorHAnsi" w:hAnsiTheme="majorHAnsi"/>
          <w:sz w:val="22"/>
          <w:szCs w:val="22"/>
          <w:lang w:val="es-ES"/>
        </w:rPr>
      </w:pPr>
    </w:p>
    <w:p w14:paraId="12A36B24" w14:textId="77777777" w:rsidR="005128E4" w:rsidRPr="006D3136" w:rsidRDefault="005128E4" w:rsidP="00040C3A">
      <w:pPr>
        <w:tabs>
          <w:tab w:val="center" w:pos="5400"/>
        </w:tabs>
        <w:suppressAutoHyphens/>
        <w:rPr>
          <w:rFonts w:asciiTheme="majorHAnsi" w:hAnsiTheme="majorHAnsi"/>
          <w:sz w:val="22"/>
          <w:szCs w:val="22"/>
          <w:lang w:val="es-ES"/>
        </w:rPr>
      </w:pPr>
    </w:p>
    <w:p w14:paraId="2252093D" w14:textId="77777777" w:rsidR="005128E4" w:rsidRPr="006D3136" w:rsidRDefault="005128E4" w:rsidP="00040C3A">
      <w:pPr>
        <w:tabs>
          <w:tab w:val="center" w:pos="5400"/>
        </w:tabs>
        <w:suppressAutoHyphens/>
        <w:rPr>
          <w:rFonts w:asciiTheme="majorHAnsi" w:hAnsiTheme="majorHAnsi"/>
          <w:sz w:val="22"/>
          <w:szCs w:val="22"/>
          <w:lang w:val="es-ES"/>
        </w:rPr>
      </w:pPr>
    </w:p>
    <w:p w14:paraId="403935BD" w14:textId="77777777" w:rsidR="00040C3A" w:rsidRPr="006D3136"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6D3136"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6D3136"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6D3136"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6D3136"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6D3136"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6D3136"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6D3136" w:rsidRDefault="003D3BC2" w:rsidP="00040C3A">
      <w:pPr>
        <w:tabs>
          <w:tab w:val="center" w:pos="5400"/>
        </w:tabs>
        <w:suppressAutoHyphens/>
        <w:jc w:val="center"/>
        <w:rPr>
          <w:rFonts w:asciiTheme="majorHAnsi" w:hAnsiTheme="majorHAnsi"/>
          <w:sz w:val="22"/>
          <w:szCs w:val="22"/>
          <w:lang w:val="es-ES"/>
        </w:rPr>
      </w:pPr>
      <w:r w:rsidRPr="006D3136">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518DE79C" w:rsidR="005B52B0" w:rsidRPr="00867FDD" w:rsidRDefault="005B52B0" w:rsidP="00997BC5">
                            <w:pPr>
                              <w:spacing w:line="276" w:lineRule="auto"/>
                              <w:rPr>
                                <w:rFonts w:asciiTheme="majorHAnsi" w:hAnsiTheme="majorHAnsi" w:cs="Arial"/>
                                <w:b/>
                                <w:bCs/>
                                <w:color w:val="0D0D0D" w:themeColor="text1" w:themeTint="F2"/>
                                <w:sz w:val="36"/>
                                <w:szCs w:val="36"/>
                                <w:lang w:val="es-ES_tradnl"/>
                              </w:rPr>
                            </w:pPr>
                            <w:r w:rsidRPr="00867FDD">
                              <w:rPr>
                                <w:rFonts w:asciiTheme="majorHAnsi" w:hAnsiTheme="majorHAnsi" w:cs="Arial"/>
                                <w:b/>
                                <w:bCs/>
                                <w:color w:val="0D0D0D" w:themeColor="text1" w:themeTint="F2"/>
                                <w:sz w:val="36"/>
                                <w:szCs w:val="36"/>
                                <w:lang w:val="es-ES_tradnl"/>
                              </w:rPr>
                              <w:t xml:space="preserve">INFORME </w:t>
                            </w:r>
                            <w:r w:rsidR="00477592" w:rsidRPr="00867FDD">
                              <w:rPr>
                                <w:rFonts w:asciiTheme="majorHAnsi" w:hAnsiTheme="majorHAnsi" w:cs="Arial"/>
                                <w:b/>
                                <w:bCs/>
                                <w:color w:val="0D0D0D" w:themeColor="text1" w:themeTint="F2"/>
                                <w:sz w:val="36"/>
                                <w:szCs w:val="36"/>
                                <w:lang w:val="es-ES_tradnl"/>
                              </w:rPr>
                              <w:t>No.</w:t>
                            </w:r>
                            <w:r w:rsidR="00867FDD">
                              <w:rPr>
                                <w:rFonts w:asciiTheme="majorHAnsi" w:hAnsiTheme="majorHAnsi" w:cs="Arial"/>
                                <w:b/>
                                <w:bCs/>
                                <w:color w:val="0D0D0D" w:themeColor="text1" w:themeTint="F2"/>
                                <w:sz w:val="36"/>
                                <w:szCs w:val="36"/>
                                <w:lang w:val="es-ES_tradnl"/>
                              </w:rPr>
                              <w:t xml:space="preserve"> 178</w:t>
                            </w:r>
                            <w:r w:rsidR="007B05C4" w:rsidRPr="00867FDD">
                              <w:rPr>
                                <w:rFonts w:asciiTheme="majorHAnsi" w:hAnsiTheme="majorHAnsi" w:cs="Arial"/>
                                <w:b/>
                                <w:bCs/>
                                <w:color w:val="0D0D0D" w:themeColor="text1" w:themeTint="F2"/>
                                <w:sz w:val="36"/>
                                <w:szCs w:val="36"/>
                                <w:lang w:val="es-ES_tradnl"/>
                              </w:rPr>
                              <w:t>/</w:t>
                            </w:r>
                            <w:r w:rsidR="00386938" w:rsidRPr="00867FDD">
                              <w:rPr>
                                <w:rFonts w:asciiTheme="majorHAnsi" w:hAnsiTheme="majorHAnsi" w:cs="Arial"/>
                                <w:b/>
                                <w:bCs/>
                                <w:color w:val="0D0D0D" w:themeColor="text1" w:themeTint="F2"/>
                                <w:sz w:val="36"/>
                                <w:szCs w:val="36"/>
                                <w:lang w:val="es-ES_tradnl"/>
                              </w:rPr>
                              <w:t>20</w:t>
                            </w:r>
                          </w:p>
                          <w:p w14:paraId="09C54AB3" w14:textId="09CFA08E" w:rsidR="007B05C4" w:rsidRPr="00867FDD" w:rsidRDefault="005B52B0" w:rsidP="00997BC5">
                            <w:pPr>
                              <w:spacing w:line="276" w:lineRule="auto"/>
                              <w:rPr>
                                <w:rFonts w:asciiTheme="majorHAnsi" w:hAnsiTheme="majorHAnsi" w:cs="Arial"/>
                                <w:b/>
                                <w:color w:val="0D0D0D" w:themeColor="text1" w:themeTint="F2"/>
                                <w:sz w:val="36"/>
                                <w:szCs w:val="36"/>
                                <w:lang w:val="es-ES_tradnl"/>
                              </w:rPr>
                            </w:pPr>
                            <w:r w:rsidRPr="00867FDD">
                              <w:rPr>
                                <w:rFonts w:asciiTheme="majorHAnsi" w:hAnsiTheme="majorHAnsi" w:cs="Arial"/>
                                <w:b/>
                                <w:color w:val="0D0D0D" w:themeColor="text1" w:themeTint="F2"/>
                                <w:sz w:val="36"/>
                                <w:szCs w:val="36"/>
                                <w:lang w:val="es-ES_tradnl"/>
                              </w:rPr>
                              <w:t xml:space="preserve">PETICIÓN </w:t>
                            </w:r>
                            <w:r w:rsidR="002E47B1" w:rsidRPr="00867FDD">
                              <w:rPr>
                                <w:rFonts w:asciiTheme="majorHAnsi" w:hAnsiTheme="majorHAnsi" w:cs="Arial"/>
                                <w:b/>
                                <w:color w:val="0D0D0D" w:themeColor="text1" w:themeTint="F2"/>
                                <w:sz w:val="36"/>
                                <w:szCs w:val="36"/>
                                <w:lang w:val="es-ES_tradnl"/>
                              </w:rPr>
                              <w:t>668</w:t>
                            </w:r>
                            <w:r w:rsidR="00246D1F" w:rsidRPr="00867FDD">
                              <w:rPr>
                                <w:rFonts w:asciiTheme="majorHAnsi" w:hAnsiTheme="majorHAnsi" w:cs="Arial"/>
                                <w:b/>
                                <w:color w:val="0D0D0D" w:themeColor="text1" w:themeTint="F2"/>
                                <w:sz w:val="36"/>
                                <w:szCs w:val="36"/>
                                <w:lang w:val="es-ES_tradnl"/>
                              </w:rPr>
                              <w:t>-</w:t>
                            </w:r>
                            <w:r w:rsidR="00B65EA2" w:rsidRPr="00867FDD">
                              <w:rPr>
                                <w:rFonts w:asciiTheme="majorHAnsi" w:hAnsiTheme="majorHAnsi" w:cs="Arial"/>
                                <w:b/>
                                <w:color w:val="0D0D0D" w:themeColor="text1" w:themeTint="F2"/>
                                <w:sz w:val="36"/>
                                <w:szCs w:val="36"/>
                                <w:lang w:val="es-ES_tradnl"/>
                              </w:rPr>
                              <w:t>09</w:t>
                            </w:r>
                            <w:r w:rsidR="00246D1F" w:rsidRPr="00867FDD">
                              <w:rPr>
                                <w:rFonts w:asciiTheme="majorHAnsi" w:hAnsiTheme="majorHAnsi" w:cs="Arial"/>
                                <w:b/>
                                <w:color w:val="0D0D0D" w:themeColor="text1" w:themeTint="F2"/>
                                <w:sz w:val="36"/>
                                <w:szCs w:val="36"/>
                                <w:lang w:val="es-ES_tradnl"/>
                              </w:rPr>
                              <w:t xml:space="preserve"> </w:t>
                            </w:r>
                          </w:p>
                          <w:p w14:paraId="70CF6833" w14:textId="16D07F5C" w:rsidR="00CD046C" w:rsidRPr="00E30B7B" w:rsidRDefault="005B52B0" w:rsidP="00997BC5">
                            <w:pPr>
                              <w:spacing w:line="276" w:lineRule="auto"/>
                              <w:rPr>
                                <w:rFonts w:asciiTheme="majorHAnsi" w:hAnsiTheme="majorHAnsi" w:cs="Arial"/>
                                <w:color w:val="0D0D0D" w:themeColor="text1" w:themeTint="F2"/>
                                <w:lang w:val="es-ES_tradnl"/>
                              </w:rPr>
                            </w:pPr>
                            <w:r w:rsidRPr="00E30B7B">
                              <w:rPr>
                                <w:rFonts w:asciiTheme="majorHAnsi" w:hAnsiTheme="majorHAnsi" w:cs="Arial"/>
                                <w:color w:val="0D0D0D" w:themeColor="text1" w:themeTint="F2"/>
                                <w:lang w:val="es-ES_tradnl"/>
                              </w:rPr>
                              <w:t>INFORME DE ADMISIBILIDAD</w:t>
                            </w:r>
                            <w:r w:rsidR="008F1912" w:rsidRPr="00E30B7B">
                              <w:rPr>
                                <w:rFonts w:asciiTheme="majorHAnsi" w:hAnsiTheme="majorHAnsi" w:cs="Arial"/>
                                <w:color w:val="0D0D0D" w:themeColor="text1" w:themeTint="F2"/>
                                <w:lang w:val="es-ES_tradnl"/>
                              </w:rPr>
                              <w:t xml:space="preserve"> </w:t>
                            </w:r>
                          </w:p>
                          <w:p w14:paraId="5FDD6F0D" w14:textId="77777777" w:rsidR="008F1912" w:rsidRPr="00E30B7B" w:rsidRDefault="008F1912" w:rsidP="00997BC5">
                            <w:pPr>
                              <w:spacing w:line="276" w:lineRule="auto"/>
                              <w:rPr>
                                <w:rFonts w:asciiTheme="majorHAnsi" w:hAnsiTheme="majorHAnsi" w:cs="Arial"/>
                                <w:color w:val="0D0D0D" w:themeColor="text1" w:themeTint="F2"/>
                                <w:lang w:val="es-ES_tradnl"/>
                              </w:rPr>
                            </w:pPr>
                            <w:bookmarkStart w:id="1" w:name="_ftnref1"/>
                          </w:p>
                          <w:p w14:paraId="4CFA2FBF" w14:textId="0B0FEF25" w:rsidR="005B52B0" w:rsidRPr="00E30B7B" w:rsidRDefault="0045240C" w:rsidP="00997BC5">
                            <w:pPr>
                              <w:spacing w:line="276" w:lineRule="auto"/>
                              <w:rPr>
                                <w:rFonts w:asciiTheme="majorHAnsi" w:hAnsiTheme="majorHAnsi" w:cs="Arial"/>
                                <w:color w:val="0D0D0D" w:themeColor="text1" w:themeTint="F2"/>
                                <w:lang w:val="es-ES_tradnl"/>
                              </w:rPr>
                            </w:pPr>
                            <w:r w:rsidRPr="00E30B7B">
                              <w:rPr>
                                <w:rFonts w:asciiTheme="majorHAnsi" w:hAnsiTheme="majorHAnsi" w:cs="Arial"/>
                                <w:color w:val="0D0D0D" w:themeColor="text1" w:themeTint="F2"/>
                                <w:lang w:val="es-ES_tradnl"/>
                              </w:rPr>
                              <w:t xml:space="preserve">DAVID NAZARENO CORONEL </w:t>
                            </w:r>
                            <w:r w:rsidR="00FC31EB" w:rsidRPr="00E30B7B">
                              <w:rPr>
                                <w:rFonts w:asciiTheme="majorHAnsi" w:hAnsiTheme="majorHAnsi" w:cs="Arial"/>
                                <w:color w:val="0D0D0D" w:themeColor="text1" w:themeTint="F2"/>
                                <w:lang w:val="es-ES_tradnl"/>
                              </w:rPr>
                              <w:t>Y OTROS</w:t>
                            </w:r>
                          </w:p>
                          <w:bookmarkEnd w:id="1"/>
                          <w:p w14:paraId="35068D0D" w14:textId="5EDF45B5" w:rsidR="005B52B0" w:rsidRPr="00E30B7B" w:rsidRDefault="002E47B1" w:rsidP="00997BC5">
                            <w:pPr>
                              <w:spacing w:line="276" w:lineRule="auto"/>
                              <w:rPr>
                                <w:rFonts w:asciiTheme="majorHAnsi" w:hAnsiTheme="majorHAnsi" w:cs="Arial"/>
                                <w:color w:val="0D0D0D" w:themeColor="text1" w:themeTint="F2"/>
                                <w:lang w:val="es-ES"/>
                              </w:rPr>
                            </w:pPr>
                            <w:r w:rsidRPr="00E30B7B">
                              <w:rPr>
                                <w:rFonts w:asciiTheme="majorHAnsi" w:hAnsiTheme="majorHAnsi" w:cs="Arial"/>
                                <w:color w:val="0D0D0D" w:themeColor="text1" w:themeTint="F2"/>
                                <w:lang w:val="es-ES_tradnl"/>
                              </w:rPr>
                              <w:t>ARGENTINA</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518DE79C" w:rsidR="005B52B0" w:rsidRPr="00867FDD" w:rsidRDefault="005B52B0" w:rsidP="00997BC5">
                      <w:pPr>
                        <w:spacing w:line="276" w:lineRule="auto"/>
                        <w:rPr>
                          <w:rFonts w:asciiTheme="majorHAnsi" w:hAnsiTheme="majorHAnsi" w:cs="Arial"/>
                          <w:b/>
                          <w:bCs/>
                          <w:color w:val="0D0D0D" w:themeColor="text1" w:themeTint="F2"/>
                          <w:sz w:val="36"/>
                          <w:szCs w:val="36"/>
                          <w:lang w:val="es-ES_tradnl"/>
                        </w:rPr>
                      </w:pPr>
                      <w:r w:rsidRPr="00867FDD">
                        <w:rPr>
                          <w:rFonts w:asciiTheme="majorHAnsi" w:hAnsiTheme="majorHAnsi" w:cs="Arial"/>
                          <w:b/>
                          <w:bCs/>
                          <w:color w:val="0D0D0D" w:themeColor="text1" w:themeTint="F2"/>
                          <w:sz w:val="36"/>
                          <w:szCs w:val="36"/>
                          <w:lang w:val="es-ES_tradnl"/>
                        </w:rPr>
                        <w:t xml:space="preserve">INFORME </w:t>
                      </w:r>
                      <w:r w:rsidR="00477592" w:rsidRPr="00867FDD">
                        <w:rPr>
                          <w:rFonts w:asciiTheme="majorHAnsi" w:hAnsiTheme="majorHAnsi" w:cs="Arial"/>
                          <w:b/>
                          <w:bCs/>
                          <w:color w:val="0D0D0D" w:themeColor="text1" w:themeTint="F2"/>
                          <w:sz w:val="36"/>
                          <w:szCs w:val="36"/>
                          <w:lang w:val="es-ES_tradnl"/>
                        </w:rPr>
                        <w:t>No.</w:t>
                      </w:r>
                      <w:r w:rsidR="00867FDD">
                        <w:rPr>
                          <w:rFonts w:asciiTheme="majorHAnsi" w:hAnsiTheme="majorHAnsi" w:cs="Arial"/>
                          <w:b/>
                          <w:bCs/>
                          <w:color w:val="0D0D0D" w:themeColor="text1" w:themeTint="F2"/>
                          <w:sz w:val="36"/>
                          <w:szCs w:val="36"/>
                          <w:lang w:val="es-ES_tradnl"/>
                        </w:rPr>
                        <w:t xml:space="preserve"> 178</w:t>
                      </w:r>
                      <w:r w:rsidR="007B05C4" w:rsidRPr="00867FDD">
                        <w:rPr>
                          <w:rFonts w:asciiTheme="majorHAnsi" w:hAnsiTheme="majorHAnsi" w:cs="Arial"/>
                          <w:b/>
                          <w:bCs/>
                          <w:color w:val="0D0D0D" w:themeColor="text1" w:themeTint="F2"/>
                          <w:sz w:val="36"/>
                          <w:szCs w:val="36"/>
                          <w:lang w:val="es-ES_tradnl"/>
                        </w:rPr>
                        <w:t>/</w:t>
                      </w:r>
                      <w:r w:rsidR="00386938" w:rsidRPr="00867FDD">
                        <w:rPr>
                          <w:rFonts w:asciiTheme="majorHAnsi" w:hAnsiTheme="majorHAnsi" w:cs="Arial"/>
                          <w:b/>
                          <w:bCs/>
                          <w:color w:val="0D0D0D" w:themeColor="text1" w:themeTint="F2"/>
                          <w:sz w:val="36"/>
                          <w:szCs w:val="36"/>
                          <w:lang w:val="es-ES_tradnl"/>
                        </w:rPr>
                        <w:t>20</w:t>
                      </w:r>
                    </w:p>
                    <w:p w14:paraId="09C54AB3" w14:textId="09CFA08E" w:rsidR="007B05C4" w:rsidRPr="00867FDD" w:rsidRDefault="005B52B0" w:rsidP="00997BC5">
                      <w:pPr>
                        <w:spacing w:line="276" w:lineRule="auto"/>
                        <w:rPr>
                          <w:rFonts w:asciiTheme="majorHAnsi" w:hAnsiTheme="majorHAnsi" w:cs="Arial"/>
                          <w:b/>
                          <w:color w:val="0D0D0D" w:themeColor="text1" w:themeTint="F2"/>
                          <w:sz w:val="36"/>
                          <w:szCs w:val="36"/>
                          <w:lang w:val="es-ES_tradnl"/>
                        </w:rPr>
                      </w:pPr>
                      <w:r w:rsidRPr="00867FDD">
                        <w:rPr>
                          <w:rFonts w:asciiTheme="majorHAnsi" w:hAnsiTheme="majorHAnsi" w:cs="Arial"/>
                          <w:b/>
                          <w:color w:val="0D0D0D" w:themeColor="text1" w:themeTint="F2"/>
                          <w:sz w:val="36"/>
                          <w:szCs w:val="36"/>
                          <w:lang w:val="es-ES_tradnl"/>
                        </w:rPr>
                        <w:t xml:space="preserve">PETICIÓN </w:t>
                      </w:r>
                      <w:r w:rsidR="002E47B1" w:rsidRPr="00867FDD">
                        <w:rPr>
                          <w:rFonts w:asciiTheme="majorHAnsi" w:hAnsiTheme="majorHAnsi" w:cs="Arial"/>
                          <w:b/>
                          <w:color w:val="0D0D0D" w:themeColor="text1" w:themeTint="F2"/>
                          <w:sz w:val="36"/>
                          <w:szCs w:val="36"/>
                          <w:lang w:val="es-ES_tradnl"/>
                        </w:rPr>
                        <w:t>668</w:t>
                      </w:r>
                      <w:r w:rsidR="00246D1F" w:rsidRPr="00867FDD">
                        <w:rPr>
                          <w:rFonts w:asciiTheme="majorHAnsi" w:hAnsiTheme="majorHAnsi" w:cs="Arial"/>
                          <w:b/>
                          <w:color w:val="0D0D0D" w:themeColor="text1" w:themeTint="F2"/>
                          <w:sz w:val="36"/>
                          <w:szCs w:val="36"/>
                          <w:lang w:val="es-ES_tradnl"/>
                        </w:rPr>
                        <w:t>-</w:t>
                      </w:r>
                      <w:r w:rsidR="00B65EA2" w:rsidRPr="00867FDD">
                        <w:rPr>
                          <w:rFonts w:asciiTheme="majorHAnsi" w:hAnsiTheme="majorHAnsi" w:cs="Arial"/>
                          <w:b/>
                          <w:color w:val="0D0D0D" w:themeColor="text1" w:themeTint="F2"/>
                          <w:sz w:val="36"/>
                          <w:szCs w:val="36"/>
                          <w:lang w:val="es-ES_tradnl"/>
                        </w:rPr>
                        <w:t>09</w:t>
                      </w:r>
                      <w:r w:rsidR="00246D1F" w:rsidRPr="00867FDD">
                        <w:rPr>
                          <w:rFonts w:asciiTheme="majorHAnsi" w:hAnsiTheme="majorHAnsi" w:cs="Arial"/>
                          <w:b/>
                          <w:color w:val="0D0D0D" w:themeColor="text1" w:themeTint="F2"/>
                          <w:sz w:val="36"/>
                          <w:szCs w:val="36"/>
                          <w:lang w:val="es-ES_tradnl"/>
                        </w:rPr>
                        <w:t xml:space="preserve"> </w:t>
                      </w:r>
                    </w:p>
                    <w:p w14:paraId="70CF6833" w14:textId="16D07F5C" w:rsidR="00CD046C" w:rsidRPr="00E30B7B" w:rsidRDefault="005B52B0" w:rsidP="00997BC5">
                      <w:pPr>
                        <w:spacing w:line="276" w:lineRule="auto"/>
                        <w:rPr>
                          <w:rFonts w:asciiTheme="majorHAnsi" w:hAnsiTheme="majorHAnsi" w:cs="Arial"/>
                          <w:color w:val="0D0D0D" w:themeColor="text1" w:themeTint="F2"/>
                          <w:lang w:val="es-ES_tradnl"/>
                        </w:rPr>
                      </w:pPr>
                      <w:r w:rsidRPr="00E30B7B">
                        <w:rPr>
                          <w:rFonts w:asciiTheme="majorHAnsi" w:hAnsiTheme="majorHAnsi" w:cs="Arial"/>
                          <w:color w:val="0D0D0D" w:themeColor="text1" w:themeTint="F2"/>
                          <w:lang w:val="es-ES_tradnl"/>
                        </w:rPr>
                        <w:t>INFORME DE ADMISIBILIDAD</w:t>
                      </w:r>
                      <w:r w:rsidR="008F1912" w:rsidRPr="00E30B7B">
                        <w:rPr>
                          <w:rFonts w:asciiTheme="majorHAnsi" w:hAnsiTheme="majorHAnsi" w:cs="Arial"/>
                          <w:color w:val="0D0D0D" w:themeColor="text1" w:themeTint="F2"/>
                          <w:lang w:val="es-ES_tradnl"/>
                        </w:rPr>
                        <w:t xml:space="preserve"> </w:t>
                      </w:r>
                    </w:p>
                    <w:p w14:paraId="5FDD6F0D" w14:textId="77777777" w:rsidR="008F1912" w:rsidRPr="00E30B7B" w:rsidRDefault="008F1912" w:rsidP="00997BC5">
                      <w:pPr>
                        <w:spacing w:line="276" w:lineRule="auto"/>
                        <w:rPr>
                          <w:rFonts w:asciiTheme="majorHAnsi" w:hAnsiTheme="majorHAnsi" w:cs="Arial"/>
                          <w:color w:val="0D0D0D" w:themeColor="text1" w:themeTint="F2"/>
                          <w:lang w:val="es-ES_tradnl"/>
                        </w:rPr>
                      </w:pPr>
                      <w:bookmarkStart w:id="1" w:name="_ftnref1"/>
                    </w:p>
                    <w:p w14:paraId="4CFA2FBF" w14:textId="0B0FEF25" w:rsidR="005B52B0" w:rsidRPr="00E30B7B" w:rsidRDefault="0045240C" w:rsidP="00997BC5">
                      <w:pPr>
                        <w:spacing w:line="276" w:lineRule="auto"/>
                        <w:rPr>
                          <w:rFonts w:asciiTheme="majorHAnsi" w:hAnsiTheme="majorHAnsi" w:cs="Arial"/>
                          <w:color w:val="0D0D0D" w:themeColor="text1" w:themeTint="F2"/>
                          <w:lang w:val="es-ES_tradnl"/>
                        </w:rPr>
                      </w:pPr>
                      <w:r w:rsidRPr="00E30B7B">
                        <w:rPr>
                          <w:rFonts w:asciiTheme="majorHAnsi" w:hAnsiTheme="majorHAnsi" w:cs="Arial"/>
                          <w:color w:val="0D0D0D" w:themeColor="text1" w:themeTint="F2"/>
                          <w:lang w:val="es-ES_tradnl"/>
                        </w:rPr>
                        <w:t xml:space="preserve">DAVID NAZARENO CORONEL </w:t>
                      </w:r>
                      <w:r w:rsidR="00FC31EB" w:rsidRPr="00E30B7B">
                        <w:rPr>
                          <w:rFonts w:asciiTheme="majorHAnsi" w:hAnsiTheme="majorHAnsi" w:cs="Arial"/>
                          <w:color w:val="0D0D0D" w:themeColor="text1" w:themeTint="F2"/>
                          <w:lang w:val="es-ES_tradnl"/>
                        </w:rPr>
                        <w:t>Y OTROS</w:t>
                      </w:r>
                    </w:p>
                    <w:bookmarkEnd w:id="1"/>
                    <w:p w14:paraId="35068D0D" w14:textId="5EDF45B5" w:rsidR="005B52B0" w:rsidRPr="00E30B7B" w:rsidRDefault="002E47B1" w:rsidP="00997BC5">
                      <w:pPr>
                        <w:spacing w:line="276" w:lineRule="auto"/>
                        <w:rPr>
                          <w:rFonts w:asciiTheme="majorHAnsi" w:hAnsiTheme="majorHAnsi" w:cs="Arial"/>
                          <w:color w:val="0D0D0D" w:themeColor="text1" w:themeTint="F2"/>
                          <w:lang w:val="es-ES"/>
                        </w:rPr>
                      </w:pPr>
                      <w:r w:rsidRPr="00E30B7B">
                        <w:rPr>
                          <w:rFonts w:asciiTheme="majorHAnsi" w:hAnsiTheme="majorHAnsi" w:cs="Arial"/>
                          <w:color w:val="0D0D0D" w:themeColor="text1" w:themeTint="F2"/>
                          <w:lang w:val="es-ES_tradnl"/>
                        </w:rPr>
                        <w:t>ARGENTINA</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6D3136">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12E0A888" w:rsidR="00627C9F" w:rsidRPr="00935F06" w:rsidRDefault="00867FD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5E970CA"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867FDD">
                              <w:rPr>
                                <w:rFonts w:asciiTheme="minorHAnsi" w:hAnsiTheme="minorHAnsi"/>
                                <w:color w:val="FFFFFF" w:themeColor="background1"/>
                                <w:sz w:val="22"/>
                                <w:lang w:val="pt-BR"/>
                              </w:rPr>
                              <w:t>188</w:t>
                            </w:r>
                          </w:p>
                          <w:p w14:paraId="69373ED2" w14:textId="6D9A876C" w:rsidR="00627C9F" w:rsidRPr="001B4C00" w:rsidRDefault="00867FD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julio</w:t>
                            </w:r>
                            <w:r w:rsidR="00627C9F" w:rsidRPr="001B4C00">
                              <w:rPr>
                                <w:rFonts w:asciiTheme="minorHAnsi" w:hAnsiTheme="minorHAnsi"/>
                                <w:color w:val="FFFFFF" w:themeColor="background1"/>
                                <w:sz w:val="22"/>
                                <w:lang w:val="es-ES"/>
                              </w:rPr>
                              <w:t xml:space="preserve"> 20</w:t>
                            </w:r>
                            <w:r w:rsidR="00386938">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12E0A888" w:rsidR="00627C9F" w:rsidRPr="00935F06" w:rsidRDefault="00867FDD"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OEA/Ser.L/V/II.</w:t>
                      </w:r>
                    </w:p>
                    <w:p w14:paraId="6A41611B" w14:textId="65E970CA" w:rsidR="00627C9F" w:rsidRPr="00935F06" w:rsidRDefault="00627C9F"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 xml:space="preserve">Doc. </w:t>
                      </w:r>
                      <w:r w:rsidR="00867FDD">
                        <w:rPr>
                          <w:rFonts w:asciiTheme="minorHAnsi" w:hAnsiTheme="minorHAnsi"/>
                          <w:color w:val="FFFFFF" w:themeColor="background1"/>
                          <w:sz w:val="22"/>
                          <w:lang w:val="pt-BR"/>
                        </w:rPr>
                        <w:t>188</w:t>
                      </w:r>
                    </w:p>
                    <w:p w14:paraId="69373ED2" w14:textId="6D9A876C" w:rsidR="00627C9F" w:rsidRPr="001B4C00" w:rsidRDefault="00867FDD" w:rsidP="007A5817">
                      <w:pPr>
                        <w:spacing w:line="276" w:lineRule="auto"/>
                        <w:jc w:val="right"/>
                        <w:rPr>
                          <w:rFonts w:asciiTheme="minorHAnsi" w:hAnsiTheme="minorHAnsi"/>
                          <w:color w:val="FFFFFF" w:themeColor="background1"/>
                          <w:sz w:val="22"/>
                          <w:lang w:val="es-ES"/>
                        </w:rPr>
                      </w:pPr>
                      <w:r>
                        <w:rPr>
                          <w:rFonts w:asciiTheme="minorHAnsi" w:hAnsiTheme="minorHAnsi"/>
                          <w:color w:val="FFFFFF" w:themeColor="background1"/>
                          <w:sz w:val="22"/>
                          <w:lang w:val="es-ES"/>
                        </w:rPr>
                        <w:t>7 julio</w:t>
                      </w:r>
                      <w:r w:rsidR="00627C9F" w:rsidRPr="001B4C00">
                        <w:rPr>
                          <w:rFonts w:asciiTheme="minorHAnsi" w:hAnsiTheme="minorHAnsi"/>
                          <w:color w:val="FFFFFF" w:themeColor="background1"/>
                          <w:sz w:val="22"/>
                          <w:lang w:val="es-ES"/>
                        </w:rPr>
                        <w:t xml:space="preserve"> 20</w:t>
                      </w:r>
                      <w:r w:rsidR="00386938">
                        <w:rPr>
                          <w:rFonts w:asciiTheme="minorHAnsi" w:hAnsiTheme="minorHAnsi"/>
                          <w:color w:val="FFFFFF" w:themeColor="background1"/>
                          <w:sz w:val="22"/>
                          <w:lang w:val="es-ES"/>
                        </w:rPr>
                        <w:t>20</w:t>
                      </w:r>
                    </w:p>
                    <w:p w14:paraId="0771DB5B" w14:textId="77777777" w:rsidR="00627C9F" w:rsidRPr="001B4C00" w:rsidRDefault="00E0340B" w:rsidP="007A5817">
                      <w:pPr>
                        <w:spacing w:line="276" w:lineRule="auto"/>
                        <w:jc w:val="right"/>
                        <w:rPr>
                          <w:rFonts w:asciiTheme="minorHAnsi" w:hAnsiTheme="minorHAnsi"/>
                          <w:color w:val="FFFFFF" w:themeColor="background1"/>
                          <w:sz w:val="22"/>
                          <w:lang w:val="es-ES"/>
                        </w:rPr>
                      </w:pPr>
                      <w:r w:rsidRPr="001B4C00">
                        <w:rPr>
                          <w:rFonts w:asciiTheme="minorHAnsi" w:hAnsiTheme="minorHAnsi"/>
                          <w:color w:val="FFFFFF" w:themeColor="background1"/>
                          <w:sz w:val="22"/>
                          <w:lang w:val="es-ES"/>
                        </w:rPr>
                        <w:t xml:space="preserve">Original: </w:t>
                      </w:r>
                      <w:r w:rsidR="008B12F5" w:rsidRPr="001B4C00">
                        <w:rPr>
                          <w:rFonts w:asciiTheme="minorHAnsi" w:hAnsiTheme="minorHAnsi"/>
                          <w:color w:val="FFFFFF" w:themeColor="background1"/>
                          <w:sz w:val="22"/>
                          <w:lang w:val="es-ES"/>
                        </w:rPr>
                        <w:t>e</w:t>
                      </w:r>
                      <w:r w:rsidR="00627C9F" w:rsidRPr="001B4C00">
                        <w:rPr>
                          <w:rFonts w:asciiTheme="minorHAnsi" w:hAnsiTheme="minorHAnsi"/>
                          <w:color w:val="FFFFFF" w:themeColor="background1"/>
                          <w:sz w:val="22"/>
                          <w:lang w:val="es-ES"/>
                        </w:rPr>
                        <w:t>spañol</w:t>
                      </w:r>
                    </w:p>
                  </w:txbxContent>
                </v:textbox>
              </v:shape>
            </w:pict>
          </mc:Fallback>
        </mc:AlternateContent>
      </w:r>
    </w:p>
    <w:p w14:paraId="155B0536" w14:textId="77777777" w:rsidR="00040C3A" w:rsidRPr="006D3136"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6D3136"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6D3136" w:rsidRDefault="00040C3A" w:rsidP="00040C3A">
      <w:pPr>
        <w:tabs>
          <w:tab w:val="center" w:pos="5400"/>
        </w:tabs>
        <w:suppressAutoHyphens/>
        <w:jc w:val="center"/>
        <w:rPr>
          <w:rFonts w:asciiTheme="majorHAnsi" w:hAnsiTheme="majorHAnsi"/>
          <w:sz w:val="22"/>
          <w:szCs w:val="22"/>
          <w:lang w:val="es-ES"/>
        </w:rPr>
      </w:pPr>
    </w:p>
    <w:p w14:paraId="54590931" w14:textId="77777777" w:rsidR="00040C3A" w:rsidRPr="006D3136"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6D3136"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6D3136"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6D3136"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6D3136"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6D3136"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6D3136"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6D3136"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6D3136"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6D3136"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6D3136"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6D3136" w:rsidRDefault="0090270B" w:rsidP="00040C3A">
      <w:pPr>
        <w:tabs>
          <w:tab w:val="center" w:pos="5400"/>
        </w:tabs>
        <w:suppressAutoHyphens/>
        <w:jc w:val="center"/>
        <w:rPr>
          <w:rFonts w:asciiTheme="majorHAnsi" w:hAnsiTheme="majorHAnsi"/>
          <w:sz w:val="18"/>
          <w:szCs w:val="22"/>
          <w:lang w:val="es-ES"/>
        </w:rPr>
      </w:pPr>
      <w:r w:rsidRPr="006D3136">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5C4982A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67FDD">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867FDD">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386938">
                              <w:rPr>
                                <w:rFonts w:asciiTheme="majorHAnsi" w:hAnsiTheme="majorHAnsi"/>
                                <w:color w:val="0D0D0D" w:themeColor="text1" w:themeTint="F2"/>
                                <w:sz w:val="18"/>
                                <w:szCs w:val="22"/>
                                <w:lang w:val="es-ES"/>
                              </w:rPr>
                              <w:t>20</w:t>
                            </w:r>
                            <w:r w:rsidR="001A4E4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5C4982A3"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867FDD">
                        <w:rPr>
                          <w:rFonts w:asciiTheme="majorHAnsi" w:hAnsiTheme="majorHAnsi"/>
                          <w:color w:val="0D0D0D" w:themeColor="text1" w:themeTint="F2"/>
                          <w:sz w:val="18"/>
                          <w:szCs w:val="22"/>
                          <w:lang w:val="es-ES"/>
                        </w:rPr>
                        <w:t>7</w:t>
                      </w:r>
                      <w:r w:rsidRPr="00890650">
                        <w:rPr>
                          <w:rFonts w:asciiTheme="majorHAnsi" w:hAnsiTheme="majorHAnsi"/>
                          <w:color w:val="0D0D0D" w:themeColor="text1" w:themeTint="F2"/>
                          <w:sz w:val="18"/>
                          <w:szCs w:val="22"/>
                          <w:lang w:val="es-ES"/>
                        </w:rPr>
                        <w:t xml:space="preserve"> de </w:t>
                      </w:r>
                      <w:r w:rsidR="00867FDD">
                        <w:rPr>
                          <w:rFonts w:asciiTheme="majorHAnsi" w:hAnsiTheme="majorHAnsi"/>
                          <w:color w:val="0D0D0D" w:themeColor="text1" w:themeTint="F2"/>
                          <w:sz w:val="18"/>
                          <w:szCs w:val="22"/>
                          <w:lang w:val="es-ES"/>
                        </w:rPr>
                        <w:t>julio</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386938">
                        <w:rPr>
                          <w:rFonts w:asciiTheme="majorHAnsi" w:hAnsiTheme="majorHAnsi"/>
                          <w:color w:val="0D0D0D" w:themeColor="text1" w:themeTint="F2"/>
                          <w:sz w:val="18"/>
                          <w:szCs w:val="22"/>
                          <w:lang w:val="es-ES"/>
                        </w:rPr>
                        <w:t>20</w:t>
                      </w:r>
                      <w:r w:rsidR="001A4E48">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6D3136" w:rsidRDefault="0090270B" w:rsidP="00040C3A">
      <w:pPr>
        <w:tabs>
          <w:tab w:val="center" w:pos="5400"/>
        </w:tabs>
        <w:suppressAutoHyphens/>
        <w:jc w:val="center"/>
        <w:rPr>
          <w:rFonts w:asciiTheme="majorHAnsi" w:hAnsiTheme="majorHAnsi"/>
          <w:sz w:val="18"/>
          <w:szCs w:val="22"/>
          <w:lang w:val="es-ES"/>
        </w:rPr>
      </w:pPr>
      <w:r w:rsidRPr="006D3136">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05D483B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C74DEF">
                              <w:rPr>
                                <w:rFonts w:asciiTheme="majorHAnsi" w:hAnsiTheme="majorHAnsi"/>
                                <w:color w:val="595959" w:themeColor="text1" w:themeTint="A6"/>
                                <w:sz w:val="18"/>
                                <w:szCs w:val="18"/>
                                <w:lang w:val="pt-BR"/>
                              </w:rPr>
                              <w:t>.</w:t>
                            </w:r>
                            <w:r w:rsidR="001A4E48">
                              <w:rPr>
                                <w:rFonts w:asciiTheme="majorHAnsi" w:hAnsiTheme="majorHAnsi"/>
                                <w:color w:val="595959" w:themeColor="text1" w:themeTint="A6"/>
                                <w:sz w:val="18"/>
                                <w:szCs w:val="18"/>
                                <w:lang w:val="pt-BR"/>
                              </w:rPr>
                              <w:t xml:space="preserve"> 178/20. Petició </w:t>
                            </w:r>
                            <w:r w:rsidR="00C74DEF" w:rsidRPr="00C74DEF">
                              <w:rPr>
                                <w:rFonts w:asciiTheme="majorHAnsi" w:hAnsiTheme="majorHAnsi"/>
                                <w:color w:val="595959" w:themeColor="text1" w:themeTint="A6"/>
                                <w:sz w:val="18"/>
                                <w:szCs w:val="18"/>
                                <w:lang w:val="es-CO"/>
                              </w:rPr>
                              <w:t>-</w:t>
                            </w:r>
                            <w:r w:rsidR="004A4E6A" w:rsidRPr="00C74DEF">
                              <w:rPr>
                                <w:rFonts w:asciiTheme="majorHAnsi" w:hAnsiTheme="majorHAnsi"/>
                                <w:color w:val="595959" w:themeColor="text1" w:themeTint="A6"/>
                                <w:sz w:val="18"/>
                                <w:szCs w:val="18"/>
                                <w:lang w:val="es-CO"/>
                              </w:rPr>
                              <w:t xml:space="preserve">668-09. </w:t>
                            </w:r>
                            <w:r w:rsidRPr="00890650">
                              <w:rPr>
                                <w:rFonts w:asciiTheme="majorHAnsi" w:hAnsiTheme="majorHAnsi"/>
                                <w:color w:val="595959" w:themeColor="text1" w:themeTint="A6"/>
                                <w:sz w:val="18"/>
                                <w:szCs w:val="18"/>
                                <w:lang w:val="es-ES_tradnl"/>
                              </w:rPr>
                              <w:t>Admisibilidad</w:t>
                            </w:r>
                            <w:r w:rsidR="00EE02E7">
                              <w:rPr>
                                <w:rFonts w:asciiTheme="majorHAnsi" w:hAnsiTheme="majorHAnsi"/>
                                <w:color w:val="595959" w:themeColor="text1" w:themeTint="A6"/>
                                <w:sz w:val="18"/>
                                <w:szCs w:val="18"/>
                                <w:lang w:val="es-ES_tradnl"/>
                              </w:rPr>
                              <w:t xml:space="preserve">. </w:t>
                            </w:r>
                            <w:r w:rsidR="00EE02E7" w:rsidRPr="00EE02E7">
                              <w:rPr>
                                <w:rFonts w:asciiTheme="majorHAnsi" w:hAnsiTheme="majorHAnsi"/>
                                <w:color w:val="595959" w:themeColor="text1" w:themeTint="A6"/>
                                <w:sz w:val="18"/>
                                <w:szCs w:val="18"/>
                                <w:lang w:val="es-ES_tradnl"/>
                              </w:rPr>
                              <w:t>David Nazareno Coronel</w:t>
                            </w:r>
                            <w:r w:rsidR="004A4E6A">
                              <w:rPr>
                                <w:rFonts w:asciiTheme="majorHAnsi" w:hAnsiTheme="majorHAnsi"/>
                                <w:color w:val="595959" w:themeColor="text1" w:themeTint="A6"/>
                                <w:sz w:val="18"/>
                                <w:szCs w:val="18"/>
                                <w:lang w:val="es-ES_tradnl"/>
                              </w:rPr>
                              <w:t xml:space="preserve"> y otros. Argentina.</w:t>
                            </w:r>
                            <w:r w:rsidRPr="00890650">
                              <w:rPr>
                                <w:rFonts w:asciiTheme="majorHAnsi" w:hAnsiTheme="majorHAnsi"/>
                                <w:color w:val="595959" w:themeColor="text1" w:themeTint="A6"/>
                                <w:sz w:val="18"/>
                                <w:szCs w:val="18"/>
                                <w:lang w:val="es-ES_tradnl"/>
                              </w:rPr>
                              <w:t xml:space="preserve"> </w:t>
                            </w:r>
                            <w:r w:rsidR="00867FDD">
                              <w:rPr>
                                <w:rFonts w:asciiTheme="majorHAnsi" w:hAnsiTheme="majorHAnsi"/>
                                <w:color w:val="595959" w:themeColor="text1" w:themeTint="A6"/>
                                <w:sz w:val="18"/>
                                <w:szCs w:val="18"/>
                                <w:lang w:val="es-ES"/>
                              </w:rPr>
                              <w:t>7 de julio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05D483BF"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CIDH, Informe No</w:t>
                      </w:r>
                      <w:r w:rsidR="00C74DEF">
                        <w:rPr>
                          <w:rFonts w:asciiTheme="majorHAnsi" w:hAnsiTheme="majorHAnsi"/>
                          <w:color w:val="595959" w:themeColor="text1" w:themeTint="A6"/>
                          <w:sz w:val="18"/>
                          <w:szCs w:val="18"/>
                          <w:lang w:val="pt-BR"/>
                        </w:rPr>
                        <w:t>.</w:t>
                      </w:r>
                      <w:r w:rsidR="001A4E48">
                        <w:rPr>
                          <w:rFonts w:asciiTheme="majorHAnsi" w:hAnsiTheme="majorHAnsi"/>
                          <w:color w:val="595959" w:themeColor="text1" w:themeTint="A6"/>
                          <w:sz w:val="18"/>
                          <w:szCs w:val="18"/>
                          <w:lang w:val="pt-BR"/>
                        </w:rPr>
                        <w:t xml:space="preserve"> 178/20. Petició </w:t>
                      </w:r>
                      <w:r w:rsidR="00C74DEF" w:rsidRPr="00C74DEF">
                        <w:rPr>
                          <w:rFonts w:asciiTheme="majorHAnsi" w:hAnsiTheme="majorHAnsi"/>
                          <w:color w:val="595959" w:themeColor="text1" w:themeTint="A6"/>
                          <w:sz w:val="18"/>
                          <w:szCs w:val="18"/>
                          <w:lang w:val="es-CO"/>
                        </w:rPr>
                        <w:t>-</w:t>
                      </w:r>
                      <w:r w:rsidR="004A4E6A" w:rsidRPr="00C74DEF">
                        <w:rPr>
                          <w:rFonts w:asciiTheme="majorHAnsi" w:hAnsiTheme="majorHAnsi"/>
                          <w:color w:val="595959" w:themeColor="text1" w:themeTint="A6"/>
                          <w:sz w:val="18"/>
                          <w:szCs w:val="18"/>
                          <w:lang w:val="es-CO"/>
                        </w:rPr>
                        <w:t xml:space="preserve">668-09. </w:t>
                      </w:r>
                      <w:r w:rsidRPr="00890650">
                        <w:rPr>
                          <w:rFonts w:asciiTheme="majorHAnsi" w:hAnsiTheme="majorHAnsi"/>
                          <w:color w:val="595959" w:themeColor="text1" w:themeTint="A6"/>
                          <w:sz w:val="18"/>
                          <w:szCs w:val="18"/>
                          <w:lang w:val="es-ES_tradnl"/>
                        </w:rPr>
                        <w:t>Admisibilidad</w:t>
                      </w:r>
                      <w:r w:rsidR="00EE02E7">
                        <w:rPr>
                          <w:rFonts w:asciiTheme="majorHAnsi" w:hAnsiTheme="majorHAnsi"/>
                          <w:color w:val="595959" w:themeColor="text1" w:themeTint="A6"/>
                          <w:sz w:val="18"/>
                          <w:szCs w:val="18"/>
                          <w:lang w:val="es-ES_tradnl"/>
                        </w:rPr>
                        <w:t xml:space="preserve">. </w:t>
                      </w:r>
                      <w:r w:rsidR="00EE02E7" w:rsidRPr="00EE02E7">
                        <w:rPr>
                          <w:rFonts w:asciiTheme="majorHAnsi" w:hAnsiTheme="majorHAnsi"/>
                          <w:color w:val="595959" w:themeColor="text1" w:themeTint="A6"/>
                          <w:sz w:val="18"/>
                          <w:szCs w:val="18"/>
                          <w:lang w:val="es-ES_tradnl"/>
                        </w:rPr>
                        <w:t>David Nazareno Coronel</w:t>
                      </w:r>
                      <w:r w:rsidR="004A4E6A">
                        <w:rPr>
                          <w:rFonts w:asciiTheme="majorHAnsi" w:hAnsiTheme="majorHAnsi"/>
                          <w:color w:val="595959" w:themeColor="text1" w:themeTint="A6"/>
                          <w:sz w:val="18"/>
                          <w:szCs w:val="18"/>
                          <w:lang w:val="es-ES_tradnl"/>
                        </w:rPr>
                        <w:t xml:space="preserve"> y otros. Argentina.</w:t>
                      </w:r>
                      <w:r w:rsidRPr="00890650">
                        <w:rPr>
                          <w:rFonts w:asciiTheme="majorHAnsi" w:hAnsiTheme="majorHAnsi"/>
                          <w:color w:val="595959" w:themeColor="text1" w:themeTint="A6"/>
                          <w:sz w:val="18"/>
                          <w:szCs w:val="18"/>
                          <w:lang w:val="es-ES_tradnl"/>
                        </w:rPr>
                        <w:t xml:space="preserve"> </w:t>
                      </w:r>
                      <w:r w:rsidR="00867FDD">
                        <w:rPr>
                          <w:rFonts w:asciiTheme="majorHAnsi" w:hAnsiTheme="majorHAnsi"/>
                          <w:color w:val="595959" w:themeColor="text1" w:themeTint="A6"/>
                          <w:sz w:val="18"/>
                          <w:szCs w:val="18"/>
                          <w:lang w:val="es-ES"/>
                        </w:rPr>
                        <w:t>7 de julio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6D3136" w:rsidRDefault="00A50FCF" w:rsidP="00040C3A">
      <w:pPr>
        <w:tabs>
          <w:tab w:val="center" w:pos="5400"/>
        </w:tabs>
        <w:suppressAutoHyphens/>
        <w:jc w:val="center"/>
        <w:rPr>
          <w:rFonts w:asciiTheme="majorHAnsi" w:hAnsiTheme="majorHAnsi"/>
          <w:sz w:val="18"/>
          <w:szCs w:val="22"/>
          <w:lang w:val="es-ES"/>
        </w:rPr>
      </w:pPr>
    </w:p>
    <w:p w14:paraId="1DA07629" w14:textId="473CF315" w:rsidR="0090270B" w:rsidRPr="006D3136" w:rsidRDefault="00D306D1" w:rsidP="005516A1">
      <w:pPr>
        <w:tabs>
          <w:tab w:val="center" w:pos="5400"/>
        </w:tabs>
        <w:suppressAutoHyphens/>
        <w:jc w:val="center"/>
        <w:rPr>
          <w:rFonts w:asciiTheme="majorHAnsi" w:hAnsiTheme="majorHAnsi"/>
          <w:b/>
          <w:sz w:val="20"/>
          <w:lang w:val="es-ES"/>
        </w:rPr>
      </w:pPr>
      <w:r w:rsidRPr="006D3136">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18894502">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1"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0846359D" w:rsidR="0070697F" w:rsidRPr="006D3136" w:rsidRDefault="006302E6" w:rsidP="005516A1">
      <w:pPr>
        <w:tabs>
          <w:tab w:val="center" w:pos="5400"/>
        </w:tabs>
        <w:suppressAutoHyphens/>
        <w:jc w:val="center"/>
        <w:rPr>
          <w:rFonts w:asciiTheme="majorHAnsi" w:hAnsiTheme="majorHAnsi"/>
          <w:b/>
          <w:sz w:val="20"/>
          <w:lang w:val="es-ES"/>
        </w:rPr>
        <w:sectPr w:rsidR="0070697F" w:rsidRPr="006D3136" w:rsidSect="00A95C81">
          <w:headerReference w:type="even" r:id="rId10"/>
          <w:headerReference w:type="default" r:id="rId11"/>
          <w:footerReference w:type="even" r:id="rId12"/>
          <w:footerReference w:type="default" r:id="rId13"/>
          <w:headerReference w:type="first" r:id="rId14"/>
          <w:footerReference w:type="first" r:id="rId15"/>
          <w:type w:val="oddPage"/>
          <w:pgSz w:w="12240" w:h="15840"/>
          <w:pgMar w:top="1440" w:right="1440" w:bottom="1440" w:left="1440" w:header="720" w:footer="720" w:gutter="0"/>
          <w:pgNumType w:start="0"/>
          <w:cols w:space="720"/>
          <w:titlePg/>
          <w:docGrid w:linePitch="326"/>
        </w:sectPr>
      </w:pPr>
      <w:r w:rsidRPr="006D3136">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7F3DA8ED">
                <wp:simplePos x="0" y="0"/>
                <wp:positionH relativeFrom="column">
                  <wp:posOffset>1327785</wp:posOffset>
                </wp:positionH>
                <wp:positionV relativeFrom="paragraph">
                  <wp:posOffset>536303</wp:posOffset>
                </wp:positionV>
                <wp:extent cx="4096385" cy="637812"/>
                <wp:effectExtent l="0" t="0" r="0" b="0"/>
                <wp:wrapNone/>
                <wp:docPr id="9" name="Text Box 9"/>
                <wp:cNvGraphicFramePr/>
                <a:graphic xmlns:a="http://schemas.openxmlformats.org/drawingml/2006/main">
                  <a:graphicData uri="http://schemas.microsoft.com/office/word/2010/wordprocessingShape">
                    <wps:wsp>
                      <wps:cNvSpPr txBox="1"/>
                      <wps:spPr>
                        <a:xfrm>
                          <a:off x="0" y="0"/>
                          <a:ext cx="4096385" cy="63781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10E6543">
                                  <wp:extent cx="1725385" cy="4438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6">
                                            <a:extLst>
                                              <a:ext uri="{28A0092B-C50C-407E-A947-70E740481C1C}">
                                                <a14:useLocalDpi xmlns:a14="http://schemas.microsoft.com/office/drawing/2010/main" val="0"/>
                                              </a:ext>
                                            </a:extLst>
                                          </a:blip>
                                          <a:stretch>
                                            <a:fillRect/>
                                          </a:stretch>
                                        </pic:blipFill>
                                        <pic:spPr bwMode="auto">
                                          <a:xfrm>
                                            <a:off x="0" y="0"/>
                                            <a:ext cx="1743907" cy="44862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0472543" id="Text Box 9" o:spid="_x0000_s1032" type="#_x0000_t202" style="position:absolute;left:0;text-align:left;margin-left:104.55pt;margin-top:42.25pt;width:322.55pt;height:50.2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" fillcolor="white [3201]" stroked="f" strokeweight=".5pt">
                <v:textbox>
                  <w:txbxContent>
                    <w:p w14:paraId="2A1ECD3C" w14:textId="77777777" w:rsidR="00D72DC6" w:rsidRPr="00D72DC6" w:rsidRDefault="00D72DC6"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266F0A37" wp14:editId="310E6543">
                            <wp:extent cx="1725385" cy="44385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0" y="0"/>
                                      <a:ext cx="1743907" cy="448620"/>
                                    </a:xfrm>
                                    <a:prstGeom prst="rect">
                                      <a:avLst/>
                                    </a:prstGeom>
                                    <a:noFill/>
                                    <a:ln>
                                      <a:noFill/>
                                    </a:ln>
                                  </pic:spPr>
                                </pic:pic>
                              </a:graphicData>
                            </a:graphic>
                          </wp:inline>
                        </w:drawing>
                      </w:r>
                    </w:p>
                  </w:txbxContent>
                </v:textbox>
              </v:shape>
            </w:pict>
          </mc:Fallback>
        </mc:AlternateContent>
      </w:r>
      <w:r w:rsidR="004A6A54" w:rsidRPr="006D3136">
        <w:rPr>
          <w:rFonts w:asciiTheme="majorHAnsi" w:hAnsiTheme="majorHAnsi"/>
          <w:b/>
          <w:sz w:val="20"/>
          <w:lang w:val="es-ES"/>
        </w:rPr>
        <w:tab/>
      </w:r>
    </w:p>
    <w:p w14:paraId="376DDC8B" w14:textId="77777777" w:rsidR="003239B8" w:rsidRPr="006D3136" w:rsidRDefault="003239B8" w:rsidP="007C402A">
      <w:pPr>
        <w:spacing w:after="120"/>
        <w:ind w:firstLine="720"/>
        <w:jc w:val="both"/>
        <w:rPr>
          <w:rFonts w:asciiTheme="majorHAnsi" w:hAnsiTheme="majorHAnsi"/>
          <w:b/>
          <w:bCs/>
          <w:sz w:val="20"/>
          <w:szCs w:val="20"/>
          <w:lang w:val="es-ES"/>
        </w:rPr>
      </w:pPr>
      <w:r w:rsidRPr="006D3136">
        <w:rPr>
          <w:rFonts w:asciiTheme="majorHAnsi" w:hAnsiTheme="majorHAnsi"/>
          <w:b/>
          <w:bCs/>
          <w:sz w:val="20"/>
          <w:szCs w:val="20"/>
          <w:lang w:val="es-ES"/>
        </w:rPr>
        <w:lastRenderedPageBreak/>
        <w:t>I.</w:t>
      </w:r>
      <w:r w:rsidRPr="006D3136">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1A4E48"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467A86" w:rsidRDefault="00D77503" w:rsidP="008D2290">
            <w:pPr>
              <w:jc w:val="center"/>
              <w:rPr>
                <w:rFonts w:asciiTheme="majorHAnsi" w:hAnsiTheme="majorHAnsi"/>
                <w:bCs/>
                <w:color w:val="FFFFFF" w:themeColor="background1"/>
                <w:sz w:val="19"/>
                <w:szCs w:val="19"/>
                <w:lang w:val="es-ES"/>
              </w:rPr>
            </w:pPr>
            <w:r w:rsidRPr="00467A86">
              <w:rPr>
                <w:rFonts w:asciiTheme="majorHAnsi" w:hAnsiTheme="majorHAnsi"/>
                <w:bCs/>
                <w:color w:val="FFFFFF" w:themeColor="background1"/>
                <w:sz w:val="19"/>
                <w:szCs w:val="19"/>
                <w:lang w:val="es-ES"/>
              </w:rPr>
              <w:t>Parte peticionaria</w:t>
            </w:r>
          </w:p>
        </w:tc>
        <w:tc>
          <w:tcPr>
            <w:tcW w:w="6570" w:type="dxa"/>
            <w:vAlign w:val="center"/>
          </w:tcPr>
          <w:p w14:paraId="3C5315D8" w14:textId="253FA5F1" w:rsidR="003239B8" w:rsidRPr="00467A86" w:rsidRDefault="00DA631E" w:rsidP="00FC31EB">
            <w:pPr>
              <w:jc w:val="both"/>
              <w:rPr>
                <w:rFonts w:asciiTheme="majorHAnsi" w:hAnsiTheme="majorHAnsi"/>
                <w:bCs/>
                <w:sz w:val="19"/>
                <w:szCs w:val="19"/>
                <w:lang w:val="es-CO"/>
              </w:rPr>
            </w:pPr>
            <w:r w:rsidRPr="00467A86">
              <w:rPr>
                <w:rFonts w:asciiTheme="majorHAnsi" w:hAnsiTheme="majorHAnsi"/>
                <w:bCs/>
                <w:sz w:val="19"/>
                <w:szCs w:val="19"/>
                <w:lang w:val="es-ES"/>
              </w:rPr>
              <w:t>CELS</w:t>
            </w:r>
            <w:r w:rsidR="00FC31EB" w:rsidRPr="00467A86">
              <w:rPr>
                <w:rFonts w:asciiTheme="majorHAnsi" w:hAnsiTheme="majorHAnsi"/>
                <w:bCs/>
                <w:sz w:val="19"/>
                <w:szCs w:val="19"/>
                <w:lang w:val="es-ES"/>
              </w:rPr>
              <w:t>, Asociación</w:t>
            </w:r>
            <w:r w:rsidR="00FC31EB" w:rsidRPr="00467A86">
              <w:rPr>
                <w:rFonts w:asciiTheme="majorHAnsi" w:hAnsiTheme="majorHAnsi"/>
                <w:bCs/>
                <w:sz w:val="19"/>
                <w:szCs w:val="19"/>
                <w:lang w:val="es-CO"/>
              </w:rPr>
              <w:t xml:space="preserve">  </w:t>
            </w:r>
            <w:proofErr w:type="spellStart"/>
            <w:r w:rsidR="00FC31EB" w:rsidRPr="00467A86">
              <w:rPr>
                <w:rFonts w:asciiTheme="majorHAnsi" w:hAnsiTheme="majorHAnsi"/>
                <w:bCs/>
                <w:sz w:val="19"/>
                <w:szCs w:val="19"/>
                <w:lang w:val="es-CO"/>
              </w:rPr>
              <w:t>Xumek</w:t>
            </w:r>
            <w:proofErr w:type="spellEnd"/>
            <w:r w:rsidR="00FC31EB" w:rsidRPr="00467A86">
              <w:rPr>
                <w:rFonts w:asciiTheme="majorHAnsi" w:hAnsiTheme="majorHAnsi"/>
                <w:bCs/>
                <w:sz w:val="19"/>
                <w:szCs w:val="19"/>
                <w:lang w:val="es-CO"/>
              </w:rPr>
              <w:t xml:space="preserve"> y Fundación Sur Argentina</w:t>
            </w:r>
          </w:p>
        </w:tc>
      </w:tr>
      <w:tr w:rsidR="003239B8" w:rsidRPr="001A4E48"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6191E4A1" w:rsidR="003239B8" w:rsidRPr="00467A86" w:rsidRDefault="002355A9" w:rsidP="008D2290">
            <w:pPr>
              <w:jc w:val="center"/>
              <w:rPr>
                <w:rFonts w:asciiTheme="majorHAnsi" w:hAnsiTheme="majorHAnsi"/>
                <w:bCs/>
                <w:color w:val="FFFFFF" w:themeColor="background1"/>
                <w:sz w:val="19"/>
                <w:szCs w:val="19"/>
                <w:lang w:val="es-ES"/>
              </w:rPr>
            </w:pPr>
            <w:r w:rsidRPr="00467A86">
              <w:rPr>
                <w:rFonts w:asciiTheme="majorHAnsi" w:hAnsiTheme="majorHAnsi"/>
                <w:bCs/>
                <w:color w:val="FFFFFF" w:themeColor="background1"/>
                <w:sz w:val="19"/>
                <w:szCs w:val="19"/>
                <w:lang w:val="es-ES"/>
              </w:rPr>
              <w:t>Presunta víctima</w:t>
            </w:r>
          </w:p>
        </w:tc>
        <w:tc>
          <w:tcPr>
            <w:tcW w:w="6570" w:type="dxa"/>
            <w:vAlign w:val="center"/>
          </w:tcPr>
          <w:p w14:paraId="4AEBF59E" w14:textId="15CDDF07" w:rsidR="003239B8" w:rsidRPr="00467A86" w:rsidRDefault="0045240C" w:rsidP="0045240C">
            <w:pPr>
              <w:jc w:val="both"/>
              <w:rPr>
                <w:rFonts w:asciiTheme="majorHAnsi" w:hAnsiTheme="majorHAnsi"/>
                <w:bCs/>
                <w:sz w:val="19"/>
                <w:szCs w:val="19"/>
                <w:lang w:val="es-CO"/>
              </w:rPr>
            </w:pPr>
            <w:r w:rsidRPr="00467A86">
              <w:rPr>
                <w:rFonts w:asciiTheme="majorHAnsi" w:hAnsiTheme="majorHAnsi"/>
                <w:bCs/>
                <w:sz w:val="19"/>
                <w:szCs w:val="19"/>
                <w:lang w:val="es-ES"/>
              </w:rPr>
              <w:t>David Nazareno Coronel</w:t>
            </w:r>
            <w:r w:rsidR="00DA631E" w:rsidRPr="00467A86">
              <w:rPr>
                <w:rFonts w:asciiTheme="majorHAnsi" w:hAnsiTheme="majorHAnsi"/>
                <w:bCs/>
                <w:sz w:val="19"/>
                <w:szCs w:val="19"/>
                <w:lang w:val="es-ES"/>
              </w:rPr>
              <w:t xml:space="preserve"> y otros</w:t>
            </w:r>
            <w:r w:rsidR="00453CAE" w:rsidRPr="00467A86">
              <w:rPr>
                <w:rStyle w:val="FootnoteReference"/>
                <w:rFonts w:asciiTheme="majorHAnsi" w:hAnsiTheme="majorHAnsi"/>
                <w:bCs/>
                <w:sz w:val="19"/>
                <w:szCs w:val="19"/>
                <w:lang w:val="es-CO"/>
              </w:rPr>
              <w:footnoteReference w:id="2"/>
            </w:r>
          </w:p>
        </w:tc>
      </w:tr>
      <w:tr w:rsidR="003239B8" w:rsidRPr="00467A86"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467A86" w:rsidRDefault="00D77503" w:rsidP="008D2290">
            <w:pPr>
              <w:jc w:val="center"/>
              <w:rPr>
                <w:rFonts w:asciiTheme="majorHAnsi" w:hAnsiTheme="majorHAnsi"/>
                <w:bCs/>
                <w:color w:val="FFFFFF" w:themeColor="background1"/>
                <w:sz w:val="19"/>
                <w:szCs w:val="19"/>
                <w:lang w:val="es-ES"/>
              </w:rPr>
            </w:pPr>
            <w:r w:rsidRPr="00467A86">
              <w:rPr>
                <w:rFonts w:asciiTheme="majorHAnsi" w:hAnsiTheme="majorHAnsi"/>
                <w:bCs/>
                <w:color w:val="FFFFFF" w:themeColor="background1"/>
                <w:sz w:val="19"/>
                <w:szCs w:val="19"/>
                <w:lang w:val="es-ES"/>
              </w:rPr>
              <w:t>Estado denunciado</w:t>
            </w:r>
          </w:p>
        </w:tc>
        <w:tc>
          <w:tcPr>
            <w:tcW w:w="6570" w:type="dxa"/>
            <w:vAlign w:val="center"/>
          </w:tcPr>
          <w:p w14:paraId="274C8A50" w14:textId="1B5C6FB4" w:rsidR="003239B8" w:rsidRPr="00467A86" w:rsidRDefault="00DD61D9" w:rsidP="001901E9">
            <w:pPr>
              <w:jc w:val="both"/>
              <w:rPr>
                <w:rFonts w:asciiTheme="majorHAnsi" w:hAnsiTheme="majorHAnsi"/>
                <w:bCs/>
                <w:sz w:val="19"/>
                <w:szCs w:val="19"/>
                <w:lang w:val="es-ES"/>
              </w:rPr>
            </w:pPr>
            <w:r w:rsidRPr="00467A86">
              <w:rPr>
                <w:rFonts w:asciiTheme="majorHAnsi" w:hAnsiTheme="majorHAnsi"/>
                <w:bCs/>
                <w:sz w:val="19"/>
                <w:szCs w:val="19"/>
                <w:lang w:val="es-ES"/>
              </w:rPr>
              <w:t>Argentina</w:t>
            </w:r>
          </w:p>
        </w:tc>
      </w:tr>
      <w:tr w:rsidR="00223A29" w:rsidRPr="001A4E48"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467A86" w:rsidRDefault="001B3A00" w:rsidP="00E4118C">
            <w:pPr>
              <w:jc w:val="center"/>
              <w:rPr>
                <w:rFonts w:asciiTheme="majorHAnsi" w:hAnsiTheme="majorHAnsi"/>
                <w:bCs/>
                <w:color w:val="FFFFFF" w:themeColor="background1"/>
                <w:sz w:val="19"/>
                <w:szCs w:val="19"/>
                <w:lang w:val="es-ES"/>
              </w:rPr>
            </w:pPr>
            <w:r w:rsidRPr="00467A86">
              <w:rPr>
                <w:rFonts w:asciiTheme="majorHAnsi" w:hAnsiTheme="majorHAnsi"/>
                <w:bCs/>
                <w:color w:val="FFFFFF" w:themeColor="background1"/>
                <w:sz w:val="19"/>
                <w:szCs w:val="19"/>
                <w:lang w:val="es-ES"/>
              </w:rPr>
              <w:t xml:space="preserve">Derechos </w:t>
            </w:r>
            <w:r w:rsidR="00E4118C" w:rsidRPr="00467A86">
              <w:rPr>
                <w:rFonts w:asciiTheme="majorHAnsi" w:hAnsiTheme="majorHAnsi"/>
                <w:bCs/>
                <w:color w:val="FFFFFF" w:themeColor="background1"/>
                <w:sz w:val="19"/>
                <w:szCs w:val="19"/>
                <w:lang w:val="es-ES"/>
              </w:rPr>
              <w:t>invocados</w:t>
            </w:r>
          </w:p>
        </w:tc>
        <w:tc>
          <w:tcPr>
            <w:tcW w:w="6570" w:type="dxa"/>
            <w:vAlign w:val="center"/>
          </w:tcPr>
          <w:p w14:paraId="6DEE1EEB" w14:textId="15F1C62B" w:rsidR="00223A29" w:rsidRPr="00467A86" w:rsidRDefault="00BF514A" w:rsidP="00DA631E">
            <w:pPr>
              <w:jc w:val="both"/>
              <w:rPr>
                <w:rFonts w:asciiTheme="majorHAnsi" w:hAnsiTheme="majorHAnsi"/>
                <w:bCs/>
                <w:sz w:val="19"/>
                <w:szCs w:val="19"/>
                <w:lang w:val="es-ES"/>
              </w:rPr>
            </w:pPr>
            <w:r w:rsidRPr="00467A86">
              <w:rPr>
                <w:rFonts w:asciiTheme="majorHAnsi" w:hAnsiTheme="majorHAnsi"/>
                <w:bCs/>
                <w:sz w:val="19"/>
                <w:szCs w:val="19"/>
                <w:lang w:val="es-ES"/>
              </w:rPr>
              <w:t>Artículos</w:t>
            </w:r>
            <w:r w:rsidR="00DD61D9" w:rsidRPr="00467A86">
              <w:rPr>
                <w:rFonts w:asciiTheme="majorHAnsi" w:hAnsiTheme="majorHAnsi"/>
                <w:bCs/>
                <w:sz w:val="19"/>
                <w:szCs w:val="19"/>
                <w:lang w:val="es-ES"/>
              </w:rPr>
              <w:t xml:space="preserve"> 5 (integridad física),</w:t>
            </w:r>
            <w:r w:rsidRPr="00467A86">
              <w:rPr>
                <w:rFonts w:asciiTheme="majorHAnsi" w:hAnsiTheme="majorHAnsi"/>
                <w:bCs/>
                <w:sz w:val="19"/>
                <w:szCs w:val="19"/>
                <w:lang w:val="es-ES"/>
              </w:rPr>
              <w:t xml:space="preserve"> </w:t>
            </w:r>
            <w:r w:rsidR="00DD61D9" w:rsidRPr="00467A86">
              <w:rPr>
                <w:rFonts w:asciiTheme="majorHAnsi" w:hAnsiTheme="majorHAnsi"/>
                <w:bCs/>
                <w:sz w:val="19"/>
                <w:szCs w:val="19"/>
                <w:lang w:val="es-ES"/>
              </w:rPr>
              <w:t xml:space="preserve">7 (libertad personal), 8 (garantías judiciales),  9 (legalidad), 17 (protección de la familia), 19 (derechos del niño) y 24 (igualdad) de la </w:t>
            </w:r>
            <w:r w:rsidRPr="00467A86">
              <w:rPr>
                <w:rFonts w:asciiTheme="majorHAnsi" w:hAnsiTheme="majorHAnsi"/>
                <w:bCs/>
                <w:sz w:val="19"/>
                <w:szCs w:val="19"/>
                <w:lang w:val="es-ES"/>
              </w:rPr>
              <w:t>Convención Americana sobre Derechos Humanos</w:t>
            </w:r>
            <w:r w:rsidRPr="00467A86">
              <w:rPr>
                <w:rStyle w:val="FootnoteReference"/>
                <w:rFonts w:asciiTheme="majorHAnsi" w:hAnsiTheme="majorHAnsi"/>
                <w:bCs/>
                <w:sz w:val="19"/>
                <w:szCs w:val="19"/>
                <w:lang w:val="es-ES"/>
              </w:rPr>
              <w:footnoteReference w:id="3"/>
            </w:r>
            <w:r w:rsidR="00DD61D9" w:rsidRPr="00467A86">
              <w:rPr>
                <w:rFonts w:asciiTheme="majorHAnsi" w:hAnsiTheme="majorHAnsi"/>
                <w:bCs/>
                <w:sz w:val="19"/>
                <w:szCs w:val="19"/>
                <w:lang w:val="es-ES"/>
              </w:rPr>
              <w:t xml:space="preserve">, en relación con </w:t>
            </w:r>
            <w:r w:rsidR="00DD61D9" w:rsidRPr="00467A86">
              <w:rPr>
                <w:rFonts w:asciiTheme="majorHAnsi" w:hAnsiTheme="majorHAnsi"/>
                <w:sz w:val="19"/>
                <w:szCs w:val="19"/>
                <w:lang w:val="es-ES"/>
              </w:rPr>
              <w:t>los artículos 1.1 (obligación de respetar los derechos) y 2 (deber de adoptar disposiciones de derecho interno) del mismo instrumento; junto con otros instrumentos internacionales</w:t>
            </w:r>
            <w:r w:rsidR="009350D1" w:rsidRPr="00467A86">
              <w:rPr>
                <w:rStyle w:val="FootnoteReference"/>
                <w:rFonts w:asciiTheme="majorHAnsi" w:hAnsiTheme="majorHAnsi"/>
                <w:sz w:val="19"/>
                <w:szCs w:val="19"/>
                <w:lang w:val="es-ES"/>
              </w:rPr>
              <w:footnoteReference w:id="4"/>
            </w:r>
          </w:p>
        </w:tc>
      </w:tr>
    </w:tbl>
    <w:p w14:paraId="20263696" w14:textId="77777777" w:rsidR="003239B8" w:rsidRPr="006D3136" w:rsidRDefault="003239B8" w:rsidP="007C402A">
      <w:pPr>
        <w:spacing w:before="120" w:after="120"/>
        <w:ind w:firstLine="720"/>
        <w:jc w:val="both"/>
        <w:rPr>
          <w:rFonts w:asciiTheme="majorHAnsi" w:hAnsiTheme="majorHAnsi"/>
          <w:b/>
          <w:bCs/>
          <w:sz w:val="20"/>
          <w:szCs w:val="20"/>
          <w:lang w:val="es-ES"/>
        </w:rPr>
      </w:pPr>
      <w:r w:rsidRPr="006D3136">
        <w:rPr>
          <w:rFonts w:asciiTheme="majorHAnsi" w:hAnsiTheme="majorHAnsi"/>
          <w:b/>
          <w:bCs/>
          <w:sz w:val="20"/>
          <w:szCs w:val="20"/>
          <w:lang w:val="es-ES"/>
        </w:rPr>
        <w:t>II.</w:t>
      </w:r>
      <w:r w:rsidRPr="006D3136">
        <w:rPr>
          <w:rFonts w:asciiTheme="majorHAnsi" w:hAnsiTheme="majorHAnsi"/>
          <w:b/>
          <w:bCs/>
          <w:sz w:val="20"/>
          <w:szCs w:val="20"/>
          <w:lang w:val="es-ES"/>
        </w:rPr>
        <w:tab/>
        <w:t>TRÁMITE ANTE LA CIDH</w:t>
      </w:r>
      <w:r w:rsidR="008E3BFE" w:rsidRPr="006D3136">
        <w:rPr>
          <w:rStyle w:val="FootnoteReference"/>
          <w:rFonts w:asciiTheme="majorHAnsi" w:hAnsiTheme="majorHAnsi"/>
          <w:b/>
          <w:sz w:val="20"/>
          <w:szCs w:val="20"/>
          <w:lang w:val="es-ES"/>
        </w:rPr>
        <w:footnoteReference w:id="5"/>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467A86"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467A86" w:rsidRDefault="000C1C69" w:rsidP="004A6A54">
            <w:pPr>
              <w:jc w:val="center"/>
              <w:rPr>
                <w:rFonts w:asciiTheme="majorHAnsi" w:hAnsiTheme="majorHAnsi"/>
                <w:bCs/>
                <w:color w:val="FFFFFF" w:themeColor="background1"/>
                <w:sz w:val="19"/>
                <w:szCs w:val="19"/>
                <w:lang w:val="es-ES"/>
              </w:rPr>
            </w:pPr>
            <w:r w:rsidRPr="00467A86">
              <w:rPr>
                <w:rFonts w:asciiTheme="majorHAnsi" w:hAnsiTheme="majorHAnsi"/>
                <w:bCs/>
                <w:color w:val="FFFFFF" w:themeColor="background1"/>
                <w:sz w:val="19"/>
                <w:szCs w:val="19"/>
                <w:lang w:val="es-ES"/>
              </w:rPr>
              <w:t>Recepción</w:t>
            </w:r>
            <w:r w:rsidR="00D77503" w:rsidRPr="00467A86">
              <w:rPr>
                <w:rFonts w:asciiTheme="majorHAnsi" w:hAnsiTheme="majorHAnsi"/>
                <w:bCs/>
                <w:color w:val="FFFFFF" w:themeColor="background1"/>
                <w:sz w:val="19"/>
                <w:szCs w:val="19"/>
                <w:lang w:val="es-ES"/>
              </w:rPr>
              <w:t xml:space="preserve"> de la petición</w:t>
            </w:r>
          </w:p>
        </w:tc>
        <w:tc>
          <w:tcPr>
            <w:tcW w:w="6570" w:type="dxa"/>
            <w:vAlign w:val="center"/>
          </w:tcPr>
          <w:p w14:paraId="6E579153" w14:textId="5E6232E9" w:rsidR="004C2312" w:rsidRPr="00467A86" w:rsidRDefault="00BD2AFA" w:rsidP="002625EA">
            <w:pPr>
              <w:jc w:val="both"/>
              <w:rPr>
                <w:rFonts w:asciiTheme="majorHAnsi" w:hAnsiTheme="majorHAnsi"/>
                <w:bCs/>
                <w:sz w:val="19"/>
                <w:szCs w:val="19"/>
                <w:lang w:val="es-ES"/>
              </w:rPr>
            </w:pPr>
            <w:r w:rsidRPr="00467A86">
              <w:rPr>
                <w:rFonts w:asciiTheme="majorHAnsi" w:hAnsiTheme="majorHAnsi"/>
                <w:bCs/>
                <w:sz w:val="19"/>
                <w:szCs w:val="19"/>
                <w:lang w:val="es-ES"/>
              </w:rPr>
              <w:t>2 de junio</w:t>
            </w:r>
            <w:r w:rsidR="00377286" w:rsidRPr="00467A86">
              <w:rPr>
                <w:rFonts w:asciiTheme="majorHAnsi" w:hAnsiTheme="majorHAnsi"/>
                <w:bCs/>
                <w:sz w:val="19"/>
                <w:szCs w:val="19"/>
                <w:lang w:val="es-ES"/>
              </w:rPr>
              <w:t xml:space="preserve"> de 2009</w:t>
            </w:r>
          </w:p>
        </w:tc>
      </w:tr>
      <w:tr w:rsidR="006E772A" w:rsidRPr="00467A86" w14:paraId="68F509DA" w14:textId="77777777" w:rsidTr="00954B82">
        <w:tc>
          <w:tcPr>
            <w:tcW w:w="2790" w:type="dxa"/>
            <w:tcBorders>
              <w:top w:val="single" w:sz="6" w:space="0" w:color="auto"/>
              <w:bottom w:val="single" w:sz="6" w:space="0" w:color="auto"/>
            </w:tcBorders>
            <w:shd w:val="clear" w:color="auto" w:fill="386294"/>
            <w:vAlign w:val="center"/>
          </w:tcPr>
          <w:p w14:paraId="62C9F91B" w14:textId="65F3AB1A" w:rsidR="006E772A" w:rsidRPr="00467A86" w:rsidRDefault="006E772A" w:rsidP="004A6A54">
            <w:pPr>
              <w:jc w:val="center"/>
              <w:rPr>
                <w:rFonts w:asciiTheme="majorHAnsi" w:hAnsiTheme="majorHAnsi"/>
                <w:bCs/>
                <w:color w:val="FFFFFF" w:themeColor="background1"/>
                <w:sz w:val="19"/>
                <w:szCs w:val="19"/>
                <w:lang w:val="es-ES"/>
              </w:rPr>
            </w:pPr>
            <w:r w:rsidRPr="00467A86">
              <w:rPr>
                <w:rFonts w:asciiTheme="majorHAnsi" w:hAnsiTheme="majorHAnsi"/>
                <w:bCs/>
                <w:color w:val="FFFFFF" w:themeColor="background1"/>
                <w:sz w:val="19"/>
                <w:szCs w:val="19"/>
                <w:lang w:val="es-ES"/>
              </w:rPr>
              <w:t xml:space="preserve">Información adicional </w:t>
            </w:r>
            <w:r w:rsidR="002355A9" w:rsidRPr="00467A86">
              <w:rPr>
                <w:rFonts w:asciiTheme="majorHAnsi" w:hAnsiTheme="majorHAnsi"/>
                <w:bCs/>
                <w:color w:val="FFFFFF" w:themeColor="background1"/>
                <w:sz w:val="19"/>
                <w:szCs w:val="19"/>
                <w:lang w:val="es-ES"/>
              </w:rPr>
              <w:t>recibida en la etapa de estudio</w:t>
            </w:r>
          </w:p>
        </w:tc>
        <w:tc>
          <w:tcPr>
            <w:tcW w:w="6570" w:type="dxa"/>
            <w:vAlign w:val="center"/>
          </w:tcPr>
          <w:p w14:paraId="796669C8" w14:textId="78480C4D" w:rsidR="006E772A" w:rsidRPr="00467A86" w:rsidRDefault="00BD2AFA" w:rsidP="002625EA">
            <w:pPr>
              <w:jc w:val="both"/>
              <w:rPr>
                <w:rFonts w:asciiTheme="majorHAnsi" w:hAnsiTheme="majorHAnsi"/>
                <w:bCs/>
                <w:sz w:val="19"/>
                <w:szCs w:val="19"/>
                <w:lang w:val="es-ES"/>
              </w:rPr>
            </w:pPr>
            <w:r w:rsidRPr="00467A86">
              <w:rPr>
                <w:rFonts w:asciiTheme="majorHAnsi" w:hAnsiTheme="majorHAnsi"/>
                <w:bCs/>
                <w:sz w:val="19"/>
                <w:szCs w:val="19"/>
                <w:lang w:val="es-ES"/>
              </w:rPr>
              <w:t>5 de junio de 2009</w:t>
            </w:r>
          </w:p>
        </w:tc>
      </w:tr>
      <w:tr w:rsidR="004C2312" w:rsidRPr="00467A86"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467A86" w:rsidRDefault="004A6A54" w:rsidP="000C1C69">
            <w:pPr>
              <w:jc w:val="center"/>
              <w:rPr>
                <w:rFonts w:asciiTheme="majorHAnsi" w:hAnsiTheme="majorHAnsi"/>
                <w:bCs/>
                <w:color w:val="FFFFFF" w:themeColor="background1"/>
                <w:sz w:val="19"/>
                <w:szCs w:val="19"/>
                <w:lang w:val="es-ES"/>
              </w:rPr>
            </w:pPr>
            <w:r w:rsidRPr="00467A86">
              <w:rPr>
                <w:rFonts w:asciiTheme="majorHAnsi" w:hAnsiTheme="majorHAnsi"/>
                <w:color w:val="FFFFFF" w:themeColor="background1"/>
                <w:sz w:val="19"/>
                <w:szCs w:val="19"/>
                <w:lang w:val="es-ES"/>
              </w:rPr>
              <w:t>N</w:t>
            </w:r>
            <w:r w:rsidR="004C2312" w:rsidRPr="00467A86">
              <w:rPr>
                <w:rFonts w:asciiTheme="majorHAnsi" w:hAnsiTheme="majorHAnsi"/>
                <w:color w:val="FFFFFF" w:themeColor="background1"/>
                <w:sz w:val="19"/>
                <w:szCs w:val="19"/>
                <w:lang w:val="es-ES"/>
              </w:rPr>
              <w:t>otificación de la petición</w:t>
            </w:r>
          </w:p>
        </w:tc>
        <w:tc>
          <w:tcPr>
            <w:tcW w:w="6570" w:type="dxa"/>
            <w:vAlign w:val="center"/>
          </w:tcPr>
          <w:p w14:paraId="1519DA6A" w14:textId="6EFF0078" w:rsidR="004C2312" w:rsidRPr="00467A86" w:rsidRDefault="00F202A0" w:rsidP="008D2290">
            <w:pPr>
              <w:jc w:val="both"/>
              <w:rPr>
                <w:rFonts w:asciiTheme="majorHAnsi" w:hAnsiTheme="majorHAnsi"/>
                <w:bCs/>
                <w:sz w:val="19"/>
                <w:szCs w:val="19"/>
                <w:lang w:val="es-ES"/>
              </w:rPr>
            </w:pPr>
            <w:r w:rsidRPr="00467A86">
              <w:rPr>
                <w:rFonts w:asciiTheme="majorHAnsi" w:hAnsiTheme="majorHAnsi"/>
                <w:bCs/>
                <w:sz w:val="19"/>
                <w:szCs w:val="19"/>
                <w:lang w:val="es-ES"/>
              </w:rPr>
              <w:t>24 de marzo de 2010</w:t>
            </w:r>
          </w:p>
        </w:tc>
      </w:tr>
      <w:tr w:rsidR="00F06354" w:rsidRPr="00467A86"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467A86" w:rsidRDefault="00D77503" w:rsidP="00F06354">
            <w:pPr>
              <w:jc w:val="center"/>
              <w:rPr>
                <w:rFonts w:asciiTheme="majorHAnsi" w:hAnsiTheme="majorHAnsi"/>
                <w:bCs/>
                <w:color w:val="FFFFFF" w:themeColor="background1"/>
                <w:sz w:val="19"/>
                <w:szCs w:val="19"/>
                <w:lang w:val="es-ES"/>
              </w:rPr>
            </w:pPr>
            <w:r w:rsidRPr="00467A86">
              <w:rPr>
                <w:rFonts w:asciiTheme="majorHAnsi" w:hAnsiTheme="majorHAnsi"/>
                <w:color w:val="FFFFFF" w:themeColor="background1"/>
                <w:sz w:val="19"/>
                <w:szCs w:val="19"/>
                <w:lang w:val="es-ES"/>
              </w:rPr>
              <w:t>Primera respuesta del Estado</w:t>
            </w:r>
          </w:p>
        </w:tc>
        <w:tc>
          <w:tcPr>
            <w:tcW w:w="6570" w:type="dxa"/>
            <w:vAlign w:val="center"/>
          </w:tcPr>
          <w:p w14:paraId="1972B99E" w14:textId="56637E72" w:rsidR="00F06354" w:rsidRPr="00467A86" w:rsidRDefault="00C74DEF" w:rsidP="00F06354">
            <w:pPr>
              <w:jc w:val="both"/>
              <w:rPr>
                <w:rFonts w:asciiTheme="majorHAnsi" w:hAnsiTheme="majorHAnsi"/>
                <w:bCs/>
                <w:sz w:val="19"/>
                <w:szCs w:val="19"/>
                <w:lang w:val="es-ES"/>
              </w:rPr>
            </w:pPr>
            <w:r w:rsidRPr="00467A86">
              <w:rPr>
                <w:rFonts w:asciiTheme="majorHAnsi" w:hAnsiTheme="majorHAnsi"/>
                <w:bCs/>
                <w:sz w:val="19"/>
                <w:szCs w:val="19"/>
                <w:lang w:val="es-ES"/>
              </w:rPr>
              <w:t>8 de julio de 2010</w:t>
            </w:r>
          </w:p>
        </w:tc>
      </w:tr>
      <w:tr w:rsidR="00F06354" w:rsidRPr="001A4E48"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467A86" w:rsidRDefault="00F06354" w:rsidP="00F06354">
            <w:pPr>
              <w:jc w:val="center"/>
              <w:rPr>
                <w:rFonts w:asciiTheme="majorHAnsi" w:hAnsiTheme="majorHAnsi"/>
                <w:bCs/>
                <w:color w:val="FFFFFF" w:themeColor="background1"/>
                <w:sz w:val="19"/>
                <w:szCs w:val="19"/>
                <w:lang w:val="es-ES"/>
              </w:rPr>
            </w:pPr>
            <w:r w:rsidRPr="00467A86">
              <w:rPr>
                <w:rFonts w:asciiTheme="majorHAnsi" w:hAnsiTheme="majorHAnsi"/>
                <w:bCs/>
                <w:color w:val="FFFFFF" w:themeColor="background1"/>
                <w:sz w:val="19"/>
                <w:szCs w:val="19"/>
                <w:lang w:val="es-ES"/>
              </w:rPr>
              <w:t>Observaciones adicionales de</w:t>
            </w:r>
            <w:r w:rsidR="00D77503" w:rsidRPr="00467A86">
              <w:rPr>
                <w:rFonts w:asciiTheme="majorHAnsi" w:hAnsiTheme="majorHAnsi"/>
                <w:bCs/>
                <w:color w:val="FFFFFF" w:themeColor="background1"/>
                <w:sz w:val="19"/>
                <w:szCs w:val="19"/>
                <w:lang w:val="es-ES"/>
              </w:rPr>
              <w:t xml:space="preserve"> la parte peticionaria</w:t>
            </w:r>
          </w:p>
        </w:tc>
        <w:tc>
          <w:tcPr>
            <w:tcW w:w="6570" w:type="dxa"/>
            <w:vAlign w:val="center"/>
          </w:tcPr>
          <w:p w14:paraId="41D8B862" w14:textId="31569456" w:rsidR="00F06354" w:rsidRPr="00467A86" w:rsidRDefault="00C279E9" w:rsidP="00950370">
            <w:pPr>
              <w:jc w:val="both"/>
              <w:rPr>
                <w:rFonts w:asciiTheme="majorHAnsi" w:hAnsiTheme="majorHAnsi"/>
                <w:bCs/>
                <w:sz w:val="19"/>
                <w:szCs w:val="19"/>
                <w:lang w:val="es-ES"/>
              </w:rPr>
            </w:pPr>
            <w:r w:rsidRPr="00467A86">
              <w:rPr>
                <w:rFonts w:asciiTheme="majorHAnsi" w:hAnsiTheme="majorHAnsi"/>
                <w:bCs/>
                <w:sz w:val="19"/>
                <w:szCs w:val="19"/>
                <w:lang w:val="es-ES"/>
              </w:rPr>
              <w:t>22</w:t>
            </w:r>
            <w:r w:rsidR="00AD5EA3" w:rsidRPr="00467A86">
              <w:rPr>
                <w:rFonts w:asciiTheme="majorHAnsi" w:hAnsiTheme="majorHAnsi"/>
                <w:bCs/>
                <w:sz w:val="19"/>
                <w:szCs w:val="19"/>
                <w:lang w:val="es-ES"/>
              </w:rPr>
              <w:t xml:space="preserve"> de diciembre de 2010</w:t>
            </w:r>
            <w:r w:rsidR="00907E87">
              <w:rPr>
                <w:rFonts w:asciiTheme="majorHAnsi" w:hAnsiTheme="majorHAnsi"/>
                <w:bCs/>
                <w:sz w:val="19"/>
                <w:szCs w:val="19"/>
                <w:lang w:val="es-ES"/>
              </w:rPr>
              <w:t xml:space="preserve"> y</w:t>
            </w:r>
            <w:r w:rsidR="00AB72CE" w:rsidRPr="00467A86">
              <w:rPr>
                <w:rFonts w:asciiTheme="majorHAnsi" w:hAnsiTheme="majorHAnsi"/>
                <w:bCs/>
                <w:sz w:val="19"/>
                <w:szCs w:val="19"/>
                <w:lang w:val="es-ES"/>
              </w:rPr>
              <w:t xml:space="preserve"> </w:t>
            </w:r>
            <w:r w:rsidR="00950370" w:rsidRPr="00467A86">
              <w:rPr>
                <w:rFonts w:asciiTheme="majorHAnsi" w:hAnsiTheme="majorHAnsi"/>
                <w:bCs/>
                <w:sz w:val="19"/>
                <w:szCs w:val="19"/>
                <w:lang w:val="es-ES"/>
              </w:rPr>
              <w:t xml:space="preserve">6 de febrero de </w:t>
            </w:r>
            <w:r w:rsidR="00735FD9" w:rsidRPr="00467A86">
              <w:rPr>
                <w:rFonts w:asciiTheme="majorHAnsi" w:hAnsiTheme="majorHAnsi"/>
                <w:bCs/>
                <w:sz w:val="19"/>
                <w:szCs w:val="19"/>
                <w:lang w:val="es-ES"/>
              </w:rPr>
              <w:t>2012</w:t>
            </w:r>
          </w:p>
        </w:tc>
      </w:tr>
      <w:tr w:rsidR="00F06354" w:rsidRPr="001A4E48" w14:paraId="291ACE7A" w14:textId="77777777" w:rsidTr="00954B82">
        <w:tc>
          <w:tcPr>
            <w:tcW w:w="2790" w:type="dxa"/>
            <w:tcBorders>
              <w:top w:val="single" w:sz="6" w:space="0" w:color="auto"/>
              <w:bottom w:val="single" w:sz="6" w:space="0" w:color="auto"/>
            </w:tcBorders>
            <w:shd w:val="clear" w:color="auto" w:fill="386294"/>
            <w:vAlign w:val="center"/>
          </w:tcPr>
          <w:p w14:paraId="068BD12F" w14:textId="44332F68" w:rsidR="00F06354" w:rsidRPr="00467A86" w:rsidRDefault="00F06354" w:rsidP="00F06354">
            <w:pPr>
              <w:jc w:val="center"/>
              <w:rPr>
                <w:rFonts w:asciiTheme="majorHAnsi" w:hAnsiTheme="majorHAnsi"/>
                <w:bCs/>
                <w:color w:val="FFFFFF" w:themeColor="background1"/>
                <w:sz w:val="19"/>
                <w:szCs w:val="19"/>
                <w:lang w:val="es-ES"/>
              </w:rPr>
            </w:pPr>
            <w:r w:rsidRPr="00467A86">
              <w:rPr>
                <w:rFonts w:asciiTheme="majorHAnsi" w:hAnsiTheme="majorHAnsi"/>
                <w:bCs/>
                <w:color w:val="FFFFFF" w:themeColor="background1"/>
                <w:sz w:val="19"/>
                <w:szCs w:val="19"/>
                <w:lang w:val="es-ES"/>
              </w:rPr>
              <w:t>Obser</w:t>
            </w:r>
            <w:r w:rsidR="00D77503" w:rsidRPr="00467A86">
              <w:rPr>
                <w:rFonts w:asciiTheme="majorHAnsi" w:hAnsiTheme="majorHAnsi"/>
                <w:bCs/>
                <w:color w:val="FFFFFF" w:themeColor="background1"/>
                <w:sz w:val="19"/>
                <w:szCs w:val="19"/>
                <w:lang w:val="es-ES"/>
              </w:rPr>
              <w:t>vaciones adicionales del Estado</w:t>
            </w:r>
          </w:p>
        </w:tc>
        <w:tc>
          <w:tcPr>
            <w:tcW w:w="6570" w:type="dxa"/>
            <w:vAlign w:val="center"/>
          </w:tcPr>
          <w:p w14:paraId="3CE49AFE" w14:textId="19A53E4B" w:rsidR="00F06354" w:rsidRPr="00467A86" w:rsidRDefault="00950370" w:rsidP="00F06354">
            <w:pPr>
              <w:jc w:val="both"/>
              <w:rPr>
                <w:rFonts w:asciiTheme="majorHAnsi" w:hAnsiTheme="majorHAnsi"/>
                <w:bCs/>
                <w:sz w:val="19"/>
                <w:szCs w:val="19"/>
                <w:lang w:val="es-ES"/>
              </w:rPr>
            </w:pPr>
            <w:r w:rsidRPr="00467A86">
              <w:rPr>
                <w:rFonts w:asciiTheme="majorHAnsi" w:hAnsiTheme="majorHAnsi"/>
                <w:bCs/>
                <w:sz w:val="19"/>
                <w:szCs w:val="19"/>
                <w:lang w:val="es-ES"/>
              </w:rPr>
              <w:t xml:space="preserve">4 de octubre de 2011 y </w:t>
            </w:r>
            <w:r w:rsidR="00735FD9" w:rsidRPr="00467A86">
              <w:rPr>
                <w:rFonts w:asciiTheme="majorHAnsi" w:hAnsiTheme="majorHAnsi"/>
                <w:bCs/>
                <w:sz w:val="19"/>
                <w:szCs w:val="19"/>
                <w:lang w:val="es-ES"/>
              </w:rPr>
              <w:t>4 de agosto de 2017</w:t>
            </w:r>
          </w:p>
        </w:tc>
      </w:tr>
    </w:tbl>
    <w:p w14:paraId="21DAA666" w14:textId="5065046E" w:rsidR="003239B8" w:rsidRPr="006D3136" w:rsidRDefault="003239B8" w:rsidP="007C402A">
      <w:pPr>
        <w:spacing w:before="120" w:after="120"/>
        <w:ind w:firstLine="720"/>
        <w:jc w:val="both"/>
        <w:rPr>
          <w:rFonts w:asciiTheme="majorHAnsi" w:hAnsiTheme="majorHAnsi"/>
          <w:b/>
          <w:bCs/>
          <w:sz w:val="20"/>
          <w:szCs w:val="20"/>
          <w:lang w:val="es-ES"/>
        </w:rPr>
      </w:pPr>
      <w:r w:rsidRPr="006D3136">
        <w:rPr>
          <w:rFonts w:asciiTheme="majorHAnsi" w:hAnsiTheme="majorHAnsi"/>
          <w:b/>
          <w:bCs/>
          <w:sz w:val="20"/>
          <w:szCs w:val="20"/>
          <w:lang w:val="es-ES"/>
        </w:rPr>
        <w:t xml:space="preserve">III. </w:t>
      </w:r>
      <w:r w:rsidRPr="006D3136">
        <w:rPr>
          <w:rFonts w:asciiTheme="majorHAnsi" w:hAnsiTheme="majorHAnsi"/>
          <w:b/>
          <w:bCs/>
          <w:sz w:val="20"/>
          <w:szCs w:val="20"/>
          <w:lang w:val="es-ES"/>
        </w:rPr>
        <w:tab/>
        <w:t>COMPETENCIA</w:t>
      </w:r>
      <w:r w:rsidR="00EE00E9" w:rsidRPr="006D3136">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3239B8" w:rsidRPr="00467A86" w14:paraId="072532AD" w14:textId="77777777" w:rsidTr="00222DE9">
        <w:trPr>
          <w:cantSplit/>
          <w:trHeight w:val="202"/>
        </w:trPr>
        <w:tc>
          <w:tcPr>
            <w:tcW w:w="2790" w:type="dxa"/>
            <w:tcBorders>
              <w:top w:val="single" w:sz="4" w:space="0" w:color="auto"/>
              <w:bottom w:val="single" w:sz="6" w:space="0" w:color="auto"/>
            </w:tcBorders>
            <w:shd w:val="clear" w:color="auto" w:fill="386294"/>
            <w:vAlign w:val="center"/>
          </w:tcPr>
          <w:p w14:paraId="5C2E4B34" w14:textId="7281AAF8" w:rsidR="003239B8" w:rsidRPr="00467A86" w:rsidRDefault="00D77503" w:rsidP="008D2290">
            <w:pPr>
              <w:jc w:val="center"/>
              <w:rPr>
                <w:rFonts w:asciiTheme="majorHAnsi" w:hAnsiTheme="majorHAnsi"/>
                <w:bCs/>
                <w:i/>
                <w:color w:val="FFFFFF" w:themeColor="background1"/>
                <w:sz w:val="19"/>
                <w:szCs w:val="19"/>
                <w:lang w:val="es-ES"/>
              </w:rPr>
            </w:pPr>
            <w:proofErr w:type="spellStart"/>
            <w:r w:rsidRPr="00467A86">
              <w:rPr>
                <w:rFonts w:asciiTheme="majorHAnsi" w:hAnsiTheme="majorHAnsi"/>
                <w:bCs/>
                <w:i/>
                <w:color w:val="FFFFFF" w:themeColor="background1"/>
                <w:sz w:val="19"/>
                <w:szCs w:val="19"/>
                <w:lang w:val="es-ES"/>
              </w:rPr>
              <w:t>Ratione</w:t>
            </w:r>
            <w:proofErr w:type="spellEnd"/>
            <w:r w:rsidRPr="00467A86">
              <w:rPr>
                <w:rFonts w:asciiTheme="majorHAnsi" w:hAnsiTheme="majorHAnsi"/>
                <w:bCs/>
                <w:i/>
                <w:color w:val="FFFFFF" w:themeColor="background1"/>
                <w:sz w:val="19"/>
                <w:szCs w:val="19"/>
                <w:lang w:val="es-ES"/>
              </w:rPr>
              <w:t xml:space="preserve"> </w:t>
            </w:r>
            <w:proofErr w:type="spellStart"/>
            <w:r w:rsidRPr="00467A86">
              <w:rPr>
                <w:rFonts w:asciiTheme="majorHAnsi" w:hAnsiTheme="majorHAnsi"/>
                <w:bCs/>
                <w:i/>
                <w:color w:val="FFFFFF" w:themeColor="background1"/>
                <w:sz w:val="19"/>
                <w:szCs w:val="19"/>
                <w:lang w:val="es-ES"/>
              </w:rPr>
              <w:t>personae</w:t>
            </w:r>
            <w:proofErr w:type="spellEnd"/>
          </w:p>
        </w:tc>
        <w:tc>
          <w:tcPr>
            <w:tcW w:w="6570" w:type="dxa"/>
            <w:vAlign w:val="center"/>
          </w:tcPr>
          <w:p w14:paraId="7707F3E9" w14:textId="2CE4EA9F" w:rsidR="003239B8" w:rsidRPr="00467A86" w:rsidRDefault="00F46162" w:rsidP="008D2290">
            <w:pPr>
              <w:rPr>
                <w:rFonts w:asciiTheme="majorHAnsi" w:hAnsiTheme="majorHAnsi"/>
                <w:bCs/>
                <w:sz w:val="19"/>
                <w:szCs w:val="19"/>
                <w:lang w:val="es-ES"/>
              </w:rPr>
            </w:pPr>
            <w:r w:rsidRPr="00467A86">
              <w:rPr>
                <w:rFonts w:asciiTheme="majorHAnsi" w:hAnsiTheme="majorHAnsi"/>
                <w:bCs/>
                <w:sz w:val="19"/>
                <w:szCs w:val="19"/>
                <w:lang w:val="es-ES"/>
              </w:rPr>
              <w:t>Sí</w:t>
            </w:r>
          </w:p>
        </w:tc>
      </w:tr>
      <w:tr w:rsidR="003239B8" w:rsidRPr="00467A86" w14:paraId="4B8802DA" w14:textId="77777777" w:rsidTr="00222DE9">
        <w:trPr>
          <w:cantSplit/>
          <w:trHeight w:val="202"/>
        </w:trPr>
        <w:tc>
          <w:tcPr>
            <w:tcW w:w="2790" w:type="dxa"/>
            <w:tcBorders>
              <w:top w:val="single" w:sz="6" w:space="0" w:color="auto"/>
              <w:bottom w:val="single" w:sz="6" w:space="0" w:color="auto"/>
            </w:tcBorders>
            <w:shd w:val="clear" w:color="auto" w:fill="386294"/>
            <w:vAlign w:val="center"/>
          </w:tcPr>
          <w:p w14:paraId="3915C23B" w14:textId="629F623D" w:rsidR="003239B8" w:rsidRPr="00467A86" w:rsidRDefault="003239B8" w:rsidP="00D77503">
            <w:pPr>
              <w:jc w:val="center"/>
              <w:rPr>
                <w:rFonts w:asciiTheme="majorHAnsi" w:hAnsiTheme="majorHAnsi"/>
                <w:bCs/>
                <w:color w:val="FFFFFF" w:themeColor="background1"/>
                <w:sz w:val="19"/>
                <w:szCs w:val="19"/>
                <w:lang w:val="es-ES"/>
              </w:rPr>
            </w:pPr>
            <w:proofErr w:type="spellStart"/>
            <w:r w:rsidRPr="00467A86">
              <w:rPr>
                <w:rFonts w:asciiTheme="majorHAnsi" w:hAnsiTheme="majorHAnsi"/>
                <w:bCs/>
                <w:i/>
                <w:color w:val="FFFFFF" w:themeColor="background1"/>
                <w:sz w:val="19"/>
                <w:szCs w:val="19"/>
                <w:lang w:val="es-ES"/>
              </w:rPr>
              <w:t>Ratione</w:t>
            </w:r>
            <w:proofErr w:type="spellEnd"/>
            <w:r w:rsidRPr="00467A86">
              <w:rPr>
                <w:rFonts w:asciiTheme="majorHAnsi" w:hAnsiTheme="majorHAnsi"/>
                <w:bCs/>
                <w:i/>
                <w:color w:val="FFFFFF" w:themeColor="background1"/>
                <w:sz w:val="19"/>
                <w:szCs w:val="19"/>
                <w:lang w:val="es-ES"/>
              </w:rPr>
              <w:t xml:space="preserve"> </w:t>
            </w:r>
            <w:proofErr w:type="spellStart"/>
            <w:r w:rsidRPr="00467A86">
              <w:rPr>
                <w:rFonts w:asciiTheme="majorHAnsi" w:hAnsiTheme="majorHAnsi"/>
                <w:bCs/>
                <w:i/>
                <w:color w:val="FFFFFF" w:themeColor="background1"/>
                <w:sz w:val="19"/>
                <w:szCs w:val="19"/>
                <w:lang w:val="es-ES"/>
              </w:rPr>
              <w:t>loci</w:t>
            </w:r>
            <w:proofErr w:type="spellEnd"/>
          </w:p>
        </w:tc>
        <w:tc>
          <w:tcPr>
            <w:tcW w:w="6570" w:type="dxa"/>
            <w:vAlign w:val="center"/>
          </w:tcPr>
          <w:p w14:paraId="12C931CB" w14:textId="3FADF81A" w:rsidR="003239B8" w:rsidRPr="00467A86" w:rsidRDefault="00F46162" w:rsidP="008D2290">
            <w:pPr>
              <w:rPr>
                <w:rFonts w:asciiTheme="majorHAnsi" w:hAnsiTheme="majorHAnsi"/>
                <w:bCs/>
                <w:sz w:val="19"/>
                <w:szCs w:val="19"/>
                <w:lang w:val="es-ES"/>
              </w:rPr>
            </w:pPr>
            <w:r w:rsidRPr="00467A86">
              <w:rPr>
                <w:rFonts w:asciiTheme="majorHAnsi" w:hAnsiTheme="majorHAnsi"/>
                <w:bCs/>
                <w:sz w:val="19"/>
                <w:szCs w:val="19"/>
                <w:lang w:val="es-ES"/>
              </w:rPr>
              <w:t>Sí</w:t>
            </w:r>
          </w:p>
        </w:tc>
      </w:tr>
      <w:tr w:rsidR="003239B8" w:rsidRPr="00467A86" w14:paraId="4362FDF3" w14:textId="77777777" w:rsidTr="00222DE9">
        <w:trPr>
          <w:cantSplit/>
          <w:trHeight w:val="202"/>
        </w:trPr>
        <w:tc>
          <w:tcPr>
            <w:tcW w:w="2790" w:type="dxa"/>
            <w:tcBorders>
              <w:top w:val="single" w:sz="6" w:space="0" w:color="auto"/>
              <w:bottom w:val="single" w:sz="6" w:space="0" w:color="auto"/>
            </w:tcBorders>
            <w:shd w:val="clear" w:color="auto" w:fill="386294"/>
            <w:vAlign w:val="center"/>
          </w:tcPr>
          <w:p w14:paraId="3BE23153" w14:textId="1788B5D3" w:rsidR="003239B8" w:rsidRPr="00467A86" w:rsidRDefault="003239B8" w:rsidP="008D2290">
            <w:pPr>
              <w:jc w:val="center"/>
              <w:rPr>
                <w:rFonts w:asciiTheme="majorHAnsi" w:hAnsiTheme="majorHAnsi"/>
                <w:bCs/>
                <w:color w:val="FFFFFF" w:themeColor="background1"/>
                <w:sz w:val="19"/>
                <w:szCs w:val="19"/>
                <w:lang w:val="es-ES"/>
              </w:rPr>
            </w:pPr>
            <w:proofErr w:type="spellStart"/>
            <w:r w:rsidRPr="00467A86">
              <w:rPr>
                <w:rFonts w:asciiTheme="majorHAnsi" w:hAnsiTheme="majorHAnsi"/>
                <w:bCs/>
                <w:i/>
                <w:color w:val="FFFFFF" w:themeColor="background1"/>
                <w:sz w:val="19"/>
                <w:szCs w:val="19"/>
                <w:lang w:val="es-ES"/>
              </w:rPr>
              <w:t>Ratione</w:t>
            </w:r>
            <w:proofErr w:type="spellEnd"/>
            <w:r w:rsidRPr="00467A86">
              <w:rPr>
                <w:rFonts w:asciiTheme="majorHAnsi" w:hAnsiTheme="majorHAnsi"/>
                <w:bCs/>
                <w:i/>
                <w:color w:val="FFFFFF" w:themeColor="background1"/>
                <w:sz w:val="19"/>
                <w:szCs w:val="19"/>
                <w:lang w:val="es-ES"/>
              </w:rPr>
              <w:t xml:space="preserve"> </w:t>
            </w:r>
            <w:proofErr w:type="spellStart"/>
            <w:r w:rsidRPr="00467A86">
              <w:rPr>
                <w:rFonts w:asciiTheme="majorHAnsi" w:hAnsiTheme="majorHAnsi"/>
                <w:bCs/>
                <w:i/>
                <w:color w:val="FFFFFF" w:themeColor="background1"/>
                <w:sz w:val="19"/>
                <w:szCs w:val="19"/>
                <w:lang w:val="es-ES"/>
              </w:rPr>
              <w:t>temporis</w:t>
            </w:r>
            <w:proofErr w:type="spellEnd"/>
          </w:p>
        </w:tc>
        <w:tc>
          <w:tcPr>
            <w:tcW w:w="6570" w:type="dxa"/>
            <w:vAlign w:val="center"/>
          </w:tcPr>
          <w:p w14:paraId="6F8B059B" w14:textId="25E5D100" w:rsidR="003239B8" w:rsidRPr="00467A86" w:rsidRDefault="0080240E" w:rsidP="008D2290">
            <w:pPr>
              <w:rPr>
                <w:rFonts w:asciiTheme="majorHAnsi" w:hAnsiTheme="majorHAnsi"/>
                <w:bCs/>
                <w:sz w:val="19"/>
                <w:szCs w:val="19"/>
                <w:lang w:val="es-ES"/>
              </w:rPr>
            </w:pPr>
            <w:r w:rsidRPr="00467A86">
              <w:rPr>
                <w:rFonts w:asciiTheme="majorHAnsi" w:hAnsiTheme="majorHAnsi"/>
                <w:bCs/>
                <w:sz w:val="19"/>
                <w:szCs w:val="19"/>
                <w:lang w:val="es-ES"/>
              </w:rPr>
              <w:t>Sí</w:t>
            </w:r>
          </w:p>
        </w:tc>
      </w:tr>
      <w:tr w:rsidR="003239B8" w:rsidRPr="001A4E48" w14:paraId="30ABEC3E" w14:textId="77777777" w:rsidTr="00222DE9">
        <w:trPr>
          <w:cantSplit/>
          <w:trHeight w:val="389"/>
        </w:trPr>
        <w:tc>
          <w:tcPr>
            <w:tcW w:w="2790" w:type="dxa"/>
            <w:tcBorders>
              <w:top w:val="single" w:sz="6" w:space="0" w:color="auto"/>
              <w:bottom w:val="single" w:sz="6" w:space="0" w:color="auto"/>
            </w:tcBorders>
            <w:shd w:val="clear" w:color="auto" w:fill="386294"/>
            <w:vAlign w:val="center"/>
          </w:tcPr>
          <w:p w14:paraId="47B529D2" w14:textId="72B41633" w:rsidR="003239B8" w:rsidRPr="00467A86" w:rsidRDefault="003239B8" w:rsidP="008D2290">
            <w:pPr>
              <w:jc w:val="center"/>
              <w:rPr>
                <w:rFonts w:asciiTheme="majorHAnsi" w:hAnsiTheme="majorHAnsi"/>
                <w:bCs/>
                <w:color w:val="FFFFFF" w:themeColor="background1"/>
                <w:sz w:val="19"/>
                <w:szCs w:val="19"/>
                <w:lang w:val="es-ES"/>
              </w:rPr>
            </w:pPr>
            <w:proofErr w:type="spellStart"/>
            <w:r w:rsidRPr="00467A86">
              <w:rPr>
                <w:rFonts w:asciiTheme="majorHAnsi" w:hAnsiTheme="majorHAnsi"/>
                <w:bCs/>
                <w:i/>
                <w:color w:val="FFFFFF" w:themeColor="background1"/>
                <w:sz w:val="19"/>
                <w:szCs w:val="19"/>
                <w:lang w:val="es-ES"/>
              </w:rPr>
              <w:t>Ratione</w:t>
            </w:r>
            <w:proofErr w:type="spellEnd"/>
            <w:r w:rsidRPr="00467A86">
              <w:rPr>
                <w:rFonts w:asciiTheme="majorHAnsi" w:hAnsiTheme="majorHAnsi"/>
                <w:bCs/>
                <w:i/>
                <w:color w:val="FFFFFF" w:themeColor="background1"/>
                <w:sz w:val="19"/>
                <w:szCs w:val="19"/>
                <w:lang w:val="es-ES"/>
              </w:rPr>
              <w:t xml:space="preserve"> </w:t>
            </w:r>
            <w:proofErr w:type="spellStart"/>
            <w:r w:rsidRPr="00467A86">
              <w:rPr>
                <w:rFonts w:asciiTheme="majorHAnsi" w:hAnsiTheme="majorHAnsi"/>
                <w:bCs/>
                <w:i/>
                <w:color w:val="FFFFFF" w:themeColor="background1"/>
                <w:sz w:val="19"/>
                <w:szCs w:val="19"/>
                <w:lang w:val="es-ES"/>
              </w:rPr>
              <w:t>materia</w:t>
            </w:r>
            <w:r w:rsidR="00EE00E9" w:rsidRPr="00467A86">
              <w:rPr>
                <w:rFonts w:asciiTheme="majorHAnsi" w:hAnsiTheme="majorHAnsi"/>
                <w:bCs/>
                <w:i/>
                <w:color w:val="FFFFFF" w:themeColor="background1"/>
                <w:sz w:val="19"/>
                <w:szCs w:val="19"/>
                <w:lang w:val="es-ES"/>
              </w:rPr>
              <w:t>e</w:t>
            </w:r>
            <w:proofErr w:type="spellEnd"/>
          </w:p>
        </w:tc>
        <w:tc>
          <w:tcPr>
            <w:tcW w:w="6570" w:type="dxa"/>
            <w:vAlign w:val="center"/>
          </w:tcPr>
          <w:p w14:paraId="0C122F44" w14:textId="625399FF" w:rsidR="003239B8" w:rsidRPr="00467A86" w:rsidRDefault="0080240E" w:rsidP="008D2290">
            <w:pPr>
              <w:jc w:val="both"/>
              <w:rPr>
                <w:rFonts w:asciiTheme="majorHAnsi" w:hAnsiTheme="majorHAnsi"/>
                <w:bCs/>
                <w:sz w:val="19"/>
                <w:szCs w:val="19"/>
                <w:lang w:val="es-ES"/>
              </w:rPr>
            </w:pPr>
            <w:r w:rsidRPr="00467A86">
              <w:rPr>
                <w:rFonts w:asciiTheme="majorHAnsi" w:hAnsiTheme="majorHAnsi"/>
                <w:bCs/>
                <w:sz w:val="19"/>
                <w:szCs w:val="19"/>
                <w:lang w:val="es-ES"/>
              </w:rPr>
              <w:t>Sí, Convención Americana (depósito de instrumento realizado el 5 de setiembre de 1984)</w:t>
            </w:r>
          </w:p>
        </w:tc>
      </w:tr>
    </w:tbl>
    <w:p w14:paraId="4E92C444" w14:textId="74B2345B" w:rsidR="003239B8" w:rsidRPr="006D3136" w:rsidRDefault="003239B8" w:rsidP="007C402A">
      <w:pPr>
        <w:spacing w:before="120" w:after="120"/>
        <w:ind w:firstLine="720"/>
        <w:jc w:val="both"/>
        <w:rPr>
          <w:rFonts w:asciiTheme="majorHAnsi" w:hAnsiTheme="majorHAnsi"/>
          <w:b/>
          <w:bCs/>
          <w:sz w:val="20"/>
          <w:szCs w:val="20"/>
          <w:lang w:val="es-ES"/>
        </w:rPr>
      </w:pPr>
      <w:r w:rsidRPr="006D3136">
        <w:rPr>
          <w:rFonts w:asciiTheme="majorHAnsi" w:hAnsiTheme="majorHAnsi"/>
          <w:b/>
          <w:bCs/>
          <w:sz w:val="20"/>
          <w:szCs w:val="20"/>
          <w:lang w:val="es-ES"/>
        </w:rPr>
        <w:t xml:space="preserve">IV. </w:t>
      </w:r>
      <w:r w:rsidRPr="006D3136">
        <w:rPr>
          <w:rFonts w:asciiTheme="majorHAnsi" w:hAnsiTheme="majorHAnsi"/>
          <w:b/>
          <w:bCs/>
          <w:sz w:val="20"/>
          <w:szCs w:val="20"/>
          <w:lang w:val="es-ES"/>
        </w:rPr>
        <w:tab/>
      </w:r>
      <w:r w:rsidR="00EE00E9" w:rsidRPr="006D3136">
        <w:rPr>
          <w:rFonts w:asciiTheme="majorHAnsi" w:hAnsiTheme="majorHAnsi"/>
          <w:b/>
          <w:bCs/>
          <w:sz w:val="20"/>
          <w:szCs w:val="20"/>
          <w:lang w:val="es-ES"/>
        </w:rPr>
        <w:t>DUPLICACIÓN</w:t>
      </w:r>
      <w:r w:rsidR="00EE00E9" w:rsidRPr="006D3136">
        <w:rPr>
          <w:rFonts w:asciiTheme="majorHAnsi" w:hAnsiTheme="majorHAnsi"/>
          <w:b/>
          <w:bCs/>
          <w:color w:val="FFFFFF" w:themeColor="background1"/>
          <w:sz w:val="20"/>
          <w:szCs w:val="20"/>
          <w:lang w:val="es-ES"/>
        </w:rPr>
        <w:t xml:space="preserve"> </w:t>
      </w:r>
      <w:r w:rsidR="00EE00E9" w:rsidRPr="006D3136">
        <w:rPr>
          <w:rFonts w:asciiTheme="majorHAnsi" w:hAnsiTheme="majorHAnsi"/>
          <w:b/>
          <w:bCs/>
          <w:sz w:val="20"/>
          <w:szCs w:val="20"/>
          <w:lang w:val="es-ES"/>
        </w:rPr>
        <w:t>DE PROCEDIMIENTOS Y COSA JUZGADA</w:t>
      </w:r>
      <w:r w:rsidR="00EE00E9" w:rsidRPr="006D3136">
        <w:rPr>
          <w:rFonts w:asciiTheme="majorHAnsi" w:hAnsiTheme="majorHAnsi"/>
          <w:b/>
          <w:bCs/>
          <w:i/>
          <w:sz w:val="20"/>
          <w:szCs w:val="20"/>
          <w:lang w:val="es-ES"/>
        </w:rPr>
        <w:t xml:space="preserve"> </w:t>
      </w:r>
      <w:r w:rsidR="005C1CC1" w:rsidRPr="006D3136">
        <w:rPr>
          <w:rFonts w:asciiTheme="majorHAnsi" w:hAnsiTheme="majorHAnsi"/>
          <w:b/>
          <w:bCs/>
          <w:sz w:val="20"/>
          <w:szCs w:val="20"/>
          <w:lang w:val="es-ES"/>
        </w:rPr>
        <w:t>INTERNACIONAL, CARACTERIZACIÓN</w:t>
      </w:r>
      <w:r w:rsidRPr="006D3136">
        <w:rPr>
          <w:rFonts w:asciiTheme="majorHAnsi" w:hAnsiTheme="majorHAnsi"/>
          <w:b/>
          <w:bCs/>
          <w:sz w:val="20"/>
          <w:szCs w:val="20"/>
          <w:lang w:val="es-ES"/>
        </w:rPr>
        <w:t xml:space="preserve">, </w:t>
      </w:r>
      <w:r w:rsidRPr="006D3136">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467A86" w14:paraId="1231C988" w14:textId="77777777" w:rsidTr="00222DE9">
        <w:trPr>
          <w:cantSplit/>
          <w:trHeight w:val="389"/>
        </w:trPr>
        <w:tc>
          <w:tcPr>
            <w:tcW w:w="2790" w:type="dxa"/>
            <w:tcBorders>
              <w:top w:val="single" w:sz="4" w:space="0" w:color="auto"/>
              <w:bottom w:val="single" w:sz="6" w:space="0" w:color="auto"/>
            </w:tcBorders>
            <w:shd w:val="clear" w:color="auto" w:fill="386294"/>
            <w:vAlign w:val="center"/>
          </w:tcPr>
          <w:p w14:paraId="6F8031F4" w14:textId="03D8D2D1" w:rsidR="00EE00E9" w:rsidRPr="00467A86" w:rsidRDefault="00EE00E9" w:rsidP="00954B82">
            <w:pPr>
              <w:jc w:val="center"/>
              <w:rPr>
                <w:rFonts w:asciiTheme="majorHAnsi" w:hAnsiTheme="majorHAnsi"/>
                <w:bCs/>
                <w:color w:val="FFFFFF" w:themeColor="background1"/>
                <w:sz w:val="19"/>
                <w:szCs w:val="19"/>
                <w:lang w:val="es-ES"/>
              </w:rPr>
            </w:pPr>
            <w:r w:rsidRPr="00467A86">
              <w:rPr>
                <w:rFonts w:asciiTheme="majorHAnsi" w:hAnsiTheme="majorHAnsi"/>
                <w:bCs/>
                <w:color w:val="FFFFFF" w:themeColor="background1"/>
                <w:sz w:val="19"/>
                <w:szCs w:val="19"/>
                <w:lang w:val="es-ES"/>
              </w:rPr>
              <w:t xml:space="preserve">Duplicación </w:t>
            </w:r>
            <w:r w:rsidR="00D77503" w:rsidRPr="00467A86">
              <w:rPr>
                <w:rFonts w:asciiTheme="majorHAnsi" w:hAnsiTheme="majorHAnsi"/>
                <w:bCs/>
                <w:color w:val="FFFFFF" w:themeColor="background1"/>
                <w:sz w:val="19"/>
                <w:szCs w:val="19"/>
                <w:lang w:val="es-ES"/>
              </w:rPr>
              <w:t>y cosa juzgada internacional</w:t>
            </w:r>
          </w:p>
        </w:tc>
        <w:tc>
          <w:tcPr>
            <w:tcW w:w="6570" w:type="dxa"/>
            <w:vAlign w:val="center"/>
          </w:tcPr>
          <w:p w14:paraId="240941E6" w14:textId="45D9730D" w:rsidR="00EE00E9" w:rsidRPr="00467A86" w:rsidRDefault="003654BC" w:rsidP="008D2290">
            <w:pPr>
              <w:jc w:val="both"/>
              <w:rPr>
                <w:rFonts w:asciiTheme="majorHAnsi" w:hAnsiTheme="majorHAnsi"/>
                <w:bCs/>
                <w:sz w:val="19"/>
                <w:szCs w:val="19"/>
                <w:lang w:val="es-ES"/>
              </w:rPr>
            </w:pPr>
            <w:r w:rsidRPr="00467A86">
              <w:rPr>
                <w:rFonts w:asciiTheme="majorHAnsi" w:hAnsiTheme="majorHAnsi"/>
                <w:bCs/>
                <w:sz w:val="19"/>
                <w:szCs w:val="19"/>
                <w:lang w:val="es-ES"/>
              </w:rPr>
              <w:t xml:space="preserve">No </w:t>
            </w:r>
          </w:p>
        </w:tc>
      </w:tr>
      <w:tr w:rsidR="003239B8" w:rsidRPr="001A4E48" w14:paraId="15FAA7D1" w14:textId="77777777" w:rsidTr="00A95C81">
        <w:trPr>
          <w:cantSplit/>
          <w:trHeight w:val="1368"/>
        </w:trPr>
        <w:tc>
          <w:tcPr>
            <w:tcW w:w="2790" w:type="dxa"/>
            <w:tcBorders>
              <w:top w:val="single" w:sz="4" w:space="0" w:color="auto"/>
              <w:bottom w:val="single" w:sz="6" w:space="0" w:color="auto"/>
            </w:tcBorders>
            <w:shd w:val="clear" w:color="auto" w:fill="386294"/>
            <w:vAlign w:val="center"/>
          </w:tcPr>
          <w:p w14:paraId="1B0D29FF" w14:textId="70789824" w:rsidR="003239B8" w:rsidRPr="00467A86" w:rsidRDefault="003239B8" w:rsidP="00954B82">
            <w:pPr>
              <w:jc w:val="center"/>
              <w:rPr>
                <w:rFonts w:asciiTheme="majorHAnsi" w:hAnsiTheme="majorHAnsi"/>
                <w:bCs/>
                <w:i/>
                <w:color w:val="FFFFFF" w:themeColor="background1"/>
                <w:sz w:val="19"/>
                <w:szCs w:val="19"/>
                <w:lang w:val="es-ES"/>
              </w:rPr>
            </w:pPr>
            <w:r w:rsidRPr="00467A86">
              <w:rPr>
                <w:rFonts w:asciiTheme="majorHAnsi" w:hAnsiTheme="majorHAnsi"/>
                <w:bCs/>
                <w:color w:val="FFFFFF" w:themeColor="background1"/>
                <w:sz w:val="19"/>
                <w:szCs w:val="19"/>
                <w:lang w:val="es-ES"/>
              </w:rPr>
              <w:t xml:space="preserve">Derechos </w:t>
            </w:r>
            <w:r w:rsidR="00EC311C">
              <w:rPr>
                <w:rFonts w:asciiTheme="majorHAnsi" w:hAnsiTheme="majorHAnsi"/>
                <w:bCs/>
                <w:color w:val="FFFFFF" w:themeColor="background1"/>
                <w:sz w:val="19"/>
                <w:szCs w:val="19"/>
                <w:lang w:val="es-ES"/>
              </w:rPr>
              <w:t xml:space="preserve">declarados </w:t>
            </w:r>
            <w:r w:rsidRPr="00467A86">
              <w:rPr>
                <w:rFonts w:asciiTheme="majorHAnsi" w:hAnsiTheme="majorHAnsi"/>
                <w:bCs/>
                <w:color w:val="FFFFFF" w:themeColor="background1"/>
                <w:sz w:val="19"/>
                <w:szCs w:val="19"/>
                <w:lang w:val="es-ES"/>
              </w:rPr>
              <w:t>admi</w:t>
            </w:r>
            <w:r w:rsidR="00EC311C">
              <w:rPr>
                <w:rFonts w:asciiTheme="majorHAnsi" w:hAnsiTheme="majorHAnsi"/>
                <w:bCs/>
                <w:color w:val="FFFFFF" w:themeColor="background1"/>
                <w:sz w:val="19"/>
                <w:szCs w:val="19"/>
                <w:lang w:val="es-ES"/>
              </w:rPr>
              <w:t>sibles</w:t>
            </w:r>
          </w:p>
        </w:tc>
        <w:tc>
          <w:tcPr>
            <w:tcW w:w="6570" w:type="dxa"/>
            <w:tcBorders>
              <w:bottom w:val="single" w:sz="6" w:space="0" w:color="auto"/>
            </w:tcBorders>
            <w:vAlign w:val="center"/>
          </w:tcPr>
          <w:p w14:paraId="6310C8F7" w14:textId="663D1233" w:rsidR="003239B8" w:rsidRPr="00987A39" w:rsidRDefault="0080240E" w:rsidP="003421D3">
            <w:pPr>
              <w:jc w:val="both"/>
              <w:rPr>
                <w:rFonts w:ascii="Cambria" w:hAnsi="Cambria"/>
                <w:bCs/>
                <w:sz w:val="19"/>
                <w:szCs w:val="19"/>
                <w:lang w:val="es-ES"/>
              </w:rPr>
            </w:pPr>
            <w:r w:rsidRPr="00987A39">
              <w:rPr>
                <w:rFonts w:ascii="Cambria" w:hAnsi="Cambria"/>
                <w:bCs/>
                <w:sz w:val="19"/>
                <w:szCs w:val="19"/>
                <w:lang w:val="es-ES"/>
              </w:rPr>
              <w:t xml:space="preserve">Artículos 5 (integridad física), 7 (libertad personal), 8 (garantías judiciales), </w:t>
            </w:r>
            <w:r w:rsidR="00496A89" w:rsidRPr="00987A39">
              <w:rPr>
                <w:rFonts w:ascii="Cambria" w:hAnsi="Cambria"/>
                <w:sz w:val="19"/>
                <w:szCs w:val="19"/>
                <w:lang w:val="es-ES_tradnl"/>
              </w:rPr>
              <w:t xml:space="preserve">17 (protección a la familia), </w:t>
            </w:r>
            <w:r w:rsidRPr="00987A39">
              <w:rPr>
                <w:rFonts w:ascii="Cambria" w:hAnsi="Cambria"/>
                <w:bCs/>
                <w:sz w:val="19"/>
                <w:szCs w:val="19"/>
                <w:lang w:val="es-ES"/>
              </w:rPr>
              <w:t>19 (derechos del niño)</w:t>
            </w:r>
            <w:r w:rsidR="00496A89" w:rsidRPr="00987A39">
              <w:rPr>
                <w:rFonts w:ascii="Cambria" w:hAnsi="Cambria"/>
                <w:bCs/>
                <w:sz w:val="19"/>
                <w:szCs w:val="19"/>
                <w:lang w:val="es-ES"/>
              </w:rPr>
              <w:t>,</w:t>
            </w:r>
            <w:r w:rsidR="009D26AF" w:rsidRPr="00987A39">
              <w:rPr>
                <w:rFonts w:ascii="Cambria" w:hAnsi="Cambria"/>
                <w:bCs/>
                <w:sz w:val="19"/>
                <w:szCs w:val="19"/>
                <w:lang w:val="es-ES"/>
              </w:rPr>
              <w:t xml:space="preserve"> 24 (igualdad)</w:t>
            </w:r>
            <w:r w:rsidR="00AF7380" w:rsidRPr="00987A39">
              <w:rPr>
                <w:rFonts w:ascii="Cambria" w:hAnsi="Cambria"/>
                <w:bCs/>
                <w:sz w:val="19"/>
                <w:szCs w:val="19"/>
                <w:lang w:val="es-ES"/>
              </w:rPr>
              <w:t xml:space="preserve">, </w:t>
            </w:r>
            <w:r w:rsidR="00496A89" w:rsidRPr="00987A39">
              <w:rPr>
                <w:rFonts w:ascii="Cambria" w:hAnsi="Cambria"/>
                <w:bCs/>
                <w:sz w:val="19"/>
                <w:szCs w:val="19"/>
                <w:lang w:val="es-ES"/>
              </w:rPr>
              <w:t>25 (protección judicial)</w:t>
            </w:r>
            <w:r w:rsidR="009D26AF" w:rsidRPr="00987A39">
              <w:rPr>
                <w:rFonts w:ascii="Cambria" w:hAnsi="Cambria"/>
                <w:bCs/>
                <w:sz w:val="19"/>
                <w:szCs w:val="19"/>
                <w:lang w:val="es-ES"/>
              </w:rPr>
              <w:t xml:space="preserve"> </w:t>
            </w:r>
            <w:r w:rsidR="00AF7380" w:rsidRPr="00987A39">
              <w:rPr>
                <w:rFonts w:ascii="Cambria" w:hAnsi="Cambria"/>
                <w:bCs/>
                <w:sz w:val="19"/>
                <w:szCs w:val="19"/>
                <w:lang w:val="es-ES"/>
              </w:rPr>
              <w:t>y 26 (</w:t>
            </w:r>
            <w:r w:rsidR="00CF41FD" w:rsidRPr="00987A39">
              <w:rPr>
                <w:rFonts w:ascii="Cambria" w:hAnsi="Cambria"/>
                <w:bCs/>
                <w:sz w:val="19"/>
                <w:szCs w:val="19"/>
                <w:lang w:val="es-ES"/>
              </w:rPr>
              <w:t>derechos económicos, sociales y culturales</w:t>
            </w:r>
            <w:r w:rsidR="00AF7380" w:rsidRPr="00987A39">
              <w:rPr>
                <w:rFonts w:ascii="Cambria" w:hAnsi="Cambria"/>
                <w:bCs/>
                <w:sz w:val="19"/>
                <w:szCs w:val="19"/>
                <w:lang w:val="es-ES"/>
              </w:rPr>
              <w:t xml:space="preserve">) </w:t>
            </w:r>
            <w:r w:rsidR="009D26AF" w:rsidRPr="00987A39">
              <w:rPr>
                <w:rFonts w:ascii="Cambria" w:hAnsi="Cambria"/>
                <w:bCs/>
                <w:sz w:val="19"/>
                <w:szCs w:val="19"/>
                <w:lang w:val="es-ES"/>
              </w:rPr>
              <w:t xml:space="preserve">de la Convención Americana sobre Derechos Humanos, en relación con el </w:t>
            </w:r>
            <w:r w:rsidR="009D26AF" w:rsidRPr="00987A39">
              <w:rPr>
                <w:rFonts w:ascii="Cambria" w:hAnsi="Cambria"/>
                <w:sz w:val="19"/>
                <w:szCs w:val="19"/>
                <w:lang w:val="es-ES"/>
              </w:rPr>
              <w:t>con los artículos 1.1 (obligación de respetar los derechos) y 2 (deber de adoptar disposiciones de derecho interno) del mismo instrumento</w:t>
            </w:r>
          </w:p>
        </w:tc>
      </w:tr>
      <w:tr w:rsidR="003239B8" w:rsidRPr="00467A86" w14:paraId="4EFD141E" w14:textId="77777777" w:rsidTr="00A95C81">
        <w:trPr>
          <w:cantSplit/>
        </w:trPr>
        <w:tc>
          <w:tcPr>
            <w:tcW w:w="2790" w:type="dxa"/>
            <w:tcBorders>
              <w:top w:val="single" w:sz="6" w:space="0" w:color="auto"/>
              <w:bottom w:val="single" w:sz="6" w:space="0" w:color="auto"/>
            </w:tcBorders>
            <w:shd w:val="clear" w:color="auto" w:fill="386294"/>
            <w:vAlign w:val="center"/>
          </w:tcPr>
          <w:p w14:paraId="4C04A89C" w14:textId="058482B9" w:rsidR="003239B8" w:rsidRPr="00467A86" w:rsidRDefault="003239B8" w:rsidP="006775AB">
            <w:pPr>
              <w:jc w:val="center"/>
              <w:rPr>
                <w:rFonts w:asciiTheme="majorHAnsi" w:hAnsiTheme="majorHAnsi"/>
                <w:bCs/>
                <w:color w:val="FFFFFF" w:themeColor="background1"/>
                <w:sz w:val="19"/>
                <w:szCs w:val="19"/>
                <w:lang w:val="es-ES"/>
              </w:rPr>
            </w:pPr>
            <w:r w:rsidRPr="00467A86">
              <w:rPr>
                <w:rFonts w:asciiTheme="majorHAnsi" w:hAnsiTheme="majorHAnsi"/>
                <w:bCs/>
                <w:color w:val="FFFFFF" w:themeColor="background1"/>
                <w:sz w:val="19"/>
                <w:szCs w:val="19"/>
                <w:lang w:val="es-ES"/>
              </w:rPr>
              <w:t>Agotamiento de</w:t>
            </w:r>
            <w:r w:rsidR="0069402E" w:rsidRPr="00467A86">
              <w:rPr>
                <w:rFonts w:asciiTheme="majorHAnsi" w:hAnsiTheme="majorHAnsi"/>
                <w:bCs/>
                <w:color w:val="FFFFFF" w:themeColor="background1"/>
                <w:sz w:val="19"/>
                <w:szCs w:val="19"/>
                <w:lang w:val="es-ES"/>
              </w:rPr>
              <w:t xml:space="preserve"> </w:t>
            </w:r>
            <w:r w:rsidRPr="00467A86">
              <w:rPr>
                <w:rFonts w:asciiTheme="majorHAnsi" w:hAnsiTheme="majorHAnsi"/>
                <w:bCs/>
                <w:color w:val="FFFFFF" w:themeColor="background1"/>
                <w:sz w:val="19"/>
                <w:szCs w:val="19"/>
                <w:lang w:val="es-ES"/>
              </w:rPr>
              <w:t xml:space="preserve">recursos </w:t>
            </w:r>
            <w:r w:rsidR="00D77503" w:rsidRPr="00467A86">
              <w:rPr>
                <w:rFonts w:asciiTheme="majorHAnsi" w:hAnsiTheme="majorHAnsi"/>
                <w:bCs/>
                <w:color w:val="FFFFFF" w:themeColor="background1"/>
                <w:sz w:val="19"/>
                <w:szCs w:val="19"/>
                <w:lang w:val="es-ES"/>
              </w:rPr>
              <w:t>o procedencia de una excepción</w:t>
            </w:r>
          </w:p>
        </w:tc>
        <w:tc>
          <w:tcPr>
            <w:tcW w:w="6570" w:type="dxa"/>
            <w:tcBorders>
              <w:top w:val="single" w:sz="6" w:space="0" w:color="auto"/>
              <w:bottom w:val="single" w:sz="6" w:space="0" w:color="auto"/>
            </w:tcBorders>
            <w:vAlign w:val="center"/>
          </w:tcPr>
          <w:p w14:paraId="69C53E8A" w14:textId="1F7A47E1" w:rsidR="003239B8" w:rsidRPr="00467A86" w:rsidRDefault="00F46162" w:rsidP="00BB3FBD">
            <w:pPr>
              <w:rPr>
                <w:rFonts w:asciiTheme="majorHAnsi" w:hAnsiTheme="majorHAnsi"/>
                <w:bCs/>
                <w:sz w:val="19"/>
                <w:szCs w:val="19"/>
                <w:lang w:val="es-ES"/>
              </w:rPr>
            </w:pPr>
            <w:r w:rsidRPr="00467A86">
              <w:rPr>
                <w:rFonts w:asciiTheme="majorHAnsi" w:hAnsiTheme="majorHAnsi"/>
                <w:bCs/>
                <w:sz w:val="19"/>
                <w:szCs w:val="19"/>
                <w:lang w:val="es-ES"/>
              </w:rPr>
              <w:t>Sí, 2 de diciembre de 2008</w:t>
            </w:r>
          </w:p>
        </w:tc>
      </w:tr>
      <w:tr w:rsidR="003239B8" w:rsidRPr="00467A86" w14:paraId="52B5BA17" w14:textId="77777777" w:rsidTr="00A95C81">
        <w:trPr>
          <w:cantSplit/>
          <w:trHeight w:val="202"/>
        </w:trPr>
        <w:tc>
          <w:tcPr>
            <w:tcW w:w="2790" w:type="dxa"/>
            <w:tcBorders>
              <w:top w:val="single" w:sz="6" w:space="0" w:color="auto"/>
              <w:bottom w:val="single" w:sz="6" w:space="0" w:color="auto"/>
            </w:tcBorders>
            <w:shd w:val="clear" w:color="auto" w:fill="386294"/>
            <w:vAlign w:val="center"/>
          </w:tcPr>
          <w:p w14:paraId="5DF99086" w14:textId="392A0ECF" w:rsidR="003239B8" w:rsidRPr="00467A86" w:rsidRDefault="00D77503" w:rsidP="008D2290">
            <w:pPr>
              <w:jc w:val="center"/>
              <w:rPr>
                <w:rFonts w:asciiTheme="majorHAnsi" w:hAnsiTheme="majorHAnsi"/>
                <w:bCs/>
                <w:color w:val="FFFFFF" w:themeColor="background1"/>
                <w:sz w:val="19"/>
                <w:szCs w:val="19"/>
                <w:lang w:val="es-ES"/>
              </w:rPr>
            </w:pPr>
            <w:r w:rsidRPr="00467A86">
              <w:rPr>
                <w:rFonts w:asciiTheme="majorHAnsi" w:hAnsiTheme="majorHAnsi"/>
                <w:bCs/>
                <w:color w:val="FFFFFF" w:themeColor="background1"/>
                <w:sz w:val="19"/>
                <w:szCs w:val="19"/>
                <w:lang w:val="es-ES"/>
              </w:rPr>
              <w:t>Presentación dentro de plazo</w:t>
            </w:r>
          </w:p>
        </w:tc>
        <w:tc>
          <w:tcPr>
            <w:tcW w:w="6570" w:type="dxa"/>
            <w:tcBorders>
              <w:top w:val="single" w:sz="6" w:space="0" w:color="auto"/>
            </w:tcBorders>
            <w:vAlign w:val="center"/>
          </w:tcPr>
          <w:p w14:paraId="4A2A4569" w14:textId="5CA9B4C5" w:rsidR="003239B8" w:rsidRPr="00467A86" w:rsidRDefault="00F46162" w:rsidP="008D2290">
            <w:pPr>
              <w:rPr>
                <w:rFonts w:asciiTheme="majorHAnsi" w:hAnsiTheme="majorHAnsi"/>
                <w:bCs/>
                <w:sz w:val="19"/>
                <w:szCs w:val="19"/>
                <w:lang w:val="es-ES"/>
              </w:rPr>
            </w:pPr>
            <w:r w:rsidRPr="00467A86">
              <w:rPr>
                <w:rFonts w:asciiTheme="majorHAnsi" w:hAnsiTheme="majorHAnsi"/>
                <w:bCs/>
                <w:sz w:val="19"/>
                <w:szCs w:val="19"/>
                <w:lang w:val="es-ES"/>
              </w:rPr>
              <w:t>Sí, 2 de junio de 2009</w:t>
            </w:r>
          </w:p>
        </w:tc>
      </w:tr>
    </w:tbl>
    <w:p w14:paraId="18E6423B" w14:textId="5FDE25B0" w:rsidR="003239B8" w:rsidRPr="006D3136" w:rsidRDefault="00223A29" w:rsidP="00FD5440">
      <w:pPr>
        <w:spacing w:before="120" w:after="120"/>
        <w:ind w:firstLine="720"/>
        <w:jc w:val="both"/>
        <w:rPr>
          <w:rFonts w:asciiTheme="majorHAnsi" w:hAnsiTheme="majorHAnsi"/>
          <w:b/>
          <w:sz w:val="20"/>
          <w:szCs w:val="20"/>
          <w:lang w:val="es-ES"/>
        </w:rPr>
      </w:pPr>
      <w:r w:rsidRPr="006D3136">
        <w:rPr>
          <w:rFonts w:asciiTheme="majorHAnsi" w:hAnsiTheme="majorHAnsi"/>
          <w:b/>
          <w:sz w:val="20"/>
          <w:szCs w:val="20"/>
          <w:lang w:val="es-ES"/>
        </w:rPr>
        <w:t xml:space="preserve">V. </w:t>
      </w:r>
      <w:r w:rsidRPr="006D3136">
        <w:rPr>
          <w:rFonts w:asciiTheme="majorHAnsi" w:hAnsiTheme="majorHAnsi"/>
          <w:b/>
          <w:sz w:val="20"/>
          <w:szCs w:val="20"/>
          <w:lang w:val="es-ES"/>
        </w:rPr>
        <w:tab/>
      </w:r>
      <w:r w:rsidR="0034224A" w:rsidRPr="006D3136">
        <w:rPr>
          <w:rFonts w:asciiTheme="majorHAnsi" w:hAnsiTheme="majorHAnsi"/>
          <w:b/>
          <w:sz w:val="20"/>
          <w:szCs w:val="20"/>
          <w:lang w:val="es-ES"/>
        </w:rPr>
        <w:t>RESUMEN DE LOS HECHOS ALEGADOS</w:t>
      </w:r>
    </w:p>
    <w:p w14:paraId="7D33C725" w14:textId="736DA57D" w:rsidR="008C0C9D" w:rsidRDefault="000D5C97" w:rsidP="008C0C9D">
      <w:pPr>
        <w:pStyle w:val="ListParagraph"/>
        <w:numPr>
          <w:ilvl w:val="0"/>
          <w:numId w:val="65"/>
        </w:numPr>
        <w:tabs>
          <w:tab w:val="left" w:pos="720"/>
        </w:tabs>
        <w:spacing w:before="120" w:after="120"/>
        <w:ind w:left="0" w:firstLine="720"/>
        <w:jc w:val="both"/>
        <w:rPr>
          <w:rFonts w:asciiTheme="majorHAnsi" w:hAnsiTheme="majorHAnsi"/>
          <w:sz w:val="20"/>
          <w:szCs w:val="20"/>
          <w:lang w:val="es-ES"/>
        </w:rPr>
      </w:pPr>
      <w:r w:rsidRPr="008C0C9D">
        <w:rPr>
          <w:rFonts w:asciiTheme="majorHAnsi" w:hAnsiTheme="majorHAnsi"/>
          <w:sz w:val="20"/>
          <w:szCs w:val="20"/>
          <w:lang w:val="es-ES"/>
        </w:rPr>
        <w:t xml:space="preserve">La presente petición se refiere al reclamo por </w:t>
      </w:r>
      <w:r w:rsidR="004A38EF" w:rsidRPr="008C0C9D">
        <w:rPr>
          <w:rFonts w:asciiTheme="majorHAnsi" w:hAnsiTheme="majorHAnsi"/>
          <w:sz w:val="20"/>
          <w:szCs w:val="20"/>
          <w:lang w:val="es-ES"/>
        </w:rPr>
        <w:t>detención</w:t>
      </w:r>
      <w:r w:rsidR="004E7567" w:rsidRPr="008C0C9D">
        <w:rPr>
          <w:rFonts w:asciiTheme="majorHAnsi" w:hAnsiTheme="majorHAnsi"/>
          <w:sz w:val="20"/>
          <w:szCs w:val="20"/>
          <w:lang w:val="es-ES"/>
        </w:rPr>
        <w:t xml:space="preserve"> arbitraria e</w:t>
      </w:r>
      <w:r w:rsidR="00AA770A" w:rsidRPr="008C0C9D">
        <w:rPr>
          <w:rFonts w:asciiTheme="majorHAnsi" w:hAnsiTheme="majorHAnsi"/>
          <w:sz w:val="20"/>
          <w:szCs w:val="20"/>
          <w:lang w:val="es-ES"/>
        </w:rPr>
        <w:t xml:space="preserve"> ilegítima</w:t>
      </w:r>
      <w:r w:rsidR="004A38EF" w:rsidRPr="008C0C9D">
        <w:rPr>
          <w:rFonts w:asciiTheme="majorHAnsi" w:hAnsiTheme="majorHAnsi"/>
          <w:sz w:val="20"/>
          <w:szCs w:val="20"/>
          <w:lang w:val="es-ES"/>
        </w:rPr>
        <w:t xml:space="preserve"> </w:t>
      </w:r>
      <w:r w:rsidR="004E7567" w:rsidRPr="008C0C9D">
        <w:rPr>
          <w:rFonts w:asciiTheme="majorHAnsi" w:hAnsiTheme="majorHAnsi"/>
          <w:sz w:val="20"/>
          <w:szCs w:val="20"/>
          <w:lang w:val="es-ES"/>
        </w:rPr>
        <w:t>de</w:t>
      </w:r>
      <w:r w:rsidR="00A648F0" w:rsidRPr="008C0C9D">
        <w:rPr>
          <w:rFonts w:asciiTheme="majorHAnsi" w:hAnsiTheme="majorHAnsi"/>
          <w:sz w:val="20"/>
          <w:szCs w:val="20"/>
          <w:lang w:val="es-ES"/>
        </w:rPr>
        <w:t xml:space="preserve"> </w:t>
      </w:r>
      <w:r w:rsidR="004E7567" w:rsidRPr="008C0C9D">
        <w:rPr>
          <w:rFonts w:asciiTheme="majorHAnsi" w:hAnsiTheme="majorHAnsi"/>
          <w:sz w:val="20"/>
          <w:szCs w:val="20"/>
          <w:lang w:val="es-ES"/>
        </w:rPr>
        <w:t>varios</w:t>
      </w:r>
      <w:r w:rsidR="004A38EF" w:rsidRPr="008C0C9D">
        <w:rPr>
          <w:rFonts w:asciiTheme="majorHAnsi" w:hAnsiTheme="majorHAnsi"/>
          <w:sz w:val="20"/>
          <w:szCs w:val="20"/>
          <w:lang w:val="es-ES"/>
        </w:rPr>
        <w:t xml:space="preserve"> niños, niñas y adolescentes </w:t>
      </w:r>
      <w:r w:rsidR="008C0C9D" w:rsidRPr="008C0C9D">
        <w:rPr>
          <w:rFonts w:asciiTheme="majorHAnsi" w:hAnsiTheme="majorHAnsi"/>
          <w:sz w:val="20"/>
          <w:szCs w:val="20"/>
          <w:lang w:val="es-ES"/>
        </w:rPr>
        <w:t xml:space="preserve">en situación de vulneración social </w:t>
      </w:r>
      <w:r w:rsidR="004A38EF" w:rsidRPr="008C0C9D">
        <w:rPr>
          <w:rFonts w:asciiTheme="majorHAnsi" w:hAnsiTheme="majorHAnsi"/>
          <w:sz w:val="20"/>
          <w:szCs w:val="20"/>
          <w:lang w:val="es-ES"/>
        </w:rPr>
        <w:t xml:space="preserve">que </w:t>
      </w:r>
      <w:r w:rsidR="008C0C9D" w:rsidRPr="008C0C9D">
        <w:rPr>
          <w:rFonts w:asciiTheme="majorHAnsi" w:hAnsiTheme="majorHAnsi"/>
          <w:sz w:val="20"/>
          <w:szCs w:val="20"/>
          <w:lang w:val="es-ES"/>
        </w:rPr>
        <w:t>fueron</w:t>
      </w:r>
      <w:r w:rsidR="004A38EF" w:rsidRPr="008C0C9D">
        <w:rPr>
          <w:rFonts w:asciiTheme="majorHAnsi" w:hAnsiTheme="majorHAnsi"/>
          <w:sz w:val="20"/>
          <w:szCs w:val="20"/>
          <w:lang w:val="es-ES"/>
        </w:rPr>
        <w:t xml:space="preserve"> privados de su libertad en varias instituciones públicas gubernamentales en Argentina, por órdenes de los Juzgados Nacionales de Menores</w:t>
      </w:r>
      <w:r w:rsidR="00EF691D" w:rsidRPr="008C0C9D">
        <w:rPr>
          <w:rFonts w:asciiTheme="majorHAnsi" w:hAnsiTheme="majorHAnsi"/>
          <w:sz w:val="20"/>
          <w:szCs w:val="20"/>
          <w:lang w:val="es-ES"/>
        </w:rPr>
        <w:t>,</w:t>
      </w:r>
      <w:r w:rsidR="004A38EF" w:rsidRPr="008C0C9D">
        <w:rPr>
          <w:rFonts w:asciiTheme="majorHAnsi" w:hAnsiTheme="majorHAnsi"/>
          <w:sz w:val="20"/>
          <w:szCs w:val="20"/>
          <w:lang w:val="es-ES"/>
        </w:rPr>
        <w:t xml:space="preserve"> en razón de presuntos </w:t>
      </w:r>
      <w:r w:rsidR="004A38EF" w:rsidRPr="00E07E68">
        <w:rPr>
          <w:rFonts w:asciiTheme="majorHAnsi" w:hAnsiTheme="majorHAnsi"/>
          <w:sz w:val="20"/>
          <w:szCs w:val="20"/>
          <w:lang w:val="es-ES"/>
        </w:rPr>
        <w:t xml:space="preserve">hechos </w:t>
      </w:r>
      <w:r w:rsidR="00E07E68" w:rsidRPr="00E07E68">
        <w:rPr>
          <w:rFonts w:asciiTheme="majorHAnsi" w:hAnsiTheme="majorHAnsi"/>
          <w:sz w:val="20"/>
          <w:szCs w:val="20"/>
          <w:lang w:val="es-ES"/>
        </w:rPr>
        <w:t xml:space="preserve">delictivos </w:t>
      </w:r>
      <w:r w:rsidR="004A38EF" w:rsidRPr="00E07E68">
        <w:rPr>
          <w:rFonts w:asciiTheme="majorHAnsi" w:hAnsiTheme="majorHAnsi"/>
          <w:sz w:val="20"/>
          <w:szCs w:val="20"/>
          <w:lang w:val="es-ES"/>
        </w:rPr>
        <w:t>cometidos</w:t>
      </w:r>
      <w:r w:rsidR="004A38EF" w:rsidRPr="008C0C9D">
        <w:rPr>
          <w:rFonts w:asciiTheme="majorHAnsi" w:hAnsiTheme="majorHAnsi"/>
          <w:sz w:val="20"/>
          <w:szCs w:val="20"/>
          <w:lang w:val="es-ES"/>
        </w:rPr>
        <w:t xml:space="preserve"> antes de cumplir los 16 años de edad</w:t>
      </w:r>
      <w:r w:rsidR="008C0C9D" w:rsidRPr="008C0C9D">
        <w:rPr>
          <w:rFonts w:asciiTheme="majorHAnsi" w:hAnsiTheme="majorHAnsi"/>
          <w:sz w:val="20"/>
          <w:szCs w:val="20"/>
          <w:lang w:val="es-ES"/>
        </w:rPr>
        <w:t>, a pesar de ser</w:t>
      </w:r>
      <w:r w:rsidR="00A648F0" w:rsidRPr="008C0C9D">
        <w:rPr>
          <w:rFonts w:asciiTheme="majorHAnsi" w:hAnsiTheme="majorHAnsi"/>
          <w:sz w:val="20"/>
          <w:szCs w:val="20"/>
          <w:lang w:val="es-ES"/>
        </w:rPr>
        <w:t xml:space="preserve"> </w:t>
      </w:r>
      <w:r w:rsidR="008C0C9D" w:rsidRPr="008C0C9D">
        <w:rPr>
          <w:rFonts w:asciiTheme="majorHAnsi" w:hAnsiTheme="majorHAnsi"/>
          <w:sz w:val="20"/>
          <w:szCs w:val="20"/>
          <w:lang w:val="es-ES"/>
        </w:rPr>
        <w:t xml:space="preserve">inimputables </w:t>
      </w:r>
      <w:r w:rsidR="008C0C9D">
        <w:rPr>
          <w:rFonts w:asciiTheme="majorHAnsi" w:hAnsiTheme="majorHAnsi"/>
          <w:sz w:val="20"/>
          <w:szCs w:val="20"/>
          <w:lang w:val="es-ES"/>
        </w:rPr>
        <w:t>bajo el Régimen penal de la minoridad</w:t>
      </w:r>
      <w:r w:rsidR="008C0C9D" w:rsidRPr="00467A86">
        <w:rPr>
          <w:rFonts w:asciiTheme="majorHAnsi" w:hAnsiTheme="majorHAnsi"/>
          <w:sz w:val="20"/>
          <w:szCs w:val="20"/>
          <w:lang w:val="es-ES"/>
        </w:rPr>
        <w:t xml:space="preserve">. Los peticionarios alegan violaciones a los derechos a la </w:t>
      </w:r>
      <w:r w:rsidR="008C0C9D" w:rsidRPr="00467A86">
        <w:rPr>
          <w:rFonts w:asciiTheme="majorHAnsi" w:hAnsiTheme="majorHAnsi"/>
          <w:sz w:val="20"/>
          <w:szCs w:val="20"/>
          <w:lang w:val="es-ES"/>
        </w:rPr>
        <w:lastRenderedPageBreak/>
        <w:t xml:space="preserve">igualdad y a la libertad personal, </w:t>
      </w:r>
      <w:r w:rsidR="0063302E">
        <w:rPr>
          <w:rFonts w:asciiTheme="majorHAnsi" w:hAnsiTheme="majorHAnsi"/>
          <w:sz w:val="20"/>
          <w:szCs w:val="20"/>
          <w:lang w:val="es-ES"/>
        </w:rPr>
        <w:t xml:space="preserve">así </w:t>
      </w:r>
      <w:r w:rsidR="008C0C9D" w:rsidRPr="00467A86">
        <w:rPr>
          <w:rFonts w:asciiTheme="majorHAnsi" w:hAnsiTheme="majorHAnsi"/>
          <w:sz w:val="20"/>
          <w:szCs w:val="20"/>
          <w:lang w:val="es-ES"/>
        </w:rPr>
        <w:t xml:space="preserve">como al debido proceso y a las garantías judiciales. </w:t>
      </w:r>
      <w:r w:rsidR="008C0C9D">
        <w:rPr>
          <w:rFonts w:asciiTheme="majorHAnsi" w:hAnsiTheme="majorHAnsi"/>
          <w:sz w:val="20"/>
          <w:szCs w:val="20"/>
          <w:lang w:val="es-ES"/>
        </w:rPr>
        <w:t>Asimismo</w:t>
      </w:r>
      <w:r w:rsidR="008C0C9D" w:rsidRPr="00467A86">
        <w:rPr>
          <w:rFonts w:asciiTheme="majorHAnsi" w:hAnsiTheme="majorHAnsi"/>
          <w:sz w:val="20"/>
          <w:szCs w:val="20"/>
          <w:lang w:val="es-ES"/>
        </w:rPr>
        <w:t>, denuncian las malas condiciones en las cuales están detenid</w:t>
      </w:r>
      <w:r w:rsidR="008C0C9D">
        <w:rPr>
          <w:rFonts w:asciiTheme="majorHAnsi" w:hAnsiTheme="majorHAnsi"/>
          <w:sz w:val="20"/>
          <w:szCs w:val="20"/>
          <w:lang w:val="es-ES"/>
        </w:rPr>
        <w:t xml:space="preserve">as las presuntas víctimas, </w:t>
      </w:r>
      <w:r w:rsidR="0033388D">
        <w:rPr>
          <w:rFonts w:asciiTheme="majorHAnsi" w:hAnsiTheme="majorHAnsi"/>
          <w:sz w:val="20"/>
          <w:szCs w:val="20"/>
          <w:lang w:val="es-ES"/>
        </w:rPr>
        <w:t>en violación de</w:t>
      </w:r>
      <w:r w:rsidR="008C0C9D">
        <w:rPr>
          <w:rFonts w:asciiTheme="majorHAnsi" w:hAnsiTheme="majorHAnsi"/>
          <w:sz w:val="20"/>
          <w:szCs w:val="20"/>
          <w:lang w:val="es-ES"/>
        </w:rPr>
        <w:t xml:space="preserve"> su derecho</w:t>
      </w:r>
      <w:r w:rsidR="008C0C9D" w:rsidRPr="00467A86">
        <w:rPr>
          <w:rFonts w:asciiTheme="majorHAnsi" w:hAnsiTheme="majorHAnsi"/>
          <w:sz w:val="20"/>
          <w:szCs w:val="20"/>
          <w:lang w:val="es-ES"/>
        </w:rPr>
        <w:t xml:space="preserve"> a la integridad física. </w:t>
      </w:r>
    </w:p>
    <w:p w14:paraId="12357A28" w14:textId="14766E88" w:rsidR="00483F0E" w:rsidRDefault="00483F0E" w:rsidP="00483F0E">
      <w:pPr>
        <w:pStyle w:val="ListParagraph"/>
        <w:numPr>
          <w:ilvl w:val="0"/>
          <w:numId w:val="65"/>
        </w:numPr>
        <w:tabs>
          <w:tab w:val="left" w:pos="720"/>
        </w:tabs>
        <w:spacing w:before="120" w:after="120"/>
        <w:ind w:left="0" w:firstLine="720"/>
        <w:jc w:val="both"/>
        <w:rPr>
          <w:rFonts w:asciiTheme="majorHAnsi" w:hAnsiTheme="majorHAnsi"/>
          <w:sz w:val="20"/>
          <w:szCs w:val="20"/>
          <w:lang w:val="es-ES"/>
        </w:rPr>
      </w:pPr>
      <w:r w:rsidRPr="00FF6877">
        <w:rPr>
          <w:rFonts w:asciiTheme="majorHAnsi" w:hAnsiTheme="majorHAnsi"/>
          <w:sz w:val="20"/>
          <w:szCs w:val="20"/>
          <w:lang w:val="es-ES"/>
        </w:rPr>
        <w:t>Los peticionarios comentan que bajo el artículo 1 del Decreto Ley 22.278</w:t>
      </w:r>
      <w:r w:rsidRPr="00054BE9">
        <w:rPr>
          <w:rStyle w:val="FootnoteReference"/>
          <w:rFonts w:asciiTheme="majorHAnsi" w:hAnsiTheme="majorHAnsi"/>
          <w:sz w:val="20"/>
          <w:szCs w:val="20"/>
          <w:lang w:val="es-ES"/>
        </w:rPr>
        <w:footnoteReference w:id="6"/>
      </w:r>
      <w:r w:rsidRPr="00FF6877">
        <w:rPr>
          <w:rFonts w:asciiTheme="majorHAnsi" w:hAnsiTheme="majorHAnsi"/>
          <w:sz w:val="20"/>
          <w:szCs w:val="20"/>
          <w:lang w:val="es-ES"/>
        </w:rPr>
        <w:t>, los menores de 16 años</w:t>
      </w:r>
      <w:r w:rsidR="00963AE2">
        <w:rPr>
          <w:rFonts w:asciiTheme="majorHAnsi" w:hAnsiTheme="majorHAnsi"/>
          <w:sz w:val="20"/>
          <w:szCs w:val="20"/>
          <w:lang w:val="es-ES"/>
        </w:rPr>
        <w:t xml:space="preserve"> que presuntamente comete</w:t>
      </w:r>
      <w:r w:rsidRPr="00496B01">
        <w:rPr>
          <w:rFonts w:asciiTheme="majorHAnsi" w:hAnsiTheme="majorHAnsi"/>
          <w:sz w:val="20"/>
          <w:szCs w:val="20"/>
          <w:lang w:val="es-ES"/>
        </w:rPr>
        <w:t xml:space="preserve">n un hecho delictivo se </w:t>
      </w:r>
      <w:r w:rsidRPr="00E64BEB">
        <w:rPr>
          <w:rFonts w:asciiTheme="majorHAnsi" w:hAnsiTheme="majorHAnsi"/>
          <w:sz w:val="20"/>
          <w:szCs w:val="20"/>
          <w:lang w:val="es-ES"/>
        </w:rPr>
        <w:t xml:space="preserve">encuentran en riesgo de ser </w:t>
      </w:r>
      <w:r w:rsidR="005D3FC9" w:rsidRPr="00E64BEB">
        <w:rPr>
          <w:rFonts w:asciiTheme="majorHAnsi" w:hAnsiTheme="majorHAnsi"/>
          <w:sz w:val="20"/>
          <w:szCs w:val="20"/>
          <w:lang w:val="es-ES"/>
        </w:rPr>
        <w:t xml:space="preserve">privados de libertad </w:t>
      </w:r>
      <w:r w:rsidRPr="00E64BEB">
        <w:rPr>
          <w:rFonts w:asciiTheme="majorHAnsi" w:hAnsiTheme="majorHAnsi"/>
          <w:sz w:val="20"/>
          <w:szCs w:val="20"/>
          <w:lang w:val="es-ES"/>
        </w:rPr>
        <w:t>por un periodo indefinido</w:t>
      </w:r>
      <w:r w:rsidR="002C4D33" w:rsidRPr="00E64BEB">
        <w:rPr>
          <w:rFonts w:asciiTheme="majorHAnsi" w:hAnsiTheme="majorHAnsi"/>
          <w:sz w:val="20"/>
          <w:szCs w:val="20"/>
          <w:lang w:val="es-ES"/>
        </w:rPr>
        <w:t>,</w:t>
      </w:r>
      <w:r w:rsidRPr="00E64BEB">
        <w:rPr>
          <w:rFonts w:asciiTheme="majorHAnsi" w:hAnsiTheme="majorHAnsi"/>
          <w:sz w:val="20"/>
          <w:szCs w:val="20"/>
          <w:lang w:val="es-ES"/>
        </w:rPr>
        <w:t xml:space="preserve"> a pesar de </w:t>
      </w:r>
      <w:r w:rsidRPr="00FA4878">
        <w:rPr>
          <w:rFonts w:asciiTheme="majorHAnsi" w:hAnsiTheme="majorHAnsi"/>
          <w:sz w:val="20"/>
          <w:szCs w:val="20"/>
          <w:lang w:val="es-ES"/>
        </w:rPr>
        <w:t>no ser punibles. Este artículo establece que en caso de imputación contra un menor de 16 años, por discrecionalidad del juez a cargo y previa audiencia de los padres, tutores o guardadores, se puede disponer de este, manteniéndosele detenido mientras se define su situación social y el proceder respecto a esta.</w:t>
      </w:r>
      <w:r>
        <w:rPr>
          <w:rFonts w:asciiTheme="majorHAnsi" w:hAnsiTheme="majorHAnsi"/>
          <w:sz w:val="20"/>
          <w:szCs w:val="20"/>
          <w:lang w:val="es-ES"/>
        </w:rPr>
        <w:t xml:space="preserve"> Los peticionarios aducen que esta intervención estatal se traduce, frente a jóvenes en situación de vulneración social, en privación de la libertad. Alegan que la medida tutelar se adopta en el marco de un expediente tutelar, donde el juez decide su encierro sobre la base de informes que se limitan a relatar aspectos familiares, psicológicos, sociales y ambientales de los jóvenes y sus familias, pero que no guardan relación alguna con el proceso penal por el cual los jóvenes ya han sido sobreseídos.</w:t>
      </w:r>
    </w:p>
    <w:p w14:paraId="3E268E0C" w14:textId="3C82A74E" w:rsidR="00483F0E" w:rsidRDefault="00EB5E8B" w:rsidP="00483F0E">
      <w:pPr>
        <w:pStyle w:val="ListParagraph"/>
        <w:numPr>
          <w:ilvl w:val="0"/>
          <w:numId w:val="65"/>
        </w:numPr>
        <w:tabs>
          <w:tab w:val="left" w:pos="720"/>
        </w:tabs>
        <w:spacing w:before="120" w:after="120"/>
        <w:ind w:left="0" w:firstLine="720"/>
        <w:jc w:val="both"/>
        <w:rPr>
          <w:rFonts w:asciiTheme="majorHAnsi" w:hAnsiTheme="majorHAnsi"/>
          <w:sz w:val="20"/>
          <w:szCs w:val="20"/>
          <w:lang w:val="es-ES"/>
        </w:rPr>
      </w:pPr>
      <w:r>
        <w:rPr>
          <w:rFonts w:asciiTheme="majorHAnsi" w:hAnsiTheme="majorHAnsi"/>
          <w:sz w:val="20"/>
          <w:szCs w:val="20"/>
          <w:lang w:val="es-ES"/>
        </w:rPr>
        <w:t>A</w:t>
      </w:r>
      <w:r w:rsidR="00483F0E">
        <w:rPr>
          <w:rFonts w:asciiTheme="majorHAnsi" w:hAnsiTheme="majorHAnsi"/>
          <w:sz w:val="20"/>
          <w:szCs w:val="20"/>
          <w:lang w:val="es-ES"/>
        </w:rPr>
        <w:t>legan</w:t>
      </w:r>
      <w:r w:rsidR="00483F0E" w:rsidRPr="00BD10DF">
        <w:rPr>
          <w:rFonts w:asciiTheme="majorHAnsi" w:hAnsiTheme="majorHAnsi"/>
          <w:sz w:val="20"/>
          <w:szCs w:val="20"/>
          <w:lang w:val="es-ES"/>
        </w:rPr>
        <w:t xml:space="preserve"> que de una visita realizada el 14 de abril de 2009</w:t>
      </w:r>
      <w:r w:rsidR="00483F0E">
        <w:rPr>
          <w:rFonts w:asciiTheme="majorHAnsi" w:hAnsiTheme="majorHAnsi"/>
          <w:sz w:val="20"/>
          <w:szCs w:val="20"/>
          <w:lang w:val="es-ES"/>
        </w:rPr>
        <w:t xml:space="preserve"> </w:t>
      </w:r>
      <w:r w:rsidR="00483F0E" w:rsidRPr="00BD10DF">
        <w:rPr>
          <w:rFonts w:asciiTheme="majorHAnsi" w:hAnsiTheme="majorHAnsi"/>
          <w:sz w:val="20"/>
          <w:szCs w:val="20"/>
          <w:lang w:val="es-ES"/>
        </w:rPr>
        <w:t xml:space="preserve">al Instituto </w:t>
      </w:r>
      <w:r w:rsidR="002C4D33">
        <w:rPr>
          <w:rFonts w:asciiTheme="majorHAnsi" w:hAnsiTheme="majorHAnsi"/>
          <w:sz w:val="20"/>
          <w:szCs w:val="20"/>
          <w:lang w:val="es-ES"/>
        </w:rPr>
        <w:t xml:space="preserve">General </w:t>
      </w:r>
      <w:r w:rsidR="00483F0E" w:rsidRPr="00BD10DF">
        <w:rPr>
          <w:rFonts w:asciiTheme="majorHAnsi" w:hAnsiTheme="majorHAnsi"/>
          <w:sz w:val="20"/>
          <w:szCs w:val="20"/>
          <w:lang w:val="es-ES"/>
        </w:rPr>
        <w:t xml:space="preserve">San Martín, </w:t>
      </w:r>
      <w:r w:rsidR="00483F0E">
        <w:rPr>
          <w:rFonts w:asciiTheme="majorHAnsi" w:hAnsiTheme="majorHAnsi"/>
          <w:sz w:val="20"/>
          <w:szCs w:val="20"/>
          <w:lang w:val="es-ES"/>
        </w:rPr>
        <w:t>una de las instituciones gubernamentales de alojamiento citadas en la petición</w:t>
      </w:r>
      <w:r w:rsidR="008257AA">
        <w:rPr>
          <w:rFonts w:asciiTheme="majorHAnsi" w:hAnsiTheme="majorHAnsi"/>
          <w:sz w:val="20"/>
          <w:szCs w:val="20"/>
          <w:lang w:val="es-ES"/>
        </w:rPr>
        <w:t>, se observó que los niños</w:t>
      </w:r>
      <w:r w:rsidR="00483F0E" w:rsidRPr="00BD10DF">
        <w:rPr>
          <w:rFonts w:asciiTheme="majorHAnsi" w:hAnsiTheme="majorHAnsi"/>
          <w:sz w:val="20"/>
          <w:szCs w:val="20"/>
          <w:lang w:val="es-ES"/>
        </w:rPr>
        <w:t xml:space="preserve"> se encuentran alojados en pabellones cuyas puertas tienen rejas idénticas a las cárceles pa</w:t>
      </w:r>
      <w:r w:rsidR="008257AA">
        <w:rPr>
          <w:rFonts w:asciiTheme="majorHAnsi" w:hAnsiTheme="majorHAnsi"/>
          <w:sz w:val="20"/>
          <w:szCs w:val="20"/>
          <w:lang w:val="es-ES"/>
        </w:rPr>
        <w:t xml:space="preserve">ra adultos, permaneciendo </w:t>
      </w:r>
      <w:r w:rsidR="00483F0E" w:rsidRPr="00BD10DF">
        <w:rPr>
          <w:rFonts w:asciiTheme="majorHAnsi" w:hAnsiTheme="majorHAnsi"/>
          <w:sz w:val="20"/>
          <w:szCs w:val="20"/>
          <w:lang w:val="es-ES"/>
        </w:rPr>
        <w:t>cerradas; además, detallan que las celdas no cuentan con calefacción, toda vez que las ventanas rotas de la celda filtran el frío. Aquejan la falta de periodicidad de visitas de defensores, así como la inexistencia de un reglamento que establezca las condiciones de convivencia y las sanciones disciplinarias, siendo que en caso de haber pr</w:t>
      </w:r>
      <w:r w:rsidR="008257AA">
        <w:rPr>
          <w:rFonts w:asciiTheme="majorHAnsi" w:hAnsiTheme="majorHAnsi"/>
          <w:sz w:val="20"/>
          <w:szCs w:val="20"/>
          <w:lang w:val="es-ES"/>
        </w:rPr>
        <w:t>oblemas de conducta, los niños</w:t>
      </w:r>
      <w:r w:rsidR="00483F0E" w:rsidRPr="00BD10DF">
        <w:rPr>
          <w:rFonts w:asciiTheme="majorHAnsi" w:hAnsiTheme="majorHAnsi"/>
          <w:sz w:val="20"/>
          <w:szCs w:val="20"/>
          <w:lang w:val="es-ES"/>
        </w:rPr>
        <w:t xml:space="preserve"> son enviados a una celda de aislamiento sin mobiliario ni baño. Mencionan otros factores como la falta de capacitación del personal de guardia del instituto, al no recib</w:t>
      </w:r>
      <w:r w:rsidR="008257AA">
        <w:rPr>
          <w:rFonts w:asciiTheme="majorHAnsi" w:hAnsiTheme="majorHAnsi"/>
          <w:sz w:val="20"/>
          <w:szCs w:val="20"/>
          <w:lang w:val="es-ES"/>
        </w:rPr>
        <w:t>ir e</w:t>
      </w:r>
      <w:r w:rsidR="00483F0E" w:rsidRPr="00BD10DF">
        <w:rPr>
          <w:rFonts w:asciiTheme="majorHAnsi" w:hAnsiTheme="majorHAnsi"/>
          <w:sz w:val="20"/>
          <w:szCs w:val="20"/>
          <w:lang w:val="es-ES"/>
        </w:rPr>
        <w:t xml:space="preserve">stos cursos de formación en materia de seguridad, entre otros factores más, concluyéndose que las condiciones del Instituto son violatorias a los derechos a la intimidad y privacidad, así como también a la integridad física de los menores, en razón de los malos tratos que reciben. </w:t>
      </w:r>
    </w:p>
    <w:p w14:paraId="301E78D4" w14:textId="539D5805" w:rsidR="00483F0E" w:rsidRDefault="00B41325" w:rsidP="00805794">
      <w:pPr>
        <w:pStyle w:val="ListParagraph"/>
        <w:numPr>
          <w:ilvl w:val="0"/>
          <w:numId w:val="65"/>
        </w:numPr>
        <w:tabs>
          <w:tab w:val="left" w:pos="720"/>
        </w:tabs>
        <w:spacing w:before="120" w:after="120"/>
        <w:ind w:left="0" w:firstLine="720"/>
        <w:jc w:val="both"/>
        <w:rPr>
          <w:rFonts w:asciiTheme="majorHAnsi" w:hAnsiTheme="majorHAnsi"/>
          <w:sz w:val="20"/>
          <w:szCs w:val="20"/>
          <w:lang w:val="es-ES"/>
        </w:rPr>
      </w:pPr>
      <w:r w:rsidRPr="00483F0E">
        <w:rPr>
          <w:rFonts w:asciiTheme="majorHAnsi" w:hAnsiTheme="majorHAnsi"/>
          <w:sz w:val="20"/>
          <w:szCs w:val="20"/>
          <w:lang w:val="es-ES"/>
        </w:rPr>
        <w:t xml:space="preserve">Los peticionarios detallan los casos particulares de tres presuntas víctimas, alegando que son representativos de un universo de </w:t>
      </w:r>
      <w:r w:rsidR="008257AA">
        <w:rPr>
          <w:rFonts w:asciiTheme="majorHAnsi" w:hAnsiTheme="majorHAnsi"/>
          <w:sz w:val="20"/>
          <w:szCs w:val="20"/>
          <w:lang w:val="es-ES"/>
        </w:rPr>
        <w:t xml:space="preserve">niños </w:t>
      </w:r>
      <w:r w:rsidRPr="00483F0E">
        <w:rPr>
          <w:rFonts w:asciiTheme="majorHAnsi" w:hAnsiTheme="majorHAnsi"/>
          <w:sz w:val="20"/>
          <w:szCs w:val="20"/>
          <w:lang w:val="es-ES"/>
        </w:rPr>
        <w:t>que se encuentran en la misma situación. Concretamente, explican que las víctimas Juan Manuel Cardozo, de 16 años de edad, Leonardo Ariel Rosales, de 14 años de edad, y David Nazareno Coronel, de 15 años de edad, fueron trasladados al Instituto General San Martín y privados ilegítimamente de su libertad. Explican que el menor Cardozo fue declarado inimputable y sobreseído, por la supuesta comisión de un delito a la edad de 16 años, por el Juzgado de Menores No. 2 el 11 de julio de 2007, y, por su condición socio-ambiental y económica, trasladado al Instituto de forma temporal, donde permaneció 32 días, a fin de evaluar su derivación más adecuada en razón de su condición. De</w:t>
      </w:r>
      <w:r w:rsidR="008257AA">
        <w:rPr>
          <w:rFonts w:asciiTheme="majorHAnsi" w:hAnsiTheme="majorHAnsi"/>
          <w:sz w:val="20"/>
          <w:szCs w:val="20"/>
          <w:lang w:val="es-ES"/>
        </w:rPr>
        <w:t xml:space="preserve"> otra parte, alegan que el niño</w:t>
      </w:r>
      <w:r w:rsidRPr="00483F0E">
        <w:rPr>
          <w:rFonts w:asciiTheme="majorHAnsi" w:hAnsiTheme="majorHAnsi"/>
          <w:sz w:val="20"/>
          <w:szCs w:val="20"/>
          <w:lang w:val="es-ES"/>
        </w:rPr>
        <w:t xml:space="preserve"> Rosales </w:t>
      </w:r>
      <w:r w:rsidR="00AB776A">
        <w:rPr>
          <w:rFonts w:asciiTheme="majorHAnsi" w:hAnsiTheme="majorHAnsi"/>
          <w:sz w:val="20"/>
          <w:szCs w:val="20"/>
          <w:lang w:val="es-ES"/>
        </w:rPr>
        <w:t xml:space="preserve">fue privado de libertad </w:t>
      </w:r>
      <w:r w:rsidR="00917ADA">
        <w:rPr>
          <w:rFonts w:asciiTheme="majorHAnsi" w:hAnsiTheme="majorHAnsi"/>
          <w:sz w:val="20"/>
          <w:szCs w:val="20"/>
          <w:lang w:val="es-ES"/>
        </w:rPr>
        <w:t xml:space="preserve">en siete oportunidades entre el 2006 y el 2008, </w:t>
      </w:r>
      <w:r w:rsidRPr="00483F0E">
        <w:rPr>
          <w:rFonts w:asciiTheme="majorHAnsi" w:hAnsiTheme="majorHAnsi"/>
          <w:sz w:val="20"/>
          <w:szCs w:val="20"/>
          <w:lang w:val="es-ES"/>
        </w:rPr>
        <w:t xml:space="preserve">por </w:t>
      </w:r>
      <w:r w:rsidR="00917ADA">
        <w:rPr>
          <w:rFonts w:asciiTheme="majorHAnsi" w:hAnsiTheme="majorHAnsi"/>
          <w:sz w:val="20"/>
          <w:szCs w:val="20"/>
          <w:lang w:val="es-ES"/>
        </w:rPr>
        <w:t>un total</w:t>
      </w:r>
      <w:r w:rsidRPr="00483F0E">
        <w:rPr>
          <w:rFonts w:asciiTheme="majorHAnsi" w:hAnsiTheme="majorHAnsi"/>
          <w:sz w:val="20"/>
          <w:szCs w:val="20"/>
          <w:lang w:val="es-ES"/>
        </w:rPr>
        <w:t xml:space="preserve"> de 120 días. Indican que fue declarado inimputable y trasladado al Instituto en razón de proceder de un grupo familiar sumamente numeroso y en situación de pobreza. Finalmente, indican que el menor Coronel fue declarado inimputable por el Juzgado de Menores No. 2, el cual justificó su traslado al Instituto en razón de su situación económica, social y familiar, permaneciendo allí por el plazo de 102 días. Los peticionarios indican que </w:t>
      </w:r>
      <w:r w:rsidR="003421D3" w:rsidRPr="00483F0E">
        <w:rPr>
          <w:rFonts w:asciiTheme="majorHAnsi" w:hAnsiTheme="majorHAnsi"/>
          <w:sz w:val="20"/>
          <w:szCs w:val="20"/>
          <w:lang w:val="es-ES"/>
        </w:rPr>
        <w:t>ninguna</w:t>
      </w:r>
      <w:r w:rsidRPr="00483F0E">
        <w:rPr>
          <w:rFonts w:asciiTheme="majorHAnsi" w:hAnsiTheme="majorHAnsi"/>
          <w:sz w:val="20"/>
          <w:szCs w:val="20"/>
          <w:lang w:val="es-ES"/>
        </w:rPr>
        <w:t xml:space="preserve"> de las presuntas víctimas tuvo acceso a un defensor público, desconociendo así su expediente judicial, y no se le</w:t>
      </w:r>
      <w:r w:rsidR="002024D8">
        <w:rPr>
          <w:rFonts w:asciiTheme="majorHAnsi" w:hAnsiTheme="majorHAnsi"/>
          <w:sz w:val="20"/>
          <w:szCs w:val="20"/>
          <w:lang w:val="es-ES"/>
        </w:rPr>
        <w:t>s</w:t>
      </w:r>
      <w:r w:rsidRPr="00483F0E">
        <w:rPr>
          <w:rFonts w:asciiTheme="majorHAnsi" w:hAnsiTheme="majorHAnsi"/>
          <w:sz w:val="20"/>
          <w:szCs w:val="20"/>
          <w:lang w:val="es-ES"/>
        </w:rPr>
        <w:t xml:space="preserve"> informó sobre el tiempo que estaría</w:t>
      </w:r>
      <w:r w:rsidR="002024D8">
        <w:rPr>
          <w:rFonts w:asciiTheme="majorHAnsi" w:hAnsiTheme="majorHAnsi"/>
          <w:sz w:val="20"/>
          <w:szCs w:val="20"/>
          <w:lang w:val="es-ES"/>
        </w:rPr>
        <w:t>n</w:t>
      </w:r>
      <w:r w:rsidRPr="00483F0E">
        <w:rPr>
          <w:rFonts w:asciiTheme="majorHAnsi" w:hAnsiTheme="majorHAnsi"/>
          <w:sz w:val="20"/>
          <w:szCs w:val="20"/>
          <w:lang w:val="es-ES"/>
        </w:rPr>
        <w:t xml:space="preserve"> en detención. Los peticionarios alegan vulneraciones a los derechos a la defensa, a ser oído, a que se presuma su inocencia y al debido proceso, cómo a ser sometido a un proceso público. Asimismo, alegan violaciones al derecho a la integridad personal, por no tener buenas condiciones sanitarias ni educativas en las instituciones dónde se encuentran retenidas, además de no tener derecho a visitas familiares respectivas.</w:t>
      </w:r>
    </w:p>
    <w:p w14:paraId="3255F902" w14:textId="4E6C18F5" w:rsidR="00483F0E" w:rsidRDefault="00EB5E8B" w:rsidP="00805794">
      <w:pPr>
        <w:pStyle w:val="ListParagraph"/>
        <w:numPr>
          <w:ilvl w:val="0"/>
          <w:numId w:val="65"/>
        </w:numPr>
        <w:tabs>
          <w:tab w:val="left" w:pos="720"/>
        </w:tabs>
        <w:spacing w:before="120" w:after="120"/>
        <w:ind w:left="0" w:firstLine="720"/>
        <w:jc w:val="both"/>
        <w:rPr>
          <w:rFonts w:asciiTheme="majorHAnsi" w:hAnsiTheme="majorHAnsi"/>
          <w:sz w:val="20"/>
          <w:szCs w:val="20"/>
          <w:lang w:val="es-ES"/>
        </w:rPr>
      </w:pPr>
      <w:r>
        <w:rPr>
          <w:rFonts w:asciiTheme="majorHAnsi" w:hAnsiTheme="majorHAnsi"/>
          <w:sz w:val="20"/>
          <w:szCs w:val="20"/>
          <w:lang w:val="es-ES"/>
        </w:rPr>
        <w:t>E</w:t>
      </w:r>
      <w:r w:rsidRPr="00483F0E">
        <w:rPr>
          <w:rFonts w:asciiTheme="majorHAnsi" w:hAnsiTheme="majorHAnsi"/>
          <w:sz w:val="20"/>
          <w:szCs w:val="20"/>
          <w:lang w:val="es-ES"/>
        </w:rPr>
        <w:t>l 20 de setiembre de 2006</w:t>
      </w:r>
      <w:r>
        <w:rPr>
          <w:rFonts w:asciiTheme="majorHAnsi" w:hAnsiTheme="majorHAnsi"/>
          <w:sz w:val="20"/>
          <w:szCs w:val="20"/>
          <w:lang w:val="es-ES"/>
        </w:rPr>
        <w:t>, l</w:t>
      </w:r>
      <w:r w:rsidR="005970A0" w:rsidRPr="00483F0E">
        <w:rPr>
          <w:rFonts w:asciiTheme="majorHAnsi" w:hAnsiTheme="majorHAnsi"/>
          <w:sz w:val="20"/>
          <w:szCs w:val="20"/>
          <w:lang w:val="es-ES"/>
        </w:rPr>
        <w:t xml:space="preserve">os peticionarios </w:t>
      </w:r>
      <w:r w:rsidR="00764F36" w:rsidRPr="00483F0E">
        <w:rPr>
          <w:rFonts w:asciiTheme="majorHAnsi" w:hAnsiTheme="majorHAnsi"/>
          <w:sz w:val="20"/>
          <w:szCs w:val="20"/>
          <w:lang w:val="es-ES"/>
        </w:rPr>
        <w:t>interpusieron</w:t>
      </w:r>
      <w:r w:rsidR="005970A0" w:rsidRPr="00483F0E">
        <w:rPr>
          <w:rFonts w:asciiTheme="majorHAnsi" w:hAnsiTheme="majorHAnsi"/>
          <w:sz w:val="20"/>
          <w:szCs w:val="20"/>
          <w:lang w:val="es-ES"/>
        </w:rPr>
        <w:t xml:space="preserve"> un recurso de hábeas corpus</w:t>
      </w:r>
      <w:r w:rsidR="00764F36" w:rsidRPr="00483F0E">
        <w:rPr>
          <w:rFonts w:asciiTheme="majorHAnsi" w:hAnsiTheme="majorHAnsi"/>
          <w:sz w:val="20"/>
          <w:szCs w:val="20"/>
          <w:lang w:val="es-ES"/>
        </w:rPr>
        <w:t xml:space="preserve"> ante el Juzgado de Primera Instancia Nacional de Menores No. 5</w:t>
      </w:r>
      <w:r w:rsidR="005970A0" w:rsidRPr="00483F0E">
        <w:rPr>
          <w:rFonts w:asciiTheme="majorHAnsi" w:hAnsiTheme="majorHAnsi"/>
          <w:sz w:val="20"/>
          <w:szCs w:val="20"/>
          <w:lang w:val="es-ES"/>
        </w:rPr>
        <w:t>,</w:t>
      </w:r>
      <w:r w:rsidR="005813A7" w:rsidRPr="00483F0E">
        <w:rPr>
          <w:rFonts w:asciiTheme="majorHAnsi" w:hAnsiTheme="majorHAnsi"/>
          <w:sz w:val="20"/>
          <w:szCs w:val="20"/>
          <w:lang w:val="es-ES"/>
        </w:rPr>
        <w:t xml:space="preserve"> </w:t>
      </w:r>
      <w:r w:rsidR="006462F5" w:rsidRPr="00483F0E">
        <w:rPr>
          <w:rFonts w:asciiTheme="majorHAnsi" w:hAnsiTheme="majorHAnsi"/>
          <w:sz w:val="20"/>
          <w:szCs w:val="20"/>
          <w:lang w:val="es-ES"/>
        </w:rPr>
        <w:t xml:space="preserve">en amparo de todas </w:t>
      </w:r>
      <w:r w:rsidR="00805794" w:rsidRPr="00805794">
        <w:rPr>
          <w:rFonts w:asciiTheme="majorHAnsi" w:hAnsiTheme="majorHAnsi"/>
          <w:sz w:val="20"/>
          <w:szCs w:val="20"/>
          <w:lang w:val="es-ES"/>
        </w:rPr>
        <w:t>las personas que por hechos presuntamente cometidos antes de cumplir los dieciséis años de edad, se hallaren privados de su libertad en virtud de resoluciones judiciales emitidas por los Juzgados Nacionales de Menores, en jurisdicción de la Ciudad Autónoma de Buenos Aires</w:t>
      </w:r>
      <w:r w:rsidR="00482554">
        <w:rPr>
          <w:rFonts w:asciiTheme="majorHAnsi" w:hAnsiTheme="majorHAnsi"/>
          <w:sz w:val="20"/>
          <w:szCs w:val="20"/>
          <w:lang w:val="es-ES"/>
        </w:rPr>
        <w:t>. Indican</w:t>
      </w:r>
      <w:r w:rsidR="00D72A81" w:rsidRPr="00483F0E">
        <w:rPr>
          <w:rFonts w:asciiTheme="majorHAnsi" w:hAnsiTheme="majorHAnsi"/>
          <w:sz w:val="20"/>
          <w:szCs w:val="20"/>
          <w:lang w:val="es-ES"/>
        </w:rPr>
        <w:t xml:space="preserve"> que las tres presuntas víctimas no presentaron recurso en nombre propio, sin embargo estas, junto con las demás, fueron debidamente individualizada</w:t>
      </w:r>
      <w:r w:rsidR="00F32EC0">
        <w:rPr>
          <w:rFonts w:asciiTheme="majorHAnsi" w:hAnsiTheme="majorHAnsi"/>
          <w:sz w:val="20"/>
          <w:szCs w:val="20"/>
          <w:lang w:val="es-ES"/>
        </w:rPr>
        <w:t>s</w:t>
      </w:r>
      <w:r w:rsidR="00D72A81" w:rsidRPr="00483F0E">
        <w:rPr>
          <w:rFonts w:asciiTheme="majorHAnsi" w:hAnsiTheme="majorHAnsi"/>
          <w:sz w:val="20"/>
          <w:szCs w:val="20"/>
          <w:lang w:val="es-ES"/>
        </w:rPr>
        <w:t xml:space="preserve"> dentro del recurso de amparo</w:t>
      </w:r>
      <w:r w:rsidR="00E420E4">
        <w:rPr>
          <w:rFonts w:asciiTheme="majorHAnsi" w:hAnsiTheme="majorHAnsi"/>
          <w:sz w:val="20"/>
          <w:szCs w:val="20"/>
          <w:lang w:val="es-ES"/>
        </w:rPr>
        <w:t>,</w:t>
      </w:r>
      <w:r w:rsidR="00D72A81" w:rsidRPr="00483F0E">
        <w:rPr>
          <w:rFonts w:asciiTheme="majorHAnsi" w:hAnsiTheme="majorHAnsi"/>
          <w:sz w:val="20"/>
          <w:szCs w:val="20"/>
          <w:lang w:val="es-ES"/>
        </w:rPr>
        <w:t xml:space="preserve"> </w:t>
      </w:r>
      <w:r w:rsidR="00DA654C" w:rsidRPr="00483F0E">
        <w:rPr>
          <w:rFonts w:asciiTheme="majorHAnsi" w:hAnsiTheme="majorHAnsi"/>
          <w:sz w:val="20"/>
          <w:szCs w:val="20"/>
          <w:lang w:val="es-ES"/>
        </w:rPr>
        <w:t>a solicitud de la Corte Suprema</w:t>
      </w:r>
      <w:r w:rsidR="00533C1E" w:rsidRPr="006D3136">
        <w:rPr>
          <w:rStyle w:val="FootnoteReference"/>
          <w:rFonts w:asciiTheme="majorHAnsi" w:hAnsiTheme="majorHAnsi"/>
          <w:sz w:val="20"/>
          <w:szCs w:val="20"/>
          <w:lang w:val="es-ES"/>
        </w:rPr>
        <w:footnoteReference w:id="7"/>
      </w:r>
      <w:r w:rsidR="00764F36" w:rsidRPr="00483F0E">
        <w:rPr>
          <w:rFonts w:asciiTheme="majorHAnsi" w:hAnsiTheme="majorHAnsi"/>
          <w:sz w:val="20"/>
          <w:szCs w:val="20"/>
          <w:lang w:val="es-ES"/>
        </w:rPr>
        <w:t xml:space="preserve">. </w:t>
      </w:r>
      <w:r w:rsidR="00EB28B8" w:rsidRPr="00483F0E">
        <w:rPr>
          <w:rFonts w:asciiTheme="majorHAnsi" w:hAnsiTheme="majorHAnsi"/>
          <w:sz w:val="20"/>
          <w:szCs w:val="20"/>
          <w:lang w:val="es-ES"/>
        </w:rPr>
        <w:t>Recalcan que dicho recurso es el único recurso disponible de acceso a la justicia en casos de detenciones ilegales y arbitrarias, siendo esta la única vía judicial apta</w:t>
      </w:r>
      <w:r w:rsidR="00103EDC">
        <w:rPr>
          <w:rFonts w:asciiTheme="majorHAnsi" w:hAnsiTheme="majorHAnsi"/>
          <w:sz w:val="20"/>
          <w:szCs w:val="20"/>
          <w:lang w:val="es-ES"/>
        </w:rPr>
        <w:t>, y a</w:t>
      </w:r>
      <w:r w:rsidR="003421D3" w:rsidRPr="00483F0E">
        <w:rPr>
          <w:rFonts w:asciiTheme="majorHAnsi" w:hAnsiTheme="majorHAnsi"/>
          <w:sz w:val="20"/>
          <w:szCs w:val="20"/>
          <w:lang w:val="es-ES"/>
        </w:rPr>
        <w:t xml:space="preserve">claran que la colectividad </w:t>
      </w:r>
      <w:r w:rsidR="003421D3" w:rsidRPr="00483F0E">
        <w:rPr>
          <w:rFonts w:asciiTheme="majorHAnsi" w:hAnsiTheme="majorHAnsi"/>
          <w:sz w:val="20"/>
          <w:szCs w:val="20"/>
          <w:lang w:val="es-ES"/>
        </w:rPr>
        <w:lastRenderedPageBreak/>
        <w:t>del recurso se debió a que los remedios individuales resultaban insuficientes en tanto se limitaban a resolver el derecho de un niño en concreto a no ser privado de libertad, pero no atacaban el problema de la disposición tutelar de todos los jóvenes privados de libertad. Además, argumentan que el estado de vulnerabilidad de las presuntas víctimas, sobre todo en lo referente a la falta de acceso a defensores públicos</w:t>
      </w:r>
      <w:r w:rsidR="00103EDC">
        <w:rPr>
          <w:rFonts w:asciiTheme="majorHAnsi" w:hAnsiTheme="majorHAnsi"/>
          <w:sz w:val="20"/>
          <w:szCs w:val="20"/>
          <w:lang w:val="es-ES"/>
        </w:rPr>
        <w:t>,</w:t>
      </w:r>
      <w:r w:rsidR="003421D3" w:rsidRPr="00483F0E">
        <w:rPr>
          <w:rFonts w:asciiTheme="majorHAnsi" w:hAnsiTheme="majorHAnsi"/>
          <w:sz w:val="20"/>
          <w:szCs w:val="20"/>
          <w:lang w:val="es-ES"/>
        </w:rPr>
        <w:t xml:space="preserve"> les impidió presentar los recursos correspondientes en nombre propio. </w:t>
      </w:r>
      <w:r w:rsidR="00764F36" w:rsidRPr="00483F0E">
        <w:rPr>
          <w:rFonts w:asciiTheme="majorHAnsi" w:hAnsiTheme="majorHAnsi"/>
          <w:sz w:val="20"/>
          <w:szCs w:val="20"/>
          <w:lang w:val="es-ES"/>
        </w:rPr>
        <w:t>El</w:t>
      </w:r>
      <w:r w:rsidR="003F3299">
        <w:rPr>
          <w:rFonts w:asciiTheme="majorHAnsi" w:hAnsiTheme="majorHAnsi"/>
          <w:sz w:val="20"/>
          <w:szCs w:val="20"/>
          <w:lang w:val="es-ES"/>
        </w:rPr>
        <w:t xml:space="preserve"> </w:t>
      </w:r>
      <w:r w:rsidR="00764F36" w:rsidRPr="00483F0E">
        <w:rPr>
          <w:rFonts w:asciiTheme="majorHAnsi" w:hAnsiTheme="majorHAnsi"/>
          <w:sz w:val="20"/>
          <w:szCs w:val="20"/>
          <w:lang w:val="es-ES"/>
        </w:rPr>
        <w:t>recurso</w:t>
      </w:r>
      <w:r w:rsidR="00AD5EDC">
        <w:rPr>
          <w:rFonts w:asciiTheme="majorHAnsi" w:hAnsiTheme="majorHAnsi"/>
          <w:sz w:val="20"/>
          <w:szCs w:val="20"/>
          <w:lang w:val="es-ES"/>
        </w:rPr>
        <w:t xml:space="preserve"> </w:t>
      </w:r>
      <w:r w:rsidR="00764F36" w:rsidRPr="00483F0E">
        <w:rPr>
          <w:rFonts w:asciiTheme="majorHAnsi" w:hAnsiTheme="majorHAnsi"/>
          <w:sz w:val="20"/>
          <w:szCs w:val="20"/>
          <w:lang w:val="es-ES"/>
        </w:rPr>
        <w:t>fue rechazado y elevado a consulta a la Cámara Nacional de Apelaciones en lo Criminal y Correccional, a la cual se le solicitó pronunciarse sobre la legitimidad d</w:t>
      </w:r>
      <w:r w:rsidR="008257AA">
        <w:rPr>
          <w:rFonts w:asciiTheme="majorHAnsi" w:hAnsiTheme="majorHAnsi"/>
          <w:sz w:val="20"/>
          <w:szCs w:val="20"/>
          <w:lang w:val="es-ES"/>
        </w:rPr>
        <w:t>e las privaciones de los niños</w:t>
      </w:r>
      <w:r w:rsidR="00764F36" w:rsidRPr="00483F0E">
        <w:rPr>
          <w:rFonts w:asciiTheme="majorHAnsi" w:hAnsiTheme="majorHAnsi"/>
          <w:sz w:val="20"/>
          <w:szCs w:val="20"/>
          <w:lang w:val="es-ES"/>
        </w:rPr>
        <w:t>, así como la elaboración de un plan progresivo de liberación de los niños para su incorporación al Sistema de Pr</w:t>
      </w:r>
      <w:r w:rsidR="005970A0" w:rsidRPr="00483F0E">
        <w:rPr>
          <w:rFonts w:asciiTheme="majorHAnsi" w:hAnsiTheme="majorHAnsi"/>
          <w:sz w:val="20"/>
          <w:szCs w:val="20"/>
          <w:lang w:val="es-ES"/>
        </w:rPr>
        <w:t>otección Integral. E</w:t>
      </w:r>
      <w:r w:rsidR="00764F36" w:rsidRPr="00483F0E">
        <w:rPr>
          <w:rFonts w:asciiTheme="majorHAnsi" w:hAnsiTheme="majorHAnsi"/>
          <w:sz w:val="20"/>
          <w:szCs w:val="20"/>
          <w:lang w:val="es-ES"/>
        </w:rPr>
        <w:t>l 21 de setiembre de 2006</w:t>
      </w:r>
      <w:r w:rsidR="008257AA">
        <w:rPr>
          <w:rFonts w:asciiTheme="majorHAnsi" w:hAnsiTheme="majorHAnsi"/>
          <w:sz w:val="20"/>
          <w:szCs w:val="20"/>
          <w:lang w:val="es-ES"/>
        </w:rPr>
        <w:t>, dicha S</w:t>
      </w:r>
      <w:r w:rsidR="005970A0" w:rsidRPr="00483F0E">
        <w:rPr>
          <w:rFonts w:asciiTheme="majorHAnsi" w:hAnsiTheme="majorHAnsi"/>
          <w:sz w:val="20"/>
          <w:szCs w:val="20"/>
          <w:lang w:val="es-ES"/>
        </w:rPr>
        <w:t>ala co</w:t>
      </w:r>
      <w:r w:rsidR="00764F36" w:rsidRPr="00483F0E">
        <w:rPr>
          <w:rFonts w:asciiTheme="majorHAnsi" w:hAnsiTheme="majorHAnsi"/>
          <w:sz w:val="20"/>
          <w:szCs w:val="20"/>
          <w:lang w:val="es-ES"/>
        </w:rPr>
        <w:t xml:space="preserve">nfirmó la sentencia del Juzgado de Menores, </w:t>
      </w:r>
      <w:r w:rsidR="004E3EC8" w:rsidRPr="003F3299">
        <w:rPr>
          <w:rFonts w:asciiTheme="majorHAnsi" w:hAnsiTheme="majorHAnsi"/>
          <w:sz w:val="20"/>
          <w:szCs w:val="20"/>
          <w:lang w:val="es-ES"/>
        </w:rPr>
        <w:t>indicando</w:t>
      </w:r>
      <w:r w:rsidR="004E3EC8" w:rsidRPr="00483F0E">
        <w:rPr>
          <w:rFonts w:asciiTheme="majorHAnsi" w:hAnsiTheme="majorHAnsi"/>
          <w:sz w:val="20"/>
          <w:szCs w:val="20"/>
          <w:lang w:val="es-ES"/>
        </w:rPr>
        <w:t xml:space="preserve"> </w:t>
      </w:r>
      <w:r w:rsidR="00764F36" w:rsidRPr="00483F0E">
        <w:rPr>
          <w:rFonts w:asciiTheme="majorHAnsi" w:hAnsiTheme="majorHAnsi"/>
          <w:sz w:val="20"/>
          <w:szCs w:val="20"/>
          <w:lang w:val="es-ES"/>
        </w:rPr>
        <w:t xml:space="preserve">que las detenciones de los menores tenían sustento en decisiones de las autoridades competentes, siendo ante ellos donde se debía discutir la disconformidad alegada. </w:t>
      </w:r>
      <w:r w:rsidR="005970A0" w:rsidRPr="00483F0E">
        <w:rPr>
          <w:rFonts w:asciiTheme="majorHAnsi" w:hAnsiTheme="majorHAnsi"/>
          <w:sz w:val="20"/>
          <w:szCs w:val="20"/>
          <w:lang w:val="es-ES"/>
        </w:rPr>
        <w:t>L</w:t>
      </w:r>
      <w:r w:rsidR="00764F36" w:rsidRPr="00483F0E">
        <w:rPr>
          <w:rFonts w:asciiTheme="majorHAnsi" w:hAnsiTheme="majorHAnsi"/>
          <w:sz w:val="20"/>
          <w:szCs w:val="20"/>
          <w:lang w:val="es-ES"/>
        </w:rPr>
        <w:t xml:space="preserve">os peticionarios </w:t>
      </w:r>
      <w:r w:rsidR="004E3EC8">
        <w:rPr>
          <w:rFonts w:asciiTheme="majorHAnsi" w:hAnsiTheme="majorHAnsi"/>
          <w:sz w:val="20"/>
          <w:szCs w:val="20"/>
          <w:lang w:val="es-ES"/>
        </w:rPr>
        <w:t xml:space="preserve">entonces </w:t>
      </w:r>
      <w:r w:rsidR="00764F36" w:rsidRPr="00483F0E">
        <w:rPr>
          <w:rFonts w:asciiTheme="majorHAnsi" w:hAnsiTheme="majorHAnsi"/>
          <w:sz w:val="20"/>
          <w:szCs w:val="20"/>
          <w:lang w:val="es-ES"/>
        </w:rPr>
        <w:t xml:space="preserve">presentaron recurso de casación y de inconstitucionalidad ante la Cámara de Casación Penal contra el artículo 1 del Decreto Ley No. 22.278. </w:t>
      </w:r>
      <w:r w:rsidR="00366343" w:rsidRPr="00483F0E">
        <w:rPr>
          <w:rFonts w:asciiTheme="majorHAnsi" w:hAnsiTheme="majorHAnsi"/>
          <w:sz w:val="20"/>
          <w:szCs w:val="20"/>
          <w:lang w:val="es-ES"/>
        </w:rPr>
        <w:t>El recurso fue declarado</w:t>
      </w:r>
      <w:r w:rsidR="00764F36" w:rsidRPr="00483F0E">
        <w:rPr>
          <w:rFonts w:asciiTheme="majorHAnsi" w:hAnsiTheme="majorHAnsi"/>
          <w:sz w:val="20"/>
          <w:szCs w:val="20"/>
          <w:lang w:val="es-ES"/>
        </w:rPr>
        <w:t xml:space="preserve"> con lugar</w:t>
      </w:r>
      <w:r w:rsidR="00194172" w:rsidRPr="00483F0E">
        <w:rPr>
          <w:rFonts w:asciiTheme="majorHAnsi" w:hAnsiTheme="majorHAnsi"/>
          <w:sz w:val="20"/>
          <w:szCs w:val="20"/>
          <w:lang w:val="es-ES"/>
        </w:rPr>
        <w:t xml:space="preserve"> el 11 de diciembre de 2007, y</w:t>
      </w:r>
      <w:r w:rsidR="00764F36" w:rsidRPr="00483F0E">
        <w:rPr>
          <w:rFonts w:asciiTheme="majorHAnsi" w:hAnsiTheme="majorHAnsi"/>
          <w:sz w:val="20"/>
          <w:szCs w:val="20"/>
          <w:lang w:val="es-ES"/>
        </w:rPr>
        <w:t xml:space="preserve"> </w:t>
      </w:r>
      <w:r w:rsidR="00366343" w:rsidRPr="00483F0E">
        <w:rPr>
          <w:rFonts w:asciiTheme="majorHAnsi" w:hAnsiTheme="majorHAnsi"/>
          <w:sz w:val="20"/>
          <w:szCs w:val="20"/>
          <w:lang w:val="es-ES"/>
        </w:rPr>
        <w:t>la Cámara</w:t>
      </w:r>
      <w:r w:rsidR="00764F36" w:rsidRPr="00483F0E">
        <w:rPr>
          <w:rFonts w:asciiTheme="majorHAnsi" w:hAnsiTheme="majorHAnsi"/>
          <w:sz w:val="20"/>
          <w:szCs w:val="20"/>
          <w:lang w:val="es-ES"/>
        </w:rPr>
        <w:t xml:space="preserve"> recomendó la libertad progresiva de los menores, exhortando al Poder Legislativo de la Nación a adecuar la legislación respectiva. Sin embargo, el Fiscal General</w:t>
      </w:r>
      <w:r w:rsidR="00C34364">
        <w:rPr>
          <w:rFonts w:asciiTheme="majorHAnsi" w:hAnsiTheme="majorHAnsi"/>
          <w:sz w:val="20"/>
          <w:szCs w:val="20"/>
          <w:lang w:val="es-ES"/>
        </w:rPr>
        <w:t xml:space="preserve"> presentó</w:t>
      </w:r>
      <w:r w:rsidR="00764F36" w:rsidRPr="00483F0E">
        <w:rPr>
          <w:rFonts w:asciiTheme="majorHAnsi" w:hAnsiTheme="majorHAnsi"/>
          <w:sz w:val="20"/>
          <w:szCs w:val="20"/>
          <w:lang w:val="es-ES"/>
        </w:rPr>
        <w:t xml:space="preserve"> un recurso de queja ante la Corte Suprema de Justicia</w:t>
      </w:r>
      <w:r w:rsidR="004E3EC8">
        <w:rPr>
          <w:rFonts w:asciiTheme="majorHAnsi" w:hAnsiTheme="majorHAnsi"/>
          <w:sz w:val="20"/>
          <w:szCs w:val="20"/>
          <w:lang w:val="es-ES"/>
        </w:rPr>
        <w:t>, la cual, el</w:t>
      </w:r>
      <w:r w:rsidR="00764F36" w:rsidRPr="00483F0E">
        <w:rPr>
          <w:rFonts w:asciiTheme="majorHAnsi" w:hAnsiTheme="majorHAnsi"/>
          <w:sz w:val="20"/>
          <w:szCs w:val="20"/>
          <w:lang w:val="es-ES"/>
        </w:rPr>
        <w:t xml:space="preserve"> 18 de marzo de 2008, admitió el recurso y suspendió la ejecución de la sentencia de la Cámara de Casación Penal. Posteriormente, el 2 de diciembre de 2008, la Corte Suprema de Justicia convalidó la detención de los menores, así como el artículo </w:t>
      </w:r>
      <w:r w:rsidR="006C0665" w:rsidRPr="00483F0E">
        <w:rPr>
          <w:rFonts w:asciiTheme="majorHAnsi" w:hAnsiTheme="majorHAnsi"/>
          <w:sz w:val="20"/>
          <w:szCs w:val="20"/>
          <w:lang w:val="es-ES"/>
        </w:rPr>
        <w:t>1 del Decreto Ley No. 22.278. A pesar de que</w:t>
      </w:r>
      <w:r w:rsidR="000A4DEB">
        <w:rPr>
          <w:rFonts w:asciiTheme="majorHAnsi" w:hAnsiTheme="majorHAnsi"/>
          <w:sz w:val="20"/>
          <w:szCs w:val="20"/>
          <w:lang w:val="es-ES"/>
        </w:rPr>
        <w:t xml:space="preserve"> en su decisión</w:t>
      </w:r>
      <w:r w:rsidR="006C0665" w:rsidRPr="00483F0E">
        <w:rPr>
          <w:rFonts w:asciiTheme="majorHAnsi" w:hAnsiTheme="majorHAnsi"/>
          <w:sz w:val="20"/>
          <w:szCs w:val="20"/>
          <w:lang w:val="es-ES"/>
        </w:rPr>
        <w:t xml:space="preserve"> dicho Tribunal </w:t>
      </w:r>
      <w:r w:rsidR="000A4DEB" w:rsidRPr="003F3299">
        <w:rPr>
          <w:rFonts w:asciiTheme="majorHAnsi" w:hAnsiTheme="majorHAnsi"/>
          <w:sz w:val="20"/>
          <w:szCs w:val="20"/>
          <w:lang w:val="es-ES"/>
        </w:rPr>
        <w:t>instó</w:t>
      </w:r>
      <w:r w:rsidR="000A4DEB" w:rsidRPr="00483F0E">
        <w:rPr>
          <w:rFonts w:asciiTheme="majorHAnsi" w:hAnsiTheme="majorHAnsi"/>
          <w:sz w:val="20"/>
          <w:szCs w:val="20"/>
          <w:lang w:val="es-ES"/>
        </w:rPr>
        <w:t xml:space="preserve"> </w:t>
      </w:r>
      <w:r w:rsidR="006C0665" w:rsidRPr="00483F0E">
        <w:rPr>
          <w:rFonts w:asciiTheme="majorHAnsi" w:hAnsiTheme="majorHAnsi"/>
          <w:sz w:val="20"/>
          <w:szCs w:val="20"/>
          <w:lang w:val="es-ES"/>
        </w:rPr>
        <w:t xml:space="preserve">a las autoridades ejecutivas y legislativas a tomar las medidas necesarias para modificar la normativa interna, </w:t>
      </w:r>
      <w:r w:rsidR="00764F36" w:rsidRPr="00483F0E">
        <w:rPr>
          <w:rFonts w:asciiTheme="majorHAnsi" w:hAnsiTheme="majorHAnsi"/>
          <w:sz w:val="20"/>
          <w:szCs w:val="20"/>
          <w:lang w:val="es-ES"/>
        </w:rPr>
        <w:t>no estableci</w:t>
      </w:r>
      <w:r w:rsidR="006C0665" w:rsidRPr="00483F0E">
        <w:rPr>
          <w:rFonts w:asciiTheme="majorHAnsi" w:hAnsiTheme="majorHAnsi"/>
          <w:sz w:val="20"/>
          <w:szCs w:val="20"/>
          <w:lang w:val="es-ES"/>
        </w:rPr>
        <w:t>ó</w:t>
      </w:r>
      <w:r w:rsidR="00764F36" w:rsidRPr="00483F0E">
        <w:rPr>
          <w:rFonts w:asciiTheme="majorHAnsi" w:hAnsiTheme="majorHAnsi"/>
          <w:sz w:val="20"/>
          <w:szCs w:val="20"/>
          <w:lang w:val="es-ES"/>
        </w:rPr>
        <w:t xml:space="preserve"> lineamientos en concreto a fin de hacer efectivos los derechos y garantías consagrados en la Constitución Nacional y en los tratados internacionales de derechos humanos. </w:t>
      </w:r>
      <w:r w:rsidR="00366343" w:rsidRPr="00483F0E">
        <w:rPr>
          <w:rFonts w:asciiTheme="majorHAnsi" w:hAnsiTheme="majorHAnsi"/>
          <w:sz w:val="20"/>
          <w:szCs w:val="20"/>
          <w:lang w:val="es-ES"/>
        </w:rPr>
        <w:t>L</w:t>
      </w:r>
      <w:r w:rsidR="00863D6C" w:rsidRPr="00483F0E">
        <w:rPr>
          <w:rFonts w:asciiTheme="majorHAnsi" w:hAnsiTheme="majorHAnsi"/>
          <w:sz w:val="20"/>
          <w:szCs w:val="20"/>
          <w:lang w:val="es-ES"/>
        </w:rPr>
        <w:t>os peticio</w:t>
      </w:r>
      <w:r w:rsidR="00F52613" w:rsidRPr="00483F0E">
        <w:rPr>
          <w:rFonts w:asciiTheme="majorHAnsi" w:hAnsiTheme="majorHAnsi"/>
          <w:sz w:val="20"/>
          <w:szCs w:val="20"/>
          <w:lang w:val="es-ES"/>
        </w:rPr>
        <w:t xml:space="preserve">narios </w:t>
      </w:r>
      <w:r w:rsidR="00C34364">
        <w:rPr>
          <w:rFonts w:asciiTheme="majorHAnsi" w:hAnsiTheme="majorHAnsi"/>
          <w:sz w:val="20"/>
          <w:szCs w:val="20"/>
          <w:lang w:val="es-ES"/>
        </w:rPr>
        <w:t>aducen</w:t>
      </w:r>
      <w:r w:rsidR="00C34364" w:rsidRPr="00483F0E">
        <w:rPr>
          <w:rFonts w:asciiTheme="majorHAnsi" w:hAnsiTheme="majorHAnsi"/>
          <w:sz w:val="20"/>
          <w:szCs w:val="20"/>
          <w:lang w:val="es-ES"/>
        </w:rPr>
        <w:t xml:space="preserve"> </w:t>
      </w:r>
      <w:r w:rsidR="00F52613" w:rsidRPr="00483F0E">
        <w:rPr>
          <w:rFonts w:asciiTheme="majorHAnsi" w:hAnsiTheme="majorHAnsi"/>
          <w:sz w:val="20"/>
          <w:szCs w:val="20"/>
          <w:lang w:val="es-ES"/>
        </w:rPr>
        <w:t xml:space="preserve">que </w:t>
      </w:r>
      <w:r w:rsidR="00B72223" w:rsidRPr="00483F0E">
        <w:rPr>
          <w:rFonts w:asciiTheme="majorHAnsi" w:hAnsiTheme="majorHAnsi"/>
          <w:sz w:val="20"/>
          <w:szCs w:val="20"/>
          <w:lang w:val="es-ES"/>
        </w:rPr>
        <w:t>a la fecha no existe ningún proyecto de ley tendiente a reformar la situación legislativa del caso en con</w:t>
      </w:r>
      <w:r w:rsidR="00FA5698" w:rsidRPr="00483F0E">
        <w:rPr>
          <w:rFonts w:asciiTheme="majorHAnsi" w:hAnsiTheme="majorHAnsi"/>
          <w:sz w:val="20"/>
          <w:szCs w:val="20"/>
          <w:lang w:val="es-ES"/>
        </w:rPr>
        <w:t>c</w:t>
      </w:r>
      <w:r w:rsidR="00B72223" w:rsidRPr="00483F0E">
        <w:rPr>
          <w:rFonts w:asciiTheme="majorHAnsi" w:hAnsiTheme="majorHAnsi"/>
          <w:sz w:val="20"/>
          <w:szCs w:val="20"/>
          <w:lang w:val="es-ES"/>
        </w:rPr>
        <w:t>reto</w:t>
      </w:r>
      <w:r w:rsidR="005A61AC">
        <w:rPr>
          <w:rFonts w:asciiTheme="majorHAnsi" w:hAnsiTheme="majorHAnsi"/>
          <w:sz w:val="20"/>
          <w:szCs w:val="20"/>
          <w:lang w:val="es-ES"/>
        </w:rPr>
        <w:t>, alegando que ninguna de las medidas a las cuales hace referencia el Estado tienen estado parlamentario</w:t>
      </w:r>
      <w:r w:rsidR="00B72223" w:rsidRPr="00483F0E">
        <w:rPr>
          <w:rFonts w:asciiTheme="majorHAnsi" w:hAnsiTheme="majorHAnsi"/>
          <w:sz w:val="20"/>
          <w:szCs w:val="20"/>
          <w:lang w:val="es-ES"/>
        </w:rPr>
        <w:t>.</w:t>
      </w:r>
    </w:p>
    <w:p w14:paraId="0E2B584A" w14:textId="4E7186E7" w:rsidR="00483F0E" w:rsidRDefault="006400DC" w:rsidP="00483F0E">
      <w:pPr>
        <w:pStyle w:val="ListParagraph"/>
        <w:numPr>
          <w:ilvl w:val="0"/>
          <w:numId w:val="65"/>
        </w:numPr>
        <w:tabs>
          <w:tab w:val="left" w:pos="720"/>
        </w:tabs>
        <w:spacing w:before="120" w:after="120"/>
        <w:ind w:left="0" w:firstLine="720"/>
        <w:jc w:val="both"/>
        <w:rPr>
          <w:rFonts w:asciiTheme="majorHAnsi" w:hAnsiTheme="majorHAnsi"/>
          <w:sz w:val="20"/>
          <w:szCs w:val="20"/>
          <w:lang w:val="es-ES"/>
        </w:rPr>
      </w:pPr>
      <w:r w:rsidRPr="00483F0E">
        <w:rPr>
          <w:rFonts w:asciiTheme="majorHAnsi" w:hAnsiTheme="majorHAnsi"/>
          <w:sz w:val="20"/>
          <w:szCs w:val="20"/>
          <w:lang w:val="es-ES"/>
        </w:rPr>
        <w:t>Por su parte, el Estado</w:t>
      </w:r>
      <w:r w:rsidR="00B41325" w:rsidRPr="00483F0E">
        <w:rPr>
          <w:rFonts w:asciiTheme="majorHAnsi" w:hAnsiTheme="majorHAnsi"/>
          <w:sz w:val="20"/>
          <w:szCs w:val="20"/>
          <w:lang w:val="es-ES"/>
        </w:rPr>
        <w:t xml:space="preserve"> alega que, </w:t>
      </w:r>
      <w:r w:rsidR="00F043F5" w:rsidRPr="00483F0E">
        <w:rPr>
          <w:rFonts w:asciiTheme="majorHAnsi" w:hAnsiTheme="majorHAnsi"/>
          <w:sz w:val="20"/>
          <w:szCs w:val="20"/>
          <w:lang w:val="es-ES"/>
        </w:rPr>
        <w:t xml:space="preserve">dentro del proceso de </w:t>
      </w:r>
      <w:r w:rsidR="00B41325" w:rsidRPr="00483F0E">
        <w:rPr>
          <w:rFonts w:asciiTheme="majorHAnsi" w:hAnsiTheme="majorHAnsi"/>
          <w:sz w:val="20"/>
          <w:szCs w:val="20"/>
          <w:lang w:val="es-ES"/>
        </w:rPr>
        <w:t>hábeas corpus</w:t>
      </w:r>
      <w:r w:rsidR="00F043F5" w:rsidRPr="00483F0E">
        <w:rPr>
          <w:rFonts w:asciiTheme="majorHAnsi" w:hAnsiTheme="majorHAnsi"/>
          <w:sz w:val="20"/>
          <w:szCs w:val="20"/>
          <w:lang w:val="es-ES"/>
        </w:rPr>
        <w:t>,</w:t>
      </w:r>
      <w:r w:rsidR="00B41325" w:rsidRPr="00483F0E">
        <w:rPr>
          <w:rFonts w:asciiTheme="majorHAnsi" w:hAnsiTheme="majorHAnsi"/>
          <w:sz w:val="20"/>
          <w:szCs w:val="20"/>
          <w:lang w:val="es-ES"/>
        </w:rPr>
        <w:t xml:space="preserve"> los peticionarios únicamente alegaron la ilegali</w:t>
      </w:r>
      <w:r w:rsidR="00C27AF2">
        <w:rPr>
          <w:rFonts w:asciiTheme="majorHAnsi" w:hAnsiTheme="majorHAnsi"/>
          <w:sz w:val="20"/>
          <w:szCs w:val="20"/>
          <w:lang w:val="es-ES"/>
        </w:rPr>
        <w:t>dad de la detención de los niños</w:t>
      </w:r>
      <w:r w:rsidR="00B41325" w:rsidRPr="00483F0E">
        <w:rPr>
          <w:rFonts w:asciiTheme="majorHAnsi" w:hAnsiTheme="majorHAnsi"/>
          <w:sz w:val="20"/>
          <w:szCs w:val="20"/>
          <w:lang w:val="es-ES"/>
        </w:rPr>
        <w:t xml:space="preserve"> en el plano constitucional, y no así las </w:t>
      </w:r>
      <w:r w:rsidR="00C27AF2">
        <w:rPr>
          <w:rFonts w:asciiTheme="majorHAnsi" w:hAnsiTheme="majorHAnsi"/>
          <w:sz w:val="20"/>
          <w:szCs w:val="20"/>
          <w:lang w:val="es-ES"/>
        </w:rPr>
        <w:t>condiciones de detención</w:t>
      </w:r>
      <w:r w:rsidR="00B41325" w:rsidRPr="00483F0E">
        <w:rPr>
          <w:rFonts w:asciiTheme="majorHAnsi" w:hAnsiTheme="majorHAnsi"/>
          <w:sz w:val="20"/>
          <w:szCs w:val="20"/>
          <w:lang w:val="es-ES"/>
        </w:rPr>
        <w:t>, las cuales no fueron parte del relato fáctico que acompañó al recurso</w:t>
      </w:r>
      <w:r w:rsidR="001E14C9" w:rsidRPr="00483F0E">
        <w:rPr>
          <w:rFonts w:asciiTheme="majorHAnsi" w:hAnsiTheme="majorHAnsi"/>
          <w:sz w:val="20"/>
          <w:szCs w:val="20"/>
          <w:lang w:val="es-ES"/>
        </w:rPr>
        <w:t xml:space="preserve">. </w:t>
      </w:r>
      <w:r w:rsidR="002A206E">
        <w:rPr>
          <w:rFonts w:asciiTheme="majorHAnsi" w:hAnsiTheme="majorHAnsi"/>
          <w:sz w:val="20"/>
          <w:szCs w:val="20"/>
          <w:lang w:val="es-ES"/>
        </w:rPr>
        <w:t>E</w:t>
      </w:r>
      <w:r w:rsidR="002E1254" w:rsidRPr="00483F0E">
        <w:rPr>
          <w:rFonts w:asciiTheme="majorHAnsi" w:hAnsiTheme="majorHAnsi"/>
          <w:sz w:val="20"/>
          <w:szCs w:val="20"/>
          <w:lang w:val="es-ES"/>
        </w:rPr>
        <w:t>l Estado</w:t>
      </w:r>
      <w:r w:rsidR="002A206E">
        <w:rPr>
          <w:rFonts w:asciiTheme="majorHAnsi" w:hAnsiTheme="majorHAnsi"/>
          <w:sz w:val="20"/>
          <w:szCs w:val="20"/>
          <w:lang w:val="es-ES"/>
        </w:rPr>
        <w:t xml:space="preserve"> también</w:t>
      </w:r>
      <w:r w:rsidR="002E1254" w:rsidRPr="00483F0E">
        <w:rPr>
          <w:rFonts w:asciiTheme="majorHAnsi" w:hAnsiTheme="majorHAnsi"/>
          <w:sz w:val="20"/>
          <w:szCs w:val="20"/>
          <w:lang w:val="es-ES"/>
        </w:rPr>
        <w:t xml:space="preserve"> alega que </w:t>
      </w:r>
      <w:r w:rsidR="00F043F5" w:rsidRPr="00483F0E">
        <w:rPr>
          <w:rFonts w:asciiTheme="majorHAnsi" w:hAnsiTheme="majorHAnsi"/>
          <w:sz w:val="20"/>
          <w:szCs w:val="20"/>
          <w:lang w:val="es-ES"/>
        </w:rPr>
        <w:t>dicho</w:t>
      </w:r>
      <w:r w:rsidR="002E1254" w:rsidRPr="00483F0E">
        <w:rPr>
          <w:rFonts w:asciiTheme="majorHAnsi" w:hAnsiTheme="majorHAnsi"/>
          <w:sz w:val="20"/>
          <w:szCs w:val="20"/>
          <w:lang w:val="es-ES"/>
        </w:rPr>
        <w:t xml:space="preserve"> recurso no </w:t>
      </w:r>
      <w:r w:rsidR="00F043F5" w:rsidRPr="00483F0E">
        <w:rPr>
          <w:rFonts w:asciiTheme="majorHAnsi" w:hAnsiTheme="majorHAnsi"/>
          <w:sz w:val="20"/>
          <w:szCs w:val="20"/>
          <w:lang w:val="es-ES"/>
        </w:rPr>
        <w:t xml:space="preserve">es </w:t>
      </w:r>
      <w:r w:rsidR="002E1254" w:rsidRPr="00483F0E">
        <w:rPr>
          <w:rFonts w:asciiTheme="majorHAnsi" w:hAnsiTheme="majorHAnsi"/>
          <w:sz w:val="20"/>
          <w:szCs w:val="20"/>
          <w:lang w:val="es-ES"/>
        </w:rPr>
        <w:t xml:space="preserve">el idóneo para dirimir el caso, toda vez que </w:t>
      </w:r>
      <w:r w:rsidR="00CF3B18" w:rsidRPr="00483F0E">
        <w:rPr>
          <w:rFonts w:asciiTheme="majorHAnsi" w:hAnsiTheme="majorHAnsi"/>
          <w:sz w:val="20"/>
          <w:szCs w:val="20"/>
          <w:lang w:val="es-ES"/>
        </w:rPr>
        <w:t>contra las resoluciones sobre privaciones a la libertad existen los recursos de apelación</w:t>
      </w:r>
      <w:r w:rsidR="008B30B2" w:rsidRPr="00483F0E">
        <w:rPr>
          <w:rFonts w:asciiTheme="majorHAnsi" w:hAnsiTheme="majorHAnsi"/>
          <w:sz w:val="20"/>
          <w:szCs w:val="20"/>
          <w:lang w:val="es-ES"/>
        </w:rPr>
        <w:t xml:space="preserve"> correspondientes</w:t>
      </w:r>
      <w:r w:rsidR="00CF3B18" w:rsidRPr="00483F0E">
        <w:rPr>
          <w:rFonts w:asciiTheme="majorHAnsi" w:hAnsiTheme="majorHAnsi"/>
          <w:sz w:val="20"/>
          <w:szCs w:val="20"/>
          <w:lang w:val="es-ES"/>
        </w:rPr>
        <w:t xml:space="preserve"> en la vía ordinaria, y eventualmente los recursos extraordinarios de casación, inconstitucionalidad y federal</w:t>
      </w:r>
      <w:r w:rsidR="008B30B2" w:rsidRPr="00483F0E">
        <w:rPr>
          <w:rFonts w:asciiTheme="majorHAnsi" w:hAnsiTheme="majorHAnsi"/>
          <w:sz w:val="20"/>
          <w:szCs w:val="20"/>
          <w:lang w:val="es-ES"/>
        </w:rPr>
        <w:t>, los cuales no fueron interpuestos por las presuntas víctimas. Además,</w:t>
      </w:r>
      <w:r w:rsidR="00CF3B18" w:rsidRPr="00483F0E">
        <w:rPr>
          <w:rFonts w:asciiTheme="majorHAnsi" w:hAnsiTheme="majorHAnsi"/>
          <w:sz w:val="20"/>
          <w:szCs w:val="20"/>
          <w:lang w:val="es-ES"/>
        </w:rPr>
        <w:t xml:space="preserve"> señala que no</w:t>
      </w:r>
      <w:r w:rsidR="008B30B2" w:rsidRPr="00483F0E">
        <w:rPr>
          <w:rFonts w:asciiTheme="majorHAnsi" w:hAnsiTheme="majorHAnsi"/>
          <w:sz w:val="20"/>
          <w:szCs w:val="20"/>
          <w:lang w:val="es-ES"/>
        </w:rPr>
        <w:t xml:space="preserve"> </w:t>
      </w:r>
      <w:r w:rsidR="00C27AF2">
        <w:rPr>
          <w:rFonts w:asciiTheme="majorHAnsi" w:hAnsiTheme="majorHAnsi"/>
          <w:sz w:val="20"/>
          <w:szCs w:val="20"/>
          <w:lang w:val="es-ES"/>
        </w:rPr>
        <w:t>se puede pretender superar</w:t>
      </w:r>
      <w:r w:rsidR="006D3136" w:rsidRPr="00483F0E">
        <w:rPr>
          <w:rFonts w:asciiTheme="majorHAnsi" w:hAnsiTheme="majorHAnsi"/>
          <w:sz w:val="20"/>
          <w:szCs w:val="20"/>
          <w:lang w:val="es-ES"/>
        </w:rPr>
        <w:t xml:space="preserve"> las deficiencias de un sistema legislativo</w:t>
      </w:r>
      <w:r w:rsidR="00CF3B18" w:rsidRPr="00483F0E">
        <w:rPr>
          <w:rFonts w:asciiTheme="majorHAnsi" w:hAnsiTheme="majorHAnsi"/>
          <w:sz w:val="20"/>
          <w:szCs w:val="20"/>
          <w:lang w:val="es-ES"/>
        </w:rPr>
        <w:t xml:space="preserve"> </w:t>
      </w:r>
      <w:r w:rsidR="008B30B2" w:rsidRPr="00483F0E">
        <w:rPr>
          <w:rFonts w:asciiTheme="majorHAnsi" w:hAnsiTheme="majorHAnsi"/>
          <w:sz w:val="20"/>
          <w:szCs w:val="20"/>
          <w:lang w:val="es-ES"/>
        </w:rPr>
        <w:t>con un pronunciamiento jurisdiccional que contenga una disposición normativa de alcance general.</w:t>
      </w:r>
      <w:r w:rsidR="00CF3B18" w:rsidRPr="00483F0E">
        <w:rPr>
          <w:rFonts w:asciiTheme="majorHAnsi" w:hAnsiTheme="majorHAnsi"/>
          <w:sz w:val="20"/>
          <w:szCs w:val="20"/>
          <w:lang w:val="es-ES"/>
        </w:rPr>
        <w:t xml:space="preserve"> </w:t>
      </w:r>
      <w:r w:rsidR="00F043F5" w:rsidRPr="00483F0E">
        <w:rPr>
          <w:rFonts w:asciiTheme="majorHAnsi" w:hAnsiTheme="majorHAnsi"/>
          <w:sz w:val="20"/>
          <w:szCs w:val="20"/>
          <w:lang w:val="es-ES"/>
        </w:rPr>
        <w:t>Igualmente</w:t>
      </w:r>
      <w:r w:rsidR="001E14C9" w:rsidRPr="00483F0E">
        <w:rPr>
          <w:rFonts w:asciiTheme="majorHAnsi" w:hAnsiTheme="majorHAnsi"/>
          <w:sz w:val="20"/>
          <w:szCs w:val="20"/>
          <w:lang w:val="es-ES"/>
        </w:rPr>
        <w:t>, aunque el Estado no discute que los menores Cardozo, Rosales y Coronel se encontraron recluidos en el Instituto General San Martín, alega que los peticionarios no aportaron la prueba necesaria para comprobar el presunto aislamiento de los menores. En concordancia con lo anterior, manifiesta que de los legajos personales e historias clínicas de los menores, no existen elementos de prueba que infieran los episodios que relatan los peticionarios en cuanto al supuesto maltrato.</w:t>
      </w:r>
    </w:p>
    <w:p w14:paraId="671A9E19" w14:textId="33C30362" w:rsidR="00483F0E" w:rsidRPr="00122A0A" w:rsidRDefault="001E14C9" w:rsidP="00C90B64">
      <w:pPr>
        <w:pStyle w:val="ListParagraph"/>
        <w:numPr>
          <w:ilvl w:val="0"/>
          <w:numId w:val="65"/>
        </w:numPr>
        <w:tabs>
          <w:tab w:val="left" w:pos="720"/>
        </w:tabs>
        <w:spacing w:before="120" w:after="120"/>
        <w:ind w:left="0" w:firstLine="720"/>
        <w:jc w:val="both"/>
        <w:rPr>
          <w:rFonts w:asciiTheme="majorHAnsi" w:hAnsiTheme="majorHAnsi"/>
          <w:sz w:val="20"/>
          <w:szCs w:val="20"/>
          <w:lang w:val="es-ES"/>
        </w:rPr>
      </w:pPr>
      <w:r w:rsidRPr="005A61AC">
        <w:rPr>
          <w:rFonts w:asciiTheme="majorHAnsi" w:hAnsiTheme="majorHAnsi"/>
          <w:sz w:val="20"/>
          <w:szCs w:val="20"/>
          <w:lang w:val="es-ES"/>
        </w:rPr>
        <w:t xml:space="preserve">Adicionalmente, el Estado </w:t>
      </w:r>
      <w:r w:rsidR="006400DC" w:rsidRPr="005A61AC">
        <w:rPr>
          <w:rFonts w:asciiTheme="majorHAnsi" w:hAnsiTheme="majorHAnsi"/>
          <w:sz w:val="20"/>
          <w:szCs w:val="20"/>
          <w:lang w:val="es-ES"/>
        </w:rPr>
        <w:t>informa que la Corte Suprema de Argentina</w:t>
      </w:r>
      <w:r w:rsidR="001618CC" w:rsidRPr="005A61AC">
        <w:rPr>
          <w:rFonts w:asciiTheme="majorHAnsi" w:hAnsiTheme="majorHAnsi"/>
          <w:sz w:val="20"/>
          <w:szCs w:val="20"/>
          <w:lang w:val="es-ES"/>
        </w:rPr>
        <w:t xml:space="preserve"> modificó su normativa interna con respecto a menores privados de libertad, aduciendo que </w:t>
      </w:r>
      <w:r w:rsidR="00863D6C" w:rsidRPr="005A61AC">
        <w:rPr>
          <w:rFonts w:asciiTheme="majorHAnsi" w:hAnsiTheme="majorHAnsi"/>
          <w:sz w:val="20"/>
          <w:szCs w:val="20"/>
          <w:lang w:val="es-ES"/>
        </w:rPr>
        <w:t xml:space="preserve">el 25 de noviembre de </w:t>
      </w:r>
      <w:r w:rsidR="001618CC" w:rsidRPr="005A61AC">
        <w:rPr>
          <w:rFonts w:asciiTheme="majorHAnsi" w:hAnsiTheme="majorHAnsi"/>
          <w:sz w:val="20"/>
          <w:szCs w:val="20"/>
          <w:lang w:val="es-ES"/>
        </w:rPr>
        <w:t xml:space="preserve">2009, la Cámara de Senadores </w:t>
      </w:r>
      <w:r w:rsidR="00863D6C" w:rsidRPr="00122A0A">
        <w:rPr>
          <w:rFonts w:asciiTheme="majorHAnsi" w:hAnsiTheme="majorHAnsi"/>
          <w:sz w:val="20"/>
          <w:szCs w:val="20"/>
          <w:lang w:val="es-ES"/>
        </w:rPr>
        <w:t>aprobó un</w:t>
      </w:r>
      <w:r w:rsidR="001618CC" w:rsidRPr="00D3600D">
        <w:rPr>
          <w:rFonts w:asciiTheme="majorHAnsi" w:hAnsiTheme="majorHAnsi"/>
          <w:sz w:val="20"/>
          <w:szCs w:val="20"/>
          <w:lang w:val="es-ES"/>
        </w:rPr>
        <w:t xml:space="preserve"> proyecto de ley</w:t>
      </w:r>
      <w:r w:rsidR="00863D6C" w:rsidRPr="00D3600D">
        <w:rPr>
          <w:rFonts w:asciiTheme="majorHAnsi" w:hAnsiTheme="majorHAnsi"/>
          <w:sz w:val="20"/>
          <w:szCs w:val="20"/>
          <w:lang w:val="es-ES"/>
        </w:rPr>
        <w:t>,</w:t>
      </w:r>
      <w:r w:rsidR="001618CC" w:rsidRPr="00D3600D">
        <w:rPr>
          <w:rFonts w:asciiTheme="majorHAnsi" w:hAnsiTheme="majorHAnsi"/>
          <w:sz w:val="20"/>
          <w:szCs w:val="20"/>
          <w:lang w:val="es-ES"/>
        </w:rPr>
        <w:t xml:space="preserve"> el cual modifica</w:t>
      </w:r>
      <w:r w:rsidR="00863D6C" w:rsidRPr="00D3600D">
        <w:rPr>
          <w:rFonts w:asciiTheme="majorHAnsi" w:hAnsiTheme="majorHAnsi"/>
          <w:sz w:val="20"/>
          <w:szCs w:val="20"/>
          <w:lang w:val="es-ES"/>
        </w:rPr>
        <w:t>ría</w:t>
      </w:r>
      <w:r w:rsidR="001618CC" w:rsidRPr="00B50DE7">
        <w:rPr>
          <w:rFonts w:asciiTheme="majorHAnsi" w:hAnsiTheme="majorHAnsi"/>
          <w:sz w:val="20"/>
          <w:szCs w:val="20"/>
          <w:lang w:val="es-ES"/>
        </w:rPr>
        <w:t xml:space="preserve"> el régimen cuestionado por los peticionarios</w:t>
      </w:r>
      <w:r w:rsidR="00E2240F" w:rsidRPr="00B50DE7">
        <w:rPr>
          <w:rFonts w:asciiTheme="majorHAnsi" w:hAnsiTheme="majorHAnsi"/>
          <w:sz w:val="20"/>
          <w:szCs w:val="20"/>
          <w:lang w:val="es-ES"/>
        </w:rPr>
        <w:t xml:space="preserve"> sobre la situación de los menores en riesgo social declarados inimputables, modificando la forma de proceder respecto de la </w:t>
      </w:r>
      <w:r w:rsidR="00E2240F" w:rsidRPr="00C90B64">
        <w:rPr>
          <w:rFonts w:asciiTheme="majorHAnsi" w:hAnsiTheme="majorHAnsi"/>
          <w:sz w:val="20"/>
          <w:szCs w:val="20"/>
          <w:lang w:val="es-ES"/>
        </w:rPr>
        <w:t>situación social y el abarcamiento de esta por parte de las autoridades judiciales</w:t>
      </w:r>
      <w:r w:rsidR="001618CC" w:rsidRPr="00C90B64">
        <w:rPr>
          <w:rFonts w:asciiTheme="majorHAnsi" w:hAnsiTheme="majorHAnsi"/>
          <w:sz w:val="20"/>
          <w:szCs w:val="20"/>
          <w:lang w:val="es-ES"/>
        </w:rPr>
        <w:t xml:space="preserve">. </w:t>
      </w:r>
      <w:r w:rsidR="00E2240F" w:rsidRPr="00C90B64">
        <w:rPr>
          <w:rFonts w:asciiTheme="majorHAnsi" w:hAnsiTheme="majorHAnsi"/>
          <w:sz w:val="20"/>
          <w:szCs w:val="20"/>
          <w:lang w:val="es-ES"/>
        </w:rPr>
        <w:t>Detalla</w:t>
      </w:r>
      <w:r w:rsidR="005311FD" w:rsidRPr="00C90B64">
        <w:rPr>
          <w:rFonts w:asciiTheme="majorHAnsi" w:hAnsiTheme="majorHAnsi"/>
          <w:sz w:val="20"/>
          <w:szCs w:val="20"/>
          <w:lang w:val="es-ES"/>
        </w:rPr>
        <w:t xml:space="preserve"> que </w:t>
      </w:r>
      <w:r w:rsidR="001D363A">
        <w:rPr>
          <w:rFonts w:asciiTheme="majorHAnsi" w:hAnsiTheme="majorHAnsi"/>
          <w:sz w:val="20"/>
          <w:szCs w:val="20"/>
          <w:lang w:val="es-ES"/>
        </w:rPr>
        <w:t>entonces</w:t>
      </w:r>
      <w:r w:rsidR="005A61AC">
        <w:rPr>
          <w:rFonts w:asciiTheme="majorHAnsi" w:hAnsiTheme="majorHAnsi"/>
          <w:sz w:val="20"/>
          <w:szCs w:val="20"/>
          <w:lang w:val="es-ES"/>
        </w:rPr>
        <w:t xml:space="preserve">, en </w:t>
      </w:r>
      <w:r w:rsidR="00EE02E7" w:rsidRPr="00C90B64">
        <w:rPr>
          <w:rFonts w:asciiTheme="majorHAnsi" w:hAnsiTheme="majorHAnsi"/>
          <w:sz w:val="20"/>
          <w:szCs w:val="20"/>
          <w:lang w:val="es-ES"/>
        </w:rPr>
        <w:t xml:space="preserve">todos aquellos casos en que un juez con competencia penal respecto de </w:t>
      </w:r>
      <w:r w:rsidR="009B53A7">
        <w:rPr>
          <w:rFonts w:asciiTheme="majorHAnsi" w:hAnsiTheme="majorHAnsi"/>
          <w:sz w:val="20"/>
          <w:szCs w:val="20"/>
          <w:lang w:val="es-ES"/>
        </w:rPr>
        <w:t xml:space="preserve">hechos </w:t>
      </w:r>
      <w:r w:rsidR="00EE02E7" w:rsidRPr="00C90B64">
        <w:rPr>
          <w:rFonts w:asciiTheme="majorHAnsi" w:hAnsiTheme="majorHAnsi"/>
          <w:sz w:val="20"/>
          <w:szCs w:val="20"/>
          <w:lang w:val="es-ES"/>
        </w:rPr>
        <w:t>ilícitos cometidos por personas menores de 18 años de edad advierta una situación de amenaza o vulneración de derechos respecto de la persona imputada, deberá poner dicha situación en conocimiento de la autoridad administrativa local de protección de derechos</w:t>
      </w:r>
      <w:r w:rsidR="00EE02E7" w:rsidRPr="005A61AC">
        <w:rPr>
          <w:rFonts w:asciiTheme="majorHAnsi" w:hAnsiTheme="majorHAnsi"/>
          <w:sz w:val="20"/>
          <w:szCs w:val="20"/>
          <w:lang w:val="es-ES"/>
        </w:rPr>
        <w:t>.</w:t>
      </w:r>
      <w:r w:rsidR="00863D6C" w:rsidRPr="005A61AC">
        <w:rPr>
          <w:rFonts w:asciiTheme="majorHAnsi" w:hAnsiTheme="majorHAnsi"/>
          <w:sz w:val="20"/>
          <w:szCs w:val="20"/>
          <w:lang w:val="es-ES"/>
        </w:rPr>
        <w:t xml:space="preserve"> </w:t>
      </w:r>
      <w:r w:rsidR="00A72187" w:rsidRPr="005A61AC">
        <w:rPr>
          <w:rFonts w:asciiTheme="majorHAnsi" w:hAnsiTheme="majorHAnsi"/>
          <w:sz w:val="20"/>
          <w:szCs w:val="20"/>
          <w:lang w:val="es-ES"/>
        </w:rPr>
        <w:t>En concordancia con lo anterior,</w:t>
      </w:r>
      <w:r w:rsidR="00863D6C" w:rsidRPr="005A61AC">
        <w:rPr>
          <w:rFonts w:asciiTheme="majorHAnsi" w:hAnsiTheme="majorHAnsi"/>
          <w:sz w:val="20"/>
          <w:szCs w:val="20"/>
          <w:lang w:val="es-ES"/>
        </w:rPr>
        <w:t xml:space="preserve"> señala que actualmente se encuentran en pleno funcionamiento los mecanismos previstos en la Constitución Nacional para la regulación de las tensiones denunciadas</w:t>
      </w:r>
      <w:r w:rsidR="009D689C" w:rsidRPr="005A61AC">
        <w:rPr>
          <w:rFonts w:asciiTheme="majorHAnsi" w:hAnsiTheme="majorHAnsi"/>
          <w:sz w:val="20"/>
          <w:szCs w:val="20"/>
          <w:lang w:val="es-ES"/>
        </w:rPr>
        <w:t xml:space="preserve"> por los peticionarios sobre la detención </w:t>
      </w:r>
      <w:r w:rsidR="00FC501F" w:rsidRPr="001D363A">
        <w:rPr>
          <w:rFonts w:asciiTheme="majorHAnsi" w:hAnsiTheme="majorHAnsi"/>
          <w:sz w:val="20"/>
          <w:szCs w:val="20"/>
          <w:lang w:val="es-ES"/>
        </w:rPr>
        <w:t>de menores,</w:t>
      </w:r>
      <w:r w:rsidR="008C7114" w:rsidRPr="001D363A">
        <w:rPr>
          <w:rFonts w:asciiTheme="majorHAnsi" w:hAnsiTheme="majorHAnsi"/>
          <w:sz w:val="20"/>
          <w:szCs w:val="20"/>
          <w:lang w:val="es-ES"/>
        </w:rPr>
        <w:t xml:space="preserve"> con </w:t>
      </w:r>
      <w:r w:rsidR="00FC501F" w:rsidRPr="001D363A">
        <w:rPr>
          <w:rFonts w:asciiTheme="majorHAnsi" w:hAnsiTheme="majorHAnsi"/>
          <w:sz w:val="20"/>
          <w:szCs w:val="20"/>
          <w:lang w:val="es-ES"/>
        </w:rPr>
        <w:t xml:space="preserve">la Ley No. 22.278 y </w:t>
      </w:r>
      <w:r w:rsidR="00863D6C" w:rsidRPr="001D363A">
        <w:rPr>
          <w:rFonts w:asciiTheme="majorHAnsi" w:hAnsiTheme="majorHAnsi"/>
          <w:sz w:val="20"/>
          <w:szCs w:val="20"/>
          <w:lang w:val="es-ES"/>
        </w:rPr>
        <w:t>los Tratados Internacionales de Derechos Humanos</w:t>
      </w:r>
      <w:r w:rsidR="00CD7714" w:rsidRPr="001D363A">
        <w:rPr>
          <w:rFonts w:asciiTheme="majorHAnsi" w:hAnsiTheme="majorHAnsi"/>
          <w:sz w:val="20"/>
          <w:szCs w:val="20"/>
          <w:lang w:val="es-ES"/>
        </w:rPr>
        <w:t xml:space="preserve"> ratificados por Argentina</w:t>
      </w:r>
      <w:r w:rsidR="009D689C" w:rsidRPr="001D363A">
        <w:rPr>
          <w:rFonts w:asciiTheme="majorHAnsi" w:hAnsiTheme="majorHAnsi"/>
          <w:sz w:val="20"/>
          <w:szCs w:val="20"/>
          <w:lang w:val="es-ES"/>
        </w:rPr>
        <w:t>, a fin de dar arreglo a la situación denunciada</w:t>
      </w:r>
      <w:r w:rsidR="00863D6C" w:rsidRPr="001D363A">
        <w:rPr>
          <w:rFonts w:asciiTheme="majorHAnsi" w:hAnsiTheme="majorHAnsi"/>
          <w:sz w:val="20"/>
          <w:szCs w:val="20"/>
          <w:lang w:val="es-ES"/>
        </w:rPr>
        <w:t>.</w:t>
      </w:r>
      <w:r w:rsidR="00280F5D" w:rsidRPr="001D363A">
        <w:rPr>
          <w:rFonts w:asciiTheme="majorHAnsi" w:hAnsiTheme="majorHAnsi"/>
          <w:sz w:val="20"/>
          <w:szCs w:val="20"/>
          <w:lang w:val="es-ES"/>
        </w:rPr>
        <w:t xml:space="preserve"> </w:t>
      </w:r>
    </w:p>
    <w:p w14:paraId="2BA2BA0F" w14:textId="642EA3CF" w:rsidR="006E50CD" w:rsidRPr="00483F0E" w:rsidRDefault="00C90B64" w:rsidP="00483F0E">
      <w:pPr>
        <w:pStyle w:val="ListParagraph"/>
        <w:numPr>
          <w:ilvl w:val="0"/>
          <w:numId w:val="65"/>
        </w:numPr>
        <w:tabs>
          <w:tab w:val="left" w:pos="720"/>
        </w:tabs>
        <w:spacing w:before="120" w:after="120"/>
        <w:ind w:left="0" w:firstLine="720"/>
        <w:jc w:val="both"/>
        <w:rPr>
          <w:rFonts w:asciiTheme="majorHAnsi" w:hAnsiTheme="majorHAnsi"/>
          <w:sz w:val="20"/>
          <w:szCs w:val="20"/>
          <w:lang w:val="es-ES"/>
        </w:rPr>
      </w:pPr>
      <w:r>
        <w:rPr>
          <w:rFonts w:asciiTheme="majorHAnsi" w:hAnsiTheme="majorHAnsi"/>
          <w:sz w:val="20"/>
          <w:szCs w:val="20"/>
          <w:lang w:val="es-ES"/>
        </w:rPr>
        <w:t>Finalmente, advierte</w:t>
      </w:r>
      <w:r w:rsidR="006E50CD" w:rsidRPr="00483F0E">
        <w:rPr>
          <w:rFonts w:asciiTheme="majorHAnsi" w:hAnsiTheme="majorHAnsi"/>
          <w:sz w:val="20"/>
          <w:szCs w:val="20"/>
          <w:lang w:val="es-ES"/>
        </w:rPr>
        <w:t xml:space="preserve"> que la Defensoría General de la Nación creó una Comisión de Seguimiento del Tratamiento Institucional de Niños, Niñas y Adolescentes, cuya finalidad es monitorear el funcionamiento de ámbitos institucionales de privación de libertad de personas menores de edad, la cual realiza supervisiones a los institutos que dependen de la Secretaría Nacional, siendo uno de estos el Instituto General San Martín. Aduce que a partir de estas supervisiones, se efectúan observaciones con respecto al </w:t>
      </w:r>
      <w:r w:rsidR="006E50CD" w:rsidRPr="00483F0E">
        <w:rPr>
          <w:rFonts w:asciiTheme="majorHAnsi" w:hAnsiTheme="majorHAnsi"/>
          <w:sz w:val="20"/>
          <w:szCs w:val="20"/>
          <w:lang w:val="es-ES"/>
        </w:rPr>
        <w:lastRenderedPageBreak/>
        <w:t>funcionamiento institucional en todos sus ámbitos. Indica que también son frecuentes las visitas y presencia de jueces o defensores que, individualmente, concurren a los establecimientos a entrevistar y supervisar a los menores. Recalca que el Cuerpo Especial de Seguridad y Vigilancia del Instituto General San Martín cuenta con instancias de capacitación y sensibilización del servicio, proporcionadas por la misma institución; también, recalca que el instituto garantiza el acceso a la educación a través de docentes del Ministerio de Educación de la Nación y el Ministerio de Educación de la Ciudad de Buenos Aires. Añade que</w:t>
      </w:r>
      <w:r w:rsidR="006B27C3">
        <w:rPr>
          <w:rFonts w:asciiTheme="majorHAnsi" w:hAnsiTheme="majorHAnsi"/>
          <w:sz w:val="20"/>
          <w:szCs w:val="20"/>
          <w:lang w:val="es-ES"/>
        </w:rPr>
        <w:t>,</w:t>
      </w:r>
      <w:r w:rsidR="006E50CD" w:rsidRPr="00483F0E">
        <w:rPr>
          <w:rFonts w:asciiTheme="majorHAnsi" w:hAnsiTheme="majorHAnsi"/>
          <w:sz w:val="20"/>
          <w:szCs w:val="20"/>
          <w:lang w:val="es-ES"/>
        </w:rPr>
        <w:t xml:space="preserve"> sobre las visitas de los familiares a los menores, estas pueden visitarlos los días miércoles y domingos y, en caso de que la familia sea renuente a visitar al menor, los profesionales del establecimiento trabajan para revertir dichas situaciones. </w:t>
      </w:r>
    </w:p>
    <w:p w14:paraId="3FE6F5AE" w14:textId="666E2C34" w:rsidR="004C616A" w:rsidRPr="006D3136" w:rsidRDefault="004C616A" w:rsidP="006E50CD">
      <w:pPr>
        <w:spacing w:before="120" w:after="120"/>
        <w:ind w:firstLine="720"/>
        <w:jc w:val="both"/>
        <w:rPr>
          <w:rFonts w:asciiTheme="majorHAnsi" w:hAnsiTheme="majorHAnsi"/>
          <w:b/>
          <w:sz w:val="20"/>
          <w:szCs w:val="20"/>
          <w:lang w:val="es-ES"/>
        </w:rPr>
      </w:pPr>
      <w:r w:rsidRPr="006D3136">
        <w:rPr>
          <w:rFonts w:asciiTheme="majorHAnsi" w:hAnsiTheme="majorHAnsi"/>
          <w:b/>
          <w:sz w:val="20"/>
          <w:szCs w:val="20"/>
          <w:lang w:val="es-ES"/>
        </w:rPr>
        <w:t xml:space="preserve">VI. </w:t>
      </w:r>
      <w:r w:rsidRPr="006D3136">
        <w:rPr>
          <w:rFonts w:asciiTheme="majorHAnsi" w:hAnsiTheme="majorHAnsi"/>
          <w:b/>
          <w:sz w:val="20"/>
          <w:szCs w:val="20"/>
          <w:lang w:val="es-ES"/>
        </w:rPr>
        <w:tab/>
        <w:t>AGOTAMIENTO DE LOS RECURSOS INTERNOS Y PLAZO DE PRESENTACIÓN</w:t>
      </w:r>
    </w:p>
    <w:p w14:paraId="19617F98" w14:textId="4653AAF2" w:rsidR="002724AE" w:rsidRPr="00F272AA" w:rsidRDefault="002724AE" w:rsidP="002710F9">
      <w:pPr>
        <w:pStyle w:val="ListParagraph"/>
        <w:numPr>
          <w:ilvl w:val="0"/>
          <w:numId w:val="65"/>
        </w:numPr>
        <w:spacing w:before="120" w:after="120"/>
        <w:ind w:left="0" w:firstLine="1080"/>
        <w:jc w:val="both"/>
        <w:rPr>
          <w:rFonts w:asciiTheme="majorHAnsi" w:eastAsia="Arial Unicode MS" w:hAnsiTheme="majorHAnsi" w:cs="Times New Roman"/>
          <w:color w:val="auto"/>
          <w:sz w:val="20"/>
          <w:szCs w:val="20"/>
          <w:lang w:val="es-ES" w:eastAsia="en-US"/>
        </w:rPr>
      </w:pPr>
      <w:r w:rsidRPr="00F272AA">
        <w:rPr>
          <w:rFonts w:asciiTheme="majorHAnsi" w:hAnsiTheme="majorHAnsi"/>
          <w:sz w:val="20"/>
          <w:szCs w:val="20"/>
          <w:lang w:val="es-ES"/>
        </w:rPr>
        <w:t>La Comisión observa que el 20 de septiembre de 2006, la parte peticionaria interpuso ante el Juzgado de Primera Instancia Nacional de Menores No. 5 un hábeas corpus, en amparo de todas las personas privadas de libertad menores de 16 años. El recurso fue rechazado; decisión confirmada por la Cámara Nacional de Apelaciones en lo Criminal y Correccional el 21 de se</w:t>
      </w:r>
      <w:r w:rsidR="009A55E2" w:rsidRPr="00F272AA">
        <w:rPr>
          <w:rFonts w:asciiTheme="majorHAnsi" w:hAnsiTheme="majorHAnsi"/>
          <w:sz w:val="20"/>
          <w:szCs w:val="20"/>
          <w:lang w:val="es-ES"/>
        </w:rPr>
        <w:t>p</w:t>
      </w:r>
      <w:r w:rsidRPr="00F272AA">
        <w:rPr>
          <w:rFonts w:asciiTheme="majorHAnsi" w:hAnsiTheme="majorHAnsi"/>
          <w:sz w:val="20"/>
          <w:szCs w:val="20"/>
          <w:lang w:val="es-ES"/>
        </w:rPr>
        <w:t>tiembre de 2006. Los peticionarios entonces presentaron recurso de casación y de inconstitucionalidad contra el artículo 1 de la Ley No. 22.278, declarándose con lugar por la Sala III de la Cámara Nacional de Casación Penal. Sin embargo, el 2 de diciembre de 2008, la Corte Suprema de Justicia admitió el recurso de queja presentado por el Fiscal General y, revocando la sentencia de la Cámara Nacional de Casación penal, convalidó la detención de los niños, así como el artículo 1 del Decreto de Ley No. 22.278. Al respecto, la Comisión ha establecido que el recurso de hábeas corpus es idóneo para todos aquellos casos en que una persona considere que se encuentra ilegalmente privada de su libertad</w:t>
      </w:r>
      <w:r w:rsidRPr="006D3136">
        <w:rPr>
          <w:rStyle w:val="FootnoteReference"/>
          <w:rFonts w:asciiTheme="majorHAnsi" w:hAnsiTheme="majorHAnsi"/>
          <w:sz w:val="20"/>
          <w:szCs w:val="20"/>
          <w:lang w:val="es-ES"/>
        </w:rPr>
        <w:footnoteReference w:id="8"/>
      </w:r>
      <w:r w:rsidRPr="00F272AA">
        <w:rPr>
          <w:rFonts w:asciiTheme="majorHAnsi" w:hAnsiTheme="majorHAnsi"/>
          <w:sz w:val="20"/>
          <w:szCs w:val="20"/>
          <w:lang w:val="es-ES"/>
        </w:rPr>
        <w:t>. En virtud de lo anterior, la Comisión considera que la presente petición cumple con el requisito establecido en el numeral 46.1.a de la Convención Americana</w:t>
      </w:r>
      <w:r w:rsidRPr="006D3136">
        <w:rPr>
          <w:rStyle w:val="FootnoteReference"/>
          <w:rFonts w:asciiTheme="majorHAnsi" w:hAnsiTheme="majorHAnsi"/>
          <w:sz w:val="20"/>
          <w:szCs w:val="20"/>
          <w:lang w:val="es-ES"/>
        </w:rPr>
        <w:footnoteReference w:id="9"/>
      </w:r>
      <w:r w:rsidRPr="00F272AA">
        <w:rPr>
          <w:rFonts w:asciiTheme="majorHAnsi" w:hAnsiTheme="majorHAnsi"/>
          <w:sz w:val="20"/>
          <w:szCs w:val="20"/>
          <w:lang w:val="es-ES"/>
        </w:rPr>
        <w:t>.</w:t>
      </w:r>
    </w:p>
    <w:p w14:paraId="1129E5C1" w14:textId="59D9FFDD" w:rsidR="002724AE" w:rsidRPr="00286D2B" w:rsidRDefault="006E50CD" w:rsidP="00286D2B">
      <w:pPr>
        <w:pStyle w:val="ListParagraph"/>
        <w:numPr>
          <w:ilvl w:val="0"/>
          <w:numId w:val="65"/>
        </w:numPr>
        <w:spacing w:before="120" w:after="120"/>
        <w:ind w:left="0" w:firstLine="720"/>
        <w:jc w:val="both"/>
        <w:rPr>
          <w:rFonts w:asciiTheme="majorHAnsi" w:eastAsia="Arial Unicode MS" w:hAnsiTheme="majorHAnsi" w:cs="Times New Roman"/>
          <w:color w:val="auto"/>
          <w:sz w:val="20"/>
          <w:szCs w:val="20"/>
          <w:lang w:val="es-ES" w:eastAsia="en-US"/>
        </w:rPr>
      </w:pPr>
      <w:r w:rsidRPr="00F272AA">
        <w:rPr>
          <w:rFonts w:asciiTheme="majorHAnsi" w:hAnsiTheme="majorHAnsi"/>
          <w:sz w:val="20"/>
          <w:szCs w:val="20"/>
          <w:lang w:val="es-ES"/>
        </w:rPr>
        <w:t xml:space="preserve"> </w:t>
      </w:r>
      <w:r w:rsidR="002724AE" w:rsidRPr="00F272AA">
        <w:rPr>
          <w:rFonts w:asciiTheme="majorHAnsi" w:hAnsiTheme="majorHAnsi"/>
          <w:sz w:val="20"/>
          <w:szCs w:val="20"/>
          <w:lang w:val="es-ES"/>
        </w:rPr>
        <w:t>E</w:t>
      </w:r>
      <w:r w:rsidRPr="00F272AA">
        <w:rPr>
          <w:rFonts w:asciiTheme="majorHAnsi" w:hAnsiTheme="majorHAnsi"/>
          <w:sz w:val="20"/>
          <w:szCs w:val="20"/>
          <w:lang w:val="es-ES"/>
        </w:rPr>
        <w:t xml:space="preserve">l Estado plantea que las presuntas víctimas, incluyendo a Juan Manuel Cardozo, Leonardo Ariel Rosales y David Nazareno Coronel, no interpusieron recurso alguno en sus propios nombres ante las autoridades judiciales internas en relación con </w:t>
      </w:r>
      <w:r w:rsidR="00F043F5" w:rsidRPr="00F272AA">
        <w:rPr>
          <w:rFonts w:asciiTheme="majorHAnsi" w:hAnsiTheme="majorHAnsi"/>
          <w:sz w:val="20"/>
          <w:szCs w:val="20"/>
          <w:lang w:val="es-ES"/>
        </w:rPr>
        <w:t>la legalidad de su</w:t>
      </w:r>
      <w:r w:rsidRPr="00F272AA">
        <w:rPr>
          <w:rFonts w:asciiTheme="majorHAnsi" w:hAnsiTheme="majorHAnsi"/>
          <w:sz w:val="20"/>
          <w:szCs w:val="20"/>
          <w:lang w:val="es-ES"/>
        </w:rPr>
        <w:t xml:space="preserve"> detención y las condiciones en los centros</w:t>
      </w:r>
      <w:r w:rsidR="00986321" w:rsidRPr="00F272AA">
        <w:rPr>
          <w:rFonts w:asciiTheme="majorHAnsi" w:hAnsiTheme="majorHAnsi"/>
          <w:sz w:val="20"/>
          <w:szCs w:val="20"/>
          <w:lang w:val="es-ES"/>
        </w:rPr>
        <w:t xml:space="preserve"> de reclusión, aduciendo que </w:t>
      </w:r>
      <w:r w:rsidRPr="00F272AA">
        <w:rPr>
          <w:rFonts w:asciiTheme="majorHAnsi" w:hAnsiTheme="majorHAnsi"/>
          <w:sz w:val="20"/>
          <w:szCs w:val="20"/>
          <w:lang w:val="es-ES"/>
        </w:rPr>
        <w:t>el recurso de apelación</w:t>
      </w:r>
      <w:r w:rsidR="002724AE" w:rsidRPr="00F272AA">
        <w:rPr>
          <w:rFonts w:asciiTheme="majorHAnsi" w:hAnsiTheme="majorHAnsi"/>
          <w:sz w:val="20"/>
          <w:szCs w:val="20"/>
          <w:lang w:val="es-ES"/>
        </w:rPr>
        <w:t xml:space="preserve"> estaba disponible</w:t>
      </w:r>
      <w:r w:rsidRPr="00F272AA">
        <w:rPr>
          <w:rFonts w:asciiTheme="majorHAnsi" w:hAnsiTheme="majorHAnsi"/>
          <w:sz w:val="20"/>
          <w:szCs w:val="20"/>
          <w:lang w:val="es-ES"/>
        </w:rPr>
        <w:t xml:space="preserve">, </w:t>
      </w:r>
      <w:r w:rsidR="00F043F5" w:rsidRPr="00F272AA">
        <w:rPr>
          <w:rFonts w:asciiTheme="majorHAnsi" w:hAnsiTheme="majorHAnsi"/>
          <w:sz w:val="20"/>
          <w:szCs w:val="20"/>
          <w:lang w:val="es-ES"/>
        </w:rPr>
        <w:t xml:space="preserve">y eventualmente los recursos extraordinarios de casación, inconstitucionalidad y federal, </w:t>
      </w:r>
      <w:r w:rsidRPr="00F272AA">
        <w:rPr>
          <w:rFonts w:asciiTheme="majorHAnsi" w:hAnsiTheme="majorHAnsi"/>
          <w:sz w:val="20"/>
          <w:szCs w:val="20"/>
          <w:lang w:val="es-ES"/>
        </w:rPr>
        <w:t xml:space="preserve">vía procesal específica al respecto. </w:t>
      </w:r>
      <w:r w:rsidR="00153647" w:rsidRPr="00F272AA">
        <w:rPr>
          <w:rFonts w:asciiTheme="majorHAnsi" w:hAnsiTheme="majorHAnsi"/>
          <w:sz w:val="20"/>
          <w:szCs w:val="20"/>
          <w:lang w:val="es-ES"/>
        </w:rPr>
        <w:t xml:space="preserve">Al respecto, </w:t>
      </w:r>
      <w:r w:rsidRPr="00F272AA">
        <w:rPr>
          <w:rFonts w:asciiTheme="majorHAnsi" w:hAnsiTheme="majorHAnsi"/>
          <w:sz w:val="20"/>
          <w:szCs w:val="20"/>
          <w:lang w:val="es-ES"/>
        </w:rPr>
        <w:t xml:space="preserve">la Comisión </w:t>
      </w:r>
      <w:r w:rsidR="00153647" w:rsidRPr="00F272AA">
        <w:rPr>
          <w:rFonts w:asciiTheme="majorHAnsi" w:hAnsiTheme="majorHAnsi"/>
          <w:sz w:val="20"/>
          <w:szCs w:val="20"/>
          <w:lang w:val="es-ES"/>
        </w:rPr>
        <w:t xml:space="preserve">toma nota de </w:t>
      </w:r>
      <w:r w:rsidRPr="00F272AA">
        <w:rPr>
          <w:rFonts w:asciiTheme="majorHAnsi" w:hAnsiTheme="majorHAnsi"/>
          <w:sz w:val="20"/>
          <w:szCs w:val="20"/>
          <w:lang w:val="es-ES"/>
        </w:rPr>
        <w:t>la alegada falta de asistencia legal y</w:t>
      </w:r>
      <w:r w:rsidR="006B27C3" w:rsidRPr="00F272AA">
        <w:rPr>
          <w:rFonts w:asciiTheme="majorHAnsi" w:hAnsiTheme="majorHAnsi"/>
          <w:sz w:val="20"/>
          <w:szCs w:val="20"/>
          <w:lang w:val="es-ES"/>
        </w:rPr>
        <w:t xml:space="preserve"> de </w:t>
      </w:r>
      <w:r w:rsidRPr="00F272AA">
        <w:rPr>
          <w:rFonts w:asciiTheme="majorHAnsi" w:hAnsiTheme="majorHAnsi"/>
          <w:sz w:val="20"/>
          <w:szCs w:val="20"/>
          <w:lang w:val="es-ES"/>
        </w:rPr>
        <w:t xml:space="preserve">la condición de vulnerabilidad en la cual se encontraban </w:t>
      </w:r>
      <w:r w:rsidR="002724AE" w:rsidRPr="00F272AA">
        <w:rPr>
          <w:rFonts w:asciiTheme="majorHAnsi" w:hAnsiTheme="majorHAnsi"/>
          <w:sz w:val="20"/>
          <w:szCs w:val="20"/>
          <w:lang w:val="es-ES"/>
        </w:rPr>
        <w:t xml:space="preserve">los niños </w:t>
      </w:r>
      <w:r w:rsidR="00F272AA" w:rsidRPr="00F272AA">
        <w:rPr>
          <w:rFonts w:asciiTheme="majorHAnsi" w:hAnsiTheme="majorHAnsi"/>
          <w:sz w:val="20"/>
          <w:szCs w:val="20"/>
          <w:lang w:val="es-ES"/>
        </w:rPr>
        <w:t>y niñas</w:t>
      </w:r>
      <w:r w:rsidRPr="00F272AA">
        <w:rPr>
          <w:rFonts w:asciiTheme="majorHAnsi" w:hAnsiTheme="majorHAnsi"/>
          <w:sz w:val="20"/>
          <w:szCs w:val="20"/>
          <w:lang w:val="es-ES"/>
        </w:rPr>
        <w:t xml:space="preserve">, </w:t>
      </w:r>
      <w:r w:rsidR="006B27C3" w:rsidRPr="00F272AA">
        <w:rPr>
          <w:rFonts w:asciiTheme="majorHAnsi" w:hAnsiTheme="majorHAnsi"/>
          <w:sz w:val="20"/>
          <w:szCs w:val="20"/>
          <w:lang w:val="es-ES"/>
        </w:rPr>
        <w:t xml:space="preserve">lo que </w:t>
      </w:r>
      <w:r w:rsidRPr="00F272AA">
        <w:rPr>
          <w:rFonts w:asciiTheme="majorHAnsi" w:hAnsiTheme="majorHAnsi"/>
          <w:sz w:val="20"/>
          <w:szCs w:val="20"/>
          <w:lang w:val="es-ES"/>
        </w:rPr>
        <w:t xml:space="preserve">habría impedido, prima facie, a las presuntas víctimas </w:t>
      </w:r>
      <w:r w:rsidR="006B27C3" w:rsidRPr="00F272AA">
        <w:rPr>
          <w:rFonts w:asciiTheme="majorHAnsi" w:hAnsiTheme="majorHAnsi"/>
          <w:sz w:val="20"/>
          <w:szCs w:val="20"/>
          <w:lang w:val="es-ES"/>
        </w:rPr>
        <w:t>presentar dichos recursos.</w:t>
      </w:r>
      <w:r w:rsidR="00C664AD">
        <w:rPr>
          <w:rFonts w:asciiTheme="majorHAnsi" w:hAnsiTheme="majorHAnsi"/>
          <w:sz w:val="20"/>
          <w:szCs w:val="20"/>
          <w:lang w:val="es-ES"/>
        </w:rPr>
        <w:t xml:space="preserve"> </w:t>
      </w:r>
      <w:r w:rsidR="00286D2B">
        <w:rPr>
          <w:rFonts w:asciiTheme="majorHAnsi" w:hAnsiTheme="majorHAnsi"/>
          <w:sz w:val="20"/>
          <w:szCs w:val="20"/>
          <w:lang w:val="es-ES"/>
        </w:rPr>
        <w:t>La</w:t>
      </w:r>
      <w:r w:rsidR="002724AE" w:rsidRPr="00C664AD">
        <w:rPr>
          <w:rFonts w:asciiTheme="majorHAnsi" w:hAnsiTheme="majorHAnsi"/>
          <w:sz w:val="20"/>
          <w:szCs w:val="20"/>
          <w:lang w:val="es-ES"/>
        </w:rPr>
        <w:t xml:space="preserve"> CIDH reitera que </w:t>
      </w:r>
      <w:r w:rsidR="00286D2B">
        <w:rPr>
          <w:rFonts w:asciiTheme="majorHAnsi" w:hAnsiTheme="majorHAnsi"/>
          <w:sz w:val="20"/>
          <w:szCs w:val="20"/>
          <w:lang w:val="es-ES"/>
        </w:rPr>
        <w:t>l</w:t>
      </w:r>
      <w:r w:rsidR="00F272AA" w:rsidRPr="00C664AD">
        <w:rPr>
          <w:rFonts w:asciiTheme="majorHAnsi" w:hAnsiTheme="majorHAnsi"/>
          <w:sz w:val="20"/>
          <w:szCs w:val="20"/>
          <w:lang w:val="es-ES"/>
        </w:rPr>
        <w:t xml:space="preserve">a regla de agotamiento de recursos prevista en el artículo 46.1.a de la </w:t>
      </w:r>
      <w:r w:rsidR="000D6F44">
        <w:rPr>
          <w:rFonts w:asciiTheme="majorHAnsi" w:hAnsiTheme="majorHAnsi"/>
          <w:sz w:val="20"/>
          <w:szCs w:val="20"/>
          <w:lang w:val="es-ES"/>
        </w:rPr>
        <w:t>Convención Americana</w:t>
      </w:r>
      <w:r w:rsidR="00F272AA" w:rsidRPr="00C664AD">
        <w:rPr>
          <w:rFonts w:asciiTheme="majorHAnsi" w:hAnsiTheme="majorHAnsi"/>
          <w:sz w:val="20"/>
          <w:szCs w:val="20"/>
          <w:lang w:val="es-ES"/>
        </w:rPr>
        <w:t xml:space="preserve"> establece que deben activarse primero los recursos normalmente disponibles e idóneos en el ordenamiento jurídico interno. Al respecto, la CIDH ha establecido que el requisito de agotamiento de los recursos internos no significa que las presuntas víctimas tengan necesariamente la obligación de agotar todos los recursos que tengan disponibles. En consecuencia, si la</w:t>
      </w:r>
      <w:r w:rsidR="00EE32DA">
        <w:rPr>
          <w:rFonts w:asciiTheme="majorHAnsi" w:hAnsiTheme="majorHAnsi"/>
          <w:sz w:val="20"/>
          <w:szCs w:val="20"/>
          <w:lang w:val="es-ES"/>
        </w:rPr>
        <w:t>s</w:t>
      </w:r>
      <w:r w:rsidR="00F272AA" w:rsidRPr="00C664AD">
        <w:rPr>
          <w:rFonts w:asciiTheme="majorHAnsi" w:hAnsiTheme="majorHAnsi"/>
          <w:sz w:val="20"/>
          <w:szCs w:val="20"/>
          <w:lang w:val="es-ES"/>
        </w:rPr>
        <w:t xml:space="preserve"> presunta</w:t>
      </w:r>
      <w:r w:rsidR="00EE32DA">
        <w:rPr>
          <w:rFonts w:asciiTheme="majorHAnsi" w:hAnsiTheme="majorHAnsi"/>
          <w:sz w:val="20"/>
          <w:szCs w:val="20"/>
          <w:lang w:val="es-ES"/>
        </w:rPr>
        <w:t xml:space="preserve">s víctimas </w:t>
      </w:r>
      <w:r w:rsidR="00F272AA" w:rsidRPr="00C664AD">
        <w:rPr>
          <w:rFonts w:asciiTheme="majorHAnsi" w:hAnsiTheme="majorHAnsi"/>
          <w:sz w:val="20"/>
          <w:szCs w:val="20"/>
          <w:lang w:val="es-ES"/>
        </w:rPr>
        <w:t>plante</w:t>
      </w:r>
      <w:r w:rsidR="00EE32DA">
        <w:rPr>
          <w:rFonts w:asciiTheme="majorHAnsi" w:hAnsiTheme="majorHAnsi"/>
          <w:sz w:val="20"/>
          <w:szCs w:val="20"/>
          <w:lang w:val="es-ES"/>
        </w:rPr>
        <w:t>aron</w:t>
      </w:r>
      <w:r w:rsidR="00F272AA" w:rsidRPr="00C664AD">
        <w:rPr>
          <w:rFonts w:asciiTheme="majorHAnsi" w:hAnsiTheme="majorHAnsi"/>
          <w:sz w:val="20"/>
          <w:szCs w:val="20"/>
          <w:lang w:val="es-ES"/>
        </w:rPr>
        <w:t xml:space="preserve"> la cuestión por alguna de las alternativas válidas y adecuadas según el ordenamiento jurídico interno y el Estado tuvo la oportunidad de remediar la cuestión en su jurisdicción, la finalidad de la norma internacional está cumplida</w:t>
      </w:r>
      <w:r w:rsidR="00F272AA">
        <w:rPr>
          <w:rStyle w:val="FootnoteReference"/>
          <w:rFonts w:asciiTheme="majorHAnsi" w:hAnsiTheme="majorHAnsi"/>
          <w:sz w:val="20"/>
          <w:szCs w:val="20"/>
          <w:lang w:val="es-ES"/>
        </w:rPr>
        <w:footnoteReference w:id="10"/>
      </w:r>
      <w:r w:rsidR="00F272AA" w:rsidRPr="00C664AD">
        <w:rPr>
          <w:rFonts w:asciiTheme="majorHAnsi" w:hAnsiTheme="majorHAnsi"/>
          <w:sz w:val="20"/>
          <w:szCs w:val="20"/>
          <w:lang w:val="es-ES"/>
        </w:rPr>
        <w:t xml:space="preserve">. </w:t>
      </w:r>
      <w:r w:rsidR="00C664AD" w:rsidRPr="00C664AD">
        <w:rPr>
          <w:rFonts w:asciiTheme="majorHAnsi" w:hAnsiTheme="majorHAnsi"/>
          <w:sz w:val="20"/>
          <w:szCs w:val="20"/>
          <w:lang w:val="es-ES"/>
        </w:rPr>
        <w:t xml:space="preserve">En este sentido, la Comisión observa que las autoridades fueron informadas </w:t>
      </w:r>
      <w:r w:rsidR="00EE32DA">
        <w:rPr>
          <w:rFonts w:asciiTheme="majorHAnsi" w:hAnsiTheme="majorHAnsi"/>
          <w:sz w:val="20"/>
          <w:szCs w:val="20"/>
          <w:lang w:val="es-ES"/>
        </w:rPr>
        <w:t>a través del recurso de habeas corpus</w:t>
      </w:r>
      <w:r w:rsidR="00EE32DA" w:rsidRPr="00C664AD">
        <w:rPr>
          <w:rFonts w:asciiTheme="majorHAnsi" w:hAnsiTheme="majorHAnsi"/>
          <w:sz w:val="20"/>
          <w:szCs w:val="20"/>
          <w:lang w:val="es-ES"/>
        </w:rPr>
        <w:t xml:space="preserve"> </w:t>
      </w:r>
      <w:r w:rsidR="00C664AD" w:rsidRPr="00C664AD">
        <w:rPr>
          <w:rFonts w:asciiTheme="majorHAnsi" w:hAnsiTheme="majorHAnsi"/>
          <w:sz w:val="20"/>
          <w:szCs w:val="20"/>
          <w:lang w:val="es-ES"/>
        </w:rPr>
        <w:t xml:space="preserve">de los reclamos </w:t>
      </w:r>
      <w:r w:rsidR="00286D2B">
        <w:rPr>
          <w:rFonts w:asciiTheme="majorHAnsi" w:hAnsiTheme="majorHAnsi"/>
          <w:sz w:val="20"/>
          <w:szCs w:val="20"/>
          <w:lang w:val="es-ES"/>
        </w:rPr>
        <w:t xml:space="preserve">de las presuntas víctimas </w:t>
      </w:r>
      <w:r w:rsidR="00C664AD" w:rsidRPr="00C664AD">
        <w:rPr>
          <w:rFonts w:asciiTheme="majorHAnsi" w:hAnsiTheme="majorHAnsi"/>
          <w:sz w:val="20"/>
          <w:szCs w:val="20"/>
          <w:lang w:val="es-ES"/>
        </w:rPr>
        <w:t>respecto</w:t>
      </w:r>
      <w:r w:rsidR="00286D2B">
        <w:rPr>
          <w:rFonts w:asciiTheme="majorHAnsi" w:hAnsiTheme="majorHAnsi"/>
          <w:sz w:val="20"/>
          <w:szCs w:val="20"/>
          <w:lang w:val="es-ES"/>
        </w:rPr>
        <w:t xml:space="preserve"> de</w:t>
      </w:r>
      <w:r w:rsidR="00EE32DA">
        <w:rPr>
          <w:rFonts w:asciiTheme="majorHAnsi" w:hAnsiTheme="majorHAnsi"/>
          <w:sz w:val="20"/>
          <w:szCs w:val="20"/>
          <w:lang w:val="es-ES"/>
        </w:rPr>
        <w:t xml:space="preserve"> la legalidad de su </w:t>
      </w:r>
      <w:r w:rsidR="00EE32DA" w:rsidRPr="00EE32DA">
        <w:rPr>
          <w:rFonts w:asciiTheme="majorHAnsi" w:hAnsiTheme="majorHAnsi"/>
          <w:sz w:val="20"/>
          <w:szCs w:val="20"/>
          <w:lang w:val="es-ES"/>
        </w:rPr>
        <w:t>detención,</w:t>
      </w:r>
      <w:r w:rsidR="00C664AD" w:rsidRPr="000D6F44">
        <w:rPr>
          <w:rFonts w:asciiTheme="majorHAnsi" w:hAnsiTheme="majorHAnsi"/>
          <w:sz w:val="20"/>
          <w:szCs w:val="20"/>
          <w:lang w:val="es-ES"/>
        </w:rPr>
        <w:t xml:space="preserve"> </w:t>
      </w:r>
      <w:r w:rsidR="00286D2B" w:rsidRPr="000D6F44">
        <w:rPr>
          <w:rFonts w:asciiTheme="majorHAnsi" w:hAnsiTheme="majorHAnsi"/>
          <w:sz w:val="20"/>
          <w:szCs w:val="20"/>
          <w:lang w:val="es-ES"/>
        </w:rPr>
        <w:t xml:space="preserve">las inadecuadas condiciones sanitarias y </w:t>
      </w:r>
      <w:r w:rsidR="00EE32DA" w:rsidRPr="000D6F44">
        <w:rPr>
          <w:rFonts w:asciiTheme="majorHAnsi" w:hAnsiTheme="majorHAnsi"/>
          <w:sz w:val="20"/>
          <w:szCs w:val="20"/>
          <w:lang w:val="es-ES"/>
        </w:rPr>
        <w:t xml:space="preserve">los </w:t>
      </w:r>
      <w:r w:rsidR="00286D2B" w:rsidRPr="000D6F44">
        <w:rPr>
          <w:rFonts w:asciiTheme="majorHAnsi" w:hAnsiTheme="majorHAnsi"/>
          <w:sz w:val="20"/>
          <w:szCs w:val="20"/>
          <w:lang w:val="es-ES"/>
        </w:rPr>
        <w:t>malos tratos sufridos dentro de</w:t>
      </w:r>
      <w:r w:rsidR="00EE32DA" w:rsidRPr="000D6F44">
        <w:rPr>
          <w:rFonts w:asciiTheme="majorHAnsi" w:hAnsiTheme="majorHAnsi"/>
          <w:sz w:val="20"/>
          <w:szCs w:val="20"/>
          <w:lang w:val="es-ES"/>
        </w:rPr>
        <w:t xml:space="preserve"> los centros de dete</w:t>
      </w:r>
      <w:r w:rsidR="00286D2B" w:rsidRPr="000D6F44">
        <w:rPr>
          <w:rFonts w:asciiTheme="majorHAnsi" w:hAnsiTheme="majorHAnsi"/>
          <w:sz w:val="20"/>
          <w:szCs w:val="20"/>
          <w:lang w:val="es-ES"/>
        </w:rPr>
        <w:t>nción</w:t>
      </w:r>
      <w:r w:rsidR="00C664AD" w:rsidRPr="00EE32DA">
        <w:rPr>
          <w:rFonts w:asciiTheme="majorHAnsi" w:hAnsiTheme="majorHAnsi"/>
          <w:sz w:val="20"/>
          <w:szCs w:val="20"/>
          <w:lang w:val="es-ES"/>
        </w:rPr>
        <w:t xml:space="preserve">. En estas circunstancias, la CIDH considera que se puede dar por satisfecho que las autoridades fueron alertadas sobre </w:t>
      </w:r>
      <w:r w:rsidR="00286D2B" w:rsidRPr="00EE32DA">
        <w:rPr>
          <w:rFonts w:asciiTheme="majorHAnsi" w:hAnsiTheme="majorHAnsi"/>
          <w:sz w:val="20"/>
          <w:szCs w:val="20"/>
          <w:lang w:val="es-ES"/>
        </w:rPr>
        <w:t>su</w:t>
      </w:r>
      <w:r w:rsidR="00C664AD" w:rsidRPr="00EE32DA">
        <w:rPr>
          <w:rFonts w:asciiTheme="majorHAnsi" w:hAnsiTheme="majorHAnsi"/>
          <w:sz w:val="20"/>
          <w:szCs w:val="20"/>
          <w:lang w:val="es-ES"/>
        </w:rPr>
        <w:t xml:space="preserve"> situación</w:t>
      </w:r>
      <w:r w:rsidR="00EE32DA" w:rsidRPr="00EE32DA">
        <w:rPr>
          <w:rFonts w:asciiTheme="majorHAnsi" w:hAnsiTheme="majorHAnsi"/>
          <w:sz w:val="20"/>
          <w:szCs w:val="20"/>
          <w:lang w:val="es-ES"/>
        </w:rPr>
        <w:t xml:space="preserve"> </w:t>
      </w:r>
      <w:r w:rsidR="00C664AD" w:rsidRPr="00EE32DA">
        <w:rPr>
          <w:rFonts w:asciiTheme="majorHAnsi" w:hAnsiTheme="majorHAnsi"/>
          <w:sz w:val="20"/>
          <w:szCs w:val="20"/>
          <w:lang w:val="es-ES"/>
        </w:rPr>
        <w:t>y por lo tanto cumple con los requisitos contenidos</w:t>
      </w:r>
      <w:r w:rsidR="00286D2B" w:rsidRPr="00EE32DA">
        <w:rPr>
          <w:rFonts w:asciiTheme="majorHAnsi" w:hAnsiTheme="majorHAnsi"/>
          <w:sz w:val="20"/>
          <w:szCs w:val="20"/>
          <w:lang w:val="es-ES"/>
        </w:rPr>
        <w:t xml:space="preserve"> en el artículo 46 de la Convención Americana</w:t>
      </w:r>
      <w:r w:rsidR="00286D2B" w:rsidRPr="00EE32DA">
        <w:rPr>
          <w:rStyle w:val="FootnoteReference"/>
          <w:rFonts w:asciiTheme="majorHAnsi" w:hAnsiTheme="majorHAnsi"/>
          <w:sz w:val="20"/>
          <w:szCs w:val="20"/>
          <w:lang w:val="es-ES"/>
        </w:rPr>
        <w:footnoteReference w:id="11"/>
      </w:r>
      <w:r w:rsidR="00286D2B" w:rsidRPr="00EE32DA">
        <w:rPr>
          <w:rFonts w:asciiTheme="majorHAnsi" w:hAnsiTheme="majorHAnsi"/>
          <w:sz w:val="20"/>
          <w:szCs w:val="20"/>
          <w:lang w:val="es-ES"/>
        </w:rPr>
        <w:t>.</w:t>
      </w:r>
    </w:p>
    <w:p w14:paraId="4EE58850" w14:textId="2D17BA18" w:rsidR="000A20B6" w:rsidRPr="00F13742" w:rsidRDefault="000A20B6" w:rsidP="00F13742">
      <w:pPr>
        <w:pStyle w:val="ListParagraph"/>
        <w:numPr>
          <w:ilvl w:val="0"/>
          <w:numId w:val="65"/>
        </w:numPr>
        <w:spacing w:before="120" w:after="120"/>
        <w:ind w:left="0" w:firstLine="720"/>
        <w:jc w:val="both"/>
        <w:rPr>
          <w:rFonts w:asciiTheme="majorHAnsi" w:hAnsiTheme="majorHAnsi"/>
          <w:sz w:val="20"/>
          <w:szCs w:val="20"/>
          <w:lang w:val="es-ES"/>
        </w:rPr>
      </w:pPr>
      <w:r w:rsidRPr="00F13742">
        <w:rPr>
          <w:rFonts w:asciiTheme="majorHAnsi" w:hAnsiTheme="majorHAnsi"/>
          <w:sz w:val="20"/>
          <w:szCs w:val="20"/>
          <w:lang w:val="es-ES"/>
        </w:rPr>
        <w:t xml:space="preserve">Sobre el plazo de presentación, la petición de los peticionarios fue recibida en fecha 2 de junio de 2009, cumpliendo con el plazo de seis meses previstos en el artículo 46.1.b de la Convención. </w:t>
      </w:r>
      <w:r w:rsidRPr="00F13742">
        <w:rPr>
          <w:rFonts w:asciiTheme="majorHAnsi" w:hAnsiTheme="majorHAnsi"/>
          <w:sz w:val="20"/>
          <w:szCs w:val="20"/>
          <w:highlight w:val="yellow"/>
          <w:lang w:val="es-ES"/>
        </w:rPr>
        <w:t xml:space="preserve"> </w:t>
      </w:r>
    </w:p>
    <w:p w14:paraId="77C80DBE" w14:textId="77777777" w:rsidR="00AB3940" w:rsidRPr="006D3136" w:rsidRDefault="00F04591" w:rsidP="00AB3940">
      <w:pPr>
        <w:pStyle w:val="ListParagraph"/>
        <w:spacing w:before="120" w:after="120"/>
        <w:jc w:val="both"/>
        <w:rPr>
          <w:rFonts w:asciiTheme="majorHAnsi" w:eastAsia="Arial Unicode MS" w:hAnsiTheme="majorHAnsi" w:cs="Times New Roman"/>
          <w:b/>
          <w:color w:val="auto"/>
          <w:sz w:val="20"/>
          <w:szCs w:val="20"/>
          <w:lang w:val="es-ES" w:eastAsia="en-US"/>
        </w:rPr>
      </w:pPr>
      <w:r w:rsidRPr="006D3136">
        <w:rPr>
          <w:rFonts w:asciiTheme="majorHAnsi" w:eastAsia="Arial Unicode MS" w:hAnsiTheme="majorHAnsi" w:cs="Times New Roman"/>
          <w:b/>
          <w:color w:val="auto"/>
          <w:sz w:val="20"/>
          <w:szCs w:val="20"/>
          <w:lang w:val="es-ES" w:eastAsia="en-US"/>
        </w:rPr>
        <w:t>V</w:t>
      </w:r>
      <w:r w:rsidR="000E2789" w:rsidRPr="006D3136">
        <w:rPr>
          <w:rFonts w:asciiTheme="majorHAnsi" w:eastAsia="Arial Unicode MS" w:hAnsiTheme="majorHAnsi" w:cs="Times New Roman"/>
          <w:b/>
          <w:color w:val="auto"/>
          <w:sz w:val="20"/>
          <w:szCs w:val="20"/>
          <w:lang w:val="es-ES" w:eastAsia="en-US"/>
        </w:rPr>
        <w:t>I</w:t>
      </w:r>
      <w:r w:rsidR="00AB3940" w:rsidRPr="006D3136">
        <w:rPr>
          <w:rFonts w:asciiTheme="majorHAnsi" w:eastAsia="Arial Unicode MS" w:hAnsiTheme="majorHAnsi" w:cs="Times New Roman"/>
          <w:b/>
          <w:color w:val="auto"/>
          <w:sz w:val="20"/>
          <w:szCs w:val="20"/>
          <w:lang w:val="es-ES" w:eastAsia="en-US"/>
        </w:rPr>
        <w:t xml:space="preserve">I. </w:t>
      </w:r>
      <w:r w:rsidR="00AB3940" w:rsidRPr="006D3136">
        <w:rPr>
          <w:rFonts w:asciiTheme="majorHAnsi" w:eastAsia="Arial Unicode MS" w:hAnsiTheme="majorHAnsi" w:cs="Times New Roman"/>
          <w:b/>
          <w:color w:val="auto"/>
          <w:sz w:val="20"/>
          <w:szCs w:val="20"/>
          <w:lang w:val="es-ES" w:eastAsia="en-US"/>
        </w:rPr>
        <w:tab/>
        <w:t>CARACTERIZACIÓN</w:t>
      </w:r>
    </w:p>
    <w:p w14:paraId="0E41B2D4" w14:textId="1B169AB0" w:rsidR="00483F0E" w:rsidRDefault="006B13EA" w:rsidP="006B13EA">
      <w:pPr>
        <w:pStyle w:val="ListParagraph"/>
        <w:numPr>
          <w:ilvl w:val="0"/>
          <w:numId w:val="65"/>
        </w:numPr>
        <w:tabs>
          <w:tab w:val="left" w:pos="0"/>
        </w:tabs>
        <w:spacing w:before="120" w:after="120"/>
        <w:ind w:left="0" w:firstLine="720"/>
        <w:jc w:val="both"/>
        <w:rPr>
          <w:rFonts w:asciiTheme="majorHAnsi" w:hAnsiTheme="majorHAnsi"/>
          <w:sz w:val="20"/>
          <w:szCs w:val="20"/>
          <w:lang w:val="es-ES"/>
        </w:rPr>
      </w:pPr>
      <w:r w:rsidRPr="00E64C3D">
        <w:rPr>
          <w:sz w:val="20"/>
          <w:szCs w:val="20"/>
          <w:lang w:val="es-ES"/>
        </w:rPr>
        <w:t>La Comisión observa que la presente petición incluye alegaciones con respecto a</w:t>
      </w:r>
      <w:r>
        <w:rPr>
          <w:sz w:val="20"/>
          <w:szCs w:val="20"/>
          <w:lang w:val="es-ES"/>
        </w:rPr>
        <w:t xml:space="preserve"> </w:t>
      </w:r>
      <w:r w:rsidRPr="006D3136">
        <w:rPr>
          <w:rFonts w:asciiTheme="majorHAnsi" w:hAnsiTheme="majorHAnsi"/>
          <w:sz w:val="20"/>
          <w:szCs w:val="20"/>
          <w:lang w:val="es-ES"/>
        </w:rPr>
        <w:t>la d</w:t>
      </w:r>
      <w:r w:rsidR="0017347D">
        <w:rPr>
          <w:rFonts w:asciiTheme="majorHAnsi" w:hAnsiTheme="majorHAnsi"/>
          <w:sz w:val="20"/>
          <w:szCs w:val="20"/>
          <w:lang w:val="es-ES"/>
        </w:rPr>
        <w:t>etención ilegítima de los niños</w:t>
      </w:r>
      <w:r w:rsidRPr="006D3136">
        <w:rPr>
          <w:rFonts w:asciiTheme="majorHAnsi" w:hAnsiTheme="majorHAnsi"/>
          <w:sz w:val="20"/>
          <w:szCs w:val="20"/>
          <w:lang w:val="es-ES"/>
        </w:rPr>
        <w:t xml:space="preserve">, así como la violación de sus derechos al debido proceso y a las garantías judiciales dentro </w:t>
      </w:r>
      <w:r w:rsidRPr="006D3136">
        <w:rPr>
          <w:rFonts w:asciiTheme="majorHAnsi" w:hAnsiTheme="majorHAnsi"/>
          <w:sz w:val="20"/>
          <w:szCs w:val="20"/>
          <w:lang w:val="es-ES"/>
        </w:rPr>
        <w:lastRenderedPageBreak/>
        <w:t xml:space="preserve">de sus procesos judiciales, </w:t>
      </w:r>
      <w:r w:rsidR="009A55E2">
        <w:rPr>
          <w:rFonts w:asciiTheme="majorHAnsi" w:hAnsiTheme="majorHAnsi"/>
          <w:sz w:val="20"/>
          <w:szCs w:val="20"/>
          <w:lang w:val="es-ES"/>
        </w:rPr>
        <w:t>y</w:t>
      </w:r>
      <w:r w:rsidRPr="006D3136">
        <w:rPr>
          <w:rFonts w:asciiTheme="majorHAnsi" w:hAnsiTheme="majorHAnsi"/>
          <w:sz w:val="20"/>
          <w:szCs w:val="20"/>
          <w:lang w:val="es-ES"/>
        </w:rPr>
        <w:t>a las inadecuadas condiciones sanitarias y malos tratos sufridos dentro del lugar de su detención</w:t>
      </w:r>
      <w:r>
        <w:rPr>
          <w:rFonts w:asciiTheme="majorHAnsi" w:hAnsiTheme="majorHAnsi"/>
          <w:sz w:val="20"/>
          <w:szCs w:val="20"/>
          <w:lang w:val="es-ES"/>
        </w:rPr>
        <w:t xml:space="preserve">. </w:t>
      </w:r>
      <w:r w:rsidRPr="00E64C3D">
        <w:rPr>
          <w:sz w:val="20"/>
          <w:szCs w:val="20"/>
          <w:lang w:val="es-ES"/>
        </w:rPr>
        <w:t>En atención a estas consideraciones y tras examinar los elementos de hecho y de derecho expuestos por las partes la Comisión estima que las alegaciones de la parte peticionaria no resultan manifiestamente infundadas y requieren un estudio de fondo pues los hechos alegados, de corroborarse como ciertos podrían caracterizar violaciones a los artículos</w:t>
      </w:r>
      <w:r w:rsidR="00AB3940" w:rsidRPr="006D3136">
        <w:rPr>
          <w:rFonts w:asciiTheme="majorHAnsi" w:hAnsiTheme="majorHAnsi"/>
          <w:sz w:val="20"/>
          <w:szCs w:val="20"/>
          <w:lang w:val="es-ES"/>
        </w:rPr>
        <w:t xml:space="preserve"> </w:t>
      </w:r>
      <w:r w:rsidR="00476934" w:rsidRPr="006D3136">
        <w:rPr>
          <w:rFonts w:asciiTheme="majorHAnsi" w:hAnsiTheme="majorHAnsi"/>
          <w:bCs/>
          <w:sz w:val="20"/>
          <w:szCs w:val="20"/>
          <w:lang w:val="es-ES"/>
        </w:rPr>
        <w:t xml:space="preserve">5 (integridad física), 7 (libertad personal), 8 (garantías judiciales), </w:t>
      </w:r>
      <w:r w:rsidR="00496A89" w:rsidRPr="006D3136">
        <w:rPr>
          <w:rFonts w:asciiTheme="majorHAnsi" w:hAnsiTheme="majorHAnsi"/>
          <w:sz w:val="20"/>
          <w:szCs w:val="20"/>
          <w:lang w:val="es-ES_tradnl"/>
        </w:rPr>
        <w:t xml:space="preserve">17 (protección a la familia), </w:t>
      </w:r>
      <w:r w:rsidR="00476934" w:rsidRPr="006D3136">
        <w:rPr>
          <w:rFonts w:asciiTheme="majorHAnsi" w:hAnsiTheme="majorHAnsi"/>
          <w:bCs/>
          <w:sz w:val="20"/>
          <w:szCs w:val="20"/>
          <w:lang w:val="es-ES"/>
        </w:rPr>
        <w:t>19 (derechos del niño)</w:t>
      </w:r>
      <w:r w:rsidR="00496A89" w:rsidRPr="006D3136">
        <w:rPr>
          <w:rFonts w:asciiTheme="majorHAnsi" w:hAnsiTheme="majorHAnsi"/>
          <w:bCs/>
          <w:sz w:val="20"/>
          <w:szCs w:val="20"/>
          <w:lang w:val="es-ES"/>
        </w:rPr>
        <w:t xml:space="preserve">, </w:t>
      </w:r>
      <w:r w:rsidR="00AB3940" w:rsidRPr="006D3136">
        <w:rPr>
          <w:rFonts w:asciiTheme="majorHAnsi" w:hAnsiTheme="majorHAnsi"/>
          <w:sz w:val="20"/>
          <w:szCs w:val="20"/>
          <w:lang w:val="es-ES"/>
        </w:rPr>
        <w:t>24 (igualdad)</w:t>
      </w:r>
      <w:r w:rsidR="002F1C32" w:rsidRPr="006D3136">
        <w:rPr>
          <w:rFonts w:asciiTheme="majorHAnsi" w:hAnsiTheme="majorHAnsi"/>
          <w:sz w:val="20"/>
          <w:szCs w:val="20"/>
          <w:lang w:val="es-ES"/>
        </w:rPr>
        <w:t xml:space="preserve">, </w:t>
      </w:r>
      <w:r w:rsidR="00496A89" w:rsidRPr="006D3136">
        <w:rPr>
          <w:rFonts w:asciiTheme="majorHAnsi" w:hAnsiTheme="majorHAnsi"/>
          <w:bCs/>
          <w:sz w:val="20"/>
          <w:szCs w:val="20"/>
          <w:lang w:val="es-ES"/>
        </w:rPr>
        <w:t>25 (protección judicial)</w:t>
      </w:r>
      <w:r w:rsidR="00AB3940" w:rsidRPr="006D3136">
        <w:rPr>
          <w:rFonts w:asciiTheme="majorHAnsi" w:hAnsiTheme="majorHAnsi"/>
          <w:sz w:val="20"/>
          <w:szCs w:val="20"/>
          <w:lang w:val="es-ES"/>
        </w:rPr>
        <w:t xml:space="preserve"> </w:t>
      </w:r>
      <w:r w:rsidR="002F1C32" w:rsidRPr="006D3136">
        <w:rPr>
          <w:rFonts w:asciiTheme="majorHAnsi" w:hAnsiTheme="majorHAnsi"/>
          <w:bCs/>
          <w:sz w:val="20"/>
          <w:szCs w:val="20"/>
          <w:lang w:val="es-ES"/>
        </w:rPr>
        <w:t xml:space="preserve">y 26 (derechos económicos, sociales y culturales) </w:t>
      </w:r>
      <w:r w:rsidR="00AB3940" w:rsidRPr="006D3136">
        <w:rPr>
          <w:rFonts w:asciiTheme="majorHAnsi" w:hAnsiTheme="majorHAnsi"/>
          <w:sz w:val="20"/>
          <w:szCs w:val="20"/>
          <w:lang w:val="es-ES"/>
        </w:rPr>
        <w:t xml:space="preserve">de la Convención Americana, esto en relación con </w:t>
      </w:r>
      <w:r w:rsidR="006E4261">
        <w:rPr>
          <w:rFonts w:asciiTheme="majorHAnsi" w:hAnsiTheme="majorHAnsi"/>
          <w:sz w:val="20"/>
          <w:szCs w:val="20"/>
          <w:lang w:val="es-ES"/>
        </w:rPr>
        <w:t>sus</w:t>
      </w:r>
      <w:r w:rsidR="00AB3940" w:rsidRPr="006D3136">
        <w:rPr>
          <w:rFonts w:asciiTheme="majorHAnsi" w:hAnsiTheme="majorHAnsi"/>
          <w:sz w:val="20"/>
          <w:szCs w:val="20"/>
          <w:lang w:val="es-ES"/>
        </w:rPr>
        <w:t xml:space="preserve"> </w:t>
      </w:r>
      <w:r w:rsidR="006E4261">
        <w:rPr>
          <w:rFonts w:asciiTheme="majorHAnsi" w:hAnsiTheme="majorHAnsi"/>
          <w:sz w:val="20"/>
          <w:szCs w:val="20"/>
          <w:lang w:val="es-ES"/>
        </w:rPr>
        <w:t>artículos</w:t>
      </w:r>
      <w:r w:rsidR="00AB3940" w:rsidRPr="006D3136">
        <w:rPr>
          <w:rFonts w:asciiTheme="majorHAnsi" w:hAnsiTheme="majorHAnsi"/>
          <w:sz w:val="20"/>
          <w:szCs w:val="20"/>
          <w:lang w:val="es-ES"/>
        </w:rPr>
        <w:t xml:space="preserve"> 1.1 (obligación de respetar los derechos) y 2 (deber de adoptar disposiciones de derecho interno)</w:t>
      </w:r>
      <w:r w:rsidR="00A158AC" w:rsidRPr="006D3136">
        <w:rPr>
          <w:rStyle w:val="FootnoteReference"/>
          <w:rFonts w:asciiTheme="majorHAnsi" w:eastAsia="Arial Unicode MS" w:hAnsiTheme="majorHAnsi" w:cs="Times New Roman"/>
          <w:color w:val="auto"/>
          <w:sz w:val="20"/>
          <w:szCs w:val="20"/>
          <w:lang w:val="es-ES" w:eastAsia="en-US"/>
        </w:rPr>
        <w:footnoteReference w:id="12"/>
      </w:r>
      <w:r w:rsidR="006E4261">
        <w:rPr>
          <w:rFonts w:asciiTheme="majorHAnsi" w:hAnsiTheme="majorHAnsi"/>
          <w:sz w:val="20"/>
          <w:szCs w:val="20"/>
          <w:lang w:val="es-ES"/>
        </w:rPr>
        <w:t>.</w:t>
      </w:r>
      <w:r w:rsidR="00AB3940" w:rsidRPr="006D3136">
        <w:rPr>
          <w:rFonts w:asciiTheme="majorHAnsi" w:hAnsiTheme="majorHAnsi"/>
          <w:sz w:val="20"/>
          <w:szCs w:val="20"/>
          <w:lang w:val="es-ES"/>
        </w:rPr>
        <w:t xml:space="preserve">    </w:t>
      </w:r>
    </w:p>
    <w:p w14:paraId="42DAA446" w14:textId="77777777" w:rsidR="00483F0E" w:rsidRPr="00483F0E" w:rsidRDefault="00B57409" w:rsidP="00483F0E">
      <w:pPr>
        <w:pStyle w:val="ListParagraph"/>
        <w:numPr>
          <w:ilvl w:val="0"/>
          <w:numId w:val="65"/>
        </w:numPr>
        <w:tabs>
          <w:tab w:val="left" w:pos="0"/>
        </w:tabs>
        <w:spacing w:before="120" w:after="120"/>
        <w:ind w:left="0" w:firstLine="720"/>
        <w:jc w:val="both"/>
        <w:rPr>
          <w:rFonts w:asciiTheme="majorHAnsi" w:hAnsiTheme="majorHAnsi"/>
          <w:sz w:val="20"/>
          <w:szCs w:val="20"/>
          <w:lang w:val="es-ES"/>
        </w:rPr>
      </w:pPr>
      <w:r w:rsidRPr="00483F0E">
        <w:rPr>
          <w:rFonts w:asciiTheme="majorHAnsi" w:hAnsiTheme="majorHAnsi"/>
          <w:bCs/>
          <w:sz w:val="20"/>
          <w:szCs w:val="20"/>
          <w:lang w:val="es-ES"/>
        </w:rPr>
        <w:t xml:space="preserve">En relación a la presunta </w:t>
      </w:r>
      <w:r w:rsidRPr="00483F0E">
        <w:rPr>
          <w:rFonts w:asciiTheme="majorHAnsi" w:hAnsiTheme="majorHAnsi" w:cs="Calibri"/>
          <w:sz w:val="20"/>
          <w:szCs w:val="20"/>
          <w:lang w:val="es-ES_tradnl"/>
        </w:rPr>
        <w:t xml:space="preserve">violación al numeral 9 (legalidad e irretroactividad) de la </w:t>
      </w:r>
      <w:r w:rsidRPr="00483F0E">
        <w:rPr>
          <w:rFonts w:asciiTheme="majorHAnsi" w:hAnsiTheme="majorHAnsi" w:cs="Times New Roman"/>
          <w:bCs/>
          <w:sz w:val="20"/>
          <w:szCs w:val="20"/>
          <w:lang w:val="es-ES"/>
        </w:rPr>
        <w:t xml:space="preserve">Convención Americana, la Comisión </w:t>
      </w:r>
      <w:r w:rsidRPr="00483F0E">
        <w:rPr>
          <w:rFonts w:asciiTheme="majorHAnsi" w:hAnsiTheme="majorHAnsi" w:cs="Calibri"/>
          <w:sz w:val="20"/>
          <w:szCs w:val="20"/>
          <w:lang w:val="es-ES_tradnl"/>
        </w:rPr>
        <w:t xml:space="preserve">observa que los peticionarios no han ofrecido alegatos o sustento que permita considerar prima facie su posible violación. </w:t>
      </w:r>
    </w:p>
    <w:p w14:paraId="4C8DD245" w14:textId="58DCE7F8" w:rsidR="003A1D6C" w:rsidRPr="00483F0E" w:rsidRDefault="0029561D" w:rsidP="00483F0E">
      <w:pPr>
        <w:pStyle w:val="ListParagraph"/>
        <w:numPr>
          <w:ilvl w:val="0"/>
          <w:numId w:val="65"/>
        </w:numPr>
        <w:tabs>
          <w:tab w:val="left" w:pos="0"/>
        </w:tabs>
        <w:spacing w:before="120" w:after="120"/>
        <w:ind w:left="0" w:firstLine="720"/>
        <w:jc w:val="both"/>
        <w:rPr>
          <w:rFonts w:asciiTheme="majorHAnsi" w:hAnsiTheme="majorHAnsi"/>
          <w:sz w:val="20"/>
          <w:szCs w:val="20"/>
          <w:lang w:val="es-ES"/>
        </w:rPr>
      </w:pPr>
      <w:r w:rsidRPr="00483F0E">
        <w:rPr>
          <w:rFonts w:asciiTheme="majorHAnsi" w:hAnsiTheme="majorHAnsi" w:cs="Times New Roman"/>
          <w:bCs/>
          <w:sz w:val="20"/>
          <w:szCs w:val="20"/>
          <w:lang w:val="es-ES"/>
        </w:rPr>
        <w:t xml:space="preserve">Sobre la presunta violación </w:t>
      </w:r>
      <w:r w:rsidR="00EE36D9" w:rsidRPr="00483F0E">
        <w:rPr>
          <w:rFonts w:asciiTheme="majorHAnsi" w:hAnsiTheme="majorHAnsi" w:cs="Times New Roman"/>
          <w:bCs/>
          <w:sz w:val="20"/>
          <w:szCs w:val="20"/>
          <w:lang w:val="es-ES"/>
        </w:rPr>
        <w:t>los artículos 37 y 40 de la Convención sobre los Derechos del Niño</w:t>
      </w:r>
      <w:r w:rsidR="0071675B" w:rsidRPr="00483F0E">
        <w:rPr>
          <w:rFonts w:asciiTheme="majorHAnsi" w:hAnsiTheme="majorHAnsi" w:cs="Times New Roman"/>
          <w:bCs/>
          <w:sz w:val="20"/>
          <w:szCs w:val="20"/>
          <w:lang w:val="es-ES"/>
        </w:rPr>
        <w:t xml:space="preserve">, </w:t>
      </w:r>
      <w:r w:rsidR="005B7843" w:rsidRPr="00483F0E">
        <w:rPr>
          <w:rFonts w:asciiTheme="majorHAnsi" w:hAnsiTheme="majorHAnsi" w:cs="Times New Roman"/>
          <w:bCs/>
          <w:sz w:val="20"/>
          <w:szCs w:val="20"/>
          <w:lang w:val="es-ES"/>
        </w:rPr>
        <w:t xml:space="preserve">esta Comisión </w:t>
      </w:r>
      <w:r w:rsidR="003A1D6C" w:rsidRPr="00483F0E">
        <w:rPr>
          <w:rFonts w:asciiTheme="majorHAnsi" w:hAnsiTheme="majorHAnsi" w:cs="Times New Roman"/>
          <w:sz w:val="20"/>
          <w:szCs w:val="20"/>
          <w:lang w:val="es-ES_tradnl"/>
        </w:rPr>
        <w:t xml:space="preserve">aclara que no posee competencia para declarar violaciones a derechos consagrados en la Convención sobre los Derechos del Niño, pero se encuentra facultada para recurrir a sus estándares a los efectos interpretar las normas de la Convención Americana, en virtud del artículo 29 </w:t>
      </w:r>
      <w:r w:rsidR="003A1D6C" w:rsidRPr="00483F0E">
        <w:rPr>
          <w:rFonts w:asciiTheme="majorHAnsi" w:hAnsiTheme="majorHAnsi" w:cs="Times New Roman"/>
          <w:bCs/>
          <w:sz w:val="20"/>
          <w:szCs w:val="20"/>
          <w:lang w:val="es-ES"/>
        </w:rPr>
        <w:t xml:space="preserve">mismo cuerpo normativo. </w:t>
      </w:r>
    </w:p>
    <w:p w14:paraId="29BB41F5" w14:textId="15BF863C" w:rsidR="003239B8" w:rsidRPr="006D3136" w:rsidRDefault="00EC72AB" w:rsidP="000B247F">
      <w:pPr>
        <w:pStyle w:val="ListParagraph"/>
        <w:spacing w:before="120" w:after="120"/>
        <w:jc w:val="both"/>
        <w:rPr>
          <w:rFonts w:asciiTheme="majorHAnsi" w:eastAsia="Arial Unicode MS" w:hAnsiTheme="majorHAnsi" w:cs="Times New Roman"/>
          <w:b/>
          <w:color w:val="auto"/>
          <w:sz w:val="20"/>
          <w:szCs w:val="20"/>
          <w:lang w:val="es-ES" w:eastAsia="en-US"/>
        </w:rPr>
      </w:pPr>
      <w:r w:rsidRPr="006D3136">
        <w:rPr>
          <w:rFonts w:asciiTheme="majorHAnsi" w:eastAsia="Arial Unicode MS" w:hAnsiTheme="majorHAnsi" w:cs="Times New Roman"/>
          <w:b/>
          <w:color w:val="auto"/>
          <w:sz w:val="20"/>
          <w:szCs w:val="20"/>
          <w:lang w:val="es-ES" w:eastAsia="en-US"/>
        </w:rPr>
        <w:t>VI</w:t>
      </w:r>
      <w:r w:rsidR="00F04591" w:rsidRPr="006D3136">
        <w:rPr>
          <w:rFonts w:asciiTheme="majorHAnsi" w:eastAsia="Arial Unicode MS" w:hAnsiTheme="majorHAnsi" w:cs="Times New Roman"/>
          <w:b/>
          <w:color w:val="auto"/>
          <w:sz w:val="20"/>
          <w:szCs w:val="20"/>
          <w:lang w:val="es-ES" w:eastAsia="en-US"/>
        </w:rPr>
        <w:t>II</w:t>
      </w:r>
      <w:r w:rsidR="003239B8" w:rsidRPr="006D3136">
        <w:rPr>
          <w:rFonts w:asciiTheme="majorHAnsi" w:eastAsia="Arial Unicode MS" w:hAnsiTheme="majorHAnsi" w:cs="Times New Roman"/>
          <w:b/>
          <w:color w:val="auto"/>
          <w:sz w:val="20"/>
          <w:szCs w:val="20"/>
          <w:lang w:val="es-ES" w:eastAsia="en-US"/>
        </w:rPr>
        <w:t xml:space="preserve">. </w:t>
      </w:r>
      <w:r w:rsidR="003239B8" w:rsidRPr="006D3136">
        <w:rPr>
          <w:rFonts w:asciiTheme="majorHAnsi" w:eastAsia="Arial Unicode MS" w:hAnsiTheme="majorHAnsi" w:cs="Times New Roman"/>
          <w:b/>
          <w:color w:val="auto"/>
          <w:sz w:val="20"/>
          <w:szCs w:val="20"/>
          <w:lang w:val="es-ES" w:eastAsia="en-US"/>
        </w:rPr>
        <w:tab/>
        <w:t>DECISIÓN</w:t>
      </w:r>
    </w:p>
    <w:p w14:paraId="605FB603" w14:textId="7C4D4972" w:rsidR="005F5653" w:rsidRPr="006D3136" w:rsidRDefault="005F5653" w:rsidP="00AF7380">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6D3136">
        <w:rPr>
          <w:rFonts w:asciiTheme="majorHAnsi" w:hAnsiTheme="majorHAnsi"/>
          <w:sz w:val="20"/>
          <w:szCs w:val="20"/>
          <w:lang w:val="es-ES"/>
        </w:rPr>
        <w:t xml:space="preserve">Declarar admisible la presente petición en relación con los </w:t>
      </w:r>
      <w:r w:rsidRPr="006D3136">
        <w:rPr>
          <w:rFonts w:asciiTheme="majorHAnsi" w:hAnsiTheme="majorHAnsi"/>
          <w:bCs/>
          <w:sz w:val="20"/>
          <w:szCs w:val="20"/>
          <w:lang w:val="es-ES"/>
        </w:rPr>
        <w:t>artículos</w:t>
      </w:r>
      <w:r w:rsidR="000F4054" w:rsidRPr="006D3136">
        <w:rPr>
          <w:rFonts w:asciiTheme="majorHAnsi" w:hAnsiTheme="majorHAnsi"/>
          <w:bCs/>
          <w:sz w:val="20"/>
          <w:szCs w:val="20"/>
          <w:lang w:val="es-ES"/>
        </w:rPr>
        <w:t xml:space="preserve"> </w:t>
      </w:r>
      <w:r w:rsidR="00AF7380" w:rsidRPr="006D3136">
        <w:rPr>
          <w:rFonts w:asciiTheme="majorHAnsi" w:hAnsiTheme="majorHAnsi"/>
          <w:bCs/>
          <w:sz w:val="20"/>
          <w:szCs w:val="20"/>
          <w:lang w:val="es-ES"/>
        </w:rPr>
        <w:t xml:space="preserve">5, 7, 8, 17, 19, 24, 25 y 26 </w:t>
      </w:r>
      <w:r w:rsidRPr="006D3136">
        <w:rPr>
          <w:rFonts w:asciiTheme="majorHAnsi" w:hAnsiTheme="majorHAnsi"/>
          <w:bCs/>
          <w:sz w:val="20"/>
          <w:szCs w:val="20"/>
          <w:lang w:val="es-ES"/>
        </w:rPr>
        <w:t>de la Convención Americana</w:t>
      </w:r>
      <w:r w:rsidRPr="006D3136">
        <w:rPr>
          <w:rFonts w:asciiTheme="majorHAnsi" w:hAnsiTheme="majorHAnsi"/>
          <w:sz w:val="20"/>
          <w:szCs w:val="20"/>
          <w:lang w:val="es-ES"/>
        </w:rPr>
        <w:t>, en concordancia con los artículos 1.1 y 2 del mismo instrumento;</w:t>
      </w:r>
    </w:p>
    <w:p w14:paraId="31AD712D" w14:textId="581EE1C5" w:rsidR="00B57409" w:rsidRPr="00DA0E15" w:rsidRDefault="00B57409" w:rsidP="00B57409">
      <w:pPr>
        <w:pStyle w:val="ListParagraph"/>
        <w:numPr>
          <w:ilvl w:val="0"/>
          <w:numId w:val="56"/>
        </w:numPr>
        <w:spacing w:after="120"/>
        <w:jc w:val="both"/>
        <w:rPr>
          <w:rFonts w:asciiTheme="majorHAnsi" w:eastAsia="Arial Unicode MS" w:hAnsiTheme="majorHAnsi" w:cs="Times New Roman"/>
          <w:color w:val="auto"/>
          <w:sz w:val="20"/>
          <w:szCs w:val="20"/>
          <w:lang w:val="es-ES" w:eastAsia="en-US"/>
        </w:rPr>
      </w:pPr>
      <w:r w:rsidRPr="00DA0E15">
        <w:rPr>
          <w:rFonts w:asciiTheme="majorHAnsi" w:eastAsia="Arial Unicode MS" w:hAnsiTheme="majorHAnsi" w:cs="Times New Roman"/>
          <w:color w:val="auto"/>
          <w:sz w:val="20"/>
          <w:szCs w:val="20"/>
          <w:lang w:val="es-ES" w:eastAsia="en-US"/>
        </w:rPr>
        <w:t>Declarar inadmisible</w:t>
      </w:r>
      <w:r w:rsidRPr="00DA0E15">
        <w:rPr>
          <w:rFonts w:asciiTheme="majorHAnsi" w:eastAsia="Arial Unicode MS" w:hAnsiTheme="majorHAnsi" w:cs="Times New Roman"/>
          <w:color w:val="FF0000"/>
          <w:sz w:val="20"/>
          <w:szCs w:val="20"/>
          <w:lang w:val="es-ES" w:eastAsia="en-US"/>
        </w:rPr>
        <w:t xml:space="preserve"> </w:t>
      </w:r>
      <w:r w:rsidRPr="00DA0E15">
        <w:rPr>
          <w:rFonts w:asciiTheme="majorHAnsi" w:eastAsia="Arial Unicode MS" w:hAnsiTheme="majorHAnsi" w:cs="Times New Roman"/>
          <w:color w:val="auto"/>
          <w:sz w:val="20"/>
          <w:szCs w:val="20"/>
          <w:lang w:val="es-ES" w:eastAsia="en-US"/>
        </w:rPr>
        <w:t xml:space="preserve">la presente petición en relación con </w:t>
      </w:r>
      <w:r>
        <w:rPr>
          <w:rFonts w:asciiTheme="majorHAnsi" w:hAnsiTheme="majorHAnsi"/>
          <w:sz w:val="20"/>
          <w:szCs w:val="20"/>
          <w:lang w:val="es-ES"/>
        </w:rPr>
        <w:t>el artículo 9</w:t>
      </w:r>
      <w:r w:rsidRPr="00DA0E15">
        <w:rPr>
          <w:rFonts w:asciiTheme="majorHAnsi" w:eastAsia="Arial Unicode MS" w:hAnsiTheme="majorHAnsi" w:cs="Times New Roman"/>
          <w:color w:val="auto"/>
          <w:sz w:val="20"/>
          <w:szCs w:val="20"/>
          <w:lang w:val="es-ES" w:eastAsia="en-US"/>
        </w:rPr>
        <w:t xml:space="preserve"> de la </w:t>
      </w:r>
      <w:r w:rsidRPr="00DA0E15">
        <w:rPr>
          <w:rFonts w:asciiTheme="majorHAnsi" w:hAnsiTheme="majorHAnsi"/>
          <w:bCs/>
          <w:sz w:val="20"/>
          <w:szCs w:val="20"/>
          <w:lang w:val="es-ES"/>
        </w:rPr>
        <w:t>Convención Americana; y</w:t>
      </w:r>
    </w:p>
    <w:p w14:paraId="08D0A71E" w14:textId="77777777" w:rsidR="005F5653" w:rsidRPr="006D3136" w:rsidRDefault="005F5653" w:rsidP="005F565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color w:val="FF0000"/>
          <w:sz w:val="20"/>
          <w:szCs w:val="20"/>
          <w:lang w:val="es-ES"/>
        </w:rPr>
      </w:pPr>
      <w:r w:rsidRPr="006D3136">
        <w:rPr>
          <w:rFonts w:asciiTheme="majorHAnsi" w:hAnsiTheme="majorHAnsi"/>
          <w:sz w:val="20"/>
          <w:szCs w:val="20"/>
          <w:lang w:val="es-ES"/>
        </w:rPr>
        <w:t>Notificar a las partes la presente decisión; continuar con el análisis del fondo de la cuestión; y publicar esta decisión e incluirla en su Informe Anual a la Asamblea General de la Organización de los Estados Americanos.</w:t>
      </w:r>
    </w:p>
    <w:p w14:paraId="59CC7EB2" w14:textId="2F0B0860" w:rsidR="006302E6" w:rsidRPr="00A37B82" w:rsidRDefault="006302E6" w:rsidP="006302E6">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7</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julio</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Antonia Urrejola, Primera Vicepresidenta;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y Julissa Mantilla Falcón,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sectPr w:rsidR="006302E6" w:rsidRPr="00A37B82" w:rsidSect="00A95C81">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FC7ED2" w14:textId="77777777" w:rsidR="00BD5BB6" w:rsidRDefault="00BD5BB6">
      <w:r>
        <w:separator/>
      </w:r>
    </w:p>
  </w:endnote>
  <w:endnote w:type="continuationSeparator" w:id="0">
    <w:p w14:paraId="7D383734" w14:textId="77777777" w:rsidR="00BD5BB6" w:rsidRDefault="00BD5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3C1F" w14:textId="77777777" w:rsidR="005D6EBD" w:rsidRDefault="005D6E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60BD9ED4"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5D6EBD">
          <w:rPr>
            <w:noProof/>
            <w:sz w:val="16"/>
            <w:szCs w:val="22"/>
          </w:rPr>
          <w:t>3</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2C1D36" w14:textId="77777777" w:rsidR="00BD5BB6" w:rsidRPr="000F35ED" w:rsidRDefault="00BD5BB6">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5ACECE43" w14:textId="77777777" w:rsidR="00BD5BB6" w:rsidRPr="000F35ED" w:rsidRDefault="00BD5BB6" w:rsidP="000F35ED">
      <w:pPr>
        <w:rPr>
          <w:rFonts w:asciiTheme="majorHAnsi" w:hAnsiTheme="majorHAnsi"/>
          <w:sz w:val="16"/>
          <w:szCs w:val="16"/>
        </w:rPr>
      </w:pPr>
      <w:r w:rsidRPr="000F35ED">
        <w:rPr>
          <w:rFonts w:asciiTheme="majorHAnsi" w:hAnsiTheme="majorHAnsi"/>
          <w:sz w:val="16"/>
          <w:szCs w:val="16"/>
        </w:rPr>
        <w:separator/>
      </w:r>
    </w:p>
    <w:p w14:paraId="4ACBB59C" w14:textId="77777777" w:rsidR="00BD5BB6" w:rsidRPr="000F35ED" w:rsidRDefault="00BD5BB6"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7FC875A8" w14:textId="77777777" w:rsidR="00BD5BB6" w:rsidRPr="000F35ED" w:rsidRDefault="00BD5BB6"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AD1186" w14:textId="1FFF4B0F" w:rsidR="00453CAE" w:rsidRPr="004D5AB1" w:rsidRDefault="006302E6">
      <w:pPr>
        <w:pStyle w:val="FootnoteText"/>
        <w:rPr>
          <w:rFonts w:ascii="Cambria" w:hAnsi="Cambria"/>
          <w:sz w:val="16"/>
          <w:szCs w:val="16"/>
          <w:lang w:val="es-ES"/>
        </w:rPr>
      </w:pPr>
      <w:r>
        <w:rPr>
          <w:rFonts w:ascii="Cambria" w:hAnsi="Cambria"/>
          <w:sz w:val="16"/>
          <w:szCs w:val="16"/>
          <w:lang w:val="es-ES"/>
        </w:rPr>
        <w:tab/>
      </w:r>
      <w:r w:rsidR="00453CAE" w:rsidRPr="00212933">
        <w:rPr>
          <w:rFonts w:ascii="Cambria" w:hAnsi="Cambria"/>
          <w:sz w:val="16"/>
          <w:szCs w:val="16"/>
          <w:vertAlign w:val="superscript"/>
          <w:lang w:val="es-ES"/>
        </w:rPr>
        <w:footnoteRef/>
      </w:r>
      <w:r w:rsidR="0045240C">
        <w:rPr>
          <w:rFonts w:ascii="Cambria" w:hAnsi="Cambria"/>
          <w:sz w:val="16"/>
          <w:szCs w:val="16"/>
          <w:lang w:val="es-ES"/>
        </w:rPr>
        <w:t xml:space="preserve"> </w:t>
      </w:r>
      <w:r w:rsidR="0045240C" w:rsidRPr="0045240C">
        <w:rPr>
          <w:rFonts w:ascii="Cambria" w:hAnsi="Cambria"/>
          <w:sz w:val="16"/>
          <w:szCs w:val="16"/>
          <w:lang w:val="es-ES"/>
        </w:rPr>
        <w:t>Juan Manuel Cardozo,</w:t>
      </w:r>
      <w:r w:rsidR="0045240C">
        <w:rPr>
          <w:rFonts w:ascii="Cambria" w:hAnsi="Cambria"/>
          <w:sz w:val="16"/>
          <w:szCs w:val="16"/>
          <w:lang w:val="es-ES"/>
        </w:rPr>
        <w:t xml:space="preserve"> Leonardo Ariel Rosales </w:t>
      </w:r>
      <w:r w:rsidR="00453CAE" w:rsidRPr="004D5AB1">
        <w:rPr>
          <w:rFonts w:ascii="Cambria" w:hAnsi="Cambria"/>
          <w:sz w:val="16"/>
          <w:szCs w:val="16"/>
          <w:lang w:val="es-ES"/>
        </w:rPr>
        <w:t>y otros (en el anexo adjunto se aporta una lista de las demás presuntas víctimas)</w:t>
      </w:r>
      <w:r w:rsidR="00862753">
        <w:rPr>
          <w:rFonts w:ascii="Cambria" w:hAnsi="Cambria"/>
          <w:sz w:val="16"/>
          <w:szCs w:val="16"/>
          <w:lang w:val="es-ES"/>
        </w:rPr>
        <w:t>.</w:t>
      </w:r>
    </w:p>
  </w:footnote>
  <w:footnote w:id="3">
    <w:p w14:paraId="215EEB52" w14:textId="67421BE4" w:rsidR="00BF514A" w:rsidRPr="004D5AB1" w:rsidRDefault="006302E6" w:rsidP="00DD061E">
      <w:pPr>
        <w:pStyle w:val="FootnoteText"/>
        <w:jc w:val="both"/>
        <w:rPr>
          <w:rFonts w:ascii="Cambria" w:hAnsi="Cambria"/>
          <w:sz w:val="16"/>
          <w:szCs w:val="16"/>
          <w:lang w:val="es-ES"/>
        </w:rPr>
      </w:pPr>
      <w:r>
        <w:rPr>
          <w:rFonts w:ascii="Cambria" w:hAnsi="Cambria"/>
          <w:sz w:val="16"/>
          <w:szCs w:val="16"/>
          <w:vertAlign w:val="superscript"/>
          <w:lang w:val="es-ES"/>
        </w:rPr>
        <w:tab/>
      </w:r>
      <w:r w:rsidR="00BF514A" w:rsidRPr="00212933">
        <w:rPr>
          <w:rFonts w:ascii="Cambria" w:hAnsi="Cambria"/>
          <w:sz w:val="16"/>
          <w:szCs w:val="16"/>
          <w:vertAlign w:val="superscript"/>
          <w:lang w:val="es-ES"/>
        </w:rPr>
        <w:footnoteRef/>
      </w:r>
      <w:r w:rsidR="00BF514A" w:rsidRPr="00212933">
        <w:rPr>
          <w:rFonts w:ascii="Cambria" w:hAnsi="Cambria"/>
          <w:sz w:val="16"/>
          <w:szCs w:val="16"/>
          <w:vertAlign w:val="superscript"/>
          <w:lang w:val="es-ES"/>
        </w:rPr>
        <w:t xml:space="preserve"> </w:t>
      </w:r>
      <w:r w:rsidR="00BF514A" w:rsidRPr="004D5AB1">
        <w:rPr>
          <w:rFonts w:ascii="Cambria" w:hAnsi="Cambria"/>
          <w:sz w:val="16"/>
          <w:szCs w:val="16"/>
          <w:lang w:val="es-ES"/>
        </w:rPr>
        <w:t>En adelante “la Convención Americana” o “la Convención”.</w:t>
      </w:r>
    </w:p>
  </w:footnote>
  <w:footnote w:id="4">
    <w:p w14:paraId="6169A696" w14:textId="058BE33F" w:rsidR="009350D1" w:rsidRPr="004D5AB1" w:rsidRDefault="006302E6">
      <w:pPr>
        <w:pStyle w:val="FootnoteText"/>
        <w:rPr>
          <w:rFonts w:ascii="Cambria" w:hAnsi="Cambria"/>
          <w:sz w:val="16"/>
          <w:szCs w:val="16"/>
          <w:lang w:val="es-ES"/>
        </w:rPr>
      </w:pPr>
      <w:r>
        <w:rPr>
          <w:rFonts w:ascii="Cambria" w:hAnsi="Cambria"/>
          <w:sz w:val="16"/>
          <w:szCs w:val="16"/>
          <w:vertAlign w:val="superscript"/>
          <w:lang w:val="es-ES"/>
        </w:rPr>
        <w:tab/>
      </w:r>
      <w:r w:rsidR="009350D1" w:rsidRPr="00212933">
        <w:rPr>
          <w:rFonts w:ascii="Cambria" w:hAnsi="Cambria"/>
          <w:sz w:val="16"/>
          <w:szCs w:val="16"/>
          <w:vertAlign w:val="superscript"/>
          <w:lang w:val="es-ES"/>
        </w:rPr>
        <w:footnoteRef/>
      </w:r>
      <w:r w:rsidR="009350D1" w:rsidRPr="00212933">
        <w:rPr>
          <w:rFonts w:ascii="Cambria" w:hAnsi="Cambria"/>
          <w:sz w:val="16"/>
          <w:szCs w:val="16"/>
          <w:vertAlign w:val="superscript"/>
          <w:lang w:val="es-ES"/>
        </w:rPr>
        <w:t xml:space="preserve"> </w:t>
      </w:r>
      <w:r w:rsidR="00B12D9F" w:rsidRPr="004D5AB1">
        <w:rPr>
          <w:rFonts w:ascii="Cambria" w:hAnsi="Cambria"/>
          <w:sz w:val="16"/>
          <w:szCs w:val="16"/>
          <w:lang w:val="es-ES"/>
        </w:rPr>
        <w:t>En lo particular se invocaron los artícul</w:t>
      </w:r>
      <w:r w:rsidR="009350D1" w:rsidRPr="004D5AB1">
        <w:rPr>
          <w:rFonts w:ascii="Cambria" w:hAnsi="Cambria"/>
          <w:sz w:val="16"/>
          <w:szCs w:val="16"/>
          <w:lang w:val="es-ES"/>
        </w:rPr>
        <w:t xml:space="preserve">os 37 y 40 de la Convención sobre los Derechos del Niño. </w:t>
      </w:r>
    </w:p>
  </w:footnote>
  <w:footnote w:id="5">
    <w:p w14:paraId="79F07139" w14:textId="276C3663" w:rsidR="008E3BFE" w:rsidRPr="004D5AB1" w:rsidRDefault="006302E6" w:rsidP="00DD061E">
      <w:pPr>
        <w:pStyle w:val="FootnoteText"/>
        <w:jc w:val="both"/>
        <w:rPr>
          <w:rFonts w:ascii="Cambria" w:hAnsi="Cambria"/>
          <w:sz w:val="16"/>
          <w:szCs w:val="16"/>
          <w:lang w:val="es-ES"/>
        </w:rPr>
      </w:pPr>
      <w:r>
        <w:rPr>
          <w:rFonts w:ascii="Cambria" w:hAnsi="Cambria"/>
          <w:sz w:val="16"/>
          <w:szCs w:val="16"/>
          <w:vertAlign w:val="superscript"/>
          <w:lang w:val="es-ES"/>
        </w:rPr>
        <w:tab/>
      </w:r>
      <w:r w:rsidR="008E3BFE" w:rsidRPr="00212933">
        <w:rPr>
          <w:sz w:val="16"/>
          <w:szCs w:val="16"/>
          <w:vertAlign w:val="superscript"/>
          <w:lang w:val="es-ES"/>
        </w:rPr>
        <w:footnoteRef/>
      </w:r>
      <w:r w:rsidR="008E3BFE" w:rsidRPr="00212933">
        <w:rPr>
          <w:rFonts w:ascii="Cambria" w:hAnsi="Cambria"/>
          <w:sz w:val="16"/>
          <w:szCs w:val="16"/>
          <w:vertAlign w:val="superscript"/>
          <w:lang w:val="es-ES"/>
        </w:rPr>
        <w:t xml:space="preserve"> </w:t>
      </w:r>
      <w:r w:rsidR="008E3BFE" w:rsidRPr="004D5AB1">
        <w:rPr>
          <w:rFonts w:ascii="Cambria" w:hAnsi="Cambria"/>
          <w:sz w:val="16"/>
          <w:szCs w:val="16"/>
          <w:lang w:val="es-ES"/>
        </w:rPr>
        <w:t>Las observaciones de cada parte fueron debidamente trasladadas a la parte contraria.</w:t>
      </w:r>
    </w:p>
  </w:footnote>
  <w:footnote w:id="6">
    <w:p w14:paraId="289C00B6" w14:textId="79DC66F5" w:rsidR="00483F0E" w:rsidRPr="005813A7" w:rsidRDefault="006302E6" w:rsidP="00483F0E">
      <w:pPr>
        <w:pStyle w:val="FootnoteText"/>
        <w:rPr>
          <w:lang w:val="es-CO"/>
        </w:rPr>
      </w:pPr>
      <w:r>
        <w:rPr>
          <w:sz w:val="16"/>
          <w:szCs w:val="16"/>
          <w:lang w:val="es-CO"/>
        </w:rPr>
        <w:tab/>
      </w:r>
      <w:r w:rsidR="00483F0E" w:rsidRPr="00987A39">
        <w:rPr>
          <w:rStyle w:val="FootnoteReference"/>
          <w:sz w:val="16"/>
          <w:szCs w:val="16"/>
        </w:rPr>
        <w:footnoteRef/>
      </w:r>
      <w:r w:rsidR="00483F0E" w:rsidRPr="00987A39">
        <w:rPr>
          <w:sz w:val="16"/>
          <w:szCs w:val="16"/>
          <w:lang w:val="es-CO"/>
        </w:rPr>
        <w:t xml:space="preserve"> </w:t>
      </w:r>
      <w:r w:rsidR="00483F0E" w:rsidRPr="004D5AB1">
        <w:rPr>
          <w:rFonts w:ascii="Cambria" w:hAnsi="Cambria"/>
          <w:sz w:val="16"/>
          <w:szCs w:val="16"/>
          <w:lang w:val="es-ES"/>
        </w:rPr>
        <w:t>Régimen Penal de Minoridad y los Dispositivos Penales Juveniles.</w:t>
      </w:r>
    </w:p>
  </w:footnote>
  <w:footnote w:id="7">
    <w:p w14:paraId="4B9BBF18" w14:textId="42DA66B3" w:rsidR="00533C1E" w:rsidRPr="00987A39" w:rsidRDefault="006302E6" w:rsidP="001E14C9">
      <w:pPr>
        <w:pStyle w:val="FootnoteText"/>
        <w:jc w:val="both"/>
        <w:rPr>
          <w:rFonts w:asciiTheme="majorHAnsi" w:hAnsiTheme="majorHAnsi"/>
          <w:sz w:val="16"/>
          <w:szCs w:val="16"/>
          <w:lang w:val="es-ES"/>
        </w:rPr>
      </w:pPr>
      <w:r>
        <w:rPr>
          <w:rFonts w:asciiTheme="majorHAnsi" w:hAnsiTheme="majorHAnsi"/>
          <w:sz w:val="16"/>
          <w:szCs w:val="16"/>
          <w:lang w:val="es-CO"/>
        </w:rPr>
        <w:tab/>
      </w:r>
      <w:r w:rsidR="00533C1E" w:rsidRPr="00987A39">
        <w:rPr>
          <w:rStyle w:val="FootnoteReference"/>
          <w:rFonts w:asciiTheme="majorHAnsi" w:hAnsiTheme="majorHAnsi"/>
          <w:sz w:val="16"/>
          <w:szCs w:val="16"/>
        </w:rPr>
        <w:footnoteRef/>
      </w:r>
      <w:r w:rsidR="00533C1E" w:rsidRPr="00987A39">
        <w:rPr>
          <w:rFonts w:asciiTheme="majorHAnsi" w:hAnsiTheme="majorHAnsi"/>
          <w:sz w:val="16"/>
          <w:szCs w:val="16"/>
          <w:lang w:val="es-CO"/>
        </w:rPr>
        <w:t xml:space="preserve"> </w:t>
      </w:r>
      <w:r w:rsidR="001E14C9" w:rsidRPr="00987A39">
        <w:rPr>
          <w:rFonts w:asciiTheme="majorHAnsi" w:hAnsiTheme="majorHAnsi"/>
          <w:sz w:val="16"/>
          <w:szCs w:val="16"/>
          <w:lang w:val="es-ES"/>
        </w:rPr>
        <w:t>La lista de las víctimas dentro del proceso de habeas corpus se encuentra en el Anexo 1 del presente informe.</w:t>
      </w:r>
    </w:p>
  </w:footnote>
  <w:footnote w:id="8">
    <w:p w14:paraId="0F143C16" w14:textId="13A402AD" w:rsidR="002724AE" w:rsidRPr="00987A39" w:rsidRDefault="006302E6" w:rsidP="002724AE">
      <w:pPr>
        <w:pStyle w:val="FootnoteText"/>
        <w:rPr>
          <w:rFonts w:ascii="Cambria" w:hAnsi="Cambria"/>
          <w:lang w:val="es-CO"/>
        </w:rPr>
      </w:pPr>
      <w:r>
        <w:rPr>
          <w:rFonts w:ascii="Cambria" w:eastAsia="Arial Unicode MS" w:hAnsi="Cambria" w:cs="Times New Roman"/>
          <w:color w:val="auto"/>
          <w:sz w:val="16"/>
          <w:lang w:val="es-ES" w:eastAsia="en-US"/>
        </w:rPr>
        <w:tab/>
      </w:r>
      <w:r w:rsidR="002724AE" w:rsidRPr="00FD3EF9">
        <w:rPr>
          <w:rFonts w:ascii="Cambria" w:eastAsia="Arial Unicode MS" w:hAnsi="Cambria" w:cs="Times New Roman"/>
          <w:color w:val="auto"/>
          <w:sz w:val="16"/>
          <w:vertAlign w:val="superscript"/>
          <w:lang w:val="es-ES" w:eastAsia="en-US"/>
        </w:rPr>
        <w:footnoteRef/>
      </w:r>
      <w:r w:rsidR="002724AE" w:rsidRPr="00987A39">
        <w:rPr>
          <w:rFonts w:ascii="Cambria" w:eastAsia="Arial Unicode MS" w:hAnsi="Cambria" w:cs="Times New Roman"/>
          <w:color w:val="auto"/>
          <w:sz w:val="16"/>
          <w:lang w:val="es-ES" w:eastAsia="en-US"/>
        </w:rPr>
        <w:t xml:space="preserve"> Corte I.D.H., El Hábeas Corpus Bajo Suspensión de Garantías (arts. 27.2, 25.1 y 7.6 Convención Americana sobre Derechos Humanos). Opinión Consultiva OC-8/87 del 30 de enero de 1987. Serie A No. 8. Párr</w:t>
      </w:r>
      <w:r w:rsidR="002724AE">
        <w:rPr>
          <w:rFonts w:ascii="Cambria" w:eastAsia="Arial Unicode MS" w:hAnsi="Cambria" w:cs="Times New Roman"/>
          <w:color w:val="auto"/>
          <w:sz w:val="16"/>
          <w:lang w:val="es-ES" w:eastAsia="en-US"/>
        </w:rPr>
        <w:t>.</w:t>
      </w:r>
      <w:r w:rsidR="002724AE" w:rsidRPr="00987A39">
        <w:rPr>
          <w:rFonts w:ascii="Cambria" w:eastAsia="Arial Unicode MS" w:hAnsi="Cambria" w:cs="Times New Roman"/>
          <w:color w:val="auto"/>
          <w:sz w:val="16"/>
          <w:lang w:val="es-ES" w:eastAsia="en-US"/>
        </w:rPr>
        <w:t xml:space="preserve"> 35.</w:t>
      </w:r>
    </w:p>
  </w:footnote>
  <w:footnote w:id="9">
    <w:p w14:paraId="1651DFED" w14:textId="470DBBCC" w:rsidR="002724AE" w:rsidRPr="00987A39" w:rsidRDefault="006302E6" w:rsidP="002724AE">
      <w:pPr>
        <w:pStyle w:val="FootnoteText"/>
        <w:rPr>
          <w:rFonts w:ascii="Cambria" w:hAnsi="Cambria"/>
          <w:lang w:val="es-CO"/>
        </w:rPr>
      </w:pPr>
      <w:r>
        <w:rPr>
          <w:rFonts w:ascii="Cambria" w:eastAsia="Arial Unicode MS" w:hAnsi="Cambria" w:cs="Times New Roman"/>
          <w:color w:val="auto"/>
          <w:sz w:val="16"/>
          <w:vertAlign w:val="superscript"/>
          <w:lang w:val="es-ES" w:eastAsia="en-US"/>
        </w:rPr>
        <w:tab/>
      </w:r>
      <w:r w:rsidR="002724AE" w:rsidRPr="00987A39">
        <w:rPr>
          <w:rFonts w:ascii="Cambria" w:eastAsia="Arial Unicode MS" w:hAnsi="Cambria" w:cs="Times New Roman"/>
          <w:color w:val="auto"/>
          <w:sz w:val="16"/>
          <w:vertAlign w:val="superscript"/>
          <w:lang w:val="es-ES" w:eastAsia="en-US"/>
        </w:rPr>
        <w:footnoteRef/>
      </w:r>
      <w:r w:rsidR="002724AE" w:rsidRPr="00987A39">
        <w:rPr>
          <w:rFonts w:ascii="Cambria" w:eastAsia="Arial Unicode MS" w:hAnsi="Cambria" w:cs="Times New Roman"/>
          <w:color w:val="auto"/>
          <w:sz w:val="16"/>
          <w:vertAlign w:val="superscript"/>
          <w:lang w:val="es-ES" w:eastAsia="en-US"/>
        </w:rPr>
        <w:t xml:space="preserve"> </w:t>
      </w:r>
      <w:r w:rsidR="002724AE" w:rsidRPr="00987A39">
        <w:rPr>
          <w:rFonts w:ascii="Cambria" w:eastAsia="Arial Unicode MS" w:hAnsi="Cambria" w:cs="Times New Roman"/>
          <w:color w:val="auto"/>
          <w:sz w:val="16"/>
          <w:lang w:val="es-ES" w:eastAsia="en-US"/>
        </w:rPr>
        <w:t xml:space="preserve">Ver informe No. 16/08. Caso 12.359. Cristina Aguayo Ortiz y otros. Paraguay. 6 de marzo de 2008. </w:t>
      </w:r>
      <w:r w:rsidR="002724AE">
        <w:rPr>
          <w:rFonts w:ascii="Cambria" w:eastAsia="Arial Unicode MS" w:hAnsi="Cambria" w:cs="Times New Roman"/>
          <w:color w:val="auto"/>
          <w:sz w:val="16"/>
          <w:lang w:val="es-CO" w:eastAsia="en-US"/>
        </w:rPr>
        <w:t>Pá</w:t>
      </w:r>
      <w:r w:rsidR="002724AE" w:rsidRPr="00987A39">
        <w:rPr>
          <w:rFonts w:ascii="Cambria" w:eastAsia="Arial Unicode MS" w:hAnsi="Cambria" w:cs="Times New Roman"/>
          <w:color w:val="auto"/>
          <w:sz w:val="16"/>
          <w:lang w:val="es-CO" w:eastAsia="en-US"/>
        </w:rPr>
        <w:t>rr</w:t>
      </w:r>
      <w:r w:rsidR="002724AE">
        <w:rPr>
          <w:rFonts w:ascii="Cambria" w:eastAsia="Arial Unicode MS" w:hAnsi="Cambria" w:cs="Times New Roman"/>
          <w:color w:val="auto"/>
          <w:sz w:val="16"/>
          <w:lang w:val="es-CO" w:eastAsia="en-US"/>
        </w:rPr>
        <w:t>.</w:t>
      </w:r>
      <w:r w:rsidR="002724AE" w:rsidRPr="00987A39">
        <w:rPr>
          <w:rFonts w:ascii="Cambria" w:eastAsia="Arial Unicode MS" w:hAnsi="Cambria" w:cs="Times New Roman"/>
          <w:color w:val="auto"/>
          <w:sz w:val="16"/>
          <w:lang w:val="es-CO" w:eastAsia="en-US"/>
        </w:rPr>
        <w:t xml:space="preserve"> 65, 72 al 84.</w:t>
      </w:r>
    </w:p>
  </w:footnote>
  <w:footnote w:id="10">
    <w:p w14:paraId="4C551E71" w14:textId="7D405AB1" w:rsidR="00F272AA" w:rsidRPr="00286D2B" w:rsidRDefault="006302E6" w:rsidP="00286D2B">
      <w:pPr>
        <w:pStyle w:val="FootnoteText"/>
        <w:jc w:val="both"/>
        <w:rPr>
          <w:rFonts w:asciiTheme="majorHAnsi" w:hAnsiTheme="majorHAnsi"/>
          <w:sz w:val="16"/>
          <w:szCs w:val="16"/>
          <w:lang w:val="es-MX"/>
        </w:rPr>
      </w:pPr>
      <w:r>
        <w:rPr>
          <w:rFonts w:asciiTheme="majorHAnsi" w:hAnsiTheme="majorHAnsi"/>
          <w:sz w:val="16"/>
          <w:szCs w:val="16"/>
          <w:lang w:val="es-MX"/>
        </w:rPr>
        <w:tab/>
      </w:r>
      <w:r w:rsidR="00F272AA" w:rsidRPr="00BB170B">
        <w:rPr>
          <w:rStyle w:val="FootnoteReference"/>
          <w:rFonts w:asciiTheme="majorHAnsi" w:hAnsiTheme="majorHAnsi"/>
          <w:sz w:val="16"/>
          <w:szCs w:val="16"/>
        </w:rPr>
        <w:footnoteRef/>
      </w:r>
      <w:r w:rsidR="00F272AA" w:rsidRPr="00BB170B">
        <w:rPr>
          <w:rFonts w:asciiTheme="majorHAnsi" w:hAnsiTheme="majorHAnsi"/>
          <w:sz w:val="16"/>
          <w:szCs w:val="16"/>
          <w:lang w:val="es-MX"/>
        </w:rPr>
        <w:t xml:space="preserve"> CIDH, Informe No. 16/18, Petición 884-07. Admisibilidad. Victoria Piedad Palacios Tejada de Saavedra. </w:t>
      </w:r>
      <w:r w:rsidR="00F272AA" w:rsidRPr="00286D2B">
        <w:rPr>
          <w:rFonts w:asciiTheme="majorHAnsi" w:hAnsiTheme="majorHAnsi"/>
          <w:sz w:val="16"/>
          <w:szCs w:val="16"/>
          <w:lang w:val="es-MX"/>
        </w:rPr>
        <w:t>Perú. 24 de febrero de 2018, párr.12.</w:t>
      </w:r>
    </w:p>
  </w:footnote>
  <w:footnote w:id="11">
    <w:p w14:paraId="47DE3ABE" w14:textId="0012258F" w:rsidR="00286D2B" w:rsidRPr="00286D2B" w:rsidRDefault="006302E6" w:rsidP="00286D2B">
      <w:pPr>
        <w:pStyle w:val="FootnoteText"/>
        <w:jc w:val="both"/>
        <w:rPr>
          <w:lang w:val="es-MX"/>
        </w:rPr>
      </w:pPr>
      <w:r>
        <w:rPr>
          <w:lang w:val="es-MX"/>
        </w:rPr>
        <w:tab/>
      </w:r>
      <w:r w:rsidR="00286D2B">
        <w:rPr>
          <w:rStyle w:val="FootnoteReference"/>
        </w:rPr>
        <w:footnoteRef/>
      </w:r>
      <w:r w:rsidR="00286D2B" w:rsidRPr="00286D2B">
        <w:rPr>
          <w:lang w:val="es-MX"/>
        </w:rPr>
        <w:t xml:space="preserve"> </w:t>
      </w:r>
      <w:r w:rsidR="00286D2B" w:rsidRPr="00286D2B">
        <w:rPr>
          <w:rFonts w:asciiTheme="majorHAnsi" w:hAnsiTheme="majorHAnsi"/>
          <w:sz w:val="16"/>
          <w:szCs w:val="16"/>
          <w:lang w:val="es-MX"/>
        </w:rPr>
        <w:t xml:space="preserve">Ver CIDH, Informe No. 89/17, Petición 788-08. </w:t>
      </w:r>
      <w:proofErr w:type="spellStart"/>
      <w:r w:rsidR="00286D2B" w:rsidRPr="00286D2B">
        <w:rPr>
          <w:rFonts w:asciiTheme="majorHAnsi" w:hAnsiTheme="majorHAnsi"/>
          <w:sz w:val="16"/>
          <w:szCs w:val="16"/>
        </w:rPr>
        <w:t>Admisibilidad</w:t>
      </w:r>
      <w:proofErr w:type="spellEnd"/>
      <w:r w:rsidR="00286D2B" w:rsidRPr="00286D2B">
        <w:rPr>
          <w:rFonts w:asciiTheme="majorHAnsi" w:hAnsiTheme="majorHAnsi"/>
          <w:sz w:val="16"/>
          <w:szCs w:val="16"/>
        </w:rPr>
        <w:t xml:space="preserve">. Curtis Armstrong A.K.A. Tyrone </w:t>
      </w:r>
      <w:proofErr w:type="spellStart"/>
      <w:r w:rsidR="00286D2B" w:rsidRPr="00286D2B">
        <w:rPr>
          <w:rFonts w:asciiTheme="majorHAnsi" w:hAnsiTheme="majorHAnsi"/>
          <w:sz w:val="16"/>
          <w:szCs w:val="16"/>
        </w:rPr>
        <w:t>Traill</w:t>
      </w:r>
      <w:proofErr w:type="spellEnd"/>
      <w:r w:rsidR="00286D2B" w:rsidRPr="00286D2B">
        <w:rPr>
          <w:rFonts w:asciiTheme="majorHAnsi" w:hAnsiTheme="majorHAnsi"/>
          <w:sz w:val="16"/>
          <w:szCs w:val="16"/>
        </w:rPr>
        <w:t xml:space="preserve">. </w:t>
      </w:r>
      <w:r w:rsidR="00286D2B" w:rsidRPr="00286D2B">
        <w:rPr>
          <w:rFonts w:asciiTheme="majorHAnsi" w:hAnsiTheme="majorHAnsi"/>
          <w:sz w:val="16"/>
          <w:szCs w:val="16"/>
          <w:lang w:val="es-MX"/>
        </w:rPr>
        <w:t>Jamaica. 7 de julio de 2017, párr. 10</w:t>
      </w:r>
    </w:p>
  </w:footnote>
  <w:footnote w:id="12">
    <w:p w14:paraId="23FE3A7A" w14:textId="35AD911F" w:rsidR="00A158AC" w:rsidRPr="000C50C4" w:rsidRDefault="006302E6">
      <w:pPr>
        <w:pStyle w:val="FootnoteText"/>
        <w:rPr>
          <w:lang w:val="es-CO"/>
        </w:rPr>
      </w:pPr>
      <w:r>
        <w:rPr>
          <w:rFonts w:ascii="Cambria" w:eastAsia="Arial Unicode MS" w:hAnsi="Cambria" w:cs="Times New Roman"/>
          <w:color w:val="auto"/>
          <w:sz w:val="16"/>
          <w:vertAlign w:val="superscript"/>
          <w:lang w:val="es-ES" w:eastAsia="en-US"/>
        </w:rPr>
        <w:tab/>
      </w:r>
      <w:r w:rsidR="00A158AC" w:rsidRPr="00987A39">
        <w:rPr>
          <w:rFonts w:ascii="Cambria" w:eastAsia="Arial Unicode MS" w:hAnsi="Cambria" w:cs="Times New Roman"/>
          <w:color w:val="auto"/>
          <w:sz w:val="16"/>
          <w:vertAlign w:val="superscript"/>
          <w:lang w:val="es-ES" w:eastAsia="en-US"/>
        </w:rPr>
        <w:footnoteRef/>
      </w:r>
      <w:r w:rsidR="00A158AC" w:rsidRPr="00987A39">
        <w:rPr>
          <w:rFonts w:ascii="Cambria" w:eastAsia="Arial Unicode MS" w:hAnsi="Cambria" w:cs="Times New Roman"/>
          <w:color w:val="auto"/>
          <w:sz w:val="16"/>
          <w:vertAlign w:val="superscript"/>
          <w:lang w:val="es-ES" w:eastAsia="en-US"/>
        </w:rPr>
        <w:t xml:space="preserve"> </w:t>
      </w:r>
      <w:r w:rsidR="00A158AC" w:rsidRPr="00987A39">
        <w:rPr>
          <w:rFonts w:ascii="Cambria" w:eastAsia="Arial Unicode MS" w:hAnsi="Cambria" w:cs="Times New Roman"/>
          <w:color w:val="auto"/>
          <w:sz w:val="16"/>
          <w:lang w:val="es-ES" w:eastAsia="en-US"/>
        </w:rPr>
        <w:t xml:space="preserve">Ver informe No. 41/99. </w:t>
      </w:r>
      <w:r w:rsidR="00641E7B" w:rsidRPr="00987A39">
        <w:rPr>
          <w:rFonts w:ascii="Cambria" w:eastAsia="Arial Unicode MS" w:hAnsi="Cambria" w:cs="Times New Roman"/>
          <w:color w:val="auto"/>
          <w:sz w:val="16"/>
          <w:lang w:val="es-ES" w:eastAsia="en-US"/>
        </w:rPr>
        <w:t>Caso</w:t>
      </w:r>
      <w:r w:rsidR="000872CD" w:rsidRPr="00987A39">
        <w:rPr>
          <w:rFonts w:ascii="Cambria" w:eastAsia="Arial Unicode MS" w:hAnsi="Cambria" w:cs="Times New Roman"/>
          <w:color w:val="auto"/>
          <w:sz w:val="16"/>
          <w:lang w:val="es-ES" w:eastAsia="en-US"/>
        </w:rPr>
        <w:t xml:space="preserve"> 11.491</w:t>
      </w:r>
      <w:r w:rsidR="00641E7B" w:rsidRPr="00987A39">
        <w:rPr>
          <w:rFonts w:ascii="Cambria" w:eastAsia="Arial Unicode MS" w:hAnsi="Cambria" w:cs="Times New Roman"/>
          <w:color w:val="auto"/>
          <w:sz w:val="16"/>
          <w:lang w:val="es-ES" w:eastAsia="en-US"/>
        </w:rPr>
        <w:t xml:space="preserve">. </w:t>
      </w:r>
      <w:r w:rsidR="00A158AC" w:rsidRPr="00987A39">
        <w:rPr>
          <w:rFonts w:ascii="Cambria" w:eastAsia="Arial Unicode MS" w:hAnsi="Cambria" w:cs="Times New Roman"/>
          <w:color w:val="auto"/>
          <w:sz w:val="16"/>
          <w:lang w:val="es-ES" w:eastAsia="en-US"/>
        </w:rPr>
        <w:t xml:space="preserve">Menores detenidos. Honduras. </w:t>
      </w:r>
      <w:r w:rsidR="00D022EC" w:rsidRPr="00987A39">
        <w:rPr>
          <w:rFonts w:ascii="Cambria" w:eastAsia="Arial Unicode MS" w:hAnsi="Cambria" w:cs="Times New Roman"/>
          <w:color w:val="auto"/>
          <w:sz w:val="16"/>
          <w:lang w:val="es-ES" w:eastAsia="en-US"/>
        </w:rPr>
        <w:t>10 de marzo de 1999. Párr</w:t>
      </w:r>
      <w:r w:rsidR="00E64BEB">
        <w:rPr>
          <w:rFonts w:ascii="Cambria" w:eastAsia="Arial Unicode MS" w:hAnsi="Cambria" w:cs="Times New Roman"/>
          <w:color w:val="auto"/>
          <w:sz w:val="16"/>
          <w:lang w:val="es-ES" w:eastAsia="en-US"/>
        </w:rPr>
        <w:t>.</w:t>
      </w:r>
      <w:r w:rsidR="00D022EC" w:rsidRPr="00987A39">
        <w:rPr>
          <w:rFonts w:ascii="Cambria" w:eastAsia="Arial Unicode MS" w:hAnsi="Cambria" w:cs="Times New Roman"/>
          <w:color w:val="auto"/>
          <w:sz w:val="16"/>
          <w:lang w:val="es-ES" w:eastAsia="en-US"/>
        </w:rPr>
        <w:t xml:space="preserve"> 57.</w:t>
      </w:r>
      <w:r w:rsidR="00A36980" w:rsidRPr="00987A39">
        <w:rPr>
          <w:rFonts w:ascii="Cambria" w:eastAsia="Arial Unicode MS" w:hAnsi="Cambria" w:cs="Times New Roman"/>
          <w:color w:val="auto"/>
          <w:sz w:val="16"/>
          <w:lang w:val="es-ES" w:eastAsia="en-US"/>
        </w:rPr>
        <w:t xml:space="preserve"> </w:t>
      </w:r>
      <w:r w:rsidR="00A158AC" w:rsidRPr="00987A39">
        <w:rPr>
          <w:rFonts w:ascii="Cambria" w:eastAsia="Arial Unicode MS" w:hAnsi="Cambria" w:cs="Times New Roman"/>
          <w:color w:val="auto"/>
          <w:sz w:val="16"/>
          <w:lang w:val="es-ES" w:eastAsia="en-US"/>
        </w:rPr>
        <w:t xml:space="preserve">/ Informe No. 16/08. </w:t>
      </w:r>
      <w:r w:rsidR="00641E7B" w:rsidRPr="00987A39">
        <w:rPr>
          <w:rFonts w:ascii="Cambria" w:eastAsia="Arial Unicode MS" w:hAnsi="Cambria" w:cs="Times New Roman"/>
          <w:color w:val="auto"/>
          <w:sz w:val="16"/>
          <w:lang w:val="es-ES" w:eastAsia="en-US"/>
        </w:rPr>
        <w:t xml:space="preserve">Caso 12.359. </w:t>
      </w:r>
      <w:r w:rsidR="00A158AC" w:rsidRPr="00987A39">
        <w:rPr>
          <w:rFonts w:ascii="Cambria" w:eastAsia="Arial Unicode MS" w:hAnsi="Cambria" w:cs="Times New Roman"/>
          <w:color w:val="auto"/>
          <w:sz w:val="16"/>
          <w:lang w:val="es-ES" w:eastAsia="en-US"/>
        </w:rPr>
        <w:t>Cristina Aguayo Ortiz y otros. Paraguay.</w:t>
      </w:r>
      <w:r w:rsidR="00D022EC" w:rsidRPr="00987A39">
        <w:rPr>
          <w:rFonts w:ascii="Cambria" w:eastAsia="Arial Unicode MS" w:hAnsi="Cambria" w:cs="Times New Roman"/>
          <w:color w:val="auto"/>
          <w:sz w:val="16"/>
          <w:lang w:val="es-ES" w:eastAsia="en-US"/>
        </w:rPr>
        <w:t xml:space="preserve"> 6 de marzo de 2008. Párr</w:t>
      </w:r>
      <w:r w:rsidR="00E64BEB">
        <w:rPr>
          <w:rFonts w:ascii="Cambria" w:eastAsia="Arial Unicode MS" w:hAnsi="Cambria" w:cs="Times New Roman"/>
          <w:color w:val="auto"/>
          <w:sz w:val="16"/>
          <w:lang w:val="es-ES" w:eastAsia="en-US"/>
        </w:rPr>
        <w:t>.</w:t>
      </w:r>
      <w:r w:rsidR="00D022EC" w:rsidRPr="00987A39">
        <w:rPr>
          <w:rFonts w:ascii="Cambria" w:eastAsia="Arial Unicode MS" w:hAnsi="Cambria" w:cs="Times New Roman"/>
          <w:color w:val="auto"/>
          <w:sz w:val="16"/>
          <w:lang w:val="es-ES" w:eastAsia="en-US"/>
        </w:rPr>
        <w:t xml:space="preserve"> 92.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BD5BB6"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2322E" w14:textId="77777777" w:rsidR="005D6EBD" w:rsidRDefault="005D6EB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2460"/>
        </w:tabs>
        <w:ind w:left="-246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2430"/>
        </w:tabs>
        <w:ind w:left="-243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2130"/>
        </w:tabs>
        <w:ind w:left="-213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2130"/>
        </w:tabs>
        <w:ind w:left="-213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800"/>
        </w:tabs>
        <w:ind w:left="-180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800"/>
        </w:tabs>
        <w:ind w:left="-180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470"/>
        </w:tabs>
        <w:ind w:left="-147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470"/>
        </w:tabs>
        <w:ind w:left="-147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1140"/>
        </w:tabs>
        <w:ind w:left="-114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7C54A31"/>
    <w:multiLevelType w:val="hybridMultilevel"/>
    <w:tmpl w:val="5D6EAA04"/>
    <w:lvl w:ilvl="0" w:tplc="11044AE4">
      <w:start w:val="1"/>
      <w:numFmt w:val="decimal"/>
      <w:lvlText w:val="%1."/>
      <w:lvlJc w:val="left"/>
      <w:pPr>
        <w:ind w:left="1440" w:hanging="360"/>
      </w:pPr>
      <w:rPr>
        <w:rFonts w:hint="default"/>
        <w:i w:val="0"/>
        <w:color w:val="auto"/>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58496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858E6"/>
    <w:multiLevelType w:val="hybridMultilevel"/>
    <w:tmpl w:val="8B5A6322"/>
    <w:lvl w:ilvl="0" w:tplc="0409000F">
      <w:start w:val="1"/>
      <w:numFmt w:val="decimal"/>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EBC1D58"/>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2F895479"/>
    <w:multiLevelType w:val="hybridMultilevel"/>
    <w:tmpl w:val="0A0A7C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0"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1"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0"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E223F6E"/>
    <w:multiLevelType w:val="hybridMultilevel"/>
    <w:tmpl w:val="59429088"/>
    <w:lvl w:ilvl="0" w:tplc="09DCB2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3"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5"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8" w15:restartNumberingAfterBreak="0">
    <w:nsid w:val="5B57715B"/>
    <w:multiLevelType w:val="hybridMultilevel"/>
    <w:tmpl w:val="F6B0547E"/>
    <w:lvl w:ilvl="0" w:tplc="E84E8526">
      <w:start w:val="10"/>
      <w:numFmt w:val="decimal"/>
      <w:lvlText w:val="%1."/>
      <w:lvlJc w:val="left"/>
      <w:pPr>
        <w:ind w:left="1260" w:hanging="360"/>
      </w:pPr>
      <w:rPr>
        <w:rFonts w:hint="default"/>
        <w:b w:val="0"/>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5FCF57BA"/>
    <w:multiLevelType w:val="hybridMultilevel"/>
    <w:tmpl w:val="FD2073C8"/>
    <w:lvl w:ilvl="0" w:tplc="178CDDA2">
      <w:start w:val="9"/>
      <w:numFmt w:val="decimal"/>
      <w:lvlText w:val="%1."/>
      <w:lvlJc w:val="left"/>
      <w:pPr>
        <w:ind w:left="1080" w:hanging="360"/>
      </w:pPr>
      <w:rPr>
        <w:rFonts w:eastAsia="Arial Unicode M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2" w15:restartNumberingAfterBreak="0">
    <w:nsid w:val="65483F4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3" w15:restartNumberingAfterBreak="0">
    <w:nsid w:val="65B46550"/>
    <w:multiLevelType w:val="hybridMultilevel"/>
    <w:tmpl w:val="C2FCDF0E"/>
    <w:lvl w:ilvl="0" w:tplc="5DFE6DD4">
      <w:start w:val="1"/>
      <w:numFmt w:val="decimal"/>
      <w:lvlText w:val="%1."/>
      <w:lvlJc w:val="left"/>
      <w:pPr>
        <w:ind w:left="1740" w:hanging="10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5"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1"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C64B12"/>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7"/>
  </w:num>
  <w:num w:numId="3">
    <w:abstractNumId w:val="60"/>
  </w:num>
  <w:num w:numId="4">
    <w:abstractNumId w:val="25"/>
  </w:num>
  <w:num w:numId="5">
    <w:abstractNumId w:val="54"/>
  </w:num>
  <w:num w:numId="6">
    <w:abstractNumId w:val="30"/>
  </w:num>
  <w:num w:numId="7">
    <w:abstractNumId w:val="8"/>
  </w:num>
  <w:num w:numId="8">
    <w:abstractNumId w:val="19"/>
  </w:num>
  <w:num w:numId="9">
    <w:abstractNumId w:val="45"/>
  </w:num>
  <w:num w:numId="10">
    <w:abstractNumId w:val="0"/>
  </w:num>
  <w:num w:numId="11">
    <w:abstractNumId w:val="39"/>
  </w:num>
  <w:num w:numId="12">
    <w:abstractNumId w:val="40"/>
  </w:num>
  <w:num w:numId="13">
    <w:abstractNumId w:val="47"/>
  </w:num>
  <w:num w:numId="14">
    <w:abstractNumId w:val="1"/>
  </w:num>
  <w:num w:numId="15">
    <w:abstractNumId w:val="3"/>
  </w:num>
  <w:num w:numId="16">
    <w:abstractNumId w:val="9"/>
  </w:num>
  <w:num w:numId="17">
    <w:abstractNumId w:val="10"/>
  </w:num>
  <w:num w:numId="18">
    <w:abstractNumId w:val="11"/>
  </w:num>
  <w:num w:numId="19">
    <w:abstractNumId w:val="13"/>
  </w:num>
  <w:num w:numId="20">
    <w:abstractNumId w:val="14"/>
  </w:num>
  <w:num w:numId="21">
    <w:abstractNumId w:val="15"/>
  </w:num>
  <w:num w:numId="22">
    <w:abstractNumId w:val="16"/>
  </w:num>
  <w:num w:numId="23">
    <w:abstractNumId w:val="17"/>
  </w:num>
  <w:num w:numId="24">
    <w:abstractNumId w:val="18"/>
  </w:num>
  <w:num w:numId="25">
    <w:abstractNumId w:val="20"/>
  </w:num>
  <w:num w:numId="26">
    <w:abstractNumId w:val="21"/>
  </w:num>
  <w:num w:numId="27">
    <w:abstractNumId w:val="26"/>
  </w:num>
  <w:num w:numId="28">
    <w:abstractNumId w:val="27"/>
  </w:num>
  <w:num w:numId="29">
    <w:abstractNumId w:val="28"/>
  </w:num>
  <w:num w:numId="30">
    <w:abstractNumId w:val="29"/>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42"/>
  </w:num>
  <w:num w:numId="40">
    <w:abstractNumId w:val="43"/>
  </w:num>
  <w:num w:numId="41">
    <w:abstractNumId w:val="51"/>
  </w:num>
  <w:num w:numId="42">
    <w:abstractNumId w:val="55"/>
  </w:num>
  <w:num w:numId="43">
    <w:abstractNumId w:val="56"/>
  </w:num>
  <w:num w:numId="44">
    <w:abstractNumId w:val="58"/>
  </w:num>
  <w:num w:numId="45">
    <w:abstractNumId w:val="59"/>
  </w:num>
  <w:num w:numId="46">
    <w:abstractNumId w:val="61"/>
  </w:num>
  <w:num w:numId="47">
    <w:abstractNumId w:val="62"/>
  </w:num>
  <w:num w:numId="48">
    <w:abstractNumId w:val="63"/>
  </w:num>
  <w:num w:numId="49">
    <w:abstractNumId w:val="64"/>
  </w:num>
  <w:num w:numId="50">
    <w:abstractNumId w:val="66"/>
  </w:num>
  <w:num w:numId="51">
    <w:abstractNumId w:val="24"/>
  </w:num>
  <w:num w:numId="52">
    <w:abstractNumId w:val="44"/>
  </w:num>
  <w:num w:numId="53">
    <w:abstractNumId w:val="57"/>
  </w:num>
  <w:num w:numId="54">
    <w:abstractNumId w:val="49"/>
  </w:num>
  <w:num w:numId="55">
    <w:abstractNumId w:val="6"/>
  </w:num>
  <w:num w:numId="56">
    <w:abstractNumId w:val="46"/>
  </w:num>
  <w:num w:numId="57">
    <w:abstractNumId w:val="65"/>
  </w:num>
  <w:num w:numId="58">
    <w:abstractNumId w:val="22"/>
  </w:num>
  <w:num w:numId="59">
    <w:abstractNumId w:val="4"/>
  </w:num>
  <w:num w:numId="60">
    <w:abstractNumId w:val="52"/>
  </w:num>
  <w:num w:numId="61">
    <w:abstractNumId w:val="41"/>
  </w:num>
  <w:num w:numId="62">
    <w:abstractNumId w:val="48"/>
  </w:num>
  <w:num w:numId="63">
    <w:abstractNumId w:val="50"/>
  </w:num>
  <w:num w:numId="64">
    <w:abstractNumId w:val="2"/>
  </w:num>
  <w:num w:numId="65">
    <w:abstractNumId w:val="23"/>
  </w:num>
  <w:num w:numId="66">
    <w:abstractNumId w:val="53"/>
  </w:num>
  <w:num w:numId="67">
    <w:abstractNumId w:val="12"/>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ocumentProtection w:edit="readOnly" w:enforcement="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ohYAr3kSuiwAAAA="/>
  </w:docVars>
  <w:rsids>
    <w:rsidRoot w:val="006B2D5C"/>
    <w:rsid w:val="0000036F"/>
    <w:rsid w:val="00000CDA"/>
    <w:rsid w:val="00004FD9"/>
    <w:rsid w:val="000065D0"/>
    <w:rsid w:val="00006B74"/>
    <w:rsid w:val="00006E1F"/>
    <w:rsid w:val="000070D7"/>
    <w:rsid w:val="000104F5"/>
    <w:rsid w:val="00015701"/>
    <w:rsid w:val="0001788C"/>
    <w:rsid w:val="0002186F"/>
    <w:rsid w:val="0003211B"/>
    <w:rsid w:val="000337EF"/>
    <w:rsid w:val="0004074E"/>
    <w:rsid w:val="00040C3A"/>
    <w:rsid w:val="000419AD"/>
    <w:rsid w:val="00042254"/>
    <w:rsid w:val="0005770F"/>
    <w:rsid w:val="00065220"/>
    <w:rsid w:val="000716C5"/>
    <w:rsid w:val="00075C9E"/>
    <w:rsid w:val="00075E23"/>
    <w:rsid w:val="0008026F"/>
    <w:rsid w:val="00085D38"/>
    <w:rsid w:val="000872CD"/>
    <w:rsid w:val="0008769E"/>
    <w:rsid w:val="0009006E"/>
    <w:rsid w:val="00091396"/>
    <w:rsid w:val="0009344A"/>
    <w:rsid w:val="00095F7F"/>
    <w:rsid w:val="000A19F8"/>
    <w:rsid w:val="000A20B6"/>
    <w:rsid w:val="000A3254"/>
    <w:rsid w:val="000A392E"/>
    <w:rsid w:val="000A4DEB"/>
    <w:rsid w:val="000A575F"/>
    <w:rsid w:val="000A63D0"/>
    <w:rsid w:val="000A6FEB"/>
    <w:rsid w:val="000B0579"/>
    <w:rsid w:val="000B247F"/>
    <w:rsid w:val="000C1C69"/>
    <w:rsid w:val="000C3A31"/>
    <w:rsid w:val="000C50C4"/>
    <w:rsid w:val="000D10DB"/>
    <w:rsid w:val="000D5C97"/>
    <w:rsid w:val="000D6F44"/>
    <w:rsid w:val="000E2789"/>
    <w:rsid w:val="000E2BB4"/>
    <w:rsid w:val="000E5107"/>
    <w:rsid w:val="000E5EB5"/>
    <w:rsid w:val="000F35ED"/>
    <w:rsid w:val="000F4054"/>
    <w:rsid w:val="000F54EB"/>
    <w:rsid w:val="00101854"/>
    <w:rsid w:val="00103EDC"/>
    <w:rsid w:val="00107131"/>
    <w:rsid w:val="0010736F"/>
    <w:rsid w:val="0011087F"/>
    <w:rsid w:val="00111A8A"/>
    <w:rsid w:val="00113F73"/>
    <w:rsid w:val="00116D16"/>
    <w:rsid w:val="00121CC2"/>
    <w:rsid w:val="00122A0A"/>
    <w:rsid w:val="0013187A"/>
    <w:rsid w:val="00131D8B"/>
    <w:rsid w:val="00133EE5"/>
    <w:rsid w:val="00136E3D"/>
    <w:rsid w:val="00143EFE"/>
    <w:rsid w:val="001479C0"/>
    <w:rsid w:val="00152052"/>
    <w:rsid w:val="001532EE"/>
    <w:rsid w:val="0015330B"/>
    <w:rsid w:val="00153647"/>
    <w:rsid w:val="001618CC"/>
    <w:rsid w:val="00167A34"/>
    <w:rsid w:val="00167E29"/>
    <w:rsid w:val="00170BB8"/>
    <w:rsid w:val="0017347D"/>
    <w:rsid w:val="00176BB3"/>
    <w:rsid w:val="00177EEF"/>
    <w:rsid w:val="00183062"/>
    <w:rsid w:val="001834C8"/>
    <w:rsid w:val="001901E9"/>
    <w:rsid w:val="00194172"/>
    <w:rsid w:val="001A4E48"/>
    <w:rsid w:val="001A61F0"/>
    <w:rsid w:val="001A7854"/>
    <w:rsid w:val="001A7870"/>
    <w:rsid w:val="001B3A00"/>
    <w:rsid w:val="001B4C00"/>
    <w:rsid w:val="001B7812"/>
    <w:rsid w:val="001C1B41"/>
    <w:rsid w:val="001C59F3"/>
    <w:rsid w:val="001C73A2"/>
    <w:rsid w:val="001D363A"/>
    <w:rsid w:val="001D65EF"/>
    <w:rsid w:val="001E14C9"/>
    <w:rsid w:val="001E49E7"/>
    <w:rsid w:val="001F271B"/>
    <w:rsid w:val="001F7201"/>
    <w:rsid w:val="002018F8"/>
    <w:rsid w:val="002024D8"/>
    <w:rsid w:val="00204931"/>
    <w:rsid w:val="00212933"/>
    <w:rsid w:val="00215656"/>
    <w:rsid w:val="002159DB"/>
    <w:rsid w:val="00222DE9"/>
    <w:rsid w:val="00223A29"/>
    <w:rsid w:val="002250A3"/>
    <w:rsid w:val="00231294"/>
    <w:rsid w:val="00235217"/>
    <w:rsid w:val="002355A9"/>
    <w:rsid w:val="00246D1F"/>
    <w:rsid w:val="00247403"/>
    <w:rsid w:val="00247542"/>
    <w:rsid w:val="00255067"/>
    <w:rsid w:val="00266B61"/>
    <w:rsid w:val="0026712A"/>
    <w:rsid w:val="002704DB"/>
    <w:rsid w:val="002724AE"/>
    <w:rsid w:val="00277BDA"/>
    <w:rsid w:val="00280F5D"/>
    <w:rsid w:val="00286D2B"/>
    <w:rsid w:val="00292136"/>
    <w:rsid w:val="00295539"/>
    <w:rsid w:val="0029561D"/>
    <w:rsid w:val="0029575A"/>
    <w:rsid w:val="002A0AAE"/>
    <w:rsid w:val="002A206E"/>
    <w:rsid w:val="002A5820"/>
    <w:rsid w:val="002B2E83"/>
    <w:rsid w:val="002C1BC8"/>
    <w:rsid w:val="002C300C"/>
    <w:rsid w:val="002C3350"/>
    <w:rsid w:val="002C4D33"/>
    <w:rsid w:val="002D2B26"/>
    <w:rsid w:val="002D7EA2"/>
    <w:rsid w:val="002E1254"/>
    <w:rsid w:val="002E187C"/>
    <w:rsid w:val="002E47B1"/>
    <w:rsid w:val="002E7512"/>
    <w:rsid w:val="002E7985"/>
    <w:rsid w:val="002F1C32"/>
    <w:rsid w:val="002F3724"/>
    <w:rsid w:val="00302733"/>
    <w:rsid w:val="00303E5C"/>
    <w:rsid w:val="003121D5"/>
    <w:rsid w:val="00314078"/>
    <w:rsid w:val="003152E2"/>
    <w:rsid w:val="0031535D"/>
    <w:rsid w:val="0031675D"/>
    <w:rsid w:val="003239B8"/>
    <w:rsid w:val="0033169F"/>
    <w:rsid w:val="0033324C"/>
    <w:rsid w:val="0033388D"/>
    <w:rsid w:val="003376DA"/>
    <w:rsid w:val="00340FFE"/>
    <w:rsid w:val="003421D3"/>
    <w:rsid w:val="0034224A"/>
    <w:rsid w:val="00343438"/>
    <w:rsid w:val="00344977"/>
    <w:rsid w:val="00346C95"/>
    <w:rsid w:val="00350C62"/>
    <w:rsid w:val="00351155"/>
    <w:rsid w:val="00353C9E"/>
    <w:rsid w:val="00356185"/>
    <w:rsid w:val="00360380"/>
    <w:rsid w:val="0036341A"/>
    <w:rsid w:val="00364A87"/>
    <w:rsid w:val="003654BC"/>
    <w:rsid w:val="00366343"/>
    <w:rsid w:val="0037519E"/>
    <w:rsid w:val="00377286"/>
    <w:rsid w:val="00386938"/>
    <w:rsid w:val="00386C6C"/>
    <w:rsid w:val="00386CF0"/>
    <w:rsid w:val="0039162E"/>
    <w:rsid w:val="003942EC"/>
    <w:rsid w:val="00397B67"/>
    <w:rsid w:val="003A1D6C"/>
    <w:rsid w:val="003A6337"/>
    <w:rsid w:val="003B4FF6"/>
    <w:rsid w:val="003B70FB"/>
    <w:rsid w:val="003C0680"/>
    <w:rsid w:val="003C6112"/>
    <w:rsid w:val="003C676B"/>
    <w:rsid w:val="003C7E95"/>
    <w:rsid w:val="003D0A55"/>
    <w:rsid w:val="003D3BC2"/>
    <w:rsid w:val="003D46F2"/>
    <w:rsid w:val="003D4DF1"/>
    <w:rsid w:val="003D7BE1"/>
    <w:rsid w:val="003E614F"/>
    <w:rsid w:val="003E6CA1"/>
    <w:rsid w:val="003F0E0F"/>
    <w:rsid w:val="003F3299"/>
    <w:rsid w:val="004065A8"/>
    <w:rsid w:val="004153F5"/>
    <w:rsid w:val="004165C2"/>
    <w:rsid w:val="00416D6F"/>
    <w:rsid w:val="00425C65"/>
    <w:rsid w:val="004271CF"/>
    <w:rsid w:val="004304AD"/>
    <w:rsid w:val="004349E0"/>
    <w:rsid w:val="00436520"/>
    <w:rsid w:val="00436AC4"/>
    <w:rsid w:val="004411B3"/>
    <w:rsid w:val="00441ECB"/>
    <w:rsid w:val="00445193"/>
    <w:rsid w:val="00447CCF"/>
    <w:rsid w:val="00451705"/>
    <w:rsid w:val="0045240C"/>
    <w:rsid w:val="00453CAE"/>
    <w:rsid w:val="004565BA"/>
    <w:rsid w:val="00456605"/>
    <w:rsid w:val="00462C1B"/>
    <w:rsid w:val="00467A86"/>
    <w:rsid w:val="00467B7E"/>
    <w:rsid w:val="0047080D"/>
    <w:rsid w:val="00473BB4"/>
    <w:rsid w:val="004753FB"/>
    <w:rsid w:val="00476211"/>
    <w:rsid w:val="00476934"/>
    <w:rsid w:val="00477592"/>
    <w:rsid w:val="00482554"/>
    <w:rsid w:val="00483F0E"/>
    <w:rsid w:val="00486F1C"/>
    <w:rsid w:val="00490C38"/>
    <w:rsid w:val="0049419D"/>
    <w:rsid w:val="00496A89"/>
    <w:rsid w:val="004979B6"/>
    <w:rsid w:val="004A38EF"/>
    <w:rsid w:val="004A4E6A"/>
    <w:rsid w:val="004A59CC"/>
    <w:rsid w:val="004A6A54"/>
    <w:rsid w:val="004B4878"/>
    <w:rsid w:val="004C20D2"/>
    <w:rsid w:val="004C2312"/>
    <w:rsid w:val="004C4B62"/>
    <w:rsid w:val="004C54C9"/>
    <w:rsid w:val="004C616A"/>
    <w:rsid w:val="004D4ABA"/>
    <w:rsid w:val="004D5AB1"/>
    <w:rsid w:val="004D6025"/>
    <w:rsid w:val="004E19B1"/>
    <w:rsid w:val="004E2649"/>
    <w:rsid w:val="004E3EC8"/>
    <w:rsid w:val="004E7567"/>
    <w:rsid w:val="00501399"/>
    <w:rsid w:val="00501652"/>
    <w:rsid w:val="0050633D"/>
    <w:rsid w:val="00507BC4"/>
    <w:rsid w:val="005128E4"/>
    <w:rsid w:val="005133DB"/>
    <w:rsid w:val="00516784"/>
    <w:rsid w:val="00525560"/>
    <w:rsid w:val="00527A5C"/>
    <w:rsid w:val="005311FD"/>
    <w:rsid w:val="00533C1E"/>
    <w:rsid w:val="00533D83"/>
    <w:rsid w:val="005415E6"/>
    <w:rsid w:val="00544216"/>
    <w:rsid w:val="00544C49"/>
    <w:rsid w:val="00545F0A"/>
    <w:rsid w:val="005516A1"/>
    <w:rsid w:val="00555F66"/>
    <w:rsid w:val="00563557"/>
    <w:rsid w:val="005735E6"/>
    <w:rsid w:val="0057402A"/>
    <w:rsid w:val="00574CB7"/>
    <w:rsid w:val="00576577"/>
    <w:rsid w:val="005771C2"/>
    <w:rsid w:val="005771D0"/>
    <w:rsid w:val="005813A7"/>
    <w:rsid w:val="0059191A"/>
    <w:rsid w:val="005921FF"/>
    <w:rsid w:val="005933DA"/>
    <w:rsid w:val="00594707"/>
    <w:rsid w:val="005970A0"/>
    <w:rsid w:val="005A110D"/>
    <w:rsid w:val="005A24ED"/>
    <w:rsid w:val="005A61AC"/>
    <w:rsid w:val="005A6D0E"/>
    <w:rsid w:val="005B37CC"/>
    <w:rsid w:val="005B52B0"/>
    <w:rsid w:val="005B53AA"/>
    <w:rsid w:val="005B6806"/>
    <w:rsid w:val="005B6D22"/>
    <w:rsid w:val="005B7843"/>
    <w:rsid w:val="005C1CC1"/>
    <w:rsid w:val="005C261A"/>
    <w:rsid w:val="005C4225"/>
    <w:rsid w:val="005C7989"/>
    <w:rsid w:val="005D3FC9"/>
    <w:rsid w:val="005D66AD"/>
    <w:rsid w:val="005D6EBD"/>
    <w:rsid w:val="005E0B65"/>
    <w:rsid w:val="005E11B2"/>
    <w:rsid w:val="005E2736"/>
    <w:rsid w:val="005E4471"/>
    <w:rsid w:val="005E5878"/>
    <w:rsid w:val="005F0DAD"/>
    <w:rsid w:val="005F0F33"/>
    <w:rsid w:val="005F3CFF"/>
    <w:rsid w:val="005F5653"/>
    <w:rsid w:val="00600DEB"/>
    <w:rsid w:val="00602427"/>
    <w:rsid w:val="0060432E"/>
    <w:rsid w:val="006051AD"/>
    <w:rsid w:val="006068B7"/>
    <w:rsid w:val="00607677"/>
    <w:rsid w:val="00613423"/>
    <w:rsid w:val="006277DE"/>
    <w:rsid w:val="00627C9F"/>
    <w:rsid w:val="006302E6"/>
    <w:rsid w:val="006311E9"/>
    <w:rsid w:val="00632354"/>
    <w:rsid w:val="0063302E"/>
    <w:rsid w:val="00640027"/>
    <w:rsid w:val="006400DC"/>
    <w:rsid w:val="00641E7B"/>
    <w:rsid w:val="00642810"/>
    <w:rsid w:val="006462F5"/>
    <w:rsid w:val="00647756"/>
    <w:rsid w:val="006509DA"/>
    <w:rsid w:val="00652333"/>
    <w:rsid w:val="00652B88"/>
    <w:rsid w:val="00654356"/>
    <w:rsid w:val="006625F9"/>
    <w:rsid w:val="00671045"/>
    <w:rsid w:val="00676CEC"/>
    <w:rsid w:val="006775AB"/>
    <w:rsid w:val="0068009E"/>
    <w:rsid w:val="006819E9"/>
    <w:rsid w:val="00686471"/>
    <w:rsid w:val="0068794B"/>
    <w:rsid w:val="00691BBE"/>
    <w:rsid w:val="00692219"/>
    <w:rsid w:val="00692950"/>
    <w:rsid w:val="0069402E"/>
    <w:rsid w:val="006A17D2"/>
    <w:rsid w:val="006A3A4A"/>
    <w:rsid w:val="006A73E6"/>
    <w:rsid w:val="006B13EA"/>
    <w:rsid w:val="006B14B0"/>
    <w:rsid w:val="006B22E2"/>
    <w:rsid w:val="006B27C3"/>
    <w:rsid w:val="006B2D5C"/>
    <w:rsid w:val="006B2EE8"/>
    <w:rsid w:val="006B3291"/>
    <w:rsid w:val="006B7F35"/>
    <w:rsid w:val="006C0665"/>
    <w:rsid w:val="006C4EB1"/>
    <w:rsid w:val="006D3136"/>
    <w:rsid w:val="006D617E"/>
    <w:rsid w:val="006E0166"/>
    <w:rsid w:val="006E4261"/>
    <w:rsid w:val="006E50CD"/>
    <w:rsid w:val="006E772A"/>
    <w:rsid w:val="006E7B34"/>
    <w:rsid w:val="006F15C5"/>
    <w:rsid w:val="006F2F82"/>
    <w:rsid w:val="00706123"/>
    <w:rsid w:val="0070697F"/>
    <w:rsid w:val="0071675B"/>
    <w:rsid w:val="0072199C"/>
    <w:rsid w:val="00722C9F"/>
    <w:rsid w:val="007253B8"/>
    <w:rsid w:val="00726133"/>
    <w:rsid w:val="00727B0E"/>
    <w:rsid w:val="00730E67"/>
    <w:rsid w:val="0073598C"/>
    <w:rsid w:val="00735FD9"/>
    <w:rsid w:val="0073741F"/>
    <w:rsid w:val="00742623"/>
    <w:rsid w:val="0074266B"/>
    <w:rsid w:val="00757472"/>
    <w:rsid w:val="00764F36"/>
    <w:rsid w:val="0076643F"/>
    <w:rsid w:val="0077067A"/>
    <w:rsid w:val="007733B1"/>
    <w:rsid w:val="00777F63"/>
    <w:rsid w:val="007852B5"/>
    <w:rsid w:val="00792AAE"/>
    <w:rsid w:val="00796255"/>
    <w:rsid w:val="00796A37"/>
    <w:rsid w:val="007A4AE3"/>
    <w:rsid w:val="007A5817"/>
    <w:rsid w:val="007B05C4"/>
    <w:rsid w:val="007B2B6E"/>
    <w:rsid w:val="007B57A8"/>
    <w:rsid w:val="007B60E9"/>
    <w:rsid w:val="007B6CC3"/>
    <w:rsid w:val="007C17A9"/>
    <w:rsid w:val="007C3334"/>
    <w:rsid w:val="007C402A"/>
    <w:rsid w:val="007D1CBB"/>
    <w:rsid w:val="007D2B98"/>
    <w:rsid w:val="007D2C7D"/>
    <w:rsid w:val="007D3013"/>
    <w:rsid w:val="007D7C02"/>
    <w:rsid w:val="007E0DDA"/>
    <w:rsid w:val="007E21BC"/>
    <w:rsid w:val="007E58FE"/>
    <w:rsid w:val="007E7C82"/>
    <w:rsid w:val="007F0A9C"/>
    <w:rsid w:val="007F588D"/>
    <w:rsid w:val="007F7DFA"/>
    <w:rsid w:val="0080240E"/>
    <w:rsid w:val="00802748"/>
    <w:rsid w:val="00803F1C"/>
    <w:rsid w:val="00804632"/>
    <w:rsid w:val="00805794"/>
    <w:rsid w:val="0080600E"/>
    <w:rsid w:val="00817612"/>
    <w:rsid w:val="00821E6B"/>
    <w:rsid w:val="008257AA"/>
    <w:rsid w:val="008338A4"/>
    <w:rsid w:val="00834D49"/>
    <w:rsid w:val="00837C45"/>
    <w:rsid w:val="008411F0"/>
    <w:rsid w:val="008439BC"/>
    <w:rsid w:val="00844730"/>
    <w:rsid w:val="00844F20"/>
    <w:rsid w:val="008457C2"/>
    <w:rsid w:val="0085247C"/>
    <w:rsid w:val="00857A82"/>
    <w:rsid w:val="00860C18"/>
    <w:rsid w:val="00862753"/>
    <w:rsid w:val="00863D6C"/>
    <w:rsid w:val="00867FDD"/>
    <w:rsid w:val="00871526"/>
    <w:rsid w:val="00873836"/>
    <w:rsid w:val="00875668"/>
    <w:rsid w:val="00875A64"/>
    <w:rsid w:val="00880CE7"/>
    <w:rsid w:val="00885737"/>
    <w:rsid w:val="00890650"/>
    <w:rsid w:val="008911AA"/>
    <w:rsid w:val="00897558"/>
    <w:rsid w:val="00897E12"/>
    <w:rsid w:val="008A0F81"/>
    <w:rsid w:val="008A310C"/>
    <w:rsid w:val="008A3594"/>
    <w:rsid w:val="008A7E0F"/>
    <w:rsid w:val="008B12F5"/>
    <w:rsid w:val="008B30B2"/>
    <w:rsid w:val="008B5932"/>
    <w:rsid w:val="008B7588"/>
    <w:rsid w:val="008C0C9D"/>
    <w:rsid w:val="008C5751"/>
    <w:rsid w:val="008C7114"/>
    <w:rsid w:val="008D768D"/>
    <w:rsid w:val="008E0FD8"/>
    <w:rsid w:val="008E328A"/>
    <w:rsid w:val="008E3759"/>
    <w:rsid w:val="008E3BFE"/>
    <w:rsid w:val="008E7900"/>
    <w:rsid w:val="008F1912"/>
    <w:rsid w:val="008F1B6F"/>
    <w:rsid w:val="008F6A56"/>
    <w:rsid w:val="0090270B"/>
    <w:rsid w:val="009041DC"/>
    <w:rsid w:val="00907E87"/>
    <w:rsid w:val="00916917"/>
    <w:rsid w:val="00917ADA"/>
    <w:rsid w:val="00917B5A"/>
    <w:rsid w:val="00920A58"/>
    <w:rsid w:val="00920A8C"/>
    <w:rsid w:val="0092207B"/>
    <w:rsid w:val="00934A2C"/>
    <w:rsid w:val="009350D1"/>
    <w:rsid w:val="00935F06"/>
    <w:rsid w:val="009378E6"/>
    <w:rsid w:val="00937B3A"/>
    <w:rsid w:val="00950370"/>
    <w:rsid w:val="00954B82"/>
    <w:rsid w:val="00957000"/>
    <w:rsid w:val="00960790"/>
    <w:rsid w:val="00962436"/>
    <w:rsid w:val="00963AE2"/>
    <w:rsid w:val="0096706E"/>
    <w:rsid w:val="00974491"/>
    <w:rsid w:val="009758D0"/>
    <w:rsid w:val="00975C4E"/>
    <w:rsid w:val="00981FBA"/>
    <w:rsid w:val="00986321"/>
    <w:rsid w:val="00987A39"/>
    <w:rsid w:val="00990F37"/>
    <w:rsid w:val="00997BC5"/>
    <w:rsid w:val="009A4F41"/>
    <w:rsid w:val="009A55E2"/>
    <w:rsid w:val="009B381B"/>
    <w:rsid w:val="009B53A7"/>
    <w:rsid w:val="009C2FC5"/>
    <w:rsid w:val="009D1753"/>
    <w:rsid w:val="009D26AF"/>
    <w:rsid w:val="009D4B8C"/>
    <w:rsid w:val="009D6502"/>
    <w:rsid w:val="009D689C"/>
    <w:rsid w:val="009D7611"/>
    <w:rsid w:val="009D78A5"/>
    <w:rsid w:val="009E08DD"/>
    <w:rsid w:val="009E0B61"/>
    <w:rsid w:val="009E255F"/>
    <w:rsid w:val="009E34BE"/>
    <w:rsid w:val="009E53DE"/>
    <w:rsid w:val="009E7A92"/>
    <w:rsid w:val="009E7C00"/>
    <w:rsid w:val="00A0691C"/>
    <w:rsid w:val="00A075A3"/>
    <w:rsid w:val="00A11E44"/>
    <w:rsid w:val="00A154C8"/>
    <w:rsid w:val="00A158AC"/>
    <w:rsid w:val="00A22397"/>
    <w:rsid w:val="00A32313"/>
    <w:rsid w:val="00A328B3"/>
    <w:rsid w:val="00A3400F"/>
    <w:rsid w:val="00A36980"/>
    <w:rsid w:val="00A40576"/>
    <w:rsid w:val="00A50FCF"/>
    <w:rsid w:val="00A528D1"/>
    <w:rsid w:val="00A54E38"/>
    <w:rsid w:val="00A610CD"/>
    <w:rsid w:val="00A625E0"/>
    <w:rsid w:val="00A648F0"/>
    <w:rsid w:val="00A67167"/>
    <w:rsid w:val="00A67AFF"/>
    <w:rsid w:val="00A71D82"/>
    <w:rsid w:val="00A72187"/>
    <w:rsid w:val="00A74947"/>
    <w:rsid w:val="00A758AA"/>
    <w:rsid w:val="00A76BB1"/>
    <w:rsid w:val="00A92093"/>
    <w:rsid w:val="00A95C81"/>
    <w:rsid w:val="00AA09A2"/>
    <w:rsid w:val="00AA770A"/>
    <w:rsid w:val="00AA7996"/>
    <w:rsid w:val="00AB3940"/>
    <w:rsid w:val="00AB72CE"/>
    <w:rsid w:val="00AB776A"/>
    <w:rsid w:val="00AC0B38"/>
    <w:rsid w:val="00AC19CB"/>
    <w:rsid w:val="00AC2A8C"/>
    <w:rsid w:val="00AD1886"/>
    <w:rsid w:val="00AD5EA3"/>
    <w:rsid w:val="00AD5EDC"/>
    <w:rsid w:val="00AE5488"/>
    <w:rsid w:val="00AE6F91"/>
    <w:rsid w:val="00AF5571"/>
    <w:rsid w:val="00AF7380"/>
    <w:rsid w:val="00B06B4E"/>
    <w:rsid w:val="00B07159"/>
    <w:rsid w:val="00B07341"/>
    <w:rsid w:val="00B12D9F"/>
    <w:rsid w:val="00B202B5"/>
    <w:rsid w:val="00B30539"/>
    <w:rsid w:val="00B314DB"/>
    <w:rsid w:val="00B35734"/>
    <w:rsid w:val="00B36145"/>
    <w:rsid w:val="00B361F2"/>
    <w:rsid w:val="00B3718B"/>
    <w:rsid w:val="00B41325"/>
    <w:rsid w:val="00B4632A"/>
    <w:rsid w:val="00B5040F"/>
    <w:rsid w:val="00B5067D"/>
    <w:rsid w:val="00B50DE7"/>
    <w:rsid w:val="00B530F1"/>
    <w:rsid w:val="00B57297"/>
    <w:rsid w:val="00B57409"/>
    <w:rsid w:val="00B646FD"/>
    <w:rsid w:val="00B65EA2"/>
    <w:rsid w:val="00B66FD1"/>
    <w:rsid w:val="00B72223"/>
    <w:rsid w:val="00B736AF"/>
    <w:rsid w:val="00B742BE"/>
    <w:rsid w:val="00B84B12"/>
    <w:rsid w:val="00B87359"/>
    <w:rsid w:val="00B97946"/>
    <w:rsid w:val="00BA276C"/>
    <w:rsid w:val="00BA5544"/>
    <w:rsid w:val="00BB170B"/>
    <w:rsid w:val="00BB306F"/>
    <w:rsid w:val="00BB3FBD"/>
    <w:rsid w:val="00BC6CD0"/>
    <w:rsid w:val="00BD2AFA"/>
    <w:rsid w:val="00BD4B89"/>
    <w:rsid w:val="00BD5922"/>
    <w:rsid w:val="00BD5BB6"/>
    <w:rsid w:val="00BD76D9"/>
    <w:rsid w:val="00BF02CB"/>
    <w:rsid w:val="00BF0F10"/>
    <w:rsid w:val="00BF514A"/>
    <w:rsid w:val="00BF5436"/>
    <w:rsid w:val="00BF6FD8"/>
    <w:rsid w:val="00BF7227"/>
    <w:rsid w:val="00BF775D"/>
    <w:rsid w:val="00C02898"/>
    <w:rsid w:val="00C03680"/>
    <w:rsid w:val="00C054DF"/>
    <w:rsid w:val="00C10AFC"/>
    <w:rsid w:val="00C17FB7"/>
    <w:rsid w:val="00C21562"/>
    <w:rsid w:val="00C21762"/>
    <w:rsid w:val="00C21FEF"/>
    <w:rsid w:val="00C22882"/>
    <w:rsid w:val="00C23D9C"/>
    <w:rsid w:val="00C24543"/>
    <w:rsid w:val="00C256A2"/>
    <w:rsid w:val="00C279E9"/>
    <w:rsid w:val="00C27AF2"/>
    <w:rsid w:val="00C31AC9"/>
    <w:rsid w:val="00C34364"/>
    <w:rsid w:val="00C35A26"/>
    <w:rsid w:val="00C41A37"/>
    <w:rsid w:val="00C51515"/>
    <w:rsid w:val="00C53910"/>
    <w:rsid w:val="00C5642A"/>
    <w:rsid w:val="00C5660B"/>
    <w:rsid w:val="00C56854"/>
    <w:rsid w:val="00C5788A"/>
    <w:rsid w:val="00C664AD"/>
    <w:rsid w:val="00C66B72"/>
    <w:rsid w:val="00C67653"/>
    <w:rsid w:val="00C733F6"/>
    <w:rsid w:val="00C74DEF"/>
    <w:rsid w:val="00C81A0C"/>
    <w:rsid w:val="00C83CCB"/>
    <w:rsid w:val="00C86959"/>
    <w:rsid w:val="00C874BF"/>
    <w:rsid w:val="00C87AC4"/>
    <w:rsid w:val="00C90B64"/>
    <w:rsid w:val="00C93FF4"/>
    <w:rsid w:val="00C9567A"/>
    <w:rsid w:val="00CA1DF2"/>
    <w:rsid w:val="00CA48A3"/>
    <w:rsid w:val="00CB212D"/>
    <w:rsid w:val="00CB2660"/>
    <w:rsid w:val="00CC0DE9"/>
    <w:rsid w:val="00CC5E90"/>
    <w:rsid w:val="00CD046C"/>
    <w:rsid w:val="00CD186A"/>
    <w:rsid w:val="00CD7714"/>
    <w:rsid w:val="00CE076C"/>
    <w:rsid w:val="00CE39FC"/>
    <w:rsid w:val="00CE5199"/>
    <w:rsid w:val="00CE66D5"/>
    <w:rsid w:val="00CF3B18"/>
    <w:rsid w:val="00CF41FD"/>
    <w:rsid w:val="00CF637A"/>
    <w:rsid w:val="00D022EC"/>
    <w:rsid w:val="00D059DE"/>
    <w:rsid w:val="00D05ABD"/>
    <w:rsid w:val="00D13FCE"/>
    <w:rsid w:val="00D17E8C"/>
    <w:rsid w:val="00D264ED"/>
    <w:rsid w:val="00D3025A"/>
    <w:rsid w:val="00D306D1"/>
    <w:rsid w:val="00D30800"/>
    <w:rsid w:val="00D32B26"/>
    <w:rsid w:val="00D34786"/>
    <w:rsid w:val="00D3600D"/>
    <w:rsid w:val="00D37BFC"/>
    <w:rsid w:val="00D42822"/>
    <w:rsid w:val="00D478E1"/>
    <w:rsid w:val="00D47A8E"/>
    <w:rsid w:val="00D52D14"/>
    <w:rsid w:val="00D54A7D"/>
    <w:rsid w:val="00D55256"/>
    <w:rsid w:val="00D56D93"/>
    <w:rsid w:val="00D642C6"/>
    <w:rsid w:val="00D712D3"/>
    <w:rsid w:val="00D71422"/>
    <w:rsid w:val="00D72A81"/>
    <w:rsid w:val="00D72DC6"/>
    <w:rsid w:val="00D73F5E"/>
    <w:rsid w:val="00D75474"/>
    <w:rsid w:val="00D7558D"/>
    <w:rsid w:val="00D77503"/>
    <w:rsid w:val="00D81D92"/>
    <w:rsid w:val="00D8548B"/>
    <w:rsid w:val="00D876F9"/>
    <w:rsid w:val="00D877B6"/>
    <w:rsid w:val="00D92780"/>
    <w:rsid w:val="00D93A90"/>
    <w:rsid w:val="00DA631E"/>
    <w:rsid w:val="00DA654C"/>
    <w:rsid w:val="00DA7B5F"/>
    <w:rsid w:val="00DC11E7"/>
    <w:rsid w:val="00DC7023"/>
    <w:rsid w:val="00DC769A"/>
    <w:rsid w:val="00DD061E"/>
    <w:rsid w:val="00DD3D86"/>
    <w:rsid w:val="00DD61D9"/>
    <w:rsid w:val="00DE0528"/>
    <w:rsid w:val="00DE12F0"/>
    <w:rsid w:val="00DF1EC4"/>
    <w:rsid w:val="00DF51E9"/>
    <w:rsid w:val="00E01943"/>
    <w:rsid w:val="00E0340B"/>
    <w:rsid w:val="00E04A90"/>
    <w:rsid w:val="00E0551F"/>
    <w:rsid w:val="00E06E37"/>
    <w:rsid w:val="00E07E68"/>
    <w:rsid w:val="00E1124D"/>
    <w:rsid w:val="00E160D9"/>
    <w:rsid w:val="00E1749C"/>
    <w:rsid w:val="00E219C7"/>
    <w:rsid w:val="00E2240F"/>
    <w:rsid w:val="00E24F57"/>
    <w:rsid w:val="00E26CCA"/>
    <w:rsid w:val="00E27F56"/>
    <w:rsid w:val="00E30B7B"/>
    <w:rsid w:val="00E348D5"/>
    <w:rsid w:val="00E4118C"/>
    <w:rsid w:val="00E420E4"/>
    <w:rsid w:val="00E43157"/>
    <w:rsid w:val="00E461CE"/>
    <w:rsid w:val="00E476C0"/>
    <w:rsid w:val="00E6113E"/>
    <w:rsid w:val="00E61701"/>
    <w:rsid w:val="00E624C9"/>
    <w:rsid w:val="00E64BEB"/>
    <w:rsid w:val="00E65FEB"/>
    <w:rsid w:val="00E720CA"/>
    <w:rsid w:val="00E84EB5"/>
    <w:rsid w:val="00E85662"/>
    <w:rsid w:val="00E85AD6"/>
    <w:rsid w:val="00E8789F"/>
    <w:rsid w:val="00E92747"/>
    <w:rsid w:val="00E97B71"/>
    <w:rsid w:val="00EA1C21"/>
    <w:rsid w:val="00EA3D34"/>
    <w:rsid w:val="00EB28B8"/>
    <w:rsid w:val="00EB454D"/>
    <w:rsid w:val="00EB5E8B"/>
    <w:rsid w:val="00EC26E9"/>
    <w:rsid w:val="00EC311C"/>
    <w:rsid w:val="00EC72AB"/>
    <w:rsid w:val="00ED2F03"/>
    <w:rsid w:val="00ED549D"/>
    <w:rsid w:val="00ED7045"/>
    <w:rsid w:val="00ED7268"/>
    <w:rsid w:val="00ED76BE"/>
    <w:rsid w:val="00ED7F05"/>
    <w:rsid w:val="00EE00E9"/>
    <w:rsid w:val="00EE014D"/>
    <w:rsid w:val="00EE02E7"/>
    <w:rsid w:val="00EE32DA"/>
    <w:rsid w:val="00EE36D9"/>
    <w:rsid w:val="00EF35AB"/>
    <w:rsid w:val="00EF4C44"/>
    <w:rsid w:val="00EF619B"/>
    <w:rsid w:val="00EF691D"/>
    <w:rsid w:val="00F00B55"/>
    <w:rsid w:val="00F02AD1"/>
    <w:rsid w:val="00F043F5"/>
    <w:rsid w:val="00F04591"/>
    <w:rsid w:val="00F0620C"/>
    <w:rsid w:val="00F06354"/>
    <w:rsid w:val="00F12BA9"/>
    <w:rsid w:val="00F13742"/>
    <w:rsid w:val="00F202A0"/>
    <w:rsid w:val="00F253CC"/>
    <w:rsid w:val="00F272AA"/>
    <w:rsid w:val="00F32EC0"/>
    <w:rsid w:val="00F332EF"/>
    <w:rsid w:val="00F37106"/>
    <w:rsid w:val="00F46162"/>
    <w:rsid w:val="00F519CF"/>
    <w:rsid w:val="00F52613"/>
    <w:rsid w:val="00F53168"/>
    <w:rsid w:val="00F56BA5"/>
    <w:rsid w:val="00F60E22"/>
    <w:rsid w:val="00F62D04"/>
    <w:rsid w:val="00F63B39"/>
    <w:rsid w:val="00F64018"/>
    <w:rsid w:val="00F81395"/>
    <w:rsid w:val="00F81887"/>
    <w:rsid w:val="00F81BB8"/>
    <w:rsid w:val="00F83A04"/>
    <w:rsid w:val="00F917D1"/>
    <w:rsid w:val="00F922CE"/>
    <w:rsid w:val="00F9342C"/>
    <w:rsid w:val="00F9653B"/>
    <w:rsid w:val="00FA0DAB"/>
    <w:rsid w:val="00FA4878"/>
    <w:rsid w:val="00FA5698"/>
    <w:rsid w:val="00FA56EA"/>
    <w:rsid w:val="00FB3315"/>
    <w:rsid w:val="00FB62CF"/>
    <w:rsid w:val="00FC0F4A"/>
    <w:rsid w:val="00FC31EB"/>
    <w:rsid w:val="00FC3330"/>
    <w:rsid w:val="00FC501F"/>
    <w:rsid w:val="00FD2E29"/>
    <w:rsid w:val="00FD3C3B"/>
    <w:rsid w:val="00FD3EF9"/>
    <w:rsid w:val="00FD5440"/>
    <w:rsid w:val="00FE07DD"/>
    <w:rsid w:val="00FE6B45"/>
    <w:rsid w:val="00FE73E3"/>
    <w:rsid w:val="00FF0CDA"/>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151678474">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image" Target="media/image30.png"/><Relationship Id="rId2" Type="http://schemas.openxmlformats.org/officeDocument/2006/relationships/numbering" Target="numbering.xml"/><Relationship Id="rId16"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28A3A-9BE5-4B96-837D-56C900E191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3282</Words>
  <Characters>17167</Characters>
  <Application>Microsoft Office Word</Application>
  <DocSecurity>0</DocSecurity>
  <Lines>317</Lines>
  <Paragraphs>90</Paragraphs>
  <ScaleCrop>false</ScaleCrop>
  <Company/>
  <LinksUpToDate>false</LinksUpToDate>
  <CharactersWithSpaces>20359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178/20</dc:title>
  <dc:creator/>
  <cp:lastModifiedBy/>
  <cp:revision>1</cp:revision>
  <dcterms:created xsi:type="dcterms:W3CDTF">2020-07-30T18:07:00Z</dcterms:created>
  <dcterms:modified xsi:type="dcterms:W3CDTF">2020-07-30T18:08:00Z</dcterms:modified>
</cp:coreProperties>
</file>