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43DF" w14:textId="77777777" w:rsidR="0053292A" w:rsidRPr="00030A24" w:rsidRDefault="0053292A" w:rsidP="00030A24">
      <w:pPr>
        <w:spacing w:after="0" w:line="240" w:lineRule="auto"/>
        <w:ind w:right="-270"/>
        <w:jc w:val="center"/>
        <w:rPr>
          <w:rFonts w:ascii="Cambria" w:hAnsi="Cambria"/>
          <w:b/>
          <w:color w:val="000000"/>
          <w:lang w:val="es-CO"/>
        </w:rPr>
      </w:pPr>
    </w:p>
    <w:p w14:paraId="30E1B335" w14:textId="77777777" w:rsidR="0053292A" w:rsidRPr="00030A24" w:rsidRDefault="0053292A" w:rsidP="00030A24">
      <w:pPr>
        <w:spacing w:after="0" w:line="240" w:lineRule="auto"/>
        <w:contextualSpacing/>
        <w:jc w:val="both"/>
        <w:rPr>
          <w:rFonts w:ascii="Cambria" w:hAnsi="Cambria"/>
          <w:color w:val="000000"/>
          <w:lang w:val="es-CO"/>
        </w:rPr>
      </w:pPr>
    </w:p>
    <w:p w14:paraId="7FC8FB73"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FICHA TÉCNICA INFORMATIVA</w:t>
      </w:r>
    </w:p>
    <w:p w14:paraId="5C636CB4"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 xml:space="preserve">PETICIÓN 533-05 JULIO RUBÉN ROBLES ERAS </w:t>
      </w:r>
    </w:p>
    <w:p w14:paraId="6D4E0E07"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INFORME DE SOLUCIÓN AMISTOSA Nº 122/12</w:t>
      </w:r>
    </w:p>
    <w:p w14:paraId="667D1E2C"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ARCHIVO</w:t>
      </w:r>
    </w:p>
    <w:p w14:paraId="68FB7318" w14:textId="13692C38"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(ECUADOR)</w:t>
      </w:r>
    </w:p>
    <w:p w14:paraId="117B5C41" w14:textId="77777777" w:rsidR="0053292A" w:rsidRPr="00030A24" w:rsidRDefault="0053292A" w:rsidP="00030A24">
      <w:pPr>
        <w:spacing w:after="0" w:line="240" w:lineRule="auto"/>
        <w:ind w:right="-270"/>
        <w:jc w:val="center"/>
        <w:rPr>
          <w:rFonts w:ascii="Cambria" w:hAnsi="Cambria"/>
          <w:b/>
          <w:color w:val="000000"/>
          <w:lang w:val="es-CO"/>
        </w:rPr>
      </w:pPr>
    </w:p>
    <w:p w14:paraId="448ED8BE" w14:textId="77777777" w:rsidR="0053292A" w:rsidRPr="00030A24" w:rsidRDefault="0053292A" w:rsidP="00030A24">
      <w:pPr>
        <w:numPr>
          <w:ilvl w:val="0"/>
          <w:numId w:val="83"/>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371DD487" w14:textId="77777777" w:rsidR="0053292A" w:rsidRPr="00030A24" w:rsidRDefault="0053292A" w:rsidP="00030A24">
      <w:pPr>
        <w:spacing w:after="0" w:line="240" w:lineRule="auto"/>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7446C7" w14:paraId="1A6214E0" w14:textId="77777777" w:rsidTr="00550EB8">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0E6F2147"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Julio Rubén Robles Eras</w:t>
            </w:r>
          </w:p>
          <w:p w14:paraId="585C594A"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p>
          <w:p w14:paraId="69DA4412"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75725EB9"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7 de septiembre de 2006</w:t>
            </w:r>
          </w:p>
          <w:p w14:paraId="3FA8C689"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10 de octubre de 2006</w:t>
            </w:r>
          </w:p>
          <w:p w14:paraId="48D53BD4"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Fonts w:ascii="Cambria" w:hAnsi="Cambria"/>
                  <w:b/>
                  <w:color w:val="000000"/>
                  <w:u w:val="single"/>
                  <w:lang w:val="es-CO"/>
                </w:rPr>
                <w:t>122/12</w:t>
              </w:r>
              <w:r w:rsidRPr="00030A24">
                <w:rPr>
                  <w:rFonts w:ascii="Cambria" w:hAnsi="Cambria"/>
                  <w:color w:val="000000"/>
                  <w:u w:val="single"/>
                  <w:lang w:val="es-CO"/>
                </w:rPr>
                <w:t>,</w:t>
              </w:r>
            </w:hyperlink>
            <w:r w:rsidRPr="00030A24">
              <w:rPr>
                <w:rFonts w:ascii="Cambria" w:hAnsi="Cambria"/>
                <w:color w:val="000000"/>
                <w:lang w:val="es-CO"/>
              </w:rPr>
              <w:t xml:space="preserve"> publicado el 13 de noviembre de 2012</w:t>
            </w:r>
          </w:p>
          <w:p w14:paraId="3765077D"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Duración estimada de la fase de negociación: </w:t>
            </w:r>
            <w:r w:rsidRPr="00030A24">
              <w:rPr>
                <w:rFonts w:ascii="Cambria" w:hAnsi="Cambria"/>
                <w:color w:val="000000"/>
                <w:lang w:val="es-CO"/>
              </w:rPr>
              <w:t>6 años</w:t>
            </w:r>
          </w:p>
          <w:p w14:paraId="39DD0739"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Memoria Verdad y Justicia</w:t>
            </w:r>
          </w:p>
          <w:p w14:paraId="6F6AF41D" w14:textId="77777777" w:rsidR="0053292A" w:rsidRPr="00030A24" w:rsidRDefault="0053292A" w:rsidP="00030A24">
            <w:pPr>
              <w:tabs>
                <w:tab w:val="left" w:pos="9270"/>
              </w:tabs>
              <w:spacing w:after="0" w:line="240" w:lineRule="auto"/>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Derecho a la vida/</w:t>
            </w:r>
            <w:r w:rsidRPr="00030A24">
              <w:rPr>
                <w:rFonts w:ascii="Cambria" w:hAnsi="Cambria"/>
                <w:b/>
                <w:color w:val="000000"/>
                <w:lang w:val="es-CO"/>
              </w:rPr>
              <w:t xml:space="preserve"> </w:t>
            </w:r>
            <w:r w:rsidRPr="00030A24">
              <w:rPr>
                <w:rFonts w:ascii="Cambria" w:hAnsi="Cambria"/>
                <w:color w:val="000000"/>
                <w:lang w:val="es-CO"/>
              </w:rPr>
              <w:t>Investigación/ Derecho a la integridad personal/ Garantías judiciales/ Protección judicial</w:t>
            </w:r>
          </w:p>
          <w:p w14:paraId="7523F7A4" w14:textId="77777777" w:rsidR="0053292A" w:rsidRPr="00030A24" w:rsidRDefault="0053292A" w:rsidP="00030A24">
            <w:pPr>
              <w:tabs>
                <w:tab w:val="left" w:pos="9270"/>
              </w:tabs>
              <w:spacing w:after="0" w:line="240" w:lineRule="auto"/>
              <w:jc w:val="both"/>
              <w:rPr>
                <w:rFonts w:ascii="Cambria" w:hAnsi="Cambria"/>
                <w:color w:val="000000"/>
                <w:lang w:val="es-CO"/>
              </w:rPr>
            </w:pPr>
          </w:p>
          <w:p w14:paraId="7FE03933" w14:textId="77777777" w:rsidR="0053292A" w:rsidRPr="00030A24" w:rsidRDefault="0053292A" w:rsidP="00030A24">
            <w:pPr>
              <w:spacing w:after="0" w:line="240" w:lineRule="auto"/>
              <w:contextualSpacing/>
              <w:jc w:val="both"/>
              <w:rPr>
                <w:rFonts w:ascii="Cambria" w:hAnsi="Cambria"/>
                <w:b/>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caso se relaciona con la muerte del joven Julio Rubén Robles Eras, Subteniente del Ejército, de 22 años de edad, quien falleció en la noche del 22 de agosto de 2001, presuntamente durante un “bautizo” para los subtenientes recién llegados al batallón, en circunstancias no esclarecidas. Dichos hechos dieron inicio a dos procesos penales, uno en fuero militar a cargo del Juez Primero de lo Penal de la Tercera Zona Militar y otro en el fuero ordinario sustanciado por el Agente Fiscal de Macará y el Juez Séptimo de lo Penal de Loja. Lo anterior provocó un conflicto de competencia que fue resuelto por la Corte de Justicia Militar que mediante sentencia resolvió que la competencia del caso le correspondía al fuero militar. En consecuencia, el proceso iniciado en fuero ordinario se acumuló al proceso penal existente en el fuero militar. </w:t>
            </w:r>
          </w:p>
          <w:p w14:paraId="57FF45A6" w14:textId="77777777" w:rsidR="0053292A" w:rsidRPr="00030A24" w:rsidRDefault="0053292A" w:rsidP="00030A24">
            <w:pPr>
              <w:tabs>
                <w:tab w:val="left" w:pos="9270"/>
              </w:tabs>
              <w:spacing w:after="0" w:line="240" w:lineRule="auto"/>
              <w:jc w:val="both"/>
              <w:rPr>
                <w:rFonts w:ascii="Cambria" w:hAnsi="Cambria"/>
                <w:color w:val="000000"/>
                <w:lang w:val="es-CO"/>
              </w:rPr>
            </w:pPr>
          </w:p>
          <w:p w14:paraId="771FCF56"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 los artículos 4 (Derecho a la Vida), 5 (derecho a la integridad personal), 8 (garantías judiciales) y 25 (protección judicial), en contravención de las obligaciones que figuran en el artículo 1(1) en perjuicio de Fausto Mendoza Giler y Diógenes Mendoza Bravo.</w:t>
            </w:r>
          </w:p>
        </w:tc>
      </w:tr>
    </w:tbl>
    <w:p w14:paraId="3FC787F4" w14:textId="77777777" w:rsidR="0053292A" w:rsidRPr="00030A24" w:rsidRDefault="0053292A" w:rsidP="00030A24">
      <w:pPr>
        <w:spacing w:after="0" w:line="240" w:lineRule="auto"/>
        <w:contextualSpacing/>
        <w:jc w:val="both"/>
        <w:rPr>
          <w:rFonts w:ascii="Cambria" w:hAnsi="Cambria"/>
          <w:b/>
          <w:color w:val="000000"/>
          <w:lang w:val="es-CO"/>
        </w:rPr>
      </w:pPr>
    </w:p>
    <w:p w14:paraId="64B7666B" w14:textId="77777777" w:rsidR="0053292A" w:rsidRPr="00030A24" w:rsidRDefault="0053292A" w:rsidP="00030A24">
      <w:pPr>
        <w:numPr>
          <w:ilvl w:val="0"/>
          <w:numId w:val="83"/>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ACTIVIDAD PROCESAL</w:t>
      </w:r>
    </w:p>
    <w:p w14:paraId="6AE0FB59"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5417756D" w14:textId="6404C85B" w:rsidR="0053292A" w:rsidRPr="00030A24" w:rsidRDefault="0053292A" w:rsidP="00030A24">
      <w:pPr>
        <w:numPr>
          <w:ilvl w:val="0"/>
          <w:numId w:val="84"/>
        </w:numPr>
        <w:spacing w:after="0" w:line="240" w:lineRule="auto"/>
        <w:ind w:left="0" w:firstLine="720"/>
        <w:jc w:val="both"/>
        <w:rPr>
          <w:rFonts w:ascii="Cambria" w:hAnsi="Cambria"/>
          <w:color w:val="000000"/>
          <w:lang w:val="es-CO"/>
        </w:rPr>
      </w:pPr>
      <w:r w:rsidRPr="00030A24">
        <w:rPr>
          <w:rFonts w:ascii="Cambria" w:hAnsi="Cambria"/>
          <w:color w:val="000000"/>
          <w:lang w:val="es-CO"/>
        </w:rPr>
        <w:t>El 10 de octubre de 2006</w:t>
      </w:r>
      <w:r w:rsidR="00A87AF1"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2300A640" w14:textId="77777777" w:rsidR="0053292A" w:rsidRPr="00030A24" w:rsidRDefault="0053292A" w:rsidP="00030A24">
      <w:pPr>
        <w:spacing w:after="0" w:line="240" w:lineRule="auto"/>
        <w:ind w:left="720"/>
        <w:jc w:val="both"/>
        <w:rPr>
          <w:rFonts w:ascii="Cambria" w:hAnsi="Cambria" w:cs="Calibri Light"/>
          <w:color w:val="000000"/>
          <w:lang w:val="es-CO"/>
        </w:rPr>
      </w:pPr>
    </w:p>
    <w:p w14:paraId="6AF69BF2" w14:textId="77777777" w:rsidR="0053292A" w:rsidRPr="00030A24" w:rsidRDefault="0053292A" w:rsidP="00030A24">
      <w:pPr>
        <w:numPr>
          <w:ilvl w:val="0"/>
          <w:numId w:val="84"/>
        </w:numPr>
        <w:spacing w:after="0" w:line="240" w:lineRule="auto"/>
        <w:ind w:left="0" w:firstLine="720"/>
        <w:jc w:val="both"/>
        <w:rPr>
          <w:rFonts w:ascii="Cambria" w:hAnsi="Cambria"/>
          <w:color w:val="000000"/>
          <w:lang w:val="es-CO"/>
        </w:rPr>
      </w:pPr>
      <w:r w:rsidRPr="00030A24">
        <w:rPr>
          <w:rFonts w:ascii="Cambria" w:hAnsi="Cambria"/>
          <w:color w:val="000000"/>
          <w:lang w:val="es-CO"/>
        </w:rPr>
        <w:t>El 13 de noviembre de 2012, la Comisión aprobó el acuerdo de solución amistosa, mediante informe No. 122/12.</w:t>
      </w:r>
    </w:p>
    <w:p w14:paraId="11C983AF" w14:textId="77777777" w:rsidR="0053292A" w:rsidRPr="00030A24" w:rsidRDefault="0053292A" w:rsidP="00030A24">
      <w:pPr>
        <w:spacing w:after="0" w:line="240" w:lineRule="auto"/>
        <w:jc w:val="both"/>
        <w:rPr>
          <w:rFonts w:ascii="Cambria" w:hAnsi="Cambria" w:cs="Calibri Light"/>
          <w:color w:val="000000"/>
          <w:lang w:val="es-CO"/>
        </w:rPr>
      </w:pPr>
    </w:p>
    <w:p w14:paraId="7ACD9248" w14:textId="77777777" w:rsidR="0053292A" w:rsidRPr="00030A24" w:rsidRDefault="0053292A" w:rsidP="00030A24">
      <w:pPr>
        <w:spacing w:after="0" w:line="240" w:lineRule="auto"/>
        <w:jc w:val="both"/>
        <w:rPr>
          <w:rFonts w:ascii="Cambria" w:hAnsi="Cambria" w:cs="Calibri Light"/>
          <w:color w:val="000000"/>
          <w:lang w:val="es-CO"/>
        </w:rPr>
      </w:pPr>
    </w:p>
    <w:p w14:paraId="3B71DFD3" w14:textId="77777777" w:rsidR="0053292A" w:rsidRPr="00030A24" w:rsidRDefault="0053292A" w:rsidP="00030A24">
      <w:pPr>
        <w:spacing w:after="0" w:line="240" w:lineRule="auto"/>
        <w:jc w:val="both"/>
        <w:rPr>
          <w:rFonts w:ascii="Cambria" w:hAnsi="Cambria" w:cs="Calibri Light"/>
          <w:color w:val="000000"/>
          <w:lang w:val="es-CO"/>
        </w:rPr>
      </w:pPr>
    </w:p>
    <w:p w14:paraId="1AA46B4F" w14:textId="77777777" w:rsidR="0053292A" w:rsidRPr="00030A24" w:rsidRDefault="0053292A" w:rsidP="00030A24">
      <w:pPr>
        <w:spacing w:after="0" w:line="240" w:lineRule="auto"/>
        <w:jc w:val="both"/>
        <w:rPr>
          <w:rFonts w:ascii="Cambria" w:hAnsi="Cambria" w:cs="Calibri Light"/>
          <w:color w:val="000000"/>
          <w:lang w:val="es-CO"/>
        </w:rPr>
      </w:pPr>
    </w:p>
    <w:p w14:paraId="30B57E62" w14:textId="77777777" w:rsidR="0053292A" w:rsidRPr="00030A24" w:rsidRDefault="0053292A" w:rsidP="00030A24">
      <w:pPr>
        <w:spacing w:after="0" w:line="240" w:lineRule="auto"/>
        <w:jc w:val="both"/>
        <w:rPr>
          <w:rFonts w:ascii="Cambria" w:hAnsi="Cambria" w:cs="Calibri Light"/>
          <w:color w:val="000000"/>
          <w:lang w:val="es-CO"/>
        </w:rPr>
      </w:pPr>
    </w:p>
    <w:p w14:paraId="3DBE306C" w14:textId="77777777" w:rsidR="0053292A" w:rsidRPr="00030A24" w:rsidRDefault="0053292A" w:rsidP="00030A24">
      <w:pPr>
        <w:spacing w:after="0" w:line="240" w:lineRule="auto"/>
        <w:jc w:val="both"/>
        <w:rPr>
          <w:rFonts w:ascii="Cambria" w:hAnsi="Cambria" w:cs="Calibri Light"/>
          <w:color w:val="000000"/>
          <w:lang w:val="es-CO"/>
        </w:rPr>
      </w:pPr>
    </w:p>
    <w:p w14:paraId="44546943" w14:textId="77777777" w:rsidR="0053292A" w:rsidRPr="00030A24" w:rsidRDefault="0053292A" w:rsidP="00030A24">
      <w:pPr>
        <w:spacing w:after="0" w:line="240" w:lineRule="auto"/>
        <w:jc w:val="both"/>
        <w:rPr>
          <w:rFonts w:ascii="Cambria" w:hAnsi="Cambria" w:cs="Calibri Light"/>
          <w:color w:val="000000"/>
          <w:lang w:val="es-CO"/>
        </w:rPr>
      </w:pPr>
    </w:p>
    <w:p w14:paraId="75571ADC" w14:textId="77777777" w:rsidR="0053292A" w:rsidRPr="00030A24" w:rsidRDefault="0053292A" w:rsidP="00030A24">
      <w:pPr>
        <w:numPr>
          <w:ilvl w:val="0"/>
          <w:numId w:val="83"/>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29AE5CDD" w14:textId="77777777" w:rsidR="0053292A" w:rsidRPr="00030A24" w:rsidRDefault="0053292A" w:rsidP="00030A24">
      <w:pPr>
        <w:spacing w:after="0" w:line="240" w:lineRule="auto"/>
        <w:ind w:left="1440"/>
        <w:contextualSpacing/>
        <w:jc w:val="both"/>
        <w:rPr>
          <w:rFonts w:ascii="Cambria" w:hAnsi="Cambria"/>
          <w:b/>
          <w:color w:val="000000"/>
          <w:lang w:val="es-CO"/>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5"/>
        <w:gridCol w:w="1935"/>
      </w:tblGrid>
      <w:tr w:rsidR="00035E03" w:rsidRPr="00030A24" w14:paraId="134248A0" w14:textId="77777777" w:rsidTr="00127309">
        <w:trPr>
          <w:jc w:val="center"/>
        </w:trPr>
        <w:tc>
          <w:tcPr>
            <w:tcW w:w="78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81E31C"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F28E1A"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8E6F9C" w:rsidRPr="00030A24" w14:paraId="6BEA9FD4" w14:textId="77777777" w:rsidTr="00035E03">
        <w:trPr>
          <w:jc w:val="center"/>
        </w:trPr>
        <w:tc>
          <w:tcPr>
            <w:tcW w:w="7875" w:type="dxa"/>
            <w:tcBorders>
              <w:top w:val="single" w:sz="4" w:space="0" w:color="auto"/>
              <w:left w:val="single" w:sz="4" w:space="0" w:color="auto"/>
              <w:bottom w:val="single" w:sz="4" w:space="0" w:color="auto"/>
              <w:right w:val="single" w:sz="4" w:space="0" w:color="auto"/>
            </w:tcBorders>
            <w:vAlign w:val="center"/>
          </w:tcPr>
          <w:p w14:paraId="3AAC7CCF" w14:textId="77777777" w:rsidR="00CC59DF" w:rsidRPr="00030A24" w:rsidRDefault="00CC59DF" w:rsidP="00030A24">
            <w:pPr>
              <w:spacing w:after="0" w:line="240" w:lineRule="auto"/>
              <w:jc w:val="both"/>
              <w:rPr>
                <w:rFonts w:ascii="Cambria" w:hAnsi="Cambria"/>
                <w:b/>
                <w:color w:val="000000"/>
                <w:lang w:val="es-CO"/>
              </w:rPr>
            </w:pPr>
            <w:r w:rsidRPr="00030A24">
              <w:rPr>
                <w:rFonts w:ascii="Cambria" w:hAnsi="Cambria"/>
                <w:b/>
                <w:color w:val="000000"/>
                <w:lang w:val="es-CO"/>
              </w:rPr>
              <w:t>IV. RESPONSABILIDAD INTERNACIONAL DEL ESTADO</w:t>
            </w:r>
          </w:p>
          <w:p w14:paraId="063CF7B4" w14:textId="77777777" w:rsidR="00CC59DF" w:rsidRPr="00030A24" w:rsidRDefault="00CC59DF" w:rsidP="00030A24">
            <w:pPr>
              <w:spacing w:after="0" w:line="240" w:lineRule="auto"/>
              <w:jc w:val="both"/>
              <w:rPr>
                <w:rFonts w:ascii="Cambria" w:hAnsi="Cambria"/>
                <w:bCs/>
                <w:color w:val="000000"/>
                <w:lang w:val="es-CO"/>
              </w:rPr>
            </w:pPr>
            <w:r w:rsidRPr="00030A24">
              <w:rPr>
                <w:rFonts w:ascii="Cambria" w:hAnsi="Cambria"/>
                <w:bCs/>
                <w:color w:val="000000"/>
                <w:lang w:val="es-CO"/>
              </w:rPr>
              <w:t>De acuerdo a los antecedentes de la causa, el acervo probatorio aportado dentro del proceso y tomando en consideración la naturaleza internacional de estas violaciones, que tuvieron lugar en el ámbito de la jurisdicción del Estado ecuatoriano, se expresa la voluntad de aceptar la responsabilidad internacional estatal por violación de derechos humanos en contra del señor Julio Robles Eras, y en consecuencia el Estado asume el deber de reparar en alguna medida la violación.</w:t>
            </w:r>
          </w:p>
          <w:p w14:paraId="6BF77A72" w14:textId="77777777" w:rsidR="00CC59DF" w:rsidRPr="00030A24" w:rsidRDefault="00CC59DF" w:rsidP="00030A24">
            <w:pPr>
              <w:spacing w:after="0" w:line="240" w:lineRule="auto"/>
              <w:jc w:val="both"/>
              <w:rPr>
                <w:rFonts w:ascii="Cambria" w:hAnsi="Cambria"/>
                <w:bCs/>
                <w:color w:val="000000"/>
                <w:lang w:val="es-CO"/>
              </w:rPr>
            </w:pPr>
          </w:p>
          <w:p w14:paraId="3766BB79" w14:textId="10216140" w:rsidR="008E6F9C" w:rsidRPr="00030A24" w:rsidRDefault="00CC59DF" w:rsidP="00030A24">
            <w:pPr>
              <w:spacing w:after="0" w:line="240" w:lineRule="auto"/>
              <w:jc w:val="both"/>
              <w:rPr>
                <w:rFonts w:ascii="Cambria" w:hAnsi="Cambria"/>
                <w:b/>
                <w:color w:val="000000"/>
                <w:lang w:val="es-CO"/>
              </w:rPr>
            </w:pPr>
            <w:r w:rsidRPr="00030A24">
              <w:rPr>
                <w:rFonts w:ascii="Cambria" w:hAnsi="Cambria"/>
                <w:bCs/>
                <w:color w:val="000000"/>
                <w:lang w:val="es-CO"/>
              </w:rPr>
              <w:t>En tal virtud, el Estado reconoce su responsabilidad internacional por la violación a los derechos humanos consagrados en los artículos 4 (derecho a la vida), artículo 5 (integridad personal), artículo 8 (garantías judiciales) y artículo 25 (protección judicial) y el artículo 1.1. (obligación de respeto y garantía de los derechos humanos) de la Convención Americana, en perjuicio del señor Julio Robles Eras.</w:t>
            </w:r>
          </w:p>
        </w:tc>
        <w:tc>
          <w:tcPr>
            <w:tcW w:w="1935" w:type="dxa"/>
            <w:tcBorders>
              <w:top w:val="single" w:sz="4" w:space="0" w:color="auto"/>
              <w:left w:val="single" w:sz="4" w:space="0" w:color="auto"/>
              <w:bottom w:val="single" w:sz="4" w:space="0" w:color="auto"/>
              <w:right w:val="single" w:sz="4" w:space="0" w:color="auto"/>
            </w:tcBorders>
            <w:vAlign w:val="center"/>
          </w:tcPr>
          <w:p w14:paraId="7B32EE3D" w14:textId="3BFBD326" w:rsidR="008E6F9C" w:rsidRPr="00030A24" w:rsidRDefault="00CC59DF" w:rsidP="00030A24">
            <w:pPr>
              <w:spacing w:after="0" w:line="240" w:lineRule="auto"/>
              <w:jc w:val="center"/>
              <w:rPr>
                <w:rFonts w:ascii="Cambria" w:hAnsi="Cambria"/>
                <w:b/>
                <w:color w:val="000000"/>
                <w:lang w:val="es-CO"/>
              </w:rPr>
            </w:pPr>
            <w:r w:rsidRPr="00030A24">
              <w:rPr>
                <w:rFonts w:ascii="Cambria" w:hAnsi="Cambria"/>
                <w:b/>
                <w:color w:val="000000"/>
                <w:lang w:val="es-CO"/>
              </w:rPr>
              <w:t>Declara</w:t>
            </w:r>
            <w:r w:rsidR="00BB0196" w:rsidRPr="00030A24">
              <w:rPr>
                <w:rFonts w:ascii="Cambria" w:hAnsi="Cambria"/>
                <w:b/>
                <w:color w:val="000000"/>
                <w:lang w:val="es-CO"/>
              </w:rPr>
              <w:t>tiva</w:t>
            </w:r>
          </w:p>
        </w:tc>
      </w:tr>
      <w:tr w:rsidR="0053292A" w:rsidRPr="00030A24" w14:paraId="0E290FD9" w14:textId="77777777" w:rsidTr="00035E03">
        <w:trPr>
          <w:jc w:val="center"/>
        </w:trPr>
        <w:tc>
          <w:tcPr>
            <w:tcW w:w="7875" w:type="dxa"/>
            <w:tcBorders>
              <w:top w:val="single" w:sz="4" w:space="0" w:color="auto"/>
              <w:left w:val="single" w:sz="4" w:space="0" w:color="auto"/>
              <w:bottom w:val="single" w:sz="4" w:space="0" w:color="auto"/>
              <w:right w:val="single" w:sz="4" w:space="0" w:color="auto"/>
            </w:tcBorders>
            <w:vAlign w:val="center"/>
          </w:tcPr>
          <w:p w14:paraId="19CF8AEB" w14:textId="12E3FBC3"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V. MEDIDAS DE REPARACIÓN PECUNIARIAS</w:t>
            </w:r>
            <w:r w:rsidRPr="00030A24">
              <w:rPr>
                <w:rFonts w:ascii="Cambria" w:eastAsia="Times New Roman" w:hAnsi="Cambria"/>
                <w:b/>
                <w:bCs/>
                <w:color w:val="000000"/>
                <w:lang w:val="es-CO"/>
              </w:rPr>
              <w:t xml:space="preserve">. </w:t>
            </w:r>
            <w:r w:rsidRPr="00030A24">
              <w:rPr>
                <w:rFonts w:ascii="Cambria" w:hAnsi="Cambria"/>
                <w:color w:val="000000"/>
                <w:lang w:val="es-CO"/>
              </w:rPr>
              <w:t xml:space="preserve">El Estado ecuatoriano, se compromete a pagar la cantidad de trescientos mil dólares de los Estados Unidos de América (USD$300.000) por concepto de indemnización compensatoria a favor del doctor Luis Vega Eras, representante de la víctima. El pago que el Estado ecuatoriano realice no está sujeto a impuestos actualmente existentes o que pueden decretarse en el futuro. </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A1120ED"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Fonts w:ascii="Cambria" w:hAnsi="Cambria"/>
                <w:color w:val="000000"/>
                <w:vertAlign w:val="superscript"/>
                <w:lang w:val="es-CO"/>
              </w:rPr>
              <w:footnoteReference w:id="2"/>
            </w:r>
          </w:p>
        </w:tc>
      </w:tr>
      <w:tr w:rsidR="0053292A" w:rsidRPr="00030A24" w14:paraId="3463C2D5" w14:textId="77777777" w:rsidTr="00035E03">
        <w:trPr>
          <w:trHeight w:val="350"/>
          <w:jc w:val="center"/>
        </w:trPr>
        <w:tc>
          <w:tcPr>
            <w:tcW w:w="7875" w:type="dxa"/>
            <w:tcBorders>
              <w:top w:val="single" w:sz="4" w:space="0" w:color="auto"/>
              <w:left w:val="single" w:sz="4" w:space="0" w:color="auto"/>
              <w:bottom w:val="single" w:sz="4" w:space="0" w:color="auto"/>
              <w:right w:val="single" w:sz="4" w:space="0" w:color="auto"/>
            </w:tcBorders>
            <w:vAlign w:val="center"/>
          </w:tcPr>
          <w:p w14:paraId="5851B2F3" w14:textId="1D825A67" w:rsidR="0053292A" w:rsidRPr="00030A24" w:rsidRDefault="0053292A" w:rsidP="00030A24">
            <w:pPr>
              <w:spacing w:after="0" w:line="240" w:lineRule="auto"/>
              <w:ind w:hanging="18"/>
              <w:jc w:val="both"/>
              <w:rPr>
                <w:rFonts w:ascii="Cambria" w:hAnsi="Cambria"/>
                <w:color w:val="000000"/>
                <w:lang w:val="es-CO"/>
              </w:rPr>
            </w:pPr>
            <w:r w:rsidRPr="00030A24">
              <w:rPr>
                <w:rFonts w:ascii="Cambria" w:hAnsi="Cambria"/>
                <w:b/>
                <w:color w:val="000000"/>
                <w:lang w:val="es-CO"/>
              </w:rPr>
              <w:t>VI. MEDIDAS DE REPARACIÓN NO PECUNIARIAS</w:t>
            </w:r>
            <w:r w:rsidRPr="00030A24">
              <w:rPr>
                <w:rFonts w:ascii="Cambria" w:eastAsia="Times New Roman" w:hAnsi="Cambria"/>
                <w:b/>
                <w:color w:val="000000"/>
                <w:lang w:val="es-CO"/>
              </w:rPr>
              <w:t xml:space="preserve">. </w:t>
            </w:r>
            <w:r w:rsidRPr="00030A24">
              <w:rPr>
                <w:rFonts w:ascii="Cambria" w:hAnsi="Cambria"/>
                <w:color w:val="000000"/>
                <w:lang w:val="es-CO"/>
              </w:rPr>
              <w:t xml:space="preserve">Para asegurar la vigencia práctica de la unidad jurisdiccional, la Procuraduría General del Estado velará por la aplicación de este principio a fin de que la jurisdicción militar y policial que actualmente depende de la Función Ejecutiva se incorpore a la Función Judicial en cumplimiento de la disposición transitoria vigésima sexta de la Constitución Política. Hasta la vigencia práctica de este principio, se velará por el fiel respeto de las garantías judiciales dentro de los procesos militares. </w:t>
            </w:r>
          </w:p>
          <w:p w14:paraId="514AFA2E" w14:textId="77777777" w:rsidR="0053292A" w:rsidRPr="00030A24" w:rsidRDefault="0053292A" w:rsidP="00030A24">
            <w:pPr>
              <w:spacing w:after="0" w:line="240" w:lineRule="auto"/>
              <w:ind w:hanging="18"/>
              <w:jc w:val="both"/>
              <w:rPr>
                <w:rFonts w:ascii="Cambria" w:hAnsi="Cambria"/>
                <w:color w:val="000000"/>
                <w:lang w:val="es-CO"/>
              </w:rPr>
            </w:pPr>
          </w:p>
          <w:p w14:paraId="446C91C0" w14:textId="77777777" w:rsidR="0053292A" w:rsidRPr="00030A24" w:rsidRDefault="0053292A" w:rsidP="00030A24">
            <w:pPr>
              <w:spacing w:after="0" w:line="240" w:lineRule="auto"/>
              <w:ind w:hanging="18"/>
              <w:jc w:val="both"/>
              <w:rPr>
                <w:rFonts w:ascii="Cambria" w:hAnsi="Cambria"/>
                <w:color w:val="000000"/>
                <w:lang w:val="es-CO"/>
              </w:rPr>
            </w:pPr>
            <w:r w:rsidRPr="00030A24">
              <w:rPr>
                <w:rFonts w:ascii="Cambria" w:hAnsi="Cambria"/>
                <w:color w:val="000000"/>
                <w:lang w:val="es-CO"/>
              </w:rPr>
              <w:t>Asimismo</w:t>
            </w:r>
            <w:r w:rsidRPr="00030A24">
              <w:rPr>
                <w:rFonts w:ascii="Cambria" w:eastAsia="Times New Roman" w:hAnsi="Cambria"/>
                <w:color w:val="000000"/>
                <w:lang w:val="es-CO"/>
              </w:rPr>
              <w:t>,</w:t>
            </w:r>
            <w:r w:rsidRPr="00030A24">
              <w:rPr>
                <w:rFonts w:ascii="Cambria" w:hAnsi="Cambria"/>
                <w:color w:val="000000"/>
                <w:lang w:val="es-CO"/>
              </w:rPr>
              <w:t xml:space="preserve"> la Procuraduría General del Estado gestionará ante el Ministerio de Defensa Nacional la eliminación de la práctica habitual de los bautizos dentro de las Fuerzas Armadas en la que se han registrado frecuentes excesos y hechos atentatorios a la dignidad humana.</w:t>
            </w:r>
          </w:p>
        </w:tc>
        <w:tc>
          <w:tcPr>
            <w:tcW w:w="1935" w:type="dxa"/>
            <w:tcBorders>
              <w:top w:val="single" w:sz="4" w:space="0" w:color="auto"/>
              <w:left w:val="single" w:sz="4" w:space="0" w:color="auto"/>
              <w:bottom w:val="single" w:sz="4" w:space="0" w:color="auto"/>
              <w:right w:val="single" w:sz="4" w:space="0" w:color="auto"/>
            </w:tcBorders>
            <w:vAlign w:val="center"/>
            <w:hideMark/>
          </w:tcPr>
          <w:p w14:paraId="142040D4" w14:textId="77777777" w:rsidR="0053292A" w:rsidRPr="00030A24" w:rsidRDefault="0053292A" w:rsidP="00030A24">
            <w:pPr>
              <w:autoSpaceDE w:val="0"/>
              <w:autoSpaceDN w:val="0"/>
              <w:adjustRightInd w:val="0"/>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Fonts w:ascii="Cambria" w:hAnsi="Cambria"/>
                <w:color w:val="000000"/>
                <w:vertAlign w:val="superscript"/>
                <w:lang w:val="es-CO"/>
              </w:rPr>
              <w:footnoteReference w:id="3"/>
            </w:r>
          </w:p>
        </w:tc>
      </w:tr>
      <w:tr w:rsidR="00035E03" w:rsidRPr="00030A24" w14:paraId="4D8B98DD" w14:textId="77777777" w:rsidTr="00035E03">
        <w:trPr>
          <w:trHeight w:val="3680"/>
          <w:jc w:val="center"/>
        </w:trPr>
        <w:tc>
          <w:tcPr>
            <w:tcW w:w="7875" w:type="dxa"/>
            <w:tcBorders>
              <w:top w:val="single" w:sz="4" w:space="0" w:color="auto"/>
              <w:left w:val="single" w:sz="4" w:space="0" w:color="auto"/>
              <w:bottom w:val="single" w:sz="4" w:space="0" w:color="auto"/>
              <w:right w:val="single" w:sz="4" w:space="0" w:color="auto"/>
            </w:tcBorders>
            <w:vAlign w:val="center"/>
          </w:tcPr>
          <w:p w14:paraId="38386F36"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b/>
                <w:color w:val="000000"/>
                <w:lang w:val="es-CO"/>
              </w:rPr>
              <w:lastRenderedPageBreak/>
              <w:t>VII. DERECHO A LA VERDAD DE LOS FAMILIARES DE LA VÍCTIMA Y DERECHO DE REPETICIÓN EN CONTRA DE LOS RESPONSABLES</w:t>
            </w:r>
            <w:r w:rsidRPr="00030A24">
              <w:rPr>
                <w:rFonts w:ascii="Cambria" w:eastAsia="Times New Roman" w:hAnsi="Cambria"/>
                <w:b/>
                <w:color w:val="000000"/>
                <w:lang w:val="es-CO"/>
              </w:rPr>
              <w:t xml:space="preserve">. </w:t>
            </w:r>
            <w:r w:rsidRPr="00030A24">
              <w:rPr>
                <w:rFonts w:ascii="Cambria" w:hAnsi="Cambria"/>
                <w:color w:val="000000"/>
                <w:lang w:val="es-CO"/>
              </w:rPr>
              <w:t xml:space="preserve">El Estado ecuatoriano realizará sus mejores esfuerzos para el enjuiciamiento tanto civil como penal de las personas que participaron en el acto violatorio por el cual se imputa la responsabilidad internacional del Estado. </w:t>
            </w:r>
          </w:p>
          <w:p w14:paraId="680F3CD0" w14:textId="77777777" w:rsidR="00035E03" w:rsidRPr="00030A24" w:rsidRDefault="00035E03" w:rsidP="00030A24">
            <w:pPr>
              <w:spacing w:after="0" w:line="240" w:lineRule="auto"/>
              <w:ind w:hanging="18"/>
              <w:jc w:val="both"/>
              <w:rPr>
                <w:rFonts w:ascii="Cambria" w:hAnsi="Cambria"/>
                <w:color w:val="000000"/>
                <w:lang w:val="es-CO"/>
              </w:rPr>
            </w:pPr>
          </w:p>
          <w:p w14:paraId="2B9CDB5E"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 xml:space="preserve">El Estado se reserva el ejercicio del derecho de repetición en contra de los </w:t>
            </w:r>
            <w:r w:rsidRPr="00030A24">
              <w:rPr>
                <w:rFonts w:ascii="Cambria" w:eastAsia="Times New Roman" w:hAnsi="Cambria"/>
                <w:color w:val="000000"/>
                <w:lang w:val="es-CO"/>
              </w:rPr>
              <w:t>exoficiales</w:t>
            </w:r>
            <w:r w:rsidRPr="00030A24">
              <w:rPr>
                <w:rFonts w:ascii="Cambria" w:hAnsi="Cambria"/>
                <w:color w:val="000000"/>
                <w:lang w:val="es-CO"/>
              </w:rPr>
              <w:t xml:space="preserve"> que han sido condenados por los jueces militares por violación al derecho a la vida del señor Robles Eras. Este derecho lo ejercerá conforme al artículo 22 de la Constitución Política. </w:t>
            </w:r>
          </w:p>
          <w:p w14:paraId="3B987CE4" w14:textId="77777777" w:rsidR="00035E03" w:rsidRPr="00030A24" w:rsidRDefault="00035E03" w:rsidP="00030A24">
            <w:pPr>
              <w:spacing w:after="0" w:line="240" w:lineRule="auto"/>
              <w:ind w:hanging="18"/>
              <w:jc w:val="both"/>
              <w:rPr>
                <w:rFonts w:ascii="Cambria" w:hAnsi="Cambria"/>
                <w:color w:val="000000"/>
                <w:lang w:val="es-CO"/>
              </w:rPr>
            </w:pPr>
          </w:p>
          <w:p w14:paraId="63FC0534"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La Procuraduría General del Estado presentará toda la documentación necesaria para que el Ministerio Público y la Función Judicial investiguen las violaciones a la integridad personal en contra del señor Robles Eras.  Una vez esclarecidas las circunstancias de la muerte del Subteniente Robles Eras, es decir que se establezcan los grados de responsabilidad de los culpables y se les imponga las penas que correspondan, será la sentencia firme fundamento suficiente para que el Estado repita lo pagado en contra de los responsables.</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6607594" w14:textId="2891FFD9" w:rsidR="00035E03" w:rsidRPr="00030A24" w:rsidRDefault="00035E03" w:rsidP="00030A24">
            <w:pPr>
              <w:spacing w:after="0" w:line="240" w:lineRule="auto"/>
              <w:jc w:val="center"/>
              <w:rPr>
                <w:rFonts w:ascii="Cambria" w:hAnsi="Cambria"/>
                <w:color w:val="000000"/>
                <w:shd w:val="clear" w:color="auto" w:fill="00FF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4"/>
            </w:r>
          </w:p>
        </w:tc>
      </w:tr>
    </w:tbl>
    <w:p w14:paraId="13281B0E" w14:textId="77777777" w:rsidR="0053292A" w:rsidRPr="00030A24" w:rsidRDefault="0053292A" w:rsidP="00030A24">
      <w:pPr>
        <w:spacing w:after="0" w:line="240" w:lineRule="auto"/>
        <w:rPr>
          <w:rFonts w:ascii="Cambria" w:hAnsi="Cambria"/>
          <w:color w:val="000000"/>
          <w:lang w:val="es-CO"/>
        </w:rPr>
      </w:pPr>
    </w:p>
    <w:p w14:paraId="04A2ABFA" w14:textId="77777777" w:rsidR="0053292A" w:rsidRPr="00030A24" w:rsidRDefault="0053292A" w:rsidP="00030A24">
      <w:pPr>
        <w:numPr>
          <w:ilvl w:val="0"/>
          <w:numId w:val="83"/>
        </w:numPr>
        <w:spacing w:after="0" w:line="240" w:lineRule="auto"/>
        <w:ind w:left="0" w:firstLine="720"/>
        <w:jc w:val="both"/>
        <w:rPr>
          <w:rFonts w:ascii="Cambria" w:eastAsia="Times New Roman" w:hAnsi="Cambria" w:cs="Calibri"/>
          <w:color w:val="000000"/>
          <w:lang w:val="es-CO" w:eastAsia="es-ES_tradnl"/>
        </w:rPr>
      </w:pPr>
      <w:r w:rsidRPr="00030A24">
        <w:rPr>
          <w:rFonts w:ascii="Cambria" w:hAnsi="Cambria"/>
          <w:b/>
          <w:color w:val="000000"/>
          <w:lang w:val="es-CO"/>
        </w:rPr>
        <w:t xml:space="preserve">NIVEL DE CUMPLIMIENTO DEL CASO </w:t>
      </w:r>
    </w:p>
    <w:p w14:paraId="6FAC38A9"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3D0696FE" w14:textId="77777777" w:rsidR="0053292A" w:rsidRPr="00030A24" w:rsidRDefault="0053292A" w:rsidP="00030A24">
      <w:pPr>
        <w:numPr>
          <w:ilvl w:val="0"/>
          <w:numId w:val="84"/>
        </w:numPr>
        <w:autoSpaceDE w:val="0"/>
        <w:autoSpaceDN w:val="0"/>
        <w:adjustRightInd w:val="0"/>
        <w:spacing w:after="0" w:line="240" w:lineRule="auto"/>
        <w:ind w:left="0" w:firstLine="720"/>
        <w:jc w:val="both"/>
        <w:rPr>
          <w:rFonts w:ascii="Cambria" w:hAnsi="Cambria"/>
          <w:b/>
          <w:color w:val="000000"/>
          <w:lang w:val="es-CO"/>
        </w:rPr>
      </w:pPr>
      <w:r w:rsidRPr="00030A24">
        <w:rPr>
          <w:rFonts w:ascii="Cambria" w:hAnsi="Cambria"/>
          <w:color w:val="000000"/>
          <w:lang w:val="es-CO"/>
        </w:rPr>
        <w:t>La Comisión valoró la solicitud realizada el 17 de enero de 2020 por la parte peticionaria, en la cual solicitó el cese de la supervisión del acuerdo y el archivo del caso, dada la pérdida de contacto con las víctimas del caso. Al respecto, la Comisión decidió cesar la supervisión del acuerdo de solución amistosa y archivar el caso, dejando constancia en el Informe Anual 2020 que la medida de justicia fue incumplida por el Estado ecuatoriano y que el nivel de cumplimiento del acuerdo es parcial.</w:t>
      </w:r>
    </w:p>
    <w:p w14:paraId="40DB61D2" w14:textId="77777777" w:rsidR="0053292A" w:rsidRPr="00030A24" w:rsidRDefault="0053292A" w:rsidP="00030A24">
      <w:pPr>
        <w:autoSpaceDE w:val="0"/>
        <w:autoSpaceDN w:val="0"/>
        <w:adjustRightInd w:val="0"/>
        <w:spacing w:after="0" w:line="240" w:lineRule="auto"/>
        <w:ind w:firstLine="720"/>
        <w:jc w:val="both"/>
        <w:rPr>
          <w:rFonts w:ascii="Cambria" w:hAnsi="Cambria"/>
          <w:b/>
          <w:color w:val="000000"/>
          <w:lang w:val="es-CO"/>
        </w:rPr>
      </w:pPr>
    </w:p>
    <w:p w14:paraId="3B447D12" w14:textId="77777777" w:rsidR="0053292A" w:rsidRPr="00030A24" w:rsidRDefault="0053292A" w:rsidP="00030A24">
      <w:pPr>
        <w:numPr>
          <w:ilvl w:val="0"/>
          <w:numId w:val="83"/>
        </w:numPr>
        <w:autoSpaceDE w:val="0"/>
        <w:autoSpaceDN w:val="0"/>
        <w:adjustRightInd w:val="0"/>
        <w:spacing w:after="0" w:line="240" w:lineRule="auto"/>
        <w:ind w:left="0" w:firstLine="720"/>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4D7EF5D4" w14:textId="77777777" w:rsidR="0053292A" w:rsidRPr="00030A24" w:rsidRDefault="0053292A" w:rsidP="00030A24">
      <w:pPr>
        <w:spacing w:after="0" w:line="240" w:lineRule="auto"/>
        <w:ind w:firstLine="720"/>
        <w:contextualSpacing/>
        <w:jc w:val="both"/>
        <w:rPr>
          <w:rFonts w:ascii="Cambria" w:hAnsi="Cambria"/>
          <w:b/>
          <w:color w:val="000000"/>
          <w:lang w:val="es-CO"/>
        </w:rPr>
      </w:pPr>
    </w:p>
    <w:p w14:paraId="1AA99B23" w14:textId="77777777" w:rsidR="0053292A" w:rsidRPr="00030A24" w:rsidRDefault="0053292A" w:rsidP="00030A24">
      <w:pPr>
        <w:numPr>
          <w:ilvl w:val="0"/>
          <w:numId w:val="85"/>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Resultados individuales del caso</w:t>
      </w:r>
    </w:p>
    <w:p w14:paraId="77B14E60" w14:textId="77777777" w:rsidR="0053292A" w:rsidRPr="00030A24" w:rsidRDefault="0053292A" w:rsidP="00030A24">
      <w:pPr>
        <w:spacing w:after="0" w:line="240" w:lineRule="auto"/>
        <w:ind w:left="720"/>
        <w:contextualSpacing/>
        <w:jc w:val="both"/>
        <w:rPr>
          <w:rFonts w:ascii="Cambria" w:hAnsi="Cambria"/>
          <w:b/>
          <w:color w:val="000000"/>
          <w:lang w:val="es-CO"/>
        </w:rPr>
      </w:pPr>
    </w:p>
    <w:p w14:paraId="6818AFB6" w14:textId="77777777" w:rsidR="0053292A" w:rsidRPr="00030A24" w:rsidRDefault="0053292A" w:rsidP="00030A24">
      <w:pPr>
        <w:spacing w:after="0" w:line="240" w:lineRule="auto"/>
        <w:ind w:left="1440" w:hanging="720"/>
        <w:contextualSpacing/>
        <w:jc w:val="both"/>
        <w:rPr>
          <w:rFonts w:ascii="Cambria" w:hAnsi="Cambria"/>
          <w:color w:val="000000"/>
          <w:lang w:val="es-CO"/>
        </w:rPr>
      </w:pPr>
      <w:r w:rsidRPr="00030A24">
        <w:rPr>
          <w:rFonts w:ascii="Cambria" w:hAnsi="Cambria"/>
          <w:color w:val="000000"/>
          <w:lang w:val="es-CO"/>
        </w:rPr>
        <w:t>•</w:t>
      </w:r>
      <w:r w:rsidRPr="00030A24">
        <w:rPr>
          <w:rFonts w:ascii="Cambria" w:hAnsi="Cambria"/>
          <w:color w:val="000000"/>
          <w:lang w:val="es-CO"/>
        </w:rPr>
        <w:tab/>
        <w:t>El Estado realizó la reparación económica, según lo establecido en el acuerdo.</w:t>
      </w:r>
    </w:p>
    <w:p w14:paraId="1619B642" w14:textId="77777777" w:rsidR="0053292A" w:rsidRPr="00030A24" w:rsidRDefault="0053292A" w:rsidP="00030A24">
      <w:pPr>
        <w:spacing w:after="0" w:line="240" w:lineRule="auto"/>
        <w:ind w:left="720"/>
        <w:contextualSpacing/>
        <w:jc w:val="both"/>
        <w:rPr>
          <w:rFonts w:ascii="Cambria" w:hAnsi="Cambria"/>
          <w:b/>
          <w:color w:val="000000"/>
          <w:lang w:val="es-CO"/>
        </w:rPr>
      </w:pPr>
    </w:p>
    <w:p w14:paraId="7371ACFC" w14:textId="77777777" w:rsidR="0053292A" w:rsidRPr="00030A24" w:rsidRDefault="0053292A" w:rsidP="00030A24">
      <w:pPr>
        <w:numPr>
          <w:ilvl w:val="0"/>
          <w:numId w:val="85"/>
        </w:numPr>
        <w:spacing w:after="0" w:line="240" w:lineRule="auto"/>
        <w:ind w:firstLine="0"/>
        <w:contextualSpacing/>
        <w:jc w:val="both"/>
        <w:rPr>
          <w:rFonts w:ascii="Cambria" w:hAnsi="Cambria"/>
          <w:b/>
          <w:color w:val="000000"/>
          <w:lang w:val="es-CO"/>
        </w:rPr>
      </w:pPr>
      <w:r w:rsidRPr="00030A24">
        <w:rPr>
          <w:rFonts w:ascii="Cambria" w:hAnsi="Cambria"/>
          <w:b/>
          <w:color w:val="000000"/>
          <w:lang w:val="es-CO"/>
        </w:rPr>
        <w:t>Resultados estructurales del caso</w:t>
      </w:r>
    </w:p>
    <w:p w14:paraId="6B06236D" w14:textId="77777777" w:rsidR="0053292A" w:rsidRPr="00030A24" w:rsidRDefault="0053292A" w:rsidP="00030A24">
      <w:pPr>
        <w:spacing w:after="0" w:line="240" w:lineRule="auto"/>
        <w:ind w:left="720"/>
        <w:contextualSpacing/>
        <w:jc w:val="both"/>
        <w:rPr>
          <w:rFonts w:ascii="Cambria" w:hAnsi="Cambria"/>
          <w:b/>
          <w:color w:val="000000"/>
          <w:lang w:val="es-CO"/>
        </w:rPr>
      </w:pPr>
    </w:p>
    <w:p w14:paraId="7717DFE5" w14:textId="5D91B9FC" w:rsidR="0053292A" w:rsidRPr="007446C7" w:rsidRDefault="0053292A" w:rsidP="006F3ADD">
      <w:pPr>
        <w:numPr>
          <w:ilvl w:val="0"/>
          <w:numId w:val="86"/>
        </w:numPr>
        <w:spacing w:after="0" w:line="240" w:lineRule="auto"/>
        <w:ind w:left="1440" w:right="-270" w:hanging="720"/>
        <w:contextualSpacing/>
        <w:jc w:val="both"/>
        <w:rPr>
          <w:rFonts w:ascii="Cambria" w:hAnsi="Cambria"/>
          <w:color w:val="000000"/>
          <w:lang w:val="es-CO"/>
        </w:rPr>
      </w:pPr>
      <w:r w:rsidRPr="007446C7">
        <w:rPr>
          <w:rFonts w:ascii="Cambria" w:hAnsi="Cambria"/>
          <w:color w:val="000000"/>
          <w:lang w:val="es-CO"/>
        </w:rPr>
        <w:t>El Estado prohibió de la práctica de “bautizos” al interior de la institución de las fuerzas armadas.</w:t>
      </w:r>
    </w:p>
    <w:sectPr w:rsidR="0053292A" w:rsidRPr="007446C7"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DB0D" w14:textId="77777777" w:rsidR="001E7583" w:rsidRDefault="001E7583" w:rsidP="00A343FF">
      <w:pPr>
        <w:spacing w:after="0" w:line="240" w:lineRule="auto"/>
      </w:pPr>
      <w:r>
        <w:separator/>
      </w:r>
    </w:p>
  </w:endnote>
  <w:endnote w:type="continuationSeparator" w:id="0">
    <w:p w14:paraId="42ED932D" w14:textId="77777777" w:rsidR="001E7583" w:rsidRDefault="001E7583" w:rsidP="00A343FF">
      <w:pPr>
        <w:spacing w:after="0" w:line="240" w:lineRule="auto"/>
      </w:pPr>
      <w:r>
        <w:continuationSeparator/>
      </w:r>
    </w:p>
  </w:endnote>
  <w:endnote w:type="continuationNotice" w:id="1">
    <w:p w14:paraId="78F7046D" w14:textId="77777777" w:rsidR="001E7583" w:rsidRDefault="001E7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256A4C"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DD8E" w14:textId="77777777" w:rsidR="001E7583" w:rsidRDefault="001E7583" w:rsidP="00A343FF">
      <w:pPr>
        <w:spacing w:after="0" w:line="240" w:lineRule="auto"/>
      </w:pPr>
      <w:r>
        <w:separator/>
      </w:r>
    </w:p>
  </w:footnote>
  <w:footnote w:type="continuationSeparator" w:id="0">
    <w:p w14:paraId="7FEB2F25" w14:textId="77777777" w:rsidR="001E7583" w:rsidRDefault="001E7583" w:rsidP="00A343FF">
      <w:pPr>
        <w:spacing w:after="0" w:line="240" w:lineRule="auto"/>
      </w:pPr>
      <w:r>
        <w:continuationSeparator/>
      </w:r>
    </w:p>
  </w:footnote>
  <w:footnote w:type="continuationNotice" w:id="1">
    <w:p w14:paraId="52E4DCDD" w14:textId="77777777" w:rsidR="001E7583" w:rsidRDefault="001E7583">
      <w:pPr>
        <w:spacing w:after="0" w:line="240" w:lineRule="auto"/>
      </w:pPr>
    </w:p>
  </w:footnote>
  <w:footnote w:id="2">
    <w:p w14:paraId="0478FD82" w14:textId="77777777" w:rsidR="0053292A" w:rsidRPr="00A87AF1" w:rsidRDefault="0053292A" w:rsidP="0053292A">
      <w:pPr>
        <w:pStyle w:val="FootnoteText"/>
        <w:ind w:firstLine="720"/>
        <w:jc w:val="both"/>
        <w:rPr>
          <w:rFonts w:ascii="Cambria" w:hAnsi="Cambria"/>
          <w:color w:val="000000"/>
          <w:sz w:val="16"/>
          <w:szCs w:val="16"/>
          <w:lang w:val="es-VE"/>
        </w:rPr>
      </w:pPr>
      <w:r w:rsidRPr="00250E33">
        <w:rPr>
          <w:rStyle w:val="FootnoteReference"/>
          <w:rFonts w:ascii="Cambria" w:hAnsi="Cambria"/>
          <w:color w:val="000000"/>
          <w:sz w:val="16"/>
          <w:szCs w:val="16"/>
        </w:rPr>
        <w:footnoteRef/>
      </w:r>
      <w:r w:rsidRPr="00250E33">
        <w:rPr>
          <w:rFonts w:ascii="Cambria" w:hAnsi="Cambria"/>
          <w:color w:val="000000"/>
          <w:sz w:val="16"/>
          <w:szCs w:val="16"/>
          <w:lang w:val="es-VE"/>
        </w:rPr>
        <w:t xml:space="preserve"> </w:t>
      </w:r>
      <w:r w:rsidRPr="00A87AF1">
        <w:rPr>
          <w:rFonts w:ascii="Cambria" w:hAnsi="Cambria"/>
          <w:color w:val="000000"/>
          <w:sz w:val="16"/>
          <w:szCs w:val="16"/>
          <w:lang w:val="es-ES"/>
        </w:rPr>
        <w:t>Informe No. 122/12</w:t>
      </w:r>
      <w:r w:rsidRPr="00A87AF1">
        <w:rPr>
          <w:rFonts w:ascii="Cambria" w:hAnsi="Cambria"/>
          <w:b/>
          <w:color w:val="000000"/>
          <w:sz w:val="16"/>
          <w:szCs w:val="16"/>
          <w:lang w:val="es-ES"/>
        </w:rPr>
        <w:t xml:space="preserve">, </w:t>
      </w:r>
      <w:r w:rsidRPr="00A87AF1">
        <w:rPr>
          <w:rFonts w:ascii="Cambria" w:hAnsi="Cambria"/>
          <w:color w:val="000000"/>
          <w:sz w:val="16"/>
          <w:szCs w:val="16"/>
          <w:lang w:val="es-ES"/>
        </w:rPr>
        <w:t xml:space="preserve">Petición 533-05, Julio Rubén Robles Eras, Noviembre 13, 2012, disponible en: </w:t>
      </w:r>
      <w:hyperlink r:id="rId1" w:history="1">
        <w:r w:rsidRPr="00A87AF1">
          <w:rPr>
            <w:rStyle w:val="Hyperlink"/>
            <w:rFonts w:ascii="Cambria" w:hAnsi="Cambria"/>
            <w:color w:val="000000"/>
            <w:sz w:val="16"/>
            <w:szCs w:val="16"/>
            <w:lang w:val="es-ES"/>
          </w:rPr>
          <w:t>http://www.oas.org/es/cidh/decisiones/amistosas.asp</w:t>
        </w:r>
      </w:hyperlink>
    </w:p>
  </w:footnote>
  <w:footnote w:id="3">
    <w:p w14:paraId="30A20EA3" w14:textId="77777777" w:rsidR="0053292A" w:rsidRPr="00A87AF1" w:rsidRDefault="0053292A" w:rsidP="0053292A">
      <w:pPr>
        <w:pStyle w:val="FootnoteText"/>
        <w:ind w:firstLine="720"/>
        <w:jc w:val="both"/>
        <w:rPr>
          <w:rFonts w:ascii="Cambria" w:hAnsi="Cambria"/>
          <w:color w:val="000000"/>
          <w:sz w:val="16"/>
          <w:szCs w:val="16"/>
          <w:lang w:val="es-VE"/>
        </w:rPr>
      </w:pPr>
      <w:r w:rsidRPr="00A87AF1">
        <w:rPr>
          <w:rStyle w:val="FootnoteReference"/>
          <w:rFonts w:ascii="Cambria" w:hAnsi="Cambria"/>
          <w:color w:val="000000"/>
          <w:sz w:val="16"/>
          <w:szCs w:val="16"/>
        </w:rPr>
        <w:footnoteRef/>
      </w:r>
      <w:r w:rsidRPr="00A87AF1">
        <w:rPr>
          <w:rFonts w:ascii="Cambria" w:hAnsi="Cambria"/>
          <w:color w:val="000000"/>
          <w:sz w:val="16"/>
          <w:szCs w:val="16"/>
          <w:lang w:val="es-VE"/>
        </w:rPr>
        <w:t xml:space="preserve"> </w:t>
      </w:r>
      <w:r w:rsidRPr="00A87AF1">
        <w:rPr>
          <w:rFonts w:ascii="Cambria" w:hAnsi="Cambria"/>
          <w:color w:val="000000"/>
          <w:sz w:val="16"/>
          <w:szCs w:val="16"/>
          <w:lang w:val="es-ES"/>
        </w:rPr>
        <w:t>Informe No. 122/12</w:t>
      </w:r>
      <w:r w:rsidRPr="00A87AF1">
        <w:rPr>
          <w:rFonts w:ascii="Cambria" w:hAnsi="Cambria"/>
          <w:b/>
          <w:color w:val="000000"/>
          <w:sz w:val="16"/>
          <w:szCs w:val="16"/>
          <w:lang w:val="es-ES"/>
        </w:rPr>
        <w:t xml:space="preserve">, </w:t>
      </w:r>
      <w:r w:rsidRPr="00A87AF1">
        <w:rPr>
          <w:rFonts w:ascii="Cambria" w:hAnsi="Cambria"/>
          <w:color w:val="000000"/>
          <w:sz w:val="16"/>
          <w:szCs w:val="16"/>
          <w:lang w:val="es-ES"/>
        </w:rPr>
        <w:t xml:space="preserve">Petición 533-05, Julio Rubén Robles Eras, Noviembre 13, 2012, disponible en: </w:t>
      </w:r>
      <w:hyperlink r:id="rId2" w:history="1">
        <w:r w:rsidRPr="00A87AF1">
          <w:rPr>
            <w:rStyle w:val="Hyperlink"/>
            <w:rFonts w:ascii="Cambria" w:hAnsi="Cambria"/>
            <w:color w:val="000000"/>
            <w:sz w:val="16"/>
            <w:szCs w:val="16"/>
            <w:lang w:val="es-ES"/>
          </w:rPr>
          <w:t>http://www.oas.org/es/cidh/decisiones/amistosas.asp</w:t>
        </w:r>
      </w:hyperlink>
    </w:p>
  </w:footnote>
  <w:footnote w:id="4">
    <w:p w14:paraId="7F7437EA" w14:textId="77777777" w:rsidR="00035E03" w:rsidRPr="00FC4F45" w:rsidRDefault="00035E03" w:rsidP="0053292A">
      <w:pPr>
        <w:pStyle w:val="FootnoteText"/>
        <w:ind w:firstLine="709"/>
        <w:jc w:val="both"/>
        <w:rPr>
          <w:sz w:val="16"/>
          <w:szCs w:val="16"/>
          <w:lang w:val="es-ES"/>
        </w:rPr>
      </w:pPr>
      <w:r w:rsidRPr="00A87AF1">
        <w:rPr>
          <w:rStyle w:val="FootnoteReference"/>
          <w:rFonts w:ascii="Cambria" w:hAnsi="Cambria"/>
          <w:sz w:val="16"/>
          <w:szCs w:val="16"/>
        </w:rPr>
        <w:footnoteRef/>
      </w:r>
      <w:r w:rsidRPr="00A87AF1">
        <w:rPr>
          <w:rFonts w:ascii="Cambria" w:hAnsi="Cambria"/>
          <w:sz w:val="16"/>
          <w:szCs w:val="16"/>
          <w:lang w:val="es-AR"/>
        </w:rPr>
        <w:t xml:space="preserve"> </w:t>
      </w:r>
      <w:r w:rsidRPr="00A87AF1">
        <w:rPr>
          <w:rFonts w:ascii="Cambria" w:hAnsi="Cambria"/>
          <w:color w:val="000000"/>
          <w:sz w:val="16"/>
          <w:szCs w:val="16"/>
          <w:lang w:val="es-ES"/>
        </w:rPr>
        <w:t xml:space="preserve">Ver CIDH, Informe Anual 2020, Capítulo II, Sección F. Negociación e implementación de acuerdos de solución amistosa. </w:t>
      </w:r>
      <w:r w:rsidRPr="00A87AF1">
        <w:rPr>
          <w:rFonts w:ascii="Cambria" w:hAnsi="Cambria"/>
          <w:color w:val="000000"/>
          <w:sz w:val="16"/>
          <w:szCs w:val="16"/>
          <w:lang w:val="es-CO"/>
        </w:rPr>
        <w:t xml:space="preserve">Disponible en: </w:t>
      </w:r>
      <w:hyperlink r:id="rId3" w:history="1">
        <w:r w:rsidRPr="00A87AF1">
          <w:rPr>
            <w:rStyle w:val="Hyperlink"/>
            <w:rFonts w:ascii="Cambria" w:hAnsi="Cambria"/>
            <w:sz w:val="16"/>
            <w:szCs w:val="16"/>
            <w:lang w:val="es-CO"/>
          </w:rPr>
          <w:t>http://www.oas.org/es/cidh/docs/anual/2020/capitulos/IA2020cap2-es.pdf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256A4C">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256A4C"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44015"/>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D5AB8"/>
    <w:rsid w:val="001E078E"/>
    <w:rsid w:val="001E4C53"/>
    <w:rsid w:val="001E758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56A4C"/>
    <w:rsid w:val="00260BCB"/>
    <w:rsid w:val="002637BA"/>
    <w:rsid w:val="00272AB9"/>
    <w:rsid w:val="0028228E"/>
    <w:rsid w:val="0029369D"/>
    <w:rsid w:val="0029509F"/>
    <w:rsid w:val="002A1ED6"/>
    <w:rsid w:val="002A39B2"/>
    <w:rsid w:val="002B0B2A"/>
    <w:rsid w:val="002B0F57"/>
    <w:rsid w:val="002B2264"/>
    <w:rsid w:val="002B6E6C"/>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03581"/>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336F"/>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4B9"/>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46C7"/>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3D01"/>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2059"/>
    <w:rsid w:val="008A64C1"/>
    <w:rsid w:val="008C2A91"/>
    <w:rsid w:val="008D5E80"/>
    <w:rsid w:val="008E13F4"/>
    <w:rsid w:val="008E6D12"/>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0432"/>
    <w:rsid w:val="00A72869"/>
    <w:rsid w:val="00A759EB"/>
    <w:rsid w:val="00A854F6"/>
    <w:rsid w:val="00A87AF1"/>
    <w:rsid w:val="00A942E0"/>
    <w:rsid w:val="00AA1AD7"/>
    <w:rsid w:val="00AB2CDA"/>
    <w:rsid w:val="00AB49C7"/>
    <w:rsid w:val="00AC2BAD"/>
    <w:rsid w:val="00AC5F46"/>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6BE"/>
    <w:rsid w:val="00DB5E3D"/>
    <w:rsid w:val="00DC246B"/>
    <w:rsid w:val="00DD1CFF"/>
    <w:rsid w:val="00DD2FE8"/>
    <w:rsid w:val="00DD4F27"/>
    <w:rsid w:val="00DD7443"/>
    <w:rsid w:val="00DE2E0D"/>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0B2A"/>
    <w:rsid w:val="00ED4C58"/>
    <w:rsid w:val="00ED518E"/>
    <w:rsid w:val="00EF0591"/>
    <w:rsid w:val="00EF1BD7"/>
    <w:rsid w:val="00EF70C9"/>
    <w:rsid w:val="00F00E16"/>
    <w:rsid w:val="00F0294F"/>
    <w:rsid w:val="00F058CE"/>
    <w:rsid w:val="00F06E69"/>
    <w:rsid w:val="00F07B09"/>
    <w:rsid w:val="00F116BD"/>
    <w:rsid w:val="00F13D78"/>
    <w:rsid w:val="00F16EB4"/>
    <w:rsid w:val="00F231C2"/>
    <w:rsid w:val="00F4025A"/>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as.org/es/cidh/decisiones/amistosa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20/capitulos/IA2020cap2-es.pdf" TargetMode="External"/><Relationship Id="rId2" Type="http://schemas.openxmlformats.org/officeDocument/2006/relationships/hyperlink" Target="http://www.oas.org/es/cidh/decisiones/amistosas.asp" TargetMode="External"/><Relationship Id="rId1" Type="http://schemas.openxmlformats.org/officeDocument/2006/relationships/hyperlink" Target="http://www.oas.org/es/cidh/decisiones/amistosa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5.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6.xml><?xml version="1.0" encoding="utf-8"?>
<ds:datastoreItem xmlns:ds="http://schemas.openxmlformats.org/officeDocument/2006/customXml" ds:itemID="{67B860E9-D705-4CC0-8F2E-B8214DB7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2023-03-03T22:12:00Z</dcterms:created>
  <dcterms:modified xsi:type="dcterms:W3CDTF">2023-03-03T22:12:00Z</dcterms:modified>
</cp:coreProperties>
</file>