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ACA60" w14:textId="19666BDF" w:rsidR="00397E04" w:rsidRPr="00006B74" w:rsidRDefault="003D1977"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
        </w:rPr>
      </w:pPr>
      <w:r>
        <w:rPr>
          <w:noProof/>
        </w:rPr>
        <mc:AlternateContent>
          <mc:Choice Requires="wps">
            <w:drawing>
              <wp:anchor distT="0" distB="0" distL="114300" distR="114300" simplePos="0" relativeHeight="251654144" behindDoc="0" locked="0" layoutInCell="1" allowOverlap="1" wp14:anchorId="34D68051" wp14:editId="54B40666">
                <wp:simplePos x="0" y="0"/>
                <wp:positionH relativeFrom="column">
                  <wp:posOffset>-415925</wp:posOffset>
                </wp:positionH>
                <wp:positionV relativeFrom="paragraph">
                  <wp:posOffset>-439420</wp:posOffset>
                </wp:positionV>
                <wp:extent cx="1543050" cy="9096375"/>
                <wp:effectExtent l="0" t="0" r="0" b="0"/>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78F6676"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14:anchorId="240581B0" wp14:editId="6BE0B8C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0BA95" w14:textId="7E5B0595" w:rsidR="00397E04" w:rsidRDefault="003D1977"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3DC23052" wp14:editId="4A822890">
                                  <wp:extent cx="2633980" cy="50990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3980" cy="509905"/>
                                          </a:xfrm>
                                          <a:prstGeom prst="rect">
                                            <a:avLst/>
                                          </a:prstGeom>
                                          <a:noFill/>
                                          <a:ln>
                                            <a:noFill/>
                                          </a:ln>
                                        </pic:spPr>
                                      </pic:pic>
                                    </a:graphicData>
                                  </a:graphic>
                                </wp:inline>
                              </w:drawing>
                            </w:r>
                            <w:r w:rsidR="00397E04">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40581B0"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14:paraId="2AB0BA95" w14:textId="7E5B0595" w:rsidR="00397E04" w:rsidRDefault="003D1977"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14:anchorId="3DC23052" wp14:editId="4A822890">
                            <wp:extent cx="2633980" cy="509905"/>
                            <wp:effectExtent l="0" t="0" r="0"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3980" cy="509905"/>
                                    </a:xfrm>
                                    <a:prstGeom prst="rect">
                                      <a:avLst/>
                                    </a:prstGeom>
                                    <a:noFill/>
                                    <a:ln>
                                      <a:noFill/>
                                    </a:ln>
                                  </pic:spPr>
                                </pic:pic>
                              </a:graphicData>
                            </a:graphic>
                          </wp:inline>
                        </w:drawing>
                      </w:r>
                      <w:r w:rsidR="00397E04">
                        <w:tab/>
                        <w:t xml:space="preserve">                              </w:t>
                      </w:r>
                    </w:p>
                  </w:txbxContent>
                </v:textbox>
              </v:shape>
            </w:pict>
          </mc:Fallback>
        </mc:AlternateContent>
      </w:r>
    </w:p>
    <w:p w14:paraId="50728ADB"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5545E66C"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14:paraId="75A5A887"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14:paraId="6F3F4770"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14:paraId="69A49264"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
        </w:rPr>
      </w:pPr>
    </w:p>
    <w:p w14:paraId="6990E629" w14:textId="77777777" w:rsidR="00397E04" w:rsidRPr="00006B74" w:rsidRDefault="00397E0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76DA98F2" w14:textId="77777777" w:rsidR="00397E04" w:rsidRPr="00006B74" w:rsidRDefault="00397E0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3B2A64E4" w14:textId="77777777" w:rsidR="00397E04" w:rsidRPr="00006B74" w:rsidRDefault="00397E0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646D44BC" w14:textId="77777777" w:rsidR="00397E04" w:rsidRPr="00006B74" w:rsidRDefault="00397E0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4EF2CC31" w14:textId="77777777" w:rsidR="00397E04" w:rsidRPr="00006B74" w:rsidRDefault="00397E04"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53906338"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653B3901"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2C06B727" w14:textId="2412255C" w:rsidR="00397E04" w:rsidRPr="00006B74" w:rsidRDefault="003D197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r>
        <w:rPr>
          <w:noProof/>
        </w:rPr>
        <mc:AlternateContent>
          <mc:Choice Requires="wps">
            <w:drawing>
              <wp:anchor distT="0" distB="0" distL="114300" distR="114300" simplePos="0" relativeHeight="251655168" behindDoc="0" locked="0" layoutInCell="1" allowOverlap="1" wp14:anchorId="024D03C0" wp14:editId="00B7BE74">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BB8A46" w14:textId="611C47DF" w:rsidR="00397E04" w:rsidRPr="003A27F0" w:rsidRDefault="00397E0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A27F0">
                              <w:rPr>
                                <w:rFonts w:ascii="Cambria" w:hAnsi="Cambria" w:cs="Arial"/>
                                <w:b/>
                                <w:bCs/>
                                <w:color w:val="0D0D0D"/>
                                <w:sz w:val="36"/>
                                <w:szCs w:val="22"/>
                                <w:lang w:val="es-ES_tradnl"/>
                              </w:rPr>
                              <w:t xml:space="preserve">INFORME </w:t>
                            </w:r>
                            <w:r w:rsidRPr="003A27F0">
                              <w:rPr>
                                <w:rFonts w:ascii="Cambria" w:hAnsi="Cambria" w:cs="Arial"/>
                                <w:b/>
                                <w:bCs/>
                                <w:color w:val="0D0D0D"/>
                                <w:sz w:val="36"/>
                                <w:szCs w:val="40"/>
                                <w:lang w:val="es-ES_tradnl"/>
                              </w:rPr>
                              <w:t>No.</w:t>
                            </w:r>
                            <w:r w:rsidR="0049621C">
                              <w:rPr>
                                <w:rFonts w:ascii="Cambria" w:hAnsi="Cambria" w:cs="Arial"/>
                                <w:b/>
                                <w:bCs/>
                                <w:color w:val="0D0D0D"/>
                                <w:sz w:val="36"/>
                                <w:szCs w:val="22"/>
                                <w:lang w:val="es-ES_tradnl"/>
                              </w:rPr>
                              <w:t xml:space="preserve"> 79</w:t>
                            </w:r>
                            <w:r w:rsidRPr="003A27F0">
                              <w:rPr>
                                <w:rFonts w:ascii="Cambria" w:hAnsi="Cambria" w:cs="Arial"/>
                                <w:b/>
                                <w:bCs/>
                                <w:color w:val="0D0D0D"/>
                                <w:sz w:val="36"/>
                                <w:szCs w:val="22"/>
                                <w:lang w:val="es-ES_tradnl"/>
                              </w:rPr>
                              <w:t>/20</w:t>
                            </w:r>
                          </w:p>
                          <w:p w14:paraId="1FB48E53" w14:textId="77777777" w:rsidR="00397E04" w:rsidRPr="003A27F0" w:rsidRDefault="00397E04"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A27F0">
                              <w:rPr>
                                <w:rFonts w:ascii="Cambria" w:hAnsi="Cambria" w:cs="Arial"/>
                                <w:b/>
                                <w:color w:val="0D0D0D"/>
                                <w:sz w:val="36"/>
                                <w:szCs w:val="22"/>
                                <w:lang w:val="es-ES_tradnl"/>
                              </w:rPr>
                              <w:t>PETICIÓN 347-09</w:t>
                            </w:r>
                          </w:p>
                          <w:p w14:paraId="6CC4D965" w14:textId="77777777" w:rsidR="00397E04" w:rsidRPr="003A27F0" w:rsidRDefault="00397E04"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A27F0">
                              <w:rPr>
                                <w:rFonts w:ascii="Cambria" w:hAnsi="Cambria" w:cs="Arial"/>
                                <w:color w:val="0D0D0D"/>
                                <w:szCs w:val="22"/>
                                <w:lang w:val="es-ES_tradnl"/>
                              </w:rPr>
                              <w:t xml:space="preserve">INFORME DE ADMISIBILIDAD </w:t>
                            </w:r>
                          </w:p>
                          <w:p w14:paraId="56D4F053" w14:textId="77777777" w:rsidR="00397E04" w:rsidRPr="003A27F0" w:rsidRDefault="00397E04"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0" w:name="_ftnref1"/>
                          </w:p>
                          <w:p w14:paraId="42148B13" w14:textId="77777777" w:rsidR="00397E04" w:rsidRPr="003A27F0" w:rsidRDefault="00397E04"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A27F0">
                              <w:rPr>
                                <w:rFonts w:ascii="Cambria" w:hAnsi="Cambria" w:cs="Arial"/>
                                <w:color w:val="0D0D0D"/>
                                <w:szCs w:val="22"/>
                                <w:lang w:val="es-ES_tradnl"/>
                              </w:rPr>
                              <w:t>SANDRA JU</w:t>
                            </w:r>
                            <w:r w:rsidRPr="003A27F0">
                              <w:rPr>
                                <w:rFonts w:ascii="Cambria" w:hAnsi="Cambria" w:cs="Arial"/>
                                <w:color w:val="0D0D0D"/>
                                <w:szCs w:val="22"/>
                                <w:lang w:val="es-PA"/>
                              </w:rPr>
                              <w:t>Á</w:t>
                            </w:r>
                            <w:r w:rsidRPr="003A27F0">
                              <w:rPr>
                                <w:rFonts w:ascii="Cambria" w:hAnsi="Cambria" w:cs="Arial"/>
                                <w:color w:val="0D0D0D"/>
                                <w:szCs w:val="22"/>
                                <w:lang w:val="es-ES_tradnl"/>
                              </w:rPr>
                              <w:t xml:space="preserve">REZ DOMÍNGUEZ </w:t>
                            </w:r>
                          </w:p>
                          <w:bookmarkEnd w:id="0"/>
                          <w:p w14:paraId="29283976" w14:textId="77777777" w:rsidR="00397E04" w:rsidRPr="003A27F0" w:rsidRDefault="00397E04"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A27F0">
                              <w:rPr>
                                <w:rFonts w:ascii="Cambria" w:hAnsi="Cambria" w:cs="Arial"/>
                                <w:color w:val="0D0D0D"/>
                                <w:szCs w:val="22"/>
                                <w:lang w:val="es-ES_tradnl"/>
                              </w:rPr>
                              <w:t>M</w:t>
                            </w:r>
                            <w:r w:rsidRPr="003A27F0">
                              <w:rPr>
                                <w:rFonts w:ascii="Cambria" w:hAnsi="Cambria" w:cs="Arial"/>
                                <w:color w:val="0D0D0D"/>
                                <w:szCs w:val="22"/>
                                <w:lang w:val="es-AR"/>
                              </w:rPr>
                              <w:t>É</w:t>
                            </w:r>
                            <w:r w:rsidRPr="003A27F0">
                              <w:rPr>
                                <w:rFonts w:ascii="Cambria" w:hAnsi="Cambria" w:cs="Arial"/>
                                <w:color w:val="0D0D0D"/>
                                <w:szCs w:val="22"/>
                                <w:lang w:val="es-ES_tradnl"/>
                              </w:rPr>
                              <w:t>XICO</w:t>
                            </w:r>
                            <w:r w:rsidRPr="003A27F0">
                              <w:rPr>
                                <w:rFonts w:ascii="Cambria" w:hAnsi="Cambria" w:cs="Arial"/>
                                <w:color w:val="0D0D0D"/>
                                <w:szCs w:val="22"/>
                                <w:lang w:val="es-ES_tradnl"/>
                              </w:rPr>
                              <w:tab/>
                            </w:r>
                          </w:p>
                          <w:p w14:paraId="07312A61" w14:textId="77777777" w:rsidR="00397E04" w:rsidRPr="003A27F0" w:rsidRDefault="00397E04"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24D03C0"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14:paraId="72BB8A46" w14:textId="611C47DF" w:rsidR="00397E04" w:rsidRPr="003A27F0" w:rsidRDefault="00397E04"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3A27F0">
                        <w:rPr>
                          <w:rFonts w:ascii="Cambria" w:hAnsi="Cambria" w:cs="Arial"/>
                          <w:b/>
                          <w:bCs/>
                          <w:color w:val="0D0D0D"/>
                          <w:sz w:val="36"/>
                          <w:szCs w:val="22"/>
                          <w:lang w:val="es-ES_tradnl"/>
                        </w:rPr>
                        <w:t xml:space="preserve">INFORME </w:t>
                      </w:r>
                      <w:r w:rsidRPr="003A27F0">
                        <w:rPr>
                          <w:rFonts w:ascii="Cambria" w:hAnsi="Cambria" w:cs="Arial"/>
                          <w:b/>
                          <w:bCs/>
                          <w:color w:val="0D0D0D"/>
                          <w:sz w:val="36"/>
                          <w:szCs w:val="40"/>
                          <w:lang w:val="es-ES_tradnl"/>
                        </w:rPr>
                        <w:t>No.</w:t>
                      </w:r>
                      <w:r w:rsidR="0049621C">
                        <w:rPr>
                          <w:rFonts w:ascii="Cambria" w:hAnsi="Cambria" w:cs="Arial"/>
                          <w:b/>
                          <w:bCs/>
                          <w:color w:val="0D0D0D"/>
                          <w:sz w:val="36"/>
                          <w:szCs w:val="22"/>
                          <w:lang w:val="es-ES_tradnl"/>
                        </w:rPr>
                        <w:t xml:space="preserve"> 79</w:t>
                      </w:r>
                      <w:r w:rsidRPr="003A27F0">
                        <w:rPr>
                          <w:rFonts w:ascii="Cambria" w:hAnsi="Cambria" w:cs="Arial"/>
                          <w:b/>
                          <w:bCs/>
                          <w:color w:val="0D0D0D"/>
                          <w:sz w:val="36"/>
                          <w:szCs w:val="22"/>
                          <w:lang w:val="es-ES_tradnl"/>
                        </w:rPr>
                        <w:t>/20</w:t>
                      </w:r>
                    </w:p>
                    <w:p w14:paraId="1FB48E53" w14:textId="77777777" w:rsidR="00397E04" w:rsidRPr="003A27F0" w:rsidRDefault="00397E04"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3A27F0">
                        <w:rPr>
                          <w:rFonts w:ascii="Cambria" w:hAnsi="Cambria" w:cs="Arial"/>
                          <w:b/>
                          <w:color w:val="0D0D0D"/>
                          <w:sz w:val="36"/>
                          <w:szCs w:val="22"/>
                          <w:lang w:val="es-ES_tradnl"/>
                        </w:rPr>
                        <w:t>PETICIÓN 347-09</w:t>
                      </w:r>
                    </w:p>
                    <w:p w14:paraId="6CC4D965" w14:textId="77777777" w:rsidR="00397E04" w:rsidRPr="003A27F0" w:rsidRDefault="00397E04"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A27F0">
                        <w:rPr>
                          <w:rFonts w:ascii="Cambria" w:hAnsi="Cambria" w:cs="Arial"/>
                          <w:color w:val="0D0D0D"/>
                          <w:szCs w:val="22"/>
                          <w:lang w:val="es-ES_tradnl"/>
                        </w:rPr>
                        <w:t xml:space="preserve">INFORME DE ADMISIBILIDAD </w:t>
                      </w:r>
                    </w:p>
                    <w:p w14:paraId="56D4F053" w14:textId="77777777" w:rsidR="00397E04" w:rsidRPr="003A27F0" w:rsidRDefault="00397E04"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14:paraId="42148B13" w14:textId="77777777" w:rsidR="00397E04" w:rsidRPr="003A27F0" w:rsidRDefault="00397E04"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3A27F0">
                        <w:rPr>
                          <w:rFonts w:ascii="Cambria" w:hAnsi="Cambria" w:cs="Arial"/>
                          <w:color w:val="0D0D0D"/>
                          <w:szCs w:val="22"/>
                          <w:lang w:val="es-ES_tradnl"/>
                        </w:rPr>
                        <w:t>SANDRA JU</w:t>
                      </w:r>
                      <w:r w:rsidRPr="003A27F0">
                        <w:rPr>
                          <w:rFonts w:ascii="Cambria" w:hAnsi="Cambria" w:cs="Arial"/>
                          <w:color w:val="0D0D0D"/>
                          <w:szCs w:val="22"/>
                          <w:lang w:val="es-PA"/>
                        </w:rPr>
                        <w:t>Á</w:t>
                      </w:r>
                      <w:r w:rsidRPr="003A27F0">
                        <w:rPr>
                          <w:rFonts w:ascii="Cambria" w:hAnsi="Cambria" w:cs="Arial"/>
                          <w:color w:val="0D0D0D"/>
                          <w:szCs w:val="22"/>
                          <w:lang w:val="es-ES_tradnl"/>
                        </w:rPr>
                        <w:t xml:space="preserve">REZ DOMÍNGUEZ </w:t>
                      </w:r>
                    </w:p>
                    <w:bookmarkEnd w:id="1"/>
                    <w:p w14:paraId="29283976" w14:textId="77777777" w:rsidR="00397E04" w:rsidRPr="003A27F0" w:rsidRDefault="00397E04" w:rsidP="00CC395D">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3A27F0">
                        <w:rPr>
                          <w:rFonts w:ascii="Cambria" w:hAnsi="Cambria" w:cs="Arial"/>
                          <w:color w:val="0D0D0D"/>
                          <w:szCs w:val="22"/>
                          <w:lang w:val="es-ES_tradnl"/>
                        </w:rPr>
                        <w:t>M</w:t>
                      </w:r>
                      <w:r w:rsidRPr="003A27F0">
                        <w:rPr>
                          <w:rFonts w:ascii="Cambria" w:hAnsi="Cambria" w:cs="Arial"/>
                          <w:color w:val="0D0D0D"/>
                          <w:szCs w:val="22"/>
                          <w:lang w:val="es-AR"/>
                        </w:rPr>
                        <w:t>É</w:t>
                      </w:r>
                      <w:r w:rsidRPr="003A27F0">
                        <w:rPr>
                          <w:rFonts w:ascii="Cambria" w:hAnsi="Cambria" w:cs="Arial"/>
                          <w:color w:val="0D0D0D"/>
                          <w:szCs w:val="22"/>
                          <w:lang w:val="es-ES_tradnl"/>
                        </w:rPr>
                        <w:t>XICO</w:t>
                      </w:r>
                      <w:r w:rsidRPr="003A27F0">
                        <w:rPr>
                          <w:rFonts w:ascii="Cambria" w:hAnsi="Cambria" w:cs="Arial"/>
                          <w:color w:val="0D0D0D"/>
                          <w:szCs w:val="22"/>
                          <w:lang w:val="es-ES_tradnl"/>
                        </w:rPr>
                        <w:tab/>
                      </w:r>
                    </w:p>
                    <w:p w14:paraId="07312A61" w14:textId="77777777" w:rsidR="00397E04" w:rsidRPr="003A27F0" w:rsidRDefault="00397E04"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F9582D0" wp14:editId="6386EB4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0E932" w14:textId="116A6C1D" w:rsidR="00397E04" w:rsidRPr="003A27F0" w:rsidRDefault="0049621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14:paraId="779F03D2" w14:textId="76FB30F1" w:rsidR="00397E04" w:rsidRPr="003A27F0" w:rsidRDefault="0049621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89</w:t>
                            </w:r>
                          </w:p>
                          <w:p w14:paraId="2A627545" w14:textId="33F9C37D" w:rsidR="00397E04" w:rsidRPr="003A27F0" w:rsidRDefault="0049621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24 april</w:t>
                            </w:r>
                            <w:r w:rsidR="00397E04" w:rsidRPr="003A27F0">
                              <w:rPr>
                                <w:rFonts w:ascii="Calibri" w:hAnsi="Calibri"/>
                                <w:color w:val="FFFFFF"/>
                                <w:sz w:val="22"/>
                                <w:lang w:val="es-ES"/>
                              </w:rPr>
                              <w:t xml:space="preserve"> 2020</w:t>
                            </w:r>
                          </w:p>
                          <w:p w14:paraId="1E3993C9" w14:textId="77777777" w:rsidR="00397E04" w:rsidRPr="003A27F0" w:rsidRDefault="00397E04"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3A27F0">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F9582D0"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14:paraId="4620E932" w14:textId="116A6C1D" w:rsidR="00397E04" w:rsidRPr="003A27F0" w:rsidRDefault="0049621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OEA/Ser.L/V/II.</w:t>
                      </w:r>
                    </w:p>
                    <w:p w14:paraId="779F03D2" w14:textId="76FB30F1" w:rsidR="00397E04" w:rsidRPr="003A27F0" w:rsidRDefault="0049621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pt-BR"/>
                        </w:rPr>
                      </w:pPr>
                      <w:r>
                        <w:rPr>
                          <w:rFonts w:ascii="Calibri" w:hAnsi="Calibri"/>
                          <w:color w:val="FFFFFF"/>
                          <w:sz w:val="22"/>
                          <w:lang w:val="pt-BR"/>
                        </w:rPr>
                        <w:t>Doc. 89</w:t>
                      </w:r>
                    </w:p>
                    <w:p w14:paraId="2A627545" w14:textId="33F9C37D" w:rsidR="00397E04" w:rsidRPr="003A27F0" w:rsidRDefault="0049621C"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Pr>
                          <w:rFonts w:ascii="Calibri" w:hAnsi="Calibri"/>
                          <w:color w:val="FFFFFF"/>
                          <w:sz w:val="22"/>
                          <w:lang w:val="es-ES"/>
                        </w:rPr>
                        <w:t>24 april</w:t>
                      </w:r>
                      <w:r w:rsidR="00397E04" w:rsidRPr="003A27F0">
                        <w:rPr>
                          <w:rFonts w:ascii="Calibri" w:hAnsi="Calibri"/>
                          <w:color w:val="FFFFFF"/>
                          <w:sz w:val="22"/>
                          <w:lang w:val="es-ES"/>
                        </w:rPr>
                        <w:t xml:space="preserve"> 2020</w:t>
                      </w:r>
                    </w:p>
                    <w:p w14:paraId="1E3993C9" w14:textId="77777777" w:rsidR="00397E04" w:rsidRPr="003A27F0" w:rsidRDefault="00397E04"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sz w:val="22"/>
                          <w:lang w:val="es-ES"/>
                        </w:rPr>
                      </w:pPr>
                      <w:r w:rsidRPr="003A27F0">
                        <w:rPr>
                          <w:rFonts w:ascii="Calibri" w:hAnsi="Calibri"/>
                          <w:color w:val="FFFFFF"/>
                          <w:sz w:val="22"/>
                          <w:lang w:val="es-ES"/>
                        </w:rPr>
                        <w:t>Original: español</w:t>
                      </w:r>
                    </w:p>
                  </w:txbxContent>
                </v:textbox>
              </v:shape>
            </w:pict>
          </mc:Fallback>
        </mc:AlternateContent>
      </w:r>
    </w:p>
    <w:p w14:paraId="18AD1A34"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43D2F7DC"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0F7B8AE4"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
        </w:rPr>
      </w:pPr>
    </w:p>
    <w:p w14:paraId="118C09BF"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445EB1B6"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7FD47E56"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15FFA6AD"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0BA9F106"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1190332C"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6407D71B"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1BD40286"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2F718EBF"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327DF47A"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p>
    <w:p w14:paraId="2518C3EA"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
        </w:rPr>
      </w:pPr>
      <w:bookmarkStart w:id="1" w:name="_GoBack"/>
      <w:bookmarkEnd w:id="1"/>
    </w:p>
    <w:p w14:paraId="4220A872"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79EAFF58"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4752BC51"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4C0F5840"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03B96D84"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7BAB0165"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6A61727B"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3771BD03"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216CFE40"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6D628EC6"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790C449A"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66B0BFC1"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25B93A0A"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4DF44CD3"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30342786" w14:textId="7D10C58C" w:rsidR="00397E04" w:rsidRPr="00006B74" w:rsidRDefault="003D197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6192" behindDoc="0" locked="0" layoutInCell="1" allowOverlap="1" wp14:anchorId="05C849E6" wp14:editId="35C90D52">
                <wp:simplePos x="0" y="0"/>
                <wp:positionH relativeFrom="column">
                  <wp:posOffset>1341755</wp:posOffset>
                </wp:positionH>
                <wp:positionV relativeFrom="paragraph">
                  <wp:posOffset>22860</wp:posOffset>
                </wp:positionV>
                <wp:extent cx="4933950" cy="66484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AD039E" w14:textId="4D703920" w:rsidR="00397E04" w:rsidRPr="003A27F0" w:rsidRDefault="00397E04"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A27F0">
                              <w:rPr>
                                <w:rFonts w:ascii="Cambria" w:hAnsi="Cambria"/>
                                <w:color w:val="0D0D0D"/>
                                <w:sz w:val="18"/>
                                <w:szCs w:val="22"/>
                                <w:lang w:val="es-ES"/>
                              </w:rPr>
                              <w:t>Aprobado electr</w:t>
                            </w:r>
                            <w:r w:rsidRPr="003A27F0">
                              <w:rPr>
                                <w:rFonts w:ascii="Cambria" w:hAnsi="Cambria"/>
                                <w:color w:val="0D0D0D"/>
                                <w:sz w:val="18"/>
                                <w:szCs w:val="22"/>
                                <w:lang w:val="es-ES_tradnl"/>
                              </w:rPr>
                              <w:t>ónicamente</w:t>
                            </w:r>
                            <w:r w:rsidRPr="003A27F0">
                              <w:rPr>
                                <w:rFonts w:ascii="Cambria" w:hAnsi="Cambria"/>
                                <w:color w:val="0D0D0D"/>
                                <w:sz w:val="18"/>
                                <w:szCs w:val="22"/>
                                <w:lang w:val="es-ES"/>
                              </w:rPr>
                              <w:t xml:space="preserve"> por la Comisión el </w:t>
                            </w:r>
                            <w:r w:rsidR="0049621C">
                              <w:rPr>
                                <w:rFonts w:ascii="Cambria" w:hAnsi="Cambria"/>
                                <w:color w:val="0D0D0D"/>
                                <w:sz w:val="18"/>
                                <w:szCs w:val="22"/>
                                <w:lang w:val="es-ES"/>
                              </w:rPr>
                              <w:t>24</w:t>
                            </w:r>
                            <w:r w:rsidRPr="003A27F0">
                              <w:rPr>
                                <w:rFonts w:ascii="Cambria" w:hAnsi="Cambria"/>
                                <w:color w:val="0D0D0D"/>
                                <w:sz w:val="18"/>
                                <w:szCs w:val="22"/>
                                <w:lang w:val="es-ES"/>
                              </w:rPr>
                              <w:t xml:space="preserve"> de </w:t>
                            </w:r>
                            <w:r w:rsidR="0049621C">
                              <w:rPr>
                                <w:rFonts w:ascii="Cambria" w:hAnsi="Cambria"/>
                                <w:color w:val="0D0D0D"/>
                                <w:sz w:val="18"/>
                                <w:szCs w:val="22"/>
                                <w:lang w:val="es-ES"/>
                              </w:rPr>
                              <w:t>abril</w:t>
                            </w:r>
                            <w:r w:rsidRPr="003A27F0">
                              <w:rPr>
                                <w:rFonts w:ascii="Cambria" w:hAnsi="Cambria"/>
                                <w:color w:val="0D0D0D"/>
                                <w:sz w:val="18"/>
                                <w:szCs w:val="22"/>
                                <w:lang w:val="es-ES"/>
                              </w:rPr>
                              <w:t xml:space="preserve"> de 2020</w:t>
                            </w:r>
                            <w:r w:rsidR="000F2A8B">
                              <w:rPr>
                                <w:rFonts w:ascii="Cambria" w:hAnsi="Cambria"/>
                                <w:color w:val="0D0D0D"/>
                                <w:sz w:val="18"/>
                                <w:szCs w:val="22"/>
                                <w:lang w:val="es-ES"/>
                              </w:rPr>
                              <w:t>.</w:t>
                            </w:r>
                          </w:p>
                          <w:p w14:paraId="0C70B2C5" w14:textId="77777777" w:rsidR="00397E04" w:rsidRPr="003A27F0" w:rsidRDefault="00397E04"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5A86F865" w14:textId="77777777" w:rsidR="00397E04" w:rsidRPr="003A27F0" w:rsidRDefault="00397E04"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C849E6"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14:paraId="54AD039E" w14:textId="4D703920" w:rsidR="00397E04" w:rsidRPr="003A27F0" w:rsidRDefault="00397E04" w:rsidP="00DD3D86">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olor w:val="0D0D0D"/>
                          <w:sz w:val="18"/>
                          <w:szCs w:val="22"/>
                          <w:lang w:val="es-ES"/>
                        </w:rPr>
                      </w:pPr>
                      <w:r w:rsidRPr="003A27F0">
                        <w:rPr>
                          <w:rFonts w:ascii="Cambria" w:hAnsi="Cambria"/>
                          <w:color w:val="0D0D0D"/>
                          <w:sz w:val="18"/>
                          <w:szCs w:val="22"/>
                          <w:lang w:val="es-ES"/>
                        </w:rPr>
                        <w:t>Aprobado electr</w:t>
                      </w:r>
                      <w:r w:rsidRPr="003A27F0">
                        <w:rPr>
                          <w:rFonts w:ascii="Cambria" w:hAnsi="Cambria"/>
                          <w:color w:val="0D0D0D"/>
                          <w:sz w:val="18"/>
                          <w:szCs w:val="22"/>
                          <w:lang w:val="es-ES_tradnl"/>
                        </w:rPr>
                        <w:t>ónicamente</w:t>
                      </w:r>
                      <w:r w:rsidRPr="003A27F0">
                        <w:rPr>
                          <w:rFonts w:ascii="Cambria" w:hAnsi="Cambria"/>
                          <w:color w:val="0D0D0D"/>
                          <w:sz w:val="18"/>
                          <w:szCs w:val="22"/>
                          <w:lang w:val="es-ES"/>
                        </w:rPr>
                        <w:t xml:space="preserve"> por la Comisión el </w:t>
                      </w:r>
                      <w:r w:rsidR="0049621C">
                        <w:rPr>
                          <w:rFonts w:ascii="Cambria" w:hAnsi="Cambria"/>
                          <w:color w:val="0D0D0D"/>
                          <w:sz w:val="18"/>
                          <w:szCs w:val="22"/>
                          <w:lang w:val="es-ES"/>
                        </w:rPr>
                        <w:t>24</w:t>
                      </w:r>
                      <w:r w:rsidRPr="003A27F0">
                        <w:rPr>
                          <w:rFonts w:ascii="Cambria" w:hAnsi="Cambria"/>
                          <w:color w:val="0D0D0D"/>
                          <w:sz w:val="18"/>
                          <w:szCs w:val="22"/>
                          <w:lang w:val="es-ES"/>
                        </w:rPr>
                        <w:t xml:space="preserve"> de </w:t>
                      </w:r>
                      <w:r w:rsidR="0049621C">
                        <w:rPr>
                          <w:rFonts w:ascii="Cambria" w:hAnsi="Cambria"/>
                          <w:color w:val="0D0D0D"/>
                          <w:sz w:val="18"/>
                          <w:szCs w:val="22"/>
                          <w:lang w:val="es-ES"/>
                        </w:rPr>
                        <w:t>abril</w:t>
                      </w:r>
                      <w:r w:rsidRPr="003A27F0">
                        <w:rPr>
                          <w:rFonts w:ascii="Cambria" w:hAnsi="Cambria"/>
                          <w:color w:val="0D0D0D"/>
                          <w:sz w:val="18"/>
                          <w:szCs w:val="22"/>
                          <w:lang w:val="es-ES"/>
                        </w:rPr>
                        <w:t xml:space="preserve"> de 2020</w:t>
                      </w:r>
                      <w:r w:rsidR="000F2A8B">
                        <w:rPr>
                          <w:rFonts w:ascii="Cambria" w:hAnsi="Cambria"/>
                          <w:color w:val="0D0D0D"/>
                          <w:sz w:val="18"/>
                          <w:szCs w:val="22"/>
                          <w:lang w:val="es-ES"/>
                        </w:rPr>
                        <w:t>.</w:t>
                      </w:r>
                    </w:p>
                    <w:p w14:paraId="0C70B2C5" w14:textId="77777777" w:rsidR="00397E04" w:rsidRPr="003A27F0" w:rsidRDefault="00397E04"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14:paraId="5A86F865" w14:textId="77777777" w:rsidR="00397E04" w:rsidRPr="003A27F0" w:rsidRDefault="00397E04"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14:paraId="5BDD1698"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4BB8BA08"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08C5A591"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216D6B4B"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7DB9D7E3" w14:textId="44C77F6E" w:rsidR="00397E04" w:rsidRPr="00006B74" w:rsidRDefault="003D1977"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r>
        <w:rPr>
          <w:noProof/>
        </w:rPr>
        <mc:AlternateContent>
          <mc:Choice Requires="wps">
            <w:drawing>
              <wp:anchor distT="0" distB="0" distL="114300" distR="114300" simplePos="0" relativeHeight="251659264" behindDoc="0" locked="0" layoutInCell="1" allowOverlap="1" wp14:anchorId="6FC7A8FC" wp14:editId="778502C0">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F4D259" w14:textId="35A440E2" w:rsidR="00397E04" w:rsidRPr="003A27F0" w:rsidRDefault="00397E04"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A27F0">
                              <w:rPr>
                                <w:rFonts w:ascii="Cambria" w:hAnsi="Cambria"/>
                                <w:b/>
                                <w:color w:val="595959"/>
                                <w:sz w:val="18"/>
                                <w:szCs w:val="18"/>
                                <w:lang w:val="pt-BR"/>
                              </w:rPr>
                              <w:t>Citar como:</w:t>
                            </w:r>
                            <w:r w:rsidRPr="003A27F0">
                              <w:rPr>
                                <w:rFonts w:ascii="Cambria" w:hAnsi="Cambria"/>
                                <w:color w:val="595959"/>
                                <w:sz w:val="18"/>
                                <w:szCs w:val="18"/>
                                <w:lang w:val="pt-BR"/>
                              </w:rPr>
                              <w:t xml:space="preserve"> CIDH, Informe No. </w:t>
                            </w:r>
                            <w:r w:rsidR="0049621C" w:rsidRPr="0049621C">
                              <w:rPr>
                                <w:rFonts w:ascii="Cambria" w:hAnsi="Cambria"/>
                                <w:color w:val="595959"/>
                                <w:sz w:val="18"/>
                                <w:szCs w:val="18"/>
                                <w:lang w:val="pt-BR"/>
                              </w:rPr>
                              <w:t>79</w:t>
                            </w:r>
                            <w:r w:rsidRPr="0049621C">
                              <w:rPr>
                                <w:rFonts w:ascii="Cambria" w:hAnsi="Cambria"/>
                                <w:color w:val="595959"/>
                                <w:sz w:val="18"/>
                                <w:szCs w:val="18"/>
                                <w:lang w:val="pt-BR"/>
                              </w:rPr>
                              <w:t>/</w:t>
                            </w:r>
                            <w:r w:rsidR="0049621C" w:rsidRPr="0049621C">
                              <w:rPr>
                                <w:rFonts w:ascii="Cambria" w:hAnsi="Cambria"/>
                                <w:color w:val="595959"/>
                                <w:sz w:val="18"/>
                                <w:szCs w:val="18"/>
                                <w:lang w:val="pt-BR"/>
                              </w:rPr>
                              <w:t>20</w:t>
                            </w:r>
                            <w:r w:rsidRPr="0049621C">
                              <w:rPr>
                                <w:rFonts w:ascii="Cambria" w:hAnsi="Cambria"/>
                                <w:color w:val="595959"/>
                                <w:sz w:val="18"/>
                                <w:szCs w:val="18"/>
                                <w:lang w:val="pt-BR"/>
                              </w:rPr>
                              <w:t xml:space="preserve">. </w:t>
                            </w:r>
                            <w:r w:rsidR="000F2A8B">
                              <w:rPr>
                                <w:rFonts w:ascii="Cambria" w:hAnsi="Cambria"/>
                                <w:color w:val="595959"/>
                                <w:sz w:val="18"/>
                                <w:szCs w:val="18"/>
                                <w:lang w:val="pt-BR"/>
                              </w:rPr>
                              <w:t xml:space="preserve">Petición 347-09. </w:t>
                            </w:r>
                            <w:r w:rsidRPr="003A27F0">
                              <w:rPr>
                                <w:rFonts w:ascii="Cambria" w:hAnsi="Cambria"/>
                                <w:color w:val="595959"/>
                                <w:sz w:val="18"/>
                                <w:szCs w:val="18"/>
                                <w:lang w:val="es-ES_tradnl"/>
                              </w:rPr>
                              <w:t xml:space="preserve">Admisibilidad. </w:t>
                            </w:r>
                            <w:r w:rsidR="0049621C">
                              <w:rPr>
                                <w:rFonts w:ascii="Cambria" w:hAnsi="Cambria"/>
                                <w:color w:val="595959"/>
                                <w:sz w:val="18"/>
                                <w:szCs w:val="18"/>
                                <w:lang w:val="es-ES_tradnl"/>
                              </w:rPr>
                              <w:t xml:space="preserve">Sandra </w:t>
                            </w:r>
                            <w:r w:rsidR="0049621C" w:rsidRPr="0049621C">
                              <w:rPr>
                                <w:rFonts w:ascii="Cambria" w:hAnsi="Cambria"/>
                                <w:color w:val="595959"/>
                                <w:sz w:val="18"/>
                                <w:szCs w:val="18"/>
                                <w:lang w:val="es-419"/>
                              </w:rPr>
                              <w:t>Juárez Domínguez</w:t>
                            </w:r>
                            <w:r w:rsidRPr="003A27F0">
                              <w:rPr>
                                <w:rFonts w:ascii="Cambria" w:hAnsi="Cambria"/>
                                <w:color w:val="595959"/>
                                <w:sz w:val="18"/>
                                <w:szCs w:val="18"/>
                                <w:lang w:val="es-ES_tradnl"/>
                              </w:rPr>
                              <w:t xml:space="preserve">. </w:t>
                            </w:r>
                            <w:r w:rsidR="0049621C">
                              <w:rPr>
                                <w:rFonts w:ascii="Cambria" w:hAnsi="Cambria"/>
                                <w:color w:val="595959"/>
                                <w:sz w:val="18"/>
                                <w:szCs w:val="18"/>
                                <w:lang w:val="es-ES_tradnl"/>
                              </w:rPr>
                              <w:t>México</w:t>
                            </w:r>
                            <w:r w:rsidRPr="003A27F0">
                              <w:rPr>
                                <w:rFonts w:ascii="Cambria" w:hAnsi="Cambria"/>
                                <w:color w:val="595959"/>
                                <w:sz w:val="18"/>
                                <w:szCs w:val="18"/>
                                <w:lang w:val="es-ES_tradnl"/>
                              </w:rPr>
                              <w:t xml:space="preserve">. </w:t>
                            </w:r>
                            <w:r w:rsidR="0049621C">
                              <w:rPr>
                                <w:rFonts w:ascii="Cambria" w:hAnsi="Cambria"/>
                                <w:color w:val="595959"/>
                                <w:sz w:val="18"/>
                                <w:szCs w:val="18"/>
                                <w:lang w:val="es-ES"/>
                              </w:rPr>
                              <w:t>24 de abril de 2020</w:t>
                            </w:r>
                            <w:r w:rsidRPr="003A27F0">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FC7A8FC"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14:paraId="5FF4D259" w14:textId="35A440E2" w:rsidR="00397E04" w:rsidRPr="003A27F0" w:rsidRDefault="00397E04"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3A27F0">
                        <w:rPr>
                          <w:rFonts w:ascii="Cambria" w:hAnsi="Cambria"/>
                          <w:b/>
                          <w:color w:val="595959"/>
                          <w:sz w:val="18"/>
                          <w:szCs w:val="18"/>
                          <w:lang w:val="pt-BR"/>
                        </w:rPr>
                        <w:t>Citar como:</w:t>
                      </w:r>
                      <w:r w:rsidRPr="003A27F0">
                        <w:rPr>
                          <w:rFonts w:ascii="Cambria" w:hAnsi="Cambria"/>
                          <w:color w:val="595959"/>
                          <w:sz w:val="18"/>
                          <w:szCs w:val="18"/>
                          <w:lang w:val="pt-BR"/>
                        </w:rPr>
                        <w:t xml:space="preserve"> CIDH, Informe No. </w:t>
                      </w:r>
                      <w:r w:rsidR="0049621C" w:rsidRPr="0049621C">
                        <w:rPr>
                          <w:rFonts w:ascii="Cambria" w:hAnsi="Cambria"/>
                          <w:color w:val="595959"/>
                          <w:sz w:val="18"/>
                          <w:szCs w:val="18"/>
                          <w:lang w:val="pt-BR"/>
                        </w:rPr>
                        <w:t>79</w:t>
                      </w:r>
                      <w:r w:rsidRPr="0049621C">
                        <w:rPr>
                          <w:rFonts w:ascii="Cambria" w:hAnsi="Cambria"/>
                          <w:color w:val="595959"/>
                          <w:sz w:val="18"/>
                          <w:szCs w:val="18"/>
                          <w:lang w:val="pt-BR"/>
                        </w:rPr>
                        <w:t>/</w:t>
                      </w:r>
                      <w:r w:rsidR="0049621C" w:rsidRPr="0049621C">
                        <w:rPr>
                          <w:rFonts w:ascii="Cambria" w:hAnsi="Cambria"/>
                          <w:color w:val="595959"/>
                          <w:sz w:val="18"/>
                          <w:szCs w:val="18"/>
                          <w:lang w:val="pt-BR"/>
                        </w:rPr>
                        <w:t>20</w:t>
                      </w:r>
                      <w:r w:rsidRPr="0049621C">
                        <w:rPr>
                          <w:rFonts w:ascii="Cambria" w:hAnsi="Cambria"/>
                          <w:color w:val="595959"/>
                          <w:sz w:val="18"/>
                          <w:szCs w:val="18"/>
                          <w:lang w:val="pt-BR"/>
                        </w:rPr>
                        <w:t xml:space="preserve">. </w:t>
                      </w:r>
                      <w:r w:rsidR="000F2A8B">
                        <w:rPr>
                          <w:rFonts w:ascii="Cambria" w:hAnsi="Cambria"/>
                          <w:color w:val="595959"/>
                          <w:sz w:val="18"/>
                          <w:szCs w:val="18"/>
                          <w:lang w:val="pt-BR"/>
                        </w:rPr>
                        <w:t xml:space="preserve">Petición 347-09. </w:t>
                      </w:r>
                      <w:r w:rsidRPr="003A27F0">
                        <w:rPr>
                          <w:rFonts w:ascii="Cambria" w:hAnsi="Cambria"/>
                          <w:color w:val="595959"/>
                          <w:sz w:val="18"/>
                          <w:szCs w:val="18"/>
                          <w:lang w:val="es-ES_tradnl"/>
                        </w:rPr>
                        <w:t xml:space="preserve">Admisibilidad. </w:t>
                      </w:r>
                      <w:r w:rsidR="0049621C">
                        <w:rPr>
                          <w:rFonts w:ascii="Cambria" w:hAnsi="Cambria"/>
                          <w:color w:val="595959"/>
                          <w:sz w:val="18"/>
                          <w:szCs w:val="18"/>
                          <w:lang w:val="es-ES_tradnl"/>
                        </w:rPr>
                        <w:t xml:space="preserve">Sandra </w:t>
                      </w:r>
                      <w:r w:rsidR="0049621C" w:rsidRPr="0049621C">
                        <w:rPr>
                          <w:rFonts w:ascii="Cambria" w:hAnsi="Cambria"/>
                          <w:color w:val="595959"/>
                          <w:sz w:val="18"/>
                          <w:szCs w:val="18"/>
                          <w:lang w:val="es-419"/>
                        </w:rPr>
                        <w:t>Juárez Domínguez</w:t>
                      </w:r>
                      <w:r w:rsidRPr="003A27F0">
                        <w:rPr>
                          <w:rFonts w:ascii="Cambria" w:hAnsi="Cambria"/>
                          <w:color w:val="595959"/>
                          <w:sz w:val="18"/>
                          <w:szCs w:val="18"/>
                          <w:lang w:val="es-ES_tradnl"/>
                        </w:rPr>
                        <w:t xml:space="preserve">. </w:t>
                      </w:r>
                      <w:r w:rsidR="0049621C">
                        <w:rPr>
                          <w:rFonts w:ascii="Cambria" w:hAnsi="Cambria"/>
                          <w:color w:val="595959"/>
                          <w:sz w:val="18"/>
                          <w:szCs w:val="18"/>
                          <w:lang w:val="es-ES_tradnl"/>
                        </w:rPr>
                        <w:t>México</w:t>
                      </w:r>
                      <w:r w:rsidRPr="003A27F0">
                        <w:rPr>
                          <w:rFonts w:ascii="Cambria" w:hAnsi="Cambria"/>
                          <w:color w:val="595959"/>
                          <w:sz w:val="18"/>
                          <w:szCs w:val="18"/>
                          <w:lang w:val="es-ES_tradnl"/>
                        </w:rPr>
                        <w:t xml:space="preserve">. </w:t>
                      </w:r>
                      <w:r w:rsidR="0049621C">
                        <w:rPr>
                          <w:rFonts w:ascii="Cambria" w:hAnsi="Cambria"/>
                          <w:color w:val="595959"/>
                          <w:sz w:val="18"/>
                          <w:szCs w:val="18"/>
                          <w:lang w:val="es-ES"/>
                        </w:rPr>
                        <w:t>24 de abril de 2020</w:t>
                      </w:r>
                      <w:r w:rsidRPr="003A27F0">
                        <w:rPr>
                          <w:rFonts w:ascii="Cambria" w:hAnsi="Cambria"/>
                          <w:color w:val="595959"/>
                          <w:sz w:val="18"/>
                          <w:szCs w:val="18"/>
                          <w:lang w:val="es-ES"/>
                        </w:rPr>
                        <w:t>.</w:t>
                      </w:r>
                    </w:p>
                  </w:txbxContent>
                </v:textbox>
              </v:shape>
            </w:pict>
          </mc:Fallback>
        </mc:AlternateContent>
      </w:r>
    </w:p>
    <w:p w14:paraId="5D9C0FC8" w14:textId="77777777" w:rsidR="00397E04" w:rsidRPr="00006B74" w:rsidRDefault="00397E04"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
        </w:rPr>
      </w:pPr>
    </w:p>
    <w:p w14:paraId="47165049" w14:textId="34CF0BE8" w:rsidR="00397E04" w:rsidRPr="00006B74" w:rsidRDefault="003D1977"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pPr>
      <w:r>
        <w:rPr>
          <w:noProof/>
        </w:rPr>
        <mc:AlternateContent>
          <mc:Choice Requires="wps">
            <w:drawing>
              <wp:anchor distT="0" distB="0" distL="114300" distR="114300" simplePos="0" relativeHeight="251660288" behindDoc="0" locked="0" layoutInCell="1" allowOverlap="1" wp14:anchorId="59AAC0BC" wp14:editId="48F68813">
                <wp:simplePos x="0" y="0"/>
                <wp:positionH relativeFrom="column">
                  <wp:posOffset>1329690</wp:posOffset>
                </wp:positionH>
                <wp:positionV relativeFrom="paragraph">
                  <wp:posOffset>638810</wp:posOffset>
                </wp:positionV>
                <wp:extent cx="4096385" cy="567055"/>
                <wp:effectExtent l="0" t="0" r="3175"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DBCDBD8" w14:textId="3792A8CE" w:rsidR="00397E04" w:rsidRPr="003A27F0" w:rsidRDefault="003D1977"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5DC49281" wp14:editId="2A19B71D">
                                  <wp:extent cx="1900555" cy="49085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555" cy="4908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59AAC0BC"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14:paraId="1DBCDBD8" w14:textId="3792A8CE" w:rsidR="00397E04" w:rsidRPr="003A27F0" w:rsidRDefault="003D1977"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14:anchorId="5DC49281" wp14:editId="2A19B71D">
                            <wp:extent cx="1900555" cy="490855"/>
                            <wp:effectExtent l="0" t="0" r="0"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0555" cy="49085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6B0C970" wp14:editId="376E438D">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491057" w14:textId="77777777" w:rsidR="00397E04" w:rsidRPr="003A27F0" w:rsidRDefault="00397E04"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A27F0">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06B0C970"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14:paraId="5A491057" w14:textId="77777777" w:rsidR="00397E04" w:rsidRPr="003A27F0" w:rsidRDefault="00397E04"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3A27F0">
                        <w:rPr>
                          <w:rFonts w:ascii="Calibri" w:hAnsi="Calibri"/>
                          <w:b/>
                          <w:color w:val="FFFFFF"/>
                          <w:lang w:val="pt-BR"/>
                        </w:rPr>
                        <w:t>www.cidh.org</w:t>
                      </w:r>
                    </w:p>
                  </w:txbxContent>
                </v:textbox>
              </v:shape>
            </w:pict>
          </mc:Fallback>
        </mc:AlternateContent>
      </w:r>
    </w:p>
    <w:p w14:paraId="3E12D830" w14:textId="77777777" w:rsidR="00397E04" w:rsidRPr="00006B74" w:rsidRDefault="00397E04"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
        </w:rPr>
        <w:sectPr w:rsidR="00397E04"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rtlGutter/>
          <w:docGrid w:linePitch="326"/>
        </w:sectPr>
      </w:pPr>
      <w:r w:rsidRPr="00006B74">
        <w:rPr>
          <w:rFonts w:ascii="Cambria" w:hAnsi="Cambria"/>
          <w:b/>
          <w:sz w:val="20"/>
          <w:lang w:val="es-ES"/>
        </w:rPr>
        <w:tab/>
      </w:r>
    </w:p>
    <w:p w14:paraId="73FC70D7" w14:textId="77777777" w:rsidR="00397E04" w:rsidRPr="00006B74" w:rsidRDefault="00397E04" w:rsidP="007C402A">
      <w:pPr>
        <w:pBdr>
          <w:top w:val="none" w:sz="0" w:space="0" w:color="auto"/>
          <w:left w:val="none" w:sz="0" w:space="0" w:color="auto"/>
          <w:bottom w:val="none" w:sz="0" w:space="0" w:color="auto"/>
          <w:right w:val="none" w:sz="0" w:space="0" w:color="auto"/>
          <w:bar w:val="none" w:sz="0" w:color="auto"/>
        </w:pBdr>
        <w:spacing w:after="120"/>
        <w:ind w:firstLine="720"/>
        <w:jc w:val="both"/>
        <w:rPr>
          <w:rFonts w:ascii="Cambria" w:hAnsi="Cambria"/>
          <w:b/>
          <w:bCs/>
          <w:sz w:val="20"/>
          <w:szCs w:val="20"/>
          <w:lang w:val="es-ES"/>
        </w:rPr>
      </w:pPr>
      <w:r w:rsidRPr="00006B74">
        <w:rPr>
          <w:rFonts w:ascii="Cambria" w:hAnsi="Cambria"/>
          <w:b/>
          <w:bCs/>
          <w:sz w:val="20"/>
          <w:szCs w:val="20"/>
          <w:lang w:val="es-ES"/>
        </w:rPr>
        <w:lastRenderedPageBreak/>
        <w:t>I.</w:t>
      </w:r>
      <w:r w:rsidRPr="00006B74">
        <w:rPr>
          <w:rFonts w:ascii="Cambria" w:hAnsi="Cambria"/>
          <w:b/>
          <w:bCs/>
          <w:sz w:val="20"/>
          <w:szCs w:val="20"/>
          <w:lang w:val="es-ES"/>
        </w:rPr>
        <w:tab/>
        <w:t xml:space="preserve">DATOS DE LA PETICIÓN </w:t>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397E04" w:rsidRPr="001B4C00" w14:paraId="3CDB321B" w14:textId="77777777" w:rsidTr="003A27F0">
        <w:tc>
          <w:tcPr>
            <w:tcW w:w="2790" w:type="dxa"/>
            <w:tcBorders>
              <w:top w:val="single" w:sz="4" w:space="0" w:color="auto"/>
            </w:tcBorders>
            <w:shd w:val="clear" w:color="auto" w:fill="386294"/>
            <w:vAlign w:val="center"/>
          </w:tcPr>
          <w:p w14:paraId="3681EC48"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color w:val="FFFFFF"/>
                <w:sz w:val="19"/>
                <w:szCs w:val="19"/>
                <w:lang w:val="es-ES"/>
              </w:rPr>
              <w:t>Parte peticionaria</w:t>
            </w:r>
          </w:p>
        </w:tc>
        <w:tc>
          <w:tcPr>
            <w:tcW w:w="6570" w:type="dxa"/>
            <w:tcBorders>
              <w:top w:val="single" w:sz="4" w:space="0" w:color="auto"/>
            </w:tcBorders>
            <w:vAlign w:val="center"/>
          </w:tcPr>
          <w:p w14:paraId="31524985"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20"/>
                <w:szCs w:val="20"/>
              </w:rPr>
              <w:t>Sandra Juárez Domínguez</w:t>
            </w:r>
          </w:p>
        </w:tc>
      </w:tr>
      <w:tr w:rsidR="00397E04" w:rsidRPr="001B4C00" w14:paraId="2C17E42F" w14:textId="77777777" w:rsidTr="003A27F0">
        <w:tc>
          <w:tcPr>
            <w:tcW w:w="2790" w:type="dxa"/>
            <w:shd w:val="clear" w:color="auto" w:fill="386294"/>
            <w:vAlign w:val="center"/>
          </w:tcPr>
          <w:p w14:paraId="401E17E4"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color w:val="FFFFFF"/>
                <w:sz w:val="19"/>
                <w:szCs w:val="19"/>
                <w:lang w:val="es-ES"/>
              </w:rPr>
              <w:t>Presunta víctima</w:t>
            </w:r>
          </w:p>
        </w:tc>
        <w:tc>
          <w:tcPr>
            <w:tcW w:w="6570" w:type="dxa"/>
            <w:vAlign w:val="center"/>
          </w:tcPr>
          <w:p w14:paraId="5D8756C0"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20"/>
                <w:szCs w:val="20"/>
                <w:lang w:val="es-ES"/>
              </w:rPr>
              <w:t>Sandra Juárez Domínguez</w:t>
            </w:r>
          </w:p>
        </w:tc>
      </w:tr>
      <w:tr w:rsidR="00397E04" w:rsidRPr="00006B74" w14:paraId="31731965" w14:textId="77777777" w:rsidTr="003A27F0">
        <w:tc>
          <w:tcPr>
            <w:tcW w:w="2790" w:type="dxa"/>
            <w:shd w:val="clear" w:color="auto" w:fill="386294"/>
            <w:vAlign w:val="center"/>
          </w:tcPr>
          <w:p w14:paraId="2B99B026"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color w:val="FFFFFF"/>
                <w:sz w:val="19"/>
                <w:szCs w:val="19"/>
                <w:lang w:val="es-ES"/>
              </w:rPr>
              <w:t>Estado denunciado</w:t>
            </w:r>
          </w:p>
        </w:tc>
        <w:tc>
          <w:tcPr>
            <w:tcW w:w="6570" w:type="dxa"/>
            <w:vAlign w:val="center"/>
          </w:tcPr>
          <w:p w14:paraId="420769D0" w14:textId="7A285B84"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19"/>
                <w:szCs w:val="19"/>
                <w:lang w:val="es-ES"/>
              </w:rPr>
              <w:t>México</w:t>
            </w:r>
            <w:r w:rsidR="00A72FED">
              <w:rPr>
                <w:rStyle w:val="FootnoteReference"/>
                <w:rFonts w:ascii="Cambria" w:hAnsi="Cambria"/>
                <w:bCs/>
                <w:sz w:val="19"/>
                <w:szCs w:val="19"/>
                <w:lang w:val="es-ES"/>
              </w:rPr>
              <w:footnoteReference w:id="2"/>
            </w:r>
          </w:p>
        </w:tc>
      </w:tr>
      <w:tr w:rsidR="00397E04" w:rsidRPr="000F2A8B" w14:paraId="20C76996" w14:textId="77777777" w:rsidTr="003A27F0">
        <w:tc>
          <w:tcPr>
            <w:tcW w:w="2790" w:type="dxa"/>
            <w:tcBorders>
              <w:bottom w:val="single" w:sz="4" w:space="0" w:color="auto"/>
            </w:tcBorders>
            <w:shd w:val="clear" w:color="auto" w:fill="386294"/>
            <w:vAlign w:val="center"/>
          </w:tcPr>
          <w:p w14:paraId="27A20073"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color w:val="FFFFFF"/>
                <w:sz w:val="19"/>
                <w:szCs w:val="19"/>
                <w:lang w:val="es-ES"/>
              </w:rPr>
              <w:t>Derechos invocados</w:t>
            </w:r>
          </w:p>
        </w:tc>
        <w:tc>
          <w:tcPr>
            <w:tcW w:w="6570" w:type="dxa"/>
            <w:tcBorders>
              <w:bottom w:val="single" w:sz="4" w:space="0" w:color="auto"/>
            </w:tcBorders>
            <w:vAlign w:val="center"/>
          </w:tcPr>
          <w:p w14:paraId="0CF7FD91"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19"/>
                <w:szCs w:val="19"/>
                <w:lang w:val="es-PA"/>
              </w:rPr>
              <w:t>Artículos 8 (garantías judiciales), 9 (principio de legalidad), 11 (honra y dignidad), 24 (igualdad ante la ley) y 25 (protección judicial) de la Convención Americana Sobre Derechos Humanos</w:t>
            </w:r>
            <w:r w:rsidRPr="003A27F0">
              <w:rPr>
                <w:rStyle w:val="FootnoteReference"/>
                <w:rFonts w:ascii="Cambria" w:hAnsi="Cambria"/>
                <w:bCs/>
                <w:sz w:val="19"/>
                <w:szCs w:val="19"/>
                <w:lang w:val="es-PA"/>
              </w:rPr>
              <w:footnoteReference w:id="3"/>
            </w:r>
            <w:r w:rsidRPr="003A27F0">
              <w:rPr>
                <w:rFonts w:ascii="Cambria" w:hAnsi="Cambria"/>
                <w:bCs/>
                <w:sz w:val="19"/>
                <w:szCs w:val="19"/>
                <w:lang w:val="es-PA"/>
              </w:rPr>
              <w:t xml:space="preserve"> en relación con su artículo 1.1 (obligación de respetar los derechos).</w:t>
            </w:r>
          </w:p>
        </w:tc>
      </w:tr>
    </w:tbl>
    <w:p w14:paraId="1D2A6507" w14:textId="77777777" w:rsidR="00397E04" w:rsidRPr="00006B74" w:rsidRDefault="00397E04"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II.</w:t>
      </w:r>
      <w:r w:rsidRPr="00006B74">
        <w:rPr>
          <w:rFonts w:ascii="Cambria" w:hAnsi="Cambria"/>
          <w:b/>
          <w:bCs/>
          <w:sz w:val="20"/>
          <w:szCs w:val="20"/>
          <w:lang w:val="es-ES"/>
        </w:rPr>
        <w:tab/>
        <w:t>TRÁMITE ANTE LA CIDH</w:t>
      </w:r>
      <w:r w:rsidRPr="00006B74">
        <w:rPr>
          <w:rStyle w:val="FootnoteReference"/>
          <w:rFonts w:ascii="Cambria" w:hAnsi="Cambria"/>
          <w:b/>
          <w:sz w:val="20"/>
          <w:szCs w:val="20"/>
          <w:lang w:val="es-ES"/>
        </w:rPr>
        <w:footnoteReference w:id="4"/>
      </w:r>
    </w:p>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90"/>
        <w:gridCol w:w="6570"/>
      </w:tblGrid>
      <w:tr w:rsidR="00397E04" w:rsidRPr="00006B74" w14:paraId="16121B77" w14:textId="77777777" w:rsidTr="003A27F0">
        <w:tc>
          <w:tcPr>
            <w:tcW w:w="2790" w:type="dxa"/>
            <w:tcBorders>
              <w:top w:val="single" w:sz="4" w:space="0" w:color="auto"/>
            </w:tcBorders>
            <w:shd w:val="clear" w:color="auto" w:fill="386294"/>
            <w:vAlign w:val="center"/>
          </w:tcPr>
          <w:p w14:paraId="7E728698"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color w:val="FFFFFF"/>
                <w:sz w:val="19"/>
                <w:szCs w:val="19"/>
                <w:lang w:val="es-ES"/>
              </w:rPr>
              <w:t>Recepción de la petición</w:t>
            </w:r>
          </w:p>
        </w:tc>
        <w:tc>
          <w:tcPr>
            <w:tcW w:w="6570" w:type="dxa"/>
            <w:tcBorders>
              <w:top w:val="single" w:sz="4" w:space="0" w:color="auto"/>
            </w:tcBorders>
            <w:vAlign w:val="center"/>
          </w:tcPr>
          <w:p w14:paraId="0AA2793F"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19"/>
                <w:szCs w:val="19"/>
                <w:lang w:val="es-ES"/>
              </w:rPr>
              <w:t>25 de marzo de 2009</w:t>
            </w:r>
          </w:p>
        </w:tc>
      </w:tr>
      <w:tr w:rsidR="00397E04" w:rsidRPr="00CC395D" w14:paraId="08582819" w14:textId="77777777" w:rsidTr="003A27F0">
        <w:tc>
          <w:tcPr>
            <w:tcW w:w="2790" w:type="dxa"/>
            <w:shd w:val="clear" w:color="auto" w:fill="386294"/>
            <w:vAlign w:val="center"/>
          </w:tcPr>
          <w:p w14:paraId="4FB452D6"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color w:val="FFFFFF"/>
                <w:sz w:val="19"/>
                <w:szCs w:val="19"/>
                <w:lang w:val="es-ES"/>
              </w:rPr>
              <w:t>Información adicional recibida en la etapa de estudio</w:t>
            </w:r>
          </w:p>
        </w:tc>
        <w:tc>
          <w:tcPr>
            <w:tcW w:w="6570" w:type="dxa"/>
            <w:vAlign w:val="center"/>
          </w:tcPr>
          <w:p w14:paraId="53DAB4D5"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19"/>
                <w:szCs w:val="19"/>
                <w:lang w:val="es-ES"/>
              </w:rPr>
              <w:t>17 de octubre de 2016</w:t>
            </w:r>
          </w:p>
        </w:tc>
      </w:tr>
      <w:tr w:rsidR="00397E04" w:rsidRPr="00006B74" w14:paraId="47C916A7" w14:textId="77777777" w:rsidTr="003A27F0">
        <w:tc>
          <w:tcPr>
            <w:tcW w:w="2790" w:type="dxa"/>
            <w:shd w:val="clear" w:color="auto" w:fill="386294"/>
            <w:vAlign w:val="center"/>
          </w:tcPr>
          <w:p w14:paraId="3906FCF5"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color w:val="FFFFFF"/>
                <w:sz w:val="19"/>
                <w:szCs w:val="19"/>
                <w:lang w:val="es-ES"/>
              </w:rPr>
              <w:t>Notificación de la petición</w:t>
            </w:r>
          </w:p>
        </w:tc>
        <w:tc>
          <w:tcPr>
            <w:tcW w:w="6570" w:type="dxa"/>
            <w:vAlign w:val="center"/>
          </w:tcPr>
          <w:p w14:paraId="5C230D7B"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19"/>
                <w:szCs w:val="19"/>
                <w:lang w:val="es-ES"/>
              </w:rPr>
              <w:t>25 de octubre de 2016</w:t>
            </w:r>
          </w:p>
        </w:tc>
      </w:tr>
      <w:tr w:rsidR="00397E04" w:rsidRPr="00006B74" w14:paraId="71CD4C65" w14:textId="77777777" w:rsidTr="003A27F0">
        <w:tc>
          <w:tcPr>
            <w:tcW w:w="2790" w:type="dxa"/>
            <w:shd w:val="clear" w:color="auto" w:fill="386294"/>
            <w:vAlign w:val="center"/>
          </w:tcPr>
          <w:p w14:paraId="0876DEE3"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color w:val="FFFFFF"/>
                <w:sz w:val="19"/>
                <w:szCs w:val="19"/>
                <w:lang w:val="es-ES"/>
              </w:rPr>
              <w:t>Primera respuesta del Estado</w:t>
            </w:r>
          </w:p>
        </w:tc>
        <w:tc>
          <w:tcPr>
            <w:tcW w:w="6570" w:type="dxa"/>
            <w:vAlign w:val="center"/>
          </w:tcPr>
          <w:p w14:paraId="53515240"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19"/>
                <w:szCs w:val="19"/>
                <w:lang w:val="es-ES"/>
              </w:rPr>
              <w:t>6 de junio de 2017</w:t>
            </w:r>
          </w:p>
        </w:tc>
      </w:tr>
      <w:tr w:rsidR="00397E04" w:rsidRPr="00CC395D" w14:paraId="272D99D6" w14:textId="77777777" w:rsidTr="003A27F0">
        <w:tc>
          <w:tcPr>
            <w:tcW w:w="2790" w:type="dxa"/>
            <w:tcBorders>
              <w:bottom w:val="single" w:sz="4" w:space="0" w:color="auto"/>
            </w:tcBorders>
            <w:shd w:val="clear" w:color="auto" w:fill="386294"/>
            <w:vAlign w:val="center"/>
          </w:tcPr>
          <w:p w14:paraId="6BF8B527"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color w:val="FFFFFF"/>
                <w:sz w:val="19"/>
                <w:szCs w:val="19"/>
                <w:lang w:val="es-ES"/>
              </w:rPr>
              <w:t>Observaciones adicionales de la parte peticionaria</w:t>
            </w:r>
          </w:p>
        </w:tc>
        <w:tc>
          <w:tcPr>
            <w:tcW w:w="6570" w:type="dxa"/>
            <w:tcBorders>
              <w:bottom w:val="single" w:sz="4" w:space="0" w:color="auto"/>
            </w:tcBorders>
            <w:vAlign w:val="center"/>
          </w:tcPr>
          <w:p w14:paraId="3F4A79C0"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19"/>
                <w:szCs w:val="19"/>
                <w:lang w:val="es-ES"/>
              </w:rPr>
              <w:t>29 de noviembre de 2017</w:t>
            </w:r>
          </w:p>
        </w:tc>
      </w:tr>
    </w:tbl>
    <w:p w14:paraId="1B736D7A" w14:textId="77777777" w:rsidR="00397E04" w:rsidRPr="00006B74" w:rsidRDefault="00397E04"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III. </w:t>
      </w:r>
      <w:r w:rsidRPr="00006B74">
        <w:rPr>
          <w:rFonts w:ascii="Cambria" w:hAnsi="Cambria"/>
          <w:b/>
          <w:bCs/>
          <w:sz w:val="20"/>
          <w:szCs w:val="20"/>
          <w:lang w:val="es-ES"/>
        </w:rPr>
        <w:tab/>
        <w:t xml:space="preserve">COMPETENCIA </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0"/>
        <w:gridCol w:w="6482"/>
      </w:tblGrid>
      <w:tr w:rsidR="00397E04" w:rsidRPr="00006B74" w14:paraId="49AE42CE" w14:textId="77777777" w:rsidTr="003A27F0">
        <w:trPr>
          <w:cantSplit/>
        </w:trPr>
        <w:tc>
          <w:tcPr>
            <w:tcW w:w="2790" w:type="dxa"/>
            <w:tcBorders>
              <w:top w:val="single" w:sz="4" w:space="0" w:color="auto"/>
            </w:tcBorders>
            <w:shd w:val="clear" w:color="auto" w:fill="386294"/>
            <w:vAlign w:val="center"/>
          </w:tcPr>
          <w:p w14:paraId="363BA6C8"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3A27F0">
              <w:rPr>
                <w:rFonts w:ascii="Cambria" w:hAnsi="Cambria"/>
                <w:bCs/>
                <w:i/>
                <w:color w:val="FFFFFF"/>
                <w:sz w:val="19"/>
                <w:szCs w:val="19"/>
                <w:lang w:val="es-ES"/>
              </w:rPr>
              <w:t>Ratione personae</w:t>
            </w:r>
          </w:p>
        </w:tc>
        <w:tc>
          <w:tcPr>
            <w:tcW w:w="6570" w:type="dxa"/>
            <w:tcBorders>
              <w:top w:val="single" w:sz="4" w:space="0" w:color="auto"/>
            </w:tcBorders>
            <w:vAlign w:val="center"/>
          </w:tcPr>
          <w:p w14:paraId="297A08BF" w14:textId="77777777" w:rsidR="00397E04" w:rsidRPr="003A27F0" w:rsidRDefault="00397E04"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3A27F0">
              <w:rPr>
                <w:rFonts w:ascii="Cambria" w:hAnsi="Cambria"/>
                <w:bCs/>
                <w:sz w:val="19"/>
                <w:szCs w:val="19"/>
                <w:lang w:val="es-ES"/>
              </w:rPr>
              <w:t>Sí</w:t>
            </w:r>
          </w:p>
        </w:tc>
      </w:tr>
      <w:tr w:rsidR="00397E04" w:rsidRPr="00006B74" w14:paraId="22513F69" w14:textId="77777777" w:rsidTr="003A27F0">
        <w:trPr>
          <w:cantSplit/>
        </w:trPr>
        <w:tc>
          <w:tcPr>
            <w:tcW w:w="2790" w:type="dxa"/>
            <w:shd w:val="clear" w:color="auto" w:fill="386294"/>
            <w:vAlign w:val="center"/>
          </w:tcPr>
          <w:p w14:paraId="3D45B440"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i/>
                <w:color w:val="FFFFFF"/>
                <w:sz w:val="19"/>
                <w:szCs w:val="19"/>
                <w:lang w:val="es-ES"/>
              </w:rPr>
              <w:t>Ratione loci</w:t>
            </w:r>
          </w:p>
        </w:tc>
        <w:tc>
          <w:tcPr>
            <w:tcW w:w="6570" w:type="dxa"/>
            <w:vAlign w:val="center"/>
          </w:tcPr>
          <w:p w14:paraId="3620C5CE" w14:textId="77777777" w:rsidR="00397E04" w:rsidRPr="003A27F0" w:rsidRDefault="00397E04"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3A27F0">
              <w:rPr>
                <w:rFonts w:ascii="Cambria" w:hAnsi="Cambria"/>
                <w:bCs/>
                <w:sz w:val="19"/>
                <w:szCs w:val="19"/>
                <w:lang w:val="es-ES"/>
              </w:rPr>
              <w:t>Sí</w:t>
            </w:r>
          </w:p>
        </w:tc>
      </w:tr>
      <w:tr w:rsidR="00397E04" w:rsidRPr="00006B74" w14:paraId="1512E834" w14:textId="77777777" w:rsidTr="003A27F0">
        <w:trPr>
          <w:cantSplit/>
        </w:trPr>
        <w:tc>
          <w:tcPr>
            <w:tcW w:w="2790" w:type="dxa"/>
            <w:shd w:val="clear" w:color="auto" w:fill="386294"/>
            <w:vAlign w:val="center"/>
          </w:tcPr>
          <w:p w14:paraId="21FA753D"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i/>
                <w:color w:val="FFFFFF"/>
                <w:sz w:val="19"/>
                <w:szCs w:val="19"/>
                <w:lang w:val="es-ES"/>
              </w:rPr>
              <w:t>Ratione temporis</w:t>
            </w:r>
          </w:p>
        </w:tc>
        <w:tc>
          <w:tcPr>
            <w:tcW w:w="6570" w:type="dxa"/>
            <w:vAlign w:val="center"/>
          </w:tcPr>
          <w:p w14:paraId="207073B0" w14:textId="77777777" w:rsidR="00397E04" w:rsidRPr="003A27F0" w:rsidRDefault="00397E04" w:rsidP="008D2290">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3A27F0">
              <w:rPr>
                <w:rFonts w:ascii="Cambria" w:hAnsi="Cambria"/>
                <w:bCs/>
                <w:sz w:val="19"/>
                <w:szCs w:val="19"/>
                <w:lang w:val="es-ES"/>
              </w:rPr>
              <w:t>Sí</w:t>
            </w:r>
          </w:p>
        </w:tc>
      </w:tr>
      <w:tr w:rsidR="00397E04" w:rsidRPr="000F2A8B" w14:paraId="5665F4FA" w14:textId="77777777" w:rsidTr="003A27F0">
        <w:trPr>
          <w:cantSplit/>
        </w:trPr>
        <w:tc>
          <w:tcPr>
            <w:tcW w:w="2790" w:type="dxa"/>
            <w:tcBorders>
              <w:bottom w:val="single" w:sz="4" w:space="0" w:color="auto"/>
            </w:tcBorders>
            <w:shd w:val="clear" w:color="auto" w:fill="386294"/>
            <w:vAlign w:val="center"/>
          </w:tcPr>
          <w:p w14:paraId="1162CE63"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i/>
                <w:color w:val="FFFFFF"/>
                <w:sz w:val="19"/>
                <w:szCs w:val="19"/>
                <w:lang w:val="es-ES"/>
              </w:rPr>
              <w:t>Ratione materiae</w:t>
            </w:r>
          </w:p>
        </w:tc>
        <w:tc>
          <w:tcPr>
            <w:tcW w:w="6570" w:type="dxa"/>
            <w:tcBorders>
              <w:bottom w:val="single" w:sz="4" w:space="0" w:color="auto"/>
            </w:tcBorders>
            <w:vAlign w:val="center"/>
          </w:tcPr>
          <w:p w14:paraId="169467FC"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19"/>
                <w:szCs w:val="19"/>
                <w:lang w:val="es-ES"/>
              </w:rPr>
              <w:t>Sí, Convención Americana de Derechos Humanos (depósito del instrumento de ratificación realizado el 24 de marzo de 1981)</w:t>
            </w:r>
          </w:p>
        </w:tc>
      </w:tr>
    </w:tbl>
    <w:p w14:paraId="20741122" w14:textId="77777777" w:rsidR="00397E04" w:rsidRPr="00006B74" w:rsidRDefault="00397E04" w:rsidP="007C402A">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bCs/>
          <w:sz w:val="20"/>
          <w:szCs w:val="20"/>
          <w:lang w:val="es-ES"/>
        </w:rPr>
      </w:pPr>
      <w:r w:rsidRPr="00006B74">
        <w:rPr>
          <w:rFonts w:ascii="Cambria" w:hAnsi="Cambria"/>
          <w:b/>
          <w:bCs/>
          <w:sz w:val="20"/>
          <w:szCs w:val="20"/>
          <w:lang w:val="es-ES"/>
        </w:rPr>
        <w:t xml:space="preserve">IV. </w:t>
      </w:r>
      <w:r w:rsidRPr="00006B74">
        <w:rPr>
          <w:rFonts w:ascii="Cambria" w:hAnsi="Cambria"/>
          <w:b/>
          <w:bCs/>
          <w:sz w:val="20"/>
          <w:szCs w:val="20"/>
          <w:lang w:val="es-ES"/>
        </w:rPr>
        <w:tab/>
        <w:t>DUPLICACIÓN</w:t>
      </w:r>
      <w:r w:rsidRPr="00006B74">
        <w:rPr>
          <w:rFonts w:ascii="Cambria" w:hAnsi="Cambria"/>
          <w:b/>
          <w:bCs/>
          <w:color w:val="FFFFFF"/>
          <w:sz w:val="20"/>
          <w:szCs w:val="20"/>
          <w:lang w:val="es-ES"/>
        </w:rPr>
        <w:t xml:space="preserve"> </w:t>
      </w:r>
      <w:r w:rsidRPr="00006B74">
        <w:rPr>
          <w:rFonts w:ascii="Cambria" w:hAnsi="Cambria"/>
          <w:b/>
          <w:bCs/>
          <w:sz w:val="20"/>
          <w:szCs w:val="20"/>
          <w:lang w:val="es-ES"/>
        </w:rPr>
        <w:t>DE PROCEDIMIENTOS Y COSA JUZGADA</w:t>
      </w:r>
      <w:r w:rsidRPr="00006B74">
        <w:rPr>
          <w:rFonts w:ascii="Cambria" w:hAnsi="Cambria"/>
          <w:b/>
          <w:bCs/>
          <w:i/>
          <w:sz w:val="20"/>
          <w:szCs w:val="20"/>
          <w:lang w:val="es-ES"/>
        </w:rPr>
        <w:t xml:space="preserve"> </w:t>
      </w:r>
      <w:r w:rsidRPr="00006B74">
        <w:rPr>
          <w:rFonts w:ascii="Cambria" w:hAnsi="Cambria"/>
          <w:b/>
          <w:bCs/>
          <w:sz w:val="20"/>
          <w:szCs w:val="20"/>
          <w:lang w:val="es-ES"/>
        </w:rPr>
        <w:t xml:space="preserve">INTERNACIONAL, CARACTERIZACIÓN, </w:t>
      </w:r>
      <w:r w:rsidRPr="00006B74">
        <w:rPr>
          <w:rFonts w:ascii="Cambria" w:hAnsi="Cambria"/>
          <w:b/>
          <w:sz w:val="20"/>
          <w:szCs w:val="20"/>
          <w:lang w:val="es-ES"/>
        </w:rPr>
        <w:t>AGOTAMIENTO DE LOS RECURSOS INTERNOS Y PLAZO DE PRESENTACIÓN</w:t>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764"/>
        <w:gridCol w:w="6478"/>
      </w:tblGrid>
      <w:tr w:rsidR="00397E04" w:rsidRPr="00CC395D" w14:paraId="082717F5" w14:textId="77777777" w:rsidTr="003A27F0">
        <w:trPr>
          <w:cantSplit/>
        </w:trPr>
        <w:tc>
          <w:tcPr>
            <w:tcW w:w="2790" w:type="dxa"/>
            <w:tcBorders>
              <w:top w:val="single" w:sz="4" w:space="0" w:color="auto"/>
            </w:tcBorders>
            <w:shd w:val="clear" w:color="auto" w:fill="386294"/>
            <w:vAlign w:val="center"/>
          </w:tcPr>
          <w:p w14:paraId="1FC217ED"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color w:val="FFFFFF"/>
                <w:sz w:val="19"/>
                <w:szCs w:val="19"/>
                <w:lang w:val="es-ES"/>
              </w:rPr>
              <w:t>Duplicación y cosa juzgada internacional</w:t>
            </w:r>
          </w:p>
        </w:tc>
        <w:tc>
          <w:tcPr>
            <w:tcW w:w="6570" w:type="dxa"/>
            <w:tcBorders>
              <w:top w:val="single" w:sz="4" w:space="0" w:color="auto"/>
            </w:tcBorders>
            <w:vAlign w:val="center"/>
          </w:tcPr>
          <w:p w14:paraId="741C9904"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19"/>
                <w:szCs w:val="19"/>
                <w:lang w:val="es-ES"/>
              </w:rPr>
              <w:t>No</w:t>
            </w:r>
          </w:p>
        </w:tc>
      </w:tr>
      <w:tr w:rsidR="00397E04" w:rsidRPr="000F2A8B" w14:paraId="08897772" w14:textId="77777777" w:rsidTr="003A27F0">
        <w:trPr>
          <w:cantSplit/>
        </w:trPr>
        <w:tc>
          <w:tcPr>
            <w:tcW w:w="2790" w:type="dxa"/>
            <w:tcBorders>
              <w:top w:val="single" w:sz="4" w:space="0" w:color="auto"/>
            </w:tcBorders>
            <w:shd w:val="clear" w:color="auto" w:fill="386294"/>
            <w:vAlign w:val="center"/>
          </w:tcPr>
          <w:p w14:paraId="5ECEBBE3"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i/>
                <w:color w:val="FFFFFF"/>
                <w:sz w:val="19"/>
                <w:szCs w:val="19"/>
                <w:lang w:val="es-ES"/>
              </w:rPr>
            </w:pPr>
            <w:r w:rsidRPr="003A27F0">
              <w:rPr>
                <w:rFonts w:ascii="Cambria" w:hAnsi="Cambria"/>
                <w:bCs/>
                <w:color w:val="FFFFFF"/>
                <w:sz w:val="19"/>
                <w:szCs w:val="19"/>
                <w:lang w:val="es-ES"/>
              </w:rPr>
              <w:t>Derechos admitidos</w:t>
            </w:r>
          </w:p>
        </w:tc>
        <w:tc>
          <w:tcPr>
            <w:tcW w:w="6570" w:type="dxa"/>
            <w:vAlign w:val="center"/>
          </w:tcPr>
          <w:p w14:paraId="3C0AE1E9"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both"/>
              <w:rPr>
                <w:rFonts w:ascii="Cambria" w:hAnsi="Cambria"/>
                <w:bCs/>
                <w:sz w:val="19"/>
                <w:szCs w:val="19"/>
                <w:lang w:val="es-ES"/>
              </w:rPr>
            </w:pPr>
            <w:r w:rsidRPr="003A27F0">
              <w:rPr>
                <w:rFonts w:ascii="Cambria" w:hAnsi="Cambria"/>
                <w:bCs/>
                <w:sz w:val="19"/>
                <w:szCs w:val="19"/>
                <w:lang w:val="es-ES"/>
              </w:rPr>
              <w:t xml:space="preserve">Artículos 8 (garantías judiciales), 9 (principio de legalidad), 21 (derecho de propiedad), 23 (derechos políticos), 24 (igualdad ante la ley), 25 (protección judicial) y 26 (derechos económicos, sociales y culturales) de la Convención Americana en relación con sus artículos 1.1 (obligación de respetar los derechos) y 2 (deber de adoptar disposiciones de derecho interno)  </w:t>
            </w:r>
          </w:p>
        </w:tc>
      </w:tr>
      <w:tr w:rsidR="00397E04" w:rsidRPr="00774BF0" w14:paraId="3D47A7DA" w14:textId="77777777" w:rsidTr="003A27F0">
        <w:trPr>
          <w:cantSplit/>
        </w:trPr>
        <w:tc>
          <w:tcPr>
            <w:tcW w:w="2790" w:type="dxa"/>
            <w:shd w:val="clear" w:color="auto" w:fill="386294"/>
            <w:vAlign w:val="center"/>
          </w:tcPr>
          <w:p w14:paraId="1CB8150D"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color w:val="FFFFFF"/>
                <w:sz w:val="19"/>
                <w:szCs w:val="19"/>
                <w:lang w:val="es-ES"/>
              </w:rPr>
              <w:t>Agotamiento de recursos o procedencia de una excepción</w:t>
            </w:r>
          </w:p>
        </w:tc>
        <w:tc>
          <w:tcPr>
            <w:tcW w:w="6570" w:type="dxa"/>
            <w:vAlign w:val="center"/>
          </w:tcPr>
          <w:p w14:paraId="5D0C55E2" w14:textId="77777777" w:rsidR="00397E04" w:rsidRPr="003A27F0" w:rsidRDefault="00397E04" w:rsidP="004262B7">
            <w:pPr>
              <w:pBdr>
                <w:top w:val="none" w:sz="0" w:space="0" w:color="auto"/>
                <w:left w:val="none" w:sz="0" w:space="0" w:color="auto"/>
                <w:bottom w:val="none" w:sz="0" w:space="0" w:color="auto"/>
                <w:right w:val="none" w:sz="0" w:space="0" w:color="auto"/>
                <w:bar w:val="none" w:sz="0" w:color="auto"/>
              </w:pBdr>
              <w:rPr>
                <w:rFonts w:ascii="Cambria" w:hAnsi="Cambria"/>
                <w:bCs/>
                <w:sz w:val="19"/>
                <w:szCs w:val="19"/>
                <w:lang w:val="es-ES"/>
              </w:rPr>
            </w:pPr>
            <w:r w:rsidRPr="003A27F0">
              <w:rPr>
                <w:rFonts w:ascii="Cambria" w:hAnsi="Cambria"/>
                <w:bCs/>
                <w:sz w:val="19"/>
                <w:szCs w:val="19"/>
                <w:lang w:val="es-ES"/>
              </w:rPr>
              <w:t>Sí, 23 de mayo de 2012</w:t>
            </w:r>
          </w:p>
        </w:tc>
      </w:tr>
      <w:tr w:rsidR="00397E04" w:rsidRPr="00B84C70" w14:paraId="6304D8A8" w14:textId="77777777" w:rsidTr="003A27F0">
        <w:trPr>
          <w:cantSplit/>
        </w:trPr>
        <w:tc>
          <w:tcPr>
            <w:tcW w:w="2790" w:type="dxa"/>
            <w:tcBorders>
              <w:bottom w:val="single" w:sz="4" w:space="0" w:color="auto"/>
            </w:tcBorders>
            <w:shd w:val="clear" w:color="auto" w:fill="386294"/>
            <w:vAlign w:val="center"/>
          </w:tcPr>
          <w:p w14:paraId="00FF2D7E" w14:textId="77777777" w:rsidR="00397E04" w:rsidRPr="003A27F0" w:rsidRDefault="00397E04" w:rsidP="003A27F0">
            <w:pPr>
              <w:pBdr>
                <w:top w:val="none" w:sz="0" w:space="0" w:color="auto"/>
                <w:left w:val="none" w:sz="0" w:space="0" w:color="auto"/>
                <w:bottom w:val="none" w:sz="0" w:space="0" w:color="auto"/>
                <w:right w:val="none" w:sz="0" w:space="0" w:color="auto"/>
                <w:bar w:val="none" w:sz="0" w:color="auto"/>
              </w:pBdr>
              <w:jc w:val="center"/>
              <w:rPr>
                <w:rFonts w:ascii="Cambria" w:hAnsi="Cambria"/>
                <w:bCs/>
                <w:color w:val="FFFFFF"/>
                <w:sz w:val="19"/>
                <w:szCs w:val="19"/>
                <w:lang w:val="es-ES"/>
              </w:rPr>
            </w:pPr>
            <w:r w:rsidRPr="003A27F0">
              <w:rPr>
                <w:rFonts w:ascii="Cambria" w:hAnsi="Cambria"/>
                <w:bCs/>
                <w:color w:val="FFFFFF"/>
                <w:sz w:val="19"/>
                <w:szCs w:val="19"/>
                <w:lang w:val="es-ES"/>
              </w:rPr>
              <w:t>Presentación dentro de plazo</w:t>
            </w:r>
          </w:p>
        </w:tc>
        <w:tc>
          <w:tcPr>
            <w:tcW w:w="6570" w:type="dxa"/>
            <w:tcBorders>
              <w:bottom w:val="single" w:sz="4" w:space="0" w:color="auto"/>
            </w:tcBorders>
            <w:vAlign w:val="center"/>
          </w:tcPr>
          <w:p w14:paraId="5880DF56" w14:textId="77777777" w:rsidR="00397E04" w:rsidRPr="003A27F0" w:rsidRDefault="00397E04" w:rsidP="004262B7">
            <w:pPr>
              <w:pBdr>
                <w:top w:val="none" w:sz="0" w:space="0" w:color="auto"/>
                <w:left w:val="none" w:sz="0" w:space="0" w:color="auto"/>
                <w:bottom w:val="none" w:sz="0" w:space="0" w:color="auto"/>
                <w:right w:val="none" w:sz="0" w:space="0" w:color="auto"/>
                <w:bar w:val="none" w:sz="0" w:color="auto"/>
              </w:pBdr>
              <w:rPr>
                <w:rFonts w:ascii="Cambria" w:hAnsi="Cambria"/>
                <w:bCs/>
                <w:sz w:val="16"/>
                <w:szCs w:val="16"/>
                <w:lang w:val="es-ES"/>
              </w:rPr>
            </w:pPr>
            <w:r w:rsidRPr="003A27F0">
              <w:rPr>
                <w:rFonts w:ascii="Cambria" w:hAnsi="Cambria"/>
                <w:bCs/>
                <w:sz w:val="16"/>
                <w:szCs w:val="16"/>
                <w:lang w:val="es-ES"/>
              </w:rPr>
              <w:t>Sí, 25 de marzo de 2009</w:t>
            </w:r>
          </w:p>
        </w:tc>
      </w:tr>
    </w:tbl>
    <w:p w14:paraId="4BF89858" w14:textId="77777777" w:rsidR="00397E04" w:rsidRPr="00006B74" w:rsidRDefault="00397E04" w:rsidP="00647756">
      <w:pPr>
        <w:pBdr>
          <w:top w:val="none" w:sz="0" w:space="0" w:color="auto"/>
          <w:left w:val="none" w:sz="0" w:space="0" w:color="auto"/>
          <w:bottom w:val="none" w:sz="0" w:space="0" w:color="auto"/>
          <w:right w:val="none" w:sz="0" w:space="0" w:color="auto"/>
          <w:bar w:val="none" w:sz="0" w:color="auto"/>
        </w:pBdr>
        <w:spacing w:before="120" w:after="120"/>
        <w:ind w:firstLine="720"/>
        <w:jc w:val="both"/>
        <w:rPr>
          <w:rFonts w:ascii="Cambria" w:hAnsi="Cambria"/>
          <w:b/>
          <w:sz w:val="20"/>
          <w:szCs w:val="20"/>
          <w:lang w:val="es-ES"/>
        </w:rPr>
      </w:pPr>
      <w:r w:rsidRPr="00006B74">
        <w:rPr>
          <w:rFonts w:ascii="Cambria" w:hAnsi="Cambria"/>
          <w:b/>
          <w:sz w:val="20"/>
          <w:szCs w:val="20"/>
          <w:lang w:val="es-ES"/>
        </w:rPr>
        <w:t xml:space="preserve">V. </w:t>
      </w:r>
      <w:r w:rsidRPr="00006B74">
        <w:rPr>
          <w:rFonts w:ascii="Cambria" w:hAnsi="Cambria"/>
          <w:b/>
          <w:sz w:val="20"/>
          <w:szCs w:val="20"/>
          <w:lang w:val="es-ES"/>
        </w:rPr>
        <w:tab/>
        <w:t>RESUMEN DE LOS HECHOS ALEGADOS</w:t>
      </w:r>
    </w:p>
    <w:p w14:paraId="1AF956B7" w14:textId="77777777" w:rsidR="00397E04" w:rsidRDefault="00397E04"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Sandra Juárez Domínguez (en adelante “la peticionaria”) denuncia presuntas violaciones a sus derechos humanos alegando que fue removida del cargo que ocupaba como Magistrada del Tribunal Superior de Justicia del Estado de Tlaxcala mediante un proceso que no estaba previamente establecido, pese a que se habían cumplido las condiciones para su ratificación tácita en el cargo. También denuncia que en el proceso se realizaron valoraciones de tipo político, que no fue notificada para participar en procesos judiciales que le afectaban, que las reglas que guiaban el proceso de evaluación que se le siguió no fueron respetadas y que un recurso de amparo que interpuso no fue resuelto en plazo razonable.</w:t>
      </w:r>
    </w:p>
    <w:p w14:paraId="6A806FC9" w14:textId="77777777" w:rsidR="00397E04" w:rsidRDefault="00397E04"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La peticionaria relata que el 31 de enero de 1999 fue designada Magistrada del Tribunal Superior de Justicia del Estado Tlaxcala por un período que concluyó el 31 de enero de 2005. Señala que en 1987 se reformó el artículo 116 de la Constitución Mexicana con el fin de promover la independencia judicial quedando establecido en el párrafo III del artículo que “los Magistrados durarán en su encargo el tiempo que </w:t>
      </w:r>
      <w:r>
        <w:rPr>
          <w:rFonts w:ascii="Cambria" w:hAnsi="Cambria"/>
          <w:sz w:val="20"/>
          <w:szCs w:val="20"/>
          <w:lang w:val="es-ES"/>
        </w:rPr>
        <w:lastRenderedPageBreak/>
        <w:t xml:space="preserve">señalen las constituciones locales y podrán ser reelectos en ese cargo y, si lo fueron sólo podrán ser privados de sus puestos en los términos que determinen las constituciones y las leyes de responsabilidades de los servidores públicos…”. Alega que no fue sino hasta el 2008 que el Estado de Tlaxcala cumplió con la obligación de adecuar su ordenamiento al mandato de la reforma constitucional de 1987. Por esta razón, al culminar el periodo de su designación en 2005 no existía en Tlaxcala un procedimiento establecido para la evaluación y ratificación de magistrados. </w:t>
      </w:r>
    </w:p>
    <w:p w14:paraId="5C4D72E5" w14:textId="77777777" w:rsidR="00397E04" w:rsidRDefault="00397E04"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 Indica que, mientras desempeñaba su cargo, los diputados del Congreso del Estado de Tlaxcala realizaron una sorpresiva evaluación de las personas que ocupaban cargos de magistrados, la que fue luego invalidada por la Suprema Corte de Justicia de la Nación al resolver una controversia constitucional interpuesta por el Tribunal Superior de Justicia del Estado de Tlaxcala. Denuncia que no fue notificada ni llamada para participar de este proceso pese a que afectaba sus derechos. Sostiene que, puesto que no existía evaluación válida de su desempeño al momento en que culminó el periodo de su designación, lo procedente conforme a la jurisprudencia de la Corte Suprema de Justicia de la Nación era que fuera ratificada tácitamente</w:t>
      </w:r>
      <w:r>
        <w:rPr>
          <w:rStyle w:val="FootnoteReference"/>
          <w:rFonts w:ascii="Cambria" w:hAnsi="Cambria"/>
          <w:sz w:val="20"/>
          <w:szCs w:val="20"/>
          <w:lang w:val="es-ES"/>
        </w:rPr>
        <w:footnoteReference w:id="5"/>
      </w:r>
      <w:r>
        <w:rPr>
          <w:rFonts w:ascii="Cambria" w:hAnsi="Cambria"/>
          <w:sz w:val="20"/>
          <w:szCs w:val="20"/>
          <w:lang w:val="es-ES"/>
        </w:rPr>
        <w:t xml:space="preserve">.  </w:t>
      </w:r>
    </w:p>
    <w:p w14:paraId="223DA538" w14:textId="77777777" w:rsidR="00397E04" w:rsidRDefault="00397E04"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Señala que el 26 de abril de 2006 el Congreso de Tlaxcala emitió un acuerdo aprobando “el procedimiento para evaluar a los Magistrados de Plazo Cumplido”, cuya validez fue confirmada por la Suprema Corte de Justicia de la Nación en un proceso en que ella no participó. Luego, el 24 de marzo de 2007 el Congreso del Estado de Tlaxcala emitió un dictamen considerando que no debía ser ratificada en su cargo siguiendo un proceso que no se encontraba regulado en disposición legal alguna y que dejaba las reglas específicas para calificar la evaluación totalmente al arbitrio del Congreso Estatal. Alega que para recomendar su no ratificación el Congreso se basó en que ella no había entregado un informe sobre su desempeño, pese a que no existía norma alguna que la obligara a presentar dicho informe. Resalta que advirtió que el Congreso podía evaluarla en base a los informes rendidos anualmente por el Presidente del Tribunal Superior de Justicia los que estaban disponibles en las instalaciones del Congreso; pero el Congreso omitió hacer esto violando su propio acuerdo el que disponía que la Comisión de evaluación debía “allegarse” de todos los medios a su alcance para realizar la evaluación. Considera que haber entregado el informe que le requirieron hubiera representado avalar el procedimiento ilegal al que fue sujeta.</w:t>
      </w:r>
    </w:p>
    <w:p w14:paraId="31F809A5" w14:textId="77777777" w:rsidR="00397E04" w:rsidRDefault="00397E04"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Continúa relatando que en 2007 recurrió la resolución que dispuso su no ratificación mediante amparo indirecto. Denuncia que el amparo no fue resuelto sino hasta el 17 de septiembre de 2009 (lo que considera excedió al plazo razonable) y que, a diferencia de otros magistrados que interpusieron amparos por los mismos motivos, no se le concedió la suspensión del acto reclamado vulnerándose así su derecho de igualdad ante la ley. Indica que el amparo fue sobreseído parcialmente sin entrar al estudio del fondo del asunto, pero concedido para el efecto de que se dejara insubsistente la resolución que determinó su no ratificación y ordenar al Congreso y la Comisión evaluadora que emitiera una nueva decisión de manera fundada y motivada, siguiendo ciertos lineamientos como “allegarse” de todos los medios a su alcance para la evaluación. </w:t>
      </w:r>
    </w:p>
    <w:p w14:paraId="1396D08B" w14:textId="77777777" w:rsidR="00397E04" w:rsidRDefault="00397E04"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Señala que el 29 de septiembre de 2011 el Pleno del Congreso del Estado de Tlaxcala emitió un nuevo dictamen decidiendo nuevamente su no ratificación. Alega que este nuevo dictamen no se ajustó a lo ordenado por el juez de amparo pues el Congreso nuevamente ignoró los informes del Presidente del Tribunal Superior de Justicia y utilizó su renuencia a aportar el informe y pruebas que apoyaran su reelección como argumento para fundamentar su decisión. Denuncia además que el Congreso censuró en su informe el que ella hubiera emitido su voto a favor de la reelección del Presidente del Tribunal Superior de Justicia del Estado de Tlaxcala, alegando que actuó ilegalmente al votar cuando no había quorum; desconociendo que ella había sido convocada legalmente a la reunión y que la Suprema Corte de Justicia de la Nación se había ya pronunciando concluyendo que la reelección del presidente no había sido ilegal. De igual manera, que el Congreso consideró que ella y sus colegas habían promovido, en abuso de su poder, un juicio de protección constitucional para evitar la evaluación de Magistrados ante el Pleno del Poder Judicial; el que fue admitido a trámite por el </w:t>
      </w:r>
      <w:r>
        <w:rPr>
          <w:rFonts w:ascii="Cambria" w:hAnsi="Cambria"/>
          <w:sz w:val="20"/>
          <w:szCs w:val="20"/>
          <w:lang w:val="es-ES"/>
        </w:rPr>
        <w:lastRenderedPageBreak/>
        <w:t>presidente del poder y concedido por un magistrado instructor que se designó para ello. Aduce que el interés real del Congreso era poder colocar a los magistrados que les resultaban convenientes para sus fines políticos</w:t>
      </w:r>
      <w:r>
        <w:rPr>
          <w:rStyle w:val="FootnoteReference"/>
          <w:rFonts w:ascii="Cambria" w:hAnsi="Cambria"/>
          <w:sz w:val="20"/>
          <w:szCs w:val="20"/>
          <w:lang w:val="es-ES"/>
        </w:rPr>
        <w:footnoteReference w:id="6"/>
      </w:r>
      <w:r>
        <w:rPr>
          <w:rFonts w:ascii="Cambria" w:hAnsi="Cambria"/>
          <w:sz w:val="20"/>
          <w:szCs w:val="20"/>
          <w:lang w:val="es-ES"/>
        </w:rPr>
        <w:t xml:space="preserve">. </w:t>
      </w:r>
    </w:p>
    <w:p w14:paraId="1BCB108E" w14:textId="77777777" w:rsidR="00397E04" w:rsidRDefault="00397E04"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Por otra parte, indica que el dictamen que dispuso su no ratificación también había ordenado que se le pagara una indemnización. Sin embargo, cuando solicitó esta indemnización, el nuevo presidente del Tribunal Superior de Justicia del Estado de Tlaxcala se negó indicando que dicho punto del dictamen había sido invalidado al resolverse una controversial constitucional en un proceso en el que ella no participó. Indica que después de varios recursos judiciales y requerimientos finalmente obtuvo el pago 5 años después de que su no ratificación quedara en firme, viéndose lesionada económicamente por la demora y porque el pago se realizó con dinero devaluado. </w:t>
      </w:r>
    </w:p>
    <w:p w14:paraId="5846E9EE" w14:textId="77777777" w:rsidR="00397E04" w:rsidRDefault="00397E04"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El Estado, por su parte, considera que la petición debe ser inadmitida con fundamento en el artículo 46 de la Convención Americana pues la peticionaria no había agotado los recursos internos disponibles en la Constitución Mexicana al momento de presentar su petición. Resalta que al momento de la presentación de la petición todavía estaba pendiente la resolución de la acción de amparo que finalmente resultó favorable a los intereses de la peticionaria. También señala que 24 de noviembre de 2011 el Juzgado Primero de Distrito del Vigésimo Circuito concluyó que el nuevo acuerdo emitido por el Congreso de Tlaxcala cumplía con los requisitos de la sentencia de amparo. Indica que la peticionaria presentó una inconformidad contra esta decisión la que fue declarada infundada el 4 de mayo de 2012 resultando en el archivo del juicio el 23 de mayo de 2102; puesto que la sentencia de amparo sólo ordenaba el análisis y la emisión de un nuevo acuerdo de ratificación, el que podía ser negativo o afirmativo.</w:t>
      </w:r>
    </w:p>
    <w:p w14:paraId="33894134" w14:textId="77777777" w:rsidR="00397E04" w:rsidRDefault="00397E04" w:rsidP="00176BB3">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 Alega que la intención de la peticionaria es que la Comisión actué como una cuarta instancia para que impugne tanto la interpretación de la ley hecha por los tribunales, así como los procedimientos pertinentes, cuestiones que pertenecen a la jurisdicción interna. En cuanto a la supuesta dilación en la resolución del juicio de amparo interpuesto por la peticionaria indica que esta se debió a que el expediente no se encontraba debidamente integrado y a que la peticionaria presentó varias ampliaciones. Sostiene que la no ratificación de la peticionara no implica una violación a sus derechos humanos; resaltando que la Suprema Corte de Justicia de la Nación ha reconocido la constitucionalidad de los procesos de ratificación. Considera que la no ratificación de la peticionaria fue un acto soberano del Congreso del Estado de Tlaxcala que no implica violación a sus derechos</w:t>
      </w:r>
      <w:r>
        <w:rPr>
          <w:rStyle w:val="FootnoteReference"/>
          <w:rFonts w:ascii="Cambria" w:hAnsi="Cambria"/>
          <w:sz w:val="20"/>
          <w:szCs w:val="20"/>
          <w:lang w:val="es-ES"/>
        </w:rPr>
        <w:footnoteReference w:id="7"/>
      </w:r>
      <w:r>
        <w:rPr>
          <w:rFonts w:ascii="Cambria" w:hAnsi="Cambria"/>
          <w:sz w:val="20"/>
          <w:szCs w:val="20"/>
          <w:lang w:val="es-ES"/>
        </w:rPr>
        <w:t xml:space="preserve">. </w:t>
      </w:r>
    </w:p>
    <w:p w14:paraId="33973764" w14:textId="77777777" w:rsidR="00397E04" w:rsidRPr="000B73F6" w:rsidRDefault="00397E04" w:rsidP="000B73F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006B74">
        <w:rPr>
          <w:b/>
          <w:bCs/>
          <w:sz w:val="20"/>
          <w:szCs w:val="20"/>
          <w:lang w:val="es-ES"/>
        </w:rPr>
        <w:t xml:space="preserve">VI. </w:t>
      </w:r>
      <w:r w:rsidRPr="00006B74">
        <w:rPr>
          <w:b/>
          <w:bCs/>
          <w:sz w:val="20"/>
          <w:szCs w:val="20"/>
          <w:lang w:val="es-ES"/>
        </w:rPr>
        <w:tab/>
        <w:t>AGOTAMIENTO DE LOS RECURSOS INTERNOS Y PLAZO DE PRESENTACIÓN</w:t>
      </w:r>
    </w:p>
    <w:p w14:paraId="4B34C674" w14:textId="77777777" w:rsidR="00397E04" w:rsidRPr="00DF18FC" w:rsidRDefault="00397E04" w:rsidP="00DF18FC">
      <w:pPr>
        <w:pStyle w:val="ListParagraph"/>
        <w:numPr>
          <w:ilvl w:val="0"/>
          <w:numId w:val="55"/>
        </w:numPr>
        <w:pBdr>
          <w:top w:val="none" w:sz="0" w:space="0" w:color="auto"/>
          <w:left w:val="none" w:sz="0" w:space="0" w:color="auto"/>
          <w:bottom w:val="none" w:sz="0" w:space="0" w:color="auto"/>
          <w:right w:val="none" w:sz="0" w:space="0" w:color="auto"/>
          <w:bar w:val="none" w:sz="0" w:color="auto"/>
        </w:pBdr>
        <w:ind w:left="0"/>
        <w:contextualSpacing/>
        <w:jc w:val="both"/>
        <w:rPr>
          <w:rFonts w:cs="Calibri"/>
          <w:sz w:val="20"/>
          <w:szCs w:val="20"/>
          <w:lang w:val="es-ES_tradnl"/>
        </w:rPr>
      </w:pPr>
      <w:r w:rsidRPr="00DF18FC">
        <w:rPr>
          <w:rFonts w:cs="Calibri"/>
          <w:sz w:val="20"/>
          <w:szCs w:val="20"/>
          <w:lang w:val="es-ES_tradnl"/>
        </w:rPr>
        <w:t>Respecto al cuestionamiento del Estado sobre el hecho que el agotamiento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w:t>
      </w:r>
      <w:r>
        <w:rPr>
          <w:rFonts w:cs="Calibri"/>
          <w:sz w:val="20"/>
          <w:szCs w:val="20"/>
          <w:lang w:val="es-ES_tradnl"/>
        </w:rPr>
        <w:t xml:space="preserve"> La Comisión toma nota que el Estado no ha indicado que, luego de que se archivara el juicio de inconformidad propuesto por la peticionaria, restaran recursos internos no agotados que pudieran haber sido idóneos para que las pretensiones de la peticionaria fueran atendidas a nivel doméstico. En atención a esto la Comisión concluye que los recursos internos se agotaron el 23 de mayo de 2012 con el archivo del juicio de inconformidad. Por lo tanto y dado que la petición se presentó el 25 de marzo de 2009 la petición cumple con los requisitos del artículo 46.1(a) y (b) de la Convención Americana. </w:t>
      </w:r>
    </w:p>
    <w:p w14:paraId="42AE22C9" w14:textId="77777777" w:rsidR="00397E04" w:rsidRPr="00006B74" w:rsidRDefault="00397E04" w:rsidP="00DF18FC">
      <w:p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p>
    <w:p w14:paraId="2D796046" w14:textId="77777777" w:rsidR="00397E04" w:rsidRPr="00006B74" w:rsidRDefault="00397E04" w:rsidP="00647756">
      <w:pPr>
        <w:pStyle w:val="ListParagraph"/>
        <w:pBdr>
          <w:top w:val="none" w:sz="0" w:space="0" w:color="auto"/>
          <w:left w:val="none" w:sz="0" w:space="0" w:color="auto"/>
          <w:bottom w:val="none" w:sz="0" w:space="0" w:color="auto"/>
          <w:right w:val="none" w:sz="0" w:space="0" w:color="auto"/>
          <w:bar w:val="none" w:sz="0" w:color="auto"/>
        </w:pBdr>
        <w:spacing w:before="120" w:after="120"/>
        <w:jc w:val="both"/>
        <w:rPr>
          <w:b/>
          <w:bCs/>
          <w:sz w:val="20"/>
          <w:szCs w:val="20"/>
          <w:lang w:val="es-ES"/>
        </w:rPr>
      </w:pPr>
      <w:r w:rsidRPr="00006B74">
        <w:rPr>
          <w:b/>
          <w:bCs/>
          <w:sz w:val="20"/>
          <w:szCs w:val="20"/>
          <w:lang w:val="es-ES"/>
        </w:rPr>
        <w:t xml:space="preserve">VII. </w:t>
      </w:r>
      <w:r w:rsidRPr="00006B74">
        <w:rPr>
          <w:b/>
          <w:bCs/>
          <w:sz w:val="20"/>
          <w:szCs w:val="20"/>
          <w:lang w:val="es-ES"/>
        </w:rPr>
        <w:tab/>
        <w:t>CARACTERIZACIÓN</w:t>
      </w:r>
    </w:p>
    <w:p w14:paraId="246F1C72" w14:textId="77777777" w:rsidR="00397E04" w:rsidRPr="0057265C" w:rsidRDefault="00397E04" w:rsidP="00AB533E">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sidRPr="005A55F0">
        <w:rPr>
          <w:rFonts w:ascii="Cambria" w:hAnsi="Cambria"/>
          <w:sz w:val="20"/>
          <w:szCs w:val="20"/>
          <w:lang w:val="es-ES"/>
        </w:rPr>
        <w:t>La Comisión observa que la presente petición incluye alegaciones con respecto</w:t>
      </w:r>
      <w:r>
        <w:rPr>
          <w:rFonts w:ascii="Cambria" w:hAnsi="Cambria"/>
          <w:sz w:val="20"/>
          <w:szCs w:val="20"/>
          <w:lang w:val="es-ES"/>
        </w:rPr>
        <w:t xml:space="preserve"> a que  la peticionaria </w:t>
      </w:r>
      <w:r w:rsidRPr="009C6F68">
        <w:rPr>
          <w:rFonts w:ascii="Cambria" w:hAnsi="Cambria"/>
          <w:sz w:val="20"/>
          <w:szCs w:val="20"/>
          <w:lang w:val="es-PA"/>
        </w:rPr>
        <w:t>fue sometida a un proceso de evaluación y ratificación que no estaba previamente normado y en el que se valoraron aspectos tales como su voto a favor de la reelección de un presidente del tribunal y su interposición de recursos judiciales contra actos del congreso</w:t>
      </w:r>
      <w:r>
        <w:rPr>
          <w:rFonts w:ascii="Cambria" w:hAnsi="Cambria"/>
          <w:sz w:val="20"/>
          <w:szCs w:val="20"/>
          <w:lang w:val="es-PA"/>
        </w:rPr>
        <w:t>; a que se adoptaron decisiones que afectaban sus derechos sin su participación; y a que se vio afectada económicamente por una demora injustificada en el pago de su indemnización y por la falta de compensación por la devaluación de la moneda.</w:t>
      </w:r>
    </w:p>
    <w:p w14:paraId="55A31209" w14:textId="5AA5D973" w:rsidR="00397E04" w:rsidRPr="000A6A6B" w:rsidRDefault="00397E04" w:rsidP="0057265C">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sidRPr="00BF6FE9">
        <w:rPr>
          <w:rFonts w:ascii="Cambria" w:hAnsi="Cambria"/>
          <w:sz w:val="20"/>
          <w:szCs w:val="20"/>
          <w:lang w:val="es-ES"/>
        </w:rPr>
        <w:lastRenderedPageBreak/>
        <w:t>Ante estas alegaciones la CIDH considera pertinente recordar que ya ha manifestado que en el caso de operadores y operadoras de justicia el principio de legalidad implica “</w:t>
      </w:r>
      <w:r w:rsidRPr="00BF6FE9">
        <w:rPr>
          <w:rFonts w:ascii="Cambria" w:hAnsi="Cambria"/>
          <w:sz w:val="20"/>
          <w:szCs w:val="20"/>
          <w:lang w:val="es-PA"/>
        </w:rPr>
        <w:t>que el régimen disciplinario debe ser previamente establecido y previsible en cuanto a los procedimientos a seguir y las autoridades encargadas de su aplicación”</w:t>
      </w:r>
      <w:r w:rsidRPr="00BF6FE9">
        <w:rPr>
          <w:rStyle w:val="FootnoteReference"/>
          <w:rFonts w:ascii="Cambria" w:hAnsi="Cambria"/>
          <w:sz w:val="20"/>
          <w:szCs w:val="20"/>
          <w:lang w:val="es-PA"/>
        </w:rPr>
        <w:footnoteReference w:id="8"/>
      </w:r>
      <w:r w:rsidRPr="00BF6FE9">
        <w:rPr>
          <w:rFonts w:ascii="Cambria" w:hAnsi="Cambria"/>
          <w:sz w:val="20"/>
          <w:szCs w:val="20"/>
          <w:lang w:val="es-PA"/>
        </w:rPr>
        <w:t xml:space="preserve">. </w:t>
      </w:r>
      <w:r w:rsidRPr="000A6A6B">
        <w:rPr>
          <w:rFonts w:ascii="Cambria" w:hAnsi="Cambria"/>
          <w:sz w:val="20"/>
          <w:szCs w:val="20"/>
          <w:lang w:val="es-PA"/>
        </w:rPr>
        <w:t>De igual manera, que la Corte Interamericana ha determinado que “</w:t>
      </w:r>
      <w:r w:rsidRPr="00E87C71">
        <w:rPr>
          <w:rFonts w:ascii="Cambria" w:hAnsi="Cambria"/>
          <w:sz w:val="20"/>
          <w:szCs w:val="20"/>
          <w:lang w:val="es-CO"/>
        </w:rPr>
        <w:t>las dimensiones de la independencia judicial se traducen en el derecho subjetivo del juez a que su separación del cargo obedezca exclusivamente a las causales permitidas</w:t>
      </w:r>
      <w:r>
        <w:rPr>
          <w:lang w:val="es-CO"/>
        </w:rPr>
        <w:t>”</w:t>
      </w:r>
      <w:r>
        <w:rPr>
          <w:rStyle w:val="FootnoteReference"/>
          <w:sz w:val="20"/>
          <w:szCs w:val="20"/>
          <w:lang w:val="es-ES"/>
        </w:rPr>
        <w:footnoteReference w:id="9"/>
      </w:r>
      <w:r w:rsidRPr="000A6A6B">
        <w:rPr>
          <w:rFonts w:ascii="Cambria" w:hAnsi="Cambria"/>
          <w:sz w:val="20"/>
          <w:szCs w:val="20"/>
          <w:lang w:val="es-ES"/>
        </w:rPr>
        <w:t xml:space="preserve"> y</w:t>
      </w:r>
      <w:r>
        <w:rPr>
          <w:rFonts w:ascii="Cambria" w:hAnsi="Cambria"/>
          <w:sz w:val="20"/>
          <w:szCs w:val="20"/>
          <w:lang w:val="es-ES"/>
        </w:rPr>
        <w:t xml:space="preserve"> que la Comisión</w:t>
      </w:r>
      <w:r w:rsidRPr="000A6A6B">
        <w:rPr>
          <w:rFonts w:ascii="Cambria" w:hAnsi="Cambria"/>
          <w:sz w:val="20"/>
          <w:szCs w:val="20"/>
          <w:lang w:val="es-ES"/>
        </w:rPr>
        <w:t xml:space="preserve"> ha advertido que “la selección de la presidenta o presidente por otros poderes u órganos públicos puede traducirse en interferencias a los tribunales afectando la independencia en el desempeño de jueces y juezas”</w:t>
      </w:r>
      <w:r w:rsidRPr="000A6A6B">
        <w:rPr>
          <w:rStyle w:val="FootnoteReference"/>
          <w:rFonts w:ascii="Cambria" w:hAnsi="Cambria"/>
          <w:sz w:val="20"/>
          <w:szCs w:val="20"/>
        </w:rPr>
        <w:footnoteReference w:id="10"/>
      </w:r>
      <w:r w:rsidRPr="000A6A6B">
        <w:rPr>
          <w:rFonts w:ascii="Cambria" w:hAnsi="Cambria"/>
          <w:sz w:val="20"/>
          <w:szCs w:val="20"/>
          <w:lang w:val="es-ES"/>
        </w:rPr>
        <w:t>. La Comisión también ha reconocido que “puede haber decisiones que sean formalmente válidas, pero que no son utilizadas como recursos legítimos de administración de justicia, sino a manera de mecanismos para cumplir con finalidades no declaradas y no evidentes a primera vista que tienen el objeto de establecer una sanción ‘implícita’ con una finalidad distinta de aquellas para las que han sido previstas por la ley”</w:t>
      </w:r>
      <w:r w:rsidRPr="000A6A6B">
        <w:rPr>
          <w:rStyle w:val="FootnoteReference"/>
          <w:rFonts w:ascii="Cambria" w:hAnsi="Cambria"/>
          <w:sz w:val="20"/>
          <w:szCs w:val="20"/>
          <w:lang w:val="es-ES"/>
        </w:rPr>
        <w:footnoteReference w:id="11"/>
      </w:r>
      <w:r w:rsidRPr="000A6A6B">
        <w:rPr>
          <w:rFonts w:ascii="Cambria" w:hAnsi="Cambria"/>
          <w:sz w:val="20"/>
          <w:szCs w:val="20"/>
          <w:lang w:val="es-ES"/>
        </w:rPr>
        <w:t>. En adición, la Comisión valora que la Corte Europea de Derechos Humanos ha considerado que retrasos en el pago de una compensación que conlleven a que la misma sea inadecuada a consecuencia de una depreciación monetaria pueden implicar una violación al derecho a la propiedad</w:t>
      </w:r>
      <w:r w:rsidRPr="000A6A6B">
        <w:rPr>
          <w:rStyle w:val="FootnoteReference"/>
          <w:rFonts w:ascii="Cambria" w:hAnsi="Cambria"/>
          <w:sz w:val="20"/>
          <w:szCs w:val="20"/>
          <w:lang w:val="es-ES"/>
        </w:rPr>
        <w:footnoteReference w:id="12"/>
      </w:r>
      <w:r w:rsidRPr="000A6A6B">
        <w:rPr>
          <w:rFonts w:ascii="Cambria" w:hAnsi="Cambria"/>
          <w:sz w:val="20"/>
          <w:szCs w:val="20"/>
          <w:lang w:val="es-ES"/>
        </w:rPr>
        <w:t>.</w:t>
      </w:r>
    </w:p>
    <w:p w14:paraId="6BF7CE31" w14:textId="77777777" w:rsidR="00397E04" w:rsidRPr="0057265C" w:rsidRDefault="00397E04" w:rsidP="0057265C">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p>
    <w:p w14:paraId="1CAE0F5C" w14:textId="77777777" w:rsidR="00397E04" w:rsidRPr="0009678E" w:rsidRDefault="00397E04" w:rsidP="005A55F0">
      <w:pPr>
        <w:numPr>
          <w:ilvl w:val="0"/>
          <w:numId w:val="55"/>
        </w:num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r w:rsidRPr="005A55F0">
        <w:rPr>
          <w:rFonts w:ascii="Cambria" w:hAnsi="Cambria"/>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5A55F0">
        <w:rPr>
          <w:rFonts w:ascii="Cambria" w:hAnsi="Cambria"/>
          <w:bCs/>
          <w:sz w:val="20"/>
          <w:szCs w:val="20"/>
          <w:lang w:val="es-ES"/>
        </w:rPr>
        <w:t xml:space="preserve">8 (garantías judiciales), 9 (principio de legalidad), 21 (derecho de propiedad), 23 (derechos políticos), 24 (igualdad ante la ley), 25 (protección judicial) y 26 (derechos económicos, sociales y culturales) de la Convención Americana en relación con sus artículos 1.1 (obligación de respetar los derechos) y 2 (deber de adoptar disposiciones de derecho interno).  </w:t>
      </w:r>
    </w:p>
    <w:p w14:paraId="5C900314" w14:textId="77777777" w:rsidR="00397E04" w:rsidRPr="005A55F0" w:rsidRDefault="00397E04" w:rsidP="0009678E">
      <w:pPr>
        <w:pBdr>
          <w:top w:val="none" w:sz="0" w:space="0" w:color="auto"/>
          <w:left w:val="none" w:sz="0" w:space="0" w:color="auto"/>
          <w:bottom w:val="none" w:sz="0" w:space="0" w:color="auto"/>
          <w:right w:val="none" w:sz="0" w:space="0" w:color="auto"/>
          <w:bar w:val="none" w:sz="0" w:color="auto"/>
        </w:pBdr>
        <w:suppressAutoHyphens/>
        <w:jc w:val="both"/>
        <w:rPr>
          <w:rFonts w:ascii="Cambria" w:hAnsi="Cambria"/>
          <w:sz w:val="20"/>
          <w:szCs w:val="20"/>
          <w:lang w:val="es-ES"/>
        </w:rPr>
      </w:pPr>
    </w:p>
    <w:p w14:paraId="1BD2FB1F" w14:textId="77777777" w:rsidR="00397E04" w:rsidRPr="005A55F0" w:rsidRDefault="00397E04" w:rsidP="00D81DCA">
      <w:pPr>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sz w:val="20"/>
          <w:szCs w:val="20"/>
          <w:lang w:val="es-ES"/>
        </w:rPr>
      </w:pPr>
      <w:r w:rsidRPr="005A55F0">
        <w:rPr>
          <w:rFonts w:ascii="Cambria" w:hAnsi="Cambria"/>
          <w:sz w:val="20"/>
          <w:szCs w:val="20"/>
          <w:lang w:val="es-ES"/>
        </w:rPr>
        <w:t xml:space="preserve">En cuanto a las alegadas violaciones al artículo 11 (honra y dignidad) de la Convención Americana la Comisión estima que la peticionaria no ha aportado ni se desprenden del expediente elementos o sustentos que permitan a la Comisión considerar, ni siquiera </w:t>
      </w:r>
      <w:r w:rsidRPr="00E87C71">
        <w:rPr>
          <w:rFonts w:ascii="Cambria" w:hAnsi="Cambria"/>
          <w:i/>
          <w:sz w:val="20"/>
          <w:szCs w:val="20"/>
          <w:lang w:val="es-ES"/>
        </w:rPr>
        <w:t>prima facie</w:t>
      </w:r>
      <w:r w:rsidRPr="005A55F0">
        <w:rPr>
          <w:rFonts w:ascii="Cambria" w:hAnsi="Cambria"/>
          <w:sz w:val="20"/>
          <w:szCs w:val="20"/>
          <w:lang w:val="es-ES"/>
        </w:rPr>
        <w:t xml:space="preserve">, su posible violación. </w:t>
      </w:r>
    </w:p>
    <w:p w14:paraId="07F89A79" w14:textId="77777777" w:rsidR="00397E04" w:rsidRDefault="00397E04" w:rsidP="005A55F0">
      <w:pPr>
        <w:pStyle w:val="ListParagraph"/>
        <w:numPr>
          <w:ilvl w:val="0"/>
          <w:numId w:val="55"/>
        </w:numPr>
        <w:pBdr>
          <w:top w:val="none" w:sz="0" w:space="0" w:color="auto"/>
          <w:left w:val="none" w:sz="0" w:space="0" w:color="auto"/>
          <w:bottom w:val="none" w:sz="0" w:space="0" w:color="auto"/>
          <w:right w:val="none" w:sz="0" w:space="0" w:color="auto"/>
          <w:bar w:val="none" w:sz="0" w:color="auto"/>
        </w:pBdr>
        <w:ind w:left="0"/>
        <w:contextualSpacing/>
        <w:jc w:val="both"/>
        <w:rPr>
          <w:rFonts w:cs="Calibri"/>
          <w:sz w:val="20"/>
          <w:szCs w:val="20"/>
          <w:lang w:val="es-ES_tradnl"/>
        </w:rPr>
      </w:pPr>
      <w:r w:rsidRPr="00D81DCA">
        <w:rPr>
          <w:rFonts w:cs="Calibri"/>
          <w:sz w:val="20"/>
          <w:szCs w:val="20"/>
          <w:lang w:val="es-ES_tradnl"/>
        </w:rPr>
        <w:t>Respecto a los alegatos del Estado referidos a la fórmula de cuarta instancia, la Comisión reitera que dentro del marco de su mandato sí es competente para declarar admisible una petición y fallar sobre el fondo cuando ésta se refiere a procesos internos que podrían ser violatorios de derechos garantizados por la Convención Americana.</w:t>
      </w:r>
    </w:p>
    <w:p w14:paraId="674ACF00" w14:textId="77777777" w:rsidR="00397E04" w:rsidRPr="005A55F0" w:rsidRDefault="00397E04" w:rsidP="005A55F0">
      <w:pPr>
        <w:pStyle w:val="ListParagraph"/>
        <w:pBdr>
          <w:top w:val="none" w:sz="0" w:space="0" w:color="auto"/>
          <w:left w:val="none" w:sz="0" w:space="0" w:color="auto"/>
          <w:bottom w:val="none" w:sz="0" w:space="0" w:color="auto"/>
          <w:right w:val="none" w:sz="0" w:space="0" w:color="auto"/>
          <w:bar w:val="none" w:sz="0" w:color="auto"/>
        </w:pBdr>
        <w:contextualSpacing/>
        <w:jc w:val="both"/>
        <w:rPr>
          <w:rFonts w:cs="Calibri"/>
          <w:sz w:val="20"/>
          <w:szCs w:val="20"/>
          <w:lang w:val="es-ES_tradnl"/>
        </w:rPr>
      </w:pPr>
    </w:p>
    <w:p w14:paraId="3BF411EF" w14:textId="77777777" w:rsidR="00397E04" w:rsidRPr="00006B74" w:rsidRDefault="00397E04" w:rsidP="008C5751">
      <w:pPr>
        <w:pBdr>
          <w:top w:val="none" w:sz="0" w:space="0" w:color="auto"/>
          <w:left w:val="none" w:sz="0" w:space="0" w:color="auto"/>
          <w:bottom w:val="none" w:sz="0" w:space="0" w:color="auto"/>
          <w:right w:val="none" w:sz="0" w:space="0" w:color="auto"/>
          <w:bar w:val="none" w:sz="0" w:color="auto"/>
        </w:pBdr>
        <w:suppressAutoHyphens/>
        <w:spacing w:after="120"/>
        <w:ind w:left="720"/>
        <w:jc w:val="both"/>
        <w:rPr>
          <w:rFonts w:ascii="Cambria" w:hAnsi="Cambria"/>
          <w:b/>
          <w:bCs/>
          <w:sz w:val="20"/>
          <w:szCs w:val="20"/>
          <w:lang w:val="es-ES"/>
        </w:rPr>
      </w:pPr>
      <w:r w:rsidRPr="00006B74">
        <w:rPr>
          <w:rFonts w:ascii="Cambria" w:hAnsi="Cambria"/>
          <w:b/>
          <w:bCs/>
          <w:sz w:val="20"/>
          <w:szCs w:val="20"/>
          <w:lang w:val="es-ES"/>
        </w:rPr>
        <w:t xml:space="preserve">VIII. </w:t>
      </w:r>
      <w:r w:rsidRPr="00006B74">
        <w:rPr>
          <w:rFonts w:ascii="Cambria" w:hAnsi="Cambria"/>
          <w:b/>
          <w:bCs/>
          <w:sz w:val="20"/>
          <w:szCs w:val="20"/>
          <w:lang w:val="es-ES"/>
        </w:rPr>
        <w:tab/>
        <w:t>DECISIÓN</w:t>
      </w:r>
    </w:p>
    <w:p w14:paraId="1D60DCFC" w14:textId="77777777" w:rsidR="00397E04" w:rsidRPr="00D81DCA" w:rsidRDefault="00397E04" w:rsidP="00176BB3">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sidRPr="00006B74">
        <w:rPr>
          <w:rFonts w:ascii="Cambria" w:hAnsi="Cambria"/>
          <w:sz w:val="20"/>
          <w:szCs w:val="20"/>
          <w:lang w:val="es-ES"/>
        </w:rPr>
        <w:t xml:space="preserve">Declarar admisible la presente petición en relación </w:t>
      </w:r>
      <w:r>
        <w:rPr>
          <w:rFonts w:ascii="Cambria" w:hAnsi="Cambria"/>
          <w:sz w:val="20"/>
          <w:szCs w:val="20"/>
          <w:lang w:val="es-ES"/>
        </w:rPr>
        <w:t>con los artículos 8, 9, 21, 23, 24, 25 y 26 de la Convención Americana en relación con sus artículos 1.1. y 2</w:t>
      </w:r>
      <w:r w:rsidRPr="00006B74">
        <w:rPr>
          <w:rFonts w:ascii="Cambria" w:hAnsi="Cambria"/>
          <w:sz w:val="20"/>
          <w:szCs w:val="20"/>
          <w:lang w:val="es-ES"/>
        </w:rPr>
        <w:t>;</w:t>
      </w:r>
    </w:p>
    <w:p w14:paraId="280A7D40" w14:textId="77777777" w:rsidR="00397E04" w:rsidRPr="001E3CBA" w:rsidRDefault="00397E04" w:rsidP="00176BB3">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Declara inadmisible la presente petición en relación con el artículo 11 de la Convención americana</w:t>
      </w:r>
    </w:p>
    <w:p w14:paraId="739C1499" w14:textId="77777777" w:rsidR="0049621C" w:rsidRPr="0049621C" w:rsidRDefault="00397E04" w:rsidP="00D87614">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120"/>
        <w:jc w:val="both"/>
        <w:rPr>
          <w:rFonts w:ascii="Cambria" w:hAnsi="Cambria" w:cs="Arial"/>
          <w:noProof/>
          <w:spacing w:val="-2"/>
          <w:sz w:val="20"/>
          <w:szCs w:val="20"/>
          <w:bdr w:val="nil"/>
          <w:lang w:val="es-CL"/>
        </w:rPr>
      </w:pPr>
      <w:r w:rsidRPr="0049621C">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695EF00" w14:textId="1296775F" w:rsidR="0049621C" w:rsidRDefault="0049621C" w:rsidP="0049621C">
      <w:pPr>
        <w:pBdr>
          <w:top w:val="none" w:sz="0" w:space="0" w:color="auto"/>
          <w:left w:val="none" w:sz="0" w:space="0" w:color="auto"/>
          <w:bottom w:val="none" w:sz="0" w:space="0" w:color="auto"/>
          <w:right w:val="none" w:sz="0" w:space="0" w:color="auto"/>
          <w:bar w:val="none" w:sz="0" w:color="auto"/>
        </w:pBdr>
        <w:suppressAutoHyphens/>
        <w:spacing w:after="120"/>
        <w:ind w:firstLine="720"/>
        <w:jc w:val="both"/>
        <w:rPr>
          <w:rFonts w:ascii="Cambria" w:hAnsi="Cambria" w:cs="Arial"/>
          <w:noProof/>
          <w:spacing w:val="-2"/>
          <w:sz w:val="20"/>
          <w:szCs w:val="20"/>
          <w:bdr w:val="nil"/>
          <w:lang w:val="es-CL"/>
        </w:rPr>
      </w:pPr>
      <w:r w:rsidRPr="0049621C">
        <w:rPr>
          <w:rFonts w:ascii="Cambria" w:hAnsi="Cambria" w:cs="Arial"/>
          <w:noProof/>
          <w:spacing w:val="-2"/>
          <w:sz w:val="20"/>
          <w:szCs w:val="20"/>
          <w:bdr w:val="nil"/>
          <w:lang w:val="es-CL"/>
        </w:rPr>
        <w:t xml:space="preserve">Aprobado por la Comisión Interamericana de Derechos Humanos  a los </w:t>
      </w:r>
      <w:r>
        <w:rPr>
          <w:rFonts w:ascii="Cambria" w:hAnsi="Cambria" w:cs="Arial"/>
          <w:noProof/>
          <w:spacing w:val="-2"/>
          <w:sz w:val="20"/>
          <w:szCs w:val="20"/>
          <w:bdr w:val="nil"/>
          <w:lang w:val="es-CL"/>
        </w:rPr>
        <w:t>24</w:t>
      </w:r>
      <w:r w:rsidRPr="0049621C">
        <w:rPr>
          <w:rFonts w:ascii="Cambria" w:hAnsi="Cambria" w:cs="Arial"/>
          <w:noProof/>
          <w:spacing w:val="-2"/>
          <w:sz w:val="20"/>
          <w:szCs w:val="20"/>
          <w:bdr w:val="nil"/>
          <w:lang w:val="es-CL"/>
        </w:rPr>
        <w:t xml:space="preserve"> días del mes de </w:t>
      </w:r>
      <w:r>
        <w:rPr>
          <w:rFonts w:ascii="Cambria" w:hAnsi="Cambria" w:cs="Arial"/>
          <w:noProof/>
          <w:spacing w:val="-2"/>
          <w:sz w:val="20"/>
          <w:szCs w:val="20"/>
          <w:bdr w:val="nil"/>
          <w:lang w:val="es-CL"/>
        </w:rPr>
        <w:t>abril</w:t>
      </w:r>
      <w:r w:rsidRPr="0049621C">
        <w:rPr>
          <w:rFonts w:ascii="Cambria" w:hAnsi="Cambria" w:cs="Arial"/>
          <w:noProof/>
          <w:spacing w:val="-2"/>
          <w:sz w:val="20"/>
          <w:szCs w:val="20"/>
          <w:bdr w:val="nil"/>
          <w:lang w:val="es-CL"/>
        </w:rPr>
        <w:t xml:space="preserve"> de 2020.  (Firmado): Antonia Urrejola, Primera Vicepresidenta; Flávia Piovesan, Segunda Vicepresidenta; Margarette May Macaulay, Esmeralda E. Arosemena Bernal de Troitiño, Julissa Mantilla Falcón, y </w:t>
      </w:r>
      <w:r w:rsidR="000F2A8B">
        <w:rPr>
          <w:rFonts w:ascii="Cambria" w:hAnsi="Cambria" w:cs="Arial"/>
          <w:noProof/>
          <w:spacing w:val="-2"/>
          <w:sz w:val="20"/>
          <w:szCs w:val="20"/>
          <w:bdr w:val="nil"/>
          <w:lang w:val="es-CL"/>
        </w:rPr>
        <w:t xml:space="preserve">Edgar </w:t>
      </w:r>
      <w:r w:rsidRPr="0049621C">
        <w:rPr>
          <w:rFonts w:ascii="Cambria" w:hAnsi="Cambria" w:cs="Arial"/>
          <w:noProof/>
          <w:spacing w:val="-2"/>
          <w:sz w:val="20"/>
          <w:szCs w:val="20"/>
          <w:bdr w:val="nil"/>
          <w:lang w:val="es-CL"/>
        </w:rPr>
        <w:t>Stuardo Ralón Orellana, Miembros de la Comisión.</w:t>
      </w:r>
      <w:r w:rsidRPr="0049621C">
        <w:rPr>
          <w:rFonts w:ascii="Cambria" w:hAnsi="Cambria" w:cs="Arial"/>
          <w:noProof/>
          <w:sz w:val="20"/>
          <w:szCs w:val="20"/>
          <w:bdr w:val="nil"/>
          <w:lang w:val="es-CL"/>
        </w:rPr>
        <w:t xml:space="preserve"> </w:t>
      </w:r>
    </w:p>
    <w:sectPr w:rsidR="0049621C"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055EED" w14:textId="77777777" w:rsidR="00D16ADD" w:rsidRDefault="00D16ADD">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16CB78C0" w14:textId="77777777" w:rsidR="00D16ADD" w:rsidRDefault="00D16ADD">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98C4A" w14:textId="77777777" w:rsidR="00701A70" w:rsidRDefault="00701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A9A9B" w14:textId="7FABB85A" w:rsidR="00397E04" w:rsidRPr="00934A2C" w:rsidRDefault="00397E04">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01A70">
      <w:rPr>
        <w:noProof/>
        <w:sz w:val="16"/>
        <w:szCs w:val="22"/>
      </w:rPr>
      <w:t>4</w:t>
    </w:r>
    <w:r w:rsidRPr="00934A2C">
      <w:rPr>
        <w:sz w:val="16"/>
        <w:szCs w:val="22"/>
      </w:rPr>
      <w:fldChar w:fldCharType="end"/>
    </w:r>
  </w:p>
  <w:p w14:paraId="5EAA29BD" w14:textId="77777777" w:rsidR="00397E04" w:rsidRDefault="00397E04">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3A885" w14:textId="77777777" w:rsidR="00397E04" w:rsidRPr="00934A2C" w:rsidRDefault="00397E04">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14:paraId="58C4AE70" w14:textId="77777777" w:rsidR="00397E04" w:rsidRDefault="00397E04">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2FCAD" w14:textId="77777777" w:rsidR="00D16ADD" w:rsidRPr="000F35ED" w:rsidRDefault="00D16AD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14:paraId="16DA433A" w14:textId="77777777" w:rsidR="00D16ADD" w:rsidRPr="000F35ED" w:rsidRDefault="00D16ADD"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14:paraId="4E51C164" w14:textId="77777777" w:rsidR="00D16ADD" w:rsidRPr="000F35ED" w:rsidRDefault="00D16ADD"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14:paraId="6E5F6D44" w14:textId="77777777" w:rsidR="00D16ADD" w:rsidRPr="000F35ED" w:rsidRDefault="00D16ADD"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14:paraId="794BC7F1" w14:textId="3FB84C2E" w:rsidR="00A72FED" w:rsidRPr="00A72FED" w:rsidRDefault="00A72FED" w:rsidP="00A72FED">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A72FED">
        <w:rPr>
          <w:rStyle w:val="FootnoteReference"/>
        </w:rPr>
        <w:footnoteRef/>
      </w:r>
      <w:r w:rsidRPr="00A72FED">
        <w:rPr>
          <w:rStyle w:val="FootnoteReference"/>
          <w:lang w:val="es-419"/>
        </w:rPr>
        <w:t xml:space="preserve"> </w:t>
      </w:r>
      <w:r w:rsidRPr="00721709">
        <w:rPr>
          <w:rFonts w:ascii="Cambria" w:hAnsi="Cambria"/>
          <w:sz w:val="16"/>
          <w:szCs w:val="16"/>
          <w:lang w:val="es-ES"/>
        </w:rPr>
        <w:t xml:space="preserve">Conforme a lo dispuesto en el artículo 17.2.a del Reglamento de la Comisión, </w:t>
      </w:r>
      <w:r w:rsidRPr="00721709">
        <w:rPr>
          <w:rFonts w:ascii="Cambria" w:hAnsi="Cambria"/>
          <w:color w:val="auto"/>
          <w:sz w:val="16"/>
          <w:szCs w:val="16"/>
          <w:lang w:val="es-ES"/>
        </w:rPr>
        <w:t xml:space="preserve">el Comisionado Joel Hernández, </w:t>
      </w:r>
      <w:r w:rsidRPr="00721709">
        <w:rPr>
          <w:rFonts w:ascii="Cambria" w:hAnsi="Cambria"/>
          <w:sz w:val="16"/>
          <w:szCs w:val="16"/>
          <w:lang w:val="es-ES"/>
        </w:rPr>
        <w:t>de nacionalidad mexicana, no participó en el debate ni en la decisión del presente asunto.</w:t>
      </w:r>
    </w:p>
  </w:footnote>
  <w:footnote w:id="3">
    <w:p w14:paraId="73DC6E36" w14:textId="77777777" w:rsidR="00397E04" w:rsidRPr="00E87C71" w:rsidRDefault="00397E04" w:rsidP="00FF061F">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FF061F">
        <w:rPr>
          <w:rStyle w:val="FootnoteReference"/>
          <w:rFonts w:ascii="Cambria" w:hAnsi="Cambria"/>
          <w:sz w:val="16"/>
          <w:szCs w:val="16"/>
        </w:rPr>
        <w:footnoteRef/>
      </w:r>
      <w:r w:rsidRPr="00FF061F">
        <w:rPr>
          <w:rFonts w:ascii="Cambria" w:hAnsi="Cambria"/>
          <w:sz w:val="16"/>
          <w:szCs w:val="16"/>
          <w:lang w:val="es-PA"/>
        </w:rPr>
        <w:t xml:space="preserve"> En adelante “la Convención Americana”</w:t>
      </w:r>
    </w:p>
  </w:footnote>
  <w:footnote w:id="4">
    <w:p w14:paraId="6A7CF697" w14:textId="77777777" w:rsidR="00397E04" w:rsidRPr="00E87C71" w:rsidRDefault="00397E04" w:rsidP="00FF061F">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5">
    <w:p w14:paraId="570CEB20" w14:textId="77777777" w:rsidR="00397E04" w:rsidRPr="00E87C71" w:rsidRDefault="00397E04" w:rsidP="00BE35BA">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6F6996">
        <w:rPr>
          <w:rStyle w:val="FootnoteReference"/>
          <w:rFonts w:ascii="Cambria" w:hAnsi="Cambria"/>
          <w:sz w:val="16"/>
          <w:szCs w:val="16"/>
        </w:rPr>
        <w:footnoteRef/>
      </w:r>
      <w:r w:rsidRPr="006F6996">
        <w:rPr>
          <w:rFonts w:ascii="Cambria" w:hAnsi="Cambria"/>
          <w:sz w:val="16"/>
          <w:szCs w:val="16"/>
          <w:lang w:val="es-PA"/>
        </w:rPr>
        <w:t xml:space="preserve"> Cita sentencia pertinente al amparo en revisión 2021/99 de 11 de septiembre de 2000 la que indica que “los presupuestos para que opere la ratificación tácita de los Magistrados de los Tribunales Superiores de Justicia de los Estados son : 1) que se haya ejercido el cargo por el término previsto en la Constitución Local respectiva y 2) que al término del periodo no se haya emitido dictamen de evaluación, por el órgano u órganos encargados de proponer y aprobar la ratificación, que concluya en la negativa de ratificación.    </w:t>
      </w:r>
    </w:p>
  </w:footnote>
  <w:footnote w:id="6">
    <w:p w14:paraId="25A51686" w14:textId="77777777" w:rsidR="00397E04" w:rsidRPr="00E87C71" w:rsidRDefault="00397E04" w:rsidP="00E56192">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456EC5">
        <w:rPr>
          <w:rStyle w:val="FootnoteReference"/>
          <w:rFonts w:ascii="Cambria" w:hAnsi="Cambria"/>
          <w:color w:val="auto"/>
          <w:sz w:val="16"/>
          <w:szCs w:val="16"/>
        </w:rPr>
        <w:footnoteRef/>
      </w:r>
      <w:r w:rsidRPr="00456EC5">
        <w:rPr>
          <w:rFonts w:ascii="Cambria" w:hAnsi="Cambria"/>
          <w:color w:val="auto"/>
          <w:sz w:val="16"/>
          <w:szCs w:val="16"/>
          <w:lang w:val="es-PA"/>
        </w:rPr>
        <w:t xml:space="preserve"> Denuncia además que su no ratificación le dejó sin recursos para afrontar la vida cotidiana y que se le afectó su honra y dignidad pues el dictamen le atribuyó calificativos que no le correspondían tales como falta de honestidad y profesionalismo</w:t>
      </w:r>
    </w:p>
  </w:footnote>
  <w:footnote w:id="7">
    <w:p w14:paraId="495DDBBC" w14:textId="77777777" w:rsidR="00397E04" w:rsidRPr="00E87C71" w:rsidRDefault="00397E04" w:rsidP="00E56192">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456EC5">
        <w:rPr>
          <w:rStyle w:val="FootnoteReference"/>
          <w:rFonts w:ascii="Cambria" w:hAnsi="Cambria"/>
          <w:color w:val="auto"/>
          <w:sz w:val="16"/>
          <w:szCs w:val="16"/>
        </w:rPr>
        <w:footnoteRef/>
      </w:r>
      <w:r w:rsidRPr="00456EC5">
        <w:rPr>
          <w:rFonts w:ascii="Cambria" w:hAnsi="Cambria"/>
          <w:color w:val="auto"/>
          <w:sz w:val="16"/>
          <w:szCs w:val="16"/>
          <w:lang w:val="es-PA"/>
        </w:rPr>
        <w:t xml:space="preserve"> En apoyo a este argumento cita el precedente</w:t>
      </w:r>
      <w:r w:rsidRPr="00456EC5">
        <w:rPr>
          <w:rFonts w:ascii="Cambria" w:hAnsi="Cambria"/>
          <w:color w:val="auto"/>
          <w:sz w:val="16"/>
          <w:szCs w:val="16"/>
          <w:lang w:val="es-ES"/>
        </w:rPr>
        <w:t xml:space="preserve"> CIDH, Informe No. </w:t>
      </w:r>
      <w:r w:rsidRPr="00456EC5">
        <w:rPr>
          <w:rFonts w:ascii="Cambria" w:hAnsi="Cambria"/>
          <w:color w:val="auto"/>
          <w:sz w:val="16"/>
          <w:szCs w:val="16"/>
          <w:lang w:val="es-ES_tradnl"/>
        </w:rPr>
        <w:t xml:space="preserve">67/14, Petición 1352-06 y 580-07. Inadmisibilidad. Bernardo Romero Vázquez y Raymundo Gil Rendón. México. </w:t>
      </w:r>
      <w:r w:rsidRPr="00456EC5">
        <w:rPr>
          <w:rFonts w:ascii="Cambria" w:hAnsi="Cambria"/>
          <w:color w:val="auto"/>
          <w:sz w:val="16"/>
          <w:szCs w:val="16"/>
          <w:lang w:val="es-ES"/>
        </w:rPr>
        <w:t>25 de julio de 2014.</w:t>
      </w:r>
    </w:p>
  </w:footnote>
  <w:footnote w:id="8">
    <w:p w14:paraId="30C398F5" w14:textId="77777777" w:rsidR="00397E04" w:rsidRPr="00E87C71" w:rsidRDefault="00397E04" w:rsidP="0057265C">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177B89">
        <w:rPr>
          <w:rStyle w:val="FootnoteReference"/>
          <w:rFonts w:ascii="Cambria" w:hAnsi="Cambria"/>
          <w:color w:val="auto"/>
          <w:sz w:val="16"/>
          <w:szCs w:val="16"/>
        </w:rPr>
        <w:footnoteRef/>
      </w:r>
      <w:r w:rsidRPr="00177B89">
        <w:rPr>
          <w:rFonts w:ascii="Cambria" w:hAnsi="Cambria"/>
          <w:color w:val="auto"/>
          <w:sz w:val="16"/>
          <w:szCs w:val="16"/>
          <w:lang w:val="es-PA"/>
        </w:rPr>
        <w:t xml:space="preserve"> CIDH, Garantías para la Independencia de las y los Operadores de justicia, OEA/Ser.L/V/II. Doc. 44/13 (“CIDH, Garantías para la Independencia de las y los Operadores de Justicia”) párr 217; Ver también </w:t>
      </w:r>
      <w:r w:rsidRPr="00177B89">
        <w:rPr>
          <w:rFonts w:ascii="Cambria" w:hAnsi="Cambria"/>
          <w:sz w:val="16"/>
          <w:szCs w:val="16"/>
          <w:lang w:val="es-PA"/>
        </w:rPr>
        <w:t>CIDH. Caso 12.600 Hugo Quintana Coello y otros (Corte Suprema de Justicia) respecto de Ecuador (Fondo), 2 de agosto de 2011, párr. 100.</w:t>
      </w:r>
      <w:r w:rsidRPr="00177B89">
        <w:rPr>
          <w:rFonts w:ascii="Cambria" w:hAnsi="Cambria"/>
          <w:color w:val="auto"/>
          <w:sz w:val="16"/>
          <w:szCs w:val="16"/>
          <w:lang w:val="es-PA"/>
        </w:rPr>
        <w:t xml:space="preserve"> </w:t>
      </w:r>
    </w:p>
  </w:footnote>
  <w:footnote w:id="9">
    <w:p w14:paraId="5ACFCACA" w14:textId="77777777" w:rsidR="00397E04" w:rsidRPr="00E87C71" w:rsidRDefault="00397E04" w:rsidP="000A6A6B">
      <w:pPr>
        <w:pStyle w:val="FootnoteText"/>
        <w:pBdr>
          <w:top w:val="none" w:sz="0" w:space="0" w:color="auto"/>
          <w:left w:val="none" w:sz="0" w:space="0" w:color="auto"/>
          <w:bottom w:val="none" w:sz="0" w:space="0" w:color="auto"/>
          <w:right w:val="none" w:sz="0" w:space="0" w:color="auto"/>
          <w:bar w:val="none" w:sz="0" w:color="auto"/>
        </w:pBdr>
        <w:ind w:firstLine="720"/>
        <w:rPr>
          <w:lang w:val="es-US"/>
        </w:rPr>
      </w:pPr>
      <w:r>
        <w:rPr>
          <w:rStyle w:val="FootnoteReference"/>
        </w:rPr>
        <w:footnoteRef/>
      </w:r>
      <w:r w:rsidRPr="00E87C71">
        <w:rPr>
          <w:lang w:val="es-ES"/>
        </w:rPr>
        <w:t xml:space="preserve"> </w:t>
      </w:r>
      <w:r w:rsidRPr="00D92B1C">
        <w:rPr>
          <w:rFonts w:ascii="Cambria" w:hAnsi="Cambria"/>
          <w:sz w:val="16"/>
          <w:szCs w:val="16"/>
          <w:lang w:val="es-PA"/>
        </w:rPr>
        <w:t>Corte IDH. Caso de la Corte Suprema de Justicia (Quintana Coello y otros) vs. Ecuador. Excepción Preliminar, Fondo, Reparaciones y Costas. Sentencia de 23 de agosto de 2013</w:t>
      </w:r>
      <w:r>
        <w:rPr>
          <w:rFonts w:ascii="Cambria" w:hAnsi="Cambria"/>
          <w:sz w:val="16"/>
          <w:szCs w:val="16"/>
          <w:lang w:val="es-PA"/>
        </w:rPr>
        <w:t xml:space="preserve"> párr 155</w:t>
      </w:r>
      <w:r w:rsidRPr="00D92B1C">
        <w:rPr>
          <w:rFonts w:ascii="Cambria" w:hAnsi="Cambria"/>
          <w:sz w:val="16"/>
          <w:szCs w:val="16"/>
          <w:lang w:val="es-PA"/>
        </w:rPr>
        <w:t>.</w:t>
      </w:r>
    </w:p>
  </w:footnote>
  <w:footnote w:id="10">
    <w:p w14:paraId="70A394C7" w14:textId="77777777" w:rsidR="00397E04" w:rsidRPr="00E87C71" w:rsidRDefault="00397E04" w:rsidP="00930288">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857607">
        <w:rPr>
          <w:rStyle w:val="FootnoteReference"/>
          <w:rFonts w:ascii="Cambria" w:hAnsi="Cambria"/>
          <w:sz w:val="16"/>
          <w:szCs w:val="16"/>
        </w:rPr>
        <w:footnoteRef/>
      </w:r>
      <w:r w:rsidRPr="00E87C71">
        <w:rPr>
          <w:rFonts w:ascii="Cambria" w:hAnsi="Cambria"/>
          <w:sz w:val="16"/>
          <w:szCs w:val="16"/>
          <w:lang w:val="es-ES"/>
        </w:rPr>
        <w:t xml:space="preserve"> CIDH, Garantías para la independencia de las y los Operadores Justicia, párr 114.</w:t>
      </w:r>
    </w:p>
  </w:footnote>
  <w:footnote w:id="11">
    <w:p w14:paraId="4E8F77A0" w14:textId="77777777" w:rsidR="00397E04" w:rsidRPr="00E87C71" w:rsidRDefault="00397E04" w:rsidP="00370C52">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857607">
        <w:rPr>
          <w:rStyle w:val="FootnoteReference"/>
          <w:rFonts w:ascii="Cambria" w:hAnsi="Cambria"/>
          <w:sz w:val="16"/>
          <w:szCs w:val="16"/>
        </w:rPr>
        <w:footnoteRef/>
      </w:r>
      <w:r w:rsidRPr="00E87C71">
        <w:rPr>
          <w:rFonts w:ascii="Cambria" w:hAnsi="Cambria"/>
          <w:sz w:val="16"/>
          <w:szCs w:val="16"/>
          <w:lang w:val="es-ES"/>
        </w:rPr>
        <w:t xml:space="preserve"> CIDH, Garantías para la independencia de las y los Operadores Justicia, párr 230.</w:t>
      </w:r>
    </w:p>
  </w:footnote>
  <w:footnote w:id="12">
    <w:p w14:paraId="70ED0D2A" w14:textId="77777777" w:rsidR="00397E04" w:rsidRPr="00E87C71" w:rsidRDefault="00397E04" w:rsidP="00177B89">
      <w:pPr>
        <w:pStyle w:val="FootnoteText"/>
        <w:pBdr>
          <w:top w:val="none" w:sz="0" w:space="0" w:color="auto"/>
          <w:left w:val="none" w:sz="0" w:space="0" w:color="auto"/>
          <w:bottom w:val="none" w:sz="0" w:space="0" w:color="auto"/>
          <w:right w:val="none" w:sz="0" w:space="0" w:color="auto"/>
          <w:bar w:val="none" w:sz="0" w:color="auto"/>
        </w:pBdr>
        <w:ind w:firstLine="720"/>
        <w:jc w:val="both"/>
        <w:rPr>
          <w:lang w:val="es-US"/>
        </w:rPr>
      </w:pPr>
      <w:r w:rsidRPr="00857607">
        <w:rPr>
          <w:rStyle w:val="FootnoteReference"/>
          <w:rFonts w:ascii="Cambria" w:hAnsi="Cambria"/>
          <w:sz w:val="16"/>
          <w:szCs w:val="16"/>
        </w:rPr>
        <w:footnoteRef/>
      </w:r>
      <w:r w:rsidRPr="00E87C71">
        <w:rPr>
          <w:rFonts w:ascii="Cambria" w:hAnsi="Cambria"/>
          <w:sz w:val="16"/>
          <w:szCs w:val="16"/>
          <w:lang w:val="es-ES"/>
        </w:rPr>
        <w:t>Corte Europea de Derechos Humanos, Akkus vs. Turquía , Sentencia de 9 de julio de 1997.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CD952" w14:textId="77777777" w:rsidR="00397E04" w:rsidRDefault="00397E04"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14:paraId="64E9D675" w14:textId="77777777" w:rsidR="00397E04" w:rsidRDefault="00397E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A0225" w14:textId="6833D6C4" w:rsidR="00397E04" w:rsidRDefault="003D1977" w:rsidP="00A50FCF">
    <w:pPr>
      <w:pStyle w:val="Header"/>
      <w:tabs>
        <w:tab w:val="clear" w:pos="4320"/>
        <w:tab w:val="clear" w:pos="8640"/>
      </w:tabs>
      <w:jc w:val="center"/>
      <w:rPr>
        <w:sz w:val="22"/>
        <w:szCs w:val="22"/>
      </w:rPr>
    </w:pPr>
    <w:r>
      <w:rPr>
        <w:noProof/>
        <w:sz w:val="22"/>
        <w:szCs w:val="22"/>
      </w:rPr>
      <w:drawing>
        <wp:inline distT="0" distB="0" distL="0" distR="0" wp14:anchorId="79779122" wp14:editId="546600A7">
          <wp:extent cx="1952625" cy="104775"/>
          <wp:effectExtent l="0" t="0" r="0"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104775"/>
                  </a:xfrm>
                  <a:prstGeom prst="rect">
                    <a:avLst/>
                  </a:prstGeom>
                  <a:noFill/>
                  <a:ln>
                    <a:noFill/>
                  </a:ln>
                </pic:spPr>
              </pic:pic>
            </a:graphicData>
          </a:graphic>
        </wp:inline>
      </w:drawing>
    </w:r>
  </w:p>
  <w:p w14:paraId="31C1025C" w14:textId="77777777" w:rsidR="00397E04" w:rsidRPr="00EC7D62" w:rsidRDefault="00D16ADD" w:rsidP="00A50FCF">
    <w:pPr>
      <w:pStyle w:val="Header"/>
      <w:tabs>
        <w:tab w:val="clear" w:pos="4320"/>
        <w:tab w:val="clear" w:pos="8640"/>
      </w:tabs>
      <w:jc w:val="center"/>
      <w:rPr>
        <w:sz w:val="22"/>
        <w:szCs w:val="22"/>
      </w:rPr>
    </w:pPr>
    <w:r>
      <w:rPr>
        <w:sz w:val="22"/>
        <w:szCs w:val="22"/>
      </w:rPr>
      <w:pict w14:anchorId="7B07C34E">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271E2" w14:textId="77777777" w:rsidR="00701A70" w:rsidRDefault="00701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firstLine="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0" w15:restartNumberingAfterBreak="0">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15:restartNumberingAfterBreak="0">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2" w15:restartNumberingAfterBreak="0">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firstLine="720"/>
      </w:pPr>
      <w:rPr>
        <w:rFonts w:cs="Times New Roman" w:hint="default"/>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removePersonalInformation/>
  <w:removeDateAndTime/>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25AAD"/>
    <w:rsid w:val="0002733D"/>
    <w:rsid w:val="000337EF"/>
    <w:rsid w:val="00040C3A"/>
    <w:rsid w:val="000419AD"/>
    <w:rsid w:val="000716C5"/>
    <w:rsid w:val="00075E23"/>
    <w:rsid w:val="00080DFE"/>
    <w:rsid w:val="0009006E"/>
    <w:rsid w:val="0009344A"/>
    <w:rsid w:val="0009678E"/>
    <w:rsid w:val="000A13C1"/>
    <w:rsid w:val="000A19F8"/>
    <w:rsid w:val="000A3254"/>
    <w:rsid w:val="000A392E"/>
    <w:rsid w:val="000A575F"/>
    <w:rsid w:val="000A63D0"/>
    <w:rsid w:val="000A6A6B"/>
    <w:rsid w:val="000B0579"/>
    <w:rsid w:val="000B73F6"/>
    <w:rsid w:val="000C1C69"/>
    <w:rsid w:val="000C3A31"/>
    <w:rsid w:val="000D10DB"/>
    <w:rsid w:val="000E2789"/>
    <w:rsid w:val="000E578D"/>
    <w:rsid w:val="000E5EB5"/>
    <w:rsid w:val="000F2A8B"/>
    <w:rsid w:val="000F35ED"/>
    <w:rsid w:val="000F5C24"/>
    <w:rsid w:val="00107131"/>
    <w:rsid w:val="0010736F"/>
    <w:rsid w:val="00111A8A"/>
    <w:rsid w:val="00112F36"/>
    <w:rsid w:val="00113F73"/>
    <w:rsid w:val="00114A07"/>
    <w:rsid w:val="00121CC2"/>
    <w:rsid w:val="00127E3F"/>
    <w:rsid w:val="00131D8B"/>
    <w:rsid w:val="00133EE5"/>
    <w:rsid w:val="001342BD"/>
    <w:rsid w:val="00136E3D"/>
    <w:rsid w:val="00143EFE"/>
    <w:rsid w:val="0014713A"/>
    <w:rsid w:val="001479C0"/>
    <w:rsid w:val="0015330B"/>
    <w:rsid w:val="00167A34"/>
    <w:rsid w:val="00174D13"/>
    <w:rsid w:val="00174FC1"/>
    <w:rsid w:val="00176BB3"/>
    <w:rsid w:val="00177B89"/>
    <w:rsid w:val="00177EEF"/>
    <w:rsid w:val="001A031F"/>
    <w:rsid w:val="001A77B9"/>
    <w:rsid w:val="001A7870"/>
    <w:rsid w:val="001B3A00"/>
    <w:rsid w:val="001B4C00"/>
    <w:rsid w:val="001C0366"/>
    <w:rsid w:val="001C1B41"/>
    <w:rsid w:val="001D65EF"/>
    <w:rsid w:val="001D7720"/>
    <w:rsid w:val="001E3CBA"/>
    <w:rsid w:val="001E49E7"/>
    <w:rsid w:val="001F1FA3"/>
    <w:rsid w:val="001F271B"/>
    <w:rsid w:val="001F7201"/>
    <w:rsid w:val="0020052D"/>
    <w:rsid w:val="00204931"/>
    <w:rsid w:val="00214EB2"/>
    <w:rsid w:val="00223A29"/>
    <w:rsid w:val="00223DB4"/>
    <w:rsid w:val="002250A3"/>
    <w:rsid w:val="00231294"/>
    <w:rsid w:val="002349AA"/>
    <w:rsid w:val="00235217"/>
    <w:rsid w:val="002355A9"/>
    <w:rsid w:val="002442BA"/>
    <w:rsid w:val="00246D1F"/>
    <w:rsid w:val="00247403"/>
    <w:rsid w:val="00247542"/>
    <w:rsid w:val="00253195"/>
    <w:rsid w:val="002570BE"/>
    <w:rsid w:val="00265C3D"/>
    <w:rsid w:val="00266B61"/>
    <w:rsid w:val="0026712A"/>
    <w:rsid w:val="002704DB"/>
    <w:rsid w:val="00277BDA"/>
    <w:rsid w:val="00282BEE"/>
    <w:rsid w:val="0029575A"/>
    <w:rsid w:val="002A0AAE"/>
    <w:rsid w:val="002A5820"/>
    <w:rsid w:val="002B2A6C"/>
    <w:rsid w:val="002B4840"/>
    <w:rsid w:val="002B6FFB"/>
    <w:rsid w:val="002C3350"/>
    <w:rsid w:val="002D2B26"/>
    <w:rsid w:val="002D7EA2"/>
    <w:rsid w:val="002E187C"/>
    <w:rsid w:val="002E7512"/>
    <w:rsid w:val="002F0F5B"/>
    <w:rsid w:val="002F3724"/>
    <w:rsid w:val="002F462F"/>
    <w:rsid w:val="002F6C29"/>
    <w:rsid w:val="00302417"/>
    <w:rsid w:val="00302733"/>
    <w:rsid w:val="003121D5"/>
    <w:rsid w:val="00314078"/>
    <w:rsid w:val="0031535D"/>
    <w:rsid w:val="003239B8"/>
    <w:rsid w:val="0033169F"/>
    <w:rsid w:val="0034224A"/>
    <w:rsid w:val="00342895"/>
    <w:rsid w:val="00343438"/>
    <w:rsid w:val="00344977"/>
    <w:rsid w:val="00346C95"/>
    <w:rsid w:val="00351155"/>
    <w:rsid w:val="0035443B"/>
    <w:rsid w:val="0035596D"/>
    <w:rsid w:val="00356185"/>
    <w:rsid w:val="00360380"/>
    <w:rsid w:val="00370C52"/>
    <w:rsid w:val="003749D9"/>
    <w:rsid w:val="0037519E"/>
    <w:rsid w:val="00386C6C"/>
    <w:rsid w:val="00386CF0"/>
    <w:rsid w:val="003942EC"/>
    <w:rsid w:val="00397E04"/>
    <w:rsid w:val="003A27F0"/>
    <w:rsid w:val="003A6337"/>
    <w:rsid w:val="003B4FF6"/>
    <w:rsid w:val="003B70FB"/>
    <w:rsid w:val="003C00AD"/>
    <w:rsid w:val="003C4CE7"/>
    <w:rsid w:val="003C6112"/>
    <w:rsid w:val="003C676B"/>
    <w:rsid w:val="003D0A55"/>
    <w:rsid w:val="003D1977"/>
    <w:rsid w:val="003D3BC2"/>
    <w:rsid w:val="003E614F"/>
    <w:rsid w:val="003E6CA1"/>
    <w:rsid w:val="003F3BA0"/>
    <w:rsid w:val="004065A8"/>
    <w:rsid w:val="004153F5"/>
    <w:rsid w:val="004165C2"/>
    <w:rsid w:val="00421FAE"/>
    <w:rsid w:val="004262B7"/>
    <w:rsid w:val="004304AD"/>
    <w:rsid w:val="00441ECB"/>
    <w:rsid w:val="00445193"/>
    <w:rsid w:val="00447CCF"/>
    <w:rsid w:val="004565BA"/>
    <w:rsid w:val="00456EC5"/>
    <w:rsid w:val="00462C1B"/>
    <w:rsid w:val="00467B7E"/>
    <w:rsid w:val="0047080D"/>
    <w:rsid w:val="00473BB4"/>
    <w:rsid w:val="00476211"/>
    <w:rsid w:val="0047739C"/>
    <w:rsid w:val="00477592"/>
    <w:rsid w:val="00486C9D"/>
    <w:rsid w:val="00486F1C"/>
    <w:rsid w:val="00487990"/>
    <w:rsid w:val="0049419D"/>
    <w:rsid w:val="0049621C"/>
    <w:rsid w:val="004A05E6"/>
    <w:rsid w:val="004A59CC"/>
    <w:rsid w:val="004A6A54"/>
    <w:rsid w:val="004C20D2"/>
    <w:rsid w:val="004C2312"/>
    <w:rsid w:val="004C4444"/>
    <w:rsid w:val="004C4B62"/>
    <w:rsid w:val="004C54C9"/>
    <w:rsid w:val="004C616A"/>
    <w:rsid w:val="004D4ABA"/>
    <w:rsid w:val="004D6025"/>
    <w:rsid w:val="004E19B1"/>
    <w:rsid w:val="004E2649"/>
    <w:rsid w:val="00501399"/>
    <w:rsid w:val="00501652"/>
    <w:rsid w:val="0050633D"/>
    <w:rsid w:val="00507BC4"/>
    <w:rsid w:val="005128E4"/>
    <w:rsid w:val="005133DB"/>
    <w:rsid w:val="00525560"/>
    <w:rsid w:val="00525B55"/>
    <w:rsid w:val="005415E6"/>
    <w:rsid w:val="00544216"/>
    <w:rsid w:val="00544C49"/>
    <w:rsid w:val="005460E3"/>
    <w:rsid w:val="005516A1"/>
    <w:rsid w:val="0055234F"/>
    <w:rsid w:val="005618A6"/>
    <w:rsid w:val="00563557"/>
    <w:rsid w:val="0057265C"/>
    <w:rsid w:val="0057402A"/>
    <w:rsid w:val="00574CB7"/>
    <w:rsid w:val="005771D0"/>
    <w:rsid w:val="0059191A"/>
    <w:rsid w:val="005921FF"/>
    <w:rsid w:val="005945AA"/>
    <w:rsid w:val="00594707"/>
    <w:rsid w:val="005A24ED"/>
    <w:rsid w:val="005A55F0"/>
    <w:rsid w:val="005A6884"/>
    <w:rsid w:val="005A6D0E"/>
    <w:rsid w:val="005B37CC"/>
    <w:rsid w:val="005B52B0"/>
    <w:rsid w:val="005B6806"/>
    <w:rsid w:val="005B6D22"/>
    <w:rsid w:val="005C261A"/>
    <w:rsid w:val="005C4225"/>
    <w:rsid w:val="005C7989"/>
    <w:rsid w:val="005D66AD"/>
    <w:rsid w:val="005D7EA3"/>
    <w:rsid w:val="005E0B65"/>
    <w:rsid w:val="005E11B2"/>
    <w:rsid w:val="005E3D50"/>
    <w:rsid w:val="005F0A4D"/>
    <w:rsid w:val="005F0DAD"/>
    <w:rsid w:val="005F0F33"/>
    <w:rsid w:val="005F1E9E"/>
    <w:rsid w:val="005F4655"/>
    <w:rsid w:val="00600DEB"/>
    <w:rsid w:val="006068B7"/>
    <w:rsid w:val="00610BF4"/>
    <w:rsid w:val="006261F3"/>
    <w:rsid w:val="006277DE"/>
    <w:rsid w:val="00627C9F"/>
    <w:rsid w:val="006311E9"/>
    <w:rsid w:val="00631390"/>
    <w:rsid w:val="00632354"/>
    <w:rsid w:val="00642810"/>
    <w:rsid w:val="00647756"/>
    <w:rsid w:val="006509DA"/>
    <w:rsid w:val="00652333"/>
    <w:rsid w:val="0066353E"/>
    <w:rsid w:val="006775AB"/>
    <w:rsid w:val="0068009E"/>
    <w:rsid w:val="006819E9"/>
    <w:rsid w:val="00686471"/>
    <w:rsid w:val="0068794B"/>
    <w:rsid w:val="00691BBE"/>
    <w:rsid w:val="00692219"/>
    <w:rsid w:val="0069402E"/>
    <w:rsid w:val="006A17D2"/>
    <w:rsid w:val="006A548D"/>
    <w:rsid w:val="006A7226"/>
    <w:rsid w:val="006A73E6"/>
    <w:rsid w:val="006B2D5C"/>
    <w:rsid w:val="006B2EE8"/>
    <w:rsid w:val="006C4EB1"/>
    <w:rsid w:val="006D5197"/>
    <w:rsid w:val="006E0166"/>
    <w:rsid w:val="006E772A"/>
    <w:rsid w:val="006E7B34"/>
    <w:rsid w:val="006F1367"/>
    <w:rsid w:val="006F6996"/>
    <w:rsid w:val="00701300"/>
    <w:rsid w:val="00701A70"/>
    <w:rsid w:val="00706699"/>
    <w:rsid w:val="0070697F"/>
    <w:rsid w:val="00720080"/>
    <w:rsid w:val="0072199C"/>
    <w:rsid w:val="00722C9F"/>
    <w:rsid w:val="007253B8"/>
    <w:rsid w:val="00727B0E"/>
    <w:rsid w:val="0073598C"/>
    <w:rsid w:val="0073741F"/>
    <w:rsid w:val="0074236E"/>
    <w:rsid w:val="00756485"/>
    <w:rsid w:val="00761841"/>
    <w:rsid w:val="00761935"/>
    <w:rsid w:val="0076453E"/>
    <w:rsid w:val="0076643F"/>
    <w:rsid w:val="00772E5F"/>
    <w:rsid w:val="00774BF0"/>
    <w:rsid w:val="00777A4B"/>
    <w:rsid w:val="00777F63"/>
    <w:rsid w:val="007852B5"/>
    <w:rsid w:val="00792A7F"/>
    <w:rsid w:val="00795CF5"/>
    <w:rsid w:val="00796A37"/>
    <w:rsid w:val="007972DE"/>
    <w:rsid w:val="007A5817"/>
    <w:rsid w:val="007B05C4"/>
    <w:rsid w:val="007B25E7"/>
    <w:rsid w:val="007B60E9"/>
    <w:rsid w:val="007B6CC3"/>
    <w:rsid w:val="007C3334"/>
    <w:rsid w:val="007C402A"/>
    <w:rsid w:val="007C7D1C"/>
    <w:rsid w:val="007D2B98"/>
    <w:rsid w:val="007D7C02"/>
    <w:rsid w:val="007E1D33"/>
    <w:rsid w:val="007E21BC"/>
    <w:rsid w:val="007E58FE"/>
    <w:rsid w:val="007E7C82"/>
    <w:rsid w:val="007F588D"/>
    <w:rsid w:val="00802748"/>
    <w:rsid w:val="0080307F"/>
    <w:rsid w:val="00803F1C"/>
    <w:rsid w:val="0080600E"/>
    <w:rsid w:val="008168D8"/>
    <w:rsid w:val="00817612"/>
    <w:rsid w:val="00824E76"/>
    <w:rsid w:val="008338A4"/>
    <w:rsid w:val="00834D49"/>
    <w:rsid w:val="00837C45"/>
    <w:rsid w:val="008411F0"/>
    <w:rsid w:val="008439BC"/>
    <w:rsid w:val="00844730"/>
    <w:rsid w:val="008457C2"/>
    <w:rsid w:val="00850E43"/>
    <w:rsid w:val="00853E84"/>
    <w:rsid w:val="00857607"/>
    <w:rsid w:val="00857A82"/>
    <w:rsid w:val="00871526"/>
    <w:rsid w:val="00873836"/>
    <w:rsid w:val="00875668"/>
    <w:rsid w:val="00883FD0"/>
    <w:rsid w:val="00885737"/>
    <w:rsid w:val="008900CB"/>
    <w:rsid w:val="00890650"/>
    <w:rsid w:val="00897E12"/>
    <w:rsid w:val="008A0F81"/>
    <w:rsid w:val="008A310C"/>
    <w:rsid w:val="008A7E0F"/>
    <w:rsid w:val="008B12F5"/>
    <w:rsid w:val="008B5932"/>
    <w:rsid w:val="008C5751"/>
    <w:rsid w:val="008D2290"/>
    <w:rsid w:val="008D768D"/>
    <w:rsid w:val="008E0FD8"/>
    <w:rsid w:val="008E328A"/>
    <w:rsid w:val="008E3759"/>
    <w:rsid w:val="008E3BFE"/>
    <w:rsid w:val="008E74F7"/>
    <w:rsid w:val="008E7900"/>
    <w:rsid w:val="008F0B27"/>
    <w:rsid w:val="008F1912"/>
    <w:rsid w:val="008F3148"/>
    <w:rsid w:val="00900722"/>
    <w:rsid w:val="0090270B"/>
    <w:rsid w:val="009041DC"/>
    <w:rsid w:val="00905F21"/>
    <w:rsid w:val="00917B5A"/>
    <w:rsid w:val="00920A58"/>
    <w:rsid w:val="00920A8C"/>
    <w:rsid w:val="00930288"/>
    <w:rsid w:val="00934A2C"/>
    <w:rsid w:val="00935F06"/>
    <w:rsid w:val="00937B3A"/>
    <w:rsid w:val="00944EBD"/>
    <w:rsid w:val="00954B82"/>
    <w:rsid w:val="00957000"/>
    <w:rsid w:val="00962436"/>
    <w:rsid w:val="00966160"/>
    <w:rsid w:val="00966771"/>
    <w:rsid w:val="0096706E"/>
    <w:rsid w:val="00974491"/>
    <w:rsid w:val="00975C4E"/>
    <w:rsid w:val="00981FBA"/>
    <w:rsid w:val="00982453"/>
    <w:rsid w:val="0098368F"/>
    <w:rsid w:val="00997BC5"/>
    <w:rsid w:val="009A4F41"/>
    <w:rsid w:val="009A5259"/>
    <w:rsid w:val="009B2340"/>
    <w:rsid w:val="009B2DBB"/>
    <w:rsid w:val="009B381B"/>
    <w:rsid w:val="009B58B0"/>
    <w:rsid w:val="009C2FC5"/>
    <w:rsid w:val="009C6F68"/>
    <w:rsid w:val="009D1753"/>
    <w:rsid w:val="009D6502"/>
    <w:rsid w:val="009D7611"/>
    <w:rsid w:val="009D78A5"/>
    <w:rsid w:val="009E08DD"/>
    <w:rsid w:val="009E0B61"/>
    <w:rsid w:val="009E53DE"/>
    <w:rsid w:val="009E7C00"/>
    <w:rsid w:val="00A01307"/>
    <w:rsid w:val="00A04336"/>
    <w:rsid w:val="00A0691C"/>
    <w:rsid w:val="00A11E44"/>
    <w:rsid w:val="00A154C8"/>
    <w:rsid w:val="00A22397"/>
    <w:rsid w:val="00A32313"/>
    <w:rsid w:val="00A328B3"/>
    <w:rsid w:val="00A46B2A"/>
    <w:rsid w:val="00A47A43"/>
    <w:rsid w:val="00A50FCF"/>
    <w:rsid w:val="00A528D1"/>
    <w:rsid w:val="00A610CD"/>
    <w:rsid w:val="00A625E0"/>
    <w:rsid w:val="00A72FED"/>
    <w:rsid w:val="00A74947"/>
    <w:rsid w:val="00A758AA"/>
    <w:rsid w:val="00A83350"/>
    <w:rsid w:val="00A87F35"/>
    <w:rsid w:val="00A92093"/>
    <w:rsid w:val="00A97B4E"/>
    <w:rsid w:val="00AA09A2"/>
    <w:rsid w:val="00AA2D31"/>
    <w:rsid w:val="00AA55BF"/>
    <w:rsid w:val="00AA7996"/>
    <w:rsid w:val="00AB4E59"/>
    <w:rsid w:val="00AB533E"/>
    <w:rsid w:val="00AC19CB"/>
    <w:rsid w:val="00AC3E92"/>
    <w:rsid w:val="00AD1886"/>
    <w:rsid w:val="00AE5488"/>
    <w:rsid w:val="00AE5625"/>
    <w:rsid w:val="00AE6F91"/>
    <w:rsid w:val="00AF5571"/>
    <w:rsid w:val="00AF6BB1"/>
    <w:rsid w:val="00B0189B"/>
    <w:rsid w:val="00B0497B"/>
    <w:rsid w:val="00B06B4E"/>
    <w:rsid w:val="00B07341"/>
    <w:rsid w:val="00B14CBD"/>
    <w:rsid w:val="00B202B5"/>
    <w:rsid w:val="00B30539"/>
    <w:rsid w:val="00B314DB"/>
    <w:rsid w:val="00B361F2"/>
    <w:rsid w:val="00B3718B"/>
    <w:rsid w:val="00B4632A"/>
    <w:rsid w:val="00B5067D"/>
    <w:rsid w:val="00B530F1"/>
    <w:rsid w:val="00B54CDF"/>
    <w:rsid w:val="00B57297"/>
    <w:rsid w:val="00B71BCB"/>
    <w:rsid w:val="00B736AF"/>
    <w:rsid w:val="00B742BE"/>
    <w:rsid w:val="00B84C70"/>
    <w:rsid w:val="00B8528B"/>
    <w:rsid w:val="00B87359"/>
    <w:rsid w:val="00B9545D"/>
    <w:rsid w:val="00B97946"/>
    <w:rsid w:val="00BA0F4A"/>
    <w:rsid w:val="00BA276C"/>
    <w:rsid w:val="00BA45EA"/>
    <w:rsid w:val="00BA5544"/>
    <w:rsid w:val="00BB2DAB"/>
    <w:rsid w:val="00BB306F"/>
    <w:rsid w:val="00BB3FBD"/>
    <w:rsid w:val="00BC6CD0"/>
    <w:rsid w:val="00BC796E"/>
    <w:rsid w:val="00BD4B89"/>
    <w:rsid w:val="00BD5922"/>
    <w:rsid w:val="00BD76D9"/>
    <w:rsid w:val="00BE35BA"/>
    <w:rsid w:val="00BF02CB"/>
    <w:rsid w:val="00BF514A"/>
    <w:rsid w:val="00BF6FD8"/>
    <w:rsid w:val="00BF6FE9"/>
    <w:rsid w:val="00BF775D"/>
    <w:rsid w:val="00C03680"/>
    <w:rsid w:val="00C054DF"/>
    <w:rsid w:val="00C10AFC"/>
    <w:rsid w:val="00C10E78"/>
    <w:rsid w:val="00C21562"/>
    <w:rsid w:val="00C21762"/>
    <w:rsid w:val="00C21FEF"/>
    <w:rsid w:val="00C24543"/>
    <w:rsid w:val="00C256A2"/>
    <w:rsid w:val="00C35A26"/>
    <w:rsid w:val="00C43D06"/>
    <w:rsid w:val="00C51515"/>
    <w:rsid w:val="00C53910"/>
    <w:rsid w:val="00C5660B"/>
    <w:rsid w:val="00C56854"/>
    <w:rsid w:val="00C5788A"/>
    <w:rsid w:val="00C57C4D"/>
    <w:rsid w:val="00C57C67"/>
    <w:rsid w:val="00C631B4"/>
    <w:rsid w:val="00C66B72"/>
    <w:rsid w:val="00C80E8A"/>
    <w:rsid w:val="00C87AC4"/>
    <w:rsid w:val="00C9567A"/>
    <w:rsid w:val="00CA1640"/>
    <w:rsid w:val="00CA29E1"/>
    <w:rsid w:val="00CA48A3"/>
    <w:rsid w:val="00CB212D"/>
    <w:rsid w:val="00CB2660"/>
    <w:rsid w:val="00CC0A7D"/>
    <w:rsid w:val="00CC395D"/>
    <w:rsid w:val="00CC5E90"/>
    <w:rsid w:val="00CD046C"/>
    <w:rsid w:val="00CD186A"/>
    <w:rsid w:val="00CE076C"/>
    <w:rsid w:val="00CE5199"/>
    <w:rsid w:val="00CE66D5"/>
    <w:rsid w:val="00CF42E0"/>
    <w:rsid w:val="00CF637A"/>
    <w:rsid w:val="00D0051F"/>
    <w:rsid w:val="00D005B9"/>
    <w:rsid w:val="00D059DE"/>
    <w:rsid w:val="00D05ABD"/>
    <w:rsid w:val="00D11130"/>
    <w:rsid w:val="00D1254E"/>
    <w:rsid w:val="00D13FCE"/>
    <w:rsid w:val="00D16196"/>
    <w:rsid w:val="00D16ADD"/>
    <w:rsid w:val="00D17E8C"/>
    <w:rsid w:val="00D306D1"/>
    <w:rsid w:val="00D30800"/>
    <w:rsid w:val="00D34786"/>
    <w:rsid w:val="00D37BFC"/>
    <w:rsid w:val="00D42822"/>
    <w:rsid w:val="00D47A8E"/>
    <w:rsid w:val="00D52D14"/>
    <w:rsid w:val="00D55256"/>
    <w:rsid w:val="00D56D93"/>
    <w:rsid w:val="00D658E7"/>
    <w:rsid w:val="00D667CC"/>
    <w:rsid w:val="00D70C4F"/>
    <w:rsid w:val="00D712D3"/>
    <w:rsid w:val="00D71422"/>
    <w:rsid w:val="00D72DC6"/>
    <w:rsid w:val="00D73F5E"/>
    <w:rsid w:val="00D7558D"/>
    <w:rsid w:val="00D77503"/>
    <w:rsid w:val="00D81D92"/>
    <w:rsid w:val="00D81DCA"/>
    <w:rsid w:val="00D876F9"/>
    <w:rsid w:val="00D877B6"/>
    <w:rsid w:val="00D92B1C"/>
    <w:rsid w:val="00D93A90"/>
    <w:rsid w:val="00DA7B5F"/>
    <w:rsid w:val="00DC11E7"/>
    <w:rsid w:val="00DC7023"/>
    <w:rsid w:val="00DC769A"/>
    <w:rsid w:val="00DD061E"/>
    <w:rsid w:val="00DD067B"/>
    <w:rsid w:val="00DD3D86"/>
    <w:rsid w:val="00DD5CC2"/>
    <w:rsid w:val="00DE12F0"/>
    <w:rsid w:val="00DF18FC"/>
    <w:rsid w:val="00DF1EC4"/>
    <w:rsid w:val="00DF51E9"/>
    <w:rsid w:val="00E01943"/>
    <w:rsid w:val="00E0340B"/>
    <w:rsid w:val="00E04A90"/>
    <w:rsid w:val="00E0551F"/>
    <w:rsid w:val="00E219C7"/>
    <w:rsid w:val="00E256DA"/>
    <w:rsid w:val="00E26CCA"/>
    <w:rsid w:val="00E27F56"/>
    <w:rsid w:val="00E4118C"/>
    <w:rsid w:val="00E43157"/>
    <w:rsid w:val="00E43ED7"/>
    <w:rsid w:val="00E461CE"/>
    <w:rsid w:val="00E56192"/>
    <w:rsid w:val="00E575AA"/>
    <w:rsid w:val="00E720CA"/>
    <w:rsid w:val="00E84EB5"/>
    <w:rsid w:val="00E85662"/>
    <w:rsid w:val="00E8789F"/>
    <w:rsid w:val="00E87C71"/>
    <w:rsid w:val="00E901EB"/>
    <w:rsid w:val="00E92747"/>
    <w:rsid w:val="00E97966"/>
    <w:rsid w:val="00E97B71"/>
    <w:rsid w:val="00EA1C17"/>
    <w:rsid w:val="00EA3D34"/>
    <w:rsid w:val="00EB454D"/>
    <w:rsid w:val="00EC26E9"/>
    <w:rsid w:val="00EC72AB"/>
    <w:rsid w:val="00EC7D62"/>
    <w:rsid w:val="00ED2F03"/>
    <w:rsid w:val="00ED549D"/>
    <w:rsid w:val="00ED76BE"/>
    <w:rsid w:val="00ED7F05"/>
    <w:rsid w:val="00EE00E9"/>
    <w:rsid w:val="00EE014D"/>
    <w:rsid w:val="00EE167E"/>
    <w:rsid w:val="00EF35AB"/>
    <w:rsid w:val="00EF3D8D"/>
    <w:rsid w:val="00EF4C44"/>
    <w:rsid w:val="00EF619B"/>
    <w:rsid w:val="00F00B55"/>
    <w:rsid w:val="00F02AD1"/>
    <w:rsid w:val="00F04591"/>
    <w:rsid w:val="00F06354"/>
    <w:rsid w:val="00F063F8"/>
    <w:rsid w:val="00F11A2A"/>
    <w:rsid w:val="00F13BBC"/>
    <w:rsid w:val="00F1457D"/>
    <w:rsid w:val="00F1614B"/>
    <w:rsid w:val="00F253CC"/>
    <w:rsid w:val="00F332EF"/>
    <w:rsid w:val="00F37106"/>
    <w:rsid w:val="00F37859"/>
    <w:rsid w:val="00F41953"/>
    <w:rsid w:val="00F519CF"/>
    <w:rsid w:val="00F53168"/>
    <w:rsid w:val="00F537B6"/>
    <w:rsid w:val="00F56BA5"/>
    <w:rsid w:val="00F60E22"/>
    <w:rsid w:val="00F63B39"/>
    <w:rsid w:val="00F81395"/>
    <w:rsid w:val="00F81887"/>
    <w:rsid w:val="00F81BB8"/>
    <w:rsid w:val="00F917D1"/>
    <w:rsid w:val="00F9342C"/>
    <w:rsid w:val="00F9653B"/>
    <w:rsid w:val="00FA3048"/>
    <w:rsid w:val="00FA56EA"/>
    <w:rsid w:val="00FB1E8E"/>
    <w:rsid w:val="00FB62CF"/>
    <w:rsid w:val="00FB7439"/>
    <w:rsid w:val="00FC0F4A"/>
    <w:rsid w:val="00FC3330"/>
    <w:rsid w:val="00FD3C3B"/>
    <w:rsid w:val="00FE07DD"/>
    <w:rsid w:val="00FE2DE8"/>
    <w:rsid w:val="00FE6B45"/>
    <w:rsid w:val="00FF061F"/>
    <w:rsid w:val="00FF55F3"/>
    <w:rsid w:val="00FF5851"/>
    <w:rsid w:val="00FF5A94"/>
    <w:rsid w:val="00FF7B7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29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2"/>
        <w:szCs w:val="22"/>
        <w:lang w:val="es-PA" w:eastAsia="es-P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E8E"/>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eastAsia="MS Gothic"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FB1E8E"/>
    <w:rPr>
      <w:rFonts w:cs="Times New Roman"/>
      <w:u w:val="single"/>
    </w:rPr>
  </w:style>
  <w:style w:type="paragraph" w:customStyle="1" w:styleId="Cabeceraypie">
    <w:name w:val="Cabecera y pie"/>
    <w:uiPriority w:val="99"/>
    <w:rsid w:val="00FB1E8E"/>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FB1E8E"/>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FB1E8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FB1E8E"/>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Pr>
      <w:rFonts w:cs="Times New Roman"/>
      <w:sz w:val="24"/>
      <w:szCs w:val="24"/>
      <w:lang w:val="en-US" w:eastAsia="en-US"/>
    </w:rPr>
  </w:style>
  <w:style w:type="paragraph" w:styleId="ListParagraph">
    <w:name w:val="List Paragraph"/>
    <w:basedOn w:val="Normal"/>
    <w:uiPriority w:val="99"/>
    <w:qFormat/>
    <w:rsid w:val="00FB1E8E"/>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basedOn w:val="Normal"/>
    <w:link w:val="FootnoteTextChar"/>
    <w:uiPriority w:val="99"/>
    <w:rsid w:val="0057265C"/>
    <w:rPr>
      <w:rFonts w:ascii="Calibri" w:hAnsi="Calibri"/>
      <w:color w:val="000000"/>
      <w:sz w:val="20"/>
      <w:szCs w:val="20"/>
      <w:u w:color="000000"/>
      <w:lang w:eastAsia="es-PA"/>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locked/>
    <w:rsid w:val="0057265C"/>
    <w:rPr>
      <w:rFonts w:ascii="Calibri" w:hAnsi="Calibri" w:cs="Times New Roman"/>
      <w:color w:val="000000"/>
      <w:u w:color="000000"/>
      <w:lang w:val="en-US" w:eastAsia="es-PA"/>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locked/>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semiHidden/>
    <w:rsid w:val="0031535D"/>
    <w:pPr>
      <w:spacing w:after="120"/>
    </w:pPr>
  </w:style>
  <w:style w:type="character" w:customStyle="1" w:styleId="BodyTextChar">
    <w:name w:val="Body Text Char"/>
    <w:basedOn w:val="DefaultParagraphFont"/>
    <w:link w:val="BodyText"/>
    <w:uiPriority w:val="99"/>
    <w:semiHidden/>
    <w:locked/>
    <w:rsid w:val="0031535D"/>
    <w:rPr>
      <w:rFonts w:cs="Times New Roman"/>
      <w:sz w:val="24"/>
      <w:szCs w:val="24"/>
      <w:lang w:val="en-US" w:eastAsia="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sz w:val="24"/>
      <w:lang w:val="en-US" w:eastAsia="en-US"/>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table" w:styleId="TableGrid">
    <w:name w:val="Table Grid"/>
    <w:basedOn w:val="TableNormal"/>
    <w:uiPriority w:val="99"/>
    <w:rsid w:val="003239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5B6D22"/>
    <w:rPr>
      <w:rFonts w:cs="Times New Roman"/>
      <w:sz w:val="16"/>
      <w:szCs w:val="16"/>
    </w:rPr>
  </w:style>
  <w:style w:type="paragraph" w:styleId="CommentText">
    <w:name w:val="annotation text"/>
    <w:basedOn w:val="Normal"/>
    <w:link w:val="CommentTextChar"/>
    <w:uiPriority w:val="99"/>
    <w:semiHidden/>
    <w:rsid w:val="005B6D22"/>
    <w:rPr>
      <w:sz w:val="20"/>
      <w:szCs w:val="20"/>
    </w:rPr>
  </w:style>
  <w:style w:type="character" w:customStyle="1" w:styleId="CommentTextChar">
    <w:name w:val="Comment Text Char"/>
    <w:basedOn w:val="DefaultParagraphFont"/>
    <w:link w:val="CommentText"/>
    <w:uiPriority w:val="99"/>
    <w:semiHidden/>
    <w:locked/>
    <w:rsid w:val="005B6D22"/>
    <w:rPr>
      <w:rFonts w:cs="Times New Roman"/>
      <w:lang w:val="en-US" w:eastAsia="en-US"/>
    </w:rPr>
  </w:style>
  <w:style w:type="paragraph" w:styleId="CommentSubject">
    <w:name w:val="annotation subject"/>
    <w:basedOn w:val="CommentText"/>
    <w:next w:val="CommentText"/>
    <w:link w:val="CommentSubjectChar"/>
    <w:uiPriority w:val="99"/>
    <w:semiHidden/>
    <w:rsid w:val="005B6D22"/>
    <w:rPr>
      <w:b/>
      <w:bCs/>
    </w:rPr>
  </w:style>
  <w:style w:type="character" w:customStyle="1" w:styleId="CommentSubjectChar">
    <w:name w:val="Comment Subject Char"/>
    <w:basedOn w:val="CommentTextChar"/>
    <w:link w:val="CommentSubject"/>
    <w:uiPriority w:val="99"/>
    <w:semiHidden/>
    <w:locked/>
    <w:rsid w:val="005B6D22"/>
    <w:rPr>
      <w:rFonts w:cs="Times New Roman"/>
      <w:b/>
      <w:bCs/>
      <w:lang w:val="en-US" w:eastAsia="en-US"/>
    </w:rPr>
  </w:style>
  <w:style w:type="paragraph" w:styleId="Revision">
    <w:name w:val="Revision"/>
    <w:hidden/>
    <w:uiPriority w:val="99"/>
    <w:semiHidden/>
    <w:rsid w:val="005B6D22"/>
    <w:rPr>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basedOn w:val="DefaultParagraphFont"/>
    <w:uiPriority w:val="99"/>
    <w:locked/>
    <w:rsid w:val="000A6A6B"/>
    <w:rPr>
      <w:rFonts w:ascii="Calibri" w:hAnsi="Calibri" w:cs="Times New Roman"/>
      <w:color w:val="000000"/>
      <w:u w:color="000000"/>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0A6A6B"/>
    <w:pPr>
      <w:pBdr>
        <w:top w:val="none" w:sz="0" w:space="0" w:color="auto"/>
        <w:left w:val="none" w:sz="0" w:space="0" w:color="auto"/>
        <w:bottom w:val="none" w:sz="0" w:space="0" w:color="auto"/>
        <w:right w:val="none" w:sz="0" w:space="0" w:color="auto"/>
        <w:bar w:val="none" w:sz="0" w:color="auto"/>
      </w:pBdr>
      <w:jc w:val="both"/>
    </w:pPr>
    <w:rPr>
      <w:noProof/>
      <w:sz w:val="20"/>
      <w:szCs w:val="20"/>
      <w:vertAlign w:val="superscript"/>
      <w:lang w:val="es-PA" w:eastAsia="es-PA"/>
    </w:rPr>
  </w:style>
  <w:style w:type="numbering" w:customStyle="1" w:styleId="List16">
    <w:name w:val="List 16"/>
    <w:rsid w:val="00D744FA"/>
    <w:pPr>
      <w:numPr>
        <w:numId w:val="10"/>
      </w:numPr>
    </w:pPr>
  </w:style>
  <w:style w:type="numbering" w:customStyle="1" w:styleId="List36">
    <w:name w:val="List 36"/>
    <w:rsid w:val="00D744FA"/>
    <w:pPr>
      <w:numPr>
        <w:numId w:val="14"/>
      </w:numPr>
    </w:pPr>
  </w:style>
  <w:style w:type="numbering" w:customStyle="1" w:styleId="List25">
    <w:name w:val="List 25"/>
    <w:rsid w:val="00D744FA"/>
    <w:pPr>
      <w:numPr>
        <w:numId w:val="15"/>
      </w:numPr>
    </w:pPr>
  </w:style>
  <w:style w:type="numbering" w:customStyle="1" w:styleId="List1">
    <w:name w:val="List 1"/>
    <w:rsid w:val="00D744FA"/>
    <w:pPr>
      <w:numPr>
        <w:numId w:val="1"/>
      </w:numPr>
    </w:pPr>
  </w:style>
  <w:style w:type="numbering" w:customStyle="1" w:styleId="List11">
    <w:name w:val="List 11"/>
    <w:rsid w:val="00D744FA"/>
    <w:pPr>
      <w:numPr>
        <w:numId w:val="7"/>
      </w:numPr>
    </w:pPr>
  </w:style>
  <w:style w:type="numbering" w:customStyle="1" w:styleId="List15">
    <w:name w:val="List 15"/>
    <w:rsid w:val="00D744FA"/>
    <w:pPr>
      <w:numPr>
        <w:numId w:val="16"/>
      </w:numPr>
    </w:pPr>
  </w:style>
  <w:style w:type="numbering" w:customStyle="1" w:styleId="List14">
    <w:name w:val="List 14"/>
    <w:rsid w:val="00D744FA"/>
    <w:pPr>
      <w:numPr>
        <w:numId w:val="17"/>
      </w:numPr>
    </w:pPr>
  </w:style>
  <w:style w:type="numbering" w:customStyle="1" w:styleId="List23">
    <w:name w:val="List 23"/>
    <w:rsid w:val="00D744FA"/>
    <w:pPr>
      <w:numPr>
        <w:numId w:val="18"/>
      </w:numPr>
    </w:pPr>
  </w:style>
  <w:style w:type="numbering" w:customStyle="1" w:styleId="List19">
    <w:name w:val="List 19"/>
    <w:rsid w:val="00D744FA"/>
    <w:pPr>
      <w:numPr>
        <w:numId w:val="19"/>
      </w:numPr>
    </w:pPr>
  </w:style>
  <w:style w:type="numbering" w:customStyle="1" w:styleId="List45">
    <w:name w:val="List 45"/>
    <w:rsid w:val="00D744FA"/>
    <w:pPr>
      <w:numPr>
        <w:numId w:val="20"/>
      </w:numPr>
    </w:pPr>
  </w:style>
  <w:style w:type="numbering" w:customStyle="1" w:styleId="List40">
    <w:name w:val="List 40"/>
    <w:rsid w:val="00D744FA"/>
    <w:pPr>
      <w:numPr>
        <w:numId w:val="21"/>
      </w:numPr>
    </w:pPr>
  </w:style>
  <w:style w:type="numbering" w:customStyle="1" w:styleId="List9">
    <w:name w:val="List 9"/>
    <w:rsid w:val="00D744FA"/>
    <w:pPr>
      <w:numPr>
        <w:numId w:val="22"/>
      </w:numPr>
    </w:pPr>
  </w:style>
  <w:style w:type="numbering" w:customStyle="1" w:styleId="List43">
    <w:name w:val="List 43"/>
    <w:rsid w:val="00D744FA"/>
    <w:pPr>
      <w:numPr>
        <w:numId w:val="23"/>
      </w:numPr>
    </w:pPr>
  </w:style>
  <w:style w:type="numbering" w:customStyle="1" w:styleId="List46">
    <w:name w:val="List 46"/>
    <w:rsid w:val="00D744FA"/>
    <w:pPr>
      <w:numPr>
        <w:numId w:val="24"/>
      </w:numPr>
    </w:pPr>
  </w:style>
  <w:style w:type="numbering" w:customStyle="1" w:styleId="List35">
    <w:name w:val="List 35"/>
    <w:rsid w:val="00D744FA"/>
    <w:pPr>
      <w:numPr>
        <w:numId w:val="8"/>
      </w:numPr>
    </w:pPr>
  </w:style>
  <w:style w:type="numbering" w:customStyle="1" w:styleId="List17">
    <w:name w:val="List 17"/>
    <w:rsid w:val="00D744FA"/>
    <w:pPr>
      <w:numPr>
        <w:numId w:val="25"/>
      </w:numPr>
    </w:pPr>
  </w:style>
  <w:style w:type="numbering" w:customStyle="1" w:styleId="List33">
    <w:name w:val="List 33"/>
    <w:rsid w:val="00D744FA"/>
    <w:pPr>
      <w:numPr>
        <w:numId w:val="26"/>
      </w:numPr>
    </w:pPr>
  </w:style>
  <w:style w:type="numbering" w:customStyle="1" w:styleId="List7">
    <w:name w:val="List 7"/>
    <w:rsid w:val="00D744FA"/>
    <w:pPr>
      <w:numPr>
        <w:numId w:val="4"/>
      </w:numPr>
    </w:pPr>
  </w:style>
  <w:style w:type="numbering" w:customStyle="1" w:styleId="List18">
    <w:name w:val="List 18"/>
    <w:rsid w:val="00D744FA"/>
    <w:pPr>
      <w:numPr>
        <w:numId w:val="27"/>
      </w:numPr>
    </w:pPr>
  </w:style>
  <w:style w:type="numbering" w:customStyle="1" w:styleId="List22">
    <w:name w:val="List 22"/>
    <w:rsid w:val="00D744FA"/>
    <w:pPr>
      <w:numPr>
        <w:numId w:val="28"/>
      </w:numPr>
    </w:pPr>
  </w:style>
  <w:style w:type="numbering" w:customStyle="1" w:styleId="List47">
    <w:name w:val="List 47"/>
    <w:rsid w:val="00D744FA"/>
    <w:pPr>
      <w:numPr>
        <w:numId w:val="29"/>
      </w:numPr>
    </w:pPr>
  </w:style>
  <w:style w:type="numbering" w:customStyle="1" w:styleId="List28">
    <w:name w:val="List 28"/>
    <w:rsid w:val="00D744FA"/>
    <w:pPr>
      <w:numPr>
        <w:numId w:val="30"/>
      </w:numPr>
    </w:pPr>
  </w:style>
  <w:style w:type="numbering" w:customStyle="1" w:styleId="List10">
    <w:name w:val="List 10"/>
    <w:rsid w:val="00D744FA"/>
    <w:pPr>
      <w:numPr>
        <w:numId w:val="6"/>
      </w:numPr>
    </w:pPr>
  </w:style>
  <w:style w:type="numbering" w:customStyle="1" w:styleId="List0">
    <w:name w:val="List 0"/>
    <w:rsid w:val="00D744FA"/>
    <w:pPr>
      <w:numPr>
        <w:numId w:val="31"/>
      </w:numPr>
    </w:pPr>
  </w:style>
  <w:style w:type="numbering" w:customStyle="1" w:styleId="List30">
    <w:name w:val="List 30"/>
    <w:rsid w:val="00D744FA"/>
    <w:pPr>
      <w:numPr>
        <w:numId w:val="32"/>
      </w:numPr>
    </w:pPr>
  </w:style>
  <w:style w:type="numbering" w:customStyle="1" w:styleId="List29">
    <w:name w:val="List 29"/>
    <w:rsid w:val="00D744FA"/>
    <w:pPr>
      <w:numPr>
        <w:numId w:val="34"/>
      </w:numPr>
    </w:pPr>
  </w:style>
  <w:style w:type="numbering" w:customStyle="1" w:styleId="List38">
    <w:name w:val="List 38"/>
    <w:rsid w:val="00D744FA"/>
    <w:pPr>
      <w:numPr>
        <w:numId w:val="35"/>
      </w:numPr>
    </w:pPr>
  </w:style>
  <w:style w:type="numbering" w:customStyle="1" w:styleId="List12">
    <w:name w:val="List 12"/>
    <w:rsid w:val="00D744FA"/>
    <w:pPr>
      <w:numPr>
        <w:numId w:val="36"/>
      </w:numPr>
    </w:pPr>
  </w:style>
  <w:style w:type="numbering" w:customStyle="1" w:styleId="List50">
    <w:name w:val="List 50"/>
    <w:rsid w:val="00D744FA"/>
    <w:pPr>
      <w:numPr>
        <w:numId w:val="37"/>
      </w:numPr>
    </w:pPr>
  </w:style>
  <w:style w:type="numbering" w:customStyle="1" w:styleId="List34">
    <w:name w:val="List 34"/>
    <w:rsid w:val="00D744FA"/>
    <w:pPr>
      <w:numPr>
        <w:numId w:val="11"/>
      </w:numPr>
    </w:pPr>
  </w:style>
  <w:style w:type="numbering" w:customStyle="1" w:styleId="List42">
    <w:name w:val="List 42"/>
    <w:rsid w:val="00D744FA"/>
    <w:pPr>
      <w:numPr>
        <w:numId w:val="12"/>
      </w:numPr>
    </w:pPr>
  </w:style>
  <w:style w:type="numbering" w:customStyle="1" w:styleId="List49">
    <w:name w:val="List 49"/>
    <w:rsid w:val="00D744FA"/>
    <w:pPr>
      <w:numPr>
        <w:numId w:val="39"/>
      </w:numPr>
    </w:pPr>
  </w:style>
  <w:style w:type="numbering" w:customStyle="1" w:styleId="List44">
    <w:name w:val="List 44"/>
    <w:rsid w:val="00D744FA"/>
    <w:pPr>
      <w:numPr>
        <w:numId w:val="40"/>
      </w:numPr>
    </w:pPr>
  </w:style>
  <w:style w:type="numbering" w:customStyle="1" w:styleId="List21">
    <w:name w:val="List 21"/>
    <w:rsid w:val="00D744FA"/>
    <w:pPr>
      <w:numPr>
        <w:numId w:val="52"/>
      </w:numPr>
    </w:pPr>
  </w:style>
  <w:style w:type="numbering" w:customStyle="1" w:styleId="List52">
    <w:name w:val="List 52"/>
    <w:rsid w:val="00D744FA"/>
    <w:pPr>
      <w:numPr>
        <w:numId w:val="9"/>
      </w:numPr>
    </w:pPr>
  </w:style>
  <w:style w:type="numbering" w:customStyle="1" w:styleId="List24">
    <w:name w:val="List 24"/>
    <w:rsid w:val="00D744FA"/>
    <w:pPr>
      <w:numPr>
        <w:numId w:val="13"/>
      </w:numPr>
    </w:pPr>
  </w:style>
  <w:style w:type="numbering" w:customStyle="1" w:styleId="List51">
    <w:name w:val="List 51"/>
    <w:rsid w:val="00D744FA"/>
    <w:pPr>
      <w:numPr>
        <w:numId w:val="54"/>
      </w:numPr>
    </w:pPr>
  </w:style>
  <w:style w:type="numbering" w:customStyle="1" w:styleId="List27">
    <w:name w:val="List 27"/>
    <w:rsid w:val="00D744FA"/>
    <w:pPr>
      <w:numPr>
        <w:numId w:val="41"/>
      </w:numPr>
    </w:pPr>
  </w:style>
  <w:style w:type="numbering" w:customStyle="1" w:styleId="List8">
    <w:name w:val="List 8"/>
    <w:rsid w:val="00D744FA"/>
    <w:pPr>
      <w:numPr>
        <w:numId w:val="5"/>
      </w:numPr>
    </w:pPr>
  </w:style>
  <w:style w:type="numbering" w:customStyle="1" w:styleId="List13">
    <w:name w:val="List 13"/>
    <w:rsid w:val="00D744FA"/>
    <w:pPr>
      <w:numPr>
        <w:numId w:val="42"/>
      </w:numPr>
    </w:pPr>
  </w:style>
  <w:style w:type="numbering" w:customStyle="1" w:styleId="List20">
    <w:name w:val="List 20"/>
    <w:rsid w:val="00D744FA"/>
    <w:pPr>
      <w:numPr>
        <w:numId w:val="43"/>
      </w:numPr>
    </w:pPr>
  </w:style>
  <w:style w:type="numbering" w:customStyle="1" w:styleId="List41">
    <w:name w:val="List 41"/>
    <w:rsid w:val="00D744FA"/>
    <w:pPr>
      <w:numPr>
        <w:numId w:val="44"/>
      </w:numPr>
    </w:pPr>
  </w:style>
  <w:style w:type="numbering" w:customStyle="1" w:styleId="List31">
    <w:name w:val="List 31"/>
    <w:rsid w:val="00D744FA"/>
    <w:pPr>
      <w:numPr>
        <w:numId w:val="45"/>
      </w:numPr>
    </w:pPr>
  </w:style>
  <w:style w:type="numbering" w:customStyle="1" w:styleId="List6">
    <w:name w:val="List 6"/>
    <w:rsid w:val="00D744FA"/>
    <w:pPr>
      <w:numPr>
        <w:numId w:val="3"/>
      </w:numPr>
    </w:pPr>
  </w:style>
  <w:style w:type="numbering" w:customStyle="1" w:styleId="List39">
    <w:name w:val="List 39"/>
    <w:rsid w:val="00D744FA"/>
    <w:pPr>
      <w:numPr>
        <w:numId w:val="46"/>
      </w:numPr>
    </w:pPr>
  </w:style>
  <w:style w:type="numbering" w:customStyle="1" w:styleId="List37">
    <w:name w:val="List 37"/>
    <w:rsid w:val="00D744FA"/>
    <w:pPr>
      <w:numPr>
        <w:numId w:val="47"/>
      </w:numPr>
    </w:pPr>
  </w:style>
  <w:style w:type="numbering" w:customStyle="1" w:styleId="List32">
    <w:name w:val="List 32"/>
    <w:rsid w:val="00D744FA"/>
    <w:pPr>
      <w:numPr>
        <w:numId w:val="48"/>
      </w:numPr>
    </w:pPr>
  </w:style>
  <w:style w:type="numbering" w:customStyle="1" w:styleId="List26">
    <w:name w:val="List 26"/>
    <w:rsid w:val="00D744FA"/>
    <w:pPr>
      <w:numPr>
        <w:numId w:val="49"/>
      </w:numPr>
    </w:pPr>
  </w:style>
  <w:style w:type="numbering" w:customStyle="1" w:styleId="List48">
    <w:name w:val="List 48"/>
    <w:rsid w:val="00D744FA"/>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392282">
      <w:marLeft w:val="0"/>
      <w:marRight w:val="0"/>
      <w:marTop w:val="0"/>
      <w:marBottom w:val="0"/>
      <w:divBdr>
        <w:top w:val="none" w:sz="0" w:space="0" w:color="auto"/>
        <w:left w:val="none" w:sz="0" w:space="0" w:color="auto"/>
        <w:bottom w:val="none" w:sz="0" w:space="0" w:color="auto"/>
        <w:right w:val="none" w:sz="0" w:space="0" w:color="auto"/>
      </w:divBdr>
    </w:div>
    <w:div w:id="1524392283">
      <w:marLeft w:val="0"/>
      <w:marRight w:val="0"/>
      <w:marTop w:val="0"/>
      <w:marBottom w:val="0"/>
      <w:divBdr>
        <w:top w:val="none" w:sz="0" w:space="0" w:color="auto"/>
        <w:left w:val="none" w:sz="0" w:space="0" w:color="auto"/>
        <w:bottom w:val="none" w:sz="0" w:space="0" w:color="auto"/>
        <w:right w:val="none" w:sz="0" w:space="0" w:color="auto"/>
      </w:divBdr>
    </w:div>
    <w:div w:id="1524392284">
      <w:marLeft w:val="0"/>
      <w:marRight w:val="0"/>
      <w:marTop w:val="0"/>
      <w:marBottom w:val="0"/>
      <w:divBdr>
        <w:top w:val="none" w:sz="0" w:space="0" w:color="auto"/>
        <w:left w:val="none" w:sz="0" w:space="0" w:color="auto"/>
        <w:bottom w:val="none" w:sz="0" w:space="0" w:color="auto"/>
        <w:right w:val="none" w:sz="0" w:space="0" w:color="auto"/>
      </w:divBdr>
    </w:div>
    <w:div w:id="1524392285">
      <w:marLeft w:val="0"/>
      <w:marRight w:val="0"/>
      <w:marTop w:val="0"/>
      <w:marBottom w:val="0"/>
      <w:divBdr>
        <w:top w:val="none" w:sz="0" w:space="0" w:color="auto"/>
        <w:left w:val="none" w:sz="0" w:space="0" w:color="auto"/>
        <w:bottom w:val="none" w:sz="0" w:space="0" w:color="auto"/>
        <w:right w:val="none" w:sz="0" w:space="0" w:color="auto"/>
      </w:divBdr>
    </w:div>
    <w:div w:id="1524392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083F8-8774-42DE-9996-1F20DBF8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2541</Words>
  <Characters>13138</Characters>
  <Application>Microsoft Office Word</Application>
  <DocSecurity>0</DocSecurity>
  <Lines>222</Lines>
  <Paragraphs>45</Paragraphs>
  <ScaleCrop>false</ScaleCrop>
  <Company/>
  <LinksUpToDate>false</LinksUpToDate>
  <CharactersWithSpaces>15634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79/20</dc:title>
  <dc:subject/>
  <dc:creator/>
  <cp:keywords/>
  <dc:description/>
  <cp:lastModifiedBy/>
  <cp:revision>1</cp:revision>
  <dcterms:created xsi:type="dcterms:W3CDTF">2020-06-17T14:41:00Z</dcterms:created>
  <dcterms:modified xsi:type="dcterms:W3CDTF">2020-06-17T14:41:00Z</dcterms:modified>
</cp:coreProperties>
</file>