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D107" w14:textId="77777777" w:rsidR="00040C3A" w:rsidRPr="003B7960" w:rsidRDefault="00067F9E" w:rsidP="00101DC6">
      <w:pPr>
        <w:tabs>
          <w:tab w:val="left" w:pos="426"/>
        </w:tabs>
        <w:jc w:val="both"/>
        <w:rPr>
          <w:rFonts w:ascii="Cambria" w:hAnsi="Cambria" w:cs="Univers"/>
          <w:b/>
          <w:bCs/>
          <w:sz w:val="20"/>
          <w:szCs w:val="20"/>
          <w:lang w:val="es-ES"/>
        </w:rPr>
      </w:pPr>
      <w:r w:rsidRPr="003B7960">
        <w:rPr>
          <w:rFonts w:ascii="Cambria" w:hAnsi="Cambria"/>
          <w:noProof/>
          <w:lang w:val="es-ES" w:eastAsia="es-ES"/>
        </w:rPr>
        <mc:AlternateContent>
          <mc:Choice Requires="wps">
            <w:drawing>
              <wp:anchor distT="0" distB="0" distL="114300" distR="114300" simplePos="0" relativeHeight="251654144" behindDoc="0" locked="0" layoutInCell="1" allowOverlap="1" wp14:anchorId="78FB3F2C" wp14:editId="59B3709F">
                <wp:simplePos x="0" y="0"/>
                <wp:positionH relativeFrom="column">
                  <wp:posOffset>-414655</wp:posOffset>
                </wp:positionH>
                <wp:positionV relativeFrom="paragraph">
                  <wp:posOffset>-438150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6B59E" id="Rectangle 1" o:spid="_x0000_s1026" style="position:absolute;margin-left:-32.65pt;margin-top:-34.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" fillcolor="#4a7194" stroked="f" strokeweight="2pt"/>
            </w:pict>
          </mc:Fallback>
        </mc:AlternateContent>
      </w:r>
      <w:r w:rsidRPr="003B7960">
        <w:rPr>
          <w:rFonts w:ascii="Cambria" w:hAnsi="Cambria"/>
          <w:noProof/>
          <w:lang w:val="es-ES" w:eastAsia="es-ES"/>
        </w:rPr>
        <mc:AlternateContent>
          <mc:Choice Requires="wps">
            <w:drawing>
              <wp:anchor distT="0" distB="0" distL="114300" distR="114300" simplePos="0" relativeHeight="251658240" behindDoc="0" locked="0" layoutInCell="1" allowOverlap="1" wp14:anchorId="53F4647E" wp14:editId="61C022B8">
                <wp:simplePos x="0" y="0"/>
                <wp:positionH relativeFrom="column">
                  <wp:posOffset>1282065</wp:posOffset>
                </wp:positionH>
                <wp:positionV relativeFrom="paragraph">
                  <wp:posOffset>-422910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61237871" w14:textId="77777777" w:rsidR="00F005B1" w:rsidRDefault="00F005B1" w:rsidP="00AE5488">
                            <w:r w:rsidRPr="00E67B33">
                              <w:rPr>
                                <w:noProof/>
                                <w:lang w:val="es-ES" w:eastAsia="es-ES"/>
                              </w:rPr>
                              <w:drawing>
                                <wp:inline distT="0" distB="0" distL="0" distR="0" wp14:anchorId="45CFECA7" wp14:editId="54B6ACEA">
                                  <wp:extent cx="2647950" cy="514350"/>
                                  <wp:effectExtent l="0" t="0" r="0" b="0"/>
                                  <wp:docPr id="2" name="Picture 12" descr="Description: 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4647E" id="_x0000_t202" coordsize="21600,21600" o:spt="202" path="m,l,21600r21600,l21600,xe">
                <v:stroke joinstyle="miter"/>
                <v:path gradientshapeok="t" o:connecttype="rect"/>
              </v:shapetype>
              <v:shape id="Text Box 11" o:spid="_x0000_s1026" type="#_x0000_t202" style="position:absolute;left:0;text-align:left;margin-left:100.95pt;margin-top:-33.3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" filled="f" stroked="f" strokeweight=".5pt">
                <v:textbox>
                  <w:txbxContent>
                    <w:p w14:paraId="61237871" w14:textId="77777777" w:rsidR="00F005B1" w:rsidRDefault="00F005B1" w:rsidP="00AE5488">
                      <w:r w:rsidRPr="00E67B33">
                        <w:rPr>
                          <w:noProof/>
                          <w:lang w:val="es-ES" w:eastAsia="es-ES"/>
                        </w:rPr>
                        <w:drawing>
                          <wp:inline distT="0" distB="0" distL="0" distR="0" wp14:anchorId="45CFECA7" wp14:editId="54B6ACEA">
                            <wp:extent cx="2647950" cy="514350"/>
                            <wp:effectExtent l="0" t="0" r="0" b="0"/>
                            <wp:docPr id="2" name="Picture 12" descr="Description: 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p>
                  </w:txbxContent>
                </v:textbox>
              </v:shape>
            </w:pict>
          </mc:Fallback>
        </mc:AlternateContent>
      </w:r>
      <w:r w:rsidR="00C74ED8" w:rsidRPr="003B7960">
        <w:rPr>
          <w:rFonts w:ascii="Cambria" w:hAnsi="Cambria" w:cs="Univers"/>
          <w:b/>
          <w:bCs/>
          <w:sz w:val="20"/>
          <w:szCs w:val="20"/>
          <w:lang w:val="es-ES"/>
        </w:rPr>
        <w:t>z</w:t>
      </w:r>
    </w:p>
    <w:p w14:paraId="76D9D554" w14:textId="77777777" w:rsidR="00040C3A" w:rsidRPr="003B7960" w:rsidRDefault="00040C3A" w:rsidP="00101DC6">
      <w:pPr>
        <w:tabs>
          <w:tab w:val="left" w:pos="426"/>
        </w:tabs>
        <w:suppressAutoHyphens/>
        <w:jc w:val="both"/>
        <w:rPr>
          <w:rFonts w:ascii="Cambria" w:hAnsi="Cambria"/>
          <w:sz w:val="20"/>
          <w:szCs w:val="20"/>
          <w:lang w:val="es-ES"/>
        </w:rPr>
      </w:pPr>
    </w:p>
    <w:p w14:paraId="1DD9E4EA" w14:textId="77777777" w:rsidR="00040C3A" w:rsidRPr="003B7960" w:rsidRDefault="00040C3A" w:rsidP="00101DC6">
      <w:pPr>
        <w:tabs>
          <w:tab w:val="left" w:pos="426"/>
        </w:tabs>
        <w:suppressAutoHyphens/>
        <w:jc w:val="both"/>
        <w:rPr>
          <w:rFonts w:ascii="Cambria" w:hAnsi="Cambria"/>
          <w:sz w:val="20"/>
          <w:szCs w:val="20"/>
          <w:lang w:val="es-ES"/>
        </w:rPr>
      </w:pPr>
    </w:p>
    <w:p w14:paraId="4B2F9FFA" w14:textId="77777777" w:rsidR="005128E4" w:rsidRPr="003B7960" w:rsidRDefault="005128E4" w:rsidP="00101DC6">
      <w:pPr>
        <w:tabs>
          <w:tab w:val="left" w:pos="426"/>
        </w:tabs>
        <w:suppressAutoHyphens/>
        <w:jc w:val="both"/>
        <w:rPr>
          <w:rFonts w:ascii="Cambria" w:hAnsi="Cambria"/>
          <w:sz w:val="20"/>
          <w:szCs w:val="20"/>
          <w:lang w:val="es-ES"/>
        </w:rPr>
      </w:pPr>
    </w:p>
    <w:p w14:paraId="7D1911C8" w14:textId="77777777" w:rsidR="005128E4" w:rsidRPr="003B7960" w:rsidRDefault="005128E4" w:rsidP="00101DC6">
      <w:pPr>
        <w:tabs>
          <w:tab w:val="left" w:pos="426"/>
        </w:tabs>
        <w:suppressAutoHyphens/>
        <w:jc w:val="both"/>
        <w:rPr>
          <w:rFonts w:ascii="Cambria" w:hAnsi="Cambria"/>
          <w:sz w:val="20"/>
          <w:szCs w:val="20"/>
          <w:lang w:val="es-ES"/>
        </w:rPr>
      </w:pPr>
    </w:p>
    <w:p w14:paraId="45CC2F4D" w14:textId="77777777" w:rsidR="005128E4" w:rsidRPr="003B7960" w:rsidRDefault="005128E4" w:rsidP="00101DC6">
      <w:pPr>
        <w:tabs>
          <w:tab w:val="left" w:pos="426"/>
        </w:tabs>
        <w:suppressAutoHyphens/>
        <w:jc w:val="both"/>
        <w:rPr>
          <w:rFonts w:ascii="Cambria" w:hAnsi="Cambria"/>
          <w:sz w:val="20"/>
          <w:szCs w:val="20"/>
          <w:lang w:val="es-ES"/>
        </w:rPr>
      </w:pPr>
    </w:p>
    <w:p w14:paraId="453F6A60" w14:textId="77777777" w:rsidR="00040C3A" w:rsidRPr="003B7960" w:rsidRDefault="00040C3A" w:rsidP="00101DC6">
      <w:pPr>
        <w:tabs>
          <w:tab w:val="left" w:pos="426"/>
        </w:tabs>
        <w:suppressAutoHyphens/>
        <w:jc w:val="both"/>
        <w:rPr>
          <w:rFonts w:ascii="Cambria" w:hAnsi="Cambria"/>
          <w:sz w:val="20"/>
          <w:szCs w:val="20"/>
          <w:lang w:val="es-ES"/>
        </w:rPr>
      </w:pPr>
    </w:p>
    <w:p w14:paraId="2CE0B0B4" w14:textId="77777777" w:rsidR="00040C3A" w:rsidRPr="003B7960" w:rsidRDefault="00040C3A" w:rsidP="00101DC6">
      <w:pPr>
        <w:tabs>
          <w:tab w:val="left" w:pos="426"/>
        </w:tabs>
        <w:suppressAutoHyphens/>
        <w:jc w:val="both"/>
        <w:rPr>
          <w:rFonts w:ascii="Cambria" w:hAnsi="Cambria"/>
          <w:sz w:val="20"/>
          <w:szCs w:val="20"/>
          <w:lang w:val="es-ES"/>
        </w:rPr>
      </w:pPr>
    </w:p>
    <w:p w14:paraId="42E7BC56" w14:textId="77777777" w:rsidR="005B52B0" w:rsidRPr="003B7960" w:rsidRDefault="005B52B0" w:rsidP="00101DC6">
      <w:pPr>
        <w:tabs>
          <w:tab w:val="left" w:pos="426"/>
        </w:tabs>
        <w:suppressAutoHyphens/>
        <w:jc w:val="both"/>
        <w:rPr>
          <w:rFonts w:ascii="Cambria" w:hAnsi="Cambria"/>
          <w:sz w:val="20"/>
          <w:szCs w:val="20"/>
          <w:lang w:val="es-ES"/>
        </w:rPr>
      </w:pPr>
    </w:p>
    <w:p w14:paraId="4F310C01" w14:textId="77777777" w:rsidR="005B52B0" w:rsidRPr="003B7960" w:rsidRDefault="005B52B0" w:rsidP="00101DC6">
      <w:pPr>
        <w:tabs>
          <w:tab w:val="left" w:pos="426"/>
        </w:tabs>
        <w:suppressAutoHyphens/>
        <w:jc w:val="both"/>
        <w:rPr>
          <w:rFonts w:ascii="Cambria" w:hAnsi="Cambria"/>
          <w:sz w:val="20"/>
          <w:szCs w:val="20"/>
          <w:lang w:val="es-ES"/>
        </w:rPr>
      </w:pPr>
    </w:p>
    <w:p w14:paraId="27A65742" w14:textId="77777777" w:rsidR="005B52B0" w:rsidRPr="003B7960" w:rsidRDefault="005B52B0" w:rsidP="00101DC6">
      <w:pPr>
        <w:tabs>
          <w:tab w:val="left" w:pos="426"/>
        </w:tabs>
        <w:suppressAutoHyphens/>
        <w:jc w:val="both"/>
        <w:rPr>
          <w:rFonts w:ascii="Cambria" w:hAnsi="Cambria"/>
          <w:sz w:val="20"/>
          <w:szCs w:val="20"/>
          <w:lang w:val="es-ES"/>
        </w:rPr>
      </w:pPr>
    </w:p>
    <w:p w14:paraId="336E5119" w14:textId="77777777" w:rsidR="00040C3A" w:rsidRPr="003B7960" w:rsidRDefault="00040C3A" w:rsidP="00101DC6">
      <w:pPr>
        <w:tabs>
          <w:tab w:val="left" w:pos="426"/>
        </w:tabs>
        <w:suppressAutoHyphens/>
        <w:jc w:val="both"/>
        <w:rPr>
          <w:rFonts w:ascii="Cambria" w:hAnsi="Cambria"/>
          <w:sz w:val="20"/>
          <w:szCs w:val="20"/>
          <w:lang w:val="es-ES"/>
        </w:rPr>
      </w:pPr>
    </w:p>
    <w:p w14:paraId="2A2A08EB" w14:textId="77777777" w:rsidR="00040C3A" w:rsidRPr="003B7960" w:rsidRDefault="00040C3A" w:rsidP="00101DC6">
      <w:pPr>
        <w:tabs>
          <w:tab w:val="left" w:pos="426"/>
        </w:tabs>
        <w:suppressAutoHyphens/>
        <w:jc w:val="both"/>
        <w:rPr>
          <w:rFonts w:ascii="Cambria" w:hAnsi="Cambria"/>
          <w:sz w:val="20"/>
          <w:szCs w:val="20"/>
          <w:lang w:val="es-ES"/>
        </w:rPr>
      </w:pPr>
    </w:p>
    <w:p w14:paraId="29A4FB3C" w14:textId="77777777" w:rsidR="00040C3A" w:rsidRPr="003B7960" w:rsidRDefault="00067F9E" w:rsidP="00101DC6">
      <w:pPr>
        <w:tabs>
          <w:tab w:val="left" w:pos="426"/>
        </w:tabs>
        <w:suppressAutoHyphens/>
        <w:jc w:val="both"/>
        <w:rPr>
          <w:rFonts w:ascii="Cambria" w:hAnsi="Cambria"/>
          <w:sz w:val="20"/>
          <w:szCs w:val="20"/>
          <w:lang w:val="es-ES"/>
        </w:rPr>
      </w:pPr>
      <w:r w:rsidRPr="003B7960">
        <w:rPr>
          <w:rFonts w:ascii="Cambria" w:hAnsi="Cambria"/>
          <w:noProof/>
          <w:lang w:val="es-ES" w:eastAsia="es-ES"/>
        </w:rPr>
        <mc:AlternateContent>
          <mc:Choice Requires="wps">
            <w:drawing>
              <wp:anchor distT="0" distB="0" distL="114300" distR="114300" simplePos="0" relativeHeight="251655168" behindDoc="0" locked="0" layoutInCell="1" allowOverlap="1" wp14:anchorId="2300CABB" wp14:editId="71EBA39E">
                <wp:simplePos x="0" y="0"/>
                <wp:positionH relativeFrom="column">
                  <wp:posOffset>1371600</wp:posOffset>
                </wp:positionH>
                <wp:positionV relativeFrom="paragraph">
                  <wp:posOffset>121920</wp:posOffset>
                </wp:positionV>
                <wp:extent cx="4689695"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9695" cy="2181225"/>
                        </a:xfrm>
                        <a:prstGeom prst="rect">
                          <a:avLst/>
                        </a:prstGeom>
                        <a:noFill/>
                        <a:ln w="6350">
                          <a:noFill/>
                        </a:ln>
                        <a:effectLst/>
                      </wps:spPr>
                      <wps:txbx>
                        <w:txbxContent>
                          <w:p w14:paraId="61AE081F" w14:textId="33F796FF" w:rsidR="00F005B1" w:rsidRPr="00E722A2" w:rsidRDefault="00F005B1" w:rsidP="00997BC5">
                            <w:pPr>
                              <w:spacing w:line="276" w:lineRule="auto"/>
                              <w:rPr>
                                <w:rFonts w:ascii="Cambria" w:hAnsi="Cambria" w:cs="Arial"/>
                                <w:b/>
                                <w:bCs/>
                                <w:color w:val="0D0D0D"/>
                                <w:sz w:val="36"/>
                                <w:szCs w:val="22"/>
                                <w:lang w:val="es-ES"/>
                              </w:rPr>
                            </w:pPr>
                            <w:r w:rsidRPr="00E722A2">
                              <w:rPr>
                                <w:rFonts w:ascii="Cambria" w:hAnsi="Cambria" w:cs="Arial"/>
                                <w:b/>
                                <w:bCs/>
                                <w:color w:val="0D0D0D"/>
                                <w:sz w:val="36"/>
                                <w:szCs w:val="22"/>
                                <w:lang w:val="es-ES"/>
                              </w:rPr>
                              <w:t xml:space="preserve">INFORME </w:t>
                            </w:r>
                            <w:r w:rsidRPr="00E722A2">
                              <w:rPr>
                                <w:rFonts w:ascii="Cambria" w:hAnsi="Cambria" w:cs="Arial"/>
                                <w:b/>
                                <w:bCs/>
                                <w:color w:val="0D0D0D"/>
                                <w:sz w:val="36"/>
                                <w:szCs w:val="40"/>
                                <w:lang w:val="es-ES"/>
                              </w:rPr>
                              <w:t>No.</w:t>
                            </w:r>
                            <w:r w:rsidRPr="00E722A2">
                              <w:rPr>
                                <w:rFonts w:ascii="Cambria" w:hAnsi="Cambria" w:cs="Arial"/>
                                <w:b/>
                                <w:bCs/>
                                <w:color w:val="0D0D0D"/>
                                <w:sz w:val="36"/>
                                <w:szCs w:val="22"/>
                                <w:lang w:val="es-ES"/>
                              </w:rPr>
                              <w:t xml:space="preserve"> </w:t>
                            </w:r>
                            <w:r w:rsidR="003B7960">
                              <w:rPr>
                                <w:rFonts w:ascii="Cambria" w:hAnsi="Cambria" w:cs="Arial"/>
                                <w:b/>
                                <w:bCs/>
                                <w:color w:val="0D0D0D"/>
                                <w:sz w:val="36"/>
                                <w:szCs w:val="22"/>
                                <w:lang w:val="es-ES"/>
                              </w:rPr>
                              <w:t>459</w:t>
                            </w:r>
                            <w:r w:rsidRPr="00E722A2">
                              <w:rPr>
                                <w:rFonts w:ascii="Cambria" w:hAnsi="Cambria" w:cs="Arial"/>
                                <w:b/>
                                <w:bCs/>
                                <w:color w:val="0D0D0D"/>
                                <w:sz w:val="36"/>
                                <w:szCs w:val="22"/>
                                <w:lang w:val="es-ES"/>
                              </w:rPr>
                              <w:t>/</w:t>
                            </w:r>
                            <w:r>
                              <w:rPr>
                                <w:rFonts w:ascii="Cambria" w:hAnsi="Cambria" w:cs="Arial"/>
                                <w:b/>
                                <w:bCs/>
                                <w:color w:val="0D0D0D"/>
                                <w:sz w:val="36"/>
                                <w:szCs w:val="22"/>
                                <w:lang w:val="es-ES"/>
                              </w:rPr>
                              <w:t>21</w:t>
                            </w:r>
                          </w:p>
                          <w:p w14:paraId="6C7A799B" w14:textId="77777777" w:rsidR="00F005B1" w:rsidRPr="00E722A2" w:rsidRDefault="00F005B1" w:rsidP="00997BC5">
                            <w:pPr>
                              <w:spacing w:line="276" w:lineRule="auto"/>
                              <w:rPr>
                                <w:rFonts w:ascii="Cambria" w:hAnsi="Cambria" w:cs="Arial"/>
                                <w:b/>
                                <w:color w:val="0D0D0D"/>
                                <w:sz w:val="36"/>
                                <w:szCs w:val="22"/>
                                <w:lang w:val="es-ES"/>
                              </w:rPr>
                            </w:pPr>
                            <w:r w:rsidRPr="00E722A2">
                              <w:rPr>
                                <w:rFonts w:ascii="Cambria" w:hAnsi="Cambria" w:cs="Arial"/>
                                <w:b/>
                                <w:color w:val="0D0D0D"/>
                                <w:sz w:val="36"/>
                                <w:szCs w:val="22"/>
                                <w:lang w:val="es-ES"/>
                              </w:rPr>
                              <w:t>CASO 12.071</w:t>
                            </w:r>
                          </w:p>
                          <w:p w14:paraId="3198222D" w14:textId="5DA6C4D7" w:rsidR="00F005B1" w:rsidRPr="00E722A2" w:rsidRDefault="00F005B1" w:rsidP="00161414">
                            <w:pPr>
                              <w:spacing w:line="276" w:lineRule="auto"/>
                              <w:rPr>
                                <w:rFonts w:ascii="Cambria" w:hAnsi="Cambria" w:cs="Arial"/>
                                <w:color w:val="0D0D0D"/>
                                <w:szCs w:val="22"/>
                                <w:lang w:val="es-ES"/>
                              </w:rPr>
                            </w:pPr>
                            <w:r w:rsidRPr="00E722A2">
                              <w:rPr>
                                <w:rFonts w:ascii="Cambria" w:hAnsi="Cambria" w:cs="Arial"/>
                                <w:color w:val="0D0D0D"/>
                                <w:szCs w:val="22"/>
                                <w:lang w:val="es-ES"/>
                              </w:rPr>
                              <w:t xml:space="preserve">INFORME DE </w:t>
                            </w:r>
                            <w:r w:rsidRPr="0080778E">
                              <w:rPr>
                                <w:rFonts w:ascii="Cambria" w:hAnsi="Cambria" w:cs="Arial"/>
                                <w:color w:val="0D0D0D"/>
                                <w:szCs w:val="22"/>
                                <w:lang w:val="es-ES"/>
                              </w:rPr>
                              <w:t>FONDO (</w:t>
                            </w:r>
                            <w:r w:rsidRPr="003B7960">
                              <w:rPr>
                                <w:rFonts w:ascii="Cambria" w:hAnsi="Cambria" w:cs="Arial"/>
                                <w:color w:val="0D0D0D"/>
                                <w:szCs w:val="22"/>
                                <w:lang w:val="es-ES"/>
                              </w:rPr>
                              <w:t>PUBLICACIÓN</w:t>
                            </w:r>
                            <w:r w:rsidRPr="0080778E">
                              <w:rPr>
                                <w:rFonts w:ascii="Cambria" w:hAnsi="Cambria" w:cs="Arial"/>
                                <w:color w:val="0D0D0D"/>
                                <w:szCs w:val="22"/>
                                <w:lang w:val="es-ES"/>
                              </w:rPr>
                              <w:t>)</w:t>
                            </w:r>
                          </w:p>
                          <w:p w14:paraId="3463DD5C" w14:textId="77777777" w:rsidR="00F005B1" w:rsidRPr="00E722A2" w:rsidRDefault="00F005B1" w:rsidP="00997BC5">
                            <w:pPr>
                              <w:spacing w:line="276" w:lineRule="auto"/>
                              <w:rPr>
                                <w:rFonts w:ascii="Cambria" w:hAnsi="Cambria" w:cs="Arial"/>
                                <w:color w:val="0D0D0D"/>
                                <w:szCs w:val="22"/>
                                <w:lang w:val="es-ES"/>
                              </w:rPr>
                            </w:pPr>
                            <w:bookmarkStart w:id="0" w:name="_ftnref1"/>
                          </w:p>
                          <w:bookmarkEnd w:id="0"/>
                          <w:p w14:paraId="762FD10F" w14:textId="77777777" w:rsidR="00F005B1" w:rsidRDefault="00F005B1" w:rsidP="00067F9E">
                            <w:pPr>
                              <w:rPr>
                                <w:rFonts w:ascii="Cambria" w:hAnsi="Cambria" w:cs="Arial"/>
                                <w:color w:val="0D0D0D"/>
                                <w:szCs w:val="22"/>
                                <w:lang w:val="es-ES"/>
                              </w:rPr>
                            </w:pPr>
                            <w:r>
                              <w:rPr>
                                <w:rFonts w:ascii="Cambria" w:hAnsi="Cambria" w:cs="Arial"/>
                                <w:color w:val="0D0D0D"/>
                                <w:szCs w:val="22"/>
                                <w:lang w:val="es-ES"/>
                              </w:rPr>
                              <w:t xml:space="preserve">CIUDADANOS </w:t>
                            </w:r>
                            <w:r w:rsidRPr="00E722A2">
                              <w:rPr>
                                <w:rFonts w:ascii="Cambria" w:hAnsi="Cambria" w:cs="Arial"/>
                                <w:color w:val="0D0D0D"/>
                                <w:szCs w:val="22"/>
                                <w:lang w:val="es-ES"/>
                              </w:rPr>
                              <w:t xml:space="preserve">CUBANOS Y HAITIANOS DETENIDOS </w:t>
                            </w:r>
                            <w:r>
                              <w:rPr>
                                <w:rFonts w:ascii="Cambria" w:hAnsi="Cambria" w:cs="Arial"/>
                                <w:color w:val="0D0D0D"/>
                                <w:szCs w:val="22"/>
                                <w:lang w:val="es-ES"/>
                              </w:rPr>
                              <w:t>EN</w:t>
                            </w:r>
                          </w:p>
                          <w:p w14:paraId="237426F6" w14:textId="77777777" w:rsidR="00F005B1" w:rsidRPr="00E722A2" w:rsidRDefault="00F005B1" w:rsidP="00067F9E">
                            <w:pPr>
                              <w:rPr>
                                <w:rFonts w:ascii="Cambria" w:hAnsi="Cambria" w:cs="Arial"/>
                                <w:color w:val="0D0D0D"/>
                                <w:szCs w:val="22"/>
                                <w:lang w:val="es-ES"/>
                              </w:rPr>
                            </w:pPr>
                            <w:r w:rsidRPr="00E722A2">
                              <w:rPr>
                                <w:rFonts w:ascii="Cambria" w:hAnsi="Cambria" w:cs="Arial"/>
                                <w:color w:val="0D0D0D"/>
                                <w:szCs w:val="22"/>
                                <w:lang w:val="es-ES"/>
                              </w:rPr>
                              <w:t xml:space="preserve">EL CENTRO DE DETENCIÓN </w:t>
                            </w:r>
                            <w:r>
                              <w:rPr>
                                <w:rFonts w:ascii="Cambria" w:hAnsi="Cambria" w:cs="Arial"/>
                                <w:color w:val="0D0D0D"/>
                                <w:szCs w:val="22"/>
                                <w:lang w:val="es-ES"/>
                              </w:rPr>
                              <w:t xml:space="preserve">DE </w:t>
                            </w:r>
                            <w:r w:rsidRPr="00E722A2">
                              <w:rPr>
                                <w:rFonts w:ascii="Cambria" w:hAnsi="Cambria" w:cs="Arial"/>
                                <w:color w:val="0D0D0D"/>
                                <w:szCs w:val="22"/>
                                <w:lang w:val="es-ES"/>
                              </w:rPr>
                              <w:t>CARMICHAEL ROAD</w:t>
                            </w:r>
                            <w:r>
                              <w:rPr>
                                <w:rFonts w:ascii="Cambria" w:hAnsi="Cambria" w:cs="Arial"/>
                                <w:color w:val="0D0D0D"/>
                                <w:szCs w:val="22"/>
                                <w:lang w:val="es-ES"/>
                              </w:rPr>
                              <w:t xml:space="preserve"> Y DEPORTADOS</w:t>
                            </w:r>
                            <w:r w:rsidRPr="00E722A2">
                              <w:rPr>
                                <w:rFonts w:ascii="Cambria" w:hAnsi="Cambria" w:cs="Arial"/>
                                <w:color w:val="0D0D0D"/>
                                <w:szCs w:val="22"/>
                                <w:lang w:val="es-ES"/>
                              </w:rPr>
                              <w:t xml:space="preserve"> </w:t>
                            </w:r>
                          </w:p>
                          <w:p w14:paraId="3A075E3F" w14:textId="5F9B82E4" w:rsidR="00F005B1" w:rsidRPr="00E722A2" w:rsidRDefault="00286042" w:rsidP="00067F9E">
                            <w:pPr>
                              <w:rPr>
                                <w:color w:val="0D0D0D"/>
                                <w:lang w:val="es-ES"/>
                              </w:rPr>
                            </w:pPr>
                            <w:r>
                              <w:rPr>
                                <w:rFonts w:ascii="Cambria" w:hAnsi="Cambria" w:cs="Arial"/>
                                <w:color w:val="0D0D0D"/>
                                <w:szCs w:val="22"/>
                                <w:lang w:val="es-ES"/>
                              </w:rPr>
                              <w:t xml:space="preserve">El COMMONWEALTH DE </w:t>
                            </w:r>
                            <w:r w:rsidR="005D4092">
                              <w:rPr>
                                <w:rFonts w:ascii="Cambria" w:hAnsi="Cambria" w:cs="Arial"/>
                                <w:color w:val="0D0D0D"/>
                                <w:szCs w:val="22"/>
                                <w:lang w:val="es-ES"/>
                              </w:rPr>
                              <w:t xml:space="preserve">LAS </w:t>
                            </w:r>
                            <w:r w:rsidR="00F005B1" w:rsidRPr="00E722A2">
                              <w:rPr>
                                <w:rFonts w:ascii="Cambria" w:hAnsi="Cambria" w:cs="Arial"/>
                                <w:color w:val="0D0D0D"/>
                                <w:szCs w:val="22"/>
                                <w:lang w:val="es-ES"/>
                              </w:rPr>
                              <w:t>BAHAMAS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CABB" id="Text Box 5" o:spid="_x0000_s1027" type="#_x0000_t202" style="position:absolute;left:0;text-align:left;margin-left:108pt;margin-top:9.6pt;width:369.25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" filled="f" stroked="f" strokeweight=".5pt">
                <v:textbox>
                  <w:txbxContent>
                    <w:p w14:paraId="61AE081F" w14:textId="33F796FF" w:rsidR="00F005B1" w:rsidRPr="00E722A2" w:rsidRDefault="00F005B1" w:rsidP="00997BC5">
                      <w:pPr>
                        <w:spacing w:line="276" w:lineRule="auto"/>
                        <w:rPr>
                          <w:rFonts w:ascii="Cambria" w:hAnsi="Cambria" w:cs="Arial"/>
                          <w:b/>
                          <w:bCs/>
                          <w:color w:val="0D0D0D"/>
                          <w:sz w:val="36"/>
                          <w:szCs w:val="22"/>
                          <w:lang w:val="es-ES"/>
                        </w:rPr>
                      </w:pPr>
                      <w:r w:rsidRPr="00E722A2">
                        <w:rPr>
                          <w:rFonts w:ascii="Cambria" w:hAnsi="Cambria" w:cs="Arial"/>
                          <w:b/>
                          <w:bCs/>
                          <w:color w:val="0D0D0D"/>
                          <w:sz w:val="36"/>
                          <w:szCs w:val="22"/>
                          <w:lang w:val="es-ES"/>
                        </w:rPr>
                        <w:t xml:space="preserve">INFORME </w:t>
                      </w:r>
                      <w:r w:rsidRPr="00E722A2">
                        <w:rPr>
                          <w:rFonts w:ascii="Cambria" w:hAnsi="Cambria" w:cs="Arial"/>
                          <w:b/>
                          <w:bCs/>
                          <w:color w:val="0D0D0D"/>
                          <w:sz w:val="36"/>
                          <w:szCs w:val="40"/>
                          <w:lang w:val="es-ES"/>
                        </w:rPr>
                        <w:t>No.</w:t>
                      </w:r>
                      <w:r w:rsidRPr="00E722A2">
                        <w:rPr>
                          <w:rFonts w:ascii="Cambria" w:hAnsi="Cambria" w:cs="Arial"/>
                          <w:b/>
                          <w:bCs/>
                          <w:color w:val="0D0D0D"/>
                          <w:sz w:val="36"/>
                          <w:szCs w:val="22"/>
                          <w:lang w:val="es-ES"/>
                        </w:rPr>
                        <w:t xml:space="preserve"> </w:t>
                      </w:r>
                      <w:r w:rsidR="003B7960">
                        <w:rPr>
                          <w:rFonts w:ascii="Cambria" w:hAnsi="Cambria" w:cs="Arial"/>
                          <w:b/>
                          <w:bCs/>
                          <w:color w:val="0D0D0D"/>
                          <w:sz w:val="36"/>
                          <w:szCs w:val="22"/>
                          <w:lang w:val="es-ES"/>
                        </w:rPr>
                        <w:t>459</w:t>
                      </w:r>
                      <w:r w:rsidRPr="00E722A2">
                        <w:rPr>
                          <w:rFonts w:ascii="Cambria" w:hAnsi="Cambria" w:cs="Arial"/>
                          <w:b/>
                          <w:bCs/>
                          <w:color w:val="0D0D0D"/>
                          <w:sz w:val="36"/>
                          <w:szCs w:val="22"/>
                          <w:lang w:val="es-ES"/>
                        </w:rPr>
                        <w:t>/</w:t>
                      </w:r>
                      <w:r>
                        <w:rPr>
                          <w:rFonts w:ascii="Cambria" w:hAnsi="Cambria" w:cs="Arial"/>
                          <w:b/>
                          <w:bCs/>
                          <w:color w:val="0D0D0D"/>
                          <w:sz w:val="36"/>
                          <w:szCs w:val="22"/>
                          <w:lang w:val="es-ES"/>
                        </w:rPr>
                        <w:t>21</w:t>
                      </w:r>
                    </w:p>
                    <w:p w14:paraId="6C7A799B" w14:textId="77777777" w:rsidR="00F005B1" w:rsidRPr="00E722A2" w:rsidRDefault="00F005B1" w:rsidP="00997BC5">
                      <w:pPr>
                        <w:spacing w:line="276" w:lineRule="auto"/>
                        <w:rPr>
                          <w:rFonts w:ascii="Cambria" w:hAnsi="Cambria" w:cs="Arial"/>
                          <w:b/>
                          <w:color w:val="0D0D0D"/>
                          <w:sz w:val="36"/>
                          <w:szCs w:val="22"/>
                          <w:lang w:val="es-ES"/>
                        </w:rPr>
                      </w:pPr>
                      <w:r w:rsidRPr="00E722A2">
                        <w:rPr>
                          <w:rFonts w:ascii="Cambria" w:hAnsi="Cambria" w:cs="Arial"/>
                          <w:b/>
                          <w:color w:val="0D0D0D"/>
                          <w:sz w:val="36"/>
                          <w:szCs w:val="22"/>
                          <w:lang w:val="es-ES"/>
                        </w:rPr>
                        <w:t>CASO 12.071</w:t>
                      </w:r>
                    </w:p>
                    <w:p w14:paraId="3198222D" w14:textId="5DA6C4D7" w:rsidR="00F005B1" w:rsidRPr="00E722A2" w:rsidRDefault="00F005B1" w:rsidP="00161414">
                      <w:pPr>
                        <w:spacing w:line="276" w:lineRule="auto"/>
                        <w:rPr>
                          <w:rFonts w:ascii="Cambria" w:hAnsi="Cambria" w:cs="Arial"/>
                          <w:color w:val="0D0D0D"/>
                          <w:szCs w:val="22"/>
                          <w:lang w:val="es-ES"/>
                        </w:rPr>
                      </w:pPr>
                      <w:r w:rsidRPr="00E722A2">
                        <w:rPr>
                          <w:rFonts w:ascii="Cambria" w:hAnsi="Cambria" w:cs="Arial"/>
                          <w:color w:val="0D0D0D"/>
                          <w:szCs w:val="22"/>
                          <w:lang w:val="es-ES"/>
                        </w:rPr>
                        <w:t xml:space="preserve">INFORME DE </w:t>
                      </w:r>
                      <w:r w:rsidRPr="0080778E">
                        <w:rPr>
                          <w:rFonts w:ascii="Cambria" w:hAnsi="Cambria" w:cs="Arial"/>
                          <w:color w:val="0D0D0D"/>
                          <w:szCs w:val="22"/>
                          <w:lang w:val="es-ES"/>
                        </w:rPr>
                        <w:t>FONDO (</w:t>
                      </w:r>
                      <w:r w:rsidRPr="003B7960">
                        <w:rPr>
                          <w:rFonts w:ascii="Cambria" w:hAnsi="Cambria" w:cs="Arial"/>
                          <w:color w:val="0D0D0D"/>
                          <w:szCs w:val="22"/>
                          <w:lang w:val="es-ES"/>
                        </w:rPr>
                        <w:t>PUBLICACIÓN</w:t>
                      </w:r>
                      <w:r w:rsidRPr="0080778E">
                        <w:rPr>
                          <w:rFonts w:ascii="Cambria" w:hAnsi="Cambria" w:cs="Arial"/>
                          <w:color w:val="0D0D0D"/>
                          <w:szCs w:val="22"/>
                          <w:lang w:val="es-ES"/>
                        </w:rPr>
                        <w:t>)</w:t>
                      </w:r>
                    </w:p>
                    <w:p w14:paraId="3463DD5C" w14:textId="77777777" w:rsidR="00F005B1" w:rsidRPr="00E722A2" w:rsidRDefault="00F005B1" w:rsidP="00997BC5">
                      <w:pPr>
                        <w:spacing w:line="276" w:lineRule="auto"/>
                        <w:rPr>
                          <w:rFonts w:ascii="Cambria" w:hAnsi="Cambria" w:cs="Arial"/>
                          <w:color w:val="0D0D0D"/>
                          <w:szCs w:val="22"/>
                          <w:lang w:val="es-ES"/>
                        </w:rPr>
                      </w:pPr>
                      <w:bookmarkStart w:id="1" w:name="_ftnref1"/>
                    </w:p>
                    <w:bookmarkEnd w:id="1"/>
                    <w:p w14:paraId="762FD10F" w14:textId="77777777" w:rsidR="00F005B1" w:rsidRDefault="00F005B1" w:rsidP="00067F9E">
                      <w:pPr>
                        <w:rPr>
                          <w:rFonts w:ascii="Cambria" w:hAnsi="Cambria" w:cs="Arial"/>
                          <w:color w:val="0D0D0D"/>
                          <w:szCs w:val="22"/>
                          <w:lang w:val="es-ES"/>
                        </w:rPr>
                      </w:pPr>
                      <w:r>
                        <w:rPr>
                          <w:rFonts w:ascii="Cambria" w:hAnsi="Cambria" w:cs="Arial"/>
                          <w:color w:val="0D0D0D"/>
                          <w:szCs w:val="22"/>
                          <w:lang w:val="es-ES"/>
                        </w:rPr>
                        <w:t xml:space="preserve">CIUDADANOS </w:t>
                      </w:r>
                      <w:r w:rsidRPr="00E722A2">
                        <w:rPr>
                          <w:rFonts w:ascii="Cambria" w:hAnsi="Cambria" w:cs="Arial"/>
                          <w:color w:val="0D0D0D"/>
                          <w:szCs w:val="22"/>
                          <w:lang w:val="es-ES"/>
                        </w:rPr>
                        <w:t xml:space="preserve">CUBANOS Y HAITIANOS DETENIDOS </w:t>
                      </w:r>
                      <w:r>
                        <w:rPr>
                          <w:rFonts w:ascii="Cambria" w:hAnsi="Cambria" w:cs="Arial"/>
                          <w:color w:val="0D0D0D"/>
                          <w:szCs w:val="22"/>
                          <w:lang w:val="es-ES"/>
                        </w:rPr>
                        <w:t>EN</w:t>
                      </w:r>
                    </w:p>
                    <w:p w14:paraId="237426F6" w14:textId="77777777" w:rsidR="00F005B1" w:rsidRPr="00E722A2" w:rsidRDefault="00F005B1" w:rsidP="00067F9E">
                      <w:pPr>
                        <w:rPr>
                          <w:rFonts w:ascii="Cambria" w:hAnsi="Cambria" w:cs="Arial"/>
                          <w:color w:val="0D0D0D"/>
                          <w:szCs w:val="22"/>
                          <w:lang w:val="es-ES"/>
                        </w:rPr>
                      </w:pPr>
                      <w:r w:rsidRPr="00E722A2">
                        <w:rPr>
                          <w:rFonts w:ascii="Cambria" w:hAnsi="Cambria" w:cs="Arial"/>
                          <w:color w:val="0D0D0D"/>
                          <w:szCs w:val="22"/>
                          <w:lang w:val="es-ES"/>
                        </w:rPr>
                        <w:t xml:space="preserve">EL CENTRO DE DETENCIÓN </w:t>
                      </w:r>
                      <w:r>
                        <w:rPr>
                          <w:rFonts w:ascii="Cambria" w:hAnsi="Cambria" w:cs="Arial"/>
                          <w:color w:val="0D0D0D"/>
                          <w:szCs w:val="22"/>
                          <w:lang w:val="es-ES"/>
                        </w:rPr>
                        <w:t xml:space="preserve">DE </w:t>
                      </w:r>
                      <w:r w:rsidRPr="00E722A2">
                        <w:rPr>
                          <w:rFonts w:ascii="Cambria" w:hAnsi="Cambria" w:cs="Arial"/>
                          <w:color w:val="0D0D0D"/>
                          <w:szCs w:val="22"/>
                          <w:lang w:val="es-ES"/>
                        </w:rPr>
                        <w:t>CARMICHAEL ROAD</w:t>
                      </w:r>
                      <w:r>
                        <w:rPr>
                          <w:rFonts w:ascii="Cambria" w:hAnsi="Cambria" w:cs="Arial"/>
                          <w:color w:val="0D0D0D"/>
                          <w:szCs w:val="22"/>
                          <w:lang w:val="es-ES"/>
                        </w:rPr>
                        <w:t xml:space="preserve"> Y DEPORTADOS</w:t>
                      </w:r>
                      <w:r w:rsidRPr="00E722A2">
                        <w:rPr>
                          <w:rFonts w:ascii="Cambria" w:hAnsi="Cambria" w:cs="Arial"/>
                          <w:color w:val="0D0D0D"/>
                          <w:szCs w:val="22"/>
                          <w:lang w:val="es-ES"/>
                        </w:rPr>
                        <w:t xml:space="preserve"> </w:t>
                      </w:r>
                    </w:p>
                    <w:p w14:paraId="3A075E3F" w14:textId="5F9B82E4" w:rsidR="00F005B1" w:rsidRPr="00E722A2" w:rsidRDefault="00286042" w:rsidP="00067F9E">
                      <w:pPr>
                        <w:rPr>
                          <w:color w:val="0D0D0D"/>
                          <w:lang w:val="es-ES"/>
                        </w:rPr>
                      </w:pPr>
                      <w:r>
                        <w:rPr>
                          <w:rFonts w:ascii="Cambria" w:hAnsi="Cambria" w:cs="Arial"/>
                          <w:color w:val="0D0D0D"/>
                          <w:szCs w:val="22"/>
                          <w:lang w:val="es-ES"/>
                        </w:rPr>
                        <w:t xml:space="preserve">El COMMONWEALTH DE </w:t>
                      </w:r>
                      <w:r w:rsidR="005D4092">
                        <w:rPr>
                          <w:rFonts w:ascii="Cambria" w:hAnsi="Cambria" w:cs="Arial"/>
                          <w:color w:val="0D0D0D"/>
                          <w:szCs w:val="22"/>
                          <w:lang w:val="es-ES"/>
                        </w:rPr>
                        <w:t xml:space="preserve">LAS </w:t>
                      </w:r>
                      <w:r w:rsidR="00F005B1" w:rsidRPr="00E722A2">
                        <w:rPr>
                          <w:rFonts w:ascii="Cambria" w:hAnsi="Cambria" w:cs="Arial"/>
                          <w:color w:val="0D0D0D"/>
                          <w:szCs w:val="22"/>
                          <w:lang w:val="es-ES"/>
                        </w:rPr>
                        <w:t>BAHAMAS</w:t>
                      </w:r>
                    </w:p>
                  </w:txbxContent>
                </v:textbox>
              </v:shape>
            </w:pict>
          </mc:Fallback>
        </mc:AlternateContent>
      </w:r>
      <w:r w:rsidRPr="003B7960">
        <w:rPr>
          <w:rFonts w:ascii="Cambria" w:hAnsi="Cambria"/>
          <w:noProof/>
          <w:lang w:val="es-ES" w:eastAsia="es-ES"/>
        </w:rPr>
        <mc:AlternateContent>
          <mc:Choice Requires="wps">
            <w:drawing>
              <wp:anchor distT="0" distB="0" distL="114300" distR="114300" simplePos="0" relativeHeight="251657216" behindDoc="0" locked="0" layoutInCell="1" allowOverlap="1" wp14:anchorId="4E8B155F" wp14:editId="48BFC00B">
                <wp:simplePos x="0" y="0"/>
                <wp:positionH relativeFrom="column">
                  <wp:posOffset>-341630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5F982D57" w14:textId="28ADED9A" w:rsidR="00F005B1" w:rsidRPr="0080778E" w:rsidRDefault="00F005B1" w:rsidP="007A5817">
                            <w:pPr>
                              <w:spacing w:line="276" w:lineRule="auto"/>
                              <w:jc w:val="right"/>
                              <w:rPr>
                                <w:rFonts w:ascii="Calibri" w:hAnsi="Calibri"/>
                                <w:color w:val="FFFFFF"/>
                                <w:sz w:val="22"/>
                                <w:lang w:val="es-ES"/>
                              </w:rPr>
                            </w:pPr>
                            <w:r w:rsidRPr="0080778E">
                              <w:rPr>
                                <w:rFonts w:ascii="Calibri" w:hAnsi="Calibri"/>
                                <w:color w:val="FFFFFF"/>
                                <w:sz w:val="22"/>
                                <w:lang w:val="es-ES"/>
                              </w:rPr>
                              <w:t>OEA/</w:t>
                            </w:r>
                            <w:proofErr w:type="spellStart"/>
                            <w:r w:rsidRPr="0080778E">
                              <w:rPr>
                                <w:rFonts w:ascii="Calibri" w:hAnsi="Calibri"/>
                                <w:color w:val="FFFFFF"/>
                                <w:sz w:val="22"/>
                                <w:lang w:val="es-ES"/>
                              </w:rPr>
                              <w:t>Ser.L</w:t>
                            </w:r>
                            <w:proofErr w:type="spellEnd"/>
                            <w:r w:rsidRPr="0080778E">
                              <w:rPr>
                                <w:rFonts w:ascii="Calibri" w:hAnsi="Calibri"/>
                                <w:color w:val="FFFFFF"/>
                                <w:sz w:val="22"/>
                                <w:lang w:val="es-ES"/>
                              </w:rPr>
                              <w:t>/V/II</w:t>
                            </w:r>
                          </w:p>
                          <w:p w14:paraId="6C105432" w14:textId="3FC8F263" w:rsidR="00F005B1" w:rsidRPr="0080778E" w:rsidRDefault="00F005B1" w:rsidP="007A5817">
                            <w:pPr>
                              <w:spacing w:line="276" w:lineRule="auto"/>
                              <w:jc w:val="right"/>
                              <w:rPr>
                                <w:rFonts w:ascii="Calibri" w:hAnsi="Calibri"/>
                                <w:color w:val="FFFFFF"/>
                                <w:sz w:val="22"/>
                                <w:lang w:val="es-ES"/>
                              </w:rPr>
                            </w:pPr>
                            <w:r w:rsidRPr="0080778E">
                              <w:rPr>
                                <w:rFonts w:ascii="Calibri" w:hAnsi="Calibri"/>
                                <w:color w:val="FFFFFF"/>
                                <w:sz w:val="22"/>
                                <w:lang w:val="es-ES"/>
                              </w:rPr>
                              <w:t xml:space="preserve">Doc. </w:t>
                            </w:r>
                            <w:r w:rsidR="003B7960">
                              <w:rPr>
                                <w:rFonts w:ascii="Calibri" w:hAnsi="Calibri"/>
                                <w:color w:val="FFFFFF"/>
                                <w:sz w:val="22"/>
                                <w:lang w:val="es-ES"/>
                              </w:rPr>
                              <w:t>473</w:t>
                            </w:r>
                          </w:p>
                          <w:p w14:paraId="497AEA17" w14:textId="00548AEC" w:rsidR="00F005B1" w:rsidRPr="008A4F19" w:rsidRDefault="003B7960" w:rsidP="003B7960">
                            <w:pPr>
                              <w:spacing w:line="276" w:lineRule="auto"/>
                              <w:ind w:right="110"/>
                              <w:jc w:val="right"/>
                              <w:rPr>
                                <w:rFonts w:ascii="Calibri" w:hAnsi="Calibri"/>
                                <w:color w:val="FFFFFF"/>
                                <w:sz w:val="22"/>
                                <w:lang w:val="es-ES"/>
                              </w:rPr>
                            </w:pPr>
                            <w:r>
                              <w:rPr>
                                <w:rFonts w:ascii="Calibri" w:hAnsi="Calibri"/>
                                <w:color w:val="FFFFFF"/>
                                <w:sz w:val="22"/>
                                <w:lang w:val="es-ES"/>
                              </w:rPr>
                              <w:t>31</w:t>
                            </w:r>
                            <w:r w:rsidR="00F005B1">
                              <w:rPr>
                                <w:rFonts w:ascii="Calibri" w:hAnsi="Calibri"/>
                                <w:color w:val="FFFFFF"/>
                                <w:sz w:val="22"/>
                                <w:lang w:val="es-ES"/>
                              </w:rPr>
                              <w:t xml:space="preserve"> diciembre</w:t>
                            </w:r>
                            <w:r w:rsidR="00F005B1" w:rsidRPr="008A4F19">
                              <w:rPr>
                                <w:rFonts w:ascii="Calibri" w:hAnsi="Calibri"/>
                                <w:color w:val="FFFFFF"/>
                                <w:sz w:val="22"/>
                                <w:lang w:val="es-ES"/>
                              </w:rPr>
                              <w:t xml:space="preserve"> 20</w:t>
                            </w:r>
                            <w:r w:rsidR="00F005B1">
                              <w:rPr>
                                <w:rFonts w:ascii="Calibri" w:hAnsi="Calibri"/>
                                <w:color w:val="FFFFFF"/>
                                <w:sz w:val="22"/>
                                <w:lang w:val="es-ES"/>
                              </w:rPr>
                              <w:t>21</w:t>
                            </w:r>
                          </w:p>
                          <w:p w14:paraId="0B734BCD" w14:textId="77777777" w:rsidR="00F005B1" w:rsidRPr="008A4F19" w:rsidRDefault="00F005B1" w:rsidP="007A5817">
                            <w:pPr>
                              <w:spacing w:line="276" w:lineRule="auto"/>
                              <w:jc w:val="right"/>
                              <w:rPr>
                                <w:rFonts w:ascii="Calibri" w:hAnsi="Calibri"/>
                                <w:color w:val="FFFFFF"/>
                                <w:sz w:val="22"/>
                                <w:lang w:val="es-ES"/>
                              </w:rPr>
                            </w:pPr>
                            <w:r w:rsidRPr="008A4F19">
                              <w:rPr>
                                <w:rFonts w:ascii="Calibri" w:hAnsi="Calibri"/>
                                <w:color w:val="FFFFFF"/>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155F" id="Text Box 8" o:spid="_x0000_s1028" type="#_x0000_t202" style="position:absolute;left:0;text-align:left;margin-left:-26.9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" filled="f" stroked="f" strokeweight=".5pt">
                <v:textbox>
                  <w:txbxContent>
                    <w:p w14:paraId="5F982D57" w14:textId="28ADED9A" w:rsidR="00F005B1" w:rsidRPr="0080778E" w:rsidRDefault="00F005B1" w:rsidP="007A5817">
                      <w:pPr>
                        <w:spacing w:line="276" w:lineRule="auto"/>
                        <w:jc w:val="right"/>
                        <w:rPr>
                          <w:rFonts w:ascii="Calibri" w:hAnsi="Calibri"/>
                          <w:color w:val="FFFFFF"/>
                          <w:sz w:val="22"/>
                          <w:lang w:val="es-ES"/>
                        </w:rPr>
                      </w:pPr>
                      <w:r w:rsidRPr="0080778E">
                        <w:rPr>
                          <w:rFonts w:ascii="Calibri" w:hAnsi="Calibri"/>
                          <w:color w:val="FFFFFF"/>
                          <w:sz w:val="22"/>
                          <w:lang w:val="es-ES"/>
                        </w:rPr>
                        <w:t>OEA/Ser.L/V/II</w:t>
                      </w:r>
                    </w:p>
                    <w:p w14:paraId="6C105432" w14:textId="3FC8F263" w:rsidR="00F005B1" w:rsidRPr="0080778E" w:rsidRDefault="00F005B1" w:rsidP="007A5817">
                      <w:pPr>
                        <w:spacing w:line="276" w:lineRule="auto"/>
                        <w:jc w:val="right"/>
                        <w:rPr>
                          <w:rFonts w:ascii="Calibri" w:hAnsi="Calibri"/>
                          <w:color w:val="FFFFFF"/>
                          <w:sz w:val="22"/>
                          <w:lang w:val="es-ES"/>
                        </w:rPr>
                      </w:pPr>
                      <w:r w:rsidRPr="0080778E">
                        <w:rPr>
                          <w:rFonts w:ascii="Calibri" w:hAnsi="Calibri"/>
                          <w:color w:val="FFFFFF"/>
                          <w:sz w:val="22"/>
                          <w:lang w:val="es-ES"/>
                        </w:rPr>
                        <w:t xml:space="preserve">Doc. </w:t>
                      </w:r>
                      <w:r w:rsidR="003B7960">
                        <w:rPr>
                          <w:rFonts w:ascii="Calibri" w:hAnsi="Calibri"/>
                          <w:color w:val="FFFFFF"/>
                          <w:sz w:val="22"/>
                          <w:lang w:val="es-ES"/>
                        </w:rPr>
                        <w:t>473</w:t>
                      </w:r>
                    </w:p>
                    <w:p w14:paraId="497AEA17" w14:textId="00548AEC" w:rsidR="00F005B1" w:rsidRPr="008A4F19" w:rsidRDefault="003B7960" w:rsidP="003B7960">
                      <w:pPr>
                        <w:spacing w:line="276" w:lineRule="auto"/>
                        <w:ind w:right="110"/>
                        <w:jc w:val="right"/>
                        <w:rPr>
                          <w:rFonts w:ascii="Calibri" w:hAnsi="Calibri"/>
                          <w:color w:val="FFFFFF"/>
                          <w:sz w:val="22"/>
                          <w:lang w:val="es-ES"/>
                        </w:rPr>
                      </w:pPr>
                      <w:r>
                        <w:rPr>
                          <w:rFonts w:ascii="Calibri" w:hAnsi="Calibri"/>
                          <w:color w:val="FFFFFF"/>
                          <w:sz w:val="22"/>
                          <w:lang w:val="es-ES"/>
                        </w:rPr>
                        <w:t>31</w:t>
                      </w:r>
                      <w:r w:rsidR="00F005B1">
                        <w:rPr>
                          <w:rFonts w:ascii="Calibri" w:hAnsi="Calibri"/>
                          <w:color w:val="FFFFFF"/>
                          <w:sz w:val="22"/>
                          <w:lang w:val="es-ES"/>
                        </w:rPr>
                        <w:t xml:space="preserve"> diciembre</w:t>
                      </w:r>
                      <w:r w:rsidR="00F005B1" w:rsidRPr="008A4F19">
                        <w:rPr>
                          <w:rFonts w:ascii="Calibri" w:hAnsi="Calibri"/>
                          <w:color w:val="FFFFFF"/>
                          <w:sz w:val="22"/>
                          <w:lang w:val="es-ES"/>
                        </w:rPr>
                        <w:t xml:space="preserve"> 20</w:t>
                      </w:r>
                      <w:r w:rsidR="00F005B1">
                        <w:rPr>
                          <w:rFonts w:ascii="Calibri" w:hAnsi="Calibri"/>
                          <w:color w:val="FFFFFF"/>
                          <w:sz w:val="22"/>
                          <w:lang w:val="es-ES"/>
                        </w:rPr>
                        <w:t>21</w:t>
                      </w:r>
                    </w:p>
                    <w:p w14:paraId="0B734BCD" w14:textId="77777777" w:rsidR="00F005B1" w:rsidRPr="008A4F19" w:rsidRDefault="00F005B1" w:rsidP="007A5817">
                      <w:pPr>
                        <w:spacing w:line="276" w:lineRule="auto"/>
                        <w:jc w:val="right"/>
                        <w:rPr>
                          <w:rFonts w:ascii="Calibri" w:hAnsi="Calibri"/>
                          <w:color w:val="FFFFFF"/>
                          <w:sz w:val="22"/>
                          <w:lang w:val="es-ES"/>
                        </w:rPr>
                      </w:pPr>
                      <w:r w:rsidRPr="008A4F19">
                        <w:rPr>
                          <w:rFonts w:ascii="Calibri" w:hAnsi="Calibri"/>
                          <w:color w:val="FFFFFF"/>
                          <w:sz w:val="22"/>
                          <w:lang w:val="es-ES"/>
                        </w:rPr>
                        <w:t>Original: inglés</w:t>
                      </w:r>
                    </w:p>
                  </w:txbxContent>
                </v:textbox>
              </v:shape>
            </w:pict>
          </mc:Fallback>
        </mc:AlternateContent>
      </w:r>
    </w:p>
    <w:p w14:paraId="3946FACC" w14:textId="77777777" w:rsidR="00040C3A" w:rsidRPr="003B7960" w:rsidRDefault="00040C3A" w:rsidP="00101DC6">
      <w:pPr>
        <w:tabs>
          <w:tab w:val="left" w:pos="426"/>
        </w:tabs>
        <w:suppressAutoHyphens/>
        <w:jc w:val="both"/>
        <w:rPr>
          <w:rFonts w:ascii="Cambria" w:hAnsi="Cambria"/>
          <w:sz w:val="20"/>
          <w:szCs w:val="20"/>
          <w:lang w:val="es-ES"/>
        </w:rPr>
      </w:pPr>
    </w:p>
    <w:p w14:paraId="73104151" w14:textId="77777777" w:rsidR="00040C3A" w:rsidRPr="003B7960" w:rsidRDefault="00040C3A" w:rsidP="00101DC6">
      <w:pPr>
        <w:tabs>
          <w:tab w:val="left" w:pos="426"/>
        </w:tabs>
        <w:suppressAutoHyphens/>
        <w:jc w:val="both"/>
        <w:rPr>
          <w:rFonts w:ascii="Cambria" w:hAnsi="Cambria"/>
          <w:sz w:val="20"/>
          <w:szCs w:val="20"/>
          <w:lang w:val="es-ES"/>
        </w:rPr>
      </w:pPr>
    </w:p>
    <w:p w14:paraId="51A6BF21" w14:textId="77777777" w:rsidR="00040C3A" w:rsidRPr="003B7960" w:rsidRDefault="00040C3A" w:rsidP="00101DC6">
      <w:pPr>
        <w:tabs>
          <w:tab w:val="left" w:pos="426"/>
        </w:tabs>
        <w:suppressAutoHyphens/>
        <w:jc w:val="both"/>
        <w:rPr>
          <w:rFonts w:ascii="Cambria" w:hAnsi="Cambria" w:cs="Arial"/>
          <w:sz w:val="20"/>
          <w:szCs w:val="20"/>
          <w:lang w:val="es-ES"/>
        </w:rPr>
      </w:pPr>
    </w:p>
    <w:p w14:paraId="04FF34D3" w14:textId="77777777" w:rsidR="00040C3A" w:rsidRPr="003B7960" w:rsidRDefault="00040C3A" w:rsidP="00101DC6">
      <w:pPr>
        <w:tabs>
          <w:tab w:val="left" w:pos="426"/>
        </w:tabs>
        <w:suppressAutoHyphens/>
        <w:jc w:val="both"/>
        <w:rPr>
          <w:rFonts w:ascii="Cambria" w:hAnsi="Cambria"/>
          <w:sz w:val="20"/>
          <w:szCs w:val="20"/>
          <w:lang w:val="es-ES"/>
        </w:rPr>
      </w:pPr>
    </w:p>
    <w:p w14:paraId="4D9A4257" w14:textId="77777777" w:rsidR="00040C3A" w:rsidRPr="003B7960" w:rsidRDefault="00040C3A" w:rsidP="00101DC6">
      <w:pPr>
        <w:tabs>
          <w:tab w:val="left" w:pos="426"/>
        </w:tabs>
        <w:suppressAutoHyphens/>
        <w:jc w:val="both"/>
        <w:rPr>
          <w:rFonts w:ascii="Cambria" w:hAnsi="Cambria"/>
          <w:sz w:val="20"/>
          <w:szCs w:val="20"/>
          <w:lang w:val="es-ES"/>
        </w:rPr>
      </w:pPr>
    </w:p>
    <w:p w14:paraId="31EFEC95" w14:textId="77777777" w:rsidR="00040C3A" w:rsidRPr="003B7960" w:rsidRDefault="00040C3A" w:rsidP="00101DC6">
      <w:pPr>
        <w:tabs>
          <w:tab w:val="left" w:pos="426"/>
        </w:tabs>
        <w:suppressAutoHyphens/>
        <w:jc w:val="both"/>
        <w:rPr>
          <w:rFonts w:ascii="Cambria" w:hAnsi="Cambria"/>
          <w:sz w:val="20"/>
          <w:szCs w:val="20"/>
          <w:lang w:val="es-ES"/>
        </w:rPr>
      </w:pPr>
    </w:p>
    <w:p w14:paraId="5C53D5F6" w14:textId="77777777" w:rsidR="00040C3A" w:rsidRPr="003B7960" w:rsidRDefault="00040C3A" w:rsidP="00101DC6">
      <w:pPr>
        <w:tabs>
          <w:tab w:val="left" w:pos="426"/>
        </w:tabs>
        <w:suppressAutoHyphens/>
        <w:jc w:val="both"/>
        <w:rPr>
          <w:rFonts w:ascii="Cambria" w:hAnsi="Cambria"/>
          <w:sz w:val="20"/>
          <w:szCs w:val="20"/>
          <w:lang w:val="es-ES"/>
        </w:rPr>
      </w:pPr>
    </w:p>
    <w:p w14:paraId="1744234C" w14:textId="77777777" w:rsidR="005128E4" w:rsidRPr="003B7960" w:rsidRDefault="005128E4" w:rsidP="00101DC6">
      <w:pPr>
        <w:tabs>
          <w:tab w:val="left" w:pos="426"/>
        </w:tabs>
        <w:suppressAutoHyphens/>
        <w:jc w:val="both"/>
        <w:rPr>
          <w:rFonts w:ascii="Cambria" w:hAnsi="Cambria"/>
          <w:sz w:val="20"/>
          <w:szCs w:val="20"/>
          <w:lang w:val="es-ES"/>
        </w:rPr>
      </w:pPr>
    </w:p>
    <w:p w14:paraId="2C0AE7C9" w14:textId="77777777" w:rsidR="00040C3A" w:rsidRPr="003B7960" w:rsidRDefault="00040C3A" w:rsidP="00101DC6">
      <w:pPr>
        <w:tabs>
          <w:tab w:val="left" w:pos="426"/>
        </w:tabs>
        <w:suppressAutoHyphens/>
        <w:jc w:val="both"/>
        <w:rPr>
          <w:rFonts w:ascii="Cambria" w:hAnsi="Cambria"/>
          <w:sz w:val="20"/>
          <w:szCs w:val="20"/>
          <w:lang w:val="es-ES"/>
        </w:rPr>
      </w:pPr>
    </w:p>
    <w:p w14:paraId="396AE74E" w14:textId="77777777" w:rsidR="005128E4" w:rsidRPr="003B7960" w:rsidRDefault="005128E4" w:rsidP="00101DC6">
      <w:pPr>
        <w:tabs>
          <w:tab w:val="left" w:pos="426"/>
        </w:tabs>
        <w:suppressAutoHyphens/>
        <w:jc w:val="both"/>
        <w:rPr>
          <w:rFonts w:ascii="Cambria" w:hAnsi="Cambria"/>
          <w:sz w:val="20"/>
          <w:szCs w:val="20"/>
          <w:lang w:val="es-ES"/>
        </w:rPr>
      </w:pPr>
    </w:p>
    <w:p w14:paraId="55387AA5" w14:textId="77777777" w:rsidR="005128E4" w:rsidRPr="003B7960" w:rsidRDefault="005128E4" w:rsidP="00101DC6">
      <w:pPr>
        <w:tabs>
          <w:tab w:val="left" w:pos="426"/>
        </w:tabs>
        <w:suppressAutoHyphens/>
        <w:jc w:val="both"/>
        <w:rPr>
          <w:rFonts w:ascii="Cambria" w:hAnsi="Cambria"/>
          <w:sz w:val="20"/>
          <w:szCs w:val="20"/>
          <w:lang w:val="es-ES"/>
        </w:rPr>
      </w:pPr>
    </w:p>
    <w:p w14:paraId="72C5E793" w14:textId="77777777" w:rsidR="005128E4" w:rsidRPr="003B7960" w:rsidRDefault="005128E4" w:rsidP="00101DC6">
      <w:pPr>
        <w:tabs>
          <w:tab w:val="left" w:pos="426"/>
        </w:tabs>
        <w:suppressAutoHyphens/>
        <w:jc w:val="both"/>
        <w:rPr>
          <w:rFonts w:ascii="Cambria" w:hAnsi="Cambria"/>
          <w:sz w:val="20"/>
          <w:szCs w:val="20"/>
          <w:lang w:val="es-ES"/>
        </w:rPr>
      </w:pPr>
    </w:p>
    <w:p w14:paraId="2D51F83A" w14:textId="77777777" w:rsidR="00040C3A" w:rsidRPr="003B7960" w:rsidRDefault="00040C3A" w:rsidP="00101DC6">
      <w:pPr>
        <w:tabs>
          <w:tab w:val="left" w:pos="426"/>
        </w:tabs>
        <w:suppressAutoHyphens/>
        <w:jc w:val="both"/>
        <w:rPr>
          <w:rFonts w:ascii="Cambria" w:hAnsi="Cambria"/>
          <w:sz w:val="20"/>
          <w:szCs w:val="20"/>
          <w:lang w:val="es-ES"/>
        </w:rPr>
      </w:pPr>
    </w:p>
    <w:p w14:paraId="3CAC8C6E" w14:textId="77777777" w:rsidR="00040C3A" w:rsidRPr="003B7960" w:rsidRDefault="00040C3A" w:rsidP="00101DC6">
      <w:pPr>
        <w:tabs>
          <w:tab w:val="left" w:pos="426"/>
        </w:tabs>
        <w:suppressAutoHyphens/>
        <w:jc w:val="both"/>
        <w:rPr>
          <w:rFonts w:ascii="Cambria" w:hAnsi="Cambria"/>
          <w:sz w:val="20"/>
          <w:szCs w:val="20"/>
          <w:lang w:val="es-ES"/>
        </w:rPr>
      </w:pPr>
    </w:p>
    <w:p w14:paraId="42943D1D" w14:textId="77777777" w:rsidR="00A50FCF" w:rsidRPr="003B7960" w:rsidRDefault="00A50FCF" w:rsidP="00101DC6">
      <w:pPr>
        <w:tabs>
          <w:tab w:val="left" w:pos="426"/>
        </w:tabs>
        <w:suppressAutoHyphens/>
        <w:jc w:val="both"/>
        <w:rPr>
          <w:rFonts w:ascii="Cambria" w:hAnsi="Cambria"/>
          <w:sz w:val="20"/>
          <w:szCs w:val="20"/>
          <w:lang w:val="es-ES"/>
        </w:rPr>
      </w:pPr>
    </w:p>
    <w:p w14:paraId="4BF9639E" w14:textId="77777777" w:rsidR="00A50FCF" w:rsidRPr="003B7960" w:rsidRDefault="00A50FCF" w:rsidP="00101DC6">
      <w:pPr>
        <w:tabs>
          <w:tab w:val="left" w:pos="426"/>
        </w:tabs>
        <w:suppressAutoHyphens/>
        <w:jc w:val="both"/>
        <w:rPr>
          <w:rFonts w:ascii="Cambria" w:hAnsi="Cambria"/>
          <w:sz w:val="20"/>
          <w:szCs w:val="20"/>
          <w:lang w:val="es-ES"/>
        </w:rPr>
      </w:pPr>
    </w:p>
    <w:p w14:paraId="396F7552" w14:textId="77777777" w:rsidR="00A50FCF" w:rsidRPr="003B7960" w:rsidRDefault="00A50FCF" w:rsidP="00101DC6">
      <w:pPr>
        <w:tabs>
          <w:tab w:val="left" w:pos="426"/>
        </w:tabs>
        <w:suppressAutoHyphens/>
        <w:jc w:val="both"/>
        <w:rPr>
          <w:rFonts w:ascii="Cambria" w:hAnsi="Cambria"/>
          <w:sz w:val="20"/>
          <w:szCs w:val="20"/>
          <w:lang w:val="es-ES"/>
        </w:rPr>
      </w:pPr>
    </w:p>
    <w:p w14:paraId="03F4AB3A" w14:textId="77777777" w:rsidR="00A50FCF" w:rsidRPr="003B7960" w:rsidRDefault="00A50FCF" w:rsidP="00101DC6">
      <w:pPr>
        <w:tabs>
          <w:tab w:val="left" w:pos="426"/>
        </w:tabs>
        <w:suppressAutoHyphens/>
        <w:jc w:val="both"/>
        <w:rPr>
          <w:rFonts w:ascii="Cambria" w:hAnsi="Cambria"/>
          <w:sz w:val="20"/>
          <w:szCs w:val="20"/>
          <w:lang w:val="es-ES"/>
        </w:rPr>
      </w:pPr>
    </w:p>
    <w:p w14:paraId="5C597AC7" w14:textId="77777777" w:rsidR="00A50FCF" w:rsidRPr="003B7960" w:rsidRDefault="00A50FCF" w:rsidP="00101DC6">
      <w:pPr>
        <w:tabs>
          <w:tab w:val="left" w:pos="426"/>
        </w:tabs>
        <w:suppressAutoHyphens/>
        <w:jc w:val="both"/>
        <w:rPr>
          <w:rFonts w:ascii="Cambria" w:hAnsi="Cambria"/>
          <w:sz w:val="20"/>
          <w:szCs w:val="20"/>
          <w:lang w:val="es-ES"/>
        </w:rPr>
      </w:pPr>
    </w:p>
    <w:p w14:paraId="6FC812A9" w14:textId="77777777" w:rsidR="00A50FCF" w:rsidRPr="003B7960" w:rsidRDefault="00A50FCF" w:rsidP="00101DC6">
      <w:pPr>
        <w:tabs>
          <w:tab w:val="left" w:pos="426"/>
        </w:tabs>
        <w:suppressAutoHyphens/>
        <w:jc w:val="both"/>
        <w:rPr>
          <w:rFonts w:ascii="Cambria" w:hAnsi="Cambria"/>
          <w:sz w:val="20"/>
          <w:szCs w:val="20"/>
          <w:lang w:val="es-ES"/>
        </w:rPr>
      </w:pPr>
    </w:p>
    <w:p w14:paraId="6980CC96" w14:textId="77777777" w:rsidR="00A50FCF" w:rsidRPr="003B7960" w:rsidRDefault="00A50FCF" w:rsidP="00101DC6">
      <w:pPr>
        <w:tabs>
          <w:tab w:val="left" w:pos="426"/>
        </w:tabs>
        <w:suppressAutoHyphens/>
        <w:jc w:val="both"/>
        <w:rPr>
          <w:rFonts w:ascii="Cambria" w:hAnsi="Cambria"/>
          <w:sz w:val="20"/>
          <w:szCs w:val="20"/>
          <w:lang w:val="es-ES"/>
        </w:rPr>
      </w:pPr>
    </w:p>
    <w:p w14:paraId="0D35859D" w14:textId="77777777" w:rsidR="00A50FCF" w:rsidRPr="003B7960" w:rsidRDefault="00A50FCF" w:rsidP="00101DC6">
      <w:pPr>
        <w:tabs>
          <w:tab w:val="left" w:pos="426"/>
        </w:tabs>
        <w:suppressAutoHyphens/>
        <w:jc w:val="both"/>
        <w:rPr>
          <w:rFonts w:ascii="Cambria" w:hAnsi="Cambria"/>
          <w:sz w:val="20"/>
          <w:szCs w:val="20"/>
          <w:lang w:val="es-ES"/>
        </w:rPr>
      </w:pPr>
    </w:p>
    <w:p w14:paraId="595399D2" w14:textId="77777777" w:rsidR="00A50FCF" w:rsidRPr="003B7960" w:rsidRDefault="00A50FCF" w:rsidP="00101DC6">
      <w:pPr>
        <w:tabs>
          <w:tab w:val="left" w:pos="426"/>
        </w:tabs>
        <w:suppressAutoHyphens/>
        <w:jc w:val="both"/>
        <w:rPr>
          <w:rFonts w:ascii="Cambria" w:hAnsi="Cambria"/>
          <w:sz w:val="20"/>
          <w:szCs w:val="20"/>
          <w:lang w:val="es-ES"/>
        </w:rPr>
      </w:pPr>
    </w:p>
    <w:p w14:paraId="7740F98F" w14:textId="77777777" w:rsidR="00A50FCF" w:rsidRPr="003B7960" w:rsidRDefault="00A50FCF" w:rsidP="00101DC6">
      <w:pPr>
        <w:tabs>
          <w:tab w:val="left" w:pos="426"/>
        </w:tabs>
        <w:suppressAutoHyphens/>
        <w:jc w:val="both"/>
        <w:rPr>
          <w:rFonts w:ascii="Cambria" w:hAnsi="Cambria"/>
          <w:sz w:val="20"/>
          <w:szCs w:val="20"/>
          <w:lang w:val="es-ES"/>
        </w:rPr>
      </w:pPr>
    </w:p>
    <w:p w14:paraId="12B2CED9" w14:textId="77777777" w:rsidR="00A50FCF" w:rsidRPr="003B7960" w:rsidRDefault="00A50FCF" w:rsidP="00101DC6">
      <w:pPr>
        <w:tabs>
          <w:tab w:val="left" w:pos="426"/>
        </w:tabs>
        <w:suppressAutoHyphens/>
        <w:jc w:val="both"/>
        <w:rPr>
          <w:rFonts w:ascii="Cambria" w:hAnsi="Cambria"/>
          <w:sz w:val="20"/>
          <w:szCs w:val="20"/>
          <w:lang w:val="es-ES"/>
        </w:rPr>
      </w:pPr>
    </w:p>
    <w:p w14:paraId="70B623E2" w14:textId="77777777" w:rsidR="00A50FCF" w:rsidRPr="003B7960" w:rsidRDefault="00A50FCF" w:rsidP="00101DC6">
      <w:pPr>
        <w:tabs>
          <w:tab w:val="left" w:pos="426"/>
        </w:tabs>
        <w:suppressAutoHyphens/>
        <w:jc w:val="both"/>
        <w:rPr>
          <w:rFonts w:ascii="Cambria" w:hAnsi="Cambria"/>
          <w:sz w:val="20"/>
          <w:szCs w:val="20"/>
          <w:lang w:val="es-ES"/>
        </w:rPr>
      </w:pPr>
    </w:p>
    <w:p w14:paraId="168B9921" w14:textId="77777777" w:rsidR="00A50FCF" w:rsidRPr="003B7960" w:rsidRDefault="00A50FCF" w:rsidP="00101DC6">
      <w:pPr>
        <w:tabs>
          <w:tab w:val="left" w:pos="426"/>
        </w:tabs>
        <w:suppressAutoHyphens/>
        <w:jc w:val="both"/>
        <w:rPr>
          <w:rFonts w:ascii="Cambria" w:hAnsi="Cambria"/>
          <w:sz w:val="20"/>
          <w:szCs w:val="20"/>
          <w:lang w:val="es-ES"/>
        </w:rPr>
      </w:pPr>
    </w:p>
    <w:p w14:paraId="047E3C91" w14:textId="77777777" w:rsidR="00A50FCF" w:rsidRPr="003B7960" w:rsidRDefault="00A50FCF" w:rsidP="00101DC6">
      <w:pPr>
        <w:tabs>
          <w:tab w:val="left" w:pos="426"/>
        </w:tabs>
        <w:suppressAutoHyphens/>
        <w:jc w:val="both"/>
        <w:rPr>
          <w:rFonts w:ascii="Cambria" w:hAnsi="Cambria"/>
          <w:sz w:val="20"/>
          <w:szCs w:val="20"/>
          <w:lang w:val="es-ES"/>
        </w:rPr>
      </w:pPr>
    </w:p>
    <w:p w14:paraId="79E63547" w14:textId="77777777" w:rsidR="00A50FCF" w:rsidRPr="003B7960" w:rsidRDefault="00067F9E" w:rsidP="00101DC6">
      <w:pPr>
        <w:tabs>
          <w:tab w:val="left" w:pos="426"/>
        </w:tabs>
        <w:suppressAutoHyphens/>
        <w:jc w:val="both"/>
        <w:rPr>
          <w:rFonts w:ascii="Cambria" w:hAnsi="Cambria"/>
          <w:sz w:val="20"/>
          <w:szCs w:val="20"/>
          <w:lang w:val="es-ES"/>
        </w:rPr>
      </w:pPr>
      <w:r w:rsidRPr="003B7960">
        <w:rPr>
          <w:rFonts w:ascii="Cambria" w:hAnsi="Cambria"/>
          <w:noProof/>
          <w:lang w:val="es-ES" w:eastAsia="es-ES"/>
        </w:rPr>
        <mc:AlternateContent>
          <mc:Choice Requires="wps">
            <w:drawing>
              <wp:anchor distT="0" distB="0" distL="114300" distR="114300" simplePos="0" relativeHeight="251656192" behindDoc="0" locked="0" layoutInCell="1" allowOverlap="1" wp14:anchorId="7F373A5D" wp14:editId="04C6EFDC">
                <wp:simplePos x="0" y="0"/>
                <wp:positionH relativeFrom="column">
                  <wp:posOffset>1371600</wp:posOffset>
                </wp:positionH>
                <wp:positionV relativeFrom="paragraph">
                  <wp:posOffset>53340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7C989FA1" w14:textId="34FD2B24" w:rsidR="00F005B1" w:rsidRPr="007372D2" w:rsidRDefault="00F005B1" w:rsidP="00247403">
                            <w:pPr>
                              <w:tabs>
                                <w:tab w:val="center" w:pos="5400"/>
                              </w:tabs>
                              <w:suppressAutoHyphens/>
                              <w:spacing w:before="60"/>
                              <w:rPr>
                                <w:rFonts w:ascii="Cambria" w:hAnsi="Cambria" w:cs="Univers"/>
                                <w:color w:val="0D0D0D"/>
                                <w:sz w:val="18"/>
                                <w:szCs w:val="20"/>
                                <w:lang w:val="es-ES_tradnl"/>
                              </w:rPr>
                            </w:pPr>
                            <w:r w:rsidRPr="0080778E">
                              <w:rPr>
                                <w:rFonts w:ascii="Cambria" w:hAnsi="Cambria"/>
                                <w:color w:val="0D0D0D"/>
                                <w:sz w:val="18"/>
                                <w:szCs w:val="20"/>
                                <w:lang w:val="es-ES"/>
                              </w:rPr>
                              <w:t>Aprobado electrónicamente por la Comisión el</w:t>
                            </w:r>
                            <w:r w:rsidR="003B7960">
                              <w:rPr>
                                <w:rFonts w:ascii="Cambria" w:hAnsi="Cambria"/>
                                <w:color w:val="0D0D0D"/>
                                <w:sz w:val="18"/>
                                <w:szCs w:val="20"/>
                                <w:lang w:val="es-ES"/>
                              </w:rPr>
                              <w:t>31</w:t>
                            </w:r>
                            <w:r w:rsidRPr="0080778E">
                              <w:rPr>
                                <w:rFonts w:ascii="Cambria" w:hAnsi="Cambria"/>
                                <w:color w:val="0D0D0D"/>
                                <w:sz w:val="18"/>
                                <w:szCs w:val="20"/>
                                <w:lang w:val="es-ES"/>
                              </w:rPr>
                              <w:t xml:space="preserve"> de </w:t>
                            </w:r>
                            <w:r>
                              <w:rPr>
                                <w:rFonts w:ascii="Cambria" w:hAnsi="Cambria"/>
                                <w:color w:val="0D0D0D"/>
                                <w:sz w:val="18"/>
                                <w:szCs w:val="20"/>
                                <w:lang w:val="es-ES"/>
                              </w:rPr>
                              <w:t>diciembre</w:t>
                            </w:r>
                            <w:r w:rsidRPr="0080778E">
                              <w:rPr>
                                <w:rFonts w:ascii="Cambria" w:hAnsi="Cambria"/>
                                <w:color w:val="0D0D0D"/>
                                <w:sz w:val="18"/>
                                <w:szCs w:val="20"/>
                                <w:lang w:val="es-ES"/>
                              </w:rPr>
                              <w:t xml:space="preserve"> de 20</w:t>
                            </w:r>
                            <w:r>
                              <w:rPr>
                                <w:rFonts w:ascii="Cambria" w:hAnsi="Cambria"/>
                                <w:color w:val="0D0D0D"/>
                                <w:sz w:val="18"/>
                                <w:szCs w:val="20"/>
                                <w:lang w:val="es-ES"/>
                              </w:rPr>
                              <w:t>21</w:t>
                            </w:r>
                            <w:r w:rsidRPr="0080778E">
                              <w:rPr>
                                <w:rFonts w:ascii="Cambria" w:hAnsi="Cambria"/>
                                <w:color w:val="0D0D0D"/>
                                <w:sz w:val="18"/>
                                <w:szCs w:val="20"/>
                                <w:lang w:val="es-ES"/>
                              </w:rPr>
                              <w:t>.</w:t>
                            </w:r>
                            <w:r w:rsidRPr="00204B1D">
                              <w:rPr>
                                <w:rFonts w:ascii="Cambria" w:hAnsi="Cambria"/>
                                <w:color w:val="0D0D0D"/>
                                <w:sz w:val="18"/>
                                <w:szCs w:val="20"/>
                                <w:lang w:val="es-ES"/>
                              </w:rPr>
                              <w:br/>
                            </w:r>
                          </w:p>
                          <w:p w14:paraId="0630CC18" w14:textId="77777777" w:rsidR="00F005B1" w:rsidRPr="007372D2" w:rsidRDefault="00F005B1" w:rsidP="00247403">
                            <w:pPr>
                              <w:tabs>
                                <w:tab w:val="center" w:pos="5400"/>
                              </w:tabs>
                              <w:suppressAutoHyphens/>
                              <w:spacing w:before="60"/>
                              <w:rPr>
                                <w:rFonts w:ascii="Calibri" w:hAnsi="Calibri" w:cs="Univers"/>
                                <w:color w:val="0D0D0D"/>
                                <w:sz w:val="20"/>
                                <w:szCs w:val="20"/>
                                <w:lang w:val="es-ES"/>
                              </w:rPr>
                            </w:pPr>
                          </w:p>
                          <w:p w14:paraId="191257B7" w14:textId="77777777" w:rsidR="00F005B1" w:rsidRPr="007372D2" w:rsidRDefault="00F005B1"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3A5D" id="Text Box 7" o:spid="_x0000_s1029" type="#_x0000_t202" style="position:absolute;left:0;text-align:left;margin-left:108pt;margin-top:4.2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" filled="f" stroked="f" strokeweight=".5pt">
                <v:textbox>
                  <w:txbxContent>
                    <w:p w14:paraId="7C989FA1" w14:textId="34FD2B24" w:rsidR="00F005B1" w:rsidRPr="007372D2" w:rsidRDefault="00F005B1" w:rsidP="00247403">
                      <w:pPr>
                        <w:tabs>
                          <w:tab w:val="center" w:pos="5400"/>
                        </w:tabs>
                        <w:suppressAutoHyphens/>
                        <w:spacing w:before="60"/>
                        <w:rPr>
                          <w:rFonts w:ascii="Cambria" w:hAnsi="Cambria" w:cs="Univers"/>
                          <w:color w:val="0D0D0D"/>
                          <w:sz w:val="18"/>
                          <w:szCs w:val="20"/>
                          <w:lang w:val="es-ES_tradnl"/>
                        </w:rPr>
                      </w:pPr>
                      <w:r w:rsidRPr="0080778E">
                        <w:rPr>
                          <w:rFonts w:ascii="Cambria" w:hAnsi="Cambria"/>
                          <w:color w:val="0D0D0D"/>
                          <w:sz w:val="18"/>
                          <w:szCs w:val="20"/>
                          <w:lang w:val="es-ES"/>
                        </w:rPr>
                        <w:t>Aprobado electrónicamente por la Comisión el</w:t>
                      </w:r>
                      <w:r w:rsidR="003B7960">
                        <w:rPr>
                          <w:rFonts w:ascii="Cambria" w:hAnsi="Cambria"/>
                          <w:color w:val="0D0D0D"/>
                          <w:sz w:val="18"/>
                          <w:szCs w:val="20"/>
                          <w:lang w:val="es-ES"/>
                        </w:rPr>
                        <w:t>31</w:t>
                      </w:r>
                      <w:r w:rsidRPr="0080778E">
                        <w:rPr>
                          <w:rFonts w:ascii="Cambria" w:hAnsi="Cambria"/>
                          <w:color w:val="0D0D0D"/>
                          <w:sz w:val="18"/>
                          <w:szCs w:val="20"/>
                          <w:lang w:val="es-ES"/>
                        </w:rPr>
                        <w:t xml:space="preserve"> de </w:t>
                      </w:r>
                      <w:r>
                        <w:rPr>
                          <w:rFonts w:ascii="Cambria" w:hAnsi="Cambria"/>
                          <w:color w:val="0D0D0D"/>
                          <w:sz w:val="18"/>
                          <w:szCs w:val="20"/>
                          <w:lang w:val="es-ES"/>
                        </w:rPr>
                        <w:t>diciembre</w:t>
                      </w:r>
                      <w:r w:rsidRPr="0080778E">
                        <w:rPr>
                          <w:rFonts w:ascii="Cambria" w:hAnsi="Cambria"/>
                          <w:color w:val="0D0D0D"/>
                          <w:sz w:val="18"/>
                          <w:szCs w:val="20"/>
                          <w:lang w:val="es-ES"/>
                        </w:rPr>
                        <w:t xml:space="preserve"> de 20</w:t>
                      </w:r>
                      <w:r>
                        <w:rPr>
                          <w:rFonts w:ascii="Cambria" w:hAnsi="Cambria"/>
                          <w:color w:val="0D0D0D"/>
                          <w:sz w:val="18"/>
                          <w:szCs w:val="20"/>
                          <w:lang w:val="es-ES"/>
                        </w:rPr>
                        <w:t>21</w:t>
                      </w:r>
                      <w:r w:rsidRPr="0080778E">
                        <w:rPr>
                          <w:rFonts w:ascii="Cambria" w:hAnsi="Cambria"/>
                          <w:color w:val="0D0D0D"/>
                          <w:sz w:val="18"/>
                          <w:szCs w:val="20"/>
                          <w:lang w:val="es-ES"/>
                        </w:rPr>
                        <w:t>.</w:t>
                      </w:r>
                      <w:r w:rsidRPr="00204B1D">
                        <w:rPr>
                          <w:rFonts w:ascii="Cambria" w:hAnsi="Cambria"/>
                          <w:color w:val="0D0D0D"/>
                          <w:sz w:val="18"/>
                          <w:szCs w:val="20"/>
                          <w:lang w:val="es-ES"/>
                        </w:rPr>
                        <w:br/>
                      </w:r>
                    </w:p>
                    <w:p w14:paraId="0630CC18" w14:textId="77777777" w:rsidR="00F005B1" w:rsidRPr="007372D2" w:rsidRDefault="00F005B1" w:rsidP="00247403">
                      <w:pPr>
                        <w:tabs>
                          <w:tab w:val="center" w:pos="5400"/>
                        </w:tabs>
                        <w:suppressAutoHyphens/>
                        <w:spacing w:before="60"/>
                        <w:rPr>
                          <w:rFonts w:ascii="Calibri" w:hAnsi="Calibri" w:cs="Univers"/>
                          <w:color w:val="0D0D0D"/>
                          <w:sz w:val="20"/>
                          <w:szCs w:val="20"/>
                          <w:lang w:val="es-ES"/>
                        </w:rPr>
                      </w:pPr>
                    </w:p>
                    <w:p w14:paraId="191257B7" w14:textId="77777777" w:rsidR="00F005B1" w:rsidRPr="007372D2" w:rsidRDefault="00F005B1"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0F96E440" w14:textId="77777777" w:rsidR="00A50FCF" w:rsidRPr="003B7960" w:rsidRDefault="00A50FCF" w:rsidP="00101DC6">
      <w:pPr>
        <w:tabs>
          <w:tab w:val="left" w:pos="426"/>
        </w:tabs>
        <w:suppressAutoHyphens/>
        <w:jc w:val="both"/>
        <w:rPr>
          <w:rFonts w:ascii="Cambria" w:hAnsi="Cambria"/>
          <w:sz w:val="20"/>
          <w:szCs w:val="20"/>
          <w:lang w:val="es-ES"/>
        </w:rPr>
      </w:pPr>
    </w:p>
    <w:p w14:paraId="2ABF1DAE" w14:textId="77777777" w:rsidR="00A50FCF" w:rsidRPr="003B7960" w:rsidRDefault="00A50FCF" w:rsidP="00101DC6">
      <w:pPr>
        <w:tabs>
          <w:tab w:val="left" w:pos="426"/>
        </w:tabs>
        <w:suppressAutoHyphens/>
        <w:jc w:val="both"/>
        <w:rPr>
          <w:rFonts w:ascii="Cambria" w:hAnsi="Cambria"/>
          <w:sz w:val="20"/>
          <w:szCs w:val="20"/>
          <w:lang w:val="es-ES"/>
        </w:rPr>
      </w:pPr>
    </w:p>
    <w:p w14:paraId="00E2590F" w14:textId="77777777" w:rsidR="00A50FCF" w:rsidRPr="003B7960" w:rsidRDefault="00A50FCF" w:rsidP="00101DC6">
      <w:pPr>
        <w:tabs>
          <w:tab w:val="left" w:pos="426"/>
        </w:tabs>
        <w:suppressAutoHyphens/>
        <w:jc w:val="both"/>
        <w:rPr>
          <w:rFonts w:ascii="Cambria" w:hAnsi="Cambria"/>
          <w:sz w:val="20"/>
          <w:szCs w:val="20"/>
          <w:lang w:val="es-ES"/>
        </w:rPr>
      </w:pPr>
    </w:p>
    <w:p w14:paraId="067F3473" w14:textId="77777777" w:rsidR="00A50FCF" w:rsidRPr="003B7960" w:rsidRDefault="00A50FCF" w:rsidP="00101DC6">
      <w:pPr>
        <w:tabs>
          <w:tab w:val="left" w:pos="426"/>
        </w:tabs>
        <w:suppressAutoHyphens/>
        <w:jc w:val="both"/>
        <w:rPr>
          <w:rFonts w:ascii="Cambria" w:hAnsi="Cambria"/>
          <w:sz w:val="20"/>
          <w:szCs w:val="20"/>
          <w:lang w:val="es-ES"/>
        </w:rPr>
      </w:pPr>
    </w:p>
    <w:p w14:paraId="590BC265" w14:textId="77777777" w:rsidR="00A50FCF" w:rsidRPr="003B7960" w:rsidRDefault="00067F9E" w:rsidP="00101DC6">
      <w:pPr>
        <w:tabs>
          <w:tab w:val="left" w:pos="426"/>
        </w:tabs>
        <w:suppressAutoHyphens/>
        <w:jc w:val="both"/>
        <w:rPr>
          <w:rFonts w:ascii="Cambria" w:hAnsi="Cambria"/>
          <w:sz w:val="20"/>
          <w:szCs w:val="20"/>
          <w:lang w:val="es-ES"/>
        </w:rPr>
      </w:pPr>
      <w:r w:rsidRPr="003B7960">
        <w:rPr>
          <w:rFonts w:ascii="Cambria" w:hAnsi="Cambria"/>
          <w:noProof/>
          <w:lang w:val="es-ES" w:eastAsia="es-ES"/>
        </w:rPr>
        <mc:AlternateContent>
          <mc:Choice Requires="wps">
            <w:drawing>
              <wp:anchor distT="0" distB="0" distL="114300" distR="114300" simplePos="0" relativeHeight="251659264" behindDoc="0" locked="0" layoutInCell="1" allowOverlap="1" wp14:anchorId="5EEC77F4" wp14:editId="30C2ABD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0F004630" w14:textId="3E5177D4" w:rsidR="00F005B1" w:rsidRPr="00E722A2" w:rsidRDefault="00F005B1" w:rsidP="00FB2A16">
                            <w:pPr>
                              <w:spacing w:line="276" w:lineRule="auto"/>
                              <w:jc w:val="both"/>
                              <w:rPr>
                                <w:rFonts w:ascii="Cambria" w:hAnsi="Cambria"/>
                                <w:color w:val="595959"/>
                                <w:sz w:val="18"/>
                                <w:szCs w:val="18"/>
                                <w:lang w:val="es-ES"/>
                              </w:rPr>
                            </w:pPr>
                            <w:r w:rsidRPr="000265CB">
                              <w:rPr>
                                <w:rFonts w:ascii="Cambria" w:hAnsi="Cambria"/>
                                <w:b/>
                                <w:color w:val="595959"/>
                                <w:sz w:val="18"/>
                                <w:szCs w:val="18"/>
                                <w:lang w:val="pt-BR"/>
                              </w:rPr>
                              <w:t>Citar como:</w:t>
                            </w:r>
                            <w:r w:rsidRPr="000265CB">
                              <w:rPr>
                                <w:rFonts w:ascii="Cambria" w:hAnsi="Cambria"/>
                                <w:color w:val="595959"/>
                                <w:sz w:val="18"/>
                                <w:szCs w:val="18"/>
                                <w:lang w:val="pt-BR"/>
                              </w:rPr>
                              <w:t xml:space="preserve"> CIDH. Informe No. </w:t>
                            </w:r>
                            <w:r w:rsidR="003B7960">
                              <w:rPr>
                                <w:rFonts w:ascii="Cambria" w:hAnsi="Cambria"/>
                                <w:color w:val="595959"/>
                                <w:sz w:val="18"/>
                                <w:szCs w:val="18"/>
                                <w:lang w:val="pt-BR"/>
                              </w:rPr>
                              <w:t>459</w:t>
                            </w:r>
                            <w:r w:rsidRPr="00E722A2">
                              <w:rPr>
                                <w:rFonts w:ascii="Cambria" w:hAnsi="Cambria"/>
                                <w:color w:val="595959"/>
                                <w:sz w:val="18"/>
                                <w:szCs w:val="18"/>
                                <w:lang w:val="es-ES"/>
                              </w:rPr>
                              <w:t>/</w:t>
                            </w:r>
                            <w:r>
                              <w:rPr>
                                <w:rFonts w:ascii="Cambria" w:hAnsi="Cambria"/>
                                <w:color w:val="595959"/>
                                <w:sz w:val="18"/>
                                <w:szCs w:val="18"/>
                                <w:lang w:val="es-ES"/>
                              </w:rPr>
                              <w:t>21</w:t>
                            </w:r>
                            <w:r w:rsidRPr="00E722A2">
                              <w:rPr>
                                <w:rFonts w:ascii="Cambria" w:hAnsi="Cambria"/>
                                <w:color w:val="595959"/>
                                <w:sz w:val="18"/>
                                <w:szCs w:val="18"/>
                                <w:lang w:val="es-ES"/>
                              </w:rPr>
                              <w:t>. Caso 12</w:t>
                            </w:r>
                            <w:r>
                              <w:rPr>
                                <w:rFonts w:ascii="Cambria" w:hAnsi="Cambria"/>
                                <w:color w:val="595959"/>
                                <w:sz w:val="18"/>
                                <w:szCs w:val="18"/>
                                <w:lang w:val="es-ES"/>
                              </w:rPr>
                              <w:t>.</w:t>
                            </w:r>
                            <w:r w:rsidRPr="00E722A2">
                              <w:rPr>
                                <w:rFonts w:ascii="Cambria" w:hAnsi="Cambria"/>
                                <w:color w:val="595959"/>
                                <w:sz w:val="18"/>
                                <w:szCs w:val="18"/>
                                <w:lang w:val="es-ES"/>
                              </w:rPr>
                              <w:t>071. Fondo</w:t>
                            </w:r>
                            <w:r>
                              <w:rPr>
                                <w:rFonts w:ascii="Cambria" w:hAnsi="Cambria"/>
                                <w:color w:val="595959"/>
                                <w:sz w:val="18"/>
                                <w:szCs w:val="18"/>
                                <w:lang w:val="es-ES"/>
                              </w:rPr>
                              <w:t xml:space="preserve"> (</w:t>
                            </w:r>
                            <w:r w:rsidRPr="003B7960">
                              <w:rPr>
                                <w:rFonts w:ascii="Cambria" w:hAnsi="Cambria"/>
                                <w:color w:val="595959"/>
                                <w:sz w:val="18"/>
                                <w:szCs w:val="18"/>
                                <w:lang w:val="es-ES"/>
                              </w:rPr>
                              <w:t>Publicación</w:t>
                            </w:r>
                            <w:r>
                              <w:rPr>
                                <w:rFonts w:ascii="Cambria" w:hAnsi="Cambria"/>
                                <w:color w:val="595959"/>
                                <w:sz w:val="18"/>
                                <w:szCs w:val="18"/>
                                <w:lang w:val="es-ES"/>
                              </w:rPr>
                              <w:t>)</w:t>
                            </w:r>
                            <w:r w:rsidRPr="00E722A2">
                              <w:rPr>
                                <w:rFonts w:ascii="Cambria" w:hAnsi="Cambria"/>
                                <w:color w:val="595959"/>
                                <w:sz w:val="18"/>
                                <w:szCs w:val="18"/>
                                <w:lang w:val="es-ES"/>
                              </w:rPr>
                              <w:t xml:space="preserve">. </w:t>
                            </w:r>
                            <w:r>
                              <w:rPr>
                                <w:rFonts w:ascii="Cambria" w:hAnsi="Cambria"/>
                                <w:color w:val="595959"/>
                                <w:sz w:val="18"/>
                                <w:szCs w:val="18"/>
                                <w:lang w:val="es-ES"/>
                              </w:rPr>
                              <w:t>Ciudadanos</w:t>
                            </w:r>
                            <w:r w:rsidRPr="00E722A2">
                              <w:rPr>
                                <w:rFonts w:ascii="Cambria" w:hAnsi="Cambria"/>
                                <w:color w:val="595959"/>
                                <w:sz w:val="18"/>
                                <w:szCs w:val="18"/>
                                <w:lang w:val="es-ES"/>
                              </w:rPr>
                              <w:t xml:space="preserve"> cubanos y haitianos detenidos en el Centro de Detención </w:t>
                            </w:r>
                            <w:r>
                              <w:rPr>
                                <w:rFonts w:ascii="Cambria" w:hAnsi="Cambria"/>
                                <w:color w:val="595959"/>
                                <w:sz w:val="18"/>
                                <w:szCs w:val="18"/>
                                <w:lang w:val="es-ES"/>
                              </w:rPr>
                              <w:t xml:space="preserve">de </w:t>
                            </w:r>
                            <w:proofErr w:type="spellStart"/>
                            <w:r w:rsidRPr="00E722A2">
                              <w:rPr>
                                <w:rFonts w:ascii="Cambria" w:hAnsi="Cambria"/>
                                <w:color w:val="595959"/>
                                <w:sz w:val="18"/>
                                <w:szCs w:val="18"/>
                                <w:lang w:val="es-ES"/>
                              </w:rPr>
                              <w:t>Carmichael</w:t>
                            </w:r>
                            <w:proofErr w:type="spellEnd"/>
                            <w:r w:rsidRPr="00E722A2">
                              <w:rPr>
                                <w:rFonts w:ascii="Cambria" w:hAnsi="Cambria"/>
                                <w:color w:val="595959"/>
                                <w:sz w:val="18"/>
                                <w:szCs w:val="18"/>
                                <w:lang w:val="es-ES"/>
                              </w:rPr>
                              <w:t xml:space="preserve"> Road.</w:t>
                            </w:r>
                            <w:r>
                              <w:rPr>
                                <w:rFonts w:ascii="Cambria" w:hAnsi="Cambria"/>
                                <w:color w:val="595959"/>
                                <w:sz w:val="18"/>
                                <w:szCs w:val="18"/>
                                <w:lang w:val="es-ES"/>
                              </w:rPr>
                              <w:t xml:space="preserve"> </w:t>
                            </w:r>
                            <w:r w:rsidRPr="00E722A2">
                              <w:rPr>
                                <w:rFonts w:ascii="Cambria" w:hAnsi="Cambria"/>
                                <w:color w:val="595959"/>
                                <w:sz w:val="18"/>
                                <w:szCs w:val="18"/>
                                <w:lang w:val="es-ES"/>
                              </w:rPr>
                              <w:t xml:space="preserve">Bahamas. </w:t>
                            </w:r>
                            <w:r w:rsidR="003B7960">
                              <w:rPr>
                                <w:rFonts w:ascii="Cambria" w:hAnsi="Cambria"/>
                                <w:color w:val="595959"/>
                                <w:sz w:val="18"/>
                                <w:szCs w:val="18"/>
                                <w:lang w:val="es-ES"/>
                              </w:rPr>
                              <w:t>31</w:t>
                            </w:r>
                            <w:r>
                              <w:rPr>
                                <w:rFonts w:ascii="Cambria" w:hAnsi="Cambria"/>
                                <w:color w:val="595959"/>
                                <w:sz w:val="18"/>
                                <w:szCs w:val="18"/>
                                <w:lang w:val="es-ES"/>
                              </w:rPr>
                              <w:t xml:space="preserve"> de diciembre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77F4"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" filled="f" stroked="f" strokeweight=".5pt">
                <v:textbox>
                  <w:txbxContent>
                    <w:p w14:paraId="0F004630" w14:textId="3E5177D4" w:rsidR="00F005B1" w:rsidRPr="00E722A2" w:rsidRDefault="00F005B1" w:rsidP="00FB2A16">
                      <w:pPr>
                        <w:spacing w:line="276" w:lineRule="auto"/>
                        <w:jc w:val="both"/>
                        <w:rPr>
                          <w:rFonts w:ascii="Cambria" w:hAnsi="Cambria"/>
                          <w:color w:val="595959"/>
                          <w:sz w:val="18"/>
                          <w:szCs w:val="18"/>
                          <w:lang w:val="es-ES"/>
                        </w:rPr>
                      </w:pPr>
                      <w:r w:rsidRPr="000265CB">
                        <w:rPr>
                          <w:rFonts w:ascii="Cambria" w:hAnsi="Cambria"/>
                          <w:b/>
                          <w:color w:val="595959"/>
                          <w:sz w:val="18"/>
                          <w:szCs w:val="18"/>
                          <w:lang w:val="pt-BR"/>
                        </w:rPr>
                        <w:t>Citar como:</w:t>
                      </w:r>
                      <w:r w:rsidRPr="000265CB">
                        <w:rPr>
                          <w:rFonts w:ascii="Cambria" w:hAnsi="Cambria"/>
                          <w:color w:val="595959"/>
                          <w:sz w:val="18"/>
                          <w:szCs w:val="18"/>
                          <w:lang w:val="pt-BR"/>
                        </w:rPr>
                        <w:t xml:space="preserve"> CIDH. Informe No. </w:t>
                      </w:r>
                      <w:r w:rsidR="003B7960">
                        <w:rPr>
                          <w:rFonts w:ascii="Cambria" w:hAnsi="Cambria"/>
                          <w:color w:val="595959"/>
                          <w:sz w:val="18"/>
                          <w:szCs w:val="18"/>
                          <w:lang w:val="pt-BR"/>
                        </w:rPr>
                        <w:t>459</w:t>
                      </w:r>
                      <w:r w:rsidRPr="00E722A2">
                        <w:rPr>
                          <w:rFonts w:ascii="Cambria" w:hAnsi="Cambria"/>
                          <w:color w:val="595959"/>
                          <w:sz w:val="18"/>
                          <w:szCs w:val="18"/>
                          <w:lang w:val="es-ES"/>
                        </w:rPr>
                        <w:t>/</w:t>
                      </w:r>
                      <w:r>
                        <w:rPr>
                          <w:rFonts w:ascii="Cambria" w:hAnsi="Cambria"/>
                          <w:color w:val="595959"/>
                          <w:sz w:val="18"/>
                          <w:szCs w:val="18"/>
                          <w:lang w:val="es-ES"/>
                        </w:rPr>
                        <w:t>21</w:t>
                      </w:r>
                      <w:r w:rsidRPr="00E722A2">
                        <w:rPr>
                          <w:rFonts w:ascii="Cambria" w:hAnsi="Cambria"/>
                          <w:color w:val="595959"/>
                          <w:sz w:val="18"/>
                          <w:szCs w:val="18"/>
                          <w:lang w:val="es-ES"/>
                        </w:rPr>
                        <w:t>. Caso 12</w:t>
                      </w:r>
                      <w:r>
                        <w:rPr>
                          <w:rFonts w:ascii="Cambria" w:hAnsi="Cambria"/>
                          <w:color w:val="595959"/>
                          <w:sz w:val="18"/>
                          <w:szCs w:val="18"/>
                          <w:lang w:val="es-ES"/>
                        </w:rPr>
                        <w:t>.</w:t>
                      </w:r>
                      <w:r w:rsidRPr="00E722A2">
                        <w:rPr>
                          <w:rFonts w:ascii="Cambria" w:hAnsi="Cambria"/>
                          <w:color w:val="595959"/>
                          <w:sz w:val="18"/>
                          <w:szCs w:val="18"/>
                          <w:lang w:val="es-ES"/>
                        </w:rPr>
                        <w:t>071. Fondo</w:t>
                      </w:r>
                      <w:r>
                        <w:rPr>
                          <w:rFonts w:ascii="Cambria" w:hAnsi="Cambria"/>
                          <w:color w:val="595959"/>
                          <w:sz w:val="18"/>
                          <w:szCs w:val="18"/>
                          <w:lang w:val="es-ES"/>
                        </w:rPr>
                        <w:t xml:space="preserve"> (</w:t>
                      </w:r>
                      <w:r w:rsidRPr="003B7960">
                        <w:rPr>
                          <w:rFonts w:ascii="Cambria" w:hAnsi="Cambria"/>
                          <w:color w:val="595959"/>
                          <w:sz w:val="18"/>
                          <w:szCs w:val="18"/>
                          <w:lang w:val="es-ES"/>
                        </w:rPr>
                        <w:t>Publicación</w:t>
                      </w:r>
                      <w:r>
                        <w:rPr>
                          <w:rFonts w:ascii="Cambria" w:hAnsi="Cambria"/>
                          <w:color w:val="595959"/>
                          <w:sz w:val="18"/>
                          <w:szCs w:val="18"/>
                          <w:lang w:val="es-ES"/>
                        </w:rPr>
                        <w:t>)</w:t>
                      </w:r>
                      <w:r w:rsidRPr="00E722A2">
                        <w:rPr>
                          <w:rFonts w:ascii="Cambria" w:hAnsi="Cambria"/>
                          <w:color w:val="595959"/>
                          <w:sz w:val="18"/>
                          <w:szCs w:val="18"/>
                          <w:lang w:val="es-ES"/>
                        </w:rPr>
                        <w:t xml:space="preserve">. </w:t>
                      </w:r>
                      <w:r>
                        <w:rPr>
                          <w:rFonts w:ascii="Cambria" w:hAnsi="Cambria"/>
                          <w:color w:val="595959"/>
                          <w:sz w:val="18"/>
                          <w:szCs w:val="18"/>
                          <w:lang w:val="es-ES"/>
                        </w:rPr>
                        <w:t>Ciudadanos</w:t>
                      </w:r>
                      <w:r w:rsidRPr="00E722A2">
                        <w:rPr>
                          <w:rFonts w:ascii="Cambria" w:hAnsi="Cambria"/>
                          <w:color w:val="595959"/>
                          <w:sz w:val="18"/>
                          <w:szCs w:val="18"/>
                          <w:lang w:val="es-ES"/>
                        </w:rPr>
                        <w:t xml:space="preserve"> cubanos y haitianos detenidos en el Centro de Detención </w:t>
                      </w:r>
                      <w:r>
                        <w:rPr>
                          <w:rFonts w:ascii="Cambria" w:hAnsi="Cambria"/>
                          <w:color w:val="595959"/>
                          <w:sz w:val="18"/>
                          <w:szCs w:val="18"/>
                          <w:lang w:val="es-ES"/>
                        </w:rPr>
                        <w:t xml:space="preserve">de </w:t>
                      </w:r>
                      <w:r w:rsidRPr="00E722A2">
                        <w:rPr>
                          <w:rFonts w:ascii="Cambria" w:hAnsi="Cambria"/>
                          <w:color w:val="595959"/>
                          <w:sz w:val="18"/>
                          <w:szCs w:val="18"/>
                          <w:lang w:val="es-ES"/>
                        </w:rPr>
                        <w:t>Carmichael Road.</w:t>
                      </w:r>
                      <w:r>
                        <w:rPr>
                          <w:rFonts w:ascii="Cambria" w:hAnsi="Cambria"/>
                          <w:color w:val="595959"/>
                          <w:sz w:val="18"/>
                          <w:szCs w:val="18"/>
                          <w:lang w:val="es-ES"/>
                        </w:rPr>
                        <w:t xml:space="preserve"> </w:t>
                      </w:r>
                      <w:r w:rsidRPr="00E722A2">
                        <w:rPr>
                          <w:rFonts w:ascii="Cambria" w:hAnsi="Cambria"/>
                          <w:color w:val="595959"/>
                          <w:sz w:val="18"/>
                          <w:szCs w:val="18"/>
                          <w:lang w:val="es-ES"/>
                        </w:rPr>
                        <w:t xml:space="preserve">Bahamas. </w:t>
                      </w:r>
                      <w:r w:rsidR="003B7960">
                        <w:rPr>
                          <w:rFonts w:ascii="Cambria" w:hAnsi="Cambria"/>
                          <w:color w:val="595959"/>
                          <w:sz w:val="18"/>
                          <w:szCs w:val="18"/>
                          <w:lang w:val="es-ES"/>
                        </w:rPr>
                        <w:t>31</w:t>
                      </w:r>
                      <w:r>
                        <w:rPr>
                          <w:rFonts w:ascii="Cambria" w:hAnsi="Cambria"/>
                          <w:color w:val="595959"/>
                          <w:sz w:val="18"/>
                          <w:szCs w:val="18"/>
                          <w:lang w:val="es-ES"/>
                        </w:rPr>
                        <w:t xml:space="preserve"> de diciembre de 2021.</w:t>
                      </w:r>
                    </w:p>
                  </w:txbxContent>
                </v:textbox>
              </v:shape>
            </w:pict>
          </mc:Fallback>
        </mc:AlternateContent>
      </w:r>
    </w:p>
    <w:p w14:paraId="332D7EE2" w14:textId="77777777" w:rsidR="00A50FCF" w:rsidRPr="003B7960" w:rsidRDefault="00A50FCF" w:rsidP="00101DC6">
      <w:pPr>
        <w:tabs>
          <w:tab w:val="left" w:pos="426"/>
        </w:tabs>
        <w:suppressAutoHyphens/>
        <w:jc w:val="both"/>
        <w:rPr>
          <w:rFonts w:ascii="Cambria" w:hAnsi="Cambria"/>
          <w:sz w:val="20"/>
          <w:szCs w:val="20"/>
          <w:lang w:val="es-ES"/>
        </w:rPr>
      </w:pPr>
    </w:p>
    <w:p w14:paraId="736964B0" w14:textId="77777777" w:rsidR="0070697F" w:rsidRPr="003B7960" w:rsidRDefault="00067F9E" w:rsidP="00101DC6">
      <w:pPr>
        <w:tabs>
          <w:tab w:val="left" w:pos="426"/>
        </w:tabs>
        <w:suppressAutoHyphens/>
        <w:jc w:val="both"/>
        <w:rPr>
          <w:rFonts w:ascii="Cambria" w:hAnsi="Cambria"/>
          <w:b/>
          <w:sz w:val="20"/>
          <w:szCs w:val="20"/>
          <w:lang w:val="es-ES"/>
        </w:rPr>
        <w:sectPr w:rsidR="0070697F" w:rsidRPr="003B796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3B7960">
        <w:rPr>
          <w:rFonts w:ascii="Cambria" w:hAnsi="Cambria"/>
          <w:noProof/>
          <w:lang w:val="es-ES" w:eastAsia="es-ES"/>
        </w:rPr>
        <mc:AlternateContent>
          <mc:Choice Requires="wps">
            <w:drawing>
              <wp:anchor distT="0" distB="0" distL="114300" distR="114300" simplePos="0" relativeHeight="251660288" behindDoc="0" locked="0" layoutInCell="1" allowOverlap="1" wp14:anchorId="3747865D" wp14:editId="56B3D8FE">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1D514836" w14:textId="6B6BA6D8" w:rsidR="00F005B1" w:rsidRPr="007372D2" w:rsidRDefault="009A4875" w:rsidP="00F02AD1">
                            <w:pPr>
                              <w:rPr>
                                <w:color w:val="FFFFFF"/>
                              </w:rPr>
                            </w:pPr>
                            <w:r>
                              <w:rPr>
                                <w:noProof/>
                                <w:color w:val="FFFFFF"/>
                              </w:rPr>
                              <w:drawing>
                                <wp:inline distT="0" distB="0" distL="0" distR="0" wp14:anchorId="1BEC8AF5" wp14:editId="192A3447">
                                  <wp:extent cx="1824355" cy="469265"/>
                                  <wp:effectExtent l="0" t="0" r="4445" b="698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865D"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" fillcolor="window" stroked="f" strokeweight=".5pt">
                <v:textbox>
                  <w:txbxContent>
                    <w:p w14:paraId="1D514836" w14:textId="6B6BA6D8" w:rsidR="00F005B1" w:rsidRPr="007372D2" w:rsidRDefault="009A4875" w:rsidP="00F02AD1">
                      <w:pPr>
                        <w:rPr>
                          <w:color w:val="FFFFFF"/>
                        </w:rPr>
                      </w:pPr>
                      <w:r>
                        <w:rPr>
                          <w:noProof/>
                          <w:color w:val="FFFFFF"/>
                        </w:rPr>
                        <w:drawing>
                          <wp:inline distT="0" distB="0" distL="0" distR="0" wp14:anchorId="1BEC8AF5" wp14:editId="192A3447">
                            <wp:extent cx="1824355" cy="469265"/>
                            <wp:effectExtent l="0" t="0" r="4445" b="698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Pr="003B7960">
        <w:rPr>
          <w:rFonts w:ascii="Cambria" w:hAnsi="Cambria"/>
          <w:noProof/>
          <w:lang w:val="es-ES" w:eastAsia="es-ES"/>
        </w:rPr>
        <mc:AlternateContent>
          <mc:Choice Requires="wps">
            <w:drawing>
              <wp:anchor distT="0" distB="0" distL="114300" distR="114300" simplePos="0" relativeHeight="251661312" behindDoc="0" locked="0" layoutInCell="1" allowOverlap="1" wp14:anchorId="1BFA303D" wp14:editId="6819677A">
                <wp:simplePos x="0" y="0"/>
                <wp:positionH relativeFrom="column">
                  <wp:posOffset>-271145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4AB9035A" w14:textId="77777777" w:rsidR="00F005B1" w:rsidRPr="007372D2" w:rsidRDefault="00F005B1" w:rsidP="00D306D1">
                            <w:pPr>
                              <w:jc w:val="center"/>
                              <w:rPr>
                                <w:rFonts w:ascii="Calibri" w:hAnsi="Calibri"/>
                                <w:b/>
                                <w:color w:val="FFFFFF"/>
                              </w:rPr>
                            </w:pPr>
                            <w:r w:rsidRPr="007372D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A303D" id="Text Box 4" o:spid="_x0000_s1032" type="#_x0000_t202" style="position:absolute;left:0;text-align:left;margin-left:-21.3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" filled="f" stroked="f" strokeweight=".5pt">
                <v:textbox>
                  <w:txbxContent>
                    <w:p w14:paraId="4AB9035A" w14:textId="77777777" w:rsidR="00F005B1" w:rsidRPr="007372D2" w:rsidRDefault="00F005B1" w:rsidP="00D306D1">
                      <w:pPr>
                        <w:jc w:val="center"/>
                        <w:rPr>
                          <w:rFonts w:ascii="Calibri" w:hAnsi="Calibri"/>
                          <w:b/>
                          <w:color w:val="FFFFFF"/>
                        </w:rPr>
                      </w:pPr>
                      <w:r w:rsidRPr="007372D2">
                        <w:rPr>
                          <w:rFonts w:ascii="Calibri" w:hAnsi="Calibri"/>
                          <w:b/>
                          <w:color w:val="FFFFFF"/>
                          <w:lang w:val="pt-BR"/>
                        </w:rPr>
                        <w:t>www.cidh.org</w:t>
                      </w:r>
                    </w:p>
                  </w:txbxContent>
                </v:textbox>
              </v:shape>
            </w:pict>
          </mc:Fallback>
        </mc:AlternateContent>
      </w:r>
    </w:p>
    <w:p w14:paraId="0DA43DB8" w14:textId="77777777" w:rsidR="00D16FD1" w:rsidRPr="003B7960" w:rsidRDefault="00DC1B51" w:rsidP="00170D7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center"/>
        <w:rPr>
          <w:rFonts w:ascii="Cambria" w:hAnsi="Cambria"/>
          <w:b/>
          <w:sz w:val="20"/>
          <w:szCs w:val="20"/>
          <w:lang w:val="es-ES"/>
        </w:rPr>
      </w:pPr>
      <w:r w:rsidRPr="003B7960">
        <w:rPr>
          <w:rFonts w:ascii="Cambria" w:hAnsi="Cambria"/>
          <w:b/>
          <w:sz w:val="20"/>
          <w:szCs w:val="20"/>
          <w:lang w:val="es-ES"/>
        </w:rPr>
        <w:lastRenderedPageBreak/>
        <w:t>ÍNDICE</w:t>
      </w:r>
    </w:p>
    <w:p w14:paraId="416A238E" w14:textId="730A4A63" w:rsidR="005D4092" w:rsidRPr="003B7960" w:rsidRDefault="00D16FD1">
      <w:pPr>
        <w:pStyle w:val="TOC1"/>
        <w:tabs>
          <w:tab w:val="left" w:pos="480"/>
          <w:tab w:val="right" w:leader="dot" w:pos="9350"/>
        </w:tabs>
        <w:rPr>
          <w:rFonts w:ascii="Cambria" w:eastAsiaTheme="minorEastAsia" w:hAnsi="Cambria" w:cstheme="minorBidi"/>
          <w:b w:val="0"/>
          <w:noProof/>
          <w:sz w:val="20"/>
          <w:szCs w:val="20"/>
          <w:bdr w:val="none" w:sz="0" w:space="0" w:color="auto"/>
          <w:lang w:val="es-US" w:eastAsia="zh-CN"/>
        </w:rPr>
      </w:pPr>
      <w:r w:rsidRPr="003B7960">
        <w:rPr>
          <w:rFonts w:ascii="Cambria" w:hAnsi="Cambria"/>
          <w:b w:val="0"/>
          <w:sz w:val="20"/>
          <w:szCs w:val="20"/>
          <w:lang w:val="es-ES"/>
        </w:rPr>
        <w:fldChar w:fldCharType="begin"/>
      </w:r>
      <w:r w:rsidRPr="003B7960">
        <w:rPr>
          <w:rFonts w:ascii="Cambria" w:hAnsi="Cambria"/>
          <w:b w:val="0"/>
          <w:sz w:val="20"/>
          <w:szCs w:val="20"/>
          <w:lang w:val="es-ES"/>
        </w:rPr>
        <w:instrText xml:space="preserve"> TOC \o "1-3" </w:instrText>
      </w:r>
      <w:r w:rsidRPr="003B7960">
        <w:rPr>
          <w:rFonts w:ascii="Cambria" w:hAnsi="Cambria"/>
          <w:b w:val="0"/>
          <w:sz w:val="20"/>
          <w:szCs w:val="20"/>
          <w:lang w:val="es-ES"/>
        </w:rPr>
        <w:fldChar w:fldCharType="separate"/>
      </w:r>
      <w:r w:rsidR="005D4092" w:rsidRPr="003B7960">
        <w:rPr>
          <w:rFonts w:ascii="Cambria" w:hAnsi="Cambria"/>
          <w:noProof/>
          <w:sz w:val="20"/>
          <w:szCs w:val="20"/>
          <w:lang w:val="es-ES"/>
        </w:rPr>
        <w:t>I.</w:t>
      </w:r>
      <w:r w:rsidR="005D4092" w:rsidRPr="003B7960">
        <w:rPr>
          <w:rFonts w:ascii="Cambria" w:eastAsiaTheme="minorEastAsia" w:hAnsi="Cambria" w:cstheme="minorBidi"/>
          <w:b w:val="0"/>
          <w:noProof/>
          <w:sz w:val="20"/>
          <w:szCs w:val="20"/>
          <w:bdr w:val="none" w:sz="0" w:space="0" w:color="auto"/>
          <w:lang w:val="es-US" w:eastAsia="zh-CN"/>
        </w:rPr>
        <w:tab/>
      </w:r>
      <w:r w:rsidR="005D4092" w:rsidRPr="003B7960">
        <w:rPr>
          <w:rFonts w:ascii="Cambria" w:hAnsi="Cambria"/>
          <w:noProof/>
          <w:sz w:val="20"/>
          <w:szCs w:val="20"/>
          <w:lang w:val="es-ES"/>
        </w:rPr>
        <w:t>RESUMEN</w:t>
      </w:r>
      <w:r w:rsidR="005D4092" w:rsidRPr="009A4875">
        <w:rPr>
          <w:rFonts w:ascii="Cambria" w:hAnsi="Cambria"/>
          <w:noProof/>
          <w:sz w:val="20"/>
          <w:szCs w:val="20"/>
          <w:lang w:val="es-US"/>
        </w:rPr>
        <w:tab/>
      </w:r>
      <w:r w:rsidR="005D4092" w:rsidRPr="003B7960">
        <w:rPr>
          <w:rFonts w:ascii="Cambria" w:hAnsi="Cambria"/>
          <w:noProof/>
          <w:sz w:val="20"/>
          <w:szCs w:val="20"/>
        </w:rPr>
        <w:fldChar w:fldCharType="begin"/>
      </w:r>
      <w:r w:rsidR="005D4092" w:rsidRPr="009A4875">
        <w:rPr>
          <w:rFonts w:ascii="Cambria" w:hAnsi="Cambria"/>
          <w:noProof/>
          <w:sz w:val="20"/>
          <w:szCs w:val="20"/>
          <w:lang w:val="es-US"/>
        </w:rPr>
        <w:instrText xml:space="preserve"> PAGEREF _Toc90557289 \h </w:instrText>
      </w:r>
      <w:r w:rsidR="005D4092" w:rsidRPr="003B7960">
        <w:rPr>
          <w:rFonts w:ascii="Cambria" w:hAnsi="Cambria"/>
          <w:noProof/>
          <w:sz w:val="20"/>
          <w:szCs w:val="20"/>
        </w:rPr>
      </w:r>
      <w:r w:rsidR="005D4092" w:rsidRPr="003B7960">
        <w:rPr>
          <w:rFonts w:ascii="Cambria" w:hAnsi="Cambria"/>
          <w:noProof/>
          <w:sz w:val="20"/>
          <w:szCs w:val="20"/>
        </w:rPr>
        <w:fldChar w:fldCharType="separate"/>
      </w:r>
      <w:r w:rsidR="005048D8">
        <w:rPr>
          <w:rFonts w:ascii="Cambria" w:hAnsi="Cambria"/>
          <w:noProof/>
          <w:sz w:val="20"/>
          <w:szCs w:val="20"/>
          <w:lang w:val="es-US"/>
        </w:rPr>
        <w:t>2</w:t>
      </w:r>
      <w:r w:rsidR="005D4092" w:rsidRPr="003B7960">
        <w:rPr>
          <w:rFonts w:ascii="Cambria" w:hAnsi="Cambria"/>
          <w:noProof/>
          <w:sz w:val="20"/>
          <w:szCs w:val="20"/>
        </w:rPr>
        <w:fldChar w:fldCharType="end"/>
      </w:r>
    </w:p>
    <w:p w14:paraId="1FE2E371" w14:textId="38D22E1F" w:rsidR="005D4092" w:rsidRPr="003B7960" w:rsidRDefault="005D4092">
      <w:pPr>
        <w:pStyle w:val="TOC1"/>
        <w:tabs>
          <w:tab w:val="left" w:pos="480"/>
          <w:tab w:val="right" w:leader="dot" w:pos="9350"/>
        </w:tabs>
        <w:rPr>
          <w:rFonts w:ascii="Cambria" w:eastAsiaTheme="minorEastAsia" w:hAnsi="Cambria" w:cstheme="minorBidi"/>
          <w:b w:val="0"/>
          <w:noProof/>
          <w:sz w:val="20"/>
          <w:szCs w:val="20"/>
          <w:bdr w:val="none" w:sz="0" w:space="0" w:color="auto"/>
          <w:lang w:val="es-US" w:eastAsia="zh-CN"/>
        </w:rPr>
      </w:pPr>
      <w:r w:rsidRPr="003B7960">
        <w:rPr>
          <w:rFonts w:ascii="Cambria" w:hAnsi="Cambria"/>
          <w:noProof/>
          <w:sz w:val="20"/>
          <w:szCs w:val="20"/>
          <w:lang w:val="es-ES"/>
        </w:rPr>
        <w:t>II.</w:t>
      </w:r>
      <w:r w:rsidRPr="003B7960">
        <w:rPr>
          <w:rFonts w:ascii="Cambria" w:eastAsiaTheme="minorEastAsia" w:hAnsi="Cambria" w:cstheme="minorBidi"/>
          <w:b w:val="0"/>
          <w:noProof/>
          <w:sz w:val="20"/>
          <w:szCs w:val="20"/>
          <w:bdr w:val="none" w:sz="0" w:space="0" w:color="auto"/>
          <w:lang w:val="es-US" w:eastAsia="zh-CN"/>
        </w:rPr>
        <w:tab/>
      </w:r>
      <w:r w:rsidRPr="003B7960">
        <w:rPr>
          <w:rFonts w:ascii="Cambria" w:hAnsi="Cambria"/>
          <w:noProof/>
          <w:sz w:val="20"/>
          <w:szCs w:val="20"/>
          <w:lang w:val="es-ES"/>
        </w:rPr>
        <w:t>POSICIÓN DE LAS PARTES</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_Toc90557290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3</w:t>
      </w:r>
      <w:r w:rsidRPr="003B7960">
        <w:rPr>
          <w:rFonts w:ascii="Cambria" w:hAnsi="Cambria"/>
          <w:noProof/>
          <w:sz w:val="20"/>
          <w:szCs w:val="20"/>
        </w:rPr>
        <w:fldChar w:fldCharType="end"/>
      </w:r>
    </w:p>
    <w:p w14:paraId="5E3C2C42" w14:textId="25EB64FB" w:rsidR="005D4092" w:rsidRPr="005048D8" w:rsidRDefault="005D4092">
      <w:pPr>
        <w:pStyle w:val="TOC2"/>
        <w:tabs>
          <w:tab w:val="left" w:pos="720"/>
          <w:tab w:val="right" w:leader="dot" w:pos="9350"/>
        </w:tabs>
        <w:rPr>
          <w:rFonts w:ascii="Cambria" w:eastAsiaTheme="minorEastAsia" w:hAnsi="Cambria" w:cstheme="minorBidi"/>
          <w:b w:val="0"/>
          <w:bCs/>
          <w:noProof/>
          <w:sz w:val="20"/>
          <w:szCs w:val="20"/>
          <w:bdr w:val="none" w:sz="0" w:space="0" w:color="auto"/>
          <w:lang w:val="es-US" w:eastAsia="zh-CN"/>
        </w:rPr>
      </w:pPr>
      <w:r w:rsidRPr="005048D8">
        <w:rPr>
          <w:rFonts w:ascii="Cambria" w:hAnsi="Cambria"/>
          <w:b w:val="0"/>
          <w:bCs/>
          <w:noProof/>
          <w:sz w:val="20"/>
          <w:szCs w:val="20"/>
          <w:lang w:val="es-ES"/>
        </w:rPr>
        <w:t>A.</w:t>
      </w:r>
      <w:r w:rsidRPr="005048D8">
        <w:rPr>
          <w:rFonts w:ascii="Cambria" w:eastAsiaTheme="minorEastAsia" w:hAnsi="Cambria" w:cstheme="minorBidi"/>
          <w:b w:val="0"/>
          <w:bCs/>
          <w:noProof/>
          <w:sz w:val="20"/>
          <w:szCs w:val="20"/>
          <w:bdr w:val="none" w:sz="0" w:space="0" w:color="auto"/>
          <w:lang w:val="es-US" w:eastAsia="zh-CN"/>
        </w:rPr>
        <w:tab/>
      </w:r>
      <w:r w:rsidRPr="005048D8">
        <w:rPr>
          <w:rFonts w:ascii="Cambria" w:hAnsi="Cambria"/>
          <w:b w:val="0"/>
          <w:bCs/>
          <w:noProof/>
          <w:sz w:val="20"/>
          <w:szCs w:val="20"/>
          <w:lang w:val="es-ES"/>
        </w:rPr>
        <w:t>Parte peticionaria</w:t>
      </w:r>
      <w:r w:rsidRPr="005048D8">
        <w:rPr>
          <w:rFonts w:ascii="Cambria" w:hAnsi="Cambria"/>
          <w:b w:val="0"/>
          <w:bCs/>
          <w:noProof/>
          <w:sz w:val="20"/>
          <w:szCs w:val="20"/>
          <w:lang w:val="es-US"/>
        </w:rPr>
        <w:tab/>
      </w:r>
      <w:r w:rsidRPr="005048D8">
        <w:rPr>
          <w:rFonts w:ascii="Cambria" w:hAnsi="Cambria"/>
          <w:b w:val="0"/>
          <w:bCs/>
          <w:noProof/>
          <w:sz w:val="20"/>
          <w:szCs w:val="20"/>
        </w:rPr>
        <w:fldChar w:fldCharType="begin"/>
      </w:r>
      <w:r w:rsidRPr="005048D8">
        <w:rPr>
          <w:rFonts w:ascii="Cambria" w:hAnsi="Cambria"/>
          <w:b w:val="0"/>
          <w:bCs/>
          <w:noProof/>
          <w:sz w:val="20"/>
          <w:szCs w:val="20"/>
          <w:lang w:val="es-US"/>
        </w:rPr>
        <w:instrText xml:space="preserve"> PAGEREF _Toc90557291 \h </w:instrText>
      </w:r>
      <w:r w:rsidRPr="005048D8">
        <w:rPr>
          <w:rFonts w:ascii="Cambria" w:hAnsi="Cambria"/>
          <w:b w:val="0"/>
          <w:bCs/>
          <w:noProof/>
          <w:sz w:val="20"/>
          <w:szCs w:val="20"/>
        </w:rPr>
      </w:r>
      <w:r w:rsidRPr="005048D8">
        <w:rPr>
          <w:rFonts w:ascii="Cambria" w:hAnsi="Cambria"/>
          <w:b w:val="0"/>
          <w:bCs/>
          <w:noProof/>
          <w:sz w:val="20"/>
          <w:szCs w:val="20"/>
        </w:rPr>
        <w:fldChar w:fldCharType="separate"/>
      </w:r>
      <w:r w:rsidR="005048D8" w:rsidRPr="005048D8">
        <w:rPr>
          <w:rFonts w:ascii="Cambria" w:hAnsi="Cambria"/>
          <w:b w:val="0"/>
          <w:bCs/>
          <w:noProof/>
          <w:sz w:val="20"/>
          <w:szCs w:val="20"/>
          <w:lang w:val="es-US"/>
        </w:rPr>
        <w:t>3</w:t>
      </w:r>
      <w:r w:rsidRPr="005048D8">
        <w:rPr>
          <w:rFonts w:ascii="Cambria" w:hAnsi="Cambria"/>
          <w:b w:val="0"/>
          <w:bCs/>
          <w:noProof/>
          <w:sz w:val="20"/>
          <w:szCs w:val="20"/>
        </w:rPr>
        <w:fldChar w:fldCharType="end"/>
      </w:r>
    </w:p>
    <w:p w14:paraId="457AC162" w14:textId="1F7CB2DC" w:rsidR="005D4092" w:rsidRPr="005048D8" w:rsidRDefault="005D4092">
      <w:pPr>
        <w:pStyle w:val="TOC2"/>
        <w:tabs>
          <w:tab w:val="left" w:pos="720"/>
          <w:tab w:val="right" w:leader="dot" w:pos="9350"/>
        </w:tabs>
        <w:rPr>
          <w:rFonts w:ascii="Cambria" w:eastAsiaTheme="minorEastAsia" w:hAnsi="Cambria" w:cstheme="minorBidi"/>
          <w:b w:val="0"/>
          <w:bCs/>
          <w:noProof/>
          <w:sz w:val="20"/>
          <w:szCs w:val="20"/>
          <w:bdr w:val="none" w:sz="0" w:space="0" w:color="auto"/>
          <w:lang w:val="es-US" w:eastAsia="zh-CN"/>
        </w:rPr>
      </w:pPr>
      <w:r w:rsidRPr="005048D8">
        <w:rPr>
          <w:rFonts w:ascii="Cambria" w:hAnsi="Cambria"/>
          <w:b w:val="0"/>
          <w:bCs/>
          <w:noProof/>
          <w:sz w:val="20"/>
          <w:szCs w:val="20"/>
          <w:lang w:val="es-ES"/>
        </w:rPr>
        <w:t>B.</w:t>
      </w:r>
      <w:r w:rsidRPr="005048D8">
        <w:rPr>
          <w:rFonts w:ascii="Cambria" w:eastAsiaTheme="minorEastAsia" w:hAnsi="Cambria" w:cstheme="minorBidi"/>
          <w:b w:val="0"/>
          <w:bCs/>
          <w:noProof/>
          <w:sz w:val="20"/>
          <w:szCs w:val="20"/>
          <w:bdr w:val="none" w:sz="0" w:space="0" w:color="auto"/>
          <w:lang w:val="es-US" w:eastAsia="zh-CN"/>
        </w:rPr>
        <w:tab/>
      </w:r>
      <w:r w:rsidRPr="005048D8">
        <w:rPr>
          <w:rFonts w:ascii="Cambria" w:hAnsi="Cambria"/>
          <w:b w:val="0"/>
          <w:bCs/>
          <w:noProof/>
          <w:sz w:val="20"/>
          <w:szCs w:val="20"/>
          <w:lang w:val="es-ES"/>
        </w:rPr>
        <w:t>Estado</w:t>
      </w:r>
      <w:r w:rsidRPr="005048D8">
        <w:rPr>
          <w:rFonts w:ascii="Cambria" w:hAnsi="Cambria"/>
          <w:b w:val="0"/>
          <w:bCs/>
          <w:noProof/>
          <w:sz w:val="20"/>
          <w:szCs w:val="20"/>
          <w:lang w:val="es-US"/>
        </w:rPr>
        <w:tab/>
      </w:r>
      <w:r w:rsidRPr="005048D8">
        <w:rPr>
          <w:rFonts w:ascii="Cambria" w:hAnsi="Cambria"/>
          <w:b w:val="0"/>
          <w:bCs/>
          <w:noProof/>
          <w:sz w:val="20"/>
          <w:szCs w:val="20"/>
        </w:rPr>
        <w:fldChar w:fldCharType="begin"/>
      </w:r>
      <w:r w:rsidRPr="005048D8">
        <w:rPr>
          <w:rFonts w:ascii="Cambria" w:hAnsi="Cambria"/>
          <w:b w:val="0"/>
          <w:bCs/>
          <w:noProof/>
          <w:sz w:val="20"/>
          <w:szCs w:val="20"/>
          <w:lang w:val="es-US"/>
        </w:rPr>
        <w:instrText xml:space="preserve"> PAGEREF _Toc90557292 \h </w:instrText>
      </w:r>
      <w:r w:rsidRPr="005048D8">
        <w:rPr>
          <w:rFonts w:ascii="Cambria" w:hAnsi="Cambria"/>
          <w:b w:val="0"/>
          <w:bCs/>
          <w:noProof/>
          <w:sz w:val="20"/>
          <w:szCs w:val="20"/>
        </w:rPr>
      </w:r>
      <w:r w:rsidRPr="005048D8">
        <w:rPr>
          <w:rFonts w:ascii="Cambria" w:hAnsi="Cambria"/>
          <w:b w:val="0"/>
          <w:bCs/>
          <w:noProof/>
          <w:sz w:val="20"/>
          <w:szCs w:val="20"/>
        </w:rPr>
        <w:fldChar w:fldCharType="separate"/>
      </w:r>
      <w:r w:rsidR="005048D8" w:rsidRPr="005048D8">
        <w:rPr>
          <w:rFonts w:ascii="Cambria" w:hAnsi="Cambria"/>
          <w:b w:val="0"/>
          <w:bCs/>
          <w:noProof/>
          <w:sz w:val="20"/>
          <w:szCs w:val="20"/>
          <w:lang w:val="es-US"/>
        </w:rPr>
        <w:t>3</w:t>
      </w:r>
      <w:r w:rsidRPr="005048D8">
        <w:rPr>
          <w:rFonts w:ascii="Cambria" w:hAnsi="Cambria"/>
          <w:b w:val="0"/>
          <w:bCs/>
          <w:noProof/>
          <w:sz w:val="20"/>
          <w:szCs w:val="20"/>
        </w:rPr>
        <w:fldChar w:fldCharType="end"/>
      </w:r>
    </w:p>
    <w:p w14:paraId="1159AB8A" w14:textId="5D2F84A2" w:rsidR="005D4092" w:rsidRPr="003B7960" w:rsidRDefault="005D4092">
      <w:pPr>
        <w:pStyle w:val="TOC1"/>
        <w:tabs>
          <w:tab w:val="left" w:pos="720"/>
          <w:tab w:val="right" w:leader="dot" w:pos="9350"/>
        </w:tabs>
        <w:rPr>
          <w:rFonts w:ascii="Cambria" w:eastAsiaTheme="minorEastAsia" w:hAnsi="Cambria" w:cstheme="minorBidi"/>
          <w:b w:val="0"/>
          <w:noProof/>
          <w:sz w:val="20"/>
          <w:szCs w:val="20"/>
          <w:bdr w:val="none" w:sz="0" w:space="0" w:color="auto"/>
          <w:lang w:val="es-US" w:eastAsia="zh-CN"/>
        </w:rPr>
      </w:pPr>
      <w:r w:rsidRPr="003B7960">
        <w:rPr>
          <w:rFonts w:ascii="Cambria" w:hAnsi="Cambria"/>
          <w:noProof/>
          <w:sz w:val="20"/>
          <w:szCs w:val="20"/>
          <w:lang w:val="es-ES"/>
        </w:rPr>
        <w:t>III.</w:t>
      </w:r>
      <w:r w:rsidRPr="003B7960">
        <w:rPr>
          <w:rFonts w:ascii="Cambria" w:eastAsiaTheme="minorEastAsia" w:hAnsi="Cambria" w:cstheme="minorBidi"/>
          <w:b w:val="0"/>
          <w:noProof/>
          <w:sz w:val="20"/>
          <w:szCs w:val="20"/>
          <w:bdr w:val="none" w:sz="0" w:space="0" w:color="auto"/>
          <w:lang w:val="es-US" w:eastAsia="zh-CN"/>
        </w:rPr>
        <w:tab/>
      </w:r>
      <w:r w:rsidRPr="003B7960">
        <w:rPr>
          <w:rFonts w:ascii="Cambria" w:hAnsi="Cambria"/>
          <w:noProof/>
          <w:sz w:val="20"/>
          <w:szCs w:val="20"/>
          <w:lang w:val="es-ES"/>
        </w:rPr>
        <w:t>ANÁLISIS DE ADMISIBILIDAD</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_Toc90557293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4</w:t>
      </w:r>
      <w:r w:rsidRPr="003B7960">
        <w:rPr>
          <w:rFonts w:ascii="Cambria" w:hAnsi="Cambria"/>
          <w:noProof/>
          <w:sz w:val="20"/>
          <w:szCs w:val="20"/>
        </w:rPr>
        <w:fldChar w:fldCharType="end"/>
      </w:r>
    </w:p>
    <w:p w14:paraId="381685EE" w14:textId="36740CF9" w:rsidR="005D4092" w:rsidRPr="003B7960" w:rsidRDefault="005D4092">
      <w:pPr>
        <w:pStyle w:val="TOC1"/>
        <w:tabs>
          <w:tab w:val="left" w:pos="720"/>
          <w:tab w:val="right" w:leader="dot" w:pos="9350"/>
        </w:tabs>
        <w:rPr>
          <w:rFonts w:ascii="Cambria" w:eastAsiaTheme="minorEastAsia" w:hAnsi="Cambria" w:cstheme="minorBidi"/>
          <w:b w:val="0"/>
          <w:noProof/>
          <w:sz w:val="20"/>
          <w:szCs w:val="20"/>
          <w:bdr w:val="none" w:sz="0" w:space="0" w:color="auto"/>
          <w:lang w:val="es-US" w:eastAsia="zh-CN"/>
        </w:rPr>
      </w:pPr>
      <w:r w:rsidRPr="003B7960">
        <w:rPr>
          <w:rFonts w:ascii="Cambria" w:hAnsi="Cambria"/>
          <w:noProof/>
          <w:sz w:val="20"/>
          <w:szCs w:val="20"/>
          <w:lang w:val="es-ES"/>
        </w:rPr>
        <w:t>IV.</w:t>
      </w:r>
      <w:r w:rsidRPr="003B7960">
        <w:rPr>
          <w:rFonts w:ascii="Cambria" w:eastAsiaTheme="minorEastAsia" w:hAnsi="Cambria" w:cstheme="minorBidi"/>
          <w:b w:val="0"/>
          <w:noProof/>
          <w:sz w:val="20"/>
          <w:szCs w:val="20"/>
          <w:bdr w:val="none" w:sz="0" w:space="0" w:color="auto"/>
          <w:lang w:val="es-US" w:eastAsia="zh-CN"/>
        </w:rPr>
        <w:tab/>
      </w:r>
      <w:r w:rsidRPr="003B7960">
        <w:rPr>
          <w:rFonts w:ascii="Cambria" w:hAnsi="Cambria"/>
          <w:noProof/>
          <w:sz w:val="20"/>
          <w:szCs w:val="20"/>
          <w:lang w:val="es-ES"/>
        </w:rPr>
        <w:t>HECHOS</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_Toc90557294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4</w:t>
      </w:r>
      <w:r w:rsidRPr="003B7960">
        <w:rPr>
          <w:rFonts w:ascii="Cambria" w:hAnsi="Cambria"/>
          <w:noProof/>
          <w:sz w:val="20"/>
          <w:szCs w:val="20"/>
        </w:rPr>
        <w:fldChar w:fldCharType="end"/>
      </w:r>
    </w:p>
    <w:p w14:paraId="531CC929" w14:textId="4DCF5995" w:rsidR="005D4092" w:rsidRPr="005048D8" w:rsidRDefault="005D4092">
      <w:pPr>
        <w:pStyle w:val="TOC2"/>
        <w:tabs>
          <w:tab w:val="left" w:pos="720"/>
          <w:tab w:val="right" w:leader="dot" w:pos="9350"/>
        </w:tabs>
        <w:rPr>
          <w:rFonts w:ascii="Cambria" w:eastAsiaTheme="minorEastAsia" w:hAnsi="Cambria" w:cstheme="minorBidi"/>
          <w:b w:val="0"/>
          <w:bCs/>
          <w:noProof/>
          <w:sz w:val="20"/>
          <w:szCs w:val="20"/>
          <w:bdr w:val="none" w:sz="0" w:space="0" w:color="auto"/>
          <w:lang w:val="es-US" w:eastAsia="zh-CN"/>
        </w:rPr>
      </w:pPr>
      <w:r w:rsidRPr="005048D8">
        <w:rPr>
          <w:rFonts w:ascii="Cambria" w:hAnsi="Cambria"/>
          <w:b w:val="0"/>
          <w:bCs/>
          <w:noProof/>
          <w:sz w:val="20"/>
          <w:szCs w:val="20"/>
          <w:lang w:val="es-ES"/>
        </w:rPr>
        <w:t>A.</w:t>
      </w:r>
      <w:r w:rsidRPr="005048D8">
        <w:rPr>
          <w:rFonts w:ascii="Cambria" w:eastAsiaTheme="minorEastAsia" w:hAnsi="Cambria" w:cstheme="minorBidi"/>
          <w:b w:val="0"/>
          <w:bCs/>
          <w:noProof/>
          <w:sz w:val="20"/>
          <w:szCs w:val="20"/>
          <w:bdr w:val="none" w:sz="0" w:space="0" w:color="auto"/>
          <w:lang w:val="es-US" w:eastAsia="zh-CN"/>
        </w:rPr>
        <w:tab/>
      </w:r>
      <w:r w:rsidRPr="005048D8">
        <w:rPr>
          <w:rFonts w:ascii="Cambria" w:hAnsi="Cambria"/>
          <w:b w:val="0"/>
          <w:bCs/>
          <w:noProof/>
          <w:sz w:val="20"/>
          <w:szCs w:val="20"/>
          <w:lang w:val="es-ES"/>
        </w:rPr>
        <w:t>Contexto</w:t>
      </w:r>
      <w:r w:rsidRPr="005048D8">
        <w:rPr>
          <w:rFonts w:ascii="Cambria" w:hAnsi="Cambria"/>
          <w:b w:val="0"/>
          <w:bCs/>
          <w:noProof/>
          <w:sz w:val="20"/>
          <w:szCs w:val="20"/>
          <w:lang w:val="es-US"/>
        </w:rPr>
        <w:tab/>
      </w:r>
      <w:r w:rsidRPr="005048D8">
        <w:rPr>
          <w:rFonts w:ascii="Cambria" w:hAnsi="Cambria"/>
          <w:b w:val="0"/>
          <w:bCs/>
          <w:noProof/>
          <w:sz w:val="20"/>
          <w:szCs w:val="20"/>
        </w:rPr>
        <w:fldChar w:fldCharType="begin"/>
      </w:r>
      <w:r w:rsidRPr="005048D8">
        <w:rPr>
          <w:rFonts w:ascii="Cambria" w:hAnsi="Cambria"/>
          <w:b w:val="0"/>
          <w:bCs/>
          <w:noProof/>
          <w:sz w:val="20"/>
          <w:szCs w:val="20"/>
          <w:lang w:val="es-US"/>
        </w:rPr>
        <w:instrText xml:space="preserve"> PAGEREF _Toc90557295 \h </w:instrText>
      </w:r>
      <w:r w:rsidRPr="005048D8">
        <w:rPr>
          <w:rFonts w:ascii="Cambria" w:hAnsi="Cambria"/>
          <w:b w:val="0"/>
          <w:bCs/>
          <w:noProof/>
          <w:sz w:val="20"/>
          <w:szCs w:val="20"/>
        </w:rPr>
      </w:r>
      <w:r w:rsidRPr="005048D8">
        <w:rPr>
          <w:rFonts w:ascii="Cambria" w:hAnsi="Cambria"/>
          <w:b w:val="0"/>
          <w:bCs/>
          <w:noProof/>
          <w:sz w:val="20"/>
          <w:szCs w:val="20"/>
        </w:rPr>
        <w:fldChar w:fldCharType="separate"/>
      </w:r>
      <w:r w:rsidR="005048D8" w:rsidRPr="005048D8">
        <w:rPr>
          <w:rFonts w:ascii="Cambria" w:hAnsi="Cambria"/>
          <w:b w:val="0"/>
          <w:bCs/>
          <w:noProof/>
          <w:sz w:val="20"/>
          <w:szCs w:val="20"/>
          <w:lang w:val="es-US"/>
        </w:rPr>
        <w:t>4</w:t>
      </w:r>
      <w:r w:rsidRPr="005048D8">
        <w:rPr>
          <w:rFonts w:ascii="Cambria" w:hAnsi="Cambria"/>
          <w:b w:val="0"/>
          <w:bCs/>
          <w:noProof/>
          <w:sz w:val="20"/>
          <w:szCs w:val="20"/>
        </w:rPr>
        <w:fldChar w:fldCharType="end"/>
      </w:r>
    </w:p>
    <w:p w14:paraId="125E1199" w14:textId="41B66673" w:rsidR="005D4092" w:rsidRPr="005048D8" w:rsidRDefault="005D4092">
      <w:pPr>
        <w:pStyle w:val="TOC2"/>
        <w:tabs>
          <w:tab w:val="left" w:pos="720"/>
          <w:tab w:val="right" w:leader="dot" w:pos="9350"/>
        </w:tabs>
        <w:rPr>
          <w:rFonts w:ascii="Cambria" w:eastAsiaTheme="minorEastAsia" w:hAnsi="Cambria" w:cstheme="minorBidi"/>
          <w:b w:val="0"/>
          <w:bCs/>
          <w:noProof/>
          <w:sz w:val="20"/>
          <w:szCs w:val="20"/>
          <w:bdr w:val="none" w:sz="0" w:space="0" w:color="auto"/>
          <w:lang w:val="es-US" w:eastAsia="zh-CN"/>
        </w:rPr>
      </w:pPr>
      <w:r w:rsidRPr="005048D8">
        <w:rPr>
          <w:rFonts w:ascii="Cambria" w:hAnsi="Cambria"/>
          <w:b w:val="0"/>
          <w:bCs/>
          <w:noProof/>
          <w:sz w:val="20"/>
          <w:szCs w:val="20"/>
          <w:lang w:val="es-ES"/>
        </w:rPr>
        <w:t>B.</w:t>
      </w:r>
      <w:r w:rsidRPr="005048D8">
        <w:rPr>
          <w:rFonts w:ascii="Cambria" w:eastAsiaTheme="minorEastAsia" w:hAnsi="Cambria" w:cstheme="minorBidi"/>
          <w:b w:val="0"/>
          <w:bCs/>
          <w:noProof/>
          <w:sz w:val="20"/>
          <w:szCs w:val="20"/>
          <w:bdr w:val="none" w:sz="0" w:space="0" w:color="auto"/>
          <w:lang w:val="es-US" w:eastAsia="zh-CN"/>
        </w:rPr>
        <w:tab/>
      </w:r>
      <w:r w:rsidRPr="005048D8">
        <w:rPr>
          <w:rFonts w:ascii="Cambria" w:hAnsi="Cambria"/>
          <w:b w:val="0"/>
          <w:bCs/>
          <w:noProof/>
          <w:sz w:val="20"/>
          <w:szCs w:val="20"/>
          <w:lang w:val="es-ES"/>
        </w:rPr>
        <w:t>Hechos del caso</w:t>
      </w:r>
      <w:r w:rsidRPr="005048D8">
        <w:rPr>
          <w:rFonts w:ascii="Cambria" w:hAnsi="Cambria"/>
          <w:b w:val="0"/>
          <w:bCs/>
          <w:noProof/>
          <w:sz w:val="20"/>
          <w:szCs w:val="20"/>
          <w:lang w:val="es-US"/>
        </w:rPr>
        <w:tab/>
      </w:r>
      <w:r w:rsidRPr="005048D8">
        <w:rPr>
          <w:rFonts w:ascii="Cambria" w:hAnsi="Cambria"/>
          <w:b w:val="0"/>
          <w:bCs/>
          <w:noProof/>
          <w:sz w:val="20"/>
          <w:szCs w:val="20"/>
        </w:rPr>
        <w:fldChar w:fldCharType="begin"/>
      </w:r>
      <w:r w:rsidRPr="005048D8">
        <w:rPr>
          <w:rFonts w:ascii="Cambria" w:hAnsi="Cambria"/>
          <w:b w:val="0"/>
          <w:bCs/>
          <w:noProof/>
          <w:sz w:val="20"/>
          <w:szCs w:val="20"/>
          <w:lang w:val="es-US"/>
        </w:rPr>
        <w:instrText xml:space="preserve"> PAGEREF _Toc90557296 \h </w:instrText>
      </w:r>
      <w:r w:rsidRPr="005048D8">
        <w:rPr>
          <w:rFonts w:ascii="Cambria" w:hAnsi="Cambria"/>
          <w:b w:val="0"/>
          <w:bCs/>
          <w:noProof/>
          <w:sz w:val="20"/>
          <w:szCs w:val="20"/>
        </w:rPr>
      </w:r>
      <w:r w:rsidRPr="005048D8">
        <w:rPr>
          <w:rFonts w:ascii="Cambria" w:hAnsi="Cambria"/>
          <w:b w:val="0"/>
          <w:bCs/>
          <w:noProof/>
          <w:sz w:val="20"/>
          <w:szCs w:val="20"/>
        </w:rPr>
        <w:fldChar w:fldCharType="separate"/>
      </w:r>
      <w:r w:rsidR="005048D8" w:rsidRPr="005048D8">
        <w:rPr>
          <w:rFonts w:ascii="Cambria" w:hAnsi="Cambria"/>
          <w:b w:val="0"/>
          <w:bCs/>
          <w:noProof/>
          <w:sz w:val="20"/>
          <w:szCs w:val="20"/>
          <w:lang w:val="es-US"/>
        </w:rPr>
        <w:t>7</w:t>
      </w:r>
      <w:r w:rsidRPr="005048D8">
        <w:rPr>
          <w:rFonts w:ascii="Cambria" w:hAnsi="Cambria"/>
          <w:b w:val="0"/>
          <w:bCs/>
          <w:noProof/>
          <w:sz w:val="20"/>
          <w:szCs w:val="20"/>
        </w:rPr>
        <w:fldChar w:fldCharType="end"/>
      </w:r>
    </w:p>
    <w:p w14:paraId="3DD5DD0B" w14:textId="46D12049" w:rsidR="005D4092" w:rsidRPr="003B7960" w:rsidRDefault="005D4092">
      <w:pPr>
        <w:pStyle w:val="TOC3"/>
        <w:tabs>
          <w:tab w:val="left" w:pos="960"/>
          <w:tab w:val="right" w:leader="dot" w:pos="9350"/>
        </w:tabs>
        <w:rPr>
          <w:rFonts w:ascii="Cambria" w:eastAsiaTheme="minorEastAsia" w:hAnsi="Cambria" w:cstheme="minorBidi"/>
          <w:noProof/>
          <w:sz w:val="20"/>
          <w:szCs w:val="20"/>
          <w:bdr w:val="none" w:sz="0" w:space="0" w:color="auto"/>
          <w:lang w:val="es-US" w:eastAsia="zh-CN"/>
        </w:rPr>
      </w:pPr>
      <w:r w:rsidRPr="003B7960">
        <w:rPr>
          <w:rFonts w:ascii="Cambria" w:hAnsi="Cambria"/>
          <w:noProof/>
          <w:sz w:val="20"/>
          <w:szCs w:val="20"/>
          <w:lang w:val="es-ES"/>
        </w:rPr>
        <w:t>1.</w:t>
      </w:r>
      <w:r w:rsidRPr="003B7960">
        <w:rPr>
          <w:rFonts w:ascii="Cambria" w:eastAsiaTheme="minorEastAsia" w:hAnsi="Cambria" w:cstheme="minorBidi"/>
          <w:noProof/>
          <w:sz w:val="20"/>
          <w:szCs w:val="20"/>
          <w:bdr w:val="none" w:sz="0" w:space="0" w:color="auto"/>
          <w:lang w:val="es-US" w:eastAsia="zh-CN"/>
        </w:rPr>
        <w:tab/>
      </w:r>
      <w:r w:rsidRPr="003B7960">
        <w:rPr>
          <w:rFonts w:ascii="Cambria" w:hAnsi="Cambria"/>
          <w:noProof/>
          <w:sz w:val="20"/>
          <w:szCs w:val="20"/>
          <w:lang w:val="es-ES"/>
        </w:rPr>
        <w:t>La detención y repatriación de ciudadanos cubanos y haitianos</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_Toc90557297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7</w:t>
      </w:r>
      <w:r w:rsidRPr="003B7960">
        <w:rPr>
          <w:rFonts w:ascii="Cambria" w:hAnsi="Cambria"/>
          <w:noProof/>
          <w:sz w:val="20"/>
          <w:szCs w:val="20"/>
        </w:rPr>
        <w:fldChar w:fldCharType="end"/>
      </w:r>
    </w:p>
    <w:p w14:paraId="508DCD41" w14:textId="5C479DAB" w:rsidR="005D4092" w:rsidRPr="003B7960" w:rsidRDefault="005D4092">
      <w:pPr>
        <w:pStyle w:val="TOC3"/>
        <w:tabs>
          <w:tab w:val="left" w:pos="960"/>
          <w:tab w:val="right" w:leader="dot" w:pos="9350"/>
        </w:tabs>
        <w:rPr>
          <w:rFonts w:ascii="Cambria" w:eastAsiaTheme="minorEastAsia" w:hAnsi="Cambria" w:cstheme="minorBidi"/>
          <w:noProof/>
          <w:sz w:val="20"/>
          <w:szCs w:val="20"/>
          <w:bdr w:val="none" w:sz="0" w:space="0" w:color="auto"/>
          <w:lang w:val="es-US" w:eastAsia="zh-CN"/>
        </w:rPr>
      </w:pPr>
      <w:r w:rsidRPr="003B7960">
        <w:rPr>
          <w:rFonts w:ascii="Cambria" w:hAnsi="Cambria"/>
          <w:noProof/>
          <w:sz w:val="20"/>
          <w:szCs w:val="20"/>
          <w:lang w:val="es-ES"/>
        </w:rPr>
        <w:t>2.</w:t>
      </w:r>
      <w:r w:rsidRPr="003B7960">
        <w:rPr>
          <w:rFonts w:ascii="Cambria" w:eastAsiaTheme="minorEastAsia" w:hAnsi="Cambria" w:cstheme="minorBidi"/>
          <w:noProof/>
          <w:sz w:val="20"/>
          <w:szCs w:val="20"/>
          <w:bdr w:val="none" w:sz="0" w:space="0" w:color="auto"/>
          <w:lang w:val="es-US" w:eastAsia="zh-CN"/>
        </w:rPr>
        <w:tab/>
      </w:r>
      <w:r w:rsidRPr="003B7960">
        <w:rPr>
          <w:rFonts w:ascii="Cambria" w:hAnsi="Cambria"/>
          <w:noProof/>
          <w:sz w:val="20"/>
          <w:szCs w:val="20"/>
          <w:lang w:val="es-ES"/>
        </w:rPr>
        <w:t>Información específica sobre Nieves Escuela y sus familiares</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_Toc90557298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8</w:t>
      </w:r>
      <w:r w:rsidRPr="003B7960">
        <w:rPr>
          <w:rFonts w:ascii="Cambria" w:hAnsi="Cambria"/>
          <w:noProof/>
          <w:sz w:val="20"/>
          <w:szCs w:val="20"/>
        </w:rPr>
        <w:fldChar w:fldCharType="end"/>
      </w:r>
    </w:p>
    <w:p w14:paraId="6B0823C8" w14:textId="239B50AC" w:rsidR="005D4092" w:rsidRPr="003B7960" w:rsidRDefault="005D4092">
      <w:pPr>
        <w:pStyle w:val="TOC3"/>
        <w:tabs>
          <w:tab w:val="left" w:pos="960"/>
          <w:tab w:val="right" w:leader="dot" w:pos="9350"/>
        </w:tabs>
        <w:rPr>
          <w:rFonts w:ascii="Cambria" w:eastAsiaTheme="minorEastAsia" w:hAnsi="Cambria" w:cstheme="minorBidi"/>
          <w:noProof/>
          <w:sz w:val="20"/>
          <w:szCs w:val="20"/>
          <w:bdr w:val="none" w:sz="0" w:space="0" w:color="auto"/>
          <w:lang w:val="es-US" w:eastAsia="zh-CN"/>
        </w:rPr>
      </w:pPr>
      <w:r w:rsidRPr="003B7960">
        <w:rPr>
          <w:rFonts w:ascii="Cambria" w:hAnsi="Cambria"/>
          <w:noProof/>
          <w:sz w:val="20"/>
          <w:szCs w:val="20"/>
          <w:lang w:val="es-ES"/>
        </w:rPr>
        <w:t>3.</w:t>
      </w:r>
      <w:r w:rsidRPr="003B7960">
        <w:rPr>
          <w:rFonts w:ascii="Cambria" w:eastAsiaTheme="minorEastAsia" w:hAnsi="Cambria" w:cstheme="minorBidi"/>
          <w:noProof/>
          <w:sz w:val="20"/>
          <w:szCs w:val="20"/>
          <w:bdr w:val="none" w:sz="0" w:space="0" w:color="auto"/>
          <w:lang w:val="es-US" w:eastAsia="zh-CN"/>
        </w:rPr>
        <w:tab/>
      </w:r>
      <w:r w:rsidRPr="003B7960">
        <w:rPr>
          <w:rFonts w:ascii="Cambria" w:hAnsi="Cambria"/>
          <w:noProof/>
          <w:sz w:val="20"/>
          <w:szCs w:val="20"/>
          <w:lang w:val="es-ES"/>
        </w:rPr>
        <w:t>Información específica sobre Pastor José Aguiar Pérez y Damián Rigoberto Cabrera Pérez</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_Toc90557299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9</w:t>
      </w:r>
      <w:r w:rsidRPr="003B7960">
        <w:rPr>
          <w:rFonts w:ascii="Cambria" w:hAnsi="Cambria"/>
          <w:noProof/>
          <w:sz w:val="20"/>
          <w:szCs w:val="20"/>
        </w:rPr>
        <w:fldChar w:fldCharType="end"/>
      </w:r>
    </w:p>
    <w:p w14:paraId="3251A273" w14:textId="7F037E70" w:rsidR="005D4092" w:rsidRPr="003B7960" w:rsidRDefault="005D4092">
      <w:pPr>
        <w:pStyle w:val="TOC3"/>
        <w:tabs>
          <w:tab w:val="left" w:pos="960"/>
          <w:tab w:val="right" w:leader="dot" w:pos="9350"/>
        </w:tabs>
        <w:rPr>
          <w:rFonts w:ascii="Cambria" w:eastAsiaTheme="minorEastAsia" w:hAnsi="Cambria" w:cstheme="minorBidi"/>
          <w:noProof/>
          <w:sz w:val="20"/>
          <w:szCs w:val="20"/>
          <w:bdr w:val="none" w:sz="0" w:space="0" w:color="auto"/>
          <w:lang w:val="es-US" w:eastAsia="zh-CN"/>
        </w:rPr>
      </w:pPr>
      <w:r w:rsidRPr="003B7960">
        <w:rPr>
          <w:rFonts w:ascii="Cambria" w:hAnsi="Cambria"/>
          <w:noProof/>
          <w:sz w:val="20"/>
          <w:szCs w:val="20"/>
          <w:lang w:val="es-ES"/>
        </w:rPr>
        <w:t>4.</w:t>
      </w:r>
      <w:r w:rsidRPr="003B7960">
        <w:rPr>
          <w:rFonts w:ascii="Cambria" w:eastAsiaTheme="minorEastAsia" w:hAnsi="Cambria" w:cstheme="minorBidi"/>
          <w:noProof/>
          <w:sz w:val="20"/>
          <w:szCs w:val="20"/>
          <w:bdr w:val="none" w:sz="0" w:space="0" w:color="auto"/>
          <w:lang w:val="es-US" w:eastAsia="zh-CN"/>
        </w:rPr>
        <w:tab/>
      </w:r>
      <w:r w:rsidRPr="003B7960">
        <w:rPr>
          <w:rFonts w:ascii="Cambria" w:hAnsi="Cambria"/>
          <w:noProof/>
          <w:sz w:val="20"/>
          <w:szCs w:val="20"/>
          <w:lang w:val="es-ES"/>
        </w:rPr>
        <w:t>Condiciones de detención en el Centro Carmichael</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_Toc90557300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10</w:t>
      </w:r>
      <w:r w:rsidRPr="003B7960">
        <w:rPr>
          <w:rFonts w:ascii="Cambria" w:hAnsi="Cambria"/>
          <w:noProof/>
          <w:sz w:val="20"/>
          <w:szCs w:val="20"/>
        </w:rPr>
        <w:fldChar w:fldCharType="end"/>
      </w:r>
    </w:p>
    <w:p w14:paraId="00D1D3BF" w14:textId="30BC6F45" w:rsidR="005D4092" w:rsidRPr="003B7960" w:rsidRDefault="005D4092">
      <w:pPr>
        <w:pStyle w:val="TOC3"/>
        <w:tabs>
          <w:tab w:val="left" w:pos="960"/>
          <w:tab w:val="right" w:leader="dot" w:pos="9350"/>
        </w:tabs>
        <w:rPr>
          <w:rFonts w:ascii="Cambria" w:eastAsiaTheme="minorEastAsia" w:hAnsi="Cambria" w:cstheme="minorBidi"/>
          <w:noProof/>
          <w:sz w:val="20"/>
          <w:szCs w:val="20"/>
          <w:bdr w:val="none" w:sz="0" w:space="0" w:color="auto"/>
          <w:lang w:val="es-US" w:eastAsia="zh-CN"/>
        </w:rPr>
      </w:pPr>
      <w:r w:rsidRPr="003B7960">
        <w:rPr>
          <w:rFonts w:ascii="Cambria" w:hAnsi="Cambria"/>
          <w:noProof/>
          <w:sz w:val="20"/>
          <w:szCs w:val="20"/>
          <w:lang w:val="es-ES"/>
        </w:rPr>
        <w:t>5.</w:t>
      </w:r>
      <w:r w:rsidRPr="003B7960">
        <w:rPr>
          <w:rFonts w:ascii="Cambria" w:eastAsiaTheme="minorEastAsia" w:hAnsi="Cambria" w:cstheme="minorBidi"/>
          <w:noProof/>
          <w:sz w:val="20"/>
          <w:szCs w:val="20"/>
          <w:bdr w:val="none" w:sz="0" w:space="0" w:color="auto"/>
          <w:lang w:val="es-US" w:eastAsia="zh-CN"/>
        </w:rPr>
        <w:tab/>
      </w:r>
      <w:r w:rsidRPr="003B7960">
        <w:rPr>
          <w:rFonts w:ascii="Cambria" w:hAnsi="Cambria"/>
          <w:noProof/>
          <w:sz w:val="20"/>
          <w:szCs w:val="20"/>
          <w:lang w:val="es-ES"/>
        </w:rPr>
        <w:t>Información sobre el procedimiento para pedir asilo en las Bahamas</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_Toc90557301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10</w:t>
      </w:r>
      <w:r w:rsidRPr="003B7960">
        <w:rPr>
          <w:rFonts w:ascii="Cambria" w:hAnsi="Cambria"/>
          <w:noProof/>
          <w:sz w:val="20"/>
          <w:szCs w:val="20"/>
        </w:rPr>
        <w:fldChar w:fldCharType="end"/>
      </w:r>
    </w:p>
    <w:p w14:paraId="0CB5022F" w14:textId="129FFB20" w:rsidR="005D4092" w:rsidRPr="003B7960" w:rsidRDefault="005D4092">
      <w:pPr>
        <w:pStyle w:val="TOC1"/>
        <w:tabs>
          <w:tab w:val="left" w:pos="480"/>
          <w:tab w:val="right" w:leader="dot" w:pos="9350"/>
        </w:tabs>
        <w:rPr>
          <w:rFonts w:ascii="Cambria" w:eastAsiaTheme="minorEastAsia" w:hAnsi="Cambria" w:cstheme="minorBidi"/>
          <w:b w:val="0"/>
          <w:noProof/>
          <w:sz w:val="20"/>
          <w:szCs w:val="20"/>
          <w:bdr w:val="none" w:sz="0" w:space="0" w:color="auto"/>
          <w:lang w:val="es-US" w:eastAsia="zh-CN"/>
        </w:rPr>
      </w:pPr>
      <w:r w:rsidRPr="003B7960">
        <w:rPr>
          <w:rFonts w:ascii="Cambria" w:hAnsi="Cambria"/>
          <w:noProof/>
          <w:sz w:val="20"/>
          <w:szCs w:val="20"/>
          <w:lang w:val="es-ES"/>
        </w:rPr>
        <w:t>V.</w:t>
      </w:r>
      <w:r w:rsidRPr="003B7960">
        <w:rPr>
          <w:rFonts w:ascii="Cambria" w:eastAsiaTheme="minorEastAsia" w:hAnsi="Cambria" w:cstheme="minorBidi"/>
          <w:b w:val="0"/>
          <w:noProof/>
          <w:sz w:val="20"/>
          <w:szCs w:val="20"/>
          <w:bdr w:val="none" w:sz="0" w:space="0" w:color="auto"/>
          <w:lang w:val="es-US" w:eastAsia="zh-CN"/>
        </w:rPr>
        <w:tab/>
      </w:r>
      <w:r w:rsidRPr="003B7960">
        <w:rPr>
          <w:rFonts w:ascii="Cambria" w:hAnsi="Cambria"/>
          <w:noProof/>
          <w:sz w:val="20"/>
          <w:szCs w:val="20"/>
          <w:lang w:val="es-ES"/>
        </w:rPr>
        <w:t>ANÁLISIS DE DERECHO</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_Toc90557302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12</w:t>
      </w:r>
      <w:r w:rsidRPr="003B7960">
        <w:rPr>
          <w:rFonts w:ascii="Cambria" w:hAnsi="Cambria"/>
          <w:noProof/>
          <w:sz w:val="20"/>
          <w:szCs w:val="20"/>
        </w:rPr>
        <w:fldChar w:fldCharType="end"/>
      </w:r>
    </w:p>
    <w:p w14:paraId="1721769B" w14:textId="0C2236BF" w:rsidR="005D4092" w:rsidRPr="005048D8" w:rsidRDefault="005D4092">
      <w:pPr>
        <w:pStyle w:val="TOC2"/>
        <w:tabs>
          <w:tab w:val="left" w:pos="720"/>
          <w:tab w:val="right" w:leader="dot" w:pos="9350"/>
        </w:tabs>
        <w:rPr>
          <w:rFonts w:ascii="Cambria" w:eastAsiaTheme="minorEastAsia" w:hAnsi="Cambria" w:cstheme="minorBidi"/>
          <w:b w:val="0"/>
          <w:bCs/>
          <w:noProof/>
          <w:sz w:val="20"/>
          <w:szCs w:val="20"/>
          <w:bdr w:val="none" w:sz="0" w:space="0" w:color="auto"/>
          <w:lang w:val="es-US" w:eastAsia="zh-CN"/>
        </w:rPr>
      </w:pPr>
      <w:r w:rsidRPr="005048D8">
        <w:rPr>
          <w:rFonts w:ascii="Cambria" w:hAnsi="Cambria"/>
          <w:b w:val="0"/>
          <w:bCs/>
          <w:noProof/>
          <w:sz w:val="20"/>
          <w:szCs w:val="20"/>
          <w:lang w:val="es-ES"/>
        </w:rPr>
        <w:t>A.</w:t>
      </w:r>
      <w:r w:rsidRPr="005048D8">
        <w:rPr>
          <w:rFonts w:ascii="Cambria" w:eastAsiaTheme="minorEastAsia" w:hAnsi="Cambria" w:cstheme="minorBidi"/>
          <w:b w:val="0"/>
          <w:bCs/>
          <w:noProof/>
          <w:sz w:val="20"/>
          <w:szCs w:val="20"/>
          <w:bdr w:val="none" w:sz="0" w:space="0" w:color="auto"/>
          <w:lang w:val="es-US" w:eastAsia="zh-CN"/>
        </w:rPr>
        <w:tab/>
      </w:r>
      <w:r w:rsidRPr="005048D8">
        <w:rPr>
          <w:rFonts w:ascii="Cambria" w:hAnsi="Cambria"/>
          <w:b w:val="0"/>
          <w:bCs/>
          <w:noProof/>
          <w:sz w:val="20"/>
          <w:szCs w:val="20"/>
          <w:lang w:val="es-ES"/>
        </w:rPr>
        <w:t>Consideraciones preliminares sobre la individualización de las víctimas y la aplicación de la Declaración Americana y otros instrumentos jurídicos internacionales pertinentes</w:t>
      </w:r>
      <w:r w:rsidRPr="005048D8">
        <w:rPr>
          <w:rFonts w:ascii="Cambria" w:hAnsi="Cambria"/>
          <w:b w:val="0"/>
          <w:bCs/>
          <w:noProof/>
          <w:sz w:val="20"/>
          <w:szCs w:val="20"/>
          <w:lang w:val="es-US"/>
        </w:rPr>
        <w:tab/>
      </w:r>
      <w:r w:rsidRPr="005048D8">
        <w:rPr>
          <w:rFonts w:ascii="Cambria" w:hAnsi="Cambria"/>
          <w:b w:val="0"/>
          <w:bCs/>
          <w:noProof/>
          <w:sz w:val="20"/>
          <w:szCs w:val="20"/>
        </w:rPr>
        <w:fldChar w:fldCharType="begin"/>
      </w:r>
      <w:r w:rsidRPr="005048D8">
        <w:rPr>
          <w:rFonts w:ascii="Cambria" w:hAnsi="Cambria"/>
          <w:b w:val="0"/>
          <w:bCs/>
          <w:noProof/>
          <w:sz w:val="20"/>
          <w:szCs w:val="20"/>
          <w:lang w:val="es-US"/>
        </w:rPr>
        <w:instrText xml:space="preserve"> PAGEREF _Toc90557303 \h </w:instrText>
      </w:r>
      <w:r w:rsidRPr="005048D8">
        <w:rPr>
          <w:rFonts w:ascii="Cambria" w:hAnsi="Cambria"/>
          <w:b w:val="0"/>
          <w:bCs/>
          <w:noProof/>
          <w:sz w:val="20"/>
          <w:szCs w:val="20"/>
        </w:rPr>
      </w:r>
      <w:r w:rsidRPr="005048D8">
        <w:rPr>
          <w:rFonts w:ascii="Cambria" w:hAnsi="Cambria"/>
          <w:b w:val="0"/>
          <w:bCs/>
          <w:noProof/>
          <w:sz w:val="20"/>
          <w:szCs w:val="20"/>
        </w:rPr>
        <w:fldChar w:fldCharType="separate"/>
      </w:r>
      <w:r w:rsidR="005048D8" w:rsidRPr="005048D8">
        <w:rPr>
          <w:rFonts w:ascii="Cambria" w:hAnsi="Cambria"/>
          <w:b w:val="0"/>
          <w:bCs/>
          <w:noProof/>
          <w:sz w:val="20"/>
          <w:szCs w:val="20"/>
          <w:lang w:val="es-US"/>
        </w:rPr>
        <w:t>12</w:t>
      </w:r>
      <w:r w:rsidRPr="005048D8">
        <w:rPr>
          <w:rFonts w:ascii="Cambria" w:hAnsi="Cambria"/>
          <w:b w:val="0"/>
          <w:bCs/>
          <w:noProof/>
          <w:sz w:val="20"/>
          <w:szCs w:val="20"/>
        </w:rPr>
        <w:fldChar w:fldCharType="end"/>
      </w:r>
    </w:p>
    <w:p w14:paraId="79CFD9C1" w14:textId="306A2530" w:rsidR="005D4092" w:rsidRPr="005048D8" w:rsidRDefault="005D4092">
      <w:pPr>
        <w:pStyle w:val="TOC2"/>
        <w:tabs>
          <w:tab w:val="left" w:pos="720"/>
          <w:tab w:val="right" w:leader="dot" w:pos="9350"/>
        </w:tabs>
        <w:rPr>
          <w:rFonts w:ascii="Cambria" w:eastAsiaTheme="minorEastAsia" w:hAnsi="Cambria" w:cstheme="minorBidi"/>
          <w:b w:val="0"/>
          <w:bCs/>
          <w:noProof/>
          <w:sz w:val="20"/>
          <w:szCs w:val="20"/>
          <w:bdr w:val="none" w:sz="0" w:space="0" w:color="auto"/>
          <w:lang w:val="es-US" w:eastAsia="zh-CN"/>
        </w:rPr>
      </w:pPr>
      <w:r w:rsidRPr="005048D8">
        <w:rPr>
          <w:rFonts w:ascii="Cambria" w:hAnsi="Cambria"/>
          <w:b w:val="0"/>
          <w:bCs/>
          <w:noProof/>
          <w:sz w:val="20"/>
          <w:szCs w:val="20"/>
          <w:lang w:val="es-ES"/>
        </w:rPr>
        <w:t>B.</w:t>
      </w:r>
      <w:r w:rsidRPr="005048D8">
        <w:rPr>
          <w:rFonts w:ascii="Cambria" w:eastAsiaTheme="minorEastAsia" w:hAnsi="Cambria" w:cstheme="minorBidi"/>
          <w:b w:val="0"/>
          <w:bCs/>
          <w:noProof/>
          <w:sz w:val="20"/>
          <w:szCs w:val="20"/>
          <w:bdr w:val="none" w:sz="0" w:space="0" w:color="auto"/>
          <w:lang w:val="es-US" w:eastAsia="zh-CN"/>
        </w:rPr>
        <w:tab/>
      </w:r>
      <w:r w:rsidRPr="005048D8">
        <w:rPr>
          <w:rFonts w:ascii="Cambria" w:hAnsi="Cambria"/>
          <w:b w:val="0"/>
          <w:bCs/>
          <w:noProof/>
          <w:sz w:val="20"/>
          <w:szCs w:val="20"/>
          <w:lang w:val="es-ES"/>
        </w:rPr>
        <w:t>Derecho de protección contra la detención arbitraria y derecho a un trato humano durante la privación de la libertad (artículos I y XXV de la Declaración Americana)</w:t>
      </w:r>
      <w:r w:rsidRPr="005048D8">
        <w:rPr>
          <w:rFonts w:ascii="Cambria" w:hAnsi="Cambria"/>
          <w:b w:val="0"/>
          <w:bCs/>
          <w:noProof/>
          <w:sz w:val="20"/>
          <w:szCs w:val="20"/>
          <w:lang w:val="es-US"/>
        </w:rPr>
        <w:tab/>
      </w:r>
      <w:r w:rsidRPr="005048D8">
        <w:rPr>
          <w:rFonts w:ascii="Cambria" w:hAnsi="Cambria"/>
          <w:b w:val="0"/>
          <w:bCs/>
          <w:noProof/>
          <w:sz w:val="20"/>
          <w:szCs w:val="20"/>
        </w:rPr>
        <w:fldChar w:fldCharType="begin"/>
      </w:r>
      <w:r w:rsidRPr="005048D8">
        <w:rPr>
          <w:rFonts w:ascii="Cambria" w:hAnsi="Cambria"/>
          <w:b w:val="0"/>
          <w:bCs/>
          <w:noProof/>
          <w:sz w:val="20"/>
          <w:szCs w:val="20"/>
          <w:lang w:val="es-US"/>
        </w:rPr>
        <w:instrText xml:space="preserve"> PAGEREF _Toc90557304 \h </w:instrText>
      </w:r>
      <w:r w:rsidRPr="005048D8">
        <w:rPr>
          <w:rFonts w:ascii="Cambria" w:hAnsi="Cambria"/>
          <w:b w:val="0"/>
          <w:bCs/>
          <w:noProof/>
          <w:sz w:val="20"/>
          <w:szCs w:val="20"/>
        </w:rPr>
      </w:r>
      <w:r w:rsidRPr="005048D8">
        <w:rPr>
          <w:rFonts w:ascii="Cambria" w:hAnsi="Cambria"/>
          <w:b w:val="0"/>
          <w:bCs/>
          <w:noProof/>
          <w:sz w:val="20"/>
          <w:szCs w:val="20"/>
        </w:rPr>
        <w:fldChar w:fldCharType="separate"/>
      </w:r>
      <w:r w:rsidR="005048D8" w:rsidRPr="005048D8">
        <w:rPr>
          <w:rFonts w:ascii="Cambria" w:hAnsi="Cambria"/>
          <w:b w:val="0"/>
          <w:bCs/>
          <w:noProof/>
          <w:sz w:val="20"/>
          <w:szCs w:val="20"/>
          <w:lang w:val="es-US"/>
        </w:rPr>
        <w:t>13</w:t>
      </w:r>
      <w:r w:rsidRPr="005048D8">
        <w:rPr>
          <w:rFonts w:ascii="Cambria" w:hAnsi="Cambria"/>
          <w:b w:val="0"/>
          <w:bCs/>
          <w:noProof/>
          <w:sz w:val="20"/>
          <w:szCs w:val="20"/>
        </w:rPr>
        <w:fldChar w:fldCharType="end"/>
      </w:r>
    </w:p>
    <w:p w14:paraId="35E1C793" w14:textId="653C71E3" w:rsidR="005D4092" w:rsidRPr="005048D8" w:rsidRDefault="005D4092">
      <w:pPr>
        <w:pStyle w:val="TOC3"/>
        <w:tabs>
          <w:tab w:val="left" w:pos="960"/>
          <w:tab w:val="right" w:leader="dot" w:pos="9350"/>
        </w:tabs>
        <w:rPr>
          <w:rFonts w:ascii="Cambria" w:eastAsiaTheme="minorEastAsia" w:hAnsi="Cambria" w:cstheme="minorBidi"/>
          <w:bCs/>
          <w:noProof/>
          <w:sz w:val="20"/>
          <w:szCs w:val="20"/>
          <w:bdr w:val="none" w:sz="0" w:space="0" w:color="auto"/>
          <w:lang w:val="es-US" w:eastAsia="zh-CN"/>
        </w:rPr>
      </w:pPr>
      <w:r w:rsidRPr="005048D8">
        <w:rPr>
          <w:rFonts w:ascii="Cambria" w:hAnsi="Cambria"/>
          <w:bCs/>
          <w:noProof/>
          <w:sz w:val="20"/>
          <w:szCs w:val="20"/>
          <w:lang w:val="es-ES"/>
        </w:rPr>
        <w:t>1.</w:t>
      </w:r>
      <w:r w:rsidRPr="005048D8">
        <w:rPr>
          <w:rFonts w:ascii="Cambria" w:eastAsiaTheme="minorEastAsia" w:hAnsi="Cambria" w:cstheme="minorBidi"/>
          <w:bCs/>
          <w:noProof/>
          <w:sz w:val="20"/>
          <w:szCs w:val="20"/>
          <w:bdr w:val="none" w:sz="0" w:space="0" w:color="auto"/>
          <w:lang w:val="es-US" w:eastAsia="zh-CN"/>
        </w:rPr>
        <w:tab/>
      </w:r>
      <w:r w:rsidRPr="005048D8">
        <w:rPr>
          <w:rFonts w:ascii="Cambria" w:hAnsi="Cambria"/>
          <w:bCs/>
          <w:noProof/>
          <w:sz w:val="20"/>
          <w:szCs w:val="20"/>
          <w:lang w:val="es-ES"/>
        </w:rPr>
        <w:t>Normas interamericanas relativas a los migrantes en detención</w:t>
      </w:r>
      <w:r w:rsidRPr="005048D8">
        <w:rPr>
          <w:rFonts w:ascii="Cambria" w:hAnsi="Cambria"/>
          <w:bCs/>
          <w:noProof/>
          <w:sz w:val="20"/>
          <w:szCs w:val="20"/>
          <w:lang w:val="es-US"/>
        </w:rPr>
        <w:tab/>
      </w:r>
      <w:r w:rsidRPr="005048D8">
        <w:rPr>
          <w:rFonts w:ascii="Cambria" w:hAnsi="Cambria"/>
          <w:bCs/>
          <w:noProof/>
          <w:sz w:val="20"/>
          <w:szCs w:val="20"/>
        </w:rPr>
        <w:fldChar w:fldCharType="begin"/>
      </w:r>
      <w:r w:rsidRPr="005048D8">
        <w:rPr>
          <w:rFonts w:ascii="Cambria" w:hAnsi="Cambria"/>
          <w:bCs/>
          <w:noProof/>
          <w:sz w:val="20"/>
          <w:szCs w:val="20"/>
          <w:lang w:val="es-US"/>
        </w:rPr>
        <w:instrText xml:space="preserve"> PAGEREF _Toc90557305 \h </w:instrText>
      </w:r>
      <w:r w:rsidRPr="005048D8">
        <w:rPr>
          <w:rFonts w:ascii="Cambria" w:hAnsi="Cambria"/>
          <w:bCs/>
          <w:noProof/>
          <w:sz w:val="20"/>
          <w:szCs w:val="20"/>
        </w:rPr>
      </w:r>
      <w:r w:rsidRPr="005048D8">
        <w:rPr>
          <w:rFonts w:ascii="Cambria" w:hAnsi="Cambria"/>
          <w:bCs/>
          <w:noProof/>
          <w:sz w:val="20"/>
          <w:szCs w:val="20"/>
        </w:rPr>
        <w:fldChar w:fldCharType="separate"/>
      </w:r>
      <w:r w:rsidR="005048D8" w:rsidRPr="005048D8">
        <w:rPr>
          <w:rFonts w:ascii="Cambria" w:hAnsi="Cambria"/>
          <w:bCs/>
          <w:noProof/>
          <w:sz w:val="20"/>
          <w:szCs w:val="20"/>
          <w:lang w:val="es-US"/>
        </w:rPr>
        <w:t>13</w:t>
      </w:r>
      <w:r w:rsidRPr="005048D8">
        <w:rPr>
          <w:rFonts w:ascii="Cambria" w:hAnsi="Cambria"/>
          <w:bCs/>
          <w:noProof/>
          <w:sz w:val="20"/>
          <w:szCs w:val="20"/>
        </w:rPr>
        <w:fldChar w:fldCharType="end"/>
      </w:r>
    </w:p>
    <w:p w14:paraId="31B2176A" w14:textId="5E98371B" w:rsidR="005D4092" w:rsidRPr="003B7960" w:rsidRDefault="005D4092">
      <w:pPr>
        <w:pStyle w:val="TOC3"/>
        <w:tabs>
          <w:tab w:val="left" w:pos="960"/>
          <w:tab w:val="right" w:leader="dot" w:pos="9350"/>
        </w:tabs>
        <w:rPr>
          <w:rFonts w:ascii="Cambria" w:eastAsiaTheme="minorEastAsia" w:hAnsi="Cambria" w:cstheme="minorBidi"/>
          <w:noProof/>
          <w:sz w:val="20"/>
          <w:szCs w:val="20"/>
          <w:bdr w:val="none" w:sz="0" w:space="0" w:color="auto"/>
          <w:lang w:val="es-US" w:eastAsia="zh-CN"/>
        </w:rPr>
      </w:pPr>
      <w:r w:rsidRPr="003B7960">
        <w:rPr>
          <w:rFonts w:ascii="Cambria" w:hAnsi="Cambria"/>
          <w:noProof/>
          <w:sz w:val="20"/>
          <w:szCs w:val="20"/>
          <w:lang w:val="es-ES"/>
        </w:rPr>
        <w:t>2.</w:t>
      </w:r>
      <w:r w:rsidRPr="003B7960">
        <w:rPr>
          <w:rFonts w:ascii="Cambria" w:eastAsiaTheme="minorEastAsia" w:hAnsi="Cambria" w:cstheme="minorBidi"/>
          <w:noProof/>
          <w:sz w:val="20"/>
          <w:szCs w:val="20"/>
          <w:bdr w:val="none" w:sz="0" w:space="0" w:color="auto"/>
          <w:lang w:val="es-US" w:eastAsia="zh-CN"/>
        </w:rPr>
        <w:tab/>
      </w:r>
      <w:r w:rsidRPr="003B7960">
        <w:rPr>
          <w:rFonts w:ascii="Cambria" w:hAnsi="Cambria"/>
          <w:noProof/>
          <w:sz w:val="20"/>
          <w:szCs w:val="20"/>
          <w:lang w:val="es-ES"/>
        </w:rPr>
        <w:t>Detención arbitraria de las presuntas víctimas en el Centro de Detención de Carmichael Road</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_Toc90557306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16</w:t>
      </w:r>
      <w:r w:rsidRPr="003B7960">
        <w:rPr>
          <w:rFonts w:ascii="Cambria" w:hAnsi="Cambria"/>
          <w:noProof/>
          <w:sz w:val="20"/>
          <w:szCs w:val="20"/>
        </w:rPr>
        <w:fldChar w:fldCharType="end"/>
      </w:r>
    </w:p>
    <w:p w14:paraId="1838FC27" w14:textId="227345D2" w:rsidR="005D4092" w:rsidRPr="003B7960" w:rsidRDefault="005D4092">
      <w:pPr>
        <w:pStyle w:val="TOC3"/>
        <w:tabs>
          <w:tab w:val="left" w:pos="960"/>
          <w:tab w:val="right" w:leader="dot" w:pos="9350"/>
        </w:tabs>
        <w:rPr>
          <w:rFonts w:ascii="Cambria" w:eastAsiaTheme="minorEastAsia" w:hAnsi="Cambria" w:cstheme="minorBidi"/>
          <w:noProof/>
          <w:sz w:val="20"/>
          <w:szCs w:val="20"/>
          <w:bdr w:val="none" w:sz="0" w:space="0" w:color="auto"/>
          <w:lang w:val="es-US" w:eastAsia="zh-CN"/>
        </w:rPr>
      </w:pPr>
      <w:r w:rsidRPr="003B7960">
        <w:rPr>
          <w:rFonts w:ascii="Cambria" w:hAnsi="Cambria"/>
          <w:noProof/>
          <w:sz w:val="20"/>
          <w:szCs w:val="20"/>
          <w:lang w:val="es-ES"/>
        </w:rPr>
        <w:t>3.</w:t>
      </w:r>
      <w:r w:rsidRPr="003B7960">
        <w:rPr>
          <w:rFonts w:ascii="Cambria" w:eastAsiaTheme="minorEastAsia" w:hAnsi="Cambria" w:cstheme="minorBidi"/>
          <w:noProof/>
          <w:sz w:val="20"/>
          <w:szCs w:val="20"/>
          <w:bdr w:val="none" w:sz="0" w:space="0" w:color="auto"/>
          <w:lang w:val="es-US" w:eastAsia="zh-CN"/>
        </w:rPr>
        <w:tab/>
      </w:r>
      <w:r w:rsidRPr="003B7960">
        <w:rPr>
          <w:rFonts w:ascii="Cambria" w:hAnsi="Cambria"/>
          <w:noProof/>
          <w:sz w:val="20"/>
          <w:szCs w:val="20"/>
          <w:lang w:val="es-ES"/>
        </w:rPr>
        <w:t>Trato inhumano de detenidos en el Centro de Detención de Carmichael Road</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_Toc90557307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17</w:t>
      </w:r>
      <w:r w:rsidRPr="003B7960">
        <w:rPr>
          <w:rFonts w:ascii="Cambria" w:hAnsi="Cambria"/>
          <w:noProof/>
          <w:sz w:val="20"/>
          <w:szCs w:val="20"/>
        </w:rPr>
        <w:fldChar w:fldCharType="end"/>
      </w:r>
    </w:p>
    <w:p w14:paraId="5D2E11F3" w14:textId="2F28C1E7" w:rsidR="005D4092" w:rsidRPr="003B7960" w:rsidRDefault="005D4092">
      <w:pPr>
        <w:pStyle w:val="TOC3"/>
        <w:tabs>
          <w:tab w:val="left" w:pos="960"/>
          <w:tab w:val="right" w:leader="dot" w:pos="9350"/>
        </w:tabs>
        <w:rPr>
          <w:rFonts w:ascii="Cambria" w:eastAsiaTheme="minorEastAsia" w:hAnsi="Cambria" w:cstheme="minorBidi"/>
          <w:noProof/>
          <w:sz w:val="20"/>
          <w:szCs w:val="20"/>
          <w:bdr w:val="none" w:sz="0" w:space="0" w:color="auto"/>
          <w:lang w:val="es-US" w:eastAsia="zh-CN"/>
        </w:rPr>
      </w:pPr>
      <w:r w:rsidRPr="003B7960">
        <w:rPr>
          <w:rFonts w:ascii="Cambria" w:hAnsi="Cambria"/>
          <w:noProof/>
          <w:sz w:val="20"/>
          <w:szCs w:val="20"/>
          <w:lang w:val="es-ES"/>
        </w:rPr>
        <w:t>4.</w:t>
      </w:r>
      <w:r w:rsidRPr="003B7960">
        <w:rPr>
          <w:rFonts w:ascii="Cambria" w:eastAsiaTheme="minorEastAsia" w:hAnsi="Cambria" w:cstheme="minorBidi"/>
          <w:noProof/>
          <w:sz w:val="20"/>
          <w:szCs w:val="20"/>
          <w:bdr w:val="none" w:sz="0" w:space="0" w:color="auto"/>
          <w:lang w:val="es-US" w:eastAsia="zh-CN"/>
        </w:rPr>
        <w:tab/>
      </w:r>
      <w:r w:rsidRPr="003B7960">
        <w:rPr>
          <w:rFonts w:ascii="Cambria" w:hAnsi="Cambria"/>
          <w:noProof/>
          <w:sz w:val="20"/>
          <w:szCs w:val="20"/>
          <w:lang w:val="es-ES"/>
        </w:rPr>
        <w:t>Conclusión</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_Toc90557308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18</w:t>
      </w:r>
      <w:r w:rsidRPr="003B7960">
        <w:rPr>
          <w:rFonts w:ascii="Cambria" w:hAnsi="Cambria"/>
          <w:noProof/>
          <w:sz w:val="20"/>
          <w:szCs w:val="20"/>
        </w:rPr>
        <w:fldChar w:fldCharType="end"/>
      </w:r>
    </w:p>
    <w:p w14:paraId="4B737071" w14:textId="239467E4" w:rsidR="005D4092" w:rsidRPr="005048D8" w:rsidRDefault="005D4092">
      <w:pPr>
        <w:pStyle w:val="TOC2"/>
        <w:tabs>
          <w:tab w:val="left" w:pos="720"/>
          <w:tab w:val="right" w:leader="dot" w:pos="9350"/>
        </w:tabs>
        <w:rPr>
          <w:rFonts w:ascii="Cambria" w:eastAsiaTheme="minorEastAsia" w:hAnsi="Cambria" w:cstheme="minorBidi"/>
          <w:b w:val="0"/>
          <w:bCs/>
          <w:noProof/>
          <w:sz w:val="20"/>
          <w:szCs w:val="20"/>
          <w:bdr w:val="none" w:sz="0" w:space="0" w:color="auto"/>
          <w:lang w:val="es-US" w:eastAsia="zh-CN"/>
        </w:rPr>
      </w:pPr>
      <w:r w:rsidRPr="005048D8">
        <w:rPr>
          <w:rFonts w:ascii="Cambria" w:hAnsi="Cambria"/>
          <w:b w:val="0"/>
          <w:bCs/>
          <w:noProof/>
          <w:sz w:val="20"/>
          <w:szCs w:val="20"/>
          <w:lang w:val="es-ES"/>
        </w:rPr>
        <w:t>C.</w:t>
      </w:r>
      <w:r w:rsidRPr="005048D8">
        <w:rPr>
          <w:rFonts w:ascii="Cambria" w:eastAsiaTheme="minorEastAsia" w:hAnsi="Cambria" w:cstheme="minorBidi"/>
          <w:b w:val="0"/>
          <w:bCs/>
          <w:noProof/>
          <w:sz w:val="20"/>
          <w:szCs w:val="20"/>
          <w:bdr w:val="none" w:sz="0" w:space="0" w:color="auto"/>
          <w:lang w:val="es-US" w:eastAsia="zh-CN"/>
        </w:rPr>
        <w:tab/>
      </w:r>
      <w:r w:rsidRPr="005048D8">
        <w:rPr>
          <w:rFonts w:ascii="Cambria" w:hAnsi="Cambria"/>
          <w:b w:val="0"/>
          <w:bCs/>
          <w:noProof/>
          <w:sz w:val="20"/>
          <w:szCs w:val="20"/>
          <w:lang w:val="es-ES"/>
        </w:rPr>
        <w:t>El derecho a pedir y recibir asilo en relación con los derechos de debido proceso y de igualdad ante la ley y la obligación de no devolución en la Declaración Americana</w:t>
      </w:r>
      <w:r w:rsidRPr="005048D8">
        <w:rPr>
          <w:rFonts w:ascii="Cambria" w:hAnsi="Cambria"/>
          <w:b w:val="0"/>
          <w:bCs/>
          <w:noProof/>
          <w:sz w:val="20"/>
          <w:szCs w:val="20"/>
          <w:lang w:val="es-US"/>
        </w:rPr>
        <w:tab/>
      </w:r>
      <w:r w:rsidRPr="005048D8">
        <w:rPr>
          <w:rFonts w:ascii="Cambria" w:hAnsi="Cambria"/>
          <w:b w:val="0"/>
          <w:bCs/>
          <w:noProof/>
          <w:sz w:val="20"/>
          <w:szCs w:val="20"/>
        </w:rPr>
        <w:fldChar w:fldCharType="begin"/>
      </w:r>
      <w:r w:rsidRPr="005048D8">
        <w:rPr>
          <w:rFonts w:ascii="Cambria" w:hAnsi="Cambria"/>
          <w:b w:val="0"/>
          <w:bCs/>
          <w:noProof/>
          <w:sz w:val="20"/>
          <w:szCs w:val="20"/>
          <w:lang w:val="es-US"/>
        </w:rPr>
        <w:instrText xml:space="preserve"> PAGEREF _Toc90557309 \h </w:instrText>
      </w:r>
      <w:r w:rsidRPr="005048D8">
        <w:rPr>
          <w:rFonts w:ascii="Cambria" w:hAnsi="Cambria"/>
          <w:b w:val="0"/>
          <w:bCs/>
          <w:noProof/>
          <w:sz w:val="20"/>
          <w:szCs w:val="20"/>
        </w:rPr>
      </w:r>
      <w:r w:rsidRPr="005048D8">
        <w:rPr>
          <w:rFonts w:ascii="Cambria" w:hAnsi="Cambria"/>
          <w:b w:val="0"/>
          <w:bCs/>
          <w:noProof/>
          <w:sz w:val="20"/>
          <w:szCs w:val="20"/>
        </w:rPr>
        <w:fldChar w:fldCharType="separate"/>
      </w:r>
      <w:r w:rsidR="005048D8" w:rsidRPr="005048D8">
        <w:rPr>
          <w:rFonts w:ascii="Cambria" w:hAnsi="Cambria"/>
          <w:b w:val="0"/>
          <w:bCs/>
          <w:noProof/>
          <w:sz w:val="20"/>
          <w:szCs w:val="20"/>
          <w:lang w:val="es-US"/>
        </w:rPr>
        <w:t>18</w:t>
      </w:r>
      <w:r w:rsidRPr="005048D8">
        <w:rPr>
          <w:rFonts w:ascii="Cambria" w:hAnsi="Cambria"/>
          <w:b w:val="0"/>
          <w:bCs/>
          <w:noProof/>
          <w:sz w:val="20"/>
          <w:szCs w:val="20"/>
        </w:rPr>
        <w:fldChar w:fldCharType="end"/>
      </w:r>
    </w:p>
    <w:p w14:paraId="26AD7EBC" w14:textId="4D1553CB" w:rsidR="005D4092" w:rsidRPr="005048D8" w:rsidRDefault="005D4092">
      <w:pPr>
        <w:pStyle w:val="TOC3"/>
        <w:tabs>
          <w:tab w:val="left" w:pos="960"/>
          <w:tab w:val="right" w:leader="dot" w:pos="9350"/>
        </w:tabs>
        <w:rPr>
          <w:rFonts w:ascii="Cambria" w:eastAsiaTheme="minorEastAsia" w:hAnsi="Cambria" w:cstheme="minorBidi"/>
          <w:bCs/>
          <w:noProof/>
          <w:sz w:val="20"/>
          <w:szCs w:val="20"/>
          <w:bdr w:val="none" w:sz="0" w:space="0" w:color="auto"/>
          <w:lang w:val="es-US" w:eastAsia="zh-CN"/>
        </w:rPr>
      </w:pPr>
      <w:r w:rsidRPr="005048D8">
        <w:rPr>
          <w:rFonts w:ascii="Cambria" w:hAnsi="Cambria"/>
          <w:bCs/>
          <w:noProof/>
          <w:sz w:val="20"/>
          <w:szCs w:val="20"/>
          <w:lang w:val="es-ES"/>
        </w:rPr>
        <w:t>1.</w:t>
      </w:r>
      <w:r w:rsidRPr="005048D8">
        <w:rPr>
          <w:rFonts w:ascii="Cambria" w:eastAsiaTheme="minorEastAsia" w:hAnsi="Cambria" w:cstheme="minorBidi"/>
          <w:bCs/>
          <w:noProof/>
          <w:sz w:val="20"/>
          <w:szCs w:val="20"/>
          <w:bdr w:val="none" w:sz="0" w:space="0" w:color="auto"/>
          <w:lang w:val="es-US" w:eastAsia="zh-CN"/>
        </w:rPr>
        <w:tab/>
      </w:r>
      <w:r w:rsidRPr="005048D8">
        <w:rPr>
          <w:rFonts w:ascii="Cambria" w:hAnsi="Cambria"/>
          <w:bCs/>
          <w:noProof/>
          <w:sz w:val="20"/>
          <w:szCs w:val="20"/>
          <w:lang w:val="es-ES"/>
        </w:rPr>
        <w:t>Estándares interamericanos en materia de movilidad humana e igualdad ante la ley</w:t>
      </w:r>
      <w:r w:rsidRPr="005048D8">
        <w:rPr>
          <w:rFonts w:ascii="Cambria" w:hAnsi="Cambria"/>
          <w:bCs/>
          <w:noProof/>
          <w:sz w:val="20"/>
          <w:szCs w:val="20"/>
          <w:lang w:val="es-US"/>
        </w:rPr>
        <w:tab/>
      </w:r>
      <w:r w:rsidRPr="005048D8">
        <w:rPr>
          <w:rFonts w:ascii="Cambria" w:hAnsi="Cambria"/>
          <w:bCs/>
          <w:noProof/>
          <w:sz w:val="20"/>
          <w:szCs w:val="20"/>
        </w:rPr>
        <w:fldChar w:fldCharType="begin"/>
      </w:r>
      <w:r w:rsidRPr="005048D8">
        <w:rPr>
          <w:rFonts w:ascii="Cambria" w:hAnsi="Cambria"/>
          <w:bCs/>
          <w:noProof/>
          <w:sz w:val="20"/>
          <w:szCs w:val="20"/>
          <w:lang w:val="es-US"/>
        </w:rPr>
        <w:instrText xml:space="preserve"> PAGEREF _Toc90557310 \h </w:instrText>
      </w:r>
      <w:r w:rsidRPr="005048D8">
        <w:rPr>
          <w:rFonts w:ascii="Cambria" w:hAnsi="Cambria"/>
          <w:bCs/>
          <w:noProof/>
          <w:sz w:val="20"/>
          <w:szCs w:val="20"/>
        </w:rPr>
      </w:r>
      <w:r w:rsidRPr="005048D8">
        <w:rPr>
          <w:rFonts w:ascii="Cambria" w:hAnsi="Cambria"/>
          <w:bCs/>
          <w:noProof/>
          <w:sz w:val="20"/>
          <w:szCs w:val="20"/>
        </w:rPr>
        <w:fldChar w:fldCharType="separate"/>
      </w:r>
      <w:r w:rsidR="005048D8" w:rsidRPr="005048D8">
        <w:rPr>
          <w:rFonts w:ascii="Cambria" w:hAnsi="Cambria"/>
          <w:bCs/>
          <w:noProof/>
          <w:sz w:val="20"/>
          <w:szCs w:val="20"/>
          <w:lang w:val="es-US"/>
        </w:rPr>
        <w:t>18</w:t>
      </w:r>
      <w:r w:rsidRPr="005048D8">
        <w:rPr>
          <w:rFonts w:ascii="Cambria" w:hAnsi="Cambria"/>
          <w:bCs/>
          <w:noProof/>
          <w:sz w:val="20"/>
          <w:szCs w:val="20"/>
        </w:rPr>
        <w:fldChar w:fldCharType="end"/>
      </w:r>
    </w:p>
    <w:p w14:paraId="68E3CA69" w14:textId="19B3AA6C" w:rsidR="005D4092" w:rsidRPr="005048D8" w:rsidRDefault="005D4092">
      <w:pPr>
        <w:pStyle w:val="TOC3"/>
        <w:tabs>
          <w:tab w:val="left" w:pos="960"/>
          <w:tab w:val="right" w:leader="dot" w:pos="9350"/>
        </w:tabs>
        <w:rPr>
          <w:rFonts w:ascii="Cambria" w:eastAsiaTheme="minorEastAsia" w:hAnsi="Cambria" w:cstheme="minorBidi"/>
          <w:bCs/>
          <w:noProof/>
          <w:sz w:val="20"/>
          <w:szCs w:val="20"/>
          <w:bdr w:val="none" w:sz="0" w:space="0" w:color="auto"/>
          <w:lang w:val="es-US" w:eastAsia="zh-CN"/>
        </w:rPr>
      </w:pPr>
      <w:r w:rsidRPr="005048D8">
        <w:rPr>
          <w:rFonts w:ascii="Cambria" w:hAnsi="Cambria"/>
          <w:bCs/>
          <w:noProof/>
          <w:sz w:val="20"/>
          <w:szCs w:val="20"/>
          <w:lang w:val="es-ES"/>
        </w:rPr>
        <w:t>2.</w:t>
      </w:r>
      <w:r w:rsidRPr="005048D8">
        <w:rPr>
          <w:rFonts w:ascii="Cambria" w:eastAsiaTheme="minorEastAsia" w:hAnsi="Cambria" w:cstheme="minorBidi"/>
          <w:bCs/>
          <w:noProof/>
          <w:sz w:val="20"/>
          <w:szCs w:val="20"/>
          <w:bdr w:val="none" w:sz="0" w:space="0" w:color="auto"/>
          <w:lang w:val="es-US" w:eastAsia="zh-CN"/>
        </w:rPr>
        <w:tab/>
      </w:r>
      <w:r w:rsidRPr="005048D8">
        <w:rPr>
          <w:rFonts w:ascii="Cambria" w:hAnsi="Cambria"/>
          <w:bCs/>
          <w:noProof/>
          <w:sz w:val="20"/>
          <w:szCs w:val="20"/>
          <w:lang w:val="es-ES"/>
        </w:rPr>
        <w:t>Análisis del caso</w:t>
      </w:r>
      <w:r w:rsidRPr="005048D8">
        <w:rPr>
          <w:rFonts w:ascii="Cambria" w:hAnsi="Cambria"/>
          <w:bCs/>
          <w:noProof/>
          <w:sz w:val="20"/>
          <w:szCs w:val="20"/>
          <w:lang w:val="es-US"/>
        </w:rPr>
        <w:tab/>
      </w:r>
      <w:r w:rsidRPr="005048D8">
        <w:rPr>
          <w:rFonts w:ascii="Cambria" w:hAnsi="Cambria"/>
          <w:bCs/>
          <w:noProof/>
          <w:sz w:val="20"/>
          <w:szCs w:val="20"/>
        </w:rPr>
        <w:fldChar w:fldCharType="begin"/>
      </w:r>
      <w:r w:rsidRPr="005048D8">
        <w:rPr>
          <w:rFonts w:ascii="Cambria" w:hAnsi="Cambria"/>
          <w:bCs/>
          <w:noProof/>
          <w:sz w:val="20"/>
          <w:szCs w:val="20"/>
          <w:lang w:val="es-US"/>
        </w:rPr>
        <w:instrText xml:space="preserve"> PAGEREF _Toc90557311 \h </w:instrText>
      </w:r>
      <w:r w:rsidRPr="005048D8">
        <w:rPr>
          <w:rFonts w:ascii="Cambria" w:hAnsi="Cambria"/>
          <w:bCs/>
          <w:noProof/>
          <w:sz w:val="20"/>
          <w:szCs w:val="20"/>
        </w:rPr>
      </w:r>
      <w:r w:rsidRPr="005048D8">
        <w:rPr>
          <w:rFonts w:ascii="Cambria" w:hAnsi="Cambria"/>
          <w:bCs/>
          <w:noProof/>
          <w:sz w:val="20"/>
          <w:szCs w:val="20"/>
        </w:rPr>
        <w:fldChar w:fldCharType="separate"/>
      </w:r>
      <w:r w:rsidR="005048D8" w:rsidRPr="005048D8">
        <w:rPr>
          <w:rFonts w:ascii="Cambria" w:hAnsi="Cambria"/>
          <w:bCs/>
          <w:noProof/>
          <w:sz w:val="20"/>
          <w:szCs w:val="20"/>
          <w:lang w:val="es-US"/>
        </w:rPr>
        <w:t>21</w:t>
      </w:r>
      <w:r w:rsidRPr="005048D8">
        <w:rPr>
          <w:rFonts w:ascii="Cambria" w:hAnsi="Cambria"/>
          <w:bCs/>
          <w:noProof/>
          <w:sz w:val="20"/>
          <w:szCs w:val="20"/>
        </w:rPr>
        <w:fldChar w:fldCharType="end"/>
      </w:r>
    </w:p>
    <w:p w14:paraId="05D90F5D" w14:textId="6862992A" w:rsidR="005D4092" w:rsidRPr="005048D8" w:rsidRDefault="005D4092">
      <w:pPr>
        <w:pStyle w:val="TOC2"/>
        <w:tabs>
          <w:tab w:val="left" w:pos="720"/>
          <w:tab w:val="right" w:leader="dot" w:pos="9350"/>
        </w:tabs>
        <w:rPr>
          <w:rFonts w:ascii="Cambria" w:eastAsiaTheme="minorEastAsia" w:hAnsi="Cambria" w:cstheme="minorBidi"/>
          <w:b w:val="0"/>
          <w:bCs/>
          <w:noProof/>
          <w:sz w:val="20"/>
          <w:szCs w:val="20"/>
          <w:bdr w:val="none" w:sz="0" w:space="0" w:color="auto"/>
          <w:lang w:val="es-US" w:eastAsia="zh-CN"/>
        </w:rPr>
      </w:pPr>
      <w:r w:rsidRPr="005048D8">
        <w:rPr>
          <w:rFonts w:ascii="Cambria" w:hAnsi="Cambria"/>
          <w:b w:val="0"/>
          <w:bCs/>
          <w:noProof/>
          <w:sz w:val="20"/>
          <w:szCs w:val="20"/>
          <w:lang w:val="es-ES"/>
        </w:rPr>
        <w:t>D.</w:t>
      </w:r>
      <w:r w:rsidRPr="005048D8">
        <w:rPr>
          <w:rFonts w:ascii="Cambria" w:eastAsiaTheme="minorEastAsia" w:hAnsi="Cambria" w:cstheme="minorBidi"/>
          <w:b w:val="0"/>
          <w:bCs/>
          <w:noProof/>
          <w:sz w:val="20"/>
          <w:szCs w:val="20"/>
          <w:bdr w:val="none" w:sz="0" w:space="0" w:color="auto"/>
          <w:lang w:val="es-US" w:eastAsia="zh-CN"/>
        </w:rPr>
        <w:tab/>
      </w:r>
      <w:r w:rsidRPr="005048D8">
        <w:rPr>
          <w:rFonts w:ascii="Cambria" w:hAnsi="Cambria"/>
          <w:b w:val="0"/>
          <w:bCs/>
          <w:noProof/>
          <w:sz w:val="20"/>
          <w:szCs w:val="20"/>
          <w:lang w:val="es-ES"/>
        </w:rPr>
        <w:t>El derecho a la protección a la honra, la reputación personal y la vida privada y familiar, a la constitución y la protección de la familia y a la protección a la maternidad y a la infancia de la Declaración Americana con respecto a la obligación de no devolución</w:t>
      </w:r>
      <w:r w:rsidRPr="005048D8">
        <w:rPr>
          <w:rFonts w:ascii="Cambria" w:hAnsi="Cambria"/>
          <w:b w:val="0"/>
          <w:bCs/>
          <w:i/>
          <w:noProof/>
          <w:sz w:val="20"/>
          <w:szCs w:val="20"/>
          <w:lang w:val="es-ES"/>
        </w:rPr>
        <w:t xml:space="preserve"> </w:t>
      </w:r>
      <w:r w:rsidRPr="005048D8">
        <w:rPr>
          <w:rFonts w:ascii="Cambria" w:hAnsi="Cambria"/>
          <w:b w:val="0"/>
          <w:bCs/>
          <w:noProof/>
          <w:sz w:val="20"/>
          <w:szCs w:val="20"/>
          <w:lang w:val="es-ES"/>
        </w:rPr>
        <w:t>de la familia Escuela</w:t>
      </w:r>
      <w:r w:rsidRPr="005048D8">
        <w:rPr>
          <w:rFonts w:ascii="Cambria" w:hAnsi="Cambria"/>
          <w:b w:val="0"/>
          <w:bCs/>
          <w:noProof/>
          <w:sz w:val="20"/>
          <w:szCs w:val="20"/>
          <w:lang w:val="es-US"/>
        </w:rPr>
        <w:tab/>
      </w:r>
      <w:r w:rsidRPr="005048D8">
        <w:rPr>
          <w:rFonts w:ascii="Cambria" w:hAnsi="Cambria"/>
          <w:b w:val="0"/>
          <w:bCs/>
          <w:noProof/>
          <w:sz w:val="20"/>
          <w:szCs w:val="20"/>
        </w:rPr>
        <w:fldChar w:fldCharType="begin"/>
      </w:r>
      <w:r w:rsidRPr="005048D8">
        <w:rPr>
          <w:rFonts w:ascii="Cambria" w:hAnsi="Cambria"/>
          <w:b w:val="0"/>
          <w:bCs/>
          <w:noProof/>
          <w:sz w:val="20"/>
          <w:szCs w:val="20"/>
          <w:lang w:val="es-US"/>
        </w:rPr>
        <w:instrText xml:space="preserve"> PAGEREF _Toc90557312 \h </w:instrText>
      </w:r>
      <w:r w:rsidRPr="005048D8">
        <w:rPr>
          <w:rFonts w:ascii="Cambria" w:hAnsi="Cambria"/>
          <w:b w:val="0"/>
          <w:bCs/>
          <w:noProof/>
          <w:sz w:val="20"/>
          <w:szCs w:val="20"/>
        </w:rPr>
      </w:r>
      <w:r w:rsidRPr="005048D8">
        <w:rPr>
          <w:rFonts w:ascii="Cambria" w:hAnsi="Cambria"/>
          <w:b w:val="0"/>
          <w:bCs/>
          <w:noProof/>
          <w:sz w:val="20"/>
          <w:szCs w:val="20"/>
        </w:rPr>
        <w:fldChar w:fldCharType="separate"/>
      </w:r>
      <w:r w:rsidR="005048D8" w:rsidRPr="005048D8">
        <w:rPr>
          <w:rFonts w:ascii="Cambria" w:hAnsi="Cambria"/>
          <w:b w:val="0"/>
          <w:bCs/>
          <w:noProof/>
          <w:sz w:val="20"/>
          <w:szCs w:val="20"/>
          <w:lang w:val="es-US"/>
        </w:rPr>
        <w:t>23</w:t>
      </w:r>
      <w:r w:rsidRPr="005048D8">
        <w:rPr>
          <w:rFonts w:ascii="Cambria" w:hAnsi="Cambria"/>
          <w:b w:val="0"/>
          <w:bCs/>
          <w:noProof/>
          <w:sz w:val="20"/>
          <w:szCs w:val="20"/>
        </w:rPr>
        <w:fldChar w:fldCharType="end"/>
      </w:r>
    </w:p>
    <w:p w14:paraId="732F27DE" w14:textId="32DEC05B" w:rsidR="005D4092" w:rsidRPr="003B7960" w:rsidRDefault="005D4092">
      <w:pPr>
        <w:pStyle w:val="TOC1"/>
        <w:tabs>
          <w:tab w:val="left" w:pos="720"/>
          <w:tab w:val="right" w:leader="dot" w:pos="9350"/>
        </w:tabs>
        <w:rPr>
          <w:rFonts w:ascii="Cambria" w:eastAsiaTheme="minorEastAsia" w:hAnsi="Cambria" w:cstheme="minorBidi"/>
          <w:b w:val="0"/>
          <w:noProof/>
          <w:sz w:val="20"/>
          <w:szCs w:val="20"/>
          <w:bdr w:val="none" w:sz="0" w:space="0" w:color="auto"/>
          <w:lang w:val="es-US" w:eastAsia="zh-CN"/>
        </w:rPr>
      </w:pPr>
      <w:r w:rsidRPr="009A4875">
        <w:rPr>
          <w:rFonts w:ascii="Cambria" w:hAnsi="Cambria"/>
          <w:noProof/>
          <w:sz w:val="20"/>
          <w:szCs w:val="20"/>
          <w:lang w:val="es-US"/>
        </w:rPr>
        <w:t>VI.</w:t>
      </w:r>
      <w:r w:rsidRPr="003B7960">
        <w:rPr>
          <w:rFonts w:ascii="Cambria" w:eastAsiaTheme="minorEastAsia" w:hAnsi="Cambria" w:cstheme="minorBidi"/>
          <w:b w:val="0"/>
          <w:noProof/>
          <w:sz w:val="20"/>
          <w:szCs w:val="20"/>
          <w:bdr w:val="none" w:sz="0" w:space="0" w:color="auto"/>
          <w:lang w:val="es-US" w:eastAsia="zh-CN"/>
        </w:rPr>
        <w:tab/>
      </w:r>
      <w:r w:rsidRPr="003B7960">
        <w:rPr>
          <w:rFonts w:ascii="Cambria" w:hAnsi="Cambria"/>
          <w:noProof/>
          <w:sz w:val="20"/>
          <w:szCs w:val="20"/>
          <w:lang w:val="es-ES"/>
        </w:rPr>
        <w:t xml:space="preserve">INFORME No. 9/19 </w:t>
      </w:r>
      <w:r w:rsidRPr="009A4875">
        <w:rPr>
          <w:rFonts w:ascii="Cambria" w:hAnsi="Cambria"/>
          <w:noProof/>
          <w:sz w:val="20"/>
          <w:szCs w:val="20"/>
          <w:lang w:val="es-US"/>
        </w:rPr>
        <w:t>E INFORMACIÓN SOBRE EL CUMPLIMIENTO</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_Toc90557313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24</w:t>
      </w:r>
      <w:r w:rsidRPr="003B7960">
        <w:rPr>
          <w:rFonts w:ascii="Cambria" w:hAnsi="Cambria"/>
          <w:noProof/>
          <w:sz w:val="20"/>
          <w:szCs w:val="20"/>
        </w:rPr>
        <w:fldChar w:fldCharType="end"/>
      </w:r>
    </w:p>
    <w:p w14:paraId="73195B9E" w14:textId="037CBC07" w:rsidR="005D4092" w:rsidRPr="003B7960" w:rsidRDefault="005D4092">
      <w:pPr>
        <w:pStyle w:val="TOC1"/>
        <w:tabs>
          <w:tab w:val="left" w:pos="720"/>
          <w:tab w:val="right" w:leader="dot" w:pos="9350"/>
        </w:tabs>
        <w:rPr>
          <w:rFonts w:ascii="Cambria" w:eastAsiaTheme="minorEastAsia" w:hAnsi="Cambria" w:cstheme="minorBidi"/>
          <w:b w:val="0"/>
          <w:noProof/>
          <w:sz w:val="20"/>
          <w:szCs w:val="20"/>
          <w:bdr w:val="none" w:sz="0" w:space="0" w:color="auto"/>
          <w:lang w:val="es-US" w:eastAsia="zh-CN"/>
        </w:rPr>
      </w:pPr>
      <w:r w:rsidRPr="003B7960">
        <w:rPr>
          <w:rFonts w:ascii="Cambria" w:hAnsi="Cambria"/>
          <w:noProof/>
          <w:sz w:val="20"/>
          <w:szCs w:val="20"/>
          <w:lang w:val="es-ES"/>
        </w:rPr>
        <w:t>VII.</w:t>
      </w:r>
      <w:r w:rsidRPr="003B7960">
        <w:rPr>
          <w:rFonts w:ascii="Cambria" w:eastAsiaTheme="minorEastAsia" w:hAnsi="Cambria" w:cstheme="minorBidi"/>
          <w:b w:val="0"/>
          <w:noProof/>
          <w:sz w:val="20"/>
          <w:szCs w:val="20"/>
          <w:bdr w:val="none" w:sz="0" w:space="0" w:color="auto"/>
          <w:lang w:val="es-US" w:eastAsia="zh-CN"/>
        </w:rPr>
        <w:tab/>
      </w:r>
      <w:r w:rsidRPr="003B7960">
        <w:rPr>
          <w:rFonts w:ascii="Cambria" w:hAnsi="Cambria"/>
          <w:noProof/>
          <w:sz w:val="20"/>
          <w:szCs w:val="20"/>
          <w:lang w:val="es-ES"/>
        </w:rPr>
        <w:t>ACCIONES POSTERIORES AL INFORME Nº 124/19</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_Toc90557314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25</w:t>
      </w:r>
      <w:r w:rsidRPr="003B7960">
        <w:rPr>
          <w:rFonts w:ascii="Cambria" w:hAnsi="Cambria"/>
          <w:noProof/>
          <w:sz w:val="20"/>
          <w:szCs w:val="20"/>
        </w:rPr>
        <w:fldChar w:fldCharType="end"/>
      </w:r>
    </w:p>
    <w:p w14:paraId="2EDCB2DD" w14:textId="12841F44" w:rsidR="005D4092" w:rsidRPr="003B7960" w:rsidRDefault="005D4092">
      <w:pPr>
        <w:pStyle w:val="TOC1"/>
        <w:tabs>
          <w:tab w:val="left" w:pos="720"/>
          <w:tab w:val="right" w:leader="dot" w:pos="9350"/>
        </w:tabs>
        <w:rPr>
          <w:rFonts w:ascii="Cambria" w:eastAsiaTheme="minorEastAsia" w:hAnsi="Cambria" w:cstheme="minorBidi"/>
          <w:b w:val="0"/>
          <w:noProof/>
          <w:sz w:val="20"/>
          <w:szCs w:val="20"/>
          <w:bdr w:val="none" w:sz="0" w:space="0" w:color="auto"/>
          <w:lang w:val="es-US" w:eastAsia="zh-CN"/>
        </w:rPr>
      </w:pPr>
      <w:r w:rsidRPr="009A4875">
        <w:rPr>
          <w:rFonts w:ascii="Cambria" w:hAnsi="Cambria"/>
          <w:noProof/>
          <w:sz w:val="20"/>
          <w:szCs w:val="20"/>
          <w:lang w:val="es-US"/>
        </w:rPr>
        <w:t>VIII.</w:t>
      </w:r>
      <w:r w:rsidRPr="003B7960">
        <w:rPr>
          <w:rFonts w:ascii="Cambria" w:eastAsiaTheme="minorEastAsia" w:hAnsi="Cambria" w:cstheme="minorBidi"/>
          <w:b w:val="0"/>
          <w:noProof/>
          <w:sz w:val="20"/>
          <w:szCs w:val="20"/>
          <w:bdr w:val="none" w:sz="0" w:space="0" w:color="auto"/>
          <w:lang w:val="es-US" w:eastAsia="zh-CN"/>
        </w:rPr>
        <w:tab/>
      </w:r>
      <w:r w:rsidRPr="003B7960">
        <w:rPr>
          <w:rFonts w:ascii="Cambria" w:hAnsi="Cambria"/>
          <w:noProof/>
          <w:sz w:val="20"/>
          <w:szCs w:val="20"/>
          <w:lang w:val="es-ES"/>
        </w:rPr>
        <w:t>CONCLUSIONES Y RECOMENDACIONES FINALES</w:t>
      </w:r>
      <w:r w:rsidRPr="009A4875">
        <w:rPr>
          <w:rFonts w:ascii="Cambria" w:hAnsi="Cambria"/>
          <w:noProof/>
          <w:sz w:val="20"/>
          <w:szCs w:val="20"/>
          <w:lang w:val="es-US"/>
        </w:rPr>
        <w:tab/>
      </w:r>
      <w:r w:rsidRPr="003B7960">
        <w:rPr>
          <w:rFonts w:ascii="Cambria" w:hAnsi="Cambria"/>
          <w:noProof/>
          <w:sz w:val="20"/>
          <w:szCs w:val="20"/>
        </w:rPr>
        <w:fldChar w:fldCharType="begin"/>
      </w:r>
      <w:r w:rsidRPr="009A4875">
        <w:rPr>
          <w:rFonts w:ascii="Cambria" w:hAnsi="Cambria"/>
          <w:noProof/>
          <w:sz w:val="20"/>
          <w:szCs w:val="20"/>
          <w:lang w:val="es-US"/>
        </w:rPr>
        <w:instrText xml:space="preserve"> PAGEREF _Toc90557315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lang w:val="es-US"/>
        </w:rPr>
        <w:t>28</w:t>
      </w:r>
      <w:r w:rsidRPr="003B7960">
        <w:rPr>
          <w:rFonts w:ascii="Cambria" w:hAnsi="Cambria"/>
          <w:noProof/>
          <w:sz w:val="20"/>
          <w:szCs w:val="20"/>
        </w:rPr>
        <w:fldChar w:fldCharType="end"/>
      </w:r>
    </w:p>
    <w:p w14:paraId="63C68281" w14:textId="0ED8D601" w:rsidR="005D4092" w:rsidRPr="003B7960" w:rsidRDefault="005D4092">
      <w:pPr>
        <w:pStyle w:val="TOC1"/>
        <w:tabs>
          <w:tab w:val="left" w:pos="720"/>
          <w:tab w:val="right" w:leader="dot" w:pos="9350"/>
        </w:tabs>
        <w:rPr>
          <w:rFonts w:ascii="Cambria" w:eastAsiaTheme="minorEastAsia" w:hAnsi="Cambria" w:cstheme="minorBidi"/>
          <w:b w:val="0"/>
          <w:noProof/>
          <w:sz w:val="20"/>
          <w:szCs w:val="20"/>
          <w:bdr w:val="none" w:sz="0" w:space="0" w:color="auto"/>
          <w:lang w:val="es-US" w:eastAsia="zh-CN"/>
        </w:rPr>
      </w:pPr>
      <w:r w:rsidRPr="003B7960">
        <w:rPr>
          <w:rFonts w:ascii="Cambria" w:hAnsi="Cambria"/>
          <w:noProof/>
          <w:sz w:val="20"/>
          <w:szCs w:val="20"/>
          <w:lang w:val="es-UY"/>
        </w:rPr>
        <w:t>IX.</w:t>
      </w:r>
      <w:r w:rsidRPr="003B7960">
        <w:rPr>
          <w:rFonts w:ascii="Cambria" w:eastAsiaTheme="minorEastAsia" w:hAnsi="Cambria" w:cstheme="minorBidi"/>
          <w:b w:val="0"/>
          <w:noProof/>
          <w:sz w:val="20"/>
          <w:szCs w:val="20"/>
          <w:bdr w:val="none" w:sz="0" w:space="0" w:color="auto"/>
          <w:lang w:val="es-US" w:eastAsia="zh-CN"/>
        </w:rPr>
        <w:tab/>
      </w:r>
      <w:r w:rsidRPr="003B7960">
        <w:rPr>
          <w:rFonts w:ascii="Cambria" w:hAnsi="Cambria"/>
          <w:noProof/>
          <w:sz w:val="20"/>
          <w:szCs w:val="20"/>
          <w:lang w:val="es-ES"/>
        </w:rPr>
        <w:t>PUBLICACIÓN</w:t>
      </w:r>
      <w:r w:rsidRPr="003B7960">
        <w:rPr>
          <w:rFonts w:ascii="Cambria" w:hAnsi="Cambria"/>
          <w:noProof/>
          <w:sz w:val="20"/>
          <w:szCs w:val="20"/>
        </w:rPr>
        <w:tab/>
      </w:r>
      <w:r w:rsidRPr="003B7960">
        <w:rPr>
          <w:rFonts w:ascii="Cambria" w:hAnsi="Cambria"/>
          <w:noProof/>
          <w:sz w:val="20"/>
          <w:szCs w:val="20"/>
        </w:rPr>
        <w:fldChar w:fldCharType="begin"/>
      </w:r>
      <w:r w:rsidRPr="003B7960">
        <w:rPr>
          <w:rFonts w:ascii="Cambria" w:hAnsi="Cambria"/>
          <w:noProof/>
          <w:sz w:val="20"/>
          <w:szCs w:val="20"/>
        </w:rPr>
        <w:instrText xml:space="preserve"> PAGEREF _Toc90557316 \h </w:instrText>
      </w:r>
      <w:r w:rsidRPr="003B7960">
        <w:rPr>
          <w:rFonts w:ascii="Cambria" w:hAnsi="Cambria"/>
          <w:noProof/>
          <w:sz w:val="20"/>
          <w:szCs w:val="20"/>
        </w:rPr>
      </w:r>
      <w:r w:rsidRPr="003B7960">
        <w:rPr>
          <w:rFonts w:ascii="Cambria" w:hAnsi="Cambria"/>
          <w:noProof/>
          <w:sz w:val="20"/>
          <w:szCs w:val="20"/>
        </w:rPr>
        <w:fldChar w:fldCharType="separate"/>
      </w:r>
      <w:r w:rsidR="005048D8">
        <w:rPr>
          <w:rFonts w:ascii="Cambria" w:hAnsi="Cambria"/>
          <w:noProof/>
          <w:sz w:val="20"/>
          <w:szCs w:val="20"/>
        </w:rPr>
        <w:t>30</w:t>
      </w:r>
      <w:r w:rsidRPr="003B7960">
        <w:rPr>
          <w:rFonts w:ascii="Cambria" w:hAnsi="Cambria"/>
          <w:noProof/>
          <w:sz w:val="20"/>
          <w:szCs w:val="20"/>
        </w:rPr>
        <w:fldChar w:fldCharType="end"/>
      </w:r>
    </w:p>
    <w:p w14:paraId="4F94F7A2" w14:textId="51896DDF" w:rsidR="00DC1B51" w:rsidRPr="003B7960" w:rsidRDefault="00D16FD1" w:rsidP="00170D7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center"/>
        <w:rPr>
          <w:rFonts w:ascii="Cambria" w:hAnsi="Cambria"/>
          <w:b/>
          <w:sz w:val="20"/>
          <w:szCs w:val="20"/>
          <w:lang w:val="es-ES"/>
        </w:rPr>
      </w:pPr>
      <w:r w:rsidRPr="003B7960">
        <w:rPr>
          <w:rFonts w:ascii="Cambria" w:hAnsi="Cambria"/>
          <w:b/>
          <w:sz w:val="20"/>
          <w:szCs w:val="20"/>
          <w:lang w:val="es-ES"/>
        </w:rPr>
        <w:fldChar w:fldCharType="end"/>
      </w:r>
      <w:r w:rsidR="00DC1B51" w:rsidRPr="003B7960">
        <w:rPr>
          <w:rFonts w:ascii="Cambria" w:hAnsi="Cambria"/>
          <w:b/>
          <w:sz w:val="20"/>
          <w:szCs w:val="20"/>
          <w:lang w:val="es-ES"/>
        </w:rPr>
        <w:br w:type="page"/>
      </w:r>
    </w:p>
    <w:p w14:paraId="493A6C10" w14:textId="77777777" w:rsidR="00067F9E" w:rsidRPr="003B7960" w:rsidRDefault="008A4F19" w:rsidP="00101DC6">
      <w:pPr>
        <w:pStyle w:val="Heading1"/>
        <w:keepNext w:val="0"/>
        <w:keepLines w:val="0"/>
        <w:tabs>
          <w:tab w:val="clear" w:pos="1440"/>
          <w:tab w:val="left" w:pos="426"/>
        </w:tabs>
        <w:suppressAutoHyphens/>
        <w:ind w:left="0" w:firstLine="0"/>
        <w:jc w:val="left"/>
        <w:rPr>
          <w:lang w:val="es-ES"/>
        </w:rPr>
      </w:pPr>
      <w:bookmarkStart w:id="1" w:name="_Toc90557289"/>
      <w:r w:rsidRPr="003B7960">
        <w:rPr>
          <w:lang w:val="es-ES"/>
        </w:rPr>
        <w:lastRenderedPageBreak/>
        <w:t>RESUMEN</w:t>
      </w:r>
      <w:bookmarkEnd w:id="1"/>
    </w:p>
    <w:p w14:paraId="61507069" w14:textId="77777777" w:rsidR="00067F9E" w:rsidRPr="003B7960" w:rsidRDefault="00067F9E" w:rsidP="00101DC6">
      <w:pPr>
        <w:tabs>
          <w:tab w:val="left" w:pos="426"/>
        </w:tabs>
        <w:suppressAutoHyphens/>
        <w:rPr>
          <w:rFonts w:ascii="Cambria" w:hAnsi="Cambria"/>
          <w:b/>
          <w:sz w:val="20"/>
          <w:szCs w:val="20"/>
          <w:lang w:val="es-ES"/>
        </w:rPr>
      </w:pPr>
    </w:p>
    <w:p w14:paraId="65F55ABD" w14:textId="1F00F65F" w:rsidR="00067F9E" w:rsidRPr="003B7960" w:rsidRDefault="00654B4A"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El </w:t>
      </w:r>
      <w:r w:rsidR="00067F9E" w:rsidRPr="003B7960">
        <w:rPr>
          <w:rFonts w:ascii="Cambria" w:hAnsi="Cambria"/>
          <w:color w:val="000000"/>
          <w:sz w:val="20"/>
          <w:szCs w:val="20"/>
          <w:lang w:val="es-ES"/>
        </w:rPr>
        <w:t>13</w:t>
      </w:r>
      <w:r w:rsidRPr="003B7960">
        <w:rPr>
          <w:rFonts w:ascii="Cambria" w:hAnsi="Cambria"/>
          <w:color w:val="000000"/>
          <w:sz w:val="20"/>
          <w:szCs w:val="20"/>
          <w:lang w:val="es-ES"/>
        </w:rPr>
        <w:t xml:space="preserve"> de agosto de</w:t>
      </w:r>
      <w:r w:rsidR="00067F9E" w:rsidRPr="003B7960">
        <w:rPr>
          <w:rFonts w:ascii="Cambria" w:hAnsi="Cambria"/>
          <w:color w:val="000000"/>
          <w:sz w:val="20"/>
          <w:szCs w:val="20"/>
          <w:lang w:val="es-ES"/>
        </w:rPr>
        <w:t xml:space="preserve"> 1998, </w:t>
      </w:r>
      <w:r w:rsidRPr="003B7960">
        <w:rPr>
          <w:rFonts w:ascii="Cambria" w:hAnsi="Cambria"/>
          <w:color w:val="000000"/>
          <w:sz w:val="20"/>
          <w:szCs w:val="20"/>
          <w:lang w:val="es-ES"/>
        </w:rPr>
        <w:t>la Comisión</w:t>
      </w:r>
      <w:r w:rsidR="00A332F5" w:rsidRPr="003B7960">
        <w:rPr>
          <w:rFonts w:ascii="Cambria" w:hAnsi="Cambria"/>
          <w:color w:val="000000"/>
          <w:sz w:val="20"/>
          <w:szCs w:val="20"/>
          <w:lang w:val="es-ES"/>
        </w:rPr>
        <w:t xml:space="preserve"> Interamericana de Derechos Humanos</w:t>
      </w:r>
      <w:r w:rsidR="00067F9E" w:rsidRPr="003B7960">
        <w:rPr>
          <w:rFonts w:ascii="Cambria" w:hAnsi="Cambria"/>
          <w:color w:val="000000"/>
          <w:sz w:val="20"/>
          <w:szCs w:val="20"/>
          <w:lang w:val="es-ES"/>
        </w:rPr>
        <w:t xml:space="preserve"> (</w:t>
      </w:r>
      <w:r w:rsidR="00A332F5" w:rsidRPr="003B7960">
        <w:rPr>
          <w:rFonts w:ascii="Cambria" w:hAnsi="Cambria"/>
          <w:color w:val="000000"/>
          <w:sz w:val="20"/>
          <w:szCs w:val="20"/>
          <w:lang w:val="es-ES"/>
        </w:rPr>
        <w:t xml:space="preserve">en adelante </w:t>
      </w:r>
      <w:r w:rsidR="00067F9E" w:rsidRPr="003B7960">
        <w:rPr>
          <w:rFonts w:ascii="Cambria" w:hAnsi="Cambria"/>
          <w:color w:val="000000"/>
          <w:sz w:val="20"/>
          <w:szCs w:val="20"/>
          <w:lang w:val="es-ES"/>
        </w:rPr>
        <w:t>“</w:t>
      </w:r>
      <w:r w:rsidR="00E525D4" w:rsidRPr="003B7960">
        <w:rPr>
          <w:rFonts w:ascii="Cambria" w:hAnsi="Cambria"/>
          <w:color w:val="000000"/>
          <w:sz w:val="20"/>
          <w:szCs w:val="20"/>
          <w:lang w:val="es-ES"/>
        </w:rPr>
        <w:t xml:space="preserve">la </w:t>
      </w:r>
      <w:r w:rsidR="00A332F5" w:rsidRPr="003B7960">
        <w:rPr>
          <w:rFonts w:ascii="Cambria" w:hAnsi="Cambria"/>
          <w:color w:val="000000"/>
          <w:sz w:val="20"/>
          <w:szCs w:val="20"/>
          <w:lang w:val="es-ES"/>
        </w:rPr>
        <w:t>Comisión Interamericana</w:t>
      </w:r>
      <w:r w:rsidR="00067F9E" w:rsidRPr="003B7960">
        <w:rPr>
          <w:rFonts w:ascii="Cambria" w:hAnsi="Cambria"/>
          <w:color w:val="000000"/>
          <w:sz w:val="20"/>
          <w:szCs w:val="20"/>
          <w:lang w:val="es-ES"/>
        </w:rPr>
        <w:t xml:space="preserve">” o </w:t>
      </w:r>
      <w:r w:rsidR="00E525D4" w:rsidRPr="003B7960">
        <w:rPr>
          <w:rFonts w:ascii="Cambria" w:hAnsi="Cambria"/>
          <w:color w:val="000000"/>
          <w:sz w:val="20"/>
          <w:szCs w:val="20"/>
          <w:lang w:val="es-ES"/>
        </w:rPr>
        <w:t>“</w:t>
      </w:r>
      <w:r w:rsidR="00A332F5" w:rsidRPr="003B7960">
        <w:rPr>
          <w:rFonts w:ascii="Cambria" w:hAnsi="Cambria"/>
          <w:color w:val="000000"/>
          <w:sz w:val="20"/>
          <w:szCs w:val="20"/>
          <w:lang w:val="es-ES"/>
        </w:rPr>
        <w:t>la CIDH</w:t>
      </w:r>
      <w:r w:rsidR="00067F9E" w:rsidRPr="003B7960">
        <w:rPr>
          <w:rFonts w:ascii="Cambria" w:hAnsi="Cambria"/>
          <w:color w:val="000000"/>
          <w:sz w:val="20"/>
          <w:szCs w:val="20"/>
          <w:lang w:val="es-ES"/>
        </w:rPr>
        <w:t xml:space="preserve">”) </w:t>
      </w:r>
      <w:r w:rsidR="00A332F5" w:rsidRPr="003B7960">
        <w:rPr>
          <w:rFonts w:ascii="Cambria" w:hAnsi="Cambria"/>
          <w:color w:val="000000"/>
          <w:sz w:val="20"/>
          <w:szCs w:val="20"/>
          <w:lang w:val="es-ES"/>
        </w:rPr>
        <w:t>recibió una petición presentada por</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el Centro por la Justicia y el Derecho Internacional</w:t>
      </w:r>
      <w:r w:rsidR="00067F9E" w:rsidRPr="003B7960">
        <w:rPr>
          <w:rFonts w:ascii="Cambria" w:hAnsi="Cambria"/>
          <w:color w:val="000000"/>
          <w:sz w:val="20"/>
          <w:szCs w:val="20"/>
          <w:lang w:val="es-ES"/>
        </w:rPr>
        <w:t xml:space="preserve"> (CEJIL) </w:t>
      </w:r>
      <w:r w:rsidRPr="003B7960">
        <w:rPr>
          <w:rFonts w:ascii="Cambria" w:hAnsi="Cambria"/>
          <w:color w:val="000000"/>
          <w:sz w:val="20"/>
          <w:szCs w:val="20"/>
          <w:lang w:val="es-ES"/>
        </w:rPr>
        <w:t xml:space="preserve">y el </w:t>
      </w:r>
      <w:r w:rsidR="00067F9E" w:rsidRPr="003B7960">
        <w:rPr>
          <w:rFonts w:ascii="Cambria" w:hAnsi="Cambria"/>
          <w:color w:val="000000"/>
          <w:sz w:val="20"/>
          <w:szCs w:val="20"/>
          <w:lang w:val="es-ES"/>
        </w:rPr>
        <w:t xml:space="preserve">Open </w:t>
      </w:r>
      <w:proofErr w:type="spellStart"/>
      <w:r w:rsidR="00067F9E" w:rsidRPr="003B7960">
        <w:rPr>
          <w:rFonts w:ascii="Cambria" w:hAnsi="Cambria"/>
          <w:color w:val="000000"/>
          <w:sz w:val="20"/>
          <w:szCs w:val="20"/>
          <w:lang w:val="es-ES"/>
        </w:rPr>
        <w:t>Society</w:t>
      </w:r>
      <w:proofErr w:type="spellEnd"/>
      <w:r w:rsidR="00067F9E" w:rsidRPr="003B7960">
        <w:rPr>
          <w:rFonts w:ascii="Cambria" w:hAnsi="Cambria"/>
          <w:color w:val="000000"/>
          <w:sz w:val="20"/>
          <w:szCs w:val="20"/>
          <w:lang w:val="es-ES"/>
        </w:rPr>
        <w:t xml:space="preserve"> </w:t>
      </w:r>
      <w:proofErr w:type="spellStart"/>
      <w:r w:rsidR="00067F9E" w:rsidRPr="003B7960">
        <w:rPr>
          <w:rFonts w:ascii="Cambria" w:hAnsi="Cambria"/>
          <w:color w:val="000000"/>
          <w:sz w:val="20"/>
          <w:szCs w:val="20"/>
          <w:lang w:val="es-ES"/>
        </w:rPr>
        <w:t>Institute</w:t>
      </w:r>
      <w:proofErr w:type="spellEnd"/>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 xml:space="preserve">en adelante </w:t>
      </w:r>
      <w:r w:rsidR="00E525D4" w:rsidRPr="003B7960">
        <w:rPr>
          <w:rFonts w:ascii="Cambria" w:hAnsi="Cambria"/>
          <w:color w:val="000000"/>
          <w:sz w:val="20"/>
          <w:szCs w:val="20"/>
          <w:lang w:val="es-ES"/>
        </w:rPr>
        <w:t>“</w:t>
      </w:r>
      <w:r w:rsidR="00170D77" w:rsidRPr="003B7960">
        <w:rPr>
          <w:rFonts w:ascii="Cambria" w:hAnsi="Cambria"/>
          <w:color w:val="000000"/>
          <w:sz w:val="20"/>
          <w:szCs w:val="20"/>
          <w:lang w:val="es-ES"/>
        </w:rPr>
        <w:t>la parte peticionaria</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en la cual se alega la responsabilidad internacional del</w:t>
      </w:r>
      <w:r w:rsidR="00067F9E" w:rsidRPr="003B7960">
        <w:rPr>
          <w:rFonts w:ascii="Cambria" w:hAnsi="Cambria"/>
          <w:color w:val="000000"/>
          <w:sz w:val="20"/>
          <w:szCs w:val="20"/>
          <w:lang w:val="es-ES"/>
        </w:rPr>
        <w:t xml:space="preserve"> </w:t>
      </w:r>
      <w:r w:rsidR="008A4F19" w:rsidRPr="003B7960">
        <w:rPr>
          <w:rFonts w:ascii="Cambria" w:hAnsi="Cambria"/>
          <w:color w:val="000000"/>
          <w:sz w:val="20"/>
          <w:szCs w:val="20"/>
          <w:lang w:val="es-ES"/>
        </w:rPr>
        <w:t>Commonwealth de las</w:t>
      </w:r>
      <w:r w:rsidR="00067F9E" w:rsidRPr="003B7960">
        <w:rPr>
          <w:rFonts w:ascii="Cambria" w:hAnsi="Cambria"/>
          <w:color w:val="000000"/>
          <w:sz w:val="20"/>
          <w:szCs w:val="20"/>
          <w:lang w:val="es-ES"/>
        </w:rPr>
        <w:t xml:space="preserve"> Bahamas (</w:t>
      </w:r>
      <w:r w:rsidRPr="003B7960">
        <w:rPr>
          <w:rFonts w:ascii="Cambria" w:hAnsi="Cambria"/>
          <w:color w:val="000000"/>
          <w:sz w:val="20"/>
          <w:szCs w:val="20"/>
          <w:lang w:val="es-ES"/>
        </w:rPr>
        <w:t xml:space="preserve">en adelante </w:t>
      </w:r>
      <w:r w:rsidR="00E525D4" w:rsidRPr="003B7960">
        <w:rPr>
          <w:rFonts w:ascii="Cambria" w:hAnsi="Cambria"/>
          <w:color w:val="000000"/>
          <w:sz w:val="20"/>
          <w:szCs w:val="20"/>
          <w:lang w:val="es-ES"/>
        </w:rPr>
        <w:t>“</w:t>
      </w:r>
      <w:r w:rsidR="00B9011F" w:rsidRPr="003B7960">
        <w:rPr>
          <w:rFonts w:ascii="Cambria" w:hAnsi="Cambria"/>
          <w:color w:val="000000"/>
          <w:sz w:val="20"/>
          <w:szCs w:val="20"/>
          <w:lang w:val="es-ES"/>
        </w:rPr>
        <w:t>el</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Estado</w:t>
      </w:r>
      <w:r w:rsidR="00067F9E" w:rsidRPr="003B7960">
        <w:rPr>
          <w:rFonts w:ascii="Cambria" w:hAnsi="Cambria"/>
          <w:color w:val="000000"/>
          <w:sz w:val="20"/>
          <w:szCs w:val="20"/>
          <w:lang w:val="es-ES"/>
        </w:rPr>
        <w:t xml:space="preserve">” </w:t>
      </w:r>
      <w:r w:rsidR="00067F9E" w:rsidRPr="003B7960">
        <w:rPr>
          <w:rFonts w:ascii="Cambria" w:hAnsi="Cambria"/>
          <w:sz w:val="20"/>
          <w:szCs w:val="20"/>
          <w:lang w:val="es-ES"/>
        </w:rPr>
        <w:t>o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B9011F" w:rsidRPr="003B7960">
        <w:rPr>
          <w:rFonts w:ascii="Cambria" w:hAnsi="Cambria"/>
          <w:color w:val="000000"/>
          <w:sz w:val="20"/>
          <w:szCs w:val="20"/>
          <w:lang w:val="es-ES"/>
        </w:rPr>
        <w:t>por violaciones de los derechos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120 </w:t>
      </w:r>
      <w:r w:rsidR="00C33F51" w:rsidRPr="003B7960">
        <w:rPr>
          <w:rFonts w:ascii="Cambria" w:hAnsi="Cambria"/>
          <w:color w:val="000000"/>
          <w:sz w:val="20"/>
          <w:szCs w:val="20"/>
          <w:lang w:val="es-ES"/>
        </w:rPr>
        <w:t>ciudadanos</w:t>
      </w:r>
      <w:r w:rsidRPr="003B7960">
        <w:rPr>
          <w:rFonts w:ascii="Cambria" w:hAnsi="Cambria"/>
          <w:color w:val="000000"/>
          <w:sz w:val="20"/>
          <w:szCs w:val="20"/>
          <w:lang w:val="es-ES"/>
        </w:rPr>
        <w:t xml:space="preserve"> cubanos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y </w:t>
      </w:r>
      <w:r w:rsidR="00067F9E" w:rsidRPr="003B7960">
        <w:rPr>
          <w:rFonts w:ascii="Cambria" w:hAnsi="Cambria"/>
          <w:sz w:val="20"/>
          <w:szCs w:val="20"/>
          <w:lang w:val="es-ES"/>
        </w:rPr>
        <w:t xml:space="preserve">8 </w:t>
      </w:r>
      <w:r w:rsidR="00C33F51" w:rsidRPr="003B7960">
        <w:rPr>
          <w:rFonts w:ascii="Cambria" w:hAnsi="Cambria"/>
          <w:sz w:val="20"/>
          <w:szCs w:val="20"/>
          <w:lang w:val="es-ES"/>
        </w:rPr>
        <w:t>ciudadanos</w:t>
      </w:r>
      <w:r w:rsidRPr="003B7960">
        <w:rPr>
          <w:rFonts w:ascii="Cambria" w:hAnsi="Cambria"/>
          <w:sz w:val="20"/>
          <w:szCs w:val="20"/>
          <w:lang w:val="es-ES"/>
        </w:rPr>
        <w:t xml:space="preserve"> haitianos</w:t>
      </w:r>
      <w:r w:rsidR="00067F9E" w:rsidRPr="003B7960">
        <w:rPr>
          <w:rFonts w:ascii="Cambria" w:hAnsi="Cambria"/>
          <w:sz w:val="20"/>
          <w:szCs w:val="20"/>
          <w:lang w:val="es-ES"/>
        </w:rPr>
        <w:t xml:space="preserve"> det</w:t>
      </w:r>
      <w:r w:rsidRPr="003B7960">
        <w:rPr>
          <w:rFonts w:ascii="Cambria" w:hAnsi="Cambria"/>
          <w:sz w:val="20"/>
          <w:szCs w:val="20"/>
          <w:lang w:val="es-ES"/>
        </w:rPr>
        <w:t xml:space="preserve">enidos en el </w:t>
      </w:r>
      <w:r w:rsidRPr="003B7960">
        <w:rPr>
          <w:rFonts w:ascii="Cambria" w:hAnsi="Cambria"/>
          <w:color w:val="000000"/>
          <w:sz w:val="20"/>
          <w:szCs w:val="20"/>
          <w:lang w:val="es-ES"/>
        </w:rPr>
        <w:t xml:space="preserve">Centro de Detención </w:t>
      </w:r>
      <w:r w:rsidR="007D38CF" w:rsidRPr="003B7960">
        <w:rPr>
          <w:rFonts w:ascii="Cambria" w:hAnsi="Cambria"/>
          <w:color w:val="000000"/>
          <w:sz w:val="20"/>
          <w:szCs w:val="20"/>
          <w:lang w:val="es-ES"/>
        </w:rPr>
        <w:t xml:space="preserve">de </w:t>
      </w:r>
      <w:proofErr w:type="spellStart"/>
      <w:r w:rsidRPr="003B7960">
        <w:rPr>
          <w:rFonts w:ascii="Cambria" w:hAnsi="Cambria"/>
          <w:color w:val="000000"/>
          <w:sz w:val="20"/>
          <w:szCs w:val="20"/>
          <w:lang w:val="es-ES"/>
        </w:rPr>
        <w:t>Carmichael</w:t>
      </w:r>
      <w:proofErr w:type="spellEnd"/>
      <w:r w:rsidRPr="003B7960">
        <w:rPr>
          <w:rFonts w:ascii="Cambria" w:hAnsi="Cambria"/>
          <w:color w:val="000000"/>
          <w:sz w:val="20"/>
          <w:szCs w:val="20"/>
          <w:lang w:val="es-ES"/>
        </w:rPr>
        <w:t xml:space="preserve"> Road</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en adelante </w:t>
      </w:r>
      <w:r w:rsidR="00E525D4" w:rsidRPr="003B7960">
        <w:rPr>
          <w:rFonts w:ascii="Cambria" w:hAnsi="Cambria"/>
          <w:color w:val="000000"/>
          <w:sz w:val="20"/>
          <w:szCs w:val="20"/>
          <w:lang w:val="es-ES"/>
        </w:rPr>
        <w:t>“</w:t>
      </w:r>
      <w:r w:rsidRPr="003B7960">
        <w:rPr>
          <w:rFonts w:ascii="Cambria" w:hAnsi="Cambria"/>
          <w:color w:val="000000"/>
          <w:sz w:val="20"/>
          <w:szCs w:val="20"/>
          <w:lang w:val="es-ES"/>
        </w:rPr>
        <w:t xml:space="preserve">el Centro </w:t>
      </w:r>
      <w:proofErr w:type="spellStart"/>
      <w:r w:rsidRPr="003B7960">
        <w:rPr>
          <w:rFonts w:ascii="Cambria" w:hAnsi="Cambria"/>
          <w:color w:val="000000"/>
          <w:sz w:val="20"/>
          <w:szCs w:val="20"/>
          <w:lang w:val="es-ES"/>
        </w:rPr>
        <w:t>Carmichael</w:t>
      </w:r>
      <w:proofErr w:type="spellEnd"/>
      <w:r w:rsidR="00067F9E" w:rsidRPr="003B7960">
        <w:rPr>
          <w:rFonts w:ascii="Cambria" w:hAnsi="Cambria"/>
          <w:color w:val="000000"/>
          <w:sz w:val="20"/>
          <w:szCs w:val="20"/>
          <w:lang w:val="es-ES"/>
        </w:rPr>
        <w:t xml:space="preserve">”). </w:t>
      </w:r>
    </w:p>
    <w:p w14:paraId="10A6E266"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mbria" w:hAnsi="Cambria"/>
          <w:color w:val="000000"/>
          <w:sz w:val="20"/>
          <w:szCs w:val="20"/>
          <w:lang w:val="es-ES"/>
        </w:rPr>
      </w:pPr>
    </w:p>
    <w:p w14:paraId="6D481F72" w14:textId="6037F06C" w:rsidR="00067F9E" w:rsidRPr="003B7960" w:rsidRDefault="00C62DE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sz w:val="20"/>
          <w:szCs w:val="20"/>
          <w:lang w:val="es-ES"/>
        </w:rPr>
        <w:t>El 1 de octubre de 1999, l</w:t>
      </w:r>
      <w:r w:rsidR="00B9011F" w:rsidRPr="003B7960">
        <w:rPr>
          <w:rFonts w:ascii="Cambria" w:hAnsi="Cambria"/>
          <w:sz w:val="20"/>
          <w:szCs w:val="20"/>
          <w:lang w:val="es-ES"/>
        </w:rPr>
        <w:t>a Comisión</w:t>
      </w:r>
      <w:r w:rsidR="00067F9E" w:rsidRPr="003B7960">
        <w:rPr>
          <w:rFonts w:ascii="Cambria" w:hAnsi="Cambria"/>
          <w:sz w:val="20"/>
          <w:szCs w:val="20"/>
          <w:lang w:val="es-ES"/>
        </w:rPr>
        <w:t xml:space="preserve"> </w:t>
      </w:r>
      <w:r w:rsidR="00B9011F" w:rsidRPr="003B7960">
        <w:rPr>
          <w:rFonts w:ascii="Cambria" w:hAnsi="Cambria"/>
          <w:sz w:val="20"/>
          <w:szCs w:val="20"/>
          <w:lang w:val="es-ES"/>
        </w:rPr>
        <w:t xml:space="preserve">celebró una audiencia </w:t>
      </w:r>
      <w:r w:rsidR="00654B4A" w:rsidRPr="003B7960">
        <w:rPr>
          <w:rFonts w:ascii="Cambria" w:hAnsi="Cambria"/>
          <w:sz w:val="20"/>
          <w:szCs w:val="20"/>
          <w:lang w:val="es-ES"/>
        </w:rPr>
        <w:t>sobre la admisibilidad</w:t>
      </w:r>
      <w:r w:rsidR="00067F9E" w:rsidRPr="003B7960">
        <w:rPr>
          <w:rFonts w:ascii="Cambria" w:hAnsi="Cambria"/>
          <w:sz w:val="20"/>
          <w:szCs w:val="20"/>
          <w:lang w:val="es-ES"/>
        </w:rPr>
        <w:t xml:space="preserve"> </w:t>
      </w:r>
      <w:r w:rsidRPr="003B7960">
        <w:rPr>
          <w:rFonts w:ascii="Cambria" w:hAnsi="Cambria"/>
          <w:sz w:val="20"/>
          <w:szCs w:val="20"/>
          <w:lang w:val="es-ES"/>
        </w:rPr>
        <w:t>del caso</w:t>
      </w:r>
      <w:r w:rsidR="00133A5D" w:rsidRPr="003B7960">
        <w:rPr>
          <w:rFonts w:ascii="Cambria" w:hAnsi="Cambria"/>
          <w:sz w:val="20"/>
          <w:szCs w:val="20"/>
          <w:lang w:val="es-ES"/>
        </w:rPr>
        <w:t>. Posteriormente</w:t>
      </w:r>
      <w:r w:rsidRPr="003B7960">
        <w:rPr>
          <w:rFonts w:ascii="Cambria" w:hAnsi="Cambria"/>
          <w:sz w:val="20"/>
          <w:szCs w:val="20"/>
          <w:lang w:val="es-ES"/>
        </w:rPr>
        <w:t xml:space="preserve">, </w:t>
      </w:r>
      <w:r w:rsidR="00133A5D" w:rsidRPr="003B7960">
        <w:rPr>
          <w:rFonts w:ascii="Cambria" w:hAnsi="Cambria"/>
          <w:sz w:val="20"/>
          <w:szCs w:val="20"/>
          <w:lang w:val="es-ES"/>
        </w:rPr>
        <w:t xml:space="preserve">el 15 de mayo de 2000, </w:t>
      </w:r>
      <w:r w:rsidR="00170D77" w:rsidRPr="003B7960">
        <w:rPr>
          <w:rFonts w:ascii="Cambria" w:hAnsi="Cambria"/>
          <w:color w:val="000000"/>
          <w:sz w:val="20"/>
          <w:szCs w:val="20"/>
          <w:lang w:val="es-ES"/>
        </w:rPr>
        <w:t>la parte peticionaria</w:t>
      </w:r>
      <w:r w:rsidR="00067F9E" w:rsidRPr="003B7960">
        <w:rPr>
          <w:rFonts w:ascii="Cambria" w:hAnsi="Cambria"/>
          <w:color w:val="000000"/>
          <w:sz w:val="20"/>
          <w:szCs w:val="20"/>
          <w:lang w:val="es-ES"/>
        </w:rPr>
        <w:t xml:space="preserve"> </w:t>
      </w:r>
      <w:r w:rsidR="00170D77" w:rsidRPr="003B7960">
        <w:rPr>
          <w:rFonts w:ascii="Cambria" w:hAnsi="Cambria"/>
          <w:color w:val="000000"/>
          <w:sz w:val="20"/>
          <w:szCs w:val="20"/>
          <w:lang w:val="es-ES"/>
        </w:rPr>
        <w:t xml:space="preserve">presentó </w:t>
      </w:r>
      <w:r w:rsidR="00E525D4" w:rsidRPr="003B7960">
        <w:rPr>
          <w:rFonts w:ascii="Cambria" w:hAnsi="Cambria"/>
          <w:color w:val="000000"/>
          <w:sz w:val="20"/>
          <w:szCs w:val="20"/>
          <w:lang w:val="es-ES"/>
        </w:rPr>
        <w:t>una segunda</w:t>
      </w:r>
      <w:r w:rsidR="00133A5D" w:rsidRPr="003B7960">
        <w:rPr>
          <w:rFonts w:ascii="Cambria" w:hAnsi="Cambria"/>
          <w:color w:val="000000"/>
          <w:sz w:val="20"/>
          <w:szCs w:val="20"/>
          <w:lang w:val="es-ES"/>
        </w:rPr>
        <w:t xml:space="preserve"> </w:t>
      </w:r>
      <w:r w:rsidRPr="003B7960">
        <w:rPr>
          <w:rFonts w:ascii="Cambria" w:hAnsi="Cambria"/>
          <w:color w:val="000000"/>
          <w:sz w:val="20"/>
          <w:szCs w:val="20"/>
          <w:lang w:val="es-ES"/>
        </w:rPr>
        <w:t>petición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basada en hechos </w:t>
      </w:r>
      <w:r w:rsidR="00067F9E" w:rsidRPr="003B7960">
        <w:rPr>
          <w:rFonts w:ascii="Cambria" w:hAnsi="Cambria"/>
          <w:color w:val="000000"/>
          <w:sz w:val="20"/>
          <w:szCs w:val="20"/>
          <w:lang w:val="es-ES"/>
        </w:rPr>
        <w:t>similar</w:t>
      </w:r>
      <w:r w:rsidRPr="003B7960">
        <w:rPr>
          <w:rFonts w:ascii="Cambria" w:hAnsi="Cambria"/>
          <w:color w:val="000000"/>
          <w:sz w:val="20"/>
          <w:szCs w:val="20"/>
          <w:lang w:val="es-ES"/>
        </w:rPr>
        <w:t>es relativos a más presuntas víctimas (</w:t>
      </w:r>
      <w:r w:rsidR="00067F9E" w:rsidRPr="003B7960">
        <w:rPr>
          <w:rFonts w:ascii="Cambria" w:hAnsi="Cambria"/>
          <w:color w:val="000000"/>
          <w:sz w:val="20"/>
          <w:szCs w:val="20"/>
          <w:lang w:val="es-ES"/>
        </w:rPr>
        <w:t xml:space="preserve">76 </w:t>
      </w:r>
      <w:r w:rsidR="00C33F51" w:rsidRPr="003B7960">
        <w:rPr>
          <w:rFonts w:ascii="Cambria" w:hAnsi="Cambria"/>
          <w:color w:val="000000"/>
          <w:sz w:val="20"/>
          <w:szCs w:val="20"/>
          <w:lang w:val="es-ES"/>
        </w:rPr>
        <w:t>ciudadanos</w:t>
      </w:r>
      <w:r w:rsidR="00654B4A" w:rsidRPr="003B7960">
        <w:rPr>
          <w:rFonts w:ascii="Cambria" w:hAnsi="Cambria"/>
          <w:color w:val="000000"/>
          <w:sz w:val="20"/>
          <w:szCs w:val="20"/>
          <w:lang w:val="es-ES"/>
        </w:rPr>
        <w:t xml:space="preserve"> cubanos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y</w:t>
      </w:r>
      <w:r w:rsidR="00067F9E" w:rsidRPr="003B7960">
        <w:rPr>
          <w:rFonts w:ascii="Cambria" w:hAnsi="Cambria"/>
          <w:color w:val="000000"/>
          <w:sz w:val="20"/>
          <w:szCs w:val="20"/>
          <w:lang w:val="es-ES"/>
        </w:rPr>
        <w:t xml:space="preserve"> 119 </w:t>
      </w:r>
      <w:r w:rsidR="00C33F51" w:rsidRPr="003B7960">
        <w:rPr>
          <w:rFonts w:ascii="Cambria" w:hAnsi="Cambria"/>
          <w:color w:val="000000"/>
          <w:sz w:val="20"/>
          <w:szCs w:val="20"/>
          <w:lang w:val="es-ES"/>
        </w:rPr>
        <w:t>ciudadanos</w:t>
      </w:r>
      <w:r w:rsidR="00654B4A" w:rsidRPr="003B7960">
        <w:rPr>
          <w:rFonts w:ascii="Cambria" w:hAnsi="Cambria"/>
          <w:color w:val="000000"/>
          <w:sz w:val="20"/>
          <w:szCs w:val="20"/>
          <w:lang w:val="es-ES"/>
        </w:rPr>
        <w:t xml:space="preserve"> haitianos</w:t>
      </w:r>
      <w:r w:rsidRPr="003B7960">
        <w:rPr>
          <w:rFonts w:ascii="Cambria" w:hAnsi="Cambria"/>
          <w:color w:val="000000"/>
          <w:sz w:val="20"/>
          <w:szCs w:val="20"/>
          <w:lang w:val="es-ES"/>
        </w:rPr>
        <w:t>)</w:t>
      </w:r>
      <w:r w:rsidR="00067F9E" w:rsidRPr="003B7960">
        <w:rPr>
          <w:rStyle w:val="FootnoteReference"/>
          <w:rFonts w:ascii="Cambria" w:hAnsi="Cambria"/>
          <w:color w:val="000000"/>
          <w:sz w:val="20"/>
          <w:szCs w:val="20"/>
          <w:lang w:val="es-ES"/>
        </w:rPr>
        <w:footnoteReference w:id="2"/>
      </w:r>
      <w:r w:rsidRPr="003B7960">
        <w:rPr>
          <w:rFonts w:ascii="Cambria" w:hAnsi="Cambria"/>
          <w:color w:val="000000"/>
          <w:sz w:val="20"/>
          <w:szCs w:val="20"/>
          <w:lang w:val="es-ES"/>
        </w:rPr>
        <w:t xml:space="preserve">. El </w:t>
      </w:r>
      <w:r w:rsidR="00067F9E" w:rsidRPr="003B7960">
        <w:rPr>
          <w:rFonts w:ascii="Cambria" w:hAnsi="Cambria"/>
          <w:sz w:val="20"/>
          <w:szCs w:val="20"/>
          <w:lang w:val="es-ES"/>
        </w:rPr>
        <w:t>12</w:t>
      </w:r>
      <w:r w:rsidRPr="003B7960">
        <w:rPr>
          <w:rFonts w:ascii="Cambria" w:hAnsi="Cambria"/>
          <w:sz w:val="20"/>
          <w:szCs w:val="20"/>
          <w:lang w:val="es-ES"/>
        </w:rPr>
        <w:t xml:space="preserve"> de octubre de</w:t>
      </w:r>
      <w:r w:rsidR="00067F9E" w:rsidRPr="003B7960">
        <w:rPr>
          <w:rFonts w:ascii="Cambria" w:hAnsi="Cambria"/>
          <w:sz w:val="20"/>
          <w:szCs w:val="20"/>
          <w:lang w:val="es-ES"/>
        </w:rPr>
        <w:t xml:space="preserve"> 2000 </w:t>
      </w:r>
      <w:r w:rsidRPr="003B7960">
        <w:rPr>
          <w:rFonts w:ascii="Cambria" w:hAnsi="Cambria"/>
          <w:sz w:val="20"/>
          <w:szCs w:val="20"/>
          <w:lang w:val="es-ES"/>
        </w:rPr>
        <w:t>se celebró otra audiencia sobre ambas peticiones</w:t>
      </w:r>
      <w:r w:rsidR="00067F9E" w:rsidRPr="003B7960">
        <w:rPr>
          <w:rFonts w:ascii="Cambria" w:hAnsi="Cambria"/>
          <w:sz w:val="20"/>
          <w:szCs w:val="20"/>
          <w:lang w:val="es-ES"/>
        </w:rPr>
        <w:t xml:space="preserve">. </w:t>
      </w:r>
      <w:r w:rsidRPr="003B7960">
        <w:rPr>
          <w:rFonts w:ascii="Cambria" w:hAnsi="Cambria"/>
          <w:sz w:val="20"/>
          <w:szCs w:val="20"/>
          <w:lang w:val="es-ES"/>
        </w:rPr>
        <w:t>El 27 de febrero de 2002, l</w:t>
      </w:r>
      <w:r w:rsidR="00B9011F" w:rsidRPr="003B7960">
        <w:rPr>
          <w:rFonts w:ascii="Cambria" w:hAnsi="Cambria"/>
          <w:sz w:val="20"/>
          <w:szCs w:val="20"/>
          <w:lang w:val="es-ES"/>
        </w:rPr>
        <w:t>a Comisión</w:t>
      </w:r>
      <w:r w:rsidR="00067F9E" w:rsidRPr="003B7960">
        <w:rPr>
          <w:rFonts w:ascii="Cambria" w:hAnsi="Cambria"/>
          <w:sz w:val="20"/>
          <w:szCs w:val="20"/>
          <w:lang w:val="es-ES"/>
        </w:rPr>
        <w:t xml:space="preserve"> a</w:t>
      </w:r>
      <w:r w:rsidRPr="003B7960">
        <w:rPr>
          <w:rFonts w:ascii="Cambria" w:hAnsi="Cambria"/>
          <w:sz w:val="20"/>
          <w:szCs w:val="20"/>
          <w:lang w:val="es-ES"/>
        </w:rPr>
        <w:t>probó su Informe de Admisibilidad</w:t>
      </w:r>
      <w:r w:rsidR="00067F9E" w:rsidRPr="003B7960">
        <w:rPr>
          <w:rFonts w:ascii="Cambria" w:hAnsi="Cambria"/>
          <w:sz w:val="20"/>
          <w:szCs w:val="20"/>
          <w:lang w:val="es-ES"/>
        </w:rPr>
        <w:t xml:space="preserve"> No. 6/02 </w:t>
      </w:r>
      <w:r w:rsidRPr="003B7960">
        <w:rPr>
          <w:rFonts w:ascii="Cambria" w:hAnsi="Cambria"/>
          <w:sz w:val="20"/>
          <w:szCs w:val="20"/>
          <w:lang w:val="es-ES"/>
        </w:rPr>
        <w:t xml:space="preserve">y el </w:t>
      </w:r>
      <w:r w:rsidR="00067F9E" w:rsidRPr="003B7960">
        <w:rPr>
          <w:rFonts w:ascii="Cambria" w:hAnsi="Cambria"/>
          <w:sz w:val="20"/>
          <w:szCs w:val="20"/>
          <w:lang w:val="es-ES"/>
        </w:rPr>
        <w:t>12</w:t>
      </w:r>
      <w:r w:rsidRPr="003B7960">
        <w:rPr>
          <w:rFonts w:ascii="Cambria" w:hAnsi="Cambria"/>
          <w:sz w:val="20"/>
          <w:szCs w:val="20"/>
          <w:lang w:val="es-ES"/>
        </w:rPr>
        <w:t xml:space="preserve"> de abril de</w:t>
      </w:r>
      <w:r w:rsidR="00067F9E" w:rsidRPr="003B7960">
        <w:rPr>
          <w:rFonts w:ascii="Cambria" w:hAnsi="Cambria"/>
          <w:sz w:val="20"/>
          <w:szCs w:val="20"/>
          <w:lang w:val="es-ES"/>
        </w:rPr>
        <w:t xml:space="preserve"> 2002</w:t>
      </w:r>
      <w:r w:rsidR="0019007D" w:rsidRPr="003B7960">
        <w:rPr>
          <w:rStyle w:val="FootnoteReference"/>
          <w:rFonts w:ascii="Cambria" w:hAnsi="Cambria"/>
          <w:sz w:val="20"/>
          <w:szCs w:val="20"/>
          <w:lang w:val="es-ES"/>
        </w:rPr>
        <w:footnoteReference w:id="3"/>
      </w:r>
      <w:r w:rsidRPr="003B7960">
        <w:rPr>
          <w:rFonts w:ascii="Cambria" w:hAnsi="Cambria"/>
          <w:sz w:val="20"/>
          <w:szCs w:val="20"/>
          <w:lang w:val="es-ES"/>
        </w:rPr>
        <w:t xml:space="preserve"> lo </w:t>
      </w:r>
      <w:r w:rsidR="00D32142" w:rsidRPr="003B7960">
        <w:rPr>
          <w:rFonts w:ascii="Cambria" w:hAnsi="Cambria"/>
          <w:sz w:val="20"/>
          <w:szCs w:val="20"/>
          <w:lang w:val="es-ES"/>
        </w:rPr>
        <w:t>transmitió</w:t>
      </w:r>
      <w:r w:rsidRPr="003B7960">
        <w:rPr>
          <w:rFonts w:ascii="Cambria" w:hAnsi="Cambria"/>
          <w:sz w:val="20"/>
          <w:szCs w:val="20"/>
          <w:lang w:val="es-ES"/>
        </w:rPr>
        <w:t xml:space="preserve"> a las </w:t>
      </w:r>
      <w:r w:rsidRPr="003B7960">
        <w:rPr>
          <w:rFonts w:ascii="Cambria" w:hAnsi="Cambria"/>
          <w:color w:val="000000"/>
          <w:sz w:val="20"/>
          <w:szCs w:val="20"/>
          <w:lang w:val="es-ES"/>
        </w:rPr>
        <w:t>partes</w:t>
      </w:r>
      <w:r w:rsidRPr="003B7960">
        <w:rPr>
          <w:rFonts w:ascii="Cambria" w:hAnsi="Cambria"/>
          <w:sz w:val="20"/>
          <w:szCs w:val="20"/>
          <w:lang w:val="es-ES"/>
        </w:rPr>
        <w:t xml:space="preserve"> y se puso a su disposición para llegar a una solución amistosa. El 12 de julio de </w:t>
      </w:r>
      <w:r w:rsidR="00067F9E" w:rsidRPr="003B7960">
        <w:rPr>
          <w:rFonts w:ascii="Cambria" w:hAnsi="Cambria"/>
          <w:sz w:val="20"/>
          <w:szCs w:val="20"/>
          <w:lang w:val="es-ES"/>
        </w:rPr>
        <w:t>2005</w:t>
      </w:r>
      <w:r w:rsidRPr="003B7960">
        <w:rPr>
          <w:rFonts w:ascii="Cambria" w:hAnsi="Cambria"/>
          <w:sz w:val="20"/>
          <w:szCs w:val="20"/>
          <w:lang w:val="es-ES"/>
        </w:rPr>
        <w:t>,</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A3447D" w:rsidRPr="003B7960">
        <w:rPr>
          <w:rFonts w:ascii="Cambria" w:hAnsi="Cambria"/>
          <w:sz w:val="20"/>
          <w:szCs w:val="20"/>
          <w:lang w:val="es-ES"/>
        </w:rPr>
        <w:t xml:space="preserve">acumuló ambas </w:t>
      </w:r>
      <w:r w:rsidRPr="003B7960">
        <w:rPr>
          <w:rFonts w:ascii="Cambria" w:hAnsi="Cambria"/>
          <w:sz w:val="20"/>
          <w:szCs w:val="20"/>
          <w:lang w:val="es-ES"/>
        </w:rPr>
        <w:t>peticiones</w:t>
      </w:r>
      <w:r w:rsidR="00067F9E" w:rsidRPr="003B7960">
        <w:rPr>
          <w:rFonts w:ascii="Cambria" w:hAnsi="Cambria"/>
          <w:sz w:val="20"/>
          <w:szCs w:val="20"/>
          <w:lang w:val="es-ES"/>
        </w:rPr>
        <w:t xml:space="preserve"> </w:t>
      </w:r>
      <w:r w:rsidR="00A3447D" w:rsidRPr="003B7960">
        <w:rPr>
          <w:rFonts w:ascii="Cambria" w:hAnsi="Cambria"/>
          <w:sz w:val="20"/>
          <w:szCs w:val="20"/>
          <w:lang w:val="es-ES"/>
        </w:rPr>
        <w:t xml:space="preserve">en el mismo </w:t>
      </w:r>
      <w:r w:rsidR="008A4F19" w:rsidRPr="003B7960">
        <w:rPr>
          <w:rFonts w:ascii="Cambria" w:hAnsi="Cambria"/>
          <w:sz w:val="20"/>
          <w:szCs w:val="20"/>
          <w:lang w:val="es-ES"/>
        </w:rPr>
        <w:t>caso</w:t>
      </w:r>
      <w:r w:rsidR="00067F9E" w:rsidRPr="003B7960">
        <w:rPr>
          <w:rFonts w:ascii="Cambria" w:hAnsi="Cambria"/>
          <w:sz w:val="20"/>
          <w:szCs w:val="20"/>
          <w:lang w:val="es-ES"/>
        </w:rPr>
        <w:t xml:space="preserve"> </w:t>
      </w:r>
      <w:r w:rsidR="00A3447D" w:rsidRPr="003B7960">
        <w:rPr>
          <w:rFonts w:ascii="Cambria" w:hAnsi="Cambria"/>
          <w:sz w:val="20"/>
          <w:szCs w:val="20"/>
          <w:lang w:val="es-ES"/>
        </w:rPr>
        <w:t xml:space="preserve">y postergó el análisis de la </w:t>
      </w:r>
      <w:r w:rsidR="00654B4A" w:rsidRPr="003B7960">
        <w:rPr>
          <w:rFonts w:ascii="Cambria" w:hAnsi="Cambria"/>
          <w:sz w:val="20"/>
          <w:szCs w:val="20"/>
          <w:lang w:val="es-ES"/>
        </w:rPr>
        <w:t>admisibilidad</w:t>
      </w:r>
      <w:r w:rsidR="00067F9E" w:rsidRPr="003B7960">
        <w:rPr>
          <w:rFonts w:ascii="Cambria" w:hAnsi="Cambria"/>
          <w:sz w:val="20"/>
          <w:szCs w:val="20"/>
          <w:lang w:val="es-ES"/>
        </w:rPr>
        <w:t xml:space="preserve"> </w:t>
      </w:r>
      <w:r w:rsidR="00A3447D" w:rsidRPr="003B7960">
        <w:rPr>
          <w:rFonts w:ascii="Cambria" w:hAnsi="Cambria"/>
          <w:sz w:val="20"/>
          <w:szCs w:val="20"/>
          <w:lang w:val="es-ES"/>
        </w:rPr>
        <w:t>de la segunda petición a</w:t>
      </w:r>
      <w:r w:rsidR="007413F3" w:rsidRPr="003B7960">
        <w:rPr>
          <w:rFonts w:ascii="Cambria" w:hAnsi="Cambria"/>
          <w:sz w:val="20"/>
          <w:szCs w:val="20"/>
          <w:lang w:val="es-ES"/>
        </w:rPr>
        <w:t xml:space="preserve"> fin de incorporarlo en e</w:t>
      </w:r>
      <w:r w:rsidR="00A3447D" w:rsidRPr="003B7960">
        <w:rPr>
          <w:rFonts w:ascii="Cambria" w:hAnsi="Cambria"/>
          <w:sz w:val="20"/>
          <w:szCs w:val="20"/>
          <w:lang w:val="es-ES"/>
        </w:rPr>
        <w:t xml:space="preserve">l </w:t>
      </w:r>
      <w:r w:rsidR="007413F3" w:rsidRPr="003B7960">
        <w:rPr>
          <w:rFonts w:ascii="Cambria" w:hAnsi="Cambria"/>
          <w:sz w:val="20"/>
          <w:szCs w:val="20"/>
          <w:lang w:val="es-ES"/>
        </w:rPr>
        <w:t xml:space="preserve">presente </w:t>
      </w:r>
      <w:r w:rsidRPr="003B7960">
        <w:rPr>
          <w:rFonts w:ascii="Cambria" w:hAnsi="Cambria"/>
          <w:sz w:val="20"/>
          <w:szCs w:val="20"/>
          <w:lang w:val="es-ES"/>
        </w:rPr>
        <w:t>informe de fondo</w:t>
      </w:r>
      <w:r w:rsidR="00067F9E" w:rsidRPr="003B7960">
        <w:rPr>
          <w:rStyle w:val="FootnoteReference"/>
          <w:rFonts w:ascii="Cambria" w:hAnsi="Cambria"/>
          <w:sz w:val="20"/>
          <w:szCs w:val="20"/>
          <w:lang w:val="es-ES"/>
        </w:rPr>
        <w:footnoteReference w:id="4"/>
      </w:r>
      <w:r w:rsidR="0019007D" w:rsidRPr="003B7960">
        <w:rPr>
          <w:rFonts w:ascii="Cambria" w:hAnsi="Cambria"/>
          <w:sz w:val="20"/>
          <w:szCs w:val="20"/>
          <w:lang w:val="es-ES"/>
        </w:rPr>
        <w:t xml:space="preserve"> e informó al Estado</w:t>
      </w:r>
      <w:r w:rsidR="0019007D" w:rsidRPr="003B7960">
        <w:rPr>
          <w:rStyle w:val="FootnoteReference"/>
          <w:rFonts w:ascii="Cambria" w:hAnsi="Cambria"/>
          <w:sz w:val="20"/>
          <w:szCs w:val="20"/>
          <w:lang w:val="es-ES"/>
        </w:rPr>
        <w:footnoteReference w:id="5"/>
      </w:r>
      <w:r w:rsidR="00A3447D" w:rsidRPr="003B7960">
        <w:rPr>
          <w:rFonts w:ascii="Cambria" w:hAnsi="Cambria"/>
          <w:sz w:val="20"/>
          <w:szCs w:val="20"/>
          <w:lang w:val="es-ES"/>
        </w:rPr>
        <w:t>.</w:t>
      </w:r>
      <w:r w:rsidR="00067F9E" w:rsidRPr="003B7960">
        <w:rPr>
          <w:rFonts w:ascii="Cambria" w:hAnsi="Cambria"/>
          <w:sz w:val="20"/>
          <w:szCs w:val="20"/>
          <w:lang w:val="es-ES"/>
        </w:rPr>
        <w:t xml:space="preserve"> </w:t>
      </w:r>
      <w:r w:rsidRPr="003B7960">
        <w:rPr>
          <w:rFonts w:ascii="Cambria" w:hAnsi="Cambria"/>
          <w:sz w:val="20"/>
          <w:szCs w:val="20"/>
          <w:lang w:val="es-ES"/>
        </w:rPr>
        <w:t>Las partes contaron con los plazos dispuestos en el Reglamento de la CIDH para presentar observaciones adicionales sobre el fondo</w:t>
      </w:r>
      <w:r w:rsidR="00067F9E" w:rsidRPr="003B7960">
        <w:rPr>
          <w:rFonts w:ascii="Cambria" w:hAnsi="Cambria"/>
          <w:sz w:val="20"/>
          <w:szCs w:val="20"/>
          <w:lang w:val="es-ES"/>
        </w:rPr>
        <w:t xml:space="preserve">. </w:t>
      </w:r>
      <w:r w:rsidRPr="003B7960">
        <w:rPr>
          <w:rFonts w:ascii="Cambria" w:hAnsi="Cambria"/>
          <w:sz w:val="20"/>
          <w:szCs w:val="20"/>
          <w:lang w:val="es-ES"/>
        </w:rPr>
        <w:t xml:space="preserve">Toda la información recibida por la Comisión fue transmitida debidamente </w:t>
      </w:r>
      <w:r w:rsidR="00E525D4" w:rsidRPr="003B7960">
        <w:rPr>
          <w:rFonts w:ascii="Cambria" w:hAnsi="Cambria"/>
          <w:sz w:val="20"/>
          <w:szCs w:val="20"/>
          <w:lang w:val="es-ES"/>
        </w:rPr>
        <w:t>a</w:t>
      </w:r>
      <w:r w:rsidRPr="003B7960">
        <w:rPr>
          <w:rFonts w:ascii="Cambria" w:hAnsi="Cambria"/>
          <w:sz w:val="20"/>
          <w:szCs w:val="20"/>
          <w:lang w:val="es-ES"/>
        </w:rPr>
        <w:t xml:space="preserve"> las partes</w:t>
      </w:r>
      <w:r w:rsidR="00067F9E" w:rsidRPr="003B7960">
        <w:rPr>
          <w:rStyle w:val="FootnoteReference"/>
          <w:rFonts w:ascii="Cambria" w:hAnsi="Cambria"/>
          <w:sz w:val="20"/>
          <w:szCs w:val="20"/>
          <w:lang w:val="es-ES"/>
        </w:rPr>
        <w:footnoteReference w:id="6"/>
      </w:r>
      <w:r w:rsidRPr="003B7960">
        <w:rPr>
          <w:rFonts w:ascii="Cambria" w:hAnsi="Cambria"/>
          <w:sz w:val="20"/>
          <w:szCs w:val="20"/>
          <w:lang w:val="es-ES"/>
        </w:rPr>
        <w:t>.</w:t>
      </w:r>
    </w:p>
    <w:p w14:paraId="02EB41B1"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rPr>
          <w:rFonts w:ascii="Cambria" w:hAnsi="Cambria"/>
          <w:sz w:val="20"/>
          <w:szCs w:val="20"/>
          <w:lang w:val="es-ES"/>
        </w:rPr>
      </w:pPr>
    </w:p>
    <w:p w14:paraId="1643DEB9" w14:textId="7F015452" w:rsidR="00067F9E" w:rsidRPr="003B7960" w:rsidRDefault="00170D77"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La parte peticionaria </w:t>
      </w:r>
      <w:r w:rsidR="00067F9E" w:rsidRPr="003B7960">
        <w:rPr>
          <w:rFonts w:ascii="Cambria" w:hAnsi="Cambria"/>
          <w:sz w:val="20"/>
          <w:szCs w:val="20"/>
          <w:lang w:val="es-ES"/>
        </w:rPr>
        <w:t>a</w:t>
      </w:r>
      <w:r w:rsidRPr="003B7960">
        <w:rPr>
          <w:rFonts w:ascii="Cambria" w:hAnsi="Cambria"/>
          <w:sz w:val="20"/>
          <w:szCs w:val="20"/>
          <w:lang w:val="es-ES"/>
        </w:rPr>
        <w:t>rgumentó</w:t>
      </w:r>
      <w:r w:rsidR="00B9011F" w:rsidRPr="003B7960">
        <w:rPr>
          <w:rFonts w:ascii="Cambria" w:hAnsi="Cambria"/>
          <w:sz w:val="20"/>
          <w:szCs w:val="20"/>
          <w:lang w:val="es-ES"/>
        </w:rPr>
        <w:t xml:space="preserve"> que </w:t>
      </w:r>
      <w:r w:rsidR="005877AD" w:rsidRPr="003B7960">
        <w:rPr>
          <w:rFonts w:ascii="Cambria" w:hAnsi="Cambria"/>
          <w:sz w:val="20"/>
          <w:szCs w:val="20"/>
          <w:lang w:val="es-ES"/>
        </w:rPr>
        <w:t xml:space="preserve">la repatriación forzada de </w:t>
      </w:r>
      <w:r w:rsidR="00654B4A" w:rsidRPr="003B7960">
        <w:rPr>
          <w:rFonts w:ascii="Cambria" w:hAnsi="Cambria"/>
          <w:sz w:val="20"/>
          <w:szCs w:val="20"/>
          <w:lang w:val="es-ES"/>
        </w:rPr>
        <w:t>migrantes cubanos y haitianos</w:t>
      </w:r>
      <w:r w:rsidR="005877AD" w:rsidRPr="003B7960">
        <w:rPr>
          <w:rFonts w:ascii="Cambria" w:hAnsi="Cambria"/>
          <w:sz w:val="20"/>
          <w:szCs w:val="20"/>
          <w:lang w:val="es-ES"/>
        </w:rPr>
        <w:t xml:space="preserve">, sin ofrecerles una oportunidad válida para reclamar la condición de refugiados en el sistema </w:t>
      </w:r>
      <w:r w:rsidR="00295037" w:rsidRPr="003B7960">
        <w:rPr>
          <w:rFonts w:ascii="Cambria" w:hAnsi="Cambria"/>
          <w:sz w:val="20"/>
          <w:szCs w:val="20"/>
          <w:lang w:val="es-ES"/>
        </w:rPr>
        <w:t>ad hoc</w:t>
      </w:r>
      <w:r w:rsidR="005877AD" w:rsidRPr="003B7960">
        <w:rPr>
          <w:rFonts w:ascii="Cambria" w:hAnsi="Cambria"/>
          <w:sz w:val="20"/>
          <w:szCs w:val="20"/>
          <w:lang w:val="es-ES"/>
        </w:rPr>
        <w:t xml:space="preserve"> d</w:t>
      </w:r>
      <w:r w:rsidR="00A332F5" w:rsidRPr="003B7960">
        <w:rPr>
          <w:rFonts w:ascii="Cambria" w:hAnsi="Cambria"/>
          <w:sz w:val="20"/>
          <w:szCs w:val="20"/>
          <w:lang w:val="es-ES"/>
        </w:rPr>
        <w:t>el Estado</w:t>
      </w:r>
      <w:r w:rsidR="00B9494E" w:rsidRPr="003B7960">
        <w:rPr>
          <w:rFonts w:ascii="Cambria" w:hAnsi="Cambria"/>
          <w:sz w:val="20"/>
          <w:szCs w:val="20"/>
          <w:lang w:val="es-ES"/>
        </w:rPr>
        <w:t xml:space="preserve"> para la tramitación de asilo</w:t>
      </w:r>
      <w:r w:rsidR="00C56C8A" w:rsidRPr="003B7960">
        <w:rPr>
          <w:rFonts w:ascii="Cambria" w:hAnsi="Cambria"/>
          <w:sz w:val="20"/>
          <w:szCs w:val="20"/>
          <w:lang w:val="es-ES"/>
        </w:rPr>
        <w:t xml:space="preserve">, </w:t>
      </w:r>
      <w:r w:rsidR="005877AD" w:rsidRPr="003B7960">
        <w:rPr>
          <w:rFonts w:ascii="Cambria" w:hAnsi="Cambria"/>
          <w:sz w:val="20"/>
          <w:szCs w:val="20"/>
          <w:lang w:val="es-ES"/>
        </w:rPr>
        <w:t xml:space="preserve">les niega el derecho de asilo, el derecho a </w:t>
      </w:r>
      <w:r w:rsidR="00B9494E" w:rsidRPr="003B7960">
        <w:rPr>
          <w:rFonts w:ascii="Cambria" w:hAnsi="Cambria"/>
          <w:sz w:val="20"/>
          <w:szCs w:val="20"/>
          <w:lang w:val="es-ES"/>
        </w:rPr>
        <w:t xml:space="preserve">un </w:t>
      </w:r>
      <w:r w:rsidR="00C47806" w:rsidRPr="003B7960">
        <w:rPr>
          <w:rFonts w:ascii="Cambria" w:hAnsi="Cambria"/>
          <w:sz w:val="20"/>
          <w:szCs w:val="20"/>
          <w:lang w:val="es-ES"/>
        </w:rPr>
        <w:t xml:space="preserve">juicio imparcial y el derecho a la vida, a la libertad y a la seguridad de la persona. Además, afirmaron que el trato </w:t>
      </w:r>
      <w:r w:rsidR="00D32142" w:rsidRPr="003B7960">
        <w:rPr>
          <w:rFonts w:ascii="Cambria" w:hAnsi="Cambria"/>
          <w:sz w:val="20"/>
          <w:szCs w:val="20"/>
          <w:lang w:val="es-ES"/>
        </w:rPr>
        <w:t>diferente</w:t>
      </w:r>
      <w:r w:rsidR="00067F9E" w:rsidRPr="003B7960">
        <w:rPr>
          <w:rFonts w:ascii="Cambria" w:hAnsi="Cambria"/>
          <w:sz w:val="20"/>
          <w:szCs w:val="20"/>
          <w:lang w:val="es-ES"/>
        </w:rPr>
        <w:t xml:space="preserve"> rec</w:t>
      </w:r>
      <w:r w:rsidR="008502FB" w:rsidRPr="003B7960">
        <w:rPr>
          <w:rFonts w:ascii="Cambria" w:hAnsi="Cambria"/>
          <w:sz w:val="20"/>
          <w:szCs w:val="20"/>
          <w:lang w:val="es-ES"/>
        </w:rPr>
        <w:t>ibido por los</w:t>
      </w:r>
      <w:r w:rsidR="00067F9E" w:rsidRPr="003B7960">
        <w:rPr>
          <w:rFonts w:ascii="Cambria" w:hAnsi="Cambria"/>
          <w:sz w:val="20"/>
          <w:szCs w:val="20"/>
          <w:lang w:val="es-ES"/>
        </w:rPr>
        <w:t xml:space="preserve"> </w:t>
      </w:r>
      <w:r w:rsidR="00654B4A" w:rsidRPr="003B7960">
        <w:rPr>
          <w:rFonts w:ascii="Cambria" w:hAnsi="Cambria"/>
          <w:sz w:val="20"/>
          <w:szCs w:val="20"/>
          <w:lang w:val="es-ES"/>
        </w:rPr>
        <w:t>migrantes cubanos y haitianos</w:t>
      </w:r>
      <w:r w:rsidR="00067F9E" w:rsidRPr="003B7960">
        <w:rPr>
          <w:rFonts w:ascii="Cambria" w:hAnsi="Cambria"/>
          <w:sz w:val="20"/>
          <w:szCs w:val="20"/>
          <w:lang w:val="es-ES"/>
        </w:rPr>
        <w:t xml:space="preserve"> </w:t>
      </w:r>
      <w:r w:rsidR="008502FB" w:rsidRPr="003B7960">
        <w:rPr>
          <w:rFonts w:ascii="Cambria" w:hAnsi="Cambria"/>
          <w:sz w:val="20"/>
          <w:szCs w:val="20"/>
          <w:lang w:val="es-ES"/>
        </w:rPr>
        <w:t xml:space="preserve">en lo que se refiere al acceso al sistema viola el derecho de </w:t>
      </w:r>
      <w:r w:rsidR="00C47806" w:rsidRPr="003B7960">
        <w:rPr>
          <w:rFonts w:ascii="Cambria" w:hAnsi="Cambria"/>
          <w:color w:val="000000"/>
          <w:sz w:val="20"/>
          <w:szCs w:val="20"/>
          <w:lang w:val="es-ES"/>
        </w:rPr>
        <w:t>igualdad ante la ley</w:t>
      </w:r>
      <w:r w:rsidR="00067F9E" w:rsidRPr="003B7960">
        <w:rPr>
          <w:rFonts w:ascii="Cambria" w:hAnsi="Cambria"/>
          <w:color w:val="000000"/>
          <w:sz w:val="20"/>
          <w:szCs w:val="20"/>
          <w:lang w:val="es-ES"/>
        </w:rPr>
        <w:t xml:space="preserve">. </w:t>
      </w:r>
      <w:r w:rsidR="008502FB" w:rsidRPr="003B7960">
        <w:rPr>
          <w:rFonts w:ascii="Cambria" w:hAnsi="Cambria"/>
          <w:color w:val="000000"/>
          <w:sz w:val="20"/>
          <w:szCs w:val="20"/>
          <w:lang w:val="es-ES"/>
        </w:rPr>
        <w:t>Por último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parte peticionaria</w:t>
      </w:r>
      <w:r w:rsidR="00067F9E" w:rsidRPr="003B7960">
        <w:rPr>
          <w:rFonts w:ascii="Cambria" w:hAnsi="Cambria"/>
          <w:color w:val="000000"/>
          <w:sz w:val="20"/>
          <w:szCs w:val="20"/>
          <w:lang w:val="es-ES"/>
        </w:rPr>
        <w:t xml:space="preserve"> a</w:t>
      </w:r>
      <w:r w:rsidRPr="003B7960">
        <w:rPr>
          <w:rFonts w:ascii="Cambria" w:hAnsi="Cambria"/>
          <w:color w:val="000000"/>
          <w:sz w:val="20"/>
          <w:szCs w:val="20"/>
          <w:lang w:val="es-ES"/>
        </w:rPr>
        <w:t>firmó</w:t>
      </w:r>
      <w:r w:rsidR="008502FB" w:rsidRPr="003B7960">
        <w:rPr>
          <w:rFonts w:ascii="Cambria" w:hAnsi="Cambria"/>
          <w:color w:val="000000"/>
          <w:sz w:val="20"/>
          <w:szCs w:val="20"/>
          <w:lang w:val="es-ES"/>
        </w:rPr>
        <w:t xml:space="preserve"> que la detención inmediata y arbitraria de migrantes por </w:t>
      </w:r>
      <w:r w:rsidR="00A332F5" w:rsidRPr="003B7960">
        <w:rPr>
          <w:rFonts w:ascii="Cambria" w:hAnsi="Cambria"/>
          <w:color w:val="000000"/>
          <w:sz w:val="20"/>
          <w:szCs w:val="20"/>
          <w:lang w:val="es-ES"/>
        </w:rPr>
        <w:t>el Estado</w:t>
      </w:r>
      <w:r w:rsidR="008502FB" w:rsidRPr="003B7960">
        <w:rPr>
          <w:rFonts w:ascii="Cambria" w:hAnsi="Cambria"/>
          <w:color w:val="000000"/>
          <w:sz w:val="20"/>
          <w:szCs w:val="20"/>
          <w:lang w:val="es-ES"/>
        </w:rPr>
        <w:t xml:space="preserve"> y las condiciones inadecuadas </w:t>
      </w:r>
      <w:r w:rsidR="00D32142" w:rsidRPr="003B7960">
        <w:rPr>
          <w:rFonts w:ascii="Cambria" w:hAnsi="Cambria"/>
          <w:color w:val="000000"/>
          <w:sz w:val="20"/>
          <w:szCs w:val="20"/>
          <w:lang w:val="es-ES"/>
        </w:rPr>
        <w:t>de detención</w:t>
      </w:r>
      <w:r w:rsidR="008502FB" w:rsidRPr="003B7960">
        <w:rPr>
          <w:rFonts w:ascii="Cambria" w:hAnsi="Cambria"/>
          <w:color w:val="000000"/>
          <w:sz w:val="20"/>
          <w:szCs w:val="20"/>
          <w:lang w:val="es-ES"/>
        </w:rPr>
        <w:t xml:space="preserve"> violan el derecho </w:t>
      </w:r>
      <w:r w:rsidR="00D32142" w:rsidRPr="003B7960">
        <w:rPr>
          <w:rFonts w:ascii="Cambria" w:hAnsi="Cambria"/>
          <w:color w:val="000000"/>
          <w:sz w:val="20"/>
          <w:szCs w:val="20"/>
          <w:lang w:val="es-ES"/>
        </w:rPr>
        <w:t>a la</w:t>
      </w:r>
      <w:r w:rsidR="00656E1D" w:rsidRPr="003B7960">
        <w:rPr>
          <w:rFonts w:ascii="Cambria" w:hAnsi="Cambria"/>
          <w:color w:val="000000"/>
          <w:sz w:val="20"/>
          <w:szCs w:val="20"/>
          <w:lang w:val="es-ES"/>
        </w:rPr>
        <w:t xml:space="preserve"> protección contra la detención arbitraria y el derecho a un </w:t>
      </w:r>
      <w:r w:rsidR="00252CBB" w:rsidRPr="003B7960">
        <w:rPr>
          <w:rFonts w:ascii="Cambria" w:hAnsi="Cambria"/>
          <w:color w:val="000000"/>
          <w:sz w:val="20"/>
          <w:szCs w:val="20"/>
          <w:lang w:val="es-ES"/>
        </w:rPr>
        <w:t xml:space="preserve">trato </w:t>
      </w:r>
      <w:r w:rsidR="00A37A57" w:rsidRPr="003B7960">
        <w:rPr>
          <w:rFonts w:ascii="Cambria" w:hAnsi="Cambria"/>
          <w:color w:val="000000"/>
          <w:sz w:val="20"/>
          <w:szCs w:val="20"/>
          <w:lang w:val="es-ES"/>
        </w:rPr>
        <w:t>humano</w:t>
      </w:r>
      <w:r w:rsidR="00656E1D" w:rsidRPr="003B7960">
        <w:rPr>
          <w:rFonts w:ascii="Cambria" w:hAnsi="Cambria"/>
          <w:sz w:val="20"/>
          <w:szCs w:val="20"/>
          <w:lang w:val="es-ES"/>
        </w:rPr>
        <w:t xml:space="preserve"> durante la privación de su libertad</w:t>
      </w:r>
      <w:r w:rsidR="00067F9E" w:rsidRPr="003B7960">
        <w:rPr>
          <w:rFonts w:ascii="Cambria" w:hAnsi="Cambria"/>
          <w:sz w:val="20"/>
          <w:szCs w:val="20"/>
          <w:lang w:val="es-ES"/>
        </w:rPr>
        <w:t>.</w:t>
      </w:r>
    </w:p>
    <w:p w14:paraId="44C41442"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mbria" w:hAnsi="Cambria"/>
          <w:color w:val="000000"/>
          <w:sz w:val="20"/>
          <w:szCs w:val="20"/>
          <w:lang w:val="es-ES"/>
        </w:rPr>
      </w:pPr>
    </w:p>
    <w:p w14:paraId="314A0989" w14:textId="77777777" w:rsidR="00067F9E" w:rsidRPr="003B7960" w:rsidRDefault="00C33F5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color w:val="000000"/>
          <w:sz w:val="20"/>
          <w:szCs w:val="20"/>
          <w:lang w:val="es-ES"/>
        </w:rPr>
        <w:t>El Estado alegó que</w:t>
      </w:r>
      <w:r w:rsidR="00067F9E" w:rsidRPr="003B7960">
        <w:rPr>
          <w:rFonts w:ascii="Cambria" w:hAnsi="Cambria"/>
          <w:color w:val="000000"/>
          <w:sz w:val="20"/>
          <w:szCs w:val="20"/>
          <w:lang w:val="es-ES"/>
        </w:rPr>
        <w:t xml:space="preserve"> </w:t>
      </w:r>
      <w:r w:rsidR="00781310" w:rsidRPr="003B7960">
        <w:rPr>
          <w:rFonts w:ascii="Cambria" w:hAnsi="Cambria"/>
          <w:color w:val="000000"/>
          <w:sz w:val="20"/>
          <w:szCs w:val="20"/>
          <w:lang w:val="es-ES"/>
        </w:rPr>
        <w:t>el</w:t>
      </w:r>
      <w:r w:rsidRPr="003B7960">
        <w:rPr>
          <w:rFonts w:ascii="Cambria" w:hAnsi="Cambria"/>
          <w:color w:val="000000"/>
          <w:sz w:val="20"/>
          <w:szCs w:val="20"/>
          <w:lang w:val="es-ES"/>
        </w:rPr>
        <w:t xml:space="preserve"> sistema para determinar la condición de refugiado es imparcial, concuerda con sus obligaciones </w:t>
      </w:r>
      <w:r w:rsidR="00B823AF" w:rsidRPr="003B7960">
        <w:rPr>
          <w:rFonts w:ascii="Cambria" w:hAnsi="Cambria"/>
          <w:color w:val="000000"/>
          <w:sz w:val="20"/>
          <w:szCs w:val="20"/>
          <w:lang w:val="es-ES"/>
        </w:rPr>
        <w:t>internacionales</w:t>
      </w:r>
      <w:r w:rsidRPr="003B7960">
        <w:rPr>
          <w:rFonts w:ascii="Cambria" w:hAnsi="Cambria"/>
          <w:color w:val="000000"/>
          <w:sz w:val="20"/>
          <w:szCs w:val="20"/>
          <w:lang w:val="es-ES"/>
        </w:rPr>
        <w:t xml:space="preserve"> e incorpora garantías del debido proceso. Afirmó que los </w:t>
      </w:r>
      <w:r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Pr="003B7960">
        <w:rPr>
          <w:rFonts w:ascii="Cambria" w:hAnsi="Cambria"/>
          <w:sz w:val="20"/>
          <w:szCs w:val="20"/>
          <w:lang w:val="es-ES"/>
        </w:rPr>
        <w:t xml:space="preserve">tienen la oportunidad de exponer su </w:t>
      </w:r>
      <w:r w:rsidR="008A4F19" w:rsidRPr="003B7960">
        <w:rPr>
          <w:rFonts w:ascii="Cambria" w:hAnsi="Cambria"/>
          <w:color w:val="000000"/>
          <w:sz w:val="20"/>
          <w:szCs w:val="20"/>
          <w:lang w:val="es-ES"/>
        </w:rPr>
        <w:t>caso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y presentar documentos pertinentes a las autoridades y que los</w:t>
      </w:r>
      <w:r w:rsidR="00067F9E" w:rsidRPr="003B7960">
        <w:rPr>
          <w:rFonts w:ascii="Cambria" w:hAnsi="Cambria"/>
          <w:color w:val="000000"/>
          <w:sz w:val="20"/>
          <w:szCs w:val="20"/>
          <w:lang w:val="es-ES"/>
        </w:rPr>
        <w:t xml:space="preserve"> </w:t>
      </w:r>
      <w:r w:rsidR="00654B4A" w:rsidRPr="003B7960">
        <w:rPr>
          <w:rFonts w:ascii="Cambria" w:hAnsi="Cambria"/>
          <w:color w:val="000000"/>
          <w:sz w:val="20"/>
          <w:szCs w:val="20"/>
          <w:lang w:val="es-ES"/>
        </w:rPr>
        <w:t>migrantes cubanos y haitianos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tuvieron acceso a este sistema</w:t>
      </w:r>
      <w:r w:rsidR="00067F9E" w:rsidRPr="003B7960">
        <w:rPr>
          <w:rFonts w:ascii="Cambria" w:hAnsi="Cambria"/>
          <w:sz w:val="20"/>
          <w:szCs w:val="20"/>
          <w:lang w:val="es-ES"/>
        </w:rPr>
        <w:t>. A</w:t>
      </w:r>
      <w:r w:rsidRPr="003B7960">
        <w:rPr>
          <w:rFonts w:ascii="Cambria" w:hAnsi="Cambria"/>
          <w:sz w:val="20"/>
          <w:szCs w:val="20"/>
          <w:lang w:val="es-ES"/>
        </w:rPr>
        <w:t xml:space="preserve">unque reconoció que es necesario mejorar las condiciones 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Pr="003B7960">
        <w:rPr>
          <w:rFonts w:ascii="Cambria" w:hAnsi="Cambria"/>
          <w:sz w:val="20"/>
          <w:szCs w:val="20"/>
          <w:lang w:val="es-ES"/>
        </w:rPr>
        <w:t>, señaló que los detenidos</w:t>
      </w:r>
      <w:r w:rsidR="00067F9E" w:rsidRPr="003B7960">
        <w:rPr>
          <w:rFonts w:ascii="Cambria" w:hAnsi="Cambria"/>
          <w:sz w:val="20"/>
          <w:szCs w:val="20"/>
          <w:lang w:val="es-ES"/>
        </w:rPr>
        <w:t xml:space="preserve"> </w:t>
      </w:r>
      <w:r w:rsidRPr="003B7960">
        <w:rPr>
          <w:rFonts w:ascii="Cambria" w:hAnsi="Cambria"/>
          <w:sz w:val="20"/>
          <w:szCs w:val="20"/>
          <w:lang w:val="es-ES"/>
        </w:rPr>
        <w:t>fueron tratados</w:t>
      </w:r>
      <w:r w:rsidR="00067F9E" w:rsidRPr="003B7960">
        <w:rPr>
          <w:rFonts w:ascii="Cambria" w:hAnsi="Cambria"/>
          <w:sz w:val="20"/>
          <w:szCs w:val="20"/>
          <w:lang w:val="es-ES"/>
        </w:rPr>
        <w:t xml:space="preserve"> </w:t>
      </w:r>
      <w:r w:rsidRPr="003B7960">
        <w:rPr>
          <w:rFonts w:ascii="Cambria" w:hAnsi="Cambria"/>
          <w:sz w:val="20"/>
          <w:szCs w:val="20"/>
          <w:lang w:val="es-ES"/>
        </w:rPr>
        <w:t xml:space="preserve">de manera </w:t>
      </w:r>
      <w:r w:rsidR="00067F9E" w:rsidRPr="003B7960">
        <w:rPr>
          <w:rFonts w:ascii="Cambria" w:hAnsi="Cambria"/>
          <w:sz w:val="20"/>
          <w:szCs w:val="20"/>
          <w:lang w:val="es-ES"/>
        </w:rPr>
        <w:t>human</w:t>
      </w:r>
      <w:r w:rsidRPr="003B7960">
        <w:rPr>
          <w:rFonts w:ascii="Cambria" w:hAnsi="Cambria"/>
          <w:sz w:val="20"/>
          <w:szCs w:val="20"/>
          <w:lang w:val="es-ES"/>
        </w:rPr>
        <w:t>itaria</w:t>
      </w:r>
      <w:r w:rsidR="00B823AF" w:rsidRPr="003B7960">
        <w:rPr>
          <w:rFonts w:ascii="Cambria" w:hAnsi="Cambria"/>
          <w:sz w:val="20"/>
          <w:szCs w:val="20"/>
          <w:lang w:val="es-ES"/>
        </w:rPr>
        <w:t xml:space="preserve"> y </w:t>
      </w:r>
      <w:r w:rsidRPr="003B7960">
        <w:rPr>
          <w:rFonts w:ascii="Cambria" w:hAnsi="Cambria"/>
          <w:sz w:val="20"/>
          <w:szCs w:val="20"/>
          <w:lang w:val="es-ES"/>
        </w:rPr>
        <w:t>recibieron bienes y servicios esenciales</w:t>
      </w:r>
      <w:r w:rsidR="00F00A88" w:rsidRPr="003B7960">
        <w:rPr>
          <w:rFonts w:ascii="Cambria" w:hAnsi="Cambria"/>
          <w:sz w:val="20"/>
          <w:szCs w:val="20"/>
          <w:lang w:val="es-ES"/>
        </w:rPr>
        <w:t xml:space="preserve"> durante la privación de su libertad</w:t>
      </w:r>
      <w:r w:rsidR="00067F9E" w:rsidRPr="003B7960">
        <w:rPr>
          <w:rFonts w:ascii="Cambria" w:hAnsi="Cambria"/>
          <w:sz w:val="20"/>
          <w:szCs w:val="20"/>
          <w:lang w:val="es-ES"/>
        </w:rPr>
        <w:t>.</w:t>
      </w:r>
    </w:p>
    <w:p w14:paraId="005C9348"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35C8174F" w14:textId="5D94264B" w:rsidR="00101DC6"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color w:val="000000"/>
          <w:sz w:val="20"/>
          <w:szCs w:val="20"/>
          <w:lang w:val="es-ES"/>
        </w:rPr>
        <w:t>Sobre la base de sus determinaciones jurídicas y fácticas, la Comisión Interamericana concluyó que el Estado es responsable de la violación de los artículos</w:t>
      </w:r>
      <w:r w:rsidR="00067F9E" w:rsidRPr="003B7960">
        <w:rPr>
          <w:rFonts w:ascii="Cambria" w:hAnsi="Cambria"/>
          <w:color w:val="000000"/>
          <w:sz w:val="20"/>
          <w:szCs w:val="20"/>
          <w:lang w:val="es-ES"/>
        </w:rPr>
        <w:t xml:space="preserve"> I (</w:t>
      </w:r>
      <w:r w:rsidR="005C2709" w:rsidRPr="003B7960">
        <w:rPr>
          <w:rFonts w:ascii="Cambria" w:hAnsi="Cambria"/>
          <w:color w:val="000000"/>
          <w:sz w:val="20"/>
          <w:szCs w:val="20"/>
          <w:lang w:val="es-ES"/>
        </w:rPr>
        <w:t xml:space="preserve">derecho a la </w:t>
      </w:r>
      <w:r w:rsidR="005877AD" w:rsidRPr="003B7960">
        <w:rPr>
          <w:rFonts w:ascii="Cambria" w:hAnsi="Cambria"/>
          <w:color w:val="000000"/>
          <w:sz w:val="20"/>
          <w:szCs w:val="20"/>
          <w:lang w:val="es-ES"/>
        </w:rPr>
        <w:t xml:space="preserve">vida, </w:t>
      </w:r>
      <w:r w:rsidR="005C2709" w:rsidRPr="003B7960">
        <w:rPr>
          <w:rFonts w:ascii="Cambria" w:hAnsi="Cambria"/>
          <w:color w:val="000000"/>
          <w:sz w:val="20"/>
          <w:szCs w:val="20"/>
          <w:lang w:val="es-ES"/>
        </w:rPr>
        <w:t xml:space="preserve">a la </w:t>
      </w:r>
      <w:r w:rsidR="005877AD" w:rsidRPr="003B7960">
        <w:rPr>
          <w:rFonts w:ascii="Cambria" w:hAnsi="Cambria"/>
          <w:color w:val="000000"/>
          <w:sz w:val="20"/>
          <w:szCs w:val="20"/>
          <w:lang w:val="es-ES"/>
        </w:rPr>
        <w:t>libertad</w:t>
      </w:r>
      <w:r w:rsidR="005C2709" w:rsidRPr="003B7960">
        <w:rPr>
          <w:rFonts w:ascii="Cambria" w:hAnsi="Cambria"/>
          <w:color w:val="000000"/>
          <w:sz w:val="20"/>
          <w:szCs w:val="20"/>
          <w:lang w:val="es-ES"/>
        </w:rPr>
        <w:t xml:space="preserve">, a la </w:t>
      </w:r>
      <w:r w:rsidR="005877AD" w:rsidRPr="003B7960">
        <w:rPr>
          <w:rFonts w:ascii="Cambria" w:hAnsi="Cambria"/>
          <w:color w:val="000000"/>
          <w:sz w:val="20"/>
          <w:szCs w:val="20"/>
          <w:lang w:val="es-ES"/>
        </w:rPr>
        <w:t>seguridad</w:t>
      </w:r>
      <w:r w:rsidR="005C2709" w:rsidRPr="003B7960">
        <w:rPr>
          <w:rFonts w:ascii="Cambria" w:hAnsi="Cambria"/>
          <w:color w:val="000000"/>
          <w:sz w:val="20"/>
          <w:szCs w:val="20"/>
          <w:lang w:val="es-ES"/>
        </w:rPr>
        <w:t xml:space="preserve"> e integridad de la persona</w:t>
      </w:r>
      <w:r w:rsidR="00067F9E" w:rsidRPr="003B7960">
        <w:rPr>
          <w:rFonts w:ascii="Cambria" w:hAnsi="Cambria"/>
          <w:color w:val="000000"/>
          <w:sz w:val="20"/>
          <w:szCs w:val="20"/>
          <w:lang w:val="es-ES"/>
        </w:rPr>
        <w:t>), II (</w:t>
      </w:r>
      <w:r w:rsidR="005C2709" w:rsidRPr="003B7960">
        <w:rPr>
          <w:rFonts w:ascii="Cambria" w:hAnsi="Cambria"/>
          <w:color w:val="000000"/>
          <w:sz w:val="20"/>
          <w:szCs w:val="20"/>
          <w:lang w:val="es-ES"/>
        </w:rPr>
        <w:t xml:space="preserve">derecho de </w:t>
      </w:r>
      <w:r w:rsidRPr="003B7960">
        <w:rPr>
          <w:rFonts w:ascii="Cambria" w:hAnsi="Cambria"/>
          <w:color w:val="000000"/>
          <w:sz w:val="20"/>
          <w:szCs w:val="20"/>
          <w:lang w:val="es-ES"/>
        </w:rPr>
        <w:t>igualdad ante la ley</w:t>
      </w:r>
      <w:r w:rsidR="00067F9E" w:rsidRPr="003B7960">
        <w:rPr>
          <w:rFonts w:ascii="Cambria" w:hAnsi="Cambria"/>
          <w:color w:val="000000"/>
          <w:sz w:val="20"/>
          <w:szCs w:val="20"/>
          <w:lang w:val="es-ES"/>
        </w:rPr>
        <w:t>), V (</w:t>
      </w:r>
      <w:r w:rsidR="005C2709" w:rsidRPr="003B7960">
        <w:rPr>
          <w:rFonts w:ascii="Cambria" w:hAnsi="Cambria"/>
          <w:color w:val="000000"/>
          <w:sz w:val="20"/>
          <w:szCs w:val="20"/>
          <w:lang w:val="es-ES"/>
        </w:rPr>
        <w:t xml:space="preserve">derecho a la </w:t>
      </w:r>
      <w:r w:rsidR="005877AD" w:rsidRPr="003B7960">
        <w:rPr>
          <w:rFonts w:ascii="Cambria" w:hAnsi="Cambria"/>
          <w:color w:val="000000"/>
          <w:sz w:val="20"/>
          <w:szCs w:val="20"/>
          <w:lang w:val="es-ES"/>
        </w:rPr>
        <w:t>protección a la honra, la reputación personal y la vida privada y familiar</w:t>
      </w:r>
      <w:r w:rsidR="00067F9E" w:rsidRPr="003B7960">
        <w:rPr>
          <w:rFonts w:ascii="Cambria" w:hAnsi="Cambria"/>
          <w:color w:val="000000"/>
          <w:sz w:val="20"/>
          <w:szCs w:val="20"/>
          <w:lang w:val="es-ES"/>
        </w:rPr>
        <w:t>), VI (</w:t>
      </w:r>
      <w:r w:rsidR="005877AD" w:rsidRPr="003B7960">
        <w:rPr>
          <w:rFonts w:ascii="Cambria" w:hAnsi="Cambria"/>
          <w:color w:val="000000"/>
          <w:sz w:val="20"/>
          <w:szCs w:val="20"/>
          <w:lang w:val="es-ES"/>
        </w:rPr>
        <w:t>derecho a la constitución y a la protección de la familia</w:t>
      </w:r>
      <w:r w:rsidR="00067F9E" w:rsidRPr="003B7960">
        <w:rPr>
          <w:rFonts w:ascii="Cambria" w:hAnsi="Cambria"/>
          <w:color w:val="000000"/>
          <w:sz w:val="20"/>
          <w:szCs w:val="20"/>
          <w:lang w:val="es-ES"/>
        </w:rPr>
        <w:t>), VII (</w:t>
      </w:r>
      <w:r w:rsidR="005877AD" w:rsidRPr="003B7960">
        <w:rPr>
          <w:rFonts w:ascii="Cambria" w:hAnsi="Cambria"/>
          <w:color w:val="000000"/>
          <w:sz w:val="20"/>
          <w:szCs w:val="20"/>
          <w:lang w:val="es-ES"/>
        </w:rPr>
        <w:t>derecho de protección a la maternidad y a la infancia</w:t>
      </w:r>
      <w:r w:rsidR="00067F9E" w:rsidRPr="003B7960">
        <w:rPr>
          <w:rFonts w:ascii="Cambria" w:hAnsi="Cambria"/>
          <w:color w:val="000000"/>
          <w:sz w:val="20"/>
          <w:szCs w:val="20"/>
          <w:lang w:val="es-ES"/>
        </w:rPr>
        <w:t>)</w:t>
      </w:r>
      <w:r w:rsidRPr="003B7960">
        <w:rPr>
          <w:rFonts w:ascii="Cambria" w:hAnsi="Cambria"/>
          <w:color w:val="000000"/>
          <w:sz w:val="20"/>
          <w:szCs w:val="20"/>
          <w:lang w:val="es-ES"/>
        </w:rPr>
        <w:t>,</w:t>
      </w:r>
      <w:r w:rsidR="00067F9E" w:rsidRPr="003B7960">
        <w:rPr>
          <w:rFonts w:ascii="Cambria" w:hAnsi="Cambria"/>
          <w:color w:val="000000"/>
          <w:sz w:val="20"/>
          <w:szCs w:val="20"/>
          <w:lang w:val="es-ES"/>
        </w:rPr>
        <w:t xml:space="preserve"> XVIII (</w:t>
      </w:r>
      <w:r w:rsidR="005877AD" w:rsidRPr="003B7960">
        <w:rPr>
          <w:rFonts w:ascii="Cambria" w:hAnsi="Cambria"/>
          <w:color w:val="000000"/>
          <w:sz w:val="20"/>
          <w:szCs w:val="20"/>
          <w:lang w:val="es-ES"/>
        </w:rPr>
        <w:t>derecho de justicia</w:t>
      </w:r>
      <w:r w:rsidR="00067F9E" w:rsidRPr="003B7960">
        <w:rPr>
          <w:rFonts w:ascii="Cambria" w:hAnsi="Cambria"/>
          <w:color w:val="000000"/>
          <w:sz w:val="20"/>
          <w:szCs w:val="20"/>
          <w:lang w:val="es-ES"/>
        </w:rPr>
        <w:t>), XXV (</w:t>
      </w:r>
      <w:r w:rsidR="005C2709" w:rsidRPr="003B7960">
        <w:rPr>
          <w:rFonts w:ascii="Cambria" w:hAnsi="Cambria"/>
          <w:color w:val="000000"/>
          <w:sz w:val="20"/>
          <w:szCs w:val="20"/>
          <w:lang w:val="es-ES"/>
        </w:rPr>
        <w:t xml:space="preserve">derecho de </w:t>
      </w:r>
      <w:r w:rsidR="005877AD" w:rsidRPr="003B7960">
        <w:rPr>
          <w:rFonts w:ascii="Cambria" w:hAnsi="Cambria"/>
          <w:color w:val="000000"/>
          <w:sz w:val="20"/>
          <w:szCs w:val="20"/>
          <w:lang w:val="es-ES"/>
        </w:rPr>
        <w:t>protección contra la detención arbitraria</w:t>
      </w:r>
      <w:r w:rsidR="00067F9E" w:rsidRPr="003B7960">
        <w:rPr>
          <w:rFonts w:ascii="Cambria" w:hAnsi="Cambria"/>
          <w:color w:val="000000"/>
          <w:sz w:val="20"/>
          <w:szCs w:val="20"/>
          <w:lang w:val="es-ES"/>
        </w:rPr>
        <w:t>)</w:t>
      </w:r>
      <w:r w:rsidR="005877AD" w:rsidRPr="003B7960">
        <w:rPr>
          <w:rFonts w:ascii="Cambria" w:hAnsi="Cambria"/>
          <w:color w:val="000000"/>
          <w:sz w:val="20"/>
          <w:szCs w:val="20"/>
          <w:lang w:val="es-ES"/>
        </w:rPr>
        <w:t xml:space="preserve"> y </w:t>
      </w:r>
      <w:r w:rsidR="00067F9E" w:rsidRPr="003B7960">
        <w:rPr>
          <w:rFonts w:ascii="Cambria" w:hAnsi="Cambria"/>
          <w:color w:val="000000"/>
          <w:sz w:val="20"/>
          <w:szCs w:val="20"/>
          <w:lang w:val="es-ES"/>
        </w:rPr>
        <w:t>XXVII (</w:t>
      </w:r>
      <w:r w:rsidR="005877AD" w:rsidRPr="003B7960">
        <w:rPr>
          <w:rFonts w:ascii="Cambria" w:hAnsi="Cambria"/>
          <w:color w:val="000000"/>
          <w:sz w:val="20"/>
          <w:szCs w:val="20"/>
          <w:lang w:val="es-ES"/>
        </w:rPr>
        <w:t>derecho de asilo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de </w:t>
      </w:r>
      <w:r w:rsidR="005877AD" w:rsidRPr="003B7960">
        <w:rPr>
          <w:rFonts w:ascii="Cambria" w:hAnsi="Cambria"/>
          <w:color w:val="000000"/>
          <w:sz w:val="20"/>
          <w:szCs w:val="20"/>
          <w:lang w:val="es-ES"/>
        </w:rPr>
        <w:t xml:space="preserve">la </w:t>
      </w:r>
      <w:r w:rsidRPr="003B7960">
        <w:rPr>
          <w:rFonts w:ascii="Cambria" w:hAnsi="Cambria"/>
          <w:color w:val="000000"/>
          <w:sz w:val="20"/>
          <w:szCs w:val="20"/>
          <w:lang w:val="es-ES"/>
        </w:rPr>
        <w:t xml:space="preserve">Declaración Americana de los Derechos y Deberes del Hombre </w:t>
      </w:r>
      <w:r w:rsidR="00067F9E" w:rsidRPr="003B7960">
        <w:rPr>
          <w:rFonts w:ascii="Cambria" w:hAnsi="Cambria"/>
          <w:sz w:val="20"/>
          <w:szCs w:val="20"/>
          <w:lang w:val="es-ES"/>
        </w:rPr>
        <w:t>(</w:t>
      </w:r>
      <w:r w:rsidR="00334878" w:rsidRPr="003B7960">
        <w:rPr>
          <w:rFonts w:ascii="Cambria" w:hAnsi="Cambria"/>
          <w:sz w:val="20"/>
          <w:szCs w:val="20"/>
          <w:lang w:val="es-ES"/>
        </w:rPr>
        <w:t>en adelante “</w:t>
      </w:r>
      <w:r w:rsidRPr="003B7960">
        <w:rPr>
          <w:rFonts w:ascii="Cambria" w:hAnsi="Cambria"/>
          <w:sz w:val="20"/>
          <w:szCs w:val="20"/>
          <w:lang w:val="es-ES"/>
        </w:rPr>
        <w:t>la</w:t>
      </w:r>
      <w:r w:rsidR="00067F9E" w:rsidRPr="003B7960">
        <w:rPr>
          <w:rFonts w:ascii="Cambria" w:hAnsi="Cambria"/>
          <w:sz w:val="20"/>
          <w:szCs w:val="20"/>
          <w:lang w:val="es-ES"/>
        </w:rPr>
        <w:t xml:space="preserve"> </w:t>
      </w:r>
      <w:r w:rsidRPr="003B7960">
        <w:rPr>
          <w:rFonts w:ascii="Cambria" w:hAnsi="Cambria"/>
          <w:sz w:val="20"/>
          <w:szCs w:val="20"/>
          <w:lang w:val="es-ES"/>
        </w:rPr>
        <w:t>Declaración Americana</w:t>
      </w:r>
      <w:r w:rsidR="00067F9E" w:rsidRPr="003B7960">
        <w:rPr>
          <w:rFonts w:ascii="Cambria" w:hAnsi="Cambria"/>
          <w:sz w:val="20"/>
          <w:szCs w:val="20"/>
          <w:lang w:val="es-ES"/>
        </w:rPr>
        <w:t xml:space="preserve">”). </w:t>
      </w:r>
      <w:r w:rsidRPr="003B7960">
        <w:rPr>
          <w:rFonts w:ascii="Cambria" w:hAnsi="Cambria"/>
          <w:color w:val="000000"/>
          <w:sz w:val="20"/>
          <w:szCs w:val="20"/>
          <w:lang w:val="es-ES"/>
        </w:rPr>
        <w:t>La Comisión formuló las recomendaciones correspondientes al Estado</w:t>
      </w:r>
      <w:r w:rsidR="00067F9E" w:rsidRPr="003B7960">
        <w:rPr>
          <w:rFonts w:ascii="Cambria" w:hAnsi="Cambria"/>
          <w:color w:val="000000"/>
          <w:sz w:val="20"/>
          <w:szCs w:val="20"/>
          <w:lang w:val="es-ES"/>
        </w:rPr>
        <w:t>.</w:t>
      </w:r>
    </w:p>
    <w:p w14:paraId="3AE1FFEC" w14:textId="77777777" w:rsidR="00180B78" w:rsidRPr="003B7960" w:rsidRDefault="00180B78" w:rsidP="00180B78">
      <w:pPr>
        <w:pStyle w:val="ListParagraph"/>
        <w:rPr>
          <w:rFonts w:ascii="Cambria" w:hAnsi="Cambria"/>
          <w:sz w:val="20"/>
          <w:szCs w:val="20"/>
          <w:lang w:val="es-ES"/>
        </w:rPr>
      </w:pPr>
    </w:p>
    <w:p w14:paraId="178DEDA1" w14:textId="77777777" w:rsidR="00180B78" w:rsidRPr="003B7960" w:rsidRDefault="00180B78" w:rsidP="00180B7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09D196CC" w14:textId="77777777" w:rsidR="00067F9E" w:rsidRPr="003B7960" w:rsidRDefault="00067F9E" w:rsidP="00101DC6">
      <w:pPr>
        <w:pStyle w:val="Heading1"/>
        <w:keepNext w:val="0"/>
        <w:keepLines w:val="0"/>
        <w:tabs>
          <w:tab w:val="clear" w:pos="1440"/>
          <w:tab w:val="left" w:pos="426"/>
        </w:tabs>
        <w:suppressAutoHyphens/>
        <w:ind w:left="0" w:firstLine="0"/>
        <w:jc w:val="left"/>
        <w:rPr>
          <w:lang w:val="es-ES"/>
        </w:rPr>
      </w:pPr>
      <w:bookmarkStart w:id="2" w:name="_Toc90557290"/>
      <w:r w:rsidRPr="003B7960">
        <w:rPr>
          <w:lang w:val="es-ES"/>
        </w:rPr>
        <w:t>POSI</w:t>
      </w:r>
      <w:r w:rsidR="00A332F5" w:rsidRPr="003B7960">
        <w:rPr>
          <w:lang w:val="es-ES"/>
        </w:rPr>
        <w:t>CIÓN DE LAS PARTES</w:t>
      </w:r>
      <w:bookmarkEnd w:id="2"/>
    </w:p>
    <w:p w14:paraId="4892D1E5" w14:textId="77777777" w:rsidR="00067F9E" w:rsidRPr="003B7960" w:rsidRDefault="00067F9E" w:rsidP="00101DC6">
      <w:pPr>
        <w:tabs>
          <w:tab w:val="left" w:pos="426"/>
        </w:tabs>
        <w:suppressAutoHyphens/>
        <w:rPr>
          <w:rFonts w:ascii="Cambria" w:hAnsi="Cambria"/>
          <w:b/>
          <w:sz w:val="20"/>
          <w:szCs w:val="20"/>
          <w:lang w:val="es-ES"/>
        </w:rPr>
      </w:pPr>
    </w:p>
    <w:p w14:paraId="438B2A77" w14:textId="2C7E0F21" w:rsidR="00067F9E" w:rsidRPr="003B7960" w:rsidRDefault="00170D77" w:rsidP="00101DC6">
      <w:pPr>
        <w:pStyle w:val="Heading2"/>
        <w:numPr>
          <w:ilvl w:val="0"/>
          <w:numId w:val="60"/>
        </w:numPr>
        <w:pBdr>
          <w:top w:val="nil"/>
          <w:left w:val="nil"/>
          <w:bottom w:val="nil"/>
          <w:right w:val="nil"/>
          <w:between w:val="nil"/>
          <w:bar w:val="nil"/>
        </w:pBdr>
        <w:tabs>
          <w:tab w:val="clear" w:pos="540"/>
          <w:tab w:val="left" w:pos="426"/>
        </w:tabs>
        <w:suppressAutoHyphens/>
        <w:ind w:left="0" w:firstLine="0"/>
        <w:jc w:val="left"/>
        <w:rPr>
          <w:lang w:val="es-ES"/>
        </w:rPr>
      </w:pPr>
      <w:bookmarkStart w:id="3" w:name="_Toc90557291"/>
      <w:r w:rsidRPr="003B7960">
        <w:rPr>
          <w:lang w:val="es-ES"/>
        </w:rPr>
        <w:t>Parte peticionaria</w:t>
      </w:r>
      <w:bookmarkEnd w:id="3"/>
    </w:p>
    <w:p w14:paraId="4CE8DCC3" w14:textId="77777777" w:rsidR="00067F9E" w:rsidRPr="003B7960" w:rsidRDefault="00067F9E" w:rsidP="00101DC6">
      <w:pPr>
        <w:tabs>
          <w:tab w:val="left" w:pos="426"/>
        </w:tabs>
        <w:suppressAutoHyphens/>
        <w:rPr>
          <w:rFonts w:ascii="Cambria" w:hAnsi="Cambria"/>
          <w:sz w:val="20"/>
          <w:szCs w:val="20"/>
          <w:lang w:val="es-ES"/>
        </w:rPr>
      </w:pPr>
    </w:p>
    <w:p w14:paraId="1C6A1443" w14:textId="132445D6" w:rsidR="00067F9E" w:rsidRPr="003B7960" w:rsidRDefault="00170D77"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color w:val="8496B0"/>
          <w:sz w:val="20"/>
          <w:szCs w:val="20"/>
          <w:lang w:val="es-ES"/>
        </w:rPr>
      </w:pPr>
      <w:r w:rsidRPr="003B7960">
        <w:rPr>
          <w:rFonts w:ascii="Cambria" w:hAnsi="Cambria"/>
          <w:color w:val="000000"/>
          <w:sz w:val="20"/>
          <w:szCs w:val="20"/>
          <w:lang w:val="es-ES"/>
        </w:rPr>
        <w:t xml:space="preserve">La parte peticionaria </w:t>
      </w:r>
      <w:r w:rsidRPr="003B7960">
        <w:rPr>
          <w:rFonts w:ascii="Cambria" w:hAnsi="Cambria"/>
          <w:sz w:val="20"/>
          <w:szCs w:val="20"/>
          <w:lang w:val="es-ES"/>
        </w:rPr>
        <w:t>alegó</w:t>
      </w:r>
      <w:r w:rsidR="00067F9E" w:rsidRPr="003B7960">
        <w:rPr>
          <w:rFonts w:ascii="Cambria" w:hAnsi="Cambria"/>
          <w:sz w:val="20"/>
          <w:szCs w:val="20"/>
          <w:lang w:val="es-ES"/>
        </w:rPr>
        <w:t xml:space="preserve"> </w:t>
      </w:r>
      <w:r w:rsidR="00BE1909" w:rsidRPr="003B7960">
        <w:rPr>
          <w:rFonts w:ascii="Cambria" w:hAnsi="Cambria"/>
          <w:sz w:val="20"/>
          <w:szCs w:val="20"/>
          <w:lang w:val="es-ES"/>
        </w:rPr>
        <w:t xml:space="preserve">que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BE1909" w:rsidRPr="003B7960">
        <w:rPr>
          <w:rFonts w:ascii="Cambria" w:hAnsi="Cambria"/>
          <w:sz w:val="20"/>
          <w:szCs w:val="20"/>
          <w:lang w:val="es-ES"/>
        </w:rPr>
        <w:t xml:space="preserve">repatrió por la fuerza a cubanos y haitianos que habían </w:t>
      </w:r>
      <w:r w:rsidR="00781310" w:rsidRPr="003B7960">
        <w:rPr>
          <w:rFonts w:ascii="Cambria" w:hAnsi="Cambria"/>
          <w:sz w:val="20"/>
          <w:szCs w:val="20"/>
          <w:lang w:val="es-ES"/>
        </w:rPr>
        <w:t xml:space="preserve">pedido </w:t>
      </w:r>
      <w:r w:rsidR="00C33F51" w:rsidRPr="003B7960">
        <w:rPr>
          <w:rFonts w:ascii="Cambria" w:hAnsi="Cambria"/>
          <w:sz w:val="20"/>
          <w:szCs w:val="20"/>
          <w:lang w:val="es-ES"/>
        </w:rPr>
        <w:t>asilo</w:t>
      </w:r>
      <w:r w:rsidR="00BE1909" w:rsidRPr="003B7960">
        <w:rPr>
          <w:rFonts w:ascii="Cambria" w:hAnsi="Cambria"/>
          <w:sz w:val="20"/>
          <w:szCs w:val="20"/>
          <w:lang w:val="es-ES"/>
        </w:rPr>
        <w:t xml:space="preserve"> sin ofrecerles una oportunidad válida para reclamar la condición de refugiados de conformidad con su sistema</w:t>
      </w:r>
      <w:r w:rsidR="00067F9E" w:rsidRPr="003B7960">
        <w:rPr>
          <w:rFonts w:ascii="Cambria" w:hAnsi="Cambria"/>
          <w:sz w:val="20"/>
          <w:szCs w:val="20"/>
          <w:lang w:val="es-ES"/>
        </w:rPr>
        <w:t xml:space="preserve"> </w:t>
      </w:r>
      <w:r w:rsidR="00295037" w:rsidRPr="003B7960">
        <w:rPr>
          <w:rFonts w:ascii="Cambria" w:hAnsi="Cambria"/>
          <w:sz w:val="20"/>
          <w:szCs w:val="20"/>
          <w:lang w:val="es-ES"/>
        </w:rPr>
        <w:t>ad hoc</w:t>
      </w:r>
      <w:r w:rsidR="00067F9E" w:rsidRPr="003B7960">
        <w:rPr>
          <w:rFonts w:ascii="Cambria" w:hAnsi="Cambria"/>
          <w:sz w:val="20"/>
          <w:szCs w:val="20"/>
          <w:lang w:val="es-ES"/>
        </w:rPr>
        <w:t xml:space="preserve"> </w:t>
      </w:r>
      <w:r w:rsidR="00BE1909" w:rsidRPr="003B7960">
        <w:rPr>
          <w:rFonts w:ascii="Cambria" w:hAnsi="Cambria"/>
          <w:sz w:val="20"/>
          <w:szCs w:val="20"/>
          <w:lang w:val="es-ES"/>
        </w:rPr>
        <w:t xml:space="preserve">para </w:t>
      </w:r>
      <w:r w:rsidR="00334878" w:rsidRPr="003B7960">
        <w:rPr>
          <w:rFonts w:ascii="Cambria" w:hAnsi="Cambria"/>
          <w:sz w:val="20"/>
          <w:szCs w:val="20"/>
          <w:lang w:val="es-ES"/>
        </w:rPr>
        <w:t>tramitar tales solicitudes</w:t>
      </w:r>
      <w:r w:rsidR="00BE1909" w:rsidRPr="003B7960">
        <w:rPr>
          <w:rFonts w:ascii="Cambria" w:hAnsi="Cambria"/>
          <w:sz w:val="20"/>
          <w:szCs w:val="20"/>
          <w:lang w:val="es-ES"/>
        </w:rPr>
        <w:t>, de manera tal que violó su derecho a pedir y recibir asilo. Asimismo, argumentaron que el sistema</w:t>
      </w:r>
      <w:r w:rsidR="00067F9E" w:rsidRPr="003B7960">
        <w:rPr>
          <w:rFonts w:ascii="Cambria" w:hAnsi="Cambria"/>
          <w:sz w:val="20"/>
          <w:szCs w:val="20"/>
          <w:lang w:val="es-ES"/>
        </w:rPr>
        <w:t xml:space="preserve">, </w:t>
      </w:r>
      <w:r w:rsidR="00BE1909" w:rsidRPr="003B7960">
        <w:rPr>
          <w:rFonts w:ascii="Cambria" w:hAnsi="Cambria"/>
          <w:sz w:val="20"/>
          <w:szCs w:val="20"/>
          <w:lang w:val="es-ES"/>
        </w:rPr>
        <w:t>al negar varias garantías</w:t>
      </w:r>
      <w:r w:rsidR="00067F9E" w:rsidRPr="003B7960">
        <w:rPr>
          <w:rFonts w:ascii="Cambria" w:hAnsi="Cambria"/>
          <w:sz w:val="20"/>
          <w:szCs w:val="20"/>
          <w:lang w:val="es-ES"/>
        </w:rPr>
        <w:t xml:space="preserve"> proce</w:t>
      </w:r>
      <w:r w:rsidR="00BE1909" w:rsidRPr="003B7960">
        <w:rPr>
          <w:rFonts w:ascii="Cambria" w:hAnsi="Cambria"/>
          <w:sz w:val="20"/>
          <w:szCs w:val="20"/>
          <w:lang w:val="es-ES"/>
        </w:rPr>
        <w:t xml:space="preserve">sales y en virtud de su índole </w:t>
      </w:r>
      <w:r w:rsidR="00295037" w:rsidRPr="003B7960">
        <w:rPr>
          <w:rFonts w:ascii="Cambria" w:hAnsi="Cambria"/>
          <w:sz w:val="20"/>
          <w:szCs w:val="20"/>
          <w:lang w:val="es-ES"/>
        </w:rPr>
        <w:t>ad hoc</w:t>
      </w:r>
      <w:r w:rsidR="00BE1909" w:rsidRPr="003B7960">
        <w:rPr>
          <w:rFonts w:ascii="Cambria" w:hAnsi="Cambria"/>
          <w:sz w:val="20"/>
          <w:szCs w:val="20"/>
          <w:lang w:val="es-ES"/>
        </w:rPr>
        <w:t>, no ofrece las garantías del debido proceso relacionadas con el derecho a un juicio imparcial</w:t>
      </w:r>
      <w:r w:rsidR="00067F9E" w:rsidRPr="003B7960">
        <w:rPr>
          <w:rFonts w:ascii="Cambria" w:hAnsi="Cambria"/>
          <w:sz w:val="20"/>
          <w:szCs w:val="20"/>
          <w:lang w:val="es-ES"/>
        </w:rPr>
        <w:t xml:space="preserve">. </w:t>
      </w:r>
      <w:r w:rsidR="00BE1909" w:rsidRPr="003B7960">
        <w:rPr>
          <w:rFonts w:ascii="Cambria" w:hAnsi="Cambria"/>
          <w:sz w:val="20"/>
          <w:szCs w:val="20"/>
          <w:lang w:val="es-ES"/>
        </w:rPr>
        <w:t xml:space="preserve">Por lo tanto, </w:t>
      </w:r>
      <w:r w:rsidR="00C56C8A" w:rsidRPr="003B7960">
        <w:rPr>
          <w:rFonts w:ascii="Cambria" w:hAnsi="Cambria"/>
          <w:sz w:val="20"/>
          <w:szCs w:val="20"/>
          <w:lang w:val="es-ES"/>
        </w:rPr>
        <w:t xml:space="preserve">sostuvieron que la falta de leyes o normas relativas a la determinación de la </w:t>
      </w:r>
      <w:r w:rsidR="00BE1909" w:rsidRPr="003B7960">
        <w:rPr>
          <w:rFonts w:ascii="Cambria" w:hAnsi="Cambria"/>
          <w:sz w:val="20"/>
          <w:szCs w:val="20"/>
          <w:lang w:val="es-ES"/>
        </w:rPr>
        <w:t>condición de refugiado</w:t>
      </w:r>
      <w:r w:rsidR="00067F9E" w:rsidRPr="003B7960">
        <w:rPr>
          <w:rFonts w:ascii="Cambria" w:hAnsi="Cambria"/>
          <w:sz w:val="20"/>
          <w:szCs w:val="20"/>
          <w:lang w:val="es-ES"/>
        </w:rPr>
        <w:t xml:space="preserve"> </w:t>
      </w:r>
      <w:r w:rsidR="00C56C8A" w:rsidRPr="003B7960">
        <w:rPr>
          <w:rFonts w:ascii="Cambria" w:hAnsi="Cambria"/>
          <w:sz w:val="20"/>
          <w:szCs w:val="20"/>
          <w:lang w:val="es-ES"/>
        </w:rPr>
        <w:t>en este sistema socava su transparencia</w:t>
      </w:r>
      <w:r w:rsidR="00067F9E" w:rsidRPr="003B7960">
        <w:rPr>
          <w:rFonts w:ascii="Cambria" w:hAnsi="Cambria"/>
          <w:sz w:val="20"/>
          <w:szCs w:val="20"/>
          <w:lang w:val="es-ES"/>
        </w:rPr>
        <w:t xml:space="preserve"> </w:t>
      </w:r>
      <w:r w:rsidR="00C56C8A" w:rsidRPr="003B7960">
        <w:rPr>
          <w:rFonts w:ascii="Cambria" w:hAnsi="Cambria"/>
          <w:sz w:val="20"/>
          <w:szCs w:val="20"/>
          <w:lang w:val="es-ES"/>
        </w:rPr>
        <w:t>e imparcialidad</w:t>
      </w:r>
      <w:r w:rsidR="00067F9E" w:rsidRPr="003B7960">
        <w:rPr>
          <w:rFonts w:ascii="Cambria" w:hAnsi="Cambria"/>
          <w:sz w:val="20"/>
          <w:szCs w:val="20"/>
          <w:lang w:val="es-ES"/>
        </w:rPr>
        <w:t xml:space="preserve">. </w:t>
      </w:r>
    </w:p>
    <w:p w14:paraId="2C9805A3"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b/>
          <w:color w:val="8496B0"/>
          <w:sz w:val="20"/>
          <w:szCs w:val="20"/>
          <w:lang w:val="es-ES"/>
        </w:rPr>
      </w:pPr>
    </w:p>
    <w:p w14:paraId="5F1D1A00" w14:textId="50A64150" w:rsidR="00067F9E" w:rsidRPr="003B7960" w:rsidRDefault="00C56C8A"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color w:val="8496B0"/>
          <w:sz w:val="20"/>
          <w:szCs w:val="20"/>
          <w:lang w:val="es-ES"/>
        </w:rPr>
      </w:pPr>
      <w:r w:rsidRPr="003B7960">
        <w:rPr>
          <w:rFonts w:ascii="Cambria" w:hAnsi="Cambria"/>
          <w:sz w:val="20"/>
          <w:szCs w:val="20"/>
          <w:lang w:val="es-ES"/>
        </w:rPr>
        <w:t xml:space="preserve">Además, </w:t>
      </w:r>
      <w:r w:rsidR="00170D77" w:rsidRPr="003B7960">
        <w:rPr>
          <w:rFonts w:ascii="Cambria" w:hAnsi="Cambria"/>
          <w:color w:val="000000"/>
          <w:sz w:val="20"/>
          <w:szCs w:val="20"/>
          <w:lang w:val="es-ES"/>
        </w:rPr>
        <w:t xml:space="preserve">la parte peticionaria </w:t>
      </w:r>
      <w:r w:rsidR="00170D77" w:rsidRPr="003B7960">
        <w:rPr>
          <w:rFonts w:ascii="Cambria" w:hAnsi="Cambria"/>
          <w:sz w:val="20"/>
          <w:szCs w:val="20"/>
          <w:lang w:val="es-ES"/>
        </w:rPr>
        <w:t>cuestionó</w:t>
      </w:r>
      <w:r w:rsidRPr="003B7960">
        <w:rPr>
          <w:rFonts w:ascii="Cambria" w:hAnsi="Cambria"/>
          <w:sz w:val="20"/>
          <w:szCs w:val="20"/>
          <w:lang w:val="es-ES"/>
        </w:rPr>
        <w:t xml:space="preserve"> la explicación dada por </w:t>
      </w:r>
      <w:r w:rsidR="00A332F5" w:rsidRPr="003B7960">
        <w:rPr>
          <w:rFonts w:ascii="Cambria" w:hAnsi="Cambria"/>
          <w:sz w:val="20"/>
          <w:szCs w:val="20"/>
          <w:lang w:val="es-ES"/>
        </w:rPr>
        <w:t>el Estado</w:t>
      </w:r>
      <w:r w:rsidRPr="003B7960">
        <w:rPr>
          <w:rFonts w:ascii="Cambria" w:hAnsi="Cambria"/>
          <w:sz w:val="20"/>
          <w:szCs w:val="20"/>
          <w:lang w:val="es-ES"/>
        </w:rPr>
        <w:t xml:space="preserve"> de</w:t>
      </w:r>
      <w:r w:rsidR="00781310" w:rsidRPr="003B7960">
        <w:rPr>
          <w:rFonts w:ascii="Cambria" w:hAnsi="Cambria"/>
          <w:sz w:val="20"/>
          <w:szCs w:val="20"/>
          <w:lang w:val="es-ES"/>
        </w:rPr>
        <w:t>l</w:t>
      </w:r>
      <w:r w:rsidRPr="003B7960">
        <w:rPr>
          <w:rFonts w:ascii="Cambria" w:hAnsi="Cambria"/>
          <w:sz w:val="20"/>
          <w:szCs w:val="20"/>
          <w:lang w:val="es-ES"/>
        </w:rPr>
        <w:t xml:space="preserve"> sistema de asilo, </w:t>
      </w:r>
      <w:r w:rsidR="00784B49" w:rsidRPr="003B7960">
        <w:rPr>
          <w:rFonts w:ascii="Cambria" w:hAnsi="Cambria"/>
          <w:sz w:val="20"/>
          <w:szCs w:val="20"/>
          <w:lang w:val="es-ES"/>
        </w:rPr>
        <w:t xml:space="preserve">en particular la </w:t>
      </w:r>
      <w:r w:rsidR="00067F9E" w:rsidRPr="003B7960">
        <w:rPr>
          <w:rFonts w:ascii="Cambria" w:hAnsi="Cambria"/>
          <w:sz w:val="20"/>
          <w:szCs w:val="20"/>
          <w:lang w:val="es-ES"/>
        </w:rPr>
        <w:t>accesibili</w:t>
      </w:r>
      <w:r w:rsidRPr="003B7960">
        <w:rPr>
          <w:rFonts w:ascii="Cambria" w:hAnsi="Cambria"/>
          <w:sz w:val="20"/>
          <w:szCs w:val="20"/>
          <w:lang w:val="es-ES"/>
        </w:rPr>
        <w:t>dad,</w:t>
      </w:r>
      <w:r w:rsidR="00067F9E" w:rsidRPr="003B7960">
        <w:rPr>
          <w:rFonts w:ascii="Cambria" w:hAnsi="Cambria"/>
          <w:sz w:val="20"/>
          <w:szCs w:val="20"/>
          <w:lang w:val="es-ES"/>
        </w:rPr>
        <w:t xml:space="preserve"> </w:t>
      </w:r>
      <w:r w:rsidR="00784B49" w:rsidRPr="003B7960">
        <w:rPr>
          <w:rFonts w:ascii="Cambria" w:hAnsi="Cambria"/>
          <w:sz w:val="20"/>
          <w:szCs w:val="20"/>
          <w:lang w:val="es-ES"/>
        </w:rPr>
        <w:t xml:space="preserve">la </w:t>
      </w:r>
      <w:r w:rsidR="00067F9E" w:rsidRPr="003B7960">
        <w:rPr>
          <w:rFonts w:ascii="Cambria" w:hAnsi="Cambria"/>
          <w:sz w:val="20"/>
          <w:szCs w:val="20"/>
          <w:lang w:val="es-ES"/>
        </w:rPr>
        <w:t>confiden</w:t>
      </w:r>
      <w:r w:rsidRPr="003B7960">
        <w:rPr>
          <w:rFonts w:ascii="Cambria" w:hAnsi="Cambria"/>
          <w:sz w:val="20"/>
          <w:szCs w:val="20"/>
          <w:lang w:val="es-ES"/>
        </w:rPr>
        <w:t>c</w:t>
      </w:r>
      <w:r w:rsidR="00067F9E" w:rsidRPr="003B7960">
        <w:rPr>
          <w:rFonts w:ascii="Cambria" w:hAnsi="Cambria"/>
          <w:sz w:val="20"/>
          <w:szCs w:val="20"/>
          <w:lang w:val="es-ES"/>
        </w:rPr>
        <w:t>iali</w:t>
      </w:r>
      <w:r w:rsidRPr="003B7960">
        <w:rPr>
          <w:rFonts w:ascii="Cambria" w:hAnsi="Cambria"/>
          <w:sz w:val="20"/>
          <w:szCs w:val="20"/>
          <w:lang w:val="es-ES"/>
        </w:rPr>
        <w:t>dad</w:t>
      </w:r>
      <w:r w:rsidR="00067F9E" w:rsidRPr="003B7960">
        <w:rPr>
          <w:rFonts w:ascii="Cambria" w:hAnsi="Cambria"/>
          <w:sz w:val="20"/>
          <w:szCs w:val="20"/>
          <w:lang w:val="es-ES"/>
        </w:rPr>
        <w:t xml:space="preserve">, </w:t>
      </w:r>
      <w:r w:rsidR="00784B49" w:rsidRPr="003B7960">
        <w:rPr>
          <w:rFonts w:ascii="Cambria" w:hAnsi="Cambria"/>
          <w:sz w:val="20"/>
          <w:szCs w:val="20"/>
          <w:lang w:val="es-ES"/>
        </w:rPr>
        <w:t xml:space="preserve">el uso de cuestionarios, las entrevistas, la </w:t>
      </w:r>
      <w:r w:rsidRPr="003B7960">
        <w:rPr>
          <w:rFonts w:ascii="Cambria" w:hAnsi="Cambria"/>
          <w:sz w:val="20"/>
          <w:szCs w:val="20"/>
          <w:lang w:val="es-ES"/>
        </w:rPr>
        <w:t>transparencia</w:t>
      </w:r>
      <w:r w:rsidR="00784B49" w:rsidRPr="003B7960">
        <w:rPr>
          <w:rFonts w:ascii="Cambria" w:hAnsi="Cambria"/>
          <w:sz w:val="20"/>
          <w:szCs w:val="20"/>
          <w:lang w:val="es-ES"/>
        </w:rPr>
        <w:t xml:space="preserve"> y la calidad de las determinaciones. En ese sentido, afirmaron que no se informa a los</w:t>
      </w:r>
      <w:r w:rsidR="00067F9E" w:rsidRPr="003B7960">
        <w:rPr>
          <w:rFonts w:ascii="Cambria" w:hAnsi="Cambria"/>
          <w:sz w:val="20"/>
          <w:szCs w:val="20"/>
          <w:lang w:val="es-ES"/>
        </w:rPr>
        <w:t xml:space="preserve"> </w:t>
      </w:r>
      <w:r w:rsidR="00C33F51"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00784B49" w:rsidRPr="003B7960">
        <w:rPr>
          <w:rFonts w:ascii="Cambria" w:hAnsi="Cambria"/>
          <w:sz w:val="20"/>
          <w:szCs w:val="20"/>
          <w:lang w:val="es-ES"/>
        </w:rPr>
        <w:t xml:space="preserve">sobre su derecho a </w:t>
      </w:r>
      <w:r w:rsidR="00781310" w:rsidRPr="003B7960">
        <w:rPr>
          <w:rFonts w:ascii="Cambria" w:hAnsi="Cambria"/>
          <w:sz w:val="20"/>
          <w:szCs w:val="20"/>
          <w:lang w:val="es-ES"/>
        </w:rPr>
        <w:t xml:space="preserve">pedir </w:t>
      </w:r>
      <w:r w:rsidR="00784B49" w:rsidRPr="003B7960">
        <w:rPr>
          <w:rFonts w:ascii="Cambria" w:hAnsi="Cambria"/>
          <w:sz w:val="20"/>
          <w:szCs w:val="20"/>
          <w:lang w:val="es-ES"/>
        </w:rPr>
        <w:t xml:space="preserve">asilo y que se toman determinaciones usando mecanismos inadecuados. Por consiguiente, argumentaron que, como la decisión del Gabinete es definitiva, el sistema no posibilita una revisión </w:t>
      </w:r>
      <w:r w:rsidR="00067F9E" w:rsidRPr="003B7960">
        <w:rPr>
          <w:rFonts w:ascii="Cambria" w:hAnsi="Cambria"/>
          <w:sz w:val="20"/>
          <w:szCs w:val="20"/>
          <w:lang w:val="es-ES"/>
        </w:rPr>
        <w:t xml:space="preserve">judicial </w:t>
      </w:r>
      <w:r w:rsidR="00784B49" w:rsidRPr="003B7960">
        <w:rPr>
          <w:rFonts w:ascii="Cambria" w:hAnsi="Cambria"/>
          <w:sz w:val="20"/>
          <w:szCs w:val="20"/>
          <w:lang w:val="es-ES"/>
        </w:rPr>
        <w:t xml:space="preserve">del proceso o de las determinaciones tomadas ni otorga el derecho a considerar pruebas nuevas. Además, </w:t>
      </w:r>
      <w:r w:rsidR="00170D77" w:rsidRPr="003B7960">
        <w:rPr>
          <w:rFonts w:ascii="Cambria" w:hAnsi="Cambria"/>
          <w:sz w:val="20"/>
          <w:szCs w:val="20"/>
          <w:lang w:val="es-ES"/>
        </w:rPr>
        <w:t>la parte peticionaria</w:t>
      </w:r>
      <w:r w:rsidR="00067F9E" w:rsidRPr="003B7960">
        <w:rPr>
          <w:rFonts w:ascii="Cambria" w:hAnsi="Cambria"/>
          <w:sz w:val="20"/>
          <w:szCs w:val="20"/>
          <w:lang w:val="es-ES"/>
        </w:rPr>
        <w:t xml:space="preserve"> </w:t>
      </w:r>
      <w:r w:rsidR="00170D77" w:rsidRPr="003B7960">
        <w:rPr>
          <w:rFonts w:ascii="Cambria" w:hAnsi="Cambria"/>
          <w:sz w:val="20"/>
          <w:szCs w:val="20"/>
          <w:lang w:val="es-ES"/>
        </w:rPr>
        <w:t xml:space="preserve">afirmó </w:t>
      </w:r>
      <w:r w:rsidR="00784B49" w:rsidRPr="003B7960">
        <w:rPr>
          <w:rFonts w:ascii="Cambria" w:hAnsi="Cambria"/>
          <w:sz w:val="20"/>
          <w:szCs w:val="20"/>
          <w:lang w:val="es-ES"/>
        </w:rPr>
        <w:t xml:space="preserve">que no se proporciona asistencia letrada o asesoramiento jurídico a los </w:t>
      </w:r>
      <w:r w:rsidR="00C33F51"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00784B49" w:rsidRPr="003B7960">
        <w:rPr>
          <w:rFonts w:ascii="Cambria" w:hAnsi="Cambria"/>
          <w:sz w:val="20"/>
          <w:szCs w:val="20"/>
          <w:lang w:val="es-ES"/>
        </w:rPr>
        <w:t xml:space="preserve">debido a que solamente los abogados bahameses pueden ejercer la profesión en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784B49" w:rsidRPr="003B7960">
        <w:rPr>
          <w:rFonts w:ascii="Cambria" w:hAnsi="Cambria"/>
          <w:sz w:val="20"/>
          <w:szCs w:val="20"/>
          <w:lang w:val="es-ES"/>
        </w:rPr>
        <w:t xml:space="preserve">pero ninguno de ellos se especializa en </w:t>
      </w:r>
      <w:r w:rsidR="0007098C" w:rsidRPr="003B7960">
        <w:rPr>
          <w:rFonts w:ascii="Cambria" w:hAnsi="Cambria"/>
          <w:sz w:val="20"/>
          <w:szCs w:val="20"/>
          <w:lang w:val="es-ES"/>
        </w:rPr>
        <w:t>inmigración</w:t>
      </w:r>
      <w:r w:rsidR="00067F9E" w:rsidRPr="003B7960">
        <w:rPr>
          <w:rFonts w:ascii="Cambria" w:hAnsi="Cambria"/>
          <w:sz w:val="20"/>
          <w:szCs w:val="20"/>
          <w:lang w:val="es-ES"/>
        </w:rPr>
        <w:t xml:space="preserve">. </w:t>
      </w:r>
      <w:r w:rsidR="00170D77" w:rsidRPr="003B7960">
        <w:rPr>
          <w:rFonts w:ascii="Cambria" w:hAnsi="Cambria"/>
          <w:color w:val="000000"/>
          <w:sz w:val="20"/>
          <w:szCs w:val="20"/>
          <w:lang w:val="es-ES"/>
        </w:rPr>
        <w:t xml:space="preserve">La parte peticionaria </w:t>
      </w:r>
      <w:r w:rsidR="00067F9E" w:rsidRPr="003B7960">
        <w:rPr>
          <w:rFonts w:ascii="Cambria" w:hAnsi="Cambria"/>
          <w:sz w:val="20"/>
          <w:szCs w:val="20"/>
          <w:lang w:val="es-ES"/>
        </w:rPr>
        <w:t>argu</w:t>
      </w:r>
      <w:r w:rsidR="00170D77" w:rsidRPr="003B7960">
        <w:rPr>
          <w:rFonts w:ascii="Cambria" w:hAnsi="Cambria"/>
          <w:sz w:val="20"/>
          <w:szCs w:val="20"/>
          <w:lang w:val="es-ES"/>
        </w:rPr>
        <w:t>mentó</w:t>
      </w:r>
      <w:r w:rsidR="00784B49" w:rsidRPr="003B7960">
        <w:rPr>
          <w:rFonts w:ascii="Cambria" w:hAnsi="Cambria"/>
          <w:sz w:val="20"/>
          <w:szCs w:val="20"/>
          <w:lang w:val="es-ES"/>
        </w:rPr>
        <w:t xml:space="preserve"> que, de esta forma, el sistema</w:t>
      </w:r>
      <w:r w:rsidR="00067F9E" w:rsidRPr="003B7960">
        <w:rPr>
          <w:rFonts w:ascii="Cambria" w:hAnsi="Cambria"/>
          <w:sz w:val="20"/>
          <w:szCs w:val="20"/>
          <w:lang w:val="es-ES"/>
        </w:rPr>
        <w:t xml:space="preserve"> </w:t>
      </w:r>
      <w:r w:rsidR="00784B49" w:rsidRPr="003B7960">
        <w:rPr>
          <w:rFonts w:ascii="Cambria" w:hAnsi="Cambria"/>
          <w:sz w:val="20"/>
          <w:szCs w:val="20"/>
          <w:lang w:val="es-ES"/>
        </w:rPr>
        <w:t>no ofrece una oportunidad válida</w:t>
      </w:r>
      <w:r w:rsidR="00067F9E" w:rsidRPr="003B7960">
        <w:rPr>
          <w:rFonts w:ascii="Cambria" w:hAnsi="Cambria"/>
          <w:sz w:val="20"/>
          <w:szCs w:val="20"/>
          <w:lang w:val="es-ES"/>
        </w:rPr>
        <w:t xml:space="preserve"> </w:t>
      </w:r>
      <w:r w:rsidR="00784B49" w:rsidRPr="003B7960">
        <w:rPr>
          <w:rFonts w:ascii="Cambria" w:hAnsi="Cambria"/>
          <w:sz w:val="20"/>
          <w:szCs w:val="20"/>
          <w:lang w:val="es-ES"/>
        </w:rPr>
        <w:t xml:space="preserve">para reclamar la </w:t>
      </w:r>
      <w:r w:rsidR="00BE1909" w:rsidRPr="003B7960">
        <w:rPr>
          <w:rFonts w:ascii="Cambria" w:hAnsi="Cambria"/>
          <w:sz w:val="20"/>
          <w:szCs w:val="20"/>
          <w:lang w:val="es-ES"/>
        </w:rPr>
        <w:t>condición de refugiado</w:t>
      </w:r>
      <w:r w:rsidR="00067F9E" w:rsidRPr="003B7960">
        <w:rPr>
          <w:rFonts w:ascii="Cambria" w:hAnsi="Cambria"/>
          <w:sz w:val="20"/>
          <w:szCs w:val="20"/>
          <w:lang w:val="es-ES"/>
        </w:rPr>
        <w:t xml:space="preserve">. </w:t>
      </w:r>
    </w:p>
    <w:p w14:paraId="7A7B5F64"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b/>
          <w:color w:val="8496B0"/>
          <w:sz w:val="20"/>
          <w:szCs w:val="20"/>
          <w:lang w:val="es-ES"/>
        </w:rPr>
      </w:pPr>
    </w:p>
    <w:p w14:paraId="6A078705" w14:textId="7136196D" w:rsidR="00067F9E" w:rsidRPr="003B7960" w:rsidRDefault="00170D77"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color w:val="8496B0"/>
          <w:sz w:val="20"/>
          <w:szCs w:val="20"/>
          <w:lang w:val="es-ES"/>
        </w:rPr>
      </w:pPr>
      <w:r w:rsidRPr="003B7960">
        <w:rPr>
          <w:rFonts w:ascii="Cambria" w:hAnsi="Cambria"/>
          <w:color w:val="000000"/>
          <w:sz w:val="20"/>
          <w:szCs w:val="20"/>
          <w:lang w:val="es-ES"/>
        </w:rPr>
        <w:t xml:space="preserve">La parte peticionaria </w:t>
      </w:r>
      <w:r w:rsidRPr="003B7960">
        <w:rPr>
          <w:rFonts w:ascii="Cambria" w:hAnsi="Cambria"/>
          <w:sz w:val="20"/>
          <w:szCs w:val="20"/>
          <w:lang w:val="es-ES"/>
        </w:rPr>
        <w:t>afirmó</w:t>
      </w:r>
      <w:r w:rsidR="00784B49" w:rsidRPr="003B7960">
        <w:rPr>
          <w:rFonts w:ascii="Cambria" w:hAnsi="Cambria"/>
          <w:sz w:val="20"/>
          <w:szCs w:val="20"/>
          <w:lang w:val="es-ES"/>
        </w:rPr>
        <w:t xml:space="preserve"> que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viol</w:t>
      </w:r>
      <w:r w:rsidR="00784B49" w:rsidRPr="003B7960">
        <w:rPr>
          <w:rFonts w:ascii="Cambria" w:hAnsi="Cambria"/>
          <w:sz w:val="20"/>
          <w:szCs w:val="20"/>
          <w:lang w:val="es-ES"/>
        </w:rPr>
        <w:t xml:space="preserve">ó </w:t>
      </w:r>
      <w:r w:rsidR="00B823AF" w:rsidRPr="003B7960">
        <w:rPr>
          <w:rFonts w:ascii="Cambria" w:hAnsi="Cambria"/>
          <w:sz w:val="20"/>
          <w:szCs w:val="20"/>
          <w:lang w:val="es-ES"/>
        </w:rPr>
        <w:t xml:space="preserve">el derecho de </w:t>
      </w:r>
      <w:r w:rsidR="00B9011F" w:rsidRPr="003B7960">
        <w:rPr>
          <w:rFonts w:ascii="Cambria" w:hAnsi="Cambria"/>
          <w:b/>
          <w:sz w:val="20"/>
          <w:szCs w:val="20"/>
          <w:lang w:val="es-ES"/>
        </w:rPr>
        <w:t>igualdad ante la ley</w:t>
      </w:r>
      <w:r w:rsidR="00067F9E" w:rsidRPr="003B7960">
        <w:rPr>
          <w:rFonts w:ascii="Cambria" w:hAnsi="Cambria"/>
          <w:sz w:val="20"/>
          <w:szCs w:val="20"/>
          <w:lang w:val="es-ES"/>
        </w:rPr>
        <w:t xml:space="preserve">. </w:t>
      </w:r>
      <w:r w:rsidR="00141084" w:rsidRPr="003B7960">
        <w:rPr>
          <w:rFonts w:ascii="Cambria" w:hAnsi="Cambria"/>
          <w:sz w:val="20"/>
          <w:szCs w:val="20"/>
          <w:lang w:val="es-ES"/>
        </w:rPr>
        <w:t xml:space="preserve">Alegaron que a los haitianos que </w:t>
      </w:r>
      <w:r w:rsidR="00781310" w:rsidRPr="003B7960">
        <w:rPr>
          <w:rFonts w:ascii="Cambria" w:hAnsi="Cambria"/>
          <w:sz w:val="20"/>
          <w:szCs w:val="20"/>
          <w:lang w:val="es-ES"/>
        </w:rPr>
        <w:t xml:space="preserve">piden </w:t>
      </w:r>
      <w:r w:rsidR="00C33F51" w:rsidRPr="003B7960">
        <w:rPr>
          <w:rFonts w:ascii="Cambria" w:hAnsi="Cambria"/>
          <w:sz w:val="20"/>
          <w:szCs w:val="20"/>
          <w:lang w:val="es-ES"/>
        </w:rPr>
        <w:t>asilo</w:t>
      </w:r>
      <w:r w:rsidR="00067F9E" w:rsidRPr="003B7960">
        <w:rPr>
          <w:rFonts w:ascii="Cambria" w:hAnsi="Cambria"/>
          <w:sz w:val="20"/>
          <w:szCs w:val="20"/>
          <w:lang w:val="es-ES"/>
        </w:rPr>
        <w:t xml:space="preserve"> </w:t>
      </w:r>
      <w:r w:rsidR="00141084" w:rsidRPr="003B7960">
        <w:rPr>
          <w:rFonts w:ascii="Cambria" w:hAnsi="Cambria"/>
          <w:sz w:val="20"/>
          <w:szCs w:val="20"/>
          <w:lang w:val="es-ES"/>
        </w:rPr>
        <w:t>se les niega regularmente el acces</w:t>
      </w:r>
      <w:r w:rsidR="00D32142" w:rsidRPr="003B7960">
        <w:rPr>
          <w:rFonts w:ascii="Cambria" w:hAnsi="Cambria"/>
          <w:sz w:val="20"/>
          <w:szCs w:val="20"/>
          <w:lang w:val="es-ES"/>
        </w:rPr>
        <w:t xml:space="preserve">o al sistema de asilo porque se asumen </w:t>
      </w:r>
      <w:r w:rsidR="00141084" w:rsidRPr="003B7960">
        <w:rPr>
          <w:rFonts w:ascii="Cambria" w:hAnsi="Cambria"/>
          <w:sz w:val="20"/>
          <w:szCs w:val="20"/>
          <w:lang w:val="es-ES"/>
        </w:rPr>
        <w:t xml:space="preserve">que son migrantes económicos y que se aplican normas diferentes a los </w:t>
      </w:r>
      <w:r w:rsidR="002A42AA" w:rsidRPr="003B7960">
        <w:rPr>
          <w:rFonts w:ascii="Cambria" w:hAnsi="Cambria"/>
          <w:sz w:val="20"/>
          <w:szCs w:val="20"/>
          <w:lang w:val="es-ES"/>
        </w:rPr>
        <w:t>detenidos haitianos y cubanos</w:t>
      </w:r>
      <w:r w:rsidR="00067F9E" w:rsidRPr="003B7960">
        <w:rPr>
          <w:rFonts w:ascii="Cambria" w:hAnsi="Cambria"/>
          <w:sz w:val="20"/>
          <w:szCs w:val="20"/>
          <w:lang w:val="es-ES"/>
        </w:rPr>
        <w:t>.</w:t>
      </w:r>
    </w:p>
    <w:p w14:paraId="3DD3C939" w14:textId="77777777" w:rsidR="00067F9E" w:rsidRPr="003B7960" w:rsidRDefault="00067F9E" w:rsidP="00101DC6">
      <w:pPr>
        <w:tabs>
          <w:tab w:val="left" w:pos="426"/>
        </w:tabs>
        <w:rPr>
          <w:rFonts w:ascii="Cambria" w:hAnsi="Cambria"/>
          <w:sz w:val="20"/>
          <w:szCs w:val="20"/>
          <w:lang w:val="es-ES"/>
        </w:rPr>
      </w:pPr>
    </w:p>
    <w:p w14:paraId="00DB5399" w14:textId="76417ABB" w:rsidR="00067F9E" w:rsidRPr="003B7960" w:rsidRDefault="00170D77"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color w:val="8496B0"/>
          <w:sz w:val="20"/>
          <w:szCs w:val="20"/>
          <w:lang w:val="es-ES"/>
        </w:rPr>
      </w:pPr>
      <w:r w:rsidRPr="003B7960">
        <w:rPr>
          <w:rFonts w:ascii="Cambria" w:hAnsi="Cambria"/>
          <w:color w:val="000000"/>
          <w:sz w:val="20"/>
          <w:szCs w:val="20"/>
          <w:lang w:val="es-ES"/>
        </w:rPr>
        <w:t>La parte peticionaria</w:t>
      </w:r>
      <w:r w:rsidRPr="003B7960">
        <w:rPr>
          <w:rFonts w:ascii="Cambria" w:hAnsi="Cambria"/>
          <w:sz w:val="20"/>
          <w:szCs w:val="20"/>
          <w:lang w:val="es-ES"/>
        </w:rPr>
        <w:t xml:space="preserve"> señaló</w:t>
      </w:r>
      <w:r w:rsidR="007B6078" w:rsidRPr="003B7960">
        <w:rPr>
          <w:rFonts w:ascii="Cambria" w:hAnsi="Cambria"/>
          <w:sz w:val="20"/>
          <w:szCs w:val="20"/>
          <w:lang w:val="es-ES"/>
        </w:rPr>
        <w:t xml:space="preserve"> que</w:t>
      </w:r>
      <w:r w:rsidR="00067F9E" w:rsidRPr="003B7960">
        <w:rPr>
          <w:rFonts w:ascii="Cambria" w:hAnsi="Cambria"/>
          <w:sz w:val="20"/>
          <w:szCs w:val="20"/>
          <w:lang w:val="es-ES"/>
        </w:rPr>
        <w:t xml:space="preserv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viol</w:t>
      </w:r>
      <w:r w:rsidR="007B6078" w:rsidRPr="003B7960">
        <w:rPr>
          <w:rFonts w:ascii="Cambria" w:hAnsi="Cambria"/>
          <w:sz w:val="20"/>
          <w:szCs w:val="20"/>
          <w:lang w:val="es-ES"/>
        </w:rPr>
        <w:t>ó</w:t>
      </w:r>
      <w:r w:rsidR="00067F9E" w:rsidRPr="003B7960">
        <w:rPr>
          <w:rFonts w:ascii="Cambria" w:hAnsi="Cambria"/>
          <w:sz w:val="20"/>
          <w:szCs w:val="20"/>
          <w:lang w:val="es-ES"/>
        </w:rPr>
        <w:t xml:space="preserve"> </w:t>
      </w:r>
      <w:r w:rsidR="00B823AF" w:rsidRPr="003B7960">
        <w:rPr>
          <w:rFonts w:ascii="Cambria" w:hAnsi="Cambria"/>
          <w:sz w:val="20"/>
          <w:szCs w:val="20"/>
          <w:lang w:val="es-ES"/>
        </w:rPr>
        <w:t xml:space="preserve">el derecho de los </w:t>
      </w:r>
      <w:r w:rsidR="00C33F51" w:rsidRPr="003B7960">
        <w:rPr>
          <w:rFonts w:ascii="Cambria" w:hAnsi="Cambria"/>
          <w:sz w:val="20"/>
          <w:szCs w:val="20"/>
          <w:lang w:val="es-ES"/>
        </w:rPr>
        <w:t>solicitantes de asilo</w:t>
      </w:r>
      <w:r w:rsidR="00B823AF" w:rsidRPr="003B7960">
        <w:rPr>
          <w:rFonts w:ascii="Cambria" w:hAnsi="Cambria"/>
          <w:sz w:val="20"/>
          <w:szCs w:val="20"/>
          <w:lang w:val="es-ES"/>
        </w:rPr>
        <w:t xml:space="preserve"> </w:t>
      </w:r>
      <w:r w:rsidR="00B823AF" w:rsidRPr="003B7960">
        <w:rPr>
          <w:rFonts w:ascii="Cambria" w:hAnsi="Cambria"/>
          <w:b/>
          <w:sz w:val="20"/>
          <w:szCs w:val="20"/>
          <w:lang w:val="es-ES"/>
        </w:rPr>
        <w:t xml:space="preserve">a </w:t>
      </w:r>
      <w:r w:rsidR="00067F9E" w:rsidRPr="003B7960">
        <w:rPr>
          <w:rFonts w:ascii="Cambria" w:hAnsi="Cambria"/>
          <w:b/>
          <w:sz w:val="20"/>
          <w:szCs w:val="20"/>
          <w:lang w:val="es-ES"/>
        </w:rPr>
        <w:t>l</w:t>
      </w:r>
      <w:r w:rsidR="00B823AF" w:rsidRPr="003B7960">
        <w:rPr>
          <w:rFonts w:ascii="Cambria" w:hAnsi="Cambria"/>
          <w:b/>
          <w:sz w:val="20"/>
          <w:szCs w:val="20"/>
          <w:lang w:val="es-ES"/>
        </w:rPr>
        <w:t>a vida, a la libertad</w:t>
      </w:r>
      <w:r w:rsidR="00334878" w:rsidRPr="003B7960">
        <w:rPr>
          <w:rFonts w:ascii="Cambria" w:hAnsi="Cambria"/>
          <w:b/>
          <w:sz w:val="20"/>
          <w:szCs w:val="20"/>
          <w:lang w:val="es-ES"/>
        </w:rPr>
        <w:t>,</w:t>
      </w:r>
      <w:r w:rsidR="00B823AF" w:rsidRPr="003B7960">
        <w:rPr>
          <w:rFonts w:ascii="Cambria" w:hAnsi="Cambria"/>
          <w:b/>
          <w:sz w:val="20"/>
          <w:szCs w:val="20"/>
          <w:lang w:val="es-ES"/>
        </w:rPr>
        <w:t xml:space="preserve"> a la seguridad </w:t>
      </w:r>
      <w:r w:rsidR="00334878" w:rsidRPr="003B7960">
        <w:rPr>
          <w:rFonts w:ascii="Cambria" w:hAnsi="Cambria"/>
          <w:b/>
          <w:sz w:val="20"/>
          <w:szCs w:val="20"/>
          <w:lang w:val="es-ES"/>
        </w:rPr>
        <w:t xml:space="preserve">e integridad </w:t>
      </w:r>
      <w:r w:rsidR="00B823AF" w:rsidRPr="003B7960">
        <w:rPr>
          <w:rFonts w:ascii="Cambria" w:hAnsi="Cambria"/>
          <w:b/>
          <w:sz w:val="20"/>
          <w:szCs w:val="20"/>
          <w:lang w:val="es-ES"/>
        </w:rPr>
        <w:t>de la persona</w:t>
      </w:r>
      <w:r w:rsidR="00067F9E" w:rsidRPr="003B7960">
        <w:rPr>
          <w:rFonts w:ascii="Cambria" w:hAnsi="Cambria"/>
          <w:sz w:val="20"/>
          <w:szCs w:val="20"/>
          <w:lang w:val="es-ES"/>
        </w:rPr>
        <w:t xml:space="preserve"> </w:t>
      </w:r>
      <w:r w:rsidR="007B6078" w:rsidRPr="003B7960">
        <w:rPr>
          <w:rFonts w:ascii="Cambria" w:hAnsi="Cambria"/>
          <w:sz w:val="20"/>
          <w:szCs w:val="20"/>
          <w:lang w:val="es-ES"/>
        </w:rPr>
        <w:t xml:space="preserve">ante la falta de un sistema viable para determinar la condición de refugiado, sumada a la </w:t>
      </w:r>
      <w:r w:rsidR="00A40067" w:rsidRPr="003B7960">
        <w:rPr>
          <w:rFonts w:ascii="Cambria" w:hAnsi="Cambria"/>
          <w:sz w:val="20"/>
          <w:szCs w:val="20"/>
          <w:lang w:val="es-ES"/>
        </w:rPr>
        <w:t>deportación</w:t>
      </w:r>
      <w:r w:rsidR="00067F9E" w:rsidRPr="003B7960">
        <w:rPr>
          <w:rFonts w:ascii="Cambria" w:hAnsi="Cambria"/>
          <w:sz w:val="20"/>
          <w:szCs w:val="20"/>
          <w:lang w:val="es-ES"/>
        </w:rPr>
        <w:t xml:space="preserve"> </w:t>
      </w:r>
      <w:r w:rsidR="007B6078" w:rsidRPr="003B7960">
        <w:rPr>
          <w:rFonts w:ascii="Cambria" w:hAnsi="Cambria"/>
          <w:sz w:val="20"/>
          <w:szCs w:val="20"/>
          <w:lang w:val="es-ES"/>
        </w:rPr>
        <w:t>sumaria de</w:t>
      </w:r>
      <w:r w:rsidR="00067F9E" w:rsidRPr="003B7960">
        <w:rPr>
          <w:rFonts w:ascii="Cambria" w:hAnsi="Cambria"/>
          <w:sz w:val="20"/>
          <w:szCs w:val="20"/>
          <w:lang w:val="es-ES"/>
        </w:rPr>
        <w:t xml:space="preserve"> </w:t>
      </w:r>
      <w:r w:rsidR="007B6078" w:rsidRPr="003B7960">
        <w:rPr>
          <w:rFonts w:ascii="Cambria" w:hAnsi="Cambria"/>
          <w:sz w:val="20"/>
          <w:szCs w:val="20"/>
          <w:lang w:val="es-ES"/>
        </w:rPr>
        <w:t>detenidos</w:t>
      </w:r>
      <w:r w:rsidR="00067F9E" w:rsidRPr="003B7960">
        <w:rPr>
          <w:rFonts w:ascii="Cambria" w:hAnsi="Cambria"/>
          <w:sz w:val="20"/>
          <w:szCs w:val="20"/>
          <w:lang w:val="es-ES"/>
        </w:rPr>
        <w:t xml:space="preserve"> </w:t>
      </w:r>
      <w:r w:rsidR="007B6078" w:rsidRPr="003B7960">
        <w:rPr>
          <w:rFonts w:ascii="Cambria" w:hAnsi="Cambria"/>
          <w:sz w:val="20"/>
          <w:szCs w:val="20"/>
          <w:lang w:val="es-ES"/>
        </w:rPr>
        <w:t xml:space="preserve">que tenían reclamos sólidos de un temor justificado de persecución a su regreso de acuerdo con los acuerdos </w:t>
      </w:r>
      <w:r w:rsidR="00067F9E" w:rsidRPr="003B7960">
        <w:rPr>
          <w:rFonts w:ascii="Cambria" w:hAnsi="Cambria"/>
          <w:sz w:val="20"/>
          <w:szCs w:val="20"/>
          <w:lang w:val="es-ES"/>
        </w:rPr>
        <w:t>bilateral</w:t>
      </w:r>
      <w:r w:rsidR="007B6078" w:rsidRPr="003B7960">
        <w:rPr>
          <w:rFonts w:ascii="Cambria" w:hAnsi="Cambria"/>
          <w:sz w:val="20"/>
          <w:szCs w:val="20"/>
          <w:lang w:val="es-ES"/>
        </w:rPr>
        <w:t>es que requieren la</w:t>
      </w:r>
      <w:r w:rsidR="00067F9E" w:rsidRPr="003B7960">
        <w:rPr>
          <w:rFonts w:ascii="Cambria" w:hAnsi="Cambria"/>
          <w:sz w:val="20"/>
          <w:szCs w:val="20"/>
          <w:lang w:val="es-ES"/>
        </w:rPr>
        <w:t xml:space="preserve"> </w:t>
      </w:r>
      <w:r w:rsidR="007B6078" w:rsidRPr="003B7960">
        <w:rPr>
          <w:rFonts w:ascii="Cambria" w:hAnsi="Cambria"/>
          <w:sz w:val="20"/>
          <w:szCs w:val="20"/>
          <w:lang w:val="es-ES"/>
        </w:rPr>
        <w:t>repatriación</w:t>
      </w:r>
      <w:r w:rsidR="00067F9E" w:rsidRPr="003B7960">
        <w:rPr>
          <w:rFonts w:ascii="Cambria" w:hAnsi="Cambria"/>
          <w:sz w:val="20"/>
          <w:szCs w:val="20"/>
          <w:lang w:val="es-ES"/>
        </w:rPr>
        <w:t xml:space="preserve"> </w:t>
      </w:r>
      <w:r w:rsidR="007B6078" w:rsidRPr="003B7960">
        <w:rPr>
          <w:rFonts w:ascii="Cambria" w:hAnsi="Cambria"/>
          <w:sz w:val="20"/>
          <w:szCs w:val="20"/>
          <w:lang w:val="es-ES"/>
        </w:rPr>
        <w:t xml:space="preserve">firmados por las </w:t>
      </w:r>
      <w:r w:rsidR="00067F9E" w:rsidRPr="003B7960">
        <w:rPr>
          <w:rFonts w:ascii="Cambria" w:hAnsi="Cambria"/>
          <w:sz w:val="20"/>
          <w:szCs w:val="20"/>
          <w:lang w:val="es-ES"/>
        </w:rPr>
        <w:t>Bahamas, Cuba</w:t>
      </w:r>
      <w:r w:rsidR="007B6078" w:rsidRPr="003B7960">
        <w:rPr>
          <w:rFonts w:ascii="Cambria" w:hAnsi="Cambria"/>
          <w:sz w:val="20"/>
          <w:szCs w:val="20"/>
          <w:lang w:val="es-ES"/>
        </w:rPr>
        <w:t xml:space="preserve"> y</w:t>
      </w:r>
      <w:r w:rsidR="00067F9E" w:rsidRPr="003B7960">
        <w:rPr>
          <w:rFonts w:ascii="Cambria" w:hAnsi="Cambria"/>
          <w:sz w:val="20"/>
          <w:szCs w:val="20"/>
          <w:lang w:val="es-ES"/>
        </w:rPr>
        <w:t xml:space="preserve"> </w:t>
      </w:r>
      <w:r w:rsidR="007B6078" w:rsidRPr="003B7960">
        <w:rPr>
          <w:rFonts w:ascii="Cambria" w:hAnsi="Cambria"/>
          <w:sz w:val="20"/>
          <w:szCs w:val="20"/>
          <w:lang w:val="es-ES"/>
        </w:rPr>
        <w:t>Haití</w:t>
      </w:r>
      <w:r w:rsidR="00067F9E" w:rsidRPr="003B7960">
        <w:rPr>
          <w:rFonts w:ascii="Cambria" w:hAnsi="Cambria"/>
          <w:sz w:val="20"/>
          <w:szCs w:val="20"/>
          <w:lang w:val="es-ES"/>
        </w:rPr>
        <w:t xml:space="preserve">. </w:t>
      </w:r>
      <w:r w:rsidR="007B6078" w:rsidRPr="003B7960">
        <w:rPr>
          <w:rFonts w:ascii="Cambria" w:hAnsi="Cambria"/>
          <w:sz w:val="20"/>
          <w:szCs w:val="20"/>
          <w:lang w:val="es-ES"/>
        </w:rPr>
        <w:t xml:space="preserve">Recalcaron que la devolución forzada y arbitraria de </w:t>
      </w:r>
      <w:r w:rsidR="00C33F51"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007B6078" w:rsidRPr="003B7960">
        <w:rPr>
          <w:rFonts w:ascii="Cambria" w:hAnsi="Cambria"/>
          <w:sz w:val="20"/>
          <w:szCs w:val="20"/>
          <w:lang w:val="es-ES"/>
        </w:rPr>
        <w:t xml:space="preserve">por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7B6078" w:rsidRPr="003B7960">
        <w:rPr>
          <w:rFonts w:ascii="Cambria" w:hAnsi="Cambria"/>
          <w:sz w:val="20"/>
          <w:szCs w:val="20"/>
          <w:lang w:val="es-ES"/>
        </w:rPr>
        <w:t xml:space="preserve">continuaba a pesar de las </w:t>
      </w:r>
      <w:r w:rsidR="00A40067" w:rsidRPr="003B7960">
        <w:rPr>
          <w:rFonts w:ascii="Cambria" w:hAnsi="Cambria"/>
          <w:sz w:val="20"/>
          <w:szCs w:val="20"/>
          <w:lang w:val="es-ES"/>
        </w:rPr>
        <w:t>medidas cautelares</w:t>
      </w:r>
      <w:r w:rsidR="00067F9E" w:rsidRPr="003B7960">
        <w:rPr>
          <w:rFonts w:ascii="Cambria" w:hAnsi="Cambria"/>
          <w:sz w:val="20"/>
          <w:szCs w:val="20"/>
          <w:lang w:val="es-ES"/>
        </w:rPr>
        <w:t xml:space="preserve"> </w:t>
      </w:r>
      <w:r w:rsidR="007B6078" w:rsidRPr="003B7960">
        <w:rPr>
          <w:rFonts w:ascii="Cambria" w:hAnsi="Cambria"/>
          <w:sz w:val="20"/>
          <w:szCs w:val="20"/>
          <w:lang w:val="es-ES"/>
        </w:rPr>
        <w:t>otorgadas por</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7B6078" w:rsidRPr="003B7960">
        <w:rPr>
          <w:rFonts w:ascii="Cambria" w:hAnsi="Cambria"/>
          <w:sz w:val="20"/>
          <w:szCs w:val="20"/>
          <w:lang w:val="es-ES"/>
        </w:rPr>
        <w:t xml:space="preserve">para suspender su </w:t>
      </w:r>
      <w:r w:rsidR="00A40067" w:rsidRPr="003B7960">
        <w:rPr>
          <w:rFonts w:ascii="Cambria" w:hAnsi="Cambria"/>
          <w:sz w:val="20"/>
          <w:szCs w:val="20"/>
          <w:lang w:val="es-ES"/>
        </w:rPr>
        <w:t>deportación</w:t>
      </w:r>
      <w:r w:rsidR="00067F9E" w:rsidRPr="003B7960">
        <w:rPr>
          <w:rFonts w:ascii="Cambria" w:hAnsi="Cambria"/>
          <w:sz w:val="20"/>
          <w:szCs w:val="20"/>
          <w:lang w:val="es-ES"/>
        </w:rPr>
        <w:t xml:space="preserve">. </w:t>
      </w:r>
    </w:p>
    <w:p w14:paraId="7922B76C" w14:textId="77777777" w:rsidR="00067F9E" w:rsidRPr="003B7960" w:rsidRDefault="00067F9E" w:rsidP="00101DC6">
      <w:pPr>
        <w:pStyle w:val="ListParagraph"/>
        <w:tabs>
          <w:tab w:val="left" w:pos="426"/>
        </w:tabs>
        <w:ind w:left="0"/>
        <w:rPr>
          <w:rFonts w:ascii="Cambria" w:hAnsi="Cambria"/>
          <w:sz w:val="20"/>
          <w:szCs w:val="20"/>
          <w:lang w:val="es-ES"/>
        </w:rPr>
      </w:pPr>
    </w:p>
    <w:p w14:paraId="43E395D5" w14:textId="0111B183" w:rsidR="00067F9E" w:rsidRPr="003B7960" w:rsidRDefault="00170D77"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color w:val="8496B0"/>
          <w:sz w:val="20"/>
          <w:szCs w:val="20"/>
          <w:lang w:val="es-ES"/>
        </w:rPr>
      </w:pPr>
      <w:r w:rsidRPr="003B7960">
        <w:rPr>
          <w:rFonts w:ascii="Cambria" w:hAnsi="Cambria"/>
          <w:color w:val="000000"/>
          <w:sz w:val="20"/>
          <w:szCs w:val="20"/>
          <w:lang w:val="es-ES"/>
        </w:rPr>
        <w:t xml:space="preserve">La parte peticionaria </w:t>
      </w:r>
      <w:r w:rsidR="00067F9E" w:rsidRPr="003B7960">
        <w:rPr>
          <w:rFonts w:ascii="Cambria" w:hAnsi="Cambria"/>
          <w:sz w:val="20"/>
          <w:szCs w:val="20"/>
          <w:lang w:val="es-ES"/>
        </w:rPr>
        <w:t>a</w:t>
      </w:r>
      <w:r w:rsidRPr="003B7960">
        <w:rPr>
          <w:rFonts w:ascii="Cambria" w:hAnsi="Cambria"/>
          <w:sz w:val="20"/>
          <w:szCs w:val="20"/>
          <w:lang w:val="es-ES"/>
        </w:rPr>
        <w:t>firmó</w:t>
      </w:r>
      <w:r w:rsidR="00AF098C" w:rsidRPr="003B7960">
        <w:rPr>
          <w:rFonts w:ascii="Cambria" w:hAnsi="Cambria"/>
          <w:sz w:val="20"/>
          <w:szCs w:val="20"/>
          <w:lang w:val="es-ES"/>
        </w:rPr>
        <w:t xml:space="preserve"> que</w:t>
      </w:r>
      <w:r w:rsidR="00334878" w:rsidRPr="003B7960">
        <w:rPr>
          <w:rFonts w:ascii="Cambria" w:hAnsi="Cambria"/>
          <w:sz w:val="20"/>
          <w:szCs w:val="20"/>
          <w:lang w:val="es-ES"/>
        </w:rPr>
        <w:t>, con la detención obligatoria de solicitantes de asilo sin revisión judicial,</w:t>
      </w:r>
      <w:r w:rsidR="00AF098C" w:rsidRPr="003B7960">
        <w:rPr>
          <w:rFonts w:ascii="Cambria" w:hAnsi="Cambria"/>
          <w:sz w:val="20"/>
          <w:szCs w:val="20"/>
          <w:lang w:val="es-ES"/>
        </w:rPr>
        <w:t xml:space="preserve"> </w:t>
      </w:r>
      <w:r w:rsidR="007B6078" w:rsidRPr="003B7960">
        <w:rPr>
          <w:rFonts w:ascii="Cambria" w:hAnsi="Cambria"/>
          <w:sz w:val="20"/>
          <w:szCs w:val="20"/>
          <w:lang w:val="es-ES"/>
        </w:rPr>
        <w:t>el Estado violó</w:t>
      </w:r>
      <w:r w:rsidR="00067F9E" w:rsidRPr="003B7960">
        <w:rPr>
          <w:rFonts w:ascii="Cambria" w:hAnsi="Cambria"/>
          <w:sz w:val="20"/>
          <w:szCs w:val="20"/>
          <w:lang w:val="es-ES"/>
        </w:rPr>
        <w:t xml:space="preserve"> </w:t>
      </w:r>
      <w:r w:rsidR="00B823AF" w:rsidRPr="003B7960">
        <w:rPr>
          <w:rFonts w:ascii="Cambria" w:hAnsi="Cambria"/>
          <w:sz w:val="20"/>
          <w:szCs w:val="20"/>
          <w:lang w:val="es-ES"/>
        </w:rPr>
        <w:t xml:space="preserve">el derecho de </w:t>
      </w:r>
      <w:r w:rsidR="00067F9E" w:rsidRPr="003B7960">
        <w:rPr>
          <w:rFonts w:ascii="Cambria" w:hAnsi="Cambria"/>
          <w:b/>
          <w:sz w:val="20"/>
          <w:szCs w:val="20"/>
          <w:lang w:val="es-ES"/>
        </w:rPr>
        <w:t>protec</w:t>
      </w:r>
      <w:r w:rsidR="00B823AF" w:rsidRPr="003B7960">
        <w:rPr>
          <w:rFonts w:ascii="Cambria" w:hAnsi="Cambria"/>
          <w:b/>
          <w:sz w:val="20"/>
          <w:szCs w:val="20"/>
          <w:lang w:val="es-ES"/>
        </w:rPr>
        <w:t>ción contra la detención arbitraria</w:t>
      </w:r>
      <w:r w:rsidR="00067F9E" w:rsidRPr="003B7960">
        <w:rPr>
          <w:rFonts w:ascii="Cambria" w:hAnsi="Cambria"/>
          <w:sz w:val="20"/>
          <w:szCs w:val="20"/>
          <w:lang w:val="es-ES"/>
        </w:rPr>
        <w:t xml:space="preserve"> </w:t>
      </w:r>
      <w:r w:rsidR="00607543" w:rsidRPr="003B7960">
        <w:rPr>
          <w:rFonts w:ascii="Cambria" w:hAnsi="Cambria"/>
          <w:sz w:val="20"/>
          <w:szCs w:val="20"/>
          <w:lang w:val="es-ES"/>
        </w:rPr>
        <w:t xml:space="preserve">porque los </w:t>
      </w:r>
      <w:r w:rsidR="00C33F51"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00607543" w:rsidRPr="003B7960">
        <w:rPr>
          <w:rFonts w:ascii="Cambria" w:hAnsi="Cambria"/>
          <w:sz w:val="20"/>
          <w:szCs w:val="20"/>
          <w:lang w:val="es-ES"/>
        </w:rPr>
        <w:t xml:space="preserve">que llegan a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607543" w:rsidRPr="003B7960">
        <w:rPr>
          <w:rFonts w:ascii="Cambria" w:hAnsi="Cambria"/>
          <w:sz w:val="20"/>
          <w:szCs w:val="20"/>
          <w:lang w:val="es-ES"/>
        </w:rPr>
        <w:t xml:space="preserve">son llevados de inmediato </w:t>
      </w:r>
      <w:r w:rsidR="00334878" w:rsidRPr="003B7960">
        <w:rPr>
          <w:rFonts w:ascii="Cambria" w:hAnsi="Cambria"/>
          <w:sz w:val="20"/>
          <w:szCs w:val="20"/>
          <w:lang w:val="es-ES"/>
        </w:rPr>
        <w:t>a</w:t>
      </w:r>
      <w:r w:rsidR="00607543" w:rsidRPr="003B7960">
        <w:rPr>
          <w:rFonts w:ascii="Cambria" w:hAnsi="Cambria"/>
          <w:sz w:val="20"/>
          <w:szCs w:val="20"/>
          <w:lang w:val="es-ES"/>
        </w:rPr>
        <w:t xml:space="preserve"> un centro de detención</w:t>
      </w:r>
      <w:r w:rsidR="00067F9E" w:rsidRPr="003B7960">
        <w:rPr>
          <w:rFonts w:ascii="Cambria" w:hAnsi="Cambria"/>
          <w:sz w:val="20"/>
          <w:szCs w:val="20"/>
          <w:lang w:val="es-ES"/>
        </w:rPr>
        <w:t xml:space="preserve"> </w:t>
      </w:r>
      <w:r w:rsidR="00607543" w:rsidRPr="003B7960">
        <w:rPr>
          <w:rFonts w:ascii="Cambria" w:hAnsi="Cambria"/>
          <w:sz w:val="20"/>
          <w:szCs w:val="20"/>
          <w:lang w:val="es-ES"/>
        </w:rPr>
        <w:t xml:space="preserve">y no tienen acceso a una </w:t>
      </w:r>
      <w:r w:rsidR="00AF098C" w:rsidRPr="003B7960">
        <w:rPr>
          <w:rFonts w:ascii="Cambria" w:hAnsi="Cambria"/>
          <w:sz w:val="20"/>
          <w:szCs w:val="20"/>
          <w:lang w:val="es-ES"/>
        </w:rPr>
        <w:t>revisión judicial</w:t>
      </w:r>
      <w:r w:rsidR="00067F9E" w:rsidRPr="003B7960">
        <w:rPr>
          <w:rFonts w:ascii="Cambria" w:hAnsi="Cambria"/>
          <w:sz w:val="20"/>
          <w:szCs w:val="20"/>
          <w:lang w:val="es-ES"/>
        </w:rPr>
        <w:t xml:space="preserve"> </w:t>
      </w:r>
      <w:r w:rsidR="00607543" w:rsidRPr="003B7960">
        <w:rPr>
          <w:rFonts w:ascii="Cambria" w:hAnsi="Cambria"/>
          <w:sz w:val="20"/>
          <w:szCs w:val="20"/>
          <w:lang w:val="es-ES"/>
        </w:rPr>
        <w:t>de la legalidad o la necesidad de su detención</w:t>
      </w:r>
      <w:r w:rsidR="00067F9E" w:rsidRPr="003B7960">
        <w:rPr>
          <w:rFonts w:ascii="Cambria" w:hAnsi="Cambria"/>
          <w:sz w:val="20"/>
          <w:szCs w:val="20"/>
          <w:lang w:val="es-ES"/>
        </w:rPr>
        <w:t xml:space="preserve">. </w:t>
      </w:r>
      <w:r w:rsidRPr="003B7960">
        <w:rPr>
          <w:rFonts w:ascii="Cambria" w:hAnsi="Cambria"/>
          <w:color w:val="000000"/>
          <w:sz w:val="20"/>
          <w:szCs w:val="20"/>
          <w:lang w:val="es-ES"/>
        </w:rPr>
        <w:t xml:space="preserve">La parte peticionaria </w:t>
      </w:r>
      <w:r w:rsidRPr="003B7960">
        <w:rPr>
          <w:rFonts w:ascii="Cambria" w:hAnsi="Cambria"/>
          <w:sz w:val="20"/>
          <w:szCs w:val="20"/>
          <w:lang w:val="es-ES"/>
        </w:rPr>
        <w:t>indicó</w:t>
      </w:r>
      <w:r w:rsidR="00607543" w:rsidRPr="003B7960">
        <w:rPr>
          <w:rFonts w:ascii="Cambria" w:hAnsi="Cambria"/>
          <w:sz w:val="20"/>
          <w:szCs w:val="20"/>
          <w:lang w:val="es-ES"/>
        </w:rPr>
        <w:t xml:space="preserve"> que, incluso en casos de detención prolongada,</w:t>
      </w:r>
      <w:r w:rsidR="00067F9E" w:rsidRPr="003B7960">
        <w:rPr>
          <w:rFonts w:ascii="Cambria" w:hAnsi="Cambria"/>
          <w:sz w:val="20"/>
          <w:szCs w:val="20"/>
          <w:lang w:val="es-ES"/>
        </w:rPr>
        <w:t xml:space="preserve"> </w:t>
      </w:r>
      <w:r w:rsidR="00607543" w:rsidRPr="003B7960">
        <w:rPr>
          <w:rFonts w:ascii="Cambria" w:hAnsi="Cambria"/>
          <w:sz w:val="20"/>
          <w:szCs w:val="20"/>
          <w:lang w:val="es-ES"/>
        </w:rPr>
        <w:t>los</w:t>
      </w:r>
      <w:r w:rsidR="00067F9E" w:rsidRPr="003B7960">
        <w:rPr>
          <w:rFonts w:ascii="Cambria" w:hAnsi="Cambria"/>
          <w:sz w:val="20"/>
          <w:szCs w:val="20"/>
          <w:lang w:val="es-ES"/>
        </w:rPr>
        <w:t xml:space="preserve"> </w:t>
      </w:r>
      <w:r w:rsidR="00C33F51"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00607543" w:rsidRPr="003B7960">
        <w:rPr>
          <w:rFonts w:ascii="Cambria" w:hAnsi="Cambria"/>
          <w:sz w:val="20"/>
          <w:szCs w:val="20"/>
          <w:lang w:val="es-ES"/>
        </w:rPr>
        <w:t>no tienen acceso a una revisión periódica con intervalos razonables.</w:t>
      </w:r>
    </w:p>
    <w:p w14:paraId="0CF7EB77" w14:textId="77777777" w:rsidR="00067F9E" w:rsidRPr="003B7960" w:rsidRDefault="00067F9E" w:rsidP="00101DC6">
      <w:pPr>
        <w:pStyle w:val="ListParagraph"/>
        <w:tabs>
          <w:tab w:val="left" w:pos="426"/>
        </w:tabs>
        <w:ind w:left="0"/>
        <w:rPr>
          <w:rFonts w:ascii="Cambria" w:hAnsi="Cambria"/>
          <w:sz w:val="20"/>
          <w:szCs w:val="20"/>
          <w:lang w:val="es-ES"/>
        </w:rPr>
      </w:pPr>
    </w:p>
    <w:p w14:paraId="1E10FAF7" w14:textId="2EF4C03C" w:rsidR="00067F9E" w:rsidRPr="003B7960" w:rsidRDefault="00607543"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ind w:left="0" w:firstLine="0"/>
        <w:jc w:val="both"/>
        <w:rPr>
          <w:rFonts w:ascii="Cambria" w:hAnsi="Cambria"/>
          <w:color w:val="8496B0"/>
          <w:sz w:val="20"/>
          <w:szCs w:val="20"/>
          <w:lang w:val="es-ES"/>
        </w:rPr>
      </w:pPr>
      <w:r w:rsidRPr="003B7960">
        <w:rPr>
          <w:rFonts w:ascii="Cambria" w:hAnsi="Cambria"/>
          <w:sz w:val="20"/>
          <w:szCs w:val="20"/>
          <w:lang w:val="es-ES"/>
        </w:rPr>
        <w:t xml:space="preserve">Además, </w:t>
      </w:r>
      <w:r w:rsidR="00170D77" w:rsidRPr="003B7960">
        <w:rPr>
          <w:rFonts w:ascii="Cambria" w:hAnsi="Cambria"/>
          <w:color w:val="000000"/>
          <w:sz w:val="20"/>
          <w:szCs w:val="20"/>
          <w:lang w:val="es-ES"/>
        </w:rPr>
        <w:t xml:space="preserve">la parte peticionaria </w:t>
      </w:r>
      <w:r w:rsidR="00170D77" w:rsidRPr="003B7960">
        <w:rPr>
          <w:rFonts w:ascii="Cambria" w:hAnsi="Cambria"/>
          <w:sz w:val="20"/>
          <w:szCs w:val="20"/>
          <w:lang w:val="es-ES"/>
        </w:rPr>
        <w:t>alegó</w:t>
      </w:r>
      <w:r w:rsidR="00067F9E" w:rsidRPr="003B7960">
        <w:rPr>
          <w:rFonts w:ascii="Cambria" w:hAnsi="Cambria"/>
          <w:sz w:val="20"/>
          <w:szCs w:val="20"/>
          <w:lang w:val="es-ES"/>
        </w:rPr>
        <w:t xml:space="preserve"> </w:t>
      </w:r>
      <w:r w:rsidRPr="003B7960">
        <w:rPr>
          <w:rFonts w:ascii="Cambria" w:hAnsi="Cambria"/>
          <w:sz w:val="20"/>
          <w:szCs w:val="20"/>
          <w:lang w:val="es-ES"/>
        </w:rPr>
        <w:t xml:space="preserve">que </w:t>
      </w:r>
      <w:r w:rsidR="007B6078" w:rsidRPr="003B7960">
        <w:rPr>
          <w:rFonts w:ascii="Cambria" w:hAnsi="Cambria"/>
          <w:sz w:val="20"/>
          <w:szCs w:val="20"/>
          <w:lang w:val="es-ES"/>
        </w:rPr>
        <w:t>el Estado violó</w:t>
      </w:r>
      <w:r w:rsidR="00067F9E" w:rsidRPr="003B7960">
        <w:rPr>
          <w:rFonts w:ascii="Cambria" w:hAnsi="Cambria"/>
          <w:sz w:val="20"/>
          <w:szCs w:val="20"/>
          <w:lang w:val="es-ES"/>
        </w:rPr>
        <w:t xml:space="preserve"> </w:t>
      </w:r>
      <w:r w:rsidR="00B823AF" w:rsidRPr="003B7960">
        <w:rPr>
          <w:rFonts w:ascii="Cambria" w:hAnsi="Cambria"/>
          <w:sz w:val="20"/>
          <w:szCs w:val="20"/>
          <w:lang w:val="es-ES"/>
        </w:rPr>
        <w:t xml:space="preserve">el derecho de </w:t>
      </w:r>
      <w:r w:rsidR="00C33F51" w:rsidRPr="003B7960">
        <w:rPr>
          <w:rFonts w:ascii="Cambria" w:hAnsi="Cambria"/>
          <w:sz w:val="20"/>
          <w:szCs w:val="20"/>
          <w:lang w:val="es-ES"/>
        </w:rPr>
        <w:t>los detenidos</w:t>
      </w:r>
      <w:r w:rsidR="00B823AF" w:rsidRPr="003B7960">
        <w:rPr>
          <w:rFonts w:ascii="Cambria" w:hAnsi="Cambria"/>
          <w:sz w:val="20"/>
          <w:szCs w:val="20"/>
          <w:lang w:val="es-ES"/>
        </w:rPr>
        <w:t xml:space="preserve"> a un</w:t>
      </w:r>
      <w:r w:rsidR="00067F9E" w:rsidRPr="003B7960">
        <w:rPr>
          <w:rFonts w:ascii="Cambria" w:hAnsi="Cambria"/>
          <w:sz w:val="20"/>
          <w:szCs w:val="20"/>
          <w:lang w:val="es-ES"/>
        </w:rPr>
        <w:t xml:space="preserve"> </w:t>
      </w:r>
      <w:r w:rsidR="00252CBB" w:rsidRPr="003B7960">
        <w:rPr>
          <w:rFonts w:ascii="Cambria" w:hAnsi="Cambria"/>
          <w:b/>
          <w:sz w:val="20"/>
          <w:szCs w:val="20"/>
          <w:lang w:val="es-ES"/>
        </w:rPr>
        <w:t xml:space="preserve">trato </w:t>
      </w:r>
      <w:r w:rsidR="00A37A57" w:rsidRPr="003B7960">
        <w:rPr>
          <w:rFonts w:ascii="Cambria" w:hAnsi="Cambria"/>
          <w:b/>
          <w:sz w:val="20"/>
          <w:szCs w:val="20"/>
          <w:lang w:val="es-ES"/>
        </w:rPr>
        <w:t>humano</w:t>
      </w:r>
      <w:r w:rsidR="00067F9E" w:rsidRPr="003B7960">
        <w:rPr>
          <w:rFonts w:ascii="Cambria" w:hAnsi="Cambria"/>
          <w:sz w:val="20"/>
          <w:szCs w:val="20"/>
          <w:lang w:val="es-ES"/>
        </w:rPr>
        <w:t xml:space="preserve"> dur</w:t>
      </w:r>
      <w:r w:rsidR="00B823AF" w:rsidRPr="003B7960">
        <w:rPr>
          <w:rFonts w:ascii="Cambria" w:hAnsi="Cambria"/>
          <w:sz w:val="20"/>
          <w:szCs w:val="20"/>
          <w:lang w:val="es-ES"/>
        </w:rPr>
        <w:t xml:space="preserve">ante la privación de su libertad </w:t>
      </w:r>
      <w:r w:rsidRPr="003B7960">
        <w:rPr>
          <w:rFonts w:ascii="Cambria" w:hAnsi="Cambria"/>
          <w:sz w:val="20"/>
          <w:szCs w:val="20"/>
          <w:lang w:val="es-ES"/>
        </w:rPr>
        <w:t>porque los</w:t>
      </w:r>
      <w:r w:rsidR="00067F9E" w:rsidRPr="003B7960">
        <w:rPr>
          <w:rFonts w:ascii="Cambria" w:hAnsi="Cambria"/>
          <w:sz w:val="20"/>
          <w:szCs w:val="20"/>
          <w:lang w:val="es-ES"/>
        </w:rPr>
        <w:t xml:space="preserve"> </w:t>
      </w:r>
      <w:r w:rsidR="00C33F51"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Pr="003B7960">
        <w:rPr>
          <w:rFonts w:ascii="Cambria" w:hAnsi="Cambria"/>
          <w:sz w:val="20"/>
          <w:szCs w:val="20"/>
          <w:lang w:val="es-ES"/>
        </w:rPr>
        <w:t>e</w:t>
      </w:r>
      <w:r w:rsidR="00067F9E" w:rsidRPr="003B7960">
        <w:rPr>
          <w:rFonts w:ascii="Cambria" w:hAnsi="Cambria"/>
          <w:sz w:val="20"/>
          <w:szCs w:val="20"/>
          <w:lang w:val="es-ES"/>
        </w:rPr>
        <w:t xml:space="preserve">n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Pr="003B7960">
        <w:rPr>
          <w:rFonts w:ascii="Cambria" w:hAnsi="Cambria"/>
          <w:sz w:val="20"/>
          <w:szCs w:val="20"/>
          <w:lang w:val="es-ES"/>
        </w:rPr>
        <w:t xml:space="preserve">son detenidos, a menudo durante varios meses, en condiciones que no se ciñen a las normas mínimas reconocidas en el plano </w:t>
      </w:r>
      <w:r w:rsidR="00067F9E" w:rsidRPr="003B7960">
        <w:rPr>
          <w:rFonts w:ascii="Cambria" w:hAnsi="Cambria"/>
          <w:sz w:val="20"/>
          <w:szCs w:val="20"/>
          <w:lang w:val="es-ES"/>
        </w:rPr>
        <w:t>interna</w:t>
      </w:r>
      <w:r w:rsidRPr="003B7960">
        <w:rPr>
          <w:rFonts w:ascii="Cambria" w:hAnsi="Cambria"/>
          <w:sz w:val="20"/>
          <w:szCs w:val="20"/>
          <w:lang w:val="es-ES"/>
        </w:rPr>
        <w:t xml:space="preserve">cional. Afirmaron que las instalaciones del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00B812F2" w:rsidRPr="003B7960">
        <w:rPr>
          <w:rFonts w:ascii="Cambria" w:hAnsi="Cambria"/>
          <w:sz w:val="20"/>
          <w:szCs w:val="20"/>
          <w:lang w:val="es-ES"/>
        </w:rPr>
        <w:t>son totalmente inadecuadas; que los</w:t>
      </w:r>
      <w:r w:rsidR="00067F9E" w:rsidRPr="003B7960">
        <w:rPr>
          <w:rFonts w:ascii="Cambria" w:hAnsi="Cambria"/>
          <w:sz w:val="20"/>
          <w:szCs w:val="20"/>
          <w:lang w:val="es-ES"/>
        </w:rPr>
        <w:t xml:space="preserve"> </w:t>
      </w:r>
      <w:r w:rsidR="007B6078" w:rsidRPr="003B7960">
        <w:rPr>
          <w:rFonts w:ascii="Cambria" w:hAnsi="Cambria"/>
          <w:sz w:val="20"/>
          <w:szCs w:val="20"/>
          <w:lang w:val="es-ES"/>
        </w:rPr>
        <w:t>detenidos</w:t>
      </w:r>
      <w:r w:rsidR="000265CB" w:rsidRPr="003B7960">
        <w:rPr>
          <w:rFonts w:ascii="Cambria" w:hAnsi="Cambria"/>
          <w:sz w:val="20"/>
          <w:szCs w:val="20"/>
          <w:lang w:val="es-ES"/>
        </w:rPr>
        <w:t>, incluidos los niños</w:t>
      </w:r>
      <w:r w:rsidR="00B812F2" w:rsidRPr="003B7960">
        <w:rPr>
          <w:rFonts w:ascii="Cambria" w:hAnsi="Cambria"/>
          <w:sz w:val="20"/>
          <w:szCs w:val="20"/>
          <w:lang w:val="es-ES"/>
        </w:rPr>
        <w:t xml:space="preserve"> no acompañados, no tienen acceso a lugares con sombra, no reciben agua potable filtrada, sábanas, colchones, jabón, dentífrico, papel higiénico ni productos sanitarios, y que con frecuencia se separa a las </w:t>
      </w:r>
      <w:r w:rsidR="00067F9E" w:rsidRPr="003B7960">
        <w:rPr>
          <w:rFonts w:ascii="Cambria" w:hAnsi="Cambria"/>
          <w:sz w:val="20"/>
          <w:szCs w:val="20"/>
          <w:lang w:val="es-ES"/>
        </w:rPr>
        <w:t>famili</w:t>
      </w:r>
      <w:r w:rsidR="00B812F2" w:rsidRPr="003B7960">
        <w:rPr>
          <w:rFonts w:ascii="Cambria" w:hAnsi="Cambria"/>
          <w:sz w:val="20"/>
          <w:szCs w:val="20"/>
          <w:lang w:val="es-ES"/>
        </w:rPr>
        <w:t>as</w:t>
      </w:r>
      <w:r w:rsidR="00067F9E" w:rsidRPr="003B7960">
        <w:rPr>
          <w:rFonts w:ascii="Cambria" w:hAnsi="Cambria"/>
          <w:sz w:val="20"/>
          <w:szCs w:val="20"/>
          <w:lang w:val="es-ES"/>
        </w:rPr>
        <w:t xml:space="preserve">. </w:t>
      </w:r>
    </w:p>
    <w:p w14:paraId="0C789B31" w14:textId="77777777" w:rsidR="00067F9E" w:rsidRPr="003B7960" w:rsidRDefault="00067F9E" w:rsidP="00101DC6">
      <w:pPr>
        <w:pStyle w:val="ListParagraph"/>
        <w:tabs>
          <w:tab w:val="left" w:pos="426"/>
        </w:tabs>
        <w:ind w:left="0"/>
        <w:rPr>
          <w:rFonts w:ascii="Cambria" w:hAnsi="Cambria"/>
          <w:color w:val="8496B0"/>
          <w:sz w:val="20"/>
          <w:szCs w:val="20"/>
          <w:lang w:val="es-ES"/>
        </w:rPr>
      </w:pPr>
    </w:p>
    <w:p w14:paraId="09E668E4" w14:textId="7B172D5E" w:rsidR="00067F9E" w:rsidRPr="003B7960" w:rsidRDefault="00A332F5" w:rsidP="00101DC6">
      <w:pPr>
        <w:pStyle w:val="Heading2"/>
        <w:numPr>
          <w:ilvl w:val="0"/>
          <w:numId w:val="60"/>
        </w:numPr>
        <w:pBdr>
          <w:top w:val="nil"/>
          <w:left w:val="nil"/>
          <w:bottom w:val="nil"/>
          <w:right w:val="nil"/>
          <w:between w:val="nil"/>
          <w:bar w:val="nil"/>
        </w:pBdr>
        <w:tabs>
          <w:tab w:val="clear" w:pos="540"/>
          <w:tab w:val="left" w:pos="426"/>
        </w:tabs>
        <w:suppressAutoHyphens/>
        <w:ind w:left="0" w:firstLine="0"/>
        <w:jc w:val="left"/>
        <w:rPr>
          <w:lang w:val="es-ES"/>
        </w:rPr>
      </w:pPr>
      <w:bookmarkStart w:id="4" w:name="_Toc90557292"/>
      <w:r w:rsidRPr="003B7960">
        <w:rPr>
          <w:lang w:val="es-ES"/>
        </w:rPr>
        <w:t>Estado</w:t>
      </w:r>
      <w:bookmarkEnd w:id="4"/>
    </w:p>
    <w:p w14:paraId="6752AE3F" w14:textId="77777777" w:rsidR="00067F9E" w:rsidRPr="003B7960" w:rsidRDefault="00067F9E" w:rsidP="00101DC6">
      <w:pPr>
        <w:tabs>
          <w:tab w:val="left" w:pos="426"/>
        </w:tabs>
        <w:suppressAutoHyphens/>
        <w:rPr>
          <w:rFonts w:ascii="Cambria" w:hAnsi="Cambria"/>
          <w:sz w:val="20"/>
          <w:szCs w:val="20"/>
          <w:lang w:val="es-ES"/>
        </w:rPr>
      </w:pPr>
    </w:p>
    <w:p w14:paraId="69F3824C" w14:textId="77777777" w:rsidR="00067F9E" w:rsidRPr="003B7960" w:rsidRDefault="00A332F5"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sz w:val="20"/>
          <w:szCs w:val="20"/>
          <w:lang w:val="es-ES"/>
        </w:rPr>
        <w:t>El Estado</w:t>
      </w:r>
      <w:r w:rsidR="00067F9E" w:rsidRPr="003B7960">
        <w:rPr>
          <w:rFonts w:ascii="Cambria" w:hAnsi="Cambria"/>
          <w:sz w:val="20"/>
          <w:szCs w:val="20"/>
          <w:lang w:val="es-ES"/>
        </w:rPr>
        <w:t xml:space="preserve"> </w:t>
      </w:r>
      <w:r w:rsidR="00B812F2" w:rsidRPr="003B7960">
        <w:rPr>
          <w:rFonts w:ascii="Cambria" w:hAnsi="Cambria"/>
          <w:sz w:val="20"/>
          <w:szCs w:val="20"/>
          <w:lang w:val="es-ES"/>
        </w:rPr>
        <w:t>afirmó que su sistema para determinar la condición de refugiado</w:t>
      </w:r>
      <w:r w:rsidR="006535A9" w:rsidRPr="003B7960">
        <w:rPr>
          <w:rFonts w:ascii="Cambria" w:hAnsi="Cambria"/>
          <w:sz w:val="20"/>
          <w:szCs w:val="20"/>
          <w:lang w:val="es-ES"/>
        </w:rPr>
        <w:t>, que se aplicó a las presuntas víctimas,</w:t>
      </w:r>
      <w:r w:rsidR="00067F9E" w:rsidRPr="003B7960">
        <w:rPr>
          <w:rFonts w:ascii="Cambria" w:hAnsi="Cambria"/>
          <w:sz w:val="20"/>
          <w:szCs w:val="20"/>
          <w:lang w:val="es-ES"/>
        </w:rPr>
        <w:t xml:space="preserve"> consist</w:t>
      </w:r>
      <w:r w:rsidR="002B4658" w:rsidRPr="003B7960">
        <w:rPr>
          <w:rFonts w:ascii="Cambria" w:hAnsi="Cambria"/>
          <w:sz w:val="20"/>
          <w:szCs w:val="20"/>
          <w:lang w:val="es-ES"/>
        </w:rPr>
        <w:t xml:space="preserve">e en un procedimiento administrativo refrendado por el ACNUR que concuerda con sus </w:t>
      </w:r>
      <w:r w:rsidR="002B4658" w:rsidRPr="003B7960">
        <w:rPr>
          <w:rFonts w:ascii="Cambria" w:hAnsi="Cambria"/>
          <w:sz w:val="20"/>
          <w:szCs w:val="20"/>
          <w:lang w:val="es-ES"/>
        </w:rPr>
        <w:lastRenderedPageBreak/>
        <w:t>obligaciones internacionales</w:t>
      </w:r>
      <w:r w:rsidR="00067F9E" w:rsidRPr="003B7960">
        <w:rPr>
          <w:rFonts w:ascii="Cambria" w:hAnsi="Cambria"/>
          <w:color w:val="000000"/>
          <w:sz w:val="20"/>
          <w:szCs w:val="20"/>
          <w:lang w:val="es-ES"/>
        </w:rPr>
        <w:t xml:space="preserve">. </w:t>
      </w:r>
      <w:r w:rsidR="002B4658" w:rsidRPr="003B7960">
        <w:rPr>
          <w:rFonts w:ascii="Cambria" w:hAnsi="Cambria"/>
          <w:color w:val="000000"/>
          <w:sz w:val="20"/>
          <w:szCs w:val="20"/>
          <w:lang w:val="es-ES"/>
        </w:rPr>
        <w:t>Por consiguiente, reconoció que todavía no cuenta con leyes sobre la determinación de la</w:t>
      </w:r>
      <w:r w:rsidR="00067F9E" w:rsidRPr="003B7960">
        <w:rPr>
          <w:rFonts w:ascii="Cambria" w:hAnsi="Cambria"/>
          <w:color w:val="000000"/>
          <w:sz w:val="20"/>
          <w:szCs w:val="20"/>
          <w:lang w:val="es-ES"/>
        </w:rPr>
        <w:t xml:space="preserve"> </w:t>
      </w:r>
      <w:r w:rsidR="00BE1909" w:rsidRPr="003B7960">
        <w:rPr>
          <w:rFonts w:ascii="Cambria" w:hAnsi="Cambria"/>
          <w:color w:val="000000"/>
          <w:sz w:val="20"/>
          <w:szCs w:val="20"/>
          <w:lang w:val="es-ES"/>
        </w:rPr>
        <w:t>condición de refugiado</w:t>
      </w:r>
      <w:r w:rsidR="00067F9E" w:rsidRPr="003B7960">
        <w:rPr>
          <w:rFonts w:ascii="Cambria" w:hAnsi="Cambria"/>
          <w:color w:val="000000"/>
          <w:sz w:val="20"/>
          <w:szCs w:val="20"/>
          <w:lang w:val="es-ES"/>
        </w:rPr>
        <w:t xml:space="preserve">. </w:t>
      </w:r>
    </w:p>
    <w:p w14:paraId="3DDA8E87"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049AA09F" w14:textId="77777777" w:rsidR="00067F9E" w:rsidRPr="003B7960" w:rsidRDefault="00A332F5"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w:t>
      </w:r>
      <w:r w:rsidR="009C7B90" w:rsidRPr="003B7960">
        <w:rPr>
          <w:rFonts w:ascii="Cambria" w:hAnsi="Cambria"/>
          <w:color w:val="000000"/>
          <w:sz w:val="20"/>
          <w:szCs w:val="20"/>
          <w:lang w:val="es-ES"/>
        </w:rPr>
        <w:t xml:space="preserve">señaló que los </w:t>
      </w:r>
      <w:r w:rsidR="002A3038" w:rsidRPr="003B7960">
        <w:rPr>
          <w:rFonts w:ascii="Cambria" w:hAnsi="Cambria"/>
          <w:color w:val="000000"/>
          <w:sz w:val="20"/>
          <w:szCs w:val="20"/>
          <w:lang w:val="es-ES"/>
        </w:rPr>
        <w:t>solicitantes de asilo</w:t>
      </w:r>
      <w:r w:rsidR="00067F9E" w:rsidRPr="003B7960">
        <w:rPr>
          <w:rFonts w:ascii="Cambria" w:hAnsi="Cambria"/>
          <w:color w:val="000000"/>
          <w:sz w:val="20"/>
          <w:szCs w:val="20"/>
          <w:lang w:val="es-ES"/>
        </w:rPr>
        <w:t xml:space="preserve"> </w:t>
      </w:r>
      <w:r w:rsidR="009C7B90" w:rsidRPr="003B7960">
        <w:rPr>
          <w:rFonts w:ascii="Cambria" w:hAnsi="Cambria"/>
          <w:color w:val="000000"/>
          <w:sz w:val="20"/>
          <w:szCs w:val="20"/>
          <w:lang w:val="es-ES"/>
        </w:rPr>
        <w:t xml:space="preserve">tienen la oportunidad de exponer su caso y presentar documentos pertinentes. Afirmó que las respuestas a los cuestionarios determinan si se hará una investigación y una entrevista más minuciosas a fin de llegar a una decisión final bien fundamentada. Sin embargo, </w:t>
      </w:r>
      <w:r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w:t>
      </w:r>
      <w:r w:rsidR="009C7B90" w:rsidRPr="003B7960">
        <w:rPr>
          <w:rFonts w:ascii="Cambria" w:hAnsi="Cambria"/>
          <w:color w:val="000000"/>
          <w:sz w:val="20"/>
          <w:szCs w:val="20"/>
          <w:lang w:val="es-ES"/>
        </w:rPr>
        <w:t xml:space="preserve">no proporcionó información sobre la situación </w:t>
      </w:r>
      <w:r w:rsidR="00067F9E" w:rsidRPr="003B7960">
        <w:rPr>
          <w:rFonts w:ascii="Cambria" w:hAnsi="Cambria"/>
          <w:color w:val="000000"/>
          <w:sz w:val="20"/>
          <w:szCs w:val="20"/>
          <w:lang w:val="es-ES"/>
        </w:rPr>
        <w:t xml:space="preserve">individual </w:t>
      </w:r>
      <w:r w:rsidR="009C7B90" w:rsidRPr="003B7960">
        <w:rPr>
          <w:rFonts w:ascii="Cambria" w:hAnsi="Cambria"/>
          <w:color w:val="000000"/>
          <w:sz w:val="20"/>
          <w:szCs w:val="20"/>
          <w:lang w:val="es-ES"/>
        </w:rPr>
        <w:t xml:space="preserve">de las </w:t>
      </w:r>
      <w:r w:rsidR="00C62DEF" w:rsidRPr="003B7960">
        <w:rPr>
          <w:rFonts w:ascii="Cambria" w:hAnsi="Cambria"/>
          <w:color w:val="000000"/>
          <w:sz w:val="20"/>
          <w:szCs w:val="20"/>
          <w:lang w:val="es-ES"/>
        </w:rPr>
        <w:t>presuntas víctimas</w:t>
      </w:r>
      <w:r w:rsidR="00067F9E" w:rsidRPr="003B7960">
        <w:rPr>
          <w:rFonts w:ascii="Cambria" w:hAnsi="Cambria"/>
          <w:color w:val="000000"/>
          <w:sz w:val="20"/>
          <w:szCs w:val="20"/>
          <w:lang w:val="es-ES"/>
        </w:rPr>
        <w:t xml:space="preserve">. </w:t>
      </w:r>
    </w:p>
    <w:p w14:paraId="3B10A37E"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085CE74D" w14:textId="77777777" w:rsidR="00067F9E" w:rsidRPr="003B7960" w:rsidRDefault="00A332F5"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sz w:val="20"/>
          <w:szCs w:val="20"/>
          <w:lang w:val="es-ES"/>
        </w:rPr>
        <w:t>El Estado</w:t>
      </w:r>
      <w:r w:rsidR="00067F9E" w:rsidRPr="003B7960">
        <w:rPr>
          <w:rFonts w:ascii="Cambria" w:hAnsi="Cambria"/>
          <w:sz w:val="20"/>
          <w:szCs w:val="20"/>
          <w:lang w:val="es-ES"/>
        </w:rPr>
        <w:t xml:space="preserve"> reco</w:t>
      </w:r>
      <w:r w:rsidR="002A3038" w:rsidRPr="003B7960">
        <w:rPr>
          <w:rFonts w:ascii="Cambria" w:hAnsi="Cambria"/>
          <w:sz w:val="20"/>
          <w:szCs w:val="20"/>
          <w:lang w:val="es-ES"/>
        </w:rPr>
        <w:t xml:space="preserve">noció que es necesario mejorar las condiciones 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00133A5D" w:rsidRPr="003B7960">
        <w:rPr>
          <w:rFonts w:ascii="Cambria" w:hAnsi="Cambria"/>
          <w:sz w:val="20"/>
          <w:szCs w:val="20"/>
          <w:lang w:val="es-ES"/>
        </w:rPr>
        <w:t>E</w:t>
      </w:r>
      <w:r w:rsidR="00067F9E" w:rsidRPr="003B7960">
        <w:rPr>
          <w:rFonts w:ascii="Cambria" w:hAnsi="Cambria"/>
          <w:sz w:val="20"/>
          <w:szCs w:val="20"/>
          <w:lang w:val="es-ES"/>
        </w:rPr>
        <w:t>n 1999</w:t>
      </w:r>
      <w:r w:rsidR="00133A5D" w:rsidRPr="003B7960">
        <w:rPr>
          <w:rFonts w:ascii="Cambria" w:hAnsi="Cambria"/>
          <w:sz w:val="20"/>
          <w:szCs w:val="20"/>
          <w:lang w:val="es-ES"/>
        </w:rPr>
        <w:t xml:space="preserve"> expresó su compromiso de reparar y renovar el Centro y de dedicar recursos económicos a ese fin. El </w:t>
      </w:r>
      <w:r w:rsidRPr="003B7960">
        <w:rPr>
          <w:rFonts w:ascii="Cambria" w:hAnsi="Cambria"/>
          <w:sz w:val="20"/>
          <w:szCs w:val="20"/>
          <w:lang w:val="es-ES"/>
        </w:rPr>
        <w:t>Estado</w:t>
      </w:r>
      <w:r w:rsidR="00067F9E" w:rsidRPr="003B7960">
        <w:rPr>
          <w:rFonts w:ascii="Cambria" w:hAnsi="Cambria"/>
          <w:sz w:val="20"/>
          <w:szCs w:val="20"/>
          <w:lang w:val="es-ES"/>
        </w:rPr>
        <w:t xml:space="preserve"> </w:t>
      </w:r>
      <w:r w:rsidR="00133A5D" w:rsidRPr="003B7960">
        <w:rPr>
          <w:rFonts w:ascii="Cambria" w:hAnsi="Cambria"/>
          <w:sz w:val="20"/>
          <w:szCs w:val="20"/>
          <w:lang w:val="es-ES"/>
        </w:rPr>
        <w:t>no proporcionó más información al respecto</w:t>
      </w:r>
      <w:r w:rsidR="00067F9E" w:rsidRPr="003B7960">
        <w:rPr>
          <w:rFonts w:ascii="Cambria" w:hAnsi="Cambria"/>
          <w:sz w:val="20"/>
          <w:szCs w:val="20"/>
          <w:lang w:val="es-ES"/>
        </w:rPr>
        <w:t xml:space="preserve">. </w:t>
      </w:r>
      <w:r w:rsidR="00133A5D" w:rsidRPr="003B7960">
        <w:rPr>
          <w:rFonts w:ascii="Cambria" w:hAnsi="Cambria"/>
          <w:sz w:val="20"/>
          <w:szCs w:val="20"/>
          <w:lang w:val="es-ES"/>
        </w:rPr>
        <w:t>A pesar de la necesidad de mejoras</w:t>
      </w:r>
      <w:r w:rsidR="00067F9E" w:rsidRPr="003B7960">
        <w:rPr>
          <w:rFonts w:ascii="Cambria" w:hAnsi="Cambria"/>
          <w:sz w:val="20"/>
          <w:szCs w:val="20"/>
          <w:lang w:val="es-ES"/>
        </w:rPr>
        <w:t xml:space="preserve">, </w:t>
      </w:r>
      <w:r w:rsidRPr="003B7960">
        <w:rPr>
          <w:rFonts w:ascii="Cambria" w:hAnsi="Cambria"/>
          <w:sz w:val="20"/>
          <w:szCs w:val="20"/>
          <w:lang w:val="es-ES"/>
        </w:rPr>
        <w:t>el Estado</w:t>
      </w:r>
      <w:r w:rsidR="00067F9E" w:rsidRPr="003B7960">
        <w:rPr>
          <w:rFonts w:ascii="Cambria" w:hAnsi="Cambria"/>
          <w:sz w:val="20"/>
          <w:szCs w:val="20"/>
          <w:lang w:val="es-ES"/>
        </w:rPr>
        <w:t xml:space="preserve"> </w:t>
      </w:r>
      <w:r w:rsidR="00133A5D" w:rsidRPr="003B7960">
        <w:rPr>
          <w:rFonts w:ascii="Cambria" w:hAnsi="Cambria"/>
          <w:sz w:val="20"/>
          <w:szCs w:val="20"/>
          <w:lang w:val="es-ES"/>
        </w:rPr>
        <w:t xml:space="preserve">destacó </w:t>
      </w:r>
      <w:r w:rsidR="00AA4CDB" w:rsidRPr="003B7960">
        <w:rPr>
          <w:rFonts w:ascii="Cambria" w:hAnsi="Cambria"/>
          <w:sz w:val="20"/>
          <w:szCs w:val="20"/>
          <w:lang w:val="es-ES"/>
        </w:rPr>
        <w:t xml:space="preserve">el trato </w:t>
      </w:r>
      <w:r w:rsidR="00A37A57" w:rsidRPr="003B7960">
        <w:rPr>
          <w:rFonts w:ascii="Cambria" w:hAnsi="Cambria"/>
          <w:sz w:val="20"/>
          <w:szCs w:val="20"/>
          <w:lang w:val="es-ES"/>
        </w:rPr>
        <w:t>humano</w:t>
      </w:r>
      <w:r w:rsidR="00AA4CDB" w:rsidRPr="003B7960">
        <w:rPr>
          <w:rFonts w:ascii="Cambria" w:hAnsi="Cambria"/>
          <w:sz w:val="20"/>
          <w:szCs w:val="20"/>
          <w:lang w:val="es-ES"/>
        </w:rPr>
        <w:t xml:space="preserve"> </w:t>
      </w:r>
      <w:r w:rsidR="006535A9" w:rsidRPr="003B7960">
        <w:rPr>
          <w:rFonts w:ascii="Cambria" w:hAnsi="Cambria"/>
          <w:sz w:val="20"/>
          <w:szCs w:val="20"/>
          <w:lang w:val="es-ES"/>
        </w:rPr>
        <w:t xml:space="preserve">que reciben </w:t>
      </w:r>
      <w:r w:rsidR="00AA4CDB" w:rsidRPr="003B7960">
        <w:rPr>
          <w:rFonts w:ascii="Cambria" w:hAnsi="Cambria"/>
          <w:sz w:val="20"/>
          <w:szCs w:val="20"/>
          <w:lang w:val="es-ES"/>
        </w:rPr>
        <w:t xml:space="preserve">los </w:t>
      </w:r>
      <w:r w:rsidR="007B6078" w:rsidRPr="003B7960">
        <w:rPr>
          <w:rFonts w:ascii="Cambria" w:hAnsi="Cambria"/>
          <w:sz w:val="20"/>
          <w:szCs w:val="20"/>
          <w:lang w:val="es-ES"/>
        </w:rPr>
        <w:t>detenidos</w:t>
      </w:r>
      <w:r w:rsidR="00067F9E" w:rsidRPr="003B7960">
        <w:rPr>
          <w:rFonts w:ascii="Cambria" w:hAnsi="Cambria"/>
          <w:sz w:val="20"/>
          <w:szCs w:val="20"/>
          <w:lang w:val="es-ES"/>
        </w:rPr>
        <w:t xml:space="preserve"> </w:t>
      </w:r>
      <w:r w:rsidR="00AA4CDB" w:rsidRPr="003B7960">
        <w:rPr>
          <w:rFonts w:ascii="Cambria" w:hAnsi="Cambria"/>
          <w:sz w:val="20"/>
          <w:szCs w:val="20"/>
          <w:lang w:val="es-ES"/>
        </w:rPr>
        <w:t xml:space="preserve">durante el período de privación de su libertad, </w:t>
      </w:r>
      <w:r w:rsidR="006535A9" w:rsidRPr="003B7960">
        <w:rPr>
          <w:rFonts w:ascii="Cambria" w:hAnsi="Cambria"/>
          <w:sz w:val="20"/>
          <w:szCs w:val="20"/>
          <w:lang w:val="es-ES"/>
        </w:rPr>
        <w:t xml:space="preserve">con </w:t>
      </w:r>
      <w:r w:rsidR="00AA4CDB" w:rsidRPr="003B7960">
        <w:rPr>
          <w:rFonts w:ascii="Cambria" w:hAnsi="Cambria"/>
          <w:sz w:val="20"/>
          <w:szCs w:val="20"/>
          <w:lang w:val="es-ES"/>
        </w:rPr>
        <w:t>acceso a agua potable, tres comidas diarias y atención médica, entre otros bienes y servicios esenciales</w:t>
      </w:r>
      <w:r w:rsidR="00067F9E" w:rsidRPr="003B7960">
        <w:rPr>
          <w:rFonts w:ascii="Cambria" w:hAnsi="Cambria"/>
          <w:sz w:val="20"/>
          <w:szCs w:val="20"/>
          <w:lang w:val="es-ES"/>
        </w:rPr>
        <w:t xml:space="preserve">. </w:t>
      </w:r>
    </w:p>
    <w:p w14:paraId="6F22363C"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0E877DA8" w14:textId="2441D816" w:rsidR="00067F9E" w:rsidRPr="003B7960" w:rsidRDefault="00133A5D"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Con respecto a la presunta </w:t>
      </w:r>
      <w:r w:rsidR="00B812F2" w:rsidRPr="003B7960">
        <w:rPr>
          <w:rFonts w:ascii="Cambria" w:hAnsi="Cambria"/>
          <w:color w:val="000000"/>
          <w:sz w:val="20"/>
          <w:szCs w:val="20"/>
          <w:lang w:val="es-ES"/>
        </w:rPr>
        <w:t>detención arbitraria</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de </w:t>
      </w:r>
      <w:r w:rsidR="000265CB" w:rsidRPr="003B7960">
        <w:rPr>
          <w:rFonts w:ascii="Cambria" w:hAnsi="Cambria"/>
          <w:color w:val="000000"/>
          <w:sz w:val="20"/>
          <w:szCs w:val="20"/>
          <w:lang w:val="es-ES"/>
        </w:rPr>
        <w:t>niños</w:t>
      </w:r>
      <w:r w:rsidRPr="003B7960">
        <w:rPr>
          <w:rFonts w:ascii="Cambria" w:hAnsi="Cambria"/>
          <w:color w:val="000000"/>
          <w:sz w:val="20"/>
          <w:szCs w:val="20"/>
          <w:lang w:val="es-ES"/>
        </w:rPr>
        <w:t xml:space="preserve">, </w:t>
      </w:r>
      <w:r w:rsidR="00A332F5"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señaló que a los </w:t>
      </w:r>
      <w:r w:rsidR="000265CB" w:rsidRPr="003B7960">
        <w:rPr>
          <w:rFonts w:ascii="Cambria" w:hAnsi="Cambria"/>
          <w:color w:val="000000"/>
          <w:sz w:val="20"/>
          <w:szCs w:val="20"/>
          <w:lang w:val="es-ES"/>
        </w:rPr>
        <w:t>niños</w:t>
      </w:r>
      <w:r w:rsidRPr="003B7960">
        <w:rPr>
          <w:rFonts w:ascii="Cambria" w:hAnsi="Cambria"/>
          <w:color w:val="000000"/>
          <w:sz w:val="20"/>
          <w:szCs w:val="20"/>
          <w:lang w:val="es-ES"/>
        </w:rPr>
        <w:t xml:space="preserve"> que viajan acompañados no se los separa de sus familiares y se les ofrecen actividades de recreación, en tanto que los </w:t>
      </w:r>
      <w:r w:rsidR="000265CB" w:rsidRPr="003B7960">
        <w:rPr>
          <w:rFonts w:ascii="Cambria" w:hAnsi="Cambria"/>
          <w:sz w:val="20"/>
          <w:szCs w:val="20"/>
          <w:lang w:val="es-ES"/>
        </w:rPr>
        <w:t>niños</w:t>
      </w:r>
      <w:r w:rsidR="00B812F2" w:rsidRPr="003B7960">
        <w:rPr>
          <w:rFonts w:ascii="Cambria" w:hAnsi="Cambria"/>
          <w:sz w:val="20"/>
          <w:szCs w:val="20"/>
          <w:lang w:val="es-ES"/>
        </w:rPr>
        <w:t xml:space="preserve"> no acompañados</w:t>
      </w:r>
      <w:r w:rsidR="00067F9E" w:rsidRPr="003B7960">
        <w:rPr>
          <w:rFonts w:ascii="Cambria" w:hAnsi="Cambria"/>
          <w:sz w:val="20"/>
          <w:szCs w:val="20"/>
          <w:lang w:val="es-ES"/>
        </w:rPr>
        <w:t xml:space="preserve"> </w:t>
      </w:r>
      <w:r w:rsidRPr="003B7960">
        <w:rPr>
          <w:rFonts w:ascii="Cambria" w:hAnsi="Cambria"/>
          <w:sz w:val="20"/>
          <w:szCs w:val="20"/>
          <w:lang w:val="es-ES"/>
        </w:rPr>
        <w:t xml:space="preserve">son </w:t>
      </w:r>
      <w:r w:rsidR="000265CB" w:rsidRPr="003B7960">
        <w:rPr>
          <w:rFonts w:ascii="Cambria" w:hAnsi="Cambria"/>
          <w:sz w:val="20"/>
          <w:szCs w:val="20"/>
          <w:lang w:val="es-ES"/>
        </w:rPr>
        <w:t>ubicados</w:t>
      </w:r>
      <w:r w:rsidRPr="003B7960">
        <w:rPr>
          <w:rFonts w:ascii="Cambria" w:hAnsi="Cambria"/>
          <w:sz w:val="20"/>
          <w:szCs w:val="20"/>
          <w:lang w:val="es-ES"/>
        </w:rPr>
        <w:t xml:space="preserve"> en establecimientos bahameses donde se los pueda </w:t>
      </w:r>
      <w:r w:rsidR="006535A9" w:rsidRPr="003B7960">
        <w:rPr>
          <w:rFonts w:ascii="Cambria" w:hAnsi="Cambria"/>
          <w:sz w:val="20"/>
          <w:szCs w:val="20"/>
          <w:lang w:val="es-ES"/>
        </w:rPr>
        <w:t xml:space="preserve">cuidar y </w:t>
      </w:r>
      <w:r w:rsidRPr="003B7960">
        <w:rPr>
          <w:rFonts w:ascii="Cambria" w:hAnsi="Cambria"/>
          <w:sz w:val="20"/>
          <w:szCs w:val="20"/>
          <w:lang w:val="es-ES"/>
        </w:rPr>
        <w:t xml:space="preserve">supervisar debidamente. Por último,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reco</w:t>
      </w:r>
      <w:r w:rsidRPr="003B7960">
        <w:rPr>
          <w:rFonts w:ascii="Cambria" w:hAnsi="Cambria"/>
          <w:sz w:val="20"/>
          <w:szCs w:val="20"/>
          <w:lang w:val="es-ES"/>
        </w:rPr>
        <w:t xml:space="preserve">noció que no es </w:t>
      </w:r>
      <w:r w:rsidR="007B4325" w:rsidRPr="003B7960">
        <w:rPr>
          <w:rFonts w:ascii="Cambria" w:hAnsi="Cambria"/>
          <w:sz w:val="20"/>
          <w:szCs w:val="20"/>
          <w:lang w:val="es-ES"/>
        </w:rPr>
        <w:t>deseable</w:t>
      </w:r>
      <w:r w:rsidRPr="003B7960">
        <w:rPr>
          <w:rFonts w:ascii="Cambria" w:hAnsi="Cambria"/>
          <w:sz w:val="20"/>
          <w:szCs w:val="20"/>
          <w:lang w:val="es-ES"/>
        </w:rPr>
        <w:t xml:space="preserve"> </w:t>
      </w:r>
      <w:r w:rsidR="006535A9" w:rsidRPr="003B7960">
        <w:rPr>
          <w:rFonts w:ascii="Cambria" w:hAnsi="Cambria"/>
          <w:sz w:val="20"/>
          <w:szCs w:val="20"/>
          <w:lang w:val="es-ES"/>
        </w:rPr>
        <w:t xml:space="preserve">mantener </w:t>
      </w:r>
      <w:r w:rsidRPr="003B7960">
        <w:rPr>
          <w:rFonts w:ascii="Cambria" w:hAnsi="Cambria"/>
          <w:sz w:val="20"/>
          <w:szCs w:val="20"/>
          <w:lang w:val="es-ES"/>
        </w:rPr>
        <w:t xml:space="preserve">a </w:t>
      </w:r>
      <w:r w:rsidR="000265CB" w:rsidRPr="003B7960">
        <w:rPr>
          <w:rFonts w:ascii="Cambria" w:hAnsi="Cambria"/>
          <w:sz w:val="20"/>
          <w:szCs w:val="20"/>
          <w:lang w:val="es-ES"/>
        </w:rPr>
        <w:t>niños</w:t>
      </w:r>
      <w:r w:rsidRPr="003B7960">
        <w:rPr>
          <w:rFonts w:ascii="Cambria" w:hAnsi="Cambria"/>
          <w:sz w:val="20"/>
          <w:szCs w:val="20"/>
          <w:lang w:val="es-ES"/>
        </w:rPr>
        <w:t xml:space="preserve"> </w:t>
      </w:r>
      <w:r w:rsidR="006535A9" w:rsidRPr="003B7960">
        <w:rPr>
          <w:rFonts w:ascii="Cambria" w:hAnsi="Cambria"/>
          <w:sz w:val="20"/>
          <w:szCs w:val="20"/>
          <w:lang w:val="es-ES"/>
        </w:rPr>
        <w:t xml:space="preserve">detenidos </w:t>
      </w:r>
      <w:r w:rsidRPr="003B7960">
        <w:rPr>
          <w:rFonts w:ascii="Cambria" w:hAnsi="Cambria"/>
          <w:sz w:val="20"/>
          <w:szCs w:val="20"/>
          <w:lang w:val="es-ES"/>
        </w:rPr>
        <w:t xml:space="preserve">junto con </w:t>
      </w:r>
      <w:r w:rsidR="00067F9E" w:rsidRPr="003B7960">
        <w:rPr>
          <w:rFonts w:ascii="Cambria" w:hAnsi="Cambria"/>
          <w:sz w:val="20"/>
          <w:szCs w:val="20"/>
          <w:lang w:val="es-ES"/>
        </w:rPr>
        <w:t>adult</w:t>
      </w:r>
      <w:r w:rsidRPr="003B7960">
        <w:rPr>
          <w:rFonts w:ascii="Cambria" w:hAnsi="Cambria"/>
          <w:sz w:val="20"/>
          <w:szCs w:val="20"/>
          <w:lang w:val="es-ES"/>
        </w:rPr>
        <w:t xml:space="preserve">os y afirmó que, para abordar esta preocupación, el gobierno decidió que en las nuevas instalaciones que están en construcción se agregará </w:t>
      </w:r>
      <w:r w:rsidR="00252CBB" w:rsidRPr="003B7960">
        <w:rPr>
          <w:rFonts w:ascii="Cambria" w:hAnsi="Cambria"/>
          <w:sz w:val="20"/>
          <w:szCs w:val="20"/>
          <w:lang w:val="es-ES"/>
        </w:rPr>
        <w:t xml:space="preserve">un dormitorio exclusivamente para </w:t>
      </w:r>
      <w:r w:rsidR="000265CB" w:rsidRPr="003B7960">
        <w:rPr>
          <w:rFonts w:ascii="Cambria" w:hAnsi="Cambria"/>
          <w:sz w:val="20"/>
          <w:szCs w:val="20"/>
          <w:lang w:val="es-ES"/>
        </w:rPr>
        <w:t>niños</w:t>
      </w:r>
      <w:r w:rsidR="00067F9E" w:rsidRPr="003B7960">
        <w:rPr>
          <w:rFonts w:ascii="Cambria" w:hAnsi="Cambria"/>
          <w:sz w:val="20"/>
          <w:szCs w:val="20"/>
          <w:lang w:val="es-ES"/>
        </w:rPr>
        <w:t>.</w:t>
      </w:r>
    </w:p>
    <w:p w14:paraId="7EEC5232"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4B1A42E5" w14:textId="77777777" w:rsidR="00067F9E" w:rsidRPr="003B7960" w:rsidRDefault="00C47806" w:rsidP="00101DC6">
      <w:pPr>
        <w:pStyle w:val="Heading1"/>
        <w:keepNext w:val="0"/>
        <w:keepLines w:val="0"/>
        <w:tabs>
          <w:tab w:val="clear" w:pos="1440"/>
          <w:tab w:val="left" w:pos="426"/>
        </w:tabs>
        <w:suppressAutoHyphens/>
        <w:ind w:left="0" w:firstLine="0"/>
        <w:jc w:val="left"/>
        <w:rPr>
          <w:lang w:val="es-ES"/>
        </w:rPr>
      </w:pPr>
      <w:bookmarkStart w:id="5" w:name="_Toc90557293"/>
      <w:r w:rsidRPr="003B7960">
        <w:rPr>
          <w:lang w:val="es-ES"/>
        </w:rPr>
        <w:t xml:space="preserve">ANÁLISIS DE </w:t>
      </w:r>
      <w:r w:rsidR="00654B4A" w:rsidRPr="003B7960">
        <w:rPr>
          <w:lang w:val="es-ES"/>
        </w:rPr>
        <w:t>ADMISIBILIDAD</w:t>
      </w:r>
      <w:bookmarkEnd w:id="5"/>
      <w:r w:rsidR="00067F9E" w:rsidRPr="003B7960">
        <w:rPr>
          <w:lang w:val="es-ES"/>
        </w:rPr>
        <w:t xml:space="preserve"> </w:t>
      </w:r>
    </w:p>
    <w:p w14:paraId="49853969"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16F85267"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consider</w:t>
      </w:r>
      <w:r w:rsidR="00252CBB" w:rsidRPr="003B7960">
        <w:rPr>
          <w:rFonts w:ascii="Cambria" w:hAnsi="Cambria"/>
          <w:sz w:val="20"/>
          <w:szCs w:val="20"/>
          <w:lang w:val="es-ES"/>
        </w:rPr>
        <w:t xml:space="preserve">a que el </w:t>
      </w:r>
      <w:r w:rsidR="001A6E22" w:rsidRPr="003B7960">
        <w:rPr>
          <w:rFonts w:ascii="Cambria" w:hAnsi="Cambria"/>
          <w:sz w:val="20"/>
          <w:szCs w:val="20"/>
          <w:lang w:val="es-ES"/>
        </w:rPr>
        <w:t>análisis</w:t>
      </w:r>
      <w:r w:rsidR="00067F9E" w:rsidRPr="003B7960">
        <w:rPr>
          <w:rFonts w:ascii="Cambria" w:hAnsi="Cambria"/>
          <w:sz w:val="20"/>
          <w:szCs w:val="20"/>
          <w:lang w:val="es-ES"/>
        </w:rPr>
        <w:t xml:space="preserve"> </w:t>
      </w:r>
      <w:r w:rsidR="00252CBB" w:rsidRPr="003B7960">
        <w:rPr>
          <w:rFonts w:ascii="Cambria" w:hAnsi="Cambria"/>
          <w:sz w:val="20"/>
          <w:szCs w:val="20"/>
          <w:lang w:val="es-ES"/>
        </w:rPr>
        <w:t>de su competencia expuesto en el</w:t>
      </w:r>
      <w:r w:rsidR="00067F9E" w:rsidRPr="003B7960">
        <w:rPr>
          <w:rFonts w:ascii="Cambria" w:hAnsi="Cambria"/>
          <w:sz w:val="20"/>
          <w:szCs w:val="20"/>
          <w:lang w:val="es-ES"/>
        </w:rPr>
        <w:t xml:space="preserve"> </w:t>
      </w:r>
      <w:r w:rsidR="00C62DEF" w:rsidRPr="003B7960">
        <w:rPr>
          <w:rFonts w:ascii="Cambria" w:hAnsi="Cambria"/>
          <w:sz w:val="20"/>
          <w:szCs w:val="20"/>
          <w:lang w:val="es-ES"/>
        </w:rPr>
        <w:t>Informe de Admisibilidad</w:t>
      </w:r>
      <w:r w:rsidR="00067F9E" w:rsidRPr="003B7960">
        <w:rPr>
          <w:rFonts w:ascii="Cambria" w:hAnsi="Cambria"/>
          <w:sz w:val="20"/>
          <w:szCs w:val="20"/>
          <w:lang w:val="es-ES"/>
        </w:rPr>
        <w:t xml:space="preserve"> No. 6/02 </w:t>
      </w:r>
      <w:r w:rsidR="00252CBB" w:rsidRPr="003B7960">
        <w:rPr>
          <w:rFonts w:ascii="Cambria" w:hAnsi="Cambria"/>
          <w:sz w:val="20"/>
          <w:szCs w:val="20"/>
          <w:lang w:val="es-ES"/>
        </w:rPr>
        <w:t xml:space="preserve">en el </w:t>
      </w:r>
      <w:r w:rsidR="008A4F19" w:rsidRPr="003B7960">
        <w:rPr>
          <w:rFonts w:ascii="Cambria" w:hAnsi="Cambria"/>
          <w:sz w:val="20"/>
          <w:szCs w:val="20"/>
          <w:lang w:val="es-ES"/>
        </w:rPr>
        <w:t>caso</w:t>
      </w:r>
      <w:r w:rsidR="00067F9E" w:rsidRPr="003B7960">
        <w:rPr>
          <w:rFonts w:ascii="Cambria" w:hAnsi="Cambria"/>
          <w:sz w:val="20"/>
          <w:szCs w:val="20"/>
          <w:lang w:val="es-ES"/>
        </w:rPr>
        <w:t xml:space="preserve"> 12.071 </w:t>
      </w:r>
      <w:r w:rsidR="00252CBB" w:rsidRPr="003B7960">
        <w:rPr>
          <w:rFonts w:ascii="Cambria" w:hAnsi="Cambria"/>
          <w:sz w:val="20"/>
          <w:szCs w:val="20"/>
          <w:lang w:val="es-ES"/>
        </w:rPr>
        <w:t>se aplica plenamente a la s</w:t>
      </w:r>
      <w:r w:rsidR="001A6E22" w:rsidRPr="003B7960">
        <w:rPr>
          <w:rFonts w:ascii="Cambria" w:hAnsi="Cambria"/>
          <w:sz w:val="20"/>
          <w:szCs w:val="20"/>
          <w:lang w:val="es-ES"/>
        </w:rPr>
        <w:t>egunda petición</w:t>
      </w:r>
      <w:r w:rsidR="00252CBB" w:rsidRPr="003B7960">
        <w:rPr>
          <w:rFonts w:ascii="Cambria" w:hAnsi="Cambria"/>
          <w:sz w:val="20"/>
          <w:szCs w:val="20"/>
          <w:lang w:val="es-ES"/>
        </w:rPr>
        <w:t xml:space="preserve">, que abarca el grupo nuevo de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Asimismo, la evaluación realizada por </w:t>
      </w:r>
      <w:r w:rsidRPr="003B7960">
        <w:rPr>
          <w:rFonts w:ascii="Cambria" w:hAnsi="Cambria"/>
          <w:sz w:val="20"/>
          <w:szCs w:val="20"/>
          <w:lang w:val="es-ES"/>
        </w:rPr>
        <w:t>la Comisión</w:t>
      </w:r>
      <w:r w:rsidR="00252CBB" w:rsidRPr="003B7960">
        <w:rPr>
          <w:rFonts w:ascii="Cambria" w:hAnsi="Cambria"/>
          <w:sz w:val="20"/>
          <w:szCs w:val="20"/>
          <w:lang w:val="es-ES"/>
        </w:rPr>
        <w:t xml:space="preserve"> de la decisión de </w:t>
      </w:r>
      <w:r w:rsidR="00654B4A" w:rsidRPr="003B7960">
        <w:rPr>
          <w:rFonts w:ascii="Cambria" w:hAnsi="Cambria"/>
          <w:sz w:val="20"/>
          <w:szCs w:val="20"/>
          <w:lang w:val="es-ES"/>
        </w:rPr>
        <w:t>admisibilidad</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a saber, la duplicación de procedimientos y </w:t>
      </w:r>
      <w:r w:rsidR="001A6E22" w:rsidRPr="003B7960">
        <w:rPr>
          <w:rFonts w:ascii="Cambria" w:hAnsi="Cambria"/>
          <w:sz w:val="20"/>
          <w:szCs w:val="20"/>
          <w:lang w:val="es-ES"/>
        </w:rPr>
        <w:t>la caracterización de los hechos alegados</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también se aplica a la </w:t>
      </w:r>
      <w:r w:rsidR="001A6E22" w:rsidRPr="003B7960">
        <w:rPr>
          <w:rFonts w:ascii="Cambria" w:hAnsi="Cambria"/>
          <w:sz w:val="20"/>
          <w:szCs w:val="20"/>
          <w:lang w:val="es-ES"/>
        </w:rPr>
        <w:t>segunda petición</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En ese sentido, el </w:t>
      </w:r>
      <w:r w:rsidR="001A6E22" w:rsidRPr="003B7960">
        <w:rPr>
          <w:rFonts w:ascii="Cambria" w:hAnsi="Cambria"/>
          <w:sz w:val="20"/>
          <w:szCs w:val="20"/>
          <w:lang w:val="es-ES"/>
        </w:rPr>
        <w:t>análisis de admisibilidad</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que está pendiente con respecto a la </w:t>
      </w:r>
      <w:r w:rsidR="001A6E22" w:rsidRPr="003B7960">
        <w:rPr>
          <w:rFonts w:ascii="Cambria" w:hAnsi="Cambria"/>
          <w:sz w:val="20"/>
          <w:szCs w:val="20"/>
          <w:lang w:val="es-ES"/>
        </w:rPr>
        <w:t>segunda petición</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se </w:t>
      </w:r>
      <w:r w:rsidR="00067F9E" w:rsidRPr="003B7960">
        <w:rPr>
          <w:rFonts w:ascii="Cambria" w:hAnsi="Cambria"/>
          <w:sz w:val="20"/>
          <w:szCs w:val="20"/>
          <w:lang w:val="es-ES"/>
        </w:rPr>
        <w:t>circu</w:t>
      </w:r>
      <w:r w:rsidR="00252CBB" w:rsidRPr="003B7960">
        <w:rPr>
          <w:rFonts w:ascii="Cambria" w:hAnsi="Cambria"/>
          <w:sz w:val="20"/>
          <w:szCs w:val="20"/>
          <w:lang w:val="es-ES"/>
        </w:rPr>
        <w:t xml:space="preserve">nscribe al </w:t>
      </w:r>
      <w:r w:rsidR="00B812F2" w:rsidRPr="003B7960">
        <w:rPr>
          <w:rFonts w:ascii="Cambria" w:hAnsi="Cambria"/>
          <w:sz w:val="20"/>
          <w:szCs w:val="20"/>
          <w:lang w:val="es-ES"/>
        </w:rPr>
        <w:t>agotamiento de los recursos internos</w:t>
      </w:r>
      <w:r w:rsidR="00067F9E" w:rsidRPr="003B7960">
        <w:rPr>
          <w:rFonts w:ascii="Cambria" w:hAnsi="Cambria"/>
          <w:sz w:val="20"/>
          <w:szCs w:val="20"/>
          <w:lang w:val="es-ES"/>
        </w:rPr>
        <w:t xml:space="preserve"> </w:t>
      </w:r>
      <w:r w:rsidR="007B4325" w:rsidRPr="003B7960">
        <w:rPr>
          <w:rFonts w:ascii="Cambria" w:hAnsi="Cambria"/>
          <w:sz w:val="20"/>
          <w:szCs w:val="20"/>
          <w:lang w:val="es-ES"/>
        </w:rPr>
        <w:t>y su presentación dentro del plazo.</w:t>
      </w:r>
    </w:p>
    <w:p w14:paraId="4F7E0A6A"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1626BE9" w14:textId="77777777" w:rsidR="00067F9E" w:rsidRPr="003B7960" w:rsidRDefault="001A6E22"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 xml:space="preserve">En su </w:t>
      </w:r>
      <w:r w:rsidR="00C62DEF" w:rsidRPr="003B7960">
        <w:rPr>
          <w:rFonts w:ascii="Cambria" w:hAnsi="Cambria"/>
          <w:sz w:val="20"/>
          <w:szCs w:val="20"/>
          <w:lang w:val="es-ES"/>
        </w:rPr>
        <w:t>Informe de Admisibilidad</w:t>
      </w:r>
      <w:r w:rsidR="00067F9E" w:rsidRPr="003B7960">
        <w:rPr>
          <w:rFonts w:ascii="Cambria" w:hAnsi="Cambria"/>
          <w:sz w:val="20"/>
          <w:szCs w:val="20"/>
          <w:lang w:val="es-ES"/>
        </w:rPr>
        <w:t xml:space="preserve"> No. 6/02</w:t>
      </w:r>
      <w:r w:rsidRPr="003B7960">
        <w:rPr>
          <w:rFonts w:ascii="Cambria" w:hAnsi="Cambria"/>
          <w:sz w:val="20"/>
          <w:szCs w:val="20"/>
          <w:lang w:val="es-ES"/>
        </w:rPr>
        <w:t>,</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decid</w:t>
      </w:r>
      <w:r w:rsidRPr="003B7960">
        <w:rPr>
          <w:rFonts w:ascii="Cambria" w:hAnsi="Cambria"/>
          <w:sz w:val="20"/>
          <w:szCs w:val="20"/>
          <w:lang w:val="es-ES"/>
        </w:rPr>
        <w:t xml:space="preserve">ió acumular los temas del </w:t>
      </w:r>
      <w:r w:rsidR="00B812F2" w:rsidRPr="003B7960">
        <w:rPr>
          <w:rFonts w:ascii="Cambria" w:hAnsi="Cambria"/>
          <w:sz w:val="20"/>
          <w:szCs w:val="20"/>
          <w:lang w:val="es-ES"/>
        </w:rPr>
        <w:t>agotamiento de los recursos internos</w:t>
      </w:r>
      <w:r w:rsidR="00067F9E" w:rsidRPr="003B7960">
        <w:rPr>
          <w:rFonts w:ascii="Cambria" w:hAnsi="Cambria"/>
          <w:sz w:val="20"/>
          <w:szCs w:val="20"/>
          <w:lang w:val="es-ES"/>
        </w:rPr>
        <w:t xml:space="preserve"> </w:t>
      </w:r>
      <w:r w:rsidR="007B4325" w:rsidRPr="003B7960">
        <w:rPr>
          <w:rFonts w:ascii="Cambria" w:hAnsi="Cambria"/>
          <w:sz w:val="20"/>
          <w:szCs w:val="20"/>
          <w:lang w:val="es-ES"/>
        </w:rPr>
        <w:t xml:space="preserve">y el plazo </w:t>
      </w:r>
      <w:r w:rsidRPr="003B7960">
        <w:rPr>
          <w:rFonts w:ascii="Cambria" w:hAnsi="Cambria"/>
          <w:sz w:val="20"/>
          <w:szCs w:val="20"/>
          <w:lang w:val="es-ES"/>
        </w:rPr>
        <w:t xml:space="preserve">de </w:t>
      </w:r>
      <w:r w:rsidR="00C47806" w:rsidRPr="003B7960">
        <w:rPr>
          <w:rFonts w:ascii="Cambria" w:hAnsi="Cambria"/>
          <w:sz w:val="20"/>
          <w:szCs w:val="20"/>
          <w:lang w:val="es-ES"/>
        </w:rPr>
        <w:t>la petición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con el </w:t>
      </w:r>
      <w:r w:rsidR="008A4F19" w:rsidRPr="003B7960">
        <w:rPr>
          <w:rFonts w:ascii="Cambria" w:hAnsi="Cambria"/>
          <w:sz w:val="20"/>
          <w:szCs w:val="20"/>
          <w:lang w:val="es-ES"/>
        </w:rPr>
        <w:t>fondo</w:t>
      </w:r>
      <w:r w:rsidR="00067F9E" w:rsidRPr="003B7960">
        <w:rPr>
          <w:rFonts w:ascii="Cambria" w:hAnsi="Cambria"/>
          <w:sz w:val="20"/>
          <w:szCs w:val="20"/>
          <w:lang w:val="es-ES"/>
        </w:rPr>
        <w:t xml:space="preserve"> </w:t>
      </w:r>
      <w:r w:rsidRPr="003B7960">
        <w:rPr>
          <w:rFonts w:ascii="Cambria" w:hAnsi="Cambria"/>
          <w:sz w:val="20"/>
          <w:szCs w:val="20"/>
          <w:lang w:val="es-ES"/>
        </w:rPr>
        <w:t>del</w:t>
      </w:r>
      <w:r w:rsidR="00067F9E" w:rsidRPr="003B7960">
        <w:rPr>
          <w:rFonts w:ascii="Cambria" w:hAnsi="Cambria"/>
          <w:sz w:val="20"/>
          <w:szCs w:val="20"/>
          <w:lang w:val="es-ES"/>
        </w:rPr>
        <w:t xml:space="preserve"> </w:t>
      </w:r>
      <w:r w:rsidR="008A4F19" w:rsidRPr="003B7960">
        <w:rPr>
          <w:rFonts w:ascii="Cambria" w:hAnsi="Cambria"/>
          <w:sz w:val="20"/>
          <w:szCs w:val="20"/>
          <w:lang w:val="es-ES"/>
        </w:rPr>
        <w:t>caso</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observa que el </w:t>
      </w:r>
      <w:r w:rsidR="007B4325" w:rsidRPr="003B7960">
        <w:rPr>
          <w:rFonts w:ascii="Cambria" w:hAnsi="Cambria"/>
          <w:sz w:val="20"/>
          <w:szCs w:val="20"/>
          <w:lang w:val="es-ES"/>
        </w:rPr>
        <w:t>centro</w:t>
      </w:r>
      <w:r w:rsidR="00252CBB" w:rsidRPr="003B7960">
        <w:rPr>
          <w:rFonts w:ascii="Cambria" w:hAnsi="Cambria"/>
          <w:sz w:val="20"/>
          <w:szCs w:val="20"/>
          <w:lang w:val="es-ES"/>
        </w:rPr>
        <w:t xml:space="preserve"> de la controversia consiste en </w:t>
      </w:r>
      <w:r w:rsidR="00B812F2" w:rsidRPr="003B7960">
        <w:rPr>
          <w:rFonts w:ascii="Cambria" w:hAnsi="Cambria"/>
          <w:sz w:val="20"/>
          <w:szCs w:val="20"/>
          <w:lang w:val="es-ES"/>
        </w:rPr>
        <w:t xml:space="preserve">el acceso de las </w:t>
      </w:r>
      <w:r w:rsidR="00C62DEF" w:rsidRPr="003B7960">
        <w:rPr>
          <w:rFonts w:ascii="Cambria" w:hAnsi="Cambria"/>
          <w:sz w:val="20"/>
          <w:szCs w:val="20"/>
          <w:lang w:val="es-ES"/>
        </w:rPr>
        <w:t>presuntas víctimas</w:t>
      </w:r>
      <w:r w:rsidR="00B812F2" w:rsidRPr="003B7960">
        <w:rPr>
          <w:rFonts w:ascii="Cambria" w:hAnsi="Cambria"/>
          <w:sz w:val="20"/>
          <w:szCs w:val="20"/>
          <w:lang w:val="es-ES"/>
        </w:rPr>
        <w:t xml:space="preserve"> a procedimientos para la determinación de la </w:t>
      </w:r>
      <w:r w:rsidR="00BE1909" w:rsidRPr="003B7960">
        <w:rPr>
          <w:rFonts w:ascii="Cambria" w:hAnsi="Cambria"/>
          <w:sz w:val="20"/>
          <w:szCs w:val="20"/>
          <w:lang w:val="es-ES"/>
        </w:rPr>
        <w:t>condición de refugiado</w:t>
      </w:r>
      <w:r w:rsidR="00067F9E" w:rsidRPr="003B7960">
        <w:rPr>
          <w:rFonts w:ascii="Cambria" w:hAnsi="Cambria"/>
          <w:sz w:val="20"/>
          <w:szCs w:val="20"/>
          <w:lang w:val="es-ES"/>
        </w:rPr>
        <w:t xml:space="preserve"> </w:t>
      </w:r>
      <w:r w:rsidR="00B812F2" w:rsidRPr="003B7960">
        <w:rPr>
          <w:rFonts w:ascii="Cambria" w:hAnsi="Cambria"/>
          <w:sz w:val="20"/>
          <w:szCs w:val="20"/>
          <w:lang w:val="es-ES"/>
        </w:rPr>
        <w:t>e</w:t>
      </w:r>
      <w:r w:rsidR="00067F9E" w:rsidRPr="003B7960">
        <w:rPr>
          <w:rFonts w:ascii="Cambria" w:hAnsi="Cambria"/>
          <w:sz w:val="20"/>
          <w:szCs w:val="20"/>
          <w:lang w:val="es-ES"/>
        </w:rPr>
        <w:t xml:space="preserve">n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295037" w:rsidRPr="003B7960">
        <w:rPr>
          <w:rFonts w:ascii="Cambria" w:hAnsi="Cambria"/>
          <w:sz w:val="20"/>
          <w:szCs w:val="20"/>
          <w:lang w:val="es-ES"/>
        </w:rPr>
        <w:t xml:space="preserve">asunto </w:t>
      </w:r>
      <w:r w:rsidR="00252CBB" w:rsidRPr="003B7960">
        <w:rPr>
          <w:rFonts w:ascii="Cambria" w:hAnsi="Cambria"/>
          <w:sz w:val="20"/>
          <w:szCs w:val="20"/>
          <w:lang w:val="es-ES"/>
        </w:rPr>
        <w:t xml:space="preserve">que está estrechamente relacionado con el </w:t>
      </w:r>
      <w:r w:rsidRPr="003B7960">
        <w:rPr>
          <w:rFonts w:ascii="Cambria" w:hAnsi="Cambria"/>
          <w:sz w:val="20"/>
          <w:szCs w:val="20"/>
          <w:lang w:val="es-ES"/>
        </w:rPr>
        <w:t>análisis</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del </w:t>
      </w:r>
      <w:r w:rsidR="00B812F2" w:rsidRPr="003B7960">
        <w:rPr>
          <w:rFonts w:ascii="Cambria" w:hAnsi="Cambria"/>
          <w:sz w:val="20"/>
          <w:szCs w:val="20"/>
          <w:lang w:val="es-ES"/>
        </w:rPr>
        <w:t>agotamiento de los recursos internos</w:t>
      </w:r>
      <w:r w:rsidR="00067F9E" w:rsidRPr="003B7960">
        <w:rPr>
          <w:rFonts w:ascii="Cambria" w:hAnsi="Cambria"/>
          <w:sz w:val="20"/>
          <w:szCs w:val="20"/>
          <w:lang w:val="es-ES"/>
        </w:rPr>
        <w:t xml:space="preserve"> </w:t>
      </w:r>
      <w:r w:rsidRPr="003B7960">
        <w:rPr>
          <w:rFonts w:ascii="Cambria" w:hAnsi="Cambria"/>
          <w:sz w:val="20"/>
          <w:szCs w:val="20"/>
          <w:lang w:val="es-ES"/>
        </w:rPr>
        <w:t>en la primera y segunda petición</w:t>
      </w:r>
      <w:r w:rsidR="00067F9E" w:rsidRPr="003B7960">
        <w:rPr>
          <w:rFonts w:ascii="Cambria" w:hAnsi="Cambria"/>
          <w:sz w:val="20"/>
          <w:szCs w:val="20"/>
          <w:lang w:val="es-ES"/>
        </w:rPr>
        <w:t xml:space="preserve">. </w:t>
      </w:r>
      <w:r w:rsidR="00252CBB" w:rsidRPr="003B7960">
        <w:rPr>
          <w:rFonts w:ascii="Cambria" w:hAnsi="Cambria"/>
          <w:sz w:val="20"/>
          <w:szCs w:val="20"/>
          <w:lang w:val="es-ES"/>
        </w:rPr>
        <w:t>Debido a ello y a la similitud de los hechos que deben considerarse en el segundo</w:t>
      </w:r>
      <w:r w:rsidR="00067F9E" w:rsidRPr="003B7960">
        <w:rPr>
          <w:rFonts w:ascii="Cambria" w:hAnsi="Cambria"/>
          <w:sz w:val="20"/>
          <w:szCs w:val="20"/>
          <w:lang w:val="es-ES"/>
        </w:rPr>
        <w:t xml:space="preserve"> </w:t>
      </w:r>
      <w:r w:rsidRPr="003B7960">
        <w:rPr>
          <w:rFonts w:ascii="Cambria" w:hAnsi="Cambria"/>
          <w:sz w:val="20"/>
          <w:szCs w:val="20"/>
          <w:lang w:val="es-ES"/>
        </w:rPr>
        <w:t>análisis de admisibilidad</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252CBB" w:rsidRPr="003B7960">
        <w:rPr>
          <w:rFonts w:ascii="Cambria" w:hAnsi="Cambria"/>
          <w:sz w:val="20"/>
          <w:szCs w:val="20"/>
          <w:lang w:val="es-ES"/>
        </w:rPr>
        <w:t xml:space="preserve">abordará este asunto en la sección </w:t>
      </w:r>
      <w:r w:rsidR="00772786" w:rsidRPr="003B7960">
        <w:rPr>
          <w:rFonts w:ascii="Cambria" w:hAnsi="Cambria"/>
          <w:sz w:val="20"/>
          <w:szCs w:val="20"/>
          <w:lang w:val="es-ES"/>
        </w:rPr>
        <w:t xml:space="preserve">del </w:t>
      </w:r>
      <w:r w:rsidRPr="003B7960">
        <w:rPr>
          <w:rFonts w:ascii="Cambria" w:hAnsi="Cambria"/>
          <w:sz w:val="20"/>
          <w:szCs w:val="20"/>
          <w:lang w:val="es-ES"/>
        </w:rPr>
        <w:t>análisis</w:t>
      </w:r>
      <w:r w:rsidR="00067F9E" w:rsidRPr="003B7960">
        <w:rPr>
          <w:rFonts w:ascii="Cambria" w:hAnsi="Cambria"/>
          <w:sz w:val="20"/>
          <w:szCs w:val="20"/>
          <w:lang w:val="es-ES"/>
        </w:rPr>
        <w:t xml:space="preserve"> </w:t>
      </w:r>
      <w:r w:rsidR="00772786" w:rsidRPr="003B7960">
        <w:rPr>
          <w:rFonts w:ascii="Cambria" w:hAnsi="Cambria"/>
          <w:sz w:val="20"/>
          <w:szCs w:val="20"/>
          <w:lang w:val="es-ES"/>
        </w:rPr>
        <w:t xml:space="preserve">jurídico siguiendo el razonamiento del </w:t>
      </w:r>
      <w:r w:rsidR="00C62DEF" w:rsidRPr="003B7960">
        <w:rPr>
          <w:rFonts w:ascii="Cambria" w:hAnsi="Cambria"/>
          <w:sz w:val="20"/>
          <w:szCs w:val="20"/>
          <w:lang w:val="es-ES"/>
        </w:rPr>
        <w:t>Informe de Admisibilidad</w:t>
      </w:r>
      <w:r w:rsidR="00772786" w:rsidRPr="003B7960">
        <w:rPr>
          <w:rFonts w:ascii="Cambria" w:hAnsi="Cambria"/>
          <w:sz w:val="20"/>
          <w:szCs w:val="20"/>
          <w:lang w:val="es-ES"/>
        </w:rPr>
        <w:t xml:space="preserve"> antedicho.</w:t>
      </w:r>
    </w:p>
    <w:p w14:paraId="27D29699" w14:textId="77777777" w:rsidR="00067F9E" w:rsidRPr="003B7960" w:rsidRDefault="00067F9E" w:rsidP="00101DC6">
      <w:pPr>
        <w:tabs>
          <w:tab w:val="left" w:pos="426"/>
        </w:tabs>
        <w:rPr>
          <w:rFonts w:ascii="Cambria" w:hAnsi="Cambria"/>
          <w:sz w:val="20"/>
          <w:szCs w:val="20"/>
          <w:lang w:val="es-ES"/>
        </w:rPr>
      </w:pPr>
    </w:p>
    <w:p w14:paraId="54E833F6" w14:textId="1D07A3E9" w:rsidR="00067F9E" w:rsidRPr="009A4875" w:rsidRDefault="00772786"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Por consiguiente</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dec</w:t>
      </w:r>
      <w:r w:rsidRPr="003B7960">
        <w:rPr>
          <w:rFonts w:ascii="Cambria" w:hAnsi="Cambria"/>
          <w:sz w:val="20"/>
          <w:szCs w:val="20"/>
          <w:lang w:val="es-ES"/>
        </w:rPr>
        <w:t>lara</w:t>
      </w:r>
      <w:r w:rsidR="001A6E22" w:rsidRPr="003B7960">
        <w:rPr>
          <w:rFonts w:ascii="Cambria" w:hAnsi="Cambria"/>
          <w:sz w:val="20"/>
          <w:szCs w:val="20"/>
          <w:lang w:val="es-ES"/>
        </w:rPr>
        <w:t xml:space="preserve"> que la segunda petición es admisible con respecto a las presuntas violaciones</w:t>
      </w:r>
      <w:r w:rsidR="00067F9E" w:rsidRPr="003B7960">
        <w:rPr>
          <w:rFonts w:ascii="Cambria" w:hAnsi="Cambria"/>
          <w:sz w:val="20"/>
          <w:szCs w:val="20"/>
          <w:lang w:val="es-ES"/>
        </w:rPr>
        <w:t xml:space="preserve"> </w:t>
      </w:r>
      <w:r w:rsidR="001A6E22" w:rsidRPr="003B7960">
        <w:rPr>
          <w:rFonts w:ascii="Cambria" w:hAnsi="Cambria"/>
          <w:sz w:val="20"/>
          <w:szCs w:val="20"/>
          <w:lang w:val="es-ES"/>
        </w:rPr>
        <w:t>de los artículos</w:t>
      </w:r>
      <w:r w:rsidR="00067F9E" w:rsidRPr="003B7960">
        <w:rPr>
          <w:rFonts w:ascii="Cambria" w:hAnsi="Cambria"/>
          <w:sz w:val="20"/>
          <w:szCs w:val="20"/>
          <w:lang w:val="es-ES"/>
        </w:rPr>
        <w:t xml:space="preserve"> I, II, V, VI, VII, XVII, XVIII, XXV</w:t>
      </w:r>
      <w:r w:rsidR="001A6E22" w:rsidRPr="003B7960">
        <w:rPr>
          <w:rFonts w:ascii="Cambria" w:hAnsi="Cambria"/>
          <w:sz w:val="20"/>
          <w:szCs w:val="20"/>
          <w:lang w:val="es-ES"/>
        </w:rPr>
        <w:t xml:space="preserve"> y </w:t>
      </w:r>
      <w:r w:rsidR="00067F9E" w:rsidRPr="003B7960">
        <w:rPr>
          <w:rFonts w:ascii="Cambria" w:hAnsi="Cambria"/>
          <w:sz w:val="20"/>
          <w:szCs w:val="20"/>
          <w:lang w:val="es-ES"/>
        </w:rPr>
        <w:t xml:space="preserve">XXVII </w:t>
      </w:r>
      <w:r w:rsidR="001A6E22" w:rsidRPr="003B7960">
        <w:rPr>
          <w:rFonts w:ascii="Cambria" w:hAnsi="Cambria"/>
          <w:sz w:val="20"/>
          <w:szCs w:val="20"/>
          <w:lang w:val="es-ES"/>
        </w:rPr>
        <w:t>de</w:t>
      </w:r>
      <w:r w:rsidR="00067F9E" w:rsidRPr="003B7960">
        <w:rPr>
          <w:rFonts w:ascii="Cambria" w:hAnsi="Cambria"/>
          <w:sz w:val="20"/>
          <w:szCs w:val="20"/>
          <w:lang w:val="es-ES"/>
        </w:rPr>
        <w:t xml:space="preserve"> </w:t>
      </w:r>
      <w:r w:rsidR="00C33F51" w:rsidRPr="003B7960">
        <w:rPr>
          <w:rFonts w:ascii="Cambria" w:hAnsi="Cambria"/>
          <w:sz w:val="20"/>
          <w:szCs w:val="20"/>
          <w:lang w:val="es-ES"/>
        </w:rPr>
        <w:t>la Declaración</w:t>
      </w:r>
      <w:r w:rsidR="00B9011F" w:rsidRPr="003B7960">
        <w:rPr>
          <w:rFonts w:ascii="Cambria" w:hAnsi="Cambria"/>
          <w:sz w:val="20"/>
          <w:szCs w:val="20"/>
          <w:lang w:val="es-ES"/>
        </w:rPr>
        <w:t xml:space="preserve"> Americana</w:t>
      </w:r>
      <w:r w:rsidRPr="003B7960">
        <w:rPr>
          <w:rFonts w:ascii="Cambria" w:hAnsi="Cambria"/>
          <w:sz w:val="20"/>
          <w:szCs w:val="20"/>
          <w:lang w:val="es-ES"/>
        </w:rPr>
        <w:t xml:space="preserve"> y procederá con su análisis del f</w:t>
      </w:r>
      <w:r w:rsidR="008A4F19" w:rsidRPr="003B7960">
        <w:rPr>
          <w:rFonts w:ascii="Cambria" w:hAnsi="Cambria"/>
          <w:sz w:val="20"/>
          <w:szCs w:val="20"/>
          <w:lang w:val="es-ES"/>
        </w:rPr>
        <w:t>ondo</w:t>
      </w:r>
      <w:r w:rsidRPr="003B7960">
        <w:rPr>
          <w:rFonts w:ascii="Cambria" w:hAnsi="Cambria"/>
          <w:sz w:val="20"/>
          <w:szCs w:val="20"/>
          <w:lang w:val="es-ES"/>
        </w:rPr>
        <w:t xml:space="preserve">, que abarcará los </w:t>
      </w:r>
      <w:r w:rsidR="00067F9E" w:rsidRPr="003B7960">
        <w:rPr>
          <w:rFonts w:ascii="Cambria" w:hAnsi="Cambria"/>
          <w:sz w:val="20"/>
          <w:szCs w:val="20"/>
          <w:lang w:val="es-ES"/>
        </w:rPr>
        <w:t xml:space="preserve">120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cubanos</w:t>
      </w:r>
      <w:r w:rsidR="00067F9E" w:rsidRPr="003B7960">
        <w:rPr>
          <w:rFonts w:ascii="Cambria" w:hAnsi="Cambria"/>
          <w:sz w:val="20"/>
          <w:szCs w:val="20"/>
          <w:lang w:val="es-ES"/>
        </w:rPr>
        <w:t xml:space="preserve"> </w:t>
      </w:r>
      <w:r w:rsidRPr="003B7960">
        <w:rPr>
          <w:rFonts w:ascii="Cambria" w:hAnsi="Cambria"/>
          <w:sz w:val="20"/>
          <w:szCs w:val="20"/>
          <w:lang w:val="es-ES"/>
        </w:rPr>
        <w:t xml:space="preserve">y los </w:t>
      </w:r>
      <w:r w:rsidR="00067F9E" w:rsidRPr="003B7960">
        <w:rPr>
          <w:rFonts w:ascii="Cambria" w:hAnsi="Cambria"/>
          <w:sz w:val="20"/>
          <w:szCs w:val="20"/>
          <w:lang w:val="es-ES"/>
        </w:rPr>
        <w:t xml:space="preserve">8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haitianos</w:t>
      </w:r>
      <w:r w:rsidR="00067F9E" w:rsidRPr="003B7960">
        <w:rPr>
          <w:rFonts w:ascii="Cambria" w:hAnsi="Cambria"/>
          <w:sz w:val="20"/>
          <w:szCs w:val="20"/>
          <w:lang w:val="es-ES"/>
        </w:rPr>
        <w:t xml:space="preserve"> </w:t>
      </w:r>
      <w:r w:rsidRPr="003B7960">
        <w:rPr>
          <w:rFonts w:ascii="Cambria" w:hAnsi="Cambria"/>
          <w:sz w:val="20"/>
          <w:szCs w:val="20"/>
          <w:lang w:val="es-ES"/>
        </w:rPr>
        <w:t xml:space="preserve">nombrados inicialmente y los </w:t>
      </w:r>
      <w:r w:rsidR="00067F9E" w:rsidRPr="003B7960">
        <w:rPr>
          <w:rFonts w:ascii="Cambria" w:hAnsi="Cambria"/>
          <w:sz w:val="20"/>
          <w:szCs w:val="20"/>
          <w:lang w:val="es-ES"/>
        </w:rPr>
        <w:t xml:space="preserve">76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cubanos</w:t>
      </w:r>
      <w:r w:rsidR="00067F9E" w:rsidRPr="003B7960">
        <w:rPr>
          <w:rFonts w:ascii="Cambria" w:hAnsi="Cambria"/>
          <w:sz w:val="20"/>
          <w:szCs w:val="20"/>
          <w:lang w:val="es-ES"/>
        </w:rPr>
        <w:t xml:space="preserve"> </w:t>
      </w:r>
      <w:r w:rsidRPr="003B7960">
        <w:rPr>
          <w:rFonts w:ascii="Cambria" w:hAnsi="Cambria"/>
          <w:sz w:val="20"/>
          <w:szCs w:val="20"/>
          <w:lang w:val="es-ES"/>
        </w:rPr>
        <w:t>y los</w:t>
      </w:r>
      <w:r w:rsidR="00067F9E" w:rsidRPr="003B7960">
        <w:rPr>
          <w:rFonts w:ascii="Cambria" w:hAnsi="Cambria"/>
          <w:sz w:val="20"/>
          <w:szCs w:val="20"/>
          <w:lang w:val="es-ES"/>
        </w:rPr>
        <w:t xml:space="preserve"> 119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haitianos</w:t>
      </w:r>
      <w:r w:rsidR="00067F9E" w:rsidRPr="003B7960">
        <w:rPr>
          <w:rFonts w:ascii="Cambria" w:hAnsi="Cambria"/>
          <w:sz w:val="20"/>
          <w:szCs w:val="20"/>
          <w:lang w:val="es-ES"/>
        </w:rPr>
        <w:t xml:space="preserve"> incorpora</w:t>
      </w:r>
      <w:r w:rsidRPr="003B7960">
        <w:rPr>
          <w:rFonts w:ascii="Cambria" w:hAnsi="Cambria"/>
          <w:sz w:val="20"/>
          <w:szCs w:val="20"/>
          <w:lang w:val="es-ES"/>
        </w:rPr>
        <w:t xml:space="preserve">dos por </w:t>
      </w:r>
      <w:r w:rsidR="00170D77" w:rsidRPr="003B7960">
        <w:rPr>
          <w:rFonts w:ascii="Cambria" w:hAnsi="Cambria"/>
          <w:color w:val="000000"/>
          <w:sz w:val="20"/>
          <w:szCs w:val="20"/>
          <w:lang w:val="es-ES"/>
        </w:rPr>
        <w:t>la parte peticionaria.</w:t>
      </w:r>
    </w:p>
    <w:p w14:paraId="4927D113" w14:textId="77777777" w:rsidR="009A4875" w:rsidRPr="003B7960" w:rsidRDefault="009A4875" w:rsidP="009A487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6B1E5009" w14:textId="11BEDBED" w:rsidR="00067F9E" w:rsidRPr="003B7960" w:rsidRDefault="00B9011F" w:rsidP="009A4875">
      <w:pPr>
        <w:pStyle w:val="Heading1"/>
        <w:keepNext w:val="0"/>
        <w:keepLines w:val="0"/>
        <w:tabs>
          <w:tab w:val="clear" w:pos="1440"/>
          <w:tab w:val="left" w:pos="426"/>
        </w:tabs>
        <w:suppressAutoHyphens/>
        <w:ind w:left="0" w:firstLine="0"/>
        <w:jc w:val="left"/>
        <w:rPr>
          <w:lang w:val="es-ES"/>
        </w:rPr>
      </w:pPr>
      <w:bookmarkStart w:id="6" w:name="_Toc90557294"/>
      <w:r w:rsidRPr="003B7960">
        <w:rPr>
          <w:lang w:val="es-ES"/>
        </w:rPr>
        <w:t>HECHOS</w:t>
      </w:r>
      <w:bookmarkEnd w:id="6"/>
      <w:r w:rsidRPr="003B7960">
        <w:rPr>
          <w:lang w:val="es-ES"/>
        </w:rPr>
        <w:t xml:space="preserve"> </w:t>
      </w:r>
    </w:p>
    <w:p w14:paraId="04F16A26" w14:textId="77777777" w:rsidR="00067F9E" w:rsidRPr="003B7960" w:rsidRDefault="00067F9E" w:rsidP="009A487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C81F777" w14:textId="77777777" w:rsidR="00067F9E" w:rsidRPr="003B7960" w:rsidRDefault="00067F9E" w:rsidP="009A4875">
      <w:pPr>
        <w:pStyle w:val="Heading2"/>
        <w:numPr>
          <w:ilvl w:val="0"/>
          <w:numId w:val="66"/>
        </w:numPr>
        <w:pBdr>
          <w:top w:val="nil"/>
          <w:left w:val="nil"/>
          <w:bottom w:val="nil"/>
          <w:right w:val="nil"/>
          <w:between w:val="nil"/>
          <w:bar w:val="nil"/>
        </w:pBdr>
        <w:tabs>
          <w:tab w:val="clear" w:pos="540"/>
          <w:tab w:val="left" w:pos="426"/>
        </w:tabs>
        <w:suppressAutoHyphens/>
        <w:ind w:left="0" w:firstLine="0"/>
        <w:jc w:val="left"/>
        <w:rPr>
          <w:lang w:val="es-ES"/>
        </w:rPr>
      </w:pPr>
      <w:bookmarkStart w:id="7" w:name="_Toc90557295"/>
      <w:r w:rsidRPr="003B7960">
        <w:rPr>
          <w:lang w:val="es-ES"/>
        </w:rPr>
        <w:t>Context</w:t>
      </w:r>
      <w:r w:rsidR="00772786" w:rsidRPr="003B7960">
        <w:rPr>
          <w:lang w:val="es-ES"/>
        </w:rPr>
        <w:t>o</w:t>
      </w:r>
      <w:bookmarkEnd w:id="7"/>
    </w:p>
    <w:p w14:paraId="60FF6AE4" w14:textId="77777777" w:rsidR="00067F9E" w:rsidRPr="003B7960" w:rsidRDefault="00067F9E" w:rsidP="009A487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41B4A4CA" w14:textId="13CCA984" w:rsidR="00067F9E" w:rsidRPr="003B7960" w:rsidRDefault="00B9011F" w:rsidP="009A487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5975C8" w:rsidRPr="003B7960">
        <w:rPr>
          <w:rFonts w:ascii="Cambria" w:hAnsi="Cambria"/>
          <w:sz w:val="20"/>
          <w:szCs w:val="20"/>
          <w:lang w:val="es-ES"/>
        </w:rPr>
        <w:t xml:space="preserve">observa que otros </w:t>
      </w:r>
      <w:r w:rsidR="00295037" w:rsidRPr="003B7960">
        <w:rPr>
          <w:rFonts w:ascii="Cambria" w:hAnsi="Cambria"/>
          <w:sz w:val="20"/>
          <w:szCs w:val="20"/>
          <w:lang w:val="es-ES"/>
        </w:rPr>
        <w:t>órganos creados en virtud de tratados de derechos humanos</w:t>
      </w:r>
      <w:r w:rsidR="00067F9E" w:rsidRPr="003B7960">
        <w:rPr>
          <w:rFonts w:ascii="Cambria" w:hAnsi="Cambria"/>
          <w:sz w:val="20"/>
          <w:szCs w:val="20"/>
          <w:lang w:val="es-ES"/>
        </w:rPr>
        <w:t xml:space="preserve"> ha</w:t>
      </w:r>
      <w:r w:rsidR="005975C8" w:rsidRPr="003B7960">
        <w:rPr>
          <w:rFonts w:ascii="Cambria" w:hAnsi="Cambria"/>
          <w:sz w:val="20"/>
          <w:szCs w:val="20"/>
          <w:lang w:val="es-ES"/>
        </w:rPr>
        <w:t xml:space="preserve">n abordado los problemas estructurales de larga data relacionados con el enfoque de </w:t>
      </w:r>
      <w:r w:rsidRPr="003B7960">
        <w:rPr>
          <w:rFonts w:ascii="Cambria" w:hAnsi="Cambria"/>
          <w:sz w:val="20"/>
          <w:szCs w:val="20"/>
          <w:lang w:val="es-ES"/>
        </w:rPr>
        <w:t>las Bahamas</w:t>
      </w:r>
      <w:r w:rsidR="005975C8" w:rsidRPr="003B7960">
        <w:rPr>
          <w:rFonts w:ascii="Cambria" w:hAnsi="Cambria"/>
          <w:sz w:val="20"/>
          <w:szCs w:val="20"/>
          <w:lang w:val="es-ES"/>
        </w:rPr>
        <w:t xml:space="preserve"> de las obligaciones internacionales emanadas del derecho a </w:t>
      </w:r>
      <w:r w:rsidR="00781310" w:rsidRPr="003B7960">
        <w:rPr>
          <w:rFonts w:ascii="Cambria" w:hAnsi="Cambria"/>
          <w:sz w:val="20"/>
          <w:szCs w:val="20"/>
          <w:lang w:val="es-ES"/>
        </w:rPr>
        <w:t xml:space="preserve">pedir </w:t>
      </w:r>
      <w:r w:rsidR="005975C8" w:rsidRPr="003B7960">
        <w:rPr>
          <w:rFonts w:ascii="Cambria" w:hAnsi="Cambria"/>
          <w:sz w:val="20"/>
          <w:szCs w:val="20"/>
          <w:lang w:val="es-ES"/>
        </w:rPr>
        <w:t xml:space="preserve">y recibir asilo </w:t>
      </w:r>
      <w:r w:rsidR="00D372E8" w:rsidRPr="003B7960">
        <w:rPr>
          <w:rFonts w:ascii="Cambria" w:hAnsi="Cambria"/>
          <w:sz w:val="20"/>
          <w:szCs w:val="20"/>
          <w:lang w:val="es-ES"/>
        </w:rPr>
        <w:t>en los últimos treinta años y la congruencia de los instrumentos legislativos que rigen el acceso de los</w:t>
      </w:r>
      <w:r w:rsidR="00067F9E" w:rsidRPr="003B7960">
        <w:rPr>
          <w:rFonts w:ascii="Cambria" w:hAnsi="Cambria"/>
          <w:sz w:val="20"/>
          <w:szCs w:val="20"/>
          <w:lang w:val="es-ES"/>
        </w:rPr>
        <w:t xml:space="preserve"> </w:t>
      </w:r>
      <w:r w:rsidR="00772786" w:rsidRPr="003B7960">
        <w:rPr>
          <w:rFonts w:ascii="Cambria" w:hAnsi="Cambria"/>
          <w:sz w:val="20"/>
          <w:szCs w:val="20"/>
          <w:lang w:val="es-ES"/>
        </w:rPr>
        <w:t>solicitantes de asilo</w:t>
      </w:r>
      <w:r w:rsidR="00D372E8" w:rsidRPr="003B7960">
        <w:rPr>
          <w:rFonts w:ascii="Cambria" w:hAnsi="Cambria"/>
          <w:sz w:val="20"/>
          <w:szCs w:val="20"/>
          <w:lang w:val="es-ES"/>
        </w:rPr>
        <w:t xml:space="preserve"> a la protección internacional en </w:t>
      </w:r>
      <w:r w:rsidR="00295037" w:rsidRPr="003B7960">
        <w:rPr>
          <w:rFonts w:ascii="Cambria" w:hAnsi="Cambria"/>
          <w:sz w:val="20"/>
          <w:szCs w:val="20"/>
          <w:lang w:val="es-ES"/>
        </w:rPr>
        <w:t>el país</w:t>
      </w:r>
      <w:r w:rsidR="00067F9E" w:rsidRPr="003B7960">
        <w:rPr>
          <w:rFonts w:ascii="Cambria" w:hAnsi="Cambria"/>
          <w:sz w:val="20"/>
          <w:szCs w:val="20"/>
          <w:lang w:val="es-ES"/>
        </w:rPr>
        <w:t xml:space="preserve">. </w:t>
      </w:r>
      <w:r w:rsidR="00D372E8" w:rsidRPr="003B7960">
        <w:rPr>
          <w:rFonts w:ascii="Cambria" w:hAnsi="Cambria"/>
          <w:sz w:val="20"/>
          <w:szCs w:val="20"/>
          <w:lang w:val="es-ES"/>
        </w:rPr>
        <w:t>En ese sentido</w:t>
      </w:r>
      <w:r w:rsidR="00067F9E" w:rsidRPr="003B7960">
        <w:rPr>
          <w:rFonts w:ascii="Cambria" w:hAnsi="Cambria"/>
          <w:sz w:val="20"/>
          <w:szCs w:val="20"/>
          <w:lang w:val="es-ES"/>
        </w:rPr>
        <w:t xml:space="preserve">, </w:t>
      </w: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D372E8" w:rsidRPr="003B7960">
        <w:rPr>
          <w:rFonts w:ascii="Cambria" w:hAnsi="Cambria"/>
          <w:sz w:val="20"/>
          <w:szCs w:val="20"/>
          <w:lang w:val="es-ES"/>
        </w:rPr>
        <w:t xml:space="preserve">observa la falta de leyes internas que reglamenten la determinación de la </w:t>
      </w:r>
      <w:r w:rsidR="00BE1909" w:rsidRPr="003B7960">
        <w:rPr>
          <w:rFonts w:ascii="Cambria" w:hAnsi="Cambria"/>
          <w:sz w:val="20"/>
          <w:szCs w:val="20"/>
          <w:lang w:val="es-ES"/>
        </w:rPr>
        <w:t>condición de refugiado</w:t>
      </w:r>
      <w:r w:rsidR="00067F9E" w:rsidRPr="003B7960">
        <w:rPr>
          <w:rFonts w:ascii="Cambria" w:hAnsi="Cambria"/>
          <w:sz w:val="20"/>
          <w:szCs w:val="20"/>
          <w:lang w:val="es-ES"/>
        </w:rPr>
        <w:t xml:space="preserve"> </w:t>
      </w:r>
      <w:r w:rsidR="00D372E8" w:rsidRPr="003B7960">
        <w:rPr>
          <w:rFonts w:ascii="Cambria" w:hAnsi="Cambria"/>
          <w:sz w:val="20"/>
          <w:szCs w:val="20"/>
          <w:lang w:val="es-ES"/>
        </w:rPr>
        <w:t>e</w:t>
      </w:r>
      <w:r w:rsidR="00067F9E" w:rsidRPr="003B7960">
        <w:rPr>
          <w:rFonts w:ascii="Cambria" w:hAnsi="Cambria"/>
          <w:sz w:val="20"/>
          <w:szCs w:val="20"/>
          <w:lang w:val="es-ES"/>
        </w:rPr>
        <w:t xml:space="preserve">n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D372E8" w:rsidRPr="003B7960">
        <w:rPr>
          <w:rFonts w:ascii="Cambria" w:hAnsi="Cambria"/>
          <w:sz w:val="20"/>
          <w:szCs w:val="20"/>
          <w:lang w:val="es-ES"/>
        </w:rPr>
        <w:t>y la existencia de acuerdos</w:t>
      </w:r>
      <w:r w:rsidR="00067F9E" w:rsidRPr="003B7960">
        <w:rPr>
          <w:rFonts w:ascii="Cambria" w:hAnsi="Cambria"/>
          <w:sz w:val="20"/>
          <w:szCs w:val="20"/>
          <w:lang w:val="es-ES"/>
        </w:rPr>
        <w:t xml:space="preserve"> bilateral</w:t>
      </w:r>
      <w:r w:rsidR="00D372E8" w:rsidRPr="003B7960">
        <w:rPr>
          <w:rFonts w:ascii="Cambria" w:hAnsi="Cambria"/>
          <w:sz w:val="20"/>
          <w:szCs w:val="20"/>
          <w:lang w:val="es-ES"/>
        </w:rPr>
        <w:t>es</w:t>
      </w:r>
      <w:r w:rsidR="00067F9E" w:rsidRPr="003B7960">
        <w:rPr>
          <w:rFonts w:ascii="Cambria" w:hAnsi="Cambria"/>
          <w:sz w:val="20"/>
          <w:szCs w:val="20"/>
          <w:lang w:val="es-ES"/>
        </w:rPr>
        <w:t xml:space="preserve"> </w:t>
      </w:r>
      <w:r w:rsidR="00D372E8" w:rsidRPr="003B7960">
        <w:rPr>
          <w:rFonts w:ascii="Cambria" w:hAnsi="Cambria"/>
          <w:sz w:val="20"/>
          <w:szCs w:val="20"/>
          <w:lang w:val="es-ES"/>
        </w:rPr>
        <w:t xml:space="preserve">entre </w:t>
      </w:r>
      <w:r w:rsidR="00A332F5" w:rsidRPr="003B7960">
        <w:rPr>
          <w:rFonts w:ascii="Cambria" w:hAnsi="Cambria"/>
          <w:sz w:val="20"/>
          <w:szCs w:val="20"/>
          <w:lang w:val="es-ES"/>
        </w:rPr>
        <w:t>el Estado</w:t>
      </w:r>
      <w:r w:rsidR="00067F9E" w:rsidRPr="003B7960">
        <w:rPr>
          <w:rFonts w:ascii="Cambria" w:hAnsi="Cambria"/>
          <w:sz w:val="20"/>
          <w:szCs w:val="20"/>
          <w:lang w:val="es-ES"/>
        </w:rPr>
        <w:t>, Cuba</w:t>
      </w:r>
      <w:r w:rsidR="00D372E8" w:rsidRPr="003B7960">
        <w:rPr>
          <w:rFonts w:ascii="Cambria" w:hAnsi="Cambria"/>
          <w:sz w:val="20"/>
          <w:szCs w:val="20"/>
          <w:lang w:val="es-ES"/>
        </w:rPr>
        <w:t xml:space="preserve"> y Haití</w:t>
      </w:r>
      <w:r w:rsidR="00067F9E" w:rsidRPr="003B7960">
        <w:rPr>
          <w:rFonts w:ascii="Cambria" w:hAnsi="Cambria"/>
          <w:sz w:val="20"/>
          <w:szCs w:val="20"/>
          <w:lang w:val="es-ES"/>
        </w:rPr>
        <w:t xml:space="preserve"> </w:t>
      </w:r>
      <w:r w:rsidR="00D372E8" w:rsidRPr="003B7960">
        <w:rPr>
          <w:rFonts w:ascii="Cambria" w:hAnsi="Cambria"/>
          <w:sz w:val="20"/>
          <w:szCs w:val="20"/>
          <w:lang w:val="es-ES"/>
        </w:rPr>
        <w:t>que facilitan la expulsión sumaria de</w:t>
      </w:r>
      <w:r w:rsidR="00067F9E" w:rsidRPr="003B7960">
        <w:rPr>
          <w:rFonts w:ascii="Cambria" w:hAnsi="Cambria"/>
          <w:sz w:val="20"/>
          <w:szCs w:val="20"/>
          <w:lang w:val="es-ES"/>
        </w:rPr>
        <w:t xml:space="preserve"> </w:t>
      </w:r>
      <w:r w:rsidR="00D372E8" w:rsidRPr="003B7960">
        <w:rPr>
          <w:rFonts w:ascii="Cambria" w:hAnsi="Cambria"/>
          <w:sz w:val="20"/>
          <w:szCs w:val="20"/>
          <w:lang w:val="es-ES"/>
        </w:rPr>
        <w:t>migrantes irregulares</w:t>
      </w:r>
      <w:r w:rsidR="00067F9E" w:rsidRPr="003B7960">
        <w:rPr>
          <w:rFonts w:ascii="Cambria" w:hAnsi="Cambria"/>
          <w:sz w:val="20"/>
          <w:szCs w:val="20"/>
          <w:lang w:val="es-ES"/>
        </w:rPr>
        <w:t xml:space="preserve"> </w:t>
      </w:r>
      <w:r w:rsidR="00D372E8" w:rsidRPr="003B7960">
        <w:rPr>
          <w:rFonts w:ascii="Cambria" w:hAnsi="Cambria"/>
          <w:sz w:val="20"/>
          <w:szCs w:val="20"/>
          <w:lang w:val="es-ES"/>
        </w:rPr>
        <w:t xml:space="preserve">de estos países desde los años noventa. También reconoce que esta </w:t>
      </w:r>
      <w:r w:rsidR="00D372E8" w:rsidRPr="003B7960">
        <w:rPr>
          <w:rFonts w:ascii="Cambria" w:hAnsi="Cambria"/>
          <w:sz w:val="20"/>
          <w:szCs w:val="20"/>
          <w:lang w:val="es-ES"/>
        </w:rPr>
        <w:lastRenderedPageBreak/>
        <w:t>situación</w:t>
      </w:r>
      <w:r w:rsidR="00067F9E" w:rsidRPr="003B7960">
        <w:rPr>
          <w:rFonts w:ascii="Cambria" w:hAnsi="Cambria"/>
          <w:sz w:val="20"/>
          <w:szCs w:val="20"/>
          <w:lang w:val="es-ES"/>
        </w:rPr>
        <w:t xml:space="preserve"> ha</w:t>
      </w:r>
      <w:r w:rsidR="00D372E8" w:rsidRPr="003B7960">
        <w:rPr>
          <w:rFonts w:ascii="Cambria" w:hAnsi="Cambria"/>
          <w:sz w:val="20"/>
          <w:szCs w:val="20"/>
          <w:lang w:val="es-ES"/>
        </w:rPr>
        <w:t xml:space="preserve"> causado preocupación en </w:t>
      </w:r>
      <w:r w:rsidR="00295037" w:rsidRPr="003B7960">
        <w:rPr>
          <w:rFonts w:ascii="Cambria" w:hAnsi="Cambria"/>
          <w:sz w:val="20"/>
          <w:szCs w:val="20"/>
          <w:lang w:val="es-ES"/>
        </w:rPr>
        <w:t xml:space="preserve">órganos </w:t>
      </w:r>
      <w:r w:rsidR="0019007D" w:rsidRPr="003B7960">
        <w:rPr>
          <w:rFonts w:ascii="Cambria" w:hAnsi="Cambria"/>
          <w:sz w:val="20"/>
          <w:szCs w:val="20"/>
          <w:lang w:val="es-ES"/>
        </w:rPr>
        <w:t>de</w:t>
      </w:r>
      <w:r w:rsidR="00295037" w:rsidRPr="003B7960">
        <w:rPr>
          <w:rFonts w:ascii="Cambria" w:hAnsi="Cambria"/>
          <w:sz w:val="20"/>
          <w:szCs w:val="20"/>
          <w:lang w:val="es-ES"/>
        </w:rPr>
        <w:t xml:space="preserve"> derechos humanos</w:t>
      </w:r>
      <w:r w:rsidR="00067F9E" w:rsidRPr="003B7960">
        <w:rPr>
          <w:rFonts w:ascii="Cambria" w:hAnsi="Cambria"/>
          <w:sz w:val="20"/>
          <w:szCs w:val="20"/>
          <w:lang w:val="es-ES"/>
        </w:rPr>
        <w:t xml:space="preserve">, </w:t>
      </w:r>
      <w:r w:rsidR="00D372E8" w:rsidRPr="003B7960">
        <w:rPr>
          <w:rFonts w:ascii="Cambria" w:hAnsi="Cambria"/>
          <w:sz w:val="20"/>
          <w:szCs w:val="20"/>
          <w:lang w:val="es-ES"/>
        </w:rPr>
        <w:t>que han puesto de relieve la importancia de adoptar leyes nacionales sobre refugiados y han instado al Estado a llenar las lagunas en la identificación y protección de</w:t>
      </w:r>
      <w:r w:rsidR="00067F9E" w:rsidRPr="003B7960">
        <w:rPr>
          <w:rFonts w:ascii="Cambria" w:hAnsi="Cambria"/>
          <w:sz w:val="20"/>
          <w:szCs w:val="20"/>
          <w:lang w:val="es-ES"/>
        </w:rPr>
        <w:t xml:space="preserve"> </w:t>
      </w:r>
      <w:r w:rsidR="00772786" w:rsidRPr="003B7960">
        <w:rPr>
          <w:rFonts w:ascii="Cambria" w:hAnsi="Cambria"/>
          <w:sz w:val="20"/>
          <w:szCs w:val="20"/>
          <w:lang w:val="es-ES"/>
        </w:rPr>
        <w:t>refugiados</w:t>
      </w:r>
      <w:r w:rsidR="00067F9E" w:rsidRPr="003B7960">
        <w:rPr>
          <w:rFonts w:ascii="Cambria" w:hAnsi="Cambria"/>
          <w:sz w:val="20"/>
          <w:szCs w:val="20"/>
          <w:lang w:val="es-ES"/>
        </w:rPr>
        <w:t xml:space="preserve"> </w:t>
      </w:r>
      <w:r w:rsidR="00D372E8" w:rsidRPr="003B7960">
        <w:rPr>
          <w:rFonts w:ascii="Cambria" w:hAnsi="Cambria"/>
          <w:sz w:val="20"/>
          <w:szCs w:val="20"/>
          <w:lang w:val="es-ES"/>
        </w:rPr>
        <w:t xml:space="preserve">y proporcionar suficientes garantías </w:t>
      </w:r>
      <w:r w:rsidR="00094BDA" w:rsidRPr="003B7960">
        <w:rPr>
          <w:rFonts w:ascii="Cambria" w:hAnsi="Cambria"/>
          <w:sz w:val="20"/>
          <w:szCs w:val="20"/>
          <w:lang w:val="es-ES"/>
        </w:rPr>
        <w:t xml:space="preserve">contra </w:t>
      </w:r>
      <w:r w:rsidR="00D372E8" w:rsidRPr="003B7960">
        <w:rPr>
          <w:rFonts w:ascii="Cambria" w:hAnsi="Cambria"/>
          <w:sz w:val="20"/>
          <w:szCs w:val="20"/>
          <w:lang w:val="es-ES"/>
        </w:rPr>
        <w:t>la devolución, como se explica más adelante</w:t>
      </w:r>
      <w:r w:rsidR="00067F9E" w:rsidRPr="003B7960">
        <w:rPr>
          <w:rFonts w:ascii="Cambria" w:hAnsi="Cambria"/>
          <w:sz w:val="20"/>
          <w:szCs w:val="20"/>
          <w:lang w:val="es-ES"/>
        </w:rPr>
        <w:t>.</w:t>
      </w:r>
    </w:p>
    <w:p w14:paraId="4A22ABCE" w14:textId="77777777" w:rsidR="00067F9E" w:rsidRPr="003B7960" w:rsidRDefault="00067F9E" w:rsidP="009A487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2F25D02F" w14:textId="77777777" w:rsidR="00067F9E" w:rsidRPr="003B7960" w:rsidRDefault="00772786" w:rsidP="009A487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El ACNUR</w:t>
      </w:r>
      <w:r w:rsidR="00067F9E" w:rsidRPr="003B7960">
        <w:rPr>
          <w:rFonts w:ascii="Cambria" w:hAnsi="Cambria"/>
          <w:sz w:val="20"/>
          <w:szCs w:val="20"/>
          <w:lang w:val="es-ES"/>
        </w:rPr>
        <w:t xml:space="preserve"> ha</w:t>
      </w:r>
      <w:r w:rsidR="00D372E8" w:rsidRPr="003B7960">
        <w:rPr>
          <w:rFonts w:ascii="Cambria" w:hAnsi="Cambria"/>
          <w:sz w:val="20"/>
          <w:szCs w:val="20"/>
          <w:lang w:val="es-ES"/>
        </w:rPr>
        <w:t xml:space="preserve"> observado que las Bahamas, a pesar de </w:t>
      </w:r>
      <w:r w:rsidR="00AC3845" w:rsidRPr="003B7960">
        <w:rPr>
          <w:rFonts w:ascii="Cambria" w:hAnsi="Cambria"/>
          <w:sz w:val="20"/>
          <w:szCs w:val="20"/>
          <w:lang w:val="es-ES"/>
        </w:rPr>
        <w:t>haberse adherido en 1</w:t>
      </w:r>
      <w:r w:rsidR="001515AF" w:rsidRPr="003B7960">
        <w:rPr>
          <w:rFonts w:ascii="Cambria" w:hAnsi="Cambria"/>
          <w:sz w:val="20"/>
          <w:szCs w:val="20"/>
          <w:lang w:val="es-ES"/>
        </w:rPr>
        <w:t xml:space="preserve">993 </w:t>
      </w:r>
      <w:r w:rsidR="00D372E8" w:rsidRPr="003B7960">
        <w:rPr>
          <w:rFonts w:ascii="Cambria" w:hAnsi="Cambria"/>
          <w:sz w:val="20"/>
          <w:szCs w:val="20"/>
          <w:lang w:val="es-ES"/>
        </w:rPr>
        <w:t>a la Convención sobre el Estatuto de los Refugiados</w:t>
      </w:r>
      <w:r w:rsidR="00067F9E" w:rsidRPr="003B7960">
        <w:rPr>
          <w:rFonts w:ascii="Cambria" w:hAnsi="Cambria"/>
          <w:sz w:val="20"/>
          <w:szCs w:val="20"/>
          <w:lang w:val="es-ES"/>
        </w:rPr>
        <w:t xml:space="preserve"> </w:t>
      </w:r>
      <w:r w:rsidR="001515AF" w:rsidRPr="003B7960">
        <w:rPr>
          <w:rFonts w:ascii="Cambria" w:hAnsi="Cambria"/>
          <w:sz w:val="20"/>
          <w:szCs w:val="20"/>
          <w:lang w:val="es-ES"/>
        </w:rPr>
        <w:t xml:space="preserve">de </w:t>
      </w:r>
      <w:r w:rsidR="00067F9E" w:rsidRPr="003B7960">
        <w:rPr>
          <w:rFonts w:ascii="Cambria" w:hAnsi="Cambria"/>
          <w:sz w:val="20"/>
          <w:szCs w:val="20"/>
          <w:lang w:val="es-ES"/>
        </w:rPr>
        <w:t>1951</w:t>
      </w:r>
      <w:r w:rsidR="001515AF" w:rsidRPr="003B7960">
        <w:rPr>
          <w:rFonts w:ascii="Cambria" w:hAnsi="Cambria"/>
          <w:sz w:val="20"/>
          <w:szCs w:val="20"/>
          <w:lang w:val="es-ES"/>
        </w:rPr>
        <w:t xml:space="preserve">, de las Naciones Unidas, y a su Protocolo de </w:t>
      </w:r>
      <w:r w:rsidR="00067F9E" w:rsidRPr="003B7960">
        <w:rPr>
          <w:rFonts w:ascii="Cambria" w:hAnsi="Cambria"/>
          <w:sz w:val="20"/>
          <w:szCs w:val="20"/>
          <w:lang w:val="es-ES"/>
        </w:rPr>
        <w:t>1967</w:t>
      </w:r>
      <w:r w:rsidR="001515AF" w:rsidRPr="003B7960">
        <w:rPr>
          <w:rFonts w:ascii="Cambria" w:hAnsi="Cambria"/>
          <w:sz w:val="20"/>
          <w:szCs w:val="20"/>
          <w:lang w:val="es-ES"/>
        </w:rPr>
        <w:t>,</w:t>
      </w:r>
      <w:r w:rsidR="00067F9E" w:rsidRPr="003B7960">
        <w:rPr>
          <w:rFonts w:ascii="Cambria" w:hAnsi="Cambria"/>
          <w:sz w:val="20"/>
          <w:szCs w:val="20"/>
          <w:lang w:val="es-ES"/>
        </w:rPr>
        <w:t xml:space="preserve"> </w:t>
      </w:r>
      <w:r w:rsidR="00AC3845" w:rsidRPr="003B7960">
        <w:rPr>
          <w:rFonts w:ascii="Cambria" w:hAnsi="Cambria"/>
          <w:sz w:val="20"/>
          <w:szCs w:val="20"/>
          <w:lang w:val="es-ES"/>
        </w:rPr>
        <w:t xml:space="preserve">no cuentan con leyes sobre refugiados ni con un marco regulatorio para el cumplimiento de las obligaciones emanadas de la Convención de </w:t>
      </w:r>
      <w:r w:rsidR="00067F9E" w:rsidRPr="003B7960">
        <w:rPr>
          <w:rFonts w:ascii="Cambria" w:hAnsi="Cambria"/>
          <w:sz w:val="20"/>
          <w:szCs w:val="20"/>
          <w:lang w:val="es-ES"/>
        </w:rPr>
        <w:t>1951</w:t>
      </w:r>
      <w:r w:rsidR="00067F9E" w:rsidRPr="003B7960">
        <w:rPr>
          <w:rStyle w:val="FootnoteReference"/>
          <w:rFonts w:ascii="Cambria" w:hAnsi="Cambria"/>
          <w:sz w:val="20"/>
          <w:szCs w:val="20"/>
          <w:lang w:val="es-ES"/>
        </w:rPr>
        <w:footnoteReference w:id="7"/>
      </w:r>
      <w:r w:rsidR="00AC3845" w:rsidRPr="003B7960">
        <w:rPr>
          <w:rFonts w:ascii="Cambria" w:hAnsi="Cambria"/>
          <w:sz w:val="20"/>
          <w:szCs w:val="20"/>
          <w:lang w:val="es-ES"/>
        </w:rPr>
        <w:t xml:space="preserve">. Por consiguiente, el gobierno trata a los </w:t>
      </w:r>
      <w:r w:rsidR="00C33F51"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00AC3845" w:rsidRPr="003B7960">
        <w:rPr>
          <w:rFonts w:ascii="Cambria" w:hAnsi="Cambria"/>
          <w:sz w:val="20"/>
          <w:szCs w:val="20"/>
          <w:lang w:val="es-ES"/>
        </w:rPr>
        <w:t xml:space="preserve">y a los </w:t>
      </w:r>
      <w:r w:rsidRPr="003B7960">
        <w:rPr>
          <w:rFonts w:ascii="Cambria" w:hAnsi="Cambria"/>
          <w:sz w:val="20"/>
          <w:szCs w:val="20"/>
          <w:lang w:val="es-ES"/>
        </w:rPr>
        <w:t>refugiados</w:t>
      </w:r>
      <w:r w:rsidR="00067F9E" w:rsidRPr="003B7960">
        <w:rPr>
          <w:rFonts w:ascii="Cambria" w:hAnsi="Cambria"/>
          <w:sz w:val="20"/>
          <w:szCs w:val="20"/>
          <w:lang w:val="es-ES"/>
        </w:rPr>
        <w:t xml:space="preserve"> </w:t>
      </w:r>
      <w:r w:rsidR="00AC3845" w:rsidRPr="003B7960">
        <w:rPr>
          <w:rFonts w:ascii="Cambria" w:hAnsi="Cambria"/>
          <w:sz w:val="20"/>
          <w:szCs w:val="20"/>
          <w:lang w:val="es-ES"/>
        </w:rPr>
        <w:t xml:space="preserve">de una manera </w:t>
      </w:r>
      <w:r w:rsidR="00295037" w:rsidRPr="003B7960">
        <w:rPr>
          <w:rFonts w:ascii="Cambria" w:hAnsi="Cambria"/>
          <w:sz w:val="20"/>
          <w:szCs w:val="20"/>
          <w:lang w:val="es-ES"/>
        </w:rPr>
        <w:t>ad hoc</w:t>
      </w:r>
      <w:r w:rsidR="00067F9E" w:rsidRPr="003B7960">
        <w:rPr>
          <w:rFonts w:ascii="Cambria" w:hAnsi="Cambria"/>
          <w:sz w:val="20"/>
          <w:szCs w:val="20"/>
          <w:lang w:val="es-ES"/>
        </w:rPr>
        <w:t xml:space="preserve">, </w:t>
      </w:r>
      <w:r w:rsidR="00AC3845" w:rsidRPr="003B7960">
        <w:rPr>
          <w:rFonts w:ascii="Cambria" w:hAnsi="Cambria"/>
          <w:sz w:val="20"/>
          <w:szCs w:val="20"/>
          <w:lang w:val="es-ES"/>
        </w:rPr>
        <w:t xml:space="preserve">sin ofrecerles acceso a recursos </w:t>
      </w:r>
      <w:r w:rsidR="00067F9E" w:rsidRPr="003B7960">
        <w:rPr>
          <w:rFonts w:ascii="Cambria" w:hAnsi="Cambria"/>
          <w:sz w:val="20"/>
          <w:szCs w:val="20"/>
          <w:lang w:val="es-ES"/>
        </w:rPr>
        <w:t>judicial</w:t>
      </w:r>
      <w:r w:rsidR="00AC3845" w:rsidRPr="003B7960">
        <w:rPr>
          <w:rFonts w:ascii="Cambria" w:hAnsi="Cambria"/>
          <w:sz w:val="20"/>
          <w:szCs w:val="20"/>
          <w:lang w:val="es-ES"/>
        </w:rPr>
        <w:t>es</w:t>
      </w:r>
      <w:r w:rsidR="00067F9E" w:rsidRPr="003B7960">
        <w:rPr>
          <w:rStyle w:val="FootnoteReference"/>
          <w:rFonts w:ascii="Cambria" w:hAnsi="Cambria"/>
          <w:sz w:val="20"/>
          <w:szCs w:val="20"/>
          <w:lang w:val="es-ES"/>
        </w:rPr>
        <w:footnoteReference w:id="8"/>
      </w:r>
      <w:r w:rsidR="00AC3845" w:rsidRPr="003B7960">
        <w:rPr>
          <w:rFonts w:ascii="Cambria" w:hAnsi="Cambria"/>
          <w:sz w:val="20"/>
          <w:szCs w:val="20"/>
          <w:lang w:val="es-ES"/>
        </w:rPr>
        <w:t>. Asimismo,</w:t>
      </w:r>
      <w:r w:rsidR="00067F9E" w:rsidRPr="003B7960">
        <w:rPr>
          <w:rFonts w:ascii="Cambria" w:hAnsi="Cambria"/>
          <w:sz w:val="20"/>
          <w:szCs w:val="20"/>
          <w:lang w:val="es-ES"/>
        </w:rPr>
        <w:t xml:space="preserve"> </w:t>
      </w:r>
      <w:r w:rsidR="00094BDA" w:rsidRPr="003B7960">
        <w:rPr>
          <w:rFonts w:ascii="Cambria" w:hAnsi="Cambria"/>
          <w:sz w:val="20"/>
          <w:szCs w:val="20"/>
          <w:lang w:val="es-ES"/>
        </w:rPr>
        <w:t xml:space="preserve">se supone que las decisiones sobre solicitudes de asilo político se tomen según las circunstancias de cada caso </w:t>
      </w:r>
      <w:r w:rsidR="00295037" w:rsidRPr="003B7960">
        <w:rPr>
          <w:rFonts w:ascii="Cambria" w:hAnsi="Cambria"/>
          <w:sz w:val="20"/>
          <w:szCs w:val="20"/>
          <w:lang w:val="es-ES"/>
        </w:rPr>
        <w:t xml:space="preserve">en el </w:t>
      </w:r>
      <w:r w:rsidR="00E25BF4" w:rsidRPr="003B7960">
        <w:rPr>
          <w:rFonts w:ascii="Cambria" w:hAnsi="Cambria"/>
          <w:sz w:val="20"/>
          <w:szCs w:val="20"/>
          <w:lang w:val="es-ES"/>
        </w:rPr>
        <w:t>G</w:t>
      </w:r>
      <w:r w:rsidR="00094BDA" w:rsidRPr="003B7960">
        <w:rPr>
          <w:rFonts w:ascii="Cambria" w:hAnsi="Cambria"/>
          <w:sz w:val="20"/>
          <w:szCs w:val="20"/>
          <w:lang w:val="es-ES"/>
        </w:rPr>
        <w:t>abinete</w:t>
      </w:r>
      <w:r w:rsidR="00067F9E" w:rsidRPr="003B7960">
        <w:rPr>
          <w:rStyle w:val="FootnoteReference"/>
          <w:rFonts w:ascii="Cambria" w:hAnsi="Cambria"/>
          <w:sz w:val="20"/>
          <w:szCs w:val="20"/>
          <w:lang w:val="es-ES"/>
        </w:rPr>
        <w:footnoteReference w:id="9"/>
      </w:r>
      <w:r w:rsidR="00067F9E" w:rsidRPr="003B7960">
        <w:rPr>
          <w:rFonts w:ascii="Cambria" w:hAnsi="Cambria"/>
          <w:sz w:val="20"/>
          <w:szCs w:val="20"/>
          <w:lang w:val="es-ES"/>
        </w:rPr>
        <w:t xml:space="preserve"> </w:t>
      </w:r>
      <w:r w:rsidR="00094BDA" w:rsidRPr="003B7960">
        <w:rPr>
          <w:rFonts w:ascii="Cambria" w:hAnsi="Cambria"/>
          <w:sz w:val="20"/>
          <w:szCs w:val="20"/>
          <w:lang w:val="es-ES"/>
        </w:rPr>
        <w:t xml:space="preserve">de gobierno. Debido a la falta de leyes o normas que rijan el asilo, hay grandes lagunas en la identificación y protección de </w:t>
      </w:r>
      <w:r w:rsidRPr="003B7960">
        <w:rPr>
          <w:rFonts w:ascii="Cambria" w:hAnsi="Cambria"/>
          <w:sz w:val="20"/>
          <w:szCs w:val="20"/>
          <w:lang w:val="es-ES"/>
        </w:rPr>
        <w:t>refugiados</w:t>
      </w:r>
      <w:r w:rsidR="00094BDA" w:rsidRPr="003B7960">
        <w:rPr>
          <w:rFonts w:ascii="Cambria" w:hAnsi="Cambria"/>
          <w:sz w:val="20"/>
          <w:szCs w:val="20"/>
          <w:lang w:val="es-ES"/>
        </w:rPr>
        <w:t xml:space="preserve"> y no hay suficientes garantías contra la</w:t>
      </w:r>
      <w:r w:rsidR="00067F9E" w:rsidRPr="003B7960">
        <w:rPr>
          <w:rFonts w:ascii="Cambria" w:hAnsi="Cambria"/>
          <w:sz w:val="20"/>
          <w:szCs w:val="20"/>
          <w:lang w:val="es-ES"/>
        </w:rPr>
        <w:t xml:space="preserve"> </w:t>
      </w:r>
      <w:r w:rsidR="00094BDA" w:rsidRPr="003B7960">
        <w:rPr>
          <w:rFonts w:ascii="Cambria" w:hAnsi="Cambria"/>
          <w:sz w:val="20"/>
          <w:szCs w:val="20"/>
          <w:lang w:val="es-ES"/>
        </w:rPr>
        <w:t>devolución</w:t>
      </w:r>
      <w:r w:rsidR="00067F9E" w:rsidRPr="003B7960">
        <w:rPr>
          <w:rStyle w:val="FootnoteReference"/>
          <w:rFonts w:ascii="Cambria" w:hAnsi="Cambria"/>
          <w:sz w:val="20"/>
          <w:szCs w:val="20"/>
          <w:lang w:val="es-ES"/>
        </w:rPr>
        <w:footnoteReference w:id="10"/>
      </w:r>
      <w:r w:rsidR="00EE7A66" w:rsidRPr="003B7960">
        <w:rPr>
          <w:rFonts w:ascii="Cambria" w:hAnsi="Cambria"/>
          <w:sz w:val="20"/>
          <w:szCs w:val="20"/>
          <w:lang w:val="es-ES"/>
        </w:rPr>
        <w:t>.</w:t>
      </w:r>
    </w:p>
    <w:p w14:paraId="58B06673"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02573FA5" w14:textId="77777777" w:rsidR="00067F9E" w:rsidRPr="003B7960" w:rsidRDefault="00772786"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El ACNUR</w:t>
      </w:r>
      <w:r w:rsidR="00067F9E" w:rsidRPr="003B7960">
        <w:rPr>
          <w:rFonts w:ascii="Cambria" w:hAnsi="Cambria"/>
          <w:sz w:val="20"/>
          <w:szCs w:val="20"/>
          <w:lang w:val="es-ES"/>
        </w:rPr>
        <w:t xml:space="preserve"> ha</w:t>
      </w:r>
      <w:r w:rsidR="007B3970" w:rsidRPr="003B7960">
        <w:rPr>
          <w:rFonts w:ascii="Cambria" w:hAnsi="Cambria"/>
          <w:sz w:val="20"/>
          <w:szCs w:val="20"/>
          <w:lang w:val="es-ES"/>
        </w:rPr>
        <w:t xml:space="preserve"> señalado que, debido a la presencia de flujos migratorios mixtos y complejos</w:t>
      </w:r>
      <w:r w:rsidR="00067F9E" w:rsidRPr="003B7960">
        <w:rPr>
          <w:rStyle w:val="FootnoteReference"/>
          <w:rFonts w:ascii="Cambria" w:hAnsi="Cambria"/>
          <w:sz w:val="20"/>
          <w:szCs w:val="20"/>
          <w:lang w:val="es-ES"/>
        </w:rPr>
        <w:footnoteReference w:id="11"/>
      </w:r>
      <w:r w:rsidR="00067F9E" w:rsidRPr="003B7960">
        <w:rPr>
          <w:rFonts w:ascii="Cambria" w:hAnsi="Cambria"/>
          <w:sz w:val="20"/>
          <w:szCs w:val="20"/>
          <w:lang w:val="es-ES"/>
        </w:rPr>
        <w:t xml:space="preserve"> </w:t>
      </w:r>
      <w:r w:rsidR="007B3970" w:rsidRPr="003B7960">
        <w:rPr>
          <w:rFonts w:ascii="Cambria" w:hAnsi="Cambria"/>
          <w:sz w:val="20"/>
          <w:szCs w:val="20"/>
          <w:lang w:val="es-ES"/>
        </w:rPr>
        <w:t>y al volumen de la migración irregular</w:t>
      </w:r>
      <w:r w:rsidR="00067F9E" w:rsidRPr="003B7960">
        <w:rPr>
          <w:rFonts w:ascii="Cambria" w:hAnsi="Cambria"/>
          <w:sz w:val="20"/>
          <w:szCs w:val="20"/>
          <w:lang w:val="es-ES"/>
        </w:rPr>
        <w:t xml:space="preserve"> </w:t>
      </w:r>
      <w:r w:rsidR="007B3970" w:rsidRPr="003B7960">
        <w:rPr>
          <w:rFonts w:ascii="Cambria" w:hAnsi="Cambria"/>
          <w:sz w:val="20"/>
          <w:szCs w:val="20"/>
          <w:lang w:val="es-ES"/>
        </w:rPr>
        <w:t xml:space="preserve">por el extenso territorio marítimo de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7B3970" w:rsidRPr="003B7960">
        <w:rPr>
          <w:rFonts w:ascii="Cambria" w:hAnsi="Cambria"/>
          <w:sz w:val="20"/>
          <w:szCs w:val="20"/>
          <w:lang w:val="es-ES"/>
        </w:rPr>
        <w:t xml:space="preserve">es crucial que haya mecanismos de preselección y remisión que tengan en cuenta la protección a fin de detectar sistemáticamente a las personas que necesiten protección internacional y resguardarlas de la </w:t>
      </w:r>
      <w:r w:rsidR="00094BDA" w:rsidRPr="003B7960">
        <w:rPr>
          <w:rFonts w:ascii="Cambria" w:hAnsi="Cambria"/>
          <w:sz w:val="20"/>
          <w:szCs w:val="20"/>
          <w:lang w:val="es-ES"/>
        </w:rPr>
        <w:t>devolución</w:t>
      </w:r>
      <w:r w:rsidR="00067F9E" w:rsidRPr="003B7960">
        <w:rPr>
          <w:rFonts w:ascii="Cambria" w:hAnsi="Cambria"/>
          <w:sz w:val="20"/>
          <w:szCs w:val="20"/>
          <w:lang w:val="es-ES"/>
        </w:rPr>
        <w:t xml:space="preserve"> </w:t>
      </w:r>
      <w:r w:rsidR="007B3970" w:rsidRPr="003B7960">
        <w:rPr>
          <w:rFonts w:ascii="Cambria" w:hAnsi="Cambria"/>
          <w:sz w:val="20"/>
          <w:szCs w:val="20"/>
          <w:lang w:val="es-ES"/>
        </w:rPr>
        <w:t xml:space="preserve">en las operaciones de rutina de </w:t>
      </w:r>
      <w:r w:rsidR="00067F9E" w:rsidRPr="003B7960">
        <w:rPr>
          <w:rFonts w:ascii="Cambria" w:hAnsi="Cambria"/>
          <w:sz w:val="20"/>
          <w:szCs w:val="20"/>
          <w:lang w:val="es-ES"/>
        </w:rPr>
        <w:t>repatria</w:t>
      </w:r>
      <w:r w:rsidR="007B3970" w:rsidRPr="003B7960">
        <w:rPr>
          <w:rFonts w:ascii="Cambria" w:hAnsi="Cambria"/>
          <w:sz w:val="20"/>
          <w:szCs w:val="20"/>
          <w:lang w:val="es-ES"/>
        </w:rPr>
        <w:t>ción de personas interceptadas en el mar</w:t>
      </w:r>
      <w:r w:rsidR="00067F9E" w:rsidRPr="003B7960">
        <w:rPr>
          <w:rStyle w:val="FootnoteReference"/>
          <w:rFonts w:ascii="Cambria" w:hAnsi="Cambria"/>
          <w:sz w:val="20"/>
          <w:szCs w:val="20"/>
          <w:lang w:val="es-ES"/>
        </w:rPr>
        <w:footnoteReference w:id="12"/>
      </w:r>
      <w:r w:rsidR="00EE7A66" w:rsidRPr="003B7960">
        <w:rPr>
          <w:rFonts w:ascii="Cambria" w:hAnsi="Cambria"/>
          <w:sz w:val="20"/>
          <w:szCs w:val="20"/>
          <w:lang w:val="es-ES"/>
        </w:rPr>
        <w:t>.</w:t>
      </w:r>
      <w:r w:rsidR="00067F9E" w:rsidRPr="003B7960">
        <w:rPr>
          <w:rFonts w:ascii="Cambria" w:hAnsi="Cambria"/>
          <w:sz w:val="20"/>
          <w:szCs w:val="20"/>
          <w:lang w:val="es-ES"/>
        </w:rPr>
        <w:t xml:space="preserve"> </w:t>
      </w:r>
      <w:r w:rsidR="007B3970" w:rsidRPr="003B7960">
        <w:rPr>
          <w:rFonts w:ascii="Cambria" w:hAnsi="Cambria"/>
          <w:sz w:val="20"/>
          <w:szCs w:val="20"/>
          <w:lang w:val="es-ES"/>
        </w:rPr>
        <w:t xml:space="preserve">Por consiguiente, el </w:t>
      </w:r>
      <w:r w:rsidR="00EE7A66" w:rsidRPr="003B7960">
        <w:rPr>
          <w:rFonts w:ascii="Cambria" w:hAnsi="Cambria"/>
          <w:sz w:val="20"/>
          <w:szCs w:val="20"/>
          <w:lang w:val="es-ES"/>
        </w:rPr>
        <w:t>Comité para la Eliminación de la Discriminación Racial</w:t>
      </w:r>
      <w:r w:rsidR="00067F9E" w:rsidRPr="003B7960">
        <w:rPr>
          <w:rFonts w:ascii="Cambria" w:hAnsi="Cambria"/>
          <w:sz w:val="20"/>
          <w:szCs w:val="20"/>
          <w:lang w:val="es-ES"/>
        </w:rPr>
        <w:t xml:space="preserve"> (CERD) ha</w:t>
      </w:r>
      <w:r w:rsidR="00EE7A66" w:rsidRPr="003B7960">
        <w:rPr>
          <w:rFonts w:ascii="Cambria" w:hAnsi="Cambria"/>
          <w:sz w:val="20"/>
          <w:szCs w:val="20"/>
          <w:lang w:val="es-ES"/>
        </w:rPr>
        <w:t xml:space="preserve"> alentado “al Estado Parte a adoptar las medidas necesarias para incorporar la Convención y el Protocolo en el derecho interno, en particular en lo que respecta a la cláusula de prohibición de la devolución</w:t>
      </w:r>
      <w:r w:rsidR="00067F9E" w:rsidRPr="003B7960">
        <w:rPr>
          <w:rFonts w:ascii="Cambria" w:hAnsi="Cambria"/>
          <w:sz w:val="20"/>
          <w:szCs w:val="20"/>
          <w:lang w:val="es-ES"/>
        </w:rPr>
        <w:t>”</w:t>
      </w:r>
      <w:r w:rsidR="00067F9E" w:rsidRPr="003B7960">
        <w:rPr>
          <w:rStyle w:val="FootnoteReference"/>
          <w:rFonts w:ascii="Cambria" w:hAnsi="Cambria"/>
          <w:sz w:val="20"/>
          <w:szCs w:val="20"/>
          <w:lang w:val="es-ES"/>
        </w:rPr>
        <w:footnoteReference w:id="13"/>
      </w:r>
      <w:r w:rsidR="00743116" w:rsidRPr="003B7960">
        <w:rPr>
          <w:rFonts w:ascii="Cambria" w:hAnsi="Cambria"/>
          <w:sz w:val="20"/>
          <w:szCs w:val="20"/>
          <w:lang w:val="es-ES"/>
        </w:rPr>
        <w:t xml:space="preserve">. El </w:t>
      </w:r>
      <w:r w:rsidRPr="003B7960">
        <w:rPr>
          <w:rFonts w:ascii="Cambria" w:hAnsi="Cambria"/>
          <w:sz w:val="20"/>
          <w:szCs w:val="20"/>
          <w:lang w:val="es-ES"/>
        </w:rPr>
        <w:t>ACNUR</w:t>
      </w:r>
      <w:r w:rsidR="00743116" w:rsidRPr="003B7960">
        <w:rPr>
          <w:rFonts w:ascii="Cambria" w:hAnsi="Cambria"/>
          <w:sz w:val="20"/>
          <w:szCs w:val="20"/>
          <w:lang w:val="es-ES"/>
        </w:rPr>
        <w:t xml:space="preserve">, por su parte, ha instado a las </w:t>
      </w:r>
      <w:r w:rsidR="00067F9E" w:rsidRPr="003B7960">
        <w:rPr>
          <w:rFonts w:ascii="Cambria" w:hAnsi="Cambria"/>
          <w:sz w:val="20"/>
          <w:szCs w:val="20"/>
          <w:lang w:val="es-ES"/>
        </w:rPr>
        <w:t xml:space="preserve">Bahamas </w:t>
      </w:r>
      <w:r w:rsidR="00743116" w:rsidRPr="003B7960">
        <w:rPr>
          <w:rFonts w:ascii="Cambria" w:hAnsi="Cambria"/>
          <w:sz w:val="20"/>
          <w:szCs w:val="20"/>
          <w:lang w:val="es-ES"/>
        </w:rPr>
        <w:t>a que adopten leyes nacionales sobre refugiados</w:t>
      </w:r>
      <w:r w:rsidR="00067F9E" w:rsidRPr="003B7960">
        <w:rPr>
          <w:rStyle w:val="FootnoteReference"/>
          <w:rFonts w:ascii="Cambria" w:hAnsi="Cambria"/>
          <w:sz w:val="20"/>
          <w:szCs w:val="20"/>
          <w:lang w:val="es-ES"/>
        </w:rPr>
        <w:footnoteReference w:id="14"/>
      </w:r>
      <w:r w:rsidR="00EE7A66" w:rsidRPr="003B7960">
        <w:rPr>
          <w:rFonts w:ascii="Cambria" w:hAnsi="Cambria"/>
          <w:sz w:val="20"/>
          <w:szCs w:val="20"/>
          <w:lang w:val="es-ES"/>
        </w:rPr>
        <w:t>.</w:t>
      </w:r>
    </w:p>
    <w:p w14:paraId="683145B3"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454BDD0A" w14:textId="77777777" w:rsidR="00067F9E" w:rsidRPr="003B7960" w:rsidRDefault="004016D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 xml:space="preserve">A pesar de la normativa limitada en materia de movilidad </w:t>
      </w:r>
      <w:r w:rsidR="00067F9E" w:rsidRPr="003B7960">
        <w:rPr>
          <w:rFonts w:ascii="Cambria" w:hAnsi="Cambria"/>
          <w:sz w:val="20"/>
          <w:szCs w:val="20"/>
          <w:lang w:val="es-ES"/>
        </w:rPr>
        <w:t>human</w:t>
      </w:r>
      <w:r w:rsidRPr="003B7960">
        <w:rPr>
          <w:rFonts w:ascii="Cambria" w:hAnsi="Cambria"/>
          <w:sz w:val="20"/>
          <w:szCs w:val="20"/>
          <w:lang w:val="es-ES"/>
        </w:rPr>
        <w:t>a en</w:t>
      </w:r>
      <w:r w:rsidR="00067F9E" w:rsidRPr="003B7960">
        <w:rPr>
          <w:rFonts w:ascii="Cambria" w:hAnsi="Cambria"/>
          <w:sz w:val="20"/>
          <w:szCs w:val="20"/>
          <w:lang w:val="es-ES"/>
        </w:rPr>
        <w:t xml:space="preserve">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772786" w:rsidRPr="003B7960">
        <w:rPr>
          <w:rFonts w:ascii="Cambria" w:hAnsi="Cambria"/>
          <w:sz w:val="20"/>
          <w:szCs w:val="20"/>
          <w:lang w:val="es-ES"/>
        </w:rPr>
        <w:t>el ACNUR</w:t>
      </w:r>
      <w:r w:rsidR="00067F9E" w:rsidRPr="003B7960">
        <w:rPr>
          <w:rFonts w:ascii="Cambria" w:hAnsi="Cambria"/>
          <w:sz w:val="20"/>
          <w:szCs w:val="20"/>
          <w:lang w:val="es-ES"/>
        </w:rPr>
        <w:t xml:space="preserve"> ha</w:t>
      </w:r>
      <w:r w:rsidRPr="003B7960">
        <w:rPr>
          <w:rFonts w:ascii="Cambria" w:hAnsi="Cambria"/>
          <w:sz w:val="20"/>
          <w:szCs w:val="20"/>
          <w:lang w:val="es-ES"/>
        </w:rPr>
        <w:t xml:space="preserve"> señalado que, aunque actualmente no hay un marco escrito que rija el asilo en el país, hay acuerdos escritos relativos a la expulsión sumaria de </w:t>
      </w:r>
      <w:r w:rsidR="00D372E8" w:rsidRPr="003B7960">
        <w:rPr>
          <w:rFonts w:ascii="Cambria" w:hAnsi="Cambria"/>
          <w:sz w:val="20"/>
          <w:szCs w:val="20"/>
          <w:lang w:val="es-ES"/>
        </w:rPr>
        <w:t>migrantes irregulares</w:t>
      </w:r>
      <w:r w:rsidR="00067F9E" w:rsidRPr="003B7960">
        <w:rPr>
          <w:rFonts w:ascii="Cambria" w:hAnsi="Cambria"/>
          <w:sz w:val="20"/>
          <w:szCs w:val="20"/>
          <w:lang w:val="es-ES"/>
        </w:rPr>
        <w:t xml:space="preserve"> </w:t>
      </w:r>
      <w:r w:rsidRPr="003B7960">
        <w:rPr>
          <w:rFonts w:ascii="Cambria" w:hAnsi="Cambria"/>
          <w:sz w:val="20"/>
          <w:szCs w:val="20"/>
          <w:lang w:val="es-ES"/>
        </w:rPr>
        <w:t>procedentes de</w:t>
      </w:r>
      <w:r w:rsidR="00067F9E" w:rsidRPr="003B7960">
        <w:rPr>
          <w:rFonts w:ascii="Cambria" w:hAnsi="Cambria"/>
          <w:sz w:val="20"/>
          <w:szCs w:val="20"/>
          <w:lang w:val="es-ES"/>
        </w:rPr>
        <w:t xml:space="preserve"> Cuba </w:t>
      </w:r>
      <w:r w:rsidRPr="003B7960">
        <w:rPr>
          <w:rFonts w:ascii="Cambria" w:hAnsi="Cambria"/>
          <w:sz w:val="20"/>
          <w:szCs w:val="20"/>
          <w:lang w:val="es-ES"/>
        </w:rPr>
        <w:t>y</w:t>
      </w:r>
      <w:r w:rsidR="00067F9E" w:rsidRPr="003B7960">
        <w:rPr>
          <w:rFonts w:ascii="Cambria" w:hAnsi="Cambria"/>
          <w:sz w:val="20"/>
          <w:szCs w:val="20"/>
          <w:lang w:val="es-ES"/>
        </w:rPr>
        <w:t xml:space="preserve"> </w:t>
      </w:r>
      <w:r w:rsidRPr="003B7960">
        <w:rPr>
          <w:rFonts w:ascii="Cambria" w:hAnsi="Cambria"/>
          <w:sz w:val="20"/>
          <w:szCs w:val="20"/>
          <w:lang w:val="es-ES"/>
        </w:rPr>
        <w:t>Haití</w:t>
      </w:r>
      <w:r w:rsidR="00067F9E" w:rsidRPr="003B7960">
        <w:rPr>
          <w:rStyle w:val="FootnoteReference"/>
          <w:rFonts w:ascii="Cambria" w:hAnsi="Cambria"/>
          <w:sz w:val="20"/>
          <w:szCs w:val="20"/>
          <w:lang w:val="es-ES"/>
        </w:rPr>
        <w:footnoteReference w:id="15"/>
      </w:r>
      <w:r w:rsidRPr="003B7960">
        <w:rPr>
          <w:rFonts w:ascii="Cambria" w:hAnsi="Cambria"/>
          <w:sz w:val="20"/>
          <w:szCs w:val="20"/>
          <w:lang w:val="es-ES"/>
        </w:rPr>
        <w:t xml:space="preserv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Pr="003B7960">
        <w:rPr>
          <w:rFonts w:ascii="Cambria" w:hAnsi="Cambria"/>
          <w:sz w:val="20"/>
          <w:szCs w:val="20"/>
          <w:lang w:val="es-ES"/>
        </w:rPr>
        <w:t xml:space="preserve">firmó el </w:t>
      </w:r>
      <w:r w:rsidR="00067F9E" w:rsidRPr="003B7960">
        <w:rPr>
          <w:rFonts w:ascii="Cambria" w:hAnsi="Cambria"/>
          <w:sz w:val="20"/>
          <w:szCs w:val="20"/>
          <w:lang w:val="es-ES"/>
        </w:rPr>
        <w:t>Memorand</w:t>
      </w:r>
      <w:r w:rsidRPr="003B7960">
        <w:rPr>
          <w:rFonts w:ascii="Cambria" w:hAnsi="Cambria"/>
          <w:sz w:val="20"/>
          <w:szCs w:val="20"/>
          <w:lang w:val="es-ES"/>
        </w:rPr>
        <w:t xml:space="preserve">o de Entendimiento entre el Gobierno del </w:t>
      </w:r>
      <w:r w:rsidR="008A4F19" w:rsidRPr="003B7960">
        <w:rPr>
          <w:rFonts w:ascii="Cambria" w:hAnsi="Cambria"/>
          <w:sz w:val="20"/>
          <w:szCs w:val="20"/>
          <w:lang w:val="es-ES"/>
        </w:rPr>
        <w:t>Commonwealth de las</w:t>
      </w:r>
      <w:r w:rsidR="00067F9E" w:rsidRPr="003B7960">
        <w:rPr>
          <w:rFonts w:ascii="Cambria" w:hAnsi="Cambria"/>
          <w:sz w:val="20"/>
          <w:szCs w:val="20"/>
          <w:lang w:val="es-ES"/>
        </w:rPr>
        <w:t xml:space="preserve"> Bahamas </w:t>
      </w:r>
      <w:r w:rsidRPr="003B7960">
        <w:rPr>
          <w:rFonts w:ascii="Cambria" w:hAnsi="Cambria"/>
          <w:sz w:val="20"/>
          <w:szCs w:val="20"/>
          <w:lang w:val="es-ES"/>
        </w:rPr>
        <w:t xml:space="preserve">y el Gobierno de la República de </w:t>
      </w:r>
      <w:r w:rsidR="00067F9E" w:rsidRPr="003B7960">
        <w:rPr>
          <w:rFonts w:ascii="Cambria" w:hAnsi="Cambria"/>
          <w:sz w:val="20"/>
          <w:szCs w:val="20"/>
          <w:lang w:val="es-ES"/>
        </w:rPr>
        <w:t xml:space="preserve">Cuba </w:t>
      </w:r>
      <w:r w:rsidRPr="003B7960">
        <w:rPr>
          <w:rFonts w:ascii="Cambria" w:hAnsi="Cambria"/>
          <w:sz w:val="20"/>
          <w:szCs w:val="20"/>
          <w:lang w:val="es-ES"/>
        </w:rPr>
        <w:t xml:space="preserve">el </w:t>
      </w:r>
      <w:r w:rsidR="00067F9E" w:rsidRPr="003B7960">
        <w:rPr>
          <w:rFonts w:ascii="Cambria" w:hAnsi="Cambria"/>
          <w:sz w:val="20"/>
          <w:szCs w:val="20"/>
          <w:lang w:val="es-ES"/>
        </w:rPr>
        <w:t>12</w:t>
      </w:r>
      <w:r w:rsidRPr="003B7960">
        <w:rPr>
          <w:rFonts w:ascii="Cambria" w:hAnsi="Cambria"/>
          <w:sz w:val="20"/>
          <w:szCs w:val="20"/>
          <w:lang w:val="es-ES"/>
        </w:rPr>
        <w:t xml:space="preserve"> de enero de</w:t>
      </w:r>
      <w:r w:rsidR="00067F9E" w:rsidRPr="003B7960">
        <w:rPr>
          <w:rFonts w:ascii="Cambria" w:hAnsi="Cambria"/>
          <w:sz w:val="20"/>
          <w:szCs w:val="20"/>
          <w:lang w:val="es-ES"/>
        </w:rPr>
        <w:t xml:space="preserve"> 1996 </w:t>
      </w:r>
      <w:r w:rsidRPr="003B7960">
        <w:rPr>
          <w:rFonts w:ascii="Cambria" w:hAnsi="Cambria"/>
          <w:sz w:val="20"/>
          <w:szCs w:val="20"/>
          <w:lang w:val="es-ES"/>
        </w:rPr>
        <w:t xml:space="preserve">y su </w:t>
      </w:r>
      <w:r w:rsidR="00067F9E" w:rsidRPr="003B7960">
        <w:rPr>
          <w:rFonts w:ascii="Cambria" w:hAnsi="Cambria"/>
          <w:sz w:val="20"/>
          <w:szCs w:val="20"/>
          <w:lang w:val="es-ES"/>
        </w:rPr>
        <w:t>Protocol</w:t>
      </w:r>
      <w:r w:rsidRPr="003B7960">
        <w:rPr>
          <w:rFonts w:ascii="Cambria" w:hAnsi="Cambria"/>
          <w:sz w:val="20"/>
          <w:szCs w:val="20"/>
          <w:lang w:val="es-ES"/>
        </w:rPr>
        <w:t>o e</w:t>
      </w:r>
      <w:r w:rsidR="00067F9E" w:rsidRPr="003B7960">
        <w:rPr>
          <w:rFonts w:ascii="Cambria" w:hAnsi="Cambria"/>
          <w:sz w:val="20"/>
          <w:szCs w:val="20"/>
          <w:lang w:val="es-ES"/>
        </w:rPr>
        <w:t>n 1998</w:t>
      </w:r>
      <w:r w:rsidR="00067F9E" w:rsidRPr="003B7960">
        <w:rPr>
          <w:rStyle w:val="FootnoteReference"/>
          <w:rFonts w:ascii="Cambria" w:hAnsi="Cambria"/>
          <w:sz w:val="20"/>
          <w:szCs w:val="20"/>
          <w:lang w:val="es-ES"/>
        </w:rPr>
        <w:footnoteReference w:id="16"/>
      </w:r>
      <w:r w:rsidRPr="003B7960">
        <w:rPr>
          <w:rFonts w:ascii="Cambria" w:hAnsi="Cambria"/>
          <w:sz w:val="20"/>
          <w:szCs w:val="20"/>
          <w:lang w:val="es-ES"/>
        </w:rPr>
        <w:t>. En el caso de</w:t>
      </w:r>
      <w:r w:rsidR="00067F9E" w:rsidRPr="003B7960">
        <w:rPr>
          <w:rFonts w:ascii="Cambria" w:hAnsi="Cambria"/>
          <w:sz w:val="20"/>
          <w:szCs w:val="20"/>
          <w:lang w:val="es-ES"/>
        </w:rPr>
        <w:t xml:space="preserve"> </w:t>
      </w:r>
      <w:r w:rsidRPr="003B7960">
        <w:rPr>
          <w:rFonts w:ascii="Cambria" w:hAnsi="Cambria"/>
          <w:sz w:val="20"/>
          <w:szCs w:val="20"/>
          <w:lang w:val="es-ES"/>
        </w:rPr>
        <w:t>Haití</w:t>
      </w:r>
      <w:r w:rsidR="00067F9E" w:rsidRPr="003B7960">
        <w:rPr>
          <w:rFonts w:ascii="Cambria" w:hAnsi="Cambria"/>
          <w:sz w:val="20"/>
          <w:szCs w:val="20"/>
          <w:lang w:val="es-ES"/>
        </w:rPr>
        <w:t xml:space="preserve">, </w:t>
      </w:r>
      <w:r w:rsidR="00C33F51" w:rsidRPr="003B7960">
        <w:rPr>
          <w:rFonts w:ascii="Cambria" w:hAnsi="Cambria"/>
          <w:sz w:val="20"/>
          <w:szCs w:val="20"/>
          <w:lang w:val="es-ES"/>
        </w:rPr>
        <w:t>la CIDH</w:t>
      </w:r>
      <w:r w:rsidR="00067F9E" w:rsidRPr="003B7960">
        <w:rPr>
          <w:rFonts w:ascii="Cambria" w:hAnsi="Cambria"/>
          <w:sz w:val="20"/>
          <w:szCs w:val="20"/>
          <w:lang w:val="es-ES"/>
        </w:rPr>
        <w:t xml:space="preserve"> </w:t>
      </w:r>
      <w:r w:rsidRPr="003B7960">
        <w:rPr>
          <w:rFonts w:ascii="Cambria" w:hAnsi="Cambria"/>
          <w:sz w:val="20"/>
          <w:szCs w:val="20"/>
          <w:lang w:val="es-ES"/>
        </w:rPr>
        <w:t xml:space="preserve">entiende que, aunque el acuerdo de </w:t>
      </w:r>
      <w:r w:rsidR="007B6078" w:rsidRPr="003B7960">
        <w:rPr>
          <w:rFonts w:ascii="Cambria" w:hAnsi="Cambria"/>
          <w:sz w:val="20"/>
          <w:szCs w:val="20"/>
          <w:lang w:val="es-ES"/>
        </w:rPr>
        <w:t>repatriación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entre las </w:t>
      </w:r>
      <w:r w:rsidR="00067F9E" w:rsidRPr="003B7960">
        <w:rPr>
          <w:rFonts w:ascii="Cambria" w:hAnsi="Cambria"/>
          <w:sz w:val="20"/>
          <w:szCs w:val="20"/>
          <w:lang w:val="es-ES"/>
        </w:rPr>
        <w:t xml:space="preserve">Bahamas </w:t>
      </w:r>
      <w:r w:rsidRPr="003B7960">
        <w:rPr>
          <w:rFonts w:ascii="Cambria" w:hAnsi="Cambria"/>
          <w:sz w:val="20"/>
          <w:szCs w:val="20"/>
          <w:lang w:val="es-ES"/>
        </w:rPr>
        <w:t>y</w:t>
      </w:r>
      <w:r w:rsidR="00067F9E" w:rsidRPr="003B7960">
        <w:rPr>
          <w:rFonts w:ascii="Cambria" w:hAnsi="Cambria"/>
          <w:sz w:val="20"/>
          <w:szCs w:val="20"/>
          <w:lang w:val="es-ES"/>
        </w:rPr>
        <w:t xml:space="preserve"> </w:t>
      </w:r>
      <w:r w:rsidRPr="003B7960">
        <w:rPr>
          <w:rFonts w:ascii="Cambria" w:hAnsi="Cambria"/>
          <w:sz w:val="20"/>
          <w:szCs w:val="20"/>
          <w:lang w:val="es-ES"/>
        </w:rPr>
        <w:t>Haití</w:t>
      </w:r>
      <w:r w:rsidR="00067F9E" w:rsidRPr="003B7960">
        <w:rPr>
          <w:rFonts w:ascii="Cambria" w:hAnsi="Cambria"/>
          <w:sz w:val="20"/>
          <w:szCs w:val="20"/>
          <w:lang w:val="es-ES"/>
        </w:rPr>
        <w:t xml:space="preserve"> </w:t>
      </w:r>
      <w:r w:rsidRPr="003B7960">
        <w:rPr>
          <w:rFonts w:ascii="Cambria" w:hAnsi="Cambria"/>
          <w:sz w:val="20"/>
          <w:szCs w:val="20"/>
          <w:lang w:val="es-ES"/>
        </w:rPr>
        <w:t xml:space="preserve">venció a fines de </w:t>
      </w:r>
      <w:r w:rsidR="00067F9E" w:rsidRPr="003B7960">
        <w:rPr>
          <w:rFonts w:ascii="Cambria" w:hAnsi="Cambria"/>
          <w:sz w:val="20"/>
          <w:szCs w:val="20"/>
          <w:lang w:val="es-ES"/>
        </w:rPr>
        <w:t xml:space="preserve">1995, </w:t>
      </w:r>
      <w:r w:rsidRPr="003B7960">
        <w:rPr>
          <w:rFonts w:ascii="Cambria" w:hAnsi="Cambria"/>
          <w:sz w:val="20"/>
          <w:szCs w:val="20"/>
          <w:lang w:val="es-ES"/>
        </w:rPr>
        <w:t xml:space="preserve">el </w:t>
      </w:r>
      <w:r w:rsidR="00084D3E" w:rsidRPr="003B7960">
        <w:rPr>
          <w:rFonts w:ascii="Cambria" w:hAnsi="Cambria"/>
          <w:sz w:val="20"/>
          <w:szCs w:val="20"/>
          <w:lang w:val="es-ES"/>
        </w:rPr>
        <w:t>G</w:t>
      </w:r>
      <w:r w:rsidRPr="003B7960">
        <w:rPr>
          <w:rFonts w:ascii="Cambria" w:hAnsi="Cambria"/>
          <w:sz w:val="20"/>
          <w:szCs w:val="20"/>
          <w:lang w:val="es-ES"/>
        </w:rPr>
        <w:t xml:space="preserve">obierno </w:t>
      </w:r>
      <w:r w:rsidR="00084D3E" w:rsidRPr="003B7960">
        <w:rPr>
          <w:rFonts w:ascii="Cambria" w:hAnsi="Cambria"/>
          <w:sz w:val="20"/>
          <w:szCs w:val="20"/>
          <w:lang w:val="es-ES"/>
        </w:rPr>
        <w:t>de las Bahamas sig</w:t>
      </w:r>
      <w:r w:rsidRPr="003B7960">
        <w:rPr>
          <w:rFonts w:ascii="Cambria" w:hAnsi="Cambria"/>
          <w:sz w:val="20"/>
          <w:szCs w:val="20"/>
          <w:lang w:val="es-ES"/>
        </w:rPr>
        <w:t xml:space="preserve">uió repatriando </w:t>
      </w:r>
      <w:r w:rsidR="00084D3E" w:rsidRPr="003B7960">
        <w:rPr>
          <w:rFonts w:ascii="Cambria" w:hAnsi="Cambria"/>
          <w:sz w:val="20"/>
          <w:szCs w:val="20"/>
          <w:lang w:val="es-ES"/>
        </w:rPr>
        <w:t xml:space="preserve">a </w:t>
      </w:r>
      <w:r w:rsidRPr="003B7960">
        <w:rPr>
          <w:rFonts w:ascii="Cambria" w:hAnsi="Cambria"/>
          <w:sz w:val="20"/>
          <w:szCs w:val="20"/>
          <w:lang w:val="es-ES"/>
        </w:rPr>
        <w:t>inmigrantes haitianos de</w:t>
      </w:r>
      <w:r w:rsidR="00E25BF4" w:rsidRPr="003B7960">
        <w:rPr>
          <w:rFonts w:ascii="Cambria" w:hAnsi="Cambria"/>
          <w:sz w:val="20"/>
          <w:szCs w:val="20"/>
          <w:lang w:val="es-ES"/>
        </w:rPr>
        <w:t xml:space="preserve"> acuerdo con las condiciones de dicho</w:t>
      </w:r>
      <w:r w:rsidRPr="003B7960">
        <w:rPr>
          <w:rFonts w:ascii="Cambria" w:hAnsi="Cambria"/>
          <w:sz w:val="20"/>
          <w:szCs w:val="20"/>
          <w:lang w:val="es-ES"/>
        </w:rPr>
        <w:t xml:space="preserve"> acuerdo</w:t>
      </w:r>
      <w:r w:rsidR="00067F9E" w:rsidRPr="003B7960">
        <w:rPr>
          <w:rStyle w:val="FootnoteReference"/>
          <w:rFonts w:ascii="Cambria" w:hAnsi="Cambria"/>
          <w:sz w:val="20"/>
          <w:szCs w:val="20"/>
          <w:lang w:val="es-ES"/>
        </w:rPr>
        <w:footnoteReference w:id="17"/>
      </w:r>
      <w:r w:rsidRPr="003B7960">
        <w:rPr>
          <w:rFonts w:ascii="Cambria" w:hAnsi="Cambria"/>
          <w:sz w:val="20"/>
          <w:szCs w:val="20"/>
          <w:lang w:val="es-ES"/>
        </w:rPr>
        <w:t>.</w:t>
      </w:r>
    </w:p>
    <w:p w14:paraId="0A6BA087" w14:textId="77777777" w:rsidR="00067F9E" w:rsidRPr="003B7960" w:rsidRDefault="00067F9E" w:rsidP="00101DC6">
      <w:pPr>
        <w:pStyle w:val="ListParagraph"/>
        <w:tabs>
          <w:tab w:val="left" w:pos="426"/>
        </w:tabs>
        <w:ind w:left="0"/>
        <w:rPr>
          <w:rFonts w:ascii="Cambria" w:hAnsi="Cambria"/>
          <w:sz w:val="20"/>
          <w:szCs w:val="20"/>
          <w:lang w:val="es-ES"/>
        </w:rPr>
      </w:pPr>
    </w:p>
    <w:p w14:paraId="5DFA10FD" w14:textId="77777777" w:rsidR="00067F9E" w:rsidRPr="003B7960" w:rsidRDefault="004016D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Por consiguiente</w:t>
      </w:r>
      <w:r w:rsidR="00067F9E" w:rsidRPr="003B7960">
        <w:rPr>
          <w:rFonts w:ascii="Cambria" w:hAnsi="Cambria"/>
          <w:sz w:val="20"/>
          <w:szCs w:val="20"/>
          <w:lang w:val="es-ES"/>
        </w:rPr>
        <w:t xml:space="preserve">, </w:t>
      </w:r>
      <w:r w:rsidR="00772786" w:rsidRPr="003B7960">
        <w:rPr>
          <w:rFonts w:ascii="Cambria" w:hAnsi="Cambria"/>
          <w:sz w:val="20"/>
          <w:szCs w:val="20"/>
          <w:lang w:val="es-ES"/>
        </w:rPr>
        <w:t>el ACNUR</w:t>
      </w:r>
      <w:r w:rsidR="00067F9E" w:rsidRPr="003B7960">
        <w:rPr>
          <w:rFonts w:ascii="Cambria" w:hAnsi="Cambria"/>
          <w:sz w:val="20"/>
          <w:szCs w:val="20"/>
          <w:lang w:val="es-ES"/>
        </w:rPr>
        <w:t xml:space="preserve"> </w:t>
      </w:r>
      <w:r w:rsidRPr="003B7960">
        <w:rPr>
          <w:rFonts w:ascii="Cambria" w:hAnsi="Cambria"/>
          <w:sz w:val="20"/>
          <w:szCs w:val="20"/>
          <w:lang w:val="es-ES"/>
        </w:rPr>
        <w:t xml:space="preserve">afirmó en </w:t>
      </w:r>
      <w:r w:rsidR="00067F9E" w:rsidRPr="003B7960">
        <w:rPr>
          <w:rFonts w:ascii="Cambria" w:hAnsi="Cambria"/>
          <w:sz w:val="20"/>
          <w:szCs w:val="20"/>
          <w:lang w:val="es-ES"/>
        </w:rPr>
        <w:t xml:space="preserve">2012 </w:t>
      </w:r>
      <w:r w:rsidRPr="003B7960">
        <w:rPr>
          <w:rFonts w:ascii="Cambria" w:hAnsi="Cambria"/>
          <w:sz w:val="20"/>
          <w:szCs w:val="20"/>
          <w:lang w:val="es-ES"/>
        </w:rPr>
        <w:t>que las deportaciones</w:t>
      </w:r>
      <w:r w:rsidR="00067F9E" w:rsidRPr="003B7960">
        <w:rPr>
          <w:rFonts w:ascii="Cambria" w:hAnsi="Cambria"/>
          <w:sz w:val="20"/>
          <w:szCs w:val="20"/>
          <w:lang w:val="es-ES"/>
        </w:rPr>
        <w:t xml:space="preserve"> </w:t>
      </w:r>
      <w:r w:rsidRPr="003B7960">
        <w:rPr>
          <w:rFonts w:ascii="Cambria" w:hAnsi="Cambria"/>
          <w:sz w:val="20"/>
          <w:szCs w:val="20"/>
          <w:lang w:val="es-ES"/>
        </w:rPr>
        <w:t xml:space="preserve">sistemáticas de personas detenidas en </w:t>
      </w:r>
      <w:proofErr w:type="spellStart"/>
      <w:r w:rsidR="00067F9E"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Pr="003B7960">
        <w:rPr>
          <w:rFonts w:ascii="Cambria" w:hAnsi="Cambria"/>
          <w:sz w:val="20"/>
          <w:szCs w:val="20"/>
          <w:lang w:val="es-ES"/>
        </w:rPr>
        <w:t>se realizan de conformidad con dichos acuerdos</w:t>
      </w:r>
      <w:r w:rsidR="00067F9E" w:rsidRPr="003B7960">
        <w:rPr>
          <w:rFonts w:ascii="Cambria" w:hAnsi="Cambria"/>
          <w:sz w:val="20"/>
          <w:szCs w:val="20"/>
          <w:lang w:val="es-ES"/>
        </w:rPr>
        <w:t xml:space="preserve"> bilateral</w:t>
      </w:r>
      <w:r w:rsidRPr="003B7960">
        <w:rPr>
          <w:rFonts w:ascii="Cambria" w:hAnsi="Cambria"/>
          <w:sz w:val="20"/>
          <w:szCs w:val="20"/>
          <w:lang w:val="es-ES"/>
        </w:rPr>
        <w:t>es</w:t>
      </w:r>
      <w:r w:rsidR="00067F9E" w:rsidRPr="003B7960">
        <w:rPr>
          <w:rStyle w:val="FootnoteReference"/>
          <w:rFonts w:ascii="Cambria" w:hAnsi="Cambria"/>
          <w:sz w:val="20"/>
          <w:szCs w:val="20"/>
          <w:lang w:val="es-ES"/>
        </w:rPr>
        <w:footnoteReference w:id="18"/>
      </w:r>
      <w:r w:rsidRPr="003B7960">
        <w:rPr>
          <w:rFonts w:ascii="Cambria" w:hAnsi="Cambria"/>
          <w:sz w:val="20"/>
          <w:szCs w:val="20"/>
          <w:lang w:val="es-ES"/>
        </w:rPr>
        <w:t>.</w:t>
      </w:r>
      <w:r w:rsidR="00067F9E" w:rsidRPr="003B7960">
        <w:rPr>
          <w:rFonts w:ascii="Cambria" w:hAnsi="Cambria"/>
          <w:sz w:val="20"/>
          <w:szCs w:val="20"/>
          <w:lang w:val="es-ES"/>
        </w:rPr>
        <w:t xml:space="preserve"> </w:t>
      </w:r>
      <w:r w:rsidR="002538C7" w:rsidRPr="003B7960">
        <w:rPr>
          <w:rFonts w:ascii="Cambria" w:hAnsi="Cambria"/>
          <w:sz w:val="20"/>
          <w:szCs w:val="20"/>
          <w:lang w:val="es-ES"/>
        </w:rPr>
        <w:t xml:space="preserve">Además, en los acuerdos </w:t>
      </w:r>
      <w:r w:rsidR="00067F9E" w:rsidRPr="003B7960">
        <w:rPr>
          <w:rFonts w:ascii="Cambria" w:hAnsi="Cambria"/>
          <w:sz w:val="20"/>
          <w:szCs w:val="20"/>
          <w:lang w:val="es-ES"/>
        </w:rPr>
        <w:t>bilateral</w:t>
      </w:r>
      <w:r w:rsidR="002538C7" w:rsidRPr="003B7960">
        <w:rPr>
          <w:rFonts w:ascii="Cambria" w:hAnsi="Cambria"/>
          <w:sz w:val="20"/>
          <w:szCs w:val="20"/>
          <w:lang w:val="es-ES"/>
        </w:rPr>
        <w:t xml:space="preserve">es firmados con ambos países se dispone que se debe intercambiar información sobre las personas que serán repatriadas con su país de origen, a veces dentro de las </w:t>
      </w:r>
      <w:r w:rsidR="00067F9E" w:rsidRPr="003B7960">
        <w:rPr>
          <w:rFonts w:ascii="Cambria" w:hAnsi="Cambria"/>
          <w:sz w:val="20"/>
          <w:szCs w:val="20"/>
          <w:lang w:val="es-ES"/>
        </w:rPr>
        <w:t>72 ho</w:t>
      </w:r>
      <w:r w:rsidR="002538C7" w:rsidRPr="003B7960">
        <w:rPr>
          <w:rFonts w:ascii="Cambria" w:hAnsi="Cambria"/>
          <w:sz w:val="20"/>
          <w:szCs w:val="20"/>
          <w:lang w:val="es-ES"/>
        </w:rPr>
        <w:t>ras siguientes a su identificación en</w:t>
      </w:r>
      <w:r w:rsidR="00067F9E" w:rsidRPr="003B7960">
        <w:rPr>
          <w:rFonts w:ascii="Cambria" w:hAnsi="Cambria"/>
          <w:sz w:val="20"/>
          <w:szCs w:val="20"/>
          <w:lang w:val="es-ES"/>
        </w:rPr>
        <w:t xml:space="preserve">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2538C7" w:rsidRPr="003B7960">
        <w:rPr>
          <w:rFonts w:ascii="Cambria" w:hAnsi="Cambria"/>
          <w:sz w:val="20"/>
          <w:szCs w:val="20"/>
          <w:lang w:val="es-ES"/>
        </w:rPr>
        <w:lastRenderedPageBreak/>
        <w:t>como condición para su expulsión sumaria y su devolución</w:t>
      </w:r>
      <w:r w:rsidR="00067F9E" w:rsidRPr="003B7960">
        <w:rPr>
          <w:rStyle w:val="FootnoteReference"/>
          <w:rFonts w:ascii="Cambria" w:hAnsi="Cambria"/>
          <w:sz w:val="20"/>
          <w:szCs w:val="20"/>
          <w:lang w:val="es-ES"/>
        </w:rPr>
        <w:footnoteReference w:id="19"/>
      </w:r>
      <w:r w:rsidR="002538C7" w:rsidRPr="003B7960">
        <w:rPr>
          <w:rFonts w:ascii="Cambria" w:hAnsi="Cambria"/>
          <w:sz w:val="20"/>
          <w:szCs w:val="20"/>
          <w:lang w:val="es-ES"/>
        </w:rPr>
        <w:t xml:space="preserve">. Cabe destacar asimismo que los acuerdos con </w:t>
      </w:r>
      <w:r w:rsidR="00067F9E" w:rsidRPr="003B7960">
        <w:rPr>
          <w:rFonts w:ascii="Cambria" w:hAnsi="Cambria"/>
          <w:sz w:val="20"/>
          <w:szCs w:val="20"/>
          <w:lang w:val="es-ES"/>
        </w:rPr>
        <w:t>Cuba</w:t>
      </w:r>
      <w:r w:rsidR="002538C7" w:rsidRPr="003B7960">
        <w:rPr>
          <w:rFonts w:ascii="Cambria" w:hAnsi="Cambria"/>
          <w:sz w:val="20"/>
          <w:szCs w:val="20"/>
          <w:lang w:val="es-ES"/>
        </w:rPr>
        <w:t xml:space="preserve"> no contenían ninguna disposición para determinar si los cubanos que </w:t>
      </w:r>
      <w:r w:rsidR="00781310" w:rsidRPr="003B7960">
        <w:rPr>
          <w:rFonts w:ascii="Cambria" w:hAnsi="Cambria"/>
          <w:sz w:val="20"/>
          <w:szCs w:val="20"/>
          <w:lang w:val="es-ES"/>
        </w:rPr>
        <w:t xml:space="preserve">pedían </w:t>
      </w:r>
      <w:r w:rsidR="00C33F51" w:rsidRPr="003B7960">
        <w:rPr>
          <w:rFonts w:ascii="Cambria" w:hAnsi="Cambria"/>
          <w:sz w:val="20"/>
          <w:szCs w:val="20"/>
          <w:lang w:val="es-ES"/>
        </w:rPr>
        <w:t>asilo</w:t>
      </w:r>
      <w:r w:rsidR="00067F9E" w:rsidRPr="003B7960">
        <w:rPr>
          <w:rFonts w:ascii="Cambria" w:hAnsi="Cambria"/>
          <w:sz w:val="20"/>
          <w:szCs w:val="20"/>
          <w:lang w:val="es-ES"/>
        </w:rPr>
        <w:t xml:space="preserve"> </w:t>
      </w:r>
      <w:r w:rsidR="002538C7" w:rsidRPr="003B7960">
        <w:rPr>
          <w:rFonts w:ascii="Cambria" w:hAnsi="Cambria"/>
          <w:sz w:val="20"/>
          <w:szCs w:val="20"/>
          <w:lang w:val="es-ES"/>
        </w:rPr>
        <w:t xml:space="preserve">reunían los requisitos para ser considerados como </w:t>
      </w:r>
      <w:r w:rsidR="00BE1909" w:rsidRPr="003B7960">
        <w:rPr>
          <w:rFonts w:ascii="Cambria" w:hAnsi="Cambria"/>
          <w:sz w:val="20"/>
          <w:szCs w:val="20"/>
          <w:lang w:val="es-ES"/>
        </w:rPr>
        <w:t>refugiado</w:t>
      </w:r>
      <w:r w:rsidR="002538C7" w:rsidRPr="003B7960">
        <w:rPr>
          <w:rFonts w:ascii="Cambria" w:hAnsi="Cambria"/>
          <w:sz w:val="20"/>
          <w:szCs w:val="20"/>
          <w:lang w:val="es-ES"/>
        </w:rPr>
        <w:t>s ni garantías de que el Gobierno de Cuba no fuese a castigar a los repatriados</w:t>
      </w:r>
      <w:r w:rsidR="00067F9E" w:rsidRPr="003B7960">
        <w:rPr>
          <w:rStyle w:val="FootnoteReference"/>
          <w:rFonts w:ascii="Cambria" w:hAnsi="Cambria"/>
          <w:sz w:val="20"/>
          <w:szCs w:val="20"/>
          <w:lang w:val="es-ES"/>
        </w:rPr>
        <w:footnoteReference w:id="20"/>
      </w:r>
      <w:r w:rsidR="002538C7" w:rsidRPr="003B7960">
        <w:rPr>
          <w:rFonts w:ascii="Cambria" w:hAnsi="Cambria"/>
          <w:sz w:val="20"/>
          <w:szCs w:val="20"/>
          <w:lang w:val="es-ES"/>
        </w:rPr>
        <w:t>.</w:t>
      </w:r>
      <w:r w:rsidR="00067F9E" w:rsidRPr="003B7960">
        <w:rPr>
          <w:rFonts w:ascii="Cambria" w:hAnsi="Cambria"/>
          <w:sz w:val="20"/>
          <w:szCs w:val="20"/>
          <w:lang w:val="es-ES"/>
        </w:rPr>
        <w:t xml:space="preserve"> </w:t>
      </w:r>
    </w:p>
    <w:p w14:paraId="5D6AB1B8"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6130CAB1" w14:textId="77777777" w:rsidR="00067F9E" w:rsidRPr="003B7960" w:rsidRDefault="00067F9E"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Ad</w:t>
      </w:r>
      <w:r w:rsidR="002538C7" w:rsidRPr="003B7960">
        <w:rPr>
          <w:rFonts w:ascii="Cambria" w:hAnsi="Cambria"/>
          <w:sz w:val="20"/>
          <w:szCs w:val="20"/>
          <w:lang w:val="es-ES"/>
        </w:rPr>
        <w:t>emás</w:t>
      </w:r>
      <w:r w:rsidRPr="003B7960">
        <w:rPr>
          <w:rFonts w:ascii="Cambria" w:hAnsi="Cambria"/>
          <w:sz w:val="20"/>
          <w:szCs w:val="20"/>
          <w:lang w:val="es-ES"/>
        </w:rPr>
        <w:t xml:space="preserve">, </w:t>
      </w:r>
      <w:r w:rsidR="00B9011F" w:rsidRPr="003B7960">
        <w:rPr>
          <w:rFonts w:ascii="Cambria" w:hAnsi="Cambria"/>
          <w:sz w:val="20"/>
          <w:szCs w:val="20"/>
          <w:lang w:val="es-ES"/>
        </w:rPr>
        <w:t>la Comisión</w:t>
      </w:r>
      <w:r w:rsidRPr="003B7960">
        <w:rPr>
          <w:rFonts w:ascii="Cambria" w:hAnsi="Cambria"/>
          <w:sz w:val="20"/>
          <w:szCs w:val="20"/>
          <w:lang w:val="es-ES"/>
        </w:rPr>
        <w:t xml:space="preserve"> observ</w:t>
      </w:r>
      <w:r w:rsidR="002538C7" w:rsidRPr="003B7960">
        <w:rPr>
          <w:rFonts w:ascii="Cambria" w:hAnsi="Cambria"/>
          <w:sz w:val="20"/>
          <w:szCs w:val="20"/>
          <w:lang w:val="es-ES"/>
        </w:rPr>
        <w:t xml:space="preserve">a que, desde que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Pr="003B7960">
        <w:rPr>
          <w:rFonts w:ascii="Cambria" w:hAnsi="Cambria"/>
          <w:sz w:val="20"/>
          <w:szCs w:val="20"/>
          <w:lang w:val="es-ES"/>
        </w:rPr>
        <w:t xml:space="preserve"> </w:t>
      </w:r>
      <w:r w:rsidR="002538C7" w:rsidRPr="003B7960">
        <w:rPr>
          <w:rFonts w:ascii="Cambria" w:hAnsi="Cambria"/>
          <w:sz w:val="20"/>
          <w:szCs w:val="20"/>
          <w:lang w:val="es-ES"/>
        </w:rPr>
        <w:t xml:space="preserve">comenzó a funcionar, las condiciones en las que opera han sido motivo de preocupación para </w:t>
      </w:r>
      <w:r w:rsidR="00295037" w:rsidRPr="003B7960">
        <w:rPr>
          <w:rFonts w:ascii="Cambria" w:hAnsi="Cambria"/>
          <w:sz w:val="20"/>
          <w:szCs w:val="20"/>
          <w:lang w:val="es-ES"/>
        </w:rPr>
        <w:t>órganos de derechos humanos</w:t>
      </w:r>
      <w:r w:rsidRPr="003B7960">
        <w:rPr>
          <w:rFonts w:ascii="Cambria" w:hAnsi="Cambria"/>
          <w:sz w:val="20"/>
          <w:szCs w:val="20"/>
          <w:lang w:val="es-ES"/>
        </w:rPr>
        <w:t xml:space="preserve">. </w:t>
      </w:r>
      <w:r w:rsidR="002538C7" w:rsidRPr="003B7960">
        <w:rPr>
          <w:rFonts w:ascii="Cambria" w:hAnsi="Cambria"/>
          <w:sz w:val="20"/>
          <w:szCs w:val="20"/>
          <w:lang w:val="es-ES"/>
        </w:rPr>
        <w:t>A título de antecedente</w:t>
      </w:r>
      <w:r w:rsidRPr="003B7960">
        <w:rPr>
          <w:rFonts w:ascii="Cambria" w:hAnsi="Cambria"/>
          <w:sz w:val="20"/>
          <w:szCs w:val="20"/>
          <w:lang w:val="es-ES"/>
        </w:rPr>
        <w:t>, “</w:t>
      </w:r>
      <w:r w:rsidR="00EB7DD1" w:rsidRPr="003B7960">
        <w:rPr>
          <w:rFonts w:ascii="Cambria" w:hAnsi="Cambria"/>
          <w:sz w:val="20"/>
          <w:szCs w:val="20"/>
          <w:lang w:val="es-ES"/>
        </w:rPr>
        <w:t xml:space="preserve">en 1995 el Gobierno terminó de construir el Centro de </w:t>
      </w:r>
      <w:r w:rsidR="002538C7" w:rsidRPr="003B7960">
        <w:rPr>
          <w:rFonts w:ascii="Cambria" w:hAnsi="Cambria"/>
          <w:sz w:val="20"/>
          <w:szCs w:val="20"/>
          <w:lang w:val="es-ES"/>
        </w:rPr>
        <w:t>D</w:t>
      </w:r>
      <w:r w:rsidR="00EB7DD1" w:rsidRPr="003B7960">
        <w:rPr>
          <w:rFonts w:ascii="Cambria" w:hAnsi="Cambria"/>
          <w:sz w:val="20"/>
          <w:szCs w:val="20"/>
          <w:lang w:val="es-ES"/>
        </w:rPr>
        <w:t xml:space="preserve">etención de </w:t>
      </w:r>
      <w:proofErr w:type="spellStart"/>
      <w:r w:rsidR="00EB7DD1" w:rsidRPr="003B7960">
        <w:rPr>
          <w:rFonts w:ascii="Cambria" w:hAnsi="Cambria"/>
          <w:sz w:val="20"/>
          <w:szCs w:val="20"/>
          <w:lang w:val="es-ES"/>
        </w:rPr>
        <w:t>Carmichael</w:t>
      </w:r>
      <w:proofErr w:type="spellEnd"/>
      <w:r w:rsidR="00EB7DD1" w:rsidRPr="003B7960">
        <w:rPr>
          <w:rFonts w:ascii="Cambria" w:hAnsi="Cambria"/>
          <w:sz w:val="20"/>
          <w:szCs w:val="20"/>
          <w:lang w:val="es-ES"/>
        </w:rPr>
        <w:t> Road, con capacidad para albergar a más de 500 inmigrantes ilegales. Antes, se instalaba a los inmigrantes ilegales en la cárcel estatal de Fox Hill</w:t>
      </w:r>
      <w:r w:rsidRPr="003B7960">
        <w:rPr>
          <w:rFonts w:ascii="Cambria" w:hAnsi="Cambria"/>
          <w:sz w:val="20"/>
          <w:szCs w:val="20"/>
          <w:lang w:val="es-ES"/>
        </w:rPr>
        <w:t>”</w:t>
      </w:r>
      <w:r w:rsidRPr="003B7960">
        <w:rPr>
          <w:rStyle w:val="FootnoteReference"/>
          <w:rFonts w:ascii="Cambria" w:hAnsi="Cambria"/>
          <w:sz w:val="20"/>
          <w:szCs w:val="20"/>
          <w:lang w:val="es-ES"/>
        </w:rPr>
        <w:footnoteReference w:id="21"/>
      </w:r>
      <w:r w:rsidR="002538C7" w:rsidRPr="003B7960">
        <w:rPr>
          <w:rFonts w:ascii="Cambria" w:hAnsi="Cambria"/>
          <w:sz w:val="20"/>
          <w:szCs w:val="20"/>
          <w:lang w:val="es-ES"/>
        </w:rPr>
        <w:t xml:space="preserve">. El </w:t>
      </w:r>
      <w:r w:rsidRPr="003B7960">
        <w:rPr>
          <w:rFonts w:ascii="Cambria" w:hAnsi="Cambria"/>
          <w:sz w:val="20"/>
          <w:szCs w:val="20"/>
          <w:lang w:val="es-ES"/>
        </w:rPr>
        <w:t>CERD observ</w:t>
      </w:r>
      <w:r w:rsidR="002538C7" w:rsidRPr="003B7960">
        <w:rPr>
          <w:rFonts w:ascii="Cambria" w:hAnsi="Cambria"/>
          <w:sz w:val="20"/>
          <w:szCs w:val="20"/>
          <w:lang w:val="es-ES"/>
        </w:rPr>
        <w:t xml:space="preserve">ó en </w:t>
      </w:r>
      <w:r w:rsidRPr="003B7960">
        <w:rPr>
          <w:rFonts w:ascii="Cambria" w:hAnsi="Cambria"/>
          <w:sz w:val="20"/>
          <w:szCs w:val="20"/>
          <w:lang w:val="es-ES"/>
        </w:rPr>
        <w:t xml:space="preserve">2003 </w:t>
      </w:r>
      <w:r w:rsidR="002538C7" w:rsidRPr="003B7960">
        <w:rPr>
          <w:rFonts w:ascii="Cambria" w:hAnsi="Cambria"/>
          <w:sz w:val="20"/>
          <w:szCs w:val="20"/>
          <w:lang w:val="es-ES"/>
        </w:rPr>
        <w:t xml:space="preserve">que la </w:t>
      </w:r>
      <w:r w:rsidR="00133A5D" w:rsidRPr="003B7960">
        <w:rPr>
          <w:rFonts w:ascii="Cambria" w:hAnsi="Cambria"/>
          <w:sz w:val="20"/>
          <w:szCs w:val="20"/>
          <w:lang w:val="es-ES"/>
        </w:rPr>
        <w:t>detención</w:t>
      </w:r>
      <w:r w:rsidRPr="003B7960">
        <w:rPr>
          <w:rFonts w:ascii="Cambria" w:hAnsi="Cambria"/>
          <w:sz w:val="20"/>
          <w:szCs w:val="20"/>
          <w:lang w:val="es-ES"/>
        </w:rPr>
        <w:t xml:space="preserve"> </w:t>
      </w:r>
      <w:r w:rsidR="002538C7" w:rsidRPr="003B7960">
        <w:rPr>
          <w:rFonts w:ascii="Cambria" w:hAnsi="Cambria"/>
          <w:sz w:val="20"/>
          <w:szCs w:val="20"/>
          <w:lang w:val="es-ES"/>
        </w:rPr>
        <w:t xml:space="preserve">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Pr="003B7960">
        <w:rPr>
          <w:rFonts w:ascii="Cambria" w:hAnsi="Cambria"/>
          <w:sz w:val="20"/>
          <w:szCs w:val="20"/>
          <w:lang w:val="es-ES"/>
        </w:rPr>
        <w:t xml:space="preserve"> </w:t>
      </w:r>
      <w:r w:rsidR="002538C7" w:rsidRPr="003B7960">
        <w:rPr>
          <w:rFonts w:ascii="Cambria" w:hAnsi="Cambria"/>
          <w:sz w:val="20"/>
          <w:szCs w:val="20"/>
          <w:lang w:val="es-ES"/>
        </w:rPr>
        <w:t>puede ser prolongada y que las condiciones son deficientes</w:t>
      </w:r>
      <w:r w:rsidRPr="003B7960">
        <w:rPr>
          <w:rStyle w:val="FootnoteReference"/>
          <w:rFonts w:ascii="Cambria" w:hAnsi="Cambria"/>
          <w:sz w:val="20"/>
          <w:szCs w:val="20"/>
          <w:lang w:val="es-ES"/>
        </w:rPr>
        <w:footnoteReference w:id="22"/>
      </w:r>
      <w:r w:rsidR="002538C7" w:rsidRPr="003B7960">
        <w:rPr>
          <w:rFonts w:ascii="Cambria" w:hAnsi="Cambria"/>
          <w:sz w:val="20"/>
          <w:szCs w:val="20"/>
          <w:lang w:val="es-ES"/>
        </w:rPr>
        <w:t>. E</w:t>
      </w:r>
      <w:r w:rsidRPr="003B7960">
        <w:rPr>
          <w:rFonts w:ascii="Cambria" w:hAnsi="Cambria"/>
          <w:sz w:val="20"/>
          <w:szCs w:val="20"/>
          <w:lang w:val="es-ES"/>
        </w:rPr>
        <w:t xml:space="preserve">n 2012, </w:t>
      </w:r>
      <w:r w:rsidR="00772786" w:rsidRPr="003B7960">
        <w:rPr>
          <w:rFonts w:ascii="Cambria" w:hAnsi="Cambria"/>
          <w:sz w:val="20"/>
          <w:szCs w:val="20"/>
          <w:lang w:val="es-ES"/>
        </w:rPr>
        <w:t>el ACNUR</w:t>
      </w:r>
      <w:r w:rsidRPr="003B7960">
        <w:rPr>
          <w:rFonts w:ascii="Cambria" w:hAnsi="Cambria"/>
          <w:sz w:val="20"/>
          <w:szCs w:val="20"/>
          <w:lang w:val="es-ES"/>
        </w:rPr>
        <w:t xml:space="preserve"> </w:t>
      </w:r>
      <w:r w:rsidR="002538C7" w:rsidRPr="003B7960">
        <w:rPr>
          <w:rFonts w:ascii="Cambria" w:hAnsi="Cambria"/>
          <w:sz w:val="20"/>
          <w:szCs w:val="20"/>
          <w:lang w:val="es-ES"/>
        </w:rPr>
        <w:t xml:space="preserve">siguió describiendo las condiciones en el Centro como </w:t>
      </w:r>
      <w:r w:rsidR="00A37A57" w:rsidRPr="003B7960">
        <w:rPr>
          <w:rFonts w:ascii="Cambria" w:hAnsi="Cambria"/>
          <w:sz w:val="20"/>
          <w:szCs w:val="20"/>
          <w:lang w:val="es-ES"/>
        </w:rPr>
        <w:t>deficientes</w:t>
      </w:r>
      <w:r w:rsidRPr="003B7960">
        <w:rPr>
          <w:rStyle w:val="FootnoteReference"/>
          <w:rFonts w:ascii="Cambria" w:hAnsi="Cambria"/>
          <w:sz w:val="20"/>
          <w:szCs w:val="20"/>
          <w:lang w:val="es-ES"/>
        </w:rPr>
        <w:footnoteReference w:id="23"/>
      </w:r>
      <w:r w:rsidRPr="003B7960">
        <w:rPr>
          <w:rFonts w:ascii="Cambria" w:hAnsi="Cambria"/>
          <w:sz w:val="20"/>
          <w:szCs w:val="20"/>
          <w:lang w:val="es-ES"/>
        </w:rPr>
        <w:t xml:space="preserve"> </w:t>
      </w:r>
      <w:r w:rsidR="00A37A57" w:rsidRPr="003B7960">
        <w:rPr>
          <w:rFonts w:ascii="Cambria" w:hAnsi="Cambria"/>
          <w:sz w:val="20"/>
          <w:szCs w:val="20"/>
          <w:lang w:val="es-ES"/>
        </w:rPr>
        <w:t xml:space="preserve">y señaló que varias organizaciones de derechos </w:t>
      </w:r>
      <w:r w:rsidRPr="003B7960">
        <w:rPr>
          <w:rFonts w:ascii="Cambria" w:hAnsi="Cambria"/>
          <w:sz w:val="20"/>
          <w:szCs w:val="20"/>
          <w:lang w:val="es-ES"/>
        </w:rPr>
        <w:t>human</w:t>
      </w:r>
      <w:r w:rsidR="00A37A57" w:rsidRPr="003B7960">
        <w:rPr>
          <w:rFonts w:ascii="Cambria" w:hAnsi="Cambria"/>
          <w:sz w:val="20"/>
          <w:szCs w:val="20"/>
          <w:lang w:val="es-ES"/>
        </w:rPr>
        <w:t xml:space="preserve">os han documentado ampliamente graves preocupaciones relacionadas con el trato inhumano y el abuso físico y psicológico de los </w:t>
      </w:r>
      <w:r w:rsidR="007B6078" w:rsidRPr="003B7960">
        <w:rPr>
          <w:rFonts w:ascii="Cambria" w:hAnsi="Cambria"/>
          <w:sz w:val="20"/>
          <w:szCs w:val="20"/>
          <w:lang w:val="es-ES"/>
        </w:rPr>
        <w:t>detenidos</w:t>
      </w:r>
      <w:r w:rsidRPr="003B7960">
        <w:rPr>
          <w:rStyle w:val="FootnoteReference"/>
          <w:rFonts w:ascii="Cambria" w:hAnsi="Cambria"/>
          <w:sz w:val="20"/>
          <w:szCs w:val="20"/>
          <w:lang w:val="es-ES"/>
        </w:rPr>
        <w:footnoteReference w:id="24"/>
      </w:r>
      <w:r w:rsidR="00A37A57" w:rsidRPr="003B7960">
        <w:rPr>
          <w:rFonts w:ascii="Cambria" w:hAnsi="Cambria"/>
          <w:sz w:val="20"/>
          <w:szCs w:val="20"/>
          <w:lang w:val="es-ES"/>
        </w:rPr>
        <w:t>. En ese sentido</w:t>
      </w:r>
      <w:r w:rsidRPr="003B7960">
        <w:rPr>
          <w:rFonts w:ascii="Cambria" w:hAnsi="Cambria"/>
          <w:sz w:val="20"/>
          <w:szCs w:val="20"/>
          <w:lang w:val="es-ES"/>
        </w:rPr>
        <w:t xml:space="preserve">, </w:t>
      </w:r>
      <w:r w:rsidR="00084D3E" w:rsidRPr="003B7960">
        <w:rPr>
          <w:rFonts w:ascii="Cambria" w:hAnsi="Cambria"/>
          <w:sz w:val="20"/>
          <w:szCs w:val="20"/>
          <w:lang w:val="es-ES"/>
        </w:rPr>
        <w:t xml:space="preserve">el </w:t>
      </w:r>
      <w:r w:rsidRPr="003B7960">
        <w:rPr>
          <w:rFonts w:ascii="Cambria" w:hAnsi="Cambria"/>
          <w:sz w:val="20"/>
          <w:szCs w:val="20"/>
          <w:lang w:val="es-ES"/>
        </w:rPr>
        <w:t xml:space="preserve">CERD </w:t>
      </w:r>
      <w:r w:rsidR="00EE7A66" w:rsidRPr="003B7960">
        <w:rPr>
          <w:rFonts w:ascii="Cambria" w:hAnsi="Cambria"/>
          <w:sz w:val="20"/>
          <w:szCs w:val="20"/>
          <w:lang w:val="es-ES"/>
        </w:rPr>
        <w:t xml:space="preserve">expresó en </w:t>
      </w:r>
      <w:r w:rsidRPr="003B7960">
        <w:rPr>
          <w:rFonts w:ascii="Cambria" w:hAnsi="Cambria"/>
          <w:sz w:val="20"/>
          <w:szCs w:val="20"/>
          <w:lang w:val="es-ES"/>
        </w:rPr>
        <w:t>2004 “</w:t>
      </w:r>
      <w:r w:rsidR="00EE7A66" w:rsidRPr="003B7960">
        <w:rPr>
          <w:rFonts w:ascii="Cambria" w:hAnsi="Cambria"/>
          <w:sz w:val="20"/>
          <w:szCs w:val="20"/>
          <w:lang w:val="es-ES"/>
        </w:rPr>
        <w:t>su gran preocupación por las noticias de que las condiciones de detención son insatisfactorias, especialmente en lo referente al acceso a la alimentación y el agua potable, la higiene y la atención médica</w:t>
      </w:r>
      <w:r w:rsidRPr="003B7960">
        <w:rPr>
          <w:rFonts w:ascii="Cambria" w:hAnsi="Cambria"/>
          <w:sz w:val="20"/>
          <w:szCs w:val="20"/>
          <w:lang w:val="es-ES"/>
        </w:rPr>
        <w:t>”</w:t>
      </w:r>
      <w:r w:rsidRPr="003B7960">
        <w:rPr>
          <w:rStyle w:val="FootnoteReference"/>
          <w:rFonts w:ascii="Cambria" w:hAnsi="Cambria"/>
          <w:sz w:val="20"/>
          <w:szCs w:val="20"/>
          <w:lang w:val="es-ES"/>
        </w:rPr>
        <w:footnoteReference w:id="25"/>
      </w:r>
      <w:r w:rsidR="00EE7A66" w:rsidRPr="003B7960">
        <w:rPr>
          <w:rFonts w:ascii="Cambria" w:hAnsi="Cambria"/>
          <w:sz w:val="20"/>
          <w:szCs w:val="20"/>
          <w:lang w:val="es-ES"/>
        </w:rPr>
        <w:t>.</w:t>
      </w:r>
      <w:r w:rsidRPr="003B7960">
        <w:rPr>
          <w:rFonts w:ascii="Cambria" w:hAnsi="Cambria"/>
          <w:sz w:val="20"/>
          <w:szCs w:val="20"/>
          <w:lang w:val="es-ES"/>
        </w:rPr>
        <w:t xml:space="preserve"> </w:t>
      </w:r>
      <w:r w:rsidR="00800462" w:rsidRPr="003B7960">
        <w:rPr>
          <w:rFonts w:ascii="Cambria" w:hAnsi="Cambria"/>
          <w:sz w:val="20"/>
          <w:szCs w:val="20"/>
          <w:lang w:val="es-ES"/>
        </w:rPr>
        <w:t>E</w:t>
      </w:r>
      <w:r w:rsidR="00EB7DD1" w:rsidRPr="003B7960">
        <w:rPr>
          <w:rFonts w:ascii="Cambria" w:hAnsi="Cambria"/>
          <w:sz w:val="20"/>
          <w:szCs w:val="20"/>
          <w:lang w:val="es-ES"/>
        </w:rPr>
        <w:t>l Relator Especial sobre la cuestión de la tortura</w:t>
      </w:r>
      <w:r w:rsidRPr="003B7960">
        <w:rPr>
          <w:rFonts w:ascii="Cambria" w:hAnsi="Cambria"/>
          <w:sz w:val="20"/>
          <w:szCs w:val="20"/>
          <w:lang w:val="es-ES"/>
        </w:rPr>
        <w:t xml:space="preserve"> </w:t>
      </w:r>
      <w:r w:rsidR="00800462" w:rsidRPr="003B7960">
        <w:rPr>
          <w:rFonts w:ascii="Cambria" w:hAnsi="Cambria"/>
          <w:sz w:val="20"/>
          <w:szCs w:val="20"/>
          <w:lang w:val="es-ES"/>
        </w:rPr>
        <w:t>y</w:t>
      </w:r>
      <w:r w:rsidRPr="003B7960">
        <w:rPr>
          <w:rFonts w:ascii="Cambria" w:hAnsi="Cambria"/>
          <w:sz w:val="20"/>
          <w:szCs w:val="20"/>
          <w:lang w:val="es-ES"/>
        </w:rPr>
        <w:t xml:space="preserve"> </w:t>
      </w:r>
      <w:r w:rsidR="00EB7DD1" w:rsidRPr="003B7960">
        <w:rPr>
          <w:rFonts w:ascii="Cambria" w:hAnsi="Cambria"/>
          <w:sz w:val="20"/>
          <w:szCs w:val="20"/>
          <w:lang w:val="es-ES"/>
        </w:rPr>
        <w:t>el Relator Especial sobre la independencia de los magistrados y abogados</w:t>
      </w:r>
      <w:r w:rsidR="00800462" w:rsidRPr="003B7960">
        <w:rPr>
          <w:rFonts w:ascii="Cambria" w:hAnsi="Cambria"/>
          <w:sz w:val="20"/>
          <w:szCs w:val="20"/>
          <w:lang w:val="es-ES"/>
        </w:rPr>
        <w:t xml:space="preserve"> también han expresado una grave preocupación por las condiciones de detención en el Centro </w:t>
      </w:r>
      <w:proofErr w:type="spellStart"/>
      <w:r w:rsidR="00800462" w:rsidRPr="003B7960">
        <w:rPr>
          <w:rFonts w:ascii="Cambria" w:hAnsi="Cambria"/>
          <w:sz w:val="20"/>
          <w:szCs w:val="20"/>
          <w:lang w:val="es-ES"/>
        </w:rPr>
        <w:t>Carmichael</w:t>
      </w:r>
      <w:proofErr w:type="spellEnd"/>
      <w:r w:rsidR="00800462" w:rsidRPr="003B7960">
        <w:rPr>
          <w:rFonts w:ascii="Cambria" w:hAnsi="Cambria"/>
          <w:sz w:val="20"/>
          <w:szCs w:val="20"/>
          <w:lang w:val="es-ES"/>
        </w:rPr>
        <w:t xml:space="preserve"> en relación con </w:t>
      </w:r>
      <w:r w:rsidR="00EB7DD1" w:rsidRPr="003B7960">
        <w:rPr>
          <w:rFonts w:ascii="Cambria" w:hAnsi="Cambria"/>
          <w:sz w:val="20"/>
          <w:szCs w:val="20"/>
          <w:lang w:val="es-ES"/>
        </w:rPr>
        <w:t xml:space="preserve">presuntas golpizas </w:t>
      </w:r>
      <w:r w:rsidR="007D38CF" w:rsidRPr="003B7960">
        <w:rPr>
          <w:rFonts w:ascii="Cambria" w:hAnsi="Cambria"/>
          <w:sz w:val="20"/>
          <w:szCs w:val="20"/>
          <w:lang w:val="es-ES"/>
        </w:rPr>
        <w:t>y ejecuciones simuladas</w:t>
      </w:r>
      <w:r w:rsidRPr="003B7960">
        <w:rPr>
          <w:rStyle w:val="FootnoteReference"/>
          <w:rFonts w:ascii="Cambria" w:hAnsi="Cambria"/>
          <w:sz w:val="20"/>
          <w:szCs w:val="20"/>
          <w:lang w:val="es-ES"/>
        </w:rPr>
        <w:footnoteReference w:id="26"/>
      </w:r>
      <w:r w:rsidR="007D38CF" w:rsidRPr="003B7960">
        <w:rPr>
          <w:rFonts w:ascii="Cambria" w:hAnsi="Cambria"/>
          <w:sz w:val="20"/>
          <w:szCs w:val="20"/>
          <w:lang w:val="es-ES"/>
        </w:rPr>
        <w:t xml:space="preserve">. </w:t>
      </w:r>
      <w:r w:rsidR="00800462" w:rsidRPr="003B7960">
        <w:rPr>
          <w:rFonts w:ascii="Cambria" w:hAnsi="Cambria"/>
          <w:sz w:val="20"/>
          <w:szCs w:val="20"/>
          <w:lang w:val="es-ES"/>
        </w:rPr>
        <w:t xml:space="preserve">Asimismo, </w:t>
      </w:r>
      <w:r w:rsidR="00A1365B" w:rsidRPr="003B7960">
        <w:rPr>
          <w:rFonts w:ascii="Cambria" w:hAnsi="Cambria"/>
          <w:sz w:val="20"/>
          <w:szCs w:val="20"/>
          <w:lang w:val="es-ES"/>
        </w:rPr>
        <w:t>la</w:t>
      </w:r>
      <w:r w:rsidR="00800462" w:rsidRPr="003B7960">
        <w:rPr>
          <w:rFonts w:ascii="Cambria" w:hAnsi="Cambria"/>
          <w:sz w:val="20"/>
          <w:szCs w:val="20"/>
          <w:lang w:val="es-ES"/>
        </w:rPr>
        <w:t xml:space="preserve"> Relator</w:t>
      </w:r>
      <w:r w:rsidR="00A1365B" w:rsidRPr="003B7960">
        <w:rPr>
          <w:rFonts w:ascii="Cambria" w:hAnsi="Cambria"/>
          <w:sz w:val="20"/>
          <w:szCs w:val="20"/>
          <w:lang w:val="es-ES"/>
        </w:rPr>
        <w:t>a</w:t>
      </w:r>
      <w:r w:rsidR="00800462" w:rsidRPr="003B7960">
        <w:rPr>
          <w:rFonts w:ascii="Cambria" w:hAnsi="Cambria"/>
          <w:sz w:val="20"/>
          <w:szCs w:val="20"/>
          <w:lang w:val="es-ES"/>
        </w:rPr>
        <w:t xml:space="preserve"> Especial sobre la trata de personas, especialmente mujeres y niños, también </w:t>
      </w:r>
      <w:r w:rsidR="00895E42" w:rsidRPr="003B7960">
        <w:rPr>
          <w:rFonts w:ascii="Cambria" w:hAnsi="Cambria"/>
          <w:sz w:val="20"/>
          <w:szCs w:val="20"/>
          <w:lang w:val="es-ES"/>
        </w:rPr>
        <w:t>mencionó las obvias condiciones de hacinamiento en el</w:t>
      </w:r>
      <w:r w:rsidR="00800462" w:rsidRPr="003B7960">
        <w:rPr>
          <w:rFonts w:ascii="Cambria" w:hAnsi="Cambria"/>
          <w:sz w:val="20"/>
          <w:szCs w:val="20"/>
          <w:lang w:val="es-ES"/>
        </w:rPr>
        <w:t xml:space="preserve"> Centro</w:t>
      </w:r>
      <w:r w:rsidRPr="003B7960">
        <w:rPr>
          <w:rStyle w:val="FootnoteReference"/>
          <w:rFonts w:ascii="Cambria" w:hAnsi="Cambria"/>
          <w:sz w:val="20"/>
          <w:szCs w:val="20"/>
          <w:lang w:val="es-ES"/>
        </w:rPr>
        <w:footnoteReference w:id="27"/>
      </w:r>
      <w:r w:rsidR="00800462" w:rsidRPr="003B7960">
        <w:rPr>
          <w:rFonts w:ascii="Cambria" w:hAnsi="Cambria"/>
          <w:sz w:val="20"/>
          <w:szCs w:val="20"/>
          <w:lang w:val="es-ES"/>
        </w:rPr>
        <w:t>.</w:t>
      </w:r>
      <w:r w:rsidRPr="003B7960">
        <w:rPr>
          <w:rFonts w:ascii="Cambria" w:hAnsi="Cambria"/>
          <w:sz w:val="20"/>
          <w:szCs w:val="20"/>
          <w:lang w:val="es-ES"/>
        </w:rPr>
        <w:t xml:space="preserve"> </w:t>
      </w:r>
      <w:r w:rsidR="00895E42" w:rsidRPr="003B7960">
        <w:rPr>
          <w:rFonts w:ascii="Cambria" w:hAnsi="Cambria"/>
          <w:sz w:val="20"/>
          <w:szCs w:val="20"/>
          <w:lang w:val="es-ES"/>
        </w:rPr>
        <w:t>Además</w:t>
      </w:r>
      <w:r w:rsidRPr="003B7960">
        <w:rPr>
          <w:rFonts w:ascii="Cambria" w:hAnsi="Cambria"/>
          <w:sz w:val="20"/>
          <w:szCs w:val="20"/>
          <w:lang w:val="es-ES"/>
        </w:rPr>
        <w:t xml:space="preserve">, </w:t>
      </w:r>
      <w:r w:rsidR="00772786" w:rsidRPr="003B7960">
        <w:rPr>
          <w:rFonts w:ascii="Cambria" w:hAnsi="Cambria"/>
          <w:sz w:val="20"/>
          <w:szCs w:val="20"/>
          <w:lang w:val="es-ES"/>
        </w:rPr>
        <w:t>el ACNUR</w:t>
      </w:r>
      <w:r w:rsidRPr="003B7960">
        <w:rPr>
          <w:rFonts w:ascii="Cambria" w:hAnsi="Cambria"/>
          <w:sz w:val="20"/>
          <w:szCs w:val="20"/>
          <w:lang w:val="es-ES"/>
        </w:rPr>
        <w:t xml:space="preserve"> re</w:t>
      </w:r>
      <w:r w:rsidR="00895E42" w:rsidRPr="003B7960">
        <w:rPr>
          <w:rFonts w:ascii="Cambria" w:hAnsi="Cambria"/>
          <w:sz w:val="20"/>
          <w:szCs w:val="20"/>
          <w:lang w:val="es-ES"/>
        </w:rPr>
        <w:t>iteró su recomendación de que el gobierno no solo considerara la mejora de las condiciones de</w:t>
      </w:r>
      <w:r w:rsidRPr="003B7960">
        <w:rPr>
          <w:rFonts w:ascii="Cambria" w:hAnsi="Cambria"/>
          <w:sz w:val="20"/>
          <w:szCs w:val="20"/>
          <w:lang w:val="es-ES"/>
        </w:rPr>
        <w:t xml:space="preserve"> </w:t>
      </w:r>
      <w:r w:rsidR="00133A5D" w:rsidRPr="003B7960">
        <w:rPr>
          <w:rFonts w:ascii="Cambria" w:hAnsi="Cambria"/>
          <w:sz w:val="20"/>
          <w:szCs w:val="20"/>
          <w:lang w:val="es-ES"/>
        </w:rPr>
        <w:t>detención</w:t>
      </w:r>
      <w:r w:rsidR="00895E42" w:rsidRPr="003B7960">
        <w:rPr>
          <w:rFonts w:ascii="Cambria" w:hAnsi="Cambria"/>
          <w:sz w:val="20"/>
          <w:szCs w:val="20"/>
          <w:lang w:val="es-ES"/>
        </w:rPr>
        <w:t xml:space="preserve">, sino también, lo que es más importante, otras alternativas en vez de la </w:t>
      </w:r>
      <w:r w:rsidR="00133A5D" w:rsidRPr="003B7960">
        <w:rPr>
          <w:rFonts w:ascii="Cambria" w:hAnsi="Cambria"/>
          <w:sz w:val="20"/>
          <w:szCs w:val="20"/>
          <w:lang w:val="es-ES"/>
        </w:rPr>
        <w:t>detención</w:t>
      </w:r>
      <w:r w:rsidRPr="003B7960">
        <w:rPr>
          <w:rFonts w:ascii="Cambria" w:hAnsi="Cambria"/>
          <w:sz w:val="20"/>
          <w:szCs w:val="20"/>
          <w:lang w:val="es-ES"/>
        </w:rPr>
        <w:t>, especial</w:t>
      </w:r>
      <w:r w:rsidR="00895E42" w:rsidRPr="003B7960">
        <w:rPr>
          <w:rFonts w:ascii="Cambria" w:hAnsi="Cambria"/>
          <w:sz w:val="20"/>
          <w:szCs w:val="20"/>
          <w:lang w:val="es-ES"/>
        </w:rPr>
        <w:t xml:space="preserve">mente para los </w:t>
      </w:r>
      <w:r w:rsidR="00772786" w:rsidRPr="003B7960">
        <w:rPr>
          <w:rFonts w:ascii="Cambria" w:hAnsi="Cambria"/>
          <w:sz w:val="20"/>
          <w:szCs w:val="20"/>
          <w:lang w:val="es-ES"/>
        </w:rPr>
        <w:t>solicitantes de asilo</w:t>
      </w:r>
      <w:r w:rsidRPr="003B7960">
        <w:rPr>
          <w:rFonts w:ascii="Cambria" w:hAnsi="Cambria"/>
          <w:sz w:val="20"/>
          <w:szCs w:val="20"/>
          <w:lang w:val="es-ES"/>
        </w:rPr>
        <w:t xml:space="preserve">, </w:t>
      </w:r>
      <w:r w:rsidR="00895E42" w:rsidRPr="003B7960">
        <w:rPr>
          <w:rFonts w:ascii="Cambria" w:hAnsi="Cambria"/>
          <w:sz w:val="20"/>
          <w:szCs w:val="20"/>
          <w:lang w:val="es-ES"/>
        </w:rPr>
        <w:t xml:space="preserve">los </w:t>
      </w:r>
      <w:r w:rsidR="00772786" w:rsidRPr="003B7960">
        <w:rPr>
          <w:rFonts w:ascii="Cambria" w:hAnsi="Cambria"/>
          <w:sz w:val="20"/>
          <w:szCs w:val="20"/>
          <w:lang w:val="es-ES"/>
        </w:rPr>
        <w:t>refugiados</w:t>
      </w:r>
      <w:r w:rsidRPr="003B7960">
        <w:rPr>
          <w:rFonts w:ascii="Cambria" w:hAnsi="Cambria"/>
          <w:sz w:val="20"/>
          <w:szCs w:val="20"/>
          <w:lang w:val="es-ES"/>
        </w:rPr>
        <w:t xml:space="preserve">, </w:t>
      </w:r>
      <w:r w:rsidR="00895E42" w:rsidRPr="003B7960">
        <w:rPr>
          <w:rFonts w:ascii="Cambria" w:hAnsi="Cambria"/>
          <w:sz w:val="20"/>
          <w:szCs w:val="20"/>
          <w:lang w:val="es-ES"/>
        </w:rPr>
        <w:t>los apátri</w:t>
      </w:r>
      <w:r w:rsidR="0080355F" w:rsidRPr="003B7960">
        <w:rPr>
          <w:rFonts w:ascii="Cambria" w:hAnsi="Cambria"/>
          <w:sz w:val="20"/>
          <w:szCs w:val="20"/>
          <w:lang w:val="es-ES"/>
        </w:rPr>
        <w:t>d</w:t>
      </w:r>
      <w:r w:rsidR="00895E42" w:rsidRPr="003B7960">
        <w:rPr>
          <w:rFonts w:ascii="Cambria" w:hAnsi="Cambria"/>
          <w:sz w:val="20"/>
          <w:szCs w:val="20"/>
          <w:lang w:val="es-ES"/>
        </w:rPr>
        <w:t xml:space="preserve">as y otras personas </w:t>
      </w:r>
      <w:r w:rsidRPr="003B7960">
        <w:rPr>
          <w:rFonts w:ascii="Cambria" w:hAnsi="Cambria"/>
          <w:sz w:val="20"/>
          <w:szCs w:val="20"/>
          <w:lang w:val="es-ES"/>
        </w:rPr>
        <w:t>vulnerables</w:t>
      </w:r>
      <w:r w:rsidRPr="003B7960">
        <w:rPr>
          <w:rStyle w:val="FootnoteReference"/>
          <w:rFonts w:ascii="Cambria" w:hAnsi="Cambria"/>
          <w:sz w:val="20"/>
          <w:szCs w:val="20"/>
          <w:lang w:val="es-ES"/>
        </w:rPr>
        <w:footnoteReference w:id="28"/>
      </w:r>
      <w:r w:rsidR="00895E42" w:rsidRPr="003B7960">
        <w:rPr>
          <w:rFonts w:ascii="Cambria" w:hAnsi="Cambria"/>
          <w:sz w:val="20"/>
          <w:szCs w:val="20"/>
          <w:lang w:val="es-ES"/>
        </w:rPr>
        <w:t>. Por último</w:t>
      </w:r>
      <w:r w:rsidRPr="003B7960">
        <w:rPr>
          <w:rFonts w:ascii="Cambria" w:hAnsi="Cambria"/>
          <w:sz w:val="20"/>
          <w:szCs w:val="20"/>
          <w:lang w:val="es-ES"/>
        </w:rPr>
        <w:t xml:space="preserve">, </w:t>
      </w:r>
      <w:r w:rsidR="00772786" w:rsidRPr="003B7960">
        <w:rPr>
          <w:rFonts w:ascii="Cambria" w:hAnsi="Cambria"/>
          <w:sz w:val="20"/>
          <w:szCs w:val="20"/>
          <w:lang w:val="es-ES"/>
        </w:rPr>
        <w:t>el ACNUR</w:t>
      </w:r>
      <w:r w:rsidRPr="003B7960">
        <w:rPr>
          <w:rFonts w:ascii="Cambria" w:hAnsi="Cambria"/>
          <w:sz w:val="20"/>
          <w:szCs w:val="20"/>
          <w:lang w:val="es-ES"/>
        </w:rPr>
        <w:t xml:space="preserve"> </w:t>
      </w:r>
      <w:r w:rsidR="00F913C0" w:rsidRPr="003B7960">
        <w:rPr>
          <w:rFonts w:ascii="Cambria" w:hAnsi="Cambria"/>
          <w:sz w:val="20"/>
          <w:szCs w:val="20"/>
          <w:lang w:val="es-ES"/>
        </w:rPr>
        <w:t xml:space="preserve">y el </w:t>
      </w:r>
      <w:r w:rsidRPr="003B7960">
        <w:rPr>
          <w:rFonts w:ascii="Cambria" w:hAnsi="Cambria"/>
          <w:sz w:val="20"/>
          <w:szCs w:val="20"/>
          <w:lang w:val="es-ES"/>
        </w:rPr>
        <w:t xml:space="preserve">CEDAW </w:t>
      </w:r>
      <w:r w:rsidR="00F913C0" w:rsidRPr="003B7960">
        <w:rPr>
          <w:rFonts w:ascii="Cambria" w:hAnsi="Cambria"/>
          <w:sz w:val="20"/>
          <w:szCs w:val="20"/>
          <w:lang w:val="es-ES"/>
        </w:rPr>
        <w:t>“estaban preoc</w:t>
      </w:r>
      <w:r w:rsidR="00800462" w:rsidRPr="003B7960">
        <w:rPr>
          <w:rFonts w:ascii="Cambria" w:hAnsi="Cambria"/>
          <w:sz w:val="20"/>
          <w:szCs w:val="20"/>
          <w:lang w:val="es-ES"/>
        </w:rPr>
        <w:t>u</w:t>
      </w:r>
      <w:r w:rsidR="00F913C0" w:rsidRPr="003B7960">
        <w:rPr>
          <w:rFonts w:ascii="Cambria" w:hAnsi="Cambria"/>
          <w:sz w:val="20"/>
          <w:szCs w:val="20"/>
          <w:lang w:val="es-ES"/>
        </w:rPr>
        <w:t>pados por [...] sus condiciones inadecuadas de detención, particularmente en el caso de las mujeres y de los niños</w:t>
      </w:r>
      <w:r w:rsidRPr="003B7960">
        <w:rPr>
          <w:rFonts w:ascii="Cambria" w:hAnsi="Cambria"/>
          <w:sz w:val="20"/>
          <w:szCs w:val="20"/>
          <w:lang w:val="es-ES"/>
        </w:rPr>
        <w:t>”</w:t>
      </w:r>
      <w:r w:rsidRPr="003B7960">
        <w:rPr>
          <w:rStyle w:val="FootnoteReference"/>
          <w:rFonts w:ascii="Cambria" w:hAnsi="Cambria"/>
          <w:sz w:val="20"/>
          <w:szCs w:val="20"/>
          <w:lang w:val="es-ES"/>
        </w:rPr>
        <w:footnoteReference w:id="29"/>
      </w:r>
      <w:r w:rsidR="00F913C0" w:rsidRPr="003B7960">
        <w:rPr>
          <w:rFonts w:ascii="Cambria" w:hAnsi="Cambria"/>
          <w:sz w:val="20"/>
          <w:szCs w:val="20"/>
          <w:lang w:val="es-ES"/>
        </w:rPr>
        <w:t>.</w:t>
      </w:r>
    </w:p>
    <w:p w14:paraId="27DCC2E4" w14:textId="77777777" w:rsidR="00067F9E" w:rsidRPr="003B7960" w:rsidRDefault="00067F9E" w:rsidP="00101DC6">
      <w:pPr>
        <w:pStyle w:val="ListParagraph"/>
        <w:tabs>
          <w:tab w:val="left" w:pos="426"/>
        </w:tabs>
        <w:ind w:left="0"/>
        <w:rPr>
          <w:rFonts w:ascii="Cambria" w:hAnsi="Cambria"/>
          <w:sz w:val="20"/>
          <w:szCs w:val="20"/>
          <w:lang w:val="es-ES"/>
        </w:rPr>
      </w:pPr>
    </w:p>
    <w:p w14:paraId="5B2D6F75" w14:textId="77777777" w:rsidR="00DD76B0" w:rsidRPr="003B7960" w:rsidRDefault="00C33F5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CIDH</w:t>
      </w:r>
      <w:r w:rsidR="00067F9E" w:rsidRPr="003B7960">
        <w:rPr>
          <w:rFonts w:ascii="Cambria" w:hAnsi="Cambria"/>
          <w:sz w:val="20"/>
          <w:szCs w:val="20"/>
          <w:lang w:val="es-ES"/>
        </w:rPr>
        <w:t xml:space="preserve"> </w:t>
      </w:r>
      <w:r w:rsidR="00C467AC" w:rsidRPr="003B7960">
        <w:rPr>
          <w:rFonts w:ascii="Cambria" w:hAnsi="Cambria"/>
          <w:sz w:val="20"/>
          <w:szCs w:val="20"/>
          <w:lang w:val="es-ES"/>
        </w:rPr>
        <w:t xml:space="preserve">observa que, aunque el Centro </w:t>
      </w:r>
      <w:proofErr w:type="spellStart"/>
      <w:r w:rsidR="00C467AC"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00C467AC" w:rsidRPr="003B7960">
        <w:rPr>
          <w:rFonts w:ascii="Cambria" w:hAnsi="Cambria"/>
          <w:sz w:val="20"/>
          <w:szCs w:val="20"/>
          <w:lang w:val="es-ES"/>
        </w:rPr>
        <w:t>fue concebido com</w:t>
      </w:r>
      <w:r w:rsidR="00E25BF4" w:rsidRPr="003B7960">
        <w:rPr>
          <w:rFonts w:ascii="Cambria" w:hAnsi="Cambria"/>
          <w:sz w:val="20"/>
          <w:szCs w:val="20"/>
          <w:lang w:val="es-ES"/>
        </w:rPr>
        <w:t>o centro de detención temporal</w:t>
      </w:r>
      <w:r w:rsidR="00C467AC" w:rsidRPr="003B7960">
        <w:rPr>
          <w:rFonts w:ascii="Cambria" w:hAnsi="Cambria"/>
          <w:sz w:val="20"/>
          <w:szCs w:val="20"/>
          <w:lang w:val="es-ES"/>
        </w:rPr>
        <w:t xml:space="preserve"> mientras se tramita la </w:t>
      </w:r>
      <w:r w:rsidR="00A40067" w:rsidRPr="003B7960">
        <w:rPr>
          <w:rFonts w:ascii="Cambria" w:hAnsi="Cambria"/>
          <w:sz w:val="20"/>
          <w:szCs w:val="20"/>
          <w:lang w:val="es-ES"/>
        </w:rPr>
        <w:t>deportación</w:t>
      </w:r>
      <w:r w:rsidR="00067F9E" w:rsidRPr="003B7960">
        <w:rPr>
          <w:rFonts w:ascii="Cambria" w:hAnsi="Cambria"/>
          <w:sz w:val="20"/>
          <w:szCs w:val="20"/>
          <w:lang w:val="es-ES"/>
        </w:rPr>
        <w:t xml:space="preserve">, </w:t>
      </w:r>
      <w:r w:rsidR="00C467AC" w:rsidRPr="003B7960">
        <w:rPr>
          <w:rFonts w:ascii="Cambria" w:hAnsi="Cambria"/>
          <w:sz w:val="20"/>
          <w:szCs w:val="20"/>
          <w:lang w:val="es-ES"/>
        </w:rPr>
        <w:t>en realidad algunos migrantes permanecen detenidos allí durante períodos prolongados que se extienden varias semanas e incluso meses</w:t>
      </w:r>
      <w:r w:rsidR="00067F9E" w:rsidRPr="003B7960">
        <w:rPr>
          <w:rStyle w:val="FootnoteReference"/>
          <w:rFonts w:ascii="Cambria" w:hAnsi="Cambria"/>
          <w:sz w:val="20"/>
          <w:szCs w:val="20"/>
          <w:lang w:val="es-ES"/>
        </w:rPr>
        <w:footnoteReference w:id="30"/>
      </w:r>
      <w:r w:rsidR="00C467AC" w:rsidRPr="003B7960">
        <w:rPr>
          <w:rFonts w:ascii="Cambria" w:hAnsi="Cambria"/>
          <w:sz w:val="20"/>
          <w:szCs w:val="20"/>
          <w:lang w:val="es-ES"/>
        </w:rPr>
        <w:t>.</w:t>
      </w:r>
      <w:r w:rsidR="00067F9E" w:rsidRPr="003B7960">
        <w:rPr>
          <w:rFonts w:ascii="Cambria" w:hAnsi="Cambria"/>
          <w:sz w:val="20"/>
          <w:szCs w:val="20"/>
          <w:lang w:val="es-ES"/>
        </w:rPr>
        <w:t xml:space="preserve"> </w:t>
      </w:r>
      <w:r w:rsidR="00C467AC" w:rsidRPr="003B7960">
        <w:rPr>
          <w:rFonts w:ascii="Cambria" w:hAnsi="Cambria"/>
          <w:sz w:val="20"/>
          <w:szCs w:val="20"/>
          <w:lang w:val="es-ES"/>
        </w:rPr>
        <w:t xml:space="preserve">Por consiguiente, el </w:t>
      </w:r>
      <w:r w:rsidR="00067F9E" w:rsidRPr="003B7960">
        <w:rPr>
          <w:rFonts w:ascii="Cambria" w:hAnsi="Cambria"/>
          <w:sz w:val="20"/>
          <w:szCs w:val="20"/>
          <w:lang w:val="es-ES"/>
        </w:rPr>
        <w:t xml:space="preserve">CERD </w:t>
      </w:r>
      <w:r w:rsidR="00EE7A66" w:rsidRPr="003B7960">
        <w:rPr>
          <w:rFonts w:ascii="Cambria" w:hAnsi="Cambria"/>
          <w:sz w:val="20"/>
          <w:szCs w:val="20"/>
          <w:lang w:val="es-ES"/>
        </w:rPr>
        <w:t xml:space="preserve">sintió </w:t>
      </w:r>
      <w:r w:rsidR="00067F9E" w:rsidRPr="003B7960">
        <w:rPr>
          <w:rFonts w:ascii="Cambria" w:hAnsi="Cambria"/>
          <w:sz w:val="20"/>
          <w:szCs w:val="20"/>
          <w:lang w:val="es-ES"/>
        </w:rPr>
        <w:t>“</w:t>
      </w:r>
      <w:r w:rsidR="00EE7A66" w:rsidRPr="003B7960">
        <w:rPr>
          <w:rFonts w:ascii="Cambria" w:hAnsi="Cambria"/>
          <w:sz w:val="20"/>
          <w:szCs w:val="20"/>
          <w:lang w:val="es-ES"/>
        </w:rPr>
        <w:t>inquietud por informaciones que destacan que en algunos casos [la detención] se prolonga durante un año o más, dependiendo de la nacionalidad de los migrantes</w:t>
      </w:r>
      <w:r w:rsidR="00067F9E" w:rsidRPr="003B7960">
        <w:rPr>
          <w:rFonts w:ascii="Cambria" w:hAnsi="Cambria"/>
          <w:sz w:val="20"/>
          <w:szCs w:val="20"/>
          <w:lang w:val="es-ES"/>
        </w:rPr>
        <w:t>”</w:t>
      </w:r>
      <w:r w:rsidR="00067F9E" w:rsidRPr="003B7960">
        <w:rPr>
          <w:rStyle w:val="FootnoteReference"/>
          <w:rFonts w:ascii="Cambria" w:hAnsi="Cambria"/>
          <w:sz w:val="20"/>
          <w:szCs w:val="20"/>
          <w:lang w:val="es-ES"/>
        </w:rPr>
        <w:footnoteReference w:id="31"/>
      </w:r>
      <w:r w:rsidR="00EE7A66" w:rsidRPr="003B7960">
        <w:rPr>
          <w:rFonts w:ascii="Cambria" w:hAnsi="Cambria"/>
          <w:sz w:val="20"/>
          <w:szCs w:val="20"/>
          <w:lang w:val="es-ES"/>
        </w:rPr>
        <w:t>.</w:t>
      </w:r>
      <w:r w:rsidR="00067F9E" w:rsidRPr="003B7960">
        <w:rPr>
          <w:rFonts w:ascii="Cambria" w:hAnsi="Cambria"/>
          <w:sz w:val="20"/>
          <w:szCs w:val="20"/>
          <w:lang w:val="es-ES"/>
        </w:rPr>
        <w:t xml:space="preserve"> </w:t>
      </w:r>
      <w:r w:rsidR="00A1365B" w:rsidRPr="003B7960">
        <w:rPr>
          <w:rFonts w:ascii="Cambria" w:hAnsi="Cambria"/>
          <w:sz w:val="20"/>
          <w:szCs w:val="20"/>
          <w:lang w:val="es-ES"/>
        </w:rPr>
        <w:t>La</w:t>
      </w:r>
      <w:r w:rsidR="00C467AC" w:rsidRPr="003B7960">
        <w:rPr>
          <w:rFonts w:ascii="Cambria" w:hAnsi="Cambria"/>
          <w:sz w:val="20"/>
          <w:szCs w:val="20"/>
          <w:lang w:val="es-ES"/>
        </w:rPr>
        <w:t xml:space="preserve"> Relator</w:t>
      </w:r>
      <w:r w:rsidR="00A1365B" w:rsidRPr="003B7960">
        <w:rPr>
          <w:rFonts w:ascii="Cambria" w:hAnsi="Cambria"/>
          <w:sz w:val="20"/>
          <w:szCs w:val="20"/>
          <w:lang w:val="es-ES"/>
        </w:rPr>
        <w:t>a</w:t>
      </w:r>
      <w:r w:rsidR="00C467AC" w:rsidRPr="003B7960">
        <w:rPr>
          <w:rFonts w:ascii="Cambria" w:hAnsi="Cambria"/>
          <w:sz w:val="20"/>
          <w:szCs w:val="20"/>
          <w:lang w:val="es-ES"/>
        </w:rPr>
        <w:t xml:space="preserve"> Especial sobre la trata de personas, especialmente mujeres y niños, </w:t>
      </w:r>
      <w:r w:rsidR="008946C8" w:rsidRPr="003B7960">
        <w:rPr>
          <w:rFonts w:ascii="Cambria" w:hAnsi="Cambria"/>
          <w:sz w:val="20"/>
          <w:szCs w:val="20"/>
          <w:lang w:val="es-ES"/>
        </w:rPr>
        <w:t xml:space="preserve">expresó una inquietud similar, así como preocupación por las condiciones deficientes y la duración de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8946C8" w:rsidRPr="003B7960">
        <w:rPr>
          <w:rFonts w:ascii="Cambria" w:hAnsi="Cambria"/>
          <w:sz w:val="20"/>
          <w:szCs w:val="20"/>
          <w:lang w:val="es-ES"/>
        </w:rPr>
        <w:t>que no se ciñen a las normas internacionales</w:t>
      </w:r>
      <w:r w:rsidR="00067F9E" w:rsidRPr="003B7960">
        <w:rPr>
          <w:rStyle w:val="FootnoteReference"/>
          <w:rFonts w:ascii="Cambria" w:hAnsi="Cambria"/>
          <w:sz w:val="20"/>
          <w:szCs w:val="20"/>
          <w:lang w:val="es-ES"/>
        </w:rPr>
        <w:footnoteReference w:id="32"/>
      </w:r>
      <w:r w:rsidR="008946C8" w:rsidRPr="003B7960">
        <w:rPr>
          <w:rFonts w:ascii="Cambria" w:hAnsi="Cambria"/>
          <w:sz w:val="20"/>
          <w:szCs w:val="20"/>
          <w:lang w:val="es-ES"/>
        </w:rPr>
        <w:t>.</w:t>
      </w:r>
    </w:p>
    <w:p w14:paraId="7919B20B" w14:textId="77777777" w:rsidR="00DD76B0" w:rsidRPr="003B7960" w:rsidRDefault="00DD76B0"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lang w:val="es-US"/>
        </w:rPr>
      </w:pPr>
    </w:p>
    <w:p w14:paraId="69D04854" w14:textId="10AD31D3" w:rsidR="00DD76B0" w:rsidRPr="003B7960" w:rsidRDefault="00DD76B0"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US"/>
        </w:rPr>
        <w:lastRenderedPageBreak/>
        <w:t xml:space="preserve">Respecto a las condiciones de detención, la Comisión otorgó medidas cautelares el 13 de febrero de 2015 a favor de las personas migrantes detenidas en el Centro </w:t>
      </w:r>
      <w:proofErr w:type="spellStart"/>
      <w:r w:rsidRPr="003B7960">
        <w:rPr>
          <w:rFonts w:ascii="Cambria" w:hAnsi="Cambria"/>
          <w:sz w:val="20"/>
          <w:szCs w:val="20"/>
          <w:lang w:val="es-US"/>
        </w:rPr>
        <w:t>Carmichael</w:t>
      </w:r>
      <w:proofErr w:type="spellEnd"/>
      <w:r w:rsidRPr="003B7960">
        <w:rPr>
          <w:rFonts w:ascii="Cambria" w:hAnsi="Cambria"/>
          <w:sz w:val="20"/>
          <w:szCs w:val="20"/>
          <w:lang w:val="es-US"/>
        </w:rPr>
        <w:t xml:space="preserve">. La Comisión encontró en su momento condiciones inhumanas de detención, con presunto hacinamiento extremo y la falta de adecuada atención médica. La Comisión solicitó al Estado de Bahamas proporcionar las condiciones de higiene y tratamientos médicos adecuados. La Comisión solicitó al Estado adoptar, de acuerdo con los estándares internacionales, las medidas necesarias para enfrentar la especial situación de los </w:t>
      </w:r>
      <w:r w:rsidR="000265CB" w:rsidRPr="003B7960">
        <w:rPr>
          <w:rFonts w:ascii="Cambria" w:hAnsi="Cambria"/>
          <w:sz w:val="20"/>
          <w:szCs w:val="20"/>
          <w:lang w:val="es-US"/>
        </w:rPr>
        <w:t>niños</w:t>
      </w:r>
      <w:r w:rsidRPr="003B7960">
        <w:rPr>
          <w:rFonts w:ascii="Cambria" w:hAnsi="Cambria"/>
          <w:sz w:val="20"/>
          <w:szCs w:val="20"/>
          <w:lang w:val="es-US"/>
        </w:rPr>
        <w:t xml:space="preserve"> no acompañados en el Centro; garantizar que los beneficiarios dispongan de asistencia legal; y tomar medidas inmediatas para reducir sustancialmente el hacinamiento en el Centro </w:t>
      </w:r>
      <w:proofErr w:type="spellStart"/>
      <w:r w:rsidRPr="003B7960">
        <w:rPr>
          <w:rFonts w:ascii="Cambria" w:hAnsi="Cambria"/>
          <w:sz w:val="20"/>
          <w:szCs w:val="20"/>
          <w:lang w:val="es-US"/>
        </w:rPr>
        <w:t>Carmichael</w:t>
      </w:r>
      <w:proofErr w:type="spellEnd"/>
      <w:r w:rsidRPr="003B7960">
        <w:rPr>
          <w:rFonts w:ascii="Cambria" w:hAnsi="Cambria"/>
          <w:sz w:val="20"/>
          <w:szCs w:val="20"/>
          <w:lang w:val="es-US"/>
        </w:rPr>
        <w:t xml:space="preserve">. Asimismo, la CIDH solicitó investigar los hechos que dieron lugar a la adopción de estas medidas cautelares a fin de evitar su repetición; y garantizar que las organizaciones de la sociedad civil y las organizaciones internacionales pertinentes tengan acceso al Centro de Detención </w:t>
      </w:r>
      <w:proofErr w:type="spellStart"/>
      <w:r w:rsidRPr="003B7960">
        <w:rPr>
          <w:rFonts w:ascii="Cambria" w:hAnsi="Cambria"/>
          <w:sz w:val="20"/>
          <w:szCs w:val="20"/>
          <w:lang w:val="es-US"/>
        </w:rPr>
        <w:t>Carmichael</w:t>
      </w:r>
      <w:proofErr w:type="spellEnd"/>
      <w:r w:rsidRPr="003B7960">
        <w:rPr>
          <w:rFonts w:ascii="Cambria" w:hAnsi="Cambria"/>
          <w:sz w:val="20"/>
          <w:szCs w:val="20"/>
          <w:lang w:val="es-US"/>
        </w:rPr>
        <w:t xml:space="preserve"> Road con el fin de supervisar las condiciones de detención</w:t>
      </w:r>
      <w:r w:rsidRPr="003B7960">
        <w:rPr>
          <w:rStyle w:val="FootnoteReference"/>
          <w:rFonts w:ascii="Cambria" w:hAnsi="Cambria"/>
          <w:sz w:val="20"/>
          <w:szCs w:val="20"/>
          <w:lang w:val="es-US"/>
        </w:rPr>
        <w:footnoteReference w:id="33"/>
      </w:r>
      <w:r w:rsidRPr="003B7960">
        <w:rPr>
          <w:rFonts w:ascii="Cambria" w:hAnsi="Cambria"/>
          <w:sz w:val="20"/>
          <w:szCs w:val="20"/>
          <w:lang w:val="es-US"/>
        </w:rPr>
        <w:t>. En el mismo sentido, en audiencia ante la Comisión, representantes de la sociedad civil alegaron la falta de asistencia y representación jurídica, limitaciones a la justicia, barreras en el lenguaje y la falta de recurso efectivo</w:t>
      </w:r>
      <w:r w:rsidRPr="003B7960">
        <w:rPr>
          <w:rStyle w:val="FootnoteReference"/>
          <w:rFonts w:ascii="Cambria" w:hAnsi="Cambria"/>
          <w:sz w:val="20"/>
          <w:szCs w:val="20"/>
          <w:lang w:val="es-US"/>
        </w:rPr>
        <w:footnoteReference w:id="34"/>
      </w:r>
      <w:r w:rsidRPr="003B7960">
        <w:rPr>
          <w:rFonts w:ascii="Cambria" w:hAnsi="Cambria"/>
          <w:sz w:val="20"/>
          <w:szCs w:val="20"/>
          <w:lang w:val="es-US"/>
        </w:rPr>
        <w:t xml:space="preserve">. Finalmente, el 7 de </w:t>
      </w:r>
      <w:proofErr w:type="spellStart"/>
      <w:r w:rsidRPr="003B7960">
        <w:rPr>
          <w:rFonts w:ascii="Cambria" w:hAnsi="Cambria"/>
          <w:sz w:val="20"/>
          <w:szCs w:val="20"/>
          <w:lang w:val="es-US"/>
        </w:rPr>
        <w:t>anero</w:t>
      </w:r>
      <w:proofErr w:type="spellEnd"/>
      <w:r w:rsidRPr="003B7960">
        <w:rPr>
          <w:rFonts w:ascii="Cambria" w:hAnsi="Cambria"/>
          <w:sz w:val="20"/>
          <w:szCs w:val="20"/>
          <w:lang w:val="es-US"/>
        </w:rPr>
        <w:t xml:space="preserve"> de 2015 la CIDH solicitó información a las Bahamas sobre sus políticas migratorias, incluyendo las condiciones de detención en el Centro </w:t>
      </w:r>
      <w:proofErr w:type="spellStart"/>
      <w:r w:rsidRPr="003B7960">
        <w:rPr>
          <w:rFonts w:ascii="Cambria" w:hAnsi="Cambria"/>
          <w:sz w:val="20"/>
          <w:szCs w:val="20"/>
          <w:lang w:val="es-US"/>
        </w:rPr>
        <w:t>Carmichael</w:t>
      </w:r>
      <w:proofErr w:type="spellEnd"/>
      <w:r w:rsidRPr="003B7960">
        <w:rPr>
          <w:rStyle w:val="FootnoteReference"/>
          <w:rFonts w:asciiTheme="majorHAnsi" w:hAnsiTheme="majorHAnsi"/>
          <w:sz w:val="20"/>
          <w:szCs w:val="20"/>
        </w:rPr>
        <w:footnoteReference w:id="35"/>
      </w:r>
      <w:r w:rsidRPr="003B7960">
        <w:rPr>
          <w:rFonts w:ascii="Cambria" w:hAnsi="Cambria"/>
          <w:sz w:val="20"/>
          <w:szCs w:val="20"/>
          <w:lang w:val="es-US"/>
        </w:rPr>
        <w:t>; s</w:t>
      </w:r>
      <w:r w:rsidR="002B3C52" w:rsidRPr="003B7960">
        <w:rPr>
          <w:rFonts w:ascii="Cambria" w:hAnsi="Cambria"/>
          <w:sz w:val="20"/>
          <w:szCs w:val="20"/>
          <w:lang w:val="es-US"/>
        </w:rPr>
        <w:t xml:space="preserve">in perjuicio de lo anterior, </w:t>
      </w:r>
      <w:r w:rsidRPr="003B7960">
        <w:rPr>
          <w:rFonts w:ascii="Cambria" w:hAnsi="Cambria"/>
          <w:sz w:val="20"/>
          <w:szCs w:val="20"/>
          <w:lang w:val="es-US"/>
        </w:rPr>
        <w:t>pese a solicitar una prórroga para el envío d</w:t>
      </w:r>
      <w:r w:rsidR="002B3C52" w:rsidRPr="003B7960">
        <w:rPr>
          <w:rFonts w:ascii="Cambria" w:hAnsi="Cambria"/>
          <w:sz w:val="20"/>
          <w:szCs w:val="20"/>
          <w:lang w:val="es-US"/>
        </w:rPr>
        <w:t>e la mencionada información, el Estado no remitió más información al respecto</w:t>
      </w:r>
      <w:r w:rsidR="002B3C52" w:rsidRPr="003B7960">
        <w:rPr>
          <w:rStyle w:val="FootnoteReference"/>
          <w:rFonts w:asciiTheme="majorHAnsi" w:hAnsiTheme="majorHAnsi"/>
          <w:sz w:val="20"/>
          <w:szCs w:val="20"/>
        </w:rPr>
        <w:footnoteReference w:id="36"/>
      </w:r>
      <w:r w:rsidR="002B3C52" w:rsidRPr="003B7960">
        <w:rPr>
          <w:rFonts w:ascii="Cambria" w:hAnsi="Cambria"/>
          <w:sz w:val="20"/>
          <w:szCs w:val="20"/>
          <w:lang w:val="es-US"/>
        </w:rPr>
        <w:t xml:space="preserve">. </w:t>
      </w:r>
    </w:p>
    <w:p w14:paraId="7673B3ED" w14:textId="77777777" w:rsidR="00DD76B0" w:rsidRPr="003B7960" w:rsidRDefault="00DD76B0"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4FCA7D23" w14:textId="77777777" w:rsidR="00067F9E" w:rsidRPr="003B7960" w:rsidRDefault="00CC118A"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Por último</w:t>
      </w:r>
      <w:r w:rsidR="00067F9E" w:rsidRPr="003B7960">
        <w:rPr>
          <w:rFonts w:ascii="Cambria" w:hAnsi="Cambria"/>
          <w:sz w:val="20"/>
          <w:szCs w:val="20"/>
          <w:lang w:val="es-ES"/>
        </w:rPr>
        <w:t xml:space="preserve">, </w:t>
      </w:r>
      <w:r w:rsidR="00C33F51" w:rsidRPr="003B7960">
        <w:rPr>
          <w:rFonts w:ascii="Cambria" w:hAnsi="Cambria"/>
          <w:sz w:val="20"/>
          <w:szCs w:val="20"/>
          <w:lang w:val="es-ES"/>
        </w:rPr>
        <w:t>la CIDH</w:t>
      </w:r>
      <w:r w:rsidR="00067F9E" w:rsidRPr="003B7960">
        <w:rPr>
          <w:rFonts w:ascii="Cambria" w:hAnsi="Cambria"/>
          <w:sz w:val="20"/>
          <w:szCs w:val="20"/>
          <w:lang w:val="es-ES"/>
        </w:rPr>
        <w:t xml:space="preserve"> t</w:t>
      </w:r>
      <w:r w:rsidRPr="003B7960">
        <w:rPr>
          <w:rFonts w:ascii="Cambria" w:hAnsi="Cambria"/>
          <w:sz w:val="20"/>
          <w:szCs w:val="20"/>
          <w:lang w:val="es-ES"/>
        </w:rPr>
        <w:t>oma nota de las informaciones sobre la detención automática</w:t>
      </w:r>
      <w:r w:rsidR="00067F9E" w:rsidRPr="003B7960">
        <w:rPr>
          <w:rFonts w:ascii="Cambria" w:hAnsi="Cambria"/>
          <w:sz w:val="20"/>
          <w:szCs w:val="20"/>
          <w:lang w:val="es-ES"/>
        </w:rPr>
        <w:t xml:space="preserve"> </w:t>
      </w:r>
      <w:r w:rsidRPr="003B7960">
        <w:rPr>
          <w:rFonts w:ascii="Cambria" w:hAnsi="Cambria"/>
          <w:sz w:val="20"/>
          <w:szCs w:val="20"/>
          <w:lang w:val="es-ES"/>
        </w:rPr>
        <w:t xml:space="preserve">de todos los migrantes que llegan a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Pr="003B7960">
        <w:rPr>
          <w:rFonts w:ascii="Cambria" w:hAnsi="Cambria"/>
          <w:sz w:val="20"/>
          <w:szCs w:val="20"/>
          <w:lang w:val="es-ES"/>
        </w:rPr>
        <w:t>sin la documentación necesaria, independientemente de las razones que tengan para ingresar al país</w:t>
      </w:r>
      <w:r w:rsidR="00067F9E" w:rsidRPr="003B7960">
        <w:rPr>
          <w:rFonts w:ascii="Cambria" w:hAnsi="Cambria"/>
          <w:sz w:val="20"/>
          <w:szCs w:val="20"/>
          <w:lang w:val="es-ES"/>
        </w:rPr>
        <w:t xml:space="preserve">. </w:t>
      </w:r>
      <w:r w:rsidRPr="003B7960">
        <w:rPr>
          <w:rFonts w:ascii="Cambria" w:hAnsi="Cambria"/>
          <w:sz w:val="20"/>
          <w:szCs w:val="20"/>
          <w:lang w:val="es-ES"/>
        </w:rPr>
        <w:t>Por consiguiente</w:t>
      </w:r>
      <w:r w:rsidR="00067F9E" w:rsidRPr="003B7960">
        <w:rPr>
          <w:rFonts w:ascii="Cambria" w:hAnsi="Cambria"/>
          <w:sz w:val="20"/>
          <w:szCs w:val="20"/>
          <w:lang w:val="es-ES"/>
        </w:rPr>
        <w:t>, “</w:t>
      </w:r>
      <w:r w:rsidR="00EE7A66" w:rsidRPr="003B7960">
        <w:rPr>
          <w:rFonts w:ascii="Cambria" w:hAnsi="Cambria"/>
          <w:sz w:val="20"/>
          <w:szCs w:val="20"/>
          <w:lang w:val="es-ES"/>
        </w:rPr>
        <w:t>las personas que entran en</w:t>
      </w:r>
      <w:r w:rsidR="00067F9E" w:rsidRPr="003B7960">
        <w:rPr>
          <w:rFonts w:ascii="Cambria" w:hAnsi="Cambria"/>
          <w:sz w:val="20"/>
          <w:szCs w:val="20"/>
          <w:lang w:val="es-ES"/>
        </w:rPr>
        <w:t xml:space="preserve">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EE7A66" w:rsidRPr="003B7960">
        <w:rPr>
          <w:rFonts w:ascii="Cambria" w:hAnsi="Cambria"/>
          <w:sz w:val="20"/>
          <w:szCs w:val="20"/>
          <w:lang w:val="es-ES"/>
        </w:rPr>
        <w:t xml:space="preserve">sin la documentación correcta son detenidas automáticamente y </w:t>
      </w:r>
      <w:r w:rsidRPr="003B7960">
        <w:rPr>
          <w:rFonts w:ascii="Cambria" w:hAnsi="Cambria"/>
          <w:sz w:val="20"/>
          <w:szCs w:val="20"/>
          <w:lang w:val="es-ES"/>
        </w:rPr>
        <w:t xml:space="preserve">[...] </w:t>
      </w:r>
      <w:r w:rsidR="00EE7A66" w:rsidRPr="003B7960">
        <w:rPr>
          <w:rFonts w:ascii="Cambria" w:hAnsi="Cambria"/>
          <w:sz w:val="20"/>
          <w:szCs w:val="20"/>
          <w:lang w:val="es-ES"/>
        </w:rPr>
        <w:t>esa detención no está sujeta a examen judicial</w:t>
      </w:r>
      <w:r w:rsidR="00067F9E" w:rsidRPr="003B7960">
        <w:rPr>
          <w:rFonts w:ascii="Cambria" w:hAnsi="Cambria"/>
          <w:sz w:val="20"/>
          <w:szCs w:val="20"/>
          <w:lang w:val="es-ES"/>
        </w:rPr>
        <w:t>”</w:t>
      </w:r>
      <w:r w:rsidR="00067F9E" w:rsidRPr="003B7960">
        <w:rPr>
          <w:rStyle w:val="FootnoteReference"/>
          <w:rFonts w:ascii="Cambria" w:hAnsi="Cambria"/>
          <w:sz w:val="20"/>
          <w:szCs w:val="20"/>
          <w:lang w:val="es-ES"/>
        </w:rPr>
        <w:footnoteReference w:id="37"/>
      </w:r>
      <w:r w:rsidRPr="003B7960">
        <w:rPr>
          <w:rFonts w:ascii="Cambria" w:hAnsi="Cambria"/>
          <w:sz w:val="20"/>
          <w:szCs w:val="20"/>
          <w:lang w:val="es-ES"/>
        </w:rPr>
        <w:t>, y rara vez c</w:t>
      </w:r>
      <w:r w:rsidR="00AD3ABA" w:rsidRPr="003B7960">
        <w:rPr>
          <w:rFonts w:ascii="Cambria" w:hAnsi="Cambria"/>
          <w:sz w:val="20"/>
          <w:szCs w:val="20"/>
          <w:lang w:val="es-ES"/>
        </w:rPr>
        <w:t>uentan con asistencia letrada</w:t>
      </w:r>
      <w:r w:rsidR="00067F9E" w:rsidRPr="003B7960">
        <w:rPr>
          <w:rStyle w:val="FootnoteReference"/>
          <w:rFonts w:ascii="Cambria" w:hAnsi="Cambria"/>
          <w:sz w:val="20"/>
          <w:szCs w:val="20"/>
          <w:lang w:val="es-ES"/>
        </w:rPr>
        <w:footnoteReference w:id="38"/>
      </w:r>
      <w:r w:rsidR="00AD3ABA" w:rsidRPr="003B7960">
        <w:rPr>
          <w:rFonts w:ascii="Cambria" w:hAnsi="Cambria"/>
          <w:sz w:val="20"/>
          <w:szCs w:val="20"/>
          <w:lang w:val="es-ES"/>
        </w:rPr>
        <w:t>.</w:t>
      </w:r>
    </w:p>
    <w:p w14:paraId="262F933D" w14:textId="77777777" w:rsidR="00067F9E" w:rsidRPr="003B7960" w:rsidRDefault="00067F9E" w:rsidP="00101DC6">
      <w:pPr>
        <w:pStyle w:val="ListParagraph"/>
        <w:tabs>
          <w:tab w:val="left" w:pos="426"/>
        </w:tabs>
        <w:ind w:left="0"/>
        <w:rPr>
          <w:rFonts w:ascii="Cambria" w:hAnsi="Cambria"/>
          <w:color w:val="8496B0"/>
          <w:sz w:val="20"/>
          <w:szCs w:val="20"/>
          <w:lang w:val="es-ES"/>
        </w:rPr>
      </w:pPr>
    </w:p>
    <w:p w14:paraId="0A3057BE"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AD3ABA" w:rsidRPr="003B7960">
        <w:rPr>
          <w:rFonts w:ascii="Cambria" w:hAnsi="Cambria"/>
          <w:sz w:val="20"/>
          <w:szCs w:val="20"/>
          <w:lang w:val="es-ES"/>
        </w:rPr>
        <w:t xml:space="preserve">observa que muchos de los graves problemas alegados cuando se presentaron las </w:t>
      </w:r>
      <w:r w:rsidR="00C62DEF" w:rsidRPr="003B7960">
        <w:rPr>
          <w:rFonts w:ascii="Cambria" w:hAnsi="Cambria"/>
          <w:sz w:val="20"/>
          <w:szCs w:val="20"/>
          <w:lang w:val="es-ES"/>
        </w:rPr>
        <w:t>peticiones</w:t>
      </w:r>
      <w:r w:rsidR="00AD3ABA" w:rsidRPr="003B7960">
        <w:rPr>
          <w:rFonts w:ascii="Cambria" w:hAnsi="Cambria"/>
          <w:sz w:val="20"/>
          <w:szCs w:val="20"/>
          <w:lang w:val="es-ES"/>
        </w:rPr>
        <w:t xml:space="preserve"> del caso de autos</w:t>
      </w:r>
      <w:r w:rsidR="00067F9E" w:rsidRPr="003B7960">
        <w:rPr>
          <w:rFonts w:ascii="Cambria" w:hAnsi="Cambria"/>
          <w:sz w:val="20"/>
          <w:szCs w:val="20"/>
          <w:lang w:val="es-ES"/>
        </w:rPr>
        <w:t xml:space="preserve">, </w:t>
      </w:r>
      <w:r w:rsidR="00AD3ABA" w:rsidRPr="003B7960">
        <w:rPr>
          <w:rFonts w:ascii="Cambria" w:hAnsi="Cambria"/>
          <w:sz w:val="20"/>
          <w:szCs w:val="20"/>
          <w:lang w:val="es-ES"/>
        </w:rPr>
        <w:t xml:space="preserve">es decir, en </w:t>
      </w:r>
      <w:r w:rsidR="00067F9E" w:rsidRPr="003B7960">
        <w:rPr>
          <w:rFonts w:ascii="Cambria" w:hAnsi="Cambria"/>
          <w:sz w:val="20"/>
          <w:szCs w:val="20"/>
          <w:lang w:val="es-ES"/>
        </w:rPr>
        <w:t xml:space="preserve">1998 </w:t>
      </w:r>
      <w:r w:rsidR="00AD3ABA" w:rsidRPr="003B7960">
        <w:rPr>
          <w:rFonts w:ascii="Cambria" w:hAnsi="Cambria"/>
          <w:sz w:val="20"/>
          <w:szCs w:val="20"/>
          <w:lang w:val="es-ES"/>
        </w:rPr>
        <w:t>y</w:t>
      </w:r>
      <w:r w:rsidR="00067F9E" w:rsidRPr="003B7960">
        <w:rPr>
          <w:rFonts w:ascii="Cambria" w:hAnsi="Cambria"/>
          <w:sz w:val="20"/>
          <w:szCs w:val="20"/>
          <w:lang w:val="es-ES"/>
        </w:rPr>
        <w:t xml:space="preserve"> 2000, </w:t>
      </w:r>
      <w:r w:rsidR="00AD3ABA" w:rsidRPr="003B7960">
        <w:rPr>
          <w:rFonts w:ascii="Cambria" w:hAnsi="Cambria"/>
          <w:sz w:val="20"/>
          <w:szCs w:val="20"/>
          <w:lang w:val="es-ES"/>
        </w:rPr>
        <w:t xml:space="preserve">persisten hasta el presente, según las fuentes examinadas en esta sección, que datan de </w:t>
      </w:r>
      <w:r w:rsidR="00067F9E" w:rsidRPr="003B7960">
        <w:rPr>
          <w:rFonts w:ascii="Cambria" w:hAnsi="Cambria"/>
          <w:sz w:val="20"/>
          <w:szCs w:val="20"/>
          <w:lang w:val="es-ES"/>
        </w:rPr>
        <w:t xml:space="preserve">1998 </w:t>
      </w:r>
      <w:r w:rsidR="00AD3ABA" w:rsidRPr="003B7960">
        <w:rPr>
          <w:rFonts w:ascii="Cambria" w:hAnsi="Cambria"/>
          <w:sz w:val="20"/>
          <w:szCs w:val="20"/>
          <w:lang w:val="es-ES"/>
        </w:rPr>
        <w:t>a</w:t>
      </w:r>
      <w:r w:rsidR="00067F9E" w:rsidRPr="003B7960">
        <w:rPr>
          <w:rFonts w:ascii="Cambria" w:hAnsi="Cambria"/>
          <w:sz w:val="20"/>
          <w:szCs w:val="20"/>
          <w:lang w:val="es-ES"/>
        </w:rPr>
        <w:t xml:space="preserve"> 2018. </w:t>
      </w:r>
      <w:r w:rsidR="00AD3ABA" w:rsidRPr="003B7960">
        <w:rPr>
          <w:rFonts w:ascii="Cambria" w:hAnsi="Cambria"/>
          <w:sz w:val="20"/>
          <w:szCs w:val="20"/>
          <w:lang w:val="es-ES"/>
        </w:rPr>
        <w:t>En ese sentido</w:t>
      </w:r>
      <w:r w:rsidR="00067F9E" w:rsidRPr="003B7960">
        <w:rPr>
          <w:rFonts w:ascii="Cambria" w:hAnsi="Cambria"/>
          <w:sz w:val="20"/>
          <w:szCs w:val="20"/>
          <w:lang w:val="es-ES"/>
        </w:rPr>
        <w:t xml:space="preserve">, </w:t>
      </w:r>
      <w:r w:rsidRPr="003B7960">
        <w:rPr>
          <w:rFonts w:ascii="Cambria" w:hAnsi="Cambria"/>
          <w:sz w:val="20"/>
          <w:szCs w:val="20"/>
          <w:lang w:val="es-ES"/>
        </w:rPr>
        <w:t>la Comisión</w:t>
      </w:r>
      <w:r w:rsidR="00067F9E" w:rsidRPr="003B7960">
        <w:rPr>
          <w:rFonts w:ascii="Cambria" w:hAnsi="Cambria"/>
          <w:sz w:val="20"/>
          <w:szCs w:val="20"/>
          <w:lang w:val="es-ES"/>
        </w:rPr>
        <w:t xml:space="preserve"> rec</w:t>
      </w:r>
      <w:r w:rsidR="00AD3ABA" w:rsidRPr="003B7960">
        <w:rPr>
          <w:rFonts w:ascii="Cambria" w:hAnsi="Cambria"/>
          <w:sz w:val="20"/>
          <w:szCs w:val="20"/>
          <w:lang w:val="es-ES"/>
        </w:rPr>
        <w:t>uerda que, durante la tramitación de este</w:t>
      </w:r>
      <w:r w:rsidR="00067F9E" w:rsidRPr="003B7960">
        <w:rPr>
          <w:rFonts w:ascii="Cambria" w:hAnsi="Cambria"/>
          <w:sz w:val="20"/>
          <w:szCs w:val="20"/>
          <w:lang w:val="es-ES"/>
        </w:rPr>
        <w:t xml:space="preserve"> </w:t>
      </w:r>
      <w:r w:rsidR="008A4F19" w:rsidRPr="003B7960">
        <w:rPr>
          <w:rFonts w:ascii="Cambria" w:hAnsi="Cambria"/>
          <w:sz w:val="20"/>
          <w:szCs w:val="20"/>
          <w:lang w:val="es-ES"/>
        </w:rPr>
        <w:t>caso</w:t>
      </w:r>
      <w:r w:rsidR="00067F9E" w:rsidRPr="003B7960">
        <w:rPr>
          <w:rFonts w:ascii="Cambria" w:hAnsi="Cambria"/>
          <w:sz w:val="20"/>
          <w:szCs w:val="20"/>
          <w:lang w:val="es-ES"/>
        </w:rPr>
        <w:t xml:space="preserv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AD3ABA" w:rsidRPr="003B7960">
        <w:rPr>
          <w:rFonts w:ascii="Cambria" w:hAnsi="Cambria"/>
          <w:sz w:val="20"/>
          <w:szCs w:val="20"/>
          <w:lang w:val="es-ES"/>
        </w:rPr>
        <w:t>afirmó que estaba dispuesto a adoptar una ley sobre refugiados y a mejorar las condiciones de detención</w:t>
      </w:r>
      <w:r w:rsidR="00067F9E" w:rsidRPr="003B7960">
        <w:rPr>
          <w:rFonts w:ascii="Cambria" w:hAnsi="Cambria"/>
          <w:sz w:val="20"/>
          <w:szCs w:val="20"/>
          <w:lang w:val="es-ES"/>
        </w:rPr>
        <w:t xml:space="preserve"> </w:t>
      </w:r>
      <w:r w:rsidR="00AD3ABA" w:rsidRPr="003B7960">
        <w:rPr>
          <w:rFonts w:ascii="Cambria" w:hAnsi="Cambria"/>
          <w:sz w:val="20"/>
          <w:szCs w:val="20"/>
          <w:lang w:val="es-ES"/>
        </w:rPr>
        <w:t>en el C</w:t>
      </w:r>
      <w:r w:rsidR="00654B4A" w:rsidRPr="003B7960">
        <w:rPr>
          <w:rFonts w:ascii="Cambria" w:hAnsi="Cambria"/>
          <w:sz w:val="20"/>
          <w:szCs w:val="20"/>
          <w:lang w:val="es-ES"/>
        </w:rPr>
        <w:t xml:space="preserve">entro </w:t>
      </w:r>
      <w:proofErr w:type="spellStart"/>
      <w:r w:rsidR="00654B4A" w:rsidRPr="003B7960">
        <w:rPr>
          <w:rFonts w:ascii="Cambria" w:hAnsi="Cambria"/>
          <w:sz w:val="20"/>
          <w:szCs w:val="20"/>
          <w:lang w:val="es-ES"/>
        </w:rPr>
        <w:t>Carmichael</w:t>
      </w:r>
      <w:proofErr w:type="spellEnd"/>
      <w:r w:rsidR="00AD3ABA" w:rsidRPr="003B7960">
        <w:rPr>
          <w:rFonts w:ascii="Cambria" w:hAnsi="Cambria"/>
          <w:sz w:val="20"/>
          <w:szCs w:val="20"/>
          <w:lang w:val="es-ES"/>
        </w:rPr>
        <w:t xml:space="preserve">. No obstante, casi veinte años después no ha hecho ninguna de las dos cosas. </w:t>
      </w:r>
      <w:r w:rsidRPr="003B7960">
        <w:rPr>
          <w:rFonts w:ascii="Cambria" w:hAnsi="Cambria"/>
          <w:sz w:val="20"/>
          <w:szCs w:val="20"/>
          <w:lang w:val="es-ES"/>
        </w:rPr>
        <w:t>La Comisión</w:t>
      </w:r>
      <w:r w:rsidR="00067F9E" w:rsidRPr="003B7960">
        <w:rPr>
          <w:rFonts w:ascii="Cambria" w:hAnsi="Cambria"/>
          <w:sz w:val="20"/>
          <w:szCs w:val="20"/>
          <w:lang w:val="es-ES"/>
        </w:rPr>
        <w:t xml:space="preserve"> expres</w:t>
      </w:r>
      <w:r w:rsidR="00AD3ABA" w:rsidRPr="003B7960">
        <w:rPr>
          <w:rFonts w:ascii="Cambria" w:hAnsi="Cambria"/>
          <w:sz w:val="20"/>
          <w:szCs w:val="20"/>
          <w:lang w:val="es-ES"/>
        </w:rPr>
        <w:t xml:space="preserve">a su profunda preocupación por la persistencia de estas condiciones, las cuales, como se verá en el presente </w:t>
      </w:r>
      <w:r w:rsidR="008A4F19" w:rsidRPr="003B7960">
        <w:rPr>
          <w:rFonts w:ascii="Cambria" w:hAnsi="Cambria"/>
          <w:sz w:val="20"/>
          <w:szCs w:val="20"/>
          <w:lang w:val="es-ES"/>
        </w:rPr>
        <w:t>informe</w:t>
      </w:r>
      <w:r w:rsidR="00067F9E" w:rsidRPr="003B7960">
        <w:rPr>
          <w:rFonts w:ascii="Cambria" w:hAnsi="Cambria"/>
          <w:sz w:val="20"/>
          <w:szCs w:val="20"/>
          <w:lang w:val="es-ES"/>
        </w:rPr>
        <w:t xml:space="preserve">, </w:t>
      </w:r>
      <w:r w:rsidR="00AD3ABA" w:rsidRPr="003B7960">
        <w:rPr>
          <w:rFonts w:ascii="Cambria" w:hAnsi="Cambria"/>
          <w:sz w:val="20"/>
          <w:szCs w:val="20"/>
          <w:lang w:val="es-ES"/>
        </w:rPr>
        <w:t>dan lugar a graves</w:t>
      </w:r>
      <w:r w:rsidR="00067F9E" w:rsidRPr="003B7960">
        <w:rPr>
          <w:rFonts w:ascii="Cambria" w:hAnsi="Cambria"/>
          <w:sz w:val="20"/>
          <w:szCs w:val="20"/>
          <w:lang w:val="es-ES"/>
        </w:rPr>
        <w:t xml:space="preserve"> </w:t>
      </w:r>
      <w:r w:rsidR="00AD3ABA" w:rsidRPr="003B7960">
        <w:rPr>
          <w:rFonts w:ascii="Cambria" w:hAnsi="Cambria"/>
          <w:sz w:val="20"/>
          <w:szCs w:val="20"/>
          <w:lang w:val="es-ES"/>
        </w:rPr>
        <w:t>violaciones de derechos humanos</w:t>
      </w:r>
      <w:r w:rsidR="00067F9E" w:rsidRPr="003B7960">
        <w:rPr>
          <w:rFonts w:ascii="Cambria" w:hAnsi="Cambria"/>
          <w:sz w:val="20"/>
          <w:szCs w:val="20"/>
          <w:lang w:val="es-ES"/>
        </w:rPr>
        <w:t xml:space="preserve"> </w:t>
      </w:r>
      <w:r w:rsidR="00AD3ABA" w:rsidRPr="003B7960">
        <w:rPr>
          <w:rFonts w:ascii="Cambria" w:hAnsi="Cambria"/>
          <w:sz w:val="20"/>
          <w:szCs w:val="20"/>
          <w:lang w:val="es-ES"/>
        </w:rPr>
        <w:t>de los</w:t>
      </w:r>
      <w:r w:rsidR="00067F9E" w:rsidRPr="003B7960">
        <w:rPr>
          <w:rFonts w:ascii="Cambria" w:hAnsi="Cambria"/>
          <w:sz w:val="20"/>
          <w:szCs w:val="20"/>
          <w:lang w:val="es-ES"/>
        </w:rPr>
        <w:t xml:space="preserve"> </w:t>
      </w:r>
      <w:r w:rsidR="00AD3ABA" w:rsidRPr="003B7960">
        <w:rPr>
          <w:rFonts w:ascii="Cambria" w:hAnsi="Cambria"/>
          <w:sz w:val="20"/>
          <w:szCs w:val="20"/>
          <w:lang w:val="es-ES"/>
        </w:rPr>
        <w:t>migrantes</w:t>
      </w:r>
      <w:r w:rsidR="00067F9E" w:rsidRPr="003B7960">
        <w:rPr>
          <w:rFonts w:ascii="Cambria" w:hAnsi="Cambria"/>
          <w:sz w:val="20"/>
          <w:szCs w:val="20"/>
          <w:lang w:val="es-ES"/>
        </w:rPr>
        <w:t xml:space="preserve"> </w:t>
      </w:r>
      <w:r w:rsidR="00AD3ABA" w:rsidRPr="003B7960">
        <w:rPr>
          <w:rFonts w:ascii="Cambria" w:hAnsi="Cambria"/>
          <w:sz w:val="20"/>
          <w:szCs w:val="20"/>
          <w:lang w:val="es-ES"/>
        </w:rPr>
        <w:t>y los</w:t>
      </w:r>
      <w:r w:rsidR="00067F9E" w:rsidRPr="003B7960">
        <w:rPr>
          <w:rFonts w:ascii="Cambria" w:hAnsi="Cambria"/>
          <w:sz w:val="20"/>
          <w:szCs w:val="20"/>
          <w:lang w:val="es-ES"/>
        </w:rPr>
        <w:t xml:space="preserve"> </w:t>
      </w:r>
      <w:r w:rsidR="00C33F51"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00AD3ABA" w:rsidRPr="003B7960">
        <w:rPr>
          <w:rFonts w:ascii="Cambria" w:hAnsi="Cambria"/>
          <w:sz w:val="20"/>
          <w:szCs w:val="20"/>
          <w:lang w:val="es-ES"/>
        </w:rPr>
        <w:t xml:space="preserve">que se ven afectados por </w:t>
      </w:r>
      <w:r w:rsidR="00DF79FD" w:rsidRPr="003B7960">
        <w:rPr>
          <w:rFonts w:ascii="Cambria" w:hAnsi="Cambria"/>
          <w:sz w:val="20"/>
          <w:szCs w:val="20"/>
          <w:lang w:val="es-ES"/>
        </w:rPr>
        <w:t xml:space="preserve">dichas </w:t>
      </w:r>
      <w:r w:rsidR="00AD3ABA" w:rsidRPr="003B7960">
        <w:rPr>
          <w:rFonts w:ascii="Cambria" w:hAnsi="Cambria"/>
          <w:sz w:val="20"/>
          <w:szCs w:val="20"/>
          <w:lang w:val="es-ES"/>
        </w:rPr>
        <w:t>condiciones</w:t>
      </w:r>
      <w:r w:rsidR="00067F9E" w:rsidRPr="003B7960">
        <w:rPr>
          <w:rFonts w:ascii="Cambria" w:hAnsi="Cambria"/>
          <w:sz w:val="20"/>
          <w:szCs w:val="20"/>
          <w:lang w:val="es-ES"/>
        </w:rPr>
        <w:t xml:space="preserve">. </w:t>
      </w:r>
    </w:p>
    <w:p w14:paraId="7BA2B98F" w14:textId="77777777" w:rsidR="00067F9E" w:rsidRPr="003B7960" w:rsidRDefault="00067F9E" w:rsidP="00101DC6">
      <w:pPr>
        <w:tabs>
          <w:tab w:val="left" w:pos="426"/>
        </w:tabs>
        <w:jc w:val="both"/>
        <w:rPr>
          <w:rFonts w:ascii="Cambria" w:hAnsi="Cambria"/>
          <w:b/>
          <w:sz w:val="20"/>
          <w:szCs w:val="20"/>
          <w:lang w:val="es-ES"/>
        </w:rPr>
      </w:pPr>
    </w:p>
    <w:p w14:paraId="2CB5A33A" w14:textId="77777777" w:rsidR="00067F9E" w:rsidRPr="003B7960" w:rsidRDefault="005975C8" w:rsidP="00101DC6">
      <w:pPr>
        <w:pStyle w:val="Heading2"/>
        <w:numPr>
          <w:ilvl w:val="0"/>
          <w:numId w:val="60"/>
        </w:numPr>
        <w:pBdr>
          <w:top w:val="nil"/>
          <w:left w:val="nil"/>
          <w:bottom w:val="nil"/>
          <w:right w:val="nil"/>
          <w:between w:val="nil"/>
          <w:bar w:val="nil"/>
        </w:pBdr>
        <w:tabs>
          <w:tab w:val="clear" w:pos="540"/>
          <w:tab w:val="left" w:pos="426"/>
        </w:tabs>
        <w:suppressAutoHyphens/>
        <w:ind w:left="0" w:firstLine="0"/>
        <w:jc w:val="left"/>
        <w:rPr>
          <w:lang w:val="es-ES"/>
        </w:rPr>
      </w:pPr>
      <w:bookmarkStart w:id="8" w:name="_Toc90557296"/>
      <w:r w:rsidRPr="003B7960">
        <w:rPr>
          <w:lang w:val="es-ES"/>
        </w:rPr>
        <w:t xml:space="preserve">Hechos del </w:t>
      </w:r>
      <w:r w:rsidR="008A4F19" w:rsidRPr="003B7960">
        <w:rPr>
          <w:lang w:val="es-ES"/>
        </w:rPr>
        <w:t>caso</w:t>
      </w:r>
      <w:bookmarkEnd w:id="8"/>
    </w:p>
    <w:p w14:paraId="4F43C0B6" w14:textId="77777777" w:rsidR="00067F9E" w:rsidRPr="003B7960" w:rsidRDefault="00067F9E" w:rsidP="00101DC6">
      <w:pPr>
        <w:pStyle w:val="ListParagraph"/>
        <w:tabs>
          <w:tab w:val="left" w:pos="426"/>
        </w:tabs>
        <w:ind w:left="0"/>
        <w:jc w:val="both"/>
        <w:rPr>
          <w:rFonts w:ascii="Cambria" w:hAnsi="Cambria"/>
          <w:b/>
          <w:sz w:val="20"/>
          <w:szCs w:val="20"/>
          <w:lang w:val="es-ES"/>
        </w:rPr>
      </w:pPr>
    </w:p>
    <w:p w14:paraId="7544DB62" w14:textId="77777777" w:rsidR="00067F9E" w:rsidRPr="003B7960" w:rsidRDefault="00800462" w:rsidP="00101DC6">
      <w:pPr>
        <w:pStyle w:val="Heading3"/>
        <w:numPr>
          <w:ilvl w:val="0"/>
          <w:numId w:val="61"/>
        </w:numPr>
        <w:pBdr>
          <w:top w:val="nil"/>
          <w:left w:val="nil"/>
          <w:bottom w:val="nil"/>
          <w:right w:val="nil"/>
          <w:between w:val="nil"/>
          <w:bar w:val="nil"/>
        </w:pBdr>
        <w:tabs>
          <w:tab w:val="clear" w:pos="540"/>
          <w:tab w:val="left" w:pos="426"/>
        </w:tabs>
        <w:ind w:left="0" w:firstLine="0"/>
        <w:rPr>
          <w:lang w:val="es-ES"/>
        </w:rPr>
      </w:pPr>
      <w:bookmarkStart w:id="9" w:name="_Toc90557297"/>
      <w:r w:rsidRPr="003B7960">
        <w:rPr>
          <w:lang w:val="es-ES"/>
        </w:rPr>
        <w:t xml:space="preserve">La </w:t>
      </w:r>
      <w:r w:rsidR="00133A5D" w:rsidRPr="003B7960">
        <w:rPr>
          <w:lang w:val="es-ES"/>
        </w:rPr>
        <w:t>detención</w:t>
      </w:r>
      <w:r w:rsidR="00067F9E" w:rsidRPr="003B7960">
        <w:rPr>
          <w:lang w:val="es-ES"/>
        </w:rPr>
        <w:t xml:space="preserve"> </w:t>
      </w:r>
      <w:r w:rsidRPr="003B7960">
        <w:rPr>
          <w:lang w:val="es-ES"/>
        </w:rPr>
        <w:t>y</w:t>
      </w:r>
      <w:r w:rsidR="00067F9E" w:rsidRPr="003B7960">
        <w:rPr>
          <w:lang w:val="es-ES"/>
        </w:rPr>
        <w:t xml:space="preserve"> </w:t>
      </w:r>
      <w:r w:rsidR="007B6078" w:rsidRPr="003B7960">
        <w:rPr>
          <w:lang w:val="es-ES"/>
        </w:rPr>
        <w:t>repatriación</w:t>
      </w:r>
      <w:r w:rsidR="00067F9E" w:rsidRPr="003B7960">
        <w:rPr>
          <w:lang w:val="es-ES"/>
        </w:rPr>
        <w:t xml:space="preserve"> </w:t>
      </w:r>
      <w:r w:rsidRPr="003B7960">
        <w:rPr>
          <w:lang w:val="es-ES"/>
        </w:rPr>
        <w:t>de</w:t>
      </w:r>
      <w:r w:rsidR="00067F9E" w:rsidRPr="003B7960">
        <w:rPr>
          <w:lang w:val="es-ES"/>
        </w:rPr>
        <w:t xml:space="preserve"> </w:t>
      </w:r>
      <w:r w:rsidR="00C33F51" w:rsidRPr="003B7960">
        <w:rPr>
          <w:lang w:val="es-ES"/>
        </w:rPr>
        <w:t>ciudadanos</w:t>
      </w:r>
      <w:r w:rsidR="00654B4A" w:rsidRPr="003B7960">
        <w:rPr>
          <w:lang w:val="es-ES"/>
        </w:rPr>
        <w:t xml:space="preserve"> cubanos</w:t>
      </w:r>
      <w:r w:rsidR="00067F9E" w:rsidRPr="003B7960">
        <w:rPr>
          <w:lang w:val="es-ES"/>
        </w:rPr>
        <w:t xml:space="preserve"> </w:t>
      </w:r>
      <w:r w:rsidRPr="003B7960">
        <w:rPr>
          <w:lang w:val="es-ES"/>
        </w:rPr>
        <w:t xml:space="preserve">y </w:t>
      </w:r>
      <w:r w:rsidR="00654B4A" w:rsidRPr="003B7960">
        <w:rPr>
          <w:lang w:val="es-ES"/>
        </w:rPr>
        <w:t>haitianos</w:t>
      </w:r>
      <w:bookmarkEnd w:id="9"/>
    </w:p>
    <w:p w14:paraId="6DA13390" w14:textId="77777777" w:rsidR="00067F9E" w:rsidRPr="003B7960" w:rsidRDefault="00067F9E" w:rsidP="00101DC6">
      <w:pPr>
        <w:tabs>
          <w:tab w:val="left" w:pos="426"/>
        </w:tabs>
        <w:jc w:val="both"/>
        <w:rPr>
          <w:rFonts w:ascii="Cambria" w:hAnsi="Cambria"/>
          <w:sz w:val="20"/>
          <w:szCs w:val="20"/>
          <w:lang w:val="es-ES"/>
        </w:rPr>
      </w:pPr>
    </w:p>
    <w:p w14:paraId="5C4409FB"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DF79FD" w:rsidRPr="003B7960">
        <w:rPr>
          <w:rFonts w:ascii="Cambria" w:hAnsi="Cambria"/>
          <w:sz w:val="20"/>
          <w:szCs w:val="20"/>
          <w:lang w:val="es-ES"/>
        </w:rPr>
        <w:t>observa que la información relativa a la forma en que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ent</w:t>
      </w:r>
      <w:r w:rsidR="00DF79FD" w:rsidRPr="003B7960">
        <w:rPr>
          <w:rFonts w:ascii="Cambria" w:hAnsi="Cambria"/>
          <w:sz w:val="20"/>
          <w:szCs w:val="20"/>
          <w:lang w:val="es-ES"/>
        </w:rPr>
        <w:t xml:space="preserve">raron en </w:t>
      </w:r>
      <w:r w:rsidRPr="003B7960">
        <w:rPr>
          <w:rFonts w:ascii="Cambria" w:hAnsi="Cambria"/>
          <w:sz w:val="20"/>
          <w:szCs w:val="20"/>
          <w:lang w:val="es-ES"/>
        </w:rPr>
        <w:t>las Bahamas</w:t>
      </w:r>
      <w:r w:rsidR="00067F9E" w:rsidRPr="003B7960">
        <w:rPr>
          <w:rFonts w:ascii="Cambria" w:hAnsi="Cambria"/>
          <w:sz w:val="20"/>
          <w:szCs w:val="20"/>
          <w:lang w:val="es-ES"/>
        </w:rPr>
        <w:t xml:space="preserve"> </w:t>
      </w:r>
      <w:r w:rsidR="00DF79FD" w:rsidRPr="003B7960">
        <w:rPr>
          <w:rFonts w:ascii="Cambria" w:hAnsi="Cambria"/>
          <w:sz w:val="20"/>
          <w:szCs w:val="20"/>
          <w:lang w:val="es-ES"/>
        </w:rPr>
        <w:t xml:space="preserve">y los sucesos posteriores que llevaron a su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DF79FD" w:rsidRPr="003B7960">
        <w:rPr>
          <w:rFonts w:ascii="Cambria" w:hAnsi="Cambria"/>
          <w:sz w:val="20"/>
          <w:szCs w:val="20"/>
          <w:lang w:val="es-ES"/>
        </w:rPr>
        <w:t>y</w:t>
      </w:r>
      <w:r w:rsidR="00067F9E" w:rsidRPr="003B7960">
        <w:rPr>
          <w:rFonts w:ascii="Cambria" w:hAnsi="Cambria"/>
          <w:sz w:val="20"/>
          <w:szCs w:val="20"/>
          <w:lang w:val="es-ES"/>
        </w:rPr>
        <w:t xml:space="preserve"> </w:t>
      </w:r>
      <w:r w:rsidR="00A40067" w:rsidRPr="003B7960">
        <w:rPr>
          <w:rFonts w:ascii="Cambria" w:hAnsi="Cambria"/>
          <w:sz w:val="20"/>
          <w:szCs w:val="20"/>
          <w:lang w:val="es-ES"/>
        </w:rPr>
        <w:t>deportación</w:t>
      </w:r>
      <w:r w:rsidR="00067F9E" w:rsidRPr="003B7960">
        <w:rPr>
          <w:rFonts w:ascii="Cambria" w:hAnsi="Cambria"/>
          <w:sz w:val="20"/>
          <w:szCs w:val="20"/>
          <w:lang w:val="es-ES"/>
        </w:rPr>
        <w:t xml:space="preserve"> </w:t>
      </w:r>
      <w:r w:rsidR="00DF79FD" w:rsidRPr="003B7960">
        <w:rPr>
          <w:rFonts w:ascii="Cambria" w:hAnsi="Cambria"/>
          <w:sz w:val="20"/>
          <w:szCs w:val="20"/>
          <w:lang w:val="es-ES"/>
        </w:rPr>
        <w:t>e</w:t>
      </w:r>
      <w:r w:rsidR="00067F9E" w:rsidRPr="003B7960">
        <w:rPr>
          <w:rFonts w:ascii="Cambria" w:hAnsi="Cambria"/>
          <w:sz w:val="20"/>
          <w:szCs w:val="20"/>
          <w:lang w:val="es-ES"/>
        </w:rPr>
        <w:t>s fragment</w:t>
      </w:r>
      <w:r w:rsidR="00DF79FD" w:rsidRPr="003B7960">
        <w:rPr>
          <w:rFonts w:ascii="Cambria" w:hAnsi="Cambria"/>
          <w:sz w:val="20"/>
          <w:szCs w:val="20"/>
          <w:lang w:val="es-ES"/>
        </w:rPr>
        <w:t xml:space="preserve">ada y no está </w:t>
      </w:r>
      <w:r w:rsidR="00067F9E" w:rsidRPr="003B7960">
        <w:rPr>
          <w:rFonts w:ascii="Cambria" w:hAnsi="Cambria"/>
          <w:sz w:val="20"/>
          <w:szCs w:val="20"/>
          <w:lang w:val="es-ES"/>
        </w:rPr>
        <w:t>individualiz</w:t>
      </w:r>
      <w:r w:rsidR="00DF79FD" w:rsidRPr="003B7960">
        <w:rPr>
          <w:rFonts w:ascii="Cambria" w:hAnsi="Cambria"/>
          <w:sz w:val="20"/>
          <w:szCs w:val="20"/>
          <w:lang w:val="es-ES"/>
        </w:rPr>
        <w:t xml:space="preserve">ada en relación con la mayoría de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DF79FD" w:rsidRPr="003B7960">
        <w:rPr>
          <w:rFonts w:ascii="Cambria" w:hAnsi="Cambria"/>
          <w:sz w:val="20"/>
          <w:szCs w:val="20"/>
          <w:lang w:val="es-ES"/>
        </w:rPr>
        <w:t xml:space="preserve">resumirá la información específica proporcionada sobre los ciudadanos cubanos </w:t>
      </w:r>
      <w:r w:rsidR="00067F9E" w:rsidRPr="003B7960">
        <w:rPr>
          <w:rFonts w:ascii="Cambria" w:hAnsi="Cambria"/>
          <w:sz w:val="20"/>
          <w:szCs w:val="20"/>
          <w:lang w:val="es-ES"/>
        </w:rPr>
        <w:t xml:space="preserve">Nieves Marlene Escuela, Jorge Rochela Escuela </w:t>
      </w:r>
      <w:r w:rsidR="00DF79FD" w:rsidRPr="003B7960">
        <w:rPr>
          <w:rFonts w:ascii="Cambria" w:hAnsi="Cambria"/>
          <w:sz w:val="20"/>
          <w:szCs w:val="20"/>
          <w:lang w:val="es-ES"/>
        </w:rPr>
        <w:t>y</w:t>
      </w:r>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Mildrey</w:t>
      </w:r>
      <w:proofErr w:type="spellEnd"/>
      <w:r w:rsidR="00067F9E" w:rsidRPr="003B7960">
        <w:rPr>
          <w:rFonts w:ascii="Cambria" w:hAnsi="Cambria"/>
          <w:sz w:val="20"/>
          <w:szCs w:val="20"/>
          <w:lang w:val="es-ES"/>
        </w:rPr>
        <w:t xml:space="preserve"> Martin Escuela </w:t>
      </w:r>
      <w:r w:rsidR="00DF79FD" w:rsidRPr="003B7960">
        <w:rPr>
          <w:rFonts w:ascii="Cambria" w:hAnsi="Cambria"/>
          <w:sz w:val="20"/>
          <w:szCs w:val="20"/>
          <w:lang w:val="es-ES"/>
        </w:rPr>
        <w:t xml:space="preserve">y se referirá a las demás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DF79FD" w:rsidRPr="003B7960">
        <w:rPr>
          <w:rFonts w:ascii="Cambria" w:hAnsi="Cambria"/>
          <w:sz w:val="20"/>
          <w:szCs w:val="20"/>
          <w:lang w:val="es-ES"/>
        </w:rPr>
        <w:t xml:space="preserve">en términos </w:t>
      </w:r>
      <w:r w:rsidR="00067F9E" w:rsidRPr="003B7960">
        <w:rPr>
          <w:rFonts w:ascii="Cambria" w:hAnsi="Cambria"/>
          <w:sz w:val="20"/>
          <w:szCs w:val="20"/>
          <w:lang w:val="es-ES"/>
        </w:rPr>
        <w:t>general</w:t>
      </w:r>
      <w:r w:rsidR="00DF79FD" w:rsidRPr="003B7960">
        <w:rPr>
          <w:rFonts w:ascii="Cambria" w:hAnsi="Cambria"/>
          <w:sz w:val="20"/>
          <w:szCs w:val="20"/>
          <w:lang w:val="es-ES"/>
        </w:rPr>
        <w:t xml:space="preserve">es, en vista de que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DF79FD" w:rsidRPr="003B7960">
        <w:rPr>
          <w:rFonts w:ascii="Cambria" w:hAnsi="Cambria"/>
          <w:sz w:val="20"/>
          <w:szCs w:val="20"/>
          <w:lang w:val="es-ES"/>
        </w:rPr>
        <w:t>no proporcionó información</w:t>
      </w:r>
      <w:r w:rsidR="00067F9E" w:rsidRPr="003B7960">
        <w:rPr>
          <w:rFonts w:ascii="Cambria" w:hAnsi="Cambria"/>
          <w:sz w:val="20"/>
          <w:szCs w:val="20"/>
          <w:lang w:val="es-ES"/>
        </w:rPr>
        <w:t xml:space="preserve"> individual</w:t>
      </w:r>
      <w:r w:rsidR="00DF79FD" w:rsidRPr="003B7960">
        <w:rPr>
          <w:rFonts w:ascii="Cambria" w:hAnsi="Cambria"/>
          <w:sz w:val="20"/>
          <w:szCs w:val="20"/>
          <w:lang w:val="es-ES"/>
        </w:rPr>
        <w:t>izada sobre las personas que estaban bajo la custodia de sus autoridades mientras se tramitaba la</w:t>
      </w:r>
      <w:r w:rsidR="00067F9E" w:rsidRPr="003B7960">
        <w:rPr>
          <w:rFonts w:ascii="Cambria" w:hAnsi="Cambria"/>
          <w:sz w:val="20"/>
          <w:szCs w:val="20"/>
          <w:lang w:val="es-ES"/>
        </w:rPr>
        <w:t xml:space="preserve"> </w:t>
      </w:r>
      <w:r w:rsidR="00A40067" w:rsidRPr="003B7960">
        <w:rPr>
          <w:rFonts w:ascii="Cambria" w:hAnsi="Cambria"/>
          <w:sz w:val="20"/>
          <w:szCs w:val="20"/>
          <w:lang w:val="es-ES"/>
        </w:rPr>
        <w:t>deportación</w:t>
      </w:r>
      <w:r w:rsidR="00067F9E" w:rsidRPr="003B7960">
        <w:rPr>
          <w:rFonts w:ascii="Cambria" w:hAnsi="Cambria"/>
          <w:sz w:val="20"/>
          <w:szCs w:val="20"/>
          <w:lang w:val="es-ES"/>
        </w:rPr>
        <w:t xml:space="preserve">. </w:t>
      </w:r>
    </w:p>
    <w:p w14:paraId="393FC6F6"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5EC0B0F8" w14:textId="0FE2AD74"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DF79FD" w:rsidRPr="003B7960">
        <w:rPr>
          <w:rFonts w:ascii="Cambria" w:hAnsi="Cambria"/>
          <w:sz w:val="20"/>
          <w:szCs w:val="20"/>
          <w:lang w:val="es-ES"/>
        </w:rPr>
        <w:t>observa que no se han indicado las fechas de entrada en</w:t>
      </w:r>
      <w:r w:rsidR="00067F9E" w:rsidRPr="003B7960">
        <w:rPr>
          <w:rFonts w:ascii="Cambria" w:hAnsi="Cambria"/>
          <w:sz w:val="20"/>
          <w:szCs w:val="20"/>
          <w:lang w:val="es-ES"/>
        </w:rPr>
        <w:t xml:space="preserve"> </w:t>
      </w:r>
      <w:r w:rsidRPr="003B7960">
        <w:rPr>
          <w:rFonts w:ascii="Cambria" w:hAnsi="Cambria"/>
          <w:sz w:val="20"/>
          <w:szCs w:val="20"/>
          <w:lang w:val="es-ES"/>
        </w:rPr>
        <w:t>las Bahamas</w:t>
      </w:r>
      <w:r w:rsidR="00067F9E" w:rsidRPr="003B7960">
        <w:rPr>
          <w:rFonts w:ascii="Cambria" w:hAnsi="Cambria"/>
          <w:sz w:val="20"/>
          <w:szCs w:val="20"/>
          <w:lang w:val="es-ES"/>
        </w:rPr>
        <w:t xml:space="preserve"> </w:t>
      </w:r>
      <w:r w:rsidR="00DF79FD" w:rsidRPr="003B7960">
        <w:rPr>
          <w:rFonts w:ascii="Cambria" w:hAnsi="Cambria"/>
          <w:sz w:val="20"/>
          <w:szCs w:val="20"/>
          <w:lang w:val="es-ES"/>
        </w:rPr>
        <w:t xml:space="preserve">y 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DF79FD" w:rsidRPr="003B7960">
        <w:rPr>
          <w:rFonts w:ascii="Cambria" w:hAnsi="Cambria"/>
          <w:sz w:val="20"/>
          <w:szCs w:val="20"/>
          <w:lang w:val="es-ES"/>
        </w:rPr>
        <w:t xml:space="preserve">. La información proporcionada por </w:t>
      </w:r>
      <w:r w:rsidR="00170D77" w:rsidRPr="003B7960">
        <w:rPr>
          <w:rFonts w:ascii="Cambria" w:hAnsi="Cambria"/>
          <w:color w:val="000000"/>
          <w:sz w:val="20"/>
          <w:szCs w:val="20"/>
          <w:lang w:val="es-ES"/>
        </w:rPr>
        <w:t xml:space="preserve">la parte peticionaria </w:t>
      </w:r>
      <w:r w:rsidR="00DF79FD" w:rsidRPr="003B7960">
        <w:rPr>
          <w:rFonts w:ascii="Cambria" w:hAnsi="Cambria"/>
          <w:sz w:val="20"/>
          <w:szCs w:val="20"/>
          <w:lang w:val="es-ES"/>
        </w:rPr>
        <w:t xml:space="preserve">parece indicar que una de las víctimas salió </w:t>
      </w:r>
      <w:r w:rsidR="00DF79FD" w:rsidRPr="003B7960">
        <w:rPr>
          <w:rFonts w:ascii="Cambria" w:hAnsi="Cambria"/>
          <w:sz w:val="20"/>
          <w:szCs w:val="20"/>
          <w:lang w:val="es-ES"/>
        </w:rPr>
        <w:lastRenderedPageBreak/>
        <w:t>de C</w:t>
      </w:r>
      <w:r w:rsidR="00067F9E" w:rsidRPr="003B7960">
        <w:rPr>
          <w:rFonts w:ascii="Cambria" w:hAnsi="Cambria"/>
          <w:sz w:val="20"/>
          <w:szCs w:val="20"/>
          <w:lang w:val="es-ES"/>
        </w:rPr>
        <w:t xml:space="preserve">uba </w:t>
      </w:r>
      <w:r w:rsidR="00DF79FD" w:rsidRPr="003B7960">
        <w:rPr>
          <w:rFonts w:ascii="Cambria" w:hAnsi="Cambria"/>
          <w:sz w:val="20"/>
          <w:szCs w:val="20"/>
          <w:lang w:val="es-ES"/>
        </w:rPr>
        <w:t xml:space="preserve">poco después del </w:t>
      </w:r>
      <w:r w:rsidR="00067F9E" w:rsidRPr="003B7960">
        <w:rPr>
          <w:rFonts w:ascii="Cambria" w:hAnsi="Cambria"/>
          <w:sz w:val="20"/>
          <w:szCs w:val="20"/>
          <w:lang w:val="es-ES"/>
        </w:rPr>
        <w:t>23</w:t>
      </w:r>
      <w:r w:rsidR="00DF79FD" w:rsidRPr="003B7960">
        <w:rPr>
          <w:rFonts w:ascii="Cambria" w:hAnsi="Cambria"/>
          <w:sz w:val="20"/>
          <w:szCs w:val="20"/>
          <w:lang w:val="es-ES"/>
        </w:rPr>
        <w:t xml:space="preserve"> de junio de</w:t>
      </w:r>
      <w:r w:rsidR="00067F9E" w:rsidRPr="003B7960">
        <w:rPr>
          <w:rFonts w:ascii="Cambria" w:hAnsi="Cambria"/>
          <w:sz w:val="20"/>
          <w:szCs w:val="20"/>
          <w:lang w:val="es-ES"/>
        </w:rPr>
        <w:t xml:space="preserve"> 1998</w:t>
      </w:r>
      <w:r w:rsidR="00067F9E" w:rsidRPr="003B7960">
        <w:rPr>
          <w:rStyle w:val="FootnoteReference"/>
          <w:rFonts w:ascii="Cambria" w:hAnsi="Cambria"/>
          <w:sz w:val="20"/>
          <w:szCs w:val="20"/>
          <w:lang w:val="es-ES"/>
        </w:rPr>
        <w:footnoteReference w:id="39"/>
      </w:r>
      <w:r w:rsidR="00067F9E" w:rsidRPr="003B7960">
        <w:rPr>
          <w:rFonts w:ascii="Cambria" w:hAnsi="Cambria"/>
          <w:sz w:val="20"/>
          <w:szCs w:val="20"/>
          <w:lang w:val="es-ES"/>
        </w:rPr>
        <w:t xml:space="preserve"> </w:t>
      </w:r>
      <w:r w:rsidR="00DF79FD" w:rsidRPr="003B7960">
        <w:rPr>
          <w:rFonts w:ascii="Cambria" w:hAnsi="Cambria"/>
          <w:sz w:val="20"/>
          <w:szCs w:val="20"/>
          <w:lang w:val="es-ES"/>
        </w:rPr>
        <w:t>y otra permaneció detenida durante</w:t>
      </w:r>
      <w:r w:rsidR="00067F9E" w:rsidRPr="003B7960">
        <w:rPr>
          <w:rFonts w:ascii="Cambria" w:hAnsi="Cambria"/>
          <w:sz w:val="20"/>
          <w:szCs w:val="20"/>
          <w:lang w:val="es-ES"/>
        </w:rPr>
        <w:t xml:space="preserve"> 43 d</w:t>
      </w:r>
      <w:r w:rsidR="00DF79FD" w:rsidRPr="003B7960">
        <w:rPr>
          <w:rFonts w:ascii="Cambria" w:hAnsi="Cambria"/>
          <w:sz w:val="20"/>
          <w:szCs w:val="20"/>
          <w:lang w:val="es-ES"/>
        </w:rPr>
        <w:t>ía</w:t>
      </w:r>
      <w:r w:rsidR="00067F9E" w:rsidRPr="003B7960">
        <w:rPr>
          <w:rFonts w:ascii="Cambria" w:hAnsi="Cambria"/>
          <w:sz w:val="20"/>
          <w:szCs w:val="20"/>
          <w:lang w:val="es-ES"/>
        </w:rPr>
        <w:t>s</w:t>
      </w:r>
      <w:r w:rsidR="00067F9E" w:rsidRPr="003B7960">
        <w:rPr>
          <w:rStyle w:val="FootnoteReference"/>
          <w:rFonts w:ascii="Cambria" w:hAnsi="Cambria"/>
          <w:sz w:val="20"/>
          <w:szCs w:val="20"/>
          <w:lang w:val="es-ES"/>
        </w:rPr>
        <w:footnoteReference w:id="40"/>
      </w:r>
      <w:r w:rsidR="00DF79FD" w:rsidRPr="003B7960">
        <w:rPr>
          <w:rFonts w:ascii="Cambria" w:hAnsi="Cambria"/>
          <w:sz w:val="20"/>
          <w:szCs w:val="20"/>
          <w:lang w:val="es-ES"/>
        </w:rPr>
        <w:t>.</w:t>
      </w:r>
      <w:r w:rsidR="00067F9E" w:rsidRPr="003B7960">
        <w:rPr>
          <w:rFonts w:ascii="Cambria" w:hAnsi="Cambria"/>
          <w:sz w:val="20"/>
          <w:szCs w:val="20"/>
          <w:lang w:val="es-ES"/>
        </w:rPr>
        <w:t xml:space="preserve"> </w:t>
      </w:r>
      <w:r w:rsidR="007413F3" w:rsidRPr="003B7960">
        <w:rPr>
          <w:rFonts w:ascii="Cambria" w:hAnsi="Cambria"/>
          <w:sz w:val="20"/>
          <w:szCs w:val="20"/>
          <w:lang w:val="es-ES"/>
        </w:rPr>
        <w:t xml:space="preserve">Sin embargo, no se cuestiona que, de conformidad con el Memorando de Entendimiento entre </w:t>
      </w:r>
      <w:r w:rsidRPr="003B7960">
        <w:rPr>
          <w:rFonts w:ascii="Cambria" w:hAnsi="Cambria"/>
          <w:sz w:val="20"/>
          <w:szCs w:val="20"/>
          <w:lang w:val="es-ES"/>
        </w:rPr>
        <w:t>las Bahamas</w:t>
      </w:r>
      <w:r w:rsidR="00067F9E" w:rsidRPr="003B7960">
        <w:rPr>
          <w:rFonts w:ascii="Cambria" w:hAnsi="Cambria"/>
          <w:sz w:val="20"/>
          <w:szCs w:val="20"/>
          <w:lang w:val="es-ES"/>
        </w:rPr>
        <w:t xml:space="preserve"> </w:t>
      </w:r>
      <w:r w:rsidR="007413F3" w:rsidRPr="003B7960">
        <w:rPr>
          <w:rFonts w:ascii="Cambria" w:hAnsi="Cambria"/>
          <w:sz w:val="20"/>
          <w:szCs w:val="20"/>
          <w:lang w:val="es-ES"/>
        </w:rPr>
        <w:t>y</w:t>
      </w:r>
      <w:r w:rsidR="00067F9E" w:rsidRPr="003B7960">
        <w:rPr>
          <w:rFonts w:ascii="Cambria" w:hAnsi="Cambria"/>
          <w:sz w:val="20"/>
          <w:szCs w:val="20"/>
          <w:lang w:val="es-ES"/>
        </w:rPr>
        <w:t xml:space="preserve"> Cuba </w:t>
      </w:r>
      <w:r w:rsidR="007413F3" w:rsidRPr="003B7960">
        <w:rPr>
          <w:rFonts w:ascii="Cambria" w:hAnsi="Cambria"/>
          <w:sz w:val="20"/>
          <w:szCs w:val="20"/>
          <w:lang w:val="es-ES"/>
        </w:rPr>
        <w:t>del</w:t>
      </w:r>
      <w:r w:rsidR="00067F9E" w:rsidRPr="003B7960">
        <w:rPr>
          <w:rFonts w:ascii="Cambria" w:hAnsi="Cambria"/>
          <w:sz w:val="20"/>
          <w:szCs w:val="20"/>
          <w:lang w:val="es-ES"/>
        </w:rPr>
        <w:t xml:space="preserve"> </w:t>
      </w:r>
      <w:r w:rsidR="007413F3" w:rsidRPr="003B7960">
        <w:rPr>
          <w:rFonts w:ascii="Cambria" w:hAnsi="Cambria"/>
          <w:sz w:val="20"/>
          <w:szCs w:val="20"/>
          <w:lang w:val="es-ES"/>
        </w:rPr>
        <w:t xml:space="preserve">12 de enero de 1996 y su </w:t>
      </w:r>
      <w:r w:rsidR="00067F9E" w:rsidRPr="003B7960">
        <w:rPr>
          <w:rFonts w:ascii="Cambria" w:hAnsi="Cambria"/>
          <w:sz w:val="20"/>
          <w:szCs w:val="20"/>
          <w:lang w:val="es-ES"/>
        </w:rPr>
        <w:t>Protocol</w:t>
      </w:r>
      <w:r w:rsidR="007413F3" w:rsidRPr="003B7960">
        <w:rPr>
          <w:rFonts w:ascii="Cambria" w:hAnsi="Cambria"/>
          <w:sz w:val="20"/>
          <w:szCs w:val="20"/>
          <w:lang w:val="es-ES"/>
        </w:rPr>
        <w:t>o</w:t>
      </w:r>
      <w:r w:rsidR="00067F9E" w:rsidRPr="003B7960">
        <w:rPr>
          <w:rStyle w:val="FootnoteReference"/>
          <w:rFonts w:ascii="Cambria" w:hAnsi="Cambria"/>
          <w:sz w:val="20"/>
          <w:szCs w:val="20"/>
          <w:lang w:val="es-ES"/>
        </w:rPr>
        <w:footnoteReference w:id="41"/>
      </w:r>
      <w:r w:rsidR="007413F3" w:rsidRPr="003B7960">
        <w:rPr>
          <w:rFonts w:ascii="Cambria" w:hAnsi="Cambria"/>
          <w:sz w:val="20"/>
          <w:szCs w:val="20"/>
          <w:lang w:val="es-ES"/>
        </w:rPr>
        <w:t>,</w:t>
      </w:r>
      <w:r w:rsidR="00067F9E" w:rsidRPr="003B7960">
        <w:rPr>
          <w:rFonts w:ascii="Cambria" w:hAnsi="Cambria"/>
          <w:sz w:val="20"/>
          <w:szCs w:val="20"/>
          <w:lang w:val="es-ES"/>
        </w:rPr>
        <w:t xml:space="preserv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repatri</w:t>
      </w:r>
      <w:r w:rsidR="007413F3" w:rsidRPr="003B7960">
        <w:rPr>
          <w:rFonts w:ascii="Cambria" w:hAnsi="Cambria"/>
          <w:sz w:val="20"/>
          <w:szCs w:val="20"/>
          <w:lang w:val="es-ES"/>
        </w:rPr>
        <w:t>ó</w:t>
      </w:r>
      <w:r w:rsidR="00067F9E" w:rsidRPr="003B7960">
        <w:rPr>
          <w:rFonts w:ascii="Cambria" w:hAnsi="Cambria"/>
          <w:sz w:val="20"/>
          <w:szCs w:val="20"/>
          <w:lang w:val="es-ES"/>
        </w:rPr>
        <w:t xml:space="preserve"> </w:t>
      </w:r>
      <w:r w:rsidR="000310D2" w:rsidRPr="003B7960">
        <w:rPr>
          <w:rFonts w:ascii="Cambria" w:hAnsi="Cambria"/>
          <w:sz w:val="20"/>
          <w:szCs w:val="20"/>
          <w:lang w:val="es-ES"/>
        </w:rPr>
        <w:t xml:space="preserve">a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cubanos</w:t>
      </w:r>
      <w:r w:rsidR="00067F9E" w:rsidRPr="003B7960">
        <w:rPr>
          <w:rFonts w:ascii="Cambria" w:hAnsi="Cambria"/>
          <w:sz w:val="20"/>
          <w:szCs w:val="20"/>
          <w:lang w:val="es-ES"/>
        </w:rPr>
        <w:t xml:space="preserve"> </w:t>
      </w:r>
      <w:r w:rsidR="007413F3" w:rsidRPr="003B7960">
        <w:rPr>
          <w:rFonts w:ascii="Cambria" w:hAnsi="Cambria"/>
          <w:sz w:val="20"/>
          <w:szCs w:val="20"/>
          <w:lang w:val="es-ES"/>
        </w:rPr>
        <w:t>en tres ocasiones</w:t>
      </w:r>
      <w:r w:rsidR="00067F9E" w:rsidRPr="003B7960">
        <w:rPr>
          <w:rStyle w:val="FootnoteReference"/>
          <w:rFonts w:ascii="Cambria" w:hAnsi="Cambria"/>
          <w:sz w:val="20"/>
          <w:szCs w:val="20"/>
          <w:lang w:val="es-ES"/>
        </w:rPr>
        <w:footnoteReference w:id="42"/>
      </w:r>
      <w:r w:rsidR="007413F3" w:rsidRPr="003B7960">
        <w:rPr>
          <w:rFonts w:ascii="Cambria" w:hAnsi="Cambria"/>
          <w:sz w:val="20"/>
          <w:szCs w:val="20"/>
          <w:lang w:val="es-ES"/>
        </w:rPr>
        <w:t>.</w:t>
      </w:r>
    </w:p>
    <w:p w14:paraId="2151FFA0" w14:textId="77777777" w:rsidR="00067F9E" w:rsidRPr="003B7960" w:rsidRDefault="00067F9E" w:rsidP="00101DC6">
      <w:pPr>
        <w:pStyle w:val="ListParagraph"/>
        <w:tabs>
          <w:tab w:val="left" w:pos="426"/>
        </w:tabs>
        <w:ind w:left="0"/>
        <w:rPr>
          <w:rFonts w:ascii="Cambria" w:hAnsi="Cambria"/>
          <w:sz w:val="20"/>
          <w:szCs w:val="20"/>
          <w:lang w:val="es-ES"/>
        </w:rPr>
      </w:pPr>
    </w:p>
    <w:p w14:paraId="61C85552" w14:textId="77777777" w:rsidR="00067F9E" w:rsidRPr="003B7960" w:rsidRDefault="007413F3"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 xml:space="preserve">El </w:t>
      </w:r>
      <w:r w:rsidR="00067F9E" w:rsidRPr="003B7960">
        <w:rPr>
          <w:rFonts w:ascii="Cambria" w:hAnsi="Cambria"/>
          <w:sz w:val="20"/>
          <w:szCs w:val="20"/>
          <w:lang w:val="es-ES"/>
        </w:rPr>
        <w:t>11</w:t>
      </w:r>
      <w:r w:rsidRPr="003B7960">
        <w:rPr>
          <w:rFonts w:ascii="Cambria" w:hAnsi="Cambria"/>
          <w:sz w:val="20"/>
          <w:szCs w:val="20"/>
          <w:lang w:val="es-ES"/>
        </w:rPr>
        <w:t xml:space="preserve"> de agosto de</w:t>
      </w:r>
      <w:r w:rsidR="00067F9E" w:rsidRPr="003B7960">
        <w:rPr>
          <w:rFonts w:ascii="Cambria" w:hAnsi="Cambria"/>
          <w:sz w:val="20"/>
          <w:szCs w:val="20"/>
          <w:lang w:val="es-ES"/>
        </w:rPr>
        <w:t xml:space="preserve"> 1998, 66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cubanos</w:t>
      </w:r>
      <w:r w:rsidR="00067F9E" w:rsidRPr="003B7960">
        <w:rPr>
          <w:rFonts w:ascii="Cambria" w:hAnsi="Cambria"/>
          <w:sz w:val="20"/>
          <w:szCs w:val="20"/>
          <w:lang w:val="es-ES"/>
        </w:rPr>
        <w:t xml:space="preserve"> </w:t>
      </w:r>
      <w:r w:rsidRPr="003B7960">
        <w:rPr>
          <w:rFonts w:ascii="Cambria" w:hAnsi="Cambria"/>
          <w:sz w:val="20"/>
          <w:szCs w:val="20"/>
          <w:lang w:val="es-ES"/>
        </w:rPr>
        <w:t xml:space="preserve">fueron repatriados a </w:t>
      </w:r>
      <w:r w:rsidR="00067F9E" w:rsidRPr="003B7960">
        <w:rPr>
          <w:rFonts w:ascii="Cambria" w:hAnsi="Cambria"/>
          <w:sz w:val="20"/>
          <w:szCs w:val="20"/>
          <w:lang w:val="es-ES"/>
        </w:rPr>
        <w:t>Cuba</w:t>
      </w:r>
      <w:r w:rsidR="00067F9E" w:rsidRPr="003B7960">
        <w:rPr>
          <w:rStyle w:val="FootnoteReference"/>
          <w:rFonts w:ascii="Cambria" w:hAnsi="Cambria"/>
          <w:sz w:val="20"/>
          <w:szCs w:val="20"/>
          <w:lang w:val="es-ES"/>
        </w:rPr>
        <w:footnoteReference w:id="43"/>
      </w:r>
      <w:r w:rsidRPr="003B7960">
        <w:rPr>
          <w:rFonts w:ascii="Cambria" w:hAnsi="Cambria"/>
          <w:sz w:val="20"/>
          <w:szCs w:val="20"/>
          <w:lang w:val="es-ES"/>
        </w:rPr>
        <w:t>. Entre ellos se encontraban cuatro</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mencionadas en </w:t>
      </w:r>
      <w:r w:rsidR="00C47806" w:rsidRPr="003B7960">
        <w:rPr>
          <w:rFonts w:ascii="Cambria" w:hAnsi="Cambria"/>
          <w:sz w:val="20"/>
          <w:szCs w:val="20"/>
          <w:lang w:val="es-ES"/>
        </w:rPr>
        <w:t>la petición</w:t>
      </w:r>
      <w:r w:rsidR="00067F9E" w:rsidRPr="003B7960">
        <w:rPr>
          <w:rFonts w:ascii="Cambria" w:hAnsi="Cambria"/>
          <w:sz w:val="20"/>
          <w:szCs w:val="20"/>
          <w:lang w:val="es-ES"/>
        </w:rPr>
        <w:t xml:space="preserve"> </w:t>
      </w:r>
      <w:r w:rsidRPr="003B7960">
        <w:rPr>
          <w:rFonts w:ascii="Cambria" w:hAnsi="Cambria"/>
          <w:sz w:val="20"/>
          <w:szCs w:val="20"/>
          <w:lang w:val="es-ES"/>
        </w:rPr>
        <w:t>y en la</w:t>
      </w:r>
      <w:r w:rsidR="000310D2" w:rsidRPr="003B7960">
        <w:rPr>
          <w:rFonts w:ascii="Cambria" w:hAnsi="Cambria"/>
          <w:sz w:val="20"/>
          <w:szCs w:val="20"/>
          <w:lang w:val="es-ES"/>
        </w:rPr>
        <w:t>s</w:t>
      </w:r>
      <w:r w:rsidR="00067F9E" w:rsidRPr="003B7960">
        <w:rPr>
          <w:rFonts w:ascii="Cambria" w:hAnsi="Cambria"/>
          <w:sz w:val="20"/>
          <w:szCs w:val="20"/>
          <w:lang w:val="es-ES"/>
        </w:rPr>
        <w:t xml:space="preserve"> </w:t>
      </w:r>
      <w:r w:rsidR="00A40067" w:rsidRPr="003B7960">
        <w:rPr>
          <w:rFonts w:ascii="Cambria" w:hAnsi="Cambria"/>
          <w:sz w:val="20"/>
          <w:szCs w:val="20"/>
          <w:lang w:val="es-ES"/>
        </w:rPr>
        <w:t>medidas cautelares</w:t>
      </w:r>
      <w:r w:rsidR="00067F9E" w:rsidRPr="003B7960">
        <w:rPr>
          <w:rFonts w:ascii="Cambria" w:hAnsi="Cambria"/>
          <w:sz w:val="20"/>
          <w:szCs w:val="20"/>
          <w:lang w:val="es-ES"/>
        </w:rPr>
        <w:t xml:space="preserve">, </w:t>
      </w:r>
      <w:r w:rsidRPr="003B7960">
        <w:rPr>
          <w:rFonts w:ascii="Cambria" w:hAnsi="Cambria"/>
          <w:sz w:val="20"/>
          <w:szCs w:val="20"/>
          <w:lang w:val="es-ES"/>
        </w:rPr>
        <w:t xml:space="preserve">a saber, </w:t>
      </w:r>
      <w:r w:rsidR="00067F9E" w:rsidRPr="003B7960">
        <w:rPr>
          <w:rFonts w:ascii="Cambria" w:hAnsi="Cambria"/>
          <w:sz w:val="20"/>
          <w:szCs w:val="20"/>
          <w:lang w:val="es-ES"/>
        </w:rPr>
        <w:t xml:space="preserve">Alexis Pérez Ricardo, </w:t>
      </w:r>
      <w:r w:rsidRPr="003B7960">
        <w:rPr>
          <w:rFonts w:ascii="Cambria" w:hAnsi="Cambria"/>
          <w:sz w:val="20"/>
          <w:szCs w:val="20"/>
          <w:lang w:val="es-ES"/>
        </w:rPr>
        <w:t>Héctor</w:t>
      </w:r>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Jurto</w:t>
      </w:r>
      <w:proofErr w:type="spellEnd"/>
      <w:r w:rsidR="00067F9E" w:rsidRPr="003B7960">
        <w:rPr>
          <w:rFonts w:ascii="Cambria" w:hAnsi="Cambria"/>
          <w:sz w:val="20"/>
          <w:szCs w:val="20"/>
          <w:lang w:val="es-ES"/>
        </w:rPr>
        <w:t xml:space="preserve"> Sánchez, Manuel Ramón Reyes Lamela </w:t>
      </w:r>
      <w:r w:rsidRPr="003B7960">
        <w:rPr>
          <w:rFonts w:ascii="Cambria" w:hAnsi="Cambria"/>
          <w:sz w:val="20"/>
          <w:szCs w:val="20"/>
          <w:lang w:val="es-ES"/>
        </w:rPr>
        <w:t>y</w:t>
      </w:r>
      <w:r w:rsidR="00067F9E" w:rsidRPr="003B7960">
        <w:rPr>
          <w:rFonts w:ascii="Cambria" w:hAnsi="Cambria"/>
          <w:sz w:val="20"/>
          <w:szCs w:val="20"/>
          <w:lang w:val="es-ES"/>
        </w:rPr>
        <w:t xml:space="preserve"> Lázaro de la Riva Suárez. </w:t>
      </w:r>
      <w:r w:rsidRPr="003B7960">
        <w:rPr>
          <w:rFonts w:ascii="Cambria" w:hAnsi="Cambria"/>
          <w:sz w:val="20"/>
          <w:szCs w:val="20"/>
          <w:lang w:val="es-ES"/>
        </w:rPr>
        <w:t xml:space="preserve">El </w:t>
      </w:r>
      <w:r w:rsidR="00067F9E" w:rsidRPr="003B7960">
        <w:rPr>
          <w:rFonts w:ascii="Cambria" w:hAnsi="Cambria"/>
          <w:sz w:val="20"/>
          <w:szCs w:val="20"/>
          <w:lang w:val="es-ES"/>
        </w:rPr>
        <w:t>18</w:t>
      </w:r>
      <w:r w:rsidRPr="003B7960">
        <w:rPr>
          <w:rFonts w:ascii="Cambria" w:hAnsi="Cambria"/>
          <w:sz w:val="20"/>
          <w:szCs w:val="20"/>
          <w:lang w:val="es-ES"/>
        </w:rPr>
        <w:t xml:space="preserve"> de agosto de</w:t>
      </w:r>
      <w:r w:rsidR="00067F9E" w:rsidRPr="003B7960">
        <w:rPr>
          <w:rFonts w:ascii="Cambria" w:hAnsi="Cambria"/>
          <w:sz w:val="20"/>
          <w:szCs w:val="20"/>
          <w:lang w:val="es-ES"/>
        </w:rPr>
        <w:t xml:space="preserve"> 1998</w:t>
      </w:r>
      <w:r w:rsidRPr="003B7960">
        <w:rPr>
          <w:rFonts w:ascii="Cambria" w:hAnsi="Cambria"/>
          <w:sz w:val="20"/>
          <w:szCs w:val="20"/>
          <w:lang w:val="es-ES"/>
        </w:rPr>
        <w:t xml:space="preserve"> se repatrió a otros </w:t>
      </w:r>
      <w:r w:rsidR="00067F9E" w:rsidRPr="003B7960">
        <w:rPr>
          <w:rFonts w:ascii="Cambria" w:hAnsi="Cambria"/>
          <w:sz w:val="20"/>
          <w:szCs w:val="20"/>
          <w:lang w:val="es-ES"/>
        </w:rPr>
        <w:t xml:space="preserve">49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cubanos</w:t>
      </w:r>
      <w:r w:rsidR="00067F9E" w:rsidRPr="003B7960">
        <w:rPr>
          <w:rStyle w:val="FootnoteReference"/>
          <w:rFonts w:ascii="Cambria" w:hAnsi="Cambria"/>
          <w:sz w:val="20"/>
          <w:szCs w:val="20"/>
          <w:lang w:val="es-ES"/>
        </w:rPr>
        <w:footnoteReference w:id="44"/>
      </w:r>
      <w:r w:rsidRPr="003B7960">
        <w:rPr>
          <w:rFonts w:ascii="Cambria" w:hAnsi="Cambria"/>
          <w:sz w:val="20"/>
          <w:szCs w:val="20"/>
          <w:lang w:val="es-ES"/>
        </w:rPr>
        <w:t>,</w:t>
      </w:r>
      <w:r w:rsidR="00067F9E" w:rsidRPr="003B7960">
        <w:rPr>
          <w:rFonts w:ascii="Cambria" w:hAnsi="Cambria"/>
          <w:sz w:val="20"/>
          <w:szCs w:val="20"/>
          <w:lang w:val="es-ES"/>
        </w:rPr>
        <w:t xml:space="preserve"> </w:t>
      </w:r>
      <w:r w:rsidRPr="003B7960">
        <w:rPr>
          <w:rFonts w:ascii="Cambria" w:hAnsi="Cambria"/>
          <w:sz w:val="20"/>
          <w:szCs w:val="20"/>
          <w:lang w:val="es-ES"/>
        </w:rPr>
        <w:t xml:space="preserve">y el </w:t>
      </w:r>
      <w:r w:rsidR="00067F9E" w:rsidRPr="003B7960">
        <w:rPr>
          <w:rFonts w:ascii="Cambria" w:hAnsi="Cambria"/>
          <w:sz w:val="20"/>
          <w:szCs w:val="20"/>
          <w:lang w:val="es-ES"/>
        </w:rPr>
        <w:t>20</w:t>
      </w:r>
      <w:r w:rsidRPr="003B7960">
        <w:rPr>
          <w:rFonts w:ascii="Cambria" w:hAnsi="Cambria"/>
          <w:sz w:val="20"/>
          <w:szCs w:val="20"/>
          <w:lang w:val="es-ES"/>
        </w:rPr>
        <w:t xml:space="preserve"> de octubre de</w:t>
      </w:r>
      <w:r w:rsidR="00067F9E" w:rsidRPr="003B7960">
        <w:rPr>
          <w:rFonts w:ascii="Cambria" w:hAnsi="Cambria"/>
          <w:sz w:val="20"/>
          <w:szCs w:val="20"/>
          <w:lang w:val="es-ES"/>
        </w:rPr>
        <w:t xml:space="preserve"> 1998</w:t>
      </w:r>
      <w:r w:rsidRPr="003B7960">
        <w:rPr>
          <w:rFonts w:ascii="Cambria" w:hAnsi="Cambria"/>
          <w:sz w:val="20"/>
          <w:szCs w:val="20"/>
          <w:lang w:val="es-ES"/>
        </w:rPr>
        <w:t xml:space="preserve">, a otros </w:t>
      </w:r>
      <w:r w:rsidR="00067F9E" w:rsidRPr="003B7960">
        <w:rPr>
          <w:rFonts w:ascii="Cambria" w:hAnsi="Cambria"/>
          <w:sz w:val="20"/>
          <w:szCs w:val="20"/>
          <w:lang w:val="es-ES"/>
        </w:rPr>
        <w:t>67</w:t>
      </w:r>
      <w:r w:rsidR="00067F9E" w:rsidRPr="003B7960">
        <w:rPr>
          <w:rStyle w:val="FootnoteReference"/>
          <w:rFonts w:ascii="Cambria" w:hAnsi="Cambria"/>
          <w:sz w:val="20"/>
          <w:szCs w:val="20"/>
          <w:lang w:val="es-ES"/>
        </w:rPr>
        <w:footnoteReference w:id="45"/>
      </w:r>
      <w:r w:rsidRPr="003B7960">
        <w:rPr>
          <w:rFonts w:ascii="Cambria" w:hAnsi="Cambria"/>
          <w:sz w:val="20"/>
          <w:szCs w:val="20"/>
          <w:lang w:val="es-ES"/>
        </w:rPr>
        <w:t>. Por último</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observa la inclusión de </w:t>
      </w:r>
      <w:r w:rsidR="00067F9E" w:rsidRPr="003B7960">
        <w:rPr>
          <w:rFonts w:ascii="Cambria" w:hAnsi="Cambria"/>
          <w:sz w:val="20"/>
          <w:szCs w:val="20"/>
          <w:lang w:val="es-ES"/>
        </w:rPr>
        <w:t xml:space="preserve">Pastor Jorge Aguiar </w:t>
      </w:r>
      <w:r w:rsidRPr="003B7960">
        <w:rPr>
          <w:rFonts w:ascii="Cambria" w:hAnsi="Cambria"/>
          <w:sz w:val="20"/>
          <w:szCs w:val="20"/>
          <w:lang w:val="es-ES"/>
        </w:rPr>
        <w:t>Pérez</w:t>
      </w:r>
      <w:r w:rsidR="00067F9E" w:rsidRPr="003B7960">
        <w:rPr>
          <w:rFonts w:ascii="Cambria" w:hAnsi="Cambria"/>
          <w:sz w:val="20"/>
          <w:szCs w:val="20"/>
          <w:lang w:val="es-ES"/>
        </w:rPr>
        <w:t xml:space="preserve"> </w:t>
      </w:r>
      <w:r w:rsidRPr="003B7960">
        <w:rPr>
          <w:rFonts w:ascii="Cambria" w:hAnsi="Cambria"/>
          <w:sz w:val="20"/>
          <w:szCs w:val="20"/>
          <w:lang w:val="es-ES"/>
        </w:rPr>
        <w:t>y</w:t>
      </w:r>
      <w:r w:rsidR="00067F9E" w:rsidRPr="003B7960">
        <w:rPr>
          <w:rFonts w:ascii="Cambria" w:hAnsi="Cambria"/>
          <w:sz w:val="20"/>
          <w:szCs w:val="20"/>
          <w:lang w:val="es-ES"/>
        </w:rPr>
        <w:t xml:space="preserve"> </w:t>
      </w:r>
      <w:r w:rsidRPr="003B7960">
        <w:rPr>
          <w:rFonts w:ascii="Cambria" w:hAnsi="Cambria"/>
          <w:sz w:val="20"/>
          <w:szCs w:val="20"/>
          <w:lang w:val="es-ES"/>
        </w:rPr>
        <w:t>Damián</w:t>
      </w:r>
      <w:r w:rsidR="00067F9E" w:rsidRPr="003B7960">
        <w:rPr>
          <w:rFonts w:ascii="Cambria" w:hAnsi="Cambria"/>
          <w:sz w:val="20"/>
          <w:szCs w:val="20"/>
          <w:lang w:val="es-ES"/>
        </w:rPr>
        <w:t xml:space="preserve"> Rigoberto Cabrera </w:t>
      </w:r>
      <w:r w:rsidRPr="003B7960">
        <w:rPr>
          <w:rFonts w:ascii="Cambria" w:hAnsi="Cambria"/>
          <w:sz w:val="20"/>
          <w:szCs w:val="20"/>
          <w:lang w:val="es-ES"/>
        </w:rPr>
        <w:t>Pérez</w:t>
      </w:r>
      <w:r w:rsidR="00067F9E" w:rsidRPr="003B7960">
        <w:rPr>
          <w:rFonts w:ascii="Cambria" w:hAnsi="Cambria"/>
          <w:sz w:val="20"/>
          <w:szCs w:val="20"/>
          <w:lang w:val="es-ES"/>
        </w:rPr>
        <w:t xml:space="preserve"> </w:t>
      </w:r>
      <w:r w:rsidRPr="003B7960">
        <w:rPr>
          <w:rFonts w:ascii="Cambria" w:hAnsi="Cambria"/>
          <w:sz w:val="20"/>
          <w:szCs w:val="20"/>
          <w:lang w:val="es-ES"/>
        </w:rPr>
        <w:t>entre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4C070C" w:rsidRPr="003B7960">
        <w:rPr>
          <w:rFonts w:ascii="Cambria" w:hAnsi="Cambria"/>
          <w:sz w:val="20"/>
          <w:szCs w:val="20"/>
          <w:lang w:val="es-ES"/>
        </w:rPr>
        <w:t xml:space="preserve">que fueron </w:t>
      </w:r>
      <w:r w:rsidR="00067F9E" w:rsidRPr="003B7960">
        <w:rPr>
          <w:rFonts w:ascii="Cambria" w:hAnsi="Cambria"/>
          <w:sz w:val="20"/>
          <w:szCs w:val="20"/>
          <w:lang w:val="es-ES"/>
        </w:rPr>
        <w:t>transport</w:t>
      </w:r>
      <w:r w:rsidR="004C070C" w:rsidRPr="003B7960">
        <w:rPr>
          <w:rFonts w:ascii="Cambria" w:hAnsi="Cambria"/>
          <w:sz w:val="20"/>
          <w:szCs w:val="20"/>
          <w:lang w:val="es-ES"/>
        </w:rPr>
        <w:t xml:space="preserve">adas al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004C070C" w:rsidRPr="003B7960">
        <w:rPr>
          <w:rFonts w:ascii="Cambria" w:hAnsi="Cambria"/>
          <w:sz w:val="20"/>
          <w:szCs w:val="20"/>
          <w:lang w:val="es-ES"/>
        </w:rPr>
        <w:t xml:space="preserve">el </w:t>
      </w:r>
      <w:r w:rsidR="00067F9E" w:rsidRPr="003B7960">
        <w:rPr>
          <w:rFonts w:ascii="Cambria" w:hAnsi="Cambria"/>
          <w:sz w:val="20"/>
          <w:szCs w:val="20"/>
          <w:lang w:val="es-ES"/>
        </w:rPr>
        <w:t>8</w:t>
      </w:r>
      <w:r w:rsidR="004C070C" w:rsidRPr="003B7960">
        <w:rPr>
          <w:rFonts w:ascii="Cambria" w:hAnsi="Cambria"/>
          <w:sz w:val="20"/>
          <w:szCs w:val="20"/>
          <w:lang w:val="es-ES"/>
        </w:rPr>
        <w:t xml:space="preserve"> de noviembre de</w:t>
      </w:r>
      <w:r w:rsidR="00067F9E" w:rsidRPr="003B7960">
        <w:rPr>
          <w:rFonts w:ascii="Cambria" w:hAnsi="Cambria"/>
          <w:sz w:val="20"/>
          <w:szCs w:val="20"/>
          <w:lang w:val="es-ES"/>
        </w:rPr>
        <w:t xml:space="preserve"> 1998</w:t>
      </w:r>
      <w:r w:rsidR="004C070C" w:rsidRPr="003B7960">
        <w:rPr>
          <w:rFonts w:ascii="Cambria" w:hAnsi="Cambria"/>
          <w:sz w:val="20"/>
          <w:szCs w:val="20"/>
          <w:lang w:val="es-ES"/>
        </w:rPr>
        <w:t xml:space="preserve">, donde permanecieron detenidas hasta que fueron repatriadas a </w:t>
      </w:r>
      <w:r w:rsidR="00067F9E" w:rsidRPr="003B7960">
        <w:rPr>
          <w:rFonts w:ascii="Cambria" w:hAnsi="Cambria"/>
          <w:sz w:val="20"/>
          <w:szCs w:val="20"/>
          <w:lang w:val="es-ES"/>
        </w:rPr>
        <w:t>Cuba</w:t>
      </w:r>
      <w:r w:rsidR="00067F9E" w:rsidRPr="003B7960">
        <w:rPr>
          <w:rStyle w:val="FootnoteReference"/>
          <w:rFonts w:ascii="Cambria" w:hAnsi="Cambria"/>
          <w:sz w:val="20"/>
          <w:szCs w:val="20"/>
          <w:lang w:val="es-ES"/>
        </w:rPr>
        <w:footnoteReference w:id="46"/>
      </w:r>
      <w:r w:rsidR="004C070C" w:rsidRPr="003B7960">
        <w:rPr>
          <w:rFonts w:ascii="Cambria" w:hAnsi="Cambria"/>
          <w:sz w:val="20"/>
          <w:szCs w:val="20"/>
          <w:lang w:val="es-ES"/>
        </w:rPr>
        <w:t>.</w:t>
      </w:r>
    </w:p>
    <w:p w14:paraId="5D7E0D78"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4C4DB62" w14:textId="0254BE57" w:rsidR="00067F9E" w:rsidRPr="003B7960" w:rsidRDefault="004C070C"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Por consiguiente,</w:t>
      </w:r>
      <w:r w:rsidR="00067F9E" w:rsidRPr="003B7960">
        <w:rPr>
          <w:rFonts w:ascii="Cambria" w:hAnsi="Cambria"/>
          <w:sz w:val="20"/>
          <w:szCs w:val="20"/>
          <w:lang w:val="es-ES"/>
        </w:rPr>
        <w:t xml:space="preserve"> 184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cubanos</w:t>
      </w:r>
      <w:r w:rsidR="00067F9E" w:rsidRPr="003B7960">
        <w:rPr>
          <w:rFonts w:ascii="Cambria" w:hAnsi="Cambria"/>
          <w:sz w:val="20"/>
          <w:szCs w:val="20"/>
          <w:lang w:val="es-ES"/>
        </w:rPr>
        <w:t xml:space="preserve"> </w:t>
      </w:r>
      <w:r w:rsidRPr="003B7960">
        <w:rPr>
          <w:rFonts w:ascii="Cambria" w:hAnsi="Cambria"/>
          <w:sz w:val="20"/>
          <w:szCs w:val="20"/>
          <w:lang w:val="es-ES"/>
        </w:rPr>
        <w:t xml:space="preserve">en total fueron repatriados tras su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en el </w:t>
      </w:r>
      <w:r w:rsidR="00654B4A" w:rsidRPr="003B7960">
        <w:rPr>
          <w:rFonts w:ascii="Cambria" w:hAnsi="Cambria"/>
          <w:sz w:val="20"/>
          <w:szCs w:val="20"/>
          <w:lang w:val="es-ES"/>
        </w:rPr>
        <w:t xml:space="preserve">Centro de Detención </w:t>
      </w:r>
      <w:r w:rsidRPr="003B7960">
        <w:rPr>
          <w:rFonts w:ascii="Cambria" w:hAnsi="Cambria"/>
          <w:sz w:val="20"/>
          <w:szCs w:val="20"/>
          <w:lang w:val="es-ES"/>
        </w:rPr>
        <w:t xml:space="preserve">de </w:t>
      </w:r>
      <w:proofErr w:type="spellStart"/>
      <w:r w:rsidR="00654B4A" w:rsidRPr="003B7960">
        <w:rPr>
          <w:rFonts w:ascii="Cambria" w:hAnsi="Cambria"/>
          <w:sz w:val="20"/>
          <w:szCs w:val="20"/>
          <w:lang w:val="es-ES"/>
        </w:rPr>
        <w:t>Carmichael</w:t>
      </w:r>
      <w:proofErr w:type="spellEnd"/>
      <w:r w:rsidR="00654B4A" w:rsidRPr="003B7960">
        <w:rPr>
          <w:rFonts w:ascii="Cambria" w:hAnsi="Cambria"/>
          <w:sz w:val="20"/>
          <w:szCs w:val="20"/>
          <w:lang w:val="es-ES"/>
        </w:rPr>
        <w:t xml:space="preserve"> Road</w:t>
      </w:r>
      <w:r w:rsidR="00067F9E" w:rsidRPr="003B7960">
        <w:rPr>
          <w:rFonts w:ascii="Cambria" w:hAnsi="Cambria"/>
          <w:sz w:val="20"/>
          <w:szCs w:val="20"/>
          <w:lang w:val="es-ES"/>
        </w:rPr>
        <w:t xml:space="preserve">. </w:t>
      </w:r>
      <w:r w:rsidRPr="003B7960">
        <w:rPr>
          <w:rFonts w:ascii="Cambria" w:hAnsi="Cambria"/>
          <w:sz w:val="20"/>
          <w:szCs w:val="20"/>
          <w:lang w:val="es-ES"/>
        </w:rPr>
        <w:t xml:space="preserve">Además, las </w:t>
      </w:r>
      <w:r w:rsidR="00800462" w:rsidRPr="003B7960">
        <w:rPr>
          <w:rFonts w:ascii="Cambria" w:hAnsi="Cambria"/>
          <w:sz w:val="20"/>
          <w:szCs w:val="20"/>
          <w:lang w:val="es-ES"/>
        </w:rPr>
        <w:t>repatriaciones</w:t>
      </w:r>
      <w:r w:rsidR="00067F9E" w:rsidRPr="003B7960">
        <w:rPr>
          <w:rFonts w:ascii="Cambria" w:hAnsi="Cambria"/>
          <w:sz w:val="20"/>
          <w:szCs w:val="20"/>
          <w:lang w:val="es-ES"/>
        </w:rPr>
        <w:t xml:space="preserve"> </w:t>
      </w:r>
      <w:r w:rsidRPr="003B7960">
        <w:rPr>
          <w:rFonts w:ascii="Cambria" w:hAnsi="Cambria"/>
          <w:sz w:val="20"/>
          <w:szCs w:val="20"/>
          <w:lang w:val="es-ES"/>
        </w:rPr>
        <w:t xml:space="preserve">del </w:t>
      </w:r>
      <w:r w:rsidR="00067F9E" w:rsidRPr="003B7960">
        <w:rPr>
          <w:rFonts w:ascii="Cambria" w:hAnsi="Cambria"/>
          <w:sz w:val="20"/>
          <w:szCs w:val="20"/>
          <w:lang w:val="es-ES"/>
        </w:rPr>
        <w:t xml:space="preserve">18 </w:t>
      </w:r>
      <w:r w:rsidRPr="003B7960">
        <w:rPr>
          <w:rFonts w:ascii="Cambria" w:hAnsi="Cambria"/>
          <w:sz w:val="20"/>
          <w:szCs w:val="20"/>
          <w:lang w:val="es-ES"/>
        </w:rPr>
        <w:t xml:space="preserve">de agosto y el </w:t>
      </w:r>
      <w:r w:rsidR="00067F9E" w:rsidRPr="003B7960">
        <w:rPr>
          <w:rFonts w:ascii="Cambria" w:hAnsi="Cambria"/>
          <w:sz w:val="20"/>
          <w:szCs w:val="20"/>
          <w:lang w:val="es-ES"/>
        </w:rPr>
        <w:t>20</w:t>
      </w:r>
      <w:r w:rsidRPr="003B7960">
        <w:rPr>
          <w:rFonts w:ascii="Cambria" w:hAnsi="Cambria"/>
          <w:sz w:val="20"/>
          <w:szCs w:val="20"/>
          <w:lang w:val="es-ES"/>
        </w:rPr>
        <w:t xml:space="preserve"> de octubre de</w:t>
      </w:r>
      <w:r w:rsidR="00067F9E" w:rsidRPr="003B7960">
        <w:rPr>
          <w:rFonts w:ascii="Cambria" w:hAnsi="Cambria"/>
          <w:sz w:val="20"/>
          <w:szCs w:val="20"/>
          <w:lang w:val="es-ES"/>
        </w:rPr>
        <w:t xml:space="preserve"> 1998 </w:t>
      </w:r>
      <w:r w:rsidRPr="003B7960">
        <w:rPr>
          <w:rFonts w:ascii="Cambria" w:hAnsi="Cambria"/>
          <w:sz w:val="20"/>
          <w:szCs w:val="20"/>
          <w:lang w:val="es-ES"/>
        </w:rPr>
        <w:t xml:space="preserve">se efectuaron en contravención de las </w:t>
      </w:r>
      <w:r w:rsidR="00A40067" w:rsidRPr="003B7960">
        <w:rPr>
          <w:rFonts w:ascii="Cambria" w:hAnsi="Cambria"/>
          <w:sz w:val="20"/>
          <w:szCs w:val="20"/>
          <w:lang w:val="es-ES"/>
        </w:rPr>
        <w:t>medidas cautelares</w:t>
      </w:r>
      <w:r w:rsidR="00067F9E" w:rsidRPr="003B7960">
        <w:rPr>
          <w:rFonts w:ascii="Cambria" w:hAnsi="Cambria"/>
          <w:sz w:val="20"/>
          <w:szCs w:val="20"/>
          <w:lang w:val="es-ES"/>
        </w:rPr>
        <w:t xml:space="preserve"> </w:t>
      </w:r>
      <w:r w:rsidRPr="003B7960">
        <w:rPr>
          <w:rFonts w:ascii="Cambria" w:hAnsi="Cambria"/>
          <w:sz w:val="20"/>
          <w:szCs w:val="20"/>
          <w:lang w:val="es-ES"/>
        </w:rPr>
        <w:t xml:space="preserve">otorgadas el </w:t>
      </w:r>
      <w:r w:rsidR="00067F9E" w:rsidRPr="003B7960">
        <w:rPr>
          <w:rFonts w:ascii="Cambria" w:hAnsi="Cambria"/>
          <w:sz w:val="20"/>
          <w:szCs w:val="20"/>
          <w:lang w:val="es-ES"/>
        </w:rPr>
        <w:t>14</w:t>
      </w:r>
      <w:r w:rsidRPr="003B7960">
        <w:rPr>
          <w:rFonts w:ascii="Cambria" w:hAnsi="Cambria"/>
          <w:sz w:val="20"/>
          <w:szCs w:val="20"/>
          <w:lang w:val="es-ES"/>
        </w:rPr>
        <w:t xml:space="preserve"> de agosto de</w:t>
      </w:r>
      <w:r w:rsidR="00067F9E" w:rsidRPr="003B7960">
        <w:rPr>
          <w:rFonts w:ascii="Cambria" w:hAnsi="Cambria"/>
          <w:sz w:val="20"/>
          <w:szCs w:val="20"/>
          <w:lang w:val="es-ES"/>
        </w:rPr>
        <w:t xml:space="preserve"> 1998 </w:t>
      </w:r>
      <w:r w:rsidRPr="003B7960">
        <w:rPr>
          <w:rFonts w:ascii="Cambria" w:hAnsi="Cambria"/>
          <w:sz w:val="20"/>
          <w:szCs w:val="20"/>
          <w:lang w:val="es-ES"/>
        </w:rPr>
        <w:t xml:space="preserve">por </w:t>
      </w:r>
      <w:r w:rsidR="00C33F51" w:rsidRPr="003B7960">
        <w:rPr>
          <w:rFonts w:ascii="Cambria" w:hAnsi="Cambria"/>
          <w:sz w:val="20"/>
          <w:szCs w:val="20"/>
          <w:lang w:val="es-ES"/>
        </w:rPr>
        <w:t>la CIDH</w:t>
      </w:r>
      <w:r w:rsidR="00067F9E" w:rsidRPr="003B7960">
        <w:rPr>
          <w:rFonts w:ascii="Cambria" w:hAnsi="Cambria"/>
          <w:sz w:val="20"/>
          <w:szCs w:val="20"/>
          <w:lang w:val="es-ES"/>
        </w:rPr>
        <w:t xml:space="preserve"> </w:t>
      </w:r>
      <w:r w:rsidRPr="003B7960">
        <w:rPr>
          <w:rFonts w:ascii="Cambria" w:hAnsi="Cambria"/>
          <w:sz w:val="20"/>
          <w:szCs w:val="20"/>
          <w:lang w:val="es-ES"/>
        </w:rPr>
        <w:t xml:space="preserve">con el fin de suspender tales </w:t>
      </w:r>
      <w:r w:rsidR="004016DF" w:rsidRPr="003B7960">
        <w:rPr>
          <w:rFonts w:ascii="Cambria" w:hAnsi="Cambria"/>
          <w:sz w:val="20"/>
          <w:szCs w:val="20"/>
          <w:lang w:val="es-ES"/>
        </w:rPr>
        <w:t>deportaciones</w:t>
      </w:r>
      <w:r w:rsidR="00067F9E" w:rsidRPr="003B7960">
        <w:rPr>
          <w:rStyle w:val="FootnoteReference"/>
          <w:rFonts w:ascii="Cambria" w:hAnsi="Cambria"/>
          <w:sz w:val="20"/>
          <w:szCs w:val="20"/>
          <w:lang w:val="es-ES"/>
        </w:rPr>
        <w:footnoteReference w:id="47"/>
      </w:r>
      <w:r w:rsidRPr="003B7960">
        <w:rPr>
          <w:rFonts w:ascii="Cambria" w:hAnsi="Cambria"/>
          <w:sz w:val="20"/>
          <w:szCs w:val="20"/>
          <w:lang w:val="es-ES"/>
        </w:rPr>
        <w:t>.</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observa asimismo que ni l</w:t>
      </w:r>
      <w:r w:rsidR="00170D77" w:rsidRPr="003B7960">
        <w:rPr>
          <w:rFonts w:ascii="Cambria" w:hAnsi="Cambria"/>
          <w:color w:val="000000"/>
          <w:sz w:val="20"/>
          <w:szCs w:val="20"/>
          <w:lang w:val="es-ES"/>
        </w:rPr>
        <w:t xml:space="preserve">a parte peticionaria </w:t>
      </w:r>
      <w:r w:rsidRPr="003B7960">
        <w:rPr>
          <w:rFonts w:ascii="Cambria" w:hAnsi="Cambria"/>
          <w:sz w:val="20"/>
          <w:szCs w:val="20"/>
          <w:lang w:val="es-ES"/>
        </w:rPr>
        <w:t>ni el Estado</w:t>
      </w:r>
      <w:r w:rsidR="00067F9E" w:rsidRPr="003B7960">
        <w:rPr>
          <w:rFonts w:ascii="Cambria" w:hAnsi="Cambria"/>
          <w:sz w:val="20"/>
          <w:szCs w:val="20"/>
          <w:lang w:val="es-ES"/>
        </w:rPr>
        <w:t xml:space="preserve"> </w:t>
      </w:r>
      <w:r w:rsidRPr="003B7960">
        <w:rPr>
          <w:rFonts w:ascii="Cambria" w:hAnsi="Cambria"/>
          <w:sz w:val="20"/>
          <w:szCs w:val="20"/>
          <w:lang w:val="es-ES"/>
        </w:rPr>
        <w:t>proporcionaron un</w:t>
      </w:r>
      <w:r w:rsidR="00067F9E" w:rsidRPr="003B7960">
        <w:rPr>
          <w:rFonts w:ascii="Cambria" w:hAnsi="Cambria"/>
          <w:sz w:val="20"/>
          <w:szCs w:val="20"/>
          <w:lang w:val="es-ES"/>
        </w:rPr>
        <w:t>a list</w:t>
      </w:r>
      <w:r w:rsidRPr="003B7960">
        <w:rPr>
          <w:rFonts w:ascii="Cambria" w:hAnsi="Cambria"/>
          <w:sz w:val="20"/>
          <w:szCs w:val="20"/>
          <w:lang w:val="es-ES"/>
        </w:rPr>
        <w:t xml:space="preserve">a de los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haitianos</w:t>
      </w:r>
      <w:r w:rsidR="00067F9E" w:rsidRPr="003B7960">
        <w:rPr>
          <w:rFonts w:ascii="Cambria" w:hAnsi="Cambria"/>
          <w:sz w:val="20"/>
          <w:szCs w:val="20"/>
          <w:lang w:val="es-ES"/>
        </w:rPr>
        <w:t xml:space="preserve"> </w:t>
      </w:r>
      <w:r w:rsidRPr="003B7960">
        <w:rPr>
          <w:rFonts w:ascii="Cambria" w:hAnsi="Cambria"/>
          <w:sz w:val="20"/>
          <w:szCs w:val="20"/>
          <w:lang w:val="es-ES"/>
        </w:rPr>
        <w:t xml:space="preserve">deportados. Sin embargo, </w:t>
      </w:r>
      <w:r w:rsidR="00170D77" w:rsidRPr="003B7960">
        <w:rPr>
          <w:rFonts w:ascii="Cambria" w:hAnsi="Cambria"/>
          <w:color w:val="000000"/>
          <w:sz w:val="20"/>
          <w:szCs w:val="20"/>
          <w:lang w:val="es-ES"/>
        </w:rPr>
        <w:t xml:space="preserve">la parte peticionaria </w:t>
      </w:r>
      <w:r w:rsidR="00067F9E" w:rsidRPr="003B7960">
        <w:rPr>
          <w:rFonts w:ascii="Cambria" w:hAnsi="Cambria"/>
          <w:sz w:val="20"/>
          <w:szCs w:val="20"/>
          <w:lang w:val="es-ES"/>
        </w:rPr>
        <w:t>pro</w:t>
      </w:r>
      <w:r w:rsidR="00170D77" w:rsidRPr="003B7960">
        <w:rPr>
          <w:rFonts w:ascii="Cambria" w:hAnsi="Cambria"/>
          <w:sz w:val="20"/>
          <w:szCs w:val="20"/>
          <w:lang w:val="es-ES"/>
        </w:rPr>
        <w:t xml:space="preserve">porcionó </w:t>
      </w:r>
      <w:r w:rsidRPr="003B7960">
        <w:rPr>
          <w:rFonts w:ascii="Cambria" w:hAnsi="Cambria"/>
          <w:sz w:val="20"/>
          <w:szCs w:val="20"/>
          <w:lang w:val="es-ES"/>
        </w:rPr>
        <w:t xml:space="preserve">información sobre ocho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haitianos</w:t>
      </w:r>
      <w:r w:rsidR="00067F9E" w:rsidRPr="003B7960">
        <w:rPr>
          <w:rFonts w:ascii="Cambria" w:hAnsi="Cambria"/>
          <w:sz w:val="20"/>
          <w:szCs w:val="20"/>
          <w:lang w:val="es-ES"/>
        </w:rPr>
        <w:t xml:space="preserve"> </w:t>
      </w:r>
      <w:r w:rsidRPr="003B7960">
        <w:rPr>
          <w:rFonts w:ascii="Cambria" w:hAnsi="Cambria"/>
          <w:sz w:val="20"/>
          <w:szCs w:val="20"/>
          <w:lang w:val="es-ES"/>
        </w:rPr>
        <w:t xml:space="preserve">que </w:t>
      </w:r>
      <w:r w:rsidR="000310D2" w:rsidRPr="003B7960">
        <w:rPr>
          <w:rFonts w:ascii="Cambria" w:hAnsi="Cambria"/>
          <w:sz w:val="20"/>
          <w:szCs w:val="20"/>
          <w:lang w:val="es-ES"/>
        </w:rPr>
        <w:t>habían</w:t>
      </w:r>
      <w:r w:rsidRPr="003B7960">
        <w:rPr>
          <w:rFonts w:ascii="Cambria" w:hAnsi="Cambria"/>
          <w:sz w:val="20"/>
          <w:szCs w:val="20"/>
          <w:lang w:val="es-ES"/>
        </w:rPr>
        <w:t xml:space="preserve"> entrevistado</w:t>
      </w:r>
      <w:r w:rsidR="000310D2" w:rsidRPr="003B7960">
        <w:rPr>
          <w:rFonts w:ascii="Cambria" w:hAnsi="Cambria"/>
          <w:sz w:val="20"/>
          <w:szCs w:val="20"/>
          <w:lang w:val="es-ES"/>
        </w:rPr>
        <w:t xml:space="preserve"> a</w:t>
      </w:r>
      <w:r w:rsidRPr="003B7960">
        <w:rPr>
          <w:rFonts w:ascii="Cambria" w:hAnsi="Cambria"/>
          <w:sz w:val="20"/>
          <w:szCs w:val="20"/>
          <w:lang w:val="es-ES"/>
        </w:rPr>
        <w:t>ntes de presenta</w:t>
      </w:r>
      <w:r w:rsidR="000310D2" w:rsidRPr="003B7960">
        <w:rPr>
          <w:rFonts w:ascii="Cambria" w:hAnsi="Cambria"/>
          <w:sz w:val="20"/>
          <w:szCs w:val="20"/>
          <w:lang w:val="es-ES"/>
        </w:rPr>
        <w:t>r</w:t>
      </w:r>
      <w:r w:rsidRPr="003B7960">
        <w:rPr>
          <w:rFonts w:ascii="Cambria" w:hAnsi="Cambria"/>
          <w:sz w:val="20"/>
          <w:szCs w:val="20"/>
          <w:lang w:val="es-ES"/>
        </w:rPr>
        <w:t xml:space="preserve"> la primera petición</w:t>
      </w:r>
      <w:r w:rsidR="000310D2" w:rsidRPr="003B7960">
        <w:rPr>
          <w:rFonts w:ascii="Cambria" w:hAnsi="Cambria"/>
          <w:sz w:val="20"/>
          <w:szCs w:val="20"/>
          <w:lang w:val="es-ES"/>
        </w:rPr>
        <w:t xml:space="preserve">: </w:t>
      </w:r>
      <w:r w:rsidR="00067F9E" w:rsidRPr="003B7960">
        <w:rPr>
          <w:rFonts w:ascii="Cambria" w:hAnsi="Cambria"/>
          <w:sz w:val="20"/>
          <w:szCs w:val="20"/>
          <w:lang w:val="es-ES"/>
        </w:rPr>
        <w:t xml:space="preserve">Jean, Eli; Girard, Jean-Jacques; Joseph, </w:t>
      </w:r>
      <w:proofErr w:type="spellStart"/>
      <w:r w:rsidR="00067F9E" w:rsidRPr="003B7960">
        <w:rPr>
          <w:rFonts w:ascii="Cambria" w:hAnsi="Cambria"/>
          <w:sz w:val="20"/>
          <w:szCs w:val="20"/>
          <w:lang w:val="es-ES"/>
        </w:rPr>
        <w:t>Timothé</w:t>
      </w:r>
      <w:proofErr w:type="spellEnd"/>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Walner</w:t>
      </w:r>
      <w:proofErr w:type="spellEnd"/>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Florestal</w:t>
      </w:r>
      <w:proofErr w:type="spellEnd"/>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Serandieu</w:t>
      </w:r>
      <w:proofErr w:type="spellEnd"/>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Massillon</w:t>
      </w:r>
      <w:proofErr w:type="spellEnd"/>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Abadu</w:t>
      </w:r>
      <w:proofErr w:type="spellEnd"/>
      <w:r w:rsidR="00067F9E" w:rsidRPr="003B7960">
        <w:rPr>
          <w:rFonts w:ascii="Cambria" w:hAnsi="Cambria"/>
          <w:sz w:val="20"/>
          <w:szCs w:val="20"/>
          <w:lang w:val="es-ES"/>
        </w:rPr>
        <w:t xml:space="preserve">, George, </w:t>
      </w:r>
      <w:proofErr w:type="spellStart"/>
      <w:r w:rsidR="00067F9E" w:rsidRPr="003B7960">
        <w:rPr>
          <w:rFonts w:ascii="Cambria" w:hAnsi="Cambria"/>
          <w:sz w:val="20"/>
          <w:szCs w:val="20"/>
          <w:lang w:val="es-ES"/>
        </w:rPr>
        <w:t>Natusha</w:t>
      </w:r>
      <w:proofErr w:type="spellEnd"/>
      <w:r w:rsidR="00067F9E" w:rsidRPr="003B7960">
        <w:rPr>
          <w:rFonts w:ascii="Cambria" w:hAnsi="Cambria"/>
          <w:sz w:val="20"/>
          <w:szCs w:val="20"/>
          <w:lang w:val="es-ES"/>
        </w:rPr>
        <w:t xml:space="preserve">, Joseph; </w:t>
      </w:r>
      <w:r w:rsidRPr="003B7960">
        <w:rPr>
          <w:rFonts w:ascii="Cambria" w:hAnsi="Cambria"/>
          <w:sz w:val="20"/>
          <w:szCs w:val="20"/>
          <w:lang w:val="es-ES"/>
        </w:rPr>
        <w:t>y</w:t>
      </w:r>
      <w:r w:rsidR="00067F9E" w:rsidRPr="003B7960">
        <w:rPr>
          <w:rFonts w:ascii="Cambria" w:hAnsi="Cambria"/>
          <w:sz w:val="20"/>
          <w:szCs w:val="20"/>
          <w:lang w:val="es-ES"/>
        </w:rPr>
        <w:t xml:space="preserve"> San </w:t>
      </w:r>
      <w:proofErr w:type="spellStart"/>
      <w:r w:rsidR="00067F9E" w:rsidRPr="003B7960">
        <w:rPr>
          <w:rFonts w:ascii="Cambria" w:hAnsi="Cambria"/>
          <w:sz w:val="20"/>
          <w:szCs w:val="20"/>
          <w:lang w:val="es-ES"/>
        </w:rPr>
        <w:t>Voir</w:t>
      </w:r>
      <w:proofErr w:type="spellEnd"/>
      <w:r w:rsidR="00067F9E" w:rsidRPr="003B7960">
        <w:rPr>
          <w:rFonts w:ascii="Cambria" w:hAnsi="Cambria"/>
          <w:sz w:val="20"/>
          <w:szCs w:val="20"/>
          <w:lang w:val="es-ES"/>
        </w:rPr>
        <w:t>, Jean-</w:t>
      </w:r>
      <w:proofErr w:type="spellStart"/>
      <w:r w:rsidR="00067F9E" w:rsidRPr="003B7960">
        <w:rPr>
          <w:rFonts w:ascii="Cambria" w:hAnsi="Cambria"/>
          <w:sz w:val="20"/>
          <w:szCs w:val="20"/>
          <w:lang w:val="es-ES"/>
        </w:rPr>
        <w:t>Baptiste</w:t>
      </w:r>
      <w:proofErr w:type="spellEnd"/>
      <w:r w:rsidR="00067F9E" w:rsidRPr="003B7960">
        <w:rPr>
          <w:rFonts w:ascii="Cambria" w:hAnsi="Cambria"/>
          <w:sz w:val="20"/>
          <w:szCs w:val="20"/>
          <w:lang w:val="es-ES"/>
        </w:rPr>
        <w:t xml:space="preserve">. </w:t>
      </w:r>
    </w:p>
    <w:p w14:paraId="7F2112AB" w14:textId="77777777" w:rsidR="00067F9E" w:rsidRPr="003B7960" w:rsidRDefault="004C070C" w:rsidP="00101DC6">
      <w:pPr>
        <w:pStyle w:val="Heading3"/>
        <w:numPr>
          <w:ilvl w:val="0"/>
          <w:numId w:val="61"/>
        </w:numPr>
        <w:pBdr>
          <w:top w:val="nil"/>
          <w:left w:val="nil"/>
          <w:bottom w:val="nil"/>
          <w:right w:val="nil"/>
          <w:between w:val="nil"/>
          <w:bar w:val="nil"/>
        </w:pBdr>
        <w:tabs>
          <w:tab w:val="clear" w:pos="540"/>
          <w:tab w:val="left" w:pos="426"/>
        </w:tabs>
        <w:ind w:left="0" w:firstLine="0"/>
        <w:rPr>
          <w:lang w:val="es-ES"/>
        </w:rPr>
      </w:pPr>
      <w:bookmarkStart w:id="10" w:name="_Toc90557298"/>
      <w:r w:rsidRPr="003B7960">
        <w:rPr>
          <w:lang w:val="es-ES"/>
        </w:rPr>
        <w:t xml:space="preserve">Información específica sobre </w:t>
      </w:r>
      <w:r w:rsidR="00067F9E" w:rsidRPr="003B7960">
        <w:rPr>
          <w:lang w:val="es-ES"/>
        </w:rPr>
        <w:t xml:space="preserve">Nieves Escuela </w:t>
      </w:r>
      <w:r w:rsidRPr="003B7960">
        <w:rPr>
          <w:lang w:val="es-ES"/>
        </w:rPr>
        <w:t>y sus familiares</w:t>
      </w:r>
      <w:bookmarkEnd w:id="10"/>
    </w:p>
    <w:p w14:paraId="32D622AF" w14:textId="77777777" w:rsidR="00067F9E" w:rsidRPr="003B7960" w:rsidRDefault="00067F9E" w:rsidP="00101DC6">
      <w:pPr>
        <w:pStyle w:val="ListParagraph"/>
        <w:tabs>
          <w:tab w:val="left" w:pos="426"/>
        </w:tabs>
        <w:ind w:left="0"/>
        <w:jc w:val="both"/>
        <w:rPr>
          <w:rFonts w:ascii="Cambria" w:hAnsi="Cambria"/>
          <w:sz w:val="20"/>
          <w:szCs w:val="20"/>
          <w:lang w:val="es-ES"/>
        </w:rPr>
      </w:pPr>
    </w:p>
    <w:p w14:paraId="5BFD5117" w14:textId="77777777" w:rsidR="00067F9E" w:rsidRPr="003B7960" w:rsidRDefault="004C070C"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 xml:space="preserve">La señora </w:t>
      </w:r>
      <w:r w:rsidR="00067F9E" w:rsidRPr="003B7960">
        <w:rPr>
          <w:rFonts w:ascii="Cambria" w:hAnsi="Cambria"/>
          <w:sz w:val="20"/>
          <w:szCs w:val="20"/>
          <w:lang w:val="es-ES"/>
        </w:rPr>
        <w:t xml:space="preserve">Nieves Marlene Escuela </w:t>
      </w:r>
      <w:r w:rsidRPr="003B7960">
        <w:rPr>
          <w:rFonts w:ascii="Cambria" w:hAnsi="Cambria"/>
          <w:sz w:val="20"/>
          <w:szCs w:val="20"/>
          <w:lang w:val="es-ES"/>
        </w:rPr>
        <w:t>González</w:t>
      </w:r>
      <w:r w:rsidR="00067F9E" w:rsidRPr="003B7960">
        <w:rPr>
          <w:rFonts w:ascii="Cambria" w:hAnsi="Cambria"/>
          <w:sz w:val="20"/>
          <w:szCs w:val="20"/>
          <w:lang w:val="es-ES"/>
        </w:rPr>
        <w:t xml:space="preserve"> </w:t>
      </w:r>
      <w:r w:rsidRPr="003B7960">
        <w:rPr>
          <w:rFonts w:ascii="Cambria" w:hAnsi="Cambria"/>
          <w:sz w:val="20"/>
          <w:szCs w:val="20"/>
          <w:lang w:val="es-ES"/>
        </w:rPr>
        <w:t>y sus hijos</w:t>
      </w:r>
      <w:r w:rsidR="00067F9E" w:rsidRPr="003B7960">
        <w:rPr>
          <w:rFonts w:ascii="Cambria" w:hAnsi="Cambria"/>
          <w:sz w:val="20"/>
          <w:szCs w:val="20"/>
          <w:lang w:val="es-ES"/>
        </w:rPr>
        <w:t xml:space="preserve">, Jorge Rochela Escuela </w:t>
      </w:r>
      <w:r w:rsidRPr="003B7960">
        <w:rPr>
          <w:rFonts w:ascii="Cambria" w:hAnsi="Cambria"/>
          <w:sz w:val="20"/>
          <w:szCs w:val="20"/>
          <w:lang w:val="es-ES"/>
        </w:rPr>
        <w:t>y</w:t>
      </w:r>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Mildrey</w:t>
      </w:r>
      <w:proofErr w:type="spellEnd"/>
      <w:r w:rsidR="00067F9E" w:rsidRPr="003B7960">
        <w:rPr>
          <w:rFonts w:ascii="Cambria" w:hAnsi="Cambria"/>
          <w:sz w:val="20"/>
          <w:szCs w:val="20"/>
          <w:lang w:val="es-ES"/>
        </w:rPr>
        <w:t xml:space="preserve"> Martin Escuela, </w:t>
      </w:r>
      <w:r w:rsidRPr="003B7960">
        <w:rPr>
          <w:rFonts w:ascii="Cambria" w:hAnsi="Cambria"/>
          <w:sz w:val="20"/>
          <w:szCs w:val="20"/>
          <w:lang w:val="es-ES"/>
        </w:rPr>
        <w:t>se encontraban entre los</w:t>
      </w:r>
      <w:r w:rsidR="00067F9E" w:rsidRPr="003B7960">
        <w:rPr>
          <w:rFonts w:ascii="Cambria" w:hAnsi="Cambria"/>
          <w:sz w:val="20"/>
          <w:szCs w:val="20"/>
          <w:lang w:val="es-ES"/>
        </w:rPr>
        <w:t xml:space="preserve"> 67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cubanos</w:t>
      </w:r>
      <w:r w:rsidR="00067F9E" w:rsidRPr="003B7960">
        <w:rPr>
          <w:rFonts w:ascii="Cambria" w:hAnsi="Cambria"/>
          <w:sz w:val="20"/>
          <w:szCs w:val="20"/>
          <w:lang w:val="es-ES"/>
        </w:rPr>
        <w:t xml:space="preserve"> </w:t>
      </w:r>
      <w:r w:rsidRPr="003B7960">
        <w:rPr>
          <w:rFonts w:ascii="Cambria" w:hAnsi="Cambria"/>
          <w:sz w:val="20"/>
          <w:szCs w:val="20"/>
          <w:lang w:val="es-ES"/>
        </w:rPr>
        <w:t xml:space="preserve">que fueron </w:t>
      </w:r>
      <w:r w:rsidR="00067F9E" w:rsidRPr="003B7960">
        <w:rPr>
          <w:rFonts w:ascii="Cambria" w:hAnsi="Cambria"/>
          <w:sz w:val="20"/>
          <w:szCs w:val="20"/>
          <w:lang w:val="es-ES"/>
        </w:rPr>
        <w:t>repatria</w:t>
      </w:r>
      <w:r w:rsidRPr="003B7960">
        <w:rPr>
          <w:rFonts w:ascii="Cambria" w:hAnsi="Cambria"/>
          <w:sz w:val="20"/>
          <w:szCs w:val="20"/>
          <w:lang w:val="es-ES"/>
        </w:rPr>
        <w:t>dos el 20 de octubre de 1998</w:t>
      </w:r>
      <w:r w:rsidR="00067F9E" w:rsidRPr="003B7960">
        <w:rPr>
          <w:rStyle w:val="FootnoteReference"/>
          <w:rFonts w:ascii="Cambria" w:hAnsi="Cambria"/>
          <w:sz w:val="20"/>
          <w:szCs w:val="20"/>
          <w:lang w:val="es-ES"/>
        </w:rPr>
        <w:footnoteReference w:id="48"/>
      </w:r>
      <w:r w:rsidRPr="003B7960">
        <w:rPr>
          <w:rFonts w:ascii="Cambria" w:hAnsi="Cambria"/>
          <w:sz w:val="20"/>
          <w:szCs w:val="20"/>
          <w:lang w:val="es-ES"/>
        </w:rPr>
        <w:t>. La señora</w:t>
      </w:r>
      <w:r w:rsidR="00067F9E" w:rsidRPr="003B7960">
        <w:rPr>
          <w:rFonts w:ascii="Cambria" w:hAnsi="Cambria"/>
          <w:sz w:val="20"/>
          <w:szCs w:val="20"/>
          <w:lang w:val="es-ES"/>
        </w:rPr>
        <w:t xml:space="preserve"> Escuela </w:t>
      </w:r>
      <w:r w:rsidRPr="003B7960">
        <w:rPr>
          <w:rFonts w:ascii="Cambria" w:hAnsi="Cambria"/>
          <w:sz w:val="20"/>
          <w:szCs w:val="20"/>
          <w:lang w:val="es-ES"/>
        </w:rPr>
        <w:t>González</w:t>
      </w:r>
      <w:r w:rsidR="00067F9E" w:rsidRPr="003B7960">
        <w:rPr>
          <w:rFonts w:ascii="Cambria" w:hAnsi="Cambria"/>
          <w:sz w:val="20"/>
          <w:szCs w:val="20"/>
          <w:lang w:val="es-ES"/>
        </w:rPr>
        <w:t xml:space="preserve"> </w:t>
      </w:r>
      <w:r w:rsidRPr="003B7960">
        <w:rPr>
          <w:rFonts w:ascii="Cambria" w:hAnsi="Cambria"/>
          <w:sz w:val="20"/>
          <w:szCs w:val="20"/>
          <w:lang w:val="es-ES"/>
        </w:rPr>
        <w:t xml:space="preserve">y sus hijos salieron de </w:t>
      </w:r>
      <w:r w:rsidR="00067F9E" w:rsidRPr="003B7960">
        <w:rPr>
          <w:rFonts w:ascii="Cambria" w:hAnsi="Cambria"/>
          <w:sz w:val="20"/>
          <w:szCs w:val="20"/>
          <w:lang w:val="es-ES"/>
        </w:rPr>
        <w:t xml:space="preserve">Cuba </w:t>
      </w:r>
      <w:r w:rsidRPr="003B7960">
        <w:rPr>
          <w:rFonts w:ascii="Cambria" w:hAnsi="Cambria"/>
          <w:sz w:val="20"/>
          <w:szCs w:val="20"/>
          <w:lang w:val="es-ES"/>
        </w:rPr>
        <w:t xml:space="preserve">con rumbo a Estados Unidos en una balsa porque ella temía que la condenaran a tres años de cárcel después de haber sido acusada de organizar una fiesta el 4 de julio y de tener en su casa más de cuatro personas que no eran familiares directos </w:t>
      </w:r>
      <w:r w:rsidR="002A7ACC" w:rsidRPr="003B7960">
        <w:rPr>
          <w:rFonts w:ascii="Cambria" w:hAnsi="Cambria"/>
          <w:sz w:val="20"/>
          <w:szCs w:val="20"/>
          <w:lang w:val="es-ES"/>
        </w:rPr>
        <w:t>sin un permiso</w:t>
      </w:r>
      <w:r w:rsidR="00067F9E" w:rsidRPr="003B7960">
        <w:rPr>
          <w:rStyle w:val="FootnoteReference"/>
          <w:rFonts w:ascii="Cambria" w:hAnsi="Cambria"/>
          <w:sz w:val="20"/>
          <w:szCs w:val="20"/>
          <w:lang w:val="es-ES"/>
        </w:rPr>
        <w:footnoteReference w:id="49"/>
      </w:r>
      <w:r w:rsidR="002A7ACC" w:rsidRPr="003B7960">
        <w:rPr>
          <w:rFonts w:ascii="Cambria" w:hAnsi="Cambria"/>
          <w:sz w:val="20"/>
          <w:szCs w:val="20"/>
          <w:lang w:val="es-ES"/>
        </w:rPr>
        <w:t>.</w:t>
      </w:r>
      <w:r w:rsidR="00067F9E" w:rsidRPr="003B7960">
        <w:rPr>
          <w:rFonts w:ascii="Cambria" w:hAnsi="Cambria"/>
          <w:sz w:val="20"/>
          <w:szCs w:val="20"/>
          <w:lang w:val="es-ES"/>
        </w:rPr>
        <w:t xml:space="preserve"> </w:t>
      </w:r>
      <w:r w:rsidR="002A7ACC" w:rsidRPr="003B7960">
        <w:rPr>
          <w:rFonts w:ascii="Cambria" w:hAnsi="Cambria"/>
          <w:sz w:val="20"/>
          <w:szCs w:val="20"/>
          <w:lang w:val="es-ES"/>
        </w:rPr>
        <w:t xml:space="preserve">Después de ser recogidos por una lancha de turismo y llevados ante la Guardia Costera de Estados Unidos, fueron enviados al </w:t>
      </w:r>
      <w:r w:rsidR="00654B4A" w:rsidRPr="003B7960">
        <w:rPr>
          <w:rFonts w:ascii="Cambria" w:hAnsi="Cambria"/>
          <w:sz w:val="20"/>
          <w:szCs w:val="20"/>
          <w:lang w:val="es-ES"/>
        </w:rPr>
        <w:t xml:space="preserve">Centro de Detención </w:t>
      </w:r>
      <w:r w:rsidR="002A7ACC" w:rsidRPr="003B7960">
        <w:rPr>
          <w:rFonts w:ascii="Cambria" w:hAnsi="Cambria"/>
          <w:sz w:val="20"/>
          <w:szCs w:val="20"/>
          <w:lang w:val="es-ES"/>
        </w:rPr>
        <w:t xml:space="preserve">de </w:t>
      </w:r>
      <w:proofErr w:type="spellStart"/>
      <w:r w:rsidR="00654B4A" w:rsidRPr="003B7960">
        <w:rPr>
          <w:rFonts w:ascii="Cambria" w:hAnsi="Cambria"/>
          <w:sz w:val="20"/>
          <w:szCs w:val="20"/>
          <w:lang w:val="es-ES"/>
        </w:rPr>
        <w:t>Carmichael</w:t>
      </w:r>
      <w:proofErr w:type="spellEnd"/>
      <w:r w:rsidR="00654B4A" w:rsidRPr="003B7960">
        <w:rPr>
          <w:rFonts w:ascii="Cambria" w:hAnsi="Cambria"/>
          <w:sz w:val="20"/>
          <w:szCs w:val="20"/>
          <w:lang w:val="es-ES"/>
        </w:rPr>
        <w:t xml:space="preserve"> Road</w:t>
      </w:r>
      <w:r w:rsidR="00067F9E" w:rsidRPr="003B7960">
        <w:rPr>
          <w:rStyle w:val="FootnoteReference"/>
          <w:rFonts w:ascii="Cambria" w:hAnsi="Cambria"/>
          <w:sz w:val="20"/>
          <w:szCs w:val="20"/>
          <w:lang w:val="es-ES"/>
        </w:rPr>
        <w:footnoteReference w:id="50"/>
      </w:r>
      <w:r w:rsidR="002A7ACC" w:rsidRPr="003B7960">
        <w:rPr>
          <w:rFonts w:ascii="Cambria" w:hAnsi="Cambria"/>
          <w:sz w:val="20"/>
          <w:szCs w:val="20"/>
          <w:lang w:val="es-ES"/>
        </w:rPr>
        <w:t xml:space="preserve">. Allí, </w:t>
      </w:r>
      <w:r w:rsidR="00067F9E" w:rsidRPr="003B7960">
        <w:rPr>
          <w:rFonts w:ascii="Cambria" w:hAnsi="Cambria"/>
          <w:sz w:val="20"/>
          <w:szCs w:val="20"/>
          <w:lang w:val="es-ES"/>
        </w:rPr>
        <w:t xml:space="preserve">Michelle Stewart, </w:t>
      </w:r>
      <w:r w:rsidR="002A7ACC" w:rsidRPr="003B7960">
        <w:rPr>
          <w:rFonts w:ascii="Cambria" w:hAnsi="Cambria"/>
          <w:sz w:val="20"/>
          <w:szCs w:val="20"/>
          <w:lang w:val="es-ES"/>
        </w:rPr>
        <w:t xml:space="preserve">una funcionaria de </w:t>
      </w:r>
      <w:r w:rsidR="0007098C" w:rsidRPr="003B7960">
        <w:rPr>
          <w:rFonts w:ascii="Cambria" w:hAnsi="Cambria"/>
          <w:sz w:val="20"/>
          <w:szCs w:val="20"/>
          <w:lang w:val="es-ES"/>
        </w:rPr>
        <w:t>inmigración</w:t>
      </w:r>
      <w:r w:rsidR="002A7ACC" w:rsidRPr="003B7960">
        <w:rPr>
          <w:rFonts w:ascii="Cambria" w:hAnsi="Cambria"/>
          <w:sz w:val="20"/>
          <w:szCs w:val="20"/>
          <w:lang w:val="es-ES"/>
        </w:rPr>
        <w:t>, le dio un cuestionario escrito a la señora Escuela González</w:t>
      </w:r>
      <w:r w:rsidR="00C55BB4" w:rsidRPr="003B7960">
        <w:rPr>
          <w:rFonts w:ascii="Cambria" w:hAnsi="Cambria"/>
          <w:sz w:val="20"/>
          <w:szCs w:val="20"/>
          <w:lang w:val="es-ES"/>
        </w:rPr>
        <w:t xml:space="preserve">, según la cual la funcionaria </w:t>
      </w:r>
      <w:r w:rsidR="002A7ACC" w:rsidRPr="003B7960">
        <w:rPr>
          <w:rFonts w:ascii="Cambria" w:hAnsi="Cambria"/>
          <w:sz w:val="20"/>
          <w:szCs w:val="20"/>
          <w:lang w:val="es-ES"/>
        </w:rPr>
        <w:t xml:space="preserve">se negó a aceptar o a mirar sus </w:t>
      </w:r>
      <w:r w:rsidR="002A7ACC" w:rsidRPr="003B7960">
        <w:rPr>
          <w:rFonts w:ascii="Cambria" w:hAnsi="Cambria"/>
          <w:sz w:val="20"/>
          <w:szCs w:val="20"/>
          <w:lang w:val="es-ES"/>
        </w:rPr>
        <w:lastRenderedPageBreak/>
        <w:t xml:space="preserve">documentos y a responder preguntas sobre el procedimiento y no regresó al Centro a pesar </w:t>
      </w:r>
      <w:r w:rsidR="00735F53" w:rsidRPr="003B7960">
        <w:rPr>
          <w:rFonts w:ascii="Cambria" w:hAnsi="Cambria"/>
          <w:sz w:val="20"/>
          <w:szCs w:val="20"/>
          <w:lang w:val="es-ES"/>
        </w:rPr>
        <w:t xml:space="preserve">de </w:t>
      </w:r>
      <w:r w:rsidR="00AC3C0A" w:rsidRPr="003B7960">
        <w:rPr>
          <w:rFonts w:ascii="Cambria" w:hAnsi="Cambria"/>
          <w:sz w:val="20"/>
          <w:szCs w:val="20"/>
          <w:lang w:val="es-ES"/>
        </w:rPr>
        <w:t xml:space="preserve">haberle </w:t>
      </w:r>
      <w:r w:rsidR="002A7ACC" w:rsidRPr="003B7960">
        <w:rPr>
          <w:rFonts w:ascii="Cambria" w:hAnsi="Cambria"/>
          <w:sz w:val="20"/>
          <w:szCs w:val="20"/>
          <w:lang w:val="es-ES"/>
        </w:rPr>
        <w:t>prometido que lo haría</w:t>
      </w:r>
      <w:r w:rsidR="00067F9E" w:rsidRPr="003B7960">
        <w:rPr>
          <w:rStyle w:val="FootnoteReference"/>
          <w:rFonts w:ascii="Cambria" w:hAnsi="Cambria"/>
          <w:sz w:val="20"/>
          <w:szCs w:val="20"/>
          <w:lang w:val="es-ES"/>
        </w:rPr>
        <w:footnoteReference w:id="51"/>
      </w:r>
      <w:r w:rsidR="002A7ACC" w:rsidRPr="003B7960">
        <w:rPr>
          <w:rFonts w:ascii="Cambria" w:hAnsi="Cambria"/>
          <w:sz w:val="20"/>
          <w:szCs w:val="20"/>
          <w:lang w:val="es-ES"/>
        </w:rPr>
        <w:t>.</w:t>
      </w:r>
      <w:r w:rsidR="00067F9E" w:rsidRPr="003B7960">
        <w:rPr>
          <w:rFonts w:ascii="Cambria" w:hAnsi="Cambria"/>
          <w:sz w:val="20"/>
          <w:szCs w:val="20"/>
          <w:lang w:val="es-ES"/>
        </w:rPr>
        <w:t xml:space="preserve"> </w:t>
      </w:r>
    </w:p>
    <w:p w14:paraId="201CBE11"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674AC206" w14:textId="36EF3F52" w:rsidR="00067F9E" w:rsidRPr="003B7960" w:rsidRDefault="00A83F59"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 xml:space="preserve">Entretanto, el esposo de la señora </w:t>
      </w:r>
      <w:r w:rsidR="00067F9E" w:rsidRPr="003B7960">
        <w:rPr>
          <w:rFonts w:ascii="Cambria" w:hAnsi="Cambria"/>
          <w:sz w:val="20"/>
          <w:szCs w:val="20"/>
          <w:lang w:val="es-ES"/>
        </w:rPr>
        <w:t>Escuela</w:t>
      </w:r>
      <w:r w:rsidRPr="003B7960">
        <w:rPr>
          <w:rFonts w:ascii="Cambria" w:hAnsi="Cambria"/>
          <w:sz w:val="20"/>
          <w:szCs w:val="20"/>
          <w:lang w:val="es-ES"/>
        </w:rPr>
        <w:t>,</w:t>
      </w:r>
      <w:r w:rsidR="00067F9E" w:rsidRPr="003B7960">
        <w:rPr>
          <w:rFonts w:ascii="Cambria" w:hAnsi="Cambria"/>
          <w:sz w:val="20"/>
          <w:szCs w:val="20"/>
          <w:lang w:val="es-ES"/>
        </w:rPr>
        <w:t xml:space="preserve"> Jorge Juan Rochela, </w:t>
      </w:r>
      <w:r w:rsidR="00061F1B" w:rsidRPr="003B7960">
        <w:rPr>
          <w:rFonts w:ascii="Cambria" w:hAnsi="Cambria"/>
          <w:sz w:val="20"/>
          <w:szCs w:val="20"/>
          <w:lang w:val="es-ES"/>
        </w:rPr>
        <w:t xml:space="preserve">consiguió asilo en Estados Unidos el </w:t>
      </w:r>
      <w:r w:rsidR="00067F9E" w:rsidRPr="003B7960">
        <w:rPr>
          <w:rFonts w:ascii="Cambria" w:hAnsi="Cambria"/>
          <w:sz w:val="20"/>
          <w:szCs w:val="20"/>
          <w:lang w:val="es-ES"/>
        </w:rPr>
        <w:t>14</w:t>
      </w:r>
      <w:r w:rsidR="00061F1B" w:rsidRPr="003B7960">
        <w:rPr>
          <w:rFonts w:ascii="Cambria" w:hAnsi="Cambria"/>
          <w:sz w:val="20"/>
          <w:szCs w:val="20"/>
          <w:lang w:val="es-ES"/>
        </w:rPr>
        <w:t xml:space="preserve"> de julio de</w:t>
      </w:r>
      <w:r w:rsidR="00067F9E" w:rsidRPr="003B7960">
        <w:rPr>
          <w:rFonts w:ascii="Cambria" w:hAnsi="Cambria"/>
          <w:sz w:val="20"/>
          <w:szCs w:val="20"/>
          <w:lang w:val="es-ES"/>
        </w:rPr>
        <w:t xml:space="preserve"> 1998, </w:t>
      </w:r>
      <w:r w:rsidR="00061F1B" w:rsidRPr="003B7960">
        <w:rPr>
          <w:rFonts w:ascii="Cambria" w:hAnsi="Cambria"/>
          <w:sz w:val="20"/>
          <w:szCs w:val="20"/>
          <w:lang w:val="es-ES"/>
        </w:rPr>
        <w:t xml:space="preserve">lo cual le dio la opción de </w:t>
      </w:r>
      <w:r w:rsidR="00781310" w:rsidRPr="003B7960">
        <w:rPr>
          <w:rFonts w:ascii="Cambria" w:hAnsi="Cambria"/>
          <w:sz w:val="20"/>
          <w:szCs w:val="20"/>
          <w:lang w:val="es-ES"/>
        </w:rPr>
        <w:t xml:space="preserve">pedir </w:t>
      </w:r>
      <w:r w:rsidR="00061F1B" w:rsidRPr="003B7960">
        <w:rPr>
          <w:rFonts w:ascii="Cambria" w:hAnsi="Cambria"/>
          <w:sz w:val="20"/>
          <w:szCs w:val="20"/>
          <w:lang w:val="es-ES"/>
        </w:rPr>
        <w:t>asilo derivado para el cónyuge y los hijos</w:t>
      </w:r>
      <w:r w:rsidR="00067F9E" w:rsidRPr="003B7960">
        <w:rPr>
          <w:rStyle w:val="FootnoteReference"/>
          <w:rFonts w:ascii="Cambria" w:hAnsi="Cambria"/>
          <w:sz w:val="20"/>
          <w:szCs w:val="20"/>
          <w:lang w:val="es-ES"/>
        </w:rPr>
        <w:footnoteReference w:id="52"/>
      </w:r>
      <w:r w:rsidR="00061F1B" w:rsidRPr="003B7960">
        <w:rPr>
          <w:rFonts w:ascii="Cambria" w:hAnsi="Cambria"/>
          <w:sz w:val="20"/>
          <w:szCs w:val="20"/>
          <w:lang w:val="es-ES"/>
        </w:rPr>
        <w:t xml:space="preserve">, solicitud que presentó el </w:t>
      </w:r>
      <w:r w:rsidR="00067F9E" w:rsidRPr="003B7960">
        <w:rPr>
          <w:rFonts w:ascii="Cambria" w:hAnsi="Cambria"/>
          <w:sz w:val="20"/>
          <w:szCs w:val="20"/>
          <w:lang w:val="es-ES"/>
        </w:rPr>
        <w:t>28</w:t>
      </w:r>
      <w:r w:rsidR="00061F1B" w:rsidRPr="003B7960">
        <w:rPr>
          <w:rFonts w:ascii="Cambria" w:hAnsi="Cambria"/>
          <w:sz w:val="20"/>
          <w:szCs w:val="20"/>
          <w:lang w:val="es-ES"/>
        </w:rPr>
        <w:t xml:space="preserve"> de agosto de</w:t>
      </w:r>
      <w:r w:rsidR="00067F9E" w:rsidRPr="003B7960">
        <w:rPr>
          <w:rFonts w:ascii="Cambria" w:hAnsi="Cambria"/>
          <w:sz w:val="20"/>
          <w:szCs w:val="20"/>
          <w:lang w:val="es-ES"/>
        </w:rPr>
        <w:t xml:space="preserve"> 1998</w:t>
      </w:r>
      <w:r w:rsidR="00067F9E" w:rsidRPr="003B7960">
        <w:rPr>
          <w:rStyle w:val="FootnoteReference"/>
          <w:rFonts w:ascii="Cambria" w:hAnsi="Cambria"/>
          <w:sz w:val="20"/>
          <w:szCs w:val="20"/>
          <w:lang w:val="es-ES"/>
        </w:rPr>
        <w:footnoteReference w:id="53"/>
      </w:r>
      <w:r w:rsidR="00061F1B" w:rsidRPr="003B7960">
        <w:rPr>
          <w:rFonts w:ascii="Cambria" w:hAnsi="Cambria"/>
          <w:sz w:val="20"/>
          <w:szCs w:val="20"/>
          <w:lang w:val="es-ES"/>
        </w:rPr>
        <w:t>. Los abogados del señor Rochela no lograron comunicarse con el D</w:t>
      </w:r>
      <w:r w:rsidR="00067F9E" w:rsidRPr="003B7960">
        <w:rPr>
          <w:rFonts w:ascii="Cambria" w:hAnsi="Cambria"/>
          <w:sz w:val="20"/>
          <w:szCs w:val="20"/>
          <w:lang w:val="es-ES"/>
        </w:rPr>
        <w:t>epart</w:t>
      </w:r>
      <w:r w:rsidR="00061F1B" w:rsidRPr="003B7960">
        <w:rPr>
          <w:rFonts w:ascii="Cambria" w:hAnsi="Cambria"/>
          <w:sz w:val="20"/>
          <w:szCs w:val="20"/>
          <w:lang w:val="es-ES"/>
        </w:rPr>
        <w:t>a</w:t>
      </w:r>
      <w:r w:rsidR="00067F9E" w:rsidRPr="003B7960">
        <w:rPr>
          <w:rFonts w:ascii="Cambria" w:hAnsi="Cambria"/>
          <w:sz w:val="20"/>
          <w:szCs w:val="20"/>
          <w:lang w:val="es-ES"/>
        </w:rPr>
        <w:t>ment</w:t>
      </w:r>
      <w:r w:rsidR="00061F1B" w:rsidRPr="003B7960">
        <w:rPr>
          <w:rFonts w:ascii="Cambria" w:hAnsi="Cambria"/>
          <w:sz w:val="20"/>
          <w:szCs w:val="20"/>
          <w:lang w:val="es-ES"/>
        </w:rPr>
        <w:t>o de Inmigraci</w:t>
      </w:r>
      <w:r w:rsidR="00D94477" w:rsidRPr="003B7960">
        <w:rPr>
          <w:rFonts w:ascii="Cambria" w:hAnsi="Cambria"/>
          <w:sz w:val="20"/>
          <w:szCs w:val="20"/>
          <w:lang w:val="es-ES"/>
        </w:rPr>
        <w:t>ón</w:t>
      </w:r>
      <w:r w:rsidR="00061F1B" w:rsidRPr="003B7960">
        <w:rPr>
          <w:rFonts w:ascii="Cambria" w:hAnsi="Cambria"/>
          <w:sz w:val="20"/>
          <w:szCs w:val="20"/>
          <w:lang w:val="es-ES"/>
        </w:rPr>
        <w:t xml:space="preserve"> de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061F1B" w:rsidRPr="003B7960">
        <w:rPr>
          <w:rFonts w:ascii="Cambria" w:hAnsi="Cambria"/>
          <w:sz w:val="20"/>
          <w:szCs w:val="20"/>
          <w:lang w:val="es-ES"/>
        </w:rPr>
        <w:t>ni con el Centro</w:t>
      </w:r>
      <w:r w:rsidR="00067F9E" w:rsidRPr="003B7960">
        <w:rPr>
          <w:rStyle w:val="FootnoteReference"/>
          <w:rFonts w:ascii="Cambria" w:hAnsi="Cambria"/>
          <w:sz w:val="20"/>
          <w:szCs w:val="20"/>
          <w:lang w:val="es-ES"/>
        </w:rPr>
        <w:footnoteReference w:id="54"/>
      </w:r>
      <w:r w:rsidR="00061F1B" w:rsidRPr="003B7960">
        <w:rPr>
          <w:rFonts w:ascii="Cambria" w:hAnsi="Cambria"/>
          <w:sz w:val="20"/>
          <w:szCs w:val="20"/>
          <w:lang w:val="es-ES"/>
        </w:rPr>
        <w:t xml:space="preserve">, </w:t>
      </w:r>
      <w:r w:rsidR="002E42D6" w:rsidRPr="003B7960">
        <w:rPr>
          <w:rFonts w:ascii="Cambria" w:hAnsi="Cambria"/>
          <w:sz w:val="20"/>
          <w:szCs w:val="20"/>
          <w:lang w:val="es-ES"/>
        </w:rPr>
        <w:t xml:space="preserve">de modo que </w:t>
      </w:r>
      <w:r w:rsidR="00F46F20" w:rsidRPr="003B7960">
        <w:rPr>
          <w:rFonts w:ascii="Cambria" w:hAnsi="Cambria"/>
          <w:sz w:val="20"/>
          <w:szCs w:val="20"/>
          <w:lang w:val="es-ES"/>
        </w:rPr>
        <w:t>le enviaron una carta al Secretario Permanente Adjunto del Ministerio de Trabajo e Inmigraci</w:t>
      </w:r>
      <w:r w:rsidR="00463C5A" w:rsidRPr="003B7960">
        <w:rPr>
          <w:rFonts w:ascii="Cambria" w:hAnsi="Cambria"/>
          <w:sz w:val="20"/>
          <w:szCs w:val="20"/>
          <w:lang w:val="es-ES"/>
        </w:rPr>
        <w:t>ón</w:t>
      </w:r>
      <w:r w:rsidR="00F46F20" w:rsidRPr="003B7960">
        <w:rPr>
          <w:rFonts w:ascii="Cambria" w:hAnsi="Cambria"/>
          <w:sz w:val="20"/>
          <w:szCs w:val="20"/>
          <w:lang w:val="es-ES"/>
        </w:rPr>
        <w:t xml:space="preserve"> de </w:t>
      </w:r>
      <w:r w:rsidR="00B9011F" w:rsidRPr="003B7960">
        <w:rPr>
          <w:rFonts w:ascii="Cambria" w:hAnsi="Cambria"/>
          <w:sz w:val="20"/>
          <w:szCs w:val="20"/>
          <w:lang w:val="es-ES"/>
        </w:rPr>
        <w:t>las Bahamas</w:t>
      </w:r>
      <w:r w:rsidR="00F46F20" w:rsidRPr="003B7960">
        <w:rPr>
          <w:rFonts w:ascii="Cambria" w:hAnsi="Cambria"/>
          <w:sz w:val="20"/>
          <w:szCs w:val="20"/>
          <w:lang w:val="es-ES"/>
        </w:rPr>
        <w:t xml:space="preserve">, en la cual le informaban que el señor </w:t>
      </w:r>
      <w:r w:rsidR="00067F9E" w:rsidRPr="003B7960">
        <w:rPr>
          <w:rFonts w:ascii="Cambria" w:hAnsi="Cambria"/>
          <w:sz w:val="20"/>
          <w:szCs w:val="20"/>
          <w:lang w:val="es-ES"/>
        </w:rPr>
        <w:t xml:space="preserve">Rochela </w:t>
      </w:r>
      <w:r w:rsidR="00F46F20" w:rsidRPr="003B7960">
        <w:rPr>
          <w:rFonts w:ascii="Cambria" w:hAnsi="Cambria"/>
          <w:sz w:val="20"/>
          <w:szCs w:val="20"/>
          <w:lang w:val="es-ES"/>
        </w:rPr>
        <w:t xml:space="preserve">había recibido asilo y estaba tramitando la documentación necesaria para que sus familiares pudieran reunirse con él y le solicitaban que </w:t>
      </w:r>
      <w:r w:rsidR="00067F9E" w:rsidRPr="003B7960">
        <w:rPr>
          <w:rFonts w:ascii="Cambria" w:hAnsi="Cambria"/>
          <w:sz w:val="20"/>
          <w:szCs w:val="20"/>
          <w:lang w:val="es-ES"/>
        </w:rPr>
        <w:t xml:space="preserve">Nieves, Jorge </w:t>
      </w:r>
      <w:r w:rsidR="00F46F20" w:rsidRPr="003B7960">
        <w:rPr>
          <w:rFonts w:ascii="Cambria" w:hAnsi="Cambria"/>
          <w:sz w:val="20"/>
          <w:szCs w:val="20"/>
          <w:lang w:val="es-ES"/>
        </w:rPr>
        <w:t>y</w:t>
      </w:r>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Mildrey</w:t>
      </w:r>
      <w:proofErr w:type="spellEnd"/>
      <w:r w:rsidR="00067F9E" w:rsidRPr="003B7960">
        <w:rPr>
          <w:rFonts w:ascii="Cambria" w:hAnsi="Cambria"/>
          <w:sz w:val="20"/>
          <w:szCs w:val="20"/>
          <w:lang w:val="es-ES"/>
        </w:rPr>
        <w:t xml:space="preserve"> </w:t>
      </w:r>
      <w:r w:rsidR="00F46F20" w:rsidRPr="003B7960">
        <w:rPr>
          <w:rFonts w:ascii="Cambria" w:hAnsi="Cambria"/>
          <w:sz w:val="20"/>
          <w:szCs w:val="20"/>
          <w:lang w:val="es-ES"/>
        </w:rPr>
        <w:t xml:space="preserve">fuesen puestos en libertad hasta que el Gobierno de Estados Unidos concluyera el proceso de reunificación </w:t>
      </w:r>
      <w:r w:rsidR="00067F9E" w:rsidRPr="003B7960">
        <w:rPr>
          <w:rFonts w:ascii="Cambria" w:hAnsi="Cambria"/>
          <w:sz w:val="20"/>
          <w:szCs w:val="20"/>
          <w:lang w:val="es-ES"/>
        </w:rPr>
        <w:t>famil</w:t>
      </w:r>
      <w:r w:rsidR="00F46F20" w:rsidRPr="003B7960">
        <w:rPr>
          <w:rFonts w:ascii="Cambria" w:hAnsi="Cambria"/>
          <w:sz w:val="20"/>
          <w:szCs w:val="20"/>
          <w:lang w:val="es-ES"/>
        </w:rPr>
        <w:t>iar</w:t>
      </w:r>
      <w:r w:rsidR="00067F9E" w:rsidRPr="003B7960">
        <w:rPr>
          <w:rStyle w:val="FootnoteReference"/>
          <w:rFonts w:ascii="Cambria" w:hAnsi="Cambria"/>
          <w:sz w:val="20"/>
          <w:szCs w:val="20"/>
          <w:lang w:val="es-ES"/>
        </w:rPr>
        <w:footnoteReference w:id="55"/>
      </w:r>
      <w:r w:rsidR="00F46F20" w:rsidRPr="003B7960">
        <w:rPr>
          <w:rFonts w:ascii="Cambria" w:hAnsi="Cambria"/>
          <w:sz w:val="20"/>
          <w:szCs w:val="20"/>
          <w:lang w:val="es-ES"/>
        </w:rPr>
        <w:t xml:space="preserve">. A pesar de ello, Nieves, Jorge y </w:t>
      </w:r>
      <w:proofErr w:type="spellStart"/>
      <w:r w:rsidR="00F46F20" w:rsidRPr="003B7960">
        <w:rPr>
          <w:rFonts w:ascii="Cambria" w:hAnsi="Cambria"/>
          <w:sz w:val="20"/>
          <w:szCs w:val="20"/>
          <w:lang w:val="es-ES"/>
        </w:rPr>
        <w:t>Mildrey</w:t>
      </w:r>
      <w:proofErr w:type="spellEnd"/>
      <w:r w:rsidR="00F46F20" w:rsidRPr="003B7960">
        <w:rPr>
          <w:rFonts w:ascii="Cambria" w:hAnsi="Cambria"/>
          <w:sz w:val="20"/>
          <w:szCs w:val="20"/>
          <w:lang w:val="es-ES"/>
        </w:rPr>
        <w:t xml:space="preserve"> fueron repatriados a </w:t>
      </w:r>
      <w:r w:rsidR="00067F9E" w:rsidRPr="003B7960">
        <w:rPr>
          <w:rFonts w:ascii="Cambria" w:hAnsi="Cambria"/>
          <w:sz w:val="20"/>
          <w:szCs w:val="20"/>
          <w:lang w:val="es-ES"/>
        </w:rPr>
        <w:t xml:space="preserve">Cuba </w:t>
      </w:r>
      <w:r w:rsidR="00F46F20" w:rsidRPr="003B7960">
        <w:rPr>
          <w:rFonts w:ascii="Cambria" w:hAnsi="Cambria"/>
          <w:sz w:val="20"/>
          <w:szCs w:val="20"/>
          <w:lang w:val="es-ES"/>
        </w:rPr>
        <w:t xml:space="preserve">el </w:t>
      </w:r>
      <w:r w:rsidR="004C070C" w:rsidRPr="003B7960">
        <w:rPr>
          <w:rFonts w:ascii="Cambria" w:hAnsi="Cambria"/>
          <w:sz w:val="20"/>
          <w:szCs w:val="20"/>
          <w:lang w:val="es-ES"/>
        </w:rPr>
        <w:t>20 de octubre de 1998</w:t>
      </w:r>
      <w:r w:rsidR="00067F9E" w:rsidRPr="003B7960">
        <w:rPr>
          <w:rStyle w:val="FootnoteReference"/>
          <w:rFonts w:ascii="Cambria" w:hAnsi="Cambria"/>
          <w:sz w:val="20"/>
          <w:szCs w:val="20"/>
          <w:lang w:val="es-ES"/>
        </w:rPr>
        <w:footnoteReference w:id="56"/>
      </w:r>
      <w:r w:rsidR="00F46F20" w:rsidRPr="003B7960">
        <w:rPr>
          <w:rFonts w:ascii="Cambria" w:hAnsi="Cambria"/>
          <w:sz w:val="20"/>
          <w:szCs w:val="20"/>
          <w:lang w:val="es-ES"/>
        </w:rPr>
        <w:t xml:space="preserve">. Cuando Nieves regresó a </w:t>
      </w:r>
      <w:r w:rsidR="00067F9E" w:rsidRPr="003B7960">
        <w:rPr>
          <w:rFonts w:ascii="Cambria" w:hAnsi="Cambria"/>
          <w:sz w:val="20"/>
          <w:szCs w:val="20"/>
          <w:lang w:val="es-ES"/>
        </w:rPr>
        <w:t xml:space="preserve">Cuba, </w:t>
      </w:r>
      <w:r w:rsidR="00F46F20" w:rsidRPr="003B7960">
        <w:rPr>
          <w:rFonts w:ascii="Cambria" w:hAnsi="Cambria"/>
          <w:sz w:val="20"/>
          <w:szCs w:val="20"/>
          <w:lang w:val="es-ES"/>
        </w:rPr>
        <w:t>fue entrevistada dos veces por agentes de seguridad del Estado</w:t>
      </w:r>
      <w:r w:rsidR="00067F9E" w:rsidRPr="003B7960">
        <w:rPr>
          <w:rFonts w:ascii="Cambria" w:hAnsi="Cambria"/>
          <w:sz w:val="20"/>
          <w:szCs w:val="20"/>
          <w:lang w:val="es-ES"/>
        </w:rPr>
        <w:t xml:space="preserve">, </w:t>
      </w:r>
      <w:r w:rsidR="00F46F20" w:rsidRPr="003B7960">
        <w:rPr>
          <w:rFonts w:ascii="Cambria" w:hAnsi="Cambria"/>
          <w:sz w:val="20"/>
          <w:szCs w:val="20"/>
          <w:lang w:val="es-ES"/>
        </w:rPr>
        <w:t xml:space="preserve">la acusaron de </w:t>
      </w:r>
      <w:r w:rsidR="00067F9E" w:rsidRPr="003B7960">
        <w:rPr>
          <w:rFonts w:ascii="Cambria" w:hAnsi="Cambria"/>
          <w:sz w:val="20"/>
          <w:szCs w:val="20"/>
          <w:lang w:val="es-ES"/>
        </w:rPr>
        <w:t xml:space="preserve">amotinamiento, </w:t>
      </w:r>
      <w:r w:rsidR="00F46F20" w:rsidRPr="003B7960">
        <w:rPr>
          <w:rFonts w:ascii="Cambria" w:hAnsi="Cambria"/>
          <w:sz w:val="20"/>
          <w:szCs w:val="20"/>
          <w:lang w:val="es-ES"/>
        </w:rPr>
        <w:t>le prohibieron trabajar, le interceptaron el correo, le intervinieron la línea telefónica y la vigilaban constantemente</w:t>
      </w:r>
      <w:r w:rsidR="00067F9E" w:rsidRPr="003B7960">
        <w:rPr>
          <w:rStyle w:val="FootnoteReference"/>
          <w:rFonts w:ascii="Cambria" w:hAnsi="Cambria"/>
          <w:sz w:val="20"/>
          <w:szCs w:val="20"/>
          <w:lang w:val="es-ES"/>
        </w:rPr>
        <w:footnoteReference w:id="57"/>
      </w:r>
      <w:r w:rsidR="00F46F20" w:rsidRPr="003B7960">
        <w:rPr>
          <w:rFonts w:ascii="Cambria" w:hAnsi="Cambria"/>
          <w:sz w:val="20"/>
          <w:szCs w:val="20"/>
          <w:lang w:val="es-ES"/>
        </w:rPr>
        <w:t xml:space="preserve">. Además, a </w:t>
      </w:r>
      <w:proofErr w:type="spellStart"/>
      <w:r w:rsidR="00067F9E" w:rsidRPr="003B7960">
        <w:rPr>
          <w:rFonts w:ascii="Cambria" w:hAnsi="Cambria"/>
          <w:sz w:val="20"/>
          <w:szCs w:val="20"/>
          <w:lang w:val="es-ES"/>
        </w:rPr>
        <w:t>Mildrey</w:t>
      </w:r>
      <w:proofErr w:type="spellEnd"/>
      <w:r w:rsidR="00067F9E" w:rsidRPr="003B7960">
        <w:rPr>
          <w:rFonts w:ascii="Cambria" w:hAnsi="Cambria"/>
          <w:sz w:val="20"/>
          <w:szCs w:val="20"/>
          <w:lang w:val="es-ES"/>
        </w:rPr>
        <w:t xml:space="preserve"> </w:t>
      </w:r>
      <w:r w:rsidR="00F46F20" w:rsidRPr="003B7960">
        <w:rPr>
          <w:rFonts w:ascii="Cambria" w:hAnsi="Cambria"/>
          <w:sz w:val="20"/>
          <w:szCs w:val="20"/>
          <w:lang w:val="es-ES"/>
        </w:rPr>
        <w:t>lo suspendieron en la escuela y a</w:t>
      </w:r>
      <w:r w:rsidR="00067F9E" w:rsidRPr="003B7960">
        <w:rPr>
          <w:rFonts w:ascii="Cambria" w:hAnsi="Cambria"/>
          <w:sz w:val="20"/>
          <w:szCs w:val="20"/>
          <w:lang w:val="es-ES"/>
        </w:rPr>
        <w:t xml:space="preserve"> Jorge </w:t>
      </w:r>
      <w:r w:rsidR="00F46F20" w:rsidRPr="003B7960">
        <w:rPr>
          <w:rFonts w:ascii="Cambria" w:hAnsi="Cambria"/>
          <w:sz w:val="20"/>
          <w:szCs w:val="20"/>
          <w:lang w:val="es-ES"/>
        </w:rPr>
        <w:t>le permitieron regresar a la escuela solamente si aprobaba un examen especial</w:t>
      </w:r>
      <w:r w:rsidR="00067F9E" w:rsidRPr="003B7960">
        <w:rPr>
          <w:rStyle w:val="FootnoteReference"/>
          <w:rFonts w:ascii="Cambria" w:hAnsi="Cambria"/>
          <w:sz w:val="20"/>
          <w:szCs w:val="20"/>
          <w:lang w:val="es-ES"/>
        </w:rPr>
        <w:footnoteReference w:id="58"/>
      </w:r>
      <w:r w:rsidR="00F46F20" w:rsidRPr="003B7960">
        <w:rPr>
          <w:rFonts w:ascii="Cambria" w:hAnsi="Cambria"/>
          <w:sz w:val="20"/>
          <w:szCs w:val="20"/>
          <w:lang w:val="es-ES"/>
        </w:rPr>
        <w:t>.</w:t>
      </w:r>
    </w:p>
    <w:p w14:paraId="21321BE1" w14:textId="77777777" w:rsidR="00101DC6" w:rsidRPr="003B7960" w:rsidRDefault="00101DC6"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A0246C2" w14:textId="77777777" w:rsidR="00067F9E" w:rsidRPr="003B7960" w:rsidRDefault="00F46F20" w:rsidP="00101DC6">
      <w:pPr>
        <w:pStyle w:val="Heading3"/>
        <w:numPr>
          <w:ilvl w:val="0"/>
          <w:numId w:val="61"/>
        </w:numPr>
        <w:pBdr>
          <w:top w:val="nil"/>
          <w:left w:val="nil"/>
          <w:bottom w:val="nil"/>
          <w:right w:val="nil"/>
          <w:between w:val="nil"/>
          <w:bar w:val="nil"/>
        </w:pBdr>
        <w:tabs>
          <w:tab w:val="clear" w:pos="540"/>
          <w:tab w:val="left" w:pos="426"/>
        </w:tabs>
        <w:ind w:left="0" w:firstLine="0"/>
        <w:rPr>
          <w:lang w:val="es-ES"/>
        </w:rPr>
      </w:pPr>
      <w:bookmarkStart w:id="11" w:name="_Toc90557299"/>
      <w:r w:rsidRPr="003B7960">
        <w:rPr>
          <w:lang w:val="es-ES"/>
        </w:rPr>
        <w:t xml:space="preserve">Información específica sobre </w:t>
      </w:r>
      <w:r w:rsidR="00067F9E" w:rsidRPr="003B7960">
        <w:rPr>
          <w:lang w:val="es-ES"/>
        </w:rPr>
        <w:t xml:space="preserve">Pastor </w:t>
      </w:r>
      <w:r w:rsidRPr="003B7960">
        <w:rPr>
          <w:lang w:val="es-ES"/>
        </w:rPr>
        <w:t>José</w:t>
      </w:r>
      <w:r w:rsidR="00067F9E" w:rsidRPr="003B7960">
        <w:rPr>
          <w:lang w:val="es-ES"/>
        </w:rPr>
        <w:t xml:space="preserve"> Aguiar </w:t>
      </w:r>
      <w:r w:rsidRPr="003B7960">
        <w:rPr>
          <w:lang w:val="es-ES"/>
        </w:rPr>
        <w:t>Pérez</w:t>
      </w:r>
      <w:r w:rsidR="00067F9E" w:rsidRPr="003B7960">
        <w:rPr>
          <w:lang w:val="es-ES"/>
        </w:rPr>
        <w:t xml:space="preserve"> </w:t>
      </w:r>
      <w:r w:rsidRPr="003B7960">
        <w:rPr>
          <w:lang w:val="es-ES"/>
        </w:rPr>
        <w:t>y</w:t>
      </w:r>
      <w:r w:rsidR="00067F9E" w:rsidRPr="003B7960">
        <w:rPr>
          <w:lang w:val="es-ES"/>
        </w:rPr>
        <w:t xml:space="preserve"> </w:t>
      </w:r>
      <w:r w:rsidRPr="003B7960">
        <w:rPr>
          <w:lang w:val="es-ES"/>
        </w:rPr>
        <w:t>Damián</w:t>
      </w:r>
      <w:r w:rsidR="00067F9E" w:rsidRPr="003B7960">
        <w:rPr>
          <w:lang w:val="es-ES"/>
        </w:rPr>
        <w:t xml:space="preserve"> Rigoberto Cabrera </w:t>
      </w:r>
      <w:r w:rsidRPr="003B7960">
        <w:rPr>
          <w:lang w:val="es-ES"/>
        </w:rPr>
        <w:t>Pérez</w:t>
      </w:r>
      <w:bookmarkEnd w:id="11"/>
      <w:r w:rsidR="00067F9E" w:rsidRPr="003B7960">
        <w:rPr>
          <w:lang w:val="es-ES"/>
        </w:rPr>
        <w:t xml:space="preserve"> </w:t>
      </w:r>
    </w:p>
    <w:p w14:paraId="04614D82" w14:textId="77777777" w:rsidR="00067F9E" w:rsidRPr="003B7960" w:rsidRDefault="00067F9E" w:rsidP="00101DC6">
      <w:pPr>
        <w:pStyle w:val="ListParagraph"/>
        <w:tabs>
          <w:tab w:val="left" w:pos="426"/>
        </w:tabs>
        <w:ind w:left="0"/>
        <w:jc w:val="both"/>
        <w:rPr>
          <w:rFonts w:ascii="Cambria" w:hAnsi="Cambria"/>
          <w:sz w:val="20"/>
          <w:szCs w:val="20"/>
          <w:lang w:val="es-ES"/>
        </w:rPr>
      </w:pPr>
    </w:p>
    <w:p w14:paraId="78E055C4" w14:textId="137B2E70" w:rsidR="002B3C52" w:rsidRPr="003B7960" w:rsidRDefault="000C3E4C"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 xml:space="preserve">Los señores </w:t>
      </w:r>
      <w:r w:rsidR="00067F9E" w:rsidRPr="003B7960">
        <w:rPr>
          <w:rFonts w:ascii="Cambria" w:hAnsi="Cambria"/>
          <w:sz w:val="20"/>
          <w:szCs w:val="20"/>
          <w:lang w:val="es-ES"/>
        </w:rPr>
        <w:t xml:space="preserve">Pastor </w:t>
      </w:r>
      <w:r w:rsidRPr="003B7960">
        <w:rPr>
          <w:rFonts w:ascii="Cambria" w:hAnsi="Cambria"/>
          <w:sz w:val="20"/>
          <w:szCs w:val="20"/>
          <w:lang w:val="es-ES"/>
        </w:rPr>
        <w:t>José</w:t>
      </w:r>
      <w:r w:rsidR="00067F9E" w:rsidRPr="003B7960">
        <w:rPr>
          <w:rFonts w:ascii="Cambria" w:hAnsi="Cambria"/>
          <w:sz w:val="20"/>
          <w:szCs w:val="20"/>
          <w:lang w:val="es-ES"/>
        </w:rPr>
        <w:t xml:space="preserve"> Aguiar </w:t>
      </w:r>
      <w:r w:rsidRPr="003B7960">
        <w:rPr>
          <w:rFonts w:ascii="Cambria" w:hAnsi="Cambria"/>
          <w:sz w:val="20"/>
          <w:szCs w:val="20"/>
          <w:lang w:val="es-ES"/>
        </w:rPr>
        <w:t>Pérez</w:t>
      </w:r>
      <w:r w:rsidR="00067F9E" w:rsidRPr="003B7960">
        <w:rPr>
          <w:rFonts w:ascii="Cambria" w:hAnsi="Cambria"/>
          <w:sz w:val="20"/>
          <w:szCs w:val="20"/>
          <w:lang w:val="es-ES"/>
        </w:rPr>
        <w:t xml:space="preserve">, </w:t>
      </w:r>
      <w:r w:rsidRPr="003B7960">
        <w:rPr>
          <w:rFonts w:ascii="Cambria" w:hAnsi="Cambria"/>
          <w:sz w:val="20"/>
          <w:szCs w:val="20"/>
          <w:lang w:val="es-ES"/>
        </w:rPr>
        <w:t>patólogo forense, y Damián</w:t>
      </w:r>
      <w:r w:rsidR="00067F9E" w:rsidRPr="003B7960">
        <w:rPr>
          <w:rFonts w:ascii="Cambria" w:hAnsi="Cambria"/>
          <w:sz w:val="20"/>
          <w:szCs w:val="20"/>
          <w:lang w:val="es-ES"/>
        </w:rPr>
        <w:t xml:space="preserve"> Rigoberto Cabrera </w:t>
      </w:r>
      <w:r w:rsidRPr="003B7960">
        <w:rPr>
          <w:rFonts w:ascii="Cambria" w:hAnsi="Cambria"/>
          <w:sz w:val="20"/>
          <w:szCs w:val="20"/>
          <w:lang w:val="es-ES"/>
        </w:rPr>
        <w:t>Pérez</w:t>
      </w:r>
      <w:r w:rsidR="00067F9E" w:rsidRPr="003B7960">
        <w:rPr>
          <w:rFonts w:ascii="Cambria" w:hAnsi="Cambria"/>
          <w:sz w:val="20"/>
          <w:szCs w:val="20"/>
          <w:lang w:val="es-ES"/>
        </w:rPr>
        <w:t xml:space="preserve">, </w:t>
      </w:r>
      <w:r w:rsidRPr="003B7960">
        <w:rPr>
          <w:rFonts w:ascii="Cambria" w:hAnsi="Cambria"/>
          <w:sz w:val="20"/>
          <w:szCs w:val="20"/>
          <w:lang w:val="es-ES"/>
        </w:rPr>
        <w:t xml:space="preserve">teniente del ejército, salieron de </w:t>
      </w:r>
      <w:r w:rsidR="00067F9E" w:rsidRPr="003B7960">
        <w:rPr>
          <w:rFonts w:ascii="Cambria" w:hAnsi="Cambria"/>
          <w:sz w:val="20"/>
          <w:szCs w:val="20"/>
          <w:lang w:val="es-ES"/>
        </w:rPr>
        <w:t xml:space="preserve">Cuba </w:t>
      </w:r>
      <w:r w:rsidR="00083CDE" w:rsidRPr="003B7960">
        <w:rPr>
          <w:rFonts w:ascii="Cambria" w:hAnsi="Cambria"/>
          <w:sz w:val="20"/>
          <w:szCs w:val="20"/>
          <w:lang w:val="es-ES"/>
        </w:rPr>
        <w:t xml:space="preserve">el </w:t>
      </w:r>
      <w:r w:rsidR="00067F9E" w:rsidRPr="003B7960">
        <w:rPr>
          <w:rFonts w:ascii="Cambria" w:hAnsi="Cambria"/>
          <w:sz w:val="20"/>
          <w:szCs w:val="20"/>
          <w:lang w:val="es-ES"/>
        </w:rPr>
        <w:t>6</w:t>
      </w:r>
      <w:r w:rsidR="00083CDE" w:rsidRPr="003B7960">
        <w:rPr>
          <w:rFonts w:ascii="Cambria" w:hAnsi="Cambria"/>
          <w:sz w:val="20"/>
          <w:szCs w:val="20"/>
          <w:lang w:val="es-ES"/>
        </w:rPr>
        <w:t xml:space="preserve"> de noviembre de</w:t>
      </w:r>
      <w:r w:rsidR="00067F9E" w:rsidRPr="003B7960">
        <w:rPr>
          <w:rFonts w:ascii="Cambria" w:hAnsi="Cambria"/>
          <w:sz w:val="20"/>
          <w:szCs w:val="20"/>
          <w:lang w:val="es-ES"/>
        </w:rPr>
        <w:t xml:space="preserve"> 1998 </w:t>
      </w:r>
      <w:r w:rsidR="00083CDE" w:rsidRPr="003B7960">
        <w:rPr>
          <w:rFonts w:ascii="Cambria" w:hAnsi="Cambria"/>
          <w:sz w:val="20"/>
          <w:szCs w:val="20"/>
          <w:lang w:val="es-ES"/>
        </w:rPr>
        <w:t>en una lancha de plástico junto con otras seis personas</w:t>
      </w:r>
      <w:r w:rsidR="00067F9E" w:rsidRPr="003B7960">
        <w:rPr>
          <w:rStyle w:val="FootnoteReference"/>
          <w:rFonts w:ascii="Cambria" w:hAnsi="Cambria"/>
          <w:sz w:val="20"/>
          <w:szCs w:val="20"/>
          <w:lang w:val="es-ES"/>
        </w:rPr>
        <w:footnoteReference w:id="59"/>
      </w:r>
      <w:r w:rsidR="00083CDE" w:rsidRPr="003B7960">
        <w:rPr>
          <w:rFonts w:ascii="Cambria" w:hAnsi="Cambria"/>
          <w:sz w:val="20"/>
          <w:szCs w:val="20"/>
          <w:lang w:val="es-ES"/>
        </w:rPr>
        <w:t xml:space="preserve">. Tras la avería de </w:t>
      </w:r>
      <w:r w:rsidR="003B58B4" w:rsidRPr="003B7960">
        <w:rPr>
          <w:rFonts w:ascii="Cambria" w:hAnsi="Cambria"/>
          <w:sz w:val="20"/>
          <w:szCs w:val="20"/>
          <w:lang w:val="es-ES"/>
        </w:rPr>
        <w:t>la hélice y el motor de la lancha</w:t>
      </w:r>
      <w:r w:rsidR="00067F9E" w:rsidRPr="003B7960">
        <w:rPr>
          <w:rFonts w:ascii="Cambria" w:hAnsi="Cambria"/>
          <w:sz w:val="20"/>
          <w:szCs w:val="20"/>
          <w:lang w:val="es-ES"/>
        </w:rPr>
        <w:t xml:space="preserve">, </w:t>
      </w:r>
      <w:r w:rsidR="00083CDE" w:rsidRPr="003B7960">
        <w:rPr>
          <w:rFonts w:ascii="Cambria" w:hAnsi="Cambria"/>
          <w:sz w:val="20"/>
          <w:szCs w:val="20"/>
          <w:lang w:val="es-ES"/>
        </w:rPr>
        <w:t>fueron avistados por un helicóptero e interceptados por la Guardia Costera de Estados Unidos aproximadamente a las</w:t>
      </w:r>
      <w:r w:rsidR="00067F9E" w:rsidRPr="003B7960">
        <w:rPr>
          <w:rFonts w:ascii="Cambria" w:hAnsi="Cambria"/>
          <w:sz w:val="20"/>
          <w:szCs w:val="20"/>
          <w:lang w:val="es-ES"/>
        </w:rPr>
        <w:t xml:space="preserve"> </w:t>
      </w:r>
      <w:r w:rsidR="00083CDE" w:rsidRPr="003B7960">
        <w:rPr>
          <w:rFonts w:ascii="Cambria" w:hAnsi="Cambria"/>
          <w:sz w:val="20"/>
          <w:szCs w:val="20"/>
          <w:lang w:val="es-ES"/>
        </w:rPr>
        <w:t>15:00 horas del mismo día</w:t>
      </w:r>
      <w:r w:rsidR="00067F9E" w:rsidRPr="003B7960">
        <w:rPr>
          <w:rStyle w:val="FootnoteReference"/>
          <w:rFonts w:ascii="Cambria" w:hAnsi="Cambria"/>
          <w:sz w:val="20"/>
          <w:szCs w:val="20"/>
          <w:lang w:val="es-ES"/>
        </w:rPr>
        <w:footnoteReference w:id="60"/>
      </w:r>
      <w:r w:rsidR="00083CDE" w:rsidRPr="003B7960">
        <w:rPr>
          <w:rFonts w:ascii="Cambria" w:hAnsi="Cambria"/>
          <w:sz w:val="20"/>
          <w:szCs w:val="20"/>
          <w:lang w:val="es-ES"/>
        </w:rPr>
        <w:t xml:space="preserve">. El </w:t>
      </w:r>
      <w:r w:rsidR="00067F9E" w:rsidRPr="003B7960">
        <w:rPr>
          <w:rFonts w:ascii="Cambria" w:hAnsi="Cambria"/>
          <w:sz w:val="20"/>
          <w:szCs w:val="20"/>
          <w:lang w:val="es-ES"/>
        </w:rPr>
        <w:t>8</w:t>
      </w:r>
      <w:r w:rsidR="00083CDE" w:rsidRPr="003B7960">
        <w:rPr>
          <w:rFonts w:ascii="Cambria" w:hAnsi="Cambria"/>
          <w:sz w:val="20"/>
          <w:szCs w:val="20"/>
          <w:lang w:val="es-ES"/>
        </w:rPr>
        <w:t xml:space="preserve"> de noviembre de</w:t>
      </w:r>
      <w:r w:rsidR="00067F9E" w:rsidRPr="003B7960">
        <w:rPr>
          <w:rFonts w:ascii="Cambria" w:hAnsi="Cambria"/>
          <w:sz w:val="20"/>
          <w:szCs w:val="20"/>
          <w:lang w:val="es-ES"/>
        </w:rPr>
        <w:t xml:space="preserve"> 1998 </w:t>
      </w:r>
      <w:r w:rsidR="00083CDE" w:rsidRPr="003B7960">
        <w:rPr>
          <w:rFonts w:ascii="Cambria" w:hAnsi="Cambria"/>
          <w:sz w:val="20"/>
          <w:szCs w:val="20"/>
          <w:lang w:val="es-ES"/>
        </w:rPr>
        <w:t xml:space="preserve">fueron llevados a un </w:t>
      </w:r>
      <w:r w:rsidR="00607543" w:rsidRPr="003B7960">
        <w:rPr>
          <w:rFonts w:ascii="Cambria" w:hAnsi="Cambria"/>
          <w:sz w:val="20"/>
          <w:szCs w:val="20"/>
          <w:lang w:val="es-ES"/>
        </w:rPr>
        <w:t>centro de detención</w:t>
      </w:r>
      <w:r w:rsidR="00067F9E" w:rsidRPr="003B7960">
        <w:rPr>
          <w:rFonts w:ascii="Cambria" w:hAnsi="Cambria"/>
          <w:sz w:val="20"/>
          <w:szCs w:val="20"/>
          <w:lang w:val="es-ES"/>
        </w:rPr>
        <w:t xml:space="preserve"> </w:t>
      </w:r>
      <w:r w:rsidR="00083CDE" w:rsidRPr="003B7960">
        <w:rPr>
          <w:rFonts w:ascii="Cambria" w:hAnsi="Cambria"/>
          <w:sz w:val="20"/>
          <w:szCs w:val="20"/>
          <w:lang w:val="es-ES"/>
        </w:rPr>
        <w:t xml:space="preserve">de </w:t>
      </w:r>
      <w:r w:rsidR="00067F9E" w:rsidRPr="003B7960">
        <w:rPr>
          <w:rFonts w:ascii="Cambria" w:hAnsi="Cambria"/>
          <w:sz w:val="20"/>
          <w:szCs w:val="20"/>
          <w:lang w:val="es-ES"/>
        </w:rPr>
        <w:t>i</w:t>
      </w:r>
      <w:r w:rsidR="00083CDE" w:rsidRPr="003B7960">
        <w:rPr>
          <w:rFonts w:ascii="Cambria" w:hAnsi="Cambria"/>
          <w:sz w:val="20"/>
          <w:szCs w:val="20"/>
          <w:lang w:val="es-ES"/>
        </w:rPr>
        <w:t>n</w:t>
      </w:r>
      <w:r w:rsidR="00AD3ABA" w:rsidRPr="003B7960">
        <w:rPr>
          <w:rFonts w:ascii="Cambria" w:hAnsi="Cambria"/>
          <w:sz w:val="20"/>
          <w:szCs w:val="20"/>
          <w:lang w:val="es-ES"/>
        </w:rPr>
        <w:t>migrantes</w:t>
      </w:r>
      <w:r w:rsidR="00067F9E" w:rsidRPr="003B7960">
        <w:rPr>
          <w:rFonts w:ascii="Cambria" w:hAnsi="Cambria"/>
          <w:sz w:val="20"/>
          <w:szCs w:val="20"/>
          <w:lang w:val="es-ES"/>
        </w:rPr>
        <w:t xml:space="preserve"> </w:t>
      </w:r>
      <w:r w:rsidR="00083CDE" w:rsidRPr="003B7960">
        <w:rPr>
          <w:rFonts w:ascii="Cambria" w:hAnsi="Cambria"/>
          <w:sz w:val="20"/>
          <w:szCs w:val="20"/>
          <w:lang w:val="es-ES"/>
        </w:rPr>
        <w:t>e</w:t>
      </w:r>
      <w:r w:rsidR="00067F9E" w:rsidRPr="003B7960">
        <w:rPr>
          <w:rFonts w:ascii="Cambria" w:hAnsi="Cambria"/>
          <w:sz w:val="20"/>
          <w:szCs w:val="20"/>
          <w:lang w:val="es-ES"/>
        </w:rPr>
        <w:t>n Nassau</w:t>
      </w:r>
      <w:r w:rsidR="00083CDE" w:rsidRPr="003B7960">
        <w:rPr>
          <w:rFonts w:ascii="Cambria" w:hAnsi="Cambria"/>
          <w:sz w:val="20"/>
          <w:szCs w:val="20"/>
          <w:lang w:val="es-ES"/>
        </w:rPr>
        <w:t xml:space="preserve"> (</w:t>
      </w:r>
      <w:r w:rsidR="00B9011F" w:rsidRPr="003B7960">
        <w:rPr>
          <w:rFonts w:ascii="Cambria" w:hAnsi="Cambria"/>
          <w:sz w:val="20"/>
          <w:szCs w:val="20"/>
          <w:lang w:val="es-ES"/>
        </w:rPr>
        <w:t>Bahamas</w:t>
      </w:r>
      <w:r w:rsidR="00083CDE" w:rsidRPr="003B7960">
        <w:rPr>
          <w:rFonts w:ascii="Cambria" w:hAnsi="Cambria"/>
          <w:sz w:val="20"/>
          <w:szCs w:val="20"/>
          <w:lang w:val="es-ES"/>
        </w:rPr>
        <w:t>)</w:t>
      </w:r>
      <w:r w:rsidR="00067F9E" w:rsidRPr="003B7960">
        <w:rPr>
          <w:rFonts w:ascii="Cambria" w:hAnsi="Cambria"/>
          <w:sz w:val="20"/>
          <w:szCs w:val="20"/>
          <w:lang w:val="es-ES"/>
        </w:rPr>
        <w:t>, pr</w:t>
      </w:r>
      <w:r w:rsidR="00083CDE" w:rsidRPr="003B7960">
        <w:rPr>
          <w:rFonts w:ascii="Cambria" w:hAnsi="Cambria"/>
          <w:sz w:val="20"/>
          <w:szCs w:val="20"/>
          <w:lang w:val="es-ES"/>
        </w:rPr>
        <w:t xml:space="preserve">obablemente el </w:t>
      </w:r>
      <w:r w:rsidR="00CF3BDB" w:rsidRPr="003B7960">
        <w:rPr>
          <w:rFonts w:ascii="Cambria" w:hAnsi="Cambria"/>
          <w:sz w:val="20"/>
          <w:szCs w:val="20"/>
          <w:lang w:val="es-ES"/>
        </w:rPr>
        <w:t xml:space="preserve">Centro </w:t>
      </w:r>
      <w:proofErr w:type="spellStart"/>
      <w:r w:rsidR="00CF3BDB" w:rsidRPr="003B7960">
        <w:rPr>
          <w:rFonts w:ascii="Cambria" w:hAnsi="Cambria"/>
          <w:sz w:val="20"/>
          <w:szCs w:val="20"/>
          <w:lang w:val="es-ES"/>
        </w:rPr>
        <w:t>Carmichael</w:t>
      </w:r>
      <w:proofErr w:type="spellEnd"/>
      <w:r w:rsidR="00067F9E" w:rsidRPr="003B7960">
        <w:rPr>
          <w:rStyle w:val="FootnoteReference"/>
          <w:rFonts w:ascii="Cambria" w:hAnsi="Cambria"/>
          <w:sz w:val="20"/>
          <w:szCs w:val="20"/>
          <w:lang w:val="es-ES"/>
        </w:rPr>
        <w:footnoteReference w:id="61"/>
      </w:r>
      <w:r w:rsidR="00083CDE" w:rsidRPr="003B7960">
        <w:rPr>
          <w:rFonts w:ascii="Cambria" w:hAnsi="Cambria"/>
          <w:sz w:val="20"/>
          <w:szCs w:val="20"/>
          <w:lang w:val="es-ES"/>
        </w:rPr>
        <w:t xml:space="preserve">. </w:t>
      </w:r>
      <w:r w:rsidR="003B0D8B" w:rsidRPr="003B7960">
        <w:rPr>
          <w:rFonts w:ascii="Cambria" w:hAnsi="Cambria"/>
          <w:sz w:val="20"/>
          <w:szCs w:val="20"/>
          <w:lang w:val="es-ES"/>
        </w:rPr>
        <w:t xml:space="preserve">Allí </w:t>
      </w:r>
      <w:r w:rsidR="00083CDE" w:rsidRPr="003B7960">
        <w:rPr>
          <w:rFonts w:ascii="Cambria" w:hAnsi="Cambria"/>
          <w:sz w:val="20"/>
          <w:szCs w:val="20"/>
          <w:lang w:val="es-ES"/>
        </w:rPr>
        <w:t>les permitieron usar un teléfono público únicamente dos semanas después de su llegada, es decir</w:t>
      </w:r>
      <w:r w:rsidR="00067F9E" w:rsidRPr="003B7960">
        <w:rPr>
          <w:rFonts w:ascii="Cambria" w:hAnsi="Cambria"/>
          <w:sz w:val="20"/>
          <w:szCs w:val="20"/>
          <w:lang w:val="es-ES"/>
        </w:rPr>
        <w:t xml:space="preserve">, </w:t>
      </w:r>
      <w:r w:rsidR="00083CDE" w:rsidRPr="003B7960">
        <w:rPr>
          <w:rFonts w:ascii="Cambria" w:hAnsi="Cambria"/>
          <w:sz w:val="20"/>
          <w:szCs w:val="20"/>
          <w:lang w:val="es-ES"/>
        </w:rPr>
        <w:t xml:space="preserve">el </w:t>
      </w:r>
      <w:r w:rsidR="00067F9E" w:rsidRPr="003B7960">
        <w:rPr>
          <w:rFonts w:ascii="Cambria" w:hAnsi="Cambria"/>
          <w:sz w:val="20"/>
          <w:szCs w:val="20"/>
          <w:lang w:val="es-ES"/>
        </w:rPr>
        <w:t>22</w:t>
      </w:r>
      <w:r w:rsidR="00083CDE" w:rsidRPr="003B7960">
        <w:rPr>
          <w:rFonts w:ascii="Cambria" w:hAnsi="Cambria"/>
          <w:sz w:val="20"/>
          <w:szCs w:val="20"/>
          <w:lang w:val="es-ES"/>
        </w:rPr>
        <w:t xml:space="preserve"> de noviembre de</w:t>
      </w:r>
      <w:r w:rsidR="00067F9E" w:rsidRPr="003B7960">
        <w:rPr>
          <w:rFonts w:ascii="Cambria" w:hAnsi="Cambria"/>
          <w:sz w:val="20"/>
          <w:szCs w:val="20"/>
          <w:lang w:val="es-ES"/>
        </w:rPr>
        <w:t xml:space="preserve"> 1998</w:t>
      </w:r>
      <w:r w:rsidR="00083CDE" w:rsidRPr="003B7960">
        <w:rPr>
          <w:rFonts w:ascii="Cambria" w:hAnsi="Cambria"/>
          <w:sz w:val="20"/>
          <w:szCs w:val="20"/>
          <w:lang w:val="es-ES"/>
        </w:rPr>
        <w:t xml:space="preserve">. En esa ocasión hablaron con familiares y dijeron que había otros </w:t>
      </w:r>
      <w:r w:rsidR="00067F9E" w:rsidRPr="003B7960">
        <w:rPr>
          <w:rFonts w:ascii="Cambria" w:hAnsi="Cambria"/>
          <w:sz w:val="20"/>
          <w:szCs w:val="20"/>
          <w:lang w:val="es-ES"/>
        </w:rPr>
        <w:t xml:space="preserve">62 </w:t>
      </w:r>
      <w:r w:rsidR="00C33F51" w:rsidRPr="003B7960">
        <w:rPr>
          <w:rFonts w:ascii="Cambria" w:hAnsi="Cambria"/>
          <w:sz w:val="20"/>
          <w:szCs w:val="20"/>
          <w:lang w:val="es-ES"/>
        </w:rPr>
        <w:t>ciudadanos</w:t>
      </w:r>
      <w:r w:rsidR="00654B4A" w:rsidRPr="003B7960">
        <w:rPr>
          <w:rFonts w:ascii="Cambria" w:hAnsi="Cambria"/>
          <w:sz w:val="20"/>
          <w:szCs w:val="20"/>
          <w:lang w:val="es-ES"/>
        </w:rPr>
        <w:t xml:space="preserve"> cubanos</w:t>
      </w:r>
      <w:r w:rsidR="00067F9E" w:rsidRPr="003B7960">
        <w:rPr>
          <w:rFonts w:ascii="Cambria" w:hAnsi="Cambria"/>
          <w:sz w:val="20"/>
          <w:szCs w:val="20"/>
          <w:lang w:val="es-ES"/>
        </w:rPr>
        <w:t xml:space="preserve"> </w:t>
      </w:r>
      <w:r w:rsidR="00083CDE" w:rsidRPr="003B7960">
        <w:rPr>
          <w:rFonts w:ascii="Cambria" w:hAnsi="Cambria"/>
          <w:sz w:val="20"/>
          <w:szCs w:val="20"/>
          <w:lang w:val="es-ES"/>
        </w:rPr>
        <w:t>esperando la repatriación</w:t>
      </w:r>
      <w:r w:rsidR="00067F9E" w:rsidRPr="003B7960">
        <w:rPr>
          <w:rStyle w:val="FootnoteReference"/>
          <w:rFonts w:ascii="Cambria" w:hAnsi="Cambria"/>
          <w:sz w:val="20"/>
          <w:szCs w:val="20"/>
          <w:lang w:val="es-ES"/>
        </w:rPr>
        <w:footnoteReference w:id="62"/>
      </w:r>
    </w:p>
    <w:p w14:paraId="5147389D" w14:textId="77777777" w:rsidR="002B3C52" w:rsidRPr="003B7960" w:rsidRDefault="002B3C52"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453B4FB" w14:textId="77777777" w:rsidR="002B3C52" w:rsidRPr="003B7960" w:rsidRDefault="002B3C52" w:rsidP="00101DC6">
      <w:pPr>
        <w:pStyle w:val="Heading3"/>
        <w:keepNext/>
        <w:keepLines/>
        <w:numPr>
          <w:ilvl w:val="0"/>
          <w:numId w:val="61"/>
        </w:numPr>
        <w:pBdr>
          <w:top w:val="nil"/>
          <w:left w:val="nil"/>
          <w:bottom w:val="nil"/>
          <w:right w:val="nil"/>
          <w:between w:val="nil"/>
          <w:bar w:val="nil"/>
        </w:pBdr>
        <w:tabs>
          <w:tab w:val="clear" w:pos="540"/>
          <w:tab w:val="left" w:pos="426"/>
        </w:tabs>
        <w:ind w:left="0" w:firstLine="0"/>
        <w:rPr>
          <w:lang w:val="es-ES"/>
        </w:rPr>
      </w:pPr>
      <w:bookmarkStart w:id="12" w:name="_Toc90557300"/>
      <w:r w:rsidRPr="003B7960">
        <w:rPr>
          <w:lang w:val="es-ES"/>
        </w:rPr>
        <w:lastRenderedPageBreak/>
        <w:t xml:space="preserve">Condiciones de detención en el Centro </w:t>
      </w:r>
      <w:proofErr w:type="spellStart"/>
      <w:r w:rsidRPr="003B7960">
        <w:rPr>
          <w:lang w:val="es-ES"/>
        </w:rPr>
        <w:t>Carmichael</w:t>
      </w:r>
      <w:bookmarkEnd w:id="12"/>
      <w:proofErr w:type="spellEnd"/>
    </w:p>
    <w:p w14:paraId="0A52C1C6" w14:textId="77777777" w:rsidR="002B3C52" w:rsidRPr="003B7960" w:rsidRDefault="002B3C52" w:rsidP="00101DC6">
      <w:pPr>
        <w:pStyle w:val="Heading3"/>
        <w:numPr>
          <w:ilvl w:val="0"/>
          <w:numId w:val="0"/>
        </w:numPr>
        <w:pBdr>
          <w:top w:val="nil"/>
          <w:left w:val="nil"/>
          <w:bottom w:val="nil"/>
          <w:right w:val="nil"/>
          <w:between w:val="nil"/>
          <w:bar w:val="nil"/>
        </w:pBdr>
        <w:tabs>
          <w:tab w:val="clear" w:pos="540"/>
          <w:tab w:val="left" w:pos="426"/>
        </w:tabs>
        <w:rPr>
          <w:lang w:val="es-ES"/>
        </w:rPr>
      </w:pPr>
    </w:p>
    <w:p w14:paraId="23E09270" w14:textId="77777777" w:rsidR="002B3C52" w:rsidRPr="003B7960" w:rsidRDefault="002B3C52" w:rsidP="00101DC6">
      <w:pPr>
        <w:keepNext/>
        <w:keepLines/>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 observa que se ha descrito el hacinamiento de los detenidos, que solían dormir cinco por cama</w:t>
      </w:r>
      <w:r w:rsidRPr="003B7960">
        <w:rPr>
          <w:rStyle w:val="FootnoteReference"/>
          <w:rFonts w:ascii="Cambria" w:hAnsi="Cambria"/>
          <w:sz w:val="20"/>
          <w:szCs w:val="20"/>
          <w:lang w:val="es-ES"/>
        </w:rPr>
        <w:footnoteReference w:id="63"/>
      </w:r>
      <w:r w:rsidRPr="003B7960">
        <w:rPr>
          <w:rFonts w:ascii="Cambria" w:hAnsi="Cambria"/>
          <w:sz w:val="20"/>
          <w:szCs w:val="20"/>
          <w:lang w:val="es-ES"/>
        </w:rPr>
        <w:t xml:space="preserve"> y hasta 18 dormían en el suelo</w:t>
      </w:r>
      <w:r w:rsidRPr="003B7960">
        <w:rPr>
          <w:rStyle w:val="FootnoteReference"/>
          <w:rFonts w:ascii="Cambria" w:hAnsi="Cambria"/>
          <w:sz w:val="20"/>
          <w:szCs w:val="20"/>
          <w:lang w:val="es-ES"/>
        </w:rPr>
        <w:footnoteReference w:id="64"/>
      </w:r>
      <w:r w:rsidRPr="003B7960">
        <w:rPr>
          <w:rFonts w:ascii="Cambria" w:hAnsi="Cambria"/>
          <w:sz w:val="20"/>
          <w:szCs w:val="20"/>
          <w:lang w:val="es-ES"/>
        </w:rPr>
        <w:t>. Además, las presuntas víctimas afirman que en el Centro no había suficiente luz y no había agua potable</w:t>
      </w:r>
      <w:r w:rsidRPr="003B7960">
        <w:rPr>
          <w:rStyle w:val="FootnoteReference"/>
          <w:rFonts w:ascii="Cambria" w:hAnsi="Cambria"/>
          <w:sz w:val="20"/>
          <w:szCs w:val="20"/>
          <w:lang w:val="es-ES"/>
        </w:rPr>
        <w:footnoteReference w:id="65"/>
      </w:r>
      <w:r w:rsidRPr="003B7960">
        <w:rPr>
          <w:rFonts w:ascii="Cambria" w:hAnsi="Cambria"/>
          <w:sz w:val="20"/>
          <w:szCs w:val="20"/>
          <w:lang w:val="es-ES"/>
        </w:rPr>
        <w:t>. Algunos ex detenidos dijeron que a las 11:00 horas les servían una comida que consistía en cereal condimentado y a las 16:00 horas les servían otra comida, que por lo general consistía en arroz o trigo, huevos y a veces pollo o una carne que no lograban identificar</w:t>
      </w:r>
      <w:r w:rsidRPr="003B7960">
        <w:rPr>
          <w:rStyle w:val="FootnoteReference"/>
          <w:rFonts w:ascii="Cambria" w:hAnsi="Cambria"/>
          <w:sz w:val="20"/>
          <w:szCs w:val="20"/>
          <w:lang w:val="es-ES"/>
        </w:rPr>
        <w:footnoteReference w:id="66"/>
      </w:r>
      <w:r w:rsidRPr="003B7960">
        <w:rPr>
          <w:rFonts w:ascii="Cambria" w:hAnsi="Cambria"/>
          <w:sz w:val="20"/>
          <w:szCs w:val="20"/>
          <w:lang w:val="es-ES"/>
        </w:rPr>
        <w:t>. Afirmaron que la comida tenía gusanos</w:t>
      </w:r>
      <w:r w:rsidRPr="003B7960">
        <w:rPr>
          <w:rStyle w:val="FootnoteReference"/>
          <w:rFonts w:ascii="Cambria" w:hAnsi="Cambria"/>
          <w:sz w:val="20"/>
          <w:szCs w:val="20"/>
          <w:lang w:val="es-ES"/>
        </w:rPr>
        <w:footnoteReference w:id="67"/>
      </w:r>
      <w:r w:rsidRPr="003B7960">
        <w:rPr>
          <w:rFonts w:ascii="Cambria" w:hAnsi="Cambria"/>
          <w:sz w:val="20"/>
          <w:szCs w:val="20"/>
          <w:lang w:val="es-ES"/>
        </w:rPr>
        <w:t xml:space="preserve"> y tenían que lavarla antes de comerla, y que no servían comidas especiales para niños</w:t>
      </w:r>
      <w:r w:rsidRPr="003B7960">
        <w:rPr>
          <w:rStyle w:val="FootnoteReference"/>
          <w:rFonts w:ascii="Cambria" w:hAnsi="Cambria"/>
          <w:sz w:val="20"/>
          <w:szCs w:val="20"/>
          <w:lang w:val="es-ES"/>
        </w:rPr>
        <w:footnoteReference w:id="68"/>
      </w:r>
      <w:r w:rsidRPr="003B7960">
        <w:rPr>
          <w:rFonts w:ascii="Cambria" w:hAnsi="Cambria"/>
          <w:sz w:val="20"/>
          <w:szCs w:val="20"/>
          <w:lang w:val="es-ES"/>
        </w:rPr>
        <w:t>. Además, no se les permitía hablar por teléfono más de cinco minutos ni abrazar a los familiares que los visitaran</w:t>
      </w:r>
      <w:r w:rsidRPr="003B7960">
        <w:rPr>
          <w:rStyle w:val="FootnoteReference"/>
          <w:rFonts w:ascii="Cambria" w:hAnsi="Cambria"/>
          <w:sz w:val="20"/>
          <w:szCs w:val="20"/>
          <w:lang w:val="es-ES"/>
        </w:rPr>
        <w:footnoteReference w:id="69"/>
      </w:r>
      <w:r w:rsidRPr="003B7960">
        <w:rPr>
          <w:rFonts w:ascii="Cambria" w:hAnsi="Cambria"/>
          <w:sz w:val="20"/>
          <w:szCs w:val="20"/>
          <w:lang w:val="es-ES"/>
        </w:rPr>
        <w:t>. Por último, las presuntas víctimas se refirieron al comportamiento de los oficiales del campamento. Al respecto, dijeron que robaban buena parte de la ayuda o asistencia que llegaba para los detenidos y el resto se la daban a los cubanos detenidos o se la vendían a los haitianos detenidos, y que los oficiales golpeaban a los detenidos</w:t>
      </w:r>
      <w:r w:rsidRPr="003B7960">
        <w:rPr>
          <w:rStyle w:val="FootnoteReference"/>
          <w:rFonts w:ascii="Cambria" w:hAnsi="Cambria"/>
          <w:sz w:val="20"/>
          <w:szCs w:val="20"/>
          <w:lang w:val="es-ES"/>
        </w:rPr>
        <w:footnoteReference w:id="70"/>
      </w:r>
      <w:r w:rsidRPr="003B7960">
        <w:rPr>
          <w:rFonts w:ascii="Cambria" w:hAnsi="Cambria"/>
          <w:sz w:val="20"/>
          <w:szCs w:val="20"/>
          <w:lang w:val="es-ES"/>
        </w:rPr>
        <w:t>. Por consiguiente, calificaron las condiciones en el Centro de terribles e inhumanas</w:t>
      </w:r>
      <w:r w:rsidRPr="003B7960">
        <w:rPr>
          <w:rStyle w:val="FootnoteReference"/>
          <w:rFonts w:ascii="Cambria" w:hAnsi="Cambria"/>
          <w:sz w:val="20"/>
          <w:szCs w:val="20"/>
          <w:lang w:val="es-ES"/>
        </w:rPr>
        <w:footnoteReference w:id="71"/>
      </w:r>
      <w:r w:rsidRPr="003B7960">
        <w:rPr>
          <w:rFonts w:ascii="Cambria" w:hAnsi="Cambria"/>
          <w:sz w:val="20"/>
          <w:szCs w:val="20"/>
          <w:lang w:val="es-ES"/>
        </w:rPr>
        <w:t>.</w:t>
      </w:r>
    </w:p>
    <w:p w14:paraId="795E8D6E"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B649E63" w14:textId="77777777" w:rsidR="00067F9E" w:rsidRPr="003B7960" w:rsidRDefault="00A332F5"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El Estado</w:t>
      </w:r>
      <w:r w:rsidR="00067F9E" w:rsidRPr="003B7960">
        <w:rPr>
          <w:rFonts w:ascii="Cambria" w:hAnsi="Cambria"/>
          <w:sz w:val="20"/>
          <w:szCs w:val="20"/>
          <w:lang w:val="es-ES"/>
        </w:rPr>
        <w:t xml:space="preserve"> refut</w:t>
      </w:r>
      <w:r w:rsidR="003C7C2F" w:rsidRPr="003B7960">
        <w:rPr>
          <w:rFonts w:ascii="Cambria" w:hAnsi="Cambria"/>
          <w:sz w:val="20"/>
          <w:szCs w:val="20"/>
          <w:lang w:val="es-ES"/>
        </w:rPr>
        <w:t xml:space="preserve">a la descripción precedente de las </w:t>
      </w:r>
      <w:r w:rsidR="000C3E4C" w:rsidRPr="003B7960">
        <w:rPr>
          <w:rFonts w:ascii="Cambria" w:hAnsi="Cambria"/>
          <w:sz w:val="20"/>
          <w:szCs w:val="20"/>
          <w:lang w:val="es-ES"/>
        </w:rPr>
        <w:t>condiciones</w:t>
      </w:r>
      <w:r w:rsidR="00067F9E" w:rsidRPr="003B7960">
        <w:rPr>
          <w:rFonts w:ascii="Cambria" w:hAnsi="Cambria"/>
          <w:sz w:val="20"/>
          <w:szCs w:val="20"/>
          <w:lang w:val="es-ES"/>
        </w:rPr>
        <w:t xml:space="preserve"> </w:t>
      </w:r>
      <w:r w:rsidR="003C7C2F" w:rsidRPr="003B7960">
        <w:rPr>
          <w:rFonts w:ascii="Cambria" w:hAnsi="Cambria"/>
          <w:sz w:val="20"/>
          <w:szCs w:val="20"/>
          <w:lang w:val="es-ES"/>
        </w:rPr>
        <w:t xml:space="preserve">de detención y alega que </w:t>
      </w:r>
      <w:r w:rsidR="009365E1" w:rsidRPr="003B7960">
        <w:rPr>
          <w:rFonts w:ascii="Cambria" w:hAnsi="Cambria"/>
          <w:sz w:val="20"/>
          <w:szCs w:val="20"/>
          <w:lang w:val="es-ES"/>
        </w:rPr>
        <w:t xml:space="preserve">a los </w:t>
      </w:r>
      <w:r w:rsidR="007B6078" w:rsidRPr="003B7960">
        <w:rPr>
          <w:rFonts w:ascii="Cambria" w:hAnsi="Cambria"/>
          <w:sz w:val="20"/>
          <w:szCs w:val="20"/>
          <w:lang w:val="es-ES"/>
        </w:rPr>
        <w:t>detenidos</w:t>
      </w:r>
      <w:r w:rsidR="00067F9E" w:rsidRPr="003B7960">
        <w:rPr>
          <w:rFonts w:ascii="Cambria" w:hAnsi="Cambria"/>
          <w:sz w:val="20"/>
          <w:szCs w:val="20"/>
          <w:lang w:val="es-ES"/>
        </w:rPr>
        <w:t xml:space="preserve"> </w:t>
      </w:r>
      <w:r w:rsidR="009365E1" w:rsidRPr="003B7960">
        <w:rPr>
          <w:rFonts w:ascii="Cambria" w:hAnsi="Cambria"/>
          <w:sz w:val="20"/>
          <w:szCs w:val="20"/>
          <w:lang w:val="es-ES"/>
        </w:rPr>
        <w:t xml:space="preserve">se les sirven tres </w:t>
      </w:r>
      <w:r w:rsidR="00067F9E" w:rsidRPr="003B7960">
        <w:rPr>
          <w:rFonts w:ascii="Cambria" w:hAnsi="Cambria"/>
          <w:sz w:val="20"/>
          <w:szCs w:val="20"/>
          <w:lang w:val="es-ES"/>
        </w:rPr>
        <w:t xml:space="preserve">(3) </w:t>
      </w:r>
      <w:r w:rsidR="009365E1" w:rsidRPr="003B7960">
        <w:rPr>
          <w:rFonts w:ascii="Cambria" w:hAnsi="Cambria"/>
          <w:sz w:val="20"/>
          <w:szCs w:val="20"/>
          <w:lang w:val="es-ES"/>
        </w:rPr>
        <w:t xml:space="preserve">comidas diarias y que las autoridades tratan de complacer a </w:t>
      </w:r>
      <w:r w:rsidR="00C33F51" w:rsidRPr="003B7960">
        <w:rPr>
          <w:rFonts w:ascii="Cambria" w:hAnsi="Cambria"/>
          <w:sz w:val="20"/>
          <w:szCs w:val="20"/>
          <w:lang w:val="es-ES"/>
        </w:rPr>
        <w:t>los detenidos</w:t>
      </w:r>
      <w:r w:rsidR="00067F9E" w:rsidRPr="003B7960">
        <w:rPr>
          <w:rFonts w:ascii="Cambria" w:hAnsi="Cambria"/>
          <w:sz w:val="20"/>
          <w:szCs w:val="20"/>
          <w:lang w:val="es-ES"/>
        </w:rPr>
        <w:t xml:space="preserve"> </w:t>
      </w:r>
      <w:r w:rsidR="009365E1" w:rsidRPr="003B7960">
        <w:rPr>
          <w:rFonts w:ascii="Cambria" w:hAnsi="Cambria"/>
          <w:sz w:val="20"/>
          <w:szCs w:val="20"/>
          <w:lang w:val="es-ES"/>
        </w:rPr>
        <w:t xml:space="preserve">sirviéndoles comidas conocidas propias de su </w:t>
      </w:r>
      <w:r w:rsidR="00067F9E" w:rsidRPr="003B7960">
        <w:rPr>
          <w:rFonts w:ascii="Cambria" w:hAnsi="Cambria"/>
          <w:sz w:val="20"/>
          <w:szCs w:val="20"/>
          <w:lang w:val="es-ES"/>
        </w:rPr>
        <w:t xml:space="preserve">cultura. </w:t>
      </w:r>
      <w:r w:rsidRPr="003B7960">
        <w:rPr>
          <w:rFonts w:ascii="Cambria" w:hAnsi="Cambria"/>
          <w:sz w:val="20"/>
          <w:szCs w:val="20"/>
          <w:lang w:val="es-ES"/>
        </w:rPr>
        <w:t>El Estado</w:t>
      </w:r>
      <w:r w:rsidR="00067F9E" w:rsidRPr="003B7960">
        <w:rPr>
          <w:rFonts w:ascii="Cambria" w:hAnsi="Cambria"/>
          <w:sz w:val="20"/>
          <w:szCs w:val="20"/>
          <w:lang w:val="es-ES"/>
        </w:rPr>
        <w:t xml:space="preserve"> a</w:t>
      </w:r>
      <w:r w:rsidR="009365E1" w:rsidRPr="003B7960">
        <w:rPr>
          <w:rFonts w:ascii="Cambria" w:hAnsi="Cambria"/>
          <w:sz w:val="20"/>
          <w:szCs w:val="20"/>
          <w:lang w:val="es-ES"/>
        </w:rPr>
        <w:t xml:space="preserve">grega que </w:t>
      </w:r>
      <w:r w:rsidR="00C60615" w:rsidRPr="003B7960">
        <w:rPr>
          <w:rFonts w:ascii="Cambria" w:hAnsi="Cambria"/>
          <w:sz w:val="20"/>
          <w:szCs w:val="20"/>
          <w:lang w:val="es-ES"/>
        </w:rPr>
        <w:t>el agua suministrada en el Centro de</w:t>
      </w:r>
      <w:r w:rsidR="00067F9E" w:rsidRPr="003B7960">
        <w:rPr>
          <w:rFonts w:ascii="Cambria" w:hAnsi="Cambria"/>
          <w:sz w:val="20"/>
          <w:szCs w:val="20"/>
          <w:lang w:val="es-ES"/>
        </w:rPr>
        <w:t xml:space="preserve">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C60615" w:rsidRPr="003B7960">
        <w:rPr>
          <w:rFonts w:ascii="Cambria" w:hAnsi="Cambria"/>
          <w:sz w:val="20"/>
          <w:szCs w:val="20"/>
          <w:lang w:val="es-ES"/>
        </w:rPr>
        <w:t>es agua purificada del sistema de abastecimiento de agua de la ciudad, la misma que consumen a diario miles de bahameses que viven en la isla de Nueva Providencia</w:t>
      </w:r>
      <w:r w:rsidR="00067F9E" w:rsidRPr="003B7960">
        <w:rPr>
          <w:rStyle w:val="FootnoteReference"/>
          <w:rFonts w:ascii="Cambria" w:hAnsi="Cambria"/>
          <w:sz w:val="20"/>
          <w:szCs w:val="20"/>
          <w:lang w:val="es-ES"/>
        </w:rPr>
        <w:footnoteReference w:id="72"/>
      </w:r>
      <w:r w:rsidR="00C60615" w:rsidRPr="003B7960">
        <w:rPr>
          <w:rFonts w:ascii="Cambria" w:hAnsi="Cambria"/>
          <w:sz w:val="20"/>
          <w:szCs w:val="20"/>
          <w:lang w:val="es-ES"/>
        </w:rPr>
        <w:t>.</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781310" w:rsidRPr="003B7960">
        <w:rPr>
          <w:rFonts w:ascii="Cambria" w:hAnsi="Cambria"/>
          <w:sz w:val="20"/>
          <w:szCs w:val="20"/>
          <w:lang w:val="es-ES"/>
        </w:rPr>
        <w:t xml:space="preserve">observa que </w:t>
      </w:r>
      <w:r w:rsidRPr="003B7960">
        <w:rPr>
          <w:rFonts w:ascii="Cambria" w:hAnsi="Cambria"/>
          <w:sz w:val="20"/>
          <w:szCs w:val="20"/>
          <w:lang w:val="es-ES"/>
        </w:rPr>
        <w:t>el Estado</w:t>
      </w:r>
      <w:r w:rsidR="00067F9E" w:rsidRPr="003B7960">
        <w:rPr>
          <w:rFonts w:ascii="Cambria" w:hAnsi="Cambria"/>
          <w:sz w:val="20"/>
          <w:szCs w:val="20"/>
          <w:lang w:val="es-ES"/>
        </w:rPr>
        <w:t xml:space="preserve"> </w:t>
      </w:r>
      <w:r w:rsidR="00781310" w:rsidRPr="003B7960">
        <w:rPr>
          <w:rFonts w:ascii="Cambria" w:hAnsi="Cambria"/>
          <w:sz w:val="20"/>
          <w:szCs w:val="20"/>
          <w:lang w:val="es-ES"/>
        </w:rPr>
        <w:t>no aportó prueba documental de tales aseveraciones</w:t>
      </w:r>
      <w:r w:rsidR="00067F9E" w:rsidRPr="003B7960">
        <w:rPr>
          <w:rFonts w:ascii="Cambria" w:hAnsi="Cambria"/>
          <w:sz w:val="20"/>
          <w:szCs w:val="20"/>
          <w:lang w:val="es-ES"/>
        </w:rPr>
        <w:t xml:space="preserve">. </w:t>
      </w:r>
    </w:p>
    <w:p w14:paraId="1E1D0552" w14:textId="77777777" w:rsidR="00067F9E" w:rsidRPr="003B7960" w:rsidRDefault="00067F9E" w:rsidP="00101DC6">
      <w:pPr>
        <w:pStyle w:val="ListParagraph"/>
        <w:tabs>
          <w:tab w:val="left" w:pos="426"/>
        </w:tabs>
        <w:ind w:left="0"/>
        <w:rPr>
          <w:rFonts w:ascii="Cambria" w:hAnsi="Cambria"/>
          <w:sz w:val="20"/>
          <w:szCs w:val="20"/>
          <w:lang w:val="es-ES"/>
        </w:rPr>
      </w:pPr>
    </w:p>
    <w:p w14:paraId="5A61EDF5" w14:textId="77777777" w:rsidR="00067F9E" w:rsidRPr="003B7960" w:rsidRDefault="00781310" w:rsidP="00101DC6">
      <w:pPr>
        <w:pStyle w:val="Heading3"/>
        <w:numPr>
          <w:ilvl w:val="0"/>
          <w:numId w:val="61"/>
        </w:numPr>
        <w:pBdr>
          <w:top w:val="nil"/>
          <w:left w:val="nil"/>
          <w:bottom w:val="nil"/>
          <w:right w:val="nil"/>
          <w:between w:val="nil"/>
          <w:bar w:val="nil"/>
        </w:pBdr>
        <w:tabs>
          <w:tab w:val="clear" w:pos="540"/>
          <w:tab w:val="left" w:pos="426"/>
        </w:tabs>
        <w:ind w:left="0" w:firstLine="0"/>
        <w:rPr>
          <w:lang w:val="es-ES"/>
        </w:rPr>
      </w:pPr>
      <w:bookmarkStart w:id="13" w:name="_Toc90557301"/>
      <w:r w:rsidRPr="003B7960">
        <w:rPr>
          <w:lang w:val="es-ES"/>
        </w:rPr>
        <w:t>Información</w:t>
      </w:r>
      <w:r w:rsidR="00067F9E" w:rsidRPr="003B7960">
        <w:rPr>
          <w:lang w:val="es-ES"/>
        </w:rPr>
        <w:t xml:space="preserve"> </w:t>
      </w:r>
      <w:r w:rsidRPr="003B7960">
        <w:rPr>
          <w:lang w:val="es-ES"/>
        </w:rPr>
        <w:t>sobre el procedimiento para pedir asilo en</w:t>
      </w:r>
      <w:r w:rsidR="00067F9E" w:rsidRPr="003B7960">
        <w:rPr>
          <w:lang w:val="es-ES"/>
        </w:rPr>
        <w:t xml:space="preserve"> </w:t>
      </w:r>
      <w:r w:rsidR="00B9011F" w:rsidRPr="003B7960">
        <w:rPr>
          <w:lang w:val="es-ES"/>
        </w:rPr>
        <w:t>las Bahamas</w:t>
      </w:r>
      <w:bookmarkEnd w:id="13"/>
    </w:p>
    <w:p w14:paraId="79F2C1AB" w14:textId="77777777" w:rsidR="00067F9E" w:rsidRPr="003B7960" w:rsidRDefault="00067F9E" w:rsidP="00101DC6">
      <w:pPr>
        <w:pStyle w:val="ListParagraph"/>
        <w:tabs>
          <w:tab w:val="left" w:pos="426"/>
        </w:tabs>
        <w:ind w:left="0"/>
        <w:rPr>
          <w:rFonts w:ascii="Cambria" w:hAnsi="Cambria"/>
          <w:sz w:val="20"/>
          <w:szCs w:val="20"/>
          <w:lang w:val="es-ES"/>
        </w:rPr>
      </w:pPr>
    </w:p>
    <w:p w14:paraId="70FCAC03"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AF2737" w:rsidRPr="003B7960">
        <w:rPr>
          <w:rFonts w:ascii="Cambria" w:hAnsi="Cambria"/>
          <w:sz w:val="20"/>
          <w:szCs w:val="20"/>
          <w:lang w:val="es-ES"/>
        </w:rPr>
        <w:t>observa que no hay desacuerdo entre las partes con respecto a la falta de leyes internas que reglamenten la determinación de la</w:t>
      </w:r>
      <w:r w:rsidR="00067F9E" w:rsidRPr="003B7960">
        <w:rPr>
          <w:rFonts w:ascii="Cambria" w:hAnsi="Cambria"/>
          <w:sz w:val="20"/>
          <w:szCs w:val="20"/>
          <w:lang w:val="es-ES"/>
        </w:rPr>
        <w:t xml:space="preserve"> </w:t>
      </w:r>
      <w:r w:rsidR="00BE1909" w:rsidRPr="003B7960">
        <w:rPr>
          <w:rFonts w:ascii="Cambria" w:hAnsi="Cambria"/>
          <w:sz w:val="20"/>
          <w:szCs w:val="20"/>
          <w:lang w:val="es-ES"/>
        </w:rPr>
        <w:t>condición de refugiado</w:t>
      </w:r>
      <w:r w:rsidR="00067F9E" w:rsidRPr="003B7960">
        <w:rPr>
          <w:rFonts w:ascii="Cambria" w:hAnsi="Cambria"/>
          <w:sz w:val="20"/>
          <w:szCs w:val="20"/>
          <w:lang w:val="es-ES"/>
        </w:rPr>
        <w:t xml:space="preserv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AF2737" w:rsidRPr="003B7960">
        <w:rPr>
          <w:rFonts w:ascii="Cambria" w:hAnsi="Cambria"/>
          <w:sz w:val="20"/>
          <w:szCs w:val="20"/>
          <w:lang w:val="es-ES"/>
        </w:rPr>
        <w:t>hizo referencia a un proyecto de ley (o reglamento) sobre la c</w:t>
      </w:r>
      <w:r w:rsidR="00BE1909" w:rsidRPr="003B7960">
        <w:rPr>
          <w:rFonts w:ascii="Cambria" w:hAnsi="Cambria"/>
          <w:sz w:val="20"/>
          <w:szCs w:val="20"/>
          <w:lang w:val="es-ES"/>
        </w:rPr>
        <w:t>ondición de refugiado</w:t>
      </w:r>
      <w:r w:rsidR="00067F9E" w:rsidRPr="003B7960">
        <w:rPr>
          <w:rFonts w:ascii="Cambria" w:hAnsi="Cambria"/>
          <w:sz w:val="20"/>
          <w:szCs w:val="20"/>
          <w:lang w:val="es-ES"/>
        </w:rPr>
        <w:t xml:space="preserve"> </w:t>
      </w:r>
      <w:r w:rsidR="00AF2737" w:rsidRPr="003B7960">
        <w:rPr>
          <w:rFonts w:ascii="Cambria" w:hAnsi="Cambria"/>
          <w:sz w:val="20"/>
          <w:szCs w:val="20"/>
          <w:lang w:val="es-ES"/>
        </w:rPr>
        <w:t xml:space="preserve">y el asilo </w:t>
      </w:r>
      <w:r w:rsidR="005A478A" w:rsidRPr="003B7960">
        <w:rPr>
          <w:rFonts w:ascii="Cambria" w:hAnsi="Cambria"/>
          <w:sz w:val="20"/>
          <w:szCs w:val="20"/>
          <w:lang w:val="es-ES"/>
        </w:rPr>
        <w:t xml:space="preserve">que se elaboró en </w:t>
      </w:r>
      <w:r w:rsidR="00067F9E" w:rsidRPr="003B7960">
        <w:rPr>
          <w:rFonts w:ascii="Cambria" w:hAnsi="Cambria"/>
          <w:sz w:val="20"/>
          <w:szCs w:val="20"/>
          <w:lang w:val="es-ES"/>
        </w:rPr>
        <w:t xml:space="preserve">Barbados, </w:t>
      </w:r>
      <w:r w:rsidR="00E2151D" w:rsidRPr="003B7960">
        <w:rPr>
          <w:rFonts w:ascii="Cambria" w:hAnsi="Cambria"/>
          <w:sz w:val="20"/>
          <w:szCs w:val="20"/>
          <w:lang w:val="es-ES"/>
        </w:rPr>
        <w:t xml:space="preserve">un tercer </w:t>
      </w:r>
      <w:r w:rsidR="005A478A" w:rsidRPr="003B7960">
        <w:rPr>
          <w:rFonts w:ascii="Cambria" w:hAnsi="Cambria"/>
          <w:sz w:val="20"/>
          <w:szCs w:val="20"/>
          <w:lang w:val="es-ES"/>
        </w:rPr>
        <w:t>Estado</w:t>
      </w:r>
      <w:r w:rsidR="00E2151D" w:rsidRPr="003B7960">
        <w:rPr>
          <w:rFonts w:ascii="Cambria" w:hAnsi="Cambria"/>
          <w:sz w:val="20"/>
          <w:szCs w:val="20"/>
          <w:lang w:val="es-ES"/>
        </w:rPr>
        <w:t xml:space="preserve"> inconexo</w:t>
      </w:r>
      <w:r w:rsidR="005A478A" w:rsidRPr="003B7960">
        <w:rPr>
          <w:rFonts w:ascii="Cambria" w:hAnsi="Cambria"/>
          <w:sz w:val="20"/>
          <w:szCs w:val="20"/>
          <w:lang w:val="es-ES"/>
        </w:rPr>
        <w:t>, sin explicar su pertinencia para el caso de autos</w:t>
      </w:r>
      <w:r w:rsidR="00067F9E" w:rsidRPr="003B7960">
        <w:rPr>
          <w:rStyle w:val="FootnoteReference"/>
          <w:rFonts w:ascii="Cambria" w:hAnsi="Cambria"/>
          <w:sz w:val="20"/>
          <w:szCs w:val="20"/>
          <w:lang w:val="es-ES"/>
        </w:rPr>
        <w:footnoteReference w:id="73"/>
      </w:r>
      <w:r w:rsidR="005A478A" w:rsidRPr="003B7960">
        <w:rPr>
          <w:rFonts w:ascii="Cambria" w:hAnsi="Cambria"/>
          <w:sz w:val="20"/>
          <w:szCs w:val="20"/>
          <w:lang w:val="es-ES"/>
        </w:rPr>
        <w:t>.</w:t>
      </w:r>
      <w:r w:rsidR="00067F9E" w:rsidRPr="003B7960">
        <w:rPr>
          <w:rFonts w:ascii="Cambria" w:hAnsi="Cambria"/>
          <w:sz w:val="20"/>
          <w:szCs w:val="20"/>
          <w:lang w:val="es-ES"/>
        </w:rPr>
        <w:t xml:space="preserve"> </w:t>
      </w: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5A478A" w:rsidRPr="003B7960">
        <w:rPr>
          <w:rFonts w:ascii="Cambria" w:hAnsi="Cambria"/>
          <w:sz w:val="20"/>
          <w:szCs w:val="20"/>
          <w:lang w:val="es-ES"/>
        </w:rPr>
        <w:t xml:space="preserve">observa asimismo que, </w:t>
      </w:r>
      <w:r w:rsidR="00DD1AB0" w:rsidRPr="003B7960">
        <w:rPr>
          <w:rFonts w:ascii="Cambria" w:hAnsi="Cambria"/>
          <w:sz w:val="20"/>
          <w:szCs w:val="20"/>
          <w:lang w:val="es-ES"/>
        </w:rPr>
        <w:t>según</w:t>
      </w:r>
      <w:r w:rsidR="005A478A" w:rsidRPr="003B7960">
        <w:rPr>
          <w:rFonts w:ascii="Cambria" w:hAnsi="Cambria"/>
          <w:sz w:val="20"/>
          <w:szCs w:val="20"/>
          <w:lang w:val="es-ES"/>
        </w:rPr>
        <w:t xml:space="preserve"> la Ley de Inmigración de las Bahamas, toda persona que llega a su territorio sin una visa apropiada es un “inmigrante ilegal”.</w:t>
      </w:r>
    </w:p>
    <w:p w14:paraId="285FE8B3" w14:textId="77777777" w:rsidR="00067F9E" w:rsidRPr="003B7960" w:rsidRDefault="00067F9E" w:rsidP="00101DC6">
      <w:pPr>
        <w:pStyle w:val="ListParagraph"/>
        <w:tabs>
          <w:tab w:val="left" w:pos="426"/>
        </w:tabs>
        <w:ind w:left="0"/>
        <w:rPr>
          <w:rFonts w:ascii="Cambria" w:hAnsi="Cambria"/>
          <w:sz w:val="20"/>
          <w:szCs w:val="20"/>
          <w:lang w:val="es-ES"/>
        </w:rPr>
      </w:pPr>
    </w:p>
    <w:p w14:paraId="026EED61" w14:textId="77777777" w:rsidR="00067F9E" w:rsidRPr="003B7960" w:rsidRDefault="005A478A"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lastRenderedPageBreak/>
        <w:t>Con respecto al procedimiento administrativo para determinar la condición de los</w:t>
      </w:r>
      <w:r w:rsidR="00067F9E" w:rsidRPr="003B7960">
        <w:rPr>
          <w:rFonts w:ascii="Cambria" w:hAnsi="Cambria"/>
          <w:sz w:val="20"/>
          <w:szCs w:val="20"/>
          <w:lang w:val="es-ES"/>
        </w:rPr>
        <w:t xml:space="preserve"> </w:t>
      </w:r>
      <w:r w:rsidR="00772786" w:rsidRPr="003B7960">
        <w:rPr>
          <w:rFonts w:ascii="Cambria" w:hAnsi="Cambria"/>
          <w:sz w:val="20"/>
          <w:szCs w:val="20"/>
          <w:lang w:val="es-ES"/>
        </w:rPr>
        <w:t>solicitantes de asilo</w:t>
      </w:r>
      <w:r w:rsidR="00067F9E" w:rsidRPr="003B7960">
        <w:rPr>
          <w:rFonts w:ascii="Cambria" w:hAnsi="Cambria"/>
          <w:sz w:val="20"/>
          <w:szCs w:val="20"/>
          <w:lang w:val="es-ES"/>
        </w:rPr>
        <w:t xml:space="preserve">, </w:t>
      </w:r>
      <w:r w:rsidRPr="003B7960">
        <w:rPr>
          <w:rFonts w:ascii="Cambria" w:hAnsi="Cambria"/>
          <w:sz w:val="20"/>
          <w:szCs w:val="20"/>
          <w:lang w:val="es-ES"/>
        </w:rPr>
        <w:t>en el expediente del caso se han incorporado varios formularios y cuestionarios. El formulario más básico es el perfil de los cubanos, que está en inglés y en español, en el cual se pide al solicitante que proporcione al Departamento de Inmigraci</w:t>
      </w:r>
      <w:r w:rsidR="00D94477" w:rsidRPr="003B7960">
        <w:rPr>
          <w:rFonts w:ascii="Cambria" w:hAnsi="Cambria"/>
          <w:sz w:val="20"/>
          <w:szCs w:val="20"/>
          <w:lang w:val="es-ES"/>
        </w:rPr>
        <w:t>ón</w:t>
      </w:r>
      <w:r w:rsidRPr="003B7960">
        <w:rPr>
          <w:rFonts w:ascii="Cambria" w:hAnsi="Cambria"/>
          <w:sz w:val="20"/>
          <w:szCs w:val="20"/>
          <w:lang w:val="es-ES"/>
        </w:rPr>
        <w:t xml:space="preserve"> d</w:t>
      </w:r>
      <w:r w:rsidR="00A332F5" w:rsidRPr="003B7960">
        <w:rPr>
          <w:rFonts w:ascii="Cambria" w:hAnsi="Cambria"/>
          <w:sz w:val="20"/>
          <w:szCs w:val="20"/>
          <w:lang w:val="es-ES"/>
        </w:rPr>
        <w:t>el Estado</w:t>
      </w:r>
      <w:r w:rsidRPr="003B7960">
        <w:rPr>
          <w:rFonts w:ascii="Cambria" w:hAnsi="Cambria"/>
          <w:sz w:val="20"/>
          <w:szCs w:val="20"/>
          <w:lang w:val="es-ES"/>
        </w:rPr>
        <w:t xml:space="preserve"> información </w:t>
      </w:r>
      <w:r w:rsidR="00067F9E" w:rsidRPr="003B7960">
        <w:rPr>
          <w:rFonts w:ascii="Cambria" w:hAnsi="Cambria"/>
          <w:sz w:val="20"/>
          <w:szCs w:val="20"/>
          <w:lang w:val="es-ES"/>
        </w:rPr>
        <w:t xml:space="preserve">personal </w:t>
      </w:r>
      <w:r w:rsidRPr="003B7960">
        <w:rPr>
          <w:rFonts w:ascii="Cambria" w:hAnsi="Cambria"/>
          <w:sz w:val="20"/>
          <w:szCs w:val="20"/>
          <w:lang w:val="es-ES"/>
        </w:rPr>
        <w:t>básica (nombre, estado civil y fecha de nacimiento) y una fotografía</w:t>
      </w:r>
      <w:r w:rsidR="00067F9E" w:rsidRPr="003B7960">
        <w:rPr>
          <w:rStyle w:val="FootnoteReference"/>
          <w:rFonts w:ascii="Cambria" w:hAnsi="Cambria"/>
          <w:sz w:val="20"/>
          <w:szCs w:val="20"/>
          <w:lang w:val="es-ES"/>
        </w:rPr>
        <w:footnoteReference w:id="74"/>
      </w:r>
      <w:r w:rsidRPr="003B7960">
        <w:rPr>
          <w:rFonts w:ascii="Cambria" w:hAnsi="Cambria"/>
          <w:sz w:val="20"/>
          <w:szCs w:val="20"/>
          <w:lang w:val="es-ES"/>
        </w:rPr>
        <w:t xml:space="preserve">. No hay un formulario equivalente para los haitianos. </w:t>
      </w:r>
      <w:r w:rsidR="009111BE" w:rsidRPr="003B7960">
        <w:rPr>
          <w:rFonts w:ascii="Cambria" w:hAnsi="Cambria"/>
          <w:sz w:val="20"/>
          <w:szCs w:val="20"/>
          <w:lang w:val="es-ES"/>
        </w:rPr>
        <w:t>En el formulario de información personal se piden datos personales básicos</w:t>
      </w:r>
      <w:r w:rsidR="00E31AC4" w:rsidRPr="003B7960">
        <w:rPr>
          <w:rFonts w:ascii="Cambria" w:hAnsi="Cambria"/>
          <w:sz w:val="20"/>
          <w:szCs w:val="20"/>
          <w:lang w:val="es-ES"/>
        </w:rPr>
        <w:t xml:space="preserve"> del solicitante, </w:t>
      </w:r>
      <w:r w:rsidR="009111BE" w:rsidRPr="003B7960">
        <w:rPr>
          <w:rFonts w:ascii="Cambria" w:hAnsi="Cambria"/>
          <w:sz w:val="20"/>
          <w:szCs w:val="20"/>
          <w:lang w:val="es-ES"/>
        </w:rPr>
        <w:t>información sobre el país de residencia anterior y las razones por las cuales se fue de su país de origen o del país de última residencia</w:t>
      </w:r>
      <w:r w:rsidR="00E31AC4" w:rsidRPr="003B7960">
        <w:rPr>
          <w:rFonts w:ascii="Cambria" w:hAnsi="Cambria"/>
          <w:sz w:val="20"/>
          <w:szCs w:val="20"/>
          <w:lang w:val="es-ES"/>
        </w:rPr>
        <w:t xml:space="preserve">. Asimismo, </w:t>
      </w:r>
      <w:r w:rsidR="001E3A45" w:rsidRPr="003B7960">
        <w:rPr>
          <w:rFonts w:ascii="Cambria" w:hAnsi="Cambria"/>
          <w:sz w:val="20"/>
          <w:szCs w:val="20"/>
          <w:lang w:val="es-ES"/>
        </w:rPr>
        <w:t>se</w:t>
      </w:r>
      <w:r w:rsidR="009111BE" w:rsidRPr="003B7960">
        <w:rPr>
          <w:rFonts w:ascii="Cambria" w:hAnsi="Cambria"/>
          <w:sz w:val="20"/>
          <w:szCs w:val="20"/>
          <w:lang w:val="es-ES"/>
        </w:rPr>
        <w:t xml:space="preserve"> pregunta al solicitante si tiene miedo de que lo devuelvan a su país de origen o de que lo expulsen de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9111BE" w:rsidRPr="003B7960">
        <w:rPr>
          <w:rFonts w:ascii="Cambria" w:hAnsi="Cambria"/>
          <w:sz w:val="20"/>
          <w:szCs w:val="20"/>
          <w:lang w:val="es-ES"/>
        </w:rPr>
        <w:t xml:space="preserve">si tiene documentos de viaje o de identidad y si tiene familiares o amigos en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9111BE" w:rsidRPr="003B7960">
        <w:rPr>
          <w:rFonts w:ascii="Cambria" w:hAnsi="Cambria"/>
          <w:sz w:val="20"/>
          <w:szCs w:val="20"/>
          <w:lang w:val="es-ES"/>
        </w:rPr>
        <w:t>Este formulario está en i</w:t>
      </w:r>
      <w:r w:rsidR="001E3A45" w:rsidRPr="003B7960">
        <w:rPr>
          <w:rFonts w:ascii="Cambria" w:hAnsi="Cambria"/>
          <w:sz w:val="20"/>
          <w:szCs w:val="20"/>
          <w:lang w:val="es-ES"/>
        </w:rPr>
        <w:t>nglés, español, francés y creole</w:t>
      </w:r>
      <w:r w:rsidR="00067F9E" w:rsidRPr="003B7960">
        <w:rPr>
          <w:rStyle w:val="FootnoteReference"/>
          <w:rFonts w:ascii="Cambria" w:hAnsi="Cambria"/>
          <w:sz w:val="20"/>
          <w:szCs w:val="20"/>
          <w:lang w:val="es-ES"/>
        </w:rPr>
        <w:footnoteReference w:id="75"/>
      </w:r>
      <w:r w:rsidR="009111BE" w:rsidRPr="003B7960">
        <w:rPr>
          <w:rFonts w:ascii="Cambria" w:hAnsi="Cambria"/>
          <w:sz w:val="20"/>
          <w:szCs w:val="20"/>
          <w:lang w:val="es-ES"/>
        </w:rPr>
        <w:t>. E</w:t>
      </w:r>
      <w:r w:rsidR="00A332F5" w:rsidRPr="003B7960">
        <w:rPr>
          <w:rFonts w:ascii="Cambria" w:hAnsi="Cambria"/>
          <w:sz w:val="20"/>
          <w:szCs w:val="20"/>
          <w:lang w:val="es-ES"/>
        </w:rPr>
        <w:t>l Estado</w:t>
      </w:r>
      <w:r w:rsidR="009111BE" w:rsidRPr="003B7960">
        <w:rPr>
          <w:rFonts w:ascii="Cambria" w:hAnsi="Cambria"/>
          <w:sz w:val="20"/>
          <w:szCs w:val="20"/>
          <w:lang w:val="es-ES"/>
        </w:rPr>
        <w:t xml:space="preserve"> proporcionó otros formularios genéricos con preguntas para los </w:t>
      </w:r>
      <w:r w:rsidR="00772786" w:rsidRPr="003B7960">
        <w:rPr>
          <w:rFonts w:ascii="Cambria" w:hAnsi="Cambria"/>
          <w:sz w:val="20"/>
          <w:szCs w:val="20"/>
          <w:lang w:val="es-ES"/>
        </w:rPr>
        <w:t>refugiados</w:t>
      </w:r>
      <w:r w:rsidR="00067F9E" w:rsidRPr="003B7960">
        <w:rPr>
          <w:rFonts w:ascii="Cambria" w:hAnsi="Cambria"/>
          <w:sz w:val="20"/>
          <w:szCs w:val="20"/>
          <w:lang w:val="es-ES"/>
        </w:rPr>
        <w:t xml:space="preserve"> </w:t>
      </w:r>
      <w:r w:rsidR="009111BE" w:rsidRPr="003B7960">
        <w:rPr>
          <w:rFonts w:ascii="Cambria" w:hAnsi="Cambria"/>
          <w:sz w:val="20"/>
          <w:szCs w:val="20"/>
          <w:lang w:val="es-ES"/>
        </w:rPr>
        <w:t>y preguntas sobre la d</w:t>
      </w:r>
      <w:r w:rsidR="00133A5D" w:rsidRPr="003B7960">
        <w:rPr>
          <w:rFonts w:ascii="Cambria" w:hAnsi="Cambria"/>
          <w:sz w:val="20"/>
          <w:szCs w:val="20"/>
          <w:lang w:val="es-ES"/>
        </w:rPr>
        <w:t>etención</w:t>
      </w:r>
      <w:r w:rsidR="00067F9E" w:rsidRPr="003B7960">
        <w:rPr>
          <w:rFonts w:ascii="Cambria" w:hAnsi="Cambria"/>
          <w:sz w:val="20"/>
          <w:szCs w:val="20"/>
          <w:lang w:val="es-ES"/>
        </w:rPr>
        <w:t xml:space="preserve"> </w:t>
      </w:r>
      <w:r w:rsidR="009111BE" w:rsidRPr="003B7960">
        <w:rPr>
          <w:rFonts w:ascii="Cambria" w:hAnsi="Cambria"/>
          <w:sz w:val="20"/>
          <w:szCs w:val="20"/>
          <w:lang w:val="es-ES"/>
        </w:rPr>
        <w:t xml:space="preserve">en inglés, español y </w:t>
      </w:r>
      <w:r w:rsidR="001E3A45" w:rsidRPr="003B7960">
        <w:rPr>
          <w:rFonts w:ascii="Cambria" w:hAnsi="Cambria"/>
          <w:sz w:val="20"/>
          <w:szCs w:val="20"/>
          <w:lang w:val="es-ES"/>
        </w:rPr>
        <w:t>creole</w:t>
      </w:r>
      <w:r w:rsidR="00067F9E" w:rsidRPr="003B7960">
        <w:rPr>
          <w:rStyle w:val="FootnoteReference"/>
          <w:rFonts w:ascii="Cambria" w:hAnsi="Cambria"/>
          <w:sz w:val="20"/>
          <w:szCs w:val="20"/>
          <w:lang w:val="es-ES"/>
        </w:rPr>
        <w:footnoteReference w:id="76"/>
      </w:r>
      <w:r w:rsidR="009111BE" w:rsidRPr="003B7960">
        <w:rPr>
          <w:rFonts w:ascii="Cambria" w:hAnsi="Cambria"/>
          <w:sz w:val="20"/>
          <w:szCs w:val="20"/>
          <w:lang w:val="es-ES"/>
        </w:rPr>
        <w:t xml:space="preserve">, así como dos cuestionarios para la determinación de la </w:t>
      </w:r>
      <w:r w:rsidR="00BE1909" w:rsidRPr="003B7960">
        <w:rPr>
          <w:rFonts w:ascii="Cambria" w:hAnsi="Cambria"/>
          <w:sz w:val="20"/>
          <w:szCs w:val="20"/>
          <w:lang w:val="es-ES"/>
        </w:rPr>
        <w:t>condición de refugiado</w:t>
      </w:r>
      <w:r w:rsidR="009111BE" w:rsidRPr="003B7960">
        <w:rPr>
          <w:rFonts w:ascii="Cambria" w:hAnsi="Cambria"/>
          <w:sz w:val="20"/>
          <w:szCs w:val="20"/>
          <w:lang w:val="es-ES"/>
        </w:rPr>
        <w:t xml:space="preserve">, uno en inglés y en español y otro en </w:t>
      </w:r>
      <w:r w:rsidR="001E3A45" w:rsidRPr="003B7960">
        <w:rPr>
          <w:rFonts w:ascii="Cambria" w:hAnsi="Cambria"/>
          <w:sz w:val="20"/>
          <w:szCs w:val="20"/>
          <w:lang w:val="es-ES"/>
        </w:rPr>
        <w:t>creole</w:t>
      </w:r>
      <w:r w:rsidR="009111BE" w:rsidRPr="003B7960">
        <w:rPr>
          <w:rFonts w:ascii="Cambria" w:hAnsi="Cambria"/>
          <w:sz w:val="20"/>
          <w:szCs w:val="20"/>
          <w:lang w:val="es-ES"/>
        </w:rPr>
        <w:t xml:space="preserve"> y en francés</w:t>
      </w:r>
      <w:r w:rsidR="00067F9E" w:rsidRPr="003B7960">
        <w:rPr>
          <w:rStyle w:val="FootnoteReference"/>
          <w:rFonts w:ascii="Cambria" w:hAnsi="Cambria"/>
          <w:sz w:val="20"/>
          <w:szCs w:val="20"/>
          <w:lang w:val="es-ES"/>
        </w:rPr>
        <w:footnoteReference w:id="77"/>
      </w:r>
      <w:r w:rsidR="009111BE" w:rsidRPr="003B7960">
        <w:rPr>
          <w:rFonts w:ascii="Cambria" w:hAnsi="Cambria"/>
          <w:sz w:val="20"/>
          <w:szCs w:val="20"/>
          <w:lang w:val="es-ES"/>
        </w:rPr>
        <w:t>.</w:t>
      </w:r>
      <w:r w:rsidR="00067F9E" w:rsidRPr="003B7960">
        <w:rPr>
          <w:rFonts w:ascii="Cambria" w:hAnsi="Cambria"/>
          <w:sz w:val="20"/>
          <w:szCs w:val="20"/>
          <w:lang w:val="es-ES"/>
        </w:rPr>
        <w:t xml:space="preserv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9111BE" w:rsidRPr="003B7960">
        <w:rPr>
          <w:rFonts w:ascii="Cambria" w:hAnsi="Cambria"/>
          <w:sz w:val="20"/>
          <w:szCs w:val="20"/>
          <w:lang w:val="es-ES"/>
        </w:rPr>
        <w:t>afirma que</w:t>
      </w:r>
      <w:r w:rsidR="007A35DC" w:rsidRPr="003B7960">
        <w:rPr>
          <w:rFonts w:ascii="Cambria" w:hAnsi="Cambria"/>
          <w:sz w:val="20"/>
          <w:szCs w:val="20"/>
          <w:lang w:val="es-ES"/>
        </w:rPr>
        <w:t xml:space="preserve"> hay funcionarios de inmigraci</w:t>
      </w:r>
      <w:r w:rsidR="00D94477" w:rsidRPr="003B7960">
        <w:rPr>
          <w:rFonts w:ascii="Cambria" w:hAnsi="Cambria"/>
          <w:sz w:val="20"/>
          <w:szCs w:val="20"/>
          <w:lang w:val="es-ES"/>
        </w:rPr>
        <w:t>ón</w:t>
      </w:r>
      <w:r w:rsidR="007A35DC" w:rsidRPr="003B7960">
        <w:rPr>
          <w:rFonts w:ascii="Cambria" w:hAnsi="Cambria"/>
          <w:sz w:val="20"/>
          <w:szCs w:val="20"/>
          <w:lang w:val="es-ES"/>
        </w:rPr>
        <w:t xml:space="preserve"> que hablan español y </w:t>
      </w:r>
      <w:r w:rsidR="001E3A45" w:rsidRPr="003B7960">
        <w:rPr>
          <w:rFonts w:ascii="Cambria" w:hAnsi="Cambria"/>
          <w:sz w:val="20"/>
          <w:szCs w:val="20"/>
          <w:lang w:val="es-ES"/>
        </w:rPr>
        <w:t>creole</w:t>
      </w:r>
      <w:r w:rsidR="007A35DC" w:rsidRPr="003B7960">
        <w:rPr>
          <w:rFonts w:ascii="Cambria" w:hAnsi="Cambria"/>
          <w:sz w:val="20"/>
          <w:szCs w:val="20"/>
          <w:lang w:val="es-ES"/>
        </w:rPr>
        <w:t xml:space="preserve"> y pueden ayudar a llenar estos formularios</w:t>
      </w:r>
      <w:r w:rsidR="00067F9E" w:rsidRPr="003B7960">
        <w:rPr>
          <w:rStyle w:val="FootnoteReference"/>
          <w:rFonts w:ascii="Cambria" w:hAnsi="Cambria"/>
          <w:sz w:val="20"/>
          <w:szCs w:val="20"/>
          <w:lang w:val="es-ES"/>
        </w:rPr>
        <w:footnoteReference w:id="78"/>
      </w:r>
      <w:r w:rsidR="007A35DC" w:rsidRPr="003B7960">
        <w:rPr>
          <w:rFonts w:ascii="Cambria" w:hAnsi="Cambria"/>
          <w:sz w:val="20"/>
          <w:szCs w:val="20"/>
          <w:lang w:val="es-ES"/>
        </w:rPr>
        <w:t>.</w:t>
      </w:r>
      <w:r w:rsidR="00067F9E" w:rsidRPr="003B7960">
        <w:rPr>
          <w:rFonts w:ascii="Cambria" w:hAnsi="Cambria"/>
          <w:sz w:val="20"/>
          <w:szCs w:val="20"/>
          <w:lang w:val="es-ES"/>
        </w:rPr>
        <w:t xml:space="preserve"> </w:t>
      </w:r>
    </w:p>
    <w:p w14:paraId="74954740"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1DDB581E"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7A35DC" w:rsidRPr="003B7960">
        <w:rPr>
          <w:rFonts w:ascii="Cambria" w:hAnsi="Cambria"/>
          <w:sz w:val="20"/>
          <w:szCs w:val="20"/>
          <w:lang w:val="es-ES"/>
        </w:rPr>
        <w:t xml:space="preserve">no encontró pruebas de que se hubieran proporcionado estos formularios y cuestionarios a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o</w:t>
      </w:r>
      <w:r w:rsidR="007A35DC" w:rsidRPr="003B7960">
        <w:rPr>
          <w:rFonts w:ascii="Cambria" w:hAnsi="Cambria"/>
          <w:sz w:val="20"/>
          <w:szCs w:val="20"/>
          <w:lang w:val="es-ES"/>
        </w:rPr>
        <w:t xml:space="preserve"> </w:t>
      </w:r>
      <w:r w:rsidR="00E31AC4" w:rsidRPr="003B7960">
        <w:rPr>
          <w:rFonts w:ascii="Cambria" w:hAnsi="Cambria"/>
          <w:sz w:val="20"/>
          <w:szCs w:val="20"/>
          <w:lang w:val="es-ES"/>
        </w:rPr>
        <w:t xml:space="preserve">de </w:t>
      </w:r>
      <w:r w:rsidR="007A35DC" w:rsidRPr="003B7960">
        <w:rPr>
          <w:rFonts w:ascii="Cambria" w:hAnsi="Cambria"/>
          <w:sz w:val="20"/>
          <w:szCs w:val="20"/>
          <w:lang w:val="es-ES"/>
        </w:rPr>
        <w:t>que las autoridades pertinentes los hubieran llenado y considerado posteriormente y encontró comprobantes limitados de entrevistas. Por ejemplo, una de las presuntas víctimas</w:t>
      </w:r>
      <w:r w:rsidR="00067F9E" w:rsidRPr="003B7960">
        <w:rPr>
          <w:rFonts w:ascii="Cambria" w:hAnsi="Cambria"/>
          <w:sz w:val="20"/>
          <w:szCs w:val="20"/>
          <w:lang w:val="es-ES"/>
        </w:rPr>
        <w:t xml:space="preserve">, </w:t>
      </w:r>
      <w:r w:rsidR="007A35DC" w:rsidRPr="003B7960">
        <w:rPr>
          <w:rFonts w:ascii="Cambria" w:hAnsi="Cambria"/>
          <w:sz w:val="20"/>
          <w:szCs w:val="20"/>
          <w:lang w:val="es-ES"/>
        </w:rPr>
        <w:t xml:space="preserve">el señor </w:t>
      </w:r>
      <w:r w:rsidR="00067F9E" w:rsidRPr="003B7960">
        <w:rPr>
          <w:rFonts w:ascii="Cambria" w:hAnsi="Cambria"/>
          <w:sz w:val="20"/>
          <w:szCs w:val="20"/>
          <w:lang w:val="es-ES"/>
        </w:rPr>
        <w:t xml:space="preserve">Osvaldo Raimundo de </w:t>
      </w:r>
      <w:r w:rsidR="007A35DC" w:rsidRPr="003B7960">
        <w:rPr>
          <w:rFonts w:ascii="Cambria" w:hAnsi="Cambria"/>
          <w:sz w:val="20"/>
          <w:szCs w:val="20"/>
          <w:lang w:val="es-ES"/>
        </w:rPr>
        <w:t>León</w:t>
      </w:r>
      <w:r w:rsidR="00067F9E" w:rsidRPr="003B7960">
        <w:rPr>
          <w:rFonts w:ascii="Cambria" w:hAnsi="Cambria"/>
          <w:sz w:val="20"/>
          <w:szCs w:val="20"/>
          <w:lang w:val="es-ES"/>
        </w:rPr>
        <w:t xml:space="preserve"> </w:t>
      </w:r>
      <w:proofErr w:type="spellStart"/>
      <w:r w:rsidR="00067F9E" w:rsidRPr="003B7960">
        <w:rPr>
          <w:rFonts w:ascii="Cambria" w:hAnsi="Cambria"/>
          <w:sz w:val="20"/>
          <w:szCs w:val="20"/>
          <w:lang w:val="es-ES"/>
        </w:rPr>
        <w:t>Alpizar</w:t>
      </w:r>
      <w:proofErr w:type="spellEnd"/>
      <w:r w:rsidR="00067F9E" w:rsidRPr="003B7960">
        <w:rPr>
          <w:rFonts w:ascii="Cambria" w:hAnsi="Cambria"/>
          <w:sz w:val="20"/>
          <w:szCs w:val="20"/>
          <w:lang w:val="es-ES"/>
        </w:rPr>
        <w:t xml:space="preserve">, </w:t>
      </w:r>
      <w:r w:rsidR="007A35DC" w:rsidRPr="003B7960">
        <w:rPr>
          <w:rFonts w:ascii="Cambria" w:hAnsi="Cambria"/>
          <w:sz w:val="20"/>
          <w:szCs w:val="20"/>
          <w:lang w:val="es-ES"/>
        </w:rPr>
        <w:t xml:space="preserve">que fue deportado el </w:t>
      </w:r>
      <w:r w:rsidR="00067F9E" w:rsidRPr="003B7960">
        <w:rPr>
          <w:rFonts w:ascii="Cambria" w:hAnsi="Cambria"/>
          <w:sz w:val="20"/>
          <w:szCs w:val="20"/>
          <w:lang w:val="es-ES"/>
        </w:rPr>
        <w:t>18</w:t>
      </w:r>
      <w:r w:rsidR="007A35DC" w:rsidRPr="003B7960">
        <w:rPr>
          <w:rFonts w:ascii="Cambria" w:hAnsi="Cambria"/>
          <w:sz w:val="20"/>
          <w:szCs w:val="20"/>
          <w:lang w:val="es-ES"/>
        </w:rPr>
        <w:t xml:space="preserve"> de agosto de</w:t>
      </w:r>
      <w:r w:rsidR="00067F9E" w:rsidRPr="003B7960">
        <w:rPr>
          <w:rFonts w:ascii="Cambria" w:hAnsi="Cambria"/>
          <w:sz w:val="20"/>
          <w:szCs w:val="20"/>
          <w:lang w:val="es-ES"/>
        </w:rPr>
        <w:t xml:space="preserve"> 1998</w:t>
      </w:r>
      <w:r w:rsidR="00067F9E" w:rsidRPr="003B7960">
        <w:rPr>
          <w:rStyle w:val="FootnoteReference"/>
          <w:rFonts w:ascii="Cambria" w:hAnsi="Cambria"/>
          <w:sz w:val="20"/>
          <w:szCs w:val="20"/>
          <w:lang w:val="es-ES"/>
        </w:rPr>
        <w:footnoteReference w:id="79"/>
      </w:r>
      <w:r w:rsidR="007A35DC" w:rsidRPr="003B7960">
        <w:rPr>
          <w:rFonts w:ascii="Cambria" w:hAnsi="Cambria"/>
          <w:sz w:val="20"/>
          <w:szCs w:val="20"/>
          <w:lang w:val="es-ES"/>
        </w:rPr>
        <w:t>,</w:t>
      </w:r>
      <w:r w:rsidR="00067F9E" w:rsidRPr="003B7960">
        <w:rPr>
          <w:rFonts w:ascii="Cambria" w:hAnsi="Cambria"/>
          <w:sz w:val="20"/>
          <w:szCs w:val="20"/>
          <w:lang w:val="es-ES"/>
        </w:rPr>
        <w:t xml:space="preserve"> </w:t>
      </w:r>
      <w:r w:rsidR="007A35DC" w:rsidRPr="003B7960">
        <w:rPr>
          <w:rFonts w:ascii="Cambria" w:hAnsi="Cambria"/>
          <w:sz w:val="20"/>
          <w:szCs w:val="20"/>
          <w:lang w:val="es-ES"/>
        </w:rPr>
        <w:t xml:space="preserve">le dijo a un funcionario que era refugiado y le </w:t>
      </w:r>
      <w:r w:rsidR="00E31AC4" w:rsidRPr="003B7960">
        <w:rPr>
          <w:rFonts w:ascii="Cambria" w:hAnsi="Cambria"/>
          <w:sz w:val="20"/>
          <w:szCs w:val="20"/>
          <w:lang w:val="es-ES"/>
        </w:rPr>
        <w:t xml:space="preserve">respondieron </w:t>
      </w:r>
      <w:r w:rsidR="007A35DC" w:rsidRPr="003B7960">
        <w:rPr>
          <w:rFonts w:ascii="Cambria" w:hAnsi="Cambria"/>
          <w:sz w:val="20"/>
          <w:szCs w:val="20"/>
          <w:lang w:val="es-ES"/>
        </w:rPr>
        <w:t>que no podían hacer nada al respecto</w:t>
      </w:r>
      <w:r w:rsidR="00067F9E" w:rsidRPr="003B7960">
        <w:rPr>
          <w:rStyle w:val="FootnoteReference"/>
          <w:rFonts w:ascii="Cambria" w:hAnsi="Cambria"/>
          <w:sz w:val="20"/>
          <w:szCs w:val="20"/>
          <w:lang w:val="es-ES"/>
        </w:rPr>
        <w:footnoteReference w:id="80"/>
      </w:r>
      <w:r w:rsidR="007A35DC" w:rsidRPr="003B7960">
        <w:rPr>
          <w:rFonts w:ascii="Cambria" w:hAnsi="Cambria"/>
          <w:sz w:val="20"/>
          <w:szCs w:val="20"/>
          <w:lang w:val="es-ES"/>
        </w:rPr>
        <w:t>.</w:t>
      </w:r>
    </w:p>
    <w:p w14:paraId="02D036AB" w14:textId="77777777" w:rsidR="00067F9E" w:rsidRPr="003B7960" w:rsidRDefault="00067F9E" w:rsidP="00101DC6">
      <w:pPr>
        <w:pStyle w:val="ListParagraph"/>
        <w:tabs>
          <w:tab w:val="left" w:pos="426"/>
        </w:tabs>
        <w:ind w:left="0"/>
        <w:rPr>
          <w:rFonts w:ascii="Cambria" w:hAnsi="Cambria"/>
          <w:sz w:val="20"/>
          <w:szCs w:val="20"/>
          <w:lang w:val="es-ES"/>
        </w:rPr>
      </w:pPr>
    </w:p>
    <w:p w14:paraId="08CDE157"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observ</w:t>
      </w:r>
      <w:r w:rsidR="007A35DC" w:rsidRPr="003B7960">
        <w:rPr>
          <w:rFonts w:ascii="Cambria" w:hAnsi="Cambria"/>
          <w:sz w:val="20"/>
          <w:szCs w:val="20"/>
          <w:lang w:val="es-ES"/>
        </w:rPr>
        <w:t xml:space="preserve">a que en el expediente del caso se incorporó el </w:t>
      </w:r>
      <w:r w:rsidR="00067F9E" w:rsidRPr="003B7960">
        <w:rPr>
          <w:rFonts w:ascii="Cambria" w:hAnsi="Cambria"/>
          <w:sz w:val="20"/>
          <w:szCs w:val="20"/>
          <w:lang w:val="es-ES"/>
        </w:rPr>
        <w:t>testimoni</w:t>
      </w:r>
      <w:r w:rsidR="007A35DC" w:rsidRPr="003B7960">
        <w:rPr>
          <w:rFonts w:ascii="Cambria" w:hAnsi="Cambria"/>
          <w:sz w:val="20"/>
          <w:szCs w:val="20"/>
          <w:lang w:val="es-ES"/>
        </w:rPr>
        <w:t>o de otros deportados que no se encuentran entre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7A35DC" w:rsidRPr="003B7960">
        <w:rPr>
          <w:rFonts w:ascii="Cambria" w:hAnsi="Cambria"/>
          <w:sz w:val="20"/>
          <w:szCs w:val="20"/>
          <w:lang w:val="es-ES"/>
        </w:rPr>
        <w:t xml:space="preserve">del caso de autos. Estas declaraciones ponen de relieve la existencia de cierta interacción con los funcionarios de </w:t>
      </w:r>
      <w:r w:rsidR="0007098C" w:rsidRPr="003B7960">
        <w:rPr>
          <w:rFonts w:ascii="Cambria" w:hAnsi="Cambria"/>
          <w:sz w:val="20"/>
          <w:szCs w:val="20"/>
          <w:lang w:val="es-ES"/>
        </w:rPr>
        <w:t>inmigración</w:t>
      </w:r>
      <w:r w:rsidR="007A35DC" w:rsidRPr="003B7960">
        <w:rPr>
          <w:rFonts w:ascii="Cambria" w:hAnsi="Cambria"/>
          <w:sz w:val="20"/>
          <w:szCs w:val="20"/>
          <w:lang w:val="es-ES"/>
        </w:rPr>
        <w:t xml:space="preserve"> bahameses, las </w:t>
      </w:r>
      <w:r w:rsidR="00AD3ABA" w:rsidRPr="003B7960">
        <w:rPr>
          <w:rFonts w:ascii="Cambria" w:hAnsi="Cambria"/>
          <w:sz w:val="20"/>
          <w:szCs w:val="20"/>
          <w:lang w:val="es-ES"/>
        </w:rPr>
        <w:t>condiciones de detención</w:t>
      </w:r>
      <w:r w:rsidR="00067F9E" w:rsidRPr="003B7960">
        <w:rPr>
          <w:rFonts w:ascii="Cambria" w:hAnsi="Cambria"/>
          <w:sz w:val="20"/>
          <w:szCs w:val="20"/>
          <w:lang w:val="es-ES"/>
        </w:rPr>
        <w:t xml:space="preserve"> </w:t>
      </w:r>
      <w:r w:rsidR="007A35DC" w:rsidRPr="003B7960">
        <w:rPr>
          <w:rFonts w:ascii="Cambria" w:hAnsi="Cambria"/>
          <w:sz w:val="20"/>
          <w:szCs w:val="20"/>
          <w:lang w:val="es-ES"/>
        </w:rPr>
        <w:t>deficientes y las consecuencias de la</w:t>
      </w:r>
      <w:r w:rsidR="00067F9E" w:rsidRPr="003B7960">
        <w:rPr>
          <w:rFonts w:ascii="Cambria" w:hAnsi="Cambria"/>
          <w:sz w:val="20"/>
          <w:szCs w:val="20"/>
          <w:lang w:val="es-ES"/>
        </w:rPr>
        <w:t xml:space="preserve"> </w:t>
      </w:r>
      <w:r w:rsidR="007B6078" w:rsidRPr="003B7960">
        <w:rPr>
          <w:rFonts w:ascii="Cambria" w:hAnsi="Cambria"/>
          <w:sz w:val="20"/>
          <w:szCs w:val="20"/>
          <w:lang w:val="es-ES"/>
        </w:rPr>
        <w:t>repatriación</w:t>
      </w:r>
      <w:r w:rsidR="00067F9E" w:rsidRPr="003B7960">
        <w:rPr>
          <w:rStyle w:val="FootnoteReference"/>
          <w:rFonts w:ascii="Cambria" w:hAnsi="Cambria"/>
          <w:sz w:val="20"/>
          <w:szCs w:val="20"/>
          <w:lang w:val="es-ES"/>
        </w:rPr>
        <w:footnoteReference w:id="81"/>
      </w:r>
      <w:r w:rsidR="007A35DC" w:rsidRPr="003B7960">
        <w:rPr>
          <w:rFonts w:ascii="Cambria" w:hAnsi="Cambria"/>
          <w:sz w:val="20"/>
          <w:szCs w:val="20"/>
          <w:lang w:val="es-ES"/>
        </w:rPr>
        <w:t>.</w:t>
      </w:r>
    </w:p>
    <w:p w14:paraId="1A644FA5" w14:textId="77777777" w:rsidR="00101DC6" w:rsidRPr="003B7960" w:rsidRDefault="00101DC6"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4C3EE9C1" w14:textId="77777777" w:rsidR="009A4875" w:rsidRDefault="009A4875">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Gothic" w:hAnsi="Cambria"/>
          <w:b/>
          <w:bCs/>
          <w:sz w:val="20"/>
          <w:szCs w:val="20"/>
          <w:lang w:val="es-ES"/>
        </w:rPr>
      </w:pPr>
      <w:bookmarkStart w:id="14" w:name="_Toc90557302"/>
      <w:r>
        <w:rPr>
          <w:lang w:val="es-ES"/>
        </w:rPr>
        <w:br w:type="page"/>
      </w:r>
    </w:p>
    <w:p w14:paraId="5D4A8852" w14:textId="160B5815" w:rsidR="00067F9E" w:rsidRPr="003B7960" w:rsidRDefault="00067F9E" w:rsidP="00101DC6">
      <w:pPr>
        <w:pStyle w:val="Heading1"/>
        <w:keepNext w:val="0"/>
        <w:keepLines w:val="0"/>
        <w:tabs>
          <w:tab w:val="clear" w:pos="1440"/>
          <w:tab w:val="left" w:pos="426"/>
        </w:tabs>
        <w:suppressAutoHyphens/>
        <w:ind w:left="0" w:firstLine="0"/>
        <w:jc w:val="left"/>
        <w:rPr>
          <w:lang w:val="es-ES"/>
        </w:rPr>
      </w:pPr>
      <w:r w:rsidRPr="003B7960">
        <w:rPr>
          <w:lang w:val="es-ES"/>
        </w:rPr>
        <w:lastRenderedPageBreak/>
        <w:t>AN</w:t>
      </w:r>
      <w:r w:rsidR="00B9011F" w:rsidRPr="003B7960">
        <w:rPr>
          <w:lang w:val="es-ES"/>
        </w:rPr>
        <w:t xml:space="preserve">ÁLISIS </w:t>
      </w:r>
      <w:r w:rsidR="001E3A45" w:rsidRPr="003B7960">
        <w:rPr>
          <w:lang w:val="es-ES"/>
        </w:rPr>
        <w:t>DE DERECHO</w:t>
      </w:r>
      <w:bookmarkEnd w:id="14"/>
    </w:p>
    <w:p w14:paraId="0F5C87BA" w14:textId="77777777" w:rsidR="00067F9E" w:rsidRPr="003B7960" w:rsidRDefault="00067F9E" w:rsidP="00101DC6">
      <w:pPr>
        <w:tabs>
          <w:tab w:val="left" w:pos="426"/>
        </w:tabs>
        <w:suppressAutoHyphens/>
        <w:rPr>
          <w:rFonts w:ascii="Cambria" w:hAnsi="Cambria"/>
          <w:b/>
          <w:sz w:val="20"/>
          <w:szCs w:val="20"/>
          <w:lang w:val="es-ES"/>
        </w:rPr>
      </w:pPr>
    </w:p>
    <w:p w14:paraId="6BCF9BDF" w14:textId="77777777" w:rsidR="00067F9E" w:rsidRPr="003B7960" w:rsidRDefault="00D34647" w:rsidP="00101DC6">
      <w:pPr>
        <w:pStyle w:val="Heading2"/>
        <w:numPr>
          <w:ilvl w:val="0"/>
          <w:numId w:val="67"/>
        </w:numPr>
        <w:pBdr>
          <w:top w:val="nil"/>
          <w:left w:val="nil"/>
          <w:bottom w:val="nil"/>
          <w:right w:val="nil"/>
          <w:between w:val="nil"/>
          <w:bar w:val="nil"/>
        </w:pBdr>
        <w:tabs>
          <w:tab w:val="clear" w:pos="540"/>
          <w:tab w:val="left" w:pos="426"/>
        </w:tabs>
        <w:suppressAutoHyphens/>
        <w:ind w:left="0" w:firstLine="0"/>
        <w:jc w:val="left"/>
        <w:rPr>
          <w:lang w:val="es-ES"/>
        </w:rPr>
      </w:pPr>
      <w:bookmarkStart w:id="15" w:name="_Toc90557303"/>
      <w:r w:rsidRPr="003B7960">
        <w:rPr>
          <w:lang w:val="es-ES"/>
        </w:rPr>
        <w:t>Consideraciones p</w:t>
      </w:r>
      <w:r w:rsidR="00067F9E" w:rsidRPr="003B7960">
        <w:rPr>
          <w:lang w:val="es-ES"/>
        </w:rPr>
        <w:t>reliminar</w:t>
      </w:r>
      <w:r w:rsidRPr="003B7960">
        <w:rPr>
          <w:lang w:val="es-ES"/>
        </w:rPr>
        <w:t>es sobre la individualización</w:t>
      </w:r>
      <w:r w:rsidR="00067F9E" w:rsidRPr="003B7960">
        <w:rPr>
          <w:lang w:val="es-ES"/>
        </w:rPr>
        <w:t xml:space="preserve"> </w:t>
      </w:r>
      <w:r w:rsidRPr="003B7960">
        <w:rPr>
          <w:lang w:val="es-ES"/>
        </w:rPr>
        <w:t>de las</w:t>
      </w:r>
      <w:r w:rsidR="00067F9E" w:rsidRPr="003B7960">
        <w:rPr>
          <w:lang w:val="es-ES"/>
        </w:rPr>
        <w:t xml:space="preserve"> </w:t>
      </w:r>
      <w:r w:rsidRPr="003B7960">
        <w:rPr>
          <w:lang w:val="es-ES"/>
        </w:rPr>
        <w:t>víctimas</w:t>
      </w:r>
      <w:r w:rsidR="00067F9E" w:rsidRPr="003B7960">
        <w:rPr>
          <w:lang w:val="es-ES"/>
        </w:rPr>
        <w:t xml:space="preserve"> </w:t>
      </w:r>
      <w:r w:rsidRPr="003B7960">
        <w:rPr>
          <w:lang w:val="es-ES"/>
        </w:rPr>
        <w:t xml:space="preserve">y la aplicación de </w:t>
      </w:r>
      <w:r w:rsidR="00C33F51" w:rsidRPr="003B7960">
        <w:rPr>
          <w:lang w:val="es-ES"/>
        </w:rPr>
        <w:t>la Declaración</w:t>
      </w:r>
      <w:r w:rsidR="00B9011F" w:rsidRPr="003B7960">
        <w:rPr>
          <w:lang w:val="es-ES"/>
        </w:rPr>
        <w:t xml:space="preserve"> Americana</w:t>
      </w:r>
      <w:r w:rsidR="00067F9E" w:rsidRPr="003B7960">
        <w:rPr>
          <w:lang w:val="es-ES"/>
        </w:rPr>
        <w:t xml:space="preserve"> </w:t>
      </w:r>
      <w:r w:rsidRPr="003B7960">
        <w:rPr>
          <w:lang w:val="es-ES"/>
        </w:rPr>
        <w:t>y otros instrumentos jurídicos internacionales</w:t>
      </w:r>
      <w:r w:rsidR="00067F9E" w:rsidRPr="003B7960">
        <w:rPr>
          <w:lang w:val="es-ES"/>
        </w:rPr>
        <w:t xml:space="preserve"> </w:t>
      </w:r>
      <w:r w:rsidRPr="003B7960">
        <w:rPr>
          <w:lang w:val="es-ES"/>
        </w:rPr>
        <w:t>pertinentes</w:t>
      </w:r>
      <w:bookmarkEnd w:id="15"/>
    </w:p>
    <w:p w14:paraId="169BA7C9"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6C80818A" w14:textId="3E2EF6C6" w:rsidR="00067F9E" w:rsidRPr="003B7960" w:rsidRDefault="007A257B"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 xml:space="preserve">De acuerdo con su práctica </w:t>
      </w:r>
      <w:r w:rsidR="00D34647" w:rsidRPr="003B7960">
        <w:rPr>
          <w:rFonts w:ascii="Cambria" w:hAnsi="Cambria"/>
          <w:sz w:val="20"/>
          <w:szCs w:val="20"/>
          <w:lang w:val="es-ES"/>
        </w:rPr>
        <w:t>y su Reglamento</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consider</w:t>
      </w:r>
      <w:r w:rsidR="00D34647" w:rsidRPr="003B7960">
        <w:rPr>
          <w:rFonts w:ascii="Cambria" w:hAnsi="Cambria"/>
          <w:sz w:val="20"/>
          <w:szCs w:val="20"/>
          <w:lang w:val="es-ES"/>
        </w:rPr>
        <w:t xml:space="preserve">a que es bien sabido en el sistema interamericano que </w:t>
      </w:r>
      <w:r w:rsidR="00170D77" w:rsidRPr="003B7960">
        <w:rPr>
          <w:rFonts w:ascii="Cambria" w:hAnsi="Cambria"/>
          <w:color w:val="000000"/>
          <w:sz w:val="20"/>
          <w:szCs w:val="20"/>
          <w:lang w:val="es-ES"/>
        </w:rPr>
        <w:t xml:space="preserve">la parte peticionaria </w:t>
      </w:r>
      <w:r w:rsidR="00170D77" w:rsidRPr="003B7960">
        <w:rPr>
          <w:rFonts w:ascii="Cambria" w:hAnsi="Cambria"/>
          <w:sz w:val="20"/>
          <w:szCs w:val="20"/>
          <w:lang w:val="es-ES"/>
        </w:rPr>
        <w:t>debe</w:t>
      </w:r>
      <w:r w:rsidR="00D34647" w:rsidRPr="003B7960">
        <w:rPr>
          <w:rFonts w:ascii="Cambria" w:hAnsi="Cambria"/>
          <w:sz w:val="20"/>
          <w:szCs w:val="20"/>
          <w:lang w:val="es-ES"/>
        </w:rPr>
        <w:t xml:space="preserve"> proporcionar los nombres de las víctimas. No obstante,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D34647" w:rsidRPr="003B7960">
        <w:rPr>
          <w:rFonts w:ascii="Cambria" w:hAnsi="Cambria"/>
          <w:sz w:val="20"/>
          <w:szCs w:val="20"/>
          <w:lang w:val="es-ES"/>
        </w:rPr>
        <w:t xml:space="preserve">ha </w:t>
      </w:r>
      <w:r w:rsidR="00E31AC4" w:rsidRPr="003B7960">
        <w:rPr>
          <w:rFonts w:ascii="Cambria" w:hAnsi="Cambria"/>
          <w:sz w:val="20"/>
          <w:szCs w:val="20"/>
          <w:lang w:val="es-ES"/>
        </w:rPr>
        <w:t xml:space="preserve">entendido </w:t>
      </w:r>
      <w:r w:rsidRPr="003B7960">
        <w:rPr>
          <w:rFonts w:ascii="Cambria" w:hAnsi="Cambria"/>
          <w:sz w:val="20"/>
          <w:szCs w:val="20"/>
          <w:lang w:val="es-ES"/>
        </w:rPr>
        <w:t xml:space="preserve">que </w:t>
      </w:r>
      <w:r w:rsidR="00E31AC4" w:rsidRPr="003B7960">
        <w:rPr>
          <w:rFonts w:ascii="Cambria" w:hAnsi="Cambria"/>
          <w:sz w:val="20"/>
          <w:szCs w:val="20"/>
          <w:lang w:val="es-ES"/>
        </w:rPr>
        <w:t xml:space="preserve">en </w:t>
      </w:r>
      <w:r w:rsidR="00D34647" w:rsidRPr="003B7960">
        <w:rPr>
          <w:rFonts w:ascii="Cambria" w:hAnsi="Cambria"/>
          <w:sz w:val="20"/>
          <w:szCs w:val="20"/>
          <w:lang w:val="es-ES"/>
        </w:rPr>
        <w:t>causas presentadas en nombre de grupos específicos de víctimas</w:t>
      </w:r>
      <w:r w:rsidR="00067F9E" w:rsidRPr="003B7960">
        <w:rPr>
          <w:rFonts w:ascii="Cambria" w:hAnsi="Cambria"/>
          <w:sz w:val="20"/>
          <w:szCs w:val="20"/>
          <w:lang w:val="es-ES"/>
        </w:rPr>
        <w:t xml:space="preserve"> </w:t>
      </w:r>
      <w:r w:rsidR="00D34647" w:rsidRPr="003B7960">
        <w:rPr>
          <w:rFonts w:ascii="Cambria" w:hAnsi="Cambria"/>
          <w:sz w:val="20"/>
          <w:szCs w:val="20"/>
          <w:lang w:val="es-ES"/>
        </w:rPr>
        <w:t>cuyos integrantes podían determinarse, como una comunidad en particular</w:t>
      </w:r>
      <w:r w:rsidR="00067F9E" w:rsidRPr="003B7960">
        <w:rPr>
          <w:rStyle w:val="FootnoteReference"/>
          <w:rFonts w:ascii="Cambria" w:hAnsi="Cambria"/>
          <w:sz w:val="20"/>
          <w:szCs w:val="20"/>
          <w:lang w:val="es-ES"/>
        </w:rPr>
        <w:footnoteReference w:id="82"/>
      </w:r>
      <w:r w:rsidR="00D34647" w:rsidRPr="003B7960">
        <w:rPr>
          <w:rFonts w:ascii="Cambria" w:hAnsi="Cambria"/>
          <w:sz w:val="20"/>
          <w:szCs w:val="20"/>
          <w:lang w:val="es-ES"/>
        </w:rPr>
        <w:t xml:space="preserve">. En </w:t>
      </w:r>
      <w:r w:rsidRPr="003B7960">
        <w:rPr>
          <w:rFonts w:ascii="Cambria" w:hAnsi="Cambria"/>
          <w:sz w:val="20"/>
          <w:szCs w:val="20"/>
          <w:lang w:val="es-ES"/>
        </w:rPr>
        <w:t xml:space="preserve">los hechos del presente </w:t>
      </w:r>
      <w:r w:rsidR="008A4F19" w:rsidRPr="003B7960">
        <w:rPr>
          <w:rFonts w:ascii="Cambria" w:hAnsi="Cambria"/>
          <w:sz w:val="20"/>
          <w:szCs w:val="20"/>
          <w:lang w:val="es-ES"/>
        </w:rPr>
        <w:t>caso</w:t>
      </w:r>
      <w:r w:rsidR="00067F9E" w:rsidRPr="003B7960">
        <w:rPr>
          <w:rFonts w:ascii="Cambria" w:hAnsi="Cambria"/>
          <w:sz w:val="20"/>
          <w:szCs w:val="20"/>
          <w:lang w:val="es-ES"/>
        </w:rPr>
        <w:t xml:space="preserve">, </w:t>
      </w:r>
      <w:r w:rsidRPr="003B7960">
        <w:rPr>
          <w:rFonts w:ascii="Cambria" w:hAnsi="Cambria"/>
          <w:sz w:val="20"/>
          <w:szCs w:val="20"/>
          <w:lang w:val="es-ES"/>
        </w:rPr>
        <w:t>se</w:t>
      </w:r>
      <w:r w:rsidR="00D34647" w:rsidRPr="003B7960">
        <w:rPr>
          <w:rFonts w:ascii="Cambria" w:hAnsi="Cambria"/>
          <w:sz w:val="20"/>
          <w:szCs w:val="20"/>
          <w:lang w:val="es-ES"/>
        </w:rPr>
        <w:t xml:space="preserve"> demuestra que no todas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ha</w:t>
      </w:r>
      <w:r w:rsidR="00D34647" w:rsidRPr="003B7960">
        <w:rPr>
          <w:rFonts w:ascii="Cambria" w:hAnsi="Cambria"/>
          <w:sz w:val="20"/>
          <w:szCs w:val="20"/>
          <w:lang w:val="es-ES"/>
        </w:rPr>
        <w:t xml:space="preserve">n sido </w:t>
      </w:r>
      <w:r w:rsidR="00067F9E" w:rsidRPr="003B7960">
        <w:rPr>
          <w:rFonts w:ascii="Cambria" w:hAnsi="Cambria"/>
          <w:sz w:val="20"/>
          <w:szCs w:val="20"/>
          <w:lang w:val="es-ES"/>
        </w:rPr>
        <w:t>individualiz</w:t>
      </w:r>
      <w:r w:rsidR="00D34647" w:rsidRPr="003B7960">
        <w:rPr>
          <w:rFonts w:ascii="Cambria" w:hAnsi="Cambria"/>
          <w:sz w:val="20"/>
          <w:szCs w:val="20"/>
          <w:lang w:val="es-ES"/>
        </w:rPr>
        <w:t>adas y que las partes no han proporcionado información específica para facilitar la identificación de las demás</w:t>
      </w:r>
      <w:r w:rsidR="00067F9E" w:rsidRPr="003B7960">
        <w:rPr>
          <w:rFonts w:ascii="Cambria" w:hAnsi="Cambria"/>
          <w:sz w:val="20"/>
          <w:szCs w:val="20"/>
          <w:lang w:val="es-ES"/>
        </w:rPr>
        <w:t>.</w:t>
      </w:r>
    </w:p>
    <w:p w14:paraId="18F67BD4"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42F92EAF"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rec</w:t>
      </w:r>
      <w:r w:rsidR="00D34647" w:rsidRPr="003B7960">
        <w:rPr>
          <w:rFonts w:ascii="Cambria" w:hAnsi="Cambria"/>
          <w:sz w:val="20"/>
          <w:szCs w:val="20"/>
          <w:lang w:val="es-ES"/>
        </w:rPr>
        <w:t xml:space="preserve">uerda que, cuando se detiene a una persona y se la coloca bajo la custodia exclusiva de un Estado, la carga de la prueba recae en el Estado como garante de la seguridad y los derechos de la persona porque </w:t>
      </w:r>
      <w:r w:rsidR="007A257B" w:rsidRPr="003B7960">
        <w:rPr>
          <w:rFonts w:ascii="Cambria" w:hAnsi="Cambria"/>
          <w:sz w:val="20"/>
          <w:szCs w:val="20"/>
          <w:lang w:val="es-ES"/>
        </w:rPr>
        <w:t xml:space="preserve">es este el que </w:t>
      </w:r>
      <w:r w:rsidR="00D34647" w:rsidRPr="003B7960">
        <w:rPr>
          <w:rFonts w:ascii="Cambria" w:hAnsi="Cambria"/>
          <w:sz w:val="20"/>
          <w:szCs w:val="20"/>
          <w:lang w:val="es-ES"/>
        </w:rPr>
        <w:t xml:space="preserve">ejerce un </w:t>
      </w:r>
      <w:r w:rsidR="00067F9E" w:rsidRPr="003B7960">
        <w:rPr>
          <w:rFonts w:ascii="Cambria" w:hAnsi="Cambria"/>
          <w:sz w:val="20"/>
          <w:szCs w:val="20"/>
          <w:lang w:val="es-ES"/>
        </w:rPr>
        <w:t xml:space="preserve">control </w:t>
      </w:r>
      <w:r w:rsidR="00D34647" w:rsidRPr="003B7960">
        <w:rPr>
          <w:rFonts w:ascii="Cambria" w:hAnsi="Cambria"/>
          <w:sz w:val="20"/>
          <w:szCs w:val="20"/>
          <w:lang w:val="es-ES"/>
        </w:rPr>
        <w:t>exclusivo sobre la información</w:t>
      </w:r>
      <w:r w:rsidR="00067F9E" w:rsidRPr="003B7960">
        <w:rPr>
          <w:rFonts w:ascii="Cambria" w:hAnsi="Cambria"/>
          <w:sz w:val="20"/>
          <w:szCs w:val="20"/>
          <w:lang w:val="es-ES"/>
        </w:rPr>
        <w:t xml:space="preserve"> </w:t>
      </w:r>
      <w:r w:rsidR="00D34647" w:rsidRPr="003B7960">
        <w:rPr>
          <w:rFonts w:ascii="Cambria" w:hAnsi="Cambria"/>
          <w:sz w:val="20"/>
          <w:szCs w:val="20"/>
          <w:lang w:val="es-ES"/>
        </w:rPr>
        <w:t>y las pruebas relativas al destino del detenido</w:t>
      </w:r>
      <w:r w:rsidR="00067F9E" w:rsidRPr="003B7960">
        <w:rPr>
          <w:rStyle w:val="FootnoteReference"/>
          <w:rFonts w:ascii="Cambria" w:hAnsi="Cambria"/>
          <w:sz w:val="20"/>
          <w:szCs w:val="20"/>
          <w:lang w:val="es-ES"/>
        </w:rPr>
        <w:footnoteReference w:id="83"/>
      </w:r>
      <w:r w:rsidR="00D34647" w:rsidRPr="003B7960">
        <w:rPr>
          <w:rFonts w:ascii="Cambria" w:hAnsi="Cambria"/>
          <w:sz w:val="20"/>
          <w:szCs w:val="20"/>
          <w:lang w:val="es-ES"/>
        </w:rPr>
        <w:t>.</w:t>
      </w:r>
      <w:r w:rsidR="00067F9E" w:rsidRPr="003B7960">
        <w:rPr>
          <w:rFonts w:ascii="Cambria" w:hAnsi="Cambria"/>
          <w:sz w:val="20"/>
          <w:szCs w:val="20"/>
          <w:lang w:val="es-ES"/>
        </w:rPr>
        <w:t> </w:t>
      </w:r>
      <w:r w:rsidR="007A257B" w:rsidRPr="003B7960">
        <w:rPr>
          <w:rFonts w:ascii="Cambria" w:hAnsi="Cambria"/>
          <w:sz w:val="20"/>
          <w:szCs w:val="20"/>
          <w:lang w:val="es-ES"/>
        </w:rPr>
        <w:t>Asimismo, l</w:t>
      </w:r>
      <w:r w:rsidRPr="003B7960">
        <w:rPr>
          <w:rFonts w:ascii="Cambria" w:hAnsi="Cambria"/>
          <w:sz w:val="20"/>
          <w:szCs w:val="20"/>
          <w:lang w:val="es-ES"/>
        </w:rPr>
        <w:t>a Comisión</w:t>
      </w:r>
      <w:r w:rsidR="00067F9E" w:rsidRPr="003B7960">
        <w:rPr>
          <w:rFonts w:ascii="Cambria" w:hAnsi="Cambria"/>
          <w:sz w:val="20"/>
          <w:szCs w:val="20"/>
          <w:lang w:val="es-ES"/>
        </w:rPr>
        <w:t xml:space="preserve"> </w:t>
      </w:r>
      <w:r w:rsidR="00D34647" w:rsidRPr="003B7960">
        <w:rPr>
          <w:rFonts w:ascii="Cambria" w:hAnsi="Cambria"/>
          <w:sz w:val="20"/>
          <w:szCs w:val="20"/>
          <w:lang w:val="es-ES"/>
        </w:rPr>
        <w:t xml:space="preserve">observa que las </w:t>
      </w:r>
      <w:r w:rsidR="005975C8" w:rsidRPr="003B7960">
        <w:rPr>
          <w:rFonts w:ascii="Cambria" w:hAnsi="Cambria"/>
          <w:sz w:val="20"/>
          <w:szCs w:val="20"/>
          <w:lang w:val="es-ES"/>
        </w:rPr>
        <w:t>violaciones de derechos humanos</w:t>
      </w:r>
      <w:r w:rsidR="00067F9E" w:rsidRPr="003B7960">
        <w:rPr>
          <w:rFonts w:ascii="Cambria" w:hAnsi="Cambria"/>
          <w:sz w:val="20"/>
          <w:szCs w:val="20"/>
          <w:lang w:val="es-ES"/>
        </w:rPr>
        <w:t xml:space="preserve"> </w:t>
      </w:r>
      <w:r w:rsidR="00D34647" w:rsidRPr="003B7960">
        <w:rPr>
          <w:rFonts w:ascii="Cambria" w:hAnsi="Cambria"/>
          <w:sz w:val="20"/>
          <w:szCs w:val="20"/>
          <w:lang w:val="es-ES"/>
        </w:rPr>
        <w:t>de</w:t>
      </w:r>
      <w:r w:rsidR="000F78E7" w:rsidRPr="003B7960">
        <w:rPr>
          <w:rFonts w:ascii="Cambria" w:hAnsi="Cambria"/>
          <w:sz w:val="20"/>
          <w:szCs w:val="20"/>
          <w:lang w:val="es-ES"/>
        </w:rPr>
        <w:t xml:space="preserve"> </w:t>
      </w:r>
      <w:r w:rsidR="00D34647" w:rsidRPr="003B7960">
        <w:rPr>
          <w:rFonts w:ascii="Cambria" w:hAnsi="Cambria"/>
          <w:sz w:val="20"/>
          <w:szCs w:val="20"/>
          <w:lang w:val="es-ES"/>
        </w:rPr>
        <w:t>m</w:t>
      </w:r>
      <w:r w:rsidR="007A257B" w:rsidRPr="003B7960">
        <w:rPr>
          <w:rFonts w:ascii="Cambria" w:hAnsi="Cambria"/>
          <w:sz w:val="20"/>
          <w:szCs w:val="20"/>
          <w:lang w:val="es-ES"/>
        </w:rPr>
        <w:t xml:space="preserve">igrantes suelen quedar impunes </w:t>
      </w:r>
      <w:r w:rsidR="00D34647" w:rsidRPr="003B7960">
        <w:rPr>
          <w:rFonts w:ascii="Cambria" w:hAnsi="Cambria"/>
          <w:sz w:val="20"/>
          <w:szCs w:val="20"/>
          <w:lang w:val="es-ES"/>
        </w:rPr>
        <w:t>debido, entre otras cosas, a factores</w:t>
      </w:r>
      <w:r w:rsidR="00067F9E" w:rsidRPr="003B7960">
        <w:rPr>
          <w:rFonts w:ascii="Cambria" w:hAnsi="Cambria"/>
          <w:sz w:val="20"/>
          <w:szCs w:val="20"/>
          <w:lang w:val="es-ES"/>
        </w:rPr>
        <w:t xml:space="preserve"> cultural</w:t>
      </w:r>
      <w:r w:rsidR="00D34647" w:rsidRPr="003B7960">
        <w:rPr>
          <w:rFonts w:ascii="Cambria" w:hAnsi="Cambria"/>
          <w:sz w:val="20"/>
          <w:szCs w:val="20"/>
          <w:lang w:val="es-ES"/>
        </w:rPr>
        <w:t xml:space="preserve">es que </w:t>
      </w:r>
      <w:r w:rsidR="0054554A" w:rsidRPr="003B7960">
        <w:rPr>
          <w:rFonts w:ascii="Cambria" w:hAnsi="Cambria"/>
          <w:sz w:val="20"/>
          <w:szCs w:val="20"/>
          <w:lang w:val="es-ES"/>
        </w:rPr>
        <w:t>se utilizan como justificación</w:t>
      </w:r>
      <w:r w:rsidR="00D34647" w:rsidRPr="003B7960">
        <w:rPr>
          <w:rFonts w:ascii="Cambria" w:hAnsi="Cambria"/>
          <w:sz w:val="20"/>
          <w:szCs w:val="20"/>
          <w:lang w:val="es-ES"/>
        </w:rPr>
        <w:t xml:space="preserve">, a la falta de acceso </w:t>
      </w:r>
      <w:r w:rsidR="0054554A" w:rsidRPr="003B7960">
        <w:rPr>
          <w:rFonts w:ascii="Cambria" w:hAnsi="Cambria"/>
          <w:sz w:val="20"/>
          <w:szCs w:val="20"/>
          <w:lang w:val="es-ES"/>
        </w:rPr>
        <w:t>a estructuras de poder en una sociedad determinada y a los obstáculos jurídicos y prácticos que convierten el acceso efectivo a la justicia en algo ilusorio</w:t>
      </w:r>
      <w:r w:rsidR="00067F9E" w:rsidRPr="003B7960">
        <w:rPr>
          <w:rStyle w:val="FootnoteReference"/>
          <w:rFonts w:ascii="Cambria" w:hAnsi="Cambria"/>
          <w:sz w:val="20"/>
          <w:szCs w:val="20"/>
          <w:lang w:val="es-ES"/>
        </w:rPr>
        <w:footnoteReference w:id="84"/>
      </w:r>
      <w:r w:rsidR="0054554A" w:rsidRPr="003B7960">
        <w:rPr>
          <w:rFonts w:ascii="Cambria" w:hAnsi="Cambria"/>
          <w:sz w:val="20"/>
          <w:szCs w:val="20"/>
          <w:lang w:val="es-ES"/>
        </w:rPr>
        <w:t>.</w:t>
      </w:r>
    </w:p>
    <w:p w14:paraId="6C80D207"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7D5D8499" w14:textId="249A7FEF" w:rsidR="00067F9E" w:rsidRPr="009A4875"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observ</w:t>
      </w:r>
      <w:r w:rsidR="0054554A" w:rsidRPr="003B7960">
        <w:rPr>
          <w:rFonts w:ascii="Cambria" w:hAnsi="Cambria"/>
          <w:sz w:val="20"/>
          <w:szCs w:val="20"/>
          <w:lang w:val="es-ES"/>
        </w:rPr>
        <w:t xml:space="preserve">a, más específicamente, que en este caso hay varias circunstancias complejas que dificultan la identificación de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54554A" w:rsidRPr="003B7960">
        <w:rPr>
          <w:rFonts w:ascii="Cambria" w:hAnsi="Cambria"/>
          <w:sz w:val="20"/>
          <w:szCs w:val="20"/>
          <w:lang w:val="es-ES"/>
        </w:rPr>
        <w:t>En ese sentido</w:t>
      </w:r>
      <w:r w:rsidR="00067F9E" w:rsidRPr="003B7960">
        <w:rPr>
          <w:rFonts w:ascii="Cambria" w:hAnsi="Cambria"/>
          <w:sz w:val="20"/>
          <w:szCs w:val="20"/>
          <w:lang w:val="es-ES"/>
        </w:rPr>
        <w:t xml:space="preserve">, </w:t>
      </w:r>
      <w:r w:rsidR="0054554A" w:rsidRPr="003B7960">
        <w:rPr>
          <w:rFonts w:ascii="Cambria" w:hAnsi="Cambria"/>
          <w:sz w:val="20"/>
          <w:szCs w:val="20"/>
          <w:lang w:val="es-ES"/>
        </w:rPr>
        <w:t xml:space="preserve">basándose en los hechos del </w:t>
      </w:r>
      <w:r w:rsidR="008A4F19" w:rsidRPr="003B7960">
        <w:rPr>
          <w:rFonts w:ascii="Cambria" w:hAnsi="Cambria"/>
          <w:sz w:val="20"/>
          <w:szCs w:val="20"/>
          <w:lang w:val="es-ES"/>
        </w:rPr>
        <w:t>caso</w:t>
      </w:r>
      <w:r w:rsidR="00067F9E" w:rsidRPr="003B7960">
        <w:rPr>
          <w:rFonts w:ascii="Cambria" w:hAnsi="Cambria"/>
          <w:sz w:val="20"/>
          <w:szCs w:val="20"/>
          <w:lang w:val="es-ES"/>
        </w:rPr>
        <w:t xml:space="preserve">, </w:t>
      </w:r>
      <w:r w:rsidR="00FF4A73" w:rsidRPr="003B7960">
        <w:rPr>
          <w:rFonts w:ascii="Cambria" w:hAnsi="Cambria"/>
          <w:sz w:val="20"/>
          <w:szCs w:val="20"/>
          <w:lang w:val="es-ES"/>
        </w:rPr>
        <w:t xml:space="preserve">la Comisión observa </w:t>
      </w:r>
      <w:r w:rsidR="0054554A" w:rsidRPr="003B7960">
        <w:rPr>
          <w:rFonts w:ascii="Cambria" w:hAnsi="Cambria"/>
          <w:sz w:val="20"/>
          <w:szCs w:val="20"/>
          <w:lang w:val="es-ES"/>
        </w:rPr>
        <w:t>que, e</w:t>
      </w:r>
      <w:r w:rsidR="00067F9E" w:rsidRPr="003B7960">
        <w:rPr>
          <w:rFonts w:ascii="Cambria" w:hAnsi="Cambria"/>
          <w:sz w:val="20"/>
          <w:szCs w:val="20"/>
          <w:lang w:val="es-ES"/>
        </w:rPr>
        <w:t>n general</w:t>
      </w:r>
      <w:r w:rsidR="0054554A" w:rsidRPr="003B7960">
        <w:rPr>
          <w:rFonts w:ascii="Cambria" w:hAnsi="Cambria"/>
          <w:sz w:val="20"/>
          <w:szCs w:val="20"/>
          <w:lang w:val="es-ES"/>
        </w:rPr>
        <w:t xml:space="preserv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54554A" w:rsidRPr="003B7960">
        <w:rPr>
          <w:rFonts w:ascii="Cambria" w:hAnsi="Cambria"/>
          <w:sz w:val="20"/>
          <w:szCs w:val="20"/>
          <w:lang w:val="es-ES"/>
        </w:rPr>
        <w:t>fueron detenidas en masa, colocadas bajo custodia y posteriormente repatriadas</w:t>
      </w:r>
      <w:r w:rsidR="00067F9E" w:rsidRPr="003B7960">
        <w:rPr>
          <w:rFonts w:ascii="Cambria" w:hAnsi="Cambria"/>
          <w:sz w:val="20"/>
          <w:szCs w:val="20"/>
          <w:lang w:val="es-ES"/>
        </w:rPr>
        <w:t xml:space="preserve">. </w:t>
      </w:r>
      <w:r w:rsidR="0054554A" w:rsidRPr="003B7960">
        <w:rPr>
          <w:rFonts w:ascii="Cambria" w:hAnsi="Cambria"/>
          <w:sz w:val="20"/>
          <w:szCs w:val="20"/>
          <w:lang w:val="es-ES"/>
        </w:rPr>
        <w:t xml:space="preserve">Además, el expediente muestra que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54554A" w:rsidRPr="003B7960">
        <w:rPr>
          <w:rFonts w:ascii="Cambria" w:hAnsi="Cambria"/>
          <w:sz w:val="20"/>
          <w:szCs w:val="20"/>
          <w:lang w:val="es-ES"/>
        </w:rPr>
        <w:t>ya no se encuentran en</w:t>
      </w:r>
      <w:r w:rsidR="00067F9E" w:rsidRPr="003B7960">
        <w:rPr>
          <w:rFonts w:ascii="Cambria" w:hAnsi="Cambria"/>
          <w:sz w:val="20"/>
          <w:szCs w:val="20"/>
          <w:lang w:val="es-ES"/>
        </w:rPr>
        <w:t xml:space="preserve"> </w:t>
      </w:r>
      <w:r w:rsidRPr="003B7960">
        <w:rPr>
          <w:rFonts w:ascii="Cambria" w:hAnsi="Cambria"/>
          <w:sz w:val="20"/>
          <w:szCs w:val="20"/>
          <w:lang w:val="es-ES"/>
        </w:rPr>
        <w:t>las Bahamas</w:t>
      </w:r>
      <w:r w:rsidR="0054554A" w:rsidRPr="003B7960">
        <w:rPr>
          <w:rFonts w:ascii="Cambria" w:hAnsi="Cambria"/>
          <w:sz w:val="20"/>
          <w:szCs w:val="20"/>
          <w:lang w:val="es-ES"/>
        </w:rPr>
        <w:t xml:space="preserve"> y que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54554A" w:rsidRPr="003B7960">
        <w:rPr>
          <w:rFonts w:ascii="Cambria" w:hAnsi="Cambria"/>
          <w:sz w:val="20"/>
          <w:szCs w:val="20"/>
          <w:lang w:val="es-ES"/>
        </w:rPr>
        <w:t xml:space="preserve">no </w:t>
      </w:r>
      <w:r w:rsidR="00067F9E" w:rsidRPr="003B7960">
        <w:rPr>
          <w:rFonts w:ascii="Cambria" w:hAnsi="Cambria"/>
          <w:sz w:val="20"/>
          <w:szCs w:val="20"/>
          <w:lang w:val="es-ES"/>
        </w:rPr>
        <w:t>ha</w:t>
      </w:r>
      <w:r w:rsidR="0054554A" w:rsidRPr="003B7960">
        <w:rPr>
          <w:rFonts w:ascii="Cambria" w:hAnsi="Cambria"/>
          <w:sz w:val="20"/>
          <w:szCs w:val="20"/>
          <w:lang w:val="es-ES"/>
        </w:rPr>
        <w:t xml:space="preserve"> proporcionado información pertinente, ni siquiera los expedientes de las personas que fueron detenidas en el</w:t>
      </w:r>
      <w:r w:rsidR="00067F9E" w:rsidRPr="003B7960">
        <w:rPr>
          <w:rFonts w:ascii="Cambria" w:hAnsi="Cambria"/>
          <w:sz w:val="20"/>
          <w:szCs w:val="20"/>
          <w:lang w:val="es-ES"/>
        </w:rPr>
        <w:t xml:space="preserve">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0054554A" w:rsidRPr="003B7960">
        <w:rPr>
          <w:rFonts w:ascii="Cambria" w:hAnsi="Cambria"/>
          <w:sz w:val="20"/>
          <w:szCs w:val="20"/>
          <w:lang w:val="es-ES"/>
        </w:rPr>
        <w:t xml:space="preserve">y listas </w:t>
      </w:r>
      <w:r w:rsidR="00067F9E" w:rsidRPr="003B7960">
        <w:rPr>
          <w:rFonts w:ascii="Cambria" w:hAnsi="Cambria"/>
          <w:sz w:val="20"/>
          <w:szCs w:val="20"/>
          <w:lang w:val="es-ES"/>
        </w:rPr>
        <w:t>complet</w:t>
      </w:r>
      <w:r w:rsidR="0054554A" w:rsidRPr="003B7960">
        <w:rPr>
          <w:rFonts w:ascii="Cambria" w:hAnsi="Cambria"/>
          <w:sz w:val="20"/>
          <w:szCs w:val="20"/>
          <w:lang w:val="es-ES"/>
        </w:rPr>
        <w:t xml:space="preserve">as de los </w:t>
      </w:r>
      <w:r w:rsidR="007B6078" w:rsidRPr="003B7960">
        <w:rPr>
          <w:rFonts w:ascii="Cambria" w:hAnsi="Cambria"/>
          <w:sz w:val="20"/>
          <w:szCs w:val="20"/>
          <w:lang w:val="es-ES"/>
        </w:rPr>
        <w:t>repatria</w:t>
      </w:r>
      <w:r w:rsidR="0054554A" w:rsidRPr="003B7960">
        <w:rPr>
          <w:rFonts w:ascii="Cambria" w:hAnsi="Cambria"/>
          <w:sz w:val="20"/>
          <w:szCs w:val="20"/>
          <w:lang w:val="es-ES"/>
        </w:rPr>
        <w:t xml:space="preserve">dos, a pesar de los pedidos de </w:t>
      </w:r>
      <w:r w:rsidRPr="003B7960">
        <w:rPr>
          <w:rFonts w:ascii="Cambria" w:hAnsi="Cambria"/>
          <w:sz w:val="20"/>
          <w:szCs w:val="20"/>
          <w:lang w:val="es-ES"/>
        </w:rPr>
        <w:t>la Comisión</w:t>
      </w:r>
      <w:r w:rsidR="00067F9E" w:rsidRPr="003B7960">
        <w:rPr>
          <w:rFonts w:ascii="Cambria" w:hAnsi="Cambria"/>
          <w:sz w:val="20"/>
          <w:szCs w:val="20"/>
          <w:lang w:val="es-ES"/>
        </w:rPr>
        <w:t>.</w:t>
      </w:r>
    </w:p>
    <w:p w14:paraId="562AC01A" w14:textId="77777777" w:rsidR="009A4875" w:rsidRPr="003B7960" w:rsidRDefault="009A4875" w:rsidP="009A487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b/>
          <w:sz w:val="20"/>
          <w:szCs w:val="20"/>
          <w:lang w:val="es-ES"/>
        </w:rPr>
      </w:pPr>
    </w:p>
    <w:p w14:paraId="07B4E1DD" w14:textId="5C33D03B" w:rsidR="00067F9E" w:rsidRPr="003B7960" w:rsidRDefault="0054554A"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sz w:val="20"/>
          <w:szCs w:val="20"/>
          <w:lang w:val="es-ES"/>
        </w:rPr>
      </w:pPr>
      <w:r w:rsidRPr="003B7960">
        <w:rPr>
          <w:rFonts w:ascii="Cambria" w:hAnsi="Cambria"/>
          <w:sz w:val="20"/>
          <w:szCs w:val="20"/>
          <w:lang w:val="es-ES"/>
        </w:rPr>
        <w:t>Por consiguiente</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entiende que la falta de información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para identificar a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que puede atribuirse al Estado, no solo menoscabó la posibilidad de identificar a todas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sino que también impidió que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comprendiera la razón por la cual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se fueron de su país de origen, así como la duración y las </w:t>
      </w:r>
      <w:r w:rsidR="000C3E4C" w:rsidRPr="003B7960">
        <w:rPr>
          <w:rFonts w:ascii="Cambria" w:hAnsi="Cambria"/>
          <w:sz w:val="20"/>
          <w:szCs w:val="20"/>
          <w:lang w:val="es-ES"/>
        </w:rPr>
        <w:t>condiciones</w:t>
      </w:r>
      <w:r w:rsidR="00067F9E" w:rsidRPr="003B7960">
        <w:rPr>
          <w:rFonts w:ascii="Cambria" w:hAnsi="Cambria"/>
          <w:sz w:val="20"/>
          <w:szCs w:val="20"/>
          <w:lang w:val="es-ES"/>
        </w:rPr>
        <w:t xml:space="preserve"> </w:t>
      </w:r>
      <w:r w:rsidRPr="003B7960">
        <w:rPr>
          <w:rFonts w:ascii="Cambria" w:hAnsi="Cambria"/>
          <w:sz w:val="20"/>
          <w:szCs w:val="20"/>
          <w:lang w:val="es-ES"/>
        </w:rPr>
        <w:t xml:space="preserve">de su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En estas circunstancias, y en vista del contexto de la movilidad </w:t>
      </w:r>
      <w:r w:rsidR="00067F9E" w:rsidRPr="003B7960">
        <w:rPr>
          <w:rFonts w:ascii="Cambria" w:hAnsi="Cambria"/>
          <w:sz w:val="20"/>
          <w:szCs w:val="20"/>
          <w:lang w:val="es-ES"/>
        </w:rPr>
        <w:t>human</w:t>
      </w:r>
      <w:r w:rsidRPr="003B7960">
        <w:rPr>
          <w:rFonts w:ascii="Cambria" w:hAnsi="Cambria"/>
          <w:sz w:val="20"/>
          <w:szCs w:val="20"/>
          <w:lang w:val="es-ES"/>
        </w:rPr>
        <w:t>a</w:t>
      </w:r>
      <w:r w:rsidR="00067F9E" w:rsidRPr="003B7960">
        <w:rPr>
          <w:rFonts w:ascii="Cambria" w:hAnsi="Cambria"/>
          <w:sz w:val="20"/>
          <w:szCs w:val="20"/>
          <w:lang w:val="es-ES"/>
        </w:rPr>
        <w:t xml:space="preserve"> </w:t>
      </w:r>
      <w:r w:rsidRPr="003B7960">
        <w:rPr>
          <w:rFonts w:ascii="Cambria" w:hAnsi="Cambria"/>
          <w:sz w:val="20"/>
          <w:szCs w:val="20"/>
          <w:lang w:val="es-ES"/>
        </w:rPr>
        <w:t>e</w:t>
      </w:r>
      <w:r w:rsidR="00067F9E" w:rsidRPr="003B7960">
        <w:rPr>
          <w:rFonts w:ascii="Cambria" w:hAnsi="Cambria"/>
          <w:sz w:val="20"/>
          <w:szCs w:val="20"/>
          <w:lang w:val="es-ES"/>
        </w:rPr>
        <w:t xml:space="preserve">n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Pr="003B7960">
        <w:rPr>
          <w:rFonts w:ascii="Cambria" w:hAnsi="Cambria"/>
          <w:sz w:val="20"/>
          <w:szCs w:val="20"/>
          <w:lang w:val="es-ES"/>
        </w:rPr>
        <w:t>que se aborda en el presente inf</w:t>
      </w:r>
      <w:r w:rsidR="008A4F19" w:rsidRPr="003B7960">
        <w:rPr>
          <w:rFonts w:ascii="Cambria" w:hAnsi="Cambria"/>
          <w:sz w:val="20"/>
          <w:szCs w:val="20"/>
          <w:lang w:val="es-ES"/>
        </w:rPr>
        <w:t>orme</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concluye que exigir que </w:t>
      </w:r>
      <w:r w:rsidR="00170D77" w:rsidRPr="003B7960">
        <w:rPr>
          <w:rFonts w:ascii="Cambria" w:hAnsi="Cambria"/>
          <w:color w:val="000000"/>
          <w:sz w:val="20"/>
          <w:szCs w:val="20"/>
          <w:lang w:val="es-ES"/>
        </w:rPr>
        <w:t xml:space="preserve">la parte peticionaria </w:t>
      </w:r>
      <w:r w:rsidR="00067F9E" w:rsidRPr="003B7960">
        <w:rPr>
          <w:rFonts w:ascii="Cambria" w:hAnsi="Cambria"/>
          <w:sz w:val="20"/>
          <w:szCs w:val="20"/>
          <w:lang w:val="es-ES"/>
        </w:rPr>
        <w:t>present</w:t>
      </w:r>
      <w:r w:rsidR="00170D77" w:rsidRPr="003B7960">
        <w:rPr>
          <w:rFonts w:ascii="Cambria" w:hAnsi="Cambria"/>
          <w:sz w:val="20"/>
          <w:szCs w:val="20"/>
          <w:lang w:val="es-ES"/>
        </w:rPr>
        <w:t>e</w:t>
      </w:r>
      <w:r w:rsidRPr="003B7960">
        <w:rPr>
          <w:rFonts w:ascii="Cambria" w:hAnsi="Cambria"/>
          <w:sz w:val="20"/>
          <w:szCs w:val="20"/>
          <w:lang w:val="es-ES"/>
        </w:rPr>
        <w:t xml:space="preserve"> información</w:t>
      </w:r>
      <w:r w:rsidR="00067F9E" w:rsidRPr="003B7960">
        <w:rPr>
          <w:rFonts w:ascii="Cambria" w:hAnsi="Cambria"/>
          <w:sz w:val="20"/>
          <w:szCs w:val="20"/>
          <w:lang w:val="es-ES"/>
        </w:rPr>
        <w:t xml:space="preserve"> individualiz</w:t>
      </w:r>
      <w:r w:rsidRPr="003B7960">
        <w:rPr>
          <w:rFonts w:ascii="Cambria" w:hAnsi="Cambria"/>
          <w:sz w:val="20"/>
          <w:szCs w:val="20"/>
          <w:lang w:val="es-ES"/>
        </w:rPr>
        <w:t xml:space="preserve">ada sobre los </w:t>
      </w:r>
      <w:r w:rsidR="00C33F51" w:rsidRPr="003B7960">
        <w:rPr>
          <w:rFonts w:ascii="Cambria" w:hAnsi="Cambria"/>
          <w:sz w:val="20"/>
          <w:szCs w:val="20"/>
          <w:lang w:val="es-ES"/>
        </w:rPr>
        <w:t>ciudadanos</w:t>
      </w:r>
      <w:r w:rsidR="005877AD" w:rsidRPr="003B7960">
        <w:rPr>
          <w:rFonts w:ascii="Cambria" w:hAnsi="Cambria"/>
          <w:sz w:val="20"/>
          <w:szCs w:val="20"/>
          <w:lang w:val="es-ES"/>
        </w:rPr>
        <w:t xml:space="preserve"> cubanos y haitianos</w:t>
      </w:r>
      <w:r w:rsidR="00067F9E" w:rsidRPr="003B7960">
        <w:rPr>
          <w:rFonts w:ascii="Cambria" w:hAnsi="Cambria"/>
          <w:sz w:val="20"/>
          <w:szCs w:val="20"/>
          <w:lang w:val="es-ES"/>
        </w:rPr>
        <w:t xml:space="preserve"> </w:t>
      </w:r>
      <w:r w:rsidRPr="003B7960">
        <w:rPr>
          <w:rFonts w:ascii="Cambria" w:hAnsi="Cambria"/>
          <w:sz w:val="20"/>
          <w:szCs w:val="20"/>
          <w:lang w:val="es-ES"/>
        </w:rPr>
        <w:t>constituiría una carga indebida e</w:t>
      </w:r>
      <w:r w:rsidR="00067F9E" w:rsidRPr="003B7960">
        <w:rPr>
          <w:rFonts w:ascii="Cambria" w:hAnsi="Cambria"/>
          <w:sz w:val="20"/>
          <w:szCs w:val="20"/>
          <w:lang w:val="es-ES"/>
        </w:rPr>
        <w:t xml:space="preserve"> </w:t>
      </w:r>
      <w:r w:rsidRPr="003B7960">
        <w:rPr>
          <w:rFonts w:ascii="Cambria" w:hAnsi="Cambria"/>
          <w:sz w:val="20"/>
          <w:szCs w:val="20"/>
          <w:lang w:val="es-ES"/>
        </w:rPr>
        <w:t xml:space="preserve">irrazonable para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teniendo en cuenta en particular que dicha información está bajo el control del Estado.</w:t>
      </w:r>
    </w:p>
    <w:p w14:paraId="41498D90"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b/>
          <w:sz w:val="20"/>
          <w:szCs w:val="20"/>
          <w:lang w:val="es-ES"/>
        </w:rPr>
      </w:pPr>
    </w:p>
    <w:p w14:paraId="3DC8A295" w14:textId="77777777" w:rsidR="00067F9E" w:rsidRPr="003B7960" w:rsidRDefault="0040162A"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sz w:val="20"/>
          <w:szCs w:val="20"/>
          <w:lang w:val="es-ES"/>
        </w:rPr>
      </w:pPr>
      <w:r w:rsidRPr="003B7960">
        <w:rPr>
          <w:rFonts w:ascii="Cambria" w:hAnsi="Cambria"/>
          <w:sz w:val="20"/>
          <w:szCs w:val="20"/>
          <w:lang w:val="es-ES"/>
        </w:rPr>
        <w:t xml:space="preserve">Sobre la base de los </w:t>
      </w:r>
      <w:r w:rsidR="00067F9E" w:rsidRPr="003B7960">
        <w:rPr>
          <w:rFonts w:ascii="Cambria" w:hAnsi="Cambria"/>
          <w:sz w:val="20"/>
          <w:szCs w:val="20"/>
          <w:lang w:val="es-ES"/>
        </w:rPr>
        <w:t>factor</w:t>
      </w:r>
      <w:r w:rsidRPr="003B7960">
        <w:rPr>
          <w:rFonts w:ascii="Cambria" w:hAnsi="Cambria"/>
          <w:sz w:val="20"/>
          <w:szCs w:val="20"/>
          <w:lang w:val="es-ES"/>
        </w:rPr>
        <w:t>e</w:t>
      </w:r>
      <w:r w:rsidR="00067F9E" w:rsidRPr="003B7960">
        <w:rPr>
          <w:rFonts w:ascii="Cambria" w:hAnsi="Cambria"/>
          <w:sz w:val="20"/>
          <w:szCs w:val="20"/>
          <w:lang w:val="es-ES"/>
        </w:rPr>
        <w:t xml:space="preserve">s </w:t>
      </w:r>
      <w:r w:rsidRPr="003B7960">
        <w:rPr>
          <w:rFonts w:ascii="Cambria" w:hAnsi="Cambria"/>
          <w:sz w:val="20"/>
          <w:szCs w:val="20"/>
          <w:lang w:val="es-ES"/>
        </w:rPr>
        <w:t>antedichos, entre ellos la falta de información</w:t>
      </w:r>
      <w:r w:rsidR="00067F9E" w:rsidRPr="003B7960">
        <w:rPr>
          <w:rFonts w:ascii="Cambria" w:hAnsi="Cambria"/>
          <w:sz w:val="20"/>
          <w:szCs w:val="20"/>
          <w:lang w:val="es-ES"/>
        </w:rPr>
        <w:t xml:space="preserve">, </w:t>
      </w:r>
      <w:r w:rsidRPr="003B7960">
        <w:rPr>
          <w:rFonts w:ascii="Cambria" w:hAnsi="Cambria"/>
          <w:sz w:val="20"/>
          <w:szCs w:val="20"/>
          <w:lang w:val="es-ES"/>
        </w:rPr>
        <w:t>que puede atribuirse al Estado</w:t>
      </w:r>
      <w:r w:rsidR="00067F9E" w:rsidRPr="003B7960">
        <w:rPr>
          <w:rFonts w:ascii="Cambria" w:hAnsi="Cambria"/>
          <w:sz w:val="20"/>
          <w:szCs w:val="20"/>
          <w:lang w:val="es-ES"/>
        </w:rPr>
        <w:t>,</w:t>
      </w:r>
      <w:r w:rsidR="00FF4A73" w:rsidRPr="003B7960">
        <w:rPr>
          <w:rFonts w:ascii="Cambria" w:hAnsi="Cambria"/>
          <w:sz w:val="20"/>
          <w:szCs w:val="20"/>
          <w:lang w:val="es-ES"/>
        </w:rPr>
        <w:t xml:space="preserve"> así como</w:t>
      </w:r>
      <w:r w:rsidR="00067F9E" w:rsidRPr="003B7960">
        <w:rPr>
          <w:rFonts w:ascii="Cambria" w:hAnsi="Cambria"/>
          <w:sz w:val="20"/>
          <w:szCs w:val="20"/>
          <w:lang w:val="es-ES"/>
        </w:rPr>
        <w:t xml:space="preserve"> </w:t>
      </w:r>
      <w:r w:rsidRPr="003B7960">
        <w:rPr>
          <w:rFonts w:ascii="Cambria" w:hAnsi="Cambria"/>
          <w:sz w:val="20"/>
          <w:szCs w:val="20"/>
          <w:lang w:val="es-ES"/>
        </w:rPr>
        <w:t>las normas intera</w:t>
      </w:r>
      <w:r w:rsidR="00067F9E" w:rsidRPr="003B7960">
        <w:rPr>
          <w:rFonts w:ascii="Cambria" w:hAnsi="Cambria"/>
          <w:sz w:val="20"/>
          <w:szCs w:val="20"/>
          <w:lang w:val="es-ES"/>
        </w:rPr>
        <w:t>merican</w:t>
      </w:r>
      <w:r w:rsidRPr="003B7960">
        <w:rPr>
          <w:rFonts w:ascii="Cambria" w:hAnsi="Cambria"/>
          <w:sz w:val="20"/>
          <w:szCs w:val="20"/>
          <w:lang w:val="es-ES"/>
        </w:rPr>
        <w:t xml:space="preserve">as sobre la </w:t>
      </w:r>
      <w:r w:rsidR="00D34647" w:rsidRPr="003B7960">
        <w:rPr>
          <w:rFonts w:ascii="Cambria" w:hAnsi="Cambria"/>
          <w:sz w:val="20"/>
          <w:szCs w:val="20"/>
          <w:lang w:val="es-ES"/>
        </w:rPr>
        <w:t>individualización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de las </w:t>
      </w:r>
      <w:r w:rsidR="00D34647" w:rsidRPr="003B7960">
        <w:rPr>
          <w:rFonts w:ascii="Cambria" w:hAnsi="Cambria"/>
          <w:sz w:val="20"/>
          <w:szCs w:val="20"/>
          <w:lang w:val="es-ES"/>
        </w:rPr>
        <w:t>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en circunstancias complejas, la carga de la prueba en los </w:t>
      </w:r>
      <w:r w:rsidR="00067F9E" w:rsidRPr="003B7960">
        <w:rPr>
          <w:rFonts w:ascii="Cambria" w:hAnsi="Cambria"/>
          <w:sz w:val="20"/>
          <w:szCs w:val="20"/>
          <w:lang w:val="es-ES"/>
        </w:rPr>
        <w:t>cas</w:t>
      </w:r>
      <w:r w:rsidRPr="003B7960">
        <w:rPr>
          <w:rFonts w:ascii="Cambria" w:hAnsi="Cambria"/>
          <w:sz w:val="20"/>
          <w:szCs w:val="20"/>
          <w:lang w:val="es-ES"/>
        </w:rPr>
        <w:t>os relacionados con personas bajo la custodia del Estado y el contexto migratorio en</w:t>
      </w:r>
      <w:r w:rsidR="00067F9E" w:rsidRPr="003B7960">
        <w:rPr>
          <w:rFonts w:ascii="Cambria" w:hAnsi="Cambria"/>
          <w:sz w:val="20"/>
          <w:szCs w:val="20"/>
          <w:lang w:val="es-ES"/>
        </w:rPr>
        <w:t xml:space="preserve">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entiende que todas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estuvieron detenidas 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Pr="003B7960">
        <w:rPr>
          <w:rFonts w:ascii="Cambria" w:hAnsi="Cambria"/>
          <w:sz w:val="20"/>
          <w:szCs w:val="20"/>
          <w:lang w:val="es-ES"/>
        </w:rPr>
        <w:t xml:space="preserve">y posteriormente fueron repatriadas. De esta forma, </w:t>
      </w:r>
      <w:r w:rsidR="00C33F51" w:rsidRPr="003B7960">
        <w:rPr>
          <w:rFonts w:ascii="Cambria" w:hAnsi="Cambria"/>
          <w:sz w:val="20"/>
          <w:szCs w:val="20"/>
          <w:lang w:val="es-ES"/>
        </w:rPr>
        <w:t>la CIDH</w:t>
      </w:r>
      <w:r w:rsidR="00067F9E" w:rsidRPr="003B7960">
        <w:rPr>
          <w:rFonts w:ascii="Cambria" w:hAnsi="Cambria"/>
          <w:sz w:val="20"/>
          <w:szCs w:val="20"/>
          <w:lang w:val="es-ES"/>
        </w:rPr>
        <w:t xml:space="preserve"> </w:t>
      </w:r>
      <w:r w:rsidRPr="003B7960">
        <w:rPr>
          <w:rFonts w:ascii="Cambria" w:hAnsi="Cambria"/>
          <w:sz w:val="20"/>
          <w:szCs w:val="20"/>
          <w:lang w:val="es-ES"/>
        </w:rPr>
        <w:t xml:space="preserve">analizará las </w:t>
      </w:r>
      <w:r w:rsidR="001A6E22" w:rsidRPr="003B7960">
        <w:rPr>
          <w:rFonts w:ascii="Cambria" w:hAnsi="Cambria"/>
          <w:sz w:val="20"/>
          <w:szCs w:val="20"/>
          <w:lang w:val="es-ES"/>
        </w:rPr>
        <w:t>presuntas violaciones</w:t>
      </w:r>
      <w:r w:rsidR="00067F9E" w:rsidRPr="003B7960">
        <w:rPr>
          <w:rFonts w:ascii="Cambria" w:hAnsi="Cambria"/>
          <w:sz w:val="20"/>
          <w:szCs w:val="20"/>
          <w:lang w:val="es-ES"/>
        </w:rPr>
        <w:t xml:space="preserve"> </w:t>
      </w:r>
      <w:r w:rsidRPr="003B7960">
        <w:rPr>
          <w:rFonts w:ascii="Cambria" w:hAnsi="Cambria"/>
          <w:sz w:val="20"/>
          <w:szCs w:val="20"/>
          <w:lang w:val="es-ES"/>
        </w:rPr>
        <w:t>de</w:t>
      </w:r>
      <w:r w:rsidR="00067F9E" w:rsidRPr="003B7960">
        <w:rPr>
          <w:rFonts w:ascii="Cambria" w:hAnsi="Cambria"/>
          <w:sz w:val="20"/>
          <w:szCs w:val="20"/>
          <w:lang w:val="es-ES"/>
        </w:rPr>
        <w:t xml:space="preserve"> </w:t>
      </w:r>
      <w:r w:rsidRPr="003B7960">
        <w:rPr>
          <w:rFonts w:ascii="Cambria" w:hAnsi="Cambria"/>
          <w:sz w:val="20"/>
          <w:szCs w:val="20"/>
          <w:lang w:val="es-ES"/>
        </w:rPr>
        <w:t>derechos humanos</w:t>
      </w:r>
      <w:r w:rsidR="00067F9E" w:rsidRPr="003B7960">
        <w:rPr>
          <w:rFonts w:ascii="Cambria" w:hAnsi="Cambria"/>
          <w:sz w:val="20"/>
          <w:szCs w:val="20"/>
          <w:lang w:val="es-ES"/>
        </w:rPr>
        <w:t xml:space="preserve"> </w:t>
      </w:r>
      <w:r w:rsidRPr="003B7960">
        <w:rPr>
          <w:rFonts w:ascii="Cambria" w:hAnsi="Cambria"/>
          <w:sz w:val="20"/>
          <w:szCs w:val="20"/>
          <w:lang w:val="es-ES"/>
        </w:rPr>
        <w:t xml:space="preserve">sufridas tanto por el grupo individualizado como por el grupo </w:t>
      </w:r>
      <w:r w:rsidR="00067F9E" w:rsidRPr="003B7960">
        <w:rPr>
          <w:rFonts w:ascii="Cambria" w:hAnsi="Cambria"/>
          <w:sz w:val="20"/>
          <w:szCs w:val="20"/>
          <w:lang w:val="es-ES"/>
        </w:rPr>
        <w:t>indetermina</w:t>
      </w:r>
      <w:r w:rsidRPr="003B7960">
        <w:rPr>
          <w:rFonts w:ascii="Cambria" w:hAnsi="Cambria"/>
          <w:sz w:val="20"/>
          <w:szCs w:val="20"/>
          <w:lang w:val="es-ES"/>
        </w:rPr>
        <w:t xml:space="preserve">do de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en cuyo caso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solicitará su completa identificación como parte de sus recomendaciones a </w:t>
      </w:r>
      <w:r w:rsidR="00B9011F" w:rsidRPr="003B7960">
        <w:rPr>
          <w:rFonts w:ascii="Cambria" w:hAnsi="Cambria"/>
          <w:sz w:val="20"/>
          <w:szCs w:val="20"/>
          <w:lang w:val="es-ES"/>
        </w:rPr>
        <w:t>las Bahamas</w:t>
      </w:r>
      <w:r w:rsidR="00067F9E" w:rsidRPr="003B7960">
        <w:rPr>
          <w:rFonts w:ascii="Cambria" w:hAnsi="Cambria"/>
          <w:sz w:val="20"/>
          <w:szCs w:val="20"/>
          <w:lang w:val="es-ES"/>
        </w:rPr>
        <w:t xml:space="preserve">. </w:t>
      </w:r>
    </w:p>
    <w:p w14:paraId="5511FCBA"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b/>
          <w:sz w:val="20"/>
          <w:szCs w:val="20"/>
          <w:lang w:val="es-ES"/>
        </w:rPr>
      </w:pPr>
    </w:p>
    <w:p w14:paraId="2E195A2A" w14:textId="4AC25875" w:rsidR="00067F9E" w:rsidRPr="003B7960" w:rsidRDefault="001A6DB5" w:rsidP="00101DC6">
      <w:pPr>
        <w:pStyle w:val="ListParagraph"/>
        <w:numPr>
          <w:ilvl w:val="0"/>
          <w:numId w:val="56"/>
        </w:numPr>
        <w:tabs>
          <w:tab w:val="left" w:pos="426"/>
        </w:tabs>
        <w:ind w:left="0" w:firstLine="0"/>
        <w:jc w:val="both"/>
        <w:rPr>
          <w:rFonts w:ascii="Cambria" w:hAnsi="Cambria"/>
          <w:color w:val="000000"/>
          <w:sz w:val="20"/>
          <w:szCs w:val="20"/>
          <w:lang w:val="es-ES"/>
        </w:rPr>
      </w:pPr>
      <w:r w:rsidRPr="003B7960">
        <w:rPr>
          <w:rFonts w:ascii="Cambria" w:eastAsia="Times New Roman" w:hAnsi="Cambria"/>
          <w:bCs/>
          <w:color w:val="000000"/>
          <w:sz w:val="20"/>
          <w:szCs w:val="20"/>
          <w:bdr w:val="none" w:sz="0" w:space="0" w:color="auto"/>
          <w:lang w:val="es-ES"/>
        </w:rPr>
        <w:t xml:space="preserve">En lo que respecta a </w:t>
      </w:r>
      <w:r w:rsidR="00C33F51" w:rsidRPr="003B7960">
        <w:rPr>
          <w:rFonts w:ascii="Cambria" w:eastAsia="Times New Roman" w:hAnsi="Cambria"/>
          <w:bCs/>
          <w:color w:val="000000"/>
          <w:sz w:val="20"/>
          <w:szCs w:val="20"/>
          <w:bdr w:val="none" w:sz="0" w:space="0" w:color="auto"/>
          <w:lang w:val="es-ES"/>
        </w:rPr>
        <w:t>la Declaración</w:t>
      </w:r>
      <w:r w:rsidR="00B9011F" w:rsidRPr="003B7960">
        <w:rPr>
          <w:rFonts w:ascii="Cambria" w:eastAsia="Times New Roman" w:hAnsi="Cambria"/>
          <w:bCs/>
          <w:color w:val="000000"/>
          <w:sz w:val="20"/>
          <w:szCs w:val="20"/>
          <w:bdr w:val="none" w:sz="0" w:space="0" w:color="auto"/>
          <w:lang w:val="es-ES"/>
        </w:rPr>
        <w:t xml:space="preserve"> Americana</w:t>
      </w:r>
      <w:r w:rsidR="00067F9E" w:rsidRPr="003B7960">
        <w:rPr>
          <w:rFonts w:ascii="Cambria" w:eastAsia="Times New Roman" w:hAnsi="Cambria"/>
          <w:bCs/>
          <w:color w:val="000000"/>
          <w:sz w:val="20"/>
          <w:szCs w:val="20"/>
          <w:bdr w:val="none" w:sz="0" w:space="0" w:color="auto"/>
          <w:lang w:val="es-ES"/>
        </w:rPr>
        <w:t xml:space="preserve"> </w:t>
      </w:r>
      <w:r w:rsidRPr="003B7960">
        <w:rPr>
          <w:rFonts w:ascii="Cambria" w:eastAsia="Times New Roman" w:hAnsi="Cambria"/>
          <w:bCs/>
          <w:color w:val="000000"/>
          <w:sz w:val="20"/>
          <w:szCs w:val="20"/>
          <w:bdr w:val="none" w:sz="0" w:space="0" w:color="auto"/>
          <w:lang w:val="es-ES"/>
        </w:rPr>
        <w:t>como fuente de obligaciones jurídicas,</w:t>
      </w:r>
      <w:r w:rsidR="000F78E7" w:rsidRPr="003B7960">
        <w:rPr>
          <w:rFonts w:ascii="Cambria" w:eastAsia="Times New Roman" w:hAnsi="Cambria"/>
          <w:bCs/>
          <w:color w:val="000000"/>
          <w:sz w:val="20"/>
          <w:szCs w:val="20"/>
          <w:bdr w:val="none" w:sz="0" w:space="0" w:color="auto"/>
          <w:lang w:val="es-ES"/>
        </w:rPr>
        <w:t xml:space="preserve"> </w:t>
      </w:r>
      <w:r w:rsidR="00654B4A" w:rsidRPr="003B7960">
        <w:rPr>
          <w:rFonts w:ascii="Cambria" w:eastAsia="Times New Roman" w:hAnsi="Cambria"/>
          <w:bCs/>
          <w:color w:val="000000"/>
          <w:sz w:val="20"/>
          <w:szCs w:val="20"/>
          <w:bdr w:val="none" w:sz="0" w:space="0" w:color="auto"/>
          <w:lang w:val="es-ES"/>
        </w:rPr>
        <w:t>la Comisión</w:t>
      </w:r>
      <w:r w:rsidR="00A332F5" w:rsidRPr="003B7960">
        <w:rPr>
          <w:rFonts w:ascii="Cambria" w:eastAsia="Times New Roman" w:hAnsi="Cambria"/>
          <w:bCs/>
          <w:color w:val="000000"/>
          <w:sz w:val="20"/>
          <w:szCs w:val="20"/>
          <w:bdr w:val="none" w:sz="0" w:space="0" w:color="auto"/>
          <w:lang w:val="es-ES"/>
        </w:rPr>
        <w:t xml:space="preserve"> Interamericana</w:t>
      </w:r>
      <w:r w:rsidR="00067F9E" w:rsidRPr="003B7960">
        <w:rPr>
          <w:rFonts w:ascii="Cambria" w:eastAsia="Times New Roman" w:hAnsi="Cambria"/>
          <w:bCs/>
          <w:color w:val="000000"/>
          <w:sz w:val="20"/>
          <w:szCs w:val="20"/>
          <w:bdr w:val="none" w:sz="0" w:space="0" w:color="auto"/>
          <w:lang w:val="es-ES"/>
        </w:rPr>
        <w:t xml:space="preserve"> </w:t>
      </w:r>
      <w:r w:rsidRPr="003B7960">
        <w:rPr>
          <w:rFonts w:ascii="Cambria" w:eastAsia="Times New Roman" w:hAnsi="Cambria"/>
          <w:bCs/>
          <w:color w:val="000000"/>
          <w:sz w:val="20"/>
          <w:szCs w:val="20"/>
          <w:bdr w:val="none" w:sz="0" w:space="0" w:color="auto"/>
          <w:lang w:val="es-ES"/>
        </w:rPr>
        <w:t xml:space="preserve">puede aplicarla a </w:t>
      </w:r>
      <w:r w:rsidR="00B9011F" w:rsidRPr="003B7960">
        <w:rPr>
          <w:rFonts w:ascii="Cambria" w:eastAsia="Times New Roman" w:hAnsi="Cambria"/>
          <w:bCs/>
          <w:color w:val="000000"/>
          <w:sz w:val="20"/>
          <w:szCs w:val="20"/>
          <w:bdr w:val="none" w:sz="0" w:space="0" w:color="auto"/>
          <w:lang w:val="es-ES"/>
        </w:rPr>
        <w:t>las Bahamas</w:t>
      </w:r>
      <w:r w:rsidR="00067F9E" w:rsidRPr="003B7960">
        <w:rPr>
          <w:rFonts w:ascii="Cambria" w:eastAsia="Times New Roman" w:hAnsi="Cambria"/>
          <w:bCs/>
          <w:color w:val="000000"/>
          <w:sz w:val="20"/>
          <w:szCs w:val="20"/>
          <w:bdr w:val="none" w:sz="0" w:space="0" w:color="auto"/>
          <w:lang w:val="es-ES"/>
        </w:rPr>
        <w:t xml:space="preserve"> </w:t>
      </w:r>
      <w:r w:rsidRPr="003B7960">
        <w:rPr>
          <w:rFonts w:ascii="Cambria" w:eastAsia="Times New Roman" w:hAnsi="Cambria"/>
          <w:bCs/>
          <w:color w:val="000000"/>
          <w:sz w:val="20"/>
          <w:szCs w:val="20"/>
          <w:bdr w:val="none" w:sz="0" w:space="0" w:color="auto"/>
          <w:lang w:val="es-ES"/>
        </w:rPr>
        <w:t>sobre la base del compromiso d</w:t>
      </w:r>
      <w:r w:rsidR="00A332F5" w:rsidRPr="003B7960">
        <w:rPr>
          <w:rFonts w:ascii="Cambria" w:eastAsia="Times New Roman" w:hAnsi="Cambria"/>
          <w:bCs/>
          <w:color w:val="000000"/>
          <w:sz w:val="20"/>
          <w:szCs w:val="20"/>
          <w:bdr w:val="none" w:sz="0" w:space="0" w:color="auto"/>
          <w:lang w:val="es-ES"/>
        </w:rPr>
        <w:t>el Estado</w:t>
      </w:r>
      <w:r w:rsidRPr="003B7960">
        <w:rPr>
          <w:rFonts w:ascii="Cambria" w:eastAsia="Times New Roman" w:hAnsi="Cambria"/>
          <w:bCs/>
          <w:color w:val="000000"/>
          <w:sz w:val="20"/>
          <w:szCs w:val="20"/>
          <w:bdr w:val="none" w:sz="0" w:space="0" w:color="auto"/>
          <w:lang w:val="es-ES"/>
        </w:rPr>
        <w:t xml:space="preserve"> de </w:t>
      </w:r>
      <w:r w:rsidR="00D00DE0" w:rsidRPr="003B7960">
        <w:rPr>
          <w:rFonts w:ascii="Cambria" w:eastAsia="Times New Roman" w:hAnsi="Cambria"/>
          <w:bCs/>
          <w:color w:val="000000"/>
          <w:sz w:val="20"/>
          <w:szCs w:val="20"/>
          <w:bdr w:val="none" w:sz="0" w:space="0" w:color="auto"/>
          <w:lang w:val="es-ES"/>
        </w:rPr>
        <w:t xml:space="preserve">promover la defensa </w:t>
      </w:r>
      <w:r w:rsidR="00D00DE0" w:rsidRPr="003B7960">
        <w:rPr>
          <w:rFonts w:ascii="Cambria" w:eastAsia="Times New Roman" w:hAnsi="Cambria"/>
          <w:bCs/>
          <w:color w:val="000000"/>
          <w:sz w:val="20"/>
          <w:szCs w:val="20"/>
          <w:bdr w:val="none" w:sz="0" w:space="0" w:color="auto"/>
          <w:lang w:val="es-ES"/>
        </w:rPr>
        <w:lastRenderedPageBreak/>
        <w:t xml:space="preserve">de </w:t>
      </w:r>
      <w:r w:rsidRPr="003B7960">
        <w:rPr>
          <w:rFonts w:ascii="Cambria" w:eastAsia="Times New Roman" w:hAnsi="Cambria"/>
          <w:bCs/>
          <w:color w:val="000000"/>
          <w:sz w:val="20"/>
          <w:szCs w:val="20"/>
          <w:bdr w:val="none" w:sz="0" w:space="0" w:color="auto"/>
          <w:lang w:val="es-ES"/>
        </w:rPr>
        <w:t xml:space="preserve">los </w:t>
      </w:r>
      <w:r w:rsidR="0040162A" w:rsidRPr="003B7960">
        <w:rPr>
          <w:rFonts w:ascii="Cambria" w:eastAsia="Times New Roman" w:hAnsi="Cambria"/>
          <w:bCs/>
          <w:color w:val="000000"/>
          <w:sz w:val="20"/>
          <w:szCs w:val="20"/>
          <w:bdr w:val="none" w:sz="0" w:space="0" w:color="auto"/>
          <w:lang w:val="es-ES"/>
        </w:rPr>
        <w:t>derechos humanos</w:t>
      </w:r>
      <w:r w:rsidR="00D00DE0" w:rsidRPr="003B7960">
        <w:rPr>
          <w:rFonts w:ascii="Cambria" w:eastAsia="Times New Roman" w:hAnsi="Cambria"/>
          <w:bCs/>
          <w:color w:val="000000"/>
          <w:sz w:val="20"/>
          <w:szCs w:val="20"/>
          <w:bdr w:val="none" w:sz="0" w:space="0" w:color="auto"/>
          <w:lang w:val="es-ES"/>
        </w:rPr>
        <w:t>, de acuerdo con lo dispuesto y definido en la Carta de la Organización de los Estados Americanos (OEA)</w:t>
      </w:r>
      <w:bookmarkStart w:id="16" w:name="_Ref526241249"/>
      <w:r w:rsidR="00067F9E" w:rsidRPr="003B7960">
        <w:rPr>
          <w:rStyle w:val="FootnoteReference"/>
          <w:rFonts w:ascii="Cambria" w:eastAsia="Times New Roman" w:hAnsi="Cambria"/>
          <w:bCs/>
          <w:color w:val="000000"/>
          <w:sz w:val="20"/>
          <w:szCs w:val="20"/>
          <w:bdr w:val="none" w:sz="0" w:space="0" w:color="auto"/>
          <w:lang w:val="es-ES"/>
        </w:rPr>
        <w:footnoteReference w:id="85"/>
      </w:r>
      <w:bookmarkEnd w:id="16"/>
      <w:r w:rsidR="00D00DE0" w:rsidRPr="003B7960">
        <w:rPr>
          <w:rFonts w:ascii="Cambria" w:eastAsia="Times New Roman" w:hAnsi="Cambria"/>
          <w:bCs/>
          <w:color w:val="000000"/>
          <w:sz w:val="20"/>
          <w:szCs w:val="20"/>
          <w:bdr w:val="none" w:sz="0" w:space="0" w:color="auto"/>
          <w:lang w:val="es-ES"/>
        </w:rPr>
        <w:t>. L</w:t>
      </w:r>
      <w:r w:rsidR="00B9011F" w:rsidRPr="003B7960">
        <w:rPr>
          <w:rFonts w:ascii="Cambria" w:eastAsia="Times New Roman" w:hAnsi="Cambria"/>
          <w:bCs/>
          <w:color w:val="000000"/>
          <w:sz w:val="20"/>
          <w:szCs w:val="20"/>
          <w:bdr w:val="none" w:sz="0" w:space="0" w:color="auto"/>
          <w:lang w:val="es-ES"/>
        </w:rPr>
        <w:t>as Bahamas</w:t>
      </w:r>
      <w:r w:rsidR="00067F9E" w:rsidRPr="003B7960">
        <w:rPr>
          <w:rFonts w:ascii="Cambria" w:eastAsia="Times New Roman" w:hAnsi="Cambria"/>
          <w:bCs/>
          <w:color w:val="000000"/>
          <w:sz w:val="20"/>
          <w:szCs w:val="20"/>
          <w:bdr w:val="none" w:sz="0" w:space="0" w:color="auto"/>
          <w:lang w:val="es-ES"/>
        </w:rPr>
        <w:t xml:space="preserve"> deposit</w:t>
      </w:r>
      <w:r w:rsidR="00D00DE0" w:rsidRPr="003B7960">
        <w:rPr>
          <w:rFonts w:ascii="Cambria" w:eastAsia="Times New Roman" w:hAnsi="Cambria"/>
          <w:bCs/>
          <w:color w:val="000000"/>
          <w:sz w:val="20"/>
          <w:szCs w:val="20"/>
          <w:bdr w:val="none" w:sz="0" w:space="0" w:color="auto"/>
          <w:lang w:val="es-ES"/>
        </w:rPr>
        <w:t xml:space="preserve">aron su </w:t>
      </w:r>
      <w:r w:rsidR="00067F9E" w:rsidRPr="003B7960">
        <w:rPr>
          <w:rFonts w:ascii="Cambria" w:eastAsia="Times New Roman" w:hAnsi="Cambria"/>
          <w:bCs/>
          <w:color w:val="000000"/>
          <w:sz w:val="20"/>
          <w:szCs w:val="20"/>
          <w:bdr w:val="none" w:sz="0" w:space="0" w:color="auto"/>
          <w:lang w:val="es-ES"/>
        </w:rPr>
        <w:t>instrument</w:t>
      </w:r>
      <w:r w:rsidR="00D00DE0" w:rsidRPr="003B7960">
        <w:rPr>
          <w:rFonts w:ascii="Cambria" w:eastAsia="Times New Roman" w:hAnsi="Cambria"/>
          <w:bCs/>
          <w:color w:val="000000"/>
          <w:sz w:val="20"/>
          <w:szCs w:val="20"/>
          <w:bdr w:val="none" w:sz="0" w:space="0" w:color="auto"/>
          <w:lang w:val="es-ES"/>
        </w:rPr>
        <w:t>o de</w:t>
      </w:r>
      <w:r w:rsidR="00067F9E" w:rsidRPr="003B7960">
        <w:rPr>
          <w:rFonts w:ascii="Cambria" w:eastAsia="Times New Roman" w:hAnsi="Cambria"/>
          <w:bCs/>
          <w:color w:val="000000"/>
          <w:sz w:val="20"/>
          <w:szCs w:val="20"/>
          <w:bdr w:val="none" w:sz="0" w:space="0" w:color="auto"/>
          <w:lang w:val="es-ES"/>
        </w:rPr>
        <w:t xml:space="preserve"> </w:t>
      </w:r>
      <w:r w:rsidR="00D00DE0" w:rsidRPr="003B7960">
        <w:rPr>
          <w:rFonts w:ascii="Cambria" w:eastAsia="Times New Roman" w:hAnsi="Cambria"/>
          <w:bCs/>
          <w:color w:val="000000"/>
          <w:sz w:val="20"/>
          <w:szCs w:val="20"/>
          <w:bdr w:val="none" w:sz="0" w:space="0" w:color="auto"/>
          <w:lang w:val="es-ES"/>
        </w:rPr>
        <w:t>ratificación</w:t>
      </w:r>
      <w:r w:rsidR="00067F9E" w:rsidRPr="003B7960">
        <w:rPr>
          <w:rFonts w:ascii="Cambria" w:eastAsia="Times New Roman" w:hAnsi="Cambria"/>
          <w:bCs/>
          <w:color w:val="000000"/>
          <w:sz w:val="20"/>
          <w:szCs w:val="20"/>
          <w:bdr w:val="none" w:sz="0" w:space="0" w:color="auto"/>
          <w:lang w:val="es-ES"/>
        </w:rPr>
        <w:t xml:space="preserve"> </w:t>
      </w:r>
      <w:r w:rsidR="00D00DE0" w:rsidRPr="003B7960">
        <w:rPr>
          <w:rFonts w:ascii="Cambria" w:eastAsia="Times New Roman" w:hAnsi="Cambria"/>
          <w:bCs/>
          <w:color w:val="000000"/>
          <w:sz w:val="20"/>
          <w:szCs w:val="20"/>
          <w:bdr w:val="none" w:sz="0" w:space="0" w:color="auto"/>
          <w:lang w:val="es-ES"/>
        </w:rPr>
        <w:t>de</w:t>
      </w:r>
      <w:r w:rsidR="00067F9E" w:rsidRPr="003B7960">
        <w:rPr>
          <w:rFonts w:ascii="Cambria" w:eastAsia="Times New Roman" w:hAnsi="Cambria"/>
          <w:bCs/>
          <w:color w:val="000000"/>
          <w:sz w:val="20"/>
          <w:szCs w:val="20"/>
          <w:bdr w:val="none" w:sz="0" w:space="0" w:color="auto"/>
          <w:lang w:val="es-ES"/>
        </w:rPr>
        <w:t xml:space="preserve"> </w:t>
      </w:r>
      <w:r w:rsidR="00D00DE0" w:rsidRPr="003B7960">
        <w:rPr>
          <w:rFonts w:ascii="Cambria" w:eastAsia="Times New Roman" w:hAnsi="Cambria"/>
          <w:bCs/>
          <w:color w:val="000000"/>
          <w:sz w:val="20"/>
          <w:szCs w:val="20"/>
          <w:bdr w:val="none" w:sz="0" w:space="0" w:color="auto"/>
          <w:lang w:val="es-ES"/>
        </w:rPr>
        <w:t xml:space="preserve">la Carta de la OEA el </w:t>
      </w:r>
      <w:r w:rsidR="00067F9E" w:rsidRPr="003B7960">
        <w:rPr>
          <w:rFonts w:ascii="Cambria" w:eastAsia="Times New Roman" w:hAnsi="Cambria"/>
          <w:bCs/>
          <w:color w:val="000000"/>
          <w:sz w:val="20"/>
          <w:szCs w:val="20"/>
          <w:bdr w:val="none" w:sz="0" w:space="0" w:color="auto"/>
          <w:lang w:val="es-ES"/>
        </w:rPr>
        <w:t>3</w:t>
      </w:r>
      <w:r w:rsidR="00D00DE0" w:rsidRPr="003B7960">
        <w:rPr>
          <w:rFonts w:ascii="Cambria" w:eastAsia="Times New Roman" w:hAnsi="Cambria"/>
          <w:bCs/>
          <w:color w:val="000000"/>
          <w:sz w:val="20"/>
          <w:szCs w:val="20"/>
          <w:bdr w:val="none" w:sz="0" w:space="0" w:color="auto"/>
          <w:lang w:val="es-ES"/>
        </w:rPr>
        <w:t xml:space="preserve"> de marzo de</w:t>
      </w:r>
      <w:r w:rsidR="00067F9E" w:rsidRPr="003B7960">
        <w:rPr>
          <w:rFonts w:ascii="Cambria" w:eastAsia="Times New Roman" w:hAnsi="Cambria"/>
          <w:bCs/>
          <w:color w:val="000000"/>
          <w:sz w:val="20"/>
          <w:szCs w:val="20"/>
          <w:bdr w:val="none" w:sz="0" w:space="0" w:color="auto"/>
          <w:lang w:val="es-ES"/>
        </w:rPr>
        <w:t xml:space="preserve"> 1982. </w:t>
      </w:r>
      <w:r w:rsidR="00D00DE0" w:rsidRPr="003B7960">
        <w:rPr>
          <w:rFonts w:ascii="Cambria" w:eastAsia="Times New Roman" w:hAnsi="Cambria"/>
          <w:bCs/>
          <w:color w:val="000000"/>
          <w:sz w:val="20"/>
          <w:szCs w:val="20"/>
          <w:bdr w:val="none" w:sz="0" w:space="0" w:color="auto"/>
          <w:lang w:val="es-ES"/>
        </w:rPr>
        <w:t xml:space="preserve">El artículo </w:t>
      </w:r>
      <w:r w:rsidR="00067F9E" w:rsidRPr="003B7960">
        <w:rPr>
          <w:rFonts w:ascii="Cambria" w:eastAsia="Times New Roman" w:hAnsi="Cambria"/>
          <w:bCs/>
          <w:color w:val="000000"/>
          <w:sz w:val="20"/>
          <w:szCs w:val="20"/>
          <w:bdr w:val="none" w:sz="0" w:space="0" w:color="auto"/>
          <w:lang w:val="es-ES"/>
        </w:rPr>
        <w:t xml:space="preserve">20 </w:t>
      </w:r>
      <w:r w:rsidR="00A42E99" w:rsidRPr="003B7960">
        <w:rPr>
          <w:rFonts w:ascii="Cambria" w:eastAsia="Times New Roman" w:hAnsi="Cambria"/>
          <w:bCs/>
          <w:color w:val="000000"/>
          <w:sz w:val="20"/>
          <w:szCs w:val="20"/>
          <w:bdr w:val="none" w:sz="0" w:space="0" w:color="auto"/>
          <w:lang w:val="es-ES"/>
        </w:rPr>
        <w:t xml:space="preserve">del Estatuto </w:t>
      </w:r>
      <w:r w:rsidR="00D00DE0" w:rsidRPr="003B7960">
        <w:rPr>
          <w:rFonts w:ascii="Cambria" w:eastAsia="Times New Roman" w:hAnsi="Cambria"/>
          <w:bCs/>
          <w:color w:val="000000"/>
          <w:sz w:val="20"/>
          <w:szCs w:val="20"/>
          <w:bdr w:val="none" w:sz="0" w:space="0" w:color="auto"/>
          <w:lang w:val="es-ES"/>
        </w:rPr>
        <w:t xml:space="preserve">de </w:t>
      </w:r>
      <w:r w:rsidR="00B9011F" w:rsidRPr="003B7960">
        <w:rPr>
          <w:rFonts w:ascii="Cambria" w:eastAsia="Times New Roman" w:hAnsi="Cambria"/>
          <w:bCs/>
          <w:color w:val="000000"/>
          <w:sz w:val="20"/>
          <w:szCs w:val="20"/>
          <w:bdr w:val="none" w:sz="0" w:space="0" w:color="auto"/>
          <w:lang w:val="es-ES"/>
        </w:rPr>
        <w:t>la Comisión</w:t>
      </w:r>
      <w:r w:rsidR="00D00DE0" w:rsidRPr="003B7960">
        <w:rPr>
          <w:rFonts w:ascii="Cambria" w:eastAsia="Times New Roman" w:hAnsi="Cambria"/>
          <w:bCs/>
          <w:color w:val="000000"/>
          <w:sz w:val="20"/>
          <w:szCs w:val="20"/>
          <w:bdr w:val="none" w:sz="0" w:space="0" w:color="auto"/>
          <w:lang w:val="es-ES"/>
        </w:rPr>
        <w:t xml:space="preserve"> y el artículo </w:t>
      </w:r>
      <w:r w:rsidR="00067F9E" w:rsidRPr="003B7960">
        <w:rPr>
          <w:rFonts w:ascii="Cambria" w:eastAsia="Times New Roman" w:hAnsi="Cambria"/>
          <w:bCs/>
          <w:color w:val="000000"/>
          <w:sz w:val="20"/>
          <w:szCs w:val="20"/>
          <w:bdr w:val="none" w:sz="0" w:space="0" w:color="auto"/>
          <w:lang w:val="es-ES"/>
        </w:rPr>
        <w:t xml:space="preserve">23 </w:t>
      </w:r>
      <w:r w:rsidR="00D00DE0" w:rsidRPr="003B7960">
        <w:rPr>
          <w:rFonts w:ascii="Cambria" w:eastAsia="Times New Roman" w:hAnsi="Cambria"/>
          <w:bCs/>
          <w:color w:val="000000"/>
          <w:sz w:val="20"/>
          <w:szCs w:val="20"/>
          <w:bdr w:val="none" w:sz="0" w:space="0" w:color="auto"/>
          <w:lang w:val="es-ES"/>
        </w:rPr>
        <w:t xml:space="preserve">de su </w:t>
      </w:r>
      <w:r w:rsidR="00D34647" w:rsidRPr="003B7960">
        <w:rPr>
          <w:rFonts w:ascii="Cambria" w:eastAsia="Times New Roman" w:hAnsi="Cambria"/>
          <w:bCs/>
          <w:color w:val="000000"/>
          <w:sz w:val="20"/>
          <w:szCs w:val="20"/>
          <w:bdr w:val="none" w:sz="0" w:space="0" w:color="auto"/>
          <w:lang w:val="es-ES"/>
        </w:rPr>
        <w:t>Reglamento</w:t>
      </w:r>
      <w:r w:rsidR="00D00DE0" w:rsidRPr="003B7960">
        <w:rPr>
          <w:rFonts w:ascii="Cambria" w:eastAsia="Times New Roman" w:hAnsi="Cambria"/>
          <w:bCs/>
          <w:color w:val="000000"/>
          <w:sz w:val="20"/>
          <w:szCs w:val="20"/>
          <w:bdr w:val="none" w:sz="0" w:space="0" w:color="auto"/>
          <w:lang w:val="es-ES"/>
        </w:rPr>
        <w:t xml:space="preserve"> la autorizan a</w:t>
      </w:r>
      <w:r w:rsidR="00067F9E" w:rsidRPr="003B7960">
        <w:rPr>
          <w:rFonts w:ascii="Cambria" w:eastAsia="Times New Roman" w:hAnsi="Cambria"/>
          <w:bCs/>
          <w:color w:val="000000"/>
          <w:sz w:val="20"/>
          <w:szCs w:val="20"/>
          <w:bdr w:val="none" w:sz="0" w:space="0" w:color="auto"/>
          <w:lang w:val="es-ES"/>
        </w:rPr>
        <w:t xml:space="preserve"> examin</w:t>
      </w:r>
      <w:r w:rsidR="00D00DE0" w:rsidRPr="003B7960">
        <w:rPr>
          <w:rFonts w:ascii="Cambria" w:eastAsia="Times New Roman" w:hAnsi="Cambria"/>
          <w:bCs/>
          <w:color w:val="000000"/>
          <w:sz w:val="20"/>
          <w:szCs w:val="20"/>
          <w:bdr w:val="none" w:sz="0" w:space="0" w:color="auto"/>
          <w:lang w:val="es-ES"/>
        </w:rPr>
        <w:t xml:space="preserve">ar las </w:t>
      </w:r>
      <w:r w:rsidR="001A6E22" w:rsidRPr="003B7960">
        <w:rPr>
          <w:rFonts w:ascii="Cambria" w:eastAsia="Times New Roman" w:hAnsi="Cambria"/>
          <w:bCs/>
          <w:color w:val="000000"/>
          <w:sz w:val="20"/>
          <w:szCs w:val="20"/>
          <w:bdr w:val="none" w:sz="0" w:space="0" w:color="auto"/>
          <w:lang w:val="es-ES"/>
        </w:rPr>
        <w:t>presuntas violaciones</w:t>
      </w:r>
      <w:r w:rsidR="00067F9E" w:rsidRPr="003B7960">
        <w:rPr>
          <w:rFonts w:ascii="Cambria" w:eastAsia="Times New Roman" w:hAnsi="Cambria"/>
          <w:bCs/>
          <w:color w:val="000000"/>
          <w:sz w:val="20"/>
          <w:szCs w:val="20"/>
          <w:bdr w:val="none" w:sz="0" w:space="0" w:color="auto"/>
          <w:lang w:val="es-ES"/>
        </w:rPr>
        <w:t xml:space="preserve"> </w:t>
      </w:r>
      <w:r w:rsidR="00D00DE0" w:rsidRPr="003B7960">
        <w:rPr>
          <w:rFonts w:ascii="Cambria" w:eastAsia="Times New Roman" w:hAnsi="Cambria"/>
          <w:bCs/>
          <w:color w:val="000000"/>
          <w:sz w:val="20"/>
          <w:szCs w:val="20"/>
          <w:bdr w:val="none" w:sz="0" w:space="0" w:color="auto"/>
          <w:lang w:val="es-ES"/>
        </w:rPr>
        <w:t>de</w:t>
      </w:r>
      <w:r w:rsidR="00067F9E" w:rsidRPr="003B7960">
        <w:rPr>
          <w:rFonts w:ascii="Cambria" w:eastAsia="Times New Roman" w:hAnsi="Cambria"/>
          <w:bCs/>
          <w:color w:val="000000"/>
          <w:sz w:val="20"/>
          <w:szCs w:val="20"/>
          <w:bdr w:val="none" w:sz="0" w:space="0" w:color="auto"/>
          <w:lang w:val="es-ES"/>
        </w:rPr>
        <w:t xml:space="preserve"> </w:t>
      </w:r>
      <w:r w:rsidR="005975C8" w:rsidRPr="003B7960">
        <w:rPr>
          <w:rFonts w:ascii="Cambria" w:eastAsia="Times New Roman" w:hAnsi="Cambria"/>
          <w:bCs/>
          <w:color w:val="000000"/>
          <w:sz w:val="20"/>
          <w:szCs w:val="20"/>
          <w:bdr w:val="none" w:sz="0" w:space="0" w:color="auto"/>
          <w:lang w:val="es-ES"/>
        </w:rPr>
        <w:t>la Declaración</w:t>
      </w:r>
      <w:r w:rsidR="00067F9E" w:rsidRPr="003B7960">
        <w:rPr>
          <w:rFonts w:ascii="Cambria" w:eastAsia="Times New Roman" w:hAnsi="Cambria"/>
          <w:bCs/>
          <w:color w:val="000000"/>
          <w:sz w:val="20"/>
          <w:szCs w:val="20"/>
          <w:bdr w:val="none" w:sz="0" w:space="0" w:color="auto"/>
          <w:lang w:val="es-ES"/>
        </w:rPr>
        <w:t xml:space="preserve"> </w:t>
      </w:r>
      <w:r w:rsidR="00D00DE0" w:rsidRPr="003B7960">
        <w:rPr>
          <w:rFonts w:ascii="Cambria" w:eastAsia="Times New Roman" w:hAnsi="Cambria"/>
          <w:bCs/>
          <w:color w:val="000000"/>
          <w:sz w:val="20"/>
          <w:szCs w:val="20"/>
          <w:bdr w:val="none" w:sz="0" w:space="0" w:color="auto"/>
          <w:lang w:val="es-ES"/>
        </w:rPr>
        <w:t>planteadas por</w:t>
      </w:r>
      <w:r w:rsidR="00067F9E" w:rsidRPr="003B7960">
        <w:rPr>
          <w:rFonts w:ascii="Cambria" w:eastAsia="Times New Roman" w:hAnsi="Cambria"/>
          <w:bCs/>
          <w:color w:val="000000"/>
          <w:sz w:val="20"/>
          <w:szCs w:val="20"/>
          <w:bdr w:val="none" w:sz="0" w:space="0" w:color="auto"/>
          <w:lang w:val="es-ES"/>
        </w:rPr>
        <w:t xml:space="preserve"> </w:t>
      </w:r>
      <w:r w:rsidR="00A332F5" w:rsidRPr="003B7960">
        <w:rPr>
          <w:rFonts w:ascii="Cambria" w:eastAsia="Times New Roman" w:hAnsi="Cambria"/>
          <w:bCs/>
          <w:color w:val="000000"/>
          <w:sz w:val="20"/>
          <w:szCs w:val="20"/>
          <w:bdr w:val="none" w:sz="0" w:space="0" w:color="auto"/>
          <w:lang w:val="es-ES"/>
        </w:rPr>
        <w:t>l</w:t>
      </w:r>
      <w:r w:rsidR="00170D77" w:rsidRPr="003B7960">
        <w:rPr>
          <w:rFonts w:ascii="Cambria" w:hAnsi="Cambria"/>
          <w:color w:val="000000"/>
          <w:sz w:val="20"/>
          <w:szCs w:val="20"/>
          <w:lang w:val="es-ES"/>
        </w:rPr>
        <w:t xml:space="preserve">a parte peticionaria </w:t>
      </w:r>
      <w:r w:rsidR="008655D5" w:rsidRPr="003B7960">
        <w:rPr>
          <w:rFonts w:ascii="Cambria" w:eastAsia="Times New Roman" w:hAnsi="Cambria"/>
          <w:bCs/>
          <w:color w:val="000000"/>
          <w:sz w:val="20"/>
          <w:szCs w:val="20"/>
          <w:bdr w:val="none" w:sz="0" w:space="0" w:color="auto"/>
          <w:lang w:val="es-ES"/>
        </w:rPr>
        <w:t xml:space="preserve">en relación con actos u omisiones del Estado que tuvieron lugar después de la incorporación de las </w:t>
      </w:r>
      <w:r w:rsidR="00B9011F" w:rsidRPr="003B7960">
        <w:rPr>
          <w:rFonts w:ascii="Cambria" w:eastAsia="Times New Roman" w:hAnsi="Cambria"/>
          <w:bCs/>
          <w:color w:val="000000"/>
          <w:sz w:val="20"/>
          <w:szCs w:val="20"/>
          <w:bdr w:val="none" w:sz="0" w:space="0" w:color="auto"/>
          <w:lang w:val="es-ES"/>
        </w:rPr>
        <w:t>Bahamas</w:t>
      </w:r>
      <w:r w:rsidR="00067F9E" w:rsidRPr="003B7960">
        <w:rPr>
          <w:rFonts w:ascii="Cambria" w:eastAsia="Times New Roman" w:hAnsi="Cambria"/>
          <w:bCs/>
          <w:color w:val="000000"/>
          <w:sz w:val="20"/>
          <w:szCs w:val="20"/>
          <w:bdr w:val="none" w:sz="0" w:space="0" w:color="auto"/>
          <w:lang w:val="es-ES"/>
        </w:rPr>
        <w:t xml:space="preserve"> </w:t>
      </w:r>
      <w:r w:rsidR="008655D5" w:rsidRPr="003B7960">
        <w:rPr>
          <w:rFonts w:ascii="Cambria" w:eastAsia="Times New Roman" w:hAnsi="Cambria"/>
          <w:bCs/>
          <w:color w:val="000000"/>
          <w:sz w:val="20"/>
          <w:szCs w:val="20"/>
          <w:bdr w:val="none" w:sz="0" w:space="0" w:color="auto"/>
          <w:lang w:val="es-ES"/>
        </w:rPr>
        <w:t>a la OEA</w:t>
      </w:r>
      <w:r w:rsidR="00067F9E" w:rsidRPr="003B7960">
        <w:rPr>
          <w:rFonts w:ascii="Cambria" w:eastAsia="Times New Roman" w:hAnsi="Cambria"/>
          <w:bCs/>
          <w:color w:val="000000"/>
          <w:sz w:val="20"/>
          <w:szCs w:val="20"/>
          <w:bdr w:val="none" w:sz="0" w:space="0" w:color="auto"/>
          <w:lang w:val="es-ES"/>
        </w:rPr>
        <w:t>.</w:t>
      </w:r>
    </w:p>
    <w:p w14:paraId="1DA4DAFF" w14:textId="77777777" w:rsidR="00067F9E" w:rsidRPr="003B7960" w:rsidRDefault="00067F9E" w:rsidP="00101DC6">
      <w:pPr>
        <w:tabs>
          <w:tab w:val="left" w:pos="426"/>
        </w:tabs>
        <w:rPr>
          <w:rFonts w:ascii="Cambria" w:hAnsi="Cambria"/>
          <w:color w:val="000000"/>
          <w:sz w:val="20"/>
          <w:szCs w:val="20"/>
          <w:lang w:val="es-ES"/>
        </w:rPr>
      </w:pPr>
    </w:p>
    <w:p w14:paraId="58722507" w14:textId="77777777" w:rsidR="00067F9E" w:rsidRPr="003B7960" w:rsidRDefault="00B9011F" w:rsidP="00101DC6">
      <w:pPr>
        <w:pStyle w:val="ListParagraph"/>
        <w:numPr>
          <w:ilvl w:val="0"/>
          <w:numId w:val="56"/>
        </w:numPr>
        <w:tabs>
          <w:tab w:val="left" w:pos="426"/>
        </w:tabs>
        <w:ind w:left="0" w:firstLine="0"/>
        <w:jc w:val="both"/>
        <w:rPr>
          <w:rFonts w:ascii="Cambria" w:hAnsi="Cambria"/>
          <w:color w:val="000000"/>
          <w:sz w:val="20"/>
          <w:szCs w:val="20"/>
          <w:lang w:val="es-ES"/>
        </w:rPr>
      </w:pPr>
      <w:r w:rsidRPr="003B7960">
        <w:rPr>
          <w:rFonts w:ascii="Cambria" w:eastAsia="Calibri" w:hAnsi="Cambria"/>
          <w:color w:val="000000"/>
          <w:sz w:val="20"/>
          <w:szCs w:val="22"/>
          <w:bdr w:val="none" w:sz="0" w:space="0" w:color="auto"/>
          <w:lang w:val="es-ES"/>
        </w:rPr>
        <w:t>La Comisión</w:t>
      </w:r>
      <w:r w:rsidR="00067F9E" w:rsidRPr="003B7960">
        <w:rPr>
          <w:rFonts w:ascii="Cambria" w:eastAsia="Calibri" w:hAnsi="Cambria"/>
          <w:color w:val="000000"/>
          <w:sz w:val="20"/>
          <w:szCs w:val="20"/>
          <w:bdr w:val="none" w:sz="0" w:space="0" w:color="auto"/>
          <w:lang w:val="es-ES"/>
        </w:rPr>
        <w:t xml:space="preserve"> ha</w:t>
      </w:r>
      <w:r w:rsidR="008655D5" w:rsidRPr="003B7960">
        <w:rPr>
          <w:rFonts w:ascii="Cambria" w:eastAsia="Calibri" w:hAnsi="Cambria"/>
          <w:color w:val="000000"/>
          <w:sz w:val="20"/>
          <w:szCs w:val="20"/>
          <w:bdr w:val="none" w:sz="0" w:space="0" w:color="auto"/>
          <w:lang w:val="es-ES"/>
        </w:rPr>
        <w:t xml:space="preserve"> sostenido durante mucho tiempo que es necesario </w:t>
      </w:r>
      <w:r w:rsidR="00067F9E" w:rsidRPr="003B7960">
        <w:rPr>
          <w:rFonts w:ascii="Cambria" w:eastAsia="Calibri" w:hAnsi="Cambria"/>
          <w:color w:val="000000"/>
          <w:sz w:val="20"/>
          <w:szCs w:val="20"/>
          <w:bdr w:val="none" w:sz="0" w:space="0" w:color="auto"/>
          <w:lang w:val="es-ES"/>
        </w:rPr>
        <w:t>consider</w:t>
      </w:r>
      <w:r w:rsidR="008655D5" w:rsidRPr="003B7960">
        <w:rPr>
          <w:rFonts w:ascii="Cambria" w:eastAsia="Calibri" w:hAnsi="Cambria"/>
          <w:color w:val="000000"/>
          <w:sz w:val="20"/>
          <w:szCs w:val="20"/>
          <w:bdr w:val="none" w:sz="0" w:space="0" w:color="auto"/>
          <w:lang w:val="es-ES"/>
        </w:rPr>
        <w:t>ar las disposiciones de</w:t>
      </w:r>
      <w:r w:rsidR="00067F9E" w:rsidRPr="003B7960">
        <w:rPr>
          <w:rFonts w:ascii="Cambria" w:eastAsia="Calibri" w:hAnsi="Cambria"/>
          <w:color w:val="000000"/>
          <w:sz w:val="20"/>
          <w:szCs w:val="20"/>
          <w:bdr w:val="none" w:sz="0" w:space="0" w:color="auto"/>
          <w:lang w:val="es-ES"/>
        </w:rPr>
        <w:t xml:space="preserve"> </w:t>
      </w:r>
      <w:r w:rsidR="00C33F51" w:rsidRPr="003B7960">
        <w:rPr>
          <w:rFonts w:ascii="Cambria" w:eastAsia="Calibri" w:hAnsi="Cambria"/>
          <w:color w:val="000000"/>
          <w:sz w:val="20"/>
          <w:szCs w:val="20"/>
          <w:bdr w:val="none" w:sz="0" w:space="0" w:color="auto"/>
          <w:lang w:val="es-ES"/>
        </w:rPr>
        <w:t>la Declaración</w:t>
      </w:r>
      <w:r w:rsidRPr="003B7960">
        <w:rPr>
          <w:rFonts w:ascii="Cambria" w:eastAsia="Calibri" w:hAnsi="Cambria"/>
          <w:color w:val="000000"/>
          <w:sz w:val="20"/>
          <w:szCs w:val="20"/>
          <w:bdr w:val="none" w:sz="0" w:space="0" w:color="auto"/>
          <w:lang w:val="es-ES"/>
        </w:rPr>
        <w:t xml:space="preserve"> Americana</w:t>
      </w:r>
      <w:r w:rsidR="00067F9E" w:rsidRPr="003B7960">
        <w:rPr>
          <w:rFonts w:ascii="Cambria" w:eastAsia="Calibri" w:hAnsi="Cambria"/>
          <w:color w:val="000000"/>
          <w:sz w:val="20"/>
          <w:szCs w:val="20"/>
          <w:bdr w:val="none" w:sz="0" w:space="0" w:color="auto"/>
          <w:lang w:val="es-ES"/>
        </w:rPr>
        <w:t xml:space="preserve"> </w:t>
      </w:r>
      <w:r w:rsidR="00B57670" w:rsidRPr="003B7960">
        <w:rPr>
          <w:rFonts w:ascii="Cambria" w:eastAsia="Calibri" w:hAnsi="Cambria"/>
          <w:color w:val="000000"/>
          <w:sz w:val="20"/>
          <w:szCs w:val="20"/>
          <w:bdr w:val="none" w:sz="0" w:space="0" w:color="auto"/>
          <w:lang w:val="es-ES"/>
        </w:rPr>
        <w:t xml:space="preserve">en el contexto más amplio del sistema interamericano y el sistema internacional de </w:t>
      </w:r>
      <w:r w:rsidR="0040162A" w:rsidRPr="003B7960">
        <w:rPr>
          <w:rFonts w:ascii="Cambria" w:eastAsia="Calibri" w:hAnsi="Cambria"/>
          <w:color w:val="000000"/>
          <w:sz w:val="20"/>
          <w:szCs w:val="20"/>
          <w:bdr w:val="none" w:sz="0" w:space="0" w:color="auto"/>
          <w:lang w:val="es-ES"/>
        </w:rPr>
        <w:t>derechos humanos</w:t>
      </w:r>
      <w:r w:rsidR="00B57670" w:rsidRPr="003B7960">
        <w:rPr>
          <w:rFonts w:ascii="Cambria" w:eastAsia="Calibri" w:hAnsi="Cambria"/>
          <w:color w:val="000000"/>
          <w:sz w:val="20"/>
          <w:szCs w:val="20"/>
          <w:bdr w:val="none" w:sz="0" w:space="0" w:color="auto"/>
          <w:lang w:val="es-ES"/>
        </w:rPr>
        <w:t xml:space="preserve">, a la luz de los avances </w:t>
      </w:r>
      <w:r w:rsidR="00513401" w:rsidRPr="003B7960">
        <w:rPr>
          <w:rFonts w:ascii="Cambria" w:eastAsia="Calibri" w:hAnsi="Cambria"/>
          <w:color w:val="000000"/>
          <w:sz w:val="20"/>
          <w:szCs w:val="20"/>
          <w:bdr w:val="none" w:sz="0" w:space="0" w:color="auto"/>
          <w:lang w:val="es-ES"/>
        </w:rPr>
        <w:t xml:space="preserve">que se han producido </w:t>
      </w:r>
      <w:r w:rsidR="00B57670" w:rsidRPr="003B7960">
        <w:rPr>
          <w:rFonts w:ascii="Cambria" w:eastAsia="Calibri" w:hAnsi="Cambria"/>
          <w:color w:val="000000"/>
          <w:sz w:val="20"/>
          <w:szCs w:val="20"/>
          <w:bdr w:val="none" w:sz="0" w:space="0" w:color="auto"/>
          <w:lang w:val="es-ES"/>
        </w:rPr>
        <w:t xml:space="preserve">en el </w:t>
      </w:r>
      <w:r w:rsidR="00513401" w:rsidRPr="003B7960">
        <w:rPr>
          <w:rFonts w:ascii="Cambria" w:eastAsia="Calibri" w:hAnsi="Cambria"/>
          <w:color w:val="000000"/>
          <w:sz w:val="20"/>
          <w:szCs w:val="20"/>
          <w:bdr w:val="none" w:sz="0" w:space="0" w:color="auto"/>
          <w:lang w:val="es-ES"/>
        </w:rPr>
        <w:t xml:space="preserve">campo del </w:t>
      </w:r>
      <w:r w:rsidR="00B57670" w:rsidRPr="003B7960">
        <w:rPr>
          <w:rFonts w:ascii="Cambria" w:eastAsia="Calibri" w:hAnsi="Cambria"/>
          <w:color w:val="000000"/>
          <w:sz w:val="20"/>
          <w:szCs w:val="20"/>
          <w:bdr w:val="none" w:sz="0" w:space="0" w:color="auto"/>
          <w:lang w:val="es-ES"/>
        </w:rPr>
        <w:t>derecho</w:t>
      </w:r>
      <w:r w:rsidR="00067F9E" w:rsidRPr="003B7960">
        <w:rPr>
          <w:rFonts w:ascii="Cambria" w:eastAsia="Calibri" w:hAnsi="Cambria"/>
          <w:color w:val="000000"/>
          <w:sz w:val="20"/>
          <w:szCs w:val="20"/>
          <w:bdr w:val="none" w:sz="0" w:space="0" w:color="auto"/>
          <w:lang w:val="es-ES"/>
        </w:rPr>
        <w:t xml:space="preserve"> </w:t>
      </w:r>
      <w:r w:rsidR="00B57670" w:rsidRPr="003B7960">
        <w:rPr>
          <w:rFonts w:ascii="Cambria" w:eastAsia="Calibri" w:hAnsi="Cambria"/>
          <w:color w:val="000000"/>
          <w:sz w:val="20"/>
          <w:szCs w:val="20"/>
          <w:bdr w:val="none" w:sz="0" w:space="0" w:color="auto"/>
          <w:lang w:val="es-ES"/>
        </w:rPr>
        <w:t>internacional</w:t>
      </w:r>
      <w:r w:rsidR="00067F9E" w:rsidRPr="003B7960">
        <w:rPr>
          <w:rFonts w:ascii="Cambria" w:eastAsia="Calibri" w:hAnsi="Cambria"/>
          <w:color w:val="000000"/>
          <w:sz w:val="20"/>
          <w:szCs w:val="20"/>
          <w:bdr w:val="none" w:sz="0" w:space="0" w:color="auto"/>
          <w:lang w:val="es-ES"/>
        </w:rPr>
        <w:t xml:space="preserve"> </w:t>
      </w:r>
      <w:r w:rsidR="00B57670" w:rsidRPr="003B7960">
        <w:rPr>
          <w:rFonts w:ascii="Cambria" w:eastAsia="Calibri" w:hAnsi="Cambria"/>
          <w:color w:val="000000"/>
          <w:sz w:val="20"/>
          <w:szCs w:val="20"/>
          <w:bdr w:val="none" w:sz="0" w:space="0" w:color="auto"/>
          <w:lang w:val="es-ES"/>
        </w:rPr>
        <w:t xml:space="preserve">de los </w:t>
      </w:r>
      <w:r w:rsidR="0040162A" w:rsidRPr="003B7960">
        <w:rPr>
          <w:rFonts w:ascii="Cambria" w:eastAsia="Calibri" w:hAnsi="Cambria"/>
          <w:color w:val="000000"/>
          <w:sz w:val="20"/>
          <w:szCs w:val="20"/>
          <w:bdr w:val="none" w:sz="0" w:space="0" w:color="auto"/>
          <w:lang w:val="es-ES"/>
        </w:rPr>
        <w:t>derechos humanos</w:t>
      </w:r>
      <w:r w:rsidR="00067F9E" w:rsidRPr="003B7960">
        <w:rPr>
          <w:rFonts w:ascii="Cambria" w:eastAsia="Calibri" w:hAnsi="Cambria"/>
          <w:color w:val="000000"/>
          <w:sz w:val="20"/>
          <w:szCs w:val="20"/>
          <w:bdr w:val="none" w:sz="0" w:space="0" w:color="auto"/>
          <w:lang w:val="es-ES"/>
        </w:rPr>
        <w:t xml:space="preserve"> </w:t>
      </w:r>
      <w:r w:rsidR="00513401" w:rsidRPr="003B7960">
        <w:rPr>
          <w:rFonts w:ascii="Cambria" w:eastAsia="Calibri" w:hAnsi="Cambria"/>
          <w:color w:val="000000"/>
          <w:sz w:val="20"/>
          <w:szCs w:val="20"/>
          <w:bdr w:val="none" w:sz="0" w:space="0" w:color="auto"/>
          <w:lang w:val="es-ES"/>
        </w:rPr>
        <w:t>tras la adopción de</w:t>
      </w:r>
      <w:r w:rsidR="00420BC9" w:rsidRPr="003B7960">
        <w:rPr>
          <w:rFonts w:ascii="Cambria" w:eastAsia="Calibri" w:hAnsi="Cambria"/>
          <w:color w:val="000000"/>
          <w:sz w:val="20"/>
          <w:szCs w:val="20"/>
          <w:bdr w:val="none" w:sz="0" w:space="0" w:color="auto"/>
          <w:lang w:val="es-ES"/>
        </w:rPr>
        <w:t xml:space="preserve"> </w:t>
      </w:r>
      <w:r w:rsidR="005975C8" w:rsidRPr="003B7960">
        <w:rPr>
          <w:rFonts w:ascii="Cambria" w:eastAsia="Calibri" w:hAnsi="Cambria"/>
          <w:color w:val="000000"/>
          <w:sz w:val="20"/>
          <w:szCs w:val="20"/>
          <w:bdr w:val="none" w:sz="0" w:space="0" w:color="auto"/>
          <w:lang w:val="es-ES"/>
        </w:rPr>
        <w:t>la Declaración</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y </w:t>
      </w:r>
      <w:r w:rsidR="00513401" w:rsidRPr="003B7960">
        <w:rPr>
          <w:rFonts w:ascii="Cambria" w:eastAsia="Calibri" w:hAnsi="Cambria"/>
          <w:color w:val="000000"/>
          <w:sz w:val="20"/>
          <w:szCs w:val="20"/>
          <w:bdr w:val="none" w:sz="0" w:space="0" w:color="auto"/>
          <w:lang w:val="es-ES"/>
        </w:rPr>
        <w:t xml:space="preserve">en relación con </w:t>
      </w:r>
      <w:r w:rsidR="00420BC9" w:rsidRPr="003B7960">
        <w:rPr>
          <w:rFonts w:ascii="Cambria" w:eastAsia="Calibri" w:hAnsi="Cambria"/>
          <w:color w:val="000000"/>
          <w:sz w:val="20"/>
          <w:szCs w:val="20"/>
          <w:bdr w:val="none" w:sz="0" w:space="0" w:color="auto"/>
          <w:lang w:val="es-ES"/>
        </w:rPr>
        <w:t>otras normas pertinentes del derecho internacional aplicables a los</w:t>
      </w:r>
      <w:r w:rsidR="00067F9E" w:rsidRPr="003B7960">
        <w:rPr>
          <w:rFonts w:ascii="Cambria" w:eastAsia="Calibri" w:hAnsi="Cambria"/>
          <w:color w:val="000000"/>
          <w:sz w:val="20"/>
          <w:szCs w:val="20"/>
          <w:bdr w:val="none" w:sz="0" w:space="0" w:color="auto"/>
          <w:lang w:val="es-ES"/>
        </w:rPr>
        <w:t xml:space="preserve"> </w:t>
      </w:r>
      <w:r w:rsidR="00B57670" w:rsidRPr="003B7960">
        <w:rPr>
          <w:rFonts w:ascii="Cambria" w:eastAsia="Calibri" w:hAnsi="Cambria"/>
          <w:color w:val="000000"/>
          <w:sz w:val="20"/>
          <w:szCs w:val="20"/>
          <w:bdr w:val="none" w:sz="0" w:space="0" w:color="auto"/>
          <w:lang w:val="es-ES"/>
        </w:rPr>
        <w:t>Estados Miembros</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contra los cuales se interponen debidamente quejas </w:t>
      </w:r>
      <w:r w:rsidR="005127A9" w:rsidRPr="003B7960">
        <w:rPr>
          <w:rFonts w:ascii="Cambria" w:eastAsia="Calibri" w:hAnsi="Cambria"/>
          <w:color w:val="000000"/>
          <w:sz w:val="20"/>
          <w:szCs w:val="20"/>
          <w:bdr w:val="none" w:sz="0" w:space="0" w:color="auto"/>
          <w:lang w:val="es-ES"/>
        </w:rPr>
        <w:t>de</w:t>
      </w:r>
      <w:r w:rsidR="00420BC9" w:rsidRPr="003B7960">
        <w:rPr>
          <w:rFonts w:ascii="Cambria" w:eastAsia="Calibri" w:hAnsi="Cambria"/>
          <w:color w:val="000000"/>
          <w:sz w:val="20"/>
          <w:szCs w:val="20"/>
          <w:bdr w:val="none" w:sz="0" w:space="0" w:color="auto"/>
          <w:lang w:val="es-ES"/>
        </w:rPr>
        <w:t xml:space="preserve"> violaciones de </w:t>
      </w:r>
      <w:r w:rsidR="005975C8" w:rsidRPr="003B7960">
        <w:rPr>
          <w:rFonts w:ascii="Cambria" w:eastAsia="Calibri" w:hAnsi="Cambria"/>
          <w:color w:val="000000"/>
          <w:sz w:val="20"/>
          <w:szCs w:val="20"/>
          <w:bdr w:val="none" w:sz="0" w:space="0" w:color="auto"/>
          <w:lang w:val="es-ES"/>
        </w:rPr>
        <w:t>la Declaración</w:t>
      </w:r>
      <w:r w:rsidR="00067F9E" w:rsidRPr="003B7960">
        <w:rPr>
          <w:rFonts w:ascii="Cambria" w:hAnsi="Cambria"/>
          <w:color w:val="000000"/>
          <w:sz w:val="20"/>
          <w:szCs w:val="20"/>
          <w:bdr w:val="none" w:sz="0" w:space="0" w:color="auto"/>
          <w:vertAlign w:val="superscript"/>
          <w:lang w:val="es-ES"/>
        </w:rPr>
        <w:footnoteReference w:id="86"/>
      </w:r>
      <w:r w:rsidR="00420BC9" w:rsidRPr="003B7960">
        <w:rPr>
          <w:rFonts w:ascii="Cambria" w:eastAsia="Calibri" w:hAnsi="Cambria"/>
          <w:color w:val="000000"/>
          <w:sz w:val="20"/>
          <w:szCs w:val="20"/>
          <w:bdr w:val="none" w:sz="0" w:space="0" w:color="auto"/>
          <w:lang w:val="es-ES"/>
        </w:rPr>
        <w:t>. Los avances en el cuerpo del derecho internacional de los derechos humanos</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pertinentes a la interpretación y aplicación de la </w:t>
      </w:r>
      <w:r w:rsidR="00C33F51" w:rsidRPr="003B7960">
        <w:rPr>
          <w:rFonts w:ascii="Cambria" w:eastAsia="Calibri" w:hAnsi="Cambria"/>
          <w:color w:val="000000"/>
          <w:sz w:val="20"/>
          <w:szCs w:val="20"/>
          <w:bdr w:val="none" w:sz="0" w:space="0" w:color="auto"/>
          <w:lang w:val="es-ES"/>
        </w:rPr>
        <w:t>Declaración</w:t>
      </w:r>
      <w:r w:rsidRPr="003B7960">
        <w:rPr>
          <w:rFonts w:ascii="Cambria" w:eastAsia="Calibri" w:hAnsi="Cambria"/>
          <w:color w:val="000000"/>
          <w:sz w:val="20"/>
          <w:szCs w:val="20"/>
          <w:bdr w:val="none" w:sz="0" w:space="0" w:color="auto"/>
          <w:lang w:val="es-ES"/>
        </w:rPr>
        <w:t xml:space="preserve"> Americana</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se reflejan también en disposiciones </w:t>
      </w:r>
      <w:r w:rsidR="009A2B45" w:rsidRPr="003B7960">
        <w:rPr>
          <w:rFonts w:ascii="Cambria" w:eastAsia="Calibri" w:hAnsi="Cambria"/>
          <w:color w:val="000000"/>
          <w:sz w:val="20"/>
          <w:szCs w:val="20"/>
          <w:bdr w:val="none" w:sz="0" w:space="0" w:color="auto"/>
          <w:lang w:val="es-ES"/>
        </w:rPr>
        <w:t xml:space="preserve">de </w:t>
      </w:r>
      <w:r w:rsidR="00420BC9" w:rsidRPr="003B7960">
        <w:rPr>
          <w:rFonts w:ascii="Cambria" w:eastAsia="Calibri" w:hAnsi="Cambria"/>
          <w:color w:val="000000"/>
          <w:sz w:val="20"/>
          <w:szCs w:val="20"/>
          <w:bdr w:val="none" w:sz="0" w:space="0" w:color="auto"/>
          <w:lang w:val="es-ES"/>
        </w:rPr>
        <w:t>otros instrumentos internacionales y</w:t>
      </w:r>
      <w:r w:rsidR="00067F9E" w:rsidRPr="003B7960">
        <w:rPr>
          <w:rFonts w:ascii="Cambria" w:eastAsia="Calibri" w:hAnsi="Cambria"/>
          <w:color w:val="000000"/>
          <w:sz w:val="20"/>
          <w:szCs w:val="20"/>
          <w:bdr w:val="none" w:sz="0" w:space="0" w:color="auto"/>
          <w:lang w:val="es-ES"/>
        </w:rPr>
        <w:t xml:space="preserve"> regional</w:t>
      </w:r>
      <w:r w:rsidR="00420BC9" w:rsidRPr="003B7960">
        <w:rPr>
          <w:rFonts w:ascii="Cambria" w:eastAsia="Calibri" w:hAnsi="Cambria"/>
          <w:color w:val="000000"/>
          <w:sz w:val="20"/>
          <w:szCs w:val="20"/>
          <w:bdr w:val="none" w:sz="0" w:space="0" w:color="auto"/>
          <w:lang w:val="es-ES"/>
        </w:rPr>
        <w:t>es actuales de</w:t>
      </w:r>
      <w:r w:rsidR="00067F9E" w:rsidRPr="003B7960">
        <w:rPr>
          <w:rFonts w:ascii="Cambria" w:eastAsia="Calibri" w:hAnsi="Cambria"/>
          <w:color w:val="000000"/>
          <w:sz w:val="20"/>
          <w:szCs w:val="20"/>
          <w:bdr w:val="none" w:sz="0" w:space="0" w:color="auto"/>
          <w:lang w:val="es-ES"/>
        </w:rPr>
        <w:t xml:space="preserve"> </w:t>
      </w:r>
      <w:r w:rsidR="0040162A" w:rsidRPr="003B7960">
        <w:rPr>
          <w:rFonts w:ascii="Cambria" w:eastAsia="Calibri" w:hAnsi="Cambria"/>
          <w:color w:val="000000"/>
          <w:sz w:val="20"/>
          <w:szCs w:val="20"/>
          <w:bdr w:val="none" w:sz="0" w:space="0" w:color="auto"/>
          <w:lang w:val="es-ES"/>
        </w:rPr>
        <w:t>derechos</w:t>
      </w:r>
      <w:r w:rsidR="00420BC9" w:rsidRPr="003B7960">
        <w:rPr>
          <w:rFonts w:ascii="Cambria" w:eastAsia="Calibri" w:hAnsi="Cambria"/>
          <w:color w:val="000000"/>
          <w:sz w:val="20"/>
          <w:szCs w:val="20"/>
          <w:bdr w:val="none" w:sz="0" w:space="0" w:color="auto"/>
          <w:lang w:val="es-ES"/>
        </w:rPr>
        <w:t xml:space="preserve"> humanos, en</w:t>
      </w:r>
      <w:r w:rsidR="00067F9E" w:rsidRPr="003B7960">
        <w:rPr>
          <w:rFonts w:ascii="Cambria" w:eastAsia="Calibri" w:hAnsi="Cambria"/>
          <w:color w:val="000000"/>
          <w:sz w:val="20"/>
          <w:szCs w:val="20"/>
          <w:bdr w:val="none" w:sz="0" w:space="0" w:color="auto"/>
          <w:lang w:val="es-ES"/>
        </w:rPr>
        <w:t xml:space="preserve"> particular</w:t>
      </w:r>
      <w:r w:rsidR="00420BC9" w:rsidRPr="003B7960">
        <w:rPr>
          <w:rFonts w:ascii="Cambria" w:eastAsia="Calibri" w:hAnsi="Cambria"/>
          <w:color w:val="000000"/>
          <w:sz w:val="20"/>
          <w:szCs w:val="20"/>
          <w:bdr w:val="none" w:sz="0" w:space="0" w:color="auto"/>
          <w:lang w:val="es-ES"/>
        </w:rPr>
        <w:t xml:space="preserve"> la Convención </w:t>
      </w:r>
      <w:r w:rsidR="00067F9E" w:rsidRPr="003B7960">
        <w:rPr>
          <w:rFonts w:ascii="Cambria" w:eastAsia="Calibri" w:hAnsi="Cambria"/>
          <w:color w:val="000000"/>
          <w:sz w:val="20"/>
          <w:szCs w:val="20"/>
          <w:bdr w:val="none" w:sz="0" w:space="0" w:color="auto"/>
          <w:lang w:val="es-ES"/>
        </w:rPr>
        <w:t>American</w:t>
      </w:r>
      <w:r w:rsidR="00420BC9" w:rsidRPr="003B7960">
        <w:rPr>
          <w:rFonts w:ascii="Cambria" w:eastAsia="Calibri" w:hAnsi="Cambria"/>
          <w:color w:val="000000"/>
          <w:sz w:val="20"/>
          <w:szCs w:val="20"/>
          <w:bdr w:val="none" w:sz="0" w:space="0" w:color="auto"/>
          <w:lang w:val="es-ES"/>
        </w:rPr>
        <w:t xml:space="preserve">a sobre </w:t>
      </w:r>
      <w:r w:rsidR="0040162A" w:rsidRPr="003B7960">
        <w:rPr>
          <w:rFonts w:ascii="Cambria" w:eastAsia="Calibri" w:hAnsi="Cambria"/>
          <w:color w:val="000000"/>
          <w:sz w:val="20"/>
          <w:szCs w:val="20"/>
          <w:bdr w:val="none" w:sz="0" w:space="0" w:color="auto"/>
          <w:lang w:val="es-ES"/>
        </w:rPr>
        <w:t xml:space="preserve">Derechos </w:t>
      </w:r>
      <w:r w:rsidR="00420BC9" w:rsidRPr="003B7960">
        <w:rPr>
          <w:rFonts w:ascii="Cambria" w:eastAsia="Calibri" w:hAnsi="Cambria"/>
          <w:color w:val="000000"/>
          <w:sz w:val="20"/>
          <w:szCs w:val="20"/>
          <w:bdr w:val="none" w:sz="0" w:space="0" w:color="auto"/>
          <w:lang w:val="es-ES"/>
        </w:rPr>
        <w:t>H</w:t>
      </w:r>
      <w:r w:rsidR="0040162A" w:rsidRPr="003B7960">
        <w:rPr>
          <w:rFonts w:ascii="Cambria" w:eastAsia="Calibri" w:hAnsi="Cambria"/>
          <w:color w:val="000000"/>
          <w:sz w:val="20"/>
          <w:szCs w:val="20"/>
          <w:bdr w:val="none" w:sz="0" w:space="0" w:color="auto"/>
          <w:lang w:val="es-ES"/>
        </w:rPr>
        <w:t>umanos</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la cual, en muchos casos, podría considerarse que </w:t>
      </w:r>
      <w:r w:rsidR="00067F9E" w:rsidRPr="003B7960">
        <w:rPr>
          <w:rFonts w:ascii="Cambria" w:eastAsia="Calibri" w:hAnsi="Cambria"/>
          <w:color w:val="000000"/>
          <w:sz w:val="20"/>
          <w:szCs w:val="20"/>
          <w:bdr w:val="none" w:sz="0" w:space="0" w:color="auto"/>
          <w:lang w:val="es-ES"/>
        </w:rPr>
        <w:t>represent</w:t>
      </w:r>
      <w:r w:rsidR="00420BC9" w:rsidRPr="003B7960">
        <w:rPr>
          <w:rFonts w:ascii="Cambria" w:eastAsia="Calibri" w:hAnsi="Cambria"/>
          <w:color w:val="000000"/>
          <w:sz w:val="20"/>
          <w:szCs w:val="20"/>
          <w:bdr w:val="none" w:sz="0" w:space="0" w:color="auto"/>
          <w:lang w:val="es-ES"/>
        </w:rPr>
        <w:t>a</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una expresión fidedigna de los principios </w:t>
      </w:r>
      <w:r w:rsidR="00067F9E" w:rsidRPr="003B7960">
        <w:rPr>
          <w:rFonts w:ascii="Cambria" w:eastAsia="Calibri" w:hAnsi="Cambria"/>
          <w:color w:val="000000"/>
          <w:sz w:val="20"/>
          <w:szCs w:val="20"/>
          <w:bdr w:val="none" w:sz="0" w:space="0" w:color="auto"/>
          <w:lang w:val="es-ES"/>
        </w:rPr>
        <w:t>fundamental</w:t>
      </w:r>
      <w:r w:rsidR="00420BC9" w:rsidRPr="003B7960">
        <w:rPr>
          <w:rFonts w:ascii="Cambria" w:eastAsia="Calibri" w:hAnsi="Cambria"/>
          <w:color w:val="000000"/>
          <w:sz w:val="20"/>
          <w:szCs w:val="20"/>
          <w:bdr w:val="none" w:sz="0" w:space="0" w:color="auto"/>
          <w:lang w:val="es-ES"/>
        </w:rPr>
        <w:t xml:space="preserve">es plasmados en </w:t>
      </w:r>
      <w:r w:rsidR="00C33F51" w:rsidRPr="003B7960">
        <w:rPr>
          <w:rFonts w:ascii="Cambria" w:eastAsia="Calibri" w:hAnsi="Cambria"/>
          <w:color w:val="000000"/>
          <w:sz w:val="20"/>
          <w:szCs w:val="20"/>
          <w:bdr w:val="none" w:sz="0" w:space="0" w:color="auto"/>
          <w:lang w:val="es-ES"/>
        </w:rPr>
        <w:t>la Declaración</w:t>
      </w:r>
      <w:r w:rsidRPr="003B7960">
        <w:rPr>
          <w:rFonts w:ascii="Cambria" w:eastAsia="Calibri" w:hAnsi="Cambria"/>
          <w:color w:val="000000"/>
          <w:sz w:val="20"/>
          <w:szCs w:val="20"/>
          <w:bdr w:val="none" w:sz="0" w:space="0" w:color="auto"/>
          <w:lang w:val="es-ES"/>
        </w:rPr>
        <w:t xml:space="preserve"> Americana</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Aunque evidentemente </w:t>
      </w:r>
      <w:r w:rsidRPr="003B7960">
        <w:rPr>
          <w:rFonts w:ascii="Cambria" w:eastAsia="Calibri" w:hAnsi="Cambria"/>
          <w:color w:val="000000"/>
          <w:sz w:val="20"/>
          <w:szCs w:val="20"/>
          <w:bdr w:val="none" w:sz="0" w:space="0" w:color="auto"/>
          <w:lang w:val="es-ES"/>
        </w:rPr>
        <w:t>la Comisión</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no aplica la Convención </w:t>
      </w:r>
      <w:r w:rsidR="00067F9E" w:rsidRPr="003B7960">
        <w:rPr>
          <w:rFonts w:ascii="Cambria" w:eastAsia="Calibri" w:hAnsi="Cambria"/>
          <w:color w:val="000000"/>
          <w:sz w:val="20"/>
          <w:szCs w:val="20"/>
          <w:bdr w:val="none" w:sz="0" w:space="0" w:color="auto"/>
          <w:lang w:val="es-ES"/>
        </w:rPr>
        <w:t>American</w:t>
      </w:r>
      <w:r w:rsidR="00420BC9" w:rsidRPr="003B7960">
        <w:rPr>
          <w:rFonts w:ascii="Cambria" w:eastAsia="Calibri" w:hAnsi="Cambria"/>
          <w:color w:val="000000"/>
          <w:sz w:val="20"/>
          <w:szCs w:val="20"/>
          <w:bdr w:val="none" w:sz="0" w:space="0" w:color="auto"/>
          <w:lang w:val="es-ES"/>
        </w:rPr>
        <w:t xml:space="preserve">a a los </w:t>
      </w:r>
      <w:r w:rsidR="00B57670" w:rsidRPr="003B7960">
        <w:rPr>
          <w:rFonts w:ascii="Cambria" w:eastAsia="Calibri" w:hAnsi="Cambria"/>
          <w:color w:val="000000"/>
          <w:sz w:val="20"/>
          <w:szCs w:val="20"/>
          <w:bdr w:val="none" w:sz="0" w:space="0" w:color="auto"/>
          <w:lang w:val="es-ES"/>
        </w:rPr>
        <w:t>Estados Miembros</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que no son partes de la misma, su consideración de las normas jurídicas relativas a los derechos de los</w:t>
      </w:r>
      <w:r w:rsidR="00067F9E" w:rsidRPr="003B7960">
        <w:rPr>
          <w:rFonts w:ascii="Cambria" w:eastAsia="Calibri" w:hAnsi="Cambria"/>
          <w:color w:val="000000"/>
          <w:sz w:val="20"/>
          <w:szCs w:val="20"/>
          <w:bdr w:val="none" w:sz="0" w:space="0" w:color="auto"/>
          <w:lang w:val="es-ES"/>
        </w:rPr>
        <w:t xml:space="preserve"> </w:t>
      </w:r>
      <w:r w:rsidR="00AD3ABA" w:rsidRPr="003B7960">
        <w:rPr>
          <w:rFonts w:ascii="Cambria" w:eastAsia="Calibri" w:hAnsi="Cambria"/>
          <w:color w:val="000000"/>
          <w:sz w:val="20"/>
          <w:szCs w:val="20"/>
          <w:bdr w:val="none" w:sz="0" w:space="0" w:color="auto"/>
          <w:lang w:val="es-ES"/>
        </w:rPr>
        <w:t>migrantes</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en la aplicación de las disposiciones de la</w:t>
      </w:r>
      <w:r w:rsidR="00067F9E" w:rsidRPr="003B7960">
        <w:rPr>
          <w:rFonts w:ascii="Cambria" w:eastAsia="Calibri" w:hAnsi="Cambria"/>
          <w:color w:val="000000"/>
          <w:sz w:val="20"/>
          <w:szCs w:val="20"/>
          <w:bdr w:val="none" w:sz="0" w:space="0" w:color="auto"/>
          <w:lang w:val="es-ES"/>
        </w:rPr>
        <w:t xml:space="preserve"> </w:t>
      </w:r>
      <w:r w:rsidR="00420BC9" w:rsidRPr="003B7960">
        <w:rPr>
          <w:rFonts w:ascii="Cambria" w:eastAsia="Calibri" w:hAnsi="Cambria"/>
          <w:color w:val="000000"/>
          <w:sz w:val="20"/>
          <w:szCs w:val="20"/>
          <w:bdr w:val="none" w:sz="0" w:space="0" w:color="auto"/>
          <w:lang w:val="es-ES"/>
        </w:rPr>
        <w:t xml:space="preserve">Convención bien podría ser </w:t>
      </w:r>
      <w:r w:rsidR="00513401" w:rsidRPr="003B7960">
        <w:rPr>
          <w:rFonts w:ascii="Cambria" w:eastAsia="Calibri" w:hAnsi="Cambria"/>
          <w:color w:val="000000"/>
          <w:sz w:val="20"/>
          <w:szCs w:val="20"/>
          <w:bdr w:val="none" w:sz="0" w:space="0" w:color="auto"/>
          <w:lang w:val="es-ES"/>
        </w:rPr>
        <w:t xml:space="preserve">pertinente al interpretar </w:t>
      </w:r>
      <w:r w:rsidR="005975C8" w:rsidRPr="003B7960">
        <w:rPr>
          <w:rFonts w:ascii="Cambria" w:eastAsia="Calibri" w:hAnsi="Cambria"/>
          <w:color w:val="000000"/>
          <w:sz w:val="20"/>
          <w:szCs w:val="20"/>
          <w:bdr w:val="none" w:sz="0" w:space="0" w:color="auto"/>
          <w:lang w:val="es-ES"/>
        </w:rPr>
        <w:t>la Declaración</w:t>
      </w:r>
      <w:r w:rsidR="00067F9E" w:rsidRPr="003B7960">
        <w:rPr>
          <w:rFonts w:ascii="Cambria" w:eastAsia="Calibri" w:hAnsi="Cambria"/>
          <w:color w:val="000000"/>
          <w:sz w:val="20"/>
          <w:szCs w:val="20"/>
          <w:bdr w:val="none" w:sz="0" w:space="0" w:color="auto"/>
          <w:vertAlign w:val="superscript"/>
          <w:lang w:val="es-ES"/>
        </w:rPr>
        <w:footnoteReference w:id="87"/>
      </w:r>
      <w:r w:rsidR="00513401" w:rsidRPr="003B7960">
        <w:rPr>
          <w:rFonts w:ascii="Cambria" w:eastAsia="Calibri" w:hAnsi="Cambria"/>
          <w:color w:val="000000"/>
          <w:sz w:val="20"/>
          <w:szCs w:val="20"/>
          <w:bdr w:val="none" w:sz="0" w:space="0" w:color="auto"/>
          <w:lang w:val="es-ES"/>
        </w:rPr>
        <w:t>.</w:t>
      </w:r>
    </w:p>
    <w:p w14:paraId="2E0366D2" w14:textId="77777777" w:rsidR="00067F9E" w:rsidRPr="003B7960" w:rsidRDefault="00067F9E" w:rsidP="00101DC6">
      <w:pPr>
        <w:tabs>
          <w:tab w:val="left" w:pos="426"/>
        </w:tabs>
        <w:jc w:val="both"/>
        <w:rPr>
          <w:rFonts w:ascii="Cambria" w:hAnsi="Cambria"/>
          <w:b/>
          <w:sz w:val="20"/>
          <w:szCs w:val="20"/>
          <w:lang w:val="es-ES"/>
        </w:rPr>
      </w:pPr>
      <w:bookmarkStart w:id="17" w:name="_Toc485650798"/>
    </w:p>
    <w:p w14:paraId="538C41A2" w14:textId="77777777" w:rsidR="00067F9E" w:rsidRPr="003B7960" w:rsidRDefault="00252CBB" w:rsidP="00101DC6">
      <w:pPr>
        <w:pStyle w:val="Heading2"/>
        <w:numPr>
          <w:ilvl w:val="0"/>
          <w:numId w:val="60"/>
        </w:numPr>
        <w:pBdr>
          <w:top w:val="nil"/>
          <w:left w:val="nil"/>
          <w:bottom w:val="nil"/>
          <w:right w:val="nil"/>
          <w:between w:val="nil"/>
          <w:bar w:val="nil"/>
        </w:pBdr>
        <w:tabs>
          <w:tab w:val="clear" w:pos="540"/>
          <w:tab w:val="left" w:pos="426"/>
        </w:tabs>
        <w:suppressAutoHyphens/>
        <w:ind w:left="0" w:firstLine="0"/>
        <w:jc w:val="left"/>
        <w:rPr>
          <w:lang w:val="es-ES"/>
        </w:rPr>
      </w:pPr>
      <w:bookmarkStart w:id="18" w:name="_Toc531083731"/>
      <w:bookmarkStart w:id="19" w:name="_Toc90557304"/>
      <w:bookmarkEnd w:id="17"/>
      <w:r w:rsidRPr="003B7960">
        <w:rPr>
          <w:lang w:val="es-ES"/>
        </w:rPr>
        <w:t xml:space="preserve">Derecho de </w:t>
      </w:r>
      <w:r w:rsidR="005877AD" w:rsidRPr="003B7960">
        <w:rPr>
          <w:lang w:val="es-ES"/>
        </w:rPr>
        <w:t>protección contra la detención arbitraria</w:t>
      </w:r>
      <w:r w:rsidR="00067F9E" w:rsidRPr="003B7960">
        <w:rPr>
          <w:lang w:val="es-ES"/>
        </w:rPr>
        <w:t xml:space="preserve"> </w:t>
      </w:r>
      <w:r w:rsidRPr="003B7960">
        <w:rPr>
          <w:lang w:val="es-ES"/>
        </w:rPr>
        <w:t>y derecho a un trato humano durante la</w:t>
      </w:r>
      <w:r w:rsidR="00067F9E" w:rsidRPr="003B7960">
        <w:rPr>
          <w:lang w:val="es-ES"/>
        </w:rPr>
        <w:t xml:space="preserve"> </w:t>
      </w:r>
      <w:r w:rsidR="00C24AF7" w:rsidRPr="003B7960">
        <w:rPr>
          <w:lang w:val="es-ES"/>
        </w:rPr>
        <w:t>privación de la libertad</w:t>
      </w:r>
      <w:r w:rsidR="00067F9E" w:rsidRPr="003B7960">
        <w:rPr>
          <w:lang w:val="es-ES"/>
        </w:rPr>
        <w:t xml:space="preserve"> (</w:t>
      </w:r>
      <w:r w:rsidR="001A6E22" w:rsidRPr="003B7960">
        <w:rPr>
          <w:lang w:val="es-ES"/>
        </w:rPr>
        <w:t>artículos</w:t>
      </w:r>
      <w:r w:rsidR="00067F9E" w:rsidRPr="003B7960">
        <w:rPr>
          <w:lang w:val="es-ES"/>
        </w:rPr>
        <w:t xml:space="preserve"> I </w:t>
      </w:r>
      <w:r w:rsidRPr="003B7960">
        <w:rPr>
          <w:lang w:val="es-ES"/>
        </w:rPr>
        <w:t>y</w:t>
      </w:r>
      <w:r w:rsidR="00067F9E" w:rsidRPr="003B7960">
        <w:rPr>
          <w:lang w:val="es-ES"/>
        </w:rPr>
        <w:t xml:space="preserve"> XXV </w:t>
      </w:r>
      <w:r w:rsidRPr="003B7960">
        <w:rPr>
          <w:lang w:val="es-ES"/>
        </w:rPr>
        <w:t>de</w:t>
      </w:r>
      <w:r w:rsidR="00067F9E" w:rsidRPr="003B7960">
        <w:rPr>
          <w:lang w:val="es-ES"/>
        </w:rPr>
        <w:t xml:space="preserve"> </w:t>
      </w:r>
      <w:r w:rsidR="00C33F51" w:rsidRPr="003B7960">
        <w:rPr>
          <w:lang w:val="es-ES"/>
        </w:rPr>
        <w:t>la Declaración</w:t>
      </w:r>
      <w:r w:rsidR="00B9011F" w:rsidRPr="003B7960">
        <w:rPr>
          <w:lang w:val="es-ES"/>
        </w:rPr>
        <w:t xml:space="preserve"> Americana</w:t>
      </w:r>
      <w:r w:rsidR="00067F9E" w:rsidRPr="003B7960">
        <w:rPr>
          <w:lang w:val="es-ES"/>
        </w:rPr>
        <w:t>)</w:t>
      </w:r>
      <w:r w:rsidR="00067F9E" w:rsidRPr="003B7960">
        <w:rPr>
          <w:rStyle w:val="FootnoteReference"/>
          <w:lang w:val="es-ES"/>
        </w:rPr>
        <w:footnoteReference w:id="88"/>
      </w:r>
      <w:bookmarkEnd w:id="18"/>
      <w:bookmarkEnd w:id="19"/>
    </w:p>
    <w:p w14:paraId="46BEB84C" w14:textId="77777777" w:rsidR="00067F9E" w:rsidRPr="003B7960" w:rsidRDefault="00067F9E" w:rsidP="00101DC6">
      <w:pPr>
        <w:pStyle w:val="ListParagraph"/>
        <w:tabs>
          <w:tab w:val="left" w:pos="426"/>
        </w:tabs>
        <w:ind w:left="0"/>
        <w:jc w:val="both"/>
        <w:rPr>
          <w:rFonts w:ascii="Cambria" w:hAnsi="Cambria"/>
          <w:b/>
          <w:sz w:val="20"/>
          <w:szCs w:val="20"/>
          <w:lang w:val="es-ES"/>
        </w:rPr>
      </w:pPr>
    </w:p>
    <w:p w14:paraId="1DB10A49" w14:textId="7179703F" w:rsidR="00067F9E" w:rsidRPr="003B7960" w:rsidRDefault="00C24AF7" w:rsidP="00101DC6">
      <w:pPr>
        <w:pStyle w:val="Heading3"/>
        <w:numPr>
          <w:ilvl w:val="0"/>
          <w:numId w:val="62"/>
        </w:numPr>
        <w:pBdr>
          <w:top w:val="nil"/>
          <w:left w:val="nil"/>
          <w:bottom w:val="nil"/>
          <w:right w:val="nil"/>
          <w:between w:val="nil"/>
          <w:bar w:val="nil"/>
        </w:pBdr>
        <w:tabs>
          <w:tab w:val="clear" w:pos="540"/>
          <w:tab w:val="left" w:pos="426"/>
        </w:tabs>
        <w:ind w:left="0" w:firstLine="0"/>
        <w:rPr>
          <w:lang w:val="es-ES"/>
        </w:rPr>
      </w:pPr>
      <w:bookmarkStart w:id="20" w:name="_Toc90557305"/>
      <w:r w:rsidRPr="003B7960">
        <w:rPr>
          <w:lang w:val="es-ES"/>
        </w:rPr>
        <w:t>Normas i</w:t>
      </w:r>
      <w:r w:rsidR="00067F9E" w:rsidRPr="003B7960">
        <w:rPr>
          <w:lang w:val="es-ES"/>
        </w:rPr>
        <w:t>nter</w:t>
      </w:r>
      <w:r w:rsidRPr="003B7960">
        <w:rPr>
          <w:lang w:val="es-ES"/>
        </w:rPr>
        <w:t>a</w:t>
      </w:r>
      <w:r w:rsidR="00067F9E" w:rsidRPr="003B7960">
        <w:rPr>
          <w:lang w:val="es-ES"/>
        </w:rPr>
        <w:t>merican</w:t>
      </w:r>
      <w:r w:rsidRPr="003B7960">
        <w:rPr>
          <w:lang w:val="es-ES"/>
        </w:rPr>
        <w:t>as relativas a los migrantes</w:t>
      </w:r>
      <w:r w:rsidR="00190BCA" w:rsidRPr="003B7960">
        <w:rPr>
          <w:lang w:val="es-ES"/>
        </w:rPr>
        <w:t xml:space="preserve"> en detención</w:t>
      </w:r>
      <w:bookmarkEnd w:id="20"/>
    </w:p>
    <w:p w14:paraId="2BE461B8" w14:textId="77777777" w:rsidR="00067F9E" w:rsidRPr="003B7960" w:rsidRDefault="00067F9E" w:rsidP="00101DC6">
      <w:pPr>
        <w:tabs>
          <w:tab w:val="left" w:pos="426"/>
        </w:tabs>
        <w:rPr>
          <w:rFonts w:ascii="Cambria" w:hAnsi="Cambria"/>
          <w:lang w:val="es-ES"/>
        </w:rPr>
      </w:pPr>
    </w:p>
    <w:p w14:paraId="7385A975" w14:textId="77777777" w:rsidR="00067F9E" w:rsidRPr="003B7960" w:rsidRDefault="00B9011F" w:rsidP="00101DC6">
      <w:pPr>
        <w:pStyle w:val="ListParagraph"/>
        <w:numPr>
          <w:ilvl w:val="0"/>
          <w:numId w:val="56"/>
        </w:numP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ha</w:t>
      </w:r>
      <w:r w:rsidR="00C24AF7" w:rsidRPr="003B7960">
        <w:rPr>
          <w:rFonts w:ascii="Cambria" w:hAnsi="Cambria"/>
          <w:color w:val="000000"/>
          <w:sz w:val="20"/>
          <w:szCs w:val="20"/>
          <w:lang w:val="es-ES"/>
        </w:rPr>
        <w:t xml:space="preserve"> afirmado claramente que los migrantes</w:t>
      </w:r>
      <w:r w:rsidR="00067F9E" w:rsidRPr="003B7960">
        <w:rPr>
          <w:rFonts w:ascii="Cambria" w:hAnsi="Cambria"/>
          <w:color w:val="000000"/>
          <w:sz w:val="20"/>
          <w:szCs w:val="20"/>
          <w:lang w:val="es-ES"/>
        </w:rPr>
        <w:t xml:space="preserve"> irregular</w:t>
      </w:r>
      <w:r w:rsidR="00C24AF7" w:rsidRPr="003B7960">
        <w:rPr>
          <w:rFonts w:ascii="Cambria" w:hAnsi="Cambria"/>
          <w:color w:val="000000"/>
          <w:sz w:val="20"/>
          <w:szCs w:val="20"/>
          <w:lang w:val="es-ES"/>
        </w:rPr>
        <w:t xml:space="preserve">es no son delincuentes y que una infracción de las leyes de </w:t>
      </w:r>
      <w:r w:rsidR="0007098C" w:rsidRPr="003B7960">
        <w:rPr>
          <w:rFonts w:ascii="Cambria" w:hAnsi="Cambria"/>
          <w:color w:val="000000"/>
          <w:sz w:val="20"/>
          <w:szCs w:val="20"/>
          <w:lang w:val="es-ES"/>
        </w:rPr>
        <w:t>inmigración</w:t>
      </w:r>
      <w:r w:rsidR="00C24AF7" w:rsidRPr="003B7960">
        <w:rPr>
          <w:rFonts w:ascii="Cambria" w:hAnsi="Cambria"/>
          <w:color w:val="000000"/>
          <w:sz w:val="20"/>
          <w:szCs w:val="20"/>
          <w:lang w:val="es-ES"/>
        </w:rPr>
        <w:t xml:space="preserve"> nunca puede equipararse con una infracción de leyes penales que justifique el uso de las facultades punitivas d</w:t>
      </w:r>
      <w:r w:rsidR="00A332F5" w:rsidRPr="003B7960">
        <w:rPr>
          <w:rFonts w:ascii="Cambria" w:hAnsi="Cambria"/>
          <w:color w:val="000000"/>
          <w:sz w:val="20"/>
          <w:szCs w:val="20"/>
          <w:lang w:val="es-ES"/>
        </w:rPr>
        <w:t>el Estado</w:t>
      </w:r>
      <w:r w:rsidR="00067F9E" w:rsidRPr="003B7960">
        <w:rPr>
          <w:rStyle w:val="FootnoteReference"/>
          <w:rFonts w:ascii="Cambria" w:hAnsi="Cambria"/>
          <w:color w:val="000000"/>
          <w:sz w:val="20"/>
          <w:szCs w:val="20"/>
          <w:lang w:val="es-ES"/>
        </w:rPr>
        <w:footnoteReference w:id="89"/>
      </w:r>
      <w:r w:rsidR="00C24AF7" w:rsidRPr="003B7960">
        <w:rPr>
          <w:rFonts w:ascii="Cambria" w:hAnsi="Cambria"/>
          <w:color w:val="000000"/>
          <w:sz w:val="20"/>
          <w:szCs w:val="20"/>
          <w:lang w:val="es-ES"/>
        </w:rPr>
        <w:t xml:space="preserve">. Asimismo, en consonancia con la jurisprudencia de </w:t>
      </w:r>
      <w:r w:rsidR="00654B4A" w:rsidRPr="003B7960">
        <w:rPr>
          <w:rFonts w:ascii="Cambria" w:hAnsi="Cambria"/>
          <w:color w:val="000000"/>
          <w:sz w:val="20"/>
          <w:szCs w:val="20"/>
          <w:lang w:val="es-ES"/>
        </w:rPr>
        <w:t>la Comisión</w:t>
      </w:r>
      <w:r w:rsidR="00A332F5" w:rsidRPr="003B7960">
        <w:rPr>
          <w:rFonts w:ascii="Cambria" w:hAnsi="Cambria"/>
          <w:color w:val="000000"/>
          <w:sz w:val="20"/>
          <w:szCs w:val="20"/>
          <w:lang w:val="es-ES"/>
        </w:rPr>
        <w:t xml:space="preserve"> Interamericana</w:t>
      </w:r>
      <w:r w:rsidR="00C24AF7" w:rsidRPr="003B7960">
        <w:rPr>
          <w:rFonts w:ascii="Cambria" w:hAnsi="Cambria"/>
          <w:color w:val="000000"/>
          <w:sz w:val="20"/>
          <w:szCs w:val="20"/>
          <w:lang w:val="es-ES"/>
        </w:rPr>
        <w:t xml:space="preserve"> y de la Corte sobre la </w:t>
      </w:r>
      <w:r w:rsidR="00B812F2" w:rsidRPr="003B7960">
        <w:rPr>
          <w:rFonts w:ascii="Cambria" w:hAnsi="Cambria"/>
          <w:color w:val="000000"/>
          <w:sz w:val="20"/>
          <w:szCs w:val="20"/>
          <w:lang w:val="es-ES"/>
        </w:rPr>
        <w:t>detención arbitraria</w:t>
      </w:r>
      <w:r w:rsidR="00067F9E" w:rsidRPr="003B7960">
        <w:rPr>
          <w:rFonts w:ascii="Cambria" w:hAnsi="Cambria"/>
          <w:color w:val="000000"/>
          <w:sz w:val="20"/>
          <w:szCs w:val="20"/>
          <w:lang w:val="es-ES"/>
        </w:rPr>
        <w:t xml:space="preserve">, </w:t>
      </w:r>
      <w:r w:rsidR="00C24AF7" w:rsidRPr="003B7960">
        <w:rPr>
          <w:rFonts w:ascii="Cambria" w:hAnsi="Cambria"/>
          <w:color w:val="000000"/>
          <w:sz w:val="20"/>
          <w:szCs w:val="20"/>
          <w:lang w:val="es-ES"/>
        </w:rPr>
        <w:t>toda decisión</w:t>
      </w:r>
      <w:r w:rsidR="00067F9E" w:rsidRPr="003B7960">
        <w:rPr>
          <w:rFonts w:ascii="Cambria" w:hAnsi="Cambria"/>
          <w:color w:val="000000"/>
          <w:sz w:val="20"/>
          <w:szCs w:val="20"/>
          <w:lang w:val="es-ES"/>
        </w:rPr>
        <w:t xml:space="preserve"> </w:t>
      </w:r>
      <w:r w:rsidR="00C24AF7"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C24AF7" w:rsidRPr="003B7960">
        <w:rPr>
          <w:rFonts w:ascii="Cambria" w:hAnsi="Cambria"/>
          <w:color w:val="000000"/>
          <w:sz w:val="20"/>
          <w:szCs w:val="20"/>
          <w:lang w:val="es-ES"/>
        </w:rPr>
        <w:t xml:space="preserve">detener a una persona a fin de </w:t>
      </w:r>
      <w:r w:rsidR="00067F9E" w:rsidRPr="003B7960">
        <w:rPr>
          <w:rFonts w:ascii="Cambria" w:hAnsi="Cambria"/>
          <w:color w:val="000000"/>
          <w:sz w:val="20"/>
          <w:szCs w:val="20"/>
          <w:lang w:val="es-ES"/>
        </w:rPr>
        <w:t>restri</w:t>
      </w:r>
      <w:r w:rsidR="00C24AF7" w:rsidRPr="003B7960">
        <w:rPr>
          <w:rFonts w:ascii="Cambria" w:hAnsi="Cambria"/>
          <w:color w:val="000000"/>
          <w:sz w:val="20"/>
          <w:szCs w:val="20"/>
          <w:lang w:val="es-ES"/>
        </w:rPr>
        <w:t xml:space="preserve">ngir su libertad debe ser </w:t>
      </w:r>
      <w:r w:rsidR="00067F9E" w:rsidRPr="003B7960">
        <w:rPr>
          <w:rFonts w:ascii="Cambria" w:hAnsi="Cambria"/>
          <w:color w:val="000000"/>
          <w:sz w:val="20"/>
          <w:szCs w:val="20"/>
          <w:lang w:val="es-ES"/>
        </w:rPr>
        <w:t>individualiz</w:t>
      </w:r>
      <w:r w:rsidR="00C24AF7" w:rsidRPr="003B7960">
        <w:rPr>
          <w:rFonts w:ascii="Cambria" w:hAnsi="Cambria"/>
          <w:color w:val="000000"/>
          <w:sz w:val="20"/>
          <w:szCs w:val="20"/>
          <w:lang w:val="es-ES"/>
        </w:rPr>
        <w:t xml:space="preserve">ada y estar debidamente motivada. Por esa razón, las políticas que requieren la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C24AF7" w:rsidRPr="003B7960">
        <w:rPr>
          <w:rFonts w:ascii="Cambria" w:hAnsi="Cambria"/>
          <w:color w:val="000000"/>
          <w:sz w:val="20"/>
          <w:szCs w:val="20"/>
          <w:lang w:val="es-ES"/>
        </w:rPr>
        <w:t xml:space="preserve">automática de </w:t>
      </w:r>
      <w:r w:rsidR="00067F9E" w:rsidRPr="003B7960">
        <w:rPr>
          <w:rFonts w:ascii="Cambria" w:hAnsi="Cambria"/>
          <w:color w:val="000000"/>
          <w:sz w:val="20"/>
          <w:szCs w:val="20"/>
          <w:lang w:val="es-ES"/>
        </w:rPr>
        <w:t>migrant</w:t>
      </w:r>
      <w:r w:rsidR="00C24AF7" w:rsidRPr="003B7960">
        <w:rPr>
          <w:rFonts w:ascii="Cambria" w:hAnsi="Cambria"/>
          <w:color w:val="000000"/>
          <w:sz w:val="20"/>
          <w:szCs w:val="20"/>
          <w:lang w:val="es-ES"/>
        </w:rPr>
        <w:t>e</w:t>
      </w:r>
      <w:r w:rsidR="00067F9E" w:rsidRPr="003B7960">
        <w:rPr>
          <w:rFonts w:ascii="Cambria" w:hAnsi="Cambria"/>
          <w:color w:val="000000"/>
          <w:sz w:val="20"/>
          <w:szCs w:val="20"/>
          <w:lang w:val="es-ES"/>
        </w:rPr>
        <w:t xml:space="preserve">s </w:t>
      </w:r>
      <w:r w:rsidR="00C24AF7" w:rsidRPr="003B7960">
        <w:rPr>
          <w:rFonts w:ascii="Cambria" w:hAnsi="Cambria"/>
          <w:color w:val="000000"/>
          <w:sz w:val="20"/>
          <w:szCs w:val="20"/>
          <w:lang w:val="es-ES"/>
        </w:rPr>
        <w:t>son</w:t>
      </w:r>
      <w:r w:rsidR="00067F9E" w:rsidRPr="003B7960">
        <w:rPr>
          <w:rFonts w:ascii="Cambria" w:hAnsi="Cambria"/>
          <w:color w:val="000000"/>
          <w:sz w:val="20"/>
          <w:szCs w:val="20"/>
          <w:lang w:val="es-ES"/>
        </w:rPr>
        <w:t xml:space="preserve"> arbitrar</w:t>
      </w:r>
      <w:r w:rsidR="00C24AF7" w:rsidRPr="003B7960">
        <w:rPr>
          <w:rFonts w:ascii="Cambria" w:hAnsi="Cambria"/>
          <w:color w:val="000000"/>
          <w:sz w:val="20"/>
          <w:szCs w:val="20"/>
          <w:lang w:val="es-ES"/>
        </w:rPr>
        <w:t>ias y contrarias a las obligaciones d</w:t>
      </w:r>
      <w:r w:rsidR="00A332F5" w:rsidRPr="003B7960">
        <w:rPr>
          <w:rFonts w:ascii="Cambria" w:hAnsi="Cambria"/>
          <w:color w:val="000000"/>
          <w:sz w:val="20"/>
          <w:szCs w:val="20"/>
          <w:lang w:val="es-ES"/>
        </w:rPr>
        <w:t>el Estado</w:t>
      </w:r>
      <w:r w:rsidR="00C24AF7" w:rsidRPr="003B7960">
        <w:rPr>
          <w:rFonts w:ascii="Cambria" w:hAnsi="Cambria"/>
          <w:color w:val="000000"/>
          <w:sz w:val="20"/>
          <w:szCs w:val="20"/>
          <w:lang w:val="es-ES"/>
        </w:rPr>
        <w:t xml:space="preserve"> en materia de derechos humanos</w:t>
      </w:r>
      <w:r w:rsidR="00067F9E" w:rsidRPr="003B7960">
        <w:rPr>
          <w:rStyle w:val="FootnoteReference"/>
          <w:rFonts w:ascii="Cambria" w:hAnsi="Cambria"/>
          <w:color w:val="000000"/>
          <w:sz w:val="20"/>
          <w:szCs w:val="20"/>
          <w:lang w:val="es-ES"/>
        </w:rPr>
        <w:footnoteReference w:id="90"/>
      </w:r>
      <w:r w:rsidR="00067F9E" w:rsidRPr="003B7960">
        <w:rPr>
          <w:rFonts w:ascii="Cambria" w:hAnsi="Cambria"/>
          <w:color w:val="000000"/>
          <w:sz w:val="20"/>
          <w:szCs w:val="20"/>
          <w:lang w:val="es-ES"/>
        </w:rPr>
        <w:t xml:space="preserve">. </w:t>
      </w:r>
    </w:p>
    <w:p w14:paraId="69C2D0A2" w14:textId="77777777" w:rsidR="00067F9E" w:rsidRPr="003B7960" w:rsidRDefault="00067F9E" w:rsidP="00101DC6">
      <w:pPr>
        <w:pStyle w:val="ListParagraph"/>
        <w:tabs>
          <w:tab w:val="left" w:pos="426"/>
        </w:tabs>
        <w:ind w:left="0"/>
        <w:jc w:val="both"/>
        <w:rPr>
          <w:rFonts w:ascii="Cambria" w:hAnsi="Cambria"/>
          <w:color w:val="000000"/>
          <w:sz w:val="20"/>
          <w:szCs w:val="20"/>
          <w:lang w:val="es-ES"/>
        </w:rPr>
      </w:pPr>
    </w:p>
    <w:p w14:paraId="71CABCAD" w14:textId="77777777" w:rsidR="00067F9E" w:rsidRPr="003B7960" w:rsidRDefault="00083D86" w:rsidP="00101DC6">
      <w:pPr>
        <w:pStyle w:val="ListParagraph"/>
        <w:numPr>
          <w:ilvl w:val="0"/>
          <w:numId w:val="56"/>
        </w:numPr>
        <w:tabs>
          <w:tab w:val="left" w:pos="426"/>
        </w:tabs>
        <w:ind w:left="0" w:firstLine="0"/>
        <w:jc w:val="both"/>
        <w:rPr>
          <w:rFonts w:ascii="Cambria" w:hAnsi="Cambria"/>
          <w:sz w:val="20"/>
          <w:szCs w:val="20"/>
          <w:lang w:val="es-US"/>
        </w:rPr>
      </w:pPr>
      <w:r w:rsidRPr="003B7960">
        <w:rPr>
          <w:rFonts w:ascii="Cambria" w:hAnsi="Cambria"/>
          <w:color w:val="000000"/>
          <w:sz w:val="20"/>
          <w:szCs w:val="20"/>
          <w:lang w:val="es-ES"/>
        </w:rPr>
        <w:t>La Corte Interamericana</w:t>
      </w:r>
      <w:r w:rsidR="00067F9E" w:rsidRPr="003B7960">
        <w:rPr>
          <w:rFonts w:ascii="Cambria" w:hAnsi="Cambria"/>
          <w:color w:val="000000"/>
          <w:sz w:val="20"/>
          <w:szCs w:val="20"/>
          <w:lang w:val="es-ES"/>
        </w:rPr>
        <w:t xml:space="preserve"> ha</w:t>
      </w:r>
      <w:r w:rsidR="00F43054" w:rsidRPr="003B7960">
        <w:rPr>
          <w:rFonts w:ascii="Cambria" w:hAnsi="Cambria"/>
          <w:color w:val="000000"/>
          <w:sz w:val="20"/>
          <w:szCs w:val="20"/>
          <w:lang w:val="es-ES"/>
        </w:rPr>
        <w:t xml:space="preserve"> afirmado que, para que la privación de la libertad de los</w:t>
      </w:r>
      <w:r w:rsidR="00067F9E" w:rsidRPr="003B7960">
        <w:rPr>
          <w:rFonts w:ascii="Cambria" w:hAnsi="Cambria"/>
          <w:color w:val="000000"/>
          <w:sz w:val="20"/>
          <w:szCs w:val="20"/>
          <w:lang w:val="es-ES"/>
        </w:rPr>
        <w:t xml:space="preserve"> </w:t>
      </w:r>
      <w:r w:rsidR="00AD3ABA" w:rsidRPr="003B7960">
        <w:rPr>
          <w:rFonts w:ascii="Cambria" w:hAnsi="Cambria"/>
          <w:color w:val="000000"/>
          <w:sz w:val="20"/>
          <w:szCs w:val="20"/>
          <w:lang w:val="es-ES"/>
        </w:rPr>
        <w:t>migrantes</w:t>
      </w:r>
      <w:r w:rsidR="00067F9E" w:rsidRPr="003B7960">
        <w:rPr>
          <w:rFonts w:ascii="Cambria" w:hAnsi="Cambria"/>
          <w:color w:val="000000"/>
          <w:sz w:val="20"/>
          <w:szCs w:val="20"/>
          <w:lang w:val="es-ES"/>
        </w:rPr>
        <w:t xml:space="preserve"> no</w:t>
      </w:r>
      <w:r w:rsidR="00F43054" w:rsidRPr="003B7960">
        <w:rPr>
          <w:rFonts w:ascii="Cambria" w:hAnsi="Cambria"/>
          <w:color w:val="000000"/>
          <w:sz w:val="20"/>
          <w:szCs w:val="20"/>
          <w:lang w:val="es-ES"/>
        </w:rPr>
        <w:t xml:space="preserve"> se considere arbitraria, en cada caso particular su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F43054" w:rsidRPr="003B7960">
        <w:rPr>
          <w:rFonts w:ascii="Cambria" w:hAnsi="Cambria"/>
          <w:color w:val="000000"/>
          <w:sz w:val="20"/>
          <w:szCs w:val="20"/>
          <w:lang w:val="es-ES"/>
        </w:rPr>
        <w:t xml:space="preserve">debe estar prescrita por ley, perseguir un fin legítimo </w:t>
      </w:r>
      <w:r w:rsidR="00F43054" w:rsidRPr="003B7960">
        <w:rPr>
          <w:rFonts w:ascii="Cambria" w:hAnsi="Cambria"/>
          <w:color w:val="000000"/>
          <w:sz w:val="20"/>
          <w:szCs w:val="20"/>
          <w:lang w:val="es-ES"/>
        </w:rPr>
        <w:lastRenderedPageBreak/>
        <w:t>y ser apropiada, necesaria, proporcional y de la menor duración posible</w:t>
      </w:r>
      <w:r w:rsidR="00067F9E" w:rsidRPr="003B7960">
        <w:rPr>
          <w:rStyle w:val="FootnoteReference"/>
          <w:rFonts w:ascii="Cambria" w:hAnsi="Cambria"/>
          <w:color w:val="000000"/>
          <w:sz w:val="20"/>
          <w:szCs w:val="20"/>
          <w:lang w:val="es-ES"/>
        </w:rPr>
        <w:footnoteReference w:id="91"/>
      </w:r>
      <w:r w:rsidR="00F43054" w:rsidRPr="003B7960">
        <w:rPr>
          <w:rFonts w:ascii="Cambria" w:hAnsi="Cambria"/>
          <w:color w:val="000000"/>
          <w:sz w:val="20"/>
          <w:szCs w:val="20"/>
          <w:lang w:val="es-ES"/>
        </w:rPr>
        <w:t xml:space="preserve">. </w:t>
      </w:r>
      <w:r w:rsidR="00DC011E" w:rsidRPr="003B7960">
        <w:rPr>
          <w:rFonts w:ascii="Cambria" w:hAnsi="Cambria"/>
          <w:color w:val="000000"/>
          <w:sz w:val="20"/>
          <w:szCs w:val="20"/>
          <w:lang w:val="es-ES"/>
        </w:rPr>
        <w:t xml:space="preserve">El estándar sobre la excepcionalidad de la privación de </w:t>
      </w:r>
      <w:r w:rsidR="00F24B22" w:rsidRPr="003B7960">
        <w:rPr>
          <w:rFonts w:ascii="Cambria" w:hAnsi="Cambria"/>
          <w:color w:val="000000"/>
          <w:sz w:val="20"/>
          <w:szCs w:val="20"/>
          <w:lang w:val="es-ES"/>
        </w:rPr>
        <w:t>lib</w:t>
      </w:r>
      <w:r w:rsidR="00DC011E" w:rsidRPr="003B7960">
        <w:rPr>
          <w:rFonts w:ascii="Cambria" w:hAnsi="Cambria"/>
          <w:color w:val="000000"/>
          <w:sz w:val="20"/>
          <w:szCs w:val="20"/>
          <w:lang w:val="es-ES"/>
        </w:rPr>
        <w:t xml:space="preserve">ertad antes del juicio es aún más elevado en el caso de la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DC011E"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AD3ABA" w:rsidRPr="003B7960">
        <w:rPr>
          <w:rFonts w:ascii="Cambria" w:hAnsi="Cambria"/>
          <w:color w:val="000000"/>
          <w:sz w:val="20"/>
          <w:szCs w:val="20"/>
          <w:lang w:val="es-ES"/>
        </w:rPr>
        <w:t>migrantes</w:t>
      </w:r>
      <w:r w:rsidR="00067F9E" w:rsidRPr="003B7960">
        <w:rPr>
          <w:rFonts w:ascii="Cambria" w:hAnsi="Cambria"/>
          <w:color w:val="000000"/>
          <w:sz w:val="20"/>
          <w:szCs w:val="20"/>
          <w:lang w:val="es-ES"/>
        </w:rPr>
        <w:t xml:space="preserve"> </w:t>
      </w:r>
      <w:r w:rsidR="00DC011E" w:rsidRPr="003B7960">
        <w:rPr>
          <w:rFonts w:ascii="Cambria" w:hAnsi="Cambria"/>
          <w:color w:val="000000"/>
          <w:sz w:val="20"/>
          <w:szCs w:val="20"/>
          <w:lang w:val="es-ES"/>
        </w:rPr>
        <w:t xml:space="preserve">porque las infracciones de las leyes </w:t>
      </w:r>
      <w:r w:rsidR="007F28F8" w:rsidRPr="003B7960">
        <w:rPr>
          <w:rFonts w:ascii="Cambria" w:hAnsi="Cambria"/>
          <w:color w:val="000000"/>
          <w:sz w:val="20"/>
          <w:szCs w:val="20"/>
          <w:lang w:val="es-ES"/>
        </w:rPr>
        <w:t>de inmigración</w:t>
      </w:r>
      <w:r w:rsidR="00DC011E" w:rsidRPr="003B7960">
        <w:rPr>
          <w:rFonts w:ascii="Cambria" w:hAnsi="Cambria"/>
          <w:color w:val="000000"/>
          <w:sz w:val="20"/>
          <w:szCs w:val="20"/>
          <w:lang w:val="es-ES"/>
        </w:rPr>
        <w:t xml:space="preserve"> no deben considerarse como delitos penales, como se dijo anteriormente</w:t>
      </w:r>
      <w:r w:rsidR="00067F9E" w:rsidRPr="003B7960">
        <w:rPr>
          <w:rStyle w:val="FootnoteReference"/>
          <w:rFonts w:ascii="Cambria" w:hAnsi="Cambria"/>
          <w:color w:val="000000"/>
          <w:sz w:val="20"/>
          <w:szCs w:val="20"/>
          <w:lang w:val="es-ES"/>
        </w:rPr>
        <w:footnoteReference w:id="92"/>
      </w:r>
      <w:r w:rsidR="005975C8" w:rsidRPr="003B7960">
        <w:rPr>
          <w:rFonts w:ascii="Cambria" w:hAnsi="Cambria"/>
          <w:color w:val="000000"/>
          <w:sz w:val="20"/>
          <w:szCs w:val="20"/>
          <w:lang w:val="es-ES"/>
        </w:rPr>
        <w:t xml:space="preserve">. </w:t>
      </w:r>
      <w:r w:rsidR="00DC011E" w:rsidRPr="003B7960">
        <w:rPr>
          <w:rFonts w:ascii="Cambria" w:hAnsi="Cambria"/>
          <w:color w:val="000000"/>
          <w:sz w:val="20"/>
          <w:szCs w:val="20"/>
          <w:lang w:val="es-ES"/>
        </w:rPr>
        <w:t>Además</w:t>
      </w:r>
      <w:r w:rsidR="00067F9E" w:rsidRPr="003B7960">
        <w:rPr>
          <w:rFonts w:ascii="Cambria" w:hAnsi="Cambria"/>
          <w:sz w:val="20"/>
          <w:szCs w:val="20"/>
          <w:lang w:val="es-ES"/>
        </w:rPr>
        <w:t xml:space="preserve">, </w:t>
      </w:r>
      <w:r w:rsidRPr="003B7960">
        <w:rPr>
          <w:rFonts w:ascii="Cambria" w:hAnsi="Cambria"/>
          <w:sz w:val="20"/>
          <w:szCs w:val="20"/>
          <w:lang w:val="es-ES"/>
        </w:rPr>
        <w:t>la Corte</w:t>
      </w:r>
      <w:r w:rsidR="00067F9E" w:rsidRPr="003B7960">
        <w:rPr>
          <w:rFonts w:ascii="Cambria" w:hAnsi="Cambria"/>
          <w:sz w:val="20"/>
          <w:szCs w:val="20"/>
          <w:lang w:val="es-ES"/>
        </w:rPr>
        <w:t xml:space="preserve">, </w:t>
      </w:r>
      <w:r w:rsidR="00DC011E" w:rsidRPr="003B7960">
        <w:rPr>
          <w:rFonts w:ascii="Cambria" w:hAnsi="Cambria"/>
          <w:sz w:val="20"/>
          <w:szCs w:val="20"/>
          <w:lang w:val="es-ES"/>
        </w:rPr>
        <w:t xml:space="preserve">al considerar </w:t>
      </w:r>
      <w:r w:rsidR="00C33F51" w:rsidRPr="003B7960">
        <w:rPr>
          <w:rFonts w:ascii="Cambria" w:hAnsi="Cambria"/>
          <w:sz w:val="20"/>
          <w:szCs w:val="20"/>
          <w:lang w:val="es-ES"/>
        </w:rPr>
        <w:t>la Declaración</w:t>
      </w:r>
      <w:r w:rsidR="00B9011F" w:rsidRPr="003B7960">
        <w:rPr>
          <w:rFonts w:ascii="Cambria" w:hAnsi="Cambria"/>
          <w:sz w:val="20"/>
          <w:szCs w:val="20"/>
          <w:lang w:val="es-ES"/>
        </w:rPr>
        <w:t xml:space="preserve"> Americana</w:t>
      </w:r>
      <w:r w:rsidR="00067F9E" w:rsidRPr="003B7960">
        <w:rPr>
          <w:rFonts w:ascii="Cambria" w:hAnsi="Cambria"/>
          <w:sz w:val="20"/>
          <w:szCs w:val="20"/>
          <w:lang w:val="es-ES"/>
        </w:rPr>
        <w:t xml:space="preserve">, </w:t>
      </w:r>
      <w:r w:rsidR="00DC011E" w:rsidRPr="003B7960">
        <w:rPr>
          <w:rFonts w:ascii="Cambria" w:hAnsi="Cambria"/>
          <w:sz w:val="20"/>
          <w:szCs w:val="20"/>
          <w:lang w:val="es-ES"/>
        </w:rPr>
        <w:t>determinó que</w:t>
      </w:r>
      <w:r w:rsidR="00067F9E" w:rsidRPr="003B7960">
        <w:rPr>
          <w:rFonts w:ascii="Cambria" w:hAnsi="Cambria"/>
          <w:sz w:val="20"/>
          <w:szCs w:val="20"/>
          <w:lang w:val="es-ES"/>
        </w:rPr>
        <w:t xml:space="preserve"> “</w:t>
      </w:r>
      <w:r w:rsidR="00ED21C8" w:rsidRPr="003B7960">
        <w:rPr>
          <w:rFonts w:ascii="Cambria" w:hAnsi="Cambria"/>
          <w:sz w:val="20"/>
          <w:szCs w:val="20"/>
          <w:lang w:val="es-ES"/>
        </w:rPr>
        <w:t>la privación de libertad de niñas o de niños por razones exclusivas de índole migratoria excede el requisito de necesidad</w:t>
      </w:r>
      <w:r w:rsidR="00067F9E" w:rsidRPr="003B7960">
        <w:rPr>
          <w:rFonts w:ascii="Cambria" w:hAnsi="Cambria"/>
          <w:sz w:val="20"/>
          <w:szCs w:val="20"/>
          <w:lang w:val="es-ES"/>
        </w:rPr>
        <w:t>”</w:t>
      </w:r>
      <w:r w:rsidR="00067F9E" w:rsidRPr="003B7960">
        <w:rPr>
          <w:rStyle w:val="FootnoteReference"/>
          <w:rFonts w:ascii="Cambria" w:hAnsi="Cambria"/>
          <w:sz w:val="20"/>
          <w:szCs w:val="20"/>
          <w:lang w:val="es-ES"/>
        </w:rPr>
        <w:footnoteReference w:id="93"/>
      </w:r>
      <w:r w:rsidR="00067F9E" w:rsidRPr="003B7960">
        <w:rPr>
          <w:rFonts w:ascii="Cambria" w:hAnsi="Cambria"/>
          <w:sz w:val="20"/>
          <w:szCs w:val="20"/>
          <w:lang w:val="es-ES"/>
        </w:rPr>
        <w:t xml:space="preserve"> </w:t>
      </w:r>
      <w:r w:rsidR="00DC011E" w:rsidRPr="003B7960">
        <w:rPr>
          <w:rFonts w:ascii="Cambria" w:hAnsi="Cambria"/>
          <w:sz w:val="20"/>
          <w:szCs w:val="20"/>
          <w:lang w:val="es-ES"/>
        </w:rPr>
        <w:t>y, por lo tanto, es arbitraria</w:t>
      </w:r>
      <w:r w:rsidR="00067F9E" w:rsidRPr="003B7960">
        <w:rPr>
          <w:rFonts w:ascii="Cambria" w:hAnsi="Cambria"/>
          <w:sz w:val="20"/>
          <w:szCs w:val="20"/>
          <w:lang w:val="es-ES"/>
        </w:rPr>
        <w:t>.</w:t>
      </w:r>
      <w:r w:rsidR="000F78E7" w:rsidRPr="003B7960">
        <w:rPr>
          <w:rFonts w:ascii="Cambria" w:hAnsi="Cambria"/>
          <w:sz w:val="20"/>
          <w:szCs w:val="20"/>
          <w:lang w:val="es-ES"/>
        </w:rPr>
        <w:t xml:space="preserve"> </w:t>
      </w:r>
      <w:r w:rsidR="00ED7F69" w:rsidRPr="003B7960">
        <w:rPr>
          <w:rFonts w:ascii="Cambria" w:hAnsi="Cambria"/>
          <w:sz w:val="20"/>
          <w:szCs w:val="20"/>
          <w:lang w:val="es-US"/>
        </w:rPr>
        <w:t>En este sentido, los Estados no pueden recurrir a la privación de libertad de niñas o niños para cautelar los fines de un proceso migratorio ni tampoco pueden fundamentar tal medida en el incumplimiento de los requisitos para ingresar y permanecer en un país, en el hecho de que la niña o el niño se encuentre solo o separado de su familia, o en la finalidad de asegurar la unidad familiar, toda vez que pueden y deben disponer de alternativas menos lesivas y, al mismo tiempo, proteger de forma prioritaria e integral los derechos de la niña o del niño</w:t>
      </w:r>
      <w:r w:rsidR="00ED7F69" w:rsidRPr="003B7960">
        <w:rPr>
          <w:rFonts w:ascii="Cambria" w:hAnsi="Cambria"/>
          <w:sz w:val="20"/>
          <w:szCs w:val="20"/>
          <w:vertAlign w:val="superscript"/>
          <w:lang w:val="es-US"/>
        </w:rPr>
        <w:footnoteReference w:id="94"/>
      </w:r>
      <w:r w:rsidR="00ED7F69" w:rsidRPr="003B7960">
        <w:rPr>
          <w:rFonts w:ascii="Cambria" w:hAnsi="Cambria"/>
          <w:sz w:val="20"/>
          <w:szCs w:val="20"/>
          <w:lang w:val="es-US"/>
        </w:rPr>
        <w:t>.</w:t>
      </w:r>
    </w:p>
    <w:p w14:paraId="09B53349" w14:textId="77777777" w:rsidR="00067F9E" w:rsidRPr="003B7960" w:rsidRDefault="00067F9E" w:rsidP="00101DC6">
      <w:pPr>
        <w:tabs>
          <w:tab w:val="left" w:pos="426"/>
        </w:tabs>
        <w:rPr>
          <w:rFonts w:ascii="Cambria" w:hAnsi="Cambria"/>
          <w:color w:val="000000"/>
          <w:sz w:val="20"/>
          <w:szCs w:val="20"/>
          <w:lang w:val="es-ES"/>
        </w:rPr>
      </w:pPr>
    </w:p>
    <w:p w14:paraId="077D2382" w14:textId="77777777" w:rsidR="00067F9E" w:rsidRPr="003B7960" w:rsidRDefault="0059568E" w:rsidP="00101DC6">
      <w:pPr>
        <w:pStyle w:val="ListParagraph"/>
        <w:numPr>
          <w:ilvl w:val="0"/>
          <w:numId w:val="56"/>
        </w:numP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En efecto, para respetar las garantías dispuestas en los </w:t>
      </w:r>
      <w:r w:rsidR="001A6E22" w:rsidRPr="003B7960">
        <w:rPr>
          <w:rFonts w:ascii="Cambria" w:hAnsi="Cambria"/>
          <w:color w:val="000000"/>
          <w:sz w:val="20"/>
          <w:szCs w:val="20"/>
          <w:lang w:val="es-ES"/>
        </w:rPr>
        <w:t>artículos</w:t>
      </w:r>
      <w:r w:rsidR="00067F9E" w:rsidRPr="003B7960">
        <w:rPr>
          <w:rFonts w:ascii="Cambria" w:hAnsi="Cambria"/>
          <w:color w:val="000000"/>
          <w:sz w:val="20"/>
          <w:szCs w:val="20"/>
          <w:lang w:val="es-ES"/>
        </w:rPr>
        <w:t xml:space="preserve"> I </w:t>
      </w:r>
      <w:r w:rsidRPr="003B7960">
        <w:rPr>
          <w:rFonts w:ascii="Cambria" w:hAnsi="Cambria"/>
          <w:color w:val="000000"/>
          <w:sz w:val="20"/>
          <w:szCs w:val="20"/>
          <w:lang w:val="es-ES"/>
        </w:rPr>
        <w:t>y</w:t>
      </w:r>
      <w:r w:rsidR="00067F9E" w:rsidRPr="003B7960">
        <w:rPr>
          <w:rFonts w:ascii="Cambria" w:hAnsi="Cambria"/>
          <w:color w:val="000000"/>
          <w:sz w:val="20"/>
          <w:szCs w:val="20"/>
          <w:lang w:val="es-ES"/>
        </w:rPr>
        <w:t xml:space="preserve"> XXV </w:t>
      </w:r>
      <w:r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C33F51" w:rsidRPr="003B7960">
        <w:rPr>
          <w:rFonts w:ascii="Cambria" w:hAnsi="Cambria"/>
          <w:color w:val="000000"/>
          <w:sz w:val="20"/>
          <w:szCs w:val="20"/>
          <w:lang w:val="es-ES"/>
        </w:rPr>
        <w:t>la Declaración</w:t>
      </w:r>
      <w:r w:rsidR="00B9011F" w:rsidRPr="003B7960">
        <w:rPr>
          <w:rFonts w:ascii="Cambria" w:hAnsi="Cambria"/>
          <w:color w:val="000000"/>
          <w:sz w:val="20"/>
          <w:szCs w:val="20"/>
          <w:lang w:val="es-ES"/>
        </w:rPr>
        <w:t xml:space="preserve"> Americana</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los </w:t>
      </w:r>
      <w:r w:rsidR="00B57670" w:rsidRPr="003B7960">
        <w:rPr>
          <w:rFonts w:ascii="Cambria" w:hAnsi="Cambria"/>
          <w:color w:val="000000"/>
          <w:sz w:val="20"/>
          <w:szCs w:val="20"/>
          <w:lang w:val="es-ES"/>
        </w:rPr>
        <w:t>Estados Miembros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deben adoptar leyes y políticas en materia de inmigración basadas en una </w:t>
      </w:r>
      <w:r w:rsidR="00067F9E" w:rsidRPr="003B7960">
        <w:rPr>
          <w:rFonts w:ascii="Cambria" w:hAnsi="Cambria"/>
          <w:color w:val="000000"/>
          <w:sz w:val="20"/>
          <w:szCs w:val="20"/>
          <w:lang w:val="es-ES"/>
        </w:rPr>
        <w:t>presu</w:t>
      </w:r>
      <w:r w:rsidR="00955934" w:rsidRPr="003B7960">
        <w:rPr>
          <w:rFonts w:ascii="Cambria" w:hAnsi="Cambria"/>
          <w:color w:val="000000"/>
          <w:sz w:val="20"/>
          <w:szCs w:val="20"/>
          <w:lang w:val="es-ES"/>
        </w:rPr>
        <w:t xml:space="preserve">nción de </w:t>
      </w:r>
      <w:r w:rsidR="00067F9E" w:rsidRPr="003B7960">
        <w:rPr>
          <w:rFonts w:ascii="Cambria" w:hAnsi="Cambria"/>
          <w:color w:val="000000"/>
          <w:sz w:val="20"/>
          <w:szCs w:val="20"/>
          <w:lang w:val="es-ES"/>
        </w:rPr>
        <w:t>libert</w:t>
      </w:r>
      <w:r w:rsidR="00955934" w:rsidRPr="003B7960">
        <w:rPr>
          <w:rFonts w:ascii="Cambria" w:hAnsi="Cambria"/>
          <w:color w:val="000000"/>
          <w:sz w:val="20"/>
          <w:szCs w:val="20"/>
          <w:lang w:val="es-ES"/>
        </w:rPr>
        <w:t xml:space="preserve">ad </w:t>
      </w:r>
      <w:r w:rsidR="00067F9E" w:rsidRPr="003B7960">
        <w:rPr>
          <w:rFonts w:ascii="Cambria" w:hAnsi="Cambria"/>
          <w:color w:val="000000"/>
          <w:sz w:val="20"/>
          <w:szCs w:val="20"/>
          <w:lang w:val="es-ES"/>
        </w:rPr>
        <w:t>—</w:t>
      </w:r>
      <w:r w:rsidRPr="003B7960">
        <w:rPr>
          <w:rFonts w:ascii="Cambria" w:hAnsi="Cambria"/>
          <w:color w:val="000000"/>
          <w:sz w:val="20"/>
          <w:szCs w:val="20"/>
          <w:lang w:val="es-ES"/>
        </w:rPr>
        <w:t>el derecho del inmigrante</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a permanecer en libertad hasta que concluyan sus </w:t>
      </w:r>
      <w:r w:rsidR="009F0E10" w:rsidRPr="003B7960">
        <w:rPr>
          <w:rFonts w:ascii="Cambria" w:hAnsi="Cambria"/>
          <w:color w:val="000000"/>
          <w:sz w:val="20"/>
          <w:szCs w:val="20"/>
          <w:lang w:val="es-ES"/>
        </w:rPr>
        <w:t xml:space="preserve">procedimientos </w:t>
      </w:r>
      <w:r w:rsidRPr="003B7960">
        <w:rPr>
          <w:rFonts w:ascii="Cambria" w:hAnsi="Cambria"/>
          <w:color w:val="000000"/>
          <w:sz w:val="20"/>
          <w:szCs w:val="20"/>
          <w:lang w:val="es-ES"/>
        </w:rPr>
        <w:t>de inmigraci</w:t>
      </w:r>
      <w:r w:rsidR="009F0E10" w:rsidRPr="003B7960">
        <w:rPr>
          <w:rFonts w:ascii="Cambria" w:hAnsi="Cambria"/>
          <w:color w:val="000000"/>
          <w:sz w:val="20"/>
          <w:szCs w:val="20"/>
          <w:lang w:val="es-ES"/>
        </w:rPr>
        <w:t>ón</w:t>
      </w:r>
      <w:r w:rsidR="00067F9E" w:rsidRPr="003B7960">
        <w:rPr>
          <w:rFonts w:ascii="Cambria" w:hAnsi="Cambria"/>
          <w:color w:val="000000"/>
          <w:sz w:val="20"/>
          <w:szCs w:val="20"/>
          <w:lang w:val="es-ES"/>
        </w:rPr>
        <w:t>—</w:t>
      </w:r>
      <w:r w:rsidR="009F0E10" w:rsidRPr="003B7960">
        <w:rPr>
          <w:rFonts w:ascii="Cambria" w:hAnsi="Cambria"/>
          <w:color w:val="000000"/>
          <w:sz w:val="20"/>
          <w:szCs w:val="20"/>
          <w:lang w:val="es-ES"/>
        </w:rPr>
        <w:t xml:space="preserve"> y no en una </w:t>
      </w:r>
      <w:r w:rsidR="00955934" w:rsidRPr="003B7960">
        <w:rPr>
          <w:rFonts w:ascii="Cambria" w:hAnsi="Cambria"/>
          <w:color w:val="000000"/>
          <w:sz w:val="20"/>
          <w:szCs w:val="20"/>
          <w:lang w:val="es-ES"/>
        </w:rPr>
        <w:t>presunción de</w:t>
      </w:r>
      <w:r w:rsidR="00067F9E" w:rsidRPr="003B7960">
        <w:rPr>
          <w:rFonts w:ascii="Cambria" w:hAnsi="Cambria"/>
          <w:color w:val="000000"/>
          <w:sz w:val="20"/>
          <w:szCs w:val="20"/>
          <w:lang w:val="es-ES"/>
        </w:rPr>
        <w:t xml:space="preserve"> </w:t>
      </w:r>
      <w:r w:rsidR="00133A5D" w:rsidRPr="003B7960">
        <w:rPr>
          <w:rFonts w:ascii="Cambria" w:hAnsi="Cambria"/>
          <w:color w:val="000000"/>
          <w:sz w:val="20"/>
          <w:szCs w:val="20"/>
          <w:lang w:val="es-ES"/>
        </w:rPr>
        <w:t>detención</w:t>
      </w:r>
      <w:r w:rsidR="00067F9E" w:rsidRPr="003B7960">
        <w:rPr>
          <w:rStyle w:val="FootnoteReference"/>
          <w:rFonts w:ascii="Cambria" w:hAnsi="Cambria"/>
          <w:color w:val="000000"/>
          <w:sz w:val="20"/>
          <w:szCs w:val="20"/>
          <w:lang w:val="es-ES"/>
        </w:rPr>
        <w:footnoteReference w:id="95"/>
      </w:r>
      <w:r w:rsidR="005975C8" w:rsidRPr="003B7960">
        <w:rPr>
          <w:rFonts w:ascii="Cambria" w:hAnsi="Cambria"/>
          <w:color w:val="000000"/>
          <w:sz w:val="20"/>
          <w:szCs w:val="20"/>
          <w:lang w:val="es-ES"/>
        </w:rPr>
        <w:t>. La d</w:t>
      </w:r>
      <w:r w:rsidR="00133A5D" w:rsidRPr="003B7960">
        <w:rPr>
          <w:rFonts w:ascii="Cambria" w:hAnsi="Cambria"/>
          <w:color w:val="000000"/>
          <w:sz w:val="20"/>
          <w:szCs w:val="20"/>
          <w:lang w:val="es-ES"/>
        </w:rPr>
        <w:t>etención</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 xml:space="preserve">es permisible solo cuando en la evaluación de un caso particular se llegue a la conclusión de que la medida es esencial para servir a un interés legítimo del </w:t>
      </w:r>
      <w:r w:rsidR="00A332F5" w:rsidRPr="003B7960">
        <w:rPr>
          <w:rFonts w:ascii="Cambria" w:hAnsi="Cambria"/>
          <w:color w:val="000000"/>
          <w:sz w:val="20"/>
          <w:szCs w:val="20"/>
          <w:lang w:val="es-ES"/>
        </w:rPr>
        <w:t>Estado</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y asegurar que la persona comparezca en el procedimiento para d</w:t>
      </w:r>
      <w:r w:rsidR="00067F9E" w:rsidRPr="003B7960">
        <w:rPr>
          <w:rFonts w:ascii="Cambria" w:hAnsi="Cambria"/>
          <w:color w:val="000000"/>
          <w:sz w:val="20"/>
          <w:szCs w:val="20"/>
          <w:lang w:val="es-ES"/>
        </w:rPr>
        <w:t>etermin</w:t>
      </w:r>
      <w:r w:rsidR="009F0E10" w:rsidRPr="003B7960">
        <w:rPr>
          <w:rFonts w:ascii="Cambria" w:hAnsi="Cambria"/>
          <w:color w:val="000000"/>
          <w:sz w:val="20"/>
          <w:szCs w:val="20"/>
          <w:lang w:val="es-ES"/>
        </w:rPr>
        <w:t>ar su situación migratoria y su posible expulsión</w:t>
      </w:r>
      <w:r w:rsidR="00067F9E" w:rsidRPr="003B7960">
        <w:rPr>
          <w:rStyle w:val="FootnoteReference"/>
          <w:rFonts w:ascii="Cambria" w:hAnsi="Cambria"/>
          <w:color w:val="000000"/>
          <w:sz w:val="20"/>
          <w:szCs w:val="20"/>
          <w:lang w:val="es-ES"/>
        </w:rPr>
        <w:footnoteReference w:id="96"/>
      </w:r>
      <w:r w:rsidR="005975C8" w:rsidRPr="003B7960">
        <w:rPr>
          <w:rFonts w:ascii="Cambria" w:hAnsi="Cambria"/>
          <w:color w:val="000000"/>
          <w:sz w:val="20"/>
          <w:szCs w:val="20"/>
          <w:lang w:val="es-ES"/>
        </w:rPr>
        <w:t>.</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 xml:space="preserve">El </w:t>
      </w:r>
      <w:r w:rsidR="00067F9E" w:rsidRPr="003B7960">
        <w:rPr>
          <w:rFonts w:ascii="Cambria" w:hAnsi="Cambria"/>
          <w:color w:val="000000"/>
          <w:sz w:val="20"/>
          <w:szCs w:val="20"/>
          <w:lang w:val="es-ES"/>
        </w:rPr>
        <w:t>argument</w:t>
      </w:r>
      <w:r w:rsidR="009F0E10" w:rsidRPr="003B7960">
        <w:rPr>
          <w:rFonts w:ascii="Cambria" w:hAnsi="Cambria"/>
          <w:color w:val="000000"/>
          <w:sz w:val="20"/>
          <w:szCs w:val="20"/>
          <w:lang w:val="es-ES"/>
        </w:rPr>
        <w:t xml:space="preserve">o de que la persona en cuestión presenta una amenaza para la seguridad pública es aceptable solo en circunstancias excepcionales en las cuales haya ciertos indicios del riesgo que representa la persona. La existencia de antecedentes penales no basta para justificar la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de un</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inmigrante</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 xml:space="preserve">después que haya cumplido su condena. Cualquiera que sea el </w:t>
      </w:r>
      <w:r w:rsidR="008A4F19" w:rsidRPr="003B7960">
        <w:rPr>
          <w:rFonts w:ascii="Cambria" w:hAnsi="Cambria"/>
          <w:color w:val="000000"/>
          <w:sz w:val="20"/>
          <w:szCs w:val="20"/>
          <w:lang w:val="es-ES"/>
        </w:rPr>
        <w:t>caso</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 xml:space="preserve">se deben explicar las razones </w:t>
      </w:r>
      <w:r w:rsidR="00067F9E" w:rsidRPr="003B7960">
        <w:rPr>
          <w:rFonts w:ascii="Cambria" w:hAnsi="Cambria"/>
          <w:color w:val="000000"/>
          <w:sz w:val="20"/>
          <w:szCs w:val="20"/>
          <w:lang w:val="es-ES"/>
        </w:rPr>
        <w:t>particular</w:t>
      </w:r>
      <w:r w:rsidR="009F0E10" w:rsidRPr="003B7960">
        <w:rPr>
          <w:rFonts w:ascii="Cambria" w:hAnsi="Cambria"/>
          <w:color w:val="000000"/>
          <w:sz w:val="20"/>
          <w:szCs w:val="20"/>
          <w:lang w:val="es-ES"/>
        </w:rPr>
        <w:t>es por las cuales se considera que el inmigrante</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 xml:space="preserve">constituye un riesgo. Los argumentos que fundamenten la conclusión de que la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9F0E10" w:rsidRPr="003B7960">
        <w:rPr>
          <w:rFonts w:ascii="Cambria" w:hAnsi="Cambria"/>
          <w:color w:val="000000"/>
          <w:sz w:val="20"/>
          <w:szCs w:val="20"/>
          <w:lang w:val="es-ES"/>
        </w:rPr>
        <w:t>es procedente deben explicarse claramente en la decisión correspondiente</w:t>
      </w:r>
      <w:r w:rsidR="00067F9E" w:rsidRPr="003B7960">
        <w:rPr>
          <w:rStyle w:val="FootnoteReference"/>
          <w:rFonts w:ascii="Cambria" w:hAnsi="Cambria"/>
          <w:color w:val="000000"/>
          <w:sz w:val="20"/>
          <w:szCs w:val="20"/>
          <w:lang w:val="es-ES"/>
        </w:rPr>
        <w:footnoteReference w:id="97"/>
      </w:r>
      <w:r w:rsidR="005975C8" w:rsidRPr="003B7960">
        <w:rPr>
          <w:rFonts w:ascii="Cambria" w:hAnsi="Cambria"/>
          <w:color w:val="000000"/>
          <w:sz w:val="20"/>
          <w:szCs w:val="20"/>
          <w:lang w:val="es-ES"/>
        </w:rPr>
        <w:t>.</w:t>
      </w:r>
    </w:p>
    <w:p w14:paraId="66C7D73D" w14:textId="77777777" w:rsidR="00067F9E" w:rsidRPr="003B7960" w:rsidRDefault="00067F9E" w:rsidP="00101DC6">
      <w:pPr>
        <w:pStyle w:val="ListParagraph"/>
        <w:tabs>
          <w:tab w:val="left" w:pos="426"/>
        </w:tabs>
        <w:ind w:left="0"/>
        <w:jc w:val="both"/>
        <w:rPr>
          <w:rFonts w:ascii="Cambria" w:hAnsi="Cambria"/>
          <w:color w:val="000000"/>
          <w:sz w:val="20"/>
          <w:szCs w:val="20"/>
          <w:lang w:val="es-ES"/>
        </w:rPr>
      </w:pPr>
    </w:p>
    <w:p w14:paraId="1B993506" w14:textId="77777777" w:rsidR="00067F9E" w:rsidRPr="003B7960" w:rsidRDefault="00ED21C8"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En cuanto a la duración</w:t>
      </w:r>
      <w:r w:rsidR="00067F9E" w:rsidRPr="003B7960">
        <w:rPr>
          <w:rFonts w:ascii="Cambria" w:hAnsi="Cambria"/>
          <w:sz w:val="20"/>
          <w:szCs w:val="20"/>
          <w:lang w:val="es-ES"/>
        </w:rPr>
        <w:t xml:space="preserve"> </w:t>
      </w:r>
      <w:r w:rsidRPr="003B7960">
        <w:rPr>
          <w:rFonts w:ascii="Cambria" w:hAnsi="Cambria"/>
          <w:sz w:val="20"/>
          <w:szCs w:val="20"/>
          <w:lang w:val="es-ES"/>
        </w:rPr>
        <w:t>de la d</w:t>
      </w:r>
      <w:r w:rsidR="00133A5D" w:rsidRPr="003B7960">
        <w:rPr>
          <w:rFonts w:ascii="Cambria" w:hAnsi="Cambria"/>
          <w:sz w:val="20"/>
          <w:szCs w:val="20"/>
          <w:lang w:val="es-ES"/>
        </w:rPr>
        <w:t>etención</w:t>
      </w:r>
      <w:r w:rsidR="00067F9E" w:rsidRPr="003B7960">
        <w:rPr>
          <w:rFonts w:ascii="Cambria" w:hAnsi="Cambria"/>
          <w:sz w:val="20"/>
          <w:szCs w:val="20"/>
          <w:lang w:val="es-ES"/>
        </w:rPr>
        <w:t xml:space="preserve">, </w:t>
      </w:r>
      <w:r w:rsidRPr="003B7960">
        <w:rPr>
          <w:rFonts w:ascii="Cambria" w:hAnsi="Cambria"/>
          <w:sz w:val="20"/>
          <w:szCs w:val="20"/>
          <w:lang w:val="es-ES"/>
        </w:rPr>
        <w:t>el</w:t>
      </w:r>
      <w:r w:rsidR="00067F9E" w:rsidRPr="003B7960">
        <w:rPr>
          <w:rFonts w:ascii="Cambria" w:hAnsi="Cambria"/>
          <w:sz w:val="20"/>
          <w:szCs w:val="20"/>
          <w:lang w:val="es-ES"/>
        </w:rPr>
        <w:t xml:space="preserve"> </w:t>
      </w:r>
      <w:r w:rsidRPr="003B7960">
        <w:rPr>
          <w:rFonts w:ascii="Cambria" w:hAnsi="Cambria"/>
          <w:sz w:val="20"/>
          <w:szCs w:val="20"/>
          <w:lang w:val="es-ES"/>
        </w:rPr>
        <w:t>Grupo de Trabajo sobre la Detención Arbitraria</w:t>
      </w:r>
      <w:r w:rsidR="00067F9E" w:rsidRPr="003B7960">
        <w:rPr>
          <w:rFonts w:ascii="Cambria" w:hAnsi="Cambria"/>
          <w:sz w:val="20"/>
          <w:szCs w:val="20"/>
          <w:lang w:val="es-ES"/>
        </w:rPr>
        <w:t xml:space="preserve"> </w:t>
      </w:r>
      <w:r w:rsidRPr="003B7960">
        <w:rPr>
          <w:rFonts w:ascii="Cambria" w:hAnsi="Cambria"/>
          <w:sz w:val="20"/>
          <w:szCs w:val="20"/>
          <w:lang w:val="es-ES"/>
        </w:rPr>
        <w:t xml:space="preserve">afirmó que </w:t>
      </w:r>
      <w:r w:rsidR="00067F9E" w:rsidRPr="003B7960">
        <w:rPr>
          <w:rFonts w:ascii="Cambria" w:hAnsi="Cambria"/>
          <w:sz w:val="20"/>
          <w:szCs w:val="20"/>
          <w:lang w:val="es-ES"/>
        </w:rPr>
        <w:t>“</w:t>
      </w:r>
      <w:r w:rsidRPr="003B7960">
        <w:rPr>
          <w:rFonts w:ascii="Cambria" w:hAnsi="Cambria"/>
          <w:sz w:val="20"/>
          <w:szCs w:val="20"/>
          <w:lang w:val="es-ES"/>
        </w:rPr>
        <w:t>[l]a ley deberá prever un plazo máximo de retención que en ningún caso podrá ser indefinido ni tener una duración excesiva</w:t>
      </w:r>
      <w:r w:rsidR="00067F9E" w:rsidRPr="003B7960">
        <w:rPr>
          <w:rFonts w:ascii="Cambria" w:hAnsi="Cambria"/>
          <w:sz w:val="20"/>
          <w:szCs w:val="20"/>
          <w:lang w:val="es-ES"/>
        </w:rPr>
        <w:t>”</w:t>
      </w:r>
      <w:r w:rsidR="00067F9E" w:rsidRPr="003B7960">
        <w:rPr>
          <w:rStyle w:val="FootnoteReference"/>
          <w:rFonts w:ascii="Cambria" w:hAnsi="Cambria"/>
          <w:sz w:val="20"/>
          <w:szCs w:val="20"/>
          <w:lang w:val="es-ES"/>
        </w:rPr>
        <w:footnoteReference w:id="98"/>
      </w:r>
      <w:r w:rsidRPr="003B7960">
        <w:rPr>
          <w:rFonts w:ascii="Cambria" w:hAnsi="Cambria"/>
          <w:sz w:val="20"/>
          <w:szCs w:val="20"/>
          <w:lang w:val="es-ES"/>
        </w:rPr>
        <w:t xml:space="preserve">. De esta forma, la ausencia de límites claros de los poderes de una autoridad administrativa </w:t>
      </w:r>
      <w:r w:rsidR="00F43054" w:rsidRPr="003B7960">
        <w:rPr>
          <w:rFonts w:ascii="Cambria" w:hAnsi="Cambria"/>
          <w:sz w:val="20"/>
          <w:szCs w:val="20"/>
          <w:lang w:val="es-ES"/>
        </w:rPr>
        <w:t xml:space="preserve">favorece la prolongación indebida de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F43054" w:rsidRPr="003B7960">
        <w:rPr>
          <w:rFonts w:ascii="Cambria" w:hAnsi="Cambria"/>
          <w:sz w:val="20"/>
          <w:szCs w:val="20"/>
          <w:lang w:val="es-ES"/>
        </w:rPr>
        <w:t>de</w:t>
      </w:r>
      <w:r w:rsidR="00067F9E" w:rsidRPr="003B7960">
        <w:rPr>
          <w:rFonts w:ascii="Cambria" w:hAnsi="Cambria"/>
          <w:sz w:val="20"/>
          <w:szCs w:val="20"/>
          <w:lang w:val="es-ES"/>
        </w:rPr>
        <w:t xml:space="preserve"> </w:t>
      </w:r>
      <w:r w:rsidR="00F43054" w:rsidRPr="003B7960">
        <w:rPr>
          <w:rFonts w:ascii="Cambria" w:hAnsi="Cambria"/>
          <w:sz w:val="20"/>
          <w:szCs w:val="20"/>
          <w:lang w:val="es-ES"/>
        </w:rPr>
        <w:t>inmigrantes y la convierte en una medida punitiva</w:t>
      </w:r>
      <w:r w:rsidR="00067F9E" w:rsidRPr="003B7960">
        <w:rPr>
          <w:rStyle w:val="FootnoteReference"/>
          <w:rFonts w:ascii="Cambria" w:hAnsi="Cambria"/>
          <w:sz w:val="20"/>
          <w:szCs w:val="20"/>
          <w:lang w:val="es-ES"/>
        </w:rPr>
        <w:footnoteReference w:id="99"/>
      </w:r>
      <w:r w:rsidR="00F43054" w:rsidRPr="003B7960">
        <w:rPr>
          <w:rFonts w:ascii="Cambria" w:hAnsi="Cambria"/>
          <w:sz w:val="20"/>
          <w:szCs w:val="20"/>
          <w:lang w:val="es-ES"/>
        </w:rPr>
        <w:t>.</w:t>
      </w:r>
    </w:p>
    <w:p w14:paraId="5F93F64D" w14:textId="77777777" w:rsidR="00067F9E" w:rsidRPr="003B7960" w:rsidRDefault="00067F9E" w:rsidP="00101DC6">
      <w:pPr>
        <w:tabs>
          <w:tab w:val="left" w:pos="426"/>
        </w:tabs>
        <w:rPr>
          <w:rFonts w:ascii="Cambria" w:hAnsi="Cambria"/>
          <w:sz w:val="20"/>
          <w:szCs w:val="20"/>
          <w:lang w:val="es-ES"/>
        </w:rPr>
      </w:pPr>
    </w:p>
    <w:p w14:paraId="4A5CE0FB"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ha consider</w:t>
      </w:r>
      <w:r w:rsidR="004D5E73" w:rsidRPr="003B7960">
        <w:rPr>
          <w:rFonts w:ascii="Cambria" w:hAnsi="Cambria"/>
          <w:color w:val="000000"/>
          <w:sz w:val="20"/>
          <w:szCs w:val="20"/>
          <w:lang w:val="es-ES"/>
        </w:rPr>
        <w:t>ado que</w:t>
      </w:r>
      <w:r w:rsidR="00067F9E" w:rsidRPr="003B7960">
        <w:rPr>
          <w:rFonts w:ascii="Cambria" w:hAnsi="Cambria"/>
          <w:color w:val="000000"/>
          <w:sz w:val="20"/>
          <w:szCs w:val="20"/>
          <w:lang w:val="es-ES"/>
        </w:rPr>
        <w:t xml:space="preserve"> </w:t>
      </w:r>
      <w:r w:rsidR="004D5E73" w:rsidRPr="003B7960">
        <w:rPr>
          <w:rFonts w:ascii="Cambria" w:hAnsi="Cambria"/>
          <w:color w:val="000000"/>
          <w:sz w:val="20"/>
          <w:szCs w:val="20"/>
          <w:lang w:val="es-ES"/>
        </w:rPr>
        <w:t>las Reglas Mínimas de las Naciones Unidas para el Tratamiento de los Reclusos</w:t>
      </w:r>
      <w:r w:rsidR="00067F9E" w:rsidRPr="003B7960">
        <w:rPr>
          <w:rFonts w:ascii="Cambria" w:hAnsi="Cambria"/>
          <w:color w:val="000000"/>
          <w:sz w:val="20"/>
          <w:szCs w:val="20"/>
          <w:lang w:val="es-ES"/>
        </w:rPr>
        <w:t xml:space="preserve"> prescri</w:t>
      </w:r>
      <w:r w:rsidR="004D5E73" w:rsidRPr="003B7960">
        <w:rPr>
          <w:rFonts w:ascii="Cambria" w:hAnsi="Cambria"/>
          <w:color w:val="000000"/>
          <w:sz w:val="20"/>
          <w:szCs w:val="20"/>
          <w:lang w:val="es-ES"/>
        </w:rPr>
        <w:t>ben puntos de referencia básicos para determinar si el trat</w:t>
      </w:r>
      <w:r w:rsidR="00AD08CB" w:rsidRPr="003B7960">
        <w:rPr>
          <w:rFonts w:ascii="Cambria" w:hAnsi="Cambria"/>
          <w:color w:val="000000"/>
          <w:sz w:val="20"/>
          <w:szCs w:val="20"/>
          <w:lang w:val="es-ES"/>
        </w:rPr>
        <w:t>o</w:t>
      </w:r>
      <w:r w:rsidR="004D5E73" w:rsidRPr="003B7960">
        <w:rPr>
          <w:rFonts w:ascii="Cambria" w:hAnsi="Cambria"/>
          <w:color w:val="000000"/>
          <w:sz w:val="20"/>
          <w:szCs w:val="20"/>
          <w:lang w:val="es-ES"/>
        </w:rPr>
        <w:t xml:space="preserve"> de los reclusos satisface las normas de humanidad en </w:t>
      </w:r>
      <w:r w:rsidR="00AD08CB" w:rsidRPr="003B7960">
        <w:rPr>
          <w:rFonts w:ascii="Cambria" w:hAnsi="Cambria"/>
          <w:color w:val="000000"/>
          <w:sz w:val="20"/>
          <w:szCs w:val="20"/>
          <w:lang w:val="es-ES"/>
        </w:rPr>
        <w:t xml:space="preserve">consonancia con </w:t>
      </w:r>
      <w:r w:rsidR="004D5E73" w:rsidRPr="003B7960">
        <w:rPr>
          <w:rFonts w:ascii="Cambria" w:hAnsi="Cambria"/>
          <w:color w:val="000000"/>
          <w:sz w:val="20"/>
          <w:szCs w:val="20"/>
          <w:lang w:val="es-ES"/>
        </w:rPr>
        <w:t>los instrumentos interamericanos en esferas tales como el alojamiento, la higiene, la indumentaria</w:t>
      </w:r>
      <w:r w:rsidR="00AD08CB" w:rsidRPr="003B7960">
        <w:rPr>
          <w:rFonts w:ascii="Cambria" w:hAnsi="Cambria"/>
          <w:color w:val="000000"/>
          <w:sz w:val="20"/>
          <w:szCs w:val="20"/>
          <w:lang w:val="es-ES"/>
        </w:rPr>
        <w:t>,</w:t>
      </w:r>
      <w:r w:rsidR="004D5E73" w:rsidRPr="003B7960">
        <w:rPr>
          <w:rFonts w:ascii="Cambria" w:hAnsi="Cambria"/>
          <w:color w:val="000000"/>
          <w:sz w:val="20"/>
          <w:szCs w:val="20"/>
          <w:lang w:val="es-ES"/>
        </w:rPr>
        <w:t xml:space="preserve"> </w:t>
      </w:r>
      <w:r w:rsidR="0019509E" w:rsidRPr="003B7960">
        <w:rPr>
          <w:rFonts w:ascii="Cambria" w:hAnsi="Cambria"/>
          <w:color w:val="000000"/>
          <w:sz w:val="20"/>
          <w:szCs w:val="20"/>
          <w:lang w:val="es-ES"/>
        </w:rPr>
        <w:t>l</w:t>
      </w:r>
      <w:r w:rsidR="0077607C" w:rsidRPr="003B7960">
        <w:rPr>
          <w:rFonts w:ascii="Cambria" w:hAnsi="Cambria"/>
          <w:color w:val="000000"/>
          <w:sz w:val="20"/>
          <w:szCs w:val="20"/>
          <w:lang w:val="es-ES"/>
        </w:rPr>
        <w:t>a ropa de cama</w:t>
      </w:r>
      <w:r w:rsidR="00067F9E" w:rsidRPr="003B7960">
        <w:rPr>
          <w:rFonts w:ascii="Cambria" w:hAnsi="Cambria"/>
          <w:color w:val="000000"/>
          <w:sz w:val="20"/>
          <w:szCs w:val="20"/>
          <w:lang w:val="es-ES"/>
        </w:rPr>
        <w:t xml:space="preserve">, </w:t>
      </w:r>
      <w:r w:rsidR="0077607C" w:rsidRPr="003B7960">
        <w:rPr>
          <w:rFonts w:ascii="Cambria" w:hAnsi="Cambria"/>
          <w:color w:val="000000"/>
          <w:sz w:val="20"/>
          <w:szCs w:val="20"/>
          <w:lang w:val="es-ES"/>
        </w:rPr>
        <w:t>los</w:t>
      </w:r>
      <w:r w:rsidR="004D5E73" w:rsidRPr="003B7960">
        <w:rPr>
          <w:rFonts w:ascii="Cambria" w:hAnsi="Cambria"/>
          <w:color w:val="000000"/>
          <w:sz w:val="20"/>
          <w:szCs w:val="20"/>
          <w:lang w:val="es-ES"/>
        </w:rPr>
        <w:t xml:space="preserve"> alimento</w:t>
      </w:r>
      <w:r w:rsidR="0077607C" w:rsidRPr="003B7960">
        <w:rPr>
          <w:rFonts w:ascii="Cambria" w:hAnsi="Cambria"/>
          <w:color w:val="000000"/>
          <w:sz w:val="20"/>
          <w:szCs w:val="20"/>
          <w:lang w:val="es-ES"/>
        </w:rPr>
        <w:t>s</w:t>
      </w:r>
      <w:r w:rsidR="004D5E73" w:rsidRPr="003B7960">
        <w:rPr>
          <w:rFonts w:ascii="Cambria" w:hAnsi="Cambria"/>
          <w:color w:val="000000"/>
          <w:sz w:val="20"/>
          <w:szCs w:val="20"/>
          <w:lang w:val="es-ES"/>
        </w:rPr>
        <w:t>, la recreación, el ejercicio</w:t>
      </w:r>
      <w:r w:rsidR="00AD08CB" w:rsidRPr="003B7960">
        <w:rPr>
          <w:rFonts w:ascii="Cambria" w:hAnsi="Cambria"/>
          <w:color w:val="000000"/>
          <w:sz w:val="20"/>
          <w:szCs w:val="20"/>
          <w:lang w:val="es-ES"/>
        </w:rPr>
        <w:t xml:space="preserve">, </w:t>
      </w:r>
      <w:r w:rsidR="004D5E73" w:rsidRPr="003B7960">
        <w:rPr>
          <w:rFonts w:ascii="Cambria" w:hAnsi="Cambria"/>
          <w:color w:val="000000"/>
          <w:sz w:val="20"/>
          <w:szCs w:val="20"/>
          <w:lang w:val="es-ES"/>
        </w:rPr>
        <w:t xml:space="preserve">el tratamiento </w:t>
      </w:r>
      <w:r w:rsidR="004D5E73" w:rsidRPr="003B7960">
        <w:rPr>
          <w:rFonts w:ascii="Cambria" w:hAnsi="Cambria"/>
          <w:color w:val="000000"/>
          <w:sz w:val="20"/>
          <w:szCs w:val="20"/>
          <w:lang w:val="es-ES"/>
        </w:rPr>
        <w:lastRenderedPageBreak/>
        <w:t xml:space="preserve">médico, la </w:t>
      </w:r>
      <w:r w:rsidR="00067F9E" w:rsidRPr="003B7960">
        <w:rPr>
          <w:rFonts w:ascii="Cambria" w:hAnsi="Cambria"/>
          <w:color w:val="000000"/>
          <w:sz w:val="20"/>
          <w:szCs w:val="20"/>
          <w:lang w:val="es-ES"/>
        </w:rPr>
        <w:t>disciplin</w:t>
      </w:r>
      <w:r w:rsidR="004D5E73" w:rsidRPr="003B7960">
        <w:rPr>
          <w:rFonts w:ascii="Cambria" w:hAnsi="Cambria"/>
          <w:color w:val="000000"/>
          <w:sz w:val="20"/>
          <w:szCs w:val="20"/>
          <w:lang w:val="es-ES"/>
        </w:rPr>
        <w:t>a, los castigos y el uso de in</w:t>
      </w:r>
      <w:r w:rsidR="00067F9E" w:rsidRPr="003B7960">
        <w:rPr>
          <w:rFonts w:ascii="Cambria" w:hAnsi="Cambria"/>
          <w:color w:val="000000"/>
          <w:sz w:val="20"/>
          <w:szCs w:val="20"/>
          <w:lang w:val="es-ES"/>
        </w:rPr>
        <w:t>strument</w:t>
      </w:r>
      <w:r w:rsidR="004D5E73" w:rsidRPr="003B7960">
        <w:rPr>
          <w:rFonts w:ascii="Cambria" w:hAnsi="Cambria"/>
          <w:color w:val="000000"/>
          <w:sz w:val="20"/>
          <w:szCs w:val="20"/>
          <w:lang w:val="es-ES"/>
        </w:rPr>
        <w:t>o</w:t>
      </w:r>
      <w:r w:rsidR="00067F9E" w:rsidRPr="003B7960">
        <w:rPr>
          <w:rFonts w:ascii="Cambria" w:hAnsi="Cambria"/>
          <w:color w:val="000000"/>
          <w:sz w:val="20"/>
          <w:szCs w:val="20"/>
          <w:lang w:val="es-ES"/>
        </w:rPr>
        <w:t xml:space="preserve">s </w:t>
      </w:r>
      <w:r w:rsidR="004D5E73" w:rsidRPr="003B7960">
        <w:rPr>
          <w:rFonts w:ascii="Cambria" w:hAnsi="Cambria"/>
          <w:color w:val="000000"/>
          <w:sz w:val="20"/>
          <w:szCs w:val="20"/>
          <w:lang w:val="es-ES"/>
        </w:rPr>
        <w:t>de contención</w:t>
      </w:r>
      <w:r w:rsidR="00067F9E" w:rsidRPr="003B7960">
        <w:rPr>
          <w:rStyle w:val="FootnoteReference"/>
          <w:rFonts w:ascii="Cambria" w:hAnsi="Cambria"/>
          <w:color w:val="000000"/>
          <w:sz w:val="20"/>
          <w:szCs w:val="20"/>
          <w:lang w:val="es-ES"/>
        </w:rPr>
        <w:footnoteReference w:id="100"/>
      </w:r>
      <w:r w:rsidR="004D5E73" w:rsidRPr="003B7960">
        <w:rPr>
          <w:rFonts w:ascii="Cambria" w:hAnsi="Cambria"/>
          <w:color w:val="000000"/>
          <w:sz w:val="20"/>
          <w:szCs w:val="20"/>
          <w:lang w:val="es-ES"/>
        </w:rPr>
        <w:t>.</w:t>
      </w:r>
      <w:r w:rsidR="00067F9E" w:rsidRPr="003B7960">
        <w:rPr>
          <w:rFonts w:ascii="Cambria" w:hAnsi="Cambria"/>
          <w:color w:val="000000"/>
          <w:sz w:val="20"/>
          <w:szCs w:val="20"/>
          <w:lang w:val="es-ES"/>
        </w:rPr>
        <w:t xml:space="preserve"> </w:t>
      </w:r>
      <w:r w:rsidR="00C33F51" w:rsidRPr="003B7960">
        <w:rPr>
          <w:rFonts w:ascii="Cambria" w:hAnsi="Cambria"/>
          <w:color w:val="000000"/>
          <w:sz w:val="20"/>
          <w:szCs w:val="20"/>
          <w:lang w:val="es-ES"/>
        </w:rPr>
        <w:t>La CIDH</w:t>
      </w:r>
      <w:r w:rsidR="00067F9E" w:rsidRPr="003B7960">
        <w:rPr>
          <w:rFonts w:ascii="Cambria" w:hAnsi="Cambria"/>
          <w:color w:val="000000"/>
          <w:sz w:val="20"/>
          <w:szCs w:val="20"/>
          <w:lang w:val="es-ES"/>
        </w:rPr>
        <w:t xml:space="preserve"> ha</w:t>
      </w:r>
      <w:r w:rsidR="0019509E" w:rsidRPr="003B7960">
        <w:rPr>
          <w:rFonts w:ascii="Cambria" w:hAnsi="Cambria"/>
          <w:color w:val="000000"/>
          <w:sz w:val="20"/>
          <w:szCs w:val="20"/>
          <w:lang w:val="es-ES"/>
        </w:rPr>
        <w:t xml:space="preserve"> considerado que estas reglas se aplican independientemente del tipo de comportamiento por el cual se haya detenido a la persona</w:t>
      </w:r>
      <w:r w:rsidR="00067F9E" w:rsidRPr="003B7960">
        <w:rPr>
          <w:rFonts w:ascii="Cambria" w:hAnsi="Cambria"/>
          <w:color w:val="000000"/>
          <w:sz w:val="20"/>
          <w:szCs w:val="20"/>
          <w:vertAlign w:val="superscript"/>
          <w:lang w:val="es-ES"/>
        </w:rPr>
        <w:footnoteReference w:id="101"/>
      </w:r>
      <w:r w:rsidR="0019509E" w:rsidRPr="003B7960">
        <w:rPr>
          <w:rFonts w:ascii="Cambria" w:hAnsi="Cambria"/>
          <w:color w:val="000000"/>
          <w:sz w:val="20"/>
          <w:szCs w:val="20"/>
          <w:lang w:val="es-ES"/>
        </w:rPr>
        <w:t>.</w:t>
      </w:r>
      <w:r w:rsidR="00067F9E" w:rsidRPr="003B7960">
        <w:rPr>
          <w:rFonts w:ascii="Cambria" w:hAnsi="Cambria"/>
          <w:color w:val="000000"/>
          <w:sz w:val="20"/>
          <w:szCs w:val="20"/>
          <w:lang w:val="es-ES"/>
        </w:rPr>
        <w:t xml:space="preserve"> </w:t>
      </w:r>
    </w:p>
    <w:p w14:paraId="682FE46F"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105B5BB5" w14:textId="77777777" w:rsidR="00065151" w:rsidRPr="003B7960" w:rsidRDefault="00C33F5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La CIDH</w:t>
      </w:r>
      <w:r w:rsidR="00067F9E" w:rsidRPr="003B7960">
        <w:rPr>
          <w:rFonts w:ascii="Cambria" w:hAnsi="Cambria"/>
          <w:color w:val="000000"/>
          <w:sz w:val="20"/>
          <w:szCs w:val="20"/>
          <w:lang w:val="es-ES"/>
        </w:rPr>
        <w:t xml:space="preserve"> rec</w:t>
      </w:r>
      <w:r w:rsidR="00F24B22" w:rsidRPr="003B7960">
        <w:rPr>
          <w:rFonts w:ascii="Cambria" w:hAnsi="Cambria"/>
          <w:color w:val="000000"/>
          <w:sz w:val="20"/>
          <w:szCs w:val="20"/>
          <w:lang w:val="es-ES"/>
        </w:rPr>
        <w:t>uerda que estas normas derivan directamente de la posición especial d</w:t>
      </w:r>
      <w:r w:rsidR="00A332F5" w:rsidRPr="003B7960">
        <w:rPr>
          <w:rFonts w:ascii="Cambria" w:hAnsi="Cambria"/>
          <w:color w:val="000000"/>
          <w:sz w:val="20"/>
          <w:szCs w:val="20"/>
          <w:lang w:val="es-ES"/>
        </w:rPr>
        <w:t>el Estado</w:t>
      </w:r>
      <w:r w:rsidR="00F24B22" w:rsidRPr="003B7960">
        <w:rPr>
          <w:rFonts w:ascii="Cambria" w:hAnsi="Cambria"/>
          <w:color w:val="000000"/>
          <w:sz w:val="20"/>
          <w:szCs w:val="20"/>
          <w:lang w:val="es-ES"/>
        </w:rPr>
        <w:t xml:space="preserve"> como garante de los derechos de las personas privadas de libertad, en vista de su poder y del extremo desequilibrio entre</w:t>
      </w:r>
      <w:r w:rsidR="00067F9E" w:rsidRPr="003B7960">
        <w:rPr>
          <w:rFonts w:ascii="Cambria" w:hAnsi="Cambria"/>
          <w:color w:val="000000"/>
          <w:sz w:val="20"/>
          <w:szCs w:val="20"/>
          <w:lang w:val="es-ES"/>
        </w:rPr>
        <w:t xml:space="preserve"> </w:t>
      </w:r>
      <w:r w:rsidR="00A332F5"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w:t>
      </w:r>
      <w:r w:rsidR="00F24B22" w:rsidRPr="003B7960">
        <w:rPr>
          <w:rFonts w:ascii="Cambria" w:hAnsi="Cambria"/>
          <w:color w:val="000000"/>
          <w:sz w:val="20"/>
          <w:szCs w:val="20"/>
          <w:lang w:val="es-ES"/>
        </w:rPr>
        <w:t>y el detenido, así como la índole misma de</w:t>
      </w:r>
      <w:r w:rsidR="00065151" w:rsidRPr="003B7960">
        <w:rPr>
          <w:rFonts w:ascii="Cambria" w:hAnsi="Cambria"/>
          <w:color w:val="000000"/>
          <w:sz w:val="20"/>
          <w:szCs w:val="20"/>
          <w:lang w:val="es-ES"/>
        </w:rPr>
        <w:t xml:space="preserve"> la reclusión, que le impide a la persona detenida</w:t>
      </w:r>
      <w:r w:rsidR="00F24B22" w:rsidRPr="003B7960">
        <w:rPr>
          <w:rFonts w:ascii="Cambria" w:hAnsi="Cambria"/>
          <w:color w:val="000000"/>
          <w:sz w:val="20"/>
          <w:szCs w:val="20"/>
          <w:lang w:val="es-ES"/>
        </w:rPr>
        <w:t xml:space="preserve"> satisfacer sus propias necesidades básicas, en </w:t>
      </w:r>
      <w:r w:rsidR="00067F9E" w:rsidRPr="003B7960">
        <w:rPr>
          <w:rFonts w:ascii="Cambria" w:hAnsi="Cambria"/>
          <w:color w:val="000000"/>
          <w:sz w:val="20"/>
          <w:szCs w:val="20"/>
          <w:lang w:val="es-ES"/>
        </w:rPr>
        <w:t xml:space="preserve">particular </w:t>
      </w:r>
      <w:r w:rsidR="00F24B22" w:rsidRPr="003B7960">
        <w:rPr>
          <w:rFonts w:ascii="Cambria" w:hAnsi="Cambria"/>
          <w:color w:val="000000"/>
          <w:sz w:val="20"/>
          <w:szCs w:val="20"/>
          <w:lang w:val="es-ES"/>
        </w:rPr>
        <w:t>las relacionadas con derechos</w:t>
      </w:r>
      <w:r w:rsidR="00067F9E" w:rsidRPr="003B7960">
        <w:rPr>
          <w:rFonts w:ascii="Cambria" w:hAnsi="Cambria"/>
          <w:color w:val="000000"/>
          <w:sz w:val="20"/>
          <w:szCs w:val="20"/>
          <w:lang w:val="es-ES"/>
        </w:rPr>
        <w:t xml:space="preserve"> </w:t>
      </w:r>
      <w:r w:rsidR="00F24B22" w:rsidRPr="003B7960">
        <w:rPr>
          <w:rFonts w:ascii="Cambria" w:hAnsi="Cambria"/>
          <w:color w:val="000000"/>
          <w:sz w:val="20"/>
          <w:szCs w:val="20"/>
          <w:lang w:val="es-ES"/>
        </w:rPr>
        <w:t>económicos</w:t>
      </w:r>
      <w:r w:rsidR="00067F9E" w:rsidRPr="003B7960">
        <w:rPr>
          <w:rFonts w:ascii="Cambria" w:hAnsi="Cambria"/>
          <w:color w:val="000000"/>
          <w:sz w:val="20"/>
          <w:szCs w:val="20"/>
          <w:lang w:val="es-ES"/>
        </w:rPr>
        <w:t>, social</w:t>
      </w:r>
      <w:r w:rsidR="00F24B22" w:rsidRPr="003B7960">
        <w:rPr>
          <w:rFonts w:ascii="Cambria" w:hAnsi="Cambria"/>
          <w:color w:val="000000"/>
          <w:sz w:val="20"/>
          <w:szCs w:val="20"/>
          <w:lang w:val="es-ES"/>
        </w:rPr>
        <w:t>es y</w:t>
      </w:r>
      <w:r w:rsidR="00067F9E" w:rsidRPr="003B7960">
        <w:rPr>
          <w:rFonts w:ascii="Cambria" w:hAnsi="Cambria"/>
          <w:color w:val="000000"/>
          <w:sz w:val="20"/>
          <w:szCs w:val="20"/>
          <w:lang w:val="es-ES"/>
        </w:rPr>
        <w:t xml:space="preserve"> cultural</w:t>
      </w:r>
      <w:r w:rsidR="00F24B22" w:rsidRPr="003B7960">
        <w:rPr>
          <w:rFonts w:ascii="Cambria" w:hAnsi="Cambria"/>
          <w:color w:val="000000"/>
          <w:sz w:val="20"/>
          <w:szCs w:val="20"/>
          <w:lang w:val="es-ES"/>
        </w:rPr>
        <w:t>es, que son esenciales para llevar una vida digna en la medida de lo posible en tales circunstancias. En ese sentido, el elemento</w:t>
      </w:r>
      <w:r w:rsidR="00067F9E" w:rsidRPr="003B7960">
        <w:rPr>
          <w:rFonts w:ascii="Cambria" w:hAnsi="Cambria"/>
          <w:color w:val="000000"/>
          <w:sz w:val="20"/>
          <w:szCs w:val="20"/>
          <w:lang w:val="es-ES"/>
        </w:rPr>
        <w:t xml:space="preserve"> principal </w:t>
      </w:r>
      <w:r w:rsidR="00F24B22" w:rsidRPr="003B7960">
        <w:rPr>
          <w:rFonts w:ascii="Cambria" w:hAnsi="Cambria"/>
          <w:color w:val="000000"/>
          <w:sz w:val="20"/>
          <w:szCs w:val="20"/>
          <w:lang w:val="es-ES"/>
        </w:rPr>
        <w:t>que define la privación de libertad es la dependencia de la persona respecto de las decisiones que toma el personal del e</w:t>
      </w:r>
      <w:r w:rsidR="00067F9E" w:rsidRPr="003B7960">
        <w:rPr>
          <w:rFonts w:ascii="Cambria" w:hAnsi="Cambria"/>
          <w:color w:val="000000"/>
          <w:sz w:val="20"/>
          <w:szCs w:val="20"/>
          <w:lang w:val="es-ES"/>
        </w:rPr>
        <w:t>stabl</w:t>
      </w:r>
      <w:r w:rsidR="00F24B22" w:rsidRPr="003B7960">
        <w:rPr>
          <w:rFonts w:ascii="Cambria" w:hAnsi="Cambria"/>
          <w:color w:val="000000"/>
          <w:sz w:val="20"/>
          <w:szCs w:val="20"/>
          <w:lang w:val="es-ES"/>
        </w:rPr>
        <w:t>ecimiento donde se encuentra detenid</w:t>
      </w:r>
      <w:r w:rsidR="003E4A70" w:rsidRPr="003B7960">
        <w:rPr>
          <w:rFonts w:ascii="Cambria" w:hAnsi="Cambria"/>
          <w:color w:val="000000"/>
          <w:sz w:val="20"/>
          <w:szCs w:val="20"/>
          <w:lang w:val="es-ES"/>
        </w:rPr>
        <w:t>a</w:t>
      </w:r>
      <w:r w:rsidR="00067F9E" w:rsidRPr="003B7960">
        <w:rPr>
          <w:rStyle w:val="FootnoteReference"/>
          <w:rFonts w:ascii="Cambria" w:hAnsi="Cambria"/>
          <w:color w:val="000000"/>
          <w:sz w:val="20"/>
          <w:szCs w:val="20"/>
          <w:lang w:val="es-ES"/>
        </w:rPr>
        <w:footnoteReference w:id="102"/>
      </w:r>
      <w:r w:rsidR="00F24B22" w:rsidRPr="003B7960">
        <w:rPr>
          <w:rFonts w:ascii="Cambria" w:hAnsi="Cambria"/>
          <w:color w:val="000000"/>
          <w:sz w:val="20"/>
          <w:szCs w:val="20"/>
          <w:lang w:val="es-ES"/>
        </w:rPr>
        <w:t>. Por ello,</w:t>
      </w:r>
      <w:r w:rsidR="00067F9E" w:rsidRPr="003B7960">
        <w:rPr>
          <w:rFonts w:ascii="Cambria" w:hAnsi="Cambria"/>
          <w:color w:val="000000"/>
          <w:sz w:val="20"/>
          <w:szCs w:val="20"/>
          <w:lang w:val="es-ES"/>
        </w:rPr>
        <w:t xml:space="preserve"> “</w:t>
      </w:r>
      <w:r w:rsidR="00EA436D" w:rsidRPr="003B7960">
        <w:rPr>
          <w:rFonts w:ascii="Cambria" w:hAnsi="Cambria"/>
          <w:color w:val="000000"/>
          <w:sz w:val="20"/>
          <w:szCs w:val="20"/>
          <w:lang w:val="es-ES"/>
        </w:rPr>
        <w:t>el acto de reclusión [implica] un compromiso específico y material de proteger la dignidad humana del recluso mientras esté bajo su custodia, lo que incluye su protección frente a las posibles circunstancias que puedan poner en peligro su vida, salud e integridad personal, entre otros derechos</w:t>
      </w:r>
      <w:r w:rsidR="00067F9E" w:rsidRPr="003B7960">
        <w:rPr>
          <w:rFonts w:ascii="Cambria" w:hAnsi="Cambria"/>
          <w:color w:val="000000"/>
          <w:sz w:val="20"/>
          <w:szCs w:val="20"/>
          <w:lang w:val="es-ES"/>
        </w:rPr>
        <w:t>”</w:t>
      </w:r>
      <w:r w:rsidR="00067F9E" w:rsidRPr="003B7960">
        <w:rPr>
          <w:rStyle w:val="FootnoteReference"/>
          <w:rFonts w:ascii="Cambria" w:hAnsi="Cambria"/>
          <w:color w:val="000000"/>
          <w:sz w:val="20"/>
          <w:szCs w:val="20"/>
          <w:lang w:val="es-ES"/>
        </w:rPr>
        <w:footnoteReference w:id="103"/>
      </w:r>
      <w:r w:rsidR="00F24B22" w:rsidRPr="003B7960">
        <w:rPr>
          <w:rFonts w:ascii="Cambria" w:hAnsi="Cambria"/>
          <w:color w:val="000000"/>
          <w:sz w:val="20"/>
          <w:szCs w:val="20"/>
          <w:lang w:val="es-ES"/>
        </w:rPr>
        <w:t>, incluidas las obligaciones de garantizar el derecho a la salud, a la alimentación y al agua limpia, entre otr</w:t>
      </w:r>
      <w:r w:rsidR="003E4A70" w:rsidRPr="003B7960">
        <w:rPr>
          <w:rFonts w:ascii="Cambria" w:hAnsi="Cambria"/>
          <w:color w:val="000000"/>
          <w:sz w:val="20"/>
          <w:szCs w:val="20"/>
          <w:lang w:val="es-ES"/>
        </w:rPr>
        <w:t>a</w:t>
      </w:r>
      <w:r w:rsidR="00F24B22" w:rsidRPr="003B7960">
        <w:rPr>
          <w:rFonts w:ascii="Cambria" w:hAnsi="Cambria"/>
          <w:color w:val="000000"/>
          <w:sz w:val="20"/>
          <w:szCs w:val="20"/>
          <w:lang w:val="es-ES"/>
        </w:rPr>
        <w:t>s</w:t>
      </w:r>
      <w:r w:rsidR="00067F9E" w:rsidRPr="003B7960">
        <w:rPr>
          <w:rFonts w:ascii="Cambria" w:hAnsi="Cambria"/>
          <w:color w:val="000000"/>
          <w:sz w:val="20"/>
          <w:szCs w:val="20"/>
          <w:lang w:val="es-ES"/>
        </w:rPr>
        <w:t xml:space="preserve">. </w:t>
      </w:r>
      <w:r w:rsidR="00F24B22" w:rsidRPr="003B7960">
        <w:rPr>
          <w:rFonts w:ascii="Cambria" w:hAnsi="Cambria"/>
          <w:color w:val="000000"/>
          <w:sz w:val="20"/>
          <w:szCs w:val="20"/>
          <w:lang w:val="es-ES"/>
        </w:rPr>
        <w:t>Por consiguiente</w:t>
      </w:r>
      <w:r w:rsidR="00067F9E" w:rsidRPr="003B7960">
        <w:rPr>
          <w:rFonts w:ascii="Cambria" w:hAnsi="Cambria"/>
          <w:color w:val="000000"/>
          <w:sz w:val="20"/>
          <w:szCs w:val="20"/>
          <w:lang w:val="es-ES"/>
        </w:rPr>
        <w:t xml:space="preserve">, </w:t>
      </w:r>
      <w:r w:rsidR="00F24B22" w:rsidRPr="003B7960">
        <w:rPr>
          <w:rFonts w:ascii="Cambria" w:hAnsi="Cambria"/>
          <w:color w:val="000000"/>
          <w:sz w:val="20"/>
          <w:szCs w:val="20"/>
          <w:lang w:val="es-ES"/>
        </w:rPr>
        <w:t xml:space="preserve">las </w:t>
      </w:r>
      <w:r w:rsidR="00067F9E" w:rsidRPr="003B7960">
        <w:rPr>
          <w:rFonts w:ascii="Cambria" w:hAnsi="Cambria"/>
          <w:color w:val="000000"/>
          <w:sz w:val="20"/>
          <w:szCs w:val="20"/>
          <w:lang w:val="es-ES"/>
        </w:rPr>
        <w:t>person</w:t>
      </w:r>
      <w:r w:rsidR="00F24B22" w:rsidRPr="003B7960">
        <w:rPr>
          <w:rFonts w:ascii="Cambria" w:hAnsi="Cambria"/>
          <w:color w:val="000000"/>
          <w:sz w:val="20"/>
          <w:szCs w:val="20"/>
          <w:lang w:val="es-ES"/>
        </w:rPr>
        <w:t>a</w:t>
      </w:r>
      <w:r w:rsidR="00067F9E" w:rsidRPr="003B7960">
        <w:rPr>
          <w:rFonts w:ascii="Cambria" w:hAnsi="Cambria"/>
          <w:color w:val="000000"/>
          <w:sz w:val="20"/>
          <w:szCs w:val="20"/>
          <w:lang w:val="es-ES"/>
        </w:rPr>
        <w:t>s det</w:t>
      </w:r>
      <w:r w:rsidR="00F24B22" w:rsidRPr="003B7960">
        <w:rPr>
          <w:rFonts w:ascii="Cambria" w:hAnsi="Cambria"/>
          <w:color w:val="000000"/>
          <w:sz w:val="20"/>
          <w:szCs w:val="20"/>
          <w:lang w:val="es-ES"/>
        </w:rPr>
        <w:t xml:space="preserve">enidas exclusivamente por motivos de inmigración deben ser alojadas en centros diseñados específicamente </w:t>
      </w:r>
      <w:r w:rsidR="00EA436D" w:rsidRPr="003B7960">
        <w:rPr>
          <w:rFonts w:ascii="Cambria" w:hAnsi="Cambria"/>
          <w:color w:val="000000"/>
          <w:sz w:val="20"/>
          <w:szCs w:val="20"/>
          <w:lang w:val="es-ES"/>
        </w:rPr>
        <w:t xml:space="preserve">con el fin de garantizar </w:t>
      </w:r>
      <w:r w:rsidR="00067F9E" w:rsidRPr="003B7960">
        <w:rPr>
          <w:rFonts w:ascii="Cambria" w:hAnsi="Cambria"/>
          <w:color w:val="000000"/>
          <w:sz w:val="20"/>
          <w:szCs w:val="20"/>
          <w:lang w:val="es-ES"/>
        </w:rPr>
        <w:t>“</w:t>
      </w:r>
      <w:r w:rsidR="00EA436D" w:rsidRPr="003B7960">
        <w:rPr>
          <w:rFonts w:ascii="Cambria" w:hAnsi="Cambria"/>
          <w:color w:val="000000"/>
          <w:sz w:val="20"/>
          <w:szCs w:val="20"/>
          <w:lang w:val="es-ES"/>
        </w:rPr>
        <w:t>condiciones materiales y un régimen adecuado para su situación legal, y cuyo personal esté debidamente cualificado</w:t>
      </w:r>
      <w:r w:rsidR="00067F9E" w:rsidRPr="003B7960">
        <w:rPr>
          <w:rFonts w:ascii="Cambria" w:hAnsi="Cambria"/>
          <w:color w:val="000000"/>
          <w:sz w:val="20"/>
          <w:szCs w:val="20"/>
          <w:lang w:val="es-ES"/>
        </w:rPr>
        <w:t>”</w:t>
      </w:r>
      <w:r w:rsidR="00067F9E" w:rsidRPr="003B7960">
        <w:rPr>
          <w:rStyle w:val="FootnoteReference"/>
          <w:rFonts w:ascii="Cambria" w:hAnsi="Cambria"/>
          <w:color w:val="000000"/>
          <w:sz w:val="20"/>
          <w:szCs w:val="20"/>
          <w:lang w:val="es-ES"/>
        </w:rPr>
        <w:footnoteReference w:id="104"/>
      </w:r>
      <w:r w:rsidR="00EA436D" w:rsidRPr="003B7960">
        <w:rPr>
          <w:rFonts w:ascii="Cambria" w:hAnsi="Cambria"/>
          <w:color w:val="000000"/>
          <w:sz w:val="20"/>
          <w:szCs w:val="20"/>
          <w:lang w:val="es-ES"/>
        </w:rPr>
        <w:t>.</w:t>
      </w:r>
    </w:p>
    <w:p w14:paraId="1BD9D904" w14:textId="77777777" w:rsidR="00065151" w:rsidRPr="003B7960" w:rsidRDefault="00065151"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0F673304" w14:textId="77777777" w:rsidR="00067F9E" w:rsidRPr="003B7960" w:rsidRDefault="0006515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color w:val="000000"/>
          <w:sz w:val="20"/>
          <w:szCs w:val="20"/>
          <w:lang w:val="es-ES"/>
        </w:rPr>
        <w:t>En este sentido</w:t>
      </w:r>
      <w:r w:rsidR="00101137" w:rsidRPr="003B7960">
        <w:rPr>
          <w:rFonts w:ascii="Cambria" w:hAnsi="Cambria"/>
          <w:color w:val="000000"/>
          <w:sz w:val="20"/>
          <w:szCs w:val="20"/>
          <w:lang w:val="es-ES"/>
        </w:rPr>
        <w:t>, tanto</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Style w:val="FootnoteReference"/>
          <w:rFonts w:ascii="Cambria" w:hAnsi="Cambria"/>
          <w:color w:val="000000"/>
          <w:sz w:val="20"/>
          <w:szCs w:val="20"/>
          <w:lang w:val="es-ES"/>
        </w:rPr>
        <w:footnoteReference w:id="105"/>
      </w:r>
      <w:r w:rsidR="00067F9E" w:rsidRPr="003B7960">
        <w:rPr>
          <w:rFonts w:ascii="Cambria" w:hAnsi="Cambria"/>
          <w:color w:val="000000"/>
          <w:sz w:val="20"/>
          <w:szCs w:val="20"/>
          <w:lang w:val="es-ES"/>
        </w:rPr>
        <w:t xml:space="preserve"> </w:t>
      </w:r>
      <w:r w:rsidR="00101137" w:rsidRPr="003B7960">
        <w:rPr>
          <w:rFonts w:ascii="Cambria" w:hAnsi="Cambria"/>
          <w:color w:val="000000"/>
          <w:sz w:val="20"/>
          <w:szCs w:val="20"/>
          <w:lang w:val="es-ES"/>
        </w:rPr>
        <w:t xml:space="preserve">como </w:t>
      </w:r>
      <w:r w:rsidR="00083D86" w:rsidRPr="003B7960">
        <w:rPr>
          <w:rFonts w:ascii="Cambria" w:hAnsi="Cambria"/>
          <w:color w:val="000000"/>
          <w:sz w:val="20"/>
          <w:szCs w:val="20"/>
          <w:lang w:val="es-ES"/>
        </w:rPr>
        <w:t>la Corte</w:t>
      </w:r>
      <w:r w:rsidR="00067F9E" w:rsidRPr="003B7960">
        <w:rPr>
          <w:rStyle w:val="FootnoteReference"/>
          <w:rFonts w:ascii="Cambria" w:hAnsi="Cambria"/>
          <w:color w:val="000000"/>
          <w:sz w:val="20"/>
          <w:szCs w:val="20"/>
          <w:lang w:val="es-ES"/>
        </w:rPr>
        <w:footnoteReference w:id="106"/>
      </w:r>
      <w:r w:rsidR="00067F9E" w:rsidRPr="003B7960">
        <w:rPr>
          <w:rFonts w:ascii="Cambria" w:hAnsi="Cambria"/>
          <w:color w:val="000000"/>
          <w:sz w:val="20"/>
          <w:szCs w:val="20"/>
          <w:lang w:val="es-ES"/>
        </w:rPr>
        <w:t xml:space="preserve"> ha</w:t>
      </w:r>
      <w:r w:rsidR="00101137" w:rsidRPr="003B7960">
        <w:rPr>
          <w:rFonts w:ascii="Cambria" w:hAnsi="Cambria"/>
          <w:color w:val="000000"/>
          <w:sz w:val="20"/>
          <w:szCs w:val="20"/>
          <w:lang w:val="es-ES"/>
        </w:rPr>
        <w:t xml:space="preserve">n considerado necesario tener en cuenta el efecto o impacto acumulativo de las </w:t>
      </w:r>
      <w:r w:rsidR="000C3E4C" w:rsidRPr="003B7960">
        <w:rPr>
          <w:rFonts w:ascii="Cambria" w:hAnsi="Cambria"/>
          <w:color w:val="000000"/>
          <w:sz w:val="20"/>
          <w:szCs w:val="20"/>
          <w:lang w:val="es-ES"/>
        </w:rPr>
        <w:t>condiciones</w:t>
      </w:r>
      <w:r w:rsidR="00067F9E" w:rsidRPr="003B7960">
        <w:rPr>
          <w:rFonts w:ascii="Cambria" w:hAnsi="Cambria"/>
          <w:color w:val="000000"/>
          <w:sz w:val="20"/>
          <w:szCs w:val="20"/>
          <w:lang w:val="es-ES"/>
        </w:rPr>
        <w:t xml:space="preserve"> </w:t>
      </w:r>
      <w:r w:rsidR="00101137"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101137" w:rsidRPr="003B7960">
        <w:rPr>
          <w:rFonts w:ascii="Cambria" w:hAnsi="Cambria"/>
          <w:color w:val="000000"/>
          <w:sz w:val="20"/>
          <w:szCs w:val="20"/>
          <w:lang w:val="es-ES"/>
        </w:rPr>
        <w:t xml:space="preserve">de una persona a fin de </w:t>
      </w:r>
      <w:r w:rsidR="00067F9E" w:rsidRPr="003B7960">
        <w:rPr>
          <w:rFonts w:ascii="Cambria" w:hAnsi="Cambria"/>
          <w:color w:val="000000"/>
          <w:sz w:val="20"/>
          <w:szCs w:val="20"/>
          <w:lang w:val="es-ES"/>
        </w:rPr>
        <w:t>determin</w:t>
      </w:r>
      <w:r w:rsidR="00101137" w:rsidRPr="003B7960">
        <w:rPr>
          <w:rFonts w:ascii="Cambria" w:hAnsi="Cambria"/>
          <w:color w:val="000000"/>
          <w:sz w:val="20"/>
          <w:szCs w:val="20"/>
          <w:lang w:val="es-ES"/>
        </w:rPr>
        <w:t xml:space="preserve">ar si dichas </w:t>
      </w:r>
      <w:r w:rsidR="000C3E4C" w:rsidRPr="003B7960">
        <w:rPr>
          <w:rFonts w:ascii="Cambria" w:hAnsi="Cambria"/>
          <w:color w:val="000000"/>
          <w:sz w:val="20"/>
          <w:szCs w:val="20"/>
          <w:lang w:val="es-ES"/>
        </w:rPr>
        <w:t>condiciones</w:t>
      </w:r>
      <w:r w:rsidR="00067F9E" w:rsidRPr="003B7960">
        <w:rPr>
          <w:rFonts w:ascii="Cambria" w:hAnsi="Cambria"/>
          <w:color w:val="000000"/>
          <w:sz w:val="20"/>
          <w:szCs w:val="20"/>
          <w:lang w:val="es-ES"/>
        </w:rPr>
        <w:t xml:space="preserve"> </w:t>
      </w:r>
      <w:r w:rsidR="00101137" w:rsidRPr="003B7960">
        <w:rPr>
          <w:rFonts w:ascii="Cambria" w:hAnsi="Cambria"/>
          <w:color w:val="000000"/>
          <w:sz w:val="20"/>
          <w:szCs w:val="20"/>
          <w:lang w:val="es-ES"/>
        </w:rPr>
        <w:t>en conjunto constituyen una forma de trato c</w:t>
      </w:r>
      <w:r w:rsidR="00067F9E" w:rsidRPr="003B7960">
        <w:rPr>
          <w:rFonts w:ascii="Cambria" w:hAnsi="Cambria"/>
          <w:color w:val="000000"/>
          <w:sz w:val="20"/>
          <w:szCs w:val="20"/>
          <w:lang w:val="es-ES"/>
        </w:rPr>
        <w:t>ruel, inhuman</w:t>
      </w:r>
      <w:r w:rsidR="00101137" w:rsidRPr="003B7960">
        <w:rPr>
          <w:rFonts w:ascii="Cambria" w:hAnsi="Cambria"/>
          <w:color w:val="000000"/>
          <w:sz w:val="20"/>
          <w:szCs w:val="20"/>
          <w:lang w:val="es-ES"/>
        </w:rPr>
        <w:t>o</w:t>
      </w:r>
      <w:r w:rsidR="00067F9E" w:rsidRPr="003B7960">
        <w:rPr>
          <w:rFonts w:ascii="Cambria" w:hAnsi="Cambria"/>
          <w:color w:val="000000"/>
          <w:sz w:val="20"/>
          <w:szCs w:val="20"/>
          <w:lang w:val="es-ES"/>
        </w:rPr>
        <w:t xml:space="preserve"> o degrad</w:t>
      </w:r>
      <w:r w:rsidR="00101137" w:rsidRPr="003B7960">
        <w:rPr>
          <w:rFonts w:ascii="Cambria" w:hAnsi="Cambria"/>
          <w:color w:val="000000"/>
          <w:sz w:val="20"/>
          <w:szCs w:val="20"/>
          <w:lang w:val="es-ES"/>
        </w:rPr>
        <w:t xml:space="preserve">ante o de </w:t>
      </w:r>
      <w:r w:rsidR="00067F9E" w:rsidRPr="003B7960">
        <w:rPr>
          <w:rFonts w:ascii="Cambria" w:hAnsi="Cambria"/>
          <w:color w:val="000000"/>
          <w:sz w:val="20"/>
          <w:szCs w:val="20"/>
          <w:lang w:val="es-ES"/>
        </w:rPr>
        <w:t>tortur</w:t>
      </w:r>
      <w:r w:rsidR="00A143C8" w:rsidRPr="003B7960">
        <w:rPr>
          <w:rFonts w:ascii="Cambria" w:hAnsi="Cambria"/>
          <w:color w:val="000000"/>
          <w:sz w:val="20"/>
          <w:szCs w:val="20"/>
          <w:lang w:val="es-ES"/>
        </w:rPr>
        <w:t>a</w:t>
      </w:r>
      <w:r w:rsidR="00067F9E" w:rsidRPr="003B7960">
        <w:rPr>
          <w:rStyle w:val="FootnoteReference"/>
          <w:rFonts w:ascii="Cambria" w:hAnsi="Cambria"/>
          <w:color w:val="000000"/>
          <w:sz w:val="20"/>
          <w:szCs w:val="20"/>
          <w:lang w:val="es-ES"/>
        </w:rPr>
        <w:footnoteReference w:id="107"/>
      </w:r>
      <w:r w:rsidR="00101137" w:rsidRPr="003B7960">
        <w:rPr>
          <w:rFonts w:ascii="Cambria" w:hAnsi="Cambria"/>
          <w:color w:val="000000"/>
          <w:sz w:val="20"/>
          <w:szCs w:val="20"/>
          <w:lang w:val="es-ES"/>
        </w:rPr>
        <w:t>. En ese sentido,</w:t>
      </w:r>
      <w:r w:rsidR="00067F9E" w:rsidRPr="003B7960">
        <w:rPr>
          <w:rFonts w:ascii="Cambria" w:hAnsi="Cambria"/>
          <w:color w:val="000000"/>
          <w:sz w:val="20"/>
          <w:szCs w:val="20"/>
          <w:lang w:val="es-ES"/>
        </w:rPr>
        <w:t xml:space="preserve"> </w:t>
      </w:r>
      <w:r w:rsidR="0007098C" w:rsidRPr="003B7960">
        <w:rPr>
          <w:rFonts w:ascii="Cambria" w:hAnsi="Cambria"/>
          <w:color w:val="000000"/>
          <w:sz w:val="20"/>
          <w:szCs w:val="20"/>
          <w:lang w:val="es-ES"/>
        </w:rPr>
        <w:t xml:space="preserve">en la </w:t>
      </w:r>
      <w:r w:rsidR="00067F9E" w:rsidRPr="003B7960">
        <w:rPr>
          <w:rFonts w:ascii="Cambria" w:hAnsi="Cambria"/>
          <w:color w:val="000000"/>
          <w:sz w:val="20"/>
          <w:szCs w:val="20"/>
          <w:lang w:val="es-ES"/>
        </w:rPr>
        <w:t>jurisprudenc</w:t>
      </w:r>
      <w:r w:rsidR="0007098C" w:rsidRPr="003B7960">
        <w:rPr>
          <w:rFonts w:ascii="Cambria" w:hAnsi="Cambria"/>
          <w:color w:val="000000"/>
          <w:sz w:val="20"/>
          <w:szCs w:val="20"/>
          <w:lang w:val="es-ES"/>
        </w:rPr>
        <w:t xml:space="preserve">ia del </w:t>
      </w:r>
      <w:r w:rsidR="00101137" w:rsidRPr="003B7960">
        <w:rPr>
          <w:rFonts w:ascii="Cambria" w:hAnsi="Cambria"/>
          <w:color w:val="000000"/>
          <w:sz w:val="20"/>
          <w:szCs w:val="20"/>
          <w:lang w:val="es-ES"/>
        </w:rPr>
        <w:t>sistema interamericano</w:t>
      </w:r>
      <w:r w:rsidR="00067F9E" w:rsidRPr="003B7960">
        <w:rPr>
          <w:rFonts w:ascii="Cambria" w:hAnsi="Cambria"/>
          <w:color w:val="000000"/>
          <w:sz w:val="20"/>
          <w:szCs w:val="20"/>
          <w:lang w:val="es-ES"/>
        </w:rPr>
        <w:t xml:space="preserve"> </w:t>
      </w:r>
      <w:r w:rsidR="0007098C" w:rsidRPr="003B7960">
        <w:rPr>
          <w:rFonts w:ascii="Cambria" w:hAnsi="Cambria"/>
          <w:color w:val="000000"/>
          <w:sz w:val="20"/>
          <w:szCs w:val="20"/>
          <w:lang w:val="es-ES"/>
        </w:rPr>
        <w:t xml:space="preserve">se </w:t>
      </w:r>
      <w:r w:rsidR="00067F9E" w:rsidRPr="003B7960">
        <w:rPr>
          <w:rFonts w:ascii="Cambria" w:hAnsi="Cambria"/>
          <w:color w:val="000000"/>
          <w:sz w:val="20"/>
          <w:szCs w:val="20"/>
          <w:lang w:val="es-ES"/>
        </w:rPr>
        <w:t>ha</w:t>
      </w:r>
      <w:r w:rsidR="0007098C" w:rsidRPr="003B7960">
        <w:rPr>
          <w:rFonts w:ascii="Cambria" w:hAnsi="Cambria"/>
          <w:color w:val="000000"/>
          <w:sz w:val="20"/>
          <w:szCs w:val="20"/>
          <w:lang w:val="es-ES"/>
        </w:rPr>
        <w:t xml:space="preserve"> determinado que las siguientes </w:t>
      </w:r>
      <w:r w:rsidR="000C3E4C" w:rsidRPr="003B7960">
        <w:rPr>
          <w:rFonts w:ascii="Cambria" w:hAnsi="Cambria"/>
          <w:color w:val="000000"/>
          <w:sz w:val="20"/>
          <w:szCs w:val="20"/>
          <w:lang w:val="es-ES"/>
        </w:rPr>
        <w:t>condiciones</w:t>
      </w:r>
      <w:r w:rsidR="00067F9E" w:rsidRPr="003B7960">
        <w:rPr>
          <w:rFonts w:ascii="Cambria" w:hAnsi="Cambria"/>
          <w:color w:val="000000"/>
          <w:sz w:val="20"/>
          <w:szCs w:val="20"/>
          <w:lang w:val="es-ES"/>
        </w:rPr>
        <w:t xml:space="preserve"> </w:t>
      </w:r>
      <w:r w:rsidR="0007098C"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07098C" w:rsidRPr="003B7960">
        <w:rPr>
          <w:rFonts w:ascii="Cambria" w:hAnsi="Cambria"/>
          <w:color w:val="000000"/>
          <w:sz w:val="20"/>
          <w:szCs w:val="20"/>
          <w:lang w:val="es-ES"/>
        </w:rPr>
        <w:t>entre otras, podrían alcanzar el umbral de</w:t>
      </w:r>
      <w:r w:rsidR="00067F9E" w:rsidRPr="003B7960">
        <w:rPr>
          <w:rFonts w:ascii="Cambria" w:hAnsi="Cambria"/>
          <w:color w:val="000000"/>
          <w:sz w:val="20"/>
          <w:szCs w:val="20"/>
          <w:lang w:val="es-ES"/>
        </w:rPr>
        <w:t xml:space="preserve"> </w:t>
      </w:r>
      <w:r w:rsidR="00101137" w:rsidRPr="003B7960">
        <w:rPr>
          <w:rFonts w:ascii="Cambria" w:hAnsi="Cambria"/>
          <w:color w:val="000000"/>
          <w:sz w:val="20"/>
          <w:szCs w:val="20"/>
          <w:lang w:val="es-ES"/>
        </w:rPr>
        <w:t>trato cruel, inhumano o degradante</w:t>
      </w:r>
      <w:r w:rsidR="00067F9E" w:rsidRPr="003B7960">
        <w:rPr>
          <w:rFonts w:ascii="Cambria" w:hAnsi="Cambria"/>
          <w:color w:val="000000"/>
          <w:sz w:val="20"/>
          <w:szCs w:val="20"/>
          <w:lang w:val="es-ES"/>
        </w:rPr>
        <w:t xml:space="preserve">: </w:t>
      </w:r>
      <w:r w:rsidR="0007098C" w:rsidRPr="003B7960">
        <w:rPr>
          <w:rFonts w:ascii="Cambria" w:hAnsi="Cambria"/>
          <w:color w:val="000000"/>
          <w:sz w:val="20"/>
          <w:szCs w:val="20"/>
          <w:lang w:val="es-ES"/>
        </w:rPr>
        <w:t xml:space="preserve">falta de infraestructura adecuada, falta de ventilación adecuada y de luz </w:t>
      </w:r>
      <w:r w:rsidR="00067F9E" w:rsidRPr="003B7960">
        <w:rPr>
          <w:rFonts w:ascii="Cambria" w:hAnsi="Cambria"/>
          <w:color w:val="000000"/>
          <w:sz w:val="20"/>
          <w:szCs w:val="20"/>
          <w:lang w:val="es-ES"/>
        </w:rPr>
        <w:t>natural</w:t>
      </w:r>
      <w:r w:rsidR="0007098C" w:rsidRPr="003B7960">
        <w:rPr>
          <w:rFonts w:ascii="Cambria" w:hAnsi="Cambria"/>
          <w:color w:val="000000"/>
          <w:sz w:val="20"/>
          <w:szCs w:val="20"/>
          <w:lang w:val="es-ES"/>
        </w:rPr>
        <w:t xml:space="preserve">, celdas insalubres, falta de camas, falta de atención médica adecuada o de agua potable, falta de saneamiento adecuado </w:t>
      </w:r>
      <w:r w:rsidR="00067F9E" w:rsidRPr="003B7960">
        <w:rPr>
          <w:rFonts w:ascii="Cambria" w:hAnsi="Cambria"/>
          <w:color w:val="000000"/>
          <w:sz w:val="20"/>
          <w:szCs w:val="20"/>
          <w:lang w:val="es-ES"/>
        </w:rPr>
        <w:t>(</w:t>
      </w:r>
      <w:r w:rsidR="0007098C" w:rsidRPr="003B7960">
        <w:rPr>
          <w:rFonts w:ascii="Cambria" w:hAnsi="Cambria"/>
          <w:color w:val="000000"/>
          <w:sz w:val="20"/>
          <w:szCs w:val="20"/>
          <w:lang w:val="es-ES"/>
        </w:rPr>
        <w:t>tener que orinar o defecar en recipientes o bolsas de plástico</w:t>
      </w:r>
      <w:r w:rsidR="00067F9E" w:rsidRPr="003B7960">
        <w:rPr>
          <w:rFonts w:ascii="Cambria" w:hAnsi="Cambria"/>
          <w:color w:val="000000"/>
          <w:sz w:val="20"/>
          <w:szCs w:val="20"/>
          <w:lang w:val="es-ES"/>
        </w:rPr>
        <w:t>)</w:t>
      </w:r>
      <w:r w:rsidR="0007098C" w:rsidRPr="003B7960">
        <w:rPr>
          <w:rFonts w:ascii="Cambria" w:hAnsi="Cambria"/>
          <w:color w:val="000000"/>
          <w:sz w:val="20"/>
          <w:szCs w:val="20"/>
          <w:lang w:val="es-ES"/>
        </w:rPr>
        <w:t>, falta de una privacidad mínima en los dormitorios, alimentos insuficientes y de mala calidad, pocas oportunidades para hacer ejercicio, falta de programas de educación o deportes o pocas oportunidades para participar en actividades de ese tipo, uso periódico</w:t>
      </w:r>
      <w:r w:rsidR="00067F9E" w:rsidRPr="003B7960">
        <w:rPr>
          <w:rFonts w:ascii="Cambria" w:hAnsi="Cambria"/>
          <w:color w:val="000000"/>
          <w:sz w:val="20"/>
          <w:szCs w:val="20"/>
          <w:lang w:val="es-ES"/>
        </w:rPr>
        <w:t xml:space="preserve"> </w:t>
      </w:r>
      <w:r w:rsidR="0007098C" w:rsidRPr="003B7960">
        <w:rPr>
          <w:rFonts w:ascii="Cambria" w:hAnsi="Cambria"/>
          <w:color w:val="000000"/>
          <w:sz w:val="20"/>
          <w:szCs w:val="20"/>
          <w:lang w:val="es-ES"/>
        </w:rPr>
        <w:t xml:space="preserve">de formas de castigo colectivo y otros abusos, reclusión aislada e incomunicación, y encarcelamiento en lugares </w:t>
      </w:r>
      <w:r w:rsidR="003A7AF4" w:rsidRPr="003B7960">
        <w:rPr>
          <w:rFonts w:ascii="Cambria" w:hAnsi="Cambria"/>
          <w:color w:val="000000"/>
          <w:sz w:val="20"/>
          <w:szCs w:val="20"/>
          <w:lang w:val="es-ES"/>
        </w:rPr>
        <w:t xml:space="preserve">poco accesibles o </w:t>
      </w:r>
      <w:r w:rsidR="0007098C" w:rsidRPr="003B7960">
        <w:rPr>
          <w:rFonts w:ascii="Cambria" w:hAnsi="Cambria"/>
          <w:color w:val="000000"/>
          <w:sz w:val="20"/>
          <w:szCs w:val="20"/>
          <w:lang w:val="es-ES"/>
        </w:rPr>
        <w:t xml:space="preserve">extremadamente </w:t>
      </w:r>
      <w:r w:rsidR="00981838" w:rsidRPr="003B7960">
        <w:rPr>
          <w:rFonts w:ascii="Cambria" w:hAnsi="Cambria"/>
          <w:color w:val="000000"/>
          <w:sz w:val="20"/>
          <w:szCs w:val="20"/>
          <w:lang w:val="es-ES"/>
        </w:rPr>
        <w:t>al</w:t>
      </w:r>
      <w:r w:rsidR="0007098C" w:rsidRPr="003B7960">
        <w:rPr>
          <w:rFonts w:ascii="Cambria" w:hAnsi="Cambria"/>
          <w:color w:val="000000"/>
          <w:sz w:val="20"/>
          <w:szCs w:val="20"/>
          <w:lang w:val="es-ES"/>
        </w:rPr>
        <w:t>ej</w:t>
      </w:r>
      <w:r w:rsidR="00981838" w:rsidRPr="003B7960">
        <w:rPr>
          <w:rFonts w:ascii="Cambria" w:hAnsi="Cambria"/>
          <w:color w:val="000000"/>
          <w:sz w:val="20"/>
          <w:szCs w:val="20"/>
          <w:lang w:val="es-ES"/>
        </w:rPr>
        <w:t>ados</w:t>
      </w:r>
      <w:r w:rsidR="0007098C" w:rsidRPr="003B7960">
        <w:rPr>
          <w:rFonts w:ascii="Cambria" w:hAnsi="Cambria"/>
          <w:color w:val="000000"/>
          <w:sz w:val="20"/>
          <w:szCs w:val="20"/>
          <w:lang w:val="es-ES"/>
        </w:rPr>
        <w:t xml:space="preserve"> de la residencia familiar</w:t>
      </w:r>
      <w:r w:rsidR="00067F9E" w:rsidRPr="003B7960">
        <w:rPr>
          <w:rStyle w:val="FootnoteReference"/>
          <w:rFonts w:ascii="Cambria" w:hAnsi="Cambria"/>
          <w:color w:val="000000"/>
          <w:sz w:val="20"/>
          <w:szCs w:val="20"/>
          <w:lang w:val="es-ES"/>
        </w:rPr>
        <w:footnoteReference w:id="108"/>
      </w:r>
      <w:r w:rsidR="003A7AF4" w:rsidRPr="003B7960">
        <w:rPr>
          <w:rFonts w:ascii="Cambria" w:hAnsi="Cambria"/>
          <w:color w:val="000000"/>
          <w:sz w:val="20"/>
          <w:szCs w:val="20"/>
          <w:lang w:val="es-ES"/>
        </w:rPr>
        <w:t>.</w:t>
      </w:r>
    </w:p>
    <w:p w14:paraId="051CDBA7" w14:textId="77777777" w:rsidR="00065151" w:rsidRPr="003B7960" w:rsidRDefault="00065151"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F2335D0" w14:textId="77777777" w:rsidR="00065151" w:rsidRPr="003B7960" w:rsidRDefault="0006515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sz w:val="20"/>
          <w:szCs w:val="20"/>
          <w:lang w:val="es-US"/>
        </w:rPr>
        <w:lastRenderedPageBreak/>
        <w:t>Al respecto, el Relator Especial sobre la tortura y otros tratos o penas crueles, inhumanos o degradantes ha establecido que los malos tratos o condiciones de detención sumamente inadecuadas pueden constituir tortura sin son introducidas de manera intencional, alentadas o toleradas por los Estados por razones basadas en discriminación de cualquier tipo</w:t>
      </w:r>
      <w:r w:rsidRPr="003B7960">
        <w:rPr>
          <w:rStyle w:val="FootnoteReference"/>
          <w:rFonts w:ascii="Cambria" w:hAnsi="Cambria"/>
          <w:sz w:val="20"/>
          <w:szCs w:val="20"/>
        </w:rPr>
        <w:footnoteReference w:id="109"/>
      </w:r>
      <w:r w:rsidRPr="003B7960">
        <w:rPr>
          <w:rFonts w:ascii="Cambria" w:hAnsi="Cambria"/>
          <w:sz w:val="20"/>
          <w:szCs w:val="20"/>
          <w:lang w:val="es-US"/>
        </w:rPr>
        <w:t>, incluyendo la condición migratoria</w:t>
      </w:r>
      <w:r w:rsidRPr="003B7960">
        <w:rPr>
          <w:rStyle w:val="FootnoteReference"/>
          <w:rFonts w:ascii="Cambria" w:hAnsi="Cambria"/>
          <w:sz w:val="20"/>
          <w:szCs w:val="20"/>
        </w:rPr>
        <w:footnoteReference w:id="110"/>
      </w:r>
      <w:r w:rsidRPr="003B7960">
        <w:rPr>
          <w:rFonts w:ascii="Cambria" w:hAnsi="Cambria"/>
          <w:sz w:val="20"/>
          <w:szCs w:val="20"/>
          <w:lang w:val="es-US"/>
        </w:rPr>
        <w:t>, o con el propósito de disuadir, intimidar, o sancionar a personas migrantes o sus familiares, obligándolos a retirar sus solicitudes de asilo, protección complementaria u otra forma de estancia, accediendo al "retorno" voluntario, brindando información o huellas dactilares, o con la intención de extorsionarles por dinero o actos sexuales</w:t>
      </w:r>
      <w:r w:rsidRPr="003B7960">
        <w:rPr>
          <w:rStyle w:val="FootnoteReference"/>
          <w:rFonts w:ascii="Cambria" w:hAnsi="Cambria"/>
          <w:sz w:val="20"/>
          <w:szCs w:val="20"/>
          <w:lang w:val="es-US"/>
        </w:rPr>
        <w:footnoteReference w:id="111"/>
      </w:r>
      <w:r w:rsidRPr="003B7960">
        <w:rPr>
          <w:rFonts w:ascii="Cambria" w:hAnsi="Cambria"/>
          <w:sz w:val="20"/>
          <w:szCs w:val="20"/>
          <w:lang w:val="es-US"/>
        </w:rPr>
        <w:t xml:space="preserve">. </w:t>
      </w:r>
    </w:p>
    <w:p w14:paraId="44D4437B" w14:textId="77777777" w:rsidR="00065151" w:rsidRPr="003B7960" w:rsidRDefault="00065151"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5598BD02" w14:textId="09225303" w:rsidR="00065151" w:rsidRPr="003B7960" w:rsidRDefault="0006515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US"/>
        </w:rPr>
        <w:t>Finalmente, la detención arbitraria de personas migrantes puede constituir por sí misma tortura y malos tratos</w:t>
      </w:r>
      <w:r w:rsidRPr="003B7960">
        <w:rPr>
          <w:rFonts w:ascii="Cambria" w:hAnsi="Cambria"/>
          <w:color w:val="000000"/>
          <w:sz w:val="20"/>
          <w:szCs w:val="20"/>
          <w:vertAlign w:val="superscript"/>
        </w:rPr>
        <w:footnoteReference w:id="112"/>
      </w:r>
      <w:r w:rsidRPr="003B7960">
        <w:rPr>
          <w:rFonts w:ascii="Cambria" w:hAnsi="Cambria"/>
          <w:color w:val="000000"/>
          <w:sz w:val="20"/>
          <w:szCs w:val="20"/>
          <w:lang w:val="es-US"/>
        </w:rPr>
        <w:t>. El Relator Especial sobre tortura y otros tratos o penas crueles, inhumanos o degradantes consideró que la experiencia de ser detenido de manera no necesaria ni proporcional para cumplir con cualquier objetivo legítimo, particularmente en conjunción con la detención prolongada o indefinida, y con la ausencia de un recurso legal efectivo ha demostrado que agrega estrés mental y emocional a la ya existente extrema situación de vulnerabilidad de personas migrantes en situación irregular, con muchos casos que reportan autolesiones, estrés post traumático, ansiedad y depresión. Así, incluso factores que no necesariamente constituyen malos tratos cuando se aplican de manera aislada y por un periodo muy limitado de tiempo –como detención injustificada, retraso en el acceso a derechos procesales, o la incomodidad física moderada pueden cruzar el umbral si se aplica de forma conjunta o por un periodo prolongado o indeterminado</w:t>
      </w:r>
      <w:r w:rsidRPr="003B7960">
        <w:rPr>
          <w:rFonts w:ascii="Cambria" w:hAnsi="Cambria"/>
          <w:color w:val="000000"/>
          <w:sz w:val="20"/>
          <w:szCs w:val="20"/>
          <w:vertAlign w:val="superscript"/>
        </w:rPr>
        <w:footnoteReference w:id="113"/>
      </w:r>
      <w:r w:rsidRPr="003B7960">
        <w:rPr>
          <w:rFonts w:ascii="Cambria" w:hAnsi="Cambria"/>
          <w:color w:val="000000"/>
          <w:sz w:val="20"/>
          <w:szCs w:val="20"/>
          <w:lang w:val="es-US"/>
        </w:rPr>
        <w:t>. La Comisión observa que el umbral de tortura o malos tratos puede ser alcanzado rápidamente, si no de inmediato, para personas migrantes en situación de vulnerabilidad y personas que hayan experimentado eventos traumáticos, como niños, niñas y adolescentes, mujeres, adultos mayores, personas con discapacidad, condiciones médicas, tortura o trauma de personas LGBTI, solicitantes de asilo y refugiados</w:t>
      </w:r>
      <w:r w:rsidRPr="003B7960">
        <w:rPr>
          <w:rFonts w:ascii="Cambria" w:hAnsi="Cambria"/>
          <w:color w:val="000000"/>
          <w:sz w:val="20"/>
          <w:szCs w:val="20"/>
          <w:vertAlign w:val="superscript"/>
          <w:lang w:val="es-US"/>
        </w:rPr>
        <w:footnoteReference w:id="114"/>
      </w:r>
      <w:r w:rsidRPr="003B7960">
        <w:rPr>
          <w:rFonts w:ascii="Cambria" w:hAnsi="Cambria"/>
          <w:color w:val="000000"/>
          <w:sz w:val="20"/>
          <w:szCs w:val="20"/>
          <w:lang w:val="es-US"/>
        </w:rPr>
        <w:t>.</w:t>
      </w:r>
    </w:p>
    <w:p w14:paraId="5F97DBB4"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5FD46A65" w14:textId="77777777" w:rsidR="00067F9E" w:rsidRPr="003B7960" w:rsidRDefault="00B812F2" w:rsidP="00101DC6">
      <w:pPr>
        <w:pStyle w:val="Heading3"/>
        <w:numPr>
          <w:ilvl w:val="0"/>
          <w:numId w:val="62"/>
        </w:numPr>
        <w:pBdr>
          <w:top w:val="nil"/>
          <w:left w:val="nil"/>
          <w:bottom w:val="nil"/>
          <w:right w:val="nil"/>
          <w:between w:val="nil"/>
          <w:bar w:val="nil"/>
        </w:pBdr>
        <w:tabs>
          <w:tab w:val="clear" w:pos="540"/>
          <w:tab w:val="left" w:pos="426"/>
        </w:tabs>
        <w:ind w:left="0" w:firstLine="0"/>
        <w:rPr>
          <w:lang w:val="es-ES"/>
        </w:rPr>
      </w:pPr>
      <w:bookmarkStart w:id="21" w:name="_Toc90557306"/>
      <w:r w:rsidRPr="003B7960">
        <w:rPr>
          <w:lang w:val="es-ES"/>
        </w:rPr>
        <w:t>Detención arbitraria</w:t>
      </w:r>
      <w:r w:rsidR="00067F9E" w:rsidRPr="003B7960">
        <w:rPr>
          <w:lang w:val="es-ES"/>
        </w:rPr>
        <w:t xml:space="preserve"> </w:t>
      </w:r>
      <w:r w:rsidR="003A7AF4" w:rsidRPr="003B7960">
        <w:rPr>
          <w:lang w:val="es-ES"/>
        </w:rPr>
        <w:t xml:space="preserve">de las </w:t>
      </w:r>
      <w:r w:rsidR="00C62DEF" w:rsidRPr="003B7960">
        <w:rPr>
          <w:lang w:val="es-ES"/>
        </w:rPr>
        <w:t>presuntas víctimas</w:t>
      </w:r>
      <w:r w:rsidR="00067F9E" w:rsidRPr="003B7960">
        <w:rPr>
          <w:lang w:val="es-ES"/>
        </w:rPr>
        <w:t xml:space="preserve"> </w:t>
      </w:r>
      <w:r w:rsidR="003A7AF4" w:rsidRPr="003B7960">
        <w:rPr>
          <w:lang w:val="es-ES"/>
        </w:rPr>
        <w:t xml:space="preserve">en el </w:t>
      </w:r>
      <w:r w:rsidR="00CF3BDB" w:rsidRPr="003B7960">
        <w:rPr>
          <w:lang w:val="es-ES"/>
        </w:rPr>
        <w:t xml:space="preserve">Centro de Detención de </w:t>
      </w:r>
      <w:proofErr w:type="spellStart"/>
      <w:r w:rsidR="00CF3BDB" w:rsidRPr="003B7960">
        <w:rPr>
          <w:lang w:val="es-ES"/>
        </w:rPr>
        <w:t>Carmichael</w:t>
      </w:r>
      <w:proofErr w:type="spellEnd"/>
      <w:r w:rsidR="00CF3BDB" w:rsidRPr="003B7960">
        <w:rPr>
          <w:lang w:val="es-ES"/>
        </w:rPr>
        <w:t xml:space="preserve"> Road</w:t>
      </w:r>
      <w:bookmarkEnd w:id="21"/>
    </w:p>
    <w:p w14:paraId="73029502" w14:textId="77777777" w:rsidR="00067F9E" w:rsidRPr="003B7960" w:rsidRDefault="00067F9E" w:rsidP="00101DC6">
      <w:pPr>
        <w:tabs>
          <w:tab w:val="left" w:pos="426"/>
        </w:tabs>
        <w:rPr>
          <w:rFonts w:ascii="Cambria" w:hAnsi="Cambria"/>
          <w:lang w:val="es-ES"/>
        </w:rPr>
      </w:pPr>
    </w:p>
    <w:p w14:paraId="451B5248"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3C49C6" w:rsidRPr="003B7960">
        <w:rPr>
          <w:rFonts w:ascii="Cambria" w:hAnsi="Cambria"/>
          <w:sz w:val="20"/>
          <w:szCs w:val="20"/>
          <w:lang w:val="es-ES"/>
        </w:rPr>
        <w:t xml:space="preserve">considerará y analizará la base jurídica sobre la cual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det</w:t>
      </w:r>
      <w:r w:rsidR="003C49C6" w:rsidRPr="003B7960">
        <w:rPr>
          <w:rFonts w:ascii="Cambria" w:hAnsi="Cambria"/>
          <w:sz w:val="20"/>
          <w:szCs w:val="20"/>
          <w:lang w:val="es-ES"/>
        </w:rPr>
        <w:t>uvo a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3C49C6" w:rsidRPr="003B7960">
        <w:rPr>
          <w:rFonts w:ascii="Cambria" w:hAnsi="Cambria"/>
          <w:sz w:val="20"/>
          <w:szCs w:val="20"/>
          <w:lang w:val="es-ES"/>
        </w:rPr>
        <w:t xml:space="preserve">las decisiones relativas a detenciones individualizadas y según las circunstancias de cada </w:t>
      </w:r>
      <w:r w:rsidR="008A4F19" w:rsidRPr="003B7960">
        <w:rPr>
          <w:rFonts w:ascii="Cambria" w:hAnsi="Cambria"/>
          <w:sz w:val="20"/>
          <w:szCs w:val="20"/>
          <w:lang w:val="es-ES"/>
        </w:rPr>
        <w:t>caso</w:t>
      </w:r>
      <w:r w:rsidR="00067F9E" w:rsidRPr="003B7960">
        <w:rPr>
          <w:rFonts w:ascii="Cambria" w:hAnsi="Cambria"/>
          <w:sz w:val="20"/>
          <w:szCs w:val="20"/>
          <w:lang w:val="es-ES"/>
        </w:rPr>
        <w:t>, indici</w:t>
      </w:r>
      <w:r w:rsidR="003C49C6" w:rsidRPr="003B7960">
        <w:rPr>
          <w:rFonts w:ascii="Cambria" w:hAnsi="Cambria"/>
          <w:sz w:val="20"/>
          <w:szCs w:val="20"/>
          <w:lang w:val="es-ES"/>
        </w:rPr>
        <w:t xml:space="preserve">os de una actividad delictiva de las </w:t>
      </w:r>
      <w:r w:rsidR="00C62DEF" w:rsidRPr="003B7960">
        <w:rPr>
          <w:rFonts w:ascii="Cambria" w:hAnsi="Cambria"/>
          <w:sz w:val="20"/>
          <w:szCs w:val="20"/>
          <w:lang w:val="es-ES"/>
        </w:rPr>
        <w:t>presuntas víctimas</w:t>
      </w:r>
      <w:r w:rsidR="003C49C6" w:rsidRPr="003B7960">
        <w:rPr>
          <w:rFonts w:ascii="Cambria" w:hAnsi="Cambria"/>
          <w:sz w:val="20"/>
          <w:szCs w:val="20"/>
          <w:lang w:val="es-ES"/>
        </w:rPr>
        <w:t xml:space="preserve"> y la aplicación de los criterios de</w:t>
      </w:r>
      <w:r w:rsidR="00067F9E" w:rsidRPr="003B7960">
        <w:rPr>
          <w:rFonts w:ascii="Cambria" w:hAnsi="Cambria"/>
          <w:sz w:val="20"/>
          <w:szCs w:val="20"/>
          <w:lang w:val="es-ES"/>
        </w:rPr>
        <w:t xml:space="preserve"> </w:t>
      </w:r>
      <w:r w:rsidR="003C49C6" w:rsidRPr="003B7960">
        <w:rPr>
          <w:rFonts w:ascii="Cambria" w:hAnsi="Cambria"/>
          <w:sz w:val="20"/>
          <w:szCs w:val="20"/>
          <w:lang w:val="es-ES"/>
        </w:rPr>
        <w:t xml:space="preserve">excepcionalidad a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3C49C6" w:rsidRPr="003B7960">
        <w:rPr>
          <w:rFonts w:ascii="Cambria" w:hAnsi="Cambria"/>
          <w:sz w:val="20"/>
          <w:szCs w:val="20"/>
          <w:lang w:val="es-ES"/>
        </w:rPr>
        <w:t>de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676BF1" w:rsidRPr="003B7960">
        <w:rPr>
          <w:rFonts w:ascii="Cambria" w:hAnsi="Cambria"/>
          <w:sz w:val="20"/>
          <w:szCs w:val="20"/>
          <w:lang w:val="es-ES"/>
        </w:rPr>
        <w:t xml:space="preserve">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w:t>
      </w:r>
    </w:p>
    <w:p w14:paraId="77B13887" w14:textId="77777777" w:rsidR="00DC1B51" w:rsidRPr="003B7960" w:rsidRDefault="00DC1B51"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44306501" w14:textId="77777777" w:rsidR="00067F9E" w:rsidRPr="003B7960" w:rsidRDefault="00676BF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Primero</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rec</w:t>
      </w:r>
      <w:r w:rsidRPr="003B7960">
        <w:rPr>
          <w:rFonts w:ascii="Cambria" w:hAnsi="Cambria"/>
          <w:sz w:val="20"/>
          <w:szCs w:val="20"/>
          <w:lang w:val="es-ES"/>
        </w:rPr>
        <w:t>uerda que las restricciones del derecho a la libertad resultantes de la</w:t>
      </w:r>
      <w:r w:rsidR="00067F9E" w:rsidRPr="003B7960">
        <w:rPr>
          <w:rFonts w:ascii="Cambria" w:hAnsi="Cambria"/>
          <w:sz w:val="20"/>
          <w:szCs w:val="20"/>
          <w:lang w:val="es-ES"/>
        </w:rPr>
        <w:t xml:space="preserve">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deben respetar las garantías mínimas establecidas en las normas jurídicas, a saber, que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ED00DF" w:rsidRPr="003B7960">
        <w:rPr>
          <w:rFonts w:ascii="Cambria" w:hAnsi="Cambria"/>
          <w:color w:val="000000"/>
          <w:sz w:val="20"/>
          <w:szCs w:val="20"/>
          <w:lang w:val="es-ES"/>
        </w:rPr>
        <w:t>debe estar prescrita por ley, perseguir un fin legítimo y ser apropiada, necesaria y proporcional</w:t>
      </w:r>
      <w:r w:rsidR="00067F9E" w:rsidRPr="003B7960">
        <w:rPr>
          <w:rFonts w:ascii="Cambria" w:hAnsi="Cambria"/>
          <w:color w:val="000000"/>
          <w:sz w:val="20"/>
          <w:szCs w:val="20"/>
          <w:lang w:val="es-ES"/>
        </w:rPr>
        <w:t xml:space="preserve">, </w:t>
      </w:r>
      <w:r w:rsidR="00ED00DF" w:rsidRPr="003B7960">
        <w:rPr>
          <w:rFonts w:ascii="Cambria" w:hAnsi="Cambria"/>
          <w:color w:val="000000"/>
          <w:sz w:val="20"/>
          <w:szCs w:val="20"/>
          <w:lang w:val="es-ES"/>
        </w:rPr>
        <w:t xml:space="preserve">a fin de no infringir las obligaciones emanadas de </w:t>
      </w:r>
      <w:r w:rsidR="00C33F51" w:rsidRPr="003B7960">
        <w:rPr>
          <w:rFonts w:ascii="Cambria" w:hAnsi="Cambria"/>
          <w:color w:val="000000"/>
          <w:sz w:val="20"/>
          <w:szCs w:val="20"/>
          <w:lang w:val="es-ES"/>
        </w:rPr>
        <w:t>la Declaración</w:t>
      </w:r>
      <w:r w:rsidR="00B9011F" w:rsidRPr="003B7960">
        <w:rPr>
          <w:rFonts w:ascii="Cambria" w:hAnsi="Cambria"/>
          <w:color w:val="000000"/>
          <w:sz w:val="20"/>
          <w:szCs w:val="20"/>
          <w:lang w:val="es-ES"/>
        </w:rPr>
        <w:t xml:space="preserve"> Americana</w:t>
      </w:r>
      <w:r w:rsidR="00067F9E" w:rsidRPr="003B7960">
        <w:rPr>
          <w:rFonts w:ascii="Cambria" w:hAnsi="Cambria"/>
          <w:sz w:val="20"/>
          <w:szCs w:val="20"/>
          <w:lang w:val="es-ES"/>
        </w:rPr>
        <w:t xml:space="preserve">. </w:t>
      </w:r>
      <w:r w:rsidR="00ED00DF" w:rsidRPr="003B7960">
        <w:rPr>
          <w:rFonts w:ascii="Cambria" w:hAnsi="Cambria"/>
          <w:sz w:val="20"/>
          <w:szCs w:val="20"/>
          <w:lang w:val="es-ES"/>
        </w:rPr>
        <w:t xml:space="preserve">Con respecto al requisito de que </w:t>
      </w:r>
      <w:r w:rsidR="003E10BD" w:rsidRPr="003B7960">
        <w:rPr>
          <w:rFonts w:ascii="Cambria" w:hAnsi="Cambria"/>
          <w:sz w:val="20"/>
          <w:szCs w:val="20"/>
          <w:lang w:val="es-ES"/>
        </w:rPr>
        <w:t xml:space="preserve">la detención </w:t>
      </w:r>
      <w:r w:rsidR="00ED00DF" w:rsidRPr="003B7960">
        <w:rPr>
          <w:rFonts w:ascii="Cambria" w:hAnsi="Cambria"/>
          <w:sz w:val="20"/>
          <w:szCs w:val="20"/>
          <w:lang w:val="es-ES"/>
        </w:rPr>
        <w:t>esté prescrita por ley</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3C49C6" w:rsidRPr="003B7960">
        <w:rPr>
          <w:rFonts w:ascii="Cambria" w:hAnsi="Cambria"/>
          <w:sz w:val="20"/>
          <w:szCs w:val="20"/>
          <w:lang w:val="es-ES"/>
        </w:rPr>
        <w:t xml:space="preserve">observa que, en la Ley de Inmigración de las Bahamas, se </w:t>
      </w:r>
      <w:r w:rsidR="00067F9E" w:rsidRPr="003B7960">
        <w:rPr>
          <w:rFonts w:ascii="Cambria" w:hAnsi="Cambria"/>
          <w:sz w:val="20"/>
          <w:szCs w:val="20"/>
          <w:lang w:val="es-ES"/>
        </w:rPr>
        <w:t>consider</w:t>
      </w:r>
      <w:r w:rsidR="003C49C6" w:rsidRPr="003B7960">
        <w:rPr>
          <w:rFonts w:ascii="Cambria" w:hAnsi="Cambria"/>
          <w:sz w:val="20"/>
          <w:szCs w:val="20"/>
          <w:lang w:val="es-ES"/>
        </w:rPr>
        <w:t xml:space="preserve">a que toda persona que llega al territorio sin una visa apropiada es un </w:t>
      </w:r>
      <w:r w:rsidR="00067F9E" w:rsidRPr="003B7960">
        <w:rPr>
          <w:rFonts w:ascii="Cambria" w:hAnsi="Cambria"/>
          <w:sz w:val="20"/>
          <w:szCs w:val="20"/>
          <w:lang w:val="es-ES"/>
        </w:rPr>
        <w:t>“</w:t>
      </w:r>
      <w:r w:rsidR="003C49C6" w:rsidRPr="003B7960">
        <w:rPr>
          <w:rFonts w:ascii="Cambria" w:hAnsi="Cambria"/>
          <w:sz w:val="20"/>
          <w:szCs w:val="20"/>
          <w:lang w:val="es-ES"/>
        </w:rPr>
        <w:t>inmigrante i</w:t>
      </w:r>
      <w:r w:rsidR="00067F9E" w:rsidRPr="003B7960">
        <w:rPr>
          <w:rFonts w:ascii="Cambria" w:hAnsi="Cambria"/>
          <w:sz w:val="20"/>
          <w:szCs w:val="20"/>
          <w:lang w:val="es-ES"/>
        </w:rPr>
        <w:t>legal” (sic)</w:t>
      </w:r>
      <w:r w:rsidR="00067F9E" w:rsidRPr="003B7960">
        <w:rPr>
          <w:rStyle w:val="FootnoteReference"/>
          <w:rFonts w:ascii="Cambria" w:hAnsi="Cambria"/>
          <w:sz w:val="20"/>
          <w:szCs w:val="20"/>
          <w:lang w:val="es-ES"/>
        </w:rPr>
        <w:footnoteReference w:id="115"/>
      </w:r>
      <w:r w:rsidR="003C49C6" w:rsidRPr="003B7960">
        <w:rPr>
          <w:rFonts w:ascii="Cambria" w:hAnsi="Cambria"/>
          <w:sz w:val="20"/>
          <w:szCs w:val="20"/>
          <w:lang w:val="es-ES"/>
        </w:rPr>
        <w:t>.</w:t>
      </w:r>
      <w:r w:rsidR="00067F9E" w:rsidRPr="003B7960">
        <w:rPr>
          <w:rFonts w:ascii="Cambria" w:hAnsi="Cambria"/>
          <w:sz w:val="20"/>
          <w:szCs w:val="20"/>
          <w:lang w:val="es-ES"/>
        </w:rPr>
        <w:t xml:space="preserve"> </w:t>
      </w:r>
      <w:r w:rsidR="00ED00DF" w:rsidRPr="003B7960">
        <w:rPr>
          <w:rFonts w:ascii="Cambria" w:hAnsi="Cambria"/>
          <w:sz w:val="20"/>
          <w:szCs w:val="20"/>
          <w:lang w:val="es-ES"/>
        </w:rPr>
        <w:t>Sin embargo, dicha ley no autoriza a las autoridades a detener a las personas que no tengan una visa apropiada ni prescribe una duración máxima de la privación de libertad</w:t>
      </w:r>
      <w:r w:rsidR="00067F9E" w:rsidRPr="003B7960">
        <w:rPr>
          <w:rStyle w:val="FootnoteReference"/>
          <w:rFonts w:ascii="Cambria" w:hAnsi="Cambria"/>
          <w:sz w:val="20"/>
          <w:szCs w:val="20"/>
          <w:lang w:val="es-ES"/>
        </w:rPr>
        <w:footnoteReference w:id="116"/>
      </w:r>
      <w:r w:rsidR="00ED00DF" w:rsidRPr="003B7960">
        <w:rPr>
          <w:rFonts w:ascii="Cambria" w:hAnsi="Cambria"/>
          <w:sz w:val="20"/>
          <w:szCs w:val="20"/>
          <w:lang w:val="es-ES"/>
        </w:rPr>
        <w:t>. Por consiguiente</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ED00DF" w:rsidRPr="003B7960">
        <w:rPr>
          <w:rFonts w:ascii="Cambria" w:hAnsi="Cambria"/>
          <w:sz w:val="20"/>
          <w:szCs w:val="20"/>
          <w:lang w:val="es-ES"/>
        </w:rPr>
        <w:t xml:space="preserve">concluye que el Estado detuvo en masa a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ED00DF" w:rsidRPr="003B7960">
        <w:rPr>
          <w:rFonts w:ascii="Cambria" w:hAnsi="Cambria"/>
          <w:sz w:val="20"/>
          <w:szCs w:val="20"/>
          <w:lang w:val="es-ES"/>
        </w:rPr>
        <w:t xml:space="preserve">sin un </w:t>
      </w:r>
      <w:r w:rsidR="003C49C6" w:rsidRPr="003B7960">
        <w:rPr>
          <w:rFonts w:ascii="Cambria" w:hAnsi="Cambria"/>
          <w:sz w:val="20"/>
          <w:szCs w:val="20"/>
          <w:lang w:val="es-ES"/>
        </w:rPr>
        <w:t>fundamento jurídico</w:t>
      </w:r>
      <w:r w:rsidR="00ED00DF" w:rsidRPr="003B7960">
        <w:rPr>
          <w:rFonts w:ascii="Cambria" w:hAnsi="Cambria"/>
          <w:sz w:val="20"/>
          <w:szCs w:val="20"/>
          <w:lang w:val="es-ES"/>
        </w:rPr>
        <w:t xml:space="preserve"> y les </w:t>
      </w:r>
      <w:r w:rsidR="003E10BD" w:rsidRPr="003B7960">
        <w:rPr>
          <w:rFonts w:ascii="Cambria" w:hAnsi="Cambria"/>
          <w:sz w:val="20"/>
          <w:szCs w:val="20"/>
          <w:lang w:val="es-ES"/>
        </w:rPr>
        <w:t>provoc</w:t>
      </w:r>
      <w:r w:rsidR="00ED00DF" w:rsidRPr="003B7960">
        <w:rPr>
          <w:rFonts w:ascii="Cambria" w:hAnsi="Cambria"/>
          <w:sz w:val="20"/>
          <w:szCs w:val="20"/>
          <w:lang w:val="es-ES"/>
        </w:rPr>
        <w:t>ó incertidumbre con respecto a las razones aceptables para la privación de la libertad</w:t>
      </w:r>
      <w:r w:rsidR="00067F9E" w:rsidRPr="003B7960">
        <w:rPr>
          <w:rFonts w:ascii="Cambria" w:hAnsi="Cambria"/>
          <w:sz w:val="20"/>
          <w:szCs w:val="20"/>
          <w:lang w:val="es-ES"/>
        </w:rPr>
        <w:t xml:space="preserve">, </w:t>
      </w:r>
      <w:r w:rsidR="003C49C6" w:rsidRPr="003B7960">
        <w:rPr>
          <w:rFonts w:ascii="Cambria" w:hAnsi="Cambria"/>
          <w:sz w:val="20"/>
          <w:szCs w:val="20"/>
          <w:lang w:val="es-ES"/>
        </w:rPr>
        <w:t xml:space="preserve">la duración de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ED00DF" w:rsidRPr="003B7960">
        <w:rPr>
          <w:rFonts w:ascii="Cambria" w:hAnsi="Cambria"/>
          <w:sz w:val="20"/>
          <w:szCs w:val="20"/>
          <w:lang w:val="es-ES"/>
        </w:rPr>
        <w:t xml:space="preserve">y el procedimiento jurídico subsiguiente para determinar su condición. Además, la Comisión concluye que el </w:t>
      </w:r>
      <w:r w:rsidR="00A332F5" w:rsidRPr="003B7960">
        <w:rPr>
          <w:rFonts w:ascii="Cambria" w:hAnsi="Cambria"/>
          <w:sz w:val="20"/>
          <w:szCs w:val="20"/>
          <w:lang w:val="es-ES"/>
        </w:rPr>
        <w:t>Estado</w:t>
      </w:r>
      <w:r w:rsidR="00067F9E" w:rsidRPr="003B7960">
        <w:rPr>
          <w:rFonts w:ascii="Cambria" w:hAnsi="Cambria"/>
          <w:sz w:val="20"/>
          <w:szCs w:val="20"/>
          <w:lang w:val="es-ES"/>
        </w:rPr>
        <w:t xml:space="preserve"> </w:t>
      </w:r>
      <w:r w:rsidR="00ED00DF" w:rsidRPr="003B7960">
        <w:rPr>
          <w:rFonts w:ascii="Cambria" w:hAnsi="Cambria"/>
          <w:sz w:val="20"/>
          <w:szCs w:val="20"/>
          <w:lang w:val="es-ES"/>
        </w:rPr>
        <w:t xml:space="preserve">no proporcionó información para que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ED00DF" w:rsidRPr="003B7960">
        <w:rPr>
          <w:rFonts w:ascii="Cambria" w:hAnsi="Cambria"/>
          <w:sz w:val="20"/>
          <w:szCs w:val="20"/>
          <w:lang w:val="es-ES"/>
        </w:rPr>
        <w:t>pudieran comunicarse con su consulado o misión diplomática a fin de solicitar asistencia.</w:t>
      </w:r>
    </w:p>
    <w:p w14:paraId="0F9FB0D5" w14:textId="77777777" w:rsidR="00067F9E" w:rsidRPr="003B7960" w:rsidRDefault="00067F9E" w:rsidP="00101DC6">
      <w:pPr>
        <w:pStyle w:val="ListParagraph"/>
        <w:tabs>
          <w:tab w:val="left" w:pos="426"/>
        </w:tabs>
        <w:ind w:left="0"/>
        <w:rPr>
          <w:rFonts w:ascii="Cambria" w:hAnsi="Cambria"/>
          <w:sz w:val="20"/>
          <w:szCs w:val="20"/>
          <w:lang w:val="es-ES"/>
        </w:rPr>
      </w:pPr>
    </w:p>
    <w:p w14:paraId="7C4F8A35" w14:textId="77777777" w:rsidR="00067F9E" w:rsidRPr="003B7960" w:rsidRDefault="00067F9E"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lastRenderedPageBreak/>
        <w:t>Se</w:t>
      </w:r>
      <w:r w:rsidR="00ED00DF" w:rsidRPr="003B7960">
        <w:rPr>
          <w:rFonts w:ascii="Cambria" w:hAnsi="Cambria"/>
          <w:sz w:val="20"/>
          <w:szCs w:val="20"/>
          <w:lang w:val="es-ES"/>
        </w:rPr>
        <w:t>gundo, y en estrecha relación con lo que antecede</w:t>
      </w:r>
      <w:r w:rsidRPr="003B7960">
        <w:rPr>
          <w:rFonts w:ascii="Cambria" w:hAnsi="Cambria"/>
          <w:sz w:val="20"/>
          <w:szCs w:val="20"/>
          <w:lang w:val="es-ES"/>
        </w:rPr>
        <w:t xml:space="preserve">, </w:t>
      </w:r>
      <w:r w:rsidR="00B9011F" w:rsidRPr="003B7960">
        <w:rPr>
          <w:rFonts w:ascii="Cambria" w:hAnsi="Cambria"/>
          <w:sz w:val="20"/>
          <w:szCs w:val="20"/>
          <w:lang w:val="es-ES"/>
        </w:rPr>
        <w:t>la Comisión</w:t>
      </w:r>
      <w:r w:rsidRPr="003B7960">
        <w:rPr>
          <w:rFonts w:ascii="Cambria" w:hAnsi="Cambria"/>
          <w:sz w:val="20"/>
          <w:szCs w:val="20"/>
          <w:lang w:val="es-ES"/>
        </w:rPr>
        <w:t xml:space="preserve"> rec</w:t>
      </w:r>
      <w:r w:rsidR="00ED00DF" w:rsidRPr="003B7960">
        <w:rPr>
          <w:rFonts w:ascii="Cambria" w:hAnsi="Cambria"/>
          <w:sz w:val="20"/>
          <w:szCs w:val="20"/>
          <w:lang w:val="es-ES"/>
        </w:rPr>
        <w:t>uerda que los inmigrantes</w:t>
      </w:r>
      <w:r w:rsidRPr="003B7960">
        <w:rPr>
          <w:rFonts w:ascii="Cambria" w:hAnsi="Cambria"/>
          <w:sz w:val="20"/>
          <w:szCs w:val="20"/>
          <w:lang w:val="es-ES"/>
        </w:rPr>
        <w:t xml:space="preserve"> </w:t>
      </w:r>
      <w:r w:rsidR="00ED00DF" w:rsidRPr="003B7960">
        <w:rPr>
          <w:rFonts w:ascii="Cambria" w:hAnsi="Cambria"/>
          <w:sz w:val="20"/>
          <w:szCs w:val="20"/>
          <w:lang w:val="es-ES"/>
        </w:rPr>
        <w:t xml:space="preserve">indocumentados no pueden considerarse como delincuentes y que su </w:t>
      </w:r>
      <w:r w:rsidR="00133A5D" w:rsidRPr="003B7960">
        <w:rPr>
          <w:rFonts w:ascii="Cambria" w:hAnsi="Cambria"/>
          <w:sz w:val="20"/>
          <w:szCs w:val="20"/>
          <w:lang w:val="es-ES"/>
        </w:rPr>
        <w:t>detención</w:t>
      </w:r>
      <w:r w:rsidRPr="003B7960">
        <w:rPr>
          <w:rFonts w:ascii="Cambria" w:hAnsi="Cambria"/>
          <w:sz w:val="20"/>
          <w:szCs w:val="20"/>
          <w:lang w:val="es-ES"/>
        </w:rPr>
        <w:t xml:space="preserve"> </w:t>
      </w:r>
      <w:r w:rsidR="00ED00DF" w:rsidRPr="003B7960">
        <w:rPr>
          <w:rFonts w:ascii="Cambria" w:hAnsi="Cambria"/>
          <w:sz w:val="20"/>
          <w:szCs w:val="20"/>
          <w:lang w:val="es-ES"/>
        </w:rPr>
        <w:t>debe ser</w:t>
      </w:r>
      <w:r w:rsidRPr="003B7960">
        <w:rPr>
          <w:rFonts w:ascii="Cambria" w:hAnsi="Cambria"/>
          <w:sz w:val="20"/>
          <w:szCs w:val="20"/>
          <w:lang w:val="es-ES"/>
        </w:rPr>
        <w:t xml:space="preserve"> </w:t>
      </w:r>
      <w:r w:rsidR="00ED00DF" w:rsidRPr="003B7960">
        <w:rPr>
          <w:rFonts w:ascii="Cambria" w:hAnsi="Cambria"/>
          <w:sz w:val="20"/>
          <w:szCs w:val="20"/>
          <w:lang w:val="es-ES"/>
        </w:rPr>
        <w:t>excepcional</w:t>
      </w:r>
      <w:r w:rsidRPr="003B7960">
        <w:rPr>
          <w:rFonts w:ascii="Cambria" w:hAnsi="Cambria"/>
          <w:sz w:val="20"/>
          <w:szCs w:val="20"/>
          <w:lang w:val="es-ES"/>
        </w:rPr>
        <w:t xml:space="preserve"> </w:t>
      </w:r>
      <w:r w:rsidR="00ED00DF" w:rsidRPr="003B7960">
        <w:rPr>
          <w:rFonts w:ascii="Cambria" w:hAnsi="Cambria"/>
          <w:sz w:val="20"/>
          <w:szCs w:val="20"/>
          <w:lang w:val="es-ES"/>
        </w:rPr>
        <w:t>y justificada</w:t>
      </w:r>
      <w:r w:rsidRPr="003B7960">
        <w:rPr>
          <w:rFonts w:ascii="Cambria" w:hAnsi="Cambria"/>
          <w:sz w:val="20"/>
          <w:szCs w:val="20"/>
          <w:lang w:val="es-ES"/>
        </w:rPr>
        <w:t xml:space="preserve">. </w:t>
      </w:r>
      <w:r w:rsidR="00B9011F" w:rsidRPr="003B7960">
        <w:rPr>
          <w:rFonts w:ascii="Cambria" w:hAnsi="Cambria"/>
          <w:sz w:val="20"/>
          <w:szCs w:val="20"/>
          <w:lang w:val="es-ES"/>
        </w:rPr>
        <w:t>La Comisión</w:t>
      </w:r>
      <w:r w:rsidRPr="003B7960">
        <w:rPr>
          <w:rFonts w:ascii="Cambria" w:hAnsi="Cambria"/>
          <w:sz w:val="20"/>
          <w:szCs w:val="20"/>
          <w:lang w:val="es-ES"/>
        </w:rPr>
        <w:t xml:space="preserve"> </w:t>
      </w:r>
      <w:r w:rsidR="002B6DF8" w:rsidRPr="003B7960">
        <w:rPr>
          <w:rFonts w:ascii="Cambria" w:hAnsi="Cambria"/>
          <w:sz w:val="20"/>
          <w:szCs w:val="20"/>
          <w:lang w:val="es-ES"/>
        </w:rPr>
        <w:t>observa, como</w:t>
      </w:r>
      <w:r w:rsidRPr="003B7960">
        <w:rPr>
          <w:rFonts w:ascii="Cambria" w:hAnsi="Cambria"/>
          <w:sz w:val="20"/>
          <w:szCs w:val="20"/>
          <w:lang w:val="es-ES"/>
        </w:rPr>
        <w:t xml:space="preserve"> </w:t>
      </w:r>
      <w:r w:rsidR="0095643C" w:rsidRPr="003B7960">
        <w:rPr>
          <w:rFonts w:ascii="Cambria" w:hAnsi="Cambria"/>
          <w:sz w:val="20"/>
          <w:szCs w:val="20"/>
          <w:lang w:val="es-ES"/>
        </w:rPr>
        <w:t xml:space="preserve">cuestión liminar, que estas </w:t>
      </w:r>
      <w:r w:rsidR="00ED00DF" w:rsidRPr="003B7960">
        <w:rPr>
          <w:rFonts w:ascii="Cambria" w:hAnsi="Cambria"/>
          <w:sz w:val="20"/>
          <w:szCs w:val="20"/>
          <w:lang w:val="es-ES"/>
        </w:rPr>
        <w:t>detenciones</w:t>
      </w:r>
      <w:r w:rsidRPr="003B7960">
        <w:rPr>
          <w:rFonts w:ascii="Cambria" w:hAnsi="Cambria"/>
          <w:sz w:val="20"/>
          <w:szCs w:val="20"/>
          <w:lang w:val="es-ES"/>
        </w:rPr>
        <w:t xml:space="preserve"> </w:t>
      </w:r>
      <w:r w:rsidR="0095643C" w:rsidRPr="003B7960">
        <w:rPr>
          <w:rFonts w:ascii="Cambria" w:hAnsi="Cambria"/>
          <w:sz w:val="20"/>
          <w:szCs w:val="20"/>
          <w:lang w:val="es-ES"/>
        </w:rPr>
        <w:t xml:space="preserve">se efectuaron sin ningún tipo de limitación jurídica y por un período que no se comunicó a las </w:t>
      </w:r>
      <w:r w:rsidR="00C62DEF" w:rsidRPr="003B7960">
        <w:rPr>
          <w:rFonts w:ascii="Cambria" w:hAnsi="Cambria"/>
          <w:sz w:val="20"/>
          <w:szCs w:val="20"/>
          <w:lang w:val="es-ES"/>
        </w:rPr>
        <w:t>presuntas víctimas</w:t>
      </w:r>
      <w:r w:rsidRPr="003B7960">
        <w:rPr>
          <w:rFonts w:ascii="Cambria" w:hAnsi="Cambria"/>
          <w:sz w:val="20"/>
          <w:szCs w:val="20"/>
          <w:lang w:val="es-ES"/>
        </w:rPr>
        <w:t xml:space="preserve">, </w:t>
      </w:r>
      <w:r w:rsidR="0095643C" w:rsidRPr="003B7960">
        <w:rPr>
          <w:rFonts w:ascii="Cambria" w:hAnsi="Cambria"/>
          <w:sz w:val="20"/>
          <w:szCs w:val="20"/>
          <w:lang w:val="es-ES"/>
        </w:rPr>
        <w:t xml:space="preserve">de modo que constituyeron una medida punitiva con el único fin y efecto de castigar a las </w:t>
      </w:r>
      <w:r w:rsidR="00C62DEF" w:rsidRPr="003B7960">
        <w:rPr>
          <w:rFonts w:ascii="Cambria" w:hAnsi="Cambria"/>
          <w:sz w:val="20"/>
          <w:szCs w:val="20"/>
          <w:lang w:val="es-ES"/>
        </w:rPr>
        <w:t>presuntas víctimas</w:t>
      </w:r>
      <w:r w:rsidRPr="003B7960">
        <w:rPr>
          <w:rFonts w:ascii="Cambria" w:hAnsi="Cambria"/>
          <w:sz w:val="20"/>
          <w:szCs w:val="20"/>
          <w:lang w:val="es-ES"/>
        </w:rPr>
        <w:t xml:space="preserve"> </w:t>
      </w:r>
      <w:r w:rsidR="0095643C" w:rsidRPr="003B7960">
        <w:rPr>
          <w:rFonts w:ascii="Cambria" w:hAnsi="Cambria"/>
          <w:sz w:val="20"/>
          <w:szCs w:val="20"/>
          <w:lang w:val="es-ES"/>
        </w:rPr>
        <w:t xml:space="preserve">por no tener </w:t>
      </w:r>
      <w:r w:rsidRPr="003B7960">
        <w:rPr>
          <w:rFonts w:ascii="Cambria" w:hAnsi="Cambria"/>
          <w:sz w:val="20"/>
          <w:szCs w:val="20"/>
          <w:lang w:val="es-ES"/>
        </w:rPr>
        <w:t xml:space="preserve">visa. </w:t>
      </w:r>
    </w:p>
    <w:p w14:paraId="12760140" w14:textId="77777777" w:rsidR="00067F9E" w:rsidRPr="003B7960" w:rsidRDefault="00067F9E" w:rsidP="00101DC6">
      <w:pPr>
        <w:tabs>
          <w:tab w:val="left" w:pos="426"/>
        </w:tabs>
        <w:rPr>
          <w:rFonts w:ascii="Cambria" w:hAnsi="Cambria"/>
          <w:sz w:val="20"/>
          <w:szCs w:val="20"/>
          <w:lang w:val="es-ES"/>
        </w:rPr>
      </w:pPr>
    </w:p>
    <w:p w14:paraId="541AC09A" w14:textId="77777777" w:rsidR="00067F9E" w:rsidRPr="003B7960" w:rsidRDefault="0095643C"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Tercero</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observa </w:t>
      </w:r>
      <w:r w:rsidR="00D9742D" w:rsidRPr="003B7960">
        <w:rPr>
          <w:rFonts w:ascii="Cambria" w:hAnsi="Cambria"/>
          <w:sz w:val="20"/>
          <w:szCs w:val="20"/>
          <w:lang w:val="es-ES"/>
        </w:rPr>
        <w:t xml:space="preserve">la poca información proporcionada por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D9742D" w:rsidRPr="003B7960">
        <w:rPr>
          <w:rFonts w:ascii="Cambria" w:hAnsi="Cambria"/>
          <w:sz w:val="20"/>
          <w:szCs w:val="20"/>
          <w:lang w:val="es-ES"/>
        </w:rPr>
        <w:t>en este</w:t>
      </w:r>
      <w:r w:rsidR="00067F9E" w:rsidRPr="003B7960">
        <w:rPr>
          <w:rFonts w:ascii="Cambria" w:hAnsi="Cambria"/>
          <w:sz w:val="20"/>
          <w:szCs w:val="20"/>
          <w:lang w:val="es-ES"/>
        </w:rPr>
        <w:t xml:space="preserve"> </w:t>
      </w:r>
      <w:r w:rsidR="008A4F19" w:rsidRPr="003B7960">
        <w:rPr>
          <w:rFonts w:ascii="Cambria" w:hAnsi="Cambria"/>
          <w:sz w:val="20"/>
          <w:szCs w:val="20"/>
          <w:lang w:val="es-ES"/>
        </w:rPr>
        <w:t>caso</w:t>
      </w:r>
      <w:r w:rsidR="00067F9E" w:rsidRPr="003B7960">
        <w:rPr>
          <w:rFonts w:ascii="Cambria" w:hAnsi="Cambria"/>
          <w:sz w:val="20"/>
          <w:szCs w:val="20"/>
          <w:lang w:val="es-ES"/>
        </w:rPr>
        <w:t xml:space="preserve"> </w:t>
      </w:r>
      <w:r w:rsidR="00D9742D" w:rsidRPr="003B7960">
        <w:rPr>
          <w:rFonts w:ascii="Cambria" w:hAnsi="Cambria"/>
          <w:sz w:val="20"/>
          <w:szCs w:val="20"/>
          <w:lang w:val="es-ES"/>
        </w:rPr>
        <w:t>y la ausencia subsiguiente de indicaciones de que h</w:t>
      </w:r>
      <w:r w:rsidR="00E05A7A" w:rsidRPr="003B7960">
        <w:rPr>
          <w:rFonts w:ascii="Cambria" w:hAnsi="Cambria"/>
          <w:sz w:val="20"/>
          <w:szCs w:val="20"/>
          <w:lang w:val="es-ES"/>
        </w:rPr>
        <w:t>aya</w:t>
      </w:r>
      <w:r w:rsidR="00D9742D" w:rsidRPr="003B7960">
        <w:rPr>
          <w:rFonts w:ascii="Cambria" w:hAnsi="Cambria"/>
          <w:sz w:val="20"/>
          <w:szCs w:val="20"/>
          <w:lang w:val="es-ES"/>
        </w:rPr>
        <w:t xml:space="preserve"> </w:t>
      </w:r>
      <w:r w:rsidR="00E05A7A" w:rsidRPr="003B7960">
        <w:rPr>
          <w:rFonts w:ascii="Cambria" w:hAnsi="Cambria"/>
          <w:sz w:val="20"/>
          <w:szCs w:val="20"/>
          <w:lang w:val="es-ES"/>
        </w:rPr>
        <w:t>evaluado</w:t>
      </w:r>
      <w:r w:rsidR="00D9742D" w:rsidRPr="003B7960">
        <w:rPr>
          <w:rFonts w:ascii="Cambria" w:hAnsi="Cambria"/>
          <w:color w:val="000000"/>
          <w:sz w:val="20"/>
          <w:szCs w:val="20"/>
          <w:lang w:val="es-ES"/>
        </w:rPr>
        <w:t xml:space="preserve"> la necesidad de detener a cada presunta víctima</w:t>
      </w:r>
      <w:r w:rsidR="005F530E" w:rsidRPr="003B7960">
        <w:rPr>
          <w:rFonts w:ascii="Cambria" w:hAnsi="Cambria"/>
          <w:color w:val="000000"/>
          <w:sz w:val="20"/>
          <w:szCs w:val="20"/>
          <w:lang w:val="es-ES"/>
        </w:rPr>
        <w:t xml:space="preserve"> según sus circunstancias particulares</w:t>
      </w:r>
      <w:r w:rsidR="00D9742D" w:rsidRPr="003B7960">
        <w:rPr>
          <w:rFonts w:ascii="Cambria" w:hAnsi="Cambria"/>
          <w:color w:val="000000"/>
          <w:sz w:val="20"/>
          <w:szCs w:val="20"/>
          <w:lang w:val="es-ES"/>
        </w:rPr>
        <w:t xml:space="preserve">. En cambio, los hechos esenciales parecen indicar que, cuando se determinó que las </w:t>
      </w:r>
      <w:r w:rsidR="00C62DEF" w:rsidRPr="003B7960">
        <w:rPr>
          <w:rFonts w:ascii="Cambria" w:hAnsi="Cambria"/>
          <w:color w:val="000000"/>
          <w:sz w:val="20"/>
          <w:szCs w:val="20"/>
          <w:lang w:val="es-ES"/>
        </w:rPr>
        <w:t>presuntas víctimas</w:t>
      </w:r>
      <w:r w:rsidR="00067F9E" w:rsidRPr="003B7960">
        <w:rPr>
          <w:rFonts w:ascii="Cambria" w:hAnsi="Cambria"/>
          <w:color w:val="000000"/>
          <w:sz w:val="20"/>
          <w:szCs w:val="20"/>
          <w:lang w:val="es-ES"/>
        </w:rPr>
        <w:t xml:space="preserve"> </w:t>
      </w:r>
      <w:r w:rsidR="00D9742D" w:rsidRPr="003B7960">
        <w:rPr>
          <w:rFonts w:ascii="Cambria" w:hAnsi="Cambria"/>
          <w:color w:val="000000"/>
          <w:sz w:val="20"/>
          <w:szCs w:val="20"/>
          <w:lang w:val="es-ES"/>
        </w:rPr>
        <w:t xml:space="preserve">no tenían la documentación necesaria para entrar en el país, las transportaron automáticamente al </w:t>
      </w:r>
      <w:r w:rsidR="00654B4A" w:rsidRPr="003B7960">
        <w:rPr>
          <w:rFonts w:ascii="Cambria" w:hAnsi="Cambria"/>
          <w:color w:val="000000"/>
          <w:sz w:val="20"/>
          <w:szCs w:val="20"/>
          <w:lang w:val="es-ES"/>
        </w:rPr>
        <w:t xml:space="preserve">Centro </w:t>
      </w:r>
      <w:proofErr w:type="spellStart"/>
      <w:r w:rsidR="00654B4A" w:rsidRPr="003B7960">
        <w:rPr>
          <w:rFonts w:ascii="Cambria" w:hAnsi="Cambria"/>
          <w:color w:val="000000"/>
          <w:sz w:val="20"/>
          <w:szCs w:val="20"/>
          <w:lang w:val="es-ES"/>
        </w:rPr>
        <w:t>Carmichael</w:t>
      </w:r>
      <w:proofErr w:type="spellEnd"/>
      <w:r w:rsidR="00D9742D" w:rsidRPr="003B7960">
        <w:rPr>
          <w:rFonts w:ascii="Cambria" w:hAnsi="Cambria"/>
          <w:color w:val="000000"/>
          <w:sz w:val="20"/>
          <w:szCs w:val="20"/>
          <w:lang w:val="es-ES"/>
        </w:rPr>
        <w:t xml:space="preserve">, donde permanecieron detenidas durante períodos indeterminados mientras esperaban una </w:t>
      </w:r>
      <w:r w:rsidR="007B6078" w:rsidRPr="003B7960">
        <w:rPr>
          <w:rFonts w:ascii="Cambria" w:hAnsi="Cambria"/>
          <w:color w:val="000000"/>
          <w:sz w:val="20"/>
          <w:szCs w:val="20"/>
          <w:lang w:val="es-ES"/>
        </w:rPr>
        <w:t>repatriación</w:t>
      </w:r>
      <w:r w:rsidR="00067F9E" w:rsidRPr="003B7960">
        <w:rPr>
          <w:rFonts w:ascii="Cambria" w:hAnsi="Cambria"/>
          <w:color w:val="000000"/>
          <w:sz w:val="20"/>
          <w:szCs w:val="20"/>
          <w:lang w:val="es-ES"/>
        </w:rPr>
        <w:t xml:space="preserve"> </w:t>
      </w:r>
      <w:r w:rsidR="002B6DF8" w:rsidRPr="003B7960">
        <w:rPr>
          <w:rFonts w:ascii="Cambria" w:hAnsi="Cambria"/>
          <w:color w:val="000000"/>
          <w:sz w:val="20"/>
          <w:szCs w:val="20"/>
          <w:lang w:val="es-ES"/>
        </w:rPr>
        <w:t>rápida a su país de origen</w:t>
      </w:r>
      <w:r w:rsidR="00D9742D" w:rsidRPr="003B7960">
        <w:rPr>
          <w:rFonts w:ascii="Cambria" w:hAnsi="Cambria"/>
          <w:color w:val="000000"/>
          <w:sz w:val="20"/>
          <w:szCs w:val="20"/>
          <w:lang w:val="es-ES"/>
        </w:rPr>
        <w:t xml:space="preserve"> de acuerdo con los </w:t>
      </w:r>
      <w:r w:rsidRPr="003B7960">
        <w:rPr>
          <w:rFonts w:ascii="Cambria" w:hAnsi="Cambria"/>
          <w:color w:val="000000"/>
          <w:sz w:val="20"/>
          <w:szCs w:val="20"/>
          <w:lang w:val="es-ES"/>
        </w:rPr>
        <w:t>acuerdos bilaterales internacionales</w:t>
      </w:r>
      <w:r w:rsidR="00067F9E" w:rsidRPr="003B7960">
        <w:rPr>
          <w:rFonts w:ascii="Cambria" w:hAnsi="Cambria"/>
          <w:color w:val="000000"/>
          <w:sz w:val="20"/>
          <w:szCs w:val="20"/>
          <w:lang w:val="es-ES"/>
        </w:rPr>
        <w:t xml:space="preserve"> </w:t>
      </w:r>
      <w:r w:rsidR="00D9742D" w:rsidRPr="003B7960">
        <w:rPr>
          <w:rFonts w:ascii="Cambria" w:hAnsi="Cambria"/>
          <w:color w:val="000000"/>
          <w:sz w:val="20"/>
          <w:szCs w:val="20"/>
          <w:lang w:val="es-ES"/>
        </w:rPr>
        <w:t>que rigen estos asuntos e</w:t>
      </w:r>
      <w:r w:rsidR="00067F9E" w:rsidRPr="003B7960">
        <w:rPr>
          <w:rFonts w:ascii="Cambria" w:hAnsi="Cambria"/>
          <w:color w:val="000000"/>
          <w:sz w:val="20"/>
          <w:szCs w:val="20"/>
          <w:lang w:val="es-ES"/>
        </w:rPr>
        <w:t xml:space="preserve">n </w:t>
      </w:r>
      <w:r w:rsidR="00B9011F" w:rsidRPr="003B7960">
        <w:rPr>
          <w:rFonts w:ascii="Cambria" w:hAnsi="Cambria"/>
          <w:color w:val="000000"/>
          <w:sz w:val="20"/>
          <w:szCs w:val="20"/>
          <w:lang w:val="es-ES"/>
        </w:rPr>
        <w:t>las Bahamas</w:t>
      </w:r>
      <w:r w:rsidR="00067F9E" w:rsidRPr="003B7960">
        <w:rPr>
          <w:rFonts w:ascii="Cambria" w:hAnsi="Cambria"/>
          <w:color w:val="000000"/>
          <w:sz w:val="20"/>
          <w:szCs w:val="20"/>
          <w:lang w:val="es-ES"/>
        </w:rPr>
        <w:t xml:space="preserve">. </w:t>
      </w:r>
      <w:r w:rsidR="00D9742D" w:rsidRPr="003B7960">
        <w:rPr>
          <w:rFonts w:ascii="Cambria" w:hAnsi="Cambria"/>
          <w:color w:val="000000"/>
          <w:sz w:val="20"/>
          <w:szCs w:val="20"/>
          <w:lang w:val="es-ES"/>
        </w:rPr>
        <w:t>Por consiguiente</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00F0336B" w:rsidRPr="003B7960">
        <w:rPr>
          <w:rFonts w:ascii="Cambria" w:hAnsi="Cambria"/>
          <w:color w:val="000000"/>
          <w:sz w:val="20"/>
          <w:szCs w:val="20"/>
          <w:lang w:val="es-ES"/>
        </w:rPr>
        <w:t xml:space="preserve">concluye que </w:t>
      </w:r>
      <w:r w:rsidR="00A332F5"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w:t>
      </w:r>
      <w:r w:rsidR="00F0336B" w:rsidRPr="003B7960">
        <w:rPr>
          <w:rFonts w:ascii="Cambria" w:hAnsi="Cambria"/>
          <w:color w:val="000000"/>
          <w:sz w:val="20"/>
          <w:szCs w:val="20"/>
          <w:lang w:val="es-ES"/>
        </w:rPr>
        <w:t>no realizó las evaluaciones necesarias según las circunstancias de cada caso para</w:t>
      </w:r>
      <w:r w:rsidR="00067F9E" w:rsidRPr="003B7960">
        <w:rPr>
          <w:rFonts w:ascii="Cambria" w:hAnsi="Cambria"/>
          <w:color w:val="000000"/>
          <w:sz w:val="20"/>
          <w:szCs w:val="20"/>
          <w:lang w:val="es-ES"/>
        </w:rPr>
        <w:t xml:space="preserve"> determin</w:t>
      </w:r>
      <w:r w:rsidR="00F0336B" w:rsidRPr="003B7960">
        <w:rPr>
          <w:rFonts w:ascii="Cambria" w:hAnsi="Cambria"/>
          <w:color w:val="000000"/>
          <w:sz w:val="20"/>
          <w:szCs w:val="20"/>
          <w:lang w:val="es-ES"/>
        </w:rPr>
        <w:t>ar la necesidad d</w:t>
      </w:r>
      <w:r w:rsidR="00067F9E" w:rsidRPr="003B7960">
        <w:rPr>
          <w:rFonts w:ascii="Cambria" w:hAnsi="Cambria"/>
          <w:color w:val="000000"/>
          <w:sz w:val="20"/>
          <w:szCs w:val="20"/>
          <w:lang w:val="es-ES"/>
        </w:rPr>
        <w:t xml:space="preserve">e </w:t>
      </w:r>
      <w:r w:rsidR="00F0336B" w:rsidRPr="003B7960">
        <w:rPr>
          <w:rFonts w:ascii="Cambria" w:hAnsi="Cambria"/>
          <w:color w:val="000000"/>
          <w:sz w:val="20"/>
          <w:szCs w:val="20"/>
          <w:lang w:val="es-ES"/>
        </w:rPr>
        <w:t xml:space="preserve">detener a las </w:t>
      </w:r>
      <w:r w:rsidR="00C62DEF" w:rsidRPr="003B7960">
        <w:rPr>
          <w:rFonts w:ascii="Cambria" w:hAnsi="Cambria"/>
          <w:color w:val="000000"/>
          <w:sz w:val="20"/>
          <w:szCs w:val="20"/>
          <w:lang w:val="es-ES"/>
        </w:rPr>
        <w:t>presuntas víctimas</w:t>
      </w:r>
      <w:r w:rsidR="00067F9E" w:rsidRPr="003B7960">
        <w:rPr>
          <w:rFonts w:ascii="Cambria" w:hAnsi="Cambria"/>
          <w:color w:val="000000"/>
          <w:sz w:val="20"/>
          <w:szCs w:val="20"/>
          <w:lang w:val="es-ES"/>
        </w:rPr>
        <w:t>.</w:t>
      </w:r>
    </w:p>
    <w:p w14:paraId="215BB14F" w14:textId="77777777" w:rsidR="00067F9E" w:rsidRPr="003B7960" w:rsidRDefault="00067F9E" w:rsidP="00101DC6">
      <w:pPr>
        <w:pStyle w:val="ListParagraph"/>
        <w:tabs>
          <w:tab w:val="left" w:pos="426"/>
        </w:tabs>
        <w:ind w:left="0"/>
        <w:rPr>
          <w:rFonts w:ascii="Cambria" w:hAnsi="Cambria"/>
          <w:sz w:val="20"/>
          <w:szCs w:val="20"/>
          <w:lang w:val="es-ES"/>
        </w:rPr>
      </w:pPr>
    </w:p>
    <w:p w14:paraId="55ADE39D" w14:textId="77777777" w:rsidR="00067F9E" w:rsidRPr="003B7960" w:rsidRDefault="00E05A7A"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 xml:space="preserve">Cuarto, al considerar la </w:t>
      </w:r>
      <w:r w:rsidR="002B6DF8" w:rsidRPr="003B7960">
        <w:rPr>
          <w:rFonts w:ascii="Cambria" w:hAnsi="Cambria"/>
          <w:sz w:val="20"/>
          <w:szCs w:val="20"/>
          <w:lang w:val="es-ES"/>
        </w:rPr>
        <w:t>información</w:t>
      </w:r>
      <w:r w:rsidR="00067F9E" w:rsidRPr="003B7960">
        <w:rPr>
          <w:rFonts w:ascii="Cambria" w:hAnsi="Cambria"/>
          <w:sz w:val="20"/>
          <w:szCs w:val="20"/>
          <w:lang w:val="es-ES"/>
        </w:rPr>
        <w:t xml:space="preserve"> pro</w:t>
      </w:r>
      <w:r w:rsidRPr="003B7960">
        <w:rPr>
          <w:rFonts w:ascii="Cambria" w:hAnsi="Cambria"/>
          <w:sz w:val="20"/>
          <w:szCs w:val="20"/>
          <w:lang w:val="es-ES"/>
        </w:rPr>
        <w:t>porcionada por las partes</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no encuentra ningún indicio de que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hayan sido tratadas sobre la base de una </w:t>
      </w:r>
      <w:r w:rsidR="0095643C" w:rsidRPr="003B7960">
        <w:rPr>
          <w:rFonts w:ascii="Cambria" w:hAnsi="Cambria"/>
          <w:sz w:val="20"/>
          <w:szCs w:val="20"/>
          <w:lang w:val="es-ES"/>
        </w:rPr>
        <w:t>presunción de</w:t>
      </w:r>
      <w:r w:rsidR="00067F9E" w:rsidRPr="003B7960">
        <w:rPr>
          <w:rFonts w:ascii="Cambria" w:hAnsi="Cambria"/>
          <w:sz w:val="20"/>
          <w:szCs w:val="20"/>
          <w:lang w:val="es-ES"/>
        </w:rPr>
        <w:t xml:space="preserve"> libert</w:t>
      </w:r>
      <w:r w:rsidRPr="003B7960">
        <w:rPr>
          <w:rFonts w:ascii="Cambria" w:hAnsi="Cambria"/>
          <w:sz w:val="20"/>
          <w:szCs w:val="20"/>
          <w:lang w:val="es-ES"/>
        </w:rPr>
        <w:t>ad en vez de una</w:t>
      </w:r>
      <w:r w:rsidR="00067F9E" w:rsidRPr="003B7960">
        <w:rPr>
          <w:rFonts w:ascii="Cambria" w:hAnsi="Cambria"/>
          <w:sz w:val="20"/>
          <w:szCs w:val="20"/>
          <w:lang w:val="es-ES"/>
        </w:rPr>
        <w:t xml:space="preserve"> </w:t>
      </w:r>
      <w:r w:rsidR="0095643C" w:rsidRPr="003B7960">
        <w:rPr>
          <w:rFonts w:ascii="Cambria" w:hAnsi="Cambria"/>
          <w:sz w:val="20"/>
          <w:szCs w:val="20"/>
          <w:lang w:val="es-ES"/>
        </w:rPr>
        <w:t>presunción de</w:t>
      </w:r>
      <w:r w:rsidR="00067F9E" w:rsidRPr="003B7960">
        <w:rPr>
          <w:rFonts w:ascii="Cambria" w:hAnsi="Cambria"/>
          <w:sz w:val="20"/>
          <w:szCs w:val="20"/>
          <w:lang w:val="es-ES"/>
        </w:rPr>
        <w:t xml:space="preserve">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Pr="003B7960">
        <w:rPr>
          <w:rFonts w:ascii="Cambria" w:hAnsi="Cambria"/>
          <w:sz w:val="20"/>
          <w:szCs w:val="20"/>
          <w:lang w:val="es-ES"/>
        </w:rPr>
        <w:t>E</w:t>
      </w:r>
      <w:r w:rsidR="00067F9E" w:rsidRPr="003B7960">
        <w:rPr>
          <w:rFonts w:ascii="Cambria" w:hAnsi="Cambria"/>
          <w:sz w:val="20"/>
          <w:szCs w:val="20"/>
          <w:lang w:val="es-ES"/>
        </w:rPr>
        <w:t>n particular, t</w:t>
      </w:r>
      <w:r w:rsidRPr="003B7960">
        <w:rPr>
          <w:rFonts w:ascii="Cambria" w:hAnsi="Cambria"/>
          <w:sz w:val="20"/>
          <w:szCs w:val="20"/>
          <w:lang w:val="es-ES"/>
        </w:rPr>
        <w:t>eniendo en cuenta el contexto establecido en el presente</w:t>
      </w:r>
      <w:r w:rsidR="00067F9E" w:rsidRPr="003B7960">
        <w:rPr>
          <w:rFonts w:ascii="Cambria" w:hAnsi="Cambria"/>
          <w:sz w:val="20"/>
          <w:szCs w:val="20"/>
          <w:lang w:val="es-ES"/>
        </w:rPr>
        <w:t xml:space="preserve"> </w:t>
      </w:r>
      <w:r w:rsidR="008A4F19" w:rsidRPr="003B7960">
        <w:rPr>
          <w:rFonts w:ascii="Cambria" w:hAnsi="Cambria"/>
          <w:sz w:val="20"/>
          <w:szCs w:val="20"/>
          <w:lang w:val="es-ES"/>
        </w:rPr>
        <w:t>informe</w:t>
      </w:r>
      <w:r w:rsidRPr="003B7960">
        <w:rPr>
          <w:rFonts w:ascii="Cambria" w:hAnsi="Cambria"/>
          <w:sz w:val="20"/>
          <w:szCs w:val="20"/>
          <w:lang w:val="es-ES"/>
        </w:rPr>
        <w:t xml:space="preserve"> y la información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contenida en informes preparados por </w:t>
      </w:r>
      <w:r w:rsidR="002B6DF8" w:rsidRPr="003B7960">
        <w:rPr>
          <w:rFonts w:ascii="Cambria" w:hAnsi="Cambria"/>
          <w:sz w:val="20"/>
          <w:szCs w:val="20"/>
          <w:lang w:val="es-ES"/>
        </w:rPr>
        <w:t>organizaciones internacionales</w:t>
      </w:r>
      <w:r w:rsidR="00067F9E" w:rsidRPr="003B7960">
        <w:rPr>
          <w:rFonts w:ascii="Cambria" w:hAnsi="Cambria"/>
          <w:sz w:val="20"/>
          <w:szCs w:val="20"/>
          <w:lang w:val="es-ES"/>
        </w:rPr>
        <w:t xml:space="preserve"> </w:t>
      </w:r>
      <w:r w:rsidR="00857D7C" w:rsidRPr="003B7960">
        <w:rPr>
          <w:rFonts w:ascii="Cambria" w:hAnsi="Cambria"/>
          <w:sz w:val="20"/>
          <w:szCs w:val="20"/>
          <w:lang w:val="es-ES"/>
        </w:rPr>
        <w:t>y presentados en audiencias públicas</w:t>
      </w:r>
      <w:r w:rsidR="005F530E" w:rsidRPr="003B7960">
        <w:rPr>
          <w:rFonts w:ascii="Cambria" w:hAnsi="Cambria"/>
          <w:sz w:val="20"/>
          <w:szCs w:val="20"/>
          <w:lang w:val="es-ES"/>
        </w:rPr>
        <w:t>,</w:t>
      </w:r>
      <w:r w:rsidR="00857D7C" w:rsidRPr="003B7960">
        <w:rPr>
          <w:rFonts w:ascii="Cambria" w:hAnsi="Cambria"/>
          <w:sz w:val="20"/>
          <w:szCs w:val="20"/>
          <w:lang w:val="es-ES"/>
        </w:rPr>
        <w:t xml:space="preserve"> según la cual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857D7C" w:rsidRPr="003B7960">
        <w:rPr>
          <w:rFonts w:ascii="Cambria" w:hAnsi="Cambria"/>
          <w:sz w:val="20"/>
          <w:szCs w:val="20"/>
          <w:lang w:val="es-ES"/>
        </w:rPr>
        <w:t>de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857D7C" w:rsidRPr="003B7960">
        <w:rPr>
          <w:rFonts w:ascii="Cambria" w:hAnsi="Cambria"/>
          <w:sz w:val="20"/>
          <w:szCs w:val="20"/>
          <w:lang w:val="es-ES"/>
        </w:rPr>
        <w:t>se debió únicamente a su condición migratoria</w:t>
      </w:r>
      <w:r w:rsidR="00067F9E" w:rsidRPr="003B7960">
        <w:rPr>
          <w:rFonts w:ascii="Cambria" w:hAnsi="Cambria"/>
          <w:sz w:val="20"/>
          <w:szCs w:val="20"/>
          <w:lang w:val="es-ES"/>
        </w:rPr>
        <w:t xml:space="preserve"> irregular,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857D7C" w:rsidRPr="003B7960">
        <w:rPr>
          <w:rFonts w:ascii="Cambria" w:hAnsi="Cambria"/>
          <w:sz w:val="20"/>
          <w:szCs w:val="20"/>
          <w:lang w:val="es-ES"/>
        </w:rPr>
        <w:t xml:space="preserve">no encuentra ninguna información que parezca indicar que en algún momento durante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857D7C" w:rsidRPr="003B7960">
        <w:rPr>
          <w:rFonts w:ascii="Cambria" w:hAnsi="Cambria"/>
          <w:sz w:val="20"/>
          <w:szCs w:val="20"/>
          <w:lang w:val="es-ES"/>
        </w:rPr>
        <w:t xml:space="preserve">se haya hecho un análisis con el fin de determinar si esta medida era estrictamente necesaria para proteger los resultados del procedimiento para determinar la condición migratoria de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857D7C" w:rsidRPr="003B7960">
        <w:rPr>
          <w:rFonts w:ascii="Cambria" w:hAnsi="Cambria"/>
          <w:sz w:val="20"/>
          <w:szCs w:val="20"/>
          <w:lang w:val="es-ES"/>
        </w:rPr>
        <w:t>Por consiguiente</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857D7C" w:rsidRPr="003B7960">
        <w:rPr>
          <w:rFonts w:ascii="Cambria" w:hAnsi="Cambria"/>
          <w:sz w:val="20"/>
          <w:szCs w:val="20"/>
          <w:lang w:val="es-ES"/>
        </w:rPr>
        <w:t xml:space="preserve">no encuentra ningún fundamento compatible con las normas internacionales que justifique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857D7C" w:rsidRPr="003B7960">
        <w:rPr>
          <w:rFonts w:ascii="Cambria" w:hAnsi="Cambria"/>
          <w:sz w:val="20"/>
          <w:szCs w:val="20"/>
          <w:lang w:val="es-ES"/>
        </w:rPr>
        <w:t>de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857D7C" w:rsidRPr="003B7960">
        <w:rPr>
          <w:rFonts w:ascii="Cambria" w:hAnsi="Cambria"/>
          <w:sz w:val="20"/>
          <w:szCs w:val="20"/>
          <w:lang w:val="es-ES"/>
        </w:rPr>
        <w:t>en el</w:t>
      </w:r>
      <w:r w:rsidR="00067F9E" w:rsidRPr="003B7960">
        <w:rPr>
          <w:rFonts w:ascii="Cambria" w:hAnsi="Cambria"/>
          <w:sz w:val="20"/>
          <w:szCs w:val="20"/>
          <w:lang w:val="es-ES"/>
        </w:rPr>
        <w:t xml:space="preserve">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w:t>
      </w:r>
    </w:p>
    <w:p w14:paraId="0B01D58E" w14:textId="77777777" w:rsidR="00067F9E" w:rsidRPr="003B7960" w:rsidRDefault="00067F9E" w:rsidP="00101DC6">
      <w:pPr>
        <w:tabs>
          <w:tab w:val="left" w:pos="426"/>
        </w:tabs>
        <w:rPr>
          <w:rFonts w:ascii="Cambria" w:hAnsi="Cambria"/>
          <w:sz w:val="20"/>
          <w:szCs w:val="20"/>
          <w:lang w:val="es-ES"/>
        </w:rPr>
      </w:pPr>
    </w:p>
    <w:p w14:paraId="606A620E" w14:textId="11243650" w:rsidR="00067F9E" w:rsidRPr="003B7960" w:rsidRDefault="00B40C7B"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Quinto</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recalca la índole excepcional</w:t>
      </w:r>
      <w:r w:rsidR="00067F9E" w:rsidRPr="003B7960">
        <w:rPr>
          <w:rFonts w:ascii="Cambria" w:hAnsi="Cambria"/>
          <w:sz w:val="20"/>
          <w:szCs w:val="20"/>
          <w:lang w:val="es-ES"/>
        </w:rPr>
        <w:t xml:space="preserve"> </w:t>
      </w:r>
      <w:r w:rsidRPr="003B7960">
        <w:rPr>
          <w:rFonts w:ascii="Cambria" w:hAnsi="Cambria"/>
          <w:sz w:val="20"/>
          <w:szCs w:val="20"/>
          <w:lang w:val="es-ES"/>
        </w:rPr>
        <w:t xml:space="preserve">de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Pr="003B7960">
        <w:rPr>
          <w:rFonts w:ascii="Cambria" w:hAnsi="Cambria"/>
          <w:sz w:val="20"/>
          <w:szCs w:val="20"/>
          <w:lang w:val="es-ES"/>
        </w:rPr>
        <w:t>de</w:t>
      </w:r>
      <w:r w:rsidR="00067F9E" w:rsidRPr="003B7960">
        <w:rPr>
          <w:rFonts w:ascii="Cambria" w:hAnsi="Cambria"/>
          <w:sz w:val="20"/>
          <w:szCs w:val="20"/>
          <w:lang w:val="es-ES"/>
        </w:rPr>
        <w:t xml:space="preserve"> </w:t>
      </w:r>
      <w:r w:rsidR="00D372E8" w:rsidRPr="003B7960">
        <w:rPr>
          <w:rFonts w:ascii="Cambria" w:hAnsi="Cambria"/>
          <w:sz w:val="20"/>
          <w:szCs w:val="20"/>
          <w:lang w:val="es-ES"/>
        </w:rPr>
        <w:t>migrantes irregulares</w:t>
      </w:r>
      <w:r w:rsidR="00067F9E" w:rsidRPr="003B7960">
        <w:rPr>
          <w:rFonts w:ascii="Cambria" w:hAnsi="Cambria"/>
          <w:sz w:val="20"/>
          <w:szCs w:val="20"/>
          <w:lang w:val="es-ES"/>
        </w:rPr>
        <w:t xml:space="preserve"> </w:t>
      </w:r>
      <w:r w:rsidRPr="003B7960">
        <w:rPr>
          <w:rFonts w:ascii="Cambria" w:hAnsi="Cambria"/>
          <w:sz w:val="20"/>
          <w:szCs w:val="20"/>
          <w:lang w:val="es-ES"/>
        </w:rPr>
        <w:t xml:space="preserve">y concluye que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Pr="003B7960">
        <w:rPr>
          <w:rFonts w:ascii="Cambria" w:hAnsi="Cambria"/>
          <w:sz w:val="20"/>
          <w:szCs w:val="20"/>
          <w:lang w:val="es-ES"/>
        </w:rPr>
        <w:t>no ha demostrado la existencia de circunstancias</w:t>
      </w:r>
      <w:r w:rsidR="00067F9E" w:rsidRPr="003B7960">
        <w:rPr>
          <w:rFonts w:ascii="Cambria" w:hAnsi="Cambria"/>
          <w:sz w:val="20"/>
          <w:szCs w:val="20"/>
          <w:lang w:val="es-ES"/>
        </w:rPr>
        <w:t xml:space="preserve"> </w:t>
      </w:r>
      <w:r w:rsidRPr="003B7960">
        <w:rPr>
          <w:rFonts w:ascii="Cambria" w:hAnsi="Cambria"/>
          <w:sz w:val="20"/>
          <w:szCs w:val="20"/>
          <w:lang w:val="es-ES"/>
        </w:rPr>
        <w:t>excepcionales</w:t>
      </w:r>
      <w:r w:rsidR="00067F9E" w:rsidRPr="003B7960">
        <w:rPr>
          <w:rFonts w:ascii="Cambria" w:hAnsi="Cambria"/>
          <w:sz w:val="20"/>
          <w:szCs w:val="20"/>
          <w:lang w:val="es-ES"/>
        </w:rPr>
        <w:t xml:space="preserve"> </w:t>
      </w:r>
      <w:r w:rsidRPr="003B7960">
        <w:rPr>
          <w:rFonts w:ascii="Cambria" w:hAnsi="Cambria"/>
          <w:sz w:val="20"/>
          <w:szCs w:val="20"/>
          <w:lang w:val="es-ES"/>
        </w:rPr>
        <w:t xml:space="preserve">que justifiquen la detención en masa de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6A581A" w:rsidRPr="003B7960">
        <w:rPr>
          <w:rFonts w:ascii="Cambria" w:hAnsi="Cambria"/>
          <w:sz w:val="20"/>
          <w:szCs w:val="20"/>
          <w:lang w:val="es-ES"/>
        </w:rPr>
        <w:t xml:space="preserve">En vista de que había </w:t>
      </w:r>
      <w:r w:rsidR="000265CB" w:rsidRPr="003B7960">
        <w:rPr>
          <w:rFonts w:ascii="Cambria" w:hAnsi="Cambria"/>
          <w:sz w:val="20"/>
          <w:szCs w:val="20"/>
          <w:lang w:val="es-ES"/>
        </w:rPr>
        <w:t>niños</w:t>
      </w:r>
      <w:r w:rsidR="006A581A" w:rsidRPr="003B7960">
        <w:rPr>
          <w:rFonts w:ascii="Cambria" w:hAnsi="Cambria"/>
          <w:sz w:val="20"/>
          <w:szCs w:val="20"/>
          <w:lang w:val="es-ES"/>
        </w:rPr>
        <w:t xml:space="preserve"> entre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6A581A" w:rsidRPr="003B7960">
        <w:rPr>
          <w:rFonts w:ascii="Cambria" w:hAnsi="Cambria"/>
          <w:sz w:val="20"/>
          <w:szCs w:val="20"/>
          <w:lang w:val="es-ES"/>
        </w:rPr>
        <w:t xml:space="preserve">concluye, ante la falta de información en contrario, que su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6A581A" w:rsidRPr="003B7960">
        <w:rPr>
          <w:rFonts w:ascii="Cambria" w:hAnsi="Cambria"/>
          <w:sz w:val="20"/>
          <w:szCs w:val="20"/>
          <w:lang w:val="es-ES"/>
        </w:rPr>
        <w:t>se debió exc</w:t>
      </w:r>
      <w:r w:rsidR="00067F9E" w:rsidRPr="003B7960">
        <w:rPr>
          <w:rFonts w:ascii="Cambria" w:hAnsi="Cambria"/>
          <w:sz w:val="20"/>
          <w:szCs w:val="20"/>
          <w:lang w:val="es-ES"/>
        </w:rPr>
        <w:t>lusiv</w:t>
      </w:r>
      <w:r w:rsidR="006A581A" w:rsidRPr="003B7960">
        <w:rPr>
          <w:rFonts w:ascii="Cambria" w:hAnsi="Cambria"/>
          <w:sz w:val="20"/>
          <w:szCs w:val="20"/>
          <w:lang w:val="es-ES"/>
        </w:rPr>
        <w:t xml:space="preserve">amente a razones migratorias y, por lo tanto, excedió los límites establecidos en la </w:t>
      </w:r>
      <w:r w:rsidR="00B9011F" w:rsidRPr="003B7960">
        <w:rPr>
          <w:rFonts w:ascii="Cambria" w:hAnsi="Cambria"/>
          <w:sz w:val="20"/>
          <w:szCs w:val="20"/>
          <w:lang w:val="es-ES"/>
        </w:rPr>
        <w:t>Declaración Americana</w:t>
      </w:r>
      <w:r w:rsidR="00067F9E" w:rsidRPr="003B7960">
        <w:rPr>
          <w:rFonts w:ascii="Cambria" w:hAnsi="Cambria"/>
          <w:sz w:val="20"/>
          <w:szCs w:val="20"/>
          <w:lang w:val="es-ES"/>
        </w:rPr>
        <w:t>.</w:t>
      </w:r>
    </w:p>
    <w:p w14:paraId="6C409923" w14:textId="77777777" w:rsidR="00067F9E" w:rsidRPr="003B7960" w:rsidRDefault="00067F9E" w:rsidP="00101DC6">
      <w:pPr>
        <w:tabs>
          <w:tab w:val="left" w:pos="426"/>
        </w:tabs>
        <w:rPr>
          <w:rFonts w:ascii="Cambria" w:hAnsi="Cambria"/>
          <w:sz w:val="20"/>
          <w:szCs w:val="20"/>
          <w:lang w:val="es-ES"/>
        </w:rPr>
      </w:pPr>
    </w:p>
    <w:p w14:paraId="053FBCB1" w14:textId="1871B6B6"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conclu</w:t>
      </w:r>
      <w:r w:rsidR="00350697" w:rsidRPr="003B7960">
        <w:rPr>
          <w:rFonts w:ascii="Cambria" w:hAnsi="Cambria"/>
          <w:color w:val="000000"/>
          <w:sz w:val="20"/>
          <w:szCs w:val="20"/>
          <w:lang w:val="es-ES"/>
        </w:rPr>
        <w:t xml:space="preserve">ye que la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350697" w:rsidRPr="003B7960">
        <w:rPr>
          <w:rFonts w:ascii="Cambria" w:hAnsi="Cambria"/>
          <w:color w:val="000000"/>
          <w:sz w:val="20"/>
          <w:szCs w:val="20"/>
          <w:lang w:val="es-ES"/>
        </w:rPr>
        <w:t xml:space="preserve">de las </w:t>
      </w:r>
      <w:r w:rsidR="00C62DEF" w:rsidRPr="003B7960">
        <w:rPr>
          <w:rFonts w:ascii="Cambria" w:hAnsi="Cambria"/>
          <w:color w:val="000000"/>
          <w:sz w:val="20"/>
          <w:szCs w:val="20"/>
          <w:lang w:val="es-ES"/>
        </w:rPr>
        <w:t>presuntas víctimas</w:t>
      </w:r>
      <w:r w:rsidR="00067F9E" w:rsidRPr="003B7960">
        <w:rPr>
          <w:rFonts w:ascii="Cambria" w:hAnsi="Cambria"/>
          <w:color w:val="000000"/>
          <w:sz w:val="20"/>
          <w:szCs w:val="20"/>
          <w:lang w:val="es-ES"/>
        </w:rPr>
        <w:t xml:space="preserve"> </w:t>
      </w:r>
      <w:r w:rsidR="00350697" w:rsidRPr="003B7960">
        <w:rPr>
          <w:rFonts w:ascii="Cambria" w:hAnsi="Cambria"/>
          <w:color w:val="000000"/>
          <w:sz w:val="20"/>
          <w:szCs w:val="20"/>
          <w:lang w:val="es-ES"/>
        </w:rPr>
        <w:t>en este</w:t>
      </w:r>
      <w:r w:rsidR="00067F9E" w:rsidRPr="003B7960">
        <w:rPr>
          <w:rFonts w:ascii="Cambria" w:hAnsi="Cambria"/>
          <w:color w:val="000000"/>
          <w:sz w:val="20"/>
          <w:szCs w:val="20"/>
          <w:lang w:val="es-ES"/>
        </w:rPr>
        <w:t xml:space="preserve"> </w:t>
      </w:r>
      <w:r w:rsidR="008A4F19" w:rsidRPr="003B7960">
        <w:rPr>
          <w:rFonts w:ascii="Cambria" w:hAnsi="Cambria"/>
          <w:color w:val="000000"/>
          <w:sz w:val="20"/>
          <w:szCs w:val="20"/>
          <w:lang w:val="es-ES"/>
        </w:rPr>
        <w:t>caso</w:t>
      </w:r>
      <w:r w:rsidR="00067F9E" w:rsidRPr="003B7960">
        <w:rPr>
          <w:rFonts w:ascii="Cambria" w:hAnsi="Cambria"/>
          <w:color w:val="000000"/>
          <w:sz w:val="20"/>
          <w:szCs w:val="20"/>
          <w:lang w:val="es-ES"/>
        </w:rPr>
        <w:t xml:space="preserve"> </w:t>
      </w:r>
      <w:r w:rsidR="00350697" w:rsidRPr="003B7960">
        <w:rPr>
          <w:rFonts w:ascii="Cambria" w:hAnsi="Cambria"/>
          <w:color w:val="000000"/>
          <w:sz w:val="20"/>
          <w:szCs w:val="20"/>
          <w:lang w:val="es-ES"/>
        </w:rPr>
        <w:t>fue manifiestamente</w:t>
      </w:r>
      <w:r w:rsidR="00067F9E" w:rsidRPr="003B7960">
        <w:rPr>
          <w:rFonts w:ascii="Cambria" w:hAnsi="Cambria"/>
          <w:color w:val="000000"/>
          <w:sz w:val="20"/>
          <w:szCs w:val="20"/>
          <w:lang w:val="es-ES"/>
        </w:rPr>
        <w:t xml:space="preserve"> arbitrar</w:t>
      </w:r>
      <w:r w:rsidR="00350697" w:rsidRPr="003B7960">
        <w:rPr>
          <w:rFonts w:ascii="Cambria" w:hAnsi="Cambria"/>
          <w:color w:val="000000"/>
          <w:sz w:val="20"/>
          <w:szCs w:val="20"/>
          <w:lang w:val="es-ES"/>
        </w:rPr>
        <w:t xml:space="preserve">ia, ya que respondió a una política evidente de </w:t>
      </w:r>
      <w:r w:rsidR="00CC118A" w:rsidRPr="003B7960">
        <w:rPr>
          <w:rFonts w:ascii="Cambria" w:hAnsi="Cambria"/>
          <w:color w:val="000000"/>
          <w:sz w:val="20"/>
          <w:szCs w:val="20"/>
          <w:lang w:val="es-ES"/>
        </w:rPr>
        <w:t>detención automática</w:t>
      </w:r>
      <w:r w:rsidR="00067F9E" w:rsidRPr="003B7960">
        <w:rPr>
          <w:rFonts w:ascii="Cambria" w:hAnsi="Cambria"/>
          <w:color w:val="000000"/>
          <w:sz w:val="20"/>
          <w:szCs w:val="20"/>
          <w:lang w:val="es-ES"/>
        </w:rPr>
        <w:t xml:space="preserve"> </w:t>
      </w:r>
      <w:r w:rsidR="00350697" w:rsidRPr="003B7960">
        <w:rPr>
          <w:rFonts w:ascii="Cambria" w:hAnsi="Cambria"/>
          <w:color w:val="000000"/>
          <w:sz w:val="20"/>
          <w:szCs w:val="20"/>
          <w:lang w:val="es-ES"/>
        </w:rPr>
        <w:t xml:space="preserve">sin una determinación individualizada en la cual se tuvieran en cuenta elementos objetivos para refutar la presunción en contra de la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350697" w:rsidRPr="003B7960">
        <w:rPr>
          <w:rFonts w:ascii="Cambria" w:hAnsi="Cambria"/>
          <w:color w:val="000000"/>
          <w:sz w:val="20"/>
          <w:szCs w:val="20"/>
          <w:lang w:val="es-ES"/>
        </w:rPr>
        <w:t>y llegar a una decisión debidamente fundamentada de detener a la persona</w:t>
      </w:r>
      <w:r w:rsidR="00067F9E" w:rsidRPr="003B7960">
        <w:rPr>
          <w:rFonts w:ascii="Cambria" w:hAnsi="Cambria"/>
          <w:color w:val="000000"/>
          <w:sz w:val="20"/>
          <w:szCs w:val="20"/>
          <w:lang w:val="es-ES"/>
        </w:rPr>
        <w:t xml:space="preserve">. </w:t>
      </w:r>
      <w:r w:rsidR="00350697" w:rsidRPr="003B7960">
        <w:rPr>
          <w:rFonts w:ascii="Cambria" w:hAnsi="Cambria"/>
          <w:color w:val="000000"/>
          <w:sz w:val="20"/>
          <w:szCs w:val="20"/>
          <w:lang w:val="es-ES"/>
        </w:rPr>
        <w:t xml:space="preserve">Asimismo, la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350697" w:rsidRPr="003B7960">
        <w:rPr>
          <w:rFonts w:ascii="Cambria" w:hAnsi="Cambria"/>
          <w:color w:val="000000"/>
          <w:sz w:val="20"/>
          <w:szCs w:val="20"/>
          <w:lang w:val="es-ES"/>
        </w:rPr>
        <w:t xml:space="preserve">de </w:t>
      </w:r>
      <w:r w:rsidR="000265CB" w:rsidRPr="003B7960">
        <w:rPr>
          <w:rFonts w:ascii="Cambria" w:hAnsi="Cambria"/>
          <w:color w:val="000000"/>
          <w:sz w:val="20"/>
          <w:szCs w:val="20"/>
          <w:lang w:val="es-ES"/>
        </w:rPr>
        <w:t>niños</w:t>
      </w:r>
      <w:r w:rsidR="00350697" w:rsidRPr="003B7960">
        <w:rPr>
          <w:rFonts w:ascii="Cambria" w:hAnsi="Cambria"/>
          <w:color w:val="000000"/>
          <w:sz w:val="20"/>
          <w:szCs w:val="20"/>
          <w:lang w:val="es-ES"/>
        </w:rPr>
        <w:t xml:space="preserve"> contraviene el principio del interés superior del niño</w:t>
      </w:r>
      <w:r w:rsidR="00067F9E" w:rsidRPr="003B7960">
        <w:rPr>
          <w:rFonts w:ascii="Cambria" w:hAnsi="Cambria"/>
          <w:color w:val="000000"/>
          <w:sz w:val="20"/>
          <w:szCs w:val="20"/>
          <w:lang w:val="es-ES"/>
        </w:rPr>
        <w:t>.</w:t>
      </w:r>
    </w:p>
    <w:p w14:paraId="79369835"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E7A1527" w14:textId="77777777" w:rsidR="00067F9E" w:rsidRPr="003B7960" w:rsidRDefault="00101137" w:rsidP="00101DC6">
      <w:pPr>
        <w:pStyle w:val="Heading3"/>
        <w:numPr>
          <w:ilvl w:val="0"/>
          <w:numId w:val="62"/>
        </w:numPr>
        <w:pBdr>
          <w:top w:val="nil"/>
          <w:left w:val="nil"/>
          <w:bottom w:val="nil"/>
          <w:right w:val="nil"/>
          <w:between w:val="nil"/>
          <w:bar w:val="nil"/>
        </w:pBdr>
        <w:tabs>
          <w:tab w:val="clear" w:pos="540"/>
          <w:tab w:val="left" w:pos="426"/>
        </w:tabs>
        <w:ind w:left="0" w:firstLine="0"/>
        <w:rPr>
          <w:lang w:val="es-ES"/>
        </w:rPr>
      </w:pPr>
      <w:bookmarkStart w:id="22" w:name="_Toc90557307"/>
      <w:r w:rsidRPr="003B7960">
        <w:rPr>
          <w:lang w:val="es-ES"/>
        </w:rPr>
        <w:t>Trato inhumano</w:t>
      </w:r>
      <w:r w:rsidR="00067F9E" w:rsidRPr="003B7960">
        <w:rPr>
          <w:lang w:val="es-ES"/>
        </w:rPr>
        <w:t xml:space="preserve"> </w:t>
      </w:r>
      <w:r w:rsidR="00350697" w:rsidRPr="003B7960">
        <w:rPr>
          <w:lang w:val="es-ES"/>
        </w:rPr>
        <w:t>de</w:t>
      </w:r>
      <w:r w:rsidR="00067F9E" w:rsidRPr="003B7960">
        <w:rPr>
          <w:lang w:val="es-ES"/>
        </w:rPr>
        <w:t xml:space="preserve"> </w:t>
      </w:r>
      <w:r w:rsidR="007B6078" w:rsidRPr="003B7960">
        <w:rPr>
          <w:lang w:val="es-ES"/>
        </w:rPr>
        <w:t>detenidos</w:t>
      </w:r>
      <w:r w:rsidR="00067F9E" w:rsidRPr="003B7960">
        <w:rPr>
          <w:lang w:val="es-ES"/>
        </w:rPr>
        <w:t xml:space="preserve"> </w:t>
      </w:r>
      <w:r w:rsidR="00350697" w:rsidRPr="003B7960">
        <w:rPr>
          <w:lang w:val="es-ES"/>
        </w:rPr>
        <w:t xml:space="preserve">en el </w:t>
      </w:r>
      <w:r w:rsidR="00CF3BDB" w:rsidRPr="003B7960">
        <w:rPr>
          <w:lang w:val="es-ES"/>
        </w:rPr>
        <w:t xml:space="preserve">Centro de Detención de </w:t>
      </w:r>
      <w:proofErr w:type="spellStart"/>
      <w:r w:rsidR="00CF3BDB" w:rsidRPr="003B7960">
        <w:rPr>
          <w:lang w:val="es-ES"/>
        </w:rPr>
        <w:t>Carmichael</w:t>
      </w:r>
      <w:proofErr w:type="spellEnd"/>
      <w:r w:rsidR="00CF3BDB" w:rsidRPr="003B7960">
        <w:rPr>
          <w:lang w:val="es-ES"/>
        </w:rPr>
        <w:t xml:space="preserve"> Road</w:t>
      </w:r>
      <w:bookmarkEnd w:id="22"/>
    </w:p>
    <w:p w14:paraId="6C8A4238"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0F1B625F" w14:textId="0A4201B9" w:rsidR="00067F9E" w:rsidRPr="003B7960" w:rsidRDefault="00350697"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En este</w:t>
      </w:r>
      <w:r w:rsidR="00067F9E" w:rsidRPr="003B7960">
        <w:rPr>
          <w:rFonts w:ascii="Cambria" w:hAnsi="Cambria"/>
          <w:color w:val="000000"/>
          <w:sz w:val="20"/>
          <w:szCs w:val="20"/>
          <w:lang w:val="es-ES"/>
        </w:rPr>
        <w:t xml:space="preserve"> </w:t>
      </w:r>
      <w:r w:rsidR="008A4F19" w:rsidRPr="003B7960">
        <w:rPr>
          <w:rFonts w:ascii="Cambria" w:hAnsi="Cambria"/>
          <w:color w:val="000000"/>
          <w:sz w:val="20"/>
          <w:szCs w:val="20"/>
          <w:lang w:val="es-ES"/>
        </w:rPr>
        <w:t>caso</w:t>
      </w:r>
      <w:r w:rsidR="00067F9E" w:rsidRPr="003B7960">
        <w:rPr>
          <w:rFonts w:ascii="Cambria" w:hAnsi="Cambria"/>
          <w:color w:val="000000"/>
          <w:sz w:val="20"/>
          <w:szCs w:val="20"/>
          <w:lang w:val="es-ES"/>
        </w:rPr>
        <w:t xml:space="preserve">, </w:t>
      </w:r>
      <w:r w:rsidR="00170D77" w:rsidRPr="003B7960">
        <w:rPr>
          <w:rFonts w:ascii="Cambria" w:hAnsi="Cambria"/>
          <w:color w:val="000000"/>
          <w:sz w:val="20"/>
          <w:szCs w:val="20"/>
          <w:lang w:val="es-ES"/>
        </w:rPr>
        <w:t xml:space="preserve">la parte peticionaria </w:t>
      </w:r>
      <w:proofErr w:type="spellStart"/>
      <w:r w:rsidR="00170D77" w:rsidRPr="003B7960">
        <w:rPr>
          <w:rFonts w:ascii="Cambria" w:hAnsi="Cambria"/>
          <w:sz w:val="20"/>
          <w:szCs w:val="20"/>
          <w:lang w:val="es-ES"/>
        </w:rPr>
        <w:t>alegaró</w:t>
      </w:r>
      <w:proofErr w:type="spellEnd"/>
      <w:r w:rsidR="00170D77" w:rsidRPr="003B7960">
        <w:rPr>
          <w:rFonts w:ascii="Cambria" w:hAnsi="Cambria"/>
          <w:sz w:val="20"/>
          <w:szCs w:val="20"/>
          <w:lang w:val="es-ES"/>
        </w:rPr>
        <w:t xml:space="preserve"> </w:t>
      </w:r>
      <w:r w:rsidRPr="003B7960">
        <w:rPr>
          <w:rFonts w:ascii="Cambria" w:hAnsi="Cambria"/>
          <w:sz w:val="20"/>
          <w:szCs w:val="20"/>
          <w:lang w:val="es-ES"/>
        </w:rPr>
        <w:t xml:space="preserve">que las </w:t>
      </w:r>
      <w:r w:rsidR="00AD3ABA" w:rsidRPr="003B7960">
        <w:rPr>
          <w:rFonts w:ascii="Cambria" w:hAnsi="Cambria"/>
          <w:color w:val="000000"/>
          <w:sz w:val="20"/>
          <w:szCs w:val="20"/>
          <w:lang w:val="es-ES"/>
        </w:rPr>
        <w:t>condiciones de detención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en el Centro no se ciñen a las </w:t>
      </w:r>
      <w:r w:rsidR="00DC4AA1" w:rsidRPr="003B7960">
        <w:rPr>
          <w:rFonts w:ascii="Cambria" w:hAnsi="Cambria"/>
          <w:color w:val="000000"/>
          <w:sz w:val="20"/>
          <w:szCs w:val="20"/>
          <w:lang w:val="es-ES"/>
        </w:rPr>
        <w:t>normas mínimas</w:t>
      </w:r>
      <w:r w:rsidR="004B2866" w:rsidRPr="003B7960">
        <w:rPr>
          <w:rFonts w:ascii="Cambria" w:hAnsi="Cambria"/>
          <w:color w:val="000000"/>
          <w:sz w:val="20"/>
          <w:szCs w:val="20"/>
          <w:lang w:val="es-ES"/>
        </w:rPr>
        <w:t xml:space="preserve"> reconocidas en el plano internacional</w:t>
      </w:r>
      <w:r w:rsidR="00067F9E" w:rsidRPr="003B7960">
        <w:rPr>
          <w:rFonts w:ascii="Cambria" w:hAnsi="Cambria"/>
          <w:color w:val="000000"/>
          <w:sz w:val="20"/>
          <w:szCs w:val="20"/>
          <w:lang w:val="es-ES"/>
        </w:rPr>
        <w:t>, inclu</w:t>
      </w:r>
      <w:r w:rsidRPr="003B7960">
        <w:rPr>
          <w:rFonts w:ascii="Cambria" w:hAnsi="Cambria"/>
          <w:color w:val="000000"/>
          <w:sz w:val="20"/>
          <w:szCs w:val="20"/>
          <w:lang w:val="es-ES"/>
        </w:rPr>
        <w:t>so en lo que respecta al suministro de alimentos y atención médica y a la separación de la familia. Asimismo, l</w:t>
      </w:r>
      <w:r w:rsidR="00B9011F" w:rsidRPr="003B7960">
        <w:rPr>
          <w:rFonts w:ascii="Cambria" w:hAnsi="Cambria"/>
          <w:color w:val="000000"/>
          <w:sz w:val="20"/>
          <w:szCs w:val="20"/>
          <w:lang w:val="es-ES"/>
        </w:rPr>
        <w:t>a Comisión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tomó en cuenta </w:t>
      </w:r>
      <w:r w:rsidR="00067F9E" w:rsidRPr="003B7960">
        <w:rPr>
          <w:rFonts w:ascii="Cambria" w:hAnsi="Cambria"/>
          <w:color w:val="000000"/>
          <w:sz w:val="20"/>
          <w:szCs w:val="20"/>
          <w:lang w:val="es-ES"/>
        </w:rPr>
        <w:t>numero</w:t>
      </w:r>
      <w:r w:rsidR="003B607C" w:rsidRPr="003B7960">
        <w:rPr>
          <w:rFonts w:ascii="Cambria" w:hAnsi="Cambria"/>
          <w:color w:val="000000"/>
          <w:sz w:val="20"/>
          <w:szCs w:val="20"/>
          <w:lang w:val="es-ES"/>
        </w:rPr>
        <w:t>sos informes proporcionados por órganos internacionales en los últimos veinte años según los cuales</w:t>
      </w:r>
      <w:r w:rsidR="000F78E7" w:rsidRPr="003B7960">
        <w:rPr>
          <w:rFonts w:ascii="Cambria" w:hAnsi="Cambria"/>
          <w:color w:val="000000"/>
          <w:sz w:val="20"/>
          <w:szCs w:val="20"/>
          <w:lang w:val="es-ES"/>
        </w:rPr>
        <w:t xml:space="preserve"> </w:t>
      </w:r>
      <w:r w:rsidR="003B607C" w:rsidRPr="003B7960">
        <w:rPr>
          <w:rFonts w:ascii="Cambria" w:hAnsi="Cambria"/>
          <w:color w:val="000000"/>
          <w:sz w:val="20"/>
          <w:szCs w:val="20"/>
          <w:lang w:val="es-ES"/>
        </w:rPr>
        <w:t xml:space="preserve">las </w:t>
      </w:r>
      <w:r w:rsidR="000C3E4C" w:rsidRPr="003B7960">
        <w:rPr>
          <w:rFonts w:ascii="Cambria" w:hAnsi="Cambria"/>
          <w:color w:val="000000"/>
          <w:sz w:val="20"/>
          <w:szCs w:val="20"/>
          <w:lang w:val="es-ES"/>
        </w:rPr>
        <w:t>condiciones</w:t>
      </w:r>
      <w:r w:rsidR="00067F9E" w:rsidRPr="003B7960">
        <w:rPr>
          <w:rFonts w:ascii="Cambria" w:hAnsi="Cambria"/>
          <w:color w:val="000000"/>
          <w:sz w:val="20"/>
          <w:szCs w:val="20"/>
          <w:lang w:val="es-ES"/>
        </w:rPr>
        <w:t xml:space="preserve"> </w:t>
      </w:r>
      <w:r w:rsidR="003B607C" w:rsidRPr="003B7960">
        <w:rPr>
          <w:rFonts w:ascii="Cambria" w:hAnsi="Cambria"/>
          <w:color w:val="000000"/>
          <w:sz w:val="20"/>
          <w:szCs w:val="20"/>
          <w:lang w:val="es-ES"/>
        </w:rPr>
        <w:t xml:space="preserve">en el Centro no son </w:t>
      </w:r>
      <w:r w:rsidR="00067F9E" w:rsidRPr="003B7960">
        <w:rPr>
          <w:rFonts w:ascii="Cambria" w:hAnsi="Cambria"/>
          <w:color w:val="000000"/>
          <w:sz w:val="20"/>
          <w:szCs w:val="20"/>
          <w:lang w:val="es-ES"/>
        </w:rPr>
        <w:t>compatible</w:t>
      </w:r>
      <w:r w:rsidR="003B607C" w:rsidRPr="003B7960">
        <w:rPr>
          <w:rFonts w:ascii="Cambria" w:hAnsi="Cambria"/>
          <w:color w:val="000000"/>
          <w:sz w:val="20"/>
          <w:szCs w:val="20"/>
          <w:lang w:val="es-ES"/>
        </w:rPr>
        <w:t xml:space="preserve">s con las </w:t>
      </w:r>
      <w:r w:rsidRPr="003B7960">
        <w:rPr>
          <w:rFonts w:ascii="Cambria" w:hAnsi="Cambria"/>
          <w:color w:val="000000"/>
          <w:sz w:val="20"/>
          <w:szCs w:val="20"/>
          <w:lang w:val="es-ES"/>
        </w:rPr>
        <w:t>normas mínimas reconocidas en el plano internacional</w:t>
      </w:r>
      <w:r w:rsidR="00067F9E" w:rsidRPr="003B7960">
        <w:rPr>
          <w:rFonts w:ascii="Cambria" w:hAnsi="Cambria"/>
          <w:color w:val="000000"/>
          <w:sz w:val="20"/>
          <w:szCs w:val="20"/>
          <w:lang w:val="es-ES"/>
        </w:rPr>
        <w:t xml:space="preserve">. </w:t>
      </w:r>
      <w:r w:rsidR="00A332F5"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w:t>
      </w:r>
      <w:r w:rsidR="003B607C" w:rsidRPr="003B7960">
        <w:rPr>
          <w:rFonts w:ascii="Cambria" w:hAnsi="Cambria"/>
          <w:color w:val="000000"/>
          <w:sz w:val="20"/>
          <w:szCs w:val="20"/>
          <w:lang w:val="es-ES"/>
        </w:rPr>
        <w:t>por su parte, rechazó tales denuncias, aunque no proporcionó pruebas al respecto, pero reconoció la necesidad de mejorar el Centro y expresó la intención de invertir fondos con ese fin.</w:t>
      </w:r>
    </w:p>
    <w:p w14:paraId="28998C16"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259FFCF6" w14:textId="79F32282" w:rsidR="00067F9E" w:rsidRPr="003B7960" w:rsidRDefault="00067F9E"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T</w:t>
      </w:r>
      <w:r w:rsidR="00930190" w:rsidRPr="003B7960">
        <w:rPr>
          <w:rFonts w:ascii="Cambria" w:hAnsi="Cambria"/>
          <w:color w:val="000000"/>
          <w:sz w:val="20"/>
          <w:szCs w:val="20"/>
          <w:lang w:val="es-ES"/>
        </w:rPr>
        <w:t xml:space="preserve">eniendo en cuenta la </w:t>
      </w:r>
      <w:r w:rsidR="004B2866" w:rsidRPr="003B7960">
        <w:rPr>
          <w:rFonts w:ascii="Cambria" w:hAnsi="Cambria"/>
          <w:color w:val="000000"/>
          <w:sz w:val="20"/>
          <w:szCs w:val="20"/>
          <w:lang w:val="es-ES"/>
        </w:rPr>
        <w:t>información</w:t>
      </w:r>
      <w:r w:rsidRPr="003B7960">
        <w:rPr>
          <w:rFonts w:ascii="Cambria" w:hAnsi="Cambria"/>
          <w:color w:val="000000"/>
          <w:sz w:val="20"/>
          <w:szCs w:val="20"/>
          <w:lang w:val="es-ES"/>
        </w:rPr>
        <w:t xml:space="preserve"> </w:t>
      </w:r>
      <w:r w:rsidR="00930190" w:rsidRPr="003B7960">
        <w:rPr>
          <w:rFonts w:ascii="Cambria" w:hAnsi="Cambria"/>
          <w:color w:val="000000"/>
          <w:sz w:val="20"/>
          <w:szCs w:val="20"/>
          <w:lang w:val="es-ES"/>
        </w:rPr>
        <w:t>relativa al</w:t>
      </w:r>
      <w:r w:rsidRPr="003B7960">
        <w:rPr>
          <w:rFonts w:ascii="Cambria" w:hAnsi="Cambria"/>
          <w:color w:val="000000"/>
          <w:sz w:val="20"/>
          <w:szCs w:val="20"/>
          <w:lang w:val="es-ES"/>
        </w:rPr>
        <w:t xml:space="preserve"> context</w:t>
      </w:r>
      <w:r w:rsidR="00930190" w:rsidRPr="003B7960">
        <w:rPr>
          <w:rFonts w:ascii="Cambria" w:hAnsi="Cambria"/>
          <w:color w:val="000000"/>
          <w:sz w:val="20"/>
          <w:szCs w:val="20"/>
          <w:lang w:val="es-ES"/>
        </w:rPr>
        <w:t xml:space="preserve">o del </w:t>
      </w:r>
      <w:r w:rsidR="008A4F19" w:rsidRPr="003B7960">
        <w:rPr>
          <w:rFonts w:ascii="Cambria" w:hAnsi="Cambria"/>
          <w:color w:val="000000"/>
          <w:sz w:val="20"/>
          <w:szCs w:val="20"/>
          <w:lang w:val="es-ES"/>
        </w:rPr>
        <w:t>caso</w:t>
      </w:r>
      <w:r w:rsidRPr="003B7960">
        <w:rPr>
          <w:rFonts w:ascii="Cambria" w:hAnsi="Cambria"/>
          <w:color w:val="000000"/>
          <w:sz w:val="20"/>
          <w:szCs w:val="20"/>
          <w:lang w:val="es-ES"/>
        </w:rPr>
        <w:t xml:space="preserve">, </w:t>
      </w:r>
      <w:r w:rsidR="00930190" w:rsidRPr="003B7960">
        <w:rPr>
          <w:rFonts w:ascii="Cambria" w:hAnsi="Cambria"/>
          <w:color w:val="000000"/>
          <w:sz w:val="20"/>
          <w:szCs w:val="20"/>
          <w:lang w:val="es-ES"/>
        </w:rPr>
        <w:t>los informes preparados por</w:t>
      </w:r>
      <w:r w:rsidRPr="003B7960">
        <w:rPr>
          <w:rFonts w:ascii="Cambria" w:hAnsi="Cambria"/>
          <w:color w:val="000000"/>
          <w:sz w:val="20"/>
          <w:szCs w:val="20"/>
          <w:lang w:val="es-ES"/>
        </w:rPr>
        <w:t xml:space="preserve"> </w:t>
      </w:r>
      <w:r w:rsidR="002B6DF8" w:rsidRPr="003B7960">
        <w:rPr>
          <w:rFonts w:ascii="Cambria" w:hAnsi="Cambria"/>
          <w:color w:val="000000"/>
          <w:sz w:val="20"/>
          <w:szCs w:val="20"/>
          <w:lang w:val="es-ES"/>
        </w:rPr>
        <w:t>organizaciones internacionales</w:t>
      </w:r>
      <w:r w:rsidRPr="003B7960">
        <w:rPr>
          <w:rFonts w:ascii="Cambria" w:hAnsi="Cambria"/>
          <w:color w:val="000000"/>
          <w:sz w:val="20"/>
          <w:szCs w:val="20"/>
          <w:lang w:val="es-ES"/>
        </w:rPr>
        <w:t xml:space="preserve">, </w:t>
      </w:r>
      <w:r w:rsidR="00930190" w:rsidRPr="003B7960">
        <w:rPr>
          <w:rFonts w:ascii="Cambria" w:hAnsi="Cambria"/>
          <w:color w:val="000000"/>
          <w:sz w:val="20"/>
          <w:szCs w:val="20"/>
          <w:lang w:val="es-ES"/>
        </w:rPr>
        <w:t xml:space="preserve">las audiencias celebradas ante </w:t>
      </w:r>
      <w:r w:rsidR="00C33F51" w:rsidRPr="003B7960">
        <w:rPr>
          <w:rFonts w:ascii="Cambria" w:hAnsi="Cambria"/>
          <w:color w:val="000000"/>
          <w:sz w:val="20"/>
          <w:szCs w:val="20"/>
          <w:lang w:val="es-ES"/>
        </w:rPr>
        <w:t>la CIDH</w:t>
      </w:r>
      <w:r w:rsidRPr="003B7960">
        <w:rPr>
          <w:rFonts w:ascii="Cambria" w:hAnsi="Cambria"/>
          <w:color w:val="000000"/>
          <w:sz w:val="20"/>
          <w:szCs w:val="20"/>
          <w:lang w:val="es-ES"/>
        </w:rPr>
        <w:t xml:space="preserve">, </w:t>
      </w:r>
      <w:r w:rsidR="00930190" w:rsidRPr="003B7960">
        <w:rPr>
          <w:rFonts w:ascii="Cambria" w:hAnsi="Cambria"/>
          <w:color w:val="000000"/>
          <w:sz w:val="20"/>
          <w:szCs w:val="20"/>
          <w:lang w:val="es-ES"/>
        </w:rPr>
        <w:t xml:space="preserve">el hecho de que </w:t>
      </w:r>
      <w:r w:rsidR="00A332F5" w:rsidRPr="003B7960">
        <w:rPr>
          <w:rFonts w:ascii="Cambria" w:hAnsi="Cambria"/>
          <w:color w:val="000000"/>
          <w:sz w:val="20"/>
          <w:szCs w:val="20"/>
          <w:lang w:val="es-ES"/>
        </w:rPr>
        <w:t>el Estado</w:t>
      </w:r>
      <w:r w:rsidRPr="003B7960">
        <w:rPr>
          <w:rFonts w:ascii="Cambria" w:hAnsi="Cambria"/>
          <w:color w:val="000000"/>
          <w:sz w:val="20"/>
          <w:szCs w:val="20"/>
          <w:lang w:val="es-ES"/>
        </w:rPr>
        <w:t xml:space="preserve"> </w:t>
      </w:r>
      <w:r w:rsidR="00930190" w:rsidRPr="003B7960">
        <w:rPr>
          <w:rFonts w:ascii="Cambria" w:hAnsi="Cambria"/>
          <w:color w:val="000000"/>
          <w:sz w:val="20"/>
          <w:szCs w:val="20"/>
          <w:lang w:val="es-ES"/>
        </w:rPr>
        <w:t xml:space="preserve">no </w:t>
      </w:r>
      <w:r w:rsidRPr="003B7960">
        <w:rPr>
          <w:rFonts w:ascii="Cambria" w:hAnsi="Cambria"/>
          <w:color w:val="000000"/>
          <w:sz w:val="20"/>
          <w:szCs w:val="20"/>
          <w:lang w:val="es-ES"/>
        </w:rPr>
        <w:t>ha</w:t>
      </w:r>
      <w:r w:rsidR="00930190" w:rsidRPr="003B7960">
        <w:rPr>
          <w:rFonts w:ascii="Cambria" w:hAnsi="Cambria"/>
          <w:color w:val="000000"/>
          <w:sz w:val="20"/>
          <w:szCs w:val="20"/>
          <w:lang w:val="es-ES"/>
        </w:rPr>
        <w:t xml:space="preserve"> presentado prueba documental o de otro tipo para respaldar sus declaraciones y el hecho de que </w:t>
      </w:r>
      <w:r w:rsidR="00170D77" w:rsidRPr="003B7960">
        <w:rPr>
          <w:rFonts w:ascii="Cambria" w:hAnsi="Cambria"/>
          <w:color w:val="000000"/>
          <w:sz w:val="20"/>
          <w:szCs w:val="20"/>
          <w:lang w:val="es-ES"/>
        </w:rPr>
        <w:t>la parte peticionaria</w:t>
      </w:r>
      <w:r w:rsidRPr="003B7960">
        <w:rPr>
          <w:rFonts w:ascii="Cambria" w:hAnsi="Cambria"/>
          <w:color w:val="000000"/>
          <w:sz w:val="20"/>
          <w:szCs w:val="20"/>
          <w:lang w:val="es-ES"/>
        </w:rPr>
        <w:t xml:space="preserve"> </w:t>
      </w:r>
      <w:r w:rsidR="00170D77" w:rsidRPr="003B7960">
        <w:rPr>
          <w:rFonts w:ascii="Cambria" w:hAnsi="Cambria"/>
          <w:color w:val="000000"/>
          <w:sz w:val="20"/>
          <w:szCs w:val="20"/>
          <w:lang w:val="es-ES"/>
        </w:rPr>
        <w:t>no tiene</w:t>
      </w:r>
      <w:r w:rsidR="00930190" w:rsidRPr="003B7960">
        <w:rPr>
          <w:rFonts w:ascii="Cambria" w:hAnsi="Cambria"/>
          <w:color w:val="000000"/>
          <w:sz w:val="20"/>
          <w:szCs w:val="20"/>
          <w:lang w:val="es-ES"/>
        </w:rPr>
        <w:t xml:space="preserve"> otros medios para probar los hechos alegados</w:t>
      </w:r>
      <w:r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Pr="003B7960">
        <w:rPr>
          <w:rFonts w:ascii="Cambria" w:hAnsi="Cambria"/>
          <w:color w:val="000000"/>
          <w:sz w:val="20"/>
          <w:szCs w:val="20"/>
          <w:lang w:val="es-ES"/>
        </w:rPr>
        <w:t xml:space="preserve"> </w:t>
      </w:r>
      <w:r w:rsidR="00930190" w:rsidRPr="003B7960">
        <w:rPr>
          <w:rFonts w:ascii="Cambria" w:hAnsi="Cambria"/>
          <w:color w:val="000000"/>
          <w:sz w:val="20"/>
          <w:szCs w:val="20"/>
          <w:lang w:val="es-ES"/>
        </w:rPr>
        <w:t xml:space="preserve">observa que la versión de </w:t>
      </w:r>
      <w:r w:rsidR="00170D77" w:rsidRPr="003B7960">
        <w:rPr>
          <w:rFonts w:ascii="Cambria" w:hAnsi="Cambria"/>
          <w:color w:val="000000"/>
          <w:sz w:val="20"/>
          <w:szCs w:val="20"/>
          <w:lang w:val="es-ES"/>
        </w:rPr>
        <w:t xml:space="preserve">la parte peticionaria </w:t>
      </w:r>
      <w:r w:rsidR="00774960" w:rsidRPr="003B7960">
        <w:rPr>
          <w:rFonts w:ascii="Cambria" w:hAnsi="Cambria"/>
          <w:color w:val="000000"/>
          <w:sz w:val="20"/>
          <w:szCs w:val="20"/>
          <w:lang w:val="es-ES"/>
        </w:rPr>
        <w:t xml:space="preserve">s relativa a </w:t>
      </w:r>
      <w:r w:rsidR="00930190" w:rsidRPr="003B7960">
        <w:rPr>
          <w:rFonts w:ascii="Cambria" w:hAnsi="Cambria"/>
          <w:color w:val="000000"/>
          <w:sz w:val="20"/>
          <w:szCs w:val="20"/>
          <w:lang w:val="es-ES"/>
        </w:rPr>
        <w:t>las</w:t>
      </w:r>
      <w:r w:rsidRPr="003B7960">
        <w:rPr>
          <w:rFonts w:ascii="Cambria" w:hAnsi="Cambria"/>
          <w:color w:val="000000"/>
          <w:sz w:val="20"/>
          <w:szCs w:val="20"/>
          <w:lang w:val="es-ES"/>
        </w:rPr>
        <w:t xml:space="preserve"> </w:t>
      </w:r>
      <w:r w:rsidR="00AD3ABA" w:rsidRPr="003B7960">
        <w:rPr>
          <w:rFonts w:ascii="Cambria" w:hAnsi="Cambria"/>
          <w:color w:val="000000"/>
          <w:sz w:val="20"/>
          <w:szCs w:val="20"/>
          <w:lang w:val="es-ES"/>
        </w:rPr>
        <w:t>condiciones de detención</w:t>
      </w:r>
      <w:r w:rsidRPr="003B7960">
        <w:rPr>
          <w:rFonts w:ascii="Cambria" w:hAnsi="Cambria"/>
          <w:color w:val="000000"/>
          <w:sz w:val="20"/>
          <w:szCs w:val="20"/>
          <w:lang w:val="es-ES"/>
        </w:rPr>
        <w:t xml:space="preserve"> </w:t>
      </w:r>
      <w:r w:rsidR="00774960" w:rsidRPr="003B7960">
        <w:rPr>
          <w:rFonts w:ascii="Cambria" w:hAnsi="Cambria"/>
          <w:color w:val="000000"/>
          <w:sz w:val="20"/>
          <w:szCs w:val="20"/>
          <w:lang w:val="es-ES"/>
        </w:rPr>
        <w:t xml:space="preserve">es congruente y concluye que todas las </w:t>
      </w:r>
      <w:r w:rsidR="00C62DEF" w:rsidRPr="003B7960">
        <w:rPr>
          <w:rFonts w:ascii="Cambria" w:hAnsi="Cambria"/>
          <w:color w:val="000000"/>
          <w:sz w:val="20"/>
          <w:szCs w:val="20"/>
          <w:lang w:val="es-ES"/>
        </w:rPr>
        <w:t>presuntas víctimas</w:t>
      </w:r>
      <w:r w:rsidRPr="003B7960">
        <w:rPr>
          <w:rFonts w:ascii="Cambria" w:hAnsi="Cambria"/>
          <w:color w:val="000000"/>
          <w:sz w:val="20"/>
          <w:szCs w:val="20"/>
          <w:lang w:val="es-ES"/>
        </w:rPr>
        <w:t xml:space="preserve"> </w:t>
      </w:r>
      <w:r w:rsidR="00774960" w:rsidRPr="003B7960">
        <w:rPr>
          <w:rFonts w:ascii="Cambria" w:hAnsi="Cambria"/>
          <w:color w:val="000000"/>
          <w:sz w:val="20"/>
          <w:szCs w:val="20"/>
          <w:lang w:val="es-ES"/>
        </w:rPr>
        <w:t xml:space="preserve">estuvieron expuestas a estas </w:t>
      </w:r>
      <w:r w:rsidR="000C3E4C" w:rsidRPr="003B7960">
        <w:rPr>
          <w:rFonts w:ascii="Cambria" w:hAnsi="Cambria"/>
          <w:color w:val="000000"/>
          <w:sz w:val="20"/>
          <w:szCs w:val="20"/>
          <w:lang w:val="es-ES"/>
        </w:rPr>
        <w:t>condiciones</w:t>
      </w:r>
      <w:r w:rsidRPr="003B7960">
        <w:rPr>
          <w:rFonts w:ascii="Cambria" w:hAnsi="Cambria"/>
          <w:color w:val="000000"/>
          <w:sz w:val="20"/>
          <w:szCs w:val="20"/>
          <w:lang w:val="es-ES"/>
        </w:rPr>
        <w:t xml:space="preserve"> dur</w:t>
      </w:r>
      <w:r w:rsidR="00774960" w:rsidRPr="003B7960">
        <w:rPr>
          <w:rFonts w:ascii="Cambria" w:hAnsi="Cambria"/>
          <w:color w:val="000000"/>
          <w:sz w:val="20"/>
          <w:szCs w:val="20"/>
          <w:lang w:val="es-ES"/>
        </w:rPr>
        <w:t xml:space="preserve">ante </w:t>
      </w:r>
      <w:r w:rsidR="00C4480F" w:rsidRPr="003B7960">
        <w:rPr>
          <w:rFonts w:ascii="Cambria" w:hAnsi="Cambria"/>
          <w:color w:val="000000"/>
          <w:sz w:val="20"/>
          <w:szCs w:val="20"/>
          <w:lang w:val="es-ES"/>
        </w:rPr>
        <w:t>su permanencia e</w:t>
      </w:r>
      <w:r w:rsidR="00774960" w:rsidRPr="003B7960">
        <w:rPr>
          <w:rFonts w:ascii="Cambria" w:hAnsi="Cambria"/>
          <w:color w:val="000000"/>
          <w:sz w:val="20"/>
          <w:szCs w:val="20"/>
          <w:lang w:val="es-ES"/>
        </w:rPr>
        <w:t xml:space="preserve">n el </w:t>
      </w:r>
      <w:r w:rsidR="00CF3BDB" w:rsidRPr="003B7960">
        <w:rPr>
          <w:rFonts w:ascii="Cambria" w:hAnsi="Cambria"/>
          <w:color w:val="000000"/>
          <w:sz w:val="20"/>
          <w:szCs w:val="20"/>
          <w:lang w:val="es-ES"/>
        </w:rPr>
        <w:t xml:space="preserve">Centro de Detención de </w:t>
      </w:r>
      <w:proofErr w:type="spellStart"/>
      <w:r w:rsidR="00CF3BDB" w:rsidRPr="003B7960">
        <w:rPr>
          <w:rFonts w:ascii="Cambria" w:hAnsi="Cambria"/>
          <w:color w:val="000000"/>
          <w:sz w:val="20"/>
          <w:szCs w:val="20"/>
          <w:lang w:val="es-ES"/>
        </w:rPr>
        <w:lastRenderedPageBreak/>
        <w:t>Carmichael</w:t>
      </w:r>
      <w:proofErr w:type="spellEnd"/>
      <w:r w:rsidR="00CF3BDB" w:rsidRPr="003B7960">
        <w:rPr>
          <w:rFonts w:ascii="Cambria" w:hAnsi="Cambria"/>
          <w:color w:val="000000"/>
          <w:sz w:val="20"/>
          <w:szCs w:val="20"/>
          <w:lang w:val="es-ES"/>
        </w:rPr>
        <w:t xml:space="preserve"> Road</w:t>
      </w:r>
      <w:r w:rsidRPr="003B7960">
        <w:rPr>
          <w:rFonts w:ascii="Cambria" w:hAnsi="Cambria"/>
          <w:color w:val="000000"/>
          <w:sz w:val="20"/>
          <w:szCs w:val="20"/>
          <w:lang w:val="es-ES"/>
        </w:rPr>
        <w:t xml:space="preserve">. </w:t>
      </w:r>
      <w:r w:rsidR="00774960" w:rsidRPr="003B7960">
        <w:rPr>
          <w:rFonts w:ascii="Cambria" w:hAnsi="Cambria"/>
          <w:color w:val="000000"/>
          <w:sz w:val="20"/>
          <w:szCs w:val="20"/>
          <w:lang w:val="es-ES"/>
        </w:rPr>
        <w:t xml:space="preserve">En consecuencia, </w:t>
      </w:r>
      <w:r w:rsidR="00B9011F" w:rsidRPr="003B7960">
        <w:rPr>
          <w:rFonts w:ascii="Cambria" w:hAnsi="Cambria"/>
          <w:sz w:val="20"/>
          <w:szCs w:val="20"/>
          <w:lang w:val="es-ES"/>
        </w:rPr>
        <w:t>la Comisión</w:t>
      </w:r>
      <w:r w:rsidRPr="003B7960">
        <w:rPr>
          <w:rFonts w:ascii="Cambria" w:hAnsi="Cambria"/>
          <w:sz w:val="20"/>
          <w:szCs w:val="20"/>
          <w:lang w:val="es-ES"/>
        </w:rPr>
        <w:t xml:space="preserve"> </w:t>
      </w:r>
      <w:r w:rsidR="00C4480F" w:rsidRPr="003B7960">
        <w:rPr>
          <w:rFonts w:ascii="Cambria" w:hAnsi="Cambria"/>
          <w:sz w:val="20"/>
          <w:szCs w:val="20"/>
          <w:lang w:val="es-ES"/>
        </w:rPr>
        <w:t xml:space="preserve">usará la </w:t>
      </w:r>
      <w:r w:rsidR="004B2866" w:rsidRPr="003B7960">
        <w:rPr>
          <w:rFonts w:ascii="Cambria" w:hAnsi="Cambria"/>
          <w:sz w:val="20"/>
          <w:szCs w:val="20"/>
          <w:lang w:val="es-ES"/>
        </w:rPr>
        <w:t>información</w:t>
      </w:r>
      <w:r w:rsidRPr="003B7960">
        <w:rPr>
          <w:rFonts w:ascii="Cambria" w:hAnsi="Cambria"/>
          <w:sz w:val="20"/>
          <w:szCs w:val="20"/>
          <w:lang w:val="es-ES"/>
        </w:rPr>
        <w:t xml:space="preserve"> pro</w:t>
      </w:r>
      <w:r w:rsidR="00C4480F" w:rsidRPr="003B7960">
        <w:rPr>
          <w:rFonts w:ascii="Cambria" w:hAnsi="Cambria"/>
          <w:sz w:val="20"/>
          <w:szCs w:val="20"/>
          <w:lang w:val="es-ES"/>
        </w:rPr>
        <w:t>porcionada por las</w:t>
      </w:r>
      <w:r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Pr="003B7960">
        <w:rPr>
          <w:rFonts w:ascii="Cambria" w:hAnsi="Cambria"/>
          <w:sz w:val="20"/>
          <w:szCs w:val="20"/>
          <w:lang w:val="es-ES"/>
        </w:rPr>
        <w:t xml:space="preserve"> </w:t>
      </w:r>
      <w:r w:rsidR="00C4480F" w:rsidRPr="003B7960">
        <w:rPr>
          <w:rFonts w:ascii="Cambria" w:hAnsi="Cambria"/>
          <w:sz w:val="20"/>
          <w:szCs w:val="20"/>
          <w:lang w:val="es-ES"/>
        </w:rPr>
        <w:t xml:space="preserve">para evaluar el cumplimiento de las </w:t>
      </w:r>
      <w:r w:rsidR="004B2866" w:rsidRPr="003B7960">
        <w:rPr>
          <w:rFonts w:ascii="Cambria" w:hAnsi="Cambria"/>
          <w:sz w:val="20"/>
          <w:szCs w:val="20"/>
          <w:lang w:val="es-ES"/>
        </w:rPr>
        <w:t>normas mínimas reconocidas en el plano internacional</w:t>
      </w:r>
      <w:r w:rsidRPr="003B7960">
        <w:rPr>
          <w:rFonts w:ascii="Cambria" w:hAnsi="Cambria"/>
          <w:sz w:val="20"/>
          <w:szCs w:val="20"/>
          <w:lang w:val="es-ES"/>
        </w:rPr>
        <w:t xml:space="preserve"> </w:t>
      </w:r>
      <w:r w:rsidR="005F530E" w:rsidRPr="003B7960">
        <w:rPr>
          <w:rFonts w:ascii="Cambria" w:hAnsi="Cambria"/>
          <w:sz w:val="20"/>
          <w:szCs w:val="20"/>
          <w:lang w:val="es-ES"/>
        </w:rPr>
        <w:t>en lo que respecta a</w:t>
      </w:r>
      <w:r w:rsidR="00C4480F" w:rsidRPr="003B7960">
        <w:rPr>
          <w:rFonts w:ascii="Cambria" w:hAnsi="Cambria"/>
          <w:sz w:val="20"/>
          <w:szCs w:val="20"/>
          <w:lang w:val="es-ES"/>
        </w:rPr>
        <w:t>l alojamiento, la higiene, la indumentaria</w:t>
      </w:r>
      <w:r w:rsidR="005F530E" w:rsidRPr="003B7960">
        <w:rPr>
          <w:rFonts w:ascii="Cambria" w:hAnsi="Cambria"/>
          <w:sz w:val="20"/>
          <w:szCs w:val="20"/>
          <w:lang w:val="es-ES"/>
        </w:rPr>
        <w:t xml:space="preserve">, </w:t>
      </w:r>
      <w:r w:rsidR="00C4480F" w:rsidRPr="003B7960">
        <w:rPr>
          <w:rFonts w:ascii="Cambria" w:hAnsi="Cambria"/>
          <w:sz w:val="20"/>
          <w:szCs w:val="20"/>
          <w:lang w:val="es-ES"/>
        </w:rPr>
        <w:t>la ropa de cama, la alimentación, la recreación, el ejercicio</w:t>
      </w:r>
      <w:r w:rsidR="005F530E" w:rsidRPr="003B7960">
        <w:rPr>
          <w:rFonts w:ascii="Cambria" w:hAnsi="Cambria"/>
          <w:sz w:val="20"/>
          <w:szCs w:val="20"/>
          <w:lang w:val="es-ES"/>
        </w:rPr>
        <w:t xml:space="preserve">, </w:t>
      </w:r>
      <w:r w:rsidR="00C4480F" w:rsidRPr="003B7960">
        <w:rPr>
          <w:rFonts w:ascii="Cambria" w:hAnsi="Cambria"/>
          <w:sz w:val="20"/>
          <w:szCs w:val="20"/>
          <w:lang w:val="es-ES"/>
        </w:rPr>
        <w:t xml:space="preserve">el tratamiento médico, la </w:t>
      </w:r>
      <w:r w:rsidRPr="003B7960">
        <w:rPr>
          <w:rFonts w:ascii="Cambria" w:hAnsi="Cambria"/>
          <w:sz w:val="20"/>
          <w:szCs w:val="20"/>
          <w:lang w:val="es-ES"/>
        </w:rPr>
        <w:t>disciplin</w:t>
      </w:r>
      <w:r w:rsidR="00C4480F" w:rsidRPr="003B7960">
        <w:rPr>
          <w:rFonts w:ascii="Cambria" w:hAnsi="Cambria"/>
          <w:sz w:val="20"/>
          <w:szCs w:val="20"/>
          <w:lang w:val="es-ES"/>
        </w:rPr>
        <w:t>a y el castigo</w:t>
      </w:r>
      <w:r w:rsidRPr="003B7960">
        <w:rPr>
          <w:rFonts w:ascii="Cambria" w:hAnsi="Cambria"/>
          <w:sz w:val="20"/>
          <w:szCs w:val="20"/>
          <w:lang w:val="es-ES"/>
        </w:rPr>
        <w:t>.</w:t>
      </w:r>
    </w:p>
    <w:p w14:paraId="05B84276"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08DA5B39"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C4480F" w:rsidRPr="003B7960">
        <w:rPr>
          <w:rFonts w:ascii="Cambria" w:hAnsi="Cambria"/>
          <w:sz w:val="20"/>
          <w:szCs w:val="20"/>
          <w:lang w:val="es-ES"/>
        </w:rPr>
        <w:t xml:space="preserve">pone de relieve la inadecuación de las instalaciones del Centro, en vista de las denuncias constantes de </w:t>
      </w:r>
      <w:r w:rsidR="00DC4AA1" w:rsidRPr="003B7960">
        <w:rPr>
          <w:rFonts w:ascii="Cambria" w:hAnsi="Cambria"/>
          <w:sz w:val="20"/>
          <w:szCs w:val="20"/>
          <w:lang w:val="es-ES"/>
        </w:rPr>
        <w:t xml:space="preserve">hacinamiento </w:t>
      </w:r>
      <w:r w:rsidR="00C4480F" w:rsidRPr="003B7960">
        <w:rPr>
          <w:rFonts w:ascii="Cambria" w:hAnsi="Cambria"/>
          <w:sz w:val="20"/>
          <w:szCs w:val="20"/>
          <w:lang w:val="es-ES"/>
        </w:rPr>
        <w:t xml:space="preserve">y falta de suficientes camas y baños, lo cual parece indicar que las </w:t>
      </w:r>
      <w:r w:rsidR="000C3E4C" w:rsidRPr="003B7960">
        <w:rPr>
          <w:rFonts w:ascii="Cambria" w:hAnsi="Cambria"/>
          <w:sz w:val="20"/>
          <w:szCs w:val="20"/>
          <w:lang w:val="es-ES"/>
        </w:rPr>
        <w:t>condiciones</w:t>
      </w:r>
      <w:r w:rsidR="00067F9E" w:rsidRPr="003B7960">
        <w:rPr>
          <w:rFonts w:ascii="Cambria" w:hAnsi="Cambria"/>
          <w:sz w:val="20"/>
          <w:szCs w:val="20"/>
          <w:lang w:val="es-ES"/>
        </w:rPr>
        <w:t xml:space="preserve"> </w:t>
      </w:r>
      <w:r w:rsidR="004B2866" w:rsidRPr="003B7960">
        <w:rPr>
          <w:rFonts w:ascii="Cambria" w:hAnsi="Cambria"/>
          <w:sz w:val="20"/>
          <w:szCs w:val="20"/>
          <w:lang w:val="es-ES"/>
        </w:rPr>
        <w:t xml:space="preserve">de higiene </w:t>
      </w:r>
      <w:r w:rsidR="00C4480F" w:rsidRPr="003B7960">
        <w:rPr>
          <w:rFonts w:ascii="Cambria" w:hAnsi="Cambria"/>
          <w:sz w:val="20"/>
          <w:szCs w:val="20"/>
          <w:lang w:val="es-ES"/>
        </w:rPr>
        <w:t xml:space="preserve">en el Centro son </w:t>
      </w:r>
      <w:r w:rsidR="00067F9E" w:rsidRPr="003B7960">
        <w:rPr>
          <w:rFonts w:ascii="Cambria" w:hAnsi="Cambria"/>
          <w:sz w:val="20"/>
          <w:szCs w:val="20"/>
          <w:lang w:val="es-ES"/>
        </w:rPr>
        <w:t>incompatible</w:t>
      </w:r>
      <w:r w:rsidR="00C4480F" w:rsidRPr="003B7960">
        <w:rPr>
          <w:rFonts w:ascii="Cambria" w:hAnsi="Cambria"/>
          <w:sz w:val="20"/>
          <w:szCs w:val="20"/>
          <w:lang w:val="es-ES"/>
        </w:rPr>
        <w:t>s con</w:t>
      </w:r>
      <w:r w:rsidR="00067F9E" w:rsidRPr="003B7960">
        <w:rPr>
          <w:rFonts w:ascii="Cambria" w:hAnsi="Cambria"/>
          <w:sz w:val="20"/>
          <w:szCs w:val="20"/>
          <w:lang w:val="es-ES"/>
        </w:rPr>
        <w:t xml:space="preserve"> </w:t>
      </w:r>
      <w:r w:rsidR="00C33F51" w:rsidRPr="003B7960">
        <w:rPr>
          <w:rFonts w:ascii="Cambria" w:hAnsi="Cambria"/>
          <w:sz w:val="20"/>
          <w:szCs w:val="20"/>
          <w:lang w:val="es-ES"/>
        </w:rPr>
        <w:t>la Declaración</w:t>
      </w:r>
      <w:r w:rsidRPr="003B7960">
        <w:rPr>
          <w:rFonts w:ascii="Cambria" w:hAnsi="Cambria"/>
          <w:sz w:val="20"/>
          <w:szCs w:val="20"/>
          <w:lang w:val="es-ES"/>
        </w:rPr>
        <w:t xml:space="preserve"> Americana</w:t>
      </w:r>
      <w:r w:rsidR="00067F9E" w:rsidRPr="003B7960">
        <w:rPr>
          <w:rFonts w:ascii="Cambria" w:hAnsi="Cambria"/>
          <w:sz w:val="20"/>
          <w:szCs w:val="20"/>
          <w:lang w:val="es-ES"/>
        </w:rPr>
        <w:t xml:space="preserve">. </w:t>
      </w:r>
      <w:r w:rsidR="00C4480F" w:rsidRPr="003B7960">
        <w:rPr>
          <w:rFonts w:ascii="Cambria" w:hAnsi="Cambria"/>
          <w:sz w:val="20"/>
          <w:szCs w:val="20"/>
          <w:lang w:val="es-ES"/>
        </w:rPr>
        <w:t xml:space="preserve">En lo que se refiere a los alimentos, el expediente del </w:t>
      </w:r>
      <w:r w:rsidR="008A4F19" w:rsidRPr="003B7960">
        <w:rPr>
          <w:rFonts w:ascii="Cambria" w:hAnsi="Cambria"/>
          <w:sz w:val="20"/>
          <w:szCs w:val="20"/>
          <w:lang w:val="es-ES"/>
        </w:rPr>
        <w:t>caso</w:t>
      </w:r>
      <w:r w:rsidR="00067F9E" w:rsidRPr="003B7960">
        <w:rPr>
          <w:rFonts w:ascii="Cambria" w:hAnsi="Cambria"/>
          <w:sz w:val="20"/>
          <w:szCs w:val="20"/>
          <w:lang w:val="es-ES"/>
        </w:rPr>
        <w:t xml:space="preserve"> indica</w:t>
      </w:r>
      <w:r w:rsidR="00C4480F" w:rsidRPr="003B7960">
        <w:rPr>
          <w:rFonts w:ascii="Cambria" w:hAnsi="Cambria"/>
          <w:sz w:val="20"/>
          <w:szCs w:val="20"/>
          <w:lang w:val="es-ES"/>
        </w:rPr>
        <w:t xml:space="preserve"> que no se dispone de agua </w:t>
      </w:r>
      <w:r w:rsidR="00067F9E" w:rsidRPr="003B7960">
        <w:rPr>
          <w:rFonts w:ascii="Cambria" w:hAnsi="Cambria"/>
          <w:sz w:val="20"/>
          <w:szCs w:val="20"/>
          <w:lang w:val="es-ES"/>
        </w:rPr>
        <w:t xml:space="preserve">potable </w:t>
      </w:r>
      <w:r w:rsidR="00C4480F" w:rsidRPr="003B7960">
        <w:rPr>
          <w:rFonts w:ascii="Cambria" w:hAnsi="Cambria"/>
          <w:sz w:val="20"/>
          <w:szCs w:val="20"/>
          <w:lang w:val="es-ES"/>
        </w:rPr>
        <w:t xml:space="preserve">y que se sirven alimentos en mal estado a los </w:t>
      </w:r>
      <w:r w:rsidR="007B6078" w:rsidRPr="003B7960">
        <w:rPr>
          <w:rFonts w:ascii="Cambria" w:hAnsi="Cambria"/>
          <w:sz w:val="20"/>
          <w:szCs w:val="20"/>
          <w:lang w:val="es-ES"/>
        </w:rPr>
        <w:t>detenidos</w:t>
      </w:r>
      <w:r w:rsidR="00067F9E" w:rsidRPr="003B7960">
        <w:rPr>
          <w:rFonts w:ascii="Cambria" w:hAnsi="Cambria"/>
          <w:sz w:val="20"/>
          <w:szCs w:val="20"/>
          <w:lang w:val="es-ES"/>
        </w:rPr>
        <w:t xml:space="preserve">, </w:t>
      </w:r>
      <w:r w:rsidR="00C4480F" w:rsidRPr="003B7960">
        <w:rPr>
          <w:rFonts w:ascii="Cambria" w:hAnsi="Cambria"/>
          <w:sz w:val="20"/>
          <w:szCs w:val="20"/>
          <w:lang w:val="es-ES"/>
        </w:rPr>
        <w:t xml:space="preserve">razón por la cual algunos lavaban los alimentos antes de consumirlos. Teniendo en cuenta las normas para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C4480F" w:rsidRPr="003B7960">
        <w:rPr>
          <w:rFonts w:ascii="Cambria" w:hAnsi="Cambria"/>
          <w:sz w:val="20"/>
          <w:szCs w:val="20"/>
          <w:lang w:val="es-ES"/>
        </w:rPr>
        <w:t>establecidas en</w:t>
      </w:r>
      <w:r w:rsidR="00067F9E" w:rsidRPr="003B7960">
        <w:rPr>
          <w:rFonts w:ascii="Cambria" w:hAnsi="Cambria"/>
          <w:sz w:val="20"/>
          <w:szCs w:val="20"/>
          <w:lang w:val="es-ES"/>
        </w:rPr>
        <w:t xml:space="preserve"> </w:t>
      </w:r>
      <w:r w:rsidR="00C33F51" w:rsidRPr="003B7960">
        <w:rPr>
          <w:rFonts w:ascii="Cambria" w:hAnsi="Cambria"/>
          <w:sz w:val="20"/>
          <w:szCs w:val="20"/>
          <w:lang w:val="es-ES"/>
        </w:rPr>
        <w:t>la Declaración</w:t>
      </w:r>
      <w:r w:rsidRPr="003B7960">
        <w:rPr>
          <w:rFonts w:ascii="Cambria" w:hAnsi="Cambria"/>
          <w:sz w:val="20"/>
          <w:szCs w:val="20"/>
          <w:lang w:val="es-ES"/>
        </w:rPr>
        <w:t xml:space="preserve"> Americana</w:t>
      </w:r>
      <w:r w:rsidR="00067F9E" w:rsidRPr="003B7960">
        <w:rPr>
          <w:rFonts w:ascii="Cambria" w:hAnsi="Cambria"/>
          <w:sz w:val="20"/>
          <w:szCs w:val="20"/>
          <w:lang w:val="es-ES"/>
        </w:rPr>
        <w:t xml:space="preserve">, </w:t>
      </w: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C4480F" w:rsidRPr="003B7960">
        <w:rPr>
          <w:rFonts w:ascii="Cambria" w:hAnsi="Cambria"/>
          <w:sz w:val="20"/>
          <w:szCs w:val="20"/>
          <w:lang w:val="es-ES"/>
        </w:rPr>
        <w:t>concluye que las</w:t>
      </w:r>
      <w:r w:rsidR="00067F9E" w:rsidRPr="003B7960">
        <w:rPr>
          <w:rFonts w:ascii="Cambria" w:hAnsi="Cambria"/>
          <w:sz w:val="20"/>
          <w:szCs w:val="20"/>
          <w:lang w:val="es-ES"/>
        </w:rPr>
        <w:t xml:space="preserve"> </w:t>
      </w:r>
      <w:r w:rsidR="000C3E4C" w:rsidRPr="003B7960">
        <w:rPr>
          <w:rFonts w:ascii="Cambria" w:hAnsi="Cambria"/>
          <w:sz w:val="20"/>
          <w:szCs w:val="20"/>
          <w:lang w:val="es-ES"/>
        </w:rPr>
        <w:t>condiciones</w:t>
      </w:r>
      <w:r w:rsidR="00067F9E" w:rsidRPr="003B7960">
        <w:rPr>
          <w:rFonts w:ascii="Cambria" w:hAnsi="Cambria"/>
          <w:sz w:val="20"/>
          <w:szCs w:val="20"/>
          <w:lang w:val="es-ES"/>
        </w:rPr>
        <w:t xml:space="preserve"> </w:t>
      </w:r>
      <w:r w:rsidR="00C4480F" w:rsidRPr="003B7960">
        <w:rPr>
          <w:rFonts w:ascii="Cambria" w:hAnsi="Cambria"/>
          <w:sz w:val="20"/>
          <w:szCs w:val="20"/>
          <w:lang w:val="es-ES"/>
        </w:rPr>
        <w:t xml:space="preserve">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00B20650" w:rsidRPr="003B7960">
        <w:rPr>
          <w:rFonts w:ascii="Cambria" w:hAnsi="Cambria"/>
          <w:sz w:val="20"/>
          <w:szCs w:val="20"/>
          <w:lang w:val="es-ES"/>
        </w:rPr>
        <w:t xml:space="preserve">eran deficientes y creaban una situación de precariedad para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dur</w:t>
      </w:r>
      <w:r w:rsidR="00B20650" w:rsidRPr="003B7960">
        <w:rPr>
          <w:rFonts w:ascii="Cambria" w:hAnsi="Cambria"/>
          <w:sz w:val="20"/>
          <w:szCs w:val="20"/>
          <w:lang w:val="es-ES"/>
        </w:rPr>
        <w:t xml:space="preserve">ante su </w:t>
      </w:r>
      <w:r w:rsidR="00133A5D" w:rsidRPr="003B7960">
        <w:rPr>
          <w:rFonts w:ascii="Cambria" w:hAnsi="Cambria"/>
          <w:sz w:val="20"/>
          <w:szCs w:val="20"/>
          <w:lang w:val="es-ES"/>
        </w:rPr>
        <w:t>detención</w:t>
      </w:r>
      <w:r w:rsidR="00067F9E" w:rsidRPr="003B7960">
        <w:rPr>
          <w:rFonts w:ascii="Cambria" w:hAnsi="Cambria"/>
          <w:sz w:val="20"/>
          <w:szCs w:val="20"/>
          <w:lang w:val="es-ES"/>
        </w:rPr>
        <w:t>.</w:t>
      </w:r>
      <w:r w:rsidR="000F78E7" w:rsidRPr="003B7960">
        <w:rPr>
          <w:rFonts w:ascii="Cambria" w:hAnsi="Cambria"/>
          <w:sz w:val="20"/>
          <w:szCs w:val="20"/>
          <w:lang w:val="es-ES"/>
        </w:rPr>
        <w:t xml:space="preserve"> </w:t>
      </w:r>
    </w:p>
    <w:p w14:paraId="3BEA4F95" w14:textId="77777777" w:rsidR="00067F9E" w:rsidRPr="003B7960" w:rsidRDefault="00067F9E" w:rsidP="00101DC6">
      <w:pPr>
        <w:tabs>
          <w:tab w:val="left" w:pos="426"/>
        </w:tabs>
        <w:rPr>
          <w:rFonts w:ascii="Cambria" w:hAnsi="Cambria"/>
          <w:sz w:val="20"/>
          <w:szCs w:val="20"/>
          <w:lang w:val="es-ES"/>
        </w:rPr>
      </w:pPr>
    </w:p>
    <w:p w14:paraId="26FBD19C" w14:textId="77777777" w:rsidR="00067F9E" w:rsidRPr="003B7960" w:rsidRDefault="004B2866"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Por consiguiente</w:t>
      </w:r>
      <w:r w:rsidR="00B20650" w:rsidRPr="003B7960">
        <w:rPr>
          <w:rFonts w:ascii="Cambria" w:hAnsi="Cambria"/>
          <w:sz w:val="20"/>
          <w:szCs w:val="20"/>
          <w:lang w:val="es-ES"/>
        </w:rPr>
        <w:t>, en vista de la gravedad de las</w:t>
      </w:r>
      <w:r w:rsidR="00067F9E" w:rsidRPr="003B7960">
        <w:rPr>
          <w:rFonts w:ascii="Cambria" w:hAnsi="Cambria"/>
          <w:sz w:val="20"/>
          <w:szCs w:val="20"/>
          <w:lang w:val="es-ES"/>
        </w:rPr>
        <w:t xml:space="preserve"> </w:t>
      </w:r>
      <w:r w:rsidR="00AD3ABA" w:rsidRPr="003B7960">
        <w:rPr>
          <w:rFonts w:ascii="Cambria" w:hAnsi="Cambria"/>
          <w:sz w:val="20"/>
          <w:szCs w:val="20"/>
          <w:lang w:val="es-ES"/>
        </w:rPr>
        <w:t>condiciones de detención</w:t>
      </w:r>
      <w:r w:rsidR="00067F9E" w:rsidRPr="003B7960">
        <w:rPr>
          <w:rFonts w:ascii="Cambria" w:hAnsi="Cambria"/>
          <w:sz w:val="20"/>
          <w:szCs w:val="20"/>
          <w:lang w:val="es-ES"/>
        </w:rPr>
        <w:t xml:space="preserve"> </w:t>
      </w:r>
      <w:r w:rsidR="00B20650" w:rsidRPr="003B7960">
        <w:rPr>
          <w:rFonts w:ascii="Cambria" w:hAnsi="Cambria"/>
          <w:sz w:val="20"/>
          <w:szCs w:val="20"/>
          <w:lang w:val="es-ES"/>
        </w:rPr>
        <w:t xml:space="preserve">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consider</w:t>
      </w:r>
      <w:r w:rsidR="00B20650" w:rsidRPr="003B7960">
        <w:rPr>
          <w:rFonts w:ascii="Cambria" w:hAnsi="Cambria"/>
          <w:sz w:val="20"/>
          <w:szCs w:val="20"/>
          <w:lang w:val="es-ES"/>
        </w:rPr>
        <w:t xml:space="preserve">a necesario determinar el grado de sufrimiento de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B20650" w:rsidRPr="003B7960">
        <w:rPr>
          <w:rFonts w:ascii="Cambria" w:hAnsi="Cambria"/>
          <w:sz w:val="20"/>
          <w:szCs w:val="20"/>
          <w:lang w:val="es-ES"/>
        </w:rPr>
        <w:t>Tras un examen de las normas pertinentes</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reco</w:t>
      </w:r>
      <w:r w:rsidR="00B20650" w:rsidRPr="003B7960">
        <w:rPr>
          <w:rFonts w:ascii="Cambria" w:hAnsi="Cambria"/>
          <w:sz w:val="20"/>
          <w:szCs w:val="20"/>
          <w:lang w:val="es-ES"/>
        </w:rPr>
        <w:t>noce que se llegó a muchos de los umbrales en relación con el Centro. Debido al hacinamiento, los</w:t>
      </w:r>
      <w:r w:rsidR="00067F9E" w:rsidRPr="003B7960">
        <w:rPr>
          <w:rFonts w:ascii="Cambria" w:hAnsi="Cambria"/>
          <w:sz w:val="20"/>
          <w:szCs w:val="20"/>
          <w:lang w:val="es-ES"/>
        </w:rPr>
        <w:t xml:space="preserve"> </w:t>
      </w:r>
      <w:r w:rsidR="007B6078" w:rsidRPr="003B7960">
        <w:rPr>
          <w:rFonts w:ascii="Cambria" w:hAnsi="Cambria"/>
          <w:sz w:val="20"/>
          <w:szCs w:val="20"/>
          <w:lang w:val="es-ES"/>
        </w:rPr>
        <w:t>detenidos</w:t>
      </w:r>
      <w:r w:rsidR="00067F9E" w:rsidRPr="003B7960">
        <w:rPr>
          <w:rFonts w:ascii="Cambria" w:hAnsi="Cambria"/>
          <w:sz w:val="20"/>
          <w:szCs w:val="20"/>
          <w:lang w:val="es-ES"/>
        </w:rPr>
        <w:t xml:space="preserve"> </w:t>
      </w:r>
      <w:r w:rsidR="00B20650" w:rsidRPr="003B7960">
        <w:rPr>
          <w:rFonts w:ascii="Cambria" w:hAnsi="Cambria"/>
          <w:sz w:val="20"/>
          <w:szCs w:val="20"/>
          <w:lang w:val="es-ES"/>
        </w:rPr>
        <w:t>tenían que compartir camas y dormir en el suelo</w:t>
      </w:r>
      <w:r w:rsidR="005F530E" w:rsidRPr="003B7960">
        <w:rPr>
          <w:rFonts w:ascii="Cambria" w:hAnsi="Cambria"/>
          <w:sz w:val="20"/>
          <w:szCs w:val="20"/>
          <w:lang w:val="es-ES"/>
        </w:rPr>
        <w:t xml:space="preserve">, de modo que no tenían suficiente espacio, </w:t>
      </w:r>
      <w:r w:rsidR="00B20650" w:rsidRPr="003B7960">
        <w:rPr>
          <w:rFonts w:ascii="Cambria" w:hAnsi="Cambria"/>
          <w:sz w:val="20"/>
          <w:szCs w:val="20"/>
          <w:lang w:val="es-ES"/>
        </w:rPr>
        <w:t xml:space="preserve">tenían </w:t>
      </w:r>
      <w:r w:rsidR="005F530E" w:rsidRPr="003B7960">
        <w:rPr>
          <w:rFonts w:ascii="Cambria" w:hAnsi="Cambria"/>
          <w:sz w:val="20"/>
          <w:szCs w:val="20"/>
          <w:lang w:val="es-ES"/>
        </w:rPr>
        <w:t xml:space="preserve">muy poca </w:t>
      </w:r>
      <w:r w:rsidR="00B20650" w:rsidRPr="003B7960">
        <w:rPr>
          <w:rFonts w:ascii="Cambria" w:hAnsi="Cambria"/>
          <w:sz w:val="20"/>
          <w:szCs w:val="20"/>
          <w:lang w:val="es-ES"/>
        </w:rPr>
        <w:t>privacidad en los dormitorios y estaban detenidos en celdas insalubres. Otra consecuencia de esta situación era el saneamiento inadecuado, debido a que había pocos inodoros y ducha</w:t>
      </w:r>
      <w:r w:rsidR="005F530E" w:rsidRPr="003B7960">
        <w:rPr>
          <w:rFonts w:ascii="Cambria" w:hAnsi="Cambria"/>
          <w:sz w:val="20"/>
          <w:szCs w:val="20"/>
          <w:lang w:val="es-ES"/>
        </w:rPr>
        <w:t>s</w:t>
      </w:r>
      <w:r w:rsidR="00B20650" w:rsidRPr="003B7960">
        <w:rPr>
          <w:rFonts w:ascii="Cambria" w:hAnsi="Cambria"/>
          <w:sz w:val="20"/>
          <w:szCs w:val="20"/>
          <w:lang w:val="es-ES"/>
        </w:rPr>
        <w:t xml:space="preserve"> y los detenidos y las detenidas tenían que compartirlos. Además,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B20650" w:rsidRPr="003B7960">
        <w:rPr>
          <w:rFonts w:ascii="Cambria" w:hAnsi="Cambria"/>
          <w:sz w:val="20"/>
          <w:szCs w:val="20"/>
          <w:lang w:val="es-ES"/>
        </w:rPr>
        <w:t>recalcaron la mala calidad de la comida. Dijeron que estaba en mal estado y tenían que lavarla antes de comerla</w:t>
      </w:r>
      <w:r w:rsidR="00067F9E" w:rsidRPr="003B7960">
        <w:rPr>
          <w:rFonts w:ascii="Cambria" w:hAnsi="Cambria"/>
          <w:sz w:val="20"/>
          <w:szCs w:val="20"/>
          <w:lang w:val="es-ES"/>
        </w:rPr>
        <w:t xml:space="preserve">. </w:t>
      </w:r>
      <w:r w:rsidR="00B20650" w:rsidRPr="003B7960">
        <w:rPr>
          <w:rFonts w:ascii="Cambria" w:hAnsi="Cambria"/>
          <w:sz w:val="20"/>
          <w:szCs w:val="20"/>
          <w:lang w:val="es-ES"/>
        </w:rPr>
        <w:t xml:space="preserve">También señalaron la falta de agua </w:t>
      </w:r>
      <w:r w:rsidR="00067F9E" w:rsidRPr="003B7960">
        <w:rPr>
          <w:rFonts w:ascii="Cambria" w:hAnsi="Cambria"/>
          <w:sz w:val="20"/>
          <w:szCs w:val="20"/>
          <w:lang w:val="es-ES"/>
        </w:rPr>
        <w:t xml:space="preserve">potable </w:t>
      </w:r>
      <w:r w:rsidR="00B20650" w:rsidRPr="003B7960">
        <w:rPr>
          <w:rFonts w:ascii="Cambria" w:hAnsi="Cambria"/>
          <w:sz w:val="20"/>
          <w:szCs w:val="20"/>
          <w:lang w:val="es-ES"/>
        </w:rPr>
        <w:t xml:space="preserve">en el Centro. En ese sentido, y de conformidad con las </w:t>
      </w:r>
      <w:r w:rsidRPr="003B7960">
        <w:rPr>
          <w:rFonts w:ascii="Cambria" w:hAnsi="Cambria"/>
          <w:sz w:val="20"/>
          <w:szCs w:val="20"/>
          <w:lang w:val="es-ES"/>
        </w:rPr>
        <w:t>normas interamericanas</w:t>
      </w:r>
      <w:r w:rsidR="00067F9E" w:rsidRPr="003B7960">
        <w:rPr>
          <w:rFonts w:ascii="Cambria" w:hAnsi="Cambria"/>
          <w:sz w:val="20"/>
          <w:szCs w:val="20"/>
          <w:lang w:val="es-ES"/>
        </w:rPr>
        <w:t xml:space="preserve"> </w:t>
      </w:r>
      <w:r w:rsidR="00B20650" w:rsidRPr="003B7960">
        <w:rPr>
          <w:rFonts w:ascii="Cambria" w:hAnsi="Cambria"/>
          <w:sz w:val="20"/>
          <w:szCs w:val="20"/>
          <w:lang w:val="es-ES"/>
        </w:rPr>
        <w:t>y el derecho</w:t>
      </w:r>
      <w:r w:rsidR="00067F9E" w:rsidRPr="003B7960">
        <w:rPr>
          <w:rFonts w:ascii="Cambria" w:hAnsi="Cambria"/>
          <w:sz w:val="20"/>
          <w:szCs w:val="20"/>
          <w:lang w:val="es-ES"/>
        </w:rPr>
        <w:t xml:space="preserve"> </w:t>
      </w:r>
      <w:r w:rsidR="00B20650" w:rsidRPr="003B7960">
        <w:rPr>
          <w:rFonts w:ascii="Cambria" w:hAnsi="Cambria"/>
          <w:sz w:val="20"/>
          <w:szCs w:val="20"/>
          <w:lang w:val="es-ES"/>
        </w:rPr>
        <w:t>internacional</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consider</w:t>
      </w:r>
      <w:r w:rsidR="00B20650" w:rsidRPr="003B7960">
        <w:rPr>
          <w:rFonts w:ascii="Cambria" w:hAnsi="Cambria"/>
          <w:sz w:val="20"/>
          <w:szCs w:val="20"/>
          <w:lang w:val="es-ES"/>
        </w:rPr>
        <w:t xml:space="preserve">a que el trato recibido por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B20650" w:rsidRPr="003B7960">
        <w:rPr>
          <w:rFonts w:ascii="Cambria" w:hAnsi="Cambria"/>
          <w:sz w:val="20"/>
          <w:szCs w:val="20"/>
          <w:lang w:val="es-ES"/>
        </w:rPr>
        <w:t xml:space="preserve">fue </w:t>
      </w:r>
      <w:r w:rsidR="00067F9E" w:rsidRPr="003B7960">
        <w:rPr>
          <w:rFonts w:ascii="Cambria" w:hAnsi="Cambria"/>
          <w:color w:val="000000"/>
          <w:sz w:val="20"/>
          <w:szCs w:val="20"/>
          <w:lang w:val="es-ES"/>
        </w:rPr>
        <w:t>cruel, inhuman</w:t>
      </w:r>
      <w:r w:rsidRPr="003B7960">
        <w:rPr>
          <w:rFonts w:ascii="Cambria" w:hAnsi="Cambria"/>
          <w:color w:val="000000"/>
          <w:sz w:val="20"/>
          <w:szCs w:val="20"/>
          <w:lang w:val="es-ES"/>
        </w:rPr>
        <w:t xml:space="preserve">o y </w:t>
      </w:r>
      <w:r w:rsidR="00067F9E" w:rsidRPr="003B7960">
        <w:rPr>
          <w:rFonts w:ascii="Cambria" w:hAnsi="Cambria"/>
          <w:color w:val="000000"/>
          <w:sz w:val="20"/>
          <w:szCs w:val="20"/>
          <w:lang w:val="es-ES"/>
        </w:rPr>
        <w:t>degrad</w:t>
      </w:r>
      <w:r w:rsidRPr="003B7960">
        <w:rPr>
          <w:rFonts w:ascii="Cambria" w:hAnsi="Cambria"/>
          <w:color w:val="000000"/>
          <w:sz w:val="20"/>
          <w:szCs w:val="20"/>
          <w:lang w:val="es-ES"/>
        </w:rPr>
        <w:t>ante</w:t>
      </w:r>
      <w:r w:rsidR="00067F9E" w:rsidRPr="003B7960">
        <w:rPr>
          <w:rFonts w:ascii="Cambria" w:hAnsi="Cambria"/>
          <w:sz w:val="20"/>
          <w:szCs w:val="20"/>
          <w:lang w:val="es-ES"/>
        </w:rPr>
        <w:t xml:space="preserve">. </w:t>
      </w:r>
    </w:p>
    <w:p w14:paraId="25A51648" w14:textId="77777777" w:rsidR="00067F9E" w:rsidRPr="003B7960" w:rsidRDefault="00067F9E" w:rsidP="00101DC6">
      <w:pPr>
        <w:tabs>
          <w:tab w:val="left" w:pos="426"/>
        </w:tabs>
        <w:rPr>
          <w:rFonts w:ascii="Cambria" w:hAnsi="Cambria"/>
          <w:lang w:val="es-ES"/>
        </w:rPr>
      </w:pPr>
    </w:p>
    <w:p w14:paraId="49547C02" w14:textId="77777777" w:rsidR="00067F9E" w:rsidRPr="003B7960" w:rsidRDefault="00067F9E" w:rsidP="00101DC6">
      <w:pPr>
        <w:pStyle w:val="Heading3"/>
        <w:numPr>
          <w:ilvl w:val="0"/>
          <w:numId w:val="62"/>
        </w:numPr>
        <w:pBdr>
          <w:top w:val="nil"/>
          <w:left w:val="nil"/>
          <w:bottom w:val="nil"/>
          <w:right w:val="nil"/>
          <w:between w:val="nil"/>
          <w:bar w:val="nil"/>
        </w:pBdr>
        <w:tabs>
          <w:tab w:val="clear" w:pos="540"/>
          <w:tab w:val="left" w:pos="426"/>
        </w:tabs>
        <w:ind w:left="0" w:firstLine="0"/>
        <w:rPr>
          <w:lang w:val="es-ES"/>
        </w:rPr>
      </w:pPr>
      <w:bookmarkStart w:id="23" w:name="_Toc90557308"/>
      <w:r w:rsidRPr="003B7960">
        <w:rPr>
          <w:lang w:val="es-ES"/>
        </w:rPr>
        <w:t>Conclusi</w:t>
      </w:r>
      <w:r w:rsidR="005877AD" w:rsidRPr="003B7960">
        <w:rPr>
          <w:lang w:val="es-ES"/>
        </w:rPr>
        <w:t>ón</w:t>
      </w:r>
      <w:bookmarkEnd w:id="23"/>
    </w:p>
    <w:p w14:paraId="492626E0" w14:textId="77777777" w:rsidR="00067F9E" w:rsidRPr="003B7960" w:rsidRDefault="00067F9E" w:rsidP="00101DC6">
      <w:pPr>
        <w:pStyle w:val="Heading3"/>
        <w:numPr>
          <w:ilvl w:val="0"/>
          <w:numId w:val="0"/>
        </w:numPr>
        <w:tabs>
          <w:tab w:val="clear" w:pos="540"/>
          <w:tab w:val="left" w:pos="426"/>
        </w:tabs>
        <w:rPr>
          <w:lang w:val="es-ES"/>
        </w:rPr>
      </w:pPr>
    </w:p>
    <w:p w14:paraId="57AE4A85" w14:textId="6150E174"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B20650" w:rsidRPr="003B7960">
        <w:rPr>
          <w:rFonts w:ascii="Cambria" w:hAnsi="Cambria"/>
          <w:sz w:val="20"/>
          <w:szCs w:val="20"/>
          <w:lang w:val="es-ES"/>
        </w:rPr>
        <w:t xml:space="preserve">concluye que la </w:t>
      </w:r>
      <w:r w:rsidR="00133A5D" w:rsidRPr="003B7960">
        <w:rPr>
          <w:rFonts w:ascii="Cambria" w:hAnsi="Cambria"/>
          <w:sz w:val="20"/>
          <w:szCs w:val="20"/>
          <w:lang w:val="es-ES"/>
        </w:rPr>
        <w:t>detención</w:t>
      </w:r>
      <w:r w:rsidR="00067F9E" w:rsidRPr="003B7960">
        <w:rPr>
          <w:rFonts w:ascii="Cambria" w:hAnsi="Cambria"/>
          <w:sz w:val="20"/>
          <w:szCs w:val="20"/>
          <w:lang w:val="es-ES"/>
        </w:rPr>
        <w:t xml:space="preserve"> </w:t>
      </w:r>
      <w:r w:rsidR="00190BCA" w:rsidRPr="003B7960">
        <w:rPr>
          <w:rFonts w:ascii="Cambria" w:hAnsi="Cambria"/>
          <w:sz w:val="20"/>
          <w:szCs w:val="20"/>
          <w:lang w:val="es-ES"/>
        </w:rPr>
        <w:t xml:space="preserve">colectiva </w:t>
      </w:r>
      <w:r w:rsidR="00B20650" w:rsidRPr="003B7960">
        <w:rPr>
          <w:rFonts w:ascii="Cambria" w:hAnsi="Cambria"/>
          <w:sz w:val="20"/>
          <w:szCs w:val="20"/>
          <w:lang w:val="es-ES"/>
        </w:rPr>
        <w:t xml:space="preserve">de </w:t>
      </w:r>
      <w:r w:rsidR="00C33F51" w:rsidRPr="003B7960">
        <w:rPr>
          <w:rFonts w:ascii="Cambria" w:hAnsi="Cambria"/>
          <w:sz w:val="20"/>
          <w:szCs w:val="20"/>
          <w:lang w:val="es-ES"/>
        </w:rPr>
        <w:t>ciudadanos</w:t>
      </w:r>
      <w:r w:rsidR="005877AD" w:rsidRPr="003B7960">
        <w:rPr>
          <w:rFonts w:ascii="Cambria" w:hAnsi="Cambria"/>
          <w:sz w:val="20"/>
          <w:szCs w:val="20"/>
          <w:lang w:val="es-ES"/>
        </w:rPr>
        <w:t xml:space="preserve"> cubanos y haitianos</w:t>
      </w:r>
      <w:r w:rsidR="00067F9E" w:rsidRPr="003B7960">
        <w:rPr>
          <w:rFonts w:ascii="Cambria" w:hAnsi="Cambria"/>
          <w:sz w:val="20"/>
          <w:szCs w:val="20"/>
          <w:lang w:val="es-ES"/>
        </w:rPr>
        <w:t xml:space="preserve"> </w:t>
      </w:r>
      <w:r w:rsidR="00B20650" w:rsidRPr="003B7960">
        <w:rPr>
          <w:rFonts w:ascii="Cambria" w:hAnsi="Cambria"/>
          <w:sz w:val="20"/>
          <w:szCs w:val="20"/>
          <w:lang w:val="es-ES"/>
        </w:rPr>
        <w:t xml:space="preserve">por el Estado 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w:t>
      </w:r>
      <w:r w:rsidR="00B20650" w:rsidRPr="003B7960">
        <w:rPr>
          <w:rFonts w:ascii="Cambria" w:hAnsi="Cambria"/>
          <w:sz w:val="20"/>
          <w:szCs w:val="20"/>
          <w:lang w:val="es-ES"/>
        </w:rPr>
        <w:t xml:space="preserve">sin un fundamento jurídico y sin una evaluación de las circunstancias </w:t>
      </w:r>
      <w:r w:rsidR="00190BCA" w:rsidRPr="003B7960">
        <w:rPr>
          <w:rFonts w:ascii="Cambria" w:hAnsi="Cambria"/>
          <w:sz w:val="20"/>
          <w:szCs w:val="20"/>
          <w:lang w:val="es-ES"/>
        </w:rPr>
        <w:t xml:space="preserve">específicas </w:t>
      </w:r>
      <w:r w:rsidR="00B20650" w:rsidRPr="003B7960">
        <w:rPr>
          <w:rFonts w:ascii="Cambria" w:hAnsi="Cambria"/>
          <w:sz w:val="20"/>
          <w:szCs w:val="20"/>
          <w:lang w:val="es-ES"/>
        </w:rPr>
        <w:t xml:space="preserve">de cada persona que </w:t>
      </w:r>
      <w:r w:rsidR="00190BCA" w:rsidRPr="003B7960">
        <w:rPr>
          <w:rFonts w:ascii="Cambria" w:hAnsi="Cambria"/>
          <w:sz w:val="20"/>
          <w:szCs w:val="20"/>
          <w:lang w:val="es-ES"/>
        </w:rPr>
        <w:t>considerase la necesidad de la detención</w:t>
      </w:r>
      <w:r w:rsidR="00CC50B9" w:rsidRPr="003B7960">
        <w:rPr>
          <w:rFonts w:ascii="Cambria" w:hAnsi="Cambria"/>
          <w:sz w:val="20"/>
          <w:szCs w:val="20"/>
          <w:lang w:val="es-ES"/>
        </w:rPr>
        <w:t>, en vista de la</w:t>
      </w:r>
      <w:r w:rsidR="00190BCA" w:rsidRPr="003B7960">
        <w:rPr>
          <w:rFonts w:ascii="Cambria" w:hAnsi="Cambria"/>
          <w:sz w:val="20"/>
          <w:szCs w:val="20"/>
          <w:lang w:val="es-ES"/>
        </w:rPr>
        <w:t xml:space="preserve"> </w:t>
      </w:r>
      <w:r w:rsidR="00CC50B9" w:rsidRPr="003B7960">
        <w:rPr>
          <w:rFonts w:ascii="Cambria" w:hAnsi="Cambria"/>
          <w:color w:val="000000"/>
          <w:sz w:val="20"/>
          <w:szCs w:val="20"/>
          <w:lang w:val="es-ES"/>
        </w:rPr>
        <w:t>excepcional</w:t>
      </w:r>
      <w:r w:rsidR="00190BCA" w:rsidRPr="003B7960">
        <w:rPr>
          <w:rFonts w:ascii="Cambria" w:hAnsi="Cambria"/>
          <w:color w:val="000000"/>
          <w:sz w:val="20"/>
          <w:szCs w:val="20"/>
          <w:lang w:val="es-ES"/>
        </w:rPr>
        <w:t>idad</w:t>
      </w:r>
      <w:r w:rsidR="00067F9E" w:rsidRPr="003B7960">
        <w:rPr>
          <w:rFonts w:ascii="Cambria" w:hAnsi="Cambria"/>
          <w:color w:val="000000"/>
          <w:sz w:val="20"/>
          <w:szCs w:val="20"/>
          <w:lang w:val="es-ES"/>
        </w:rPr>
        <w:t xml:space="preserve"> </w:t>
      </w:r>
      <w:r w:rsidR="00CC50B9" w:rsidRPr="003B7960">
        <w:rPr>
          <w:rFonts w:ascii="Cambria" w:hAnsi="Cambria"/>
          <w:color w:val="000000"/>
          <w:sz w:val="20"/>
          <w:szCs w:val="20"/>
          <w:lang w:val="es-ES"/>
        </w:rPr>
        <w:t xml:space="preserve">de la medida, constituyó una </w:t>
      </w:r>
      <w:r w:rsidR="00B812F2" w:rsidRPr="003B7960">
        <w:rPr>
          <w:rFonts w:ascii="Cambria" w:hAnsi="Cambria"/>
          <w:color w:val="000000"/>
          <w:sz w:val="20"/>
          <w:szCs w:val="20"/>
          <w:lang w:val="es-ES"/>
        </w:rPr>
        <w:t xml:space="preserve">detención </w:t>
      </w:r>
      <w:r w:rsidR="00CC50B9" w:rsidRPr="003B7960">
        <w:rPr>
          <w:rFonts w:ascii="Cambria" w:hAnsi="Cambria"/>
          <w:color w:val="000000"/>
          <w:sz w:val="20"/>
          <w:szCs w:val="20"/>
          <w:lang w:val="es-ES"/>
        </w:rPr>
        <w:t xml:space="preserve">ilegal y </w:t>
      </w:r>
      <w:r w:rsidR="00B812F2" w:rsidRPr="003B7960">
        <w:rPr>
          <w:rFonts w:ascii="Cambria" w:hAnsi="Cambria"/>
          <w:color w:val="000000"/>
          <w:sz w:val="20"/>
          <w:szCs w:val="20"/>
          <w:lang w:val="es-ES"/>
        </w:rPr>
        <w:t>arbitraria</w:t>
      </w:r>
      <w:r w:rsidR="00067F9E" w:rsidRPr="003B7960">
        <w:rPr>
          <w:rFonts w:ascii="Cambria" w:hAnsi="Cambria"/>
          <w:color w:val="000000"/>
          <w:sz w:val="20"/>
          <w:szCs w:val="20"/>
          <w:lang w:val="es-ES"/>
        </w:rPr>
        <w:t xml:space="preserve"> </w:t>
      </w:r>
      <w:r w:rsidR="00CC50B9" w:rsidRPr="003B7960">
        <w:rPr>
          <w:rFonts w:ascii="Cambria" w:hAnsi="Cambria"/>
          <w:color w:val="000000"/>
          <w:sz w:val="20"/>
          <w:szCs w:val="20"/>
          <w:lang w:val="es-ES"/>
        </w:rPr>
        <w:t xml:space="preserve">en contravención de los </w:t>
      </w:r>
      <w:r w:rsidR="001A6E22" w:rsidRPr="003B7960">
        <w:rPr>
          <w:rFonts w:ascii="Cambria" w:hAnsi="Cambria"/>
          <w:color w:val="000000"/>
          <w:sz w:val="20"/>
          <w:szCs w:val="20"/>
          <w:lang w:val="es-ES"/>
        </w:rPr>
        <w:t>artículos</w:t>
      </w:r>
      <w:r w:rsidR="00067F9E" w:rsidRPr="003B7960">
        <w:rPr>
          <w:rFonts w:ascii="Cambria" w:hAnsi="Cambria"/>
          <w:color w:val="000000"/>
          <w:sz w:val="20"/>
          <w:szCs w:val="20"/>
          <w:lang w:val="es-ES"/>
        </w:rPr>
        <w:t xml:space="preserve"> I </w:t>
      </w:r>
      <w:r w:rsidR="00CC50B9" w:rsidRPr="003B7960">
        <w:rPr>
          <w:rFonts w:ascii="Cambria" w:hAnsi="Cambria"/>
          <w:color w:val="000000"/>
          <w:sz w:val="20"/>
          <w:szCs w:val="20"/>
          <w:lang w:val="es-ES"/>
        </w:rPr>
        <w:t>y</w:t>
      </w:r>
      <w:r w:rsidR="00067F9E" w:rsidRPr="003B7960">
        <w:rPr>
          <w:rFonts w:ascii="Cambria" w:hAnsi="Cambria"/>
          <w:color w:val="000000"/>
          <w:sz w:val="20"/>
          <w:szCs w:val="20"/>
          <w:lang w:val="es-ES"/>
        </w:rPr>
        <w:t xml:space="preserve"> XXV </w:t>
      </w:r>
      <w:r w:rsidR="00CC50B9"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C33F51" w:rsidRPr="003B7960">
        <w:rPr>
          <w:rFonts w:ascii="Cambria" w:hAnsi="Cambria"/>
          <w:color w:val="000000"/>
          <w:sz w:val="20"/>
          <w:szCs w:val="20"/>
          <w:lang w:val="es-ES"/>
        </w:rPr>
        <w:t>la Declaración</w:t>
      </w:r>
      <w:r w:rsidRPr="003B7960">
        <w:rPr>
          <w:rFonts w:ascii="Cambria" w:hAnsi="Cambria"/>
          <w:color w:val="000000"/>
          <w:sz w:val="20"/>
          <w:szCs w:val="20"/>
          <w:lang w:val="es-ES"/>
        </w:rPr>
        <w:t xml:space="preserve"> Americana</w:t>
      </w:r>
      <w:r w:rsidR="00067F9E" w:rsidRPr="003B7960">
        <w:rPr>
          <w:rFonts w:ascii="Cambria" w:hAnsi="Cambria"/>
          <w:color w:val="000000"/>
          <w:sz w:val="20"/>
          <w:szCs w:val="20"/>
          <w:lang w:val="es-ES"/>
        </w:rPr>
        <w:t xml:space="preserve">. </w:t>
      </w:r>
      <w:r w:rsidR="00190BCA" w:rsidRPr="003B7960">
        <w:rPr>
          <w:rFonts w:ascii="Cambria" w:hAnsi="Cambria"/>
          <w:color w:val="000000"/>
          <w:sz w:val="20"/>
          <w:szCs w:val="20"/>
          <w:lang w:val="es-ES"/>
        </w:rPr>
        <w:t>Asimismo, l</w:t>
      </w:r>
      <w:r w:rsidR="00CC50B9" w:rsidRPr="003B7960">
        <w:rPr>
          <w:rFonts w:ascii="Cambria" w:hAnsi="Cambria"/>
          <w:color w:val="000000"/>
          <w:sz w:val="20"/>
          <w:szCs w:val="20"/>
          <w:lang w:val="es-ES"/>
        </w:rPr>
        <w:t>a Comisión concluye que las</w:t>
      </w:r>
      <w:r w:rsidR="00067F9E" w:rsidRPr="003B7960">
        <w:rPr>
          <w:rFonts w:ascii="Cambria" w:hAnsi="Cambria"/>
          <w:color w:val="000000"/>
          <w:sz w:val="20"/>
          <w:szCs w:val="20"/>
          <w:lang w:val="es-ES"/>
        </w:rPr>
        <w:t xml:space="preserve"> </w:t>
      </w:r>
      <w:r w:rsidR="00AD3ABA" w:rsidRPr="003B7960">
        <w:rPr>
          <w:rFonts w:ascii="Cambria" w:hAnsi="Cambria"/>
          <w:sz w:val="20"/>
          <w:szCs w:val="20"/>
          <w:lang w:val="es-ES"/>
        </w:rPr>
        <w:t>condiciones de detención</w:t>
      </w:r>
      <w:r w:rsidR="00067F9E" w:rsidRPr="003B7960">
        <w:rPr>
          <w:rFonts w:ascii="Cambria" w:hAnsi="Cambria"/>
          <w:sz w:val="20"/>
          <w:szCs w:val="20"/>
          <w:lang w:val="es-ES"/>
        </w:rPr>
        <w:t xml:space="preserve"> </w:t>
      </w:r>
      <w:r w:rsidR="00CC50B9" w:rsidRPr="003B7960">
        <w:rPr>
          <w:rFonts w:ascii="Cambria" w:hAnsi="Cambria"/>
          <w:sz w:val="20"/>
          <w:szCs w:val="20"/>
          <w:lang w:val="es-ES"/>
        </w:rPr>
        <w:t>de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00CC50B9" w:rsidRPr="003B7960">
        <w:rPr>
          <w:rFonts w:ascii="Cambria" w:hAnsi="Cambria"/>
          <w:sz w:val="20"/>
          <w:szCs w:val="20"/>
          <w:lang w:val="es-ES"/>
        </w:rPr>
        <w:t xml:space="preserve">en el </w:t>
      </w:r>
      <w:r w:rsidR="00654B4A" w:rsidRPr="003B7960">
        <w:rPr>
          <w:rFonts w:ascii="Cambria" w:hAnsi="Cambria"/>
          <w:sz w:val="20"/>
          <w:szCs w:val="20"/>
          <w:lang w:val="es-ES"/>
        </w:rPr>
        <w:t xml:space="preserve">Centro </w:t>
      </w:r>
      <w:proofErr w:type="spellStart"/>
      <w:r w:rsidR="00654B4A" w:rsidRPr="003B7960">
        <w:rPr>
          <w:rFonts w:ascii="Cambria" w:hAnsi="Cambria"/>
          <w:sz w:val="20"/>
          <w:szCs w:val="20"/>
          <w:lang w:val="es-ES"/>
        </w:rPr>
        <w:t>Carmichael</w:t>
      </w:r>
      <w:proofErr w:type="spellEnd"/>
      <w:r w:rsidR="00067F9E" w:rsidRPr="003B7960">
        <w:rPr>
          <w:rFonts w:ascii="Cambria" w:hAnsi="Cambria"/>
          <w:sz w:val="20"/>
          <w:szCs w:val="20"/>
          <w:lang w:val="es-ES"/>
        </w:rPr>
        <w:t xml:space="preserve"> constitu</w:t>
      </w:r>
      <w:r w:rsidR="00CC50B9" w:rsidRPr="003B7960">
        <w:rPr>
          <w:rFonts w:ascii="Cambria" w:hAnsi="Cambria"/>
          <w:sz w:val="20"/>
          <w:szCs w:val="20"/>
          <w:lang w:val="es-ES"/>
        </w:rPr>
        <w:t xml:space="preserve">yeron un trato </w:t>
      </w:r>
      <w:r w:rsidR="00067F9E" w:rsidRPr="003B7960">
        <w:rPr>
          <w:rFonts w:ascii="Cambria" w:hAnsi="Cambria"/>
          <w:sz w:val="20"/>
          <w:szCs w:val="20"/>
          <w:lang w:val="es-ES"/>
        </w:rPr>
        <w:t>cruel, inhuman</w:t>
      </w:r>
      <w:r w:rsidR="00CC50B9" w:rsidRPr="003B7960">
        <w:rPr>
          <w:rFonts w:ascii="Cambria" w:hAnsi="Cambria"/>
          <w:sz w:val="20"/>
          <w:szCs w:val="20"/>
          <w:lang w:val="es-ES"/>
        </w:rPr>
        <w:t>o y</w:t>
      </w:r>
      <w:r w:rsidR="00067F9E" w:rsidRPr="003B7960">
        <w:rPr>
          <w:rFonts w:ascii="Cambria" w:hAnsi="Cambria"/>
          <w:sz w:val="20"/>
          <w:szCs w:val="20"/>
          <w:lang w:val="es-ES"/>
        </w:rPr>
        <w:t xml:space="preserve"> degrad</w:t>
      </w:r>
      <w:r w:rsidR="00CC50B9" w:rsidRPr="003B7960">
        <w:rPr>
          <w:rFonts w:ascii="Cambria" w:hAnsi="Cambria"/>
          <w:sz w:val="20"/>
          <w:szCs w:val="20"/>
          <w:lang w:val="es-ES"/>
        </w:rPr>
        <w:t xml:space="preserve">ante y son </w:t>
      </w:r>
      <w:r w:rsidR="00067F9E" w:rsidRPr="003B7960">
        <w:rPr>
          <w:rFonts w:ascii="Cambria" w:hAnsi="Cambria"/>
          <w:sz w:val="20"/>
          <w:szCs w:val="20"/>
          <w:lang w:val="es-ES"/>
        </w:rPr>
        <w:t>incompatible</w:t>
      </w:r>
      <w:r w:rsidR="00CC50B9" w:rsidRPr="003B7960">
        <w:rPr>
          <w:rFonts w:ascii="Cambria" w:hAnsi="Cambria"/>
          <w:sz w:val="20"/>
          <w:szCs w:val="20"/>
          <w:lang w:val="es-ES"/>
        </w:rPr>
        <w:t>s con la dignidad</w:t>
      </w:r>
      <w:r w:rsidR="00067F9E" w:rsidRPr="003B7960">
        <w:rPr>
          <w:rFonts w:ascii="Cambria" w:hAnsi="Cambria"/>
          <w:sz w:val="20"/>
          <w:szCs w:val="20"/>
          <w:lang w:val="es-ES"/>
        </w:rPr>
        <w:t xml:space="preserve"> human</w:t>
      </w:r>
      <w:r w:rsidR="00CC50B9" w:rsidRPr="003B7960">
        <w:rPr>
          <w:rFonts w:ascii="Cambria" w:hAnsi="Cambria"/>
          <w:sz w:val="20"/>
          <w:szCs w:val="20"/>
          <w:lang w:val="es-ES"/>
        </w:rPr>
        <w:t>a</w:t>
      </w:r>
      <w:r w:rsidR="00067F9E" w:rsidRPr="003B7960">
        <w:rPr>
          <w:rFonts w:ascii="Cambria" w:hAnsi="Cambria"/>
          <w:sz w:val="20"/>
          <w:szCs w:val="20"/>
          <w:lang w:val="es-ES"/>
        </w:rPr>
        <w:t xml:space="preserve"> </w:t>
      </w:r>
      <w:r w:rsidR="00CC50B9" w:rsidRPr="003B7960">
        <w:rPr>
          <w:rFonts w:ascii="Cambria" w:hAnsi="Cambria"/>
          <w:sz w:val="20"/>
          <w:szCs w:val="20"/>
          <w:lang w:val="es-ES"/>
        </w:rPr>
        <w:t xml:space="preserve">consagrada en la </w:t>
      </w:r>
      <w:r w:rsidR="00C33F51" w:rsidRPr="003B7960">
        <w:rPr>
          <w:rFonts w:ascii="Cambria" w:hAnsi="Cambria"/>
          <w:sz w:val="20"/>
          <w:szCs w:val="20"/>
          <w:lang w:val="es-ES"/>
        </w:rPr>
        <w:t>Declaración</w:t>
      </w:r>
      <w:r w:rsidRPr="003B7960">
        <w:rPr>
          <w:rFonts w:ascii="Cambria" w:hAnsi="Cambria"/>
          <w:sz w:val="20"/>
          <w:szCs w:val="20"/>
          <w:lang w:val="es-ES"/>
        </w:rPr>
        <w:t xml:space="preserve"> Americana</w:t>
      </w:r>
      <w:r w:rsidR="00067F9E" w:rsidRPr="003B7960">
        <w:rPr>
          <w:rFonts w:ascii="Cambria" w:hAnsi="Cambria"/>
          <w:sz w:val="20"/>
          <w:szCs w:val="20"/>
          <w:lang w:val="es-ES"/>
        </w:rPr>
        <w:t xml:space="preserve">, </w:t>
      </w:r>
      <w:r w:rsidR="00CC50B9" w:rsidRPr="003B7960">
        <w:rPr>
          <w:rFonts w:ascii="Cambria" w:hAnsi="Cambria"/>
          <w:sz w:val="20"/>
          <w:szCs w:val="20"/>
          <w:lang w:val="es-ES"/>
        </w:rPr>
        <w:t xml:space="preserve">en contravención de sus </w:t>
      </w:r>
      <w:r w:rsidR="001A6E22" w:rsidRPr="003B7960">
        <w:rPr>
          <w:rFonts w:ascii="Cambria" w:hAnsi="Cambria"/>
          <w:color w:val="000000"/>
          <w:sz w:val="20"/>
          <w:szCs w:val="20"/>
          <w:lang w:val="es-ES"/>
        </w:rPr>
        <w:t>artículos</w:t>
      </w:r>
      <w:r w:rsidR="00067F9E" w:rsidRPr="003B7960">
        <w:rPr>
          <w:rFonts w:ascii="Cambria" w:hAnsi="Cambria"/>
          <w:color w:val="000000"/>
          <w:sz w:val="20"/>
          <w:szCs w:val="20"/>
          <w:lang w:val="es-ES"/>
        </w:rPr>
        <w:t xml:space="preserve"> I </w:t>
      </w:r>
      <w:r w:rsidR="00CC50B9" w:rsidRPr="003B7960">
        <w:rPr>
          <w:rFonts w:ascii="Cambria" w:hAnsi="Cambria"/>
          <w:color w:val="000000"/>
          <w:sz w:val="20"/>
          <w:szCs w:val="20"/>
          <w:lang w:val="es-ES"/>
        </w:rPr>
        <w:t>y</w:t>
      </w:r>
      <w:r w:rsidR="00067F9E" w:rsidRPr="003B7960">
        <w:rPr>
          <w:rFonts w:ascii="Cambria" w:hAnsi="Cambria"/>
          <w:color w:val="000000"/>
          <w:sz w:val="20"/>
          <w:szCs w:val="20"/>
          <w:lang w:val="es-ES"/>
        </w:rPr>
        <w:t xml:space="preserve"> XXV.</w:t>
      </w:r>
    </w:p>
    <w:p w14:paraId="546DC6C7" w14:textId="77777777" w:rsidR="00067F9E" w:rsidRPr="003B7960" w:rsidRDefault="00067F9E" w:rsidP="00101DC6">
      <w:pPr>
        <w:tabs>
          <w:tab w:val="left" w:pos="426"/>
        </w:tabs>
        <w:rPr>
          <w:rFonts w:ascii="Cambria" w:hAnsi="Cambria"/>
          <w:lang w:val="es-ES"/>
        </w:rPr>
      </w:pPr>
    </w:p>
    <w:p w14:paraId="126FA0CE" w14:textId="77777777" w:rsidR="00067F9E" w:rsidRPr="003B7960" w:rsidRDefault="00CC50B9" w:rsidP="00101DC6">
      <w:pPr>
        <w:pStyle w:val="Heading2"/>
        <w:numPr>
          <w:ilvl w:val="0"/>
          <w:numId w:val="60"/>
        </w:numPr>
        <w:pBdr>
          <w:top w:val="nil"/>
          <w:left w:val="nil"/>
          <w:bottom w:val="nil"/>
          <w:right w:val="nil"/>
          <w:between w:val="nil"/>
          <w:bar w:val="nil"/>
        </w:pBdr>
        <w:tabs>
          <w:tab w:val="clear" w:pos="540"/>
          <w:tab w:val="left" w:pos="426"/>
        </w:tabs>
        <w:suppressAutoHyphens/>
        <w:ind w:left="0" w:firstLine="0"/>
        <w:jc w:val="left"/>
        <w:rPr>
          <w:lang w:val="es-ES"/>
        </w:rPr>
      </w:pPr>
      <w:bookmarkStart w:id="24" w:name="_Toc90557309"/>
      <w:r w:rsidRPr="003B7960">
        <w:rPr>
          <w:lang w:val="es-ES"/>
        </w:rPr>
        <w:t>El derecho a pedir y recibir</w:t>
      </w:r>
      <w:r w:rsidR="00067F9E" w:rsidRPr="003B7960">
        <w:rPr>
          <w:lang w:val="es-ES"/>
        </w:rPr>
        <w:t xml:space="preserve"> </w:t>
      </w:r>
      <w:r w:rsidR="00774960" w:rsidRPr="003B7960">
        <w:rPr>
          <w:lang w:val="es-ES"/>
        </w:rPr>
        <w:t>asilo</w:t>
      </w:r>
      <w:r w:rsidR="00067F9E" w:rsidRPr="003B7960">
        <w:rPr>
          <w:rStyle w:val="FootnoteReference"/>
          <w:lang w:val="es-ES"/>
        </w:rPr>
        <w:footnoteReference w:id="117"/>
      </w:r>
      <w:r w:rsidRPr="003B7960">
        <w:rPr>
          <w:lang w:val="es-ES"/>
        </w:rPr>
        <w:t xml:space="preserve"> en relación con los derechos de </w:t>
      </w:r>
      <w:r w:rsidR="004B2866" w:rsidRPr="003B7960">
        <w:rPr>
          <w:lang w:val="es-ES"/>
        </w:rPr>
        <w:t>debido proceso</w:t>
      </w:r>
      <w:r w:rsidR="00067F9E" w:rsidRPr="003B7960">
        <w:rPr>
          <w:rStyle w:val="FootnoteReference"/>
          <w:lang w:val="es-ES"/>
        </w:rPr>
        <w:footnoteReference w:id="118"/>
      </w:r>
      <w:r w:rsidR="00067F9E" w:rsidRPr="003B7960">
        <w:rPr>
          <w:lang w:val="es-ES"/>
        </w:rPr>
        <w:t xml:space="preserve"> </w:t>
      </w:r>
      <w:r w:rsidRPr="003B7960">
        <w:rPr>
          <w:lang w:val="es-ES"/>
        </w:rPr>
        <w:t xml:space="preserve">y de </w:t>
      </w:r>
      <w:r w:rsidR="004B2866" w:rsidRPr="003B7960">
        <w:rPr>
          <w:lang w:val="es-ES"/>
        </w:rPr>
        <w:t>igualdad ante la ley</w:t>
      </w:r>
      <w:r w:rsidR="00067F9E" w:rsidRPr="003B7960">
        <w:rPr>
          <w:rStyle w:val="FootnoteReference"/>
          <w:lang w:val="es-ES"/>
        </w:rPr>
        <w:footnoteReference w:id="119"/>
      </w:r>
      <w:r w:rsidRPr="003B7960">
        <w:rPr>
          <w:lang w:val="es-ES"/>
        </w:rPr>
        <w:t xml:space="preserve"> y la obligación de </w:t>
      </w:r>
      <w:r w:rsidR="004E3528" w:rsidRPr="003B7960">
        <w:rPr>
          <w:lang w:val="es-ES"/>
        </w:rPr>
        <w:t>no devolución</w:t>
      </w:r>
      <w:r w:rsidR="00067F9E" w:rsidRPr="003B7960">
        <w:rPr>
          <w:lang w:val="es-ES"/>
        </w:rPr>
        <w:t xml:space="preserve"> </w:t>
      </w:r>
      <w:r w:rsidRPr="003B7960">
        <w:rPr>
          <w:lang w:val="es-ES"/>
        </w:rPr>
        <w:t xml:space="preserve">en </w:t>
      </w:r>
      <w:r w:rsidR="00C33F51" w:rsidRPr="003B7960">
        <w:rPr>
          <w:lang w:val="es-ES"/>
        </w:rPr>
        <w:t>la Declaración</w:t>
      </w:r>
      <w:r w:rsidR="00B9011F" w:rsidRPr="003B7960">
        <w:rPr>
          <w:lang w:val="es-ES"/>
        </w:rPr>
        <w:t xml:space="preserve"> Americana</w:t>
      </w:r>
      <w:bookmarkEnd w:id="24"/>
    </w:p>
    <w:p w14:paraId="5F78B083" w14:textId="77777777" w:rsidR="00067F9E" w:rsidRPr="003B7960" w:rsidRDefault="00067F9E" w:rsidP="00101DC6">
      <w:pPr>
        <w:tabs>
          <w:tab w:val="left" w:pos="426"/>
        </w:tabs>
        <w:rPr>
          <w:rFonts w:ascii="Cambria" w:hAnsi="Cambria"/>
          <w:sz w:val="20"/>
          <w:szCs w:val="20"/>
          <w:lang w:val="es-ES"/>
        </w:rPr>
      </w:pPr>
    </w:p>
    <w:p w14:paraId="34187BD7" w14:textId="77777777" w:rsidR="00067F9E" w:rsidRPr="003B7960" w:rsidRDefault="00DC0B65" w:rsidP="00101DC6">
      <w:pPr>
        <w:pStyle w:val="Heading3"/>
        <w:numPr>
          <w:ilvl w:val="0"/>
          <w:numId w:val="68"/>
        </w:numPr>
        <w:pBdr>
          <w:top w:val="nil"/>
          <w:left w:val="nil"/>
          <w:bottom w:val="nil"/>
          <w:right w:val="nil"/>
          <w:between w:val="nil"/>
          <w:bar w:val="nil"/>
        </w:pBdr>
        <w:tabs>
          <w:tab w:val="clear" w:pos="540"/>
          <w:tab w:val="left" w:pos="426"/>
        </w:tabs>
        <w:ind w:left="0" w:firstLine="0"/>
        <w:rPr>
          <w:lang w:val="es-ES"/>
        </w:rPr>
      </w:pPr>
      <w:bookmarkStart w:id="25" w:name="_Toc90557310"/>
      <w:r w:rsidRPr="003B7960">
        <w:rPr>
          <w:lang w:val="es-ES"/>
        </w:rPr>
        <w:t>Estándares interamericano</w:t>
      </w:r>
      <w:r w:rsidR="004B2866" w:rsidRPr="003B7960">
        <w:rPr>
          <w:lang w:val="es-ES"/>
        </w:rPr>
        <w:t>s</w:t>
      </w:r>
      <w:r w:rsidR="00067F9E" w:rsidRPr="003B7960">
        <w:rPr>
          <w:lang w:val="es-ES"/>
        </w:rPr>
        <w:t xml:space="preserve"> </w:t>
      </w:r>
      <w:r w:rsidR="00CC50B9" w:rsidRPr="003B7960">
        <w:rPr>
          <w:lang w:val="es-ES"/>
        </w:rPr>
        <w:t xml:space="preserve">en materia de </w:t>
      </w:r>
      <w:r w:rsidR="004B2866" w:rsidRPr="003B7960">
        <w:rPr>
          <w:lang w:val="es-ES"/>
        </w:rPr>
        <w:t>movilidad humana</w:t>
      </w:r>
      <w:r w:rsidR="00CC50B9" w:rsidRPr="003B7960">
        <w:rPr>
          <w:lang w:val="es-ES"/>
        </w:rPr>
        <w:t xml:space="preserve"> e </w:t>
      </w:r>
      <w:r w:rsidR="004B2866" w:rsidRPr="003B7960">
        <w:rPr>
          <w:lang w:val="es-ES"/>
        </w:rPr>
        <w:t>igualdad ante la ley</w:t>
      </w:r>
      <w:bookmarkEnd w:id="25"/>
    </w:p>
    <w:p w14:paraId="2A53B050" w14:textId="77777777" w:rsidR="00067F9E" w:rsidRPr="003B7960" w:rsidRDefault="00067F9E" w:rsidP="00101DC6">
      <w:pPr>
        <w:tabs>
          <w:tab w:val="left" w:pos="426"/>
        </w:tabs>
        <w:rPr>
          <w:rFonts w:ascii="Cambria" w:hAnsi="Cambria"/>
          <w:lang w:val="es-ES"/>
        </w:rPr>
      </w:pPr>
    </w:p>
    <w:p w14:paraId="679FB24B" w14:textId="18F32BB0" w:rsidR="00067F9E" w:rsidRPr="003B7960" w:rsidRDefault="00DC0B65"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E</w:t>
      </w:r>
      <w:r w:rsidR="00CC50B9" w:rsidRPr="003B7960">
        <w:rPr>
          <w:rFonts w:ascii="Cambria" w:hAnsi="Cambria"/>
          <w:sz w:val="20"/>
          <w:szCs w:val="20"/>
          <w:lang w:val="es-ES"/>
        </w:rPr>
        <w:t xml:space="preserve">l preámbulo de </w:t>
      </w:r>
      <w:r w:rsidR="00C33F51" w:rsidRPr="003B7960">
        <w:rPr>
          <w:rFonts w:ascii="Cambria" w:hAnsi="Cambria"/>
          <w:sz w:val="20"/>
          <w:szCs w:val="20"/>
          <w:lang w:val="es-ES"/>
        </w:rPr>
        <w:t>la Declaración</w:t>
      </w:r>
      <w:r w:rsidR="00B9011F" w:rsidRPr="003B7960">
        <w:rPr>
          <w:rFonts w:ascii="Cambria" w:hAnsi="Cambria"/>
          <w:sz w:val="20"/>
          <w:szCs w:val="20"/>
          <w:lang w:val="es-ES"/>
        </w:rPr>
        <w:t xml:space="preserve"> Americana</w:t>
      </w:r>
      <w:r w:rsidR="00067F9E" w:rsidRPr="003B7960">
        <w:rPr>
          <w:rFonts w:ascii="Cambria" w:hAnsi="Cambria"/>
          <w:sz w:val="20"/>
          <w:szCs w:val="20"/>
          <w:lang w:val="es-ES"/>
        </w:rPr>
        <w:t xml:space="preserve"> </w:t>
      </w:r>
      <w:r w:rsidRPr="003B7960">
        <w:rPr>
          <w:rFonts w:ascii="Cambria" w:hAnsi="Cambria"/>
          <w:sz w:val="20"/>
          <w:szCs w:val="20"/>
          <w:lang w:val="es-ES"/>
        </w:rPr>
        <w:t>establece</w:t>
      </w:r>
      <w:r w:rsidR="00CC50B9" w:rsidRPr="003B7960">
        <w:rPr>
          <w:rFonts w:ascii="Cambria" w:hAnsi="Cambria"/>
          <w:sz w:val="20"/>
          <w:szCs w:val="20"/>
          <w:lang w:val="es-ES"/>
        </w:rPr>
        <w:t xml:space="preserve"> que </w:t>
      </w:r>
      <w:r w:rsidR="00067F9E" w:rsidRPr="003B7960">
        <w:rPr>
          <w:rFonts w:ascii="Cambria" w:hAnsi="Cambria"/>
          <w:sz w:val="20"/>
          <w:szCs w:val="20"/>
          <w:lang w:val="es-ES"/>
        </w:rPr>
        <w:t>“</w:t>
      </w:r>
      <w:r w:rsidR="00101137" w:rsidRPr="003B7960">
        <w:rPr>
          <w:rFonts w:ascii="Cambria" w:hAnsi="Cambria"/>
          <w:sz w:val="20"/>
          <w:szCs w:val="20"/>
          <w:lang w:val="es-ES"/>
        </w:rPr>
        <w:t>la protección internacional de los derechos de</w:t>
      </w:r>
      <w:r w:rsidR="00190BCA" w:rsidRPr="003B7960">
        <w:rPr>
          <w:rFonts w:ascii="Cambria" w:hAnsi="Cambria"/>
          <w:sz w:val="20"/>
          <w:szCs w:val="20"/>
          <w:lang w:val="es-ES"/>
        </w:rPr>
        <w:t xml:space="preserve"> [</w:t>
      </w:r>
      <w:r w:rsidR="00101137" w:rsidRPr="003B7960">
        <w:rPr>
          <w:rFonts w:ascii="Cambria" w:hAnsi="Cambria"/>
          <w:sz w:val="20"/>
          <w:szCs w:val="20"/>
          <w:lang w:val="es-ES"/>
        </w:rPr>
        <w:t>l</w:t>
      </w:r>
      <w:r w:rsidR="00190BCA" w:rsidRPr="003B7960">
        <w:rPr>
          <w:rFonts w:ascii="Cambria" w:hAnsi="Cambria"/>
          <w:sz w:val="20"/>
          <w:szCs w:val="20"/>
          <w:lang w:val="es-ES"/>
        </w:rPr>
        <w:t>as</w:t>
      </w:r>
      <w:r w:rsidR="00101137" w:rsidRPr="003B7960">
        <w:rPr>
          <w:rFonts w:ascii="Cambria" w:hAnsi="Cambria"/>
          <w:sz w:val="20"/>
          <w:szCs w:val="20"/>
          <w:lang w:val="es-ES"/>
        </w:rPr>
        <w:t xml:space="preserve"> </w:t>
      </w:r>
      <w:r w:rsidR="00190BCA" w:rsidRPr="003B7960">
        <w:rPr>
          <w:rFonts w:ascii="Cambria" w:hAnsi="Cambria"/>
          <w:sz w:val="20"/>
          <w:szCs w:val="20"/>
          <w:lang w:val="es-ES"/>
        </w:rPr>
        <w:t>personas]</w:t>
      </w:r>
      <w:r w:rsidR="00101137" w:rsidRPr="003B7960">
        <w:rPr>
          <w:rFonts w:ascii="Cambria" w:hAnsi="Cambria"/>
          <w:sz w:val="20"/>
          <w:szCs w:val="20"/>
          <w:lang w:val="es-ES"/>
        </w:rPr>
        <w:t xml:space="preserve"> debe ser guía principalísima del derecho americano en evolución</w:t>
      </w:r>
      <w:r w:rsidR="00067F9E" w:rsidRPr="003B7960">
        <w:rPr>
          <w:rFonts w:ascii="Cambria" w:hAnsi="Cambria"/>
          <w:sz w:val="20"/>
          <w:szCs w:val="20"/>
          <w:lang w:val="es-ES"/>
        </w:rPr>
        <w:t xml:space="preserve">”. </w:t>
      </w:r>
      <w:r w:rsidR="00CC50B9" w:rsidRPr="003B7960">
        <w:rPr>
          <w:rFonts w:ascii="Cambria" w:hAnsi="Cambria"/>
          <w:sz w:val="20"/>
          <w:szCs w:val="20"/>
          <w:lang w:val="es-ES"/>
        </w:rPr>
        <w:t xml:space="preserve">Además, </w:t>
      </w:r>
      <w:r w:rsidRPr="003B7960">
        <w:rPr>
          <w:rFonts w:ascii="Cambria" w:hAnsi="Cambria"/>
          <w:sz w:val="20"/>
          <w:szCs w:val="20"/>
          <w:lang w:val="es-ES"/>
        </w:rPr>
        <w:t xml:space="preserve">sobre la base del desarrollo </w:t>
      </w:r>
      <w:r w:rsidR="00D94477" w:rsidRPr="003B7960">
        <w:rPr>
          <w:rFonts w:ascii="Cambria" w:hAnsi="Cambria"/>
          <w:sz w:val="20"/>
          <w:szCs w:val="20"/>
          <w:lang w:val="es-ES"/>
        </w:rPr>
        <w:t>del derecho internacional</w:t>
      </w:r>
      <w:r w:rsidR="00CC50B9" w:rsidRPr="003B7960">
        <w:rPr>
          <w:rFonts w:ascii="Cambria" w:hAnsi="Cambria"/>
          <w:sz w:val="20"/>
          <w:szCs w:val="20"/>
          <w:lang w:val="es-ES"/>
        </w:rPr>
        <w:t>, el derecho a pedir y recibir</w:t>
      </w:r>
      <w:r w:rsidR="00067F9E" w:rsidRPr="003B7960">
        <w:rPr>
          <w:rFonts w:ascii="Cambria" w:hAnsi="Cambria"/>
          <w:sz w:val="20"/>
          <w:szCs w:val="20"/>
          <w:lang w:val="es-ES"/>
        </w:rPr>
        <w:t xml:space="preserve"> </w:t>
      </w:r>
      <w:r w:rsidR="00774960" w:rsidRPr="003B7960">
        <w:rPr>
          <w:rFonts w:ascii="Cambria" w:hAnsi="Cambria"/>
          <w:sz w:val="20"/>
          <w:szCs w:val="20"/>
          <w:lang w:val="es-ES"/>
        </w:rPr>
        <w:t>asilo</w:t>
      </w:r>
      <w:r w:rsidR="00067F9E" w:rsidRPr="003B7960">
        <w:rPr>
          <w:rFonts w:ascii="Cambria" w:hAnsi="Cambria"/>
          <w:sz w:val="20"/>
          <w:szCs w:val="20"/>
          <w:lang w:val="es-ES"/>
        </w:rPr>
        <w:t xml:space="preserve"> (</w:t>
      </w:r>
      <w:r w:rsidR="00CC50B9" w:rsidRPr="003B7960">
        <w:rPr>
          <w:rFonts w:ascii="Cambria" w:hAnsi="Cambria"/>
          <w:sz w:val="20"/>
          <w:szCs w:val="20"/>
          <w:lang w:val="es-ES"/>
        </w:rPr>
        <w:t>artículo</w:t>
      </w:r>
      <w:r w:rsidR="00067F9E" w:rsidRPr="003B7960">
        <w:rPr>
          <w:rFonts w:ascii="Cambria" w:hAnsi="Cambria"/>
          <w:sz w:val="20"/>
          <w:szCs w:val="20"/>
          <w:lang w:val="es-ES"/>
        </w:rPr>
        <w:t xml:space="preserve"> XXVII)</w:t>
      </w:r>
      <w:r w:rsidR="00067F9E" w:rsidRPr="003B7960">
        <w:rPr>
          <w:rStyle w:val="FootnoteReference"/>
          <w:rFonts w:ascii="Cambria" w:hAnsi="Cambria"/>
          <w:sz w:val="20"/>
          <w:szCs w:val="20"/>
          <w:lang w:val="es-ES"/>
        </w:rPr>
        <w:footnoteReference w:id="120"/>
      </w:r>
      <w:r w:rsidR="00067F9E" w:rsidRPr="003B7960">
        <w:rPr>
          <w:rFonts w:ascii="Cambria" w:hAnsi="Cambria"/>
          <w:sz w:val="20"/>
          <w:szCs w:val="20"/>
          <w:lang w:val="es-ES"/>
        </w:rPr>
        <w:t xml:space="preserve"> </w:t>
      </w:r>
      <w:r w:rsidR="00CC50B9" w:rsidRPr="003B7960">
        <w:rPr>
          <w:rFonts w:ascii="Cambria" w:hAnsi="Cambria"/>
          <w:sz w:val="20"/>
          <w:szCs w:val="20"/>
          <w:lang w:val="es-ES"/>
        </w:rPr>
        <w:t xml:space="preserve">implica que </w:t>
      </w:r>
      <w:r w:rsidR="00B55951" w:rsidRPr="003B7960">
        <w:rPr>
          <w:rFonts w:ascii="Cambria" w:hAnsi="Cambria"/>
          <w:sz w:val="20"/>
          <w:szCs w:val="20"/>
          <w:lang w:val="es-ES"/>
        </w:rPr>
        <w:t xml:space="preserve">las </w:t>
      </w:r>
      <w:r w:rsidR="00CC50B9" w:rsidRPr="003B7960">
        <w:rPr>
          <w:rFonts w:ascii="Cambria" w:hAnsi="Cambria"/>
          <w:sz w:val="20"/>
          <w:szCs w:val="20"/>
          <w:lang w:val="es-ES"/>
        </w:rPr>
        <w:t>solicitud</w:t>
      </w:r>
      <w:r w:rsidR="00B55951" w:rsidRPr="003B7960">
        <w:rPr>
          <w:rFonts w:ascii="Cambria" w:hAnsi="Cambria"/>
          <w:sz w:val="20"/>
          <w:szCs w:val="20"/>
          <w:lang w:val="es-ES"/>
        </w:rPr>
        <w:t>es</w:t>
      </w:r>
      <w:r w:rsidR="00CC50B9" w:rsidRPr="003B7960">
        <w:rPr>
          <w:rFonts w:ascii="Cambria" w:hAnsi="Cambria"/>
          <w:sz w:val="20"/>
          <w:szCs w:val="20"/>
          <w:lang w:val="es-ES"/>
        </w:rPr>
        <w:t xml:space="preserve"> de </w:t>
      </w:r>
      <w:r w:rsidR="00774960" w:rsidRPr="003B7960">
        <w:rPr>
          <w:rFonts w:ascii="Cambria" w:hAnsi="Cambria"/>
          <w:sz w:val="20"/>
          <w:szCs w:val="20"/>
          <w:lang w:val="es-ES"/>
        </w:rPr>
        <w:t>protección internacional</w:t>
      </w:r>
      <w:r w:rsidR="00067F9E" w:rsidRPr="003B7960">
        <w:rPr>
          <w:rFonts w:ascii="Cambria" w:hAnsi="Cambria"/>
          <w:sz w:val="20"/>
          <w:szCs w:val="20"/>
          <w:lang w:val="es-ES"/>
        </w:rPr>
        <w:t xml:space="preserve"> </w:t>
      </w:r>
      <w:r w:rsidR="00CC50B9" w:rsidRPr="003B7960">
        <w:rPr>
          <w:rFonts w:ascii="Cambria" w:hAnsi="Cambria"/>
          <w:sz w:val="20"/>
          <w:szCs w:val="20"/>
          <w:lang w:val="es-ES"/>
        </w:rPr>
        <w:t>debe</w:t>
      </w:r>
      <w:r w:rsidR="00B55951" w:rsidRPr="003B7960">
        <w:rPr>
          <w:rFonts w:ascii="Cambria" w:hAnsi="Cambria"/>
          <w:sz w:val="20"/>
          <w:szCs w:val="20"/>
          <w:lang w:val="es-ES"/>
        </w:rPr>
        <w:t>n</w:t>
      </w:r>
      <w:r w:rsidR="00CC50B9" w:rsidRPr="003B7960">
        <w:rPr>
          <w:rFonts w:ascii="Cambria" w:hAnsi="Cambria"/>
          <w:sz w:val="20"/>
          <w:szCs w:val="20"/>
          <w:lang w:val="es-ES"/>
        </w:rPr>
        <w:t xml:space="preserve"> </w:t>
      </w:r>
      <w:r w:rsidR="00B55951" w:rsidRPr="003B7960">
        <w:rPr>
          <w:rFonts w:ascii="Cambria" w:hAnsi="Cambria"/>
          <w:sz w:val="20"/>
          <w:szCs w:val="20"/>
          <w:lang w:val="es-ES"/>
        </w:rPr>
        <w:t xml:space="preserve">ser </w:t>
      </w:r>
      <w:r w:rsidR="00190BCA" w:rsidRPr="003B7960">
        <w:rPr>
          <w:rFonts w:ascii="Cambria" w:hAnsi="Cambria"/>
          <w:sz w:val="20"/>
          <w:szCs w:val="20"/>
          <w:lang w:val="es-ES"/>
        </w:rPr>
        <w:t>sustanciadas</w:t>
      </w:r>
      <w:r w:rsidR="00CC50B9" w:rsidRPr="003B7960">
        <w:rPr>
          <w:rFonts w:ascii="Cambria" w:hAnsi="Cambria"/>
          <w:sz w:val="20"/>
          <w:szCs w:val="20"/>
          <w:lang w:val="es-ES"/>
        </w:rPr>
        <w:t xml:space="preserve"> con las normas del</w:t>
      </w:r>
      <w:r w:rsidR="00067F9E" w:rsidRPr="003B7960">
        <w:rPr>
          <w:rFonts w:ascii="Cambria" w:hAnsi="Cambria"/>
          <w:sz w:val="20"/>
          <w:szCs w:val="20"/>
          <w:lang w:val="es-ES"/>
        </w:rPr>
        <w:t xml:space="preserve"> </w:t>
      </w:r>
      <w:r w:rsidR="004B2866" w:rsidRPr="003B7960">
        <w:rPr>
          <w:rFonts w:ascii="Cambria" w:hAnsi="Cambria"/>
          <w:sz w:val="20"/>
          <w:szCs w:val="20"/>
          <w:lang w:val="es-ES"/>
        </w:rPr>
        <w:t>debido proceso</w:t>
      </w:r>
      <w:r w:rsidR="00067F9E" w:rsidRPr="003B7960">
        <w:rPr>
          <w:rFonts w:ascii="Cambria" w:hAnsi="Cambria"/>
          <w:sz w:val="20"/>
          <w:szCs w:val="20"/>
          <w:lang w:val="es-ES"/>
        </w:rPr>
        <w:t xml:space="preserve"> </w:t>
      </w:r>
      <w:r w:rsidR="00CC50B9" w:rsidRPr="003B7960">
        <w:rPr>
          <w:rFonts w:ascii="Cambria" w:hAnsi="Cambria"/>
          <w:sz w:val="20"/>
          <w:szCs w:val="20"/>
          <w:lang w:val="es-ES"/>
        </w:rPr>
        <w:t xml:space="preserve">a fin de </w:t>
      </w:r>
      <w:r w:rsidR="00067F9E" w:rsidRPr="003B7960">
        <w:rPr>
          <w:rFonts w:ascii="Cambria" w:hAnsi="Cambria"/>
          <w:sz w:val="20"/>
          <w:szCs w:val="20"/>
          <w:lang w:val="es-ES"/>
        </w:rPr>
        <w:t>determin</w:t>
      </w:r>
      <w:r w:rsidR="00CC50B9" w:rsidRPr="003B7960">
        <w:rPr>
          <w:rFonts w:ascii="Cambria" w:hAnsi="Cambria"/>
          <w:sz w:val="20"/>
          <w:szCs w:val="20"/>
          <w:lang w:val="es-ES"/>
        </w:rPr>
        <w:t xml:space="preserve">ar </w:t>
      </w:r>
      <w:r w:rsidR="00B55951" w:rsidRPr="003B7960">
        <w:rPr>
          <w:rFonts w:ascii="Cambria" w:hAnsi="Cambria"/>
          <w:sz w:val="20"/>
          <w:szCs w:val="20"/>
          <w:lang w:val="es-ES"/>
        </w:rPr>
        <w:t xml:space="preserve">si los solicitantes se encuadran en los criterios reconocidos por los </w:t>
      </w:r>
      <w:r w:rsidR="004B2866" w:rsidRPr="003B7960">
        <w:rPr>
          <w:rFonts w:ascii="Cambria" w:hAnsi="Cambria"/>
          <w:sz w:val="20"/>
          <w:szCs w:val="20"/>
          <w:lang w:val="es-ES"/>
        </w:rPr>
        <w:t>instrumentos internacionales</w:t>
      </w:r>
      <w:r w:rsidR="00067F9E" w:rsidRPr="003B7960">
        <w:rPr>
          <w:rFonts w:ascii="Cambria" w:hAnsi="Cambria"/>
          <w:sz w:val="20"/>
          <w:szCs w:val="20"/>
          <w:lang w:val="es-ES"/>
        </w:rPr>
        <w:t xml:space="preserve"> </w:t>
      </w:r>
      <w:r w:rsidR="00CC50B9" w:rsidRPr="003B7960">
        <w:rPr>
          <w:rFonts w:ascii="Cambria" w:hAnsi="Cambria"/>
          <w:sz w:val="20"/>
          <w:szCs w:val="20"/>
          <w:lang w:val="es-ES"/>
        </w:rPr>
        <w:lastRenderedPageBreak/>
        <w:t xml:space="preserve">para recibir </w:t>
      </w:r>
      <w:r w:rsidR="00774960" w:rsidRPr="003B7960">
        <w:rPr>
          <w:rFonts w:ascii="Cambria" w:hAnsi="Cambria"/>
          <w:sz w:val="20"/>
          <w:szCs w:val="20"/>
          <w:lang w:val="es-ES"/>
        </w:rPr>
        <w:t>protección internacional</w:t>
      </w:r>
      <w:r w:rsidR="00067F9E" w:rsidRPr="003B7960">
        <w:rPr>
          <w:rStyle w:val="FootnoteReference"/>
          <w:rFonts w:ascii="Cambria" w:hAnsi="Cambria"/>
          <w:sz w:val="20"/>
          <w:szCs w:val="20"/>
          <w:lang w:val="es-ES"/>
        </w:rPr>
        <w:footnoteReference w:id="121"/>
      </w:r>
      <w:r w:rsidR="00067F9E" w:rsidRPr="003B7960">
        <w:rPr>
          <w:rFonts w:ascii="Cambria" w:hAnsi="Cambria"/>
          <w:sz w:val="20"/>
          <w:szCs w:val="20"/>
          <w:lang w:val="es-ES"/>
        </w:rPr>
        <w:t xml:space="preserve">. </w:t>
      </w:r>
      <w:r w:rsidR="00C33F51" w:rsidRPr="003B7960">
        <w:rPr>
          <w:rFonts w:ascii="Cambria" w:hAnsi="Cambria"/>
          <w:sz w:val="20"/>
          <w:szCs w:val="20"/>
          <w:lang w:val="es-ES"/>
        </w:rPr>
        <w:t>La CIDH</w:t>
      </w:r>
      <w:r w:rsidR="00067F9E" w:rsidRPr="003B7960">
        <w:rPr>
          <w:rFonts w:ascii="Cambria" w:hAnsi="Cambria"/>
          <w:sz w:val="20"/>
          <w:szCs w:val="20"/>
          <w:lang w:val="es-ES"/>
        </w:rPr>
        <w:t xml:space="preserve"> consider</w:t>
      </w:r>
      <w:r w:rsidR="00B55951" w:rsidRPr="003B7960">
        <w:rPr>
          <w:rFonts w:ascii="Cambria" w:hAnsi="Cambria"/>
          <w:sz w:val="20"/>
          <w:szCs w:val="20"/>
          <w:lang w:val="es-ES"/>
        </w:rPr>
        <w:t xml:space="preserve">a que, para cumplir estas </w:t>
      </w:r>
      <w:r w:rsidR="004B2866" w:rsidRPr="003B7960">
        <w:rPr>
          <w:rFonts w:ascii="Cambria" w:hAnsi="Cambria"/>
          <w:sz w:val="20"/>
          <w:szCs w:val="20"/>
          <w:lang w:val="es-ES"/>
        </w:rPr>
        <w:t>obligaciones</w:t>
      </w:r>
      <w:r w:rsidR="00B55951" w:rsidRPr="003B7960">
        <w:rPr>
          <w:rFonts w:ascii="Cambria" w:hAnsi="Cambria"/>
          <w:sz w:val="20"/>
          <w:szCs w:val="20"/>
          <w:lang w:val="es-ES"/>
        </w:rPr>
        <w:t>, los</w:t>
      </w:r>
      <w:r w:rsidR="00A332F5" w:rsidRPr="003B7960">
        <w:rPr>
          <w:rFonts w:ascii="Cambria" w:hAnsi="Cambria"/>
          <w:sz w:val="20"/>
          <w:szCs w:val="20"/>
          <w:lang w:val="es-ES"/>
        </w:rPr>
        <w:t xml:space="preserve"> Estado</w:t>
      </w:r>
      <w:r w:rsidR="00067F9E" w:rsidRPr="003B7960">
        <w:rPr>
          <w:rFonts w:ascii="Cambria" w:hAnsi="Cambria"/>
          <w:sz w:val="20"/>
          <w:szCs w:val="20"/>
          <w:lang w:val="es-ES"/>
        </w:rPr>
        <w:t xml:space="preserve">s </w:t>
      </w:r>
      <w:r w:rsidR="00B55951" w:rsidRPr="003B7960">
        <w:rPr>
          <w:rFonts w:ascii="Cambria" w:hAnsi="Cambria"/>
          <w:sz w:val="20"/>
          <w:szCs w:val="20"/>
          <w:lang w:val="es-ES"/>
        </w:rPr>
        <w:t xml:space="preserve">deben adoptar leyes adecuadas que no solo reconozcan formalmente el derecho a </w:t>
      </w:r>
      <w:r w:rsidR="00CC50B9" w:rsidRPr="003B7960">
        <w:rPr>
          <w:rFonts w:ascii="Cambria" w:hAnsi="Cambria"/>
          <w:sz w:val="20"/>
          <w:szCs w:val="20"/>
          <w:lang w:val="es-ES"/>
        </w:rPr>
        <w:t>pedir y recibir</w:t>
      </w:r>
      <w:r w:rsidR="00067F9E" w:rsidRPr="003B7960">
        <w:rPr>
          <w:rFonts w:ascii="Cambria" w:hAnsi="Cambria"/>
          <w:sz w:val="20"/>
          <w:szCs w:val="20"/>
          <w:lang w:val="es-ES"/>
        </w:rPr>
        <w:t xml:space="preserve"> </w:t>
      </w:r>
      <w:r w:rsidR="00774960" w:rsidRPr="003B7960">
        <w:rPr>
          <w:rFonts w:ascii="Cambria" w:hAnsi="Cambria"/>
          <w:sz w:val="20"/>
          <w:szCs w:val="20"/>
          <w:lang w:val="es-ES"/>
        </w:rPr>
        <w:t>asilo</w:t>
      </w:r>
      <w:r w:rsidR="00B55951" w:rsidRPr="003B7960">
        <w:rPr>
          <w:rFonts w:ascii="Cambria" w:hAnsi="Cambria"/>
          <w:sz w:val="20"/>
          <w:szCs w:val="20"/>
          <w:lang w:val="es-ES"/>
        </w:rPr>
        <w:t xml:space="preserve">, sino que también </w:t>
      </w:r>
      <w:r w:rsidR="00C85688" w:rsidRPr="003B7960">
        <w:rPr>
          <w:rFonts w:ascii="Cambria" w:hAnsi="Cambria"/>
          <w:sz w:val="20"/>
          <w:szCs w:val="20"/>
          <w:lang w:val="es-ES"/>
        </w:rPr>
        <w:t xml:space="preserve">conduzcan </w:t>
      </w:r>
      <w:r w:rsidR="00B55951" w:rsidRPr="003B7960">
        <w:rPr>
          <w:rFonts w:ascii="Cambria" w:hAnsi="Cambria"/>
          <w:sz w:val="20"/>
          <w:szCs w:val="20"/>
          <w:lang w:val="es-ES"/>
        </w:rPr>
        <w:t>a los procedimientos administrativos y judiciales necesarios para asegurar plenamente el ejercicio del derecho, lo cual implica, a su vez, derogar leyes internas y acuerdos internacionales que puedan poner en peligro el ejercicio de los derechos de movilidad</w:t>
      </w:r>
      <w:r w:rsidRPr="003B7960">
        <w:rPr>
          <w:rFonts w:ascii="Cambria" w:hAnsi="Cambria"/>
          <w:sz w:val="20"/>
          <w:szCs w:val="20"/>
          <w:lang w:val="es-ES"/>
        </w:rPr>
        <w:t xml:space="preserve"> humana</w:t>
      </w:r>
      <w:r w:rsidR="00067F9E" w:rsidRPr="003B7960">
        <w:rPr>
          <w:rFonts w:ascii="Cambria" w:hAnsi="Cambria"/>
          <w:sz w:val="20"/>
          <w:szCs w:val="20"/>
          <w:lang w:val="es-ES"/>
        </w:rPr>
        <w:t xml:space="preserve">. </w:t>
      </w:r>
    </w:p>
    <w:p w14:paraId="7487E127"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1BD58351" w14:textId="77777777" w:rsidR="00067F9E" w:rsidRPr="003B7960" w:rsidRDefault="004B2866"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sz w:val="20"/>
          <w:szCs w:val="20"/>
          <w:lang w:val="es-ES"/>
        </w:rPr>
        <w:t>Por consiguiente</w:t>
      </w:r>
      <w:r w:rsidR="00067F9E" w:rsidRPr="003B7960">
        <w:rPr>
          <w:rFonts w:ascii="Cambria" w:hAnsi="Cambria"/>
          <w:sz w:val="20"/>
          <w:szCs w:val="20"/>
          <w:lang w:val="es-ES"/>
        </w:rPr>
        <w:t xml:space="preserve">, </w:t>
      </w:r>
      <w:r w:rsidR="0006351D" w:rsidRPr="003B7960">
        <w:rPr>
          <w:rFonts w:ascii="Cambria" w:hAnsi="Cambria"/>
          <w:sz w:val="20"/>
          <w:szCs w:val="20"/>
          <w:lang w:val="es-ES"/>
        </w:rPr>
        <w:t xml:space="preserve">los órganos del </w:t>
      </w:r>
      <w:r w:rsidR="00101137" w:rsidRPr="003B7960">
        <w:rPr>
          <w:rFonts w:ascii="Cambria" w:hAnsi="Cambria"/>
          <w:sz w:val="20"/>
          <w:szCs w:val="20"/>
          <w:lang w:val="es-ES"/>
        </w:rPr>
        <w:t>sistema interamericano</w:t>
      </w:r>
      <w:r w:rsidR="00067F9E" w:rsidRPr="003B7960">
        <w:rPr>
          <w:rFonts w:ascii="Cambria" w:hAnsi="Cambria"/>
          <w:sz w:val="20"/>
          <w:szCs w:val="20"/>
          <w:lang w:val="es-ES"/>
        </w:rPr>
        <w:t>, t</w:t>
      </w:r>
      <w:r w:rsidR="0006351D" w:rsidRPr="003B7960">
        <w:rPr>
          <w:rFonts w:ascii="Cambria" w:hAnsi="Cambria"/>
          <w:sz w:val="20"/>
          <w:szCs w:val="20"/>
          <w:lang w:val="es-ES"/>
        </w:rPr>
        <w:t>eniendo en cuenta las directrices y los criterios d</w:t>
      </w:r>
      <w:r w:rsidR="00772786" w:rsidRPr="003B7960">
        <w:rPr>
          <w:rFonts w:ascii="Cambria" w:hAnsi="Cambria"/>
          <w:sz w:val="20"/>
          <w:szCs w:val="20"/>
          <w:lang w:val="es-ES"/>
        </w:rPr>
        <w:t>el ACNUR</w:t>
      </w:r>
      <w:r w:rsidR="00067F9E" w:rsidRPr="003B7960">
        <w:rPr>
          <w:rFonts w:ascii="Cambria" w:hAnsi="Cambria"/>
          <w:sz w:val="20"/>
          <w:szCs w:val="20"/>
          <w:lang w:val="es-ES"/>
        </w:rPr>
        <w:t xml:space="preserve">, </w:t>
      </w:r>
      <w:r w:rsidR="0006351D" w:rsidRPr="003B7960">
        <w:rPr>
          <w:rFonts w:ascii="Cambria" w:hAnsi="Cambria"/>
          <w:sz w:val="20"/>
          <w:szCs w:val="20"/>
          <w:lang w:val="es-ES"/>
        </w:rPr>
        <w:t xml:space="preserve">afirman que los procedimientos para </w:t>
      </w:r>
      <w:r w:rsidR="00067F9E" w:rsidRPr="003B7960">
        <w:rPr>
          <w:rFonts w:ascii="Cambria" w:hAnsi="Cambria"/>
          <w:sz w:val="20"/>
          <w:szCs w:val="20"/>
          <w:lang w:val="es-ES"/>
        </w:rPr>
        <w:t>determin</w:t>
      </w:r>
      <w:r w:rsidR="0006351D" w:rsidRPr="003B7960">
        <w:rPr>
          <w:rFonts w:ascii="Cambria" w:hAnsi="Cambria"/>
          <w:sz w:val="20"/>
          <w:szCs w:val="20"/>
          <w:lang w:val="es-ES"/>
        </w:rPr>
        <w:t>ar la</w:t>
      </w:r>
      <w:r w:rsidR="00067F9E" w:rsidRPr="003B7960">
        <w:rPr>
          <w:rFonts w:ascii="Cambria" w:hAnsi="Cambria"/>
          <w:sz w:val="20"/>
          <w:szCs w:val="20"/>
          <w:lang w:val="es-ES"/>
        </w:rPr>
        <w:t xml:space="preserve"> </w:t>
      </w:r>
      <w:r w:rsidR="00BE1909" w:rsidRPr="003B7960">
        <w:rPr>
          <w:rFonts w:ascii="Cambria" w:hAnsi="Cambria"/>
          <w:sz w:val="20"/>
          <w:szCs w:val="20"/>
          <w:lang w:val="es-ES"/>
        </w:rPr>
        <w:t>condición de refugiado</w:t>
      </w:r>
      <w:r w:rsidR="00067F9E" w:rsidRPr="003B7960">
        <w:rPr>
          <w:rFonts w:ascii="Cambria" w:hAnsi="Cambria"/>
          <w:sz w:val="20"/>
          <w:szCs w:val="20"/>
          <w:lang w:val="es-ES"/>
        </w:rPr>
        <w:t xml:space="preserve"> </w:t>
      </w:r>
      <w:r w:rsidR="0006351D" w:rsidRPr="003B7960">
        <w:rPr>
          <w:rFonts w:ascii="Cambria" w:hAnsi="Cambria"/>
          <w:sz w:val="20"/>
          <w:szCs w:val="20"/>
          <w:lang w:val="es-ES"/>
        </w:rPr>
        <w:t>deben abarcar garantías procesales esenciales, entre las cuales cabe señalar las siguientes</w:t>
      </w:r>
      <w:r w:rsidR="00067F9E" w:rsidRPr="003B7960">
        <w:rPr>
          <w:rStyle w:val="FootnoteReference"/>
          <w:rFonts w:ascii="Cambria" w:hAnsi="Cambria"/>
          <w:color w:val="000000"/>
          <w:sz w:val="20"/>
          <w:szCs w:val="20"/>
          <w:lang w:val="es-ES"/>
        </w:rPr>
        <w:footnoteReference w:id="122"/>
      </w:r>
      <w:r w:rsidR="0006351D" w:rsidRPr="003B7960">
        <w:rPr>
          <w:rFonts w:ascii="Cambria" w:hAnsi="Cambria"/>
          <w:sz w:val="20"/>
          <w:szCs w:val="20"/>
          <w:lang w:val="es-ES"/>
        </w:rPr>
        <w:t>:</w:t>
      </w:r>
    </w:p>
    <w:p w14:paraId="691B6E80"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5C6B078E" w14:textId="4FB46B7A" w:rsidR="00067F9E" w:rsidRPr="003B7960" w:rsidRDefault="0006351D"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el derecho a</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la notificación previa </w:t>
      </w:r>
      <w:r w:rsidR="00EB7A3A" w:rsidRPr="003B7960">
        <w:rPr>
          <w:rFonts w:ascii="Cambria" w:hAnsi="Cambria"/>
          <w:color w:val="000000"/>
          <w:sz w:val="20"/>
          <w:szCs w:val="20"/>
          <w:lang w:val="es-ES"/>
        </w:rPr>
        <w:t xml:space="preserve">y </w:t>
      </w:r>
      <w:r w:rsidRPr="003B7960">
        <w:rPr>
          <w:rFonts w:ascii="Cambria" w:hAnsi="Cambria"/>
          <w:color w:val="000000"/>
          <w:sz w:val="20"/>
          <w:szCs w:val="20"/>
          <w:lang w:val="es-ES"/>
        </w:rPr>
        <w:t>detallada del</w:t>
      </w:r>
      <w:r w:rsidR="00067F9E" w:rsidRPr="003B7960">
        <w:rPr>
          <w:rFonts w:ascii="Cambria" w:hAnsi="Cambria"/>
          <w:color w:val="000000"/>
          <w:sz w:val="20"/>
          <w:szCs w:val="20"/>
          <w:lang w:val="es-ES"/>
        </w:rPr>
        <w:t xml:space="preserve"> proced</w:t>
      </w:r>
      <w:r w:rsidRPr="003B7960">
        <w:rPr>
          <w:rFonts w:ascii="Cambria" w:hAnsi="Cambria"/>
          <w:color w:val="000000"/>
          <w:sz w:val="20"/>
          <w:szCs w:val="20"/>
          <w:lang w:val="es-ES"/>
        </w:rPr>
        <w:t xml:space="preserve">imiento para determinar su condición jurídica y, en el caso de </w:t>
      </w:r>
      <w:r w:rsidR="00A40D4D" w:rsidRPr="003B7960">
        <w:rPr>
          <w:rFonts w:ascii="Cambria" w:hAnsi="Cambria"/>
          <w:color w:val="000000"/>
          <w:sz w:val="20"/>
          <w:szCs w:val="20"/>
          <w:lang w:val="es-ES"/>
        </w:rPr>
        <w:t xml:space="preserve">los detenidos, a que se les comuniquen las razones de su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A40D4D" w:rsidRPr="003B7960">
        <w:rPr>
          <w:rFonts w:ascii="Cambria" w:hAnsi="Cambria"/>
          <w:color w:val="000000"/>
          <w:sz w:val="20"/>
          <w:szCs w:val="20"/>
          <w:lang w:val="es-ES"/>
        </w:rPr>
        <w:t>y se les informe con prontitud sobre el cargo o los cargos formulados en su contra;</w:t>
      </w:r>
    </w:p>
    <w:p w14:paraId="110DB160" w14:textId="3781D429" w:rsidR="00067F9E" w:rsidRPr="003B7960" w:rsidRDefault="00DC0B65"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 xml:space="preserve">derecho a recibir la orientación necesaria en cuanto al procedimiento que ha de seguirse, en un lenguaje y modo </w:t>
      </w:r>
      <w:r w:rsidR="00EB7A3A" w:rsidRPr="003B7960">
        <w:rPr>
          <w:rFonts w:ascii="Cambria" w:eastAsia="Times New Roman" w:hAnsi="Cambria"/>
          <w:sz w:val="20"/>
          <w:szCs w:val="20"/>
          <w:bdr w:val="none" w:sz="0" w:space="0" w:color="auto"/>
          <w:lang w:val="es-US"/>
        </w:rPr>
        <w:t>comprensibles y</w:t>
      </w:r>
      <w:r w:rsidRPr="003B7960">
        <w:rPr>
          <w:rFonts w:ascii="Cambria" w:eastAsia="Times New Roman" w:hAnsi="Cambria"/>
          <w:sz w:val="20"/>
          <w:szCs w:val="20"/>
          <w:bdr w:val="none" w:sz="0" w:space="0" w:color="auto"/>
          <w:lang w:val="es-US"/>
        </w:rPr>
        <w:t xml:space="preserve">, </w:t>
      </w:r>
      <w:r w:rsidR="00EB7A3A" w:rsidRPr="003B7960">
        <w:rPr>
          <w:rFonts w:ascii="Cambria" w:eastAsia="Times New Roman" w:hAnsi="Cambria"/>
          <w:sz w:val="20"/>
          <w:szCs w:val="20"/>
          <w:bdr w:val="none" w:sz="0" w:space="0" w:color="auto"/>
          <w:lang w:val="es-US"/>
        </w:rPr>
        <w:t>de ser apropiado</w:t>
      </w:r>
      <w:r w:rsidRPr="003B7960">
        <w:rPr>
          <w:rFonts w:ascii="Cambria" w:eastAsia="Times New Roman" w:hAnsi="Cambria"/>
          <w:sz w:val="20"/>
          <w:szCs w:val="20"/>
          <w:bdr w:val="none" w:sz="0" w:space="0" w:color="auto"/>
          <w:lang w:val="es-US"/>
        </w:rPr>
        <w:t>, se le debe dar la oportunidad de ponerse en contacto con un representante de ACNUR.</w:t>
      </w:r>
      <w:r w:rsidR="00067F9E" w:rsidRPr="003B7960">
        <w:rPr>
          <w:rFonts w:ascii="Cambria" w:eastAsia="Times New Roman" w:hAnsi="Cambria"/>
          <w:sz w:val="20"/>
          <w:szCs w:val="20"/>
          <w:bdr w:val="none" w:sz="0" w:space="0" w:color="auto"/>
          <w:lang w:val="es-ES"/>
        </w:rPr>
        <w:t xml:space="preserve">; </w:t>
      </w:r>
    </w:p>
    <w:p w14:paraId="555A5ABC" w14:textId="77777777" w:rsidR="00DC0B65" w:rsidRPr="003B7960" w:rsidRDefault="00DC0B65"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de toda persona detenida de ser llevada sin demoradas ante una juez o autoridad administrativa autorizada por el ley para el ejercicio jurisdiccional y de ser juzgada en un plazo razonable o, de lo contrario, de ser lib</w:t>
      </w:r>
      <w:r w:rsidR="009C5BDC" w:rsidRPr="003B7960">
        <w:rPr>
          <w:rFonts w:ascii="Cambria" w:eastAsia="Times New Roman" w:hAnsi="Cambria"/>
          <w:sz w:val="20"/>
          <w:szCs w:val="20"/>
          <w:bdr w:val="none" w:sz="0" w:space="0" w:color="auto"/>
          <w:lang w:val="es-ES"/>
        </w:rPr>
        <w:t xml:space="preserve">erada y continuar su proceso sin detención. Su libertad puede estar condicionada a medidas que aseguren su presencia posterior en su juicio. </w:t>
      </w:r>
    </w:p>
    <w:p w14:paraId="0657B43E" w14:textId="77777777" w:rsidR="00DC0B65" w:rsidRPr="003B7960" w:rsidRDefault="0006351D"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a</w:t>
      </w:r>
      <w:r w:rsidR="00067F9E" w:rsidRPr="003B7960">
        <w:rPr>
          <w:rFonts w:ascii="Cambria" w:eastAsia="Times New Roman" w:hAnsi="Cambria"/>
          <w:sz w:val="20"/>
          <w:szCs w:val="20"/>
          <w:bdr w:val="none" w:sz="0" w:space="0" w:color="auto"/>
          <w:lang w:val="es-ES"/>
        </w:rPr>
        <w:t xml:space="preserve"> </w:t>
      </w:r>
      <w:r w:rsidR="00A40D4D" w:rsidRPr="003B7960">
        <w:rPr>
          <w:rFonts w:ascii="Cambria" w:eastAsia="Times New Roman" w:hAnsi="Cambria"/>
          <w:sz w:val="20"/>
          <w:szCs w:val="20"/>
          <w:bdr w:val="none" w:sz="0" w:space="0" w:color="auto"/>
          <w:lang w:val="es-ES"/>
        </w:rPr>
        <w:t xml:space="preserve">una audiencia sin demoras, a </w:t>
      </w:r>
      <w:r w:rsidR="007677CD" w:rsidRPr="003B7960">
        <w:rPr>
          <w:rFonts w:ascii="Cambria" w:eastAsia="Times New Roman" w:hAnsi="Cambria"/>
          <w:sz w:val="20"/>
          <w:szCs w:val="20"/>
          <w:bdr w:val="none" w:sz="0" w:space="0" w:color="auto"/>
          <w:lang w:val="es-ES"/>
        </w:rPr>
        <w:t xml:space="preserve">contar con </w:t>
      </w:r>
      <w:r w:rsidR="00A40D4D" w:rsidRPr="003B7960">
        <w:rPr>
          <w:rFonts w:ascii="Cambria" w:eastAsia="Times New Roman" w:hAnsi="Cambria"/>
          <w:sz w:val="20"/>
          <w:szCs w:val="20"/>
          <w:bdr w:val="none" w:sz="0" w:space="0" w:color="auto"/>
          <w:lang w:val="es-ES"/>
        </w:rPr>
        <w:t>tiempo y recursos suficientes para preparar su defensa y a reunirse libremente en privado con su abogado</w:t>
      </w:r>
      <w:r w:rsidR="00067F9E" w:rsidRPr="003B7960">
        <w:rPr>
          <w:rFonts w:ascii="Cambria" w:eastAsia="Times New Roman" w:hAnsi="Cambria"/>
          <w:sz w:val="20"/>
          <w:szCs w:val="20"/>
          <w:bdr w:val="none" w:sz="0" w:space="0" w:color="auto"/>
          <w:lang w:val="es-ES"/>
        </w:rPr>
        <w:t xml:space="preserve">; </w:t>
      </w:r>
    </w:p>
    <w:p w14:paraId="6DAA6F1C" w14:textId="0B646AC3" w:rsidR="009C5BDC" w:rsidRPr="003B7960" w:rsidRDefault="009C5BDC"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 xml:space="preserve">el derecho a que la solicitud sea examinada con objetividad, en el marco del procedimiento establecido al efecto, por una autoridad competente claramente identificada, </w:t>
      </w:r>
      <w:r w:rsidR="00EB7A3A" w:rsidRPr="003B7960">
        <w:rPr>
          <w:rFonts w:ascii="Cambria" w:eastAsia="Times New Roman" w:hAnsi="Cambria"/>
          <w:sz w:val="20"/>
          <w:szCs w:val="20"/>
          <w:bdr w:val="none" w:sz="0" w:space="0" w:color="auto"/>
          <w:lang w:val="es-US"/>
        </w:rPr>
        <w:t>requiriendo</w:t>
      </w:r>
      <w:r w:rsidRPr="003B7960">
        <w:rPr>
          <w:rFonts w:ascii="Cambria" w:eastAsia="Times New Roman" w:hAnsi="Cambria"/>
          <w:sz w:val="20"/>
          <w:szCs w:val="20"/>
          <w:bdr w:val="none" w:sz="0" w:space="0" w:color="auto"/>
          <w:lang w:val="es-US"/>
        </w:rPr>
        <w:t xml:space="preserve"> una entrevista personal; </w:t>
      </w:r>
    </w:p>
    <w:p w14:paraId="3E75750A" w14:textId="77777777" w:rsidR="00067F9E" w:rsidRPr="003B7960" w:rsidRDefault="0006351D"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a</w:t>
      </w:r>
      <w:r w:rsidR="00067F9E" w:rsidRPr="003B7960">
        <w:rPr>
          <w:rFonts w:ascii="Cambria" w:eastAsia="Times New Roman" w:hAnsi="Cambria"/>
          <w:sz w:val="20"/>
          <w:szCs w:val="20"/>
          <w:bdr w:val="none" w:sz="0" w:space="0" w:color="auto"/>
          <w:lang w:val="es-ES"/>
        </w:rPr>
        <w:t xml:space="preserve"> </w:t>
      </w:r>
      <w:r w:rsidR="00A40D4D" w:rsidRPr="003B7960">
        <w:rPr>
          <w:rFonts w:ascii="Cambria" w:eastAsia="Times New Roman" w:hAnsi="Cambria"/>
          <w:sz w:val="20"/>
          <w:szCs w:val="20"/>
          <w:bdr w:val="none" w:sz="0" w:space="0" w:color="auto"/>
          <w:lang w:val="es-ES"/>
        </w:rPr>
        <w:t>la asistencia gratuita de un traductor o intérprete</w:t>
      </w:r>
      <w:r w:rsidR="00067F9E" w:rsidRPr="003B7960">
        <w:rPr>
          <w:rFonts w:ascii="Cambria" w:eastAsia="Times New Roman" w:hAnsi="Cambria"/>
          <w:sz w:val="20"/>
          <w:szCs w:val="20"/>
          <w:bdr w:val="none" w:sz="0" w:space="0" w:color="auto"/>
          <w:lang w:val="es-ES"/>
        </w:rPr>
        <w:t xml:space="preserve">; </w:t>
      </w:r>
    </w:p>
    <w:p w14:paraId="3B17E1D1" w14:textId="77777777" w:rsidR="00067F9E" w:rsidRPr="003B7960" w:rsidRDefault="0006351D"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a</w:t>
      </w:r>
      <w:r w:rsidR="00067F9E" w:rsidRPr="003B7960">
        <w:rPr>
          <w:rFonts w:ascii="Cambria" w:eastAsia="Times New Roman" w:hAnsi="Cambria"/>
          <w:sz w:val="20"/>
          <w:szCs w:val="20"/>
          <w:bdr w:val="none" w:sz="0" w:space="0" w:color="auto"/>
          <w:lang w:val="es-ES"/>
        </w:rPr>
        <w:t xml:space="preserve"> </w:t>
      </w:r>
      <w:r w:rsidR="00A40D4D" w:rsidRPr="003B7960">
        <w:rPr>
          <w:rFonts w:ascii="Cambria" w:eastAsia="Times New Roman" w:hAnsi="Cambria"/>
          <w:sz w:val="20"/>
          <w:szCs w:val="20"/>
          <w:bdr w:val="none" w:sz="0" w:space="0" w:color="auto"/>
          <w:lang w:val="es-ES"/>
        </w:rPr>
        <w:t>asistencia letrada</w:t>
      </w:r>
      <w:r w:rsidR="00067F9E" w:rsidRPr="003B7960">
        <w:rPr>
          <w:rFonts w:ascii="Cambria" w:eastAsia="Times New Roman" w:hAnsi="Cambria"/>
          <w:sz w:val="20"/>
          <w:szCs w:val="20"/>
          <w:bdr w:val="none" w:sz="0" w:space="0" w:color="auto"/>
          <w:lang w:val="es-ES"/>
        </w:rPr>
        <w:t xml:space="preserve">; </w:t>
      </w:r>
    </w:p>
    <w:p w14:paraId="1E3ED8F5" w14:textId="26607609" w:rsidR="009C5BDC" w:rsidRPr="003B7960" w:rsidRDefault="009C5BDC"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 xml:space="preserve">el respeto a la protección de los datos del solicitante y de la solicitud </w:t>
      </w:r>
      <w:r w:rsidR="00EB7A3A" w:rsidRPr="003B7960">
        <w:rPr>
          <w:rFonts w:ascii="Cambria" w:eastAsia="Times New Roman" w:hAnsi="Cambria"/>
          <w:sz w:val="20"/>
          <w:szCs w:val="20"/>
          <w:bdr w:val="none" w:sz="0" w:space="0" w:color="auto"/>
          <w:lang w:val="es-US"/>
        </w:rPr>
        <w:t xml:space="preserve">de asilo </w:t>
      </w:r>
      <w:r w:rsidRPr="003B7960">
        <w:rPr>
          <w:rFonts w:ascii="Cambria" w:eastAsia="Times New Roman" w:hAnsi="Cambria"/>
          <w:sz w:val="20"/>
          <w:szCs w:val="20"/>
          <w:bdr w:val="none" w:sz="0" w:space="0" w:color="auto"/>
          <w:lang w:val="es-US"/>
        </w:rPr>
        <w:t>y el principio de confidencialidad.</w:t>
      </w:r>
    </w:p>
    <w:p w14:paraId="6C15F429" w14:textId="77777777" w:rsidR="00067F9E" w:rsidRPr="003B7960" w:rsidRDefault="00A40D4D"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w:t>
      </w:r>
      <w:r w:rsidR="007677CD" w:rsidRPr="003B7960">
        <w:rPr>
          <w:rFonts w:ascii="Cambria" w:eastAsia="Times New Roman" w:hAnsi="Cambria"/>
          <w:sz w:val="20"/>
          <w:szCs w:val="20"/>
          <w:bdr w:val="none" w:sz="0" w:space="0" w:color="auto"/>
          <w:lang w:val="es-ES"/>
        </w:rPr>
        <w:t>a</w:t>
      </w:r>
      <w:r w:rsidRPr="003B7960">
        <w:rPr>
          <w:rFonts w:ascii="Cambria" w:eastAsia="Times New Roman" w:hAnsi="Cambria"/>
          <w:sz w:val="20"/>
          <w:szCs w:val="20"/>
          <w:bdr w:val="none" w:sz="0" w:space="0" w:color="auto"/>
          <w:lang w:val="es-ES"/>
        </w:rPr>
        <w:t xml:space="preserve"> que la decisión que se tome sea debidamente </w:t>
      </w:r>
      <w:r w:rsidR="009C5BDC" w:rsidRPr="003B7960">
        <w:rPr>
          <w:rFonts w:ascii="Cambria" w:eastAsia="Times New Roman" w:hAnsi="Cambria"/>
          <w:sz w:val="20"/>
          <w:szCs w:val="20"/>
          <w:bdr w:val="none" w:sz="0" w:space="0" w:color="auto"/>
          <w:lang w:val="es-ES"/>
        </w:rPr>
        <w:t>motivada</w:t>
      </w:r>
      <w:r w:rsidRPr="003B7960">
        <w:rPr>
          <w:rFonts w:ascii="Cambria" w:eastAsia="Times New Roman" w:hAnsi="Cambria"/>
          <w:sz w:val="20"/>
          <w:szCs w:val="20"/>
          <w:bdr w:val="none" w:sz="0" w:space="0" w:color="auto"/>
          <w:lang w:val="es-ES"/>
        </w:rPr>
        <w:t>;</w:t>
      </w:r>
    </w:p>
    <w:p w14:paraId="2144BBD6" w14:textId="6AC09235" w:rsidR="00067F9E" w:rsidRPr="003B7960" w:rsidRDefault="0006351D"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a</w:t>
      </w:r>
      <w:r w:rsidR="00067F9E" w:rsidRPr="003B7960">
        <w:rPr>
          <w:rFonts w:ascii="Cambria" w:eastAsia="Times New Roman" w:hAnsi="Cambria"/>
          <w:sz w:val="20"/>
          <w:szCs w:val="20"/>
          <w:bdr w:val="none" w:sz="0" w:space="0" w:color="auto"/>
          <w:lang w:val="es-ES"/>
        </w:rPr>
        <w:t xml:space="preserve"> </w:t>
      </w:r>
      <w:r w:rsidR="00A40D4D" w:rsidRPr="003B7960">
        <w:rPr>
          <w:rFonts w:ascii="Cambria" w:eastAsia="Times New Roman" w:hAnsi="Cambria"/>
          <w:sz w:val="20"/>
          <w:szCs w:val="20"/>
          <w:bdr w:val="none" w:sz="0" w:space="0" w:color="auto"/>
          <w:lang w:val="es-ES"/>
        </w:rPr>
        <w:t xml:space="preserve">que se le </w:t>
      </w:r>
      <w:r w:rsidR="00EB7A3A" w:rsidRPr="003B7960">
        <w:rPr>
          <w:rFonts w:ascii="Cambria" w:eastAsia="Times New Roman" w:hAnsi="Cambria"/>
          <w:sz w:val="20"/>
          <w:szCs w:val="20"/>
          <w:bdr w:val="none" w:sz="0" w:space="0" w:color="auto"/>
          <w:lang w:val="es-ES"/>
        </w:rPr>
        <w:t>notifique</w:t>
      </w:r>
      <w:r w:rsidR="00A40D4D" w:rsidRPr="003B7960">
        <w:rPr>
          <w:rFonts w:ascii="Cambria" w:eastAsia="Times New Roman" w:hAnsi="Cambria"/>
          <w:sz w:val="20"/>
          <w:szCs w:val="20"/>
          <w:bdr w:val="none" w:sz="0" w:space="0" w:color="auto"/>
          <w:lang w:val="es-ES"/>
        </w:rPr>
        <w:t xml:space="preserve"> la decisión tomada en el procedimiento</w:t>
      </w:r>
      <w:r w:rsidR="00067F9E" w:rsidRPr="003B7960">
        <w:rPr>
          <w:rFonts w:ascii="Cambria" w:eastAsia="Times New Roman" w:hAnsi="Cambria"/>
          <w:sz w:val="20"/>
          <w:szCs w:val="20"/>
          <w:bdr w:val="none" w:sz="0" w:space="0" w:color="auto"/>
          <w:lang w:val="es-ES"/>
        </w:rPr>
        <w:t xml:space="preserve">; </w:t>
      </w:r>
    </w:p>
    <w:p w14:paraId="64E6CCCB" w14:textId="2DEC8E36" w:rsidR="00067F9E" w:rsidRPr="003B7960" w:rsidRDefault="009C5BDC"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de apelación de la decisión tomada ante un tribunal superior y el</w:t>
      </w:r>
      <w:r w:rsidRPr="003B7960">
        <w:rPr>
          <w:rFonts w:ascii="Cambria" w:eastAsia="Times New Roman" w:hAnsi="Cambria"/>
          <w:sz w:val="20"/>
          <w:szCs w:val="20"/>
          <w:bdr w:val="none" w:sz="0" w:space="0" w:color="auto"/>
          <w:lang w:val="es-US"/>
        </w:rPr>
        <w:t xml:space="preserve"> derecho de permanecer en el país hasta que la autoridad competente haya resuelto la apelación.</w:t>
      </w:r>
    </w:p>
    <w:p w14:paraId="054B6F9A" w14:textId="77777777" w:rsidR="00067F9E" w:rsidRPr="003B7960" w:rsidRDefault="0006351D" w:rsidP="00101DC6">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w:t>
      </w:r>
      <w:r w:rsidR="009C5BDC" w:rsidRPr="003B7960">
        <w:rPr>
          <w:rFonts w:ascii="Cambria" w:eastAsia="Times New Roman" w:hAnsi="Cambria"/>
          <w:sz w:val="20"/>
          <w:szCs w:val="20"/>
          <w:bdr w:val="none" w:sz="0" w:space="0" w:color="auto"/>
          <w:lang w:val="es-ES"/>
        </w:rPr>
        <w:t xml:space="preserve">a la información del acceso a la asistencia consular </w:t>
      </w:r>
      <w:r w:rsidR="009C5BDC" w:rsidRPr="003B7960">
        <w:rPr>
          <w:rFonts w:ascii="Cambria" w:eastAsia="Times New Roman" w:hAnsi="Cambria"/>
          <w:sz w:val="20"/>
          <w:szCs w:val="20"/>
          <w:bdr w:val="none" w:sz="0" w:space="0" w:color="auto"/>
          <w:lang w:val="es-US"/>
        </w:rPr>
        <w:t>y la prohibición de comunicación con las autoridades del país del solicitante de asilo, a menos que se cuente con evidencia del consentimiento expreso de la persona.</w:t>
      </w:r>
    </w:p>
    <w:p w14:paraId="3A0510FB"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6F694333" w14:textId="31035CD8" w:rsidR="00067F9E" w:rsidRPr="003B7960" w:rsidRDefault="002F5AD4"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FF0000"/>
          <w:sz w:val="20"/>
          <w:szCs w:val="20"/>
          <w:lang w:val="es-ES"/>
        </w:rPr>
      </w:pPr>
      <w:r w:rsidRPr="003B7960">
        <w:rPr>
          <w:rFonts w:ascii="Cambria" w:hAnsi="Cambria"/>
          <w:sz w:val="20"/>
          <w:szCs w:val="20"/>
          <w:lang w:val="es-ES"/>
        </w:rPr>
        <w:t>Además</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00B476C6" w:rsidRPr="003B7960">
        <w:rPr>
          <w:rFonts w:ascii="Cambria" w:hAnsi="Cambria"/>
          <w:sz w:val="20"/>
          <w:szCs w:val="20"/>
          <w:lang w:val="es-ES"/>
        </w:rPr>
        <w:t>ha</w:t>
      </w:r>
      <w:r w:rsidR="00FC3DB1" w:rsidRPr="003B7960">
        <w:rPr>
          <w:rFonts w:ascii="Cambria" w:hAnsi="Cambria"/>
          <w:sz w:val="20"/>
          <w:szCs w:val="20"/>
          <w:lang w:val="es-ES"/>
        </w:rPr>
        <w:t xml:space="preserve"> concluido anteriormente</w:t>
      </w:r>
      <w:r w:rsidR="00067F9E" w:rsidRPr="003B7960">
        <w:rPr>
          <w:rFonts w:ascii="Cambria" w:hAnsi="Cambria"/>
          <w:sz w:val="20"/>
          <w:szCs w:val="20"/>
          <w:lang w:val="es-ES"/>
        </w:rPr>
        <w:t xml:space="preserve"> </w:t>
      </w:r>
      <w:r w:rsidR="00FC3DB1" w:rsidRPr="003B7960">
        <w:rPr>
          <w:rFonts w:ascii="Cambria" w:hAnsi="Cambria"/>
          <w:sz w:val="20"/>
          <w:szCs w:val="20"/>
          <w:lang w:val="es-ES"/>
        </w:rPr>
        <w:t xml:space="preserve">que la interdicción y la </w:t>
      </w:r>
      <w:r w:rsidR="007B6078" w:rsidRPr="003B7960">
        <w:rPr>
          <w:rFonts w:ascii="Cambria" w:hAnsi="Cambria"/>
          <w:sz w:val="20"/>
          <w:szCs w:val="20"/>
          <w:lang w:val="es-ES"/>
        </w:rPr>
        <w:t>repatriación</w:t>
      </w:r>
      <w:r w:rsidR="00067F9E" w:rsidRPr="003B7960">
        <w:rPr>
          <w:rFonts w:ascii="Cambria" w:hAnsi="Cambria"/>
          <w:sz w:val="20"/>
          <w:szCs w:val="20"/>
          <w:lang w:val="es-ES"/>
        </w:rPr>
        <w:t xml:space="preserve"> </w:t>
      </w:r>
      <w:r w:rsidR="00FC3DB1" w:rsidRPr="003B7960">
        <w:rPr>
          <w:rFonts w:ascii="Cambria" w:hAnsi="Cambria"/>
          <w:sz w:val="20"/>
          <w:szCs w:val="20"/>
          <w:lang w:val="es-ES"/>
        </w:rPr>
        <w:t>sumarias de solicitantes</w:t>
      </w:r>
      <w:r w:rsidR="00067F9E" w:rsidRPr="003B7960">
        <w:rPr>
          <w:rFonts w:ascii="Cambria" w:hAnsi="Cambria"/>
          <w:sz w:val="20"/>
          <w:szCs w:val="20"/>
          <w:lang w:val="es-ES"/>
        </w:rPr>
        <w:t xml:space="preserve"> </w:t>
      </w:r>
      <w:r w:rsidR="00FC3DB1" w:rsidRPr="003B7960">
        <w:rPr>
          <w:rFonts w:ascii="Cambria" w:hAnsi="Cambria"/>
          <w:sz w:val="20"/>
          <w:szCs w:val="20"/>
          <w:lang w:val="es-ES"/>
        </w:rPr>
        <w:t>sin tomar una determinación adecuada con respecto a su condición y sin concederles una audiencia para determinar si reúnen los requisitos para ser considerados como “</w:t>
      </w:r>
      <w:r w:rsidR="00772786" w:rsidRPr="003B7960">
        <w:rPr>
          <w:rFonts w:ascii="Cambria" w:hAnsi="Cambria"/>
          <w:sz w:val="20"/>
          <w:szCs w:val="20"/>
          <w:lang w:val="es-ES"/>
        </w:rPr>
        <w:t>refugiados</w:t>
      </w:r>
      <w:r w:rsidR="00FC3DB1" w:rsidRPr="003B7960">
        <w:rPr>
          <w:rFonts w:ascii="Cambria" w:hAnsi="Cambria"/>
          <w:sz w:val="20"/>
          <w:szCs w:val="20"/>
          <w:lang w:val="es-ES"/>
        </w:rPr>
        <w:t>” constituyen una violación del artículo</w:t>
      </w:r>
      <w:r w:rsidR="00067F9E" w:rsidRPr="003B7960">
        <w:rPr>
          <w:rFonts w:ascii="Cambria" w:hAnsi="Cambria"/>
          <w:sz w:val="20"/>
          <w:szCs w:val="20"/>
          <w:lang w:val="es-ES"/>
        </w:rPr>
        <w:t xml:space="preserve"> XXVII </w:t>
      </w:r>
      <w:r w:rsidR="00FC3DB1" w:rsidRPr="003B7960">
        <w:rPr>
          <w:rFonts w:ascii="Cambria" w:hAnsi="Cambria"/>
          <w:sz w:val="20"/>
          <w:szCs w:val="20"/>
          <w:lang w:val="es-ES"/>
        </w:rPr>
        <w:t>de</w:t>
      </w:r>
      <w:r w:rsidR="00067F9E" w:rsidRPr="003B7960">
        <w:rPr>
          <w:rFonts w:ascii="Cambria" w:hAnsi="Cambria"/>
          <w:sz w:val="20"/>
          <w:szCs w:val="20"/>
          <w:lang w:val="es-ES"/>
        </w:rPr>
        <w:t xml:space="preserve"> </w:t>
      </w:r>
      <w:r w:rsidR="00C33F51" w:rsidRPr="003B7960">
        <w:rPr>
          <w:rFonts w:ascii="Cambria" w:hAnsi="Cambria"/>
          <w:sz w:val="20"/>
          <w:szCs w:val="20"/>
          <w:lang w:val="es-ES"/>
        </w:rPr>
        <w:t>la Declaración</w:t>
      </w:r>
      <w:r w:rsidR="00B9011F" w:rsidRPr="003B7960">
        <w:rPr>
          <w:rFonts w:ascii="Cambria" w:hAnsi="Cambria"/>
          <w:sz w:val="20"/>
          <w:szCs w:val="20"/>
          <w:lang w:val="es-ES"/>
        </w:rPr>
        <w:t xml:space="preserve"> Americana</w:t>
      </w:r>
      <w:r w:rsidR="00067F9E" w:rsidRPr="003B7960">
        <w:rPr>
          <w:rStyle w:val="FootnoteReference"/>
          <w:rFonts w:ascii="Cambria" w:hAnsi="Cambria"/>
          <w:sz w:val="20"/>
          <w:szCs w:val="20"/>
          <w:lang w:val="es-ES"/>
        </w:rPr>
        <w:footnoteReference w:id="123"/>
      </w:r>
      <w:r w:rsidR="00067F9E" w:rsidRPr="003B7960">
        <w:rPr>
          <w:rFonts w:ascii="Cambria" w:hAnsi="Cambria"/>
          <w:sz w:val="20"/>
          <w:szCs w:val="20"/>
          <w:lang w:val="es-ES"/>
        </w:rPr>
        <w:t xml:space="preserve">. </w:t>
      </w:r>
      <w:r w:rsidR="00FC3DB1" w:rsidRPr="003B7960">
        <w:rPr>
          <w:rFonts w:ascii="Cambria" w:hAnsi="Cambria"/>
          <w:sz w:val="20"/>
          <w:szCs w:val="20"/>
          <w:lang w:val="es-ES"/>
        </w:rPr>
        <w:t>La obligación</w:t>
      </w:r>
      <w:r w:rsidR="00067F9E" w:rsidRPr="003B7960">
        <w:rPr>
          <w:rFonts w:ascii="Cambria" w:hAnsi="Cambria"/>
          <w:sz w:val="20"/>
          <w:szCs w:val="20"/>
          <w:lang w:val="es-ES"/>
        </w:rPr>
        <w:t xml:space="preserve"> </w:t>
      </w:r>
      <w:r w:rsidR="00FC3DB1" w:rsidRPr="003B7960">
        <w:rPr>
          <w:rFonts w:ascii="Cambria" w:hAnsi="Cambria"/>
          <w:sz w:val="20"/>
          <w:szCs w:val="20"/>
          <w:lang w:val="es-ES"/>
        </w:rPr>
        <w:t xml:space="preserve">de tomar una determinación adecuada con respecto a la condición de los solicitantes reviste especial </w:t>
      </w:r>
      <w:r w:rsidR="00067F9E" w:rsidRPr="003B7960">
        <w:rPr>
          <w:rFonts w:ascii="Cambria" w:hAnsi="Cambria"/>
          <w:sz w:val="20"/>
          <w:szCs w:val="20"/>
          <w:lang w:val="es-ES"/>
        </w:rPr>
        <w:t>importanc</w:t>
      </w:r>
      <w:r w:rsidR="00FC3DB1" w:rsidRPr="003B7960">
        <w:rPr>
          <w:rFonts w:ascii="Cambria" w:hAnsi="Cambria"/>
          <w:sz w:val="20"/>
          <w:szCs w:val="20"/>
          <w:lang w:val="es-ES"/>
        </w:rPr>
        <w:t xml:space="preserve">ia en contextos migratorios mixtos. De hecho,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ha</w:t>
      </w:r>
      <w:r w:rsidR="00FC3DB1" w:rsidRPr="003B7960">
        <w:rPr>
          <w:rFonts w:ascii="Cambria" w:hAnsi="Cambria"/>
          <w:sz w:val="20"/>
          <w:szCs w:val="20"/>
          <w:lang w:val="es-ES"/>
        </w:rPr>
        <w:t xml:space="preserve"> afirmado que, para responder debidamente a los movimientos migratorios de personas que huyen de su país de origen —por ejemplo, debido a la violencia o en busca de mejores condiciones de vida—, los Estados deben tomar mejores medidas con el fin de determinar qué personas podrían necesitar </w:t>
      </w:r>
      <w:r w:rsidR="00774960" w:rsidRPr="003B7960">
        <w:rPr>
          <w:rFonts w:ascii="Cambria" w:hAnsi="Cambria"/>
          <w:sz w:val="20"/>
          <w:szCs w:val="20"/>
          <w:lang w:val="es-ES"/>
        </w:rPr>
        <w:t>protección internacional</w:t>
      </w:r>
      <w:r w:rsidR="00067F9E" w:rsidRPr="003B7960">
        <w:rPr>
          <w:rFonts w:ascii="Cambria" w:hAnsi="Cambria"/>
          <w:sz w:val="20"/>
          <w:szCs w:val="20"/>
          <w:lang w:val="es-ES"/>
        </w:rPr>
        <w:t xml:space="preserve"> o</w:t>
      </w:r>
      <w:r w:rsidR="00FC3DB1" w:rsidRPr="003B7960">
        <w:rPr>
          <w:rFonts w:ascii="Cambria" w:hAnsi="Cambria"/>
          <w:sz w:val="20"/>
          <w:szCs w:val="20"/>
          <w:lang w:val="es-ES"/>
        </w:rPr>
        <w:t>, debido a su vulnerabilidad, protección especial</w:t>
      </w:r>
      <w:r w:rsidR="00067F9E" w:rsidRPr="003B7960">
        <w:rPr>
          <w:rStyle w:val="FootnoteReference"/>
          <w:rFonts w:ascii="Cambria" w:hAnsi="Cambria"/>
          <w:sz w:val="20"/>
          <w:szCs w:val="20"/>
          <w:lang w:val="es-ES"/>
        </w:rPr>
        <w:footnoteReference w:id="124"/>
      </w:r>
      <w:r w:rsidR="00FC3DB1" w:rsidRPr="003B7960">
        <w:rPr>
          <w:rFonts w:ascii="Cambria" w:hAnsi="Cambria"/>
          <w:sz w:val="20"/>
          <w:szCs w:val="20"/>
          <w:lang w:val="es-ES"/>
        </w:rPr>
        <w:t>.</w:t>
      </w:r>
    </w:p>
    <w:p w14:paraId="3443E973" w14:textId="77777777" w:rsidR="00067F9E" w:rsidRPr="003B7960" w:rsidRDefault="00067F9E" w:rsidP="00101DC6">
      <w:pPr>
        <w:pStyle w:val="ListParagraph"/>
        <w:tabs>
          <w:tab w:val="left" w:pos="426"/>
        </w:tabs>
        <w:ind w:left="0"/>
        <w:rPr>
          <w:rFonts w:ascii="Cambria" w:hAnsi="Cambria"/>
          <w:sz w:val="20"/>
          <w:szCs w:val="20"/>
          <w:lang w:val="es-ES"/>
        </w:rPr>
      </w:pPr>
    </w:p>
    <w:p w14:paraId="6C79343F" w14:textId="6353AB23" w:rsidR="00067F9E" w:rsidRPr="009A4875" w:rsidRDefault="00FC3DB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FF0000"/>
          <w:sz w:val="20"/>
          <w:szCs w:val="20"/>
          <w:lang w:val="es-ES"/>
        </w:rPr>
      </w:pPr>
      <w:r w:rsidRPr="003B7960">
        <w:rPr>
          <w:rFonts w:ascii="Cambria" w:hAnsi="Cambria" w:cs="Callibri"/>
          <w:sz w:val="20"/>
          <w:szCs w:val="20"/>
          <w:lang w:val="es-ES"/>
        </w:rPr>
        <w:t>En lo que concierne al principio</w:t>
      </w:r>
      <w:r w:rsidR="00067F9E" w:rsidRPr="003B7960">
        <w:rPr>
          <w:rFonts w:ascii="Cambria" w:hAnsi="Cambria" w:cs="Callibri"/>
          <w:sz w:val="20"/>
          <w:szCs w:val="20"/>
          <w:lang w:val="es-ES"/>
        </w:rPr>
        <w:t xml:space="preserve"> </w:t>
      </w:r>
      <w:r w:rsidRPr="003B7960">
        <w:rPr>
          <w:rFonts w:ascii="Cambria" w:hAnsi="Cambria" w:cs="Callibri"/>
          <w:sz w:val="20"/>
          <w:szCs w:val="20"/>
          <w:lang w:val="es-ES"/>
        </w:rPr>
        <w:t>de</w:t>
      </w:r>
      <w:r w:rsidR="00067F9E" w:rsidRPr="003B7960">
        <w:rPr>
          <w:rFonts w:ascii="Cambria" w:hAnsi="Cambria" w:cs="Callibri"/>
          <w:sz w:val="20"/>
          <w:szCs w:val="20"/>
          <w:lang w:val="es-ES"/>
        </w:rPr>
        <w:t xml:space="preserve"> </w:t>
      </w:r>
      <w:r w:rsidR="004E3528" w:rsidRPr="003B7960">
        <w:rPr>
          <w:rFonts w:ascii="Cambria" w:hAnsi="Cambria" w:cs="Callibri"/>
          <w:sz w:val="20"/>
          <w:szCs w:val="20"/>
          <w:lang w:val="es-ES"/>
        </w:rPr>
        <w:t>no devolución</w:t>
      </w:r>
      <w:r w:rsidR="00067F9E" w:rsidRPr="003B7960">
        <w:rPr>
          <w:rFonts w:ascii="Cambria" w:hAnsi="Cambria" w:cs="Callibri"/>
          <w:sz w:val="20"/>
          <w:szCs w:val="20"/>
          <w:lang w:val="es-ES"/>
        </w:rPr>
        <w:t xml:space="preserve">, </w:t>
      </w:r>
      <w:r w:rsidR="00B9011F" w:rsidRPr="003B7960">
        <w:rPr>
          <w:rFonts w:ascii="Cambria" w:hAnsi="Cambria" w:cs="Callibri"/>
          <w:sz w:val="20"/>
          <w:szCs w:val="20"/>
          <w:lang w:val="es-ES"/>
        </w:rPr>
        <w:t>la Comisión</w:t>
      </w:r>
      <w:r w:rsidR="00067F9E" w:rsidRPr="003B7960">
        <w:rPr>
          <w:rFonts w:ascii="Cambria" w:hAnsi="Cambria" w:cs="Callibri"/>
          <w:sz w:val="20"/>
          <w:szCs w:val="20"/>
          <w:lang w:val="es-ES"/>
        </w:rPr>
        <w:t xml:space="preserve"> </w:t>
      </w:r>
      <w:r w:rsidRPr="003B7960">
        <w:rPr>
          <w:rFonts w:ascii="Cambria" w:hAnsi="Cambria" w:cs="Callibri"/>
          <w:sz w:val="20"/>
          <w:szCs w:val="20"/>
          <w:lang w:val="es-ES"/>
        </w:rPr>
        <w:t>y</w:t>
      </w:r>
      <w:r w:rsidR="00067F9E" w:rsidRPr="003B7960">
        <w:rPr>
          <w:rFonts w:ascii="Cambria" w:hAnsi="Cambria" w:cs="Callibri"/>
          <w:sz w:val="20"/>
          <w:szCs w:val="20"/>
          <w:lang w:val="es-ES"/>
        </w:rPr>
        <w:t xml:space="preserve"> </w:t>
      </w:r>
      <w:r w:rsidR="00083D86" w:rsidRPr="003B7960">
        <w:rPr>
          <w:rFonts w:ascii="Cambria" w:hAnsi="Cambria" w:cs="Callibri"/>
          <w:sz w:val="20"/>
          <w:szCs w:val="20"/>
          <w:lang w:val="es-ES"/>
        </w:rPr>
        <w:t>la Corte</w:t>
      </w:r>
      <w:r w:rsidR="00067F9E" w:rsidRPr="003B7960">
        <w:rPr>
          <w:rFonts w:ascii="Cambria" w:hAnsi="Cambria" w:cs="Callibri"/>
          <w:sz w:val="20"/>
          <w:szCs w:val="20"/>
          <w:lang w:val="es-ES"/>
        </w:rPr>
        <w:t xml:space="preserve"> ha</w:t>
      </w:r>
      <w:r w:rsidR="00934558" w:rsidRPr="003B7960">
        <w:rPr>
          <w:rFonts w:ascii="Cambria" w:hAnsi="Cambria" w:cs="Callibri"/>
          <w:sz w:val="20"/>
          <w:szCs w:val="20"/>
          <w:lang w:val="es-ES"/>
        </w:rPr>
        <w:t xml:space="preserve">n afirmado que es la piedra angular del </w:t>
      </w:r>
      <w:r w:rsidR="005877AD" w:rsidRPr="003B7960">
        <w:rPr>
          <w:rFonts w:ascii="Cambria" w:hAnsi="Cambria" w:cs="Callibri"/>
          <w:sz w:val="20"/>
          <w:szCs w:val="20"/>
          <w:lang w:val="es-ES"/>
        </w:rPr>
        <w:t>derecho de asilo</w:t>
      </w:r>
      <w:r w:rsidR="00067F9E" w:rsidRPr="003B7960">
        <w:rPr>
          <w:rFonts w:ascii="Cambria" w:hAnsi="Cambria" w:cs="Callibri"/>
          <w:sz w:val="20"/>
          <w:szCs w:val="20"/>
          <w:lang w:val="es-ES"/>
        </w:rPr>
        <w:t xml:space="preserve"> </w:t>
      </w:r>
      <w:r w:rsidR="00934558" w:rsidRPr="003B7960">
        <w:rPr>
          <w:rFonts w:ascii="Cambria" w:hAnsi="Cambria" w:cs="Callibri"/>
          <w:sz w:val="20"/>
          <w:szCs w:val="20"/>
          <w:lang w:val="es-ES"/>
        </w:rPr>
        <w:t>y del</w:t>
      </w:r>
      <w:r w:rsidR="00067F9E" w:rsidRPr="003B7960">
        <w:rPr>
          <w:rFonts w:ascii="Cambria" w:hAnsi="Cambria" w:cs="Callibri"/>
          <w:sz w:val="20"/>
          <w:szCs w:val="20"/>
          <w:lang w:val="es-ES"/>
        </w:rPr>
        <w:t xml:space="preserve"> </w:t>
      </w:r>
      <w:r w:rsidRPr="003B7960">
        <w:rPr>
          <w:rFonts w:ascii="Cambria" w:hAnsi="Cambria" w:cs="Callibri"/>
          <w:sz w:val="20"/>
          <w:szCs w:val="20"/>
          <w:lang w:val="es-ES"/>
        </w:rPr>
        <w:t>derecho internacional</w:t>
      </w:r>
      <w:r w:rsidR="00067F9E" w:rsidRPr="003B7960">
        <w:rPr>
          <w:rFonts w:ascii="Cambria" w:hAnsi="Cambria" w:cs="Callibri"/>
          <w:sz w:val="20"/>
          <w:szCs w:val="20"/>
          <w:lang w:val="es-ES"/>
        </w:rPr>
        <w:t xml:space="preserve"> rela</w:t>
      </w:r>
      <w:r w:rsidR="00934558" w:rsidRPr="003B7960">
        <w:rPr>
          <w:rFonts w:ascii="Cambria" w:hAnsi="Cambria" w:cs="Callibri"/>
          <w:sz w:val="20"/>
          <w:szCs w:val="20"/>
          <w:lang w:val="es-ES"/>
        </w:rPr>
        <w:t xml:space="preserve">cionado con los </w:t>
      </w:r>
      <w:r w:rsidR="00772786" w:rsidRPr="003B7960">
        <w:rPr>
          <w:rFonts w:ascii="Cambria" w:hAnsi="Cambria" w:cs="Callibri"/>
          <w:sz w:val="20"/>
          <w:szCs w:val="20"/>
          <w:lang w:val="es-ES"/>
        </w:rPr>
        <w:t>refugiados</w:t>
      </w:r>
      <w:r w:rsidR="00934558" w:rsidRPr="003B7960">
        <w:rPr>
          <w:rFonts w:ascii="Cambria" w:hAnsi="Cambria" w:cs="Callibri"/>
          <w:sz w:val="20"/>
          <w:szCs w:val="20"/>
          <w:lang w:val="es-ES"/>
        </w:rPr>
        <w:t xml:space="preserve"> y que es una norma </w:t>
      </w:r>
      <w:r w:rsidR="00934558" w:rsidRPr="003B7960">
        <w:rPr>
          <w:rFonts w:ascii="Cambria" w:hAnsi="Cambria" w:cs="Callibri"/>
          <w:sz w:val="20"/>
          <w:szCs w:val="20"/>
          <w:lang w:val="es-ES"/>
        </w:rPr>
        <w:lastRenderedPageBreak/>
        <w:t xml:space="preserve">consuetudinaria del </w:t>
      </w:r>
      <w:r w:rsidRPr="003B7960">
        <w:rPr>
          <w:rFonts w:ascii="Cambria" w:hAnsi="Cambria" w:cs="Callibri"/>
          <w:sz w:val="20"/>
          <w:szCs w:val="20"/>
          <w:lang w:val="es-ES"/>
        </w:rPr>
        <w:t>derecho internacional</w:t>
      </w:r>
      <w:r w:rsidR="00067F9E" w:rsidRPr="003B7960">
        <w:rPr>
          <w:rFonts w:ascii="Cambria" w:hAnsi="Cambria" w:cs="Callibri"/>
          <w:sz w:val="20"/>
          <w:szCs w:val="20"/>
          <w:lang w:val="es-ES"/>
        </w:rPr>
        <w:t xml:space="preserve"> </w:t>
      </w:r>
      <w:r w:rsidR="00934558" w:rsidRPr="003B7960">
        <w:rPr>
          <w:rFonts w:ascii="Cambria" w:hAnsi="Cambria" w:cs="Callibri"/>
          <w:sz w:val="20"/>
          <w:szCs w:val="20"/>
          <w:lang w:val="es-ES"/>
        </w:rPr>
        <w:t xml:space="preserve">con carácter de </w:t>
      </w:r>
      <w:proofErr w:type="spellStart"/>
      <w:r w:rsidR="00067F9E" w:rsidRPr="003B7960">
        <w:rPr>
          <w:rFonts w:ascii="Cambria" w:hAnsi="Cambria" w:cs="Callibri"/>
          <w:i/>
          <w:sz w:val="20"/>
          <w:szCs w:val="20"/>
          <w:lang w:val="es-ES"/>
        </w:rPr>
        <w:t>jus</w:t>
      </w:r>
      <w:proofErr w:type="spellEnd"/>
      <w:r w:rsidR="00067F9E" w:rsidRPr="003B7960">
        <w:rPr>
          <w:rFonts w:ascii="Cambria" w:hAnsi="Cambria" w:cs="Callibri"/>
          <w:i/>
          <w:sz w:val="20"/>
          <w:szCs w:val="20"/>
          <w:lang w:val="es-ES"/>
        </w:rPr>
        <w:t xml:space="preserve"> cogens </w:t>
      </w:r>
      <w:r w:rsidR="009C5BDC" w:rsidRPr="003B7960">
        <w:rPr>
          <w:rFonts w:ascii="Cambria" w:hAnsi="Cambria" w:cs="Callibri"/>
          <w:sz w:val="20"/>
          <w:szCs w:val="20"/>
          <w:lang w:val="es-ES"/>
        </w:rPr>
        <w:t>originado en la prohibición de la tortura</w:t>
      </w:r>
      <w:r w:rsidR="00067F9E" w:rsidRPr="003B7960">
        <w:rPr>
          <w:rStyle w:val="FootnoteReference"/>
          <w:rFonts w:ascii="Cambria" w:hAnsi="Cambria"/>
          <w:sz w:val="20"/>
          <w:szCs w:val="20"/>
          <w:lang w:val="es-ES"/>
        </w:rPr>
        <w:footnoteReference w:id="125"/>
      </w:r>
      <w:r w:rsidR="00067F9E" w:rsidRPr="003B7960">
        <w:rPr>
          <w:rFonts w:ascii="Cambria" w:hAnsi="Cambria" w:cs="Callibri"/>
          <w:sz w:val="20"/>
          <w:szCs w:val="20"/>
          <w:lang w:val="es-ES"/>
        </w:rPr>
        <w:t xml:space="preserve">. </w:t>
      </w:r>
      <w:r w:rsidR="009C5BDC" w:rsidRPr="003B7960">
        <w:rPr>
          <w:rFonts w:ascii="Cambria" w:hAnsi="Cambria" w:cs="Callibri"/>
          <w:sz w:val="20"/>
          <w:szCs w:val="20"/>
          <w:lang w:val="es-ES"/>
        </w:rPr>
        <w:t>Asimismo, e</w:t>
      </w:r>
      <w:r w:rsidR="00934558" w:rsidRPr="003B7960">
        <w:rPr>
          <w:rFonts w:ascii="Cambria" w:hAnsi="Cambria" w:cs="Callibri"/>
          <w:sz w:val="20"/>
          <w:szCs w:val="20"/>
          <w:lang w:val="es-ES"/>
        </w:rPr>
        <w:t xml:space="preserve">ste </w:t>
      </w:r>
      <w:r w:rsidRPr="003B7960">
        <w:rPr>
          <w:rFonts w:ascii="Cambria" w:hAnsi="Cambria" w:cs="Callibri"/>
          <w:sz w:val="20"/>
          <w:szCs w:val="20"/>
          <w:lang w:val="es-ES"/>
        </w:rPr>
        <w:t>principio</w:t>
      </w:r>
      <w:r w:rsidR="00067F9E" w:rsidRPr="003B7960">
        <w:rPr>
          <w:rFonts w:ascii="Cambria" w:hAnsi="Cambria" w:cs="Callibri"/>
          <w:sz w:val="20"/>
          <w:szCs w:val="20"/>
          <w:lang w:val="es-ES"/>
        </w:rPr>
        <w:t xml:space="preserve"> </w:t>
      </w:r>
      <w:r w:rsidR="00934558" w:rsidRPr="003B7960">
        <w:rPr>
          <w:rFonts w:ascii="Cambria" w:hAnsi="Cambria" w:cs="Callibri"/>
          <w:sz w:val="20"/>
          <w:szCs w:val="20"/>
          <w:lang w:val="es-ES"/>
        </w:rPr>
        <w:t xml:space="preserve">incluye la prohibición de la devolución indirecta, </w:t>
      </w:r>
      <w:r w:rsidR="007677CD" w:rsidRPr="003B7960">
        <w:rPr>
          <w:rFonts w:ascii="Cambria" w:hAnsi="Cambria" w:cs="Callibri"/>
          <w:sz w:val="20"/>
          <w:szCs w:val="20"/>
          <w:lang w:val="es-ES"/>
        </w:rPr>
        <w:t xml:space="preserve">lo cual significa </w:t>
      </w:r>
      <w:r w:rsidR="00640429" w:rsidRPr="003B7960">
        <w:rPr>
          <w:rFonts w:ascii="Cambria" w:hAnsi="Cambria" w:cs="Callibri"/>
          <w:sz w:val="20"/>
          <w:szCs w:val="20"/>
          <w:lang w:val="es-ES"/>
        </w:rPr>
        <w:t xml:space="preserve">que </w:t>
      </w:r>
      <w:r w:rsidR="00DD1B41" w:rsidRPr="003B7960">
        <w:rPr>
          <w:rFonts w:ascii="Cambria" w:hAnsi="Cambria" w:cs="Callibri"/>
          <w:sz w:val="20"/>
          <w:szCs w:val="20"/>
          <w:lang w:val="es-ES"/>
        </w:rPr>
        <w:t xml:space="preserve">una persona que pida asilo en un Estado </w:t>
      </w:r>
      <w:r w:rsidR="00640429" w:rsidRPr="003B7960">
        <w:rPr>
          <w:rFonts w:ascii="Cambria" w:hAnsi="Cambria" w:cs="Callibri"/>
          <w:sz w:val="20"/>
          <w:szCs w:val="20"/>
          <w:lang w:val="es-ES"/>
        </w:rPr>
        <w:t xml:space="preserve">no puede </w:t>
      </w:r>
      <w:r w:rsidR="00DD1B41" w:rsidRPr="003B7960">
        <w:rPr>
          <w:rFonts w:ascii="Cambria" w:hAnsi="Cambria" w:cs="Callibri"/>
          <w:sz w:val="20"/>
          <w:szCs w:val="20"/>
          <w:lang w:val="es-ES"/>
        </w:rPr>
        <w:t>ser devuelta o expulsada</w:t>
      </w:r>
      <w:r w:rsidR="00640429" w:rsidRPr="003B7960">
        <w:rPr>
          <w:rFonts w:ascii="Cambria" w:hAnsi="Cambria" w:cs="Callibri"/>
          <w:sz w:val="20"/>
          <w:szCs w:val="20"/>
          <w:lang w:val="es-ES"/>
        </w:rPr>
        <w:t xml:space="preserve"> al país donde sintió el miedo que motivó su salida</w:t>
      </w:r>
      <w:r w:rsidR="00067F9E" w:rsidRPr="003B7960">
        <w:rPr>
          <w:rStyle w:val="FootnoteReference"/>
          <w:rFonts w:ascii="Cambria" w:hAnsi="Cambria"/>
          <w:sz w:val="20"/>
          <w:szCs w:val="20"/>
          <w:lang w:val="es-ES"/>
        </w:rPr>
        <w:footnoteReference w:id="126"/>
      </w:r>
      <w:r w:rsidR="00067F9E" w:rsidRPr="003B7960">
        <w:rPr>
          <w:rFonts w:ascii="Cambria" w:hAnsi="Cambria" w:cs="Callibri"/>
          <w:sz w:val="20"/>
          <w:szCs w:val="20"/>
          <w:lang w:val="es-ES"/>
        </w:rPr>
        <w:t xml:space="preserve">. </w:t>
      </w:r>
      <w:r w:rsidR="00DD1B41" w:rsidRPr="003B7960">
        <w:rPr>
          <w:rFonts w:ascii="Cambria" w:hAnsi="Cambria" w:cs="Callibri"/>
          <w:sz w:val="20"/>
          <w:szCs w:val="20"/>
          <w:lang w:val="es-ES"/>
        </w:rPr>
        <w:t xml:space="preserve">Además, el </w:t>
      </w:r>
      <w:r w:rsidRPr="003B7960">
        <w:rPr>
          <w:rFonts w:ascii="Cambria" w:hAnsi="Cambria" w:cs="Callibri"/>
          <w:sz w:val="20"/>
          <w:szCs w:val="20"/>
          <w:lang w:val="es-ES"/>
        </w:rPr>
        <w:t>principio</w:t>
      </w:r>
      <w:r w:rsidR="00067F9E" w:rsidRPr="003B7960">
        <w:rPr>
          <w:rFonts w:ascii="Cambria" w:hAnsi="Cambria" w:cs="Callibri"/>
          <w:sz w:val="20"/>
          <w:szCs w:val="20"/>
          <w:lang w:val="es-ES"/>
        </w:rPr>
        <w:t xml:space="preserve"> </w:t>
      </w:r>
      <w:r w:rsidR="00DD1B41" w:rsidRPr="003B7960">
        <w:rPr>
          <w:rFonts w:ascii="Cambria" w:hAnsi="Cambria" w:cs="Callibri"/>
          <w:sz w:val="20"/>
          <w:szCs w:val="20"/>
          <w:lang w:val="es-ES"/>
        </w:rPr>
        <w:t>de</w:t>
      </w:r>
      <w:r w:rsidR="00067F9E" w:rsidRPr="003B7960">
        <w:rPr>
          <w:rFonts w:ascii="Cambria" w:hAnsi="Cambria" w:cs="Callibri"/>
          <w:sz w:val="20"/>
          <w:szCs w:val="20"/>
          <w:lang w:val="es-ES"/>
        </w:rPr>
        <w:t xml:space="preserve"> </w:t>
      </w:r>
      <w:r w:rsidR="004E3528" w:rsidRPr="003B7960">
        <w:rPr>
          <w:rFonts w:ascii="Cambria" w:hAnsi="Cambria" w:cs="Callibri"/>
          <w:sz w:val="20"/>
          <w:szCs w:val="20"/>
          <w:lang w:val="es-ES"/>
        </w:rPr>
        <w:t>no devolución</w:t>
      </w:r>
      <w:r w:rsidR="00067F9E" w:rsidRPr="003B7960">
        <w:rPr>
          <w:rFonts w:ascii="Cambria" w:hAnsi="Cambria" w:cs="Callibri"/>
          <w:sz w:val="20"/>
          <w:szCs w:val="20"/>
          <w:lang w:val="es-ES"/>
        </w:rPr>
        <w:t xml:space="preserve"> </w:t>
      </w:r>
      <w:r w:rsidR="00DD1B41" w:rsidRPr="003B7960">
        <w:rPr>
          <w:rFonts w:ascii="Cambria" w:hAnsi="Cambria" w:cs="Callibri"/>
          <w:sz w:val="20"/>
          <w:szCs w:val="20"/>
          <w:lang w:val="es-ES"/>
        </w:rPr>
        <w:t>dispone la protección contra decisiones de</w:t>
      </w:r>
      <w:r w:rsidR="00067F9E" w:rsidRPr="003B7960">
        <w:rPr>
          <w:rFonts w:ascii="Cambria" w:hAnsi="Cambria" w:cs="Callibri"/>
          <w:sz w:val="20"/>
          <w:szCs w:val="20"/>
          <w:lang w:val="es-ES"/>
        </w:rPr>
        <w:t xml:space="preserve"> </w:t>
      </w:r>
      <w:r w:rsidR="00DD1B41" w:rsidRPr="003B7960">
        <w:rPr>
          <w:rFonts w:ascii="Cambria" w:hAnsi="Cambria" w:cs="Callibri"/>
          <w:sz w:val="20"/>
          <w:szCs w:val="20"/>
          <w:lang w:val="es-ES"/>
        </w:rPr>
        <w:t>expulsión</w:t>
      </w:r>
      <w:r w:rsidR="00067F9E" w:rsidRPr="003B7960">
        <w:rPr>
          <w:rFonts w:ascii="Cambria" w:hAnsi="Cambria" w:cs="Callibri"/>
          <w:sz w:val="20"/>
          <w:szCs w:val="20"/>
          <w:lang w:val="es-ES"/>
        </w:rPr>
        <w:t xml:space="preserve"> o </w:t>
      </w:r>
      <w:r w:rsidR="00A40067" w:rsidRPr="003B7960">
        <w:rPr>
          <w:rFonts w:ascii="Cambria" w:hAnsi="Cambria" w:cs="Callibri"/>
          <w:sz w:val="20"/>
          <w:szCs w:val="20"/>
          <w:lang w:val="es-ES"/>
        </w:rPr>
        <w:t>deportación</w:t>
      </w:r>
      <w:r w:rsidR="00067F9E" w:rsidRPr="003B7960">
        <w:rPr>
          <w:rFonts w:ascii="Cambria" w:hAnsi="Cambria" w:cs="Callibri"/>
          <w:sz w:val="20"/>
          <w:szCs w:val="20"/>
          <w:lang w:val="es-ES"/>
        </w:rPr>
        <w:t xml:space="preserve"> </w:t>
      </w:r>
      <w:r w:rsidR="00DD1B41" w:rsidRPr="003B7960">
        <w:rPr>
          <w:rFonts w:ascii="Cambria" w:hAnsi="Cambria" w:cs="Callibri"/>
          <w:sz w:val="20"/>
          <w:szCs w:val="20"/>
          <w:lang w:val="es-ES"/>
        </w:rPr>
        <w:t>tomadas sin salvaguardias apropiadas, que coloquen a las personas en una situación en la cual su destino o su futuro sean inciertos y que pongan en peligro su vida</w:t>
      </w:r>
      <w:r w:rsidR="00067F9E" w:rsidRPr="003B7960">
        <w:rPr>
          <w:rFonts w:ascii="Cambria" w:hAnsi="Cambria" w:cs="Callibri"/>
          <w:sz w:val="20"/>
          <w:szCs w:val="20"/>
          <w:lang w:val="es-ES"/>
        </w:rPr>
        <w:t xml:space="preserve">, </w:t>
      </w:r>
      <w:r w:rsidR="00DD1B41" w:rsidRPr="003B7960">
        <w:rPr>
          <w:rFonts w:ascii="Cambria" w:hAnsi="Cambria" w:cs="Callibri"/>
          <w:sz w:val="20"/>
          <w:szCs w:val="20"/>
          <w:lang w:val="es-ES"/>
        </w:rPr>
        <w:t>seguridad</w:t>
      </w:r>
      <w:r w:rsidR="00067F9E" w:rsidRPr="003B7960">
        <w:rPr>
          <w:rFonts w:ascii="Cambria" w:hAnsi="Cambria" w:cs="Callibri"/>
          <w:sz w:val="20"/>
          <w:szCs w:val="20"/>
          <w:lang w:val="es-ES"/>
        </w:rPr>
        <w:t>, libert</w:t>
      </w:r>
      <w:r w:rsidR="00DD1B41" w:rsidRPr="003B7960">
        <w:rPr>
          <w:rFonts w:ascii="Cambria" w:hAnsi="Cambria" w:cs="Callibri"/>
          <w:sz w:val="20"/>
          <w:szCs w:val="20"/>
          <w:lang w:val="es-ES"/>
        </w:rPr>
        <w:t>ad</w:t>
      </w:r>
      <w:r w:rsidR="00067F9E" w:rsidRPr="003B7960">
        <w:rPr>
          <w:rFonts w:ascii="Cambria" w:hAnsi="Cambria" w:cs="Callibri"/>
          <w:sz w:val="20"/>
          <w:szCs w:val="20"/>
          <w:lang w:val="es-ES"/>
        </w:rPr>
        <w:t xml:space="preserve"> o integri</w:t>
      </w:r>
      <w:r w:rsidR="00DD1B41" w:rsidRPr="003B7960">
        <w:rPr>
          <w:rFonts w:ascii="Cambria" w:hAnsi="Cambria" w:cs="Callibri"/>
          <w:sz w:val="20"/>
          <w:szCs w:val="20"/>
          <w:lang w:val="es-ES"/>
        </w:rPr>
        <w:t>dad personal</w:t>
      </w:r>
      <w:r w:rsidR="00067F9E" w:rsidRPr="003B7960">
        <w:rPr>
          <w:rStyle w:val="FootnoteReference"/>
          <w:rFonts w:ascii="Cambria" w:hAnsi="Cambria"/>
          <w:sz w:val="20"/>
          <w:szCs w:val="20"/>
          <w:lang w:val="es-ES"/>
        </w:rPr>
        <w:footnoteReference w:id="127"/>
      </w:r>
      <w:r w:rsidR="00067F9E" w:rsidRPr="003B7960">
        <w:rPr>
          <w:rFonts w:ascii="Cambria" w:hAnsi="Cambria" w:cs="Callibri"/>
          <w:sz w:val="20"/>
          <w:szCs w:val="20"/>
          <w:lang w:val="es-ES"/>
        </w:rPr>
        <w:t>.</w:t>
      </w:r>
      <w:r w:rsidR="000F78E7" w:rsidRPr="003B7960">
        <w:rPr>
          <w:rFonts w:ascii="Cambria" w:hAnsi="Cambria" w:cs="Callibri"/>
          <w:sz w:val="20"/>
          <w:szCs w:val="20"/>
          <w:lang w:val="es-ES"/>
        </w:rPr>
        <w:t xml:space="preserve"> </w:t>
      </w:r>
    </w:p>
    <w:p w14:paraId="1BD95B39" w14:textId="77777777" w:rsidR="009A4875" w:rsidRPr="003B7960" w:rsidRDefault="009A4875" w:rsidP="009A487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FF0000"/>
          <w:sz w:val="20"/>
          <w:szCs w:val="20"/>
          <w:lang w:val="es-ES"/>
        </w:rPr>
      </w:pPr>
    </w:p>
    <w:p w14:paraId="00D636AC" w14:textId="77777777" w:rsidR="00067F9E" w:rsidRPr="003B7960" w:rsidRDefault="00DD1B41"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En ese sentido</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ha</w:t>
      </w:r>
      <w:r w:rsidR="005535BE" w:rsidRPr="003B7960">
        <w:rPr>
          <w:rFonts w:ascii="Cambria" w:hAnsi="Cambria"/>
          <w:color w:val="000000"/>
          <w:sz w:val="20"/>
          <w:szCs w:val="20"/>
          <w:lang w:val="es-ES"/>
        </w:rPr>
        <w:t xml:space="preserve"> señalado anteriormente que esta garantía se refleja en el artículo </w:t>
      </w:r>
      <w:r w:rsidR="00067F9E" w:rsidRPr="003B7960">
        <w:rPr>
          <w:rFonts w:ascii="Cambria" w:hAnsi="Cambria"/>
          <w:color w:val="000000"/>
          <w:sz w:val="20"/>
          <w:szCs w:val="20"/>
          <w:lang w:val="es-ES"/>
        </w:rPr>
        <w:t xml:space="preserve">XXVI </w:t>
      </w:r>
      <w:r w:rsidR="005535BE"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C33F51" w:rsidRPr="003B7960">
        <w:rPr>
          <w:rFonts w:ascii="Cambria" w:hAnsi="Cambria"/>
          <w:color w:val="000000"/>
          <w:sz w:val="20"/>
          <w:szCs w:val="20"/>
          <w:lang w:val="es-ES"/>
        </w:rPr>
        <w:t>la Declaración</w:t>
      </w:r>
      <w:r w:rsidR="00B9011F" w:rsidRPr="003B7960">
        <w:rPr>
          <w:rFonts w:ascii="Cambria" w:hAnsi="Cambria"/>
          <w:color w:val="000000"/>
          <w:sz w:val="20"/>
          <w:szCs w:val="20"/>
          <w:lang w:val="es-ES"/>
        </w:rPr>
        <w:t xml:space="preserve"> Americana</w:t>
      </w:r>
      <w:r w:rsidR="00067F9E" w:rsidRPr="003B7960">
        <w:rPr>
          <w:rFonts w:ascii="Cambria" w:hAnsi="Cambria"/>
          <w:color w:val="000000"/>
          <w:sz w:val="20"/>
          <w:szCs w:val="20"/>
          <w:lang w:val="es-ES"/>
        </w:rPr>
        <w:t xml:space="preserve"> (no</w:t>
      </w:r>
      <w:r w:rsidRPr="003B7960">
        <w:rPr>
          <w:rFonts w:ascii="Cambria" w:hAnsi="Cambria"/>
          <w:color w:val="000000"/>
          <w:sz w:val="20"/>
          <w:szCs w:val="20"/>
          <w:lang w:val="es-ES"/>
        </w:rPr>
        <w:t xml:space="preserve"> imposición de penas </w:t>
      </w:r>
      <w:r w:rsidR="00067F9E" w:rsidRPr="003B7960">
        <w:rPr>
          <w:rFonts w:ascii="Cambria" w:hAnsi="Cambria"/>
          <w:color w:val="000000"/>
          <w:sz w:val="20"/>
          <w:szCs w:val="20"/>
          <w:lang w:val="es-ES"/>
        </w:rPr>
        <w:t>cruel</w:t>
      </w:r>
      <w:r w:rsidRPr="003B7960">
        <w:rPr>
          <w:rFonts w:ascii="Cambria" w:hAnsi="Cambria"/>
          <w:color w:val="000000"/>
          <w:sz w:val="20"/>
          <w:szCs w:val="20"/>
          <w:lang w:val="es-ES"/>
        </w:rPr>
        <w:t>es</w:t>
      </w:r>
      <w:r w:rsidR="00067F9E" w:rsidRPr="003B7960">
        <w:rPr>
          <w:rFonts w:ascii="Cambria" w:hAnsi="Cambria"/>
          <w:color w:val="000000"/>
          <w:sz w:val="20"/>
          <w:szCs w:val="20"/>
          <w:lang w:val="es-ES"/>
        </w:rPr>
        <w:t>, infam</w:t>
      </w:r>
      <w:r w:rsidRPr="003B7960">
        <w:rPr>
          <w:rFonts w:ascii="Cambria" w:hAnsi="Cambria"/>
          <w:color w:val="000000"/>
          <w:sz w:val="20"/>
          <w:szCs w:val="20"/>
          <w:lang w:val="es-ES"/>
        </w:rPr>
        <w:t>antes o inusitadas</w:t>
      </w:r>
      <w:r w:rsidR="00067F9E" w:rsidRPr="003B7960">
        <w:rPr>
          <w:rFonts w:ascii="Cambria" w:hAnsi="Cambria"/>
          <w:color w:val="000000"/>
          <w:sz w:val="20"/>
          <w:szCs w:val="20"/>
          <w:lang w:val="es-ES"/>
        </w:rPr>
        <w:t>)</w:t>
      </w:r>
      <w:r w:rsidR="00067F9E" w:rsidRPr="003B7960">
        <w:rPr>
          <w:rStyle w:val="FootnoteReference"/>
          <w:rFonts w:ascii="Cambria" w:hAnsi="Cambria"/>
          <w:color w:val="000000"/>
          <w:sz w:val="20"/>
          <w:szCs w:val="20"/>
          <w:lang w:val="es-ES"/>
        </w:rPr>
        <w:footnoteReference w:id="128"/>
      </w:r>
      <w:r w:rsidRPr="003B7960">
        <w:rPr>
          <w:rFonts w:ascii="Cambria" w:hAnsi="Cambria"/>
          <w:color w:val="000000"/>
          <w:sz w:val="20"/>
          <w:szCs w:val="20"/>
          <w:lang w:val="es-ES"/>
        </w:rPr>
        <w:t>,</w:t>
      </w:r>
      <w:r w:rsidR="00067F9E" w:rsidRPr="003B7960">
        <w:rPr>
          <w:rFonts w:ascii="Cambria" w:hAnsi="Cambria"/>
          <w:color w:val="000000"/>
          <w:sz w:val="20"/>
          <w:szCs w:val="20"/>
          <w:lang w:val="es-ES"/>
        </w:rPr>
        <w:t xml:space="preserve"> as</w:t>
      </w:r>
      <w:r w:rsidR="005535BE" w:rsidRPr="003B7960">
        <w:rPr>
          <w:rFonts w:ascii="Cambria" w:hAnsi="Cambria"/>
          <w:color w:val="000000"/>
          <w:sz w:val="20"/>
          <w:szCs w:val="20"/>
          <w:lang w:val="es-ES"/>
        </w:rPr>
        <w:t>í como en el artículo</w:t>
      </w:r>
      <w:r w:rsidR="00067F9E" w:rsidRPr="003B7960">
        <w:rPr>
          <w:rFonts w:ascii="Cambria" w:hAnsi="Cambria"/>
          <w:color w:val="000000"/>
          <w:sz w:val="20"/>
          <w:szCs w:val="20"/>
          <w:lang w:val="es-ES"/>
        </w:rPr>
        <w:t xml:space="preserve"> I</w:t>
      </w:r>
      <w:r w:rsidR="005535BE" w:rsidRPr="003B7960">
        <w:rPr>
          <w:rFonts w:ascii="Cambria" w:hAnsi="Cambria"/>
          <w:color w:val="000000"/>
          <w:sz w:val="20"/>
          <w:szCs w:val="20"/>
          <w:lang w:val="es-ES"/>
        </w:rPr>
        <w:t xml:space="preserve"> en los casos en que se viola el derecho a la vida o a la seguridad de la persona tras su retorno y en el artículo </w:t>
      </w:r>
      <w:r w:rsidR="00067F9E" w:rsidRPr="003B7960">
        <w:rPr>
          <w:rFonts w:ascii="Cambria" w:hAnsi="Cambria"/>
          <w:color w:val="000000"/>
          <w:sz w:val="20"/>
          <w:szCs w:val="20"/>
          <w:lang w:val="es-ES"/>
        </w:rPr>
        <w:t xml:space="preserve">XVIII </w:t>
      </w:r>
      <w:r w:rsidR="005535BE" w:rsidRPr="003B7960">
        <w:rPr>
          <w:rFonts w:ascii="Cambria" w:hAnsi="Cambria"/>
          <w:color w:val="000000"/>
          <w:sz w:val="20"/>
          <w:szCs w:val="20"/>
          <w:lang w:val="es-ES"/>
        </w:rPr>
        <w:t xml:space="preserve">en los casos en que no se respeta el </w:t>
      </w:r>
      <w:r w:rsidR="0006351D" w:rsidRPr="003B7960">
        <w:rPr>
          <w:rFonts w:ascii="Cambria" w:hAnsi="Cambria"/>
          <w:color w:val="000000"/>
          <w:sz w:val="20"/>
          <w:szCs w:val="20"/>
          <w:lang w:val="es-ES"/>
        </w:rPr>
        <w:t xml:space="preserve">derecho </w:t>
      </w:r>
      <w:r w:rsidR="007677CD" w:rsidRPr="003B7960">
        <w:rPr>
          <w:rFonts w:ascii="Cambria" w:hAnsi="Cambria"/>
          <w:color w:val="000000"/>
          <w:sz w:val="20"/>
          <w:szCs w:val="20"/>
          <w:lang w:val="es-ES"/>
        </w:rPr>
        <w:t>al</w:t>
      </w:r>
      <w:r w:rsidR="00067F9E" w:rsidRPr="003B7960">
        <w:rPr>
          <w:rFonts w:ascii="Cambria" w:hAnsi="Cambria"/>
          <w:color w:val="000000"/>
          <w:sz w:val="20"/>
          <w:szCs w:val="20"/>
          <w:lang w:val="es-ES"/>
        </w:rPr>
        <w:t xml:space="preserve"> </w:t>
      </w:r>
      <w:r w:rsidR="004B2866" w:rsidRPr="003B7960">
        <w:rPr>
          <w:rFonts w:ascii="Cambria" w:hAnsi="Cambria"/>
          <w:color w:val="000000"/>
          <w:sz w:val="20"/>
          <w:szCs w:val="20"/>
          <w:lang w:val="es-ES"/>
        </w:rPr>
        <w:t>debido proceso</w:t>
      </w:r>
      <w:r w:rsidR="00067F9E" w:rsidRPr="003B7960">
        <w:rPr>
          <w:rFonts w:ascii="Cambria" w:hAnsi="Cambria"/>
          <w:color w:val="000000"/>
          <w:sz w:val="20"/>
          <w:szCs w:val="20"/>
          <w:lang w:val="es-ES"/>
        </w:rPr>
        <w:t xml:space="preserve"> </w:t>
      </w:r>
      <w:r w:rsidR="005535BE" w:rsidRPr="003B7960">
        <w:rPr>
          <w:rFonts w:ascii="Cambria" w:hAnsi="Cambria"/>
          <w:color w:val="000000"/>
          <w:sz w:val="20"/>
          <w:szCs w:val="20"/>
          <w:lang w:val="es-ES"/>
        </w:rPr>
        <w:t>en el procedimiento de devolución</w:t>
      </w:r>
      <w:r w:rsidR="00067F9E" w:rsidRPr="003B7960">
        <w:rPr>
          <w:rStyle w:val="FootnoteReference"/>
          <w:rFonts w:ascii="Cambria" w:hAnsi="Cambria"/>
          <w:color w:val="000000"/>
          <w:sz w:val="20"/>
          <w:szCs w:val="20"/>
          <w:lang w:val="es-ES"/>
        </w:rPr>
        <w:footnoteReference w:id="129"/>
      </w:r>
      <w:r w:rsidR="005535BE" w:rsidRPr="003B7960">
        <w:rPr>
          <w:rFonts w:ascii="Cambria" w:hAnsi="Cambria"/>
          <w:color w:val="000000"/>
          <w:sz w:val="20"/>
          <w:szCs w:val="20"/>
          <w:lang w:val="es-ES"/>
        </w:rPr>
        <w:t xml:space="preserve">. Como ya ha reconocido </w:t>
      </w:r>
      <w:r w:rsidR="00083D86" w:rsidRPr="003B7960">
        <w:rPr>
          <w:rFonts w:ascii="Cambria" w:hAnsi="Cambria"/>
          <w:color w:val="000000"/>
          <w:sz w:val="20"/>
          <w:szCs w:val="20"/>
          <w:lang w:val="es-ES"/>
        </w:rPr>
        <w:t>la Corte Interamericana</w:t>
      </w:r>
      <w:r w:rsidR="005535BE" w:rsidRPr="003B7960">
        <w:rPr>
          <w:rFonts w:ascii="Cambria" w:hAnsi="Cambria"/>
          <w:color w:val="000000"/>
          <w:sz w:val="20"/>
          <w:szCs w:val="20"/>
          <w:lang w:val="es-ES"/>
        </w:rPr>
        <w:t xml:space="preserve">, la decisión con respecto a un reclamo de </w:t>
      </w:r>
      <w:r w:rsidR="004E3528" w:rsidRPr="003B7960">
        <w:rPr>
          <w:rFonts w:ascii="Cambria" w:hAnsi="Cambria"/>
          <w:color w:val="000000"/>
          <w:sz w:val="20"/>
          <w:szCs w:val="20"/>
          <w:lang w:val="es-ES"/>
        </w:rPr>
        <w:t>no devolución</w:t>
      </w:r>
      <w:r w:rsidR="005535BE" w:rsidRPr="003B7960">
        <w:rPr>
          <w:rFonts w:ascii="Cambria" w:hAnsi="Cambria"/>
          <w:color w:val="000000"/>
          <w:sz w:val="20"/>
          <w:szCs w:val="20"/>
          <w:lang w:val="es-ES"/>
        </w:rPr>
        <w:t>, igual que la determinación</w:t>
      </w:r>
      <w:r w:rsidR="00067F9E" w:rsidRPr="003B7960">
        <w:rPr>
          <w:rFonts w:ascii="Cambria" w:hAnsi="Cambria"/>
          <w:color w:val="000000"/>
          <w:sz w:val="20"/>
          <w:szCs w:val="20"/>
          <w:lang w:val="es-ES"/>
        </w:rPr>
        <w:t xml:space="preserve"> </w:t>
      </w:r>
      <w:r w:rsidR="005535BE" w:rsidRPr="003B7960">
        <w:rPr>
          <w:rFonts w:ascii="Cambria" w:hAnsi="Cambria"/>
          <w:color w:val="000000"/>
          <w:sz w:val="20"/>
          <w:szCs w:val="20"/>
          <w:lang w:val="es-ES"/>
        </w:rPr>
        <w:t xml:space="preserve">de la </w:t>
      </w:r>
      <w:r w:rsidR="00BE1909" w:rsidRPr="003B7960">
        <w:rPr>
          <w:rFonts w:ascii="Cambria" w:hAnsi="Cambria"/>
          <w:color w:val="000000"/>
          <w:sz w:val="20"/>
          <w:szCs w:val="20"/>
          <w:lang w:val="es-ES"/>
        </w:rPr>
        <w:t>condición de refugiado</w:t>
      </w:r>
      <w:r w:rsidR="00067F9E" w:rsidRPr="003B7960">
        <w:rPr>
          <w:rFonts w:ascii="Cambria" w:hAnsi="Cambria"/>
          <w:color w:val="000000"/>
          <w:sz w:val="20"/>
          <w:szCs w:val="20"/>
          <w:lang w:val="es-ES"/>
        </w:rPr>
        <w:t>, “</w:t>
      </w:r>
      <w:r w:rsidR="005535BE" w:rsidRPr="003B7960">
        <w:rPr>
          <w:rFonts w:ascii="Cambria" w:hAnsi="Cambria"/>
          <w:color w:val="000000"/>
          <w:sz w:val="20"/>
          <w:szCs w:val="20"/>
          <w:lang w:val="es-ES"/>
        </w:rPr>
        <w:t>implica una valoración y decisión sobre el posible riesgo de afectación a sus derechos más básicos, como la vida, la integridad y la libertad personal. De tal manera, aún si los Estados pueden determinar los procedimientos y autoridades para hacer efectivo ese derecho, en aplicación de los principios de no discriminación y debido proceso, se hacen necesarios procedimientos previsibles, así como coherencia y objetividad en la toma de decisiones en cada etapa del procedimiento para evitar decisiones arbitrarias</w:t>
      </w:r>
      <w:r w:rsidR="00067F9E" w:rsidRPr="003B7960">
        <w:rPr>
          <w:rFonts w:ascii="Cambria" w:hAnsi="Cambria"/>
          <w:color w:val="000000"/>
          <w:sz w:val="20"/>
          <w:szCs w:val="20"/>
          <w:lang w:val="es-ES"/>
        </w:rPr>
        <w:t>”</w:t>
      </w:r>
      <w:r w:rsidR="00067F9E" w:rsidRPr="003B7960">
        <w:rPr>
          <w:rStyle w:val="FootnoteReference"/>
          <w:rFonts w:ascii="Cambria" w:hAnsi="Cambria"/>
          <w:color w:val="000000"/>
          <w:sz w:val="20"/>
          <w:szCs w:val="20"/>
          <w:lang w:val="es-ES"/>
        </w:rPr>
        <w:footnoteReference w:id="130"/>
      </w:r>
      <w:r w:rsidR="005535BE" w:rsidRPr="003B7960">
        <w:rPr>
          <w:rFonts w:ascii="Cambria" w:hAnsi="Cambria"/>
          <w:color w:val="000000"/>
          <w:sz w:val="20"/>
          <w:szCs w:val="20"/>
          <w:lang w:val="es-ES"/>
        </w:rPr>
        <w:t>. E</w:t>
      </w:r>
      <w:r w:rsidR="00067F9E" w:rsidRPr="003B7960">
        <w:rPr>
          <w:rFonts w:ascii="Cambria" w:hAnsi="Cambria"/>
          <w:color w:val="000000"/>
          <w:sz w:val="20"/>
          <w:szCs w:val="20"/>
          <w:lang w:val="es-ES"/>
        </w:rPr>
        <w:t xml:space="preserve">n particular, </w:t>
      </w:r>
      <w:r w:rsidR="005535BE" w:rsidRPr="003B7960">
        <w:rPr>
          <w:rFonts w:ascii="Cambria" w:hAnsi="Cambria"/>
          <w:color w:val="000000"/>
          <w:sz w:val="20"/>
          <w:szCs w:val="20"/>
          <w:lang w:val="es-ES"/>
        </w:rPr>
        <w:t xml:space="preserve">el cumplimiento de la obligación de </w:t>
      </w:r>
      <w:r w:rsidR="004E3528" w:rsidRPr="003B7960">
        <w:rPr>
          <w:rFonts w:ascii="Cambria" w:hAnsi="Cambria"/>
          <w:color w:val="000000"/>
          <w:sz w:val="20"/>
          <w:szCs w:val="20"/>
          <w:lang w:val="es-ES"/>
        </w:rPr>
        <w:t>no devolución</w:t>
      </w:r>
      <w:r w:rsidR="00067F9E" w:rsidRPr="003B7960">
        <w:rPr>
          <w:rFonts w:ascii="Cambria" w:hAnsi="Cambria"/>
          <w:i/>
          <w:color w:val="000000"/>
          <w:sz w:val="20"/>
          <w:szCs w:val="20"/>
          <w:lang w:val="es-ES"/>
        </w:rPr>
        <w:t xml:space="preserve"> </w:t>
      </w:r>
      <w:r w:rsidR="00067F9E" w:rsidRPr="003B7960">
        <w:rPr>
          <w:rFonts w:ascii="Cambria" w:hAnsi="Cambria"/>
          <w:color w:val="000000"/>
          <w:sz w:val="20"/>
          <w:szCs w:val="20"/>
          <w:lang w:val="es-ES"/>
        </w:rPr>
        <w:t>“</w:t>
      </w:r>
      <w:r w:rsidR="005535BE" w:rsidRPr="003B7960">
        <w:rPr>
          <w:rFonts w:ascii="Cambria" w:hAnsi="Cambria"/>
          <w:color w:val="000000"/>
          <w:sz w:val="20"/>
          <w:szCs w:val="20"/>
          <w:lang w:val="es-ES"/>
        </w:rPr>
        <w:t>necesariamente implica que esas personas no pueden ser [...] expulsadas sin un análisis adecuado e individualizado</w:t>
      </w:r>
      <w:r w:rsidR="00067F9E" w:rsidRPr="003B7960">
        <w:rPr>
          <w:rFonts w:ascii="Cambria" w:hAnsi="Cambria"/>
          <w:color w:val="000000"/>
          <w:sz w:val="20"/>
          <w:szCs w:val="20"/>
          <w:lang w:val="es-ES"/>
        </w:rPr>
        <w:t xml:space="preserve">” </w:t>
      </w:r>
      <w:r w:rsidR="005535BE" w:rsidRPr="003B7960">
        <w:rPr>
          <w:rFonts w:ascii="Cambria" w:hAnsi="Cambria"/>
          <w:color w:val="000000"/>
          <w:sz w:val="20"/>
          <w:szCs w:val="20"/>
          <w:lang w:val="es-ES"/>
        </w:rPr>
        <w:t xml:space="preserve">de su </w:t>
      </w:r>
      <w:r w:rsidR="008A4F19" w:rsidRPr="003B7960">
        <w:rPr>
          <w:rFonts w:ascii="Cambria" w:hAnsi="Cambria"/>
          <w:color w:val="000000"/>
          <w:sz w:val="20"/>
          <w:szCs w:val="20"/>
          <w:lang w:val="es-ES"/>
        </w:rPr>
        <w:t>caso</w:t>
      </w:r>
      <w:r w:rsidR="00067F9E" w:rsidRPr="003B7960">
        <w:rPr>
          <w:rFonts w:ascii="Cambria" w:hAnsi="Cambria"/>
          <w:color w:val="000000"/>
          <w:sz w:val="20"/>
          <w:szCs w:val="20"/>
          <w:lang w:val="es-ES"/>
        </w:rPr>
        <w:t xml:space="preserve">, </w:t>
      </w:r>
      <w:r w:rsidR="005535BE" w:rsidRPr="003B7960">
        <w:rPr>
          <w:rFonts w:ascii="Cambria" w:hAnsi="Cambria"/>
          <w:color w:val="000000"/>
          <w:sz w:val="20"/>
          <w:szCs w:val="20"/>
          <w:lang w:val="es-ES"/>
        </w:rPr>
        <w:t xml:space="preserve">que incluye el </w:t>
      </w:r>
      <w:r w:rsidR="0006351D" w:rsidRPr="003B7960">
        <w:rPr>
          <w:rFonts w:ascii="Cambria" w:hAnsi="Cambria"/>
          <w:color w:val="000000"/>
          <w:sz w:val="20"/>
          <w:szCs w:val="20"/>
          <w:lang w:val="es-ES"/>
        </w:rPr>
        <w:t>derecho a</w:t>
      </w:r>
      <w:r w:rsidR="00067F9E" w:rsidRPr="003B7960">
        <w:rPr>
          <w:rFonts w:ascii="Cambria" w:hAnsi="Cambria"/>
          <w:color w:val="000000"/>
          <w:sz w:val="20"/>
          <w:szCs w:val="20"/>
          <w:lang w:val="es-ES"/>
        </w:rPr>
        <w:t xml:space="preserve"> </w:t>
      </w:r>
      <w:r w:rsidR="005535BE" w:rsidRPr="003B7960">
        <w:rPr>
          <w:rFonts w:ascii="Cambria" w:hAnsi="Cambria"/>
          <w:color w:val="000000"/>
          <w:sz w:val="20"/>
          <w:szCs w:val="20"/>
          <w:lang w:val="es-ES"/>
        </w:rPr>
        <w:t>una revisión de toda decisión</w:t>
      </w:r>
      <w:r w:rsidR="00067F9E" w:rsidRPr="003B7960">
        <w:rPr>
          <w:rStyle w:val="FootnoteReference"/>
          <w:rFonts w:ascii="Cambria" w:hAnsi="Cambria"/>
          <w:color w:val="000000"/>
          <w:sz w:val="20"/>
          <w:szCs w:val="20"/>
          <w:lang w:val="es-ES"/>
        </w:rPr>
        <w:footnoteReference w:id="131"/>
      </w:r>
      <w:r w:rsidR="005535BE" w:rsidRPr="003B7960">
        <w:rPr>
          <w:rFonts w:ascii="Cambria" w:hAnsi="Cambria"/>
          <w:color w:val="000000"/>
          <w:sz w:val="20"/>
          <w:szCs w:val="20"/>
          <w:lang w:val="es-ES"/>
        </w:rPr>
        <w:t>.</w:t>
      </w:r>
    </w:p>
    <w:p w14:paraId="34FC199C"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466F4732" w14:textId="77777777"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rec</w:t>
      </w:r>
      <w:r w:rsidR="005535BE" w:rsidRPr="003B7960">
        <w:rPr>
          <w:rFonts w:ascii="Cambria" w:hAnsi="Cambria"/>
          <w:color w:val="000000"/>
          <w:sz w:val="20"/>
          <w:szCs w:val="20"/>
          <w:lang w:val="es-ES"/>
        </w:rPr>
        <w:t xml:space="preserve">uerda que la observancia por el Estado de los derechos </w:t>
      </w:r>
      <w:r w:rsidR="00A143C8" w:rsidRPr="003B7960">
        <w:rPr>
          <w:rFonts w:ascii="Cambria" w:hAnsi="Cambria"/>
          <w:color w:val="000000"/>
          <w:sz w:val="20"/>
          <w:szCs w:val="20"/>
          <w:lang w:val="es-ES"/>
        </w:rPr>
        <w:t xml:space="preserve">procesales comprendidos en el </w:t>
      </w:r>
      <w:r w:rsidR="0006351D" w:rsidRPr="003B7960">
        <w:rPr>
          <w:rFonts w:ascii="Cambria" w:hAnsi="Cambria"/>
          <w:color w:val="000000"/>
          <w:sz w:val="20"/>
          <w:szCs w:val="20"/>
          <w:lang w:val="es-ES"/>
        </w:rPr>
        <w:t>derecho a</w:t>
      </w:r>
      <w:r w:rsidR="00067F9E" w:rsidRPr="003B7960">
        <w:rPr>
          <w:rFonts w:ascii="Cambria" w:hAnsi="Cambria"/>
          <w:color w:val="000000"/>
          <w:sz w:val="20"/>
          <w:szCs w:val="20"/>
          <w:lang w:val="es-ES"/>
        </w:rPr>
        <w:t xml:space="preserve"> </w:t>
      </w:r>
      <w:r w:rsidR="00CC50B9" w:rsidRPr="003B7960">
        <w:rPr>
          <w:rFonts w:ascii="Cambria" w:hAnsi="Cambria"/>
          <w:color w:val="000000"/>
          <w:sz w:val="20"/>
          <w:szCs w:val="20"/>
          <w:lang w:val="es-ES"/>
        </w:rPr>
        <w:t>pedir y recibir</w:t>
      </w:r>
      <w:r w:rsidR="00067F9E" w:rsidRPr="003B7960">
        <w:rPr>
          <w:rFonts w:ascii="Cambria" w:hAnsi="Cambria"/>
          <w:color w:val="000000"/>
          <w:sz w:val="20"/>
          <w:szCs w:val="20"/>
          <w:lang w:val="es-ES"/>
        </w:rPr>
        <w:t xml:space="preserve"> </w:t>
      </w:r>
      <w:r w:rsidR="00774960" w:rsidRPr="003B7960">
        <w:rPr>
          <w:rFonts w:ascii="Cambria" w:hAnsi="Cambria"/>
          <w:color w:val="000000"/>
          <w:sz w:val="20"/>
          <w:szCs w:val="20"/>
          <w:lang w:val="es-ES"/>
        </w:rPr>
        <w:t>asilo</w:t>
      </w:r>
      <w:r w:rsidR="00067F9E" w:rsidRPr="003B7960">
        <w:rPr>
          <w:rFonts w:ascii="Cambria" w:hAnsi="Cambria"/>
          <w:color w:val="000000"/>
          <w:sz w:val="20"/>
          <w:szCs w:val="20"/>
          <w:lang w:val="es-ES"/>
        </w:rPr>
        <w:t xml:space="preserve"> </w:t>
      </w:r>
      <w:r w:rsidR="00A143C8" w:rsidRPr="003B7960">
        <w:rPr>
          <w:rFonts w:ascii="Cambria" w:hAnsi="Cambria"/>
          <w:color w:val="000000"/>
          <w:sz w:val="20"/>
          <w:szCs w:val="20"/>
          <w:lang w:val="es-ES"/>
        </w:rPr>
        <w:t>e</w:t>
      </w:r>
      <w:r w:rsidR="00067F9E" w:rsidRPr="003B7960">
        <w:rPr>
          <w:rFonts w:ascii="Cambria" w:hAnsi="Cambria"/>
          <w:color w:val="000000"/>
          <w:sz w:val="20"/>
          <w:szCs w:val="20"/>
          <w:lang w:val="es-ES"/>
        </w:rPr>
        <w:t>s esen</w:t>
      </w:r>
      <w:r w:rsidR="00A143C8" w:rsidRPr="003B7960">
        <w:rPr>
          <w:rFonts w:ascii="Cambria" w:hAnsi="Cambria"/>
          <w:color w:val="000000"/>
          <w:sz w:val="20"/>
          <w:szCs w:val="20"/>
          <w:lang w:val="es-ES"/>
        </w:rPr>
        <w:t>c</w:t>
      </w:r>
      <w:r w:rsidR="00067F9E" w:rsidRPr="003B7960">
        <w:rPr>
          <w:rFonts w:ascii="Cambria" w:hAnsi="Cambria"/>
          <w:color w:val="000000"/>
          <w:sz w:val="20"/>
          <w:szCs w:val="20"/>
          <w:lang w:val="es-ES"/>
        </w:rPr>
        <w:t xml:space="preserve">ial </w:t>
      </w:r>
      <w:r w:rsidR="00A143C8" w:rsidRPr="003B7960">
        <w:rPr>
          <w:rFonts w:ascii="Cambria" w:hAnsi="Cambria"/>
          <w:color w:val="000000"/>
          <w:sz w:val="20"/>
          <w:szCs w:val="20"/>
          <w:lang w:val="es-ES"/>
        </w:rPr>
        <w:t xml:space="preserve">para demostrar que una decisión de devolver a una persona a otro país o territorio es compatible con el </w:t>
      </w:r>
      <w:r w:rsidR="00FC3DB1" w:rsidRPr="003B7960">
        <w:rPr>
          <w:rFonts w:ascii="Cambria" w:hAnsi="Cambria"/>
          <w:color w:val="000000"/>
          <w:sz w:val="20"/>
          <w:szCs w:val="20"/>
          <w:lang w:val="es-ES"/>
        </w:rPr>
        <w:t>principio</w:t>
      </w:r>
      <w:r w:rsidR="00067F9E" w:rsidRPr="003B7960">
        <w:rPr>
          <w:rFonts w:ascii="Cambria" w:hAnsi="Cambria"/>
          <w:color w:val="000000"/>
          <w:sz w:val="20"/>
          <w:szCs w:val="20"/>
          <w:lang w:val="es-ES"/>
        </w:rPr>
        <w:t xml:space="preserve"> </w:t>
      </w:r>
      <w:r w:rsidR="00A143C8"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4E3528" w:rsidRPr="003B7960">
        <w:rPr>
          <w:rFonts w:ascii="Cambria" w:hAnsi="Cambria"/>
          <w:color w:val="000000"/>
          <w:sz w:val="20"/>
          <w:szCs w:val="20"/>
          <w:lang w:val="es-ES"/>
        </w:rPr>
        <w:t>no devolución</w:t>
      </w:r>
      <w:r w:rsidR="00067F9E" w:rsidRPr="003B7960">
        <w:rPr>
          <w:rFonts w:ascii="Cambria" w:hAnsi="Cambria"/>
          <w:color w:val="000000"/>
          <w:sz w:val="20"/>
          <w:szCs w:val="20"/>
          <w:lang w:val="es-ES"/>
        </w:rPr>
        <w:t xml:space="preserve">. </w:t>
      </w:r>
      <w:r w:rsidR="00A143C8" w:rsidRPr="003B7960">
        <w:rPr>
          <w:rFonts w:ascii="Cambria" w:hAnsi="Cambria"/>
          <w:color w:val="000000"/>
          <w:sz w:val="20"/>
          <w:szCs w:val="20"/>
          <w:lang w:val="es-ES"/>
        </w:rPr>
        <w:t xml:space="preserve">Es decir, estas garantías procesales se aplican y podrían ser suficientes para determinar que no se ha cumplido el </w:t>
      </w:r>
      <w:r w:rsidR="00FC3DB1" w:rsidRPr="003B7960">
        <w:rPr>
          <w:rFonts w:ascii="Cambria" w:hAnsi="Cambria"/>
          <w:color w:val="000000"/>
          <w:sz w:val="20"/>
          <w:szCs w:val="20"/>
          <w:lang w:val="es-ES"/>
        </w:rPr>
        <w:t>principio</w:t>
      </w:r>
      <w:r w:rsidR="00067F9E" w:rsidRPr="003B7960">
        <w:rPr>
          <w:rFonts w:ascii="Cambria" w:hAnsi="Cambria"/>
          <w:color w:val="000000"/>
          <w:sz w:val="20"/>
          <w:szCs w:val="20"/>
          <w:lang w:val="es-ES"/>
        </w:rPr>
        <w:t xml:space="preserve"> </w:t>
      </w:r>
      <w:r w:rsidR="00A143C8"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4E3528" w:rsidRPr="003B7960">
        <w:rPr>
          <w:rFonts w:ascii="Cambria" w:hAnsi="Cambria"/>
          <w:color w:val="000000"/>
          <w:sz w:val="20"/>
          <w:szCs w:val="20"/>
          <w:lang w:val="es-ES"/>
        </w:rPr>
        <w:t>no devolución</w:t>
      </w:r>
      <w:r w:rsidR="00067F9E" w:rsidRPr="003B7960">
        <w:rPr>
          <w:rFonts w:ascii="Cambria" w:hAnsi="Cambria"/>
          <w:color w:val="000000"/>
          <w:sz w:val="20"/>
          <w:szCs w:val="20"/>
          <w:lang w:val="es-ES"/>
        </w:rPr>
        <w:t>, independ</w:t>
      </w:r>
      <w:r w:rsidR="00A143C8" w:rsidRPr="003B7960">
        <w:rPr>
          <w:rFonts w:ascii="Cambria" w:hAnsi="Cambria"/>
          <w:color w:val="000000"/>
          <w:sz w:val="20"/>
          <w:szCs w:val="20"/>
          <w:lang w:val="es-ES"/>
        </w:rPr>
        <w:t xml:space="preserve">ientemente de que se determine posteriormente que se ha cometido un acto de </w:t>
      </w:r>
      <w:r w:rsidR="00067F9E" w:rsidRPr="003B7960">
        <w:rPr>
          <w:rFonts w:ascii="Cambria" w:hAnsi="Cambria"/>
          <w:color w:val="000000"/>
          <w:sz w:val="20"/>
          <w:szCs w:val="20"/>
          <w:lang w:val="es-ES"/>
        </w:rPr>
        <w:t>tortur</w:t>
      </w:r>
      <w:r w:rsidR="00A143C8" w:rsidRPr="003B7960">
        <w:rPr>
          <w:rFonts w:ascii="Cambria" w:hAnsi="Cambria"/>
          <w:color w:val="000000"/>
          <w:sz w:val="20"/>
          <w:szCs w:val="20"/>
          <w:lang w:val="es-ES"/>
        </w:rPr>
        <w:t>a</w:t>
      </w:r>
      <w:r w:rsidR="00067F9E" w:rsidRPr="003B7960">
        <w:rPr>
          <w:rFonts w:ascii="Cambria" w:hAnsi="Cambria"/>
          <w:color w:val="000000"/>
          <w:sz w:val="20"/>
          <w:szCs w:val="20"/>
          <w:lang w:val="es-ES"/>
        </w:rPr>
        <w:t>, persecu</w:t>
      </w:r>
      <w:r w:rsidR="00A143C8" w:rsidRPr="003B7960">
        <w:rPr>
          <w:rFonts w:ascii="Cambria" w:hAnsi="Cambria"/>
          <w:color w:val="000000"/>
          <w:sz w:val="20"/>
          <w:szCs w:val="20"/>
          <w:lang w:val="es-ES"/>
        </w:rPr>
        <w:t>ció</w:t>
      </w:r>
      <w:r w:rsidR="00067F9E" w:rsidRPr="003B7960">
        <w:rPr>
          <w:rFonts w:ascii="Cambria" w:hAnsi="Cambria"/>
          <w:color w:val="000000"/>
          <w:sz w:val="20"/>
          <w:szCs w:val="20"/>
          <w:lang w:val="es-ES"/>
        </w:rPr>
        <w:t xml:space="preserve">n o </w:t>
      </w:r>
      <w:r w:rsidR="00A143C8" w:rsidRPr="003B7960">
        <w:rPr>
          <w:rFonts w:ascii="Cambria" w:hAnsi="Cambria"/>
          <w:color w:val="000000"/>
          <w:sz w:val="20"/>
          <w:szCs w:val="20"/>
          <w:lang w:val="es-ES"/>
        </w:rPr>
        <w:t>violación</w:t>
      </w:r>
      <w:r w:rsidR="00067F9E" w:rsidRPr="003B7960">
        <w:rPr>
          <w:rFonts w:ascii="Cambria" w:hAnsi="Cambria"/>
          <w:color w:val="000000"/>
          <w:sz w:val="20"/>
          <w:szCs w:val="20"/>
          <w:lang w:val="es-ES"/>
        </w:rPr>
        <w:t xml:space="preserve"> </w:t>
      </w:r>
      <w:r w:rsidR="00A143C8" w:rsidRPr="003B7960">
        <w:rPr>
          <w:rFonts w:ascii="Cambria" w:hAnsi="Cambria"/>
          <w:color w:val="000000"/>
          <w:sz w:val="20"/>
          <w:szCs w:val="20"/>
          <w:lang w:val="es-ES"/>
        </w:rPr>
        <w:t>d</w:t>
      </w:r>
      <w:r w:rsidR="0006351D" w:rsidRPr="003B7960">
        <w:rPr>
          <w:rFonts w:ascii="Cambria" w:hAnsi="Cambria"/>
          <w:color w:val="000000"/>
          <w:sz w:val="20"/>
          <w:szCs w:val="20"/>
          <w:lang w:val="es-ES"/>
        </w:rPr>
        <w:t>el derecho a</w:t>
      </w:r>
      <w:r w:rsidR="00067F9E" w:rsidRPr="003B7960">
        <w:rPr>
          <w:rFonts w:ascii="Cambria" w:hAnsi="Cambria"/>
          <w:color w:val="000000"/>
          <w:sz w:val="20"/>
          <w:szCs w:val="20"/>
          <w:lang w:val="es-ES"/>
        </w:rPr>
        <w:t xml:space="preserve"> l</w:t>
      </w:r>
      <w:r w:rsidR="00A143C8" w:rsidRPr="003B7960">
        <w:rPr>
          <w:rFonts w:ascii="Cambria" w:hAnsi="Cambria"/>
          <w:color w:val="000000"/>
          <w:sz w:val="20"/>
          <w:szCs w:val="20"/>
          <w:lang w:val="es-ES"/>
        </w:rPr>
        <w:t>a vida</w:t>
      </w:r>
      <w:r w:rsidR="00067F9E" w:rsidRPr="003B7960">
        <w:rPr>
          <w:rStyle w:val="FootnoteReference"/>
          <w:rFonts w:ascii="Cambria" w:hAnsi="Cambria"/>
          <w:color w:val="000000"/>
          <w:sz w:val="20"/>
          <w:szCs w:val="20"/>
          <w:lang w:val="es-ES"/>
        </w:rPr>
        <w:footnoteReference w:id="132"/>
      </w:r>
      <w:r w:rsidR="00A143C8" w:rsidRPr="003B7960">
        <w:rPr>
          <w:rFonts w:ascii="Cambria" w:hAnsi="Cambria"/>
          <w:color w:val="000000"/>
          <w:sz w:val="20"/>
          <w:szCs w:val="20"/>
          <w:lang w:val="es-ES"/>
        </w:rPr>
        <w:t>. Asimismo,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reitera</w:t>
      </w:r>
      <w:r w:rsidR="00A143C8" w:rsidRPr="003B7960">
        <w:rPr>
          <w:rFonts w:ascii="Cambria" w:hAnsi="Cambria"/>
          <w:color w:val="000000"/>
          <w:sz w:val="20"/>
          <w:szCs w:val="20"/>
          <w:lang w:val="es-ES"/>
        </w:rPr>
        <w:t xml:space="preserve"> que, en los casos en que exista la posibilidad de persecución</w:t>
      </w:r>
      <w:r w:rsidR="00067F9E" w:rsidRPr="003B7960">
        <w:rPr>
          <w:rFonts w:ascii="Cambria" w:hAnsi="Cambria"/>
          <w:color w:val="000000"/>
          <w:sz w:val="20"/>
          <w:szCs w:val="20"/>
          <w:lang w:val="es-ES"/>
        </w:rPr>
        <w:t>, tortur</w:t>
      </w:r>
      <w:r w:rsidR="00A143C8" w:rsidRPr="003B7960">
        <w:rPr>
          <w:rFonts w:ascii="Cambria" w:hAnsi="Cambria"/>
          <w:color w:val="000000"/>
          <w:sz w:val="20"/>
          <w:szCs w:val="20"/>
          <w:lang w:val="es-ES"/>
        </w:rPr>
        <w:t>a o trato cruel, inhumano o degradante</w:t>
      </w:r>
      <w:r w:rsidR="00067F9E" w:rsidRPr="003B7960">
        <w:rPr>
          <w:rFonts w:ascii="Cambria" w:hAnsi="Cambria"/>
          <w:color w:val="000000"/>
          <w:sz w:val="20"/>
          <w:szCs w:val="20"/>
          <w:lang w:val="es-ES"/>
        </w:rPr>
        <w:t xml:space="preserve">, </w:t>
      </w:r>
      <w:r w:rsidR="00A143C8" w:rsidRPr="003B7960">
        <w:rPr>
          <w:rFonts w:ascii="Cambria" w:hAnsi="Cambria"/>
          <w:color w:val="000000"/>
          <w:sz w:val="20"/>
          <w:szCs w:val="20"/>
          <w:lang w:val="es-ES"/>
        </w:rPr>
        <w:t>se debe evaluar plenamente la suficiencia, la claridad y la confiabilidad de las garantías</w:t>
      </w:r>
      <w:r w:rsidR="00067F9E" w:rsidRPr="003B7960">
        <w:rPr>
          <w:rFonts w:ascii="Cambria" w:hAnsi="Cambria"/>
          <w:color w:val="000000"/>
          <w:sz w:val="20"/>
          <w:szCs w:val="20"/>
          <w:lang w:val="es-ES"/>
        </w:rPr>
        <w:t xml:space="preserve"> diplom</w:t>
      </w:r>
      <w:r w:rsidR="00A143C8" w:rsidRPr="003B7960">
        <w:rPr>
          <w:rFonts w:ascii="Cambria" w:hAnsi="Cambria"/>
          <w:color w:val="000000"/>
          <w:sz w:val="20"/>
          <w:szCs w:val="20"/>
          <w:lang w:val="es-ES"/>
        </w:rPr>
        <w:t>áticas o de otr</w:t>
      </w:r>
      <w:r w:rsidR="00813FBE" w:rsidRPr="003B7960">
        <w:rPr>
          <w:rFonts w:ascii="Cambria" w:hAnsi="Cambria"/>
          <w:color w:val="000000"/>
          <w:sz w:val="20"/>
          <w:szCs w:val="20"/>
          <w:lang w:val="es-ES"/>
        </w:rPr>
        <w:t>a índole</w:t>
      </w:r>
      <w:r w:rsidR="00A143C8" w:rsidRPr="003B7960">
        <w:rPr>
          <w:rFonts w:ascii="Cambria" w:hAnsi="Cambria"/>
          <w:color w:val="000000"/>
          <w:sz w:val="20"/>
          <w:szCs w:val="20"/>
          <w:lang w:val="es-ES"/>
        </w:rPr>
        <w:t xml:space="preserve"> de que una persona no será sometida a </w:t>
      </w:r>
      <w:r w:rsidR="00067F9E" w:rsidRPr="003B7960">
        <w:rPr>
          <w:rFonts w:ascii="Cambria" w:hAnsi="Cambria"/>
          <w:color w:val="000000"/>
          <w:sz w:val="20"/>
          <w:szCs w:val="20"/>
          <w:lang w:val="es-ES"/>
        </w:rPr>
        <w:t>tortur</w:t>
      </w:r>
      <w:r w:rsidR="00A143C8" w:rsidRPr="003B7960">
        <w:rPr>
          <w:rFonts w:ascii="Cambria" w:hAnsi="Cambria"/>
          <w:color w:val="000000"/>
          <w:sz w:val="20"/>
          <w:szCs w:val="20"/>
          <w:lang w:val="es-ES"/>
        </w:rPr>
        <w:t>a</w:t>
      </w:r>
      <w:r w:rsidR="00067F9E" w:rsidRPr="003B7960">
        <w:rPr>
          <w:rFonts w:ascii="Cambria" w:hAnsi="Cambria"/>
          <w:color w:val="000000"/>
          <w:sz w:val="20"/>
          <w:szCs w:val="20"/>
          <w:lang w:val="es-ES"/>
        </w:rPr>
        <w:t xml:space="preserve"> o </w:t>
      </w:r>
      <w:r w:rsidR="007677CD" w:rsidRPr="003B7960">
        <w:rPr>
          <w:rFonts w:ascii="Cambria" w:hAnsi="Cambria"/>
          <w:color w:val="000000"/>
          <w:sz w:val="20"/>
          <w:szCs w:val="20"/>
          <w:lang w:val="es-ES"/>
        </w:rPr>
        <w:t>a un trato de ese tipo</w:t>
      </w:r>
      <w:r w:rsidR="00A143C8" w:rsidRPr="003B7960">
        <w:rPr>
          <w:rFonts w:ascii="Cambria" w:hAnsi="Cambria"/>
          <w:color w:val="000000"/>
          <w:sz w:val="20"/>
          <w:szCs w:val="20"/>
          <w:lang w:val="es-ES"/>
        </w:rPr>
        <w:t xml:space="preserve">, teniendo en cuenta el comportamiento anterior del </w:t>
      </w:r>
      <w:r w:rsidR="00A332F5" w:rsidRPr="003B7960">
        <w:rPr>
          <w:rFonts w:ascii="Cambria" w:hAnsi="Cambria"/>
          <w:color w:val="000000"/>
          <w:sz w:val="20"/>
          <w:szCs w:val="20"/>
          <w:lang w:val="es-ES"/>
        </w:rPr>
        <w:t>Estado</w:t>
      </w:r>
      <w:r w:rsidR="00067F9E" w:rsidRPr="003B7960">
        <w:rPr>
          <w:rFonts w:ascii="Cambria" w:hAnsi="Cambria"/>
          <w:color w:val="000000"/>
          <w:sz w:val="20"/>
          <w:szCs w:val="20"/>
          <w:lang w:val="es-ES"/>
        </w:rPr>
        <w:t xml:space="preserve"> </w:t>
      </w:r>
      <w:r w:rsidR="00A143C8" w:rsidRPr="003B7960">
        <w:rPr>
          <w:rFonts w:ascii="Cambria" w:hAnsi="Cambria"/>
          <w:color w:val="000000"/>
          <w:sz w:val="20"/>
          <w:szCs w:val="20"/>
          <w:lang w:val="es-ES"/>
        </w:rPr>
        <w:t>en cuestión</w:t>
      </w:r>
      <w:r w:rsidR="00067F9E" w:rsidRPr="003B7960">
        <w:rPr>
          <w:rStyle w:val="FootnoteReference"/>
          <w:rFonts w:ascii="Cambria" w:hAnsi="Cambria"/>
          <w:color w:val="000000"/>
          <w:sz w:val="20"/>
          <w:szCs w:val="20"/>
          <w:lang w:val="es-ES"/>
        </w:rPr>
        <w:footnoteReference w:id="133"/>
      </w:r>
      <w:r w:rsidR="00A143C8" w:rsidRPr="003B7960">
        <w:rPr>
          <w:rFonts w:ascii="Cambria" w:hAnsi="Cambria"/>
          <w:color w:val="000000"/>
          <w:sz w:val="20"/>
          <w:szCs w:val="20"/>
          <w:lang w:val="es-ES"/>
        </w:rPr>
        <w:t>.</w:t>
      </w:r>
    </w:p>
    <w:p w14:paraId="360B201F"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63DC040D" w14:textId="77777777" w:rsidR="00067F9E" w:rsidRPr="003B7960" w:rsidRDefault="0062273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lastRenderedPageBreak/>
        <w:t>Por último, tanto</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como </w:t>
      </w:r>
      <w:r w:rsidR="00083D86" w:rsidRPr="003B7960">
        <w:rPr>
          <w:rFonts w:ascii="Cambria" w:hAnsi="Cambria"/>
          <w:color w:val="000000"/>
          <w:sz w:val="20"/>
          <w:szCs w:val="20"/>
          <w:lang w:val="es-ES"/>
        </w:rPr>
        <w:t>la Corte</w:t>
      </w:r>
      <w:r w:rsidR="00067F9E" w:rsidRPr="003B7960">
        <w:rPr>
          <w:rFonts w:ascii="Cambria" w:hAnsi="Cambria"/>
          <w:color w:val="000000"/>
          <w:sz w:val="20"/>
          <w:szCs w:val="20"/>
          <w:lang w:val="es-ES"/>
        </w:rPr>
        <w:t xml:space="preserve"> ha</w:t>
      </w:r>
      <w:r w:rsidRPr="003B7960">
        <w:rPr>
          <w:rFonts w:ascii="Cambria" w:hAnsi="Cambria"/>
          <w:color w:val="000000"/>
          <w:sz w:val="20"/>
          <w:szCs w:val="20"/>
          <w:lang w:val="es-ES"/>
        </w:rPr>
        <w:t>n observado que</w:t>
      </w:r>
      <w:r w:rsidR="00067F9E" w:rsidRPr="003B7960">
        <w:rPr>
          <w:rFonts w:ascii="Cambria" w:hAnsi="Cambria"/>
          <w:color w:val="000000"/>
          <w:sz w:val="20"/>
          <w:szCs w:val="20"/>
          <w:lang w:val="es-ES"/>
        </w:rPr>
        <w:t xml:space="preserve"> </w:t>
      </w:r>
      <w:r w:rsidR="0006351D" w:rsidRPr="003B7960">
        <w:rPr>
          <w:rFonts w:ascii="Cambria" w:hAnsi="Cambria"/>
          <w:color w:val="000000"/>
          <w:sz w:val="20"/>
          <w:szCs w:val="20"/>
          <w:lang w:val="es-ES"/>
        </w:rPr>
        <w:t>el derecho a</w:t>
      </w:r>
      <w:r w:rsidR="00937EE3" w:rsidRPr="003B7960">
        <w:rPr>
          <w:rFonts w:ascii="Cambria" w:hAnsi="Cambria"/>
          <w:color w:val="000000"/>
          <w:sz w:val="20"/>
          <w:szCs w:val="20"/>
          <w:lang w:val="es-ES"/>
        </w:rPr>
        <w:t xml:space="preserve"> </w:t>
      </w:r>
      <w:r w:rsidRPr="003B7960">
        <w:rPr>
          <w:rFonts w:ascii="Cambria" w:hAnsi="Cambria"/>
          <w:color w:val="000000"/>
          <w:sz w:val="20"/>
          <w:szCs w:val="20"/>
          <w:lang w:val="es-ES"/>
        </w:rPr>
        <w:t>l</w:t>
      </w:r>
      <w:r w:rsidR="00937EE3" w:rsidRPr="003B7960">
        <w:rPr>
          <w:rFonts w:ascii="Cambria" w:hAnsi="Cambria"/>
          <w:color w:val="000000"/>
          <w:sz w:val="20"/>
          <w:szCs w:val="20"/>
          <w:lang w:val="es-ES"/>
        </w:rPr>
        <w:t>a</w:t>
      </w:r>
      <w:r w:rsidRPr="003B7960">
        <w:rPr>
          <w:rFonts w:ascii="Cambria" w:hAnsi="Cambria"/>
          <w:color w:val="000000"/>
          <w:sz w:val="20"/>
          <w:szCs w:val="20"/>
          <w:lang w:val="es-ES"/>
        </w:rPr>
        <w:t xml:space="preserve"> igualdad de protección y a la </w:t>
      </w:r>
      <w:r w:rsidR="00067F9E" w:rsidRPr="003B7960">
        <w:rPr>
          <w:rFonts w:ascii="Cambria" w:hAnsi="Cambria"/>
          <w:color w:val="000000"/>
          <w:sz w:val="20"/>
          <w:szCs w:val="20"/>
          <w:lang w:val="es-ES"/>
        </w:rPr>
        <w:t>no</w:t>
      </w:r>
      <w:r w:rsidRPr="003B7960">
        <w:rPr>
          <w:rFonts w:ascii="Cambria" w:hAnsi="Cambria"/>
          <w:color w:val="000000"/>
          <w:sz w:val="20"/>
          <w:szCs w:val="20"/>
          <w:lang w:val="es-ES"/>
        </w:rPr>
        <w:t xml:space="preserve"> </w:t>
      </w:r>
      <w:r w:rsidR="00067F9E" w:rsidRPr="003B7960">
        <w:rPr>
          <w:rFonts w:ascii="Cambria" w:hAnsi="Cambria"/>
          <w:color w:val="000000"/>
          <w:sz w:val="20"/>
          <w:szCs w:val="20"/>
          <w:lang w:val="es-ES"/>
        </w:rPr>
        <w:t>discrimina</w:t>
      </w:r>
      <w:r w:rsidRPr="003B7960">
        <w:rPr>
          <w:rFonts w:ascii="Cambria" w:hAnsi="Cambria"/>
          <w:color w:val="000000"/>
          <w:sz w:val="20"/>
          <w:szCs w:val="20"/>
          <w:lang w:val="es-ES"/>
        </w:rPr>
        <w:t xml:space="preserve">ción es </w:t>
      </w:r>
      <w:r w:rsidR="00067F9E" w:rsidRPr="003B7960">
        <w:rPr>
          <w:rFonts w:ascii="Cambria" w:hAnsi="Cambria"/>
          <w:color w:val="000000"/>
          <w:sz w:val="20"/>
          <w:szCs w:val="20"/>
          <w:lang w:val="es-ES"/>
        </w:rPr>
        <w:t>“</w:t>
      </w:r>
      <w:r w:rsidR="00937EE3" w:rsidRPr="003B7960">
        <w:rPr>
          <w:rFonts w:ascii="Cambria" w:hAnsi="Cambria"/>
          <w:color w:val="000000"/>
          <w:sz w:val="20"/>
          <w:szCs w:val="20"/>
          <w:lang w:val="es-ES"/>
        </w:rPr>
        <w:t xml:space="preserve">el eje </w:t>
      </w:r>
      <w:r w:rsidR="00937EE3" w:rsidRPr="003B7960">
        <w:rPr>
          <w:rFonts w:ascii="Cambria" w:hAnsi="Cambria"/>
          <w:color w:val="000000"/>
          <w:sz w:val="20"/>
          <w:szCs w:val="20"/>
          <w:lang w:val="es-AR"/>
        </w:rPr>
        <w:t>central y fundamental del sistema interamericano de derechos humanos</w:t>
      </w:r>
      <w:r w:rsidR="00067F9E" w:rsidRPr="003B7960">
        <w:rPr>
          <w:rFonts w:ascii="Cambria" w:hAnsi="Cambria"/>
          <w:color w:val="000000"/>
          <w:sz w:val="20"/>
          <w:szCs w:val="20"/>
          <w:lang w:val="es-ES"/>
        </w:rPr>
        <w:t>”</w:t>
      </w:r>
      <w:r w:rsidR="00067F9E" w:rsidRPr="003B7960">
        <w:rPr>
          <w:rStyle w:val="FootnoteReference"/>
          <w:rFonts w:ascii="Cambria" w:hAnsi="Cambria"/>
          <w:color w:val="000000"/>
          <w:sz w:val="20"/>
          <w:szCs w:val="20"/>
          <w:lang w:val="es-ES"/>
        </w:rPr>
        <w:footnoteReference w:id="134"/>
      </w:r>
      <w:r w:rsidR="00937EE3" w:rsidRPr="003B7960">
        <w:rPr>
          <w:rFonts w:ascii="Cambria" w:hAnsi="Cambria"/>
          <w:color w:val="000000"/>
          <w:sz w:val="20"/>
          <w:szCs w:val="20"/>
          <w:lang w:val="es-ES"/>
        </w:rPr>
        <w:t>.</w:t>
      </w:r>
      <w:r w:rsidR="00067F9E" w:rsidRPr="003B7960">
        <w:rPr>
          <w:rFonts w:ascii="Cambria" w:hAnsi="Cambria"/>
          <w:color w:val="000000"/>
          <w:sz w:val="20"/>
          <w:szCs w:val="20"/>
          <w:lang w:val="es-ES"/>
        </w:rPr>
        <w:t xml:space="preserve"> </w:t>
      </w:r>
      <w:r w:rsidR="0006351D" w:rsidRPr="003B7960">
        <w:rPr>
          <w:rFonts w:ascii="Cambria" w:hAnsi="Cambria"/>
          <w:color w:val="000000"/>
          <w:sz w:val="20"/>
          <w:szCs w:val="20"/>
          <w:lang w:val="es-ES"/>
        </w:rPr>
        <w:t>El derecho a</w:t>
      </w:r>
      <w:r w:rsidR="00067F9E" w:rsidRPr="003B7960">
        <w:rPr>
          <w:rFonts w:ascii="Cambria" w:hAnsi="Cambria"/>
          <w:color w:val="000000"/>
          <w:sz w:val="20"/>
          <w:szCs w:val="20"/>
          <w:lang w:val="es-ES"/>
        </w:rPr>
        <w:t xml:space="preserve"> </w:t>
      </w:r>
      <w:r w:rsidR="00937EE3" w:rsidRPr="003B7960">
        <w:rPr>
          <w:rFonts w:ascii="Cambria" w:hAnsi="Cambria"/>
          <w:color w:val="000000"/>
          <w:sz w:val="20"/>
          <w:szCs w:val="20"/>
          <w:lang w:val="es-ES"/>
        </w:rPr>
        <w:t xml:space="preserve">la </w:t>
      </w:r>
      <w:r w:rsidR="00B9011F" w:rsidRPr="003B7960">
        <w:rPr>
          <w:rFonts w:ascii="Cambria" w:hAnsi="Cambria"/>
          <w:color w:val="000000"/>
          <w:sz w:val="20"/>
          <w:szCs w:val="20"/>
          <w:lang w:val="es-ES"/>
        </w:rPr>
        <w:t>igualdad ante la ley</w:t>
      </w:r>
      <w:r w:rsidR="00067F9E" w:rsidRPr="003B7960">
        <w:rPr>
          <w:rFonts w:ascii="Cambria" w:hAnsi="Cambria"/>
          <w:color w:val="000000"/>
          <w:sz w:val="20"/>
          <w:szCs w:val="20"/>
          <w:lang w:val="es-ES"/>
        </w:rPr>
        <w:t xml:space="preserve"> </w:t>
      </w:r>
      <w:r w:rsidR="00937EE3" w:rsidRPr="003B7960">
        <w:rPr>
          <w:rFonts w:ascii="Cambria" w:hAnsi="Cambria"/>
          <w:color w:val="000000"/>
          <w:sz w:val="20"/>
          <w:szCs w:val="20"/>
          <w:lang w:val="es-ES"/>
        </w:rPr>
        <w:t>y la obligación de no discriminar contra ninguna persona constituyen el fundamento básico del</w:t>
      </w:r>
      <w:r w:rsidR="00067F9E" w:rsidRPr="003B7960">
        <w:rPr>
          <w:rFonts w:ascii="Cambria" w:hAnsi="Cambria"/>
          <w:color w:val="000000"/>
          <w:sz w:val="20"/>
          <w:szCs w:val="20"/>
          <w:lang w:val="es-ES"/>
        </w:rPr>
        <w:t xml:space="preserve"> </w:t>
      </w:r>
      <w:r w:rsidR="00101137" w:rsidRPr="003B7960">
        <w:rPr>
          <w:rFonts w:ascii="Cambria" w:hAnsi="Cambria"/>
          <w:color w:val="000000"/>
          <w:sz w:val="20"/>
          <w:szCs w:val="20"/>
          <w:lang w:val="es-ES"/>
        </w:rPr>
        <w:t>sistema interamericano</w:t>
      </w:r>
      <w:r w:rsidR="00067F9E" w:rsidRPr="003B7960">
        <w:rPr>
          <w:rFonts w:ascii="Cambria" w:hAnsi="Cambria"/>
          <w:color w:val="000000"/>
          <w:sz w:val="20"/>
          <w:szCs w:val="20"/>
          <w:lang w:val="es-ES"/>
        </w:rPr>
        <w:t xml:space="preserve"> </w:t>
      </w:r>
      <w:r w:rsidR="00937EE3"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40162A" w:rsidRPr="003B7960">
        <w:rPr>
          <w:rFonts w:ascii="Cambria" w:hAnsi="Cambria"/>
          <w:color w:val="000000"/>
          <w:sz w:val="20"/>
          <w:szCs w:val="20"/>
          <w:lang w:val="es-ES"/>
        </w:rPr>
        <w:t>derechos humanos</w:t>
      </w:r>
      <w:r w:rsidR="00067F9E" w:rsidRPr="003B7960">
        <w:rPr>
          <w:rFonts w:ascii="Cambria" w:hAnsi="Cambria"/>
          <w:color w:val="000000"/>
          <w:sz w:val="20"/>
          <w:szCs w:val="20"/>
          <w:lang w:val="es-ES"/>
        </w:rPr>
        <w:t xml:space="preserve">. </w:t>
      </w:r>
      <w:r w:rsidR="00937EE3" w:rsidRPr="003B7960">
        <w:rPr>
          <w:rFonts w:ascii="Cambria" w:hAnsi="Cambria"/>
          <w:color w:val="000000"/>
          <w:sz w:val="20"/>
          <w:szCs w:val="20"/>
          <w:lang w:val="es-ES"/>
        </w:rPr>
        <w:t xml:space="preserve">La </w:t>
      </w:r>
      <w:r w:rsidR="00C33F51" w:rsidRPr="003B7960">
        <w:rPr>
          <w:rFonts w:ascii="Cambria" w:eastAsia="Times New Roman" w:hAnsi="Cambria"/>
          <w:bCs/>
          <w:sz w:val="20"/>
          <w:szCs w:val="20"/>
          <w:bdr w:val="none" w:sz="0" w:space="0" w:color="auto"/>
          <w:lang w:val="es-ES"/>
        </w:rPr>
        <w:t>Declaración</w:t>
      </w:r>
      <w:r w:rsidR="00B9011F" w:rsidRPr="003B7960">
        <w:rPr>
          <w:rFonts w:ascii="Cambria" w:hAnsi="Cambria"/>
          <w:color w:val="000000"/>
          <w:sz w:val="20"/>
          <w:szCs w:val="20"/>
          <w:lang w:val="es-ES"/>
        </w:rPr>
        <w:t xml:space="preserve"> Americana</w:t>
      </w:r>
      <w:r w:rsidR="00067F9E" w:rsidRPr="003B7960">
        <w:rPr>
          <w:rFonts w:ascii="Cambria" w:hAnsi="Cambria"/>
          <w:color w:val="000000"/>
          <w:sz w:val="20"/>
          <w:szCs w:val="20"/>
          <w:lang w:val="es-ES"/>
        </w:rPr>
        <w:t xml:space="preserve"> </w:t>
      </w:r>
      <w:r w:rsidR="00937EE3" w:rsidRPr="003B7960">
        <w:rPr>
          <w:rFonts w:ascii="Cambria" w:hAnsi="Cambria"/>
          <w:color w:val="000000"/>
          <w:sz w:val="20"/>
          <w:szCs w:val="20"/>
          <w:lang w:val="es-ES"/>
        </w:rPr>
        <w:t>dice en el preámbulo que “[t]</w:t>
      </w:r>
      <w:proofErr w:type="spellStart"/>
      <w:r w:rsidR="00937EE3" w:rsidRPr="003B7960">
        <w:rPr>
          <w:rFonts w:ascii="Cambria" w:hAnsi="Cambria"/>
          <w:color w:val="000000"/>
          <w:sz w:val="20"/>
          <w:szCs w:val="20"/>
          <w:lang w:val="es-ES"/>
        </w:rPr>
        <w:t>odos</w:t>
      </w:r>
      <w:proofErr w:type="spellEnd"/>
      <w:r w:rsidR="00937EE3" w:rsidRPr="003B7960">
        <w:rPr>
          <w:rFonts w:ascii="Cambria" w:hAnsi="Cambria"/>
          <w:color w:val="000000"/>
          <w:sz w:val="20"/>
          <w:szCs w:val="20"/>
          <w:lang w:val="es-ES"/>
        </w:rPr>
        <w:t xml:space="preserve"> los hombres nacen libres e iguales en dignidad y derechos y, dotados como están por naturaleza de razón y conciencia, deben conducirse fraternalmente los unos con los otros” y dispone en el artículo </w:t>
      </w:r>
      <w:r w:rsidR="00067F9E" w:rsidRPr="003B7960">
        <w:rPr>
          <w:rFonts w:ascii="Cambria" w:hAnsi="Cambria"/>
          <w:color w:val="000000"/>
          <w:sz w:val="20"/>
          <w:szCs w:val="20"/>
          <w:lang w:val="es-ES"/>
        </w:rPr>
        <w:t xml:space="preserve">II </w:t>
      </w:r>
      <w:r w:rsidR="00937EE3" w:rsidRPr="003B7960">
        <w:rPr>
          <w:rFonts w:ascii="Cambria" w:hAnsi="Cambria"/>
          <w:color w:val="000000"/>
          <w:sz w:val="20"/>
          <w:szCs w:val="20"/>
          <w:lang w:val="es-ES"/>
        </w:rPr>
        <w:t xml:space="preserve">que “[t]odas las personas son iguales ante la Ley y tienen los derechos y deberes consagrados en esta declaración sin distinción de raza, sexo, idioma, credo ni otra alguna”. Asimismo, en el artículo </w:t>
      </w:r>
      <w:r w:rsidR="00067F9E" w:rsidRPr="003B7960">
        <w:rPr>
          <w:rFonts w:ascii="Cambria" w:hAnsi="Cambria"/>
          <w:color w:val="000000"/>
          <w:sz w:val="20"/>
          <w:szCs w:val="20"/>
          <w:lang w:val="es-ES"/>
        </w:rPr>
        <w:t xml:space="preserve">3 </w:t>
      </w:r>
      <w:r w:rsidR="00937EE3" w:rsidRPr="003B7960">
        <w:rPr>
          <w:rFonts w:ascii="Cambria" w:hAnsi="Cambria"/>
          <w:color w:val="000000"/>
          <w:sz w:val="20"/>
          <w:szCs w:val="20"/>
          <w:lang w:val="es-ES"/>
        </w:rPr>
        <w:t xml:space="preserve">de la Carta de la OEA se incluye entre los </w:t>
      </w:r>
      <w:r w:rsidR="00FC3DB1" w:rsidRPr="003B7960">
        <w:rPr>
          <w:rFonts w:ascii="Cambria" w:hAnsi="Cambria"/>
          <w:color w:val="000000"/>
          <w:sz w:val="20"/>
          <w:szCs w:val="20"/>
          <w:lang w:val="es-ES"/>
        </w:rPr>
        <w:t>principio</w:t>
      </w:r>
      <w:r w:rsidR="00067F9E" w:rsidRPr="003B7960">
        <w:rPr>
          <w:rFonts w:ascii="Cambria" w:hAnsi="Cambria"/>
          <w:color w:val="000000"/>
          <w:sz w:val="20"/>
          <w:szCs w:val="20"/>
          <w:lang w:val="es-ES"/>
        </w:rPr>
        <w:t>s reafirm</w:t>
      </w:r>
      <w:r w:rsidR="00937EE3" w:rsidRPr="003B7960">
        <w:rPr>
          <w:rFonts w:ascii="Cambria" w:hAnsi="Cambria"/>
          <w:color w:val="000000"/>
          <w:sz w:val="20"/>
          <w:szCs w:val="20"/>
          <w:lang w:val="es-ES"/>
        </w:rPr>
        <w:t xml:space="preserve">ados por los Estados </w:t>
      </w:r>
      <w:r w:rsidR="00067F9E" w:rsidRPr="003B7960">
        <w:rPr>
          <w:rFonts w:ascii="Cambria" w:hAnsi="Cambria"/>
          <w:color w:val="000000"/>
          <w:sz w:val="20"/>
          <w:szCs w:val="20"/>
          <w:lang w:val="es-ES"/>
        </w:rPr>
        <w:t>American</w:t>
      </w:r>
      <w:r w:rsidR="00937EE3" w:rsidRPr="003B7960">
        <w:rPr>
          <w:rFonts w:ascii="Cambria" w:hAnsi="Cambria"/>
          <w:color w:val="000000"/>
          <w:sz w:val="20"/>
          <w:szCs w:val="20"/>
          <w:lang w:val="es-ES"/>
        </w:rPr>
        <w:t>os la proclamación</w:t>
      </w:r>
      <w:r w:rsidR="00067F9E" w:rsidRPr="003B7960">
        <w:rPr>
          <w:rFonts w:ascii="Cambria" w:hAnsi="Cambria"/>
          <w:color w:val="000000"/>
          <w:sz w:val="20"/>
          <w:szCs w:val="20"/>
          <w:lang w:val="es-ES"/>
        </w:rPr>
        <w:t xml:space="preserve"> </w:t>
      </w:r>
      <w:r w:rsidR="00937EE3" w:rsidRPr="003B7960">
        <w:rPr>
          <w:rFonts w:ascii="Cambria" w:hAnsi="Cambria"/>
          <w:color w:val="000000"/>
          <w:sz w:val="20"/>
          <w:szCs w:val="20"/>
          <w:lang w:val="es-ES"/>
        </w:rPr>
        <w:t xml:space="preserve">de </w:t>
      </w:r>
      <w:r w:rsidR="00813FBE" w:rsidRPr="003B7960">
        <w:rPr>
          <w:rFonts w:ascii="Cambria" w:hAnsi="Cambria"/>
          <w:color w:val="000000"/>
          <w:sz w:val="20"/>
          <w:szCs w:val="20"/>
          <w:lang w:val="es-ES"/>
        </w:rPr>
        <w:t>“</w:t>
      </w:r>
      <w:r w:rsidR="00937EE3" w:rsidRPr="003B7960">
        <w:rPr>
          <w:rFonts w:ascii="Cambria" w:hAnsi="Cambria"/>
          <w:color w:val="000000"/>
          <w:sz w:val="20"/>
          <w:szCs w:val="20"/>
          <w:lang w:val="es-ES"/>
        </w:rPr>
        <w:t>los derechos fundamentales de la persona humana sin hacer distinción de raza, nacionalidad, credo o sexo</w:t>
      </w:r>
      <w:r w:rsidR="00067F9E" w:rsidRPr="003B7960">
        <w:rPr>
          <w:rFonts w:ascii="Cambria" w:hAnsi="Cambria"/>
          <w:color w:val="000000"/>
          <w:sz w:val="20"/>
          <w:szCs w:val="20"/>
          <w:lang w:val="es-ES"/>
        </w:rPr>
        <w:t>”</w:t>
      </w:r>
      <w:r w:rsidR="00067F9E" w:rsidRPr="003B7960">
        <w:rPr>
          <w:rStyle w:val="FootnoteReference"/>
          <w:rFonts w:ascii="Cambria" w:hAnsi="Cambria"/>
          <w:color w:val="000000"/>
          <w:sz w:val="20"/>
          <w:szCs w:val="20"/>
          <w:lang w:val="es-ES"/>
        </w:rPr>
        <w:footnoteReference w:id="135"/>
      </w:r>
      <w:r w:rsidR="00937EE3" w:rsidRPr="003B7960">
        <w:rPr>
          <w:rFonts w:ascii="Cambria" w:hAnsi="Cambria"/>
          <w:color w:val="000000"/>
          <w:sz w:val="20"/>
          <w:szCs w:val="20"/>
          <w:lang w:val="es-ES"/>
        </w:rPr>
        <w:t>.</w:t>
      </w:r>
    </w:p>
    <w:p w14:paraId="0A9448CF"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75B9D7C1" w14:textId="77777777" w:rsidR="00067F9E" w:rsidRPr="003B7960" w:rsidRDefault="004B2866"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eastAsia="Times New Roman" w:hAnsi="Cambria"/>
          <w:bCs/>
          <w:sz w:val="20"/>
          <w:szCs w:val="20"/>
          <w:bdr w:val="none" w:sz="0" w:space="0" w:color="auto"/>
          <w:lang w:val="es-ES"/>
        </w:rPr>
        <w:t>Por consiguiente</w:t>
      </w:r>
      <w:r w:rsidR="00067F9E" w:rsidRPr="003B7960">
        <w:rPr>
          <w:rFonts w:ascii="Cambria" w:eastAsia="Times New Roman" w:hAnsi="Cambria"/>
          <w:bCs/>
          <w:sz w:val="20"/>
          <w:szCs w:val="20"/>
          <w:bdr w:val="none" w:sz="0" w:space="0" w:color="auto"/>
          <w:lang w:val="es-ES"/>
        </w:rPr>
        <w:t xml:space="preserve">, </w:t>
      </w:r>
      <w:r w:rsidR="00937EE3" w:rsidRPr="003B7960">
        <w:rPr>
          <w:rFonts w:ascii="Cambria" w:eastAsia="Times New Roman" w:hAnsi="Cambria"/>
          <w:bCs/>
          <w:sz w:val="20"/>
          <w:szCs w:val="20"/>
          <w:bdr w:val="none" w:sz="0" w:space="0" w:color="auto"/>
          <w:lang w:val="es-ES"/>
        </w:rPr>
        <w:t xml:space="preserve">de acuerdo con el artículo </w:t>
      </w:r>
      <w:r w:rsidR="00067F9E" w:rsidRPr="003B7960">
        <w:rPr>
          <w:rFonts w:ascii="Cambria" w:eastAsia="Times New Roman" w:hAnsi="Cambria"/>
          <w:bCs/>
          <w:sz w:val="20"/>
          <w:szCs w:val="20"/>
          <w:bdr w:val="none" w:sz="0" w:space="0" w:color="auto"/>
          <w:lang w:val="es-ES"/>
        </w:rPr>
        <w:t xml:space="preserve">II </w:t>
      </w:r>
      <w:r w:rsidR="00937EE3" w:rsidRPr="003B7960">
        <w:rPr>
          <w:rFonts w:ascii="Cambria" w:eastAsia="Times New Roman" w:hAnsi="Cambria"/>
          <w:bCs/>
          <w:sz w:val="20"/>
          <w:szCs w:val="20"/>
          <w:bdr w:val="none" w:sz="0" w:space="0" w:color="auto"/>
          <w:lang w:val="es-ES"/>
        </w:rPr>
        <w:t>de</w:t>
      </w:r>
      <w:r w:rsidR="00067F9E" w:rsidRPr="003B7960">
        <w:rPr>
          <w:rFonts w:ascii="Cambria" w:eastAsia="Times New Roman" w:hAnsi="Cambria"/>
          <w:bCs/>
          <w:sz w:val="20"/>
          <w:szCs w:val="20"/>
          <w:bdr w:val="none" w:sz="0" w:space="0" w:color="auto"/>
          <w:lang w:val="es-ES"/>
        </w:rPr>
        <w:t xml:space="preserve"> </w:t>
      </w:r>
      <w:r w:rsidR="00C33F51" w:rsidRPr="003B7960">
        <w:rPr>
          <w:rFonts w:ascii="Cambria" w:eastAsia="Times New Roman" w:hAnsi="Cambria"/>
          <w:bCs/>
          <w:sz w:val="20"/>
          <w:szCs w:val="20"/>
          <w:bdr w:val="none" w:sz="0" w:space="0" w:color="auto"/>
          <w:lang w:val="es-ES"/>
        </w:rPr>
        <w:t>la Declaración</w:t>
      </w:r>
      <w:r w:rsidR="00B9011F" w:rsidRPr="003B7960">
        <w:rPr>
          <w:rFonts w:ascii="Cambria" w:eastAsia="Times New Roman" w:hAnsi="Cambria"/>
          <w:bCs/>
          <w:sz w:val="20"/>
          <w:szCs w:val="20"/>
          <w:bdr w:val="none" w:sz="0" w:space="0" w:color="auto"/>
          <w:lang w:val="es-ES"/>
        </w:rPr>
        <w:t xml:space="preserve"> Americana</w:t>
      </w:r>
      <w:r w:rsidR="00937EE3" w:rsidRPr="003B7960">
        <w:rPr>
          <w:rFonts w:ascii="Cambria" w:eastAsia="Times New Roman" w:hAnsi="Cambria"/>
          <w:bCs/>
          <w:sz w:val="20"/>
          <w:szCs w:val="20"/>
          <w:bdr w:val="none" w:sz="0" w:space="0" w:color="auto"/>
          <w:lang w:val="es-ES"/>
        </w:rPr>
        <w:t xml:space="preserve">, toda distinción permisible debe basarse en una justificación objetiva y razonable y perseguir un </w:t>
      </w:r>
      <w:r w:rsidR="001221F9" w:rsidRPr="003B7960">
        <w:rPr>
          <w:rFonts w:ascii="Cambria" w:eastAsia="Times New Roman" w:hAnsi="Cambria"/>
          <w:bCs/>
          <w:sz w:val="20"/>
          <w:szCs w:val="20"/>
          <w:bdr w:val="none" w:sz="0" w:space="0" w:color="auto"/>
          <w:lang w:val="es-ES"/>
        </w:rPr>
        <w:t>fin</w:t>
      </w:r>
      <w:r w:rsidR="00937EE3" w:rsidRPr="003B7960">
        <w:rPr>
          <w:rFonts w:ascii="Cambria" w:eastAsia="Times New Roman" w:hAnsi="Cambria"/>
          <w:bCs/>
          <w:sz w:val="20"/>
          <w:szCs w:val="20"/>
          <w:bdr w:val="none" w:sz="0" w:space="0" w:color="auto"/>
          <w:lang w:val="es-ES"/>
        </w:rPr>
        <w:t xml:space="preserve"> legítimo</w:t>
      </w:r>
      <w:r w:rsidR="00067F9E" w:rsidRPr="003B7960">
        <w:rPr>
          <w:rFonts w:ascii="Cambria" w:eastAsia="Times New Roman" w:hAnsi="Cambria"/>
          <w:bCs/>
          <w:sz w:val="20"/>
          <w:szCs w:val="20"/>
          <w:bdr w:val="none" w:sz="0" w:space="0" w:color="auto"/>
          <w:lang w:val="es-ES"/>
        </w:rPr>
        <w:t>, “</w:t>
      </w:r>
      <w:r w:rsidR="000B1644" w:rsidRPr="003B7960">
        <w:rPr>
          <w:rFonts w:ascii="Cambria" w:eastAsia="Times New Roman" w:hAnsi="Cambria"/>
          <w:bCs/>
          <w:sz w:val="20"/>
          <w:szCs w:val="20"/>
          <w:bdr w:val="none" w:sz="0" w:space="0" w:color="auto"/>
          <w:lang w:val="es-ES"/>
        </w:rPr>
        <w:t>teniendo en cuenta los principios que normalmente prevalecen en las sociedades democráticas</w:t>
      </w:r>
      <w:r w:rsidR="001221F9" w:rsidRPr="003B7960">
        <w:rPr>
          <w:rFonts w:ascii="Cambria" w:eastAsia="Times New Roman" w:hAnsi="Cambria"/>
          <w:bCs/>
          <w:sz w:val="20"/>
          <w:szCs w:val="20"/>
          <w:bdr w:val="none" w:sz="0" w:space="0" w:color="auto"/>
          <w:lang w:val="es-ES"/>
        </w:rPr>
        <w:t>[,]</w:t>
      </w:r>
      <w:r w:rsidR="000B1644" w:rsidRPr="003B7960">
        <w:rPr>
          <w:rFonts w:ascii="Cambria" w:eastAsia="Times New Roman" w:hAnsi="Cambria"/>
          <w:bCs/>
          <w:sz w:val="20"/>
          <w:szCs w:val="20"/>
          <w:bdr w:val="none" w:sz="0" w:space="0" w:color="auto"/>
          <w:lang w:val="es-ES"/>
        </w:rPr>
        <w:t xml:space="preserve"> y los medios deben ser razonables y proporcionados al fin que se procura</w:t>
      </w:r>
      <w:r w:rsidR="00067F9E" w:rsidRPr="003B7960">
        <w:rPr>
          <w:rFonts w:ascii="Cambria" w:eastAsia="Times New Roman" w:hAnsi="Cambria"/>
          <w:bCs/>
          <w:sz w:val="20"/>
          <w:szCs w:val="20"/>
          <w:bdr w:val="none" w:sz="0" w:space="0" w:color="auto"/>
          <w:lang w:val="es-ES"/>
        </w:rPr>
        <w:t>”</w:t>
      </w:r>
      <w:r w:rsidR="00067F9E" w:rsidRPr="003B7960">
        <w:rPr>
          <w:rStyle w:val="FootnoteReference"/>
          <w:rFonts w:ascii="Cambria" w:eastAsia="Times New Roman" w:hAnsi="Cambria"/>
          <w:bCs/>
          <w:sz w:val="20"/>
          <w:szCs w:val="20"/>
          <w:bdr w:val="none" w:sz="0" w:space="0" w:color="auto"/>
          <w:lang w:val="es-ES"/>
        </w:rPr>
        <w:footnoteReference w:id="136"/>
      </w:r>
      <w:r w:rsidR="000B1644" w:rsidRPr="003B7960">
        <w:rPr>
          <w:rFonts w:ascii="Cambria" w:eastAsia="Times New Roman" w:hAnsi="Cambria"/>
          <w:bCs/>
          <w:sz w:val="20"/>
          <w:szCs w:val="20"/>
          <w:bdr w:val="none" w:sz="0" w:space="0" w:color="auto"/>
          <w:lang w:val="es-ES"/>
        </w:rPr>
        <w:t xml:space="preserve">. </w:t>
      </w:r>
      <w:r w:rsidR="001221F9" w:rsidRPr="003B7960">
        <w:rPr>
          <w:rFonts w:ascii="Cambria" w:eastAsia="Times New Roman" w:hAnsi="Cambria"/>
          <w:bCs/>
          <w:sz w:val="20"/>
          <w:szCs w:val="20"/>
          <w:bdr w:val="none" w:sz="0" w:space="0" w:color="auto"/>
          <w:lang w:val="es-ES"/>
        </w:rPr>
        <w:t>Además, las distinciones por los motivos enumerados explícitamente en los artículos pertinentes de instrumentos internacionales de derechos humanos están supeditadas a un nivel particularmente estricto de escrutinio, que requiere que los Estados aduzcan un interés de mucho peso y una justificación imperiosa para efectuar tal distinción</w:t>
      </w:r>
      <w:r w:rsidR="00067F9E" w:rsidRPr="003B7960">
        <w:rPr>
          <w:rStyle w:val="FootnoteReference"/>
          <w:rFonts w:ascii="Cambria" w:hAnsi="Cambria"/>
          <w:sz w:val="20"/>
          <w:szCs w:val="20"/>
          <w:lang w:val="es-ES"/>
        </w:rPr>
        <w:footnoteReference w:id="137"/>
      </w:r>
      <w:r w:rsidR="001221F9" w:rsidRPr="003B7960">
        <w:rPr>
          <w:rFonts w:ascii="Cambria" w:eastAsia="Times New Roman" w:hAnsi="Cambria"/>
          <w:bCs/>
          <w:sz w:val="20"/>
          <w:szCs w:val="20"/>
          <w:bdr w:val="none" w:sz="0" w:space="0" w:color="auto"/>
          <w:lang w:val="es-ES"/>
        </w:rPr>
        <w:t>.</w:t>
      </w:r>
      <w:r w:rsidR="00067F9E" w:rsidRPr="003B7960">
        <w:rPr>
          <w:rFonts w:ascii="Cambria" w:hAnsi="Cambria"/>
          <w:sz w:val="20"/>
          <w:szCs w:val="20"/>
          <w:lang w:val="es-ES"/>
        </w:rPr>
        <w:t xml:space="preserve"> </w:t>
      </w:r>
      <w:r w:rsidR="001221F9" w:rsidRPr="003B7960">
        <w:rPr>
          <w:rFonts w:ascii="Cambria" w:hAnsi="Cambria"/>
          <w:sz w:val="20"/>
          <w:szCs w:val="20"/>
          <w:lang w:val="es-ES"/>
        </w:rPr>
        <w:t>En ese sentido</w:t>
      </w:r>
      <w:r w:rsidR="00067F9E" w:rsidRPr="003B7960">
        <w:rPr>
          <w:rFonts w:ascii="Cambria" w:hAnsi="Cambria"/>
          <w:color w:val="000000"/>
          <w:sz w:val="20"/>
          <w:szCs w:val="20"/>
          <w:lang w:val="es-ES"/>
        </w:rPr>
        <w:t xml:space="preserve">, </w:t>
      </w:r>
      <w:r w:rsidR="001221F9" w:rsidRPr="003B7960">
        <w:rPr>
          <w:rFonts w:ascii="Cambria" w:hAnsi="Cambria"/>
          <w:color w:val="000000"/>
          <w:sz w:val="20"/>
          <w:szCs w:val="20"/>
          <w:lang w:val="es-ES"/>
        </w:rPr>
        <w:t>la mera alegación o existencia de un fin legítimo no basta para justificar una distinción basada en una categoría sospechosa</w:t>
      </w:r>
      <w:r w:rsidR="00362998" w:rsidRPr="003B7960">
        <w:rPr>
          <w:rFonts w:ascii="Cambria" w:hAnsi="Cambria"/>
          <w:color w:val="000000"/>
          <w:sz w:val="20"/>
          <w:szCs w:val="20"/>
          <w:lang w:val="es-ES"/>
        </w:rPr>
        <w:t xml:space="preserve">. De ahí que el derecho </w:t>
      </w:r>
      <w:r w:rsidR="0011299D" w:rsidRPr="003B7960">
        <w:rPr>
          <w:rFonts w:ascii="Cambria" w:hAnsi="Cambria"/>
          <w:color w:val="000000"/>
          <w:sz w:val="20"/>
          <w:szCs w:val="20"/>
          <w:lang w:val="es-ES"/>
        </w:rPr>
        <w:t>al</w:t>
      </w:r>
      <w:r w:rsidR="00362998" w:rsidRPr="003B7960">
        <w:rPr>
          <w:rFonts w:ascii="Cambria" w:hAnsi="Cambria"/>
          <w:color w:val="000000"/>
          <w:sz w:val="20"/>
          <w:szCs w:val="20"/>
          <w:lang w:val="es-ES"/>
        </w:rPr>
        <w:t xml:space="preserve"> </w:t>
      </w:r>
      <w:r w:rsidR="00067F9E" w:rsidRPr="003B7960">
        <w:rPr>
          <w:rFonts w:ascii="Cambria" w:hAnsi="Cambria"/>
          <w:color w:val="000000"/>
          <w:sz w:val="20"/>
          <w:szCs w:val="20"/>
          <w:lang w:val="es-ES"/>
        </w:rPr>
        <w:t>acces</w:t>
      </w:r>
      <w:r w:rsidR="00362998" w:rsidRPr="003B7960">
        <w:rPr>
          <w:rFonts w:ascii="Cambria" w:hAnsi="Cambria"/>
          <w:color w:val="000000"/>
          <w:sz w:val="20"/>
          <w:szCs w:val="20"/>
          <w:lang w:val="es-ES"/>
        </w:rPr>
        <w:t xml:space="preserve">o a los tribunales </w:t>
      </w:r>
      <w:r w:rsidR="0011299D" w:rsidRPr="003B7960">
        <w:rPr>
          <w:rFonts w:ascii="Cambria" w:hAnsi="Cambria"/>
          <w:color w:val="000000"/>
          <w:sz w:val="20"/>
          <w:szCs w:val="20"/>
          <w:lang w:val="es-ES"/>
        </w:rPr>
        <w:t xml:space="preserve">y a la </w:t>
      </w:r>
      <w:r w:rsidR="00362998" w:rsidRPr="003B7960">
        <w:rPr>
          <w:rFonts w:ascii="Cambria" w:hAnsi="Cambria"/>
          <w:color w:val="000000"/>
          <w:sz w:val="20"/>
          <w:szCs w:val="20"/>
          <w:lang w:val="es-ES"/>
        </w:rPr>
        <w:t>igualdad ante los mismos</w:t>
      </w:r>
      <w:r w:rsidR="00067F9E" w:rsidRPr="003B7960">
        <w:rPr>
          <w:rFonts w:ascii="Cambria" w:hAnsi="Cambria"/>
          <w:color w:val="000000"/>
          <w:sz w:val="20"/>
          <w:szCs w:val="20"/>
          <w:lang w:val="es-ES"/>
        </w:rPr>
        <w:t xml:space="preserve"> o</w:t>
      </w:r>
      <w:r w:rsidR="00362998" w:rsidRPr="003B7960">
        <w:rPr>
          <w:rFonts w:ascii="Cambria" w:hAnsi="Cambria"/>
          <w:color w:val="000000"/>
          <w:sz w:val="20"/>
          <w:szCs w:val="20"/>
          <w:lang w:val="es-ES"/>
        </w:rPr>
        <w:t xml:space="preserve"> a procedimientos e</w:t>
      </w:r>
      <w:r w:rsidR="00067F9E" w:rsidRPr="003B7960">
        <w:rPr>
          <w:rFonts w:ascii="Cambria" w:hAnsi="Cambria"/>
          <w:color w:val="000000"/>
          <w:sz w:val="20"/>
          <w:szCs w:val="20"/>
          <w:lang w:val="es-ES"/>
        </w:rPr>
        <w:t>special</w:t>
      </w:r>
      <w:r w:rsidR="00362998" w:rsidRPr="003B7960">
        <w:rPr>
          <w:rFonts w:ascii="Cambria" w:hAnsi="Cambria"/>
          <w:color w:val="000000"/>
          <w:sz w:val="20"/>
          <w:szCs w:val="20"/>
          <w:lang w:val="es-ES"/>
        </w:rPr>
        <w:t xml:space="preserve">es para </w:t>
      </w:r>
      <w:r w:rsidR="00800462" w:rsidRPr="003B7960">
        <w:rPr>
          <w:rFonts w:ascii="Cambria" w:hAnsi="Cambria"/>
          <w:color w:val="000000"/>
          <w:sz w:val="20"/>
          <w:szCs w:val="20"/>
          <w:lang w:val="es-ES"/>
        </w:rPr>
        <w:t>repatriaciones</w:t>
      </w:r>
      <w:r w:rsidR="00362998" w:rsidRPr="003B7960">
        <w:rPr>
          <w:rFonts w:ascii="Cambria" w:hAnsi="Cambria"/>
          <w:color w:val="000000"/>
          <w:sz w:val="20"/>
          <w:szCs w:val="20"/>
          <w:lang w:val="es-ES"/>
        </w:rPr>
        <w:t xml:space="preserve"> sumarias no pueda limitarse automáticamente sobre la base de la nacionalidad o la condición migratoria, que son objeto de un escrutinio estricto para garantizar que la distinción no se base en los prejuicios o estereotipos que generalmente acompañan a categorías sospechosas de distinción.</w:t>
      </w:r>
    </w:p>
    <w:p w14:paraId="75970DE8"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3EFD74CB" w14:textId="77777777" w:rsidR="00067F9E" w:rsidRPr="003B7960" w:rsidRDefault="00067F9E" w:rsidP="00101DC6">
      <w:pPr>
        <w:pStyle w:val="Heading3"/>
        <w:numPr>
          <w:ilvl w:val="0"/>
          <w:numId w:val="61"/>
        </w:numPr>
        <w:pBdr>
          <w:top w:val="nil"/>
          <w:left w:val="nil"/>
          <w:bottom w:val="nil"/>
          <w:right w:val="nil"/>
          <w:between w:val="nil"/>
          <w:bar w:val="nil"/>
        </w:pBdr>
        <w:tabs>
          <w:tab w:val="clear" w:pos="540"/>
          <w:tab w:val="left" w:pos="426"/>
        </w:tabs>
        <w:ind w:left="0" w:firstLine="0"/>
        <w:rPr>
          <w:lang w:val="es-ES"/>
        </w:rPr>
      </w:pPr>
      <w:r w:rsidRPr="003B7960">
        <w:rPr>
          <w:lang w:val="es-ES"/>
        </w:rPr>
        <w:t xml:space="preserve"> </w:t>
      </w:r>
      <w:bookmarkStart w:id="26" w:name="_Toc90557311"/>
      <w:r w:rsidR="005877AD" w:rsidRPr="003B7960">
        <w:rPr>
          <w:lang w:val="es-ES"/>
        </w:rPr>
        <w:t>Análisis del caso</w:t>
      </w:r>
      <w:bookmarkEnd w:id="26"/>
      <w:r w:rsidRPr="003B7960">
        <w:rPr>
          <w:lang w:val="es-ES"/>
        </w:rPr>
        <w:t xml:space="preserve"> </w:t>
      </w:r>
    </w:p>
    <w:p w14:paraId="1C765ECC" w14:textId="77777777" w:rsidR="00067F9E" w:rsidRPr="003B7960" w:rsidRDefault="00067F9E" w:rsidP="00101DC6">
      <w:pPr>
        <w:tabs>
          <w:tab w:val="left" w:pos="426"/>
        </w:tabs>
        <w:rPr>
          <w:rFonts w:ascii="Cambria" w:hAnsi="Cambria"/>
          <w:sz w:val="20"/>
          <w:szCs w:val="20"/>
          <w:lang w:val="es-ES"/>
        </w:rPr>
      </w:pPr>
    </w:p>
    <w:p w14:paraId="041F83CA" w14:textId="6A2DC5CD" w:rsidR="00067F9E" w:rsidRPr="003B7960" w:rsidRDefault="00362998"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color w:val="000000"/>
          <w:sz w:val="20"/>
          <w:szCs w:val="20"/>
          <w:lang w:val="es-ES"/>
        </w:rPr>
        <w:t xml:space="preserve">En el </w:t>
      </w:r>
      <w:r w:rsidR="00B476C6" w:rsidRPr="003B7960">
        <w:rPr>
          <w:rFonts w:ascii="Cambria" w:hAnsi="Cambria"/>
          <w:color w:val="000000"/>
          <w:sz w:val="20"/>
          <w:szCs w:val="20"/>
          <w:lang w:val="es-ES"/>
        </w:rPr>
        <w:t>presente caso</w:t>
      </w:r>
      <w:r w:rsidR="00067F9E" w:rsidRPr="003B7960">
        <w:rPr>
          <w:rFonts w:ascii="Cambria" w:hAnsi="Cambria"/>
          <w:color w:val="000000"/>
          <w:sz w:val="20"/>
          <w:szCs w:val="20"/>
          <w:lang w:val="es-ES"/>
        </w:rPr>
        <w:t xml:space="preserve">, </w:t>
      </w:r>
      <w:r w:rsidR="00A332F5"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describ</w:t>
      </w:r>
      <w:r w:rsidRPr="003B7960">
        <w:rPr>
          <w:rFonts w:ascii="Cambria" w:hAnsi="Cambria"/>
          <w:color w:val="000000"/>
          <w:sz w:val="20"/>
          <w:szCs w:val="20"/>
          <w:lang w:val="es-ES"/>
        </w:rPr>
        <w:t>ió su política interna sobre la determinación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de la condición de</w:t>
      </w:r>
      <w:r w:rsidR="00067F9E" w:rsidRPr="003B7960">
        <w:rPr>
          <w:rFonts w:ascii="Cambria" w:hAnsi="Cambria"/>
          <w:color w:val="000000"/>
          <w:sz w:val="20"/>
          <w:szCs w:val="20"/>
          <w:lang w:val="es-ES"/>
        </w:rPr>
        <w:t xml:space="preserve"> </w:t>
      </w:r>
      <w:r w:rsidR="00774960" w:rsidRPr="003B7960">
        <w:rPr>
          <w:rFonts w:ascii="Cambria" w:hAnsi="Cambria"/>
          <w:color w:val="000000"/>
          <w:sz w:val="20"/>
          <w:szCs w:val="20"/>
          <w:lang w:val="es-ES"/>
        </w:rPr>
        <w:t>inmigrantes indocumentados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En resumen, tras la</w:t>
      </w:r>
      <w:r w:rsidR="00067F9E" w:rsidRPr="003B7960">
        <w:rPr>
          <w:rFonts w:ascii="Cambria" w:hAnsi="Cambria"/>
          <w:color w:val="000000"/>
          <w:sz w:val="20"/>
          <w:szCs w:val="20"/>
          <w:lang w:val="es-ES"/>
        </w:rPr>
        <w:t xml:space="preserve"> </w:t>
      </w:r>
      <w:r w:rsidR="00133A5D" w:rsidRPr="003B7960">
        <w:rPr>
          <w:rFonts w:ascii="Cambria" w:hAnsi="Cambria"/>
          <w:color w:val="000000"/>
          <w:sz w:val="20"/>
          <w:szCs w:val="20"/>
          <w:lang w:val="es-ES"/>
        </w:rPr>
        <w:t>detención</w:t>
      </w:r>
      <w:r w:rsidR="00067F9E" w:rsidRPr="003B7960">
        <w:rPr>
          <w:rFonts w:ascii="Cambria" w:hAnsi="Cambria"/>
          <w:color w:val="000000"/>
          <w:sz w:val="20"/>
          <w:szCs w:val="20"/>
          <w:lang w:val="es-ES"/>
        </w:rPr>
        <w:t xml:space="preserve"> </w:t>
      </w:r>
      <w:r w:rsidR="0016544D" w:rsidRPr="003B7960">
        <w:rPr>
          <w:rFonts w:ascii="Cambria" w:hAnsi="Cambria"/>
          <w:color w:val="000000"/>
          <w:sz w:val="20"/>
          <w:szCs w:val="20"/>
          <w:lang w:val="es-ES"/>
        </w:rPr>
        <w:t xml:space="preserve">se </w:t>
      </w:r>
      <w:r w:rsidR="0011299D" w:rsidRPr="003B7960">
        <w:rPr>
          <w:rFonts w:ascii="Cambria" w:hAnsi="Cambria"/>
          <w:color w:val="000000"/>
          <w:sz w:val="20"/>
          <w:szCs w:val="20"/>
          <w:lang w:val="es-ES"/>
        </w:rPr>
        <w:t xml:space="preserve">recaban datos personales </w:t>
      </w:r>
      <w:r w:rsidR="0016544D" w:rsidRPr="003B7960">
        <w:rPr>
          <w:rFonts w:ascii="Cambria" w:hAnsi="Cambria"/>
          <w:color w:val="000000"/>
          <w:sz w:val="20"/>
          <w:szCs w:val="20"/>
          <w:lang w:val="es-ES"/>
        </w:rPr>
        <w:t xml:space="preserve">de </w:t>
      </w:r>
      <w:r w:rsidRPr="003B7960">
        <w:rPr>
          <w:rFonts w:ascii="Cambria" w:hAnsi="Cambria"/>
          <w:color w:val="000000"/>
          <w:sz w:val="20"/>
          <w:szCs w:val="20"/>
          <w:lang w:val="es-ES"/>
        </w:rPr>
        <w:t xml:space="preserve">todas las personas recién llegadas al </w:t>
      </w:r>
      <w:r w:rsidR="00654B4A" w:rsidRPr="003B7960">
        <w:rPr>
          <w:rFonts w:ascii="Cambria" w:hAnsi="Cambria"/>
          <w:color w:val="000000"/>
          <w:sz w:val="20"/>
          <w:szCs w:val="20"/>
          <w:lang w:val="es-ES"/>
        </w:rPr>
        <w:t xml:space="preserve">Centro </w:t>
      </w:r>
      <w:proofErr w:type="spellStart"/>
      <w:r w:rsidR="00654B4A" w:rsidRPr="003B7960">
        <w:rPr>
          <w:rFonts w:ascii="Cambria" w:hAnsi="Cambria"/>
          <w:color w:val="000000"/>
          <w:sz w:val="20"/>
          <w:szCs w:val="20"/>
          <w:lang w:val="es-ES"/>
        </w:rPr>
        <w:t>Carmichael</w:t>
      </w:r>
      <w:proofErr w:type="spellEnd"/>
      <w:r w:rsidR="00067F9E" w:rsidRPr="003B7960">
        <w:rPr>
          <w:rFonts w:ascii="Cambria" w:hAnsi="Cambria"/>
          <w:color w:val="000000"/>
          <w:sz w:val="20"/>
          <w:szCs w:val="20"/>
          <w:lang w:val="es-ES"/>
        </w:rPr>
        <w:t xml:space="preserve"> </w:t>
      </w:r>
      <w:r w:rsidR="0016544D" w:rsidRPr="003B7960">
        <w:rPr>
          <w:rFonts w:ascii="Cambria" w:hAnsi="Cambria"/>
          <w:color w:val="000000"/>
          <w:sz w:val="20"/>
          <w:szCs w:val="20"/>
          <w:lang w:val="es-ES"/>
        </w:rPr>
        <w:t xml:space="preserve">a fin de </w:t>
      </w:r>
      <w:r w:rsidR="0011299D" w:rsidRPr="003B7960">
        <w:rPr>
          <w:rFonts w:ascii="Cambria" w:hAnsi="Cambria"/>
          <w:color w:val="000000"/>
          <w:sz w:val="20"/>
          <w:szCs w:val="20"/>
          <w:lang w:val="es-ES"/>
        </w:rPr>
        <w:t>elaborar un perfil</w:t>
      </w:r>
      <w:r w:rsidR="00067F9E" w:rsidRPr="003B7960">
        <w:rPr>
          <w:rFonts w:ascii="Cambria" w:hAnsi="Cambria"/>
          <w:color w:val="000000"/>
          <w:sz w:val="20"/>
          <w:szCs w:val="20"/>
          <w:lang w:val="es-ES"/>
        </w:rPr>
        <w:t xml:space="preserve">. </w:t>
      </w:r>
      <w:r w:rsidR="0016544D" w:rsidRPr="003B7960">
        <w:rPr>
          <w:rFonts w:ascii="Cambria" w:hAnsi="Cambria"/>
          <w:color w:val="000000"/>
          <w:sz w:val="20"/>
          <w:szCs w:val="20"/>
          <w:lang w:val="es-ES"/>
        </w:rPr>
        <w:t xml:space="preserve">Después se les dan los formularios descritos en los hechos del caso, en los cuales </w:t>
      </w:r>
      <w:r w:rsidR="0011299D" w:rsidRPr="003B7960">
        <w:rPr>
          <w:rFonts w:ascii="Cambria" w:hAnsi="Cambria"/>
          <w:color w:val="000000"/>
          <w:sz w:val="20"/>
          <w:szCs w:val="20"/>
          <w:lang w:val="es-ES"/>
        </w:rPr>
        <w:t xml:space="preserve">deben </w:t>
      </w:r>
      <w:r w:rsidR="008701FD" w:rsidRPr="003B7960">
        <w:rPr>
          <w:rFonts w:ascii="Cambria" w:hAnsi="Cambria"/>
          <w:color w:val="000000"/>
          <w:sz w:val="20"/>
          <w:szCs w:val="20"/>
          <w:lang w:val="es-ES"/>
        </w:rPr>
        <w:t>explica</w:t>
      </w:r>
      <w:r w:rsidR="0011299D" w:rsidRPr="003B7960">
        <w:rPr>
          <w:rFonts w:ascii="Cambria" w:hAnsi="Cambria"/>
          <w:color w:val="000000"/>
          <w:sz w:val="20"/>
          <w:szCs w:val="20"/>
          <w:lang w:val="es-ES"/>
        </w:rPr>
        <w:t>r</w:t>
      </w:r>
      <w:r w:rsidR="008701FD" w:rsidRPr="003B7960">
        <w:rPr>
          <w:rFonts w:ascii="Cambria" w:hAnsi="Cambria"/>
          <w:color w:val="000000"/>
          <w:sz w:val="20"/>
          <w:szCs w:val="20"/>
          <w:lang w:val="es-ES"/>
        </w:rPr>
        <w:t xml:space="preserve"> la razón por la cual se fueron de su país de origen y proporciona</w:t>
      </w:r>
      <w:r w:rsidR="0011299D" w:rsidRPr="003B7960">
        <w:rPr>
          <w:rFonts w:ascii="Cambria" w:hAnsi="Cambria"/>
          <w:color w:val="000000"/>
          <w:sz w:val="20"/>
          <w:szCs w:val="20"/>
          <w:lang w:val="es-ES"/>
        </w:rPr>
        <w:t>r</w:t>
      </w:r>
      <w:r w:rsidR="008701FD" w:rsidRPr="003B7960">
        <w:rPr>
          <w:rFonts w:ascii="Cambria" w:hAnsi="Cambria"/>
          <w:color w:val="000000"/>
          <w:sz w:val="20"/>
          <w:szCs w:val="20"/>
          <w:lang w:val="es-ES"/>
        </w:rPr>
        <w:t xml:space="preserve"> otros tipos de información sustancial. Por último, a sugerencia del Ministro de Relaciones Exteriores, el Gabinete del</w:t>
      </w:r>
      <w:r w:rsidR="00067F9E" w:rsidRPr="003B7960">
        <w:rPr>
          <w:rFonts w:ascii="Cambria" w:hAnsi="Cambria"/>
          <w:color w:val="000000"/>
          <w:sz w:val="20"/>
          <w:szCs w:val="20"/>
          <w:lang w:val="es-ES"/>
        </w:rPr>
        <w:t xml:space="preserve"> </w:t>
      </w:r>
      <w:r w:rsidR="008A4F19" w:rsidRPr="003B7960">
        <w:rPr>
          <w:rFonts w:ascii="Cambria" w:hAnsi="Cambria"/>
          <w:color w:val="000000"/>
          <w:sz w:val="20"/>
          <w:szCs w:val="20"/>
          <w:lang w:val="es-ES"/>
        </w:rPr>
        <w:t>Commonwealth de las</w:t>
      </w:r>
      <w:r w:rsidR="00067F9E" w:rsidRPr="003B7960">
        <w:rPr>
          <w:rFonts w:ascii="Cambria" w:hAnsi="Cambria"/>
          <w:color w:val="000000"/>
          <w:sz w:val="20"/>
          <w:szCs w:val="20"/>
          <w:lang w:val="es-ES"/>
        </w:rPr>
        <w:t xml:space="preserve"> Bahamas </w:t>
      </w:r>
      <w:r w:rsidR="008701FD" w:rsidRPr="003B7960">
        <w:rPr>
          <w:rFonts w:ascii="Cambria" w:hAnsi="Cambria"/>
          <w:color w:val="000000"/>
          <w:sz w:val="20"/>
          <w:szCs w:val="20"/>
          <w:lang w:val="es-ES"/>
        </w:rPr>
        <w:t>toma una determinación final</w:t>
      </w:r>
      <w:r w:rsidR="00067F9E" w:rsidRPr="003B7960">
        <w:rPr>
          <w:rFonts w:ascii="Cambria" w:hAnsi="Cambria"/>
          <w:color w:val="000000"/>
          <w:sz w:val="20"/>
          <w:szCs w:val="20"/>
          <w:lang w:val="es-ES"/>
        </w:rPr>
        <w:t xml:space="preserve">, </w:t>
      </w:r>
      <w:r w:rsidR="008701FD" w:rsidRPr="003B7960">
        <w:rPr>
          <w:rFonts w:ascii="Cambria" w:hAnsi="Cambria"/>
          <w:color w:val="000000"/>
          <w:sz w:val="20"/>
          <w:szCs w:val="20"/>
          <w:lang w:val="es-ES"/>
        </w:rPr>
        <w:t xml:space="preserve">según las circunstancias de cada </w:t>
      </w:r>
      <w:r w:rsidR="008A4F19" w:rsidRPr="003B7960">
        <w:rPr>
          <w:rFonts w:ascii="Cambria" w:hAnsi="Cambria"/>
          <w:color w:val="000000"/>
          <w:sz w:val="20"/>
          <w:szCs w:val="20"/>
          <w:lang w:val="es-ES"/>
        </w:rPr>
        <w:t>caso</w:t>
      </w:r>
      <w:r w:rsidR="00067F9E" w:rsidRPr="003B7960">
        <w:rPr>
          <w:rFonts w:ascii="Cambria" w:hAnsi="Cambria"/>
          <w:color w:val="000000"/>
          <w:sz w:val="20"/>
          <w:szCs w:val="20"/>
          <w:lang w:val="es-ES"/>
        </w:rPr>
        <w:t xml:space="preserve">, </w:t>
      </w:r>
      <w:r w:rsidR="008701FD" w:rsidRPr="003B7960">
        <w:rPr>
          <w:rFonts w:ascii="Cambria" w:hAnsi="Cambria"/>
          <w:color w:val="000000"/>
          <w:sz w:val="20"/>
          <w:szCs w:val="20"/>
          <w:lang w:val="es-ES"/>
        </w:rPr>
        <w:t xml:space="preserve">con respecto al otorgamiento de </w:t>
      </w:r>
      <w:r w:rsidR="00774960" w:rsidRPr="003B7960">
        <w:rPr>
          <w:rFonts w:ascii="Cambria" w:hAnsi="Cambria"/>
          <w:color w:val="000000"/>
          <w:sz w:val="20"/>
          <w:szCs w:val="20"/>
          <w:lang w:val="es-ES"/>
        </w:rPr>
        <w:t>asilo</w:t>
      </w:r>
      <w:r w:rsidR="008701FD" w:rsidRPr="003B7960">
        <w:rPr>
          <w:rFonts w:ascii="Cambria" w:hAnsi="Cambria"/>
          <w:color w:val="000000"/>
          <w:sz w:val="20"/>
          <w:szCs w:val="20"/>
          <w:lang w:val="es-ES"/>
        </w:rPr>
        <w:t xml:space="preserve">. No obstante, el </w:t>
      </w:r>
      <w:r w:rsidR="00A332F5" w:rsidRPr="003B7960">
        <w:rPr>
          <w:rFonts w:ascii="Cambria" w:hAnsi="Cambria"/>
          <w:color w:val="000000"/>
          <w:sz w:val="20"/>
          <w:szCs w:val="20"/>
          <w:lang w:val="es-ES"/>
        </w:rPr>
        <w:t>Estado</w:t>
      </w:r>
      <w:r w:rsidR="00067F9E" w:rsidRPr="003B7960">
        <w:rPr>
          <w:rFonts w:ascii="Cambria" w:hAnsi="Cambria"/>
          <w:color w:val="000000"/>
          <w:sz w:val="20"/>
          <w:szCs w:val="20"/>
          <w:lang w:val="es-ES"/>
        </w:rPr>
        <w:t xml:space="preserve"> </w:t>
      </w:r>
      <w:r w:rsidR="008701FD" w:rsidRPr="003B7960">
        <w:rPr>
          <w:rFonts w:ascii="Cambria" w:hAnsi="Cambria"/>
          <w:color w:val="000000"/>
          <w:sz w:val="20"/>
          <w:szCs w:val="20"/>
          <w:lang w:val="es-ES"/>
        </w:rPr>
        <w:t>todavía no cuenta con una ley sobre la determinación</w:t>
      </w:r>
      <w:r w:rsidR="00067F9E" w:rsidRPr="003B7960">
        <w:rPr>
          <w:rFonts w:ascii="Cambria" w:hAnsi="Cambria"/>
          <w:color w:val="000000"/>
          <w:sz w:val="20"/>
          <w:szCs w:val="20"/>
          <w:lang w:val="es-ES"/>
        </w:rPr>
        <w:t xml:space="preserve"> </w:t>
      </w:r>
      <w:r w:rsidR="008701FD" w:rsidRPr="003B7960">
        <w:rPr>
          <w:rFonts w:ascii="Cambria" w:hAnsi="Cambria"/>
          <w:color w:val="000000"/>
          <w:sz w:val="20"/>
          <w:szCs w:val="20"/>
          <w:lang w:val="es-ES"/>
        </w:rPr>
        <w:t xml:space="preserve">de la </w:t>
      </w:r>
      <w:r w:rsidR="00BE1909" w:rsidRPr="003B7960">
        <w:rPr>
          <w:rFonts w:ascii="Cambria" w:hAnsi="Cambria"/>
          <w:color w:val="000000"/>
          <w:sz w:val="20"/>
          <w:szCs w:val="20"/>
          <w:lang w:val="es-ES"/>
        </w:rPr>
        <w:t>condición de refugiado</w:t>
      </w:r>
      <w:r w:rsidR="00067F9E" w:rsidRPr="003B7960">
        <w:rPr>
          <w:rFonts w:ascii="Cambria" w:hAnsi="Cambria"/>
          <w:color w:val="000000"/>
          <w:sz w:val="20"/>
          <w:szCs w:val="20"/>
          <w:lang w:val="es-ES"/>
        </w:rPr>
        <w:t xml:space="preserve">. </w:t>
      </w:r>
      <w:r w:rsidR="006F6065" w:rsidRPr="003B7960">
        <w:rPr>
          <w:rFonts w:ascii="Cambria" w:hAnsi="Cambria"/>
          <w:color w:val="000000"/>
          <w:sz w:val="20"/>
          <w:szCs w:val="20"/>
          <w:lang w:val="es-ES"/>
        </w:rPr>
        <w:t>A continuación,</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008701FD" w:rsidRPr="003B7960">
        <w:rPr>
          <w:rFonts w:ascii="Cambria" w:hAnsi="Cambria"/>
          <w:color w:val="000000"/>
          <w:sz w:val="20"/>
          <w:szCs w:val="20"/>
          <w:lang w:val="es-ES"/>
        </w:rPr>
        <w:t>abordará el proceso de otorgamiento de</w:t>
      </w:r>
      <w:r w:rsidR="00067F9E" w:rsidRPr="003B7960">
        <w:rPr>
          <w:rFonts w:ascii="Cambria" w:hAnsi="Cambria"/>
          <w:color w:val="000000"/>
          <w:sz w:val="20"/>
          <w:szCs w:val="20"/>
          <w:lang w:val="es-ES"/>
        </w:rPr>
        <w:t xml:space="preserve"> </w:t>
      </w:r>
      <w:r w:rsidR="00774960" w:rsidRPr="003B7960">
        <w:rPr>
          <w:rFonts w:ascii="Cambria" w:hAnsi="Cambria"/>
          <w:color w:val="000000"/>
          <w:sz w:val="20"/>
          <w:szCs w:val="20"/>
          <w:lang w:val="es-ES"/>
        </w:rPr>
        <w:t>asilo</w:t>
      </w:r>
      <w:r w:rsidR="00067F9E" w:rsidRPr="003B7960">
        <w:rPr>
          <w:rFonts w:ascii="Cambria" w:hAnsi="Cambria"/>
          <w:color w:val="000000"/>
          <w:sz w:val="20"/>
          <w:szCs w:val="20"/>
          <w:lang w:val="es-ES"/>
        </w:rPr>
        <w:t xml:space="preserve"> </w:t>
      </w:r>
      <w:r w:rsidR="008701FD" w:rsidRPr="003B7960">
        <w:rPr>
          <w:rFonts w:ascii="Cambria" w:hAnsi="Cambria"/>
          <w:color w:val="000000"/>
          <w:sz w:val="20"/>
          <w:szCs w:val="20"/>
          <w:lang w:val="es-ES"/>
        </w:rPr>
        <w:t>e</w:t>
      </w:r>
      <w:r w:rsidR="00067F9E" w:rsidRPr="003B7960">
        <w:rPr>
          <w:rFonts w:ascii="Cambria" w:hAnsi="Cambria"/>
          <w:color w:val="000000"/>
          <w:sz w:val="20"/>
          <w:szCs w:val="20"/>
          <w:lang w:val="es-ES"/>
        </w:rPr>
        <w:t xml:space="preserve">n </w:t>
      </w:r>
      <w:r w:rsidR="00B9011F" w:rsidRPr="003B7960">
        <w:rPr>
          <w:rFonts w:ascii="Cambria" w:hAnsi="Cambria"/>
          <w:color w:val="000000"/>
          <w:sz w:val="20"/>
          <w:szCs w:val="20"/>
          <w:lang w:val="es-ES"/>
        </w:rPr>
        <w:t>las Bahamas</w:t>
      </w:r>
      <w:r w:rsidR="00067F9E" w:rsidRPr="003B7960">
        <w:rPr>
          <w:rFonts w:ascii="Cambria" w:hAnsi="Cambria"/>
          <w:color w:val="000000"/>
          <w:sz w:val="20"/>
          <w:szCs w:val="20"/>
          <w:lang w:val="es-ES"/>
        </w:rPr>
        <w:t xml:space="preserve"> </w:t>
      </w:r>
      <w:r w:rsidR="008701FD" w:rsidRPr="003B7960">
        <w:rPr>
          <w:rFonts w:ascii="Cambria" w:hAnsi="Cambria"/>
          <w:color w:val="000000"/>
          <w:sz w:val="20"/>
          <w:szCs w:val="20"/>
          <w:lang w:val="es-ES"/>
        </w:rPr>
        <w:t>en lo que r</w:t>
      </w:r>
      <w:r w:rsidR="00067F9E" w:rsidRPr="003B7960">
        <w:rPr>
          <w:rFonts w:ascii="Cambria" w:hAnsi="Cambria"/>
          <w:color w:val="000000"/>
          <w:sz w:val="20"/>
          <w:szCs w:val="20"/>
          <w:lang w:val="es-ES"/>
        </w:rPr>
        <w:t>espect</w:t>
      </w:r>
      <w:r w:rsidR="008701FD" w:rsidRPr="003B7960">
        <w:rPr>
          <w:rFonts w:ascii="Cambria" w:hAnsi="Cambria"/>
          <w:color w:val="000000"/>
          <w:sz w:val="20"/>
          <w:szCs w:val="20"/>
          <w:lang w:val="es-ES"/>
        </w:rPr>
        <w:t xml:space="preserve">a a las </w:t>
      </w:r>
      <w:r w:rsidR="004B2866" w:rsidRPr="003B7960">
        <w:rPr>
          <w:rFonts w:ascii="Cambria" w:hAnsi="Cambria"/>
          <w:color w:val="000000"/>
          <w:sz w:val="20"/>
          <w:szCs w:val="20"/>
          <w:lang w:val="es-ES"/>
        </w:rPr>
        <w:t>normas interamericanas</w:t>
      </w:r>
      <w:r w:rsidR="00067F9E" w:rsidRPr="003B7960">
        <w:rPr>
          <w:rFonts w:ascii="Cambria" w:hAnsi="Cambria"/>
          <w:color w:val="000000"/>
          <w:sz w:val="20"/>
          <w:szCs w:val="20"/>
          <w:lang w:val="es-ES"/>
        </w:rPr>
        <w:t xml:space="preserve"> </w:t>
      </w:r>
      <w:r w:rsidR="008701FD" w:rsidRPr="003B7960">
        <w:rPr>
          <w:rFonts w:ascii="Cambria" w:hAnsi="Cambria"/>
          <w:color w:val="000000"/>
          <w:sz w:val="20"/>
          <w:szCs w:val="20"/>
          <w:lang w:val="es-ES"/>
        </w:rPr>
        <w:t>sobre</w:t>
      </w:r>
      <w:r w:rsidR="00067F9E" w:rsidRPr="003B7960">
        <w:rPr>
          <w:rFonts w:ascii="Cambria" w:hAnsi="Cambria"/>
          <w:color w:val="000000"/>
          <w:sz w:val="20"/>
          <w:szCs w:val="20"/>
          <w:lang w:val="es-ES"/>
        </w:rPr>
        <w:t xml:space="preserve"> </w:t>
      </w:r>
      <w:r w:rsidR="0006351D" w:rsidRPr="003B7960">
        <w:rPr>
          <w:rFonts w:ascii="Cambria" w:hAnsi="Cambria"/>
          <w:color w:val="000000"/>
          <w:sz w:val="20"/>
          <w:szCs w:val="20"/>
          <w:lang w:val="es-ES"/>
        </w:rPr>
        <w:t>el derecho a</w:t>
      </w:r>
      <w:r w:rsidR="00067F9E" w:rsidRPr="003B7960">
        <w:rPr>
          <w:rFonts w:ascii="Cambria" w:hAnsi="Cambria"/>
          <w:color w:val="000000"/>
          <w:sz w:val="20"/>
          <w:szCs w:val="20"/>
          <w:lang w:val="es-ES"/>
        </w:rPr>
        <w:t xml:space="preserve"> </w:t>
      </w:r>
      <w:r w:rsidR="00CC50B9" w:rsidRPr="003B7960">
        <w:rPr>
          <w:rFonts w:ascii="Cambria" w:hAnsi="Cambria"/>
          <w:color w:val="000000"/>
          <w:sz w:val="20"/>
          <w:szCs w:val="20"/>
          <w:lang w:val="es-ES"/>
        </w:rPr>
        <w:t>pedir y recibir</w:t>
      </w:r>
      <w:r w:rsidR="00067F9E" w:rsidRPr="003B7960">
        <w:rPr>
          <w:rFonts w:ascii="Cambria" w:hAnsi="Cambria"/>
          <w:color w:val="000000"/>
          <w:sz w:val="20"/>
          <w:szCs w:val="20"/>
          <w:lang w:val="es-ES"/>
        </w:rPr>
        <w:t xml:space="preserve"> </w:t>
      </w:r>
      <w:r w:rsidR="00774960" w:rsidRPr="003B7960">
        <w:rPr>
          <w:rFonts w:ascii="Cambria" w:hAnsi="Cambria"/>
          <w:color w:val="000000"/>
          <w:sz w:val="20"/>
          <w:szCs w:val="20"/>
          <w:lang w:val="es-ES"/>
        </w:rPr>
        <w:t>asilo</w:t>
      </w:r>
      <w:r w:rsidR="00067F9E" w:rsidRPr="003B7960">
        <w:rPr>
          <w:rFonts w:ascii="Cambria" w:hAnsi="Cambria"/>
          <w:color w:val="000000"/>
          <w:sz w:val="20"/>
          <w:szCs w:val="20"/>
          <w:lang w:val="es-ES"/>
        </w:rPr>
        <w:t>.</w:t>
      </w:r>
    </w:p>
    <w:p w14:paraId="480FA164"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1AAF5E56" w14:textId="78A4D63E" w:rsidR="00067F9E" w:rsidRPr="003B7960" w:rsidRDefault="008701FD"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color w:val="000000"/>
          <w:sz w:val="20"/>
          <w:szCs w:val="20"/>
          <w:lang w:val="es-ES"/>
        </w:rPr>
        <w:t>Primero</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observa que el procedimiento actual para determinar la </w:t>
      </w:r>
      <w:r w:rsidR="00BE1909" w:rsidRPr="003B7960">
        <w:rPr>
          <w:rFonts w:ascii="Cambria" w:hAnsi="Cambria"/>
          <w:color w:val="000000"/>
          <w:sz w:val="20"/>
          <w:szCs w:val="20"/>
          <w:lang w:val="es-ES"/>
        </w:rPr>
        <w:t>condición de refugiado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se basa en las prácticas consuetudinarias, ya que no hay una ley en la materia</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En ese sentido, aunque en las </w:t>
      </w:r>
      <w:r w:rsidR="004B2866" w:rsidRPr="003B7960">
        <w:rPr>
          <w:rFonts w:ascii="Cambria" w:hAnsi="Cambria"/>
          <w:color w:val="000000"/>
          <w:sz w:val="20"/>
          <w:szCs w:val="20"/>
          <w:lang w:val="es-ES"/>
        </w:rPr>
        <w:t>normas interamericanas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no se establece una manera exclusiva o única de reglamentar la determinación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de la </w:t>
      </w:r>
      <w:r w:rsidR="00BE1909" w:rsidRPr="003B7960">
        <w:rPr>
          <w:rFonts w:ascii="Cambria" w:hAnsi="Cambria"/>
          <w:color w:val="000000"/>
          <w:sz w:val="20"/>
          <w:szCs w:val="20"/>
          <w:lang w:val="es-ES"/>
        </w:rPr>
        <w:t>condición de refugiado</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consider</w:t>
      </w:r>
      <w:r w:rsidRPr="003B7960">
        <w:rPr>
          <w:rFonts w:ascii="Cambria" w:hAnsi="Cambria"/>
          <w:color w:val="000000"/>
          <w:sz w:val="20"/>
          <w:szCs w:val="20"/>
          <w:lang w:val="es-ES"/>
        </w:rPr>
        <w:t xml:space="preserve">a que </w:t>
      </w:r>
      <w:r w:rsidR="00A332F5"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no</w:t>
      </w:r>
      <w:r w:rsidRPr="003B7960">
        <w:rPr>
          <w:rFonts w:ascii="Cambria" w:hAnsi="Cambria"/>
          <w:color w:val="000000"/>
          <w:sz w:val="20"/>
          <w:szCs w:val="20"/>
          <w:lang w:val="es-ES"/>
        </w:rPr>
        <w:t xml:space="preserve"> ha</w:t>
      </w:r>
      <w:r w:rsidR="00067F9E" w:rsidRPr="003B7960">
        <w:rPr>
          <w:rFonts w:ascii="Cambria" w:hAnsi="Cambria"/>
          <w:color w:val="000000"/>
          <w:sz w:val="20"/>
          <w:szCs w:val="20"/>
          <w:lang w:val="es-ES"/>
        </w:rPr>
        <w:t xml:space="preserve"> demostra</w:t>
      </w:r>
      <w:r w:rsidRPr="003B7960">
        <w:rPr>
          <w:rFonts w:ascii="Cambria" w:hAnsi="Cambria"/>
          <w:color w:val="000000"/>
          <w:sz w:val="20"/>
          <w:szCs w:val="20"/>
          <w:lang w:val="es-ES"/>
        </w:rPr>
        <w:t xml:space="preserve">do que </w:t>
      </w:r>
      <w:r w:rsidR="00784B49" w:rsidRPr="003B7960">
        <w:rPr>
          <w:rFonts w:ascii="Cambria" w:hAnsi="Cambria"/>
          <w:color w:val="000000"/>
          <w:sz w:val="20"/>
          <w:szCs w:val="20"/>
          <w:lang w:val="es-ES"/>
        </w:rPr>
        <w:t>el sistema</w:t>
      </w:r>
      <w:r w:rsidR="00067F9E" w:rsidRPr="003B7960">
        <w:rPr>
          <w:rFonts w:ascii="Cambria" w:hAnsi="Cambria"/>
          <w:color w:val="000000"/>
          <w:sz w:val="20"/>
          <w:szCs w:val="20"/>
          <w:lang w:val="es-ES"/>
        </w:rPr>
        <w:t xml:space="preserve"> descri</w:t>
      </w:r>
      <w:r w:rsidRPr="003B7960">
        <w:rPr>
          <w:rFonts w:ascii="Cambria" w:hAnsi="Cambria"/>
          <w:color w:val="000000"/>
          <w:sz w:val="20"/>
          <w:szCs w:val="20"/>
          <w:lang w:val="es-ES"/>
        </w:rPr>
        <w:t xml:space="preserve">to </w:t>
      </w:r>
      <w:r w:rsidR="00B476C6" w:rsidRPr="003B7960">
        <w:rPr>
          <w:rFonts w:ascii="Cambria" w:hAnsi="Cambria"/>
          <w:color w:val="000000"/>
          <w:sz w:val="20"/>
          <w:szCs w:val="20"/>
          <w:lang w:val="es-ES"/>
        </w:rPr>
        <w:t>sea consistente</w:t>
      </w:r>
      <w:r w:rsidR="00B96D38" w:rsidRPr="003B7960">
        <w:rPr>
          <w:rFonts w:ascii="Cambria" w:hAnsi="Cambria"/>
          <w:color w:val="000000"/>
          <w:sz w:val="20"/>
          <w:szCs w:val="20"/>
          <w:lang w:val="es-ES"/>
        </w:rPr>
        <w:t xml:space="preserve"> con </w:t>
      </w:r>
      <w:r w:rsidR="00B476C6" w:rsidRPr="003B7960">
        <w:rPr>
          <w:rFonts w:ascii="Cambria" w:hAnsi="Cambria"/>
          <w:color w:val="000000"/>
          <w:sz w:val="20"/>
          <w:szCs w:val="20"/>
          <w:lang w:val="es-ES"/>
        </w:rPr>
        <w:t>los estándares</w:t>
      </w:r>
      <w:r w:rsidRPr="003B7960">
        <w:rPr>
          <w:rFonts w:ascii="Cambria" w:hAnsi="Cambria"/>
          <w:color w:val="000000"/>
          <w:sz w:val="20"/>
          <w:szCs w:val="20"/>
          <w:lang w:val="es-ES"/>
        </w:rPr>
        <w:t xml:space="preserve"> internacionales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E</w:t>
      </w:r>
      <w:r w:rsidR="00067F9E" w:rsidRPr="003B7960">
        <w:rPr>
          <w:rFonts w:ascii="Cambria" w:hAnsi="Cambria"/>
          <w:color w:val="000000"/>
          <w:sz w:val="20"/>
          <w:szCs w:val="20"/>
          <w:lang w:val="es-ES"/>
        </w:rPr>
        <w:t xml:space="preserve">n particular,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no ha encontrado pruebas de que el proceso </w:t>
      </w:r>
      <w:r w:rsidR="00067F9E" w:rsidRPr="003B7960">
        <w:rPr>
          <w:rFonts w:ascii="Cambria" w:hAnsi="Cambria"/>
          <w:color w:val="000000"/>
          <w:sz w:val="20"/>
          <w:szCs w:val="20"/>
          <w:lang w:val="es-ES"/>
        </w:rPr>
        <w:t>deliberativ</w:t>
      </w:r>
      <w:r w:rsidRPr="003B7960">
        <w:rPr>
          <w:rFonts w:ascii="Cambria" w:hAnsi="Cambria"/>
          <w:color w:val="000000"/>
          <w:sz w:val="20"/>
          <w:szCs w:val="20"/>
          <w:lang w:val="es-ES"/>
        </w:rPr>
        <w:t xml:space="preserve">o mediante el cual </w:t>
      </w:r>
      <w:r w:rsidR="00A332F5"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decide</w:t>
      </w:r>
      <w:r w:rsidR="00B96D38" w:rsidRPr="003B7960">
        <w:rPr>
          <w:rFonts w:ascii="Cambria" w:hAnsi="Cambria"/>
          <w:color w:val="000000"/>
          <w:sz w:val="20"/>
          <w:szCs w:val="20"/>
          <w:lang w:val="es-ES"/>
        </w:rPr>
        <w:t xml:space="preserve"> otorgar o denegar </w:t>
      </w:r>
      <w:r w:rsidR="00774960" w:rsidRPr="003B7960">
        <w:rPr>
          <w:rFonts w:ascii="Cambria" w:hAnsi="Cambria"/>
          <w:color w:val="000000"/>
          <w:sz w:val="20"/>
          <w:szCs w:val="20"/>
          <w:lang w:val="es-ES"/>
        </w:rPr>
        <w:t>protección internacional</w:t>
      </w:r>
      <w:r w:rsidR="00B96D38" w:rsidRPr="003B7960">
        <w:rPr>
          <w:rFonts w:ascii="Cambria" w:hAnsi="Cambria"/>
          <w:color w:val="000000"/>
          <w:sz w:val="20"/>
          <w:szCs w:val="20"/>
          <w:lang w:val="es-ES"/>
        </w:rPr>
        <w:t xml:space="preserve"> —las protecciones procesales para asegurar que se proporcione información adecuada sobre</w:t>
      </w:r>
      <w:r w:rsidR="00067F9E" w:rsidRPr="003B7960">
        <w:rPr>
          <w:rFonts w:ascii="Cambria" w:hAnsi="Cambria"/>
          <w:color w:val="000000"/>
          <w:sz w:val="20"/>
          <w:szCs w:val="20"/>
          <w:lang w:val="es-ES"/>
        </w:rPr>
        <w:t xml:space="preserve"> </w:t>
      </w:r>
      <w:r w:rsidR="0006351D" w:rsidRPr="003B7960">
        <w:rPr>
          <w:rFonts w:ascii="Cambria" w:hAnsi="Cambria"/>
          <w:color w:val="000000"/>
          <w:sz w:val="20"/>
          <w:szCs w:val="20"/>
          <w:lang w:val="es-ES"/>
        </w:rPr>
        <w:t>el derecho a</w:t>
      </w:r>
      <w:r w:rsidR="00067F9E"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 xml:space="preserve">pedir </w:t>
      </w:r>
      <w:r w:rsidR="00774960" w:rsidRPr="003B7960">
        <w:rPr>
          <w:rFonts w:ascii="Cambria" w:hAnsi="Cambria"/>
          <w:color w:val="000000"/>
          <w:sz w:val="20"/>
          <w:szCs w:val="20"/>
          <w:lang w:val="es-ES"/>
        </w:rPr>
        <w:t>asilo</w:t>
      </w:r>
      <w:r w:rsidR="00067F9E"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interpretación</w:t>
      </w:r>
      <w:r w:rsidR="00067F9E"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 xml:space="preserve">y asistencia letrada; los factores que se ponderan al determinar si una persona se encuadra en </w:t>
      </w:r>
      <w:r w:rsidR="00B96D38" w:rsidRPr="003B7960">
        <w:rPr>
          <w:rFonts w:ascii="Cambria" w:hAnsi="Cambria"/>
          <w:color w:val="000000"/>
          <w:sz w:val="20"/>
          <w:szCs w:val="20"/>
          <w:lang w:val="es-ES"/>
        </w:rPr>
        <w:lastRenderedPageBreak/>
        <w:t>la definición de refugiado; la carga de la prueba y otras consideraciones</w:t>
      </w:r>
      <w:r w:rsidR="00067F9E"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 xml:space="preserve">probatorias, y </w:t>
      </w:r>
      <w:r w:rsidR="001221F9" w:rsidRPr="003B7960">
        <w:rPr>
          <w:rFonts w:ascii="Cambria" w:hAnsi="Cambria"/>
          <w:color w:val="000000"/>
          <w:sz w:val="20"/>
          <w:szCs w:val="20"/>
          <w:lang w:val="es-ES"/>
        </w:rPr>
        <w:t>garantías</w:t>
      </w:r>
      <w:r w:rsidR="00067F9E"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 xml:space="preserve">de que los motivos de las decisiones sean apropiados— se ciña a las </w:t>
      </w:r>
      <w:r w:rsidR="001221F9" w:rsidRPr="003B7960">
        <w:rPr>
          <w:rFonts w:ascii="Cambria" w:hAnsi="Cambria"/>
          <w:color w:val="000000"/>
          <w:sz w:val="20"/>
          <w:szCs w:val="20"/>
          <w:lang w:val="es-ES"/>
        </w:rPr>
        <w:t>garantías</w:t>
      </w:r>
      <w:r w:rsidR="00067F9E"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de</w:t>
      </w:r>
      <w:r w:rsidR="0011299D" w:rsidRPr="003B7960">
        <w:rPr>
          <w:rFonts w:ascii="Cambria" w:hAnsi="Cambria"/>
          <w:color w:val="000000"/>
          <w:sz w:val="20"/>
          <w:szCs w:val="20"/>
          <w:lang w:val="es-ES"/>
        </w:rPr>
        <w:t>l</w:t>
      </w:r>
      <w:r w:rsidR="00067F9E" w:rsidRPr="003B7960">
        <w:rPr>
          <w:rFonts w:ascii="Cambria" w:hAnsi="Cambria"/>
          <w:color w:val="000000"/>
          <w:sz w:val="20"/>
          <w:szCs w:val="20"/>
          <w:lang w:val="es-ES"/>
        </w:rPr>
        <w:t xml:space="preserve"> </w:t>
      </w:r>
      <w:r w:rsidR="004B2866" w:rsidRPr="003B7960">
        <w:rPr>
          <w:rFonts w:ascii="Cambria" w:hAnsi="Cambria"/>
          <w:color w:val="000000"/>
          <w:sz w:val="20"/>
          <w:szCs w:val="20"/>
          <w:lang w:val="es-ES"/>
        </w:rPr>
        <w:t>debido proceso</w:t>
      </w:r>
      <w:r w:rsidR="00067F9E"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 xml:space="preserve">consagradas en </w:t>
      </w:r>
      <w:r w:rsidR="00C33F51" w:rsidRPr="003B7960">
        <w:rPr>
          <w:rFonts w:ascii="Cambria" w:hAnsi="Cambria"/>
          <w:color w:val="000000"/>
          <w:sz w:val="20"/>
          <w:szCs w:val="20"/>
          <w:lang w:val="es-ES"/>
        </w:rPr>
        <w:t>la Declaración</w:t>
      </w:r>
      <w:r w:rsidR="00B9011F" w:rsidRPr="003B7960">
        <w:rPr>
          <w:rFonts w:ascii="Cambria" w:hAnsi="Cambria"/>
          <w:color w:val="000000"/>
          <w:sz w:val="20"/>
          <w:szCs w:val="20"/>
          <w:lang w:val="es-ES"/>
        </w:rPr>
        <w:t xml:space="preserve"> Americana</w:t>
      </w:r>
      <w:r w:rsidR="00067F9E"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 xml:space="preserve">El procedimiento descrito explica solamente la cadena de decisiones que se toman con respecto a una solicitud de </w:t>
      </w:r>
      <w:r w:rsidR="00774960" w:rsidRPr="003B7960">
        <w:rPr>
          <w:rFonts w:ascii="Cambria" w:hAnsi="Cambria"/>
          <w:color w:val="000000"/>
          <w:sz w:val="20"/>
          <w:szCs w:val="20"/>
          <w:lang w:val="es-ES"/>
        </w:rPr>
        <w:t>asilo</w:t>
      </w:r>
      <w:r w:rsidR="00B96D38" w:rsidRPr="003B7960">
        <w:rPr>
          <w:rFonts w:ascii="Cambria" w:hAnsi="Cambria"/>
          <w:color w:val="000000"/>
          <w:sz w:val="20"/>
          <w:szCs w:val="20"/>
          <w:lang w:val="es-ES"/>
        </w:rPr>
        <w:t xml:space="preserve">, pero no demuestra que se apliquen las </w:t>
      </w:r>
      <w:r w:rsidR="001221F9" w:rsidRPr="003B7960">
        <w:rPr>
          <w:rFonts w:ascii="Cambria" w:hAnsi="Cambria"/>
          <w:color w:val="000000"/>
          <w:sz w:val="20"/>
          <w:szCs w:val="20"/>
          <w:lang w:val="es-ES"/>
        </w:rPr>
        <w:t>garantías</w:t>
      </w:r>
      <w:r w:rsidR="00B476C6" w:rsidRPr="003B7960">
        <w:rPr>
          <w:rFonts w:ascii="Cambria" w:hAnsi="Cambria"/>
          <w:color w:val="000000"/>
          <w:sz w:val="20"/>
          <w:szCs w:val="20"/>
          <w:lang w:val="es-ES"/>
        </w:rPr>
        <w:t xml:space="preserve"> </w:t>
      </w:r>
      <w:r w:rsidR="00B96D38" w:rsidRPr="003B7960">
        <w:rPr>
          <w:rFonts w:ascii="Cambria" w:hAnsi="Cambria"/>
          <w:color w:val="000000"/>
          <w:sz w:val="20"/>
          <w:szCs w:val="20"/>
          <w:lang w:val="es-ES"/>
        </w:rPr>
        <w:t xml:space="preserve">a las cuales tienen derecho los </w:t>
      </w:r>
      <w:r w:rsidR="00FC3DB1" w:rsidRPr="003B7960">
        <w:rPr>
          <w:rFonts w:ascii="Cambria" w:hAnsi="Cambria"/>
          <w:color w:val="000000"/>
          <w:sz w:val="20"/>
          <w:szCs w:val="20"/>
          <w:lang w:val="es-ES"/>
        </w:rPr>
        <w:t>solicitantes</w:t>
      </w:r>
      <w:r w:rsidR="00067F9E" w:rsidRPr="003B7960">
        <w:rPr>
          <w:rFonts w:ascii="Cambria" w:hAnsi="Cambria"/>
          <w:color w:val="000000"/>
          <w:sz w:val="20"/>
          <w:szCs w:val="20"/>
          <w:lang w:val="es-ES"/>
        </w:rPr>
        <w:t>.</w:t>
      </w:r>
    </w:p>
    <w:p w14:paraId="54C2B706"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4CF43A58" w14:textId="77777777" w:rsidR="00067F9E" w:rsidRPr="003B7960" w:rsidRDefault="00067F9E"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Se</w:t>
      </w:r>
      <w:r w:rsidR="009A31EF" w:rsidRPr="003B7960">
        <w:rPr>
          <w:rFonts w:ascii="Cambria" w:hAnsi="Cambria"/>
          <w:sz w:val="20"/>
          <w:szCs w:val="20"/>
          <w:lang w:val="es-ES"/>
        </w:rPr>
        <w:t>gundo</w:t>
      </w:r>
      <w:r w:rsidRPr="003B7960">
        <w:rPr>
          <w:rFonts w:ascii="Cambria" w:hAnsi="Cambria"/>
          <w:sz w:val="20"/>
          <w:szCs w:val="20"/>
          <w:lang w:val="es-ES"/>
        </w:rPr>
        <w:t xml:space="preserve">, </w:t>
      </w:r>
      <w:r w:rsidR="00B9011F" w:rsidRPr="003B7960">
        <w:rPr>
          <w:rFonts w:ascii="Cambria" w:hAnsi="Cambria"/>
          <w:sz w:val="20"/>
          <w:szCs w:val="20"/>
          <w:lang w:val="es-ES"/>
        </w:rPr>
        <w:t>la Comisión</w:t>
      </w:r>
      <w:r w:rsidRPr="003B7960">
        <w:rPr>
          <w:rFonts w:ascii="Cambria" w:hAnsi="Cambria"/>
          <w:sz w:val="20"/>
          <w:szCs w:val="20"/>
          <w:lang w:val="es-ES"/>
        </w:rPr>
        <w:t xml:space="preserve"> </w:t>
      </w:r>
      <w:r w:rsidR="0070520E" w:rsidRPr="003B7960">
        <w:rPr>
          <w:rFonts w:ascii="Cambria" w:hAnsi="Cambria"/>
          <w:sz w:val="20"/>
          <w:szCs w:val="20"/>
          <w:lang w:val="es-ES"/>
        </w:rPr>
        <w:t xml:space="preserve">concluye que las </w:t>
      </w:r>
      <w:r w:rsidR="00C62DEF" w:rsidRPr="003B7960">
        <w:rPr>
          <w:rFonts w:ascii="Cambria" w:hAnsi="Cambria"/>
          <w:sz w:val="20"/>
          <w:szCs w:val="20"/>
          <w:lang w:val="es-ES"/>
        </w:rPr>
        <w:t>presuntas víctimas</w:t>
      </w:r>
      <w:r w:rsidRPr="003B7960">
        <w:rPr>
          <w:rFonts w:ascii="Cambria" w:hAnsi="Cambria"/>
          <w:sz w:val="20"/>
          <w:szCs w:val="20"/>
          <w:lang w:val="es-ES"/>
        </w:rPr>
        <w:t xml:space="preserve"> </w:t>
      </w:r>
      <w:r w:rsidR="0070520E" w:rsidRPr="003B7960">
        <w:rPr>
          <w:rFonts w:ascii="Cambria" w:hAnsi="Cambria"/>
          <w:sz w:val="20"/>
          <w:szCs w:val="20"/>
          <w:lang w:val="es-ES"/>
        </w:rPr>
        <w:t xml:space="preserve">fueron tratadas </w:t>
      </w:r>
      <w:r w:rsidR="006E684A" w:rsidRPr="003B7960">
        <w:rPr>
          <w:rFonts w:ascii="Cambria" w:hAnsi="Cambria"/>
          <w:sz w:val="20"/>
          <w:szCs w:val="20"/>
          <w:lang w:val="es-ES"/>
        </w:rPr>
        <w:t>como grupo</w:t>
      </w:r>
      <w:r w:rsidR="0070520E" w:rsidRPr="003B7960">
        <w:rPr>
          <w:rFonts w:ascii="Cambria" w:hAnsi="Cambria"/>
          <w:sz w:val="20"/>
          <w:szCs w:val="20"/>
          <w:lang w:val="es-ES"/>
        </w:rPr>
        <w:t xml:space="preserve">, sin tener en cuenta las circunstancias </w:t>
      </w:r>
      <w:r w:rsidR="006E684A" w:rsidRPr="003B7960">
        <w:rPr>
          <w:rFonts w:ascii="Cambria" w:hAnsi="Cambria"/>
          <w:sz w:val="20"/>
          <w:szCs w:val="20"/>
          <w:lang w:val="es-ES"/>
        </w:rPr>
        <w:t>particulares</w:t>
      </w:r>
      <w:r w:rsidR="0070520E" w:rsidRPr="003B7960">
        <w:rPr>
          <w:rFonts w:ascii="Cambria" w:hAnsi="Cambria"/>
          <w:sz w:val="20"/>
          <w:szCs w:val="20"/>
          <w:lang w:val="es-ES"/>
        </w:rPr>
        <w:t xml:space="preserve"> que las llevaron a huir de su país de origen. Por lo tanto, la falta de información sobre la </w:t>
      </w:r>
      <w:r w:rsidR="00D34647" w:rsidRPr="003B7960">
        <w:rPr>
          <w:rFonts w:ascii="Cambria" w:hAnsi="Cambria"/>
          <w:sz w:val="20"/>
          <w:szCs w:val="20"/>
          <w:lang w:val="es-ES"/>
        </w:rPr>
        <w:t>individualización</w:t>
      </w:r>
      <w:r w:rsidRPr="003B7960">
        <w:rPr>
          <w:rFonts w:ascii="Cambria" w:hAnsi="Cambria"/>
          <w:sz w:val="20"/>
          <w:szCs w:val="20"/>
          <w:lang w:val="es-ES"/>
        </w:rPr>
        <w:t xml:space="preserve"> </w:t>
      </w:r>
      <w:r w:rsidR="0070520E" w:rsidRPr="003B7960">
        <w:rPr>
          <w:rFonts w:ascii="Cambria" w:hAnsi="Cambria"/>
          <w:sz w:val="20"/>
          <w:szCs w:val="20"/>
          <w:lang w:val="es-ES"/>
        </w:rPr>
        <w:t>de las</w:t>
      </w:r>
      <w:r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Pr="003B7960">
        <w:rPr>
          <w:rFonts w:ascii="Cambria" w:hAnsi="Cambria"/>
          <w:sz w:val="20"/>
          <w:szCs w:val="20"/>
          <w:lang w:val="es-ES"/>
        </w:rPr>
        <w:t xml:space="preserve">, </w:t>
      </w:r>
      <w:r w:rsidR="0070520E" w:rsidRPr="003B7960">
        <w:rPr>
          <w:rFonts w:ascii="Cambria" w:hAnsi="Cambria"/>
          <w:sz w:val="20"/>
          <w:szCs w:val="20"/>
          <w:lang w:val="es-ES"/>
        </w:rPr>
        <w:t xml:space="preserve">que correspondía al </w:t>
      </w:r>
      <w:r w:rsidR="00A332F5" w:rsidRPr="003B7960">
        <w:rPr>
          <w:rFonts w:ascii="Cambria" w:hAnsi="Cambria"/>
          <w:sz w:val="20"/>
          <w:szCs w:val="20"/>
          <w:lang w:val="es-ES"/>
        </w:rPr>
        <w:t>Estado</w:t>
      </w:r>
      <w:r w:rsidRPr="003B7960">
        <w:rPr>
          <w:rFonts w:ascii="Cambria" w:hAnsi="Cambria"/>
          <w:sz w:val="20"/>
          <w:szCs w:val="20"/>
          <w:lang w:val="es-ES"/>
        </w:rPr>
        <w:t xml:space="preserve"> </w:t>
      </w:r>
      <w:r w:rsidR="0070520E" w:rsidRPr="003B7960">
        <w:rPr>
          <w:rFonts w:ascii="Cambria" w:hAnsi="Cambria"/>
          <w:sz w:val="20"/>
          <w:szCs w:val="20"/>
          <w:lang w:val="es-ES"/>
        </w:rPr>
        <w:t xml:space="preserve">proveer como parte de la carga de la prueba en las circunstancias específicas del </w:t>
      </w:r>
      <w:r w:rsidR="008A4F19" w:rsidRPr="003B7960">
        <w:rPr>
          <w:rFonts w:ascii="Cambria" w:hAnsi="Cambria"/>
          <w:sz w:val="20"/>
          <w:szCs w:val="20"/>
          <w:lang w:val="es-ES"/>
        </w:rPr>
        <w:t>caso</w:t>
      </w:r>
      <w:r w:rsidRPr="003B7960">
        <w:rPr>
          <w:rFonts w:ascii="Cambria" w:hAnsi="Cambria"/>
          <w:sz w:val="20"/>
          <w:szCs w:val="20"/>
          <w:lang w:val="es-ES"/>
        </w:rPr>
        <w:t>, l</w:t>
      </w:r>
      <w:r w:rsidR="0070520E" w:rsidRPr="003B7960">
        <w:rPr>
          <w:rFonts w:ascii="Cambria" w:hAnsi="Cambria"/>
          <w:sz w:val="20"/>
          <w:szCs w:val="20"/>
          <w:lang w:val="es-ES"/>
        </w:rPr>
        <w:t xml:space="preserve">leva a </w:t>
      </w:r>
      <w:r w:rsidR="00C33F51" w:rsidRPr="003B7960">
        <w:rPr>
          <w:rFonts w:ascii="Cambria" w:hAnsi="Cambria"/>
          <w:sz w:val="20"/>
          <w:szCs w:val="20"/>
          <w:lang w:val="es-ES"/>
        </w:rPr>
        <w:t>la CIDH</w:t>
      </w:r>
      <w:r w:rsidRPr="003B7960">
        <w:rPr>
          <w:rFonts w:ascii="Cambria" w:hAnsi="Cambria"/>
          <w:sz w:val="20"/>
          <w:szCs w:val="20"/>
          <w:lang w:val="es-ES"/>
        </w:rPr>
        <w:t xml:space="preserve"> </w:t>
      </w:r>
      <w:r w:rsidR="0070520E" w:rsidRPr="003B7960">
        <w:rPr>
          <w:rFonts w:ascii="Cambria" w:hAnsi="Cambria"/>
          <w:sz w:val="20"/>
          <w:szCs w:val="20"/>
          <w:lang w:val="es-ES"/>
        </w:rPr>
        <w:t xml:space="preserve">a concluir que </w:t>
      </w:r>
      <w:r w:rsidR="00A332F5" w:rsidRPr="003B7960">
        <w:rPr>
          <w:rFonts w:ascii="Cambria" w:hAnsi="Cambria"/>
          <w:sz w:val="20"/>
          <w:szCs w:val="20"/>
          <w:lang w:val="es-ES"/>
        </w:rPr>
        <w:t>el Estado</w:t>
      </w:r>
      <w:r w:rsidRPr="003B7960">
        <w:rPr>
          <w:rFonts w:ascii="Cambria" w:hAnsi="Cambria"/>
          <w:sz w:val="20"/>
          <w:szCs w:val="20"/>
          <w:lang w:val="es-ES"/>
        </w:rPr>
        <w:t xml:space="preserve"> </w:t>
      </w:r>
      <w:r w:rsidR="0070520E" w:rsidRPr="003B7960">
        <w:rPr>
          <w:rFonts w:ascii="Cambria" w:hAnsi="Cambria"/>
          <w:sz w:val="20"/>
          <w:szCs w:val="20"/>
          <w:lang w:val="es-ES"/>
        </w:rPr>
        <w:t xml:space="preserve">no estaba preparado para hacer frente a la entrada de grupos de </w:t>
      </w:r>
      <w:r w:rsidR="00AD3ABA" w:rsidRPr="003B7960">
        <w:rPr>
          <w:rFonts w:ascii="Cambria" w:hAnsi="Cambria"/>
          <w:sz w:val="20"/>
          <w:szCs w:val="20"/>
          <w:lang w:val="es-ES"/>
        </w:rPr>
        <w:t>migrantes</w:t>
      </w:r>
      <w:r w:rsidR="0070520E" w:rsidRPr="003B7960">
        <w:rPr>
          <w:rFonts w:ascii="Cambria" w:hAnsi="Cambria"/>
          <w:sz w:val="20"/>
          <w:szCs w:val="20"/>
          <w:lang w:val="es-ES"/>
        </w:rPr>
        <w:t xml:space="preserve"> y</w:t>
      </w:r>
      <w:r w:rsidRPr="003B7960">
        <w:rPr>
          <w:rFonts w:ascii="Cambria" w:hAnsi="Cambria"/>
          <w:sz w:val="20"/>
          <w:szCs w:val="20"/>
          <w:lang w:val="es-ES"/>
        </w:rPr>
        <w:t xml:space="preserve">, </w:t>
      </w:r>
      <w:r w:rsidR="0070520E" w:rsidRPr="003B7960">
        <w:rPr>
          <w:rFonts w:ascii="Cambria" w:hAnsi="Cambria"/>
          <w:sz w:val="20"/>
          <w:szCs w:val="20"/>
          <w:lang w:val="es-ES"/>
        </w:rPr>
        <w:t>en consecuencia, no se hizo un esfuerzo suficiente para preseleccionar a los</w:t>
      </w:r>
      <w:r w:rsidRPr="003B7960">
        <w:rPr>
          <w:rFonts w:ascii="Cambria" w:hAnsi="Cambria"/>
          <w:sz w:val="20"/>
          <w:szCs w:val="20"/>
          <w:lang w:val="es-ES"/>
        </w:rPr>
        <w:t xml:space="preserve"> </w:t>
      </w:r>
      <w:r w:rsidR="007B6078" w:rsidRPr="003B7960">
        <w:rPr>
          <w:rFonts w:ascii="Cambria" w:hAnsi="Cambria"/>
          <w:sz w:val="20"/>
          <w:szCs w:val="20"/>
          <w:lang w:val="es-ES"/>
        </w:rPr>
        <w:t>detenidos</w:t>
      </w:r>
      <w:r w:rsidRPr="003B7960">
        <w:rPr>
          <w:rFonts w:ascii="Cambria" w:hAnsi="Cambria"/>
          <w:sz w:val="20"/>
          <w:szCs w:val="20"/>
          <w:lang w:val="es-ES"/>
        </w:rPr>
        <w:t xml:space="preserve"> </w:t>
      </w:r>
      <w:r w:rsidR="0070520E" w:rsidRPr="003B7960">
        <w:rPr>
          <w:rFonts w:ascii="Cambria" w:hAnsi="Cambria"/>
          <w:sz w:val="20"/>
          <w:szCs w:val="20"/>
          <w:lang w:val="es-ES"/>
        </w:rPr>
        <w:t xml:space="preserve">que pudieran necesitar </w:t>
      </w:r>
      <w:r w:rsidR="00774960" w:rsidRPr="003B7960">
        <w:rPr>
          <w:rFonts w:ascii="Cambria" w:hAnsi="Cambria"/>
          <w:sz w:val="20"/>
          <w:szCs w:val="20"/>
          <w:lang w:val="es-ES"/>
        </w:rPr>
        <w:t>protección internacional</w:t>
      </w:r>
      <w:r w:rsidR="0070520E" w:rsidRPr="003B7960">
        <w:rPr>
          <w:rFonts w:ascii="Cambria" w:hAnsi="Cambria"/>
          <w:sz w:val="20"/>
          <w:szCs w:val="20"/>
          <w:lang w:val="es-ES"/>
        </w:rPr>
        <w:t>. Esta falla inicial condujo a la decisión colectiva de repatriar a todos los</w:t>
      </w:r>
      <w:r w:rsidRPr="003B7960">
        <w:rPr>
          <w:rFonts w:ascii="Cambria" w:hAnsi="Cambria"/>
          <w:sz w:val="20"/>
          <w:szCs w:val="20"/>
          <w:lang w:val="es-ES"/>
        </w:rPr>
        <w:t xml:space="preserve"> </w:t>
      </w:r>
      <w:r w:rsidR="007B6078" w:rsidRPr="003B7960">
        <w:rPr>
          <w:rFonts w:ascii="Cambria" w:hAnsi="Cambria"/>
          <w:sz w:val="20"/>
          <w:szCs w:val="20"/>
          <w:lang w:val="es-ES"/>
        </w:rPr>
        <w:t>detenidos</w:t>
      </w:r>
      <w:r w:rsidRPr="003B7960">
        <w:rPr>
          <w:rFonts w:ascii="Cambria" w:hAnsi="Cambria"/>
          <w:sz w:val="20"/>
          <w:szCs w:val="20"/>
          <w:lang w:val="es-ES"/>
        </w:rPr>
        <w:t xml:space="preserve">, </w:t>
      </w:r>
      <w:r w:rsidR="0070520E" w:rsidRPr="003B7960">
        <w:rPr>
          <w:rFonts w:ascii="Cambria" w:hAnsi="Cambria"/>
          <w:sz w:val="20"/>
          <w:szCs w:val="20"/>
          <w:lang w:val="es-ES"/>
        </w:rPr>
        <w:t>con lo cual se les negó el acceso a un proceso de determinación</w:t>
      </w:r>
      <w:r w:rsidRPr="003B7960">
        <w:rPr>
          <w:rFonts w:ascii="Cambria" w:hAnsi="Cambria"/>
          <w:sz w:val="20"/>
          <w:szCs w:val="20"/>
          <w:lang w:val="es-ES"/>
        </w:rPr>
        <w:t xml:space="preserve"> </w:t>
      </w:r>
      <w:r w:rsidR="0070520E" w:rsidRPr="003B7960">
        <w:rPr>
          <w:rFonts w:ascii="Cambria" w:hAnsi="Cambria"/>
          <w:sz w:val="20"/>
          <w:szCs w:val="20"/>
          <w:lang w:val="es-ES"/>
        </w:rPr>
        <w:t xml:space="preserve">imparcial y, de esa forma, se impidió que </w:t>
      </w:r>
      <w:r w:rsidR="00B9011F" w:rsidRPr="003B7960">
        <w:rPr>
          <w:rFonts w:ascii="Cambria" w:hAnsi="Cambria"/>
          <w:sz w:val="20"/>
          <w:szCs w:val="20"/>
          <w:lang w:val="es-ES"/>
        </w:rPr>
        <w:t>la Comisión</w:t>
      </w:r>
      <w:r w:rsidRPr="003B7960">
        <w:rPr>
          <w:rFonts w:ascii="Cambria" w:hAnsi="Cambria"/>
          <w:sz w:val="20"/>
          <w:szCs w:val="20"/>
          <w:lang w:val="es-ES"/>
        </w:rPr>
        <w:t xml:space="preserve"> </w:t>
      </w:r>
      <w:r w:rsidR="0070520E" w:rsidRPr="003B7960">
        <w:rPr>
          <w:rFonts w:ascii="Cambria" w:hAnsi="Cambria"/>
          <w:sz w:val="20"/>
          <w:szCs w:val="20"/>
          <w:lang w:val="es-ES"/>
        </w:rPr>
        <w:t xml:space="preserve">comprendiera la magnitud de las implicaciones de su </w:t>
      </w:r>
      <w:r w:rsidR="00800462" w:rsidRPr="003B7960">
        <w:rPr>
          <w:rFonts w:ascii="Cambria" w:hAnsi="Cambria"/>
          <w:sz w:val="20"/>
          <w:szCs w:val="20"/>
          <w:lang w:val="es-ES"/>
        </w:rPr>
        <w:t>repatriaci</w:t>
      </w:r>
      <w:r w:rsidR="0070520E" w:rsidRPr="003B7960">
        <w:rPr>
          <w:rFonts w:ascii="Cambria" w:hAnsi="Cambria"/>
          <w:sz w:val="20"/>
          <w:szCs w:val="20"/>
          <w:lang w:val="es-ES"/>
        </w:rPr>
        <w:t>ón</w:t>
      </w:r>
      <w:r w:rsidRPr="003B7960">
        <w:rPr>
          <w:rFonts w:ascii="Cambria" w:hAnsi="Cambria"/>
          <w:sz w:val="20"/>
          <w:szCs w:val="20"/>
          <w:lang w:val="es-ES"/>
        </w:rPr>
        <w:t>.</w:t>
      </w:r>
    </w:p>
    <w:p w14:paraId="506F21A7"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526ADBC8" w14:textId="30CCDB69" w:rsidR="00067F9E" w:rsidRPr="003B7960" w:rsidRDefault="00067F9E"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color w:val="000000"/>
          <w:sz w:val="20"/>
          <w:szCs w:val="20"/>
          <w:lang w:val="es-ES"/>
        </w:rPr>
        <w:t>T</w:t>
      </w:r>
      <w:r w:rsidR="009F603B" w:rsidRPr="003B7960">
        <w:rPr>
          <w:rFonts w:ascii="Cambria" w:hAnsi="Cambria"/>
          <w:color w:val="000000"/>
          <w:sz w:val="20"/>
          <w:szCs w:val="20"/>
          <w:lang w:val="es-ES"/>
        </w:rPr>
        <w:t>ercero</w:t>
      </w:r>
      <w:r w:rsidRPr="003B7960">
        <w:rPr>
          <w:rFonts w:ascii="Cambria" w:hAnsi="Cambria"/>
          <w:color w:val="000000"/>
          <w:sz w:val="20"/>
          <w:szCs w:val="20"/>
          <w:lang w:val="es-ES"/>
        </w:rPr>
        <w:t xml:space="preserve">, </w:t>
      </w:r>
      <w:r w:rsidR="00C33F51" w:rsidRPr="003B7960">
        <w:rPr>
          <w:rFonts w:ascii="Cambria" w:hAnsi="Cambria"/>
          <w:color w:val="000000"/>
          <w:sz w:val="20"/>
          <w:szCs w:val="20"/>
          <w:lang w:val="es-ES"/>
        </w:rPr>
        <w:t>la CIDH</w:t>
      </w:r>
      <w:r w:rsidRPr="003B7960">
        <w:rPr>
          <w:rFonts w:ascii="Cambria" w:hAnsi="Cambria"/>
          <w:color w:val="000000"/>
          <w:sz w:val="20"/>
          <w:szCs w:val="20"/>
          <w:lang w:val="es-ES"/>
        </w:rPr>
        <w:t xml:space="preserve"> observ</w:t>
      </w:r>
      <w:r w:rsidR="001F1230" w:rsidRPr="003B7960">
        <w:rPr>
          <w:rFonts w:ascii="Cambria" w:hAnsi="Cambria"/>
          <w:color w:val="000000"/>
          <w:sz w:val="20"/>
          <w:szCs w:val="20"/>
          <w:lang w:val="es-ES"/>
        </w:rPr>
        <w:t xml:space="preserve">a que </w:t>
      </w:r>
      <w:r w:rsidR="00A332F5" w:rsidRPr="003B7960">
        <w:rPr>
          <w:rFonts w:ascii="Cambria" w:hAnsi="Cambria"/>
          <w:color w:val="000000"/>
          <w:sz w:val="20"/>
          <w:szCs w:val="20"/>
          <w:lang w:val="es-ES"/>
        </w:rPr>
        <w:t>el Estado</w:t>
      </w:r>
      <w:r w:rsidRPr="003B7960">
        <w:rPr>
          <w:rFonts w:ascii="Cambria" w:hAnsi="Cambria"/>
          <w:color w:val="000000"/>
          <w:sz w:val="20"/>
          <w:szCs w:val="20"/>
          <w:lang w:val="es-ES"/>
        </w:rPr>
        <w:t xml:space="preserve"> </w:t>
      </w:r>
      <w:r w:rsidR="001F1230" w:rsidRPr="003B7960">
        <w:rPr>
          <w:rFonts w:ascii="Cambria" w:hAnsi="Cambria"/>
          <w:color w:val="000000"/>
          <w:sz w:val="20"/>
          <w:szCs w:val="20"/>
          <w:lang w:val="es-ES"/>
        </w:rPr>
        <w:t xml:space="preserve">no </w:t>
      </w:r>
      <w:r w:rsidRPr="003B7960">
        <w:rPr>
          <w:rFonts w:ascii="Cambria" w:hAnsi="Cambria"/>
          <w:color w:val="000000"/>
          <w:sz w:val="20"/>
          <w:szCs w:val="20"/>
          <w:lang w:val="es-ES"/>
        </w:rPr>
        <w:t>present</w:t>
      </w:r>
      <w:r w:rsidR="001F1230" w:rsidRPr="003B7960">
        <w:rPr>
          <w:rFonts w:ascii="Cambria" w:hAnsi="Cambria"/>
          <w:color w:val="000000"/>
          <w:sz w:val="20"/>
          <w:szCs w:val="20"/>
          <w:lang w:val="es-ES"/>
        </w:rPr>
        <w:t>ó información</w:t>
      </w:r>
      <w:r w:rsidRPr="003B7960">
        <w:rPr>
          <w:rFonts w:ascii="Cambria" w:hAnsi="Cambria"/>
          <w:color w:val="000000"/>
          <w:sz w:val="20"/>
          <w:szCs w:val="20"/>
          <w:lang w:val="es-ES"/>
        </w:rPr>
        <w:t xml:space="preserve"> </w:t>
      </w:r>
      <w:r w:rsidR="001F1230" w:rsidRPr="003B7960">
        <w:rPr>
          <w:rFonts w:ascii="Cambria" w:hAnsi="Cambria"/>
          <w:color w:val="000000"/>
          <w:sz w:val="20"/>
          <w:szCs w:val="20"/>
          <w:lang w:val="es-ES"/>
        </w:rPr>
        <w:t>acerca de la forma en que la decisión</w:t>
      </w:r>
      <w:r w:rsidRPr="003B7960">
        <w:rPr>
          <w:rFonts w:ascii="Cambria" w:hAnsi="Cambria"/>
          <w:color w:val="000000"/>
          <w:sz w:val="20"/>
          <w:szCs w:val="20"/>
          <w:lang w:val="es-ES"/>
        </w:rPr>
        <w:t xml:space="preserve"> </w:t>
      </w:r>
      <w:r w:rsidR="001F1230" w:rsidRPr="003B7960">
        <w:rPr>
          <w:rFonts w:ascii="Cambria" w:hAnsi="Cambria"/>
          <w:color w:val="000000"/>
          <w:sz w:val="20"/>
          <w:szCs w:val="20"/>
          <w:lang w:val="es-ES"/>
        </w:rPr>
        <w:t>de</w:t>
      </w:r>
      <w:r w:rsidRPr="003B7960">
        <w:rPr>
          <w:rFonts w:ascii="Cambria" w:hAnsi="Cambria"/>
          <w:color w:val="000000"/>
          <w:sz w:val="20"/>
          <w:szCs w:val="20"/>
          <w:lang w:val="es-ES"/>
        </w:rPr>
        <w:t xml:space="preserve"> repatria</w:t>
      </w:r>
      <w:r w:rsidR="001F1230" w:rsidRPr="003B7960">
        <w:rPr>
          <w:rFonts w:ascii="Cambria" w:hAnsi="Cambria"/>
          <w:color w:val="000000"/>
          <w:sz w:val="20"/>
          <w:szCs w:val="20"/>
          <w:lang w:val="es-ES"/>
        </w:rPr>
        <w:t>r a las</w:t>
      </w:r>
      <w:r w:rsidRPr="003B7960">
        <w:rPr>
          <w:rFonts w:ascii="Cambria" w:hAnsi="Cambria"/>
          <w:color w:val="000000"/>
          <w:sz w:val="20"/>
          <w:szCs w:val="20"/>
          <w:lang w:val="es-ES"/>
        </w:rPr>
        <w:t xml:space="preserve"> </w:t>
      </w:r>
      <w:r w:rsidR="00C62DEF" w:rsidRPr="003B7960">
        <w:rPr>
          <w:rFonts w:ascii="Cambria" w:hAnsi="Cambria"/>
          <w:color w:val="000000"/>
          <w:sz w:val="20"/>
          <w:szCs w:val="20"/>
          <w:lang w:val="es-ES"/>
        </w:rPr>
        <w:t>presuntas víctimas</w:t>
      </w:r>
      <w:r w:rsidRPr="003B7960">
        <w:rPr>
          <w:rFonts w:ascii="Cambria" w:hAnsi="Cambria"/>
          <w:color w:val="000000"/>
          <w:sz w:val="20"/>
          <w:szCs w:val="20"/>
          <w:lang w:val="es-ES"/>
        </w:rPr>
        <w:t xml:space="preserve"> </w:t>
      </w:r>
      <w:r w:rsidR="001F1230" w:rsidRPr="003B7960">
        <w:rPr>
          <w:rFonts w:ascii="Cambria" w:hAnsi="Cambria"/>
          <w:color w:val="000000"/>
          <w:sz w:val="20"/>
          <w:szCs w:val="20"/>
          <w:lang w:val="es-ES"/>
        </w:rPr>
        <w:t xml:space="preserve">podría ser objeto de una </w:t>
      </w:r>
      <w:r w:rsidR="00AF098C" w:rsidRPr="003B7960">
        <w:rPr>
          <w:rFonts w:ascii="Cambria" w:hAnsi="Cambria"/>
          <w:color w:val="000000"/>
          <w:sz w:val="20"/>
          <w:szCs w:val="20"/>
          <w:lang w:val="es-ES"/>
        </w:rPr>
        <w:t>revisión judicial</w:t>
      </w:r>
      <w:r w:rsidRPr="003B7960">
        <w:rPr>
          <w:rFonts w:ascii="Cambria" w:hAnsi="Cambria"/>
          <w:color w:val="000000"/>
          <w:sz w:val="20"/>
          <w:szCs w:val="20"/>
          <w:lang w:val="es-ES"/>
        </w:rPr>
        <w:t xml:space="preserve"> </w:t>
      </w:r>
      <w:r w:rsidR="001F1230" w:rsidRPr="003B7960">
        <w:rPr>
          <w:rFonts w:ascii="Cambria" w:hAnsi="Cambria"/>
          <w:color w:val="000000"/>
          <w:sz w:val="20"/>
          <w:szCs w:val="20"/>
          <w:lang w:val="es-ES"/>
        </w:rPr>
        <w:t>para impugnar cualquier violación</w:t>
      </w:r>
      <w:r w:rsidRPr="003B7960">
        <w:rPr>
          <w:rFonts w:ascii="Cambria" w:hAnsi="Cambria"/>
          <w:color w:val="000000"/>
          <w:sz w:val="20"/>
          <w:szCs w:val="20"/>
          <w:lang w:val="es-ES"/>
        </w:rPr>
        <w:t xml:space="preserve"> particular </w:t>
      </w:r>
      <w:r w:rsidR="001F1230" w:rsidRPr="003B7960">
        <w:rPr>
          <w:rFonts w:ascii="Cambria" w:hAnsi="Cambria"/>
          <w:color w:val="000000"/>
          <w:sz w:val="20"/>
          <w:szCs w:val="20"/>
          <w:lang w:val="es-ES"/>
        </w:rPr>
        <w:t xml:space="preserve">de las </w:t>
      </w:r>
      <w:r w:rsidR="001221F9" w:rsidRPr="003B7960">
        <w:rPr>
          <w:rFonts w:ascii="Cambria" w:hAnsi="Cambria"/>
          <w:color w:val="000000"/>
          <w:sz w:val="20"/>
          <w:szCs w:val="20"/>
          <w:lang w:val="es-ES"/>
        </w:rPr>
        <w:t>garantías</w:t>
      </w:r>
      <w:r w:rsidRPr="003B7960">
        <w:rPr>
          <w:rFonts w:ascii="Cambria" w:hAnsi="Cambria"/>
          <w:color w:val="000000"/>
          <w:sz w:val="20"/>
          <w:szCs w:val="20"/>
          <w:lang w:val="es-ES"/>
        </w:rPr>
        <w:t xml:space="preserve"> </w:t>
      </w:r>
      <w:r w:rsidR="009A31EF" w:rsidRPr="003B7960">
        <w:rPr>
          <w:rFonts w:ascii="Cambria" w:hAnsi="Cambria"/>
          <w:color w:val="000000"/>
          <w:sz w:val="20"/>
          <w:szCs w:val="20"/>
          <w:lang w:val="es-ES"/>
        </w:rPr>
        <w:t xml:space="preserve">de un juicio imparcial </w:t>
      </w:r>
      <w:r w:rsidRPr="003B7960">
        <w:rPr>
          <w:rFonts w:ascii="Cambria" w:hAnsi="Cambria"/>
          <w:color w:val="000000"/>
          <w:sz w:val="20"/>
          <w:szCs w:val="20"/>
          <w:lang w:val="es-ES"/>
        </w:rPr>
        <w:t>o</w:t>
      </w:r>
      <w:r w:rsidR="001F1230" w:rsidRPr="003B7960">
        <w:rPr>
          <w:rFonts w:ascii="Cambria" w:hAnsi="Cambria"/>
          <w:color w:val="000000"/>
          <w:sz w:val="20"/>
          <w:szCs w:val="20"/>
          <w:lang w:val="es-ES"/>
        </w:rPr>
        <w:t xml:space="preserve"> la base sustantiva de la decisión</w:t>
      </w:r>
      <w:r w:rsidR="00B476C6" w:rsidRPr="003B7960">
        <w:rPr>
          <w:rFonts w:ascii="Cambria" w:hAnsi="Cambria"/>
          <w:color w:val="000000"/>
          <w:sz w:val="20"/>
          <w:szCs w:val="20"/>
          <w:lang w:val="es-ES"/>
        </w:rPr>
        <w:t>.</w:t>
      </w:r>
      <w:r w:rsidRPr="003B7960">
        <w:rPr>
          <w:rFonts w:ascii="Cambria" w:hAnsi="Cambria"/>
          <w:color w:val="000000"/>
          <w:sz w:val="20"/>
          <w:szCs w:val="20"/>
          <w:lang w:val="es-ES"/>
        </w:rPr>
        <w:t xml:space="preserve"> </w:t>
      </w:r>
    </w:p>
    <w:p w14:paraId="687E78DF" w14:textId="77777777" w:rsidR="00067F9E" w:rsidRPr="003B7960" w:rsidRDefault="00067F9E" w:rsidP="00101DC6">
      <w:pPr>
        <w:pStyle w:val="ListParagraph"/>
        <w:tabs>
          <w:tab w:val="left" w:pos="426"/>
        </w:tabs>
        <w:ind w:left="0"/>
        <w:rPr>
          <w:rFonts w:ascii="Cambria" w:hAnsi="Cambria"/>
          <w:sz w:val="20"/>
          <w:szCs w:val="20"/>
          <w:lang w:val="es-ES"/>
        </w:rPr>
      </w:pPr>
    </w:p>
    <w:p w14:paraId="56EFEE75" w14:textId="77777777" w:rsidR="00067F9E" w:rsidRPr="003B7960" w:rsidRDefault="001F1230"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Cuarto</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observa que no hay pruebas de que se haya tomado una decisión debidamente fundamentada de</w:t>
      </w:r>
      <w:r w:rsidR="00067F9E" w:rsidRPr="003B7960">
        <w:rPr>
          <w:rFonts w:ascii="Cambria" w:hAnsi="Cambria"/>
          <w:sz w:val="20"/>
          <w:szCs w:val="20"/>
          <w:lang w:val="es-ES"/>
        </w:rPr>
        <w:t xml:space="preserve"> repatria</w:t>
      </w:r>
      <w:r w:rsidRPr="003B7960">
        <w:rPr>
          <w:rFonts w:ascii="Cambria" w:hAnsi="Cambria"/>
          <w:sz w:val="20"/>
          <w:szCs w:val="20"/>
          <w:lang w:val="es-ES"/>
        </w:rPr>
        <w:t>r a las</w:t>
      </w:r>
      <w:r w:rsidR="00067F9E" w:rsidRPr="003B7960">
        <w:rPr>
          <w:rFonts w:ascii="Cambria" w:hAnsi="Cambria"/>
          <w:sz w:val="20"/>
          <w:szCs w:val="20"/>
          <w:lang w:val="es-ES"/>
        </w:rPr>
        <w:t xml:space="preserve">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del</w:t>
      </w:r>
      <w:r w:rsidR="00067F9E" w:rsidRPr="003B7960">
        <w:rPr>
          <w:rFonts w:ascii="Cambria" w:hAnsi="Cambria"/>
          <w:sz w:val="20"/>
          <w:szCs w:val="20"/>
          <w:lang w:val="es-ES"/>
        </w:rPr>
        <w:t xml:space="preserve"> </w:t>
      </w:r>
      <w:r w:rsidR="008A4F19" w:rsidRPr="003B7960">
        <w:rPr>
          <w:rFonts w:ascii="Cambria" w:hAnsi="Cambria"/>
          <w:sz w:val="20"/>
          <w:szCs w:val="20"/>
          <w:lang w:val="es-ES"/>
        </w:rPr>
        <w:t>caso</w:t>
      </w:r>
      <w:r w:rsidR="00067F9E" w:rsidRPr="003B7960">
        <w:rPr>
          <w:rFonts w:ascii="Cambria" w:hAnsi="Cambria"/>
          <w:sz w:val="20"/>
          <w:szCs w:val="20"/>
          <w:lang w:val="es-ES"/>
        </w:rPr>
        <w:t xml:space="preserve">. </w:t>
      </w:r>
      <w:r w:rsidRPr="003B7960">
        <w:rPr>
          <w:rFonts w:ascii="Cambria" w:hAnsi="Cambria"/>
          <w:sz w:val="20"/>
          <w:szCs w:val="20"/>
          <w:lang w:val="es-ES"/>
        </w:rPr>
        <w:t>Asimismo</w:t>
      </w:r>
      <w:r w:rsidR="00067F9E" w:rsidRPr="003B7960">
        <w:rPr>
          <w:rFonts w:ascii="Cambria" w:hAnsi="Cambria"/>
          <w:sz w:val="20"/>
          <w:szCs w:val="20"/>
          <w:lang w:val="es-ES"/>
        </w:rPr>
        <w:t xml:space="preserve">, </w:t>
      </w:r>
      <w:r w:rsidR="00A332F5" w:rsidRPr="003B7960">
        <w:rPr>
          <w:rFonts w:ascii="Cambria" w:hAnsi="Cambria"/>
          <w:sz w:val="20"/>
          <w:szCs w:val="20"/>
          <w:lang w:val="es-ES"/>
        </w:rPr>
        <w:t>el Estado</w:t>
      </w:r>
      <w:r w:rsidR="00067F9E" w:rsidRPr="003B7960">
        <w:rPr>
          <w:rFonts w:ascii="Cambria" w:hAnsi="Cambria"/>
          <w:sz w:val="20"/>
          <w:szCs w:val="20"/>
          <w:lang w:val="es-ES"/>
        </w:rPr>
        <w:t xml:space="preserve"> </w:t>
      </w:r>
      <w:r w:rsidR="009A31EF" w:rsidRPr="003B7960">
        <w:rPr>
          <w:rFonts w:ascii="Cambria" w:hAnsi="Cambria"/>
          <w:sz w:val="20"/>
          <w:szCs w:val="20"/>
          <w:lang w:val="es-ES"/>
        </w:rPr>
        <w:t xml:space="preserve">afirma que existe un proceso para determinar la </w:t>
      </w:r>
      <w:r w:rsidR="00BE1909" w:rsidRPr="003B7960">
        <w:rPr>
          <w:rFonts w:ascii="Cambria" w:hAnsi="Cambria"/>
          <w:sz w:val="20"/>
          <w:szCs w:val="20"/>
          <w:lang w:val="es-ES"/>
        </w:rPr>
        <w:t>condición de refugiado</w:t>
      </w:r>
      <w:r w:rsidR="00067F9E" w:rsidRPr="003B7960">
        <w:rPr>
          <w:rFonts w:ascii="Cambria" w:hAnsi="Cambria"/>
          <w:sz w:val="20"/>
          <w:szCs w:val="20"/>
          <w:lang w:val="es-ES"/>
        </w:rPr>
        <w:t xml:space="preserve">; </w:t>
      </w:r>
      <w:r w:rsidRPr="003B7960">
        <w:rPr>
          <w:rFonts w:ascii="Cambria" w:hAnsi="Cambria"/>
          <w:sz w:val="20"/>
          <w:szCs w:val="20"/>
          <w:lang w:val="es-ES"/>
        </w:rPr>
        <w:t>sin embargo</w:t>
      </w:r>
      <w:r w:rsidR="00067F9E" w:rsidRPr="003B7960">
        <w:rPr>
          <w:rFonts w:ascii="Cambria" w:hAnsi="Cambria"/>
          <w:sz w:val="20"/>
          <w:szCs w:val="20"/>
          <w:lang w:val="es-ES"/>
        </w:rPr>
        <w:t xml:space="preserve">, </w:t>
      </w:r>
      <w:r w:rsidRPr="003B7960">
        <w:rPr>
          <w:rFonts w:ascii="Cambria" w:hAnsi="Cambria"/>
          <w:sz w:val="20"/>
          <w:szCs w:val="20"/>
          <w:lang w:val="es-ES"/>
        </w:rPr>
        <w:t xml:space="preserve">en el expediente no se indica en qué casos se denegaron las solicitudes de </w:t>
      </w:r>
      <w:r w:rsidR="00774960" w:rsidRPr="003B7960">
        <w:rPr>
          <w:rFonts w:ascii="Cambria" w:hAnsi="Cambria"/>
          <w:sz w:val="20"/>
          <w:szCs w:val="20"/>
          <w:lang w:val="es-ES"/>
        </w:rPr>
        <w:t>asilo</w:t>
      </w:r>
      <w:r w:rsidR="00067F9E" w:rsidRPr="003B7960">
        <w:rPr>
          <w:rFonts w:ascii="Cambria" w:hAnsi="Cambria"/>
          <w:sz w:val="20"/>
          <w:szCs w:val="20"/>
          <w:lang w:val="es-ES"/>
        </w:rPr>
        <w:t xml:space="preserve"> </w:t>
      </w:r>
      <w:r w:rsidRPr="003B7960">
        <w:rPr>
          <w:rFonts w:ascii="Cambria" w:hAnsi="Cambria"/>
          <w:sz w:val="20"/>
          <w:szCs w:val="20"/>
          <w:lang w:val="es-ES"/>
        </w:rPr>
        <w:t>y, en consecuencia, se repatrió legalmente al solicitante. En vista de la información proporcionada por las partes</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entiende que la </w:t>
      </w:r>
      <w:r w:rsidR="007B6078" w:rsidRPr="003B7960">
        <w:rPr>
          <w:rFonts w:ascii="Cambria" w:hAnsi="Cambria"/>
          <w:sz w:val="20"/>
          <w:szCs w:val="20"/>
          <w:lang w:val="es-ES"/>
        </w:rPr>
        <w:t>repatriación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de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fue el producto de un procedimiento automático basado en</w:t>
      </w:r>
      <w:r w:rsidR="00067F9E" w:rsidRPr="003B7960">
        <w:rPr>
          <w:rFonts w:ascii="Cambria" w:hAnsi="Cambria"/>
          <w:sz w:val="20"/>
          <w:szCs w:val="20"/>
          <w:lang w:val="es-ES"/>
        </w:rPr>
        <w:t xml:space="preserve"> </w:t>
      </w:r>
      <w:r w:rsidR="0095643C" w:rsidRPr="003B7960">
        <w:rPr>
          <w:rFonts w:ascii="Cambria" w:hAnsi="Cambria"/>
          <w:sz w:val="20"/>
          <w:szCs w:val="20"/>
          <w:lang w:val="es-ES"/>
        </w:rPr>
        <w:t>acuerdos bilaterales internacionales</w:t>
      </w:r>
      <w:r w:rsidR="00067F9E" w:rsidRPr="003B7960">
        <w:rPr>
          <w:rFonts w:ascii="Cambria" w:hAnsi="Cambria"/>
          <w:sz w:val="20"/>
          <w:szCs w:val="20"/>
          <w:lang w:val="es-ES"/>
        </w:rPr>
        <w:t xml:space="preserve"> </w:t>
      </w:r>
      <w:r w:rsidRPr="003B7960">
        <w:rPr>
          <w:rFonts w:ascii="Cambria" w:hAnsi="Cambria"/>
          <w:sz w:val="20"/>
          <w:szCs w:val="20"/>
          <w:lang w:val="es-ES"/>
        </w:rPr>
        <w:t xml:space="preserve">de </w:t>
      </w:r>
      <w:r w:rsidR="00B9011F" w:rsidRPr="003B7960">
        <w:rPr>
          <w:rFonts w:ascii="Cambria" w:hAnsi="Cambria"/>
          <w:sz w:val="20"/>
          <w:szCs w:val="20"/>
          <w:lang w:val="es-ES"/>
        </w:rPr>
        <w:t>las Bahamas</w:t>
      </w:r>
      <w:r w:rsidRPr="003B7960">
        <w:rPr>
          <w:rFonts w:ascii="Cambria" w:hAnsi="Cambria"/>
          <w:sz w:val="20"/>
          <w:szCs w:val="20"/>
          <w:lang w:val="es-ES"/>
        </w:rPr>
        <w:t xml:space="preserve"> con </w:t>
      </w:r>
      <w:r w:rsidR="00067F9E" w:rsidRPr="003B7960">
        <w:rPr>
          <w:rFonts w:ascii="Cambria" w:hAnsi="Cambria"/>
          <w:sz w:val="20"/>
          <w:szCs w:val="20"/>
          <w:lang w:val="es-ES"/>
        </w:rPr>
        <w:t xml:space="preserve">Cuba </w:t>
      </w:r>
      <w:r w:rsidRPr="003B7960">
        <w:rPr>
          <w:rFonts w:ascii="Cambria" w:hAnsi="Cambria"/>
          <w:sz w:val="20"/>
          <w:szCs w:val="20"/>
          <w:lang w:val="es-ES"/>
        </w:rPr>
        <w:t>y</w:t>
      </w:r>
      <w:r w:rsidR="00067F9E" w:rsidRPr="003B7960">
        <w:rPr>
          <w:rFonts w:ascii="Cambria" w:hAnsi="Cambria"/>
          <w:sz w:val="20"/>
          <w:szCs w:val="20"/>
          <w:lang w:val="es-ES"/>
        </w:rPr>
        <w:t xml:space="preserve"> </w:t>
      </w:r>
      <w:r w:rsidR="004016DF" w:rsidRPr="003B7960">
        <w:rPr>
          <w:rFonts w:ascii="Cambria" w:hAnsi="Cambria"/>
          <w:sz w:val="20"/>
          <w:szCs w:val="20"/>
          <w:lang w:val="es-ES"/>
        </w:rPr>
        <w:t>Haití</w:t>
      </w:r>
      <w:r w:rsidR="00067F9E" w:rsidRPr="003B7960">
        <w:rPr>
          <w:rFonts w:ascii="Cambria" w:hAnsi="Cambria"/>
          <w:sz w:val="20"/>
          <w:szCs w:val="20"/>
          <w:lang w:val="es-ES"/>
        </w:rPr>
        <w:t>.</w:t>
      </w:r>
    </w:p>
    <w:p w14:paraId="4D9BEA7A" w14:textId="77777777" w:rsidR="00067F9E" w:rsidRPr="003B7960" w:rsidRDefault="00067F9E" w:rsidP="00101DC6">
      <w:pPr>
        <w:pStyle w:val="ListParagraph"/>
        <w:tabs>
          <w:tab w:val="left" w:pos="426"/>
        </w:tabs>
        <w:ind w:left="0"/>
        <w:rPr>
          <w:rFonts w:ascii="Cambria" w:hAnsi="Cambria"/>
          <w:sz w:val="20"/>
          <w:szCs w:val="20"/>
          <w:lang w:val="es-ES"/>
        </w:rPr>
      </w:pPr>
    </w:p>
    <w:p w14:paraId="717F1A57" w14:textId="77777777" w:rsidR="00067F9E" w:rsidRPr="003B7960" w:rsidRDefault="00AE20C6"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Quinto, dada la falta de información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sobre cuáles de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ne</w:t>
      </w:r>
      <w:r w:rsidRPr="003B7960">
        <w:rPr>
          <w:rFonts w:ascii="Cambria" w:hAnsi="Cambria"/>
          <w:sz w:val="20"/>
          <w:szCs w:val="20"/>
          <w:lang w:val="es-ES"/>
        </w:rPr>
        <w:t xml:space="preserve">cesitaban </w:t>
      </w:r>
      <w:r w:rsidR="00774960" w:rsidRPr="003B7960">
        <w:rPr>
          <w:rFonts w:ascii="Cambria" w:hAnsi="Cambria"/>
          <w:sz w:val="20"/>
          <w:szCs w:val="20"/>
          <w:lang w:val="es-ES"/>
        </w:rPr>
        <w:t>protección internacional</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no puede determinar en qué casos las </w:t>
      </w:r>
      <w:r w:rsidR="00C62DEF" w:rsidRPr="003B7960">
        <w:rPr>
          <w:rFonts w:ascii="Cambria" w:hAnsi="Cambria"/>
          <w:sz w:val="20"/>
          <w:szCs w:val="20"/>
          <w:lang w:val="es-ES"/>
        </w:rPr>
        <w:t>presuntas víctimas</w:t>
      </w:r>
      <w:r w:rsidR="00067F9E" w:rsidRPr="003B7960">
        <w:rPr>
          <w:rFonts w:ascii="Cambria" w:hAnsi="Cambria"/>
          <w:sz w:val="20"/>
          <w:szCs w:val="20"/>
          <w:lang w:val="es-ES"/>
        </w:rPr>
        <w:t xml:space="preserve"> </w:t>
      </w:r>
      <w:r w:rsidRPr="003B7960">
        <w:rPr>
          <w:rFonts w:ascii="Cambria" w:hAnsi="Cambria"/>
          <w:sz w:val="20"/>
          <w:szCs w:val="20"/>
          <w:lang w:val="es-ES"/>
        </w:rPr>
        <w:t xml:space="preserve">fueron devueltas a su país de origen en contravención de las normas del </w:t>
      </w:r>
      <w:r w:rsidR="00FC3DB1" w:rsidRPr="003B7960">
        <w:rPr>
          <w:rFonts w:ascii="Cambria" w:hAnsi="Cambria"/>
          <w:sz w:val="20"/>
          <w:szCs w:val="20"/>
          <w:lang w:val="es-ES"/>
        </w:rPr>
        <w:t>derecho internacional</w:t>
      </w:r>
      <w:r w:rsidR="00067F9E" w:rsidRPr="003B7960">
        <w:rPr>
          <w:rFonts w:ascii="Cambria" w:hAnsi="Cambria"/>
          <w:sz w:val="20"/>
          <w:szCs w:val="20"/>
          <w:lang w:val="es-ES"/>
        </w:rPr>
        <w:t xml:space="preserve">. </w:t>
      </w:r>
      <w:r w:rsidRPr="003B7960">
        <w:rPr>
          <w:rFonts w:ascii="Cambria" w:hAnsi="Cambria"/>
          <w:sz w:val="20"/>
          <w:szCs w:val="20"/>
          <w:lang w:val="es-ES"/>
        </w:rPr>
        <w:t>Sin embargo</w:t>
      </w:r>
      <w:r w:rsidR="00067F9E" w:rsidRPr="003B7960">
        <w:rPr>
          <w:rFonts w:ascii="Cambria" w:hAnsi="Cambria"/>
          <w:sz w:val="20"/>
          <w:szCs w:val="20"/>
          <w:lang w:val="es-ES"/>
        </w:rPr>
        <w:t xml:space="preserve">, </w:t>
      </w:r>
      <w:r w:rsidR="00C33F51" w:rsidRPr="003B7960">
        <w:rPr>
          <w:rFonts w:ascii="Cambria" w:hAnsi="Cambria"/>
          <w:sz w:val="20"/>
          <w:szCs w:val="20"/>
          <w:lang w:val="es-ES"/>
        </w:rPr>
        <w:t>la CIDH</w:t>
      </w:r>
      <w:r w:rsidR="00067F9E" w:rsidRPr="003B7960">
        <w:rPr>
          <w:rFonts w:ascii="Cambria" w:hAnsi="Cambria"/>
          <w:sz w:val="20"/>
          <w:szCs w:val="20"/>
          <w:lang w:val="es-ES"/>
        </w:rPr>
        <w:t xml:space="preserve"> </w:t>
      </w:r>
      <w:r w:rsidRPr="003B7960">
        <w:rPr>
          <w:rFonts w:ascii="Cambria" w:hAnsi="Cambria"/>
          <w:sz w:val="20"/>
          <w:szCs w:val="20"/>
          <w:lang w:val="es-ES"/>
        </w:rPr>
        <w:t>entiende que la observancia de las garantías del</w:t>
      </w:r>
      <w:r w:rsidR="00067F9E" w:rsidRPr="003B7960">
        <w:rPr>
          <w:rFonts w:ascii="Cambria" w:hAnsi="Cambria"/>
          <w:sz w:val="20"/>
          <w:szCs w:val="20"/>
          <w:lang w:val="es-ES"/>
        </w:rPr>
        <w:t xml:space="preserve"> </w:t>
      </w:r>
      <w:r w:rsidR="004B2866" w:rsidRPr="003B7960">
        <w:rPr>
          <w:rFonts w:ascii="Cambria" w:hAnsi="Cambria"/>
          <w:sz w:val="20"/>
          <w:szCs w:val="20"/>
          <w:lang w:val="es-ES"/>
        </w:rPr>
        <w:t>debido proceso</w:t>
      </w:r>
      <w:r w:rsidR="00067F9E" w:rsidRPr="003B7960">
        <w:rPr>
          <w:rFonts w:ascii="Cambria" w:hAnsi="Cambria"/>
          <w:sz w:val="20"/>
          <w:szCs w:val="20"/>
          <w:lang w:val="es-ES"/>
        </w:rPr>
        <w:t xml:space="preserve"> </w:t>
      </w:r>
      <w:r w:rsidRPr="003B7960">
        <w:rPr>
          <w:rFonts w:ascii="Cambria" w:hAnsi="Cambria"/>
          <w:sz w:val="20"/>
          <w:szCs w:val="20"/>
          <w:lang w:val="es-ES"/>
        </w:rPr>
        <w:t xml:space="preserve">en un procedimiento adecuado para determinar la necesidad de </w:t>
      </w:r>
      <w:r w:rsidR="00774960" w:rsidRPr="003B7960">
        <w:rPr>
          <w:rFonts w:ascii="Cambria" w:hAnsi="Cambria"/>
          <w:sz w:val="20"/>
          <w:szCs w:val="20"/>
          <w:lang w:val="es-ES"/>
        </w:rPr>
        <w:t>protección internacional</w:t>
      </w:r>
      <w:r w:rsidR="00067F9E" w:rsidRPr="003B7960">
        <w:rPr>
          <w:rFonts w:ascii="Cambria" w:hAnsi="Cambria"/>
          <w:sz w:val="20"/>
          <w:szCs w:val="20"/>
          <w:lang w:val="es-ES"/>
        </w:rPr>
        <w:t xml:space="preserve"> </w:t>
      </w:r>
      <w:r w:rsidRPr="003B7960">
        <w:rPr>
          <w:rFonts w:ascii="Cambria" w:hAnsi="Cambria"/>
          <w:sz w:val="20"/>
          <w:szCs w:val="20"/>
          <w:lang w:val="es-ES"/>
        </w:rPr>
        <w:t>implica necesariamente una garantía apropiada de que no se efectuará la</w:t>
      </w:r>
      <w:r w:rsidR="00067F9E" w:rsidRPr="003B7960">
        <w:rPr>
          <w:rFonts w:ascii="Cambria" w:hAnsi="Cambria"/>
          <w:i/>
          <w:sz w:val="20"/>
          <w:szCs w:val="20"/>
          <w:lang w:val="es-ES"/>
        </w:rPr>
        <w:t xml:space="preserve"> </w:t>
      </w:r>
      <w:r w:rsidR="00094BDA" w:rsidRPr="003B7960">
        <w:rPr>
          <w:rFonts w:ascii="Cambria" w:hAnsi="Cambria"/>
          <w:sz w:val="20"/>
          <w:szCs w:val="20"/>
          <w:lang w:val="es-ES"/>
        </w:rPr>
        <w:t>devolución</w:t>
      </w:r>
      <w:r w:rsidR="00067F9E" w:rsidRPr="003B7960">
        <w:rPr>
          <w:rFonts w:ascii="Cambria" w:hAnsi="Cambria"/>
          <w:i/>
          <w:sz w:val="20"/>
          <w:szCs w:val="20"/>
          <w:lang w:val="es-ES"/>
        </w:rPr>
        <w:t xml:space="preserve">. </w:t>
      </w:r>
      <w:r w:rsidRPr="003B7960">
        <w:rPr>
          <w:rFonts w:ascii="Cambria" w:hAnsi="Cambria"/>
          <w:sz w:val="20"/>
          <w:szCs w:val="20"/>
          <w:lang w:val="es-ES"/>
        </w:rPr>
        <w:t>En ese sentido, en vista de las características</w:t>
      </w:r>
      <w:r w:rsidR="00067F9E" w:rsidRPr="003B7960">
        <w:rPr>
          <w:rFonts w:ascii="Cambria" w:hAnsi="Cambria"/>
          <w:sz w:val="20"/>
          <w:szCs w:val="20"/>
          <w:lang w:val="es-ES"/>
        </w:rPr>
        <w:t xml:space="preserve"> </w:t>
      </w:r>
      <w:r w:rsidRPr="003B7960">
        <w:rPr>
          <w:rFonts w:ascii="Cambria" w:hAnsi="Cambria"/>
          <w:sz w:val="20"/>
          <w:szCs w:val="20"/>
          <w:lang w:val="es-ES"/>
        </w:rPr>
        <w:t xml:space="preserve">de la </w:t>
      </w:r>
      <w:r w:rsidR="007B6078" w:rsidRPr="003B7960">
        <w:rPr>
          <w:rFonts w:ascii="Cambria" w:hAnsi="Cambria"/>
          <w:sz w:val="20"/>
          <w:szCs w:val="20"/>
          <w:lang w:val="es-ES"/>
        </w:rPr>
        <w:t>repatriación</w:t>
      </w:r>
      <w:r w:rsidR="00067F9E" w:rsidRPr="003B7960">
        <w:rPr>
          <w:rFonts w:ascii="Cambria" w:hAnsi="Cambria"/>
          <w:sz w:val="20"/>
          <w:szCs w:val="20"/>
          <w:lang w:val="es-ES"/>
        </w:rPr>
        <w:t xml:space="preserve"> </w:t>
      </w:r>
      <w:r w:rsidRPr="003B7960">
        <w:rPr>
          <w:rFonts w:ascii="Cambria" w:hAnsi="Cambria"/>
          <w:sz w:val="20"/>
          <w:szCs w:val="20"/>
          <w:lang w:val="es-ES"/>
        </w:rPr>
        <w:t>que ya se han abordado y de la falta de un registro de tales decisiones</w:t>
      </w:r>
      <w:r w:rsidR="00067F9E" w:rsidRPr="003B7960">
        <w:rPr>
          <w:rFonts w:ascii="Cambria" w:hAnsi="Cambria"/>
          <w:sz w:val="20"/>
          <w:szCs w:val="20"/>
          <w:lang w:val="es-ES"/>
        </w:rPr>
        <w:t xml:space="preserve">, </w:t>
      </w:r>
      <w:r w:rsidR="00B9011F" w:rsidRPr="003B7960">
        <w:rPr>
          <w:rFonts w:ascii="Cambria" w:hAnsi="Cambria"/>
          <w:sz w:val="20"/>
          <w:szCs w:val="20"/>
          <w:lang w:val="es-ES"/>
        </w:rPr>
        <w:t>la Comisión</w:t>
      </w:r>
      <w:r w:rsidR="00067F9E" w:rsidRPr="003B7960">
        <w:rPr>
          <w:rFonts w:ascii="Cambria" w:hAnsi="Cambria"/>
          <w:sz w:val="20"/>
          <w:szCs w:val="20"/>
          <w:lang w:val="es-ES"/>
        </w:rPr>
        <w:t xml:space="preserve"> </w:t>
      </w:r>
      <w:r w:rsidRPr="003B7960">
        <w:rPr>
          <w:rFonts w:ascii="Cambria" w:hAnsi="Cambria"/>
          <w:sz w:val="20"/>
          <w:szCs w:val="20"/>
          <w:lang w:val="es-ES"/>
        </w:rPr>
        <w:t xml:space="preserve">concluye que el </w:t>
      </w:r>
      <w:r w:rsidR="00A332F5" w:rsidRPr="003B7960">
        <w:rPr>
          <w:rFonts w:ascii="Cambria" w:hAnsi="Cambria"/>
          <w:sz w:val="20"/>
          <w:szCs w:val="20"/>
          <w:lang w:val="es-ES"/>
        </w:rPr>
        <w:t>Estado</w:t>
      </w:r>
      <w:r w:rsidR="00067F9E" w:rsidRPr="003B7960">
        <w:rPr>
          <w:rFonts w:ascii="Cambria" w:hAnsi="Cambria"/>
          <w:sz w:val="20"/>
          <w:szCs w:val="20"/>
          <w:lang w:val="es-ES"/>
        </w:rPr>
        <w:t xml:space="preserve"> </w:t>
      </w:r>
      <w:r w:rsidRPr="003B7960">
        <w:rPr>
          <w:rFonts w:ascii="Cambria" w:hAnsi="Cambria"/>
          <w:sz w:val="20"/>
          <w:szCs w:val="20"/>
          <w:lang w:val="es-ES"/>
        </w:rPr>
        <w:t xml:space="preserve">no hizo un examen exhaustivo de cada </w:t>
      </w:r>
      <w:r w:rsidR="008A4F19" w:rsidRPr="003B7960">
        <w:rPr>
          <w:rFonts w:ascii="Cambria" w:hAnsi="Cambria"/>
          <w:sz w:val="20"/>
          <w:szCs w:val="20"/>
          <w:lang w:val="es-ES"/>
        </w:rPr>
        <w:t>caso</w:t>
      </w:r>
      <w:r w:rsidR="00067F9E" w:rsidRPr="003B7960">
        <w:rPr>
          <w:rFonts w:ascii="Cambria" w:hAnsi="Cambria"/>
          <w:sz w:val="20"/>
          <w:szCs w:val="20"/>
          <w:lang w:val="es-ES"/>
        </w:rPr>
        <w:t xml:space="preserve"> </w:t>
      </w:r>
      <w:r w:rsidRPr="003B7960">
        <w:rPr>
          <w:rFonts w:ascii="Cambria" w:hAnsi="Cambria"/>
          <w:sz w:val="20"/>
          <w:szCs w:val="20"/>
          <w:lang w:val="es-ES"/>
        </w:rPr>
        <w:t xml:space="preserve">para descartar posibles motivos de persecución, como lo requiere la obligación de </w:t>
      </w:r>
      <w:r w:rsidR="004E3528" w:rsidRPr="003B7960">
        <w:rPr>
          <w:rFonts w:ascii="Cambria" w:hAnsi="Cambria"/>
          <w:sz w:val="20"/>
          <w:szCs w:val="20"/>
          <w:lang w:val="es-ES"/>
        </w:rPr>
        <w:t>no devolución</w:t>
      </w:r>
      <w:r w:rsidR="00067F9E" w:rsidRPr="003B7960">
        <w:rPr>
          <w:rFonts w:ascii="Cambria" w:hAnsi="Cambria"/>
          <w:sz w:val="20"/>
          <w:szCs w:val="20"/>
          <w:lang w:val="es-ES"/>
        </w:rPr>
        <w:t xml:space="preserve">. </w:t>
      </w:r>
    </w:p>
    <w:p w14:paraId="34227B82"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29E90677" w14:textId="77777777" w:rsidR="00067F9E" w:rsidRPr="003B7960" w:rsidRDefault="00067F9E"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S</w:t>
      </w:r>
      <w:r w:rsidR="00AE20C6" w:rsidRPr="003B7960">
        <w:rPr>
          <w:rFonts w:ascii="Cambria" w:hAnsi="Cambria"/>
          <w:sz w:val="20"/>
          <w:szCs w:val="20"/>
          <w:lang w:val="es-ES"/>
        </w:rPr>
        <w:t>exto</w:t>
      </w:r>
      <w:r w:rsidRPr="003B7960">
        <w:rPr>
          <w:rFonts w:ascii="Cambria" w:hAnsi="Cambria"/>
          <w:sz w:val="20"/>
          <w:szCs w:val="20"/>
          <w:lang w:val="es-ES"/>
        </w:rPr>
        <w:t xml:space="preserve">, </w:t>
      </w:r>
      <w:r w:rsidR="00B9011F" w:rsidRPr="003B7960">
        <w:rPr>
          <w:rFonts w:ascii="Cambria" w:hAnsi="Cambria"/>
          <w:sz w:val="20"/>
          <w:szCs w:val="20"/>
          <w:lang w:val="es-ES"/>
        </w:rPr>
        <w:t>la Comisión</w:t>
      </w:r>
      <w:r w:rsidRPr="003B7960">
        <w:rPr>
          <w:rFonts w:ascii="Cambria" w:hAnsi="Cambria"/>
          <w:sz w:val="20"/>
          <w:szCs w:val="20"/>
          <w:lang w:val="es-ES"/>
        </w:rPr>
        <w:t xml:space="preserve"> </w:t>
      </w:r>
      <w:r w:rsidR="00AE20C6" w:rsidRPr="003B7960">
        <w:rPr>
          <w:rFonts w:ascii="Cambria" w:hAnsi="Cambria"/>
          <w:sz w:val="20"/>
          <w:szCs w:val="20"/>
          <w:lang w:val="es-ES"/>
        </w:rPr>
        <w:t xml:space="preserve">observa que las </w:t>
      </w:r>
      <w:r w:rsidR="00C62DEF" w:rsidRPr="003B7960">
        <w:rPr>
          <w:rFonts w:ascii="Cambria" w:hAnsi="Cambria"/>
          <w:sz w:val="20"/>
          <w:szCs w:val="20"/>
          <w:lang w:val="es-ES"/>
        </w:rPr>
        <w:t>presuntas víctimas</w:t>
      </w:r>
      <w:r w:rsidRPr="003B7960">
        <w:rPr>
          <w:rFonts w:ascii="Cambria" w:hAnsi="Cambria"/>
          <w:sz w:val="20"/>
          <w:szCs w:val="20"/>
          <w:lang w:val="es-ES"/>
        </w:rPr>
        <w:t xml:space="preserve"> </w:t>
      </w:r>
      <w:r w:rsidR="00AE20C6" w:rsidRPr="003B7960">
        <w:rPr>
          <w:rFonts w:ascii="Cambria" w:hAnsi="Cambria"/>
          <w:sz w:val="20"/>
          <w:szCs w:val="20"/>
          <w:lang w:val="es-ES"/>
        </w:rPr>
        <w:t xml:space="preserve">carecían de legitimación judicial para interponer recursos a fin de impugnar la decisión de </w:t>
      </w:r>
      <w:r w:rsidR="007B6078" w:rsidRPr="003B7960">
        <w:rPr>
          <w:rFonts w:ascii="Cambria" w:hAnsi="Cambria"/>
          <w:sz w:val="20"/>
          <w:szCs w:val="20"/>
          <w:lang w:val="es-ES"/>
        </w:rPr>
        <w:t>repatriación</w:t>
      </w:r>
      <w:r w:rsidRPr="003B7960">
        <w:rPr>
          <w:rFonts w:ascii="Cambria" w:hAnsi="Cambria"/>
          <w:sz w:val="20"/>
          <w:szCs w:val="20"/>
          <w:lang w:val="es-ES"/>
        </w:rPr>
        <w:t xml:space="preserve"> </w:t>
      </w:r>
      <w:r w:rsidR="00AE20C6" w:rsidRPr="003B7960">
        <w:rPr>
          <w:rFonts w:ascii="Cambria" w:hAnsi="Cambria"/>
          <w:sz w:val="20"/>
          <w:szCs w:val="20"/>
          <w:lang w:val="es-ES"/>
        </w:rPr>
        <w:t xml:space="preserve">debido a su situación migratoria. Además, observa que las </w:t>
      </w:r>
      <w:r w:rsidR="00C62DEF" w:rsidRPr="003B7960">
        <w:rPr>
          <w:rFonts w:ascii="Cambria" w:hAnsi="Cambria"/>
          <w:sz w:val="20"/>
          <w:szCs w:val="20"/>
          <w:lang w:val="es-ES"/>
        </w:rPr>
        <w:t>presuntas víctimas</w:t>
      </w:r>
      <w:r w:rsidRPr="003B7960">
        <w:rPr>
          <w:rFonts w:ascii="Cambria" w:hAnsi="Cambria"/>
          <w:sz w:val="20"/>
          <w:szCs w:val="20"/>
          <w:lang w:val="es-ES"/>
        </w:rPr>
        <w:t xml:space="preserve"> </w:t>
      </w:r>
      <w:r w:rsidR="00AE20C6" w:rsidRPr="003B7960">
        <w:rPr>
          <w:rFonts w:ascii="Cambria" w:hAnsi="Cambria"/>
          <w:sz w:val="20"/>
          <w:szCs w:val="20"/>
          <w:lang w:val="es-ES"/>
        </w:rPr>
        <w:t>fueron repatriadas sumariamente de acuerdo con los acuerdos</w:t>
      </w:r>
      <w:r w:rsidRPr="003B7960">
        <w:rPr>
          <w:rFonts w:ascii="Cambria" w:hAnsi="Cambria"/>
          <w:sz w:val="20"/>
          <w:szCs w:val="20"/>
          <w:lang w:val="es-ES"/>
        </w:rPr>
        <w:t xml:space="preserve"> bilateral</w:t>
      </w:r>
      <w:r w:rsidR="00AE20C6" w:rsidRPr="003B7960">
        <w:rPr>
          <w:rFonts w:ascii="Cambria" w:hAnsi="Cambria"/>
          <w:sz w:val="20"/>
          <w:szCs w:val="20"/>
          <w:lang w:val="es-ES"/>
        </w:rPr>
        <w:t>es</w:t>
      </w:r>
      <w:r w:rsidRPr="003B7960">
        <w:rPr>
          <w:rFonts w:ascii="Cambria" w:hAnsi="Cambria"/>
          <w:sz w:val="20"/>
          <w:szCs w:val="20"/>
          <w:lang w:val="es-ES"/>
        </w:rPr>
        <w:t xml:space="preserve"> interna</w:t>
      </w:r>
      <w:r w:rsidR="00AE20C6" w:rsidRPr="003B7960">
        <w:rPr>
          <w:rFonts w:ascii="Cambria" w:hAnsi="Cambria"/>
          <w:sz w:val="20"/>
          <w:szCs w:val="20"/>
          <w:lang w:val="es-ES"/>
        </w:rPr>
        <w:t>c</w:t>
      </w:r>
      <w:r w:rsidRPr="003B7960">
        <w:rPr>
          <w:rFonts w:ascii="Cambria" w:hAnsi="Cambria"/>
          <w:sz w:val="20"/>
          <w:szCs w:val="20"/>
          <w:lang w:val="es-ES"/>
        </w:rPr>
        <w:t>ional</w:t>
      </w:r>
      <w:r w:rsidR="00AE20C6" w:rsidRPr="003B7960">
        <w:rPr>
          <w:rFonts w:ascii="Cambria" w:hAnsi="Cambria"/>
          <w:sz w:val="20"/>
          <w:szCs w:val="20"/>
          <w:lang w:val="es-ES"/>
        </w:rPr>
        <w:t xml:space="preserve">es que obran en el expediente, los cuales se aplican únicamente a </w:t>
      </w:r>
      <w:r w:rsidR="00C33F51" w:rsidRPr="003B7960">
        <w:rPr>
          <w:rFonts w:ascii="Cambria" w:hAnsi="Cambria"/>
          <w:sz w:val="20"/>
          <w:szCs w:val="20"/>
          <w:lang w:val="es-ES"/>
        </w:rPr>
        <w:t>ciudadanos</w:t>
      </w:r>
      <w:r w:rsidR="005877AD" w:rsidRPr="003B7960">
        <w:rPr>
          <w:rFonts w:ascii="Cambria" w:hAnsi="Cambria"/>
          <w:sz w:val="20"/>
          <w:szCs w:val="20"/>
          <w:lang w:val="es-ES"/>
        </w:rPr>
        <w:t xml:space="preserve"> cubanos y haitianos</w:t>
      </w:r>
      <w:r w:rsidRPr="003B7960">
        <w:rPr>
          <w:rFonts w:ascii="Cambria" w:hAnsi="Cambria"/>
          <w:sz w:val="20"/>
          <w:szCs w:val="20"/>
          <w:lang w:val="es-ES"/>
        </w:rPr>
        <w:t xml:space="preserve">. </w:t>
      </w:r>
      <w:r w:rsidR="00A332F5" w:rsidRPr="003B7960">
        <w:rPr>
          <w:rFonts w:ascii="Cambria" w:hAnsi="Cambria"/>
          <w:sz w:val="20"/>
          <w:szCs w:val="20"/>
          <w:lang w:val="es-ES"/>
        </w:rPr>
        <w:t>El Estado</w:t>
      </w:r>
      <w:r w:rsidRPr="003B7960">
        <w:rPr>
          <w:rFonts w:ascii="Cambria" w:hAnsi="Cambria"/>
          <w:sz w:val="20"/>
          <w:szCs w:val="20"/>
          <w:lang w:val="es-ES"/>
        </w:rPr>
        <w:t xml:space="preserve"> af</w:t>
      </w:r>
      <w:r w:rsidR="00AE20C6" w:rsidRPr="003B7960">
        <w:rPr>
          <w:rFonts w:ascii="Cambria" w:hAnsi="Cambria"/>
          <w:sz w:val="20"/>
          <w:szCs w:val="20"/>
          <w:lang w:val="es-ES"/>
        </w:rPr>
        <w:t xml:space="preserve">irmó que las políticas migratorias que aplica responden a la necesidad de proteger los intereses nacionales y a su posibilidad real de proveer medios materiales a cada persona que desee </w:t>
      </w:r>
      <w:r w:rsidR="00542201" w:rsidRPr="003B7960">
        <w:rPr>
          <w:rFonts w:ascii="Cambria" w:hAnsi="Cambria"/>
          <w:sz w:val="20"/>
          <w:szCs w:val="20"/>
          <w:lang w:val="es-ES"/>
        </w:rPr>
        <w:t>permanecer</w:t>
      </w:r>
      <w:r w:rsidR="00AE20C6" w:rsidRPr="003B7960">
        <w:rPr>
          <w:rFonts w:ascii="Cambria" w:hAnsi="Cambria"/>
          <w:sz w:val="20"/>
          <w:szCs w:val="20"/>
          <w:lang w:val="es-ES"/>
        </w:rPr>
        <w:t xml:space="preserve"> en </w:t>
      </w:r>
      <w:r w:rsidR="00B9011F" w:rsidRPr="003B7960">
        <w:rPr>
          <w:rFonts w:ascii="Cambria" w:hAnsi="Cambria"/>
          <w:sz w:val="20"/>
          <w:szCs w:val="20"/>
          <w:lang w:val="es-ES"/>
        </w:rPr>
        <w:t>las Bahamas</w:t>
      </w:r>
      <w:r w:rsidRPr="003B7960">
        <w:rPr>
          <w:rFonts w:ascii="Cambria" w:hAnsi="Cambria"/>
          <w:sz w:val="20"/>
          <w:szCs w:val="20"/>
          <w:lang w:val="es-ES"/>
        </w:rPr>
        <w:t>. T</w:t>
      </w:r>
      <w:r w:rsidR="00AE20C6" w:rsidRPr="003B7960">
        <w:rPr>
          <w:rFonts w:ascii="Cambria" w:hAnsi="Cambria"/>
          <w:sz w:val="20"/>
          <w:szCs w:val="20"/>
          <w:lang w:val="es-ES"/>
        </w:rPr>
        <w:t xml:space="preserve">eniendo en cuenta </w:t>
      </w:r>
      <w:r w:rsidR="006B434C" w:rsidRPr="003B7960">
        <w:rPr>
          <w:rFonts w:ascii="Cambria" w:hAnsi="Cambria"/>
          <w:sz w:val="20"/>
          <w:szCs w:val="20"/>
          <w:lang w:val="es-ES"/>
        </w:rPr>
        <w:t>esa</w:t>
      </w:r>
      <w:r w:rsidR="00AE20C6" w:rsidRPr="003B7960">
        <w:rPr>
          <w:rFonts w:ascii="Cambria" w:hAnsi="Cambria"/>
          <w:sz w:val="20"/>
          <w:szCs w:val="20"/>
          <w:lang w:val="es-ES"/>
        </w:rPr>
        <w:t xml:space="preserve"> posición</w:t>
      </w:r>
      <w:r w:rsidRPr="003B7960">
        <w:rPr>
          <w:rFonts w:ascii="Cambria" w:hAnsi="Cambria"/>
          <w:sz w:val="20"/>
          <w:szCs w:val="20"/>
          <w:lang w:val="es-ES"/>
        </w:rPr>
        <w:t xml:space="preserve">, </w:t>
      </w:r>
      <w:r w:rsidR="00B9011F" w:rsidRPr="003B7960">
        <w:rPr>
          <w:rFonts w:ascii="Cambria" w:hAnsi="Cambria"/>
          <w:sz w:val="20"/>
          <w:szCs w:val="20"/>
          <w:lang w:val="es-ES"/>
        </w:rPr>
        <w:t>la Comisión</w:t>
      </w:r>
      <w:r w:rsidRPr="003B7960">
        <w:rPr>
          <w:rFonts w:ascii="Cambria" w:hAnsi="Cambria"/>
          <w:sz w:val="20"/>
          <w:szCs w:val="20"/>
          <w:lang w:val="es-ES"/>
        </w:rPr>
        <w:t xml:space="preserve"> consider</w:t>
      </w:r>
      <w:r w:rsidR="00AE20C6" w:rsidRPr="003B7960">
        <w:rPr>
          <w:rFonts w:ascii="Cambria" w:hAnsi="Cambria"/>
          <w:sz w:val="20"/>
          <w:szCs w:val="20"/>
          <w:lang w:val="es-ES"/>
        </w:rPr>
        <w:t xml:space="preserve">a que </w:t>
      </w:r>
      <w:r w:rsidR="006B434C" w:rsidRPr="003B7960">
        <w:rPr>
          <w:rFonts w:ascii="Cambria" w:hAnsi="Cambria"/>
          <w:sz w:val="20"/>
          <w:szCs w:val="20"/>
          <w:lang w:val="es-ES"/>
        </w:rPr>
        <w:t>el Estado no ha satisfecho la carga de demostrar la existencia de un interés superior al hacer estas distinciones, la falta de alternativas menos restrictivas y la estricta proporcionalidad de la medida</w:t>
      </w:r>
      <w:r w:rsidRPr="003B7960">
        <w:rPr>
          <w:rFonts w:ascii="Cambria" w:hAnsi="Cambria"/>
          <w:sz w:val="20"/>
          <w:szCs w:val="20"/>
          <w:lang w:val="es-ES"/>
        </w:rPr>
        <w:t>.</w:t>
      </w:r>
    </w:p>
    <w:p w14:paraId="6BA9CDB5"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6C4587B8" w14:textId="77777777" w:rsidR="00067F9E" w:rsidRPr="003B7960" w:rsidRDefault="006B434C"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b/>
          <w:color w:val="000000"/>
          <w:sz w:val="20"/>
          <w:szCs w:val="20"/>
          <w:lang w:val="es-ES"/>
        </w:rPr>
      </w:pPr>
      <w:r w:rsidRPr="003B7960">
        <w:rPr>
          <w:rFonts w:ascii="Cambria" w:hAnsi="Cambria"/>
          <w:color w:val="000000"/>
          <w:sz w:val="20"/>
          <w:szCs w:val="20"/>
          <w:lang w:val="es-ES"/>
        </w:rPr>
        <w:t>Por lo tanto</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concluye que el hecho de que no se haya identificado a los </w:t>
      </w:r>
      <w:r w:rsidR="00FC3DB1" w:rsidRPr="003B7960">
        <w:rPr>
          <w:rFonts w:ascii="Cambria" w:hAnsi="Cambria"/>
          <w:color w:val="000000"/>
          <w:sz w:val="20"/>
          <w:szCs w:val="20"/>
          <w:lang w:val="es-ES"/>
        </w:rPr>
        <w:t>solicitantes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que necesitaban </w:t>
      </w:r>
      <w:r w:rsidR="00774960" w:rsidRPr="003B7960">
        <w:rPr>
          <w:rFonts w:ascii="Cambria" w:hAnsi="Cambria"/>
          <w:color w:val="000000"/>
          <w:sz w:val="20"/>
          <w:szCs w:val="20"/>
          <w:lang w:val="es-ES"/>
        </w:rPr>
        <w:t>protección internacional</w:t>
      </w:r>
      <w:r w:rsidRPr="003B7960">
        <w:rPr>
          <w:rFonts w:ascii="Cambria" w:hAnsi="Cambria"/>
          <w:color w:val="000000"/>
          <w:sz w:val="20"/>
          <w:szCs w:val="20"/>
          <w:lang w:val="es-ES"/>
        </w:rPr>
        <w:t>, sumado a la falta de</w:t>
      </w:r>
      <w:r w:rsidR="00067F9E" w:rsidRPr="003B7960">
        <w:rPr>
          <w:rFonts w:ascii="Cambria" w:hAnsi="Cambria"/>
          <w:color w:val="000000"/>
          <w:sz w:val="20"/>
          <w:szCs w:val="20"/>
          <w:lang w:val="es-ES"/>
        </w:rPr>
        <w:t xml:space="preserve"> </w:t>
      </w:r>
      <w:r w:rsidR="001221F9" w:rsidRPr="003B7960">
        <w:rPr>
          <w:rFonts w:ascii="Cambria" w:hAnsi="Cambria"/>
          <w:color w:val="000000"/>
          <w:sz w:val="20"/>
          <w:szCs w:val="20"/>
          <w:lang w:val="es-ES"/>
        </w:rPr>
        <w:t>garantías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del </w:t>
      </w:r>
      <w:r w:rsidR="004B2866" w:rsidRPr="003B7960">
        <w:rPr>
          <w:rFonts w:ascii="Cambria" w:hAnsi="Cambria"/>
          <w:color w:val="000000"/>
          <w:sz w:val="20"/>
          <w:szCs w:val="20"/>
          <w:lang w:val="es-ES"/>
        </w:rPr>
        <w:t>debido proceso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en las determinaciones relativas a la </w:t>
      </w:r>
      <w:r w:rsidR="007B6078" w:rsidRPr="003B7960">
        <w:rPr>
          <w:rFonts w:ascii="Cambria" w:hAnsi="Cambria"/>
          <w:color w:val="000000"/>
          <w:sz w:val="20"/>
          <w:szCs w:val="20"/>
          <w:lang w:val="es-ES"/>
        </w:rPr>
        <w:t>repatriación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—a saber, una decisión debidamente motivada, el suministro de intérpretes y un examen de la garantía de </w:t>
      </w:r>
      <w:r w:rsidR="004E3528" w:rsidRPr="003B7960">
        <w:rPr>
          <w:rFonts w:ascii="Cambria" w:hAnsi="Cambria"/>
          <w:color w:val="000000"/>
          <w:sz w:val="20"/>
          <w:szCs w:val="20"/>
          <w:lang w:val="es-ES"/>
        </w:rPr>
        <w:t>no devolución</w:t>
      </w:r>
      <w:r w:rsidR="00067F9E" w:rsidRPr="003B7960">
        <w:rPr>
          <w:rFonts w:ascii="Cambria" w:hAnsi="Cambria"/>
          <w:i/>
          <w:color w:val="000000"/>
          <w:sz w:val="20"/>
          <w:szCs w:val="20"/>
          <w:lang w:val="es-ES"/>
        </w:rPr>
        <w:t xml:space="preserve">, </w:t>
      </w:r>
      <w:r w:rsidRPr="003B7960">
        <w:rPr>
          <w:rFonts w:ascii="Cambria" w:hAnsi="Cambria"/>
          <w:color w:val="000000"/>
          <w:sz w:val="20"/>
          <w:szCs w:val="20"/>
          <w:lang w:val="es-ES"/>
        </w:rPr>
        <w:t>entre otras</w:t>
      </w:r>
      <w:r w:rsidR="007A4B02" w:rsidRPr="003B7960">
        <w:rPr>
          <w:rFonts w:ascii="Cambria" w:hAnsi="Cambria"/>
          <w:color w:val="000000"/>
          <w:sz w:val="20"/>
          <w:szCs w:val="20"/>
          <w:lang w:val="es-ES"/>
        </w:rPr>
        <w:t xml:space="preserve">—, así como la falta de una </w:t>
      </w:r>
      <w:r w:rsidR="00AF098C" w:rsidRPr="003B7960">
        <w:rPr>
          <w:rFonts w:ascii="Cambria" w:hAnsi="Cambria"/>
          <w:color w:val="000000"/>
          <w:sz w:val="20"/>
          <w:szCs w:val="20"/>
          <w:lang w:val="es-ES"/>
        </w:rPr>
        <w:t>revisión judicial</w:t>
      </w:r>
      <w:r w:rsidR="00067F9E" w:rsidRPr="003B7960">
        <w:rPr>
          <w:rFonts w:ascii="Cambria" w:hAnsi="Cambria"/>
          <w:color w:val="000000"/>
          <w:sz w:val="20"/>
          <w:szCs w:val="20"/>
          <w:lang w:val="es-ES"/>
        </w:rPr>
        <w:t xml:space="preserve"> </w:t>
      </w:r>
      <w:r w:rsidR="007A4B02" w:rsidRPr="003B7960">
        <w:rPr>
          <w:rFonts w:ascii="Cambria" w:hAnsi="Cambria"/>
          <w:color w:val="000000"/>
          <w:sz w:val="20"/>
          <w:szCs w:val="20"/>
          <w:lang w:val="es-ES"/>
        </w:rPr>
        <w:t xml:space="preserve">efectiva de las decisiones de </w:t>
      </w:r>
      <w:r w:rsidR="00800462" w:rsidRPr="003B7960">
        <w:rPr>
          <w:rFonts w:ascii="Cambria" w:hAnsi="Cambria"/>
          <w:color w:val="000000"/>
          <w:sz w:val="20"/>
          <w:szCs w:val="20"/>
          <w:lang w:val="es-ES"/>
        </w:rPr>
        <w:t>repatria</w:t>
      </w:r>
      <w:r w:rsidR="007A4B02" w:rsidRPr="003B7960">
        <w:rPr>
          <w:rFonts w:ascii="Cambria" w:hAnsi="Cambria"/>
          <w:color w:val="000000"/>
          <w:sz w:val="20"/>
          <w:szCs w:val="20"/>
          <w:lang w:val="es-ES"/>
        </w:rPr>
        <w:t xml:space="preserve">r y la restricción del acceso basada en su situación migratoria o en su nacionalidad, constituyeron una violación del </w:t>
      </w:r>
      <w:r w:rsidR="0006351D" w:rsidRPr="003B7960">
        <w:rPr>
          <w:rFonts w:ascii="Cambria" w:hAnsi="Cambria"/>
          <w:color w:val="000000"/>
          <w:sz w:val="20"/>
          <w:szCs w:val="20"/>
          <w:lang w:val="es-ES"/>
        </w:rPr>
        <w:t>derecho a</w:t>
      </w:r>
      <w:r w:rsidR="00067F9E" w:rsidRPr="003B7960">
        <w:rPr>
          <w:rFonts w:ascii="Cambria" w:hAnsi="Cambria"/>
          <w:color w:val="000000"/>
          <w:sz w:val="20"/>
          <w:szCs w:val="20"/>
          <w:lang w:val="es-ES"/>
        </w:rPr>
        <w:t xml:space="preserve"> </w:t>
      </w:r>
      <w:r w:rsidR="00CC50B9" w:rsidRPr="003B7960">
        <w:rPr>
          <w:rFonts w:ascii="Cambria" w:hAnsi="Cambria"/>
          <w:color w:val="000000"/>
          <w:sz w:val="20"/>
          <w:szCs w:val="20"/>
          <w:lang w:val="es-ES"/>
        </w:rPr>
        <w:t>pedir y recibir</w:t>
      </w:r>
      <w:r w:rsidR="00067F9E" w:rsidRPr="003B7960">
        <w:rPr>
          <w:rFonts w:ascii="Cambria" w:hAnsi="Cambria"/>
          <w:color w:val="000000"/>
          <w:sz w:val="20"/>
          <w:szCs w:val="20"/>
          <w:lang w:val="es-ES"/>
        </w:rPr>
        <w:t xml:space="preserve"> </w:t>
      </w:r>
      <w:r w:rsidR="00774960" w:rsidRPr="003B7960">
        <w:rPr>
          <w:rFonts w:ascii="Cambria" w:hAnsi="Cambria"/>
          <w:color w:val="000000"/>
          <w:sz w:val="20"/>
          <w:szCs w:val="20"/>
          <w:lang w:val="es-ES"/>
        </w:rPr>
        <w:t>asilo</w:t>
      </w:r>
      <w:r w:rsidR="007A4B02" w:rsidRPr="003B7960">
        <w:rPr>
          <w:rFonts w:ascii="Cambria" w:hAnsi="Cambria"/>
          <w:color w:val="000000"/>
          <w:sz w:val="20"/>
          <w:szCs w:val="20"/>
          <w:lang w:val="es-ES"/>
        </w:rPr>
        <w:t xml:space="preserve"> —en lo que respecta a los derechos al</w:t>
      </w:r>
      <w:r w:rsidR="00067F9E" w:rsidRPr="003B7960">
        <w:rPr>
          <w:rFonts w:ascii="Cambria" w:hAnsi="Cambria"/>
          <w:color w:val="000000"/>
          <w:sz w:val="20"/>
          <w:szCs w:val="20"/>
          <w:lang w:val="es-ES"/>
        </w:rPr>
        <w:t xml:space="preserve"> </w:t>
      </w:r>
      <w:r w:rsidR="004B2866" w:rsidRPr="003B7960">
        <w:rPr>
          <w:rFonts w:ascii="Cambria" w:hAnsi="Cambria"/>
          <w:color w:val="000000"/>
          <w:sz w:val="20"/>
          <w:szCs w:val="20"/>
          <w:lang w:val="es-ES"/>
        </w:rPr>
        <w:t>debido proceso</w:t>
      </w:r>
      <w:r w:rsidR="007A4B02" w:rsidRPr="003B7960">
        <w:rPr>
          <w:rFonts w:ascii="Cambria" w:hAnsi="Cambria"/>
          <w:color w:val="000000"/>
          <w:sz w:val="20"/>
          <w:szCs w:val="20"/>
          <w:lang w:val="es-ES"/>
        </w:rPr>
        <w:t xml:space="preserve"> y a la </w:t>
      </w:r>
      <w:r w:rsidR="004B2866" w:rsidRPr="003B7960">
        <w:rPr>
          <w:rFonts w:ascii="Cambria" w:hAnsi="Cambria"/>
          <w:color w:val="000000"/>
          <w:sz w:val="20"/>
          <w:szCs w:val="20"/>
          <w:lang w:val="es-ES"/>
        </w:rPr>
        <w:t>igualdad ante la ley</w:t>
      </w:r>
      <w:r w:rsidR="007A4B02" w:rsidRPr="003B7960">
        <w:rPr>
          <w:rFonts w:ascii="Cambria" w:hAnsi="Cambria"/>
          <w:color w:val="000000"/>
          <w:sz w:val="20"/>
          <w:szCs w:val="20"/>
          <w:lang w:val="es-ES"/>
        </w:rPr>
        <w:t>—</w:t>
      </w:r>
      <w:r w:rsidR="00067F9E" w:rsidRPr="003B7960">
        <w:rPr>
          <w:rFonts w:ascii="Cambria" w:hAnsi="Cambria"/>
          <w:color w:val="000000"/>
          <w:sz w:val="20"/>
          <w:szCs w:val="20"/>
          <w:lang w:val="es-ES"/>
        </w:rPr>
        <w:t xml:space="preserve"> </w:t>
      </w:r>
      <w:r w:rsidR="007A4B02" w:rsidRPr="003B7960">
        <w:rPr>
          <w:rFonts w:ascii="Cambria" w:hAnsi="Cambria"/>
          <w:color w:val="000000"/>
          <w:sz w:val="20"/>
          <w:szCs w:val="20"/>
          <w:lang w:val="es-ES"/>
        </w:rPr>
        <w:t>y un incumplimiento de la obligación</w:t>
      </w:r>
      <w:r w:rsidR="00067F9E" w:rsidRPr="003B7960">
        <w:rPr>
          <w:rFonts w:ascii="Cambria" w:hAnsi="Cambria"/>
          <w:color w:val="000000"/>
          <w:sz w:val="20"/>
          <w:szCs w:val="20"/>
          <w:lang w:val="es-ES"/>
        </w:rPr>
        <w:t xml:space="preserve"> </w:t>
      </w:r>
      <w:r w:rsidR="007A4B02"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4E3528" w:rsidRPr="003B7960">
        <w:rPr>
          <w:rFonts w:ascii="Cambria" w:hAnsi="Cambria"/>
          <w:color w:val="000000"/>
          <w:sz w:val="20"/>
          <w:szCs w:val="20"/>
          <w:lang w:val="es-ES"/>
        </w:rPr>
        <w:t>no devolución</w:t>
      </w:r>
      <w:r w:rsidR="007A4B02" w:rsidRPr="003B7960">
        <w:rPr>
          <w:rFonts w:ascii="Cambria" w:hAnsi="Cambria"/>
          <w:color w:val="000000"/>
          <w:sz w:val="20"/>
          <w:szCs w:val="20"/>
          <w:lang w:val="es-ES"/>
        </w:rPr>
        <w:t xml:space="preserve"> establecidos en </w:t>
      </w:r>
      <w:r w:rsidR="00C33F51" w:rsidRPr="003B7960">
        <w:rPr>
          <w:rFonts w:ascii="Cambria" w:hAnsi="Cambria"/>
          <w:color w:val="000000"/>
          <w:sz w:val="20"/>
          <w:szCs w:val="20"/>
          <w:lang w:val="es-ES"/>
        </w:rPr>
        <w:t>la Declaración</w:t>
      </w:r>
      <w:r w:rsidR="00B9011F" w:rsidRPr="003B7960">
        <w:rPr>
          <w:rFonts w:ascii="Cambria" w:hAnsi="Cambria"/>
          <w:color w:val="000000"/>
          <w:sz w:val="20"/>
          <w:szCs w:val="20"/>
          <w:lang w:val="es-ES"/>
        </w:rPr>
        <w:t xml:space="preserve"> Americana</w:t>
      </w:r>
      <w:r w:rsidR="00067F9E" w:rsidRPr="003B7960">
        <w:rPr>
          <w:rFonts w:ascii="Cambria" w:hAnsi="Cambria"/>
          <w:color w:val="000000"/>
          <w:sz w:val="20"/>
          <w:szCs w:val="20"/>
          <w:lang w:val="es-ES"/>
        </w:rPr>
        <w:t xml:space="preserve"> </w:t>
      </w:r>
      <w:r w:rsidR="007A4B02" w:rsidRPr="003B7960">
        <w:rPr>
          <w:rFonts w:ascii="Cambria" w:hAnsi="Cambria"/>
          <w:color w:val="000000"/>
          <w:sz w:val="20"/>
          <w:szCs w:val="20"/>
          <w:lang w:val="es-ES"/>
        </w:rPr>
        <w:t xml:space="preserve">en </w:t>
      </w:r>
      <w:r w:rsidR="00306FA5" w:rsidRPr="003B7960">
        <w:rPr>
          <w:rFonts w:ascii="Cambria" w:hAnsi="Cambria"/>
          <w:color w:val="000000"/>
          <w:sz w:val="20"/>
          <w:szCs w:val="20"/>
          <w:lang w:val="es-ES"/>
        </w:rPr>
        <w:t xml:space="preserve">lo que respecta a </w:t>
      </w:r>
      <w:r w:rsidR="007A4B02" w:rsidRPr="003B7960">
        <w:rPr>
          <w:rFonts w:ascii="Cambria" w:hAnsi="Cambria"/>
          <w:color w:val="000000"/>
          <w:sz w:val="20"/>
          <w:szCs w:val="20"/>
          <w:lang w:val="es-ES"/>
        </w:rPr>
        <w:t xml:space="preserve">las </w:t>
      </w:r>
      <w:r w:rsidR="00C62DEF" w:rsidRPr="003B7960">
        <w:rPr>
          <w:rFonts w:ascii="Cambria" w:hAnsi="Cambria"/>
          <w:color w:val="000000"/>
          <w:sz w:val="20"/>
          <w:szCs w:val="20"/>
          <w:lang w:val="es-ES"/>
        </w:rPr>
        <w:t>presuntas víctimas</w:t>
      </w:r>
      <w:r w:rsidR="00067F9E" w:rsidRPr="003B7960">
        <w:rPr>
          <w:rFonts w:ascii="Cambria" w:hAnsi="Cambria"/>
          <w:color w:val="000000"/>
          <w:sz w:val="20"/>
          <w:szCs w:val="20"/>
          <w:lang w:val="es-ES"/>
        </w:rPr>
        <w:t>.</w:t>
      </w:r>
      <w:r w:rsidR="00067F9E" w:rsidRPr="003B7960">
        <w:rPr>
          <w:rFonts w:ascii="Cambria" w:hAnsi="Cambria"/>
          <w:b/>
          <w:color w:val="000000"/>
          <w:sz w:val="20"/>
          <w:szCs w:val="20"/>
          <w:lang w:val="es-ES"/>
        </w:rPr>
        <w:t xml:space="preserve"> </w:t>
      </w:r>
    </w:p>
    <w:p w14:paraId="42749E7F"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0EF14355" w14:textId="49088E75" w:rsidR="00067F9E" w:rsidRPr="003B7960" w:rsidRDefault="007A4B02" w:rsidP="00101DC6">
      <w:pPr>
        <w:pStyle w:val="Heading2"/>
        <w:numPr>
          <w:ilvl w:val="0"/>
          <w:numId w:val="60"/>
        </w:numPr>
        <w:pBdr>
          <w:top w:val="nil"/>
          <w:left w:val="nil"/>
          <w:bottom w:val="nil"/>
          <w:right w:val="nil"/>
          <w:between w:val="nil"/>
          <w:bar w:val="nil"/>
        </w:pBdr>
        <w:tabs>
          <w:tab w:val="clear" w:pos="540"/>
          <w:tab w:val="left" w:pos="426"/>
        </w:tabs>
        <w:suppressAutoHyphens/>
        <w:ind w:left="0" w:firstLine="0"/>
        <w:rPr>
          <w:b w:val="0"/>
          <w:lang w:val="es-ES"/>
        </w:rPr>
      </w:pPr>
      <w:bookmarkStart w:id="27" w:name="_Toc90557312"/>
      <w:r w:rsidRPr="003B7960">
        <w:rPr>
          <w:rStyle w:val="Heading2Char"/>
          <w:b/>
          <w:lang w:val="es-ES"/>
        </w:rPr>
        <w:t xml:space="preserve">El derecho a la </w:t>
      </w:r>
      <w:r w:rsidR="005877AD" w:rsidRPr="003B7960">
        <w:rPr>
          <w:rStyle w:val="Heading2Char"/>
          <w:b/>
          <w:lang w:val="es-ES"/>
        </w:rPr>
        <w:t>protección a la honra, la reputación personal y la vida privada y familiar</w:t>
      </w:r>
      <w:r w:rsidR="00067F9E" w:rsidRPr="003B7960">
        <w:rPr>
          <w:rStyle w:val="Heading2Char"/>
          <w:b/>
          <w:vertAlign w:val="superscript"/>
          <w:lang w:val="es-ES"/>
        </w:rPr>
        <w:footnoteReference w:id="138"/>
      </w:r>
      <w:r w:rsidR="00067F9E" w:rsidRPr="003B7960">
        <w:rPr>
          <w:rStyle w:val="Heading2Char"/>
          <w:b/>
          <w:lang w:val="es-ES"/>
        </w:rPr>
        <w:t xml:space="preserve">, </w:t>
      </w:r>
      <w:r w:rsidRPr="003B7960">
        <w:rPr>
          <w:rStyle w:val="Heading2Char"/>
          <w:b/>
          <w:lang w:val="es-ES"/>
        </w:rPr>
        <w:t>a la constitución y la protección de la familia</w:t>
      </w:r>
      <w:r w:rsidR="00067F9E" w:rsidRPr="003B7960">
        <w:rPr>
          <w:rStyle w:val="Heading2Char"/>
          <w:b/>
          <w:vertAlign w:val="superscript"/>
          <w:lang w:val="es-ES"/>
        </w:rPr>
        <w:footnoteReference w:id="139"/>
      </w:r>
      <w:r w:rsidR="00067F9E" w:rsidRPr="003B7960">
        <w:rPr>
          <w:rStyle w:val="Heading2Char"/>
          <w:b/>
          <w:lang w:val="es-ES"/>
        </w:rPr>
        <w:t xml:space="preserve"> </w:t>
      </w:r>
      <w:r w:rsidRPr="003B7960">
        <w:rPr>
          <w:rStyle w:val="Heading2Char"/>
          <w:b/>
          <w:lang w:val="es-ES"/>
        </w:rPr>
        <w:t>y a la protección a la maternidad y a la infancia</w:t>
      </w:r>
      <w:r w:rsidR="00067F9E" w:rsidRPr="003B7960">
        <w:rPr>
          <w:rStyle w:val="Heading2Char"/>
          <w:b/>
          <w:vertAlign w:val="superscript"/>
          <w:lang w:val="es-ES"/>
        </w:rPr>
        <w:footnoteReference w:id="140"/>
      </w:r>
      <w:r w:rsidR="00067F9E" w:rsidRPr="003B7960">
        <w:rPr>
          <w:rStyle w:val="Heading2Char"/>
          <w:b/>
          <w:lang w:val="es-ES"/>
        </w:rPr>
        <w:t xml:space="preserve"> </w:t>
      </w:r>
      <w:r w:rsidRPr="003B7960">
        <w:rPr>
          <w:rStyle w:val="Heading2Char"/>
          <w:b/>
          <w:lang w:val="es-ES"/>
        </w:rPr>
        <w:t>de</w:t>
      </w:r>
      <w:r w:rsidR="00067F9E" w:rsidRPr="003B7960">
        <w:rPr>
          <w:rStyle w:val="Heading2Char"/>
          <w:b/>
          <w:lang w:val="es-ES"/>
        </w:rPr>
        <w:t xml:space="preserve"> </w:t>
      </w:r>
      <w:r w:rsidR="00C33F51" w:rsidRPr="003B7960">
        <w:rPr>
          <w:rStyle w:val="Heading2Char"/>
          <w:b/>
          <w:lang w:val="es-ES"/>
        </w:rPr>
        <w:t>la Declaración</w:t>
      </w:r>
      <w:r w:rsidR="00B9011F" w:rsidRPr="003B7960">
        <w:rPr>
          <w:rStyle w:val="Heading2Char"/>
          <w:b/>
          <w:lang w:val="es-ES"/>
        </w:rPr>
        <w:t xml:space="preserve"> Americana</w:t>
      </w:r>
      <w:r w:rsidR="00067F9E" w:rsidRPr="003B7960">
        <w:rPr>
          <w:rStyle w:val="Heading2Char"/>
          <w:b/>
          <w:lang w:val="es-ES"/>
        </w:rPr>
        <w:t xml:space="preserve"> </w:t>
      </w:r>
      <w:r w:rsidR="00ED5FE9" w:rsidRPr="003B7960">
        <w:rPr>
          <w:rStyle w:val="Heading2Char"/>
          <w:b/>
          <w:lang w:val="es-ES"/>
        </w:rPr>
        <w:t xml:space="preserve">con respecto a </w:t>
      </w:r>
      <w:r w:rsidRPr="003B7960">
        <w:rPr>
          <w:rStyle w:val="Heading2Char"/>
          <w:b/>
          <w:lang w:val="es-ES"/>
        </w:rPr>
        <w:t>la obligación</w:t>
      </w:r>
      <w:r w:rsidR="00067F9E" w:rsidRPr="003B7960">
        <w:rPr>
          <w:rStyle w:val="Heading2Char"/>
          <w:b/>
          <w:lang w:val="es-ES"/>
        </w:rPr>
        <w:t xml:space="preserve"> </w:t>
      </w:r>
      <w:r w:rsidRPr="003B7960">
        <w:rPr>
          <w:rStyle w:val="Heading2Char"/>
          <w:b/>
          <w:lang w:val="es-ES"/>
        </w:rPr>
        <w:t>de</w:t>
      </w:r>
      <w:r w:rsidR="00067F9E" w:rsidRPr="003B7960">
        <w:rPr>
          <w:rStyle w:val="Heading2Char"/>
          <w:b/>
          <w:lang w:val="es-ES"/>
        </w:rPr>
        <w:t xml:space="preserve"> </w:t>
      </w:r>
      <w:r w:rsidR="004E3528" w:rsidRPr="003B7960">
        <w:rPr>
          <w:rStyle w:val="Heading2Char"/>
          <w:b/>
          <w:lang w:val="es-ES"/>
        </w:rPr>
        <w:t>no devolución</w:t>
      </w:r>
      <w:r w:rsidR="00067F9E" w:rsidRPr="003B7960">
        <w:rPr>
          <w:i/>
          <w:lang w:val="es-ES"/>
        </w:rPr>
        <w:t xml:space="preserve"> </w:t>
      </w:r>
      <w:r w:rsidR="00B476C6" w:rsidRPr="003B7960">
        <w:rPr>
          <w:lang w:val="es-ES"/>
        </w:rPr>
        <w:t xml:space="preserve">de </w:t>
      </w:r>
      <w:r w:rsidR="004E3528" w:rsidRPr="003B7960">
        <w:rPr>
          <w:lang w:val="es-ES"/>
        </w:rPr>
        <w:t>la familia</w:t>
      </w:r>
      <w:r w:rsidR="00067F9E" w:rsidRPr="003B7960">
        <w:rPr>
          <w:lang w:val="es-ES"/>
        </w:rPr>
        <w:t xml:space="preserve"> Escuela</w:t>
      </w:r>
      <w:bookmarkEnd w:id="27"/>
    </w:p>
    <w:p w14:paraId="58B0DB82" w14:textId="77777777" w:rsidR="00067F9E" w:rsidRPr="003B7960" w:rsidRDefault="00067F9E" w:rsidP="00101DC6">
      <w:pPr>
        <w:tabs>
          <w:tab w:val="left" w:pos="426"/>
        </w:tabs>
        <w:jc w:val="both"/>
        <w:rPr>
          <w:rFonts w:ascii="Cambria" w:hAnsi="Cambria"/>
          <w:sz w:val="20"/>
          <w:szCs w:val="20"/>
          <w:lang w:val="es-ES"/>
        </w:rPr>
      </w:pPr>
    </w:p>
    <w:p w14:paraId="13E1FCF2" w14:textId="5CE5A04B" w:rsidR="00067F9E" w:rsidRPr="003B7960" w:rsidRDefault="00B9011F"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ha</w:t>
      </w:r>
      <w:r w:rsidR="005134EA" w:rsidRPr="003B7960">
        <w:rPr>
          <w:rFonts w:ascii="Cambria" w:hAnsi="Cambria"/>
          <w:color w:val="000000"/>
          <w:sz w:val="20"/>
          <w:szCs w:val="20"/>
          <w:lang w:val="es-ES"/>
        </w:rPr>
        <w:t xml:space="preserve"> afirmado que, aunque </w:t>
      </w:r>
      <w:r w:rsidR="00A332F5" w:rsidRPr="003B7960">
        <w:rPr>
          <w:rFonts w:ascii="Cambria" w:hAnsi="Cambria"/>
          <w:color w:val="000000"/>
          <w:sz w:val="20"/>
          <w:szCs w:val="20"/>
          <w:lang w:val="es-ES"/>
        </w:rPr>
        <w:t>el Estado</w:t>
      </w:r>
      <w:r w:rsidR="00067F9E" w:rsidRPr="003B7960">
        <w:rPr>
          <w:rFonts w:ascii="Cambria" w:hAnsi="Cambria"/>
          <w:color w:val="000000"/>
          <w:sz w:val="20"/>
          <w:szCs w:val="20"/>
          <w:lang w:val="es-ES"/>
        </w:rPr>
        <w:t xml:space="preserve"> </w:t>
      </w:r>
      <w:r w:rsidR="005134EA" w:rsidRPr="003B7960">
        <w:rPr>
          <w:rFonts w:ascii="Cambria" w:hAnsi="Cambria"/>
          <w:color w:val="000000"/>
          <w:sz w:val="20"/>
          <w:szCs w:val="20"/>
          <w:lang w:val="es-ES"/>
        </w:rPr>
        <w:t xml:space="preserve">tiene indudablemente el derecho y el deber de mantener el orden público mediante el </w:t>
      </w:r>
      <w:r w:rsidR="00067F9E" w:rsidRPr="003B7960">
        <w:rPr>
          <w:rFonts w:ascii="Cambria" w:hAnsi="Cambria"/>
          <w:color w:val="000000"/>
          <w:sz w:val="20"/>
          <w:szCs w:val="20"/>
          <w:lang w:val="es-ES"/>
        </w:rPr>
        <w:t xml:space="preserve">control </w:t>
      </w:r>
      <w:r w:rsidR="005134EA" w:rsidRPr="003B7960">
        <w:rPr>
          <w:rFonts w:ascii="Cambria" w:hAnsi="Cambria"/>
          <w:color w:val="000000"/>
          <w:sz w:val="20"/>
          <w:szCs w:val="20"/>
          <w:lang w:val="es-ES"/>
        </w:rPr>
        <w:t>del ingreso, la residencia y la expulsión de extranjeros</w:t>
      </w:r>
      <w:r w:rsidR="00067F9E" w:rsidRPr="003B7960">
        <w:rPr>
          <w:rFonts w:ascii="Cambria" w:hAnsi="Cambria"/>
          <w:color w:val="000000"/>
          <w:sz w:val="20"/>
          <w:szCs w:val="20"/>
          <w:lang w:val="es-ES"/>
        </w:rPr>
        <w:t xml:space="preserve">, </w:t>
      </w:r>
      <w:r w:rsidR="005134EA" w:rsidRPr="003B7960">
        <w:rPr>
          <w:rFonts w:ascii="Cambria" w:hAnsi="Cambria"/>
          <w:color w:val="000000"/>
          <w:sz w:val="20"/>
          <w:szCs w:val="20"/>
          <w:lang w:val="es-ES"/>
        </w:rPr>
        <w:t xml:space="preserve">hay que buscar un equilibrio entre ese derecho y el daño que se podría ocasionar a las personas del </w:t>
      </w:r>
      <w:r w:rsidR="008A4F19" w:rsidRPr="003B7960">
        <w:rPr>
          <w:rFonts w:ascii="Cambria" w:hAnsi="Cambria"/>
          <w:color w:val="000000"/>
          <w:sz w:val="20"/>
          <w:szCs w:val="20"/>
          <w:lang w:val="es-ES"/>
        </w:rPr>
        <w:t>caso</w:t>
      </w:r>
      <w:r w:rsidR="00067F9E" w:rsidRPr="003B7960">
        <w:rPr>
          <w:rFonts w:ascii="Cambria" w:hAnsi="Cambria"/>
          <w:color w:val="000000"/>
          <w:sz w:val="20"/>
          <w:szCs w:val="20"/>
          <w:lang w:val="es-ES"/>
        </w:rPr>
        <w:t xml:space="preserve">. </w:t>
      </w:r>
      <w:r w:rsidR="005134EA" w:rsidRPr="003B7960">
        <w:rPr>
          <w:rFonts w:ascii="Cambria" w:hAnsi="Cambria"/>
          <w:color w:val="000000"/>
          <w:sz w:val="20"/>
          <w:szCs w:val="20"/>
          <w:lang w:val="es-ES"/>
        </w:rPr>
        <w:t>En ese sentido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ha</w:t>
      </w:r>
      <w:r w:rsidR="005134EA" w:rsidRPr="003B7960">
        <w:rPr>
          <w:rFonts w:ascii="Cambria" w:hAnsi="Cambria"/>
          <w:color w:val="000000"/>
          <w:sz w:val="20"/>
          <w:szCs w:val="20"/>
          <w:lang w:val="es-ES"/>
        </w:rPr>
        <w:t xml:space="preserve"> considerado situaciones en las cuales no </w:t>
      </w:r>
      <w:r w:rsidR="009C597B" w:rsidRPr="003B7960">
        <w:rPr>
          <w:rFonts w:ascii="Cambria" w:hAnsi="Cambria"/>
          <w:color w:val="000000"/>
          <w:sz w:val="20"/>
          <w:szCs w:val="20"/>
          <w:lang w:val="es-ES"/>
        </w:rPr>
        <w:t xml:space="preserve">se ha tomado en cuenta en medida suficiente </w:t>
      </w:r>
      <w:r w:rsidR="0006351D" w:rsidRPr="003B7960">
        <w:rPr>
          <w:rFonts w:ascii="Cambria" w:hAnsi="Cambria"/>
          <w:color w:val="000000"/>
          <w:sz w:val="20"/>
          <w:szCs w:val="20"/>
          <w:lang w:val="es-ES"/>
        </w:rPr>
        <w:t>el derecho a</w:t>
      </w:r>
      <w:r w:rsidR="00067F9E" w:rsidRPr="003B7960">
        <w:rPr>
          <w:rFonts w:ascii="Cambria" w:hAnsi="Cambria"/>
          <w:color w:val="000000"/>
          <w:sz w:val="20"/>
          <w:szCs w:val="20"/>
          <w:lang w:val="es-ES"/>
        </w:rPr>
        <w:t xml:space="preserve"> </w:t>
      </w:r>
      <w:r w:rsidR="005134EA" w:rsidRPr="003B7960">
        <w:rPr>
          <w:rFonts w:ascii="Cambria" w:hAnsi="Cambria"/>
          <w:color w:val="000000"/>
          <w:sz w:val="20"/>
          <w:szCs w:val="20"/>
          <w:lang w:val="es-ES"/>
        </w:rPr>
        <w:t xml:space="preserve">la vida familiar </w:t>
      </w:r>
      <w:r w:rsidR="009C597B" w:rsidRPr="003B7960">
        <w:rPr>
          <w:rFonts w:ascii="Cambria" w:hAnsi="Cambria"/>
          <w:color w:val="000000"/>
          <w:sz w:val="20"/>
          <w:szCs w:val="20"/>
          <w:lang w:val="es-ES"/>
        </w:rPr>
        <w:t>en los procedimientos de expulsión</w:t>
      </w:r>
      <w:r w:rsidR="00067F9E" w:rsidRPr="003B7960">
        <w:rPr>
          <w:rFonts w:ascii="Cambria" w:hAnsi="Cambria"/>
          <w:color w:val="000000"/>
          <w:sz w:val="20"/>
          <w:szCs w:val="20"/>
          <w:lang w:val="es-ES"/>
        </w:rPr>
        <w:t xml:space="preserve">. </w:t>
      </w:r>
      <w:r w:rsidR="009C597B" w:rsidRPr="003B7960">
        <w:rPr>
          <w:rFonts w:ascii="Cambria" w:hAnsi="Cambria"/>
          <w:color w:val="000000"/>
          <w:sz w:val="20"/>
          <w:szCs w:val="20"/>
          <w:lang w:val="es-ES"/>
        </w:rPr>
        <w:t>En vista de la índole de los</w:t>
      </w:r>
      <w:r w:rsidR="00067F9E" w:rsidRPr="003B7960">
        <w:rPr>
          <w:rFonts w:ascii="Cambria" w:hAnsi="Cambria"/>
          <w:color w:val="000000"/>
          <w:sz w:val="20"/>
          <w:szCs w:val="20"/>
          <w:lang w:val="es-ES"/>
        </w:rPr>
        <w:t xml:space="preserve"> </w:t>
      </w:r>
      <w:r w:rsidR="001A6E22" w:rsidRPr="003B7960">
        <w:rPr>
          <w:rFonts w:ascii="Cambria" w:hAnsi="Cambria"/>
          <w:color w:val="000000"/>
          <w:sz w:val="20"/>
          <w:szCs w:val="20"/>
          <w:lang w:val="es-ES"/>
        </w:rPr>
        <w:t>artículos</w:t>
      </w:r>
      <w:r w:rsidR="00067F9E" w:rsidRPr="003B7960">
        <w:rPr>
          <w:rFonts w:ascii="Cambria" w:hAnsi="Cambria"/>
          <w:color w:val="000000"/>
          <w:sz w:val="20"/>
          <w:szCs w:val="20"/>
          <w:lang w:val="es-ES"/>
        </w:rPr>
        <w:t xml:space="preserve"> V, VI </w:t>
      </w:r>
      <w:r w:rsidR="004E3528" w:rsidRPr="003B7960">
        <w:rPr>
          <w:rFonts w:ascii="Cambria" w:hAnsi="Cambria"/>
          <w:color w:val="000000"/>
          <w:sz w:val="20"/>
          <w:szCs w:val="20"/>
          <w:lang w:val="es-ES"/>
        </w:rPr>
        <w:t>y</w:t>
      </w:r>
      <w:r w:rsidR="00067F9E" w:rsidRPr="003B7960">
        <w:rPr>
          <w:rFonts w:ascii="Cambria" w:hAnsi="Cambria"/>
          <w:color w:val="000000"/>
          <w:sz w:val="20"/>
          <w:szCs w:val="20"/>
          <w:lang w:val="es-ES"/>
        </w:rPr>
        <w:t xml:space="preserve"> VII </w:t>
      </w:r>
      <w:r w:rsidR="004E3528" w:rsidRPr="003B7960">
        <w:rPr>
          <w:rFonts w:ascii="Cambria" w:hAnsi="Cambria"/>
          <w:color w:val="000000"/>
          <w:sz w:val="20"/>
          <w:szCs w:val="20"/>
          <w:lang w:val="es-ES"/>
        </w:rPr>
        <w:t>de</w:t>
      </w:r>
      <w:r w:rsidR="00067F9E" w:rsidRPr="003B7960">
        <w:rPr>
          <w:rFonts w:ascii="Cambria" w:hAnsi="Cambria"/>
          <w:color w:val="000000"/>
          <w:sz w:val="20"/>
          <w:szCs w:val="20"/>
          <w:lang w:val="es-ES"/>
        </w:rPr>
        <w:t xml:space="preserve"> </w:t>
      </w:r>
      <w:r w:rsidR="00C33F51" w:rsidRPr="003B7960">
        <w:rPr>
          <w:rFonts w:ascii="Cambria" w:hAnsi="Cambria"/>
          <w:color w:val="000000"/>
          <w:sz w:val="20"/>
          <w:szCs w:val="20"/>
          <w:lang w:val="es-ES"/>
        </w:rPr>
        <w:t>la Declaración</w:t>
      </w:r>
      <w:r w:rsidRPr="003B7960">
        <w:rPr>
          <w:rFonts w:ascii="Cambria" w:hAnsi="Cambria"/>
          <w:color w:val="000000"/>
          <w:sz w:val="20"/>
          <w:szCs w:val="20"/>
          <w:lang w:val="es-ES"/>
        </w:rPr>
        <w:t xml:space="preserve"> Americana</w:t>
      </w:r>
      <w:r w:rsidR="00067F9E" w:rsidRPr="003B7960">
        <w:rPr>
          <w:rFonts w:ascii="Cambria" w:hAnsi="Cambria"/>
          <w:color w:val="000000"/>
          <w:sz w:val="20"/>
          <w:szCs w:val="20"/>
          <w:lang w:val="es-ES"/>
        </w:rPr>
        <w:t>, interpret</w:t>
      </w:r>
      <w:r w:rsidR="009C597B" w:rsidRPr="003B7960">
        <w:rPr>
          <w:rFonts w:ascii="Cambria" w:hAnsi="Cambria"/>
          <w:color w:val="000000"/>
          <w:sz w:val="20"/>
          <w:szCs w:val="20"/>
          <w:lang w:val="es-ES"/>
        </w:rPr>
        <w:t xml:space="preserve">ados en relación con el </w:t>
      </w:r>
      <w:r w:rsidR="00067F9E" w:rsidRPr="003B7960">
        <w:rPr>
          <w:rFonts w:ascii="Cambria" w:hAnsi="Cambria"/>
          <w:i/>
          <w:color w:val="000000"/>
          <w:sz w:val="20"/>
          <w:szCs w:val="20"/>
          <w:lang w:val="es-ES"/>
        </w:rPr>
        <w:t xml:space="preserve">corpus iuris </w:t>
      </w:r>
      <w:r w:rsidR="009C597B" w:rsidRPr="003B7960">
        <w:rPr>
          <w:rFonts w:ascii="Cambria" w:hAnsi="Cambria"/>
          <w:color w:val="000000"/>
          <w:sz w:val="20"/>
          <w:szCs w:val="20"/>
          <w:lang w:val="es-ES"/>
        </w:rPr>
        <w:t xml:space="preserve">de los derechos </w:t>
      </w:r>
      <w:r w:rsidR="000265CB" w:rsidRPr="003B7960">
        <w:rPr>
          <w:rFonts w:ascii="Cambria" w:hAnsi="Cambria"/>
          <w:color w:val="000000"/>
          <w:sz w:val="20"/>
          <w:szCs w:val="20"/>
          <w:lang w:val="es-ES"/>
        </w:rPr>
        <w:t>de la niñez</w:t>
      </w:r>
      <w:r w:rsidR="00067F9E" w:rsidRPr="003B7960">
        <w:rPr>
          <w:rFonts w:ascii="Cambria" w:hAnsi="Cambria"/>
          <w:color w:val="000000"/>
          <w:sz w:val="20"/>
          <w:szCs w:val="20"/>
          <w:lang w:val="es-ES"/>
        </w:rPr>
        <w:t xml:space="preserve">, </w:t>
      </w:r>
      <w:r w:rsidR="009C597B" w:rsidRPr="003B7960">
        <w:rPr>
          <w:rFonts w:ascii="Cambria" w:hAnsi="Cambria"/>
          <w:color w:val="000000"/>
          <w:sz w:val="20"/>
          <w:szCs w:val="20"/>
          <w:lang w:val="es-ES"/>
        </w:rPr>
        <w:t>en los casos en que una decisión implica la posible separación de una familia</w:t>
      </w:r>
      <w:r w:rsidR="00067F9E" w:rsidRPr="003B7960">
        <w:rPr>
          <w:rFonts w:ascii="Cambria" w:hAnsi="Cambria"/>
          <w:color w:val="000000"/>
          <w:sz w:val="20"/>
          <w:szCs w:val="20"/>
          <w:lang w:val="es-ES"/>
        </w:rPr>
        <w:t xml:space="preserve">, </w:t>
      </w:r>
      <w:r w:rsidR="009C597B" w:rsidRPr="003B7960">
        <w:rPr>
          <w:rFonts w:ascii="Cambria" w:hAnsi="Cambria"/>
          <w:color w:val="000000"/>
          <w:sz w:val="20"/>
          <w:szCs w:val="20"/>
          <w:lang w:val="es-ES"/>
        </w:rPr>
        <w:t>la interferencia resultante en la vida familiar puede justificarse solamente en los casos en que sea necesaria para atender una necesidad urgente de mantener el orden público y en que los medios sean proporcionales a ese fin.</w:t>
      </w:r>
      <w:r w:rsidR="00067F9E" w:rsidRPr="003B7960">
        <w:rPr>
          <w:rFonts w:ascii="Cambria" w:hAnsi="Cambria"/>
          <w:color w:val="000000"/>
          <w:sz w:val="20"/>
          <w:szCs w:val="20"/>
          <w:lang w:val="es-ES"/>
        </w:rPr>
        <w:t xml:space="preserve"> </w:t>
      </w:r>
      <w:r w:rsidR="009C597B" w:rsidRPr="003B7960">
        <w:rPr>
          <w:rFonts w:ascii="Cambria" w:hAnsi="Cambria"/>
          <w:color w:val="000000"/>
          <w:sz w:val="20"/>
          <w:szCs w:val="20"/>
          <w:lang w:val="es-ES"/>
        </w:rPr>
        <w:t>La aplicación</w:t>
      </w:r>
      <w:r w:rsidR="00067F9E" w:rsidRPr="003B7960">
        <w:rPr>
          <w:rFonts w:ascii="Cambria" w:hAnsi="Cambria"/>
          <w:color w:val="000000"/>
          <w:sz w:val="20"/>
          <w:szCs w:val="20"/>
          <w:lang w:val="es-ES"/>
        </w:rPr>
        <w:t xml:space="preserve"> </w:t>
      </w:r>
      <w:r w:rsidR="009C597B" w:rsidRPr="003B7960">
        <w:rPr>
          <w:rFonts w:ascii="Cambria" w:hAnsi="Cambria"/>
          <w:color w:val="000000"/>
          <w:sz w:val="20"/>
          <w:szCs w:val="20"/>
          <w:lang w:val="es-ES"/>
        </w:rPr>
        <w:t>de estos</w:t>
      </w:r>
      <w:r w:rsidR="00067F9E" w:rsidRPr="003B7960">
        <w:rPr>
          <w:rFonts w:ascii="Cambria" w:hAnsi="Cambria"/>
          <w:color w:val="000000"/>
          <w:sz w:val="20"/>
          <w:szCs w:val="20"/>
          <w:lang w:val="es-ES"/>
        </w:rPr>
        <w:t xml:space="preserve"> criteri</w:t>
      </w:r>
      <w:r w:rsidR="009C597B" w:rsidRPr="003B7960">
        <w:rPr>
          <w:rFonts w:ascii="Cambria" w:hAnsi="Cambria"/>
          <w:color w:val="000000"/>
          <w:sz w:val="20"/>
          <w:szCs w:val="20"/>
          <w:lang w:val="es-ES"/>
        </w:rPr>
        <w:t>os por diversos órganos de supervisión de</w:t>
      </w:r>
      <w:r w:rsidR="00067F9E" w:rsidRPr="003B7960">
        <w:rPr>
          <w:rFonts w:ascii="Cambria" w:hAnsi="Cambria"/>
          <w:color w:val="000000"/>
          <w:sz w:val="20"/>
          <w:szCs w:val="20"/>
          <w:lang w:val="es-ES"/>
        </w:rPr>
        <w:t xml:space="preserve"> </w:t>
      </w:r>
      <w:r w:rsidR="0040162A" w:rsidRPr="003B7960">
        <w:rPr>
          <w:rFonts w:ascii="Cambria" w:hAnsi="Cambria"/>
          <w:color w:val="000000"/>
          <w:sz w:val="20"/>
          <w:szCs w:val="20"/>
          <w:lang w:val="es-ES"/>
        </w:rPr>
        <w:t>derechos humanos</w:t>
      </w:r>
      <w:r w:rsidR="00067F9E" w:rsidRPr="003B7960">
        <w:rPr>
          <w:rFonts w:ascii="Cambria" w:hAnsi="Cambria"/>
          <w:color w:val="000000"/>
          <w:sz w:val="20"/>
          <w:szCs w:val="20"/>
          <w:lang w:val="es-ES"/>
        </w:rPr>
        <w:t xml:space="preserve"> </w:t>
      </w:r>
      <w:r w:rsidR="009C597B" w:rsidRPr="003B7960">
        <w:rPr>
          <w:rFonts w:ascii="Cambria" w:hAnsi="Cambria"/>
          <w:color w:val="000000"/>
          <w:sz w:val="20"/>
          <w:szCs w:val="20"/>
          <w:lang w:val="es-ES"/>
        </w:rPr>
        <w:t>indica que hay que buscar ese equilibrio en cada caso particular y que las razones que justifiquen la interferencia en la vida familiar deben ser realmente muy serias</w:t>
      </w:r>
      <w:r w:rsidR="00067F9E" w:rsidRPr="003B7960">
        <w:rPr>
          <w:rStyle w:val="FootnoteReference"/>
          <w:rFonts w:ascii="Cambria" w:hAnsi="Cambria"/>
          <w:color w:val="000000"/>
          <w:sz w:val="20"/>
          <w:szCs w:val="20"/>
          <w:lang w:val="es-ES"/>
        </w:rPr>
        <w:footnoteReference w:id="141"/>
      </w:r>
      <w:r w:rsidR="00067F9E" w:rsidRPr="003B7960">
        <w:rPr>
          <w:rFonts w:ascii="Cambria" w:hAnsi="Cambria"/>
          <w:color w:val="000000"/>
          <w:sz w:val="20"/>
          <w:szCs w:val="20"/>
          <w:lang w:val="es-ES"/>
        </w:rPr>
        <w:t xml:space="preserve">. </w:t>
      </w:r>
    </w:p>
    <w:p w14:paraId="5FB186E9"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38917EEC" w14:textId="4F030315" w:rsidR="00067F9E" w:rsidRPr="003B7960" w:rsidRDefault="001E054E"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sz w:val="20"/>
          <w:szCs w:val="20"/>
          <w:lang w:val="es-ES"/>
        </w:rPr>
        <w:t>Además</w:t>
      </w:r>
      <w:r w:rsidR="00067F9E" w:rsidRPr="003B7960">
        <w:rPr>
          <w:rFonts w:ascii="Cambria" w:hAnsi="Cambria"/>
          <w:sz w:val="20"/>
          <w:szCs w:val="20"/>
          <w:lang w:val="es-ES"/>
        </w:rPr>
        <w:t xml:space="preserve">, </w:t>
      </w:r>
      <w:r w:rsidR="00C33F51" w:rsidRPr="003B7960">
        <w:rPr>
          <w:rFonts w:ascii="Cambria" w:hAnsi="Cambria"/>
          <w:sz w:val="20"/>
          <w:szCs w:val="20"/>
          <w:lang w:val="es-ES"/>
        </w:rPr>
        <w:t>la CIDH</w:t>
      </w:r>
      <w:r w:rsidR="00067F9E" w:rsidRPr="003B7960">
        <w:rPr>
          <w:rFonts w:ascii="Cambria" w:hAnsi="Cambria"/>
          <w:sz w:val="20"/>
          <w:szCs w:val="20"/>
          <w:lang w:val="es-ES"/>
        </w:rPr>
        <w:t xml:space="preserve"> </w:t>
      </w:r>
      <w:r w:rsidRPr="003B7960">
        <w:rPr>
          <w:rFonts w:ascii="Cambria" w:hAnsi="Cambria"/>
          <w:sz w:val="20"/>
          <w:szCs w:val="20"/>
          <w:lang w:val="es-ES"/>
        </w:rPr>
        <w:t xml:space="preserve">observa que, en el marco de la “protección especial” </w:t>
      </w:r>
      <w:r w:rsidR="00B06936" w:rsidRPr="003B7960">
        <w:rPr>
          <w:rFonts w:ascii="Cambria" w:hAnsi="Cambria"/>
          <w:sz w:val="20"/>
          <w:szCs w:val="20"/>
          <w:lang w:val="es-ES"/>
        </w:rPr>
        <w:t xml:space="preserve">que debe otorgarse </w:t>
      </w:r>
      <w:r w:rsidRPr="003B7960">
        <w:rPr>
          <w:rFonts w:ascii="Cambria" w:hAnsi="Cambria"/>
          <w:sz w:val="20"/>
          <w:szCs w:val="20"/>
          <w:lang w:val="es-ES"/>
        </w:rPr>
        <w:t xml:space="preserve">a </w:t>
      </w:r>
      <w:r w:rsidR="000265CB" w:rsidRPr="003B7960">
        <w:rPr>
          <w:rFonts w:ascii="Cambria" w:hAnsi="Cambria"/>
          <w:sz w:val="20"/>
          <w:szCs w:val="20"/>
          <w:lang w:val="es-ES"/>
        </w:rPr>
        <w:t>la niñez</w:t>
      </w:r>
      <w:r w:rsidRPr="003B7960">
        <w:rPr>
          <w:rFonts w:ascii="Cambria" w:hAnsi="Cambria"/>
          <w:sz w:val="20"/>
          <w:szCs w:val="20"/>
          <w:lang w:val="es-ES"/>
        </w:rPr>
        <w:t xml:space="preserve"> de conformidad con el artículo</w:t>
      </w:r>
      <w:r w:rsidR="00067F9E" w:rsidRPr="003B7960">
        <w:rPr>
          <w:rFonts w:ascii="Cambria" w:hAnsi="Cambria"/>
          <w:sz w:val="20"/>
          <w:szCs w:val="20"/>
          <w:lang w:val="es-ES"/>
        </w:rPr>
        <w:t xml:space="preserve"> VII </w:t>
      </w:r>
      <w:r w:rsidRPr="003B7960">
        <w:rPr>
          <w:rFonts w:ascii="Cambria" w:hAnsi="Cambria"/>
          <w:sz w:val="20"/>
          <w:szCs w:val="20"/>
          <w:lang w:val="es-ES"/>
        </w:rPr>
        <w:t>de</w:t>
      </w:r>
      <w:r w:rsidR="00067F9E" w:rsidRPr="003B7960">
        <w:rPr>
          <w:rFonts w:ascii="Cambria" w:hAnsi="Cambria"/>
          <w:sz w:val="20"/>
          <w:szCs w:val="20"/>
          <w:lang w:val="es-ES"/>
        </w:rPr>
        <w:t xml:space="preserve"> </w:t>
      </w:r>
      <w:r w:rsidR="00C33F51" w:rsidRPr="003B7960">
        <w:rPr>
          <w:rFonts w:ascii="Cambria" w:hAnsi="Cambria"/>
          <w:sz w:val="20"/>
          <w:szCs w:val="20"/>
          <w:lang w:val="es-ES"/>
        </w:rPr>
        <w:t>la Declaración</w:t>
      </w:r>
      <w:r w:rsidR="00B9011F" w:rsidRPr="003B7960">
        <w:rPr>
          <w:rFonts w:ascii="Cambria" w:hAnsi="Cambria"/>
          <w:sz w:val="20"/>
          <w:szCs w:val="20"/>
          <w:lang w:val="es-ES"/>
        </w:rPr>
        <w:t xml:space="preserve"> Americana</w:t>
      </w:r>
      <w:r w:rsidR="00067F9E" w:rsidRPr="003B7960">
        <w:rPr>
          <w:rFonts w:ascii="Cambria" w:hAnsi="Cambria"/>
          <w:sz w:val="20"/>
          <w:szCs w:val="20"/>
          <w:lang w:val="es-ES"/>
        </w:rPr>
        <w:t xml:space="preserve">, </w:t>
      </w:r>
      <w:r w:rsidR="00B06936" w:rsidRPr="003B7960">
        <w:rPr>
          <w:rFonts w:ascii="Cambria" w:hAnsi="Cambria"/>
          <w:sz w:val="20"/>
          <w:szCs w:val="20"/>
          <w:lang w:val="es-ES"/>
        </w:rPr>
        <w:t xml:space="preserve">en los </w:t>
      </w:r>
      <w:r w:rsidRPr="003B7960">
        <w:rPr>
          <w:rFonts w:ascii="Cambria" w:hAnsi="Cambria"/>
          <w:sz w:val="20"/>
          <w:szCs w:val="20"/>
          <w:lang w:val="es-ES"/>
        </w:rPr>
        <w:t xml:space="preserve">procedimientos judiciales que puedan afectar los derechos </w:t>
      </w:r>
      <w:r w:rsidR="000265CB" w:rsidRPr="003B7960">
        <w:rPr>
          <w:rFonts w:ascii="Cambria" w:hAnsi="Cambria"/>
          <w:sz w:val="20"/>
          <w:szCs w:val="20"/>
          <w:lang w:val="es-ES"/>
        </w:rPr>
        <w:t>de la niñez</w:t>
      </w:r>
      <w:r w:rsidRPr="003B7960">
        <w:rPr>
          <w:rFonts w:ascii="Cambria" w:hAnsi="Cambria"/>
          <w:sz w:val="20"/>
          <w:szCs w:val="20"/>
          <w:lang w:val="es-ES"/>
        </w:rPr>
        <w:t xml:space="preserve"> a la vida familiar </w:t>
      </w:r>
      <w:r w:rsidR="00B06936" w:rsidRPr="003B7960">
        <w:rPr>
          <w:rFonts w:ascii="Cambria" w:hAnsi="Cambria"/>
          <w:sz w:val="20"/>
          <w:szCs w:val="20"/>
          <w:lang w:val="es-ES"/>
        </w:rPr>
        <w:t xml:space="preserve">hay que tener en cuenta debidamente </w:t>
      </w:r>
      <w:r w:rsidR="000265CB" w:rsidRPr="003B7960">
        <w:rPr>
          <w:rFonts w:ascii="Cambria" w:hAnsi="Cambria"/>
          <w:sz w:val="20"/>
          <w:szCs w:val="20"/>
          <w:lang w:val="es-ES"/>
        </w:rPr>
        <w:t>su</w:t>
      </w:r>
      <w:r w:rsidR="004E3528" w:rsidRPr="003B7960">
        <w:rPr>
          <w:rFonts w:ascii="Cambria" w:hAnsi="Cambria"/>
          <w:sz w:val="20"/>
          <w:szCs w:val="20"/>
          <w:lang w:val="es-ES"/>
        </w:rPr>
        <w:t xml:space="preserve"> interés superior</w:t>
      </w:r>
      <w:r w:rsidR="00067F9E" w:rsidRPr="003B7960">
        <w:rPr>
          <w:rStyle w:val="FootnoteReference"/>
          <w:rFonts w:ascii="Cambria" w:hAnsi="Cambria"/>
          <w:sz w:val="20"/>
          <w:szCs w:val="20"/>
          <w:lang w:val="es-ES"/>
        </w:rPr>
        <w:footnoteReference w:id="142"/>
      </w:r>
      <w:r w:rsidR="00067F9E" w:rsidRPr="003B7960">
        <w:rPr>
          <w:rFonts w:ascii="Cambria" w:hAnsi="Cambria"/>
          <w:sz w:val="20"/>
          <w:szCs w:val="20"/>
          <w:lang w:val="es-ES"/>
        </w:rPr>
        <w:t>.</w:t>
      </w:r>
    </w:p>
    <w:p w14:paraId="40BEFB40" w14:textId="77777777" w:rsidR="00067F9E" w:rsidRPr="003B7960" w:rsidRDefault="00067F9E" w:rsidP="00101DC6">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79B9A615" w14:textId="67C81438" w:rsidR="00067F9E" w:rsidRPr="003B7960" w:rsidRDefault="00B06936"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En el caso de autos</w:t>
      </w:r>
      <w:r w:rsidR="00067F9E" w:rsidRPr="003B7960">
        <w:rPr>
          <w:rFonts w:ascii="Cambria" w:hAnsi="Cambria"/>
          <w:color w:val="000000"/>
          <w:sz w:val="20"/>
          <w:szCs w:val="20"/>
          <w:lang w:val="es-ES"/>
        </w:rPr>
        <w:t xml:space="preserv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observ</w:t>
      </w:r>
      <w:r w:rsidRPr="003B7960">
        <w:rPr>
          <w:rFonts w:ascii="Cambria" w:hAnsi="Cambria"/>
          <w:color w:val="000000"/>
          <w:sz w:val="20"/>
          <w:szCs w:val="20"/>
          <w:lang w:val="es-ES"/>
        </w:rPr>
        <w:t xml:space="preserve">a que </w:t>
      </w:r>
      <w:r w:rsidR="001E054E" w:rsidRPr="003B7960">
        <w:rPr>
          <w:rFonts w:ascii="Cambria" w:hAnsi="Cambria"/>
          <w:color w:val="000000"/>
          <w:sz w:val="20"/>
          <w:szCs w:val="20"/>
          <w:lang w:val="es-ES"/>
        </w:rPr>
        <w:t>la familia Escuela</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se encontraba en una situación muy incierta, ya que </w:t>
      </w:r>
      <w:r w:rsidR="003F4F42" w:rsidRPr="003B7960">
        <w:rPr>
          <w:rFonts w:ascii="Cambria" w:hAnsi="Cambria"/>
          <w:color w:val="000000"/>
          <w:sz w:val="20"/>
          <w:szCs w:val="20"/>
          <w:lang w:val="es-ES"/>
        </w:rPr>
        <w:t>e</w:t>
      </w:r>
      <w:r w:rsidRPr="003B7960">
        <w:rPr>
          <w:rFonts w:ascii="Cambria" w:hAnsi="Cambria"/>
          <w:color w:val="000000"/>
          <w:sz w:val="20"/>
          <w:szCs w:val="20"/>
          <w:lang w:val="es-ES"/>
        </w:rPr>
        <w:t xml:space="preserve">l esposo de la señora </w:t>
      </w:r>
      <w:r w:rsidR="00067F9E" w:rsidRPr="003B7960">
        <w:rPr>
          <w:rFonts w:ascii="Cambria" w:hAnsi="Cambria"/>
          <w:color w:val="000000"/>
          <w:sz w:val="20"/>
          <w:szCs w:val="20"/>
          <w:lang w:val="es-ES"/>
        </w:rPr>
        <w:t>Escuela</w:t>
      </w:r>
      <w:r w:rsidRPr="003B7960">
        <w:rPr>
          <w:rFonts w:ascii="Cambria" w:hAnsi="Cambria"/>
          <w:color w:val="000000"/>
          <w:sz w:val="20"/>
          <w:szCs w:val="20"/>
          <w:lang w:val="es-ES"/>
        </w:rPr>
        <w:t xml:space="preserve"> había</w:t>
      </w:r>
      <w:r w:rsidR="003F4F42" w:rsidRPr="003B7960">
        <w:rPr>
          <w:rFonts w:ascii="Cambria" w:hAnsi="Cambria"/>
          <w:color w:val="000000"/>
          <w:sz w:val="20"/>
          <w:szCs w:val="20"/>
          <w:lang w:val="es-ES"/>
        </w:rPr>
        <w:t xml:space="preserve"> conseguido </w:t>
      </w:r>
      <w:r w:rsidRPr="003B7960">
        <w:rPr>
          <w:rFonts w:ascii="Cambria" w:hAnsi="Cambria"/>
          <w:color w:val="000000"/>
          <w:sz w:val="20"/>
          <w:szCs w:val="20"/>
          <w:lang w:val="es-ES"/>
        </w:rPr>
        <w:t xml:space="preserve">la </w:t>
      </w:r>
      <w:r w:rsidR="00BE1909" w:rsidRPr="003B7960">
        <w:rPr>
          <w:rFonts w:ascii="Cambria" w:hAnsi="Cambria"/>
          <w:color w:val="000000"/>
          <w:sz w:val="20"/>
          <w:szCs w:val="20"/>
          <w:lang w:val="es-ES"/>
        </w:rPr>
        <w:t>condición de refugiado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en un tercer país y estaba esperando la documentación apropiada para llevar a dicho país </w:t>
      </w:r>
      <w:r w:rsidR="003F4F42" w:rsidRPr="003B7960">
        <w:rPr>
          <w:rFonts w:ascii="Cambria" w:hAnsi="Cambria"/>
          <w:color w:val="000000"/>
          <w:sz w:val="20"/>
          <w:szCs w:val="20"/>
          <w:lang w:val="es-ES"/>
        </w:rPr>
        <w:t xml:space="preserve">a los </w:t>
      </w:r>
      <w:r w:rsidRPr="003B7960">
        <w:rPr>
          <w:rFonts w:ascii="Cambria" w:hAnsi="Cambria"/>
          <w:color w:val="000000"/>
          <w:sz w:val="20"/>
          <w:szCs w:val="20"/>
          <w:lang w:val="es-ES"/>
        </w:rPr>
        <w:t xml:space="preserve">familiares </w:t>
      </w:r>
      <w:r w:rsidR="003F4F42" w:rsidRPr="003B7960">
        <w:rPr>
          <w:rFonts w:ascii="Cambria" w:hAnsi="Cambria"/>
          <w:color w:val="000000"/>
          <w:sz w:val="20"/>
          <w:szCs w:val="20"/>
          <w:lang w:val="es-ES"/>
        </w:rPr>
        <w:t xml:space="preserve">que </w:t>
      </w:r>
      <w:r w:rsidRPr="003B7960">
        <w:rPr>
          <w:rFonts w:ascii="Cambria" w:hAnsi="Cambria"/>
          <w:color w:val="000000"/>
          <w:sz w:val="20"/>
          <w:szCs w:val="20"/>
          <w:lang w:val="es-ES"/>
        </w:rPr>
        <w:t xml:space="preserve">estaban detenidos en </w:t>
      </w:r>
      <w:r w:rsidR="00B9011F" w:rsidRPr="003B7960">
        <w:rPr>
          <w:rFonts w:ascii="Cambria" w:hAnsi="Cambria"/>
          <w:color w:val="000000"/>
          <w:sz w:val="20"/>
          <w:szCs w:val="20"/>
          <w:lang w:val="es-ES"/>
        </w:rPr>
        <w:t>las Bahamas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A pesar del pedido cursado a</w:t>
      </w:r>
      <w:r w:rsidR="00A332F5" w:rsidRPr="003B7960">
        <w:rPr>
          <w:rFonts w:ascii="Cambria" w:hAnsi="Cambria"/>
          <w:color w:val="000000"/>
          <w:sz w:val="20"/>
          <w:szCs w:val="20"/>
          <w:lang w:val="es-ES"/>
        </w:rPr>
        <w:t>l Estado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de que no deportara a </w:t>
      </w:r>
      <w:r w:rsidR="001E054E" w:rsidRPr="003B7960">
        <w:rPr>
          <w:rFonts w:ascii="Cambria" w:hAnsi="Cambria"/>
          <w:color w:val="000000"/>
          <w:sz w:val="20"/>
          <w:szCs w:val="20"/>
          <w:lang w:val="es-ES"/>
        </w:rPr>
        <w:t>la familia Escuela</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mientras se tramitaba la solicitud de reunificación familiar presentada por el esposo de la señora </w:t>
      </w:r>
      <w:r w:rsidR="00067F9E" w:rsidRPr="003B7960">
        <w:rPr>
          <w:rFonts w:ascii="Cambria" w:hAnsi="Cambria"/>
          <w:color w:val="000000"/>
          <w:sz w:val="20"/>
          <w:szCs w:val="20"/>
          <w:lang w:val="es-ES"/>
        </w:rPr>
        <w:t xml:space="preserve">Escuela, </w:t>
      </w:r>
      <w:r w:rsidRPr="003B7960">
        <w:rPr>
          <w:rFonts w:ascii="Cambria" w:hAnsi="Cambria"/>
          <w:color w:val="000000"/>
          <w:sz w:val="20"/>
          <w:szCs w:val="20"/>
          <w:lang w:val="es-ES"/>
        </w:rPr>
        <w:t xml:space="preserve">el Estado procedió a deportar a la familia a </w:t>
      </w:r>
      <w:r w:rsidR="00067F9E" w:rsidRPr="003B7960">
        <w:rPr>
          <w:rFonts w:ascii="Cambria" w:hAnsi="Cambria"/>
          <w:color w:val="000000"/>
          <w:sz w:val="20"/>
          <w:szCs w:val="20"/>
          <w:lang w:val="es-ES"/>
        </w:rPr>
        <w:t xml:space="preserve">Cuba, </w:t>
      </w:r>
      <w:r w:rsidRPr="003B7960">
        <w:rPr>
          <w:rFonts w:ascii="Cambria" w:hAnsi="Cambria"/>
          <w:color w:val="000000"/>
          <w:sz w:val="20"/>
          <w:szCs w:val="20"/>
          <w:lang w:val="es-ES"/>
        </w:rPr>
        <w:t>habiendo hecho caso omiso del reclamo de la señora</w:t>
      </w:r>
      <w:r w:rsidR="00067F9E" w:rsidRPr="003B7960">
        <w:rPr>
          <w:rFonts w:ascii="Cambria" w:hAnsi="Cambria"/>
          <w:color w:val="000000"/>
          <w:sz w:val="20"/>
          <w:szCs w:val="20"/>
          <w:lang w:val="es-ES"/>
        </w:rPr>
        <w:t xml:space="preserve"> Escuela</w:t>
      </w:r>
      <w:r w:rsidRPr="003B7960">
        <w:rPr>
          <w:rFonts w:ascii="Cambria" w:hAnsi="Cambria"/>
          <w:color w:val="000000"/>
          <w:sz w:val="20"/>
          <w:szCs w:val="20"/>
          <w:lang w:val="es-ES"/>
        </w:rPr>
        <w:t xml:space="preserve"> de que la familia sería perseguida en ese país.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ya </w:t>
      </w:r>
      <w:r w:rsidR="00067F9E" w:rsidRPr="003B7960">
        <w:rPr>
          <w:rFonts w:ascii="Cambria" w:hAnsi="Cambria"/>
          <w:color w:val="000000"/>
          <w:sz w:val="20"/>
          <w:szCs w:val="20"/>
          <w:lang w:val="es-ES"/>
        </w:rPr>
        <w:t>ha</w:t>
      </w:r>
      <w:r w:rsidRPr="003B7960">
        <w:rPr>
          <w:rFonts w:ascii="Cambria" w:hAnsi="Cambria"/>
          <w:color w:val="000000"/>
          <w:sz w:val="20"/>
          <w:szCs w:val="20"/>
          <w:lang w:val="es-ES"/>
        </w:rPr>
        <w:t xml:space="preserve"> </w:t>
      </w:r>
      <w:r w:rsidR="00E93AAC" w:rsidRPr="003B7960">
        <w:rPr>
          <w:rFonts w:ascii="Cambria" w:hAnsi="Cambria"/>
          <w:color w:val="000000"/>
          <w:sz w:val="20"/>
          <w:szCs w:val="20"/>
          <w:lang w:val="es-ES"/>
        </w:rPr>
        <w:t>establecido</w:t>
      </w:r>
      <w:r w:rsidRPr="003B7960">
        <w:rPr>
          <w:rFonts w:ascii="Cambria" w:hAnsi="Cambria"/>
          <w:color w:val="000000"/>
          <w:sz w:val="20"/>
          <w:szCs w:val="20"/>
          <w:lang w:val="es-ES"/>
        </w:rPr>
        <w:t xml:space="preserve"> que no se siguió un procedimiento adecuado para determinar la </w:t>
      </w:r>
      <w:r w:rsidR="00BE1909" w:rsidRPr="003B7960">
        <w:rPr>
          <w:rFonts w:ascii="Cambria" w:hAnsi="Cambria"/>
          <w:color w:val="000000"/>
          <w:sz w:val="20"/>
          <w:szCs w:val="20"/>
          <w:lang w:val="es-ES"/>
        </w:rPr>
        <w:t>condición de refugiado</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con garantías</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de </w:t>
      </w:r>
      <w:r w:rsidR="004B2866" w:rsidRPr="003B7960">
        <w:rPr>
          <w:rFonts w:ascii="Cambria" w:hAnsi="Cambria"/>
          <w:color w:val="000000"/>
          <w:sz w:val="20"/>
          <w:szCs w:val="20"/>
          <w:lang w:val="es-ES"/>
        </w:rPr>
        <w:t>debido proceso</w:t>
      </w:r>
      <w:r w:rsidR="00E93AAC" w:rsidRPr="003B7960">
        <w:rPr>
          <w:rFonts w:ascii="Cambria" w:hAnsi="Cambria"/>
          <w:color w:val="000000"/>
          <w:sz w:val="20"/>
          <w:szCs w:val="20"/>
          <w:lang w:val="es-ES"/>
        </w:rPr>
        <w:t>, y encuentra que</w:t>
      </w:r>
      <w:r w:rsidR="00856996" w:rsidRPr="003B7960">
        <w:rPr>
          <w:rFonts w:ascii="Cambria" w:hAnsi="Cambria"/>
          <w:color w:val="000000"/>
          <w:sz w:val="20"/>
          <w:szCs w:val="20"/>
          <w:lang w:val="es-ES"/>
        </w:rPr>
        <w:t xml:space="preserve"> se le impidió a </w:t>
      </w:r>
      <w:r w:rsidR="001E054E" w:rsidRPr="003B7960">
        <w:rPr>
          <w:rFonts w:ascii="Cambria" w:hAnsi="Cambria"/>
          <w:color w:val="000000"/>
          <w:sz w:val="20"/>
          <w:szCs w:val="20"/>
          <w:lang w:val="es-ES"/>
        </w:rPr>
        <w:t>la familia Escuela</w:t>
      </w:r>
      <w:r w:rsidR="00067F9E" w:rsidRPr="003B7960">
        <w:rPr>
          <w:rFonts w:ascii="Cambria" w:hAnsi="Cambria"/>
          <w:color w:val="000000"/>
          <w:sz w:val="20"/>
          <w:szCs w:val="20"/>
          <w:lang w:val="es-ES"/>
        </w:rPr>
        <w:t xml:space="preserve"> </w:t>
      </w:r>
      <w:r w:rsidR="00856996" w:rsidRPr="003B7960">
        <w:rPr>
          <w:rFonts w:ascii="Cambria" w:hAnsi="Cambria"/>
          <w:color w:val="000000"/>
          <w:sz w:val="20"/>
          <w:szCs w:val="20"/>
          <w:lang w:val="es-ES"/>
        </w:rPr>
        <w:t>que presentara a una autoridad competente los elementos necesarios para indicar la existencia real de un riesgo considerable de persecución que una autoridad debería haber evaluado</w:t>
      </w:r>
      <w:r w:rsidR="002E3D96" w:rsidRPr="003B7960">
        <w:rPr>
          <w:rFonts w:ascii="Cambria" w:hAnsi="Cambria"/>
          <w:color w:val="000000"/>
          <w:sz w:val="20"/>
          <w:szCs w:val="20"/>
          <w:lang w:val="es-ES"/>
        </w:rPr>
        <w:t xml:space="preserve"> razonablemente</w:t>
      </w:r>
      <w:r w:rsidR="00856996" w:rsidRPr="003B7960">
        <w:rPr>
          <w:rFonts w:ascii="Cambria" w:hAnsi="Cambria"/>
          <w:color w:val="000000"/>
          <w:sz w:val="20"/>
          <w:szCs w:val="20"/>
          <w:lang w:val="es-ES"/>
        </w:rPr>
        <w:t xml:space="preserve"> y que podrían haber constituido la base de una decisión de no devolver a la familia a su país de origen</w:t>
      </w:r>
      <w:r w:rsidR="00067F9E" w:rsidRPr="003B7960">
        <w:rPr>
          <w:rFonts w:ascii="Cambria" w:hAnsi="Cambria"/>
          <w:color w:val="000000"/>
          <w:sz w:val="20"/>
          <w:szCs w:val="20"/>
          <w:lang w:val="es-ES"/>
        </w:rPr>
        <w:t>.</w:t>
      </w:r>
    </w:p>
    <w:p w14:paraId="622559AE" w14:textId="77777777" w:rsidR="00067F9E" w:rsidRPr="003B7960" w:rsidRDefault="00067F9E" w:rsidP="00101DC6">
      <w:pPr>
        <w:pStyle w:val="ListParagraph"/>
        <w:tabs>
          <w:tab w:val="left" w:pos="426"/>
        </w:tabs>
        <w:ind w:left="0"/>
        <w:rPr>
          <w:rFonts w:ascii="Cambria" w:hAnsi="Cambria"/>
          <w:color w:val="000000"/>
          <w:sz w:val="20"/>
          <w:szCs w:val="20"/>
          <w:lang w:val="es-ES"/>
        </w:rPr>
      </w:pPr>
    </w:p>
    <w:p w14:paraId="4DEE5156" w14:textId="0228C1C5" w:rsidR="00067F9E" w:rsidRPr="003B7960" w:rsidRDefault="0087254E"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Además,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pone de relieve que la decisión de </w:t>
      </w:r>
      <w:r w:rsidR="00067F9E" w:rsidRPr="003B7960">
        <w:rPr>
          <w:rFonts w:ascii="Cambria" w:hAnsi="Cambria"/>
          <w:color w:val="000000"/>
          <w:sz w:val="20"/>
          <w:szCs w:val="20"/>
          <w:lang w:val="es-ES"/>
        </w:rPr>
        <w:t>repatria</w:t>
      </w:r>
      <w:r w:rsidRPr="003B7960">
        <w:rPr>
          <w:rFonts w:ascii="Cambria" w:hAnsi="Cambria"/>
          <w:color w:val="000000"/>
          <w:sz w:val="20"/>
          <w:szCs w:val="20"/>
          <w:lang w:val="es-ES"/>
        </w:rPr>
        <w:t>r a la familia a pesar de los riesgos evidentes para su integridad debe considerarse también a la l</w:t>
      </w:r>
      <w:r w:rsidR="000265CB" w:rsidRPr="003B7960">
        <w:rPr>
          <w:rFonts w:ascii="Cambria" w:hAnsi="Cambria"/>
          <w:color w:val="000000"/>
          <w:sz w:val="20"/>
          <w:szCs w:val="20"/>
          <w:lang w:val="es-ES"/>
        </w:rPr>
        <w:t>uz de la protección especial de la niñez</w:t>
      </w:r>
      <w:r w:rsidRPr="003B7960">
        <w:rPr>
          <w:rFonts w:ascii="Cambria" w:hAnsi="Cambria"/>
          <w:color w:val="000000"/>
          <w:sz w:val="20"/>
          <w:szCs w:val="20"/>
          <w:lang w:val="es-ES"/>
        </w:rPr>
        <w:t xml:space="preserve">. Por consiguiente, </w:t>
      </w:r>
      <w:r w:rsidR="00B9011F" w:rsidRPr="003B7960">
        <w:rPr>
          <w:rFonts w:ascii="Cambria" w:hAnsi="Cambria"/>
          <w:color w:val="000000"/>
          <w:sz w:val="20"/>
          <w:szCs w:val="20"/>
          <w:lang w:val="es-ES"/>
        </w:rPr>
        <w:t>la Comisión</w:t>
      </w:r>
      <w:r w:rsidR="00067F9E" w:rsidRPr="003B7960">
        <w:rPr>
          <w:rFonts w:ascii="Cambria" w:hAnsi="Cambria"/>
          <w:color w:val="000000"/>
          <w:sz w:val="20"/>
          <w:szCs w:val="20"/>
          <w:lang w:val="es-ES"/>
        </w:rPr>
        <w:t xml:space="preserve"> </w:t>
      </w:r>
      <w:r w:rsidRPr="003B7960">
        <w:rPr>
          <w:rFonts w:ascii="Cambria" w:hAnsi="Cambria"/>
          <w:color w:val="000000"/>
          <w:sz w:val="20"/>
          <w:szCs w:val="20"/>
          <w:lang w:val="es-ES"/>
        </w:rPr>
        <w:t xml:space="preserve">concluye que no hubo un procedimiento </w:t>
      </w:r>
      <w:r w:rsidR="00067F9E" w:rsidRPr="003B7960">
        <w:rPr>
          <w:rFonts w:ascii="Cambria" w:hAnsi="Cambria"/>
          <w:color w:val="000000"/>
          <w:sz w:val="20"/>
          <w:szCs w:val="20"/>
          <w:lang w:val="es-ES"/>
        </w:rPr>
        <w:t>formal p</w:t>
      </w:r>
      <w:r w:rsidRPr="003B7960">
        <w:rPr>
          <w:rFonts w:ascii="Cambria" w:hAnsi="Cambria"/>
          <w:color w:val="000000"/>
          <w:sz w:val="20"/>
          <w:szCs w:val="20"/>
          <w:lang w:val="es-ES"/>
        </w:rPr>
        <w:t xml:space="preserve">ara presentar estos reclamos a las autoridades bahamesas y tomar una decisión debidamente fundamentada con respecto a la deportación a </w:t>
      </w:r>
      <w:r w:rsidR="00067F9E" w:rsidRPr="003B7960">
        <w:rPr>
          <w:rFonts w:ascii="Cambria" w:hAnsi="Cambria"/>
          <w:color w:val="000000"/>
          <w:sz w:val="20"/>
          <w:szCs w:val="20"/>
          <w:lang w:val="es-ES"/>
        </w:rPr>
        <w:t>Cuba</w:t>
      </w:r>
      <w:r w:rsidRPr="003B7960">
        <w:rPr>
          <w:rFonts w:ascii="Cambria" w:hAnsi="Cambria"/>
          <w:color w:val="000000"/>
          <w:sz w:val="20"/>
          <w:szCs w:val="20"/>
          <w:lang w:val="es-ES"/>
        </w:rPr>
        <w:t xml:space="preserve"> teniendo en cuenta los argumentos expuestos por la señora</w:t>
      </w:r>
      <w:r w:rsidR="00067F9E" w:rsidRPr="003B7960">
        <w:rPr>
          <w:rFonts w:ascii="Cambria" w:hAnsi="Cambria"/>
          <w:color w:val="000000"/>
          <w:sz w:val="20"/>
          <w:szCs w:val="20"/>
          <w:lang w:val="es-ES"/>
        </w:rPr>
        <w:t xml:space="preserve"> Escuela </w:t>
      </w:r>
      <w:r w:rsidR="002E3D96" w:rsidRPr="003B7960">
        <w:rPr>
          <w:rFonts w:ascii="Cambria" w:hAnsi="Cambria"/>
          <w:color w:val="000000"/>
          <w:sz w:val="20"/>
          <w:szCs w:val="20"/>
          <w:lang w:val="es-ES"/>
        </w:rPr>
        <w:t>sobre</w:t>
      </w:r>
      <w:r w:rsidRPr="003B7960">
        <w:rPr>
          <w:rFonts w:ascii="Cambria" w:hAnsi="Cambria"/>
          <w:color w:val="000000"/>
          <w:sz w:val="20"/>
          <w:szCs w:val="20"/>
          <w:lang w:val="es-ES"/>
        </w:rPr>
        <w:t xml:space="preserve"> la persecución en su país de origen y a la situación </w:t>
      </w:r>
      <w:r w:rsidR="00067F9E" w:rsidRPr="003B7960">
        <w:rPr>
          <w:rFonts w:ascii="Cambria" w:hAnsi="Cambria"/>
          <w:color w:val="000000"/>
          <w:sz w:val="20"/>
          <w:szCs w:val="20"/>
          <w:lang w:val="es-ES"/>
        </w:rPr>
        <w:t xml:space="preserve">particular </w:t>
      </w:r>
      <w:r w:rsidRPr="003B7960">
        <w:rPr>
          <w:rFonts w:ascii="Cambria" w:hAnsi="Cambria"/>
          <w:color w:val="000000"/>
          <w:sz w:val="20"/>
          <w:szCs w:val="20"/>
          <w:lang w:val="es-ES"/>
        </w:rPr>
        <w:t>de su familia, que esperaba la reunificación en un tercer país</w:t>
      </w:r>
      <w:r w:rsidR="00067F9E" w:rsidRPr="003B7960">
        <w:rPr>
          <w:rFonts w:ascii="Cambria" w:hAnsi="Cambria"/>
          <w:color w:val="000000"/>
          <w:sz w:val="20"/>
          <w:szCs w:val="20"/>
          <w:lang w:val="es-ES"/>
        </w:rPr>
        <w:t>.</w:t>
      </w:r>
    </w:p>
    <w:p w14:paraId="4AB32403" w14:textId="77777777" w:rsidR="00067F9E" w:rsidRPr="003B7960" w:rsidRDefault="00067F9E" w:rsidP="00101DC6">
      <w:pPr>
        <w:pStyle w:val="ListParagraph"/>
        <w:tabs>
          <w:tab w:val="left" w:pos="426"/>
        </w:tabs>
        <w:ind w:left="0"/>
        <w:rPr>
          <w:rFonts w:ascii="Cambria" w:hAnsi="Cambria"/>
          <w:sz w:val="20"/>
          <w:szCs w:val="20"/>
          <w:lang w:val="es-ES"/>
        </w:rPr>
      </w:pPr>
    </w:p>
    <w:p w14:paraId="557963C6" w14:textId="3FD35E23" w:rsidR="00067F9E" w:rsidRPr="003B7960" w:rsidRDefault="004B2866"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lang w:val="es-ES"/>
        </w:rPr>
      </w:pPr>
      <w:r w:rsidRPr="003B7960">
        <w:rPr>
          <w:rFonts w:ascii="Cambria" w:hAnsi="Cambria"/>
          <w:sz w:val="20"/>
          <w:szCs w:val="20"/>
          <w:lang w:val="es-ES"/>
        </w:rPr>
        <w:t>Por consiguiente</w:t>
      </w:r>
      <w:r w:rsidR="00067F9E" w:rsidRPr="003B7960">
        <w:rPr>
          <w:rFonts w:ascii="Cambria" w:hAnsi="Cambria"/>
          <w:sz w:val="20"/>
          <w:szCs w:val="20"/>
          <w:lang w:val="es-ES"/>
        </w:rPr>
        <w:t xml:space="preserve">, </w:t>
      </w:r>
      <w:r w:rsidR="00C33F51" w:rsidRPr="003B7960">
        <w:rPr>
          <w:rFonts w:ascii="Cambria" w:hAnsi="Cambria"/>
          <w:sz w:val="20"/>
          <w:szCs w:val="20"/>
          <w:lang w:val="es-ES"/>
        </w:rPr>
        <w:t>la CIDH</w:t>
      </w:r>
      <w:r w:rsidR="00067F9E" w:rsidRPr="003B7960">
        <w:rPr>
          <w:rFonts w:ascii="Cambria" w:hAnsi="Cambria"/>
          <w:sz w:val="20"/>
          <w:szCs w:val="20"/>
          <w:lang w:val="es-ES"/>
        </w:rPr>
        <w:t xml:space="preserve"> </w:t>
      </w:r>
      <w:r w:rsidR="0087254E" w:rsidRPr="003B7960">
        <w:rPr>
          <w:rFonts w:ascii="Cambria" w:hAnsi="Cambria"/>
          <w:sz w:val="20"/>
          <w:szCs w:val="20"/>
          <w:lang w:val="es-ES"/>
        </w:rPr>
        <w:t xml:space="preserve">concluye que </w:t>
      </w:r>
      <w:r w:rsidR="007B6078" w:rsidRPr="003B7960">
        <w:rPr>
          <w:rFonts w:ascii="Cambria" w:hAnsi="Cambria"/>
          <w:sz w:val="20"/>
          <w:szCs w:val="20"/>
          <w:lang w:val="es-ES"/>
        </w:rPr>
        <w:t>el Estado violó</w:t>
      </w:r>
      <w:r w:rsidR="00067F9E" w:rsidRPr="003B7960">
        <w:rPr>
          <w:rFonts w:ascii="Cambria" w:hAnsi="Cambria"/>
          <w:sz w:val="20"/>
          <w:szCs w:val="20"/>
          <w:lang w:val="es-ES"/>
        </w:rPr>
        <w:t xml:space="preserve"> </w:t>
      </w:r>
      <w:r w:rsidR="004E3528" w:rsidRPr="003B7960">
        <w:rPr>
          <w:rFonts w:ascii="Cambria" w:hAnsi="Cambria"/>
          <w:sz w:val="20"/>
          <w:szCs w:val="20"/>
          <w:lang w:val="es-ES"/>
        </w:rPr>
        <w:t xml:space="preserve">los derechos de la familia </w:t>
      </w:r>
      <w:r w:rsidR="00067F9E" w:rsidRPr="003B7960">
        <w:rPr>
          <w:rFonts w:ascii="Cambria" w:hAnsi="Cambria"/>
          <w:sz w:val="20"/>
          <w:szCs w:val="20"/>
          <w:lang w:val="es-ES"/>
        </w:rPr>
        <w:t xml:space="preserve">Escuela </w:t>
      </w:r>
      <w:r w:rsidR="004E3528" w:rsidRPr="003B7960">
        <w:rPr>
          <w:rFonts w:ascii="Cambria" w:hAnsi="Cambria"/>
          <w:sz w:val="20"/>
          <w:szCs w:val="20"/>
          <w:lang w:val="es-ES"/>
        </w:rPr>
        <w:t xml:space="preserve">consagrados en los </w:t>
      </w:r>
      <w:r w:rsidR="001A6E22" w:rsidRPr="003B7960">
        <w:rPr>
          <w:rFonts w:ascii="Cambria" w:hAnsi="Cambria"/>
          <w:sz w:val="20"/>
          <w:szCs w:val="20"/>
          <w:lang w:val="es-ES"/>
        </w:rPr>
        <w:t>artículos</w:t>
      </w:r>
      <w:r w:rsidR="00067F9E" w:rsidRPr="003B7960">
        <w:rPr>
          <w:rFonts w:ascii="Cambria" w:hAnsi="Cambria"/>
          <w:sz w:val="20"/>
          <w:szCs w:val="20"/>
          <w:lang w:val="es-ES"/>
        </w:rPr>
        <w:t xml:space="preserve"> V, VI</w:t>
      </w:r>
      <w:r w:rsidR="004E3528" w:rsidRPr="003B7960">
        <w:rPr>
          <w:rFonts w:ascii="Cambria" w:hAnsi="Cambria"/>
          <w:sz w:val="20"/>
          <w:szCs w:val="20"/>
          <w:lang w:val="es-ES"/>
        </w:rPr>
        <w:t xml:space="preserve"> y</w:t>
      </w:r>
      <w:r w:rsidR="00067F9E" w:rsidRPr="003B7960">
        <w:rPr>
          <w:rFonts w:ascii="Cambria" w:hAnsi="Cambria"/>
          <w:sz w:val="20"/>
          <w:szCs w:val="20"/>
          <w:lang w:val="es-ES"/>
        </w:rPr>
        <w:t xml:space="preserve"> VII </w:t>
      </w:r>
      <w:r w:rsidR="0087254E" w:rsidRPr="003B7960">
        <w:rPr>
          <w:rFonts w:ascii="Cambria" w:hAnsi="Cambria"/>
          <w:sz w:val="20"/>
          <w:szCs w:val="20"/>
          <w:lang w:val="es-ES"/>
        </w:rPr>
        <w:t xml:space="preserve">y contravino la obligación de </w:t>
      </w:r>
      <w:r w:rsidR="004E3528" w:rsidRPr="003B7960">
        <w:rPr>
          <w:rFonts w:ascii="Cambria" w:hAnsi="Cambria"/>
          <w:sz w:val="20"/>
          <w:szCs w:val="20"/>
          <w:lang w:val="es-ES"/>
        </w:rPr>
        <w:t>no devolución</w:t>
      </w:r>
      <w:r w:rsidR="00067F9E" w:rsidRPr="003B7960">
        <w:rPr>
          <w:rFonts w:ascii="Cambria" w:hAnsi="Cambria"/>
          <w:sz w:val="20"/>
          <w:szCs w:val="20"/>
          <w:lang w:val="es-ES"/>
        </w:rPr>
        <w:t xml:space="preserve">, </w:t>
      </w:r>
      <w:r w:rsidR="0087254E" w:rsidRPr="003B7960">
        <w:rPr>
          <w:rFonts w:ascii="Cambria" w:hAnsi="Cambria"/>
          <w:sz w:val="20"/>
          <w:szCs w:val="20"/>
          <w:lang w:val="es-ES"/>
        </w:rPr>
        <w:t>junto con el artículo</w:t>
      </w:r>
      <w:r w:rsidR="00067F9E" w:rsidRPr="003B7960">
        <w:rPr>
          <w:rFonts w:ascii="Cambria" w:hAnsi="Cambria"/>
          <w:sz w:val="20"/>
          <w:szCs w:val="20"/>
          <w:lang w:val="es-ES"/>
        </w:rPr>
        <w:t xml:space="preserve"> I </w:t>
      </w:r>
      <w:r w:rsidR="0087254E" w:rsidRPr="003B7960">
        <w:rPr>
          <w:rFonts w:ascii="Cambria" w:hAnsi="Cambria"/>
          <w:sz w:val="20"/>
          <w:szCs w:val="20"/>
          <w:lang w:val="es-ES"/>
        </w:rPr>
        <w:t>de</w:t>
      </w:r>
      <w:r w:rsidR="00067F9E" w:rsidRPr="003B7960">
        <w:rPr>
          <w:rFonts w:ascii="Cambria" w:hAnsi="Cambria"/>
          <w:sz w:val="20"/>
          <w:szCs w:val="20"/>
          <w:lang w:val="es-ES"/>
        </w:rPr>
        <w:t xml:space="preserve"> </w:t>
      </w:r>
      <w:r w:rsidR="00C33F51" w:rsidRPr="003B7960">
        <w:rPr>
          <w:rFonts w:ascii="Cambria" w:hAnsi="Cambria"/>
          <w:sz w:val="20"/>
          <w:szCs w:val="20"/>
          <w:lang w:val="es-ES"/>
        </w:rPr>
        <w:t>la Declaración</w:t>
      </w:r>
      <w:r w:rsidR="00B9011F" w:rsidRPr="003B7960">
        <w:rPr>
          <w:rFonts w:ascii="Cambria" w:hAnsi="Cambria"/>
          <w:sz w:val="20"/>
          <w:szCs w:val="20"/>
          <w:lang w:val="es-ES"/>
        </w:rPr>
        <w:t xml:space="preserve"> Americana</w:t>
      </w:r>
      <w:r w:rsidR="0087254E" w:rsidRPr="003B7960">
        <w:rPr>
          <w:rFonts w:ascii="Cambria" w:hAnsi="Cambria"/>
          <w:sz w:val="20"/>
          <w:szCs w:val="20"/>
          <w:lang w:val="es-ES"/>
        </w:rPr>
        <w:t xml:space="preserve">, al no tener en cuenta debidamente </w:t>
      </w:r>
      <w:r w:rsidR="00234402" w:rsidRPr="003B7960">
        <w:rPr>
          <w:rFonts w:ascii="Cambria" w:hAnsi="Cambria"/>
          <w:sz w:val="20"/>
          <w:szCs w:val="20"/>
          <w:lang w:val="es-ES"/>
        </w:rPr>
        <w:t>y de forma individualizada su de</w:t>
      </w:r>
      <w:r w:rsidR="0087254E" w:rsidRPr="003B7960">
        <w:rPr>
          <w:rFonts w:ascii="Cambria" w:hAnsi="Cambria"/>
          <w:sz w:val="20"/>
          <w:szCs w:val="20"/>
          <w:lang w:val="es-ES"/>
        </w:rPr>
        <w:t xml:space="preserve">recho a </w:t>
      </w:r>
      <w:r w:rsidR="00234402" w:rsidRPr="003B7960">
        <w:rPr>
          <w:rFonts w:ascii="Cambria" w:hAnsi="Cambria"/>
          <w:sz w:val="20"/>
          <w:szCs w:val="20"/>
          <w:lang w:val="es-ES"/>
        </w:rPr>
        <w:t xml:space="preserve">la protección de la familia y el interés superior de </w:t>
      </w:r>
      <w:r w:rsidR="000265CB" w:rsidRPr="003B7960">
        <w:rPr>
          <w:rFonts w:ascii="Cambria" w:hAnsi="Cambria"/>
          <w:sz w:val="20"/>
          <w:szCs w:val="20"/>
          <w:lang w:val="es-ES"/>
        </w:rPr>
        <w:t>la niñez</w:t>
      </w:r>
      <w:r w:rsidR="00234402" w:rsidRPr="003B7960">
        <w:rPr>
          <w:rFonts w:ascii="Cambria" w:hAnsi="Cambria"/>
          <w:sz w:val="20"/>
          <w:szCs w:val="20"/>
          <w:lang w:val="es-ES"/>
        </w:rPr>
        <w:t xml:space="preserve"> en el procedimiento de expulsión de </w:t>
      </w:r>
      <w:r w:rsidR="001E054E" w:rsidRPr="003B7960">
        <w:rPr>
          <w:rFonts w:ascii="Cambria" w:hAnsi="Cambria"/>
          <w:sz w:val="20"/>
          <w:szCs w:val="20"/>
          <w:lang w:val="es-ES"/>
        </w:rPr>
        <w:t>la familia Escuela</w:t>
      </w:r>
      <w:r w:rsidR="00234402" w:rsidRPr="003B7960">
        <w:rPr>
          <w:rFonts w:ascii="Cambria" w:hAnsi="Cambria"/>
          <w:sz w:val="20"/>
          <w:szCs w:val="20"/>
          <w:lang w:val="es-ES"/>
        </w:rPr>
        <w:t xml:space="preserve"> y al no proteger a la familia contra la persecución alegada, que fue confirmada poco después de su </w:t>
      </w:r>
      <w:r w:rsidR="007B6078" w:rsidRPr="003B7960">
        <w:rPr>
          <w:rFonts w:ascii="Cambria" w:hAnsi="Cambria"/>
          <w:sz w:val="20"/>
          <w:szCs w:val="20"/>
          <w:lang w:val="es-ES"/>
        </w:rPr>
        <w:t>repatriación</w:t>
      </w:r>
      <w:r w:rsidR="00067F9E" w:rsidRPr="003B7960">
        <w:rPr>
          <w:rFonts w:ascii="Cambria" w:hAnsi="Cambria"/>
          <w:sz w:val="20"/>
          <w:szCs w:val="20"/>
          <w:lang w:val="es-ES"/>
        </w:rPr>
        <w:t xml:space="preserve"> </w:t>
      </w:r>
      <w:r w:rsidR="00234402" w:rsidRPr="003B7960">
        <w:rPr>
          <w:rFonts w:ascii="Cambria" w:hAnsi="Cambria"/>
          <w:sz w:val="20"/>
          <w:szCs w:val="20"/>
          <w:lang w:val="es-ES"/>
        </w:rPr>
        <w:t xml:space="preserve">en su </w:t>
      </w:r>
      <w:r w:rsidR="00067F9E" w:rsidRPr="003B7960">
        <w:rPr>
          <w:rFonts w:ascii="Cambria" w:hAnsi="Cambria"/>
          <w:sz w:val="20"/>
          <w:szCs w:val="20"/>
          <w:lang w:val="es-ES"/>
        </w:rPr>
        <w:t>testimoni</w:t>
      </w:r>
      <w:r w:rsidR="00234402" w:rsidRPr="003B7960">
        <w:rPr>
          <w:rFonts w:ascii="Cambria" w:hAnsi="Cambria"/>
          <w:sz w:val="20"/>
          <w:szCs w:val="20"/>
          <w:lang w:val="es-ES"/>
        </w:rPr>
        <w:t>o</w:t>
      </w:r>
      <w:r w:rsidR="00067F9E" w:rsidRPr="003B7960">
        <w:rPr>
          <w:rFonts w:ascii="Cambria" w:hAnsi="Cambria"/>
          <w:sz w:val="20"/>
          <w:szCs w:val="20"/>
          <w:lang w:val="es-ES"/>
        </w:rPr>
        <w:t>.</w:t>
      </w:r>
      <w:r w:rsidR="000F78E7" w:rsidRPr="003B7960">
        <w:rPr>
          <w:rFonts w:ascii="Cambria" w:hAnsi="Cambria"/>
          <w:sz w:val="20"/>
          <w:szCs w:val="20"/>
          <w:lang w:val="es-ES"/>
        </w:rPr>
        <w:t xml:space="preserve"> </w:t>
      </w:r>
    </w:p>
    <w:p w14:paraId="2CF59738" w14:textId="77777777" w:rsidR="00067F9E" w:rsidRPr="003B7960" w:rsidRDefault="00067F9E" w:rsidP="00101DC6">
      <w:pPr>
        <w:pStyle w:val="ListParagraph"/>
        <w:tabs>
          <w:tab w:val="left" w:pos="426"/>
        </w:tabs>
        <w:ind w:left="0"/>
        <w:rPr>
          <w:rFonts w:ascii="Cambria" w:hAnsi="Cambria"/>
          <w:sz w:val="20"/>
          <w:szCs w:val="20"/>
          <w:lang w:val="es-ES"/>
        </w:rPr>
      </w:pPr>
    </w:p>
    <w:p w14:paraId="28C161F8" w14:textId="77777777" w:rsidR="009A4875" w:rsidRDefault="009A4875">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Gothic" w:hAnsi="Cambria"/>
          <w:b/>
          <w:bCs/>
          <w:sz w:val="20"/>
          <w:szCs w:val="20"/>
          <w:lang w:val="es-ES"/>
        </w:rPr>
      </w:pPr>
      <w:bookmarkStart w:id="28" w:name="_Toc90557313"/>
      <w:r>
        <w:rPr>
          <w:lang w:val="es-ES"/>
        </w:rPr>
        <w:br w:type="page"/>
      </w:r>
    </w:p>
    <w:p w14:paraId="1AA3AA1E" w14:textId="5543E552" w:rsidR="00275C2F" w:rsidRPr="003B7960" w:rsidRDefault="00C13CAF" w:rsidP="00275C2F">
      <w:pPr>
        <w:pStyle w:val="Heading1"/>
        <w:keepNext w:val="0"/>
        <w:keepLines w:val="0"/>
        <w:tabs>
          <w:tab w:val="clear" w:pos="1440"/>
          <w:tab w:val="left" w:pos="426"/>
        </w:tabs>
        <w:suppressAutoHyphens/>
        <w:ind w:left="0" w:firstLine="0"/>
        <w:jc w:val="left"/>
      </w:pPr>
      <w:r w:rsidRPr="003B7960">
        <w:rPr>
          <w:lang w:val="es-ES"/>
        </w:rPr>
        <w:lastRenderedPageBreak/>
        <w:t xml:space="preserve">INFORME </w:t>
      </w:r>
      <w:r w:rsidR="002011B2" w:rsidRPr="003B7960">
        <w:rPr>
          <w:lang w:val="es-ES"/>
        </w:rPr>
        <w:t>No. 9/19</w:t>
      </w:r>
      <w:r w:rsidRPr="003B7960">
        <w:rPr>
          <w:lang w:val="es-ES"/>
        </w:rPr>
        <w:t xml:space="preserve"> </w:t>
      </w:r>
      <w:r w:rsidRPr="003B7960">
        <w:t>E INFORMACIÓN SOBRE EL CUMPLIMIENTO</w:t>
      </w:r>
      <w:bookmarkEnd w:id="28"/>
    </w:p>
    <w:p w14:paraId="323A7D97" w14:textId="77777777" w:rsidR="00275C2F" w:rsidRPr="003B7960" w:rsidRDefault="00275C2F" w:rsidP="00275C2F">
      <w:pPr>
        <w:rPr>
          <w:lang w:val="es-ES"/>
        </w:rPr>
      </w:pPr>
    </w:p>
    <w:p w14:paraId="4D723A7C" w14:textId="77777777" w:rsidR="00275C2F" w:rsidRPr="003B7960" w:rsidRDefault="00275C2F" w:rsidP="00275C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El 12 de febrero de 2019 la Comisión aprobó el informe de Fondo No. 9/19 sobre el presente caso, que incluyen los párrafos del 1 al 90 </w:t>
      </w:r>
      <w:r w:rsidRPr="003B7960">
        <w:rPr>
          <w:rFonts w:ascii="Cambria" w:hAnsi="Cambria"/>
          <w:i/>
          <w:color w:val="000000"/>
          <w:sz w:val="20"/>
          <w:szCs w:val="20"/>
          <w:lang w:val="es-ES"/>
        </w:rPr>
        <w:t xml:space="preserve">supra </w:t>
      </w:r>
      <w:r w:rsidRPr="003B7960">
        <w:rPr>
          <w:rFonts w:ascii="Cambria" w:hAnsi="Cambria"/>
          <w:color w:val="000000"/>
          <w:sz w:val="20"/>
          <w:szCs w:val="20"/>
          <w:lang w:val="es-ES"/>
        </w:rPr>
        <w:t xml:space="preserve">e recomendó al Estado lo siguiente: </w:t>
      </w:r>
    </w:p>
    <w:p w14:paraId="3815BA9B" w14:textId="77777777" w:rsidR="00275C2F" w:rsidRPr="003B7960" w:rsidRDefault="00275C2F" w:rsidP="00275C2F">
      <w:pPr>
        <w:rPr>
          <w:lang w:val="es-ES"/>
        </w:rPr>
      </w:pPr>
    </w:p>
    <w:p w14:paraId="2A789DA3" w14:textId="77777777" w:rsidR="00275C2F" w:rsidRPr="003B7960" w:rsidRDefault="00275C2F" w:rsidP="00275C2F">
      <w:pPr>
        <w:keepNext/>
        <w:keepLines/>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t xml:space="preserve">Que identifique a cada uno de los ciudadanos cubanos y haitianos mencionados en el presente informe y prepare una lista definitiva de víctimas; que disponga y despliegue todas las medidas diplomáticas necesarias para establecer contacto con todas las víctimas a fin de efectuar reparaciones adecuadas, tanto materiales como morales, por las violaciones de derechos humanos reconocidas en el presente informe, entre ellas una indemnización económica y medidas de satisfacción; </w:t>
      </w:r>
    </w:p>
    <w:p w14:paraId="70442CFC" w14:textId="77777777" w:rsidR="00275C2F" w:rsidRPr="003B7960" w:rsidRDefault="00275C2F" w:rsidP="00275C2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t xml:space="preserve"> </w:t>
      </w:r>
    </w:p>
    <w:p w14:paraId="027EB749" w14:textId="77777777" w:rsidR="00275C2F" w:rsidRPr="003B7960" w:rsidRDefault="00275C2F" w:rsidP="00275C2F">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t xml:space="preserve">Que tome medidas urgentes para mejorar las condiciones de detención en el Centro de Detención de </w:t>
      </w:r>
      <w:proofErr w:type="spellStart"/>
      <w:r w:rsidRPr="003B7960">
        <w:rPr>
          <w:rFonts w:ascii="Cambria" w:hAnsi="Cambria"/>
          <w:sz w:val="20"/>
          <w:szCs w:val="20"/>
          <w:bdr w:val="none" w:sz="0" w:space="0" w:color="auto" w:frame="1"/>
          <w:lang w:val="es-ES"/>
        </w:rPr>
        <w:t>Carmichael</w:t>
      </w:r>
      <w:proofErr w:type="spellEnd"/>
      <w:r w:rsidRPr="003B7960">
        <w:rPr>
          <w:rFonts w:ascii="Cambria" w:hAnsi="Cambria"/>
          <w:sz w:val="20"/>
          <w:szCs w:val="20"/>
          <w:bdr w:val="none" w:sz="0" w:space="0" w:color="auto" w:frame="1"/>
          <w:lang w:val="es-ES"/>
        </w:rPr>
        <w:t xml:space="preserve"> Road, a fin de que se ciñan a las normas mínimas interamericanas señaladas en el presente informe. El Estado debe crear un mecanismo judicial o administrativo a disposición de los detenidos con el fin de proveer medios accesibles y efectivos para facilitar la presentación y tramitación de reclamos en ese sentido, incluidas denuncias de índole penal;</w:t>
      </w:r>
      <w:r w:rsidRPr="003B7960">
        <w:rPr>
          <w:rFonts w:ascii="Cambria" w:hAnsi="Cambria"/>
          <w:sz w:val="20"/>
          <w:szCs w:val="20"/>
          <w:lang w:val="es-ES"/>
        </w:rPr>
        <w:t xml:space="preserve"> </w:t>
      </w:r>
    </w:p>
    <w:p w14:paraId="524A292F" w14:textId="77777777" w:rsidR="00275C2F" w:rsidRPr="003B7960" w:rsidRDefault="00275C2F" w:rsidP="00275C2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frame="1"/>
          <w:lang w:val="es-ES"/>
        </w:rPr>
      </w:pPr>
    </w:p>
    <w:p w14:paraId="021ADCBA" w14:textId="77777777" w:rsidR="00275C2F" w:rsidRPr="003B7960" w:rsidRDefault="00275C2F" w:rsidP="00275C2F">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lang w:val="es-ES"/>
        </w:rPr>
        <w:t>Que establezca mecanismos como los siguientes para evitar la repetición de los hechos descritos en el presente informe:</w:t>
      </w:r>
    </w:p>
    <w:p w14:paraId="5B927E38" w14:textId="77777777" w:rsidR="00275C2F" w:rsidRPr="003B7960" w:rsidRDefault="00275C2F" w:rsidP="00275C2F">
      <w:pPr>
        <w:pStyle w:val="ListParagraph"/>
        <w:tabs>
          <w:tab w:val="left" w:pos="426"/>
        </w:tabs>
        <w:ind w:left="0"/>
        <w:rPr>
          <w:rFonts w:ascii="Cambria" w:hAnsi="Cambria"/>
          <w:sz w:val="20"/>
          <w:szCs w:val="20"/>
          <w:lang w:val="es-ES"/>
        </w:rPr>
      </w:pPr>
    </w:p>
    <w:p w14:paraId="1E012275" w14:textId="11710EDB" w:rsidR="00275C2F" w:rsidRPr="003B7960" w:rsidRDefault="00275C2F" w:rsidP="000265CB">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t xml:space="preserve">Adoptar leyes adecuadas para asegurar que no se repitan los hechos descritos en el presente informe y reglamentar la determinación de la condición de refugiado, así como otras medidas complementarias reconocidas de protección internacional que sean apropiadas para contextos migratorios mixtos. Estas leyes deben asegurar que se cumpla la obligación de </w:t>
      </w:r>
      <w:r w:rsidRPr="003B7960">
        <w:rPr>
          <w:rFonts w:ascii="Cambria" w:hAnsi="Cambria"/>
          <w:iCs/>
          <w:sz w:val="20"/>
          <w:szCs w:val="20"/>
          <w:bdr w:val="none" w:sz="0" w:space="0" w:color="auto" w:frame="1"/>
          <w:lang w:val="es-ES"/>
        </w:rPr>
        <w:t>no devolución</w:t>
      </w:r>
      <w:r w:rsidRPr="003B7960">
        <w:rPr>
          <w:rFonts w:ascii="Cambria" w:hAnsi="Cambria"/>
          <w:sz w:val="20"/>
          <w:szCs w:val="20"/>
          <w:bdr w:val="none" w:sz="0" w:space="0" w:color="auto" w:frame="1"/>
          <w:lang w:val="es-ES"/>
        </w:rPr>
        <w:t xml:space="preserve"> y se respete el principio </w:t>
      </w:r>
      <w:r w:rsidR="000265CB" w:rsidRPr="003B7960">
        <w:rPr>
          <w:rFonts w:ascii="Cambria" w:hAnsi="Cambria"/>
          <w:sz w:val="20"/>
          <w:szCs w:val="20"/>
          <w:bdr w:val="none" w:sz="0" w:space="0" w:color="auto" w:frame="1"/>
          <w:lang w:val="es-ES"/>
        </w:rPr>
        <w:t xml:space="preserve">del interés superior de la niñez </w:t>
      </w:r>
      <w:r w:rsidRPr="003B7960">
        <w:rPr>
          <w:rFonts w:ascii="Cambria" w:hAnsi="Cambria"/>
          <w:sz w:val="20"/>
          <w:szCs w:val="20"/>
          <w:bdr w:val="none" w:sz="0" w:space="0" w:color="auto" w:frame="1"/>
          <w:lang w:val="es-ES"/>
        </w:rPr>
        <w:t>y garantizar el debido proceso en los procedimientos de inmigración. La normativa adoptada deberá consagrar las s</w:t>
      </w:r>
      <w:r w:rsidR="00D16FD1" w:rsidRPr="003B7960">
        <w:rPr>
          <w:rFonts w:ascii="Cambria" w:hAnsi="Cambria"/>
          <w:sz w:val="20"/>
          <w:szCs w:val="20"/>
          <w:bdr w:val="none" w:sz="0" w:space="0" w:color="auto" w:frame="1"/>
          <w:lang w:val="es-ES"/>
        </w:rPr>
        <w:t>iguientes garantías procesales conforme a</w:t>
      </w:r>
      <w:r w:rsidRPr="003B7960">
        <w:rPr>
          <w:rFonts w:ascii="Cambria" w:hAnsi="Cambria"/>
          <w:sz w:val="20"/>
          <w:szCs w:val="20"/>
          <w:bdr w:val="none" w:sz="0" w:space="0" w:color="auto" w:frame="1"/>
          <w:lang w:val="es-ES"/>
        </w:rPr>
        <w:t xml:space="preserve">l párrafo 71 del Informe: </w:t>
      </w:r>
    </w:p>
    <w:p w14:paraId="2EF4D000" w14:textId="77777777" w:rsidR="00D16FD1" w:rsidRPr="003B7960" w:rsidRDefault="00D16FD1" w:rsidP="00D16FD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106FDB1D"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r w:rsidRPr="003B7960">
        <w:rPr>
          <w:rFonts w:ascii="Cambria" w:hAnsi="Cambria"/>
          <w:color w:val="000000"/>
          <w:sz w:val="20"/>
          <w:szCs w:val="20"/>
          <w:lang w:val="es-ES"/>
        </w:rPr>
        <w:t>el derecho a la notificación previa y detallada del procedimiento para determinar su condición jurídica y, en el caso de los detenidos, a que se les comuniquen las razones de su detención y se les informe con prontitud sobre el cargo o los cargos formulados en su contra;</w:t>
      </w:r>
    </w:p>
    <w:p w14:paraId="2E359458"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derecho a recibir la orientación necesaria en cuanto al procedimiento que ha de seguirse, en un lenguaje y modo comprensibles y, de ser apropiado, se le debe dar la oportunidad de ponerse en contacto con un representante de ACNUR.</w:t>
      </w:r>
      <w:r w:rsidRPr="003B7960">
        <w:rPr>
          <w:rFonts w:ascii="Cambria" w:eastAsia="Times New Roman" w:hAnsi="Cambria"/>
          <w:sz w:val="20"/>
          <w:szCs w:val="20"/>
          <w:bdr w:val="none" w:sz="0" w:space="0" w:color="auto"/>
          <w:lang w:val="es-ES"/>
        </w:rPr>
        <w:t xml:space="preserve">; </w:t>
      </w:r>
    </w:p>
    <w:p w14:paraId="5888BF45"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de toda persona detenida de ser llevada sin demoradas ante una juez o autoridad administrativa autorizada por el ley para el ejercicio jurisdiccional y de ser juzgada en un plazo razonable o, de lo contrario, de ser liberada y continuar su proceso sin detención. Su libertad puede estar condicionada a medidas que aseguren su presencia posterior en su juicio. </w:t>
      </w:r>
    </w:p>
    <w:p w14:paraId="111EA8F7"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una audiencia sin demoras, a contar con tiempo y recursos suficientes para preparar su defensa y a reunirse libremente en privado con su abogado; </w:t>
      </w:r>
    </w:p>
    <w:p w14:paraId="6044B89C"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 xml:space="preserve">el derecho a que la solicitud sea examinada con objetividad, en el marco del procedimiento establecido al efecto, por una autoridad competente claramente identificada, requiriendo una entrevista personal; </w:t>
      </w:r>
    </w:p>
    <w:p w14:paraId="476B314E"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la asistencia gratuita de un traductor o intérprete; </w:t>
      </w:r>
    </w:p>
    <w:p w14:paraId="764F681B"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asistencia letrada; </w:t>
      </w:r>
    </w:p>
    <w:p w14:paraId="5F59CDCA"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el respeto a la protección de los datos del solicitante y de la solicitud de asilo y el principio de confidencialidad.</w:t>
      </w:r>
    </w:p>
    <w:p w14:paraId="1338B380"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a que la decisión que se tome sea debidamente motivada;</w:t>
      </w:r>
    </w:p>
    <w:p w14:paraId="014AE54F"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que se le notifique la decisión tomada en el procedimiento; </w:t>
      </w:r>
    </w:p>
    <w:p w14:paraId="314BB6D5" w14:textId="77777777"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de apelación de la decisión tomada ante un tribunal superior y el</w:t>
      </w:r>
      <w:r w:rsidRPr="003B7960">
        <w:rPr>
          <w:rFonts w:ascii="Cambria" w:eastAsia="Times New Roman" w:hAnsi="Cambria"/>
          <w:sz w:val="20"/>
          <w:szCs w:val="20"/>
          <w:bdr w:val="none" w:sz="0" w:space="0" w:color="auto"/>
          <w:lang w:val="es-US"/>
        </w:rPr>
        <w:t xml:space="preserve"> derecho de permanecer en el país hasta que la autoridad competente haya resuelto la apelación.</w:t>
      </w:r>
    </w:p>
    <w:p w14:paraId="2F874C54" w14:textId="011667CA" w:rsidR="00275C2F" w:rsidRPr="003B7960" w:rsidRDefault="00275C2F" w:rsidP="00AA309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la información del acceso a la asistencia consular </w:t>
      </w:r>
      <w:r w:rsidRPr="003B7960">
        <w:rPr>
          <w:rFonts w:ascii="Cambria" w:eastAsia="Times New Roman" w:hAnsi="Cambria"/>
          <w:sz w:val="20"/>
          <w:szCs w:val="20"/>
          <w:bdr w:val="none" w:sz="0" w:space="0" w:color="auto"/>
          <w:lang w:val="es-US"/>
        </w:rPr>
        <w:t>y la prohibición de comunicación con las autoridades del país del solicitante de asilo, a menos que se cuente con evidencia del consentimiento expreso de la persona.</w:t>
      </w:r>
    </w:p>
    <w:p w14:paraId="4EF77B9D" w14:textId="77777777" w:rsidR="00275C2F" w:rsidRPr="003B7960" w:rsidRDefault="00275C2F" w:rsidP="00275C2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2C93B381" w14:textId="77777777" w:rsidR="00275C2F" w:rsidRPr="003B7960" w:rsidRDefault="00275C2F" w:rsidP="00275C2F">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lang w:val="es-ES"/>
        </w:rPr>
        <w:lastRenderedPageBreak/>
        <w:t>Asegurar el acceso a información sobre la solicitud de asilo en las Bahamas y sobre el derecho a recibir asistencia consular, así como el acceso a intérpretes y asistencia letrada;</w:t>
      </w:r>
    </w:p>
    <w:p w14:paraId="53986B5A" w14:textId="77777777" w:rsidR="00275C2F" w:rsidRPr="003B7960" w:rsidRDefault="00275C2F" w:rsidP="00275C2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395A1CE7" w14:textId="77777777" w:rsidR="00275C2F" w:rsidRPr="003B7960" w:rsidRDefault="00275C2F" w:rsidP="00275C2F">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t>Asegurar el acceso adecuado y efectivo de los inmigrantes indocumentados y los solicitantes de asilo a los tribunales para impugnar decisiones administrativas relativas a la determinación de su condición;</w:t>
      </w:r>
    </w:p>
    <w:p w14:paraId="195B33AA" w14:textId="77777777" w:rsidR="00275C2F" w:rsidRPr="003B7960" w:rsidRDefault="00275C2F" w:rsidP="00275C2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511396DE" w14:textId="6A3C6A4C" w:rsidR="00275C2F" w:rsidRPr="003B7960" w:rsidRDefault="00A06F27" w:rsidP="00275C2F">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lang w:val="es-ES"/>
        </w:rPr>
        <w:t xml:space="preserve">Derogar o abstenerse de implementar cualquier disposición legal nacional o internacional, que establezca la </w:t>
      </w:r>
      <w:r w:rsidR="00275C2F" w:rsidRPr="003B7960">
        <w:rPr>
          <w:rFonts w:ascii="Cambria" w:hAnsi="Cambria"/>
          <w:sz w:val="20"/>
          <w:szCs w:val="20"/>
          <w:lang w:val="es-ES"/>
        </w:rPr>
        <w:t>expulsión sumaria</w:t>
      </w:r>
      <w:r w:rsidRPr="003B7960">
        <w:rPr>
          <w:rFonts w:ascii="Cambria" w:hAnsi="Cambria"/>
          <w:sz w:val="20"/>
          <w:szCs w:val="20"/>
          <w:lang w:val="es-ES"/>
        </w:rPr>
        <w:t xml:space="preserve"> de migrantes. Prestar especial atención a los Acuerdos Bilaterales con Cuba y Haití, o</w:t>
      </w:r>
      <w:r w:rsidR="00275C2F" w:rsidRPr="003B7960">
        <w:rPr>
          <w:rFonts w:ascii="Cambria" w:hAnsi="Cambria"/>
          <w:sz w:val="20"/>
          <w:szCs w:val="20"/>
          <w:lang w:val="es-ES"/>
        </w:rPr>
        <w:t xml:space="preserve"> prácticas </w:t>
      </w:r>
      <w:r w:rsidRPr="003B7960">
        <w:rPr>
          <w:rFonts w:ascii="Cambria" w:hAnsi="Cambria"/>
          <w:sz w:val="20"/>
          <w:szCs w:val="20"/>
          <w:lang w:val="es-ES"/>
        </w:rPr>
        <w:t xml:space="preserve">derivadas </w:t>
      </w:r>
      <w:r w:rsidR="00275C2F" w:rsidRPr="003B7960">
        <w:rPr>
          <w:rFonts w:ascii="Cambria" w:hAnsi="Cambria"/>
          <w:sz w:val="20"/>
          <w:szCs w:val="20"/>
          <w:lang w:val="es-ES"/>
        </w:rPr>
        <w:t xml:space="preserve">de </w:t>
      </w:r>
      <w:r w:rsidRPr="003B7960">
        <w:rPr>
          <w:rFonts w:ascii="Cambria" w:hAnsi="Cambria"/>
          <w:sz w:val="20"/>
          <w:szCs w:val="20"/>
          <w:lang w:val="es-ES"/>
        </w:rPr>
        <w:t xml:space="preserve">dichos </w:t>
      </w:r>
      <w:r w:rsidR="00275C2F" w:rsidRPr="003B7960">
        <w:rPr>
          <w:rFonts w:ascii="Cambria" w:hAnsi="Cambria"/>
          <w:sz w:val="20"/>
          <w:szCs w:val="20"/>
          <w:lang w:val="es-ES"/>
        </w:rPr>
        <w:t>acuerdos</w:t>
      </w:r>
      <w:r w:rsidRPr="003B7960">
        <w:rPr>
          <w:rFonts w:ascii="Cambria" w:hAnsi="Cambria"/>
          <w:sz w:val="20"/>
          <w:szCs w:val="20"/>
          <w:lang w:val="es-ES"/>
        </w:rPr>
        <w:t xml:space="preserve"> en la medida</w:t>
      </w:r>
      <w:r w:rsidR="00275C2F" w:rsidRPr="003B7960">
        <w:rPr>
          <w:rFonts w:ascii="Cambria" w:hAnsi="Cambria"/>
          <w:sz w:val="20"/>
          <w:szCs w:val="20"/>
          <w:lang w:val="es-ES"/>
        </w:rPr>
        <w:t xml:space="preserve"> que impidan o cercenen la posibilidad de que los ciudadanos cubanos y haitianos presenten reclamos de protección internacional o cuenten con el debido proceso en la consideración de dichos reclamos;</w:t>
      </w:r>
    </w:p>
    <w:p w14:paraId="044FCD34" w14:textId="77777777" w:rsidR="00275C2F" w:rsidRPr="003B7960" w:rsidRDefault="00275C2F" w:rsidP="00275C2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778FB164" w14:textId="77777777" w:rsidR="00275C2F" w:rsidRPr="003B7960" w:rsidRDefault="00275C2F" w:rsidP="00275C2F">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lang w:val="es-ES"/>
        </w:rPr>
        <w:t>Capacitar a todos los funcionarios de inmigración sobre las normas relativas al asilo y la protección internacional y sobre la determinación de la posibilidad de que se necesite protección internacional;</w:t>
      </w:r>
    </w:p>
    <w:p w14:paraId="2AC6C778" w14:textId="77777777" w:rsidR="00A06F27" w:rsidRPr="003B7960" w:rsidRDefault="00A06F27" w:rsidP="00A06F2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5E953500" w14:textId="04F37075" w:rsidR="00275C2F" w:rsidRPr="003B7960" w:rsidRDefault="00275C2F" w:rsidP="00275C2F">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lang w:val="es-ES"/>
        </w:rPr>
        <w:t xml:space="preserve">Poner fin a la política estatal de detención automática de migrantes. En ese sentido, la detención </w:t>
      </w:r>
      <w:r w:rsidR="00D16FD1" w:rsidRPr="003B7960">
        <w:rPr>
          <w:rFonts w:ascii="Cambria" w:hAnsi="Cambria"/>
          <w:sz w:val="20"/>
          <w:szCs w:val="20"/>
          <w:lang w:val="es-ES"/>
        </w:rPr>
        <w:t>debería</w:t>
      </w:r>
      <w:r w:rsidRPr="003B7960">
        <w:rPr>
          <w:rFonts w:ascii="Cambria" w:hAnsi="Cambria"/>
          <w:sz w:val="20"/>
          <w:szCs w:val="20"/>
          <w:lang w:val="es-ES"/>
        </w:rPr>
        <w:t xml:space="preserve"> considerarse como una excepción y efectuarse solo de conformidad con una decisión debidamente fundamentada y compatible con las normas internacionales.</w:t>
      </w:r>
    </w:p>
    <w:p w14:paraId="44D1FA46" w14:textId="77777777" w:rsidR="00D16FD1" w:rsidRPr="003B7960" w:rsidRDefault="00D16FD1" w:rsidP="00D16FD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045FE8B9" w14:textId="47166A01" w:rsidR="00D16FD1" w:rsidRPr="003B7960" w:rsidRDefault="00D16FD1" w:rsidP="00D16F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El 13 de marzo de 2019, la Comisión transmitió el informe al Estado con un plazo de dos meses para informar a la Comisión Interamericana sobre las medidas adoptadas para cumplir con sus recomendaciones. El 20 de marzo</w:t>
      </w:r>
      <w:r w:rsidR="00170D77" w:rsidRPr="003B7960">
        <w:rPr>
          <w:rFonts w:ascii="Cambria" w:hAnsi="Cambria"/>
          <w:color w:val="000000"/>
          <w:sz w:val="20"/>
          <w:szCs w:val="20"/>
          <w:lang w:val="es-ES"/>
        </w:rPr>
        <w:t xml:space="preserve"> de 2019, la CIDH notificó a la</w:t>
      </w:r>
      <w:r w:rsidRPr="003B7960">
        <w:rPr>
          <w:rFonts w:ascii="Cambria" w:hAnsi="Cambria"/>
          <w:color w:val="000000"/>
          <w:sz w:val="20"/>
          <w:szCs w:val="20"/>
          <w:lang w:val="es-ES"/>
        </w:rPr>
        <w:t xml:space="preserve"> </w:t>
      </w:r>
      <w:r w:rsidR="00170D77" w:rsidRPr="003B7960">
        <w:rPr>
          <w:rFonts w:ascii="Cambria" w:hAnsi="Cambria"/>
          <w:color w:val="000000"/>
          <w:sz w:val="20"/>
          <w:szCs w:val="20"/>
          <w:lang w:val="es-ES"/>
        </w:rPr>
        <w:t xml:space="preserve">parte peticionaria </w:t>
      </w:r>
      <w:r w:rsidRPr="003B7960">
        <w:rPr>
          <w:rFonts w:ascii="Cambria" w:hAnsi="Cambria"/>
          <w:color w:val="000000"/>
          <w:sz w:val="20"/>
          <w:szCs w:val="20"/>
          <w:lang w:val="es-ES"/>
        </w:rPr>
        <w:t>sobre la adopción del informe. Hasta la fecha, la CIDH no ha recibido ninguna respuesta Las Bahamas con respecto al Informe No. 9/19.</w:t>
      </w:r>
    </w:p>
    <w:p w14:paraId="50D4D3D4" w14:textId="77777777" w:rsidR="00D16FD1" w:rsidRPr="003B7960" w:rsidRDefault="00D16FD1" w:rsidP="00D16FD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34A49F1B" w14:textId="738D2617" w:rsidR="00275C2F" w:rsidRPr="003B7960" w:rsidRDefault="00D16FD1"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Durante el debate del presente informe, la Comisión observó que los párrafos 31 y 32 del Informe de Fondo 9/19 hacían referencia a los documentos correspondientes presentados por el Estado en el que figuraban los nombres de las víctimas identificadas. Sin embargo, dada la falta de respuesta del Estado, la Comisión consideró necesario anexar a este Informe una lista compilada de las víctimas identificadas.</w:t>
      </w:r>
    </w:p>
    <w:p w14:paraId="4E82B77C" w14:textId="77777777" w:rsidR="00C00F2E" w:rsidRPr="003B7960" w:rsidRDefault="00C00F2E" w:rsidP="00C00F2E">
      <w:pPr>
        <w:rPr>
          <w:lang w:val="es-ES"/>
        </w:rPr>
      </w:pPr>
    </w:p>
    <w:p w14:paraId="07C5F85A" w14:textId="40CECC8A" w:rsidR="00C00F2E" w:rsidRPr="003B7960" w:rsidRDefault="00C00F2E" w:rsidP="00C00F2E">
      <w:pPr>
        <w:pStyle w:val="Heading1"/>
        <w:keepNext w:val="0"/>
        <w:keepLines w:val="0"/>
        <w:tabs>
          <w:tab w:val="clear" w:pos="1440"/>
          <w:tab w:val="left" w:pos="426"/>
        </w:tabs>
        <w:suppressAutoHyphens/>
        <w:ind w:left="0" w:firstLine="0"/>
        <w:jc w:val="left"/>
        <w:rPr>
          <w:lang w:val="es-ES"/>
        </w:rPr>
      </w:pPr>
      <w:bookmarkStart w:id="29" w:name="_Toc90557314"/>
      <w:r w:rsidRPr="003B7960">
        <w:rPr>
          <w:lang w:val="es-ES"/>
        </w:rPr>
        <w:t xml:space="preserve">ACCIONES POSTERIORES AL INFORME </w:t>
      </w:r>
      <w:proofErr w:type="spellStart"/>
      <w:r w:rsidRPr="003B7960">
        <w:rPr>
          <w:lang w:val="es-ES"/>
        </w:rPr>
        <w:t>Nº</w:t>
      </w:r>
      <w:proofErr w:type="spellEnd"/>
      <w:r w:rsidRPr="003B7960">
        <w:rPr>
          <w:lang w:val="es-ES"/>
        </w:rPr>
        <w:t xml:space="preserve"> 124/19</w:t>
      </w:r>
      <w:bookmarkEnd w:id="29"/>
    </w:p>
    <w:p w14:paraId="50D5422D" w14:textId="77777777" w:rsidR="00C00F2E" w:rsidRPr="003B7960" w:rsidRDefault="00C00F2E" w:rsidP="00C00F2E">
      <w:pPr>
        <w:rPr>
          <w:lang w:val="es-ES"/>
        </w:rPr>
      </w:pPr>
    </w:p>
    <w:p w14:paraId="20589C01" w14:textId="4B1B0824"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El 6 de agosto de 2019, la Comisión aprobó el Informe Final de Fondo No. 124/19, que comprende los párrafos 1 a 93 </w:t>
      </w:r>
      <w:r w:rsidRPr="003B7960">
        <w:rPr>
          <w:rFonts w:ascii="Cambria" w:hAnsi="Cambria"/>
          <w:i/>
          <w:iCs/>
          <w:color w:val="000000"/>
          <w:sz w:val="20"/>
          <w:szCs w:val="20"/>
          <w:lang w:val="es-ES"/>
        </w:rPr>
        <w:t>supra</w:t>
      </w:r>
      <w:r w:rsidRPr="003B7960">
        <w:rPr>
          <w:rFonts w:ascii="Cambria" w:hAnsi="Cambria"/>
          <w:color w:val="000000"/>
          <w:sz w:val="20"/>
          <w:szCs w:val="20"/>
          <w:lang w:val="es-ES"/>
        </w:rPr>
        <w:t>, y emitió sus conclusiones y recomendaciones finales al Estado. El 7 de mayo de 2020, la Comisión transmitió el informe al Estado y a los peticionarios con un plazo de dos meses para informar a la Comisión Interamericana sobre las medidas adoptadas para cumplir con sus recomendaciones. El Estado solicitó tres prórrogas que fueron concedidas por la Comisión, sin embargo la CIDH no ha recibido ninguna respuesta sustantiva del Estado en relación con el Informe No. 124/19.</w:t>
      </w:r>
    </w:p>
    <w:p w14:paraId="02659C2C"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0F24F43E" w14:textId="3D6BFE6B"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La parte peticionaria presentó sus observaciones sobre cumplimiento el 20 de julio de 2020. </w:t>
      </w:r>
      <w:r w:rsidRPr="003B7960">
        <w:rPr>
          <w:rFonts w:ascii="Cambria" w:hAnsi="Cambria"/>
          <w:b/>
          <w:bCs/>
          <w:color w:val="000000"/>
          <w:sz w:val="20"/>
          <w:szCs w:val="20"/>
          <w:lang w:val="es-ES"/>
        </w:rPr>
        <w:t>Respecto a la primera recomendación</w:t>
      </w:r>
      <w:r w:rsidRPr="003B7960">
        <w:rPr>
          <w:rFonts w:ascii="Cambria" w:hAnsi="Cambria"/>
          <w:color w:val="000000"/>
          <w:sz w:val="20"/>
          <w:szCs w:val="20"/>
          <w:lang w:val="es-ES"/>
        </w:rPr>
        <w:t xml:space="preserve"> indicó no tener información sobre esfuerzos realizados por el Estado para cumplirla.</w:t>
      </w:r>
    </w:p>
    <w:p w14:paraId="17BAA11B"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6DC34439" w14:textId="54EA6C17"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b/>
          <w:bCs/>
          <w:color w:val="000000"/>
          <w:sz w:val="20"/>
          <w:szCs w:val="20"/>
          <w:lang w:val="es-ES"/>
        </w:rPr>
        <w:t>En cuanto a la segunda recomendación</w:t>
      </w:r>
      <w:r w:rsidRPr="003B7960">
        <w:rPr>
          <w:rFonts w:ascii="Cambria" w:hAnsi="Cambria"/>
          <w:color w:val="000000"/>
          <w:sz w:val="20"/>
          <w:szCs w:val="20"/>
          <w:lang w:val="es-ES"/>
        </w:rPr>
        <w:t xml:space="preserve"> la parte peticionaria indicó que los migrantes y refugiados continúan enfrentando detenciones arbitrarias e indefinidas en el Centro de Detención de </w:t>
      </w:r>
      <w:proofErr w:type="spellStart"/>
      <w:r w:rsidRPr="003B7960">
        <w:rPr>
          <w:rFonts w:ascii="Cambria" w:hAnsi="Cambria"/>
          <w:color w:val="000000"/>
          <w:sz w:val="20"/>
          <w:szCs w:val="20"/>
          <w:lang w:val="es-ES"/>
        </w:rPr>
        <w:t>Carmichael</w:t>
      </w:r>
      <w:proofErr w:type="spellEnd"/>
      <w:r w:rsidRPr="003B7960">
        <w:rPr>
          <w:rFonts w:ascii="Cambria" w:hAnsi="Cambria"/>
          <w:color w:val="000000"/>
          <w:sz w:val="20"/>
          <w:szCs w:val="20"/>
          <w:lang w:val="es-ES"/>
        </w:rPr>
        <w:t xml:space="preserve"> Road. Informó que de acuerdo con los testimonios, los detenidos han permanecido por largos períodos de tiempo, algunos por un par de semanas, meses y hasta varios años</w:t>
      </w:r>
      <w:r w:rsidR="00F005B1" w:rsidRPr="003B7960">
        <w:rPr>
          <w:rStyle w:val="FootnoteReference"/>
          <w:rFonts w:ascii="Cambria" w:hAnsi="Cambria"/>
          <w:color w:val="000000"/>
          <w:sz w:val="20"/>
          <w:szCs w:val="20"/>
          <w:lang w:val="es-ES"/>
        </w:rPr>
        <w:footnoteReference w:id="143"/>
      </w:r>
      <w:r w:rsidR="00F005B1" w:rsidRPr="003B7960">
        <w:rPr>
          <w:rFonts w:ascii="Cambria" w:hAnsi="Cambria"/>
          <w:color w:val="000000"/>
          <w:sz w:val="20"/>
          <w:szCs w:val="20"/>
          <w:lang w:val="es-ES"/>
        </w:rPr>
        <w:t>.</w:t>
      </w:r>
      <w:r w:rsidRPr="003B7960">
        <w:rPr>
          <w:rFonts w:ascii="Cambria" w:hAnsi="Cambria"/>
          <w:color w:val="000000"/>
          <w:sz w:val="20"/>
          <w:szCs w:val="20"/>
          <w:lang w:val="es-ES"/>
        </w:rPr>
        <w:t xml:space="preserve">  Entre otras situaciones, informó del caso de Matthew Sewell, de nacionalidad jamaicana, que fue trasladado entre una prisión ordinaria y el Centro de Detención de </w:t>
      </w:r>
      <w:proofErr w:type="spellStart"/>
      <w:r w:rsidRPr="003B7960">
        <w:rPr>
          <w:rFonts w:ascii="Cambria" w:hAnsi="Cambria"/>
          <w:color w:val="000000"/>
          <w:sz w:val="20"/>
          <w:szCs w:val="20"/>
          <w:lang w:val="es-ES"/>
        </w:rPr>
        <w:t>Carmichael</w:t>
      </w:r>
      <w:proofErr w:type="spellEnd"/>
      <w:r w:rsidRPr="003B7960">
        <w:rPr>
          <w:rFonts w:ascii="Cambria" w:hAnsi="Cambria"/>
          <w:color w:val="000000"/>
          <w:sz w:val="20"/>
          <w:szCs w:val="20"/>
          <w:lang w:val="es-ES"/>
        </w:rPr>
        <w:t xml:space="preserve"> Road durante más de nueve años</w:t>
      </w:r>
      <w:r w:rsidR="00FA3B54" w:rsidRPr="003B7960">
        <w:rPr>
          <w:rFonts w:ascii="Cambria" w:hAnsi="Cambria"/>
          <w:color w:val="000000"/>
          <w:sz w:val="20"/>
          <w:szCs w:val="20"/>
          <w:lang w:val="es-ES"/>
        </w:rPr>
        <w:t>,</w:t>
      </w:r>
      <w:r w:rsidRPr="003B7960">
        <w:rPr>
          <w:rFonts w:ascii="Cambria" w:hAnsi="Cambria"/>
          <w:color w:val="000000"/>
          <w:sz w:val="20"/>
          <w:szCs w:val="20"/>
          <w:lang w:val="es-ES"/>
        </w:rPr>
        <w:t xml:space="preserve"> sin que se </w:t>
      </w:r>
      <w:r w:rsidR="00FA3B54" w:rsidRPr="003B7960">
        <w:rPr>
          <w:rFonts w:ascii="Cambria" w:hAnsi="Cambria"/>
          <w:color w:val="000000"/>
          <w:sz w:val="20"/>
          <w:szCs w:val="20"/>
          <w:lang w:val="es-ES"/>
        </w:rPr>
        <w:t>tuviera una audiencia judicial</w:t>
      </w:r>
      <w:r w:rsidRPr="003B7960">
        <w:rPr>
          <w:rFonts w:ascii="Cambria" w:hAnsi="Cambria"/>
          <w:color w:val="000000"/>
          <w:sz w:val="20"/>
          <w:szCs w:val="20"/>
          <w:lang w:val="es-ES"/>
        </w:rPr>
        <w:t xml:space="preserve"> por los delitos de los que se le acusaba</w:t>
      </w:r>
      <w:r w:rsidR="00F005B1" w:rsidRPr="003B7960">
        <w:rPr>
          <w:rStyle w:val="FootnoteReference"/>
          <w:rFonts w:ascii="Cambria" w:hAnsi="Cambria"/>
          <w:color w:val="000000"/>
          <w:sz w:val="20"/>
          <w:szCs w:val="20"/>
          <w:lang w:val="es-ES"/>
        </w:rPr>
        <w:footnoteReference w:id="144"/>
      </w:r>
      <w:r w:rsidRPr="003B7960">
        <w:rPr>
          <w:rFonts w:ascii="Cambria" w:hAnsi="Cambria"/>
          <w:color w:val="000000"/>
          <w:sz w:val="20"/>
          <w:szCs w:val="20"/>
          <w:lang w:val="es-ES"/>
        </w:rPr>
        <w:t>.  Asimismo, informó de que un</w:t>
      </w:r>
      <w:r w:rsidR="00FA3B54" w:rsidRPr="003B7960">
        <w:rPr>
          <w:rFonts w:ascii="Cambria" w:hAnsi="Cambria"/>
          <w:color w:val="000000"/>
          <w:sz w:val="20"/>
          <w:szCs w:val="20"/>
          <w:lang w:val="es-ES"/>
        </w:rPr>
        <w:t>a persona</w:t>
      </w:r>
      <w:r w:rsidRPr="003B7960">
        <w:rPr>
          <w:rFonts w:ascii="Cambria" w:hAnsi="Cambria"/>
          <w:color w:val="000000"/>
          <w:sz w:val="20"/>
          <w:szCs w:val="20"/>
          <w:lang w:val="es-ES"/>
        </w:rPr>
        <w:t xml:space="preserve"> apátrida acusad</w:t>
      </w:r>
      <w:r w:rsidR="00FA3B54" w:rsidRPr="003B7960">
        <w:rPr>
          <w:rFonts w:ascii="Cambria" w:hAnsi="Cambria"/>
          <w:color w:val="000000"/>
          <w:sz w:val="20"/>
          <w:szCs w:val="20"/>
          <w:lang w:val="es-ES"/>
        </w:rPr>
        <w:t>a</w:t>
      </w:r>
      <w:r w:rsidRPr="003B7960">
        <w:rPr>
          <w:rFonts w:ascii="Cambria" w:hAnsi="Cambria"/>
          <w:color w:val="000000"/>
          <w:sz w:val="20"/>
          <w:szCs w:val="20"/>
          <w:lang w:val="es-ES"/>
        </w:rPr>
        <w:t xml:space="preserve"> de un delito fue </w:t>
      </w:r>
      <w:proofErr w:type="gramStart"/>
      <w:r w:rsidRPr="003B7960">
        <w:rPr>
          <w:rFonts w:ascii="Cambria" w:hAnsi="Cambria"/>
          <w:color w:val="000000"/>
          <w:sz w:val="20"/>
          <w:szCs w:val="20"/>
          <w:lang w:val="es-ES"/>
        </w:rPr>
        <w:lastRenderedPageBreak/>
        <w:t>detenido</w:t>
      </w:r>
      <w:proofErr w:type="gramEnd"/>
      <w:r w:rsidRPr="003B7960">
        <w:rPr>
          <w:rFonts w:ascii="Cambria" w:hAnsi="Cambria"/>
          <w:color w:val="000000"/>
          <w:sz w:val="20"/>
          <w:szCs w:val="20"/>
          <w:lang w:val="es-ES"/>
        </w:rPr>
        <w:t xml:space="preserve"> en una prisión y posteriormente trasladad</w:t>
      </w:r>
      <w:r w:rsidR="00FA3B54" w:rsidRPr="003B7960">
        <w:rPr>
          <w:rFonts w:ascii="Cambria" w:hAnsi="Cambria"/>
          <w:color w:val="000000"/>
          <w:sz w:val="20"/>
          <w:szCs w:val="20"/>
          <w:lang w:val="es-ES"/>
        </w:rPr>
        <w:t>a</w:t>
      </w:r>
      <w:r w:rsidRPr="003B7960">
        <w:rPr>
          <w:rFonts w:ascii="Cambria" w:hAnsi="Cambria"/>
          <w:color w:val="000000"/>
          <w:sz w:val="20"/>
          <w:szCs w:val="20"/>
          <w:lang w:val="es-ES"/>
        </w:rPr>
        <w:t xml:space="preserve"> al centro de detención de </w:t>
      </w:r>
      <w:proofErr w:type="spellStart"/>
      <w:r w:rsidRPr="003B7960">
        <w:rPr>
          <w:rFonts w:ascii="Cambria" w:hAnsi="Cambria"/>
          <w:color w:val="000000"/>
          <w:sz w:val="20"/>
          <w:szCs w:val="20"/>
          <w:lang w:val="es-ES"/>
        </w:rPr>
        <w:t>Carmichael</w:t>
      </w:r>
      <w:proofErr w:type="spellEnd"/>
      <w:r w:rsidRPr="003B7960">
        <w:rPr>
          <w:rFonts w:ascii="Cambria" w:hAnsi="Cambria"/>
          <w:color w:val="000000"/>
          <w:sz w:val="20"/>
          <w:szCs w:val="20"/>
          <w:lang w:val="es-ES"/>
        </w:rPr>
        <w:t xml:space="preserve"> Road</w:t>
      </w:r>
      <w:r w:rsidR="00F005B1" w:rsidRPr="003B7960">
        <w:rPr>
          <w:rStyle w:val="FootnoteReference"/>
          <w:rFonts w:ascii="Cambria" w:hAnsi="Cambria"/>
          <w:color w:val="000000"/>
          <w:sz w:val="20"/>
          <w:szCs w:val="20"/>
          <w:lang w:val="es-ES"/>
        </w:rPr>
        <w:footnoteReference w:id="145"/>
      </w:r>
      <w:r w:rsidRPr="003B7960">
        <w:rPr>
          <w:rFonts w:ascii="Cambria" w:hAnsi="Cambria"/>
          <w:color w:val="000000"/>
          <w:sz w:val="20"/>
          <w:szCs w:val="20"/>
          <w:lang w:val="es-ES"/>
        </w:rPr>
        <w:t xml:space="preserve">.  En cuanto a las condiciones del Centro de Detención de </w:t>
      </w:r>
      <w:proofErr w:type="spellStart"/>
      <w:r w:rsidRPr="003B7960">
        <w:rPr>
          <w:rFonts w:ascii="Cambria" w:hAnsi="Cambria"/>
          <w:color w:val="000000"/>
          <w:sz w:val="20"/>
          <w:szCs w:val="20"/>
          <w:lang w:val="es-ES"/>
        </w:rPr>
        <w:t>Carmichael</w:t>
      </w:r>
      <w:proofErr w:type="spellEnd"/>
      <w:r w:rsidRPr="003B7960">
        <w:rPr>
          <w:rFonts w:ascii="Cambria" w:hAnsi="Cambria"/>
          <w:color w:val="000000"/>
          <w:sz w:val="20"/>
          <w:szCs w:val="20"/>
          <w:lang w:val="es-ES"/>
        </w:rPr>
        <w:t>, informó que antiguos detenidos habían denunciado hacinamiento, condiciones insalubres en los baños y haber contraído enfermedades contagiosas. Asimismo, informó que había recibido información sobre denuncias de toma de muestras de sangre y huellas dactilares a los migrantes detenidos sin su consentimiento</w:t>
      </w:r>
      <w:r w:rsidR="00F005B1" w:rsidRPr="003B7960">
        <w:rPr>
          <w:rStyle w:val="FootnoteReference"/>
          <w:rFonts w:ascii="Cambria" w:hAnsi="Cambria"/>
          <w:color w:val="000000"/>
          <w:sz w:val="20"/>
          <w:szCs w:val="20"/>
          <w:lang w:val="es-ES"/>
        </w:rPr>
        <w:footnoteReference w:id="146"/>
      </w:r>
      <w:r w:rsidRPr="003B7960">
        <w:rPr>
          <w:rFonts w:ascii="Cambria" w:hAnsi="Cambria"/>
          <w:color w:val="000000"/>
          <w:sz w:val="20"/>
          <w:szCs w:val="20"/>
          <w:lang w:val="es-ES"/>
        </w:rPr>
        <w:t xml:space="preserve">.  Por lo tanto, considera que el Estado no ha cumplido con la recomendación de la Comisión en cuanto a la creación de un mecanismo para la presentación de quejas por parte de los detenidos y la mejora de las condiciones en el centro de detención de </w:t>
      </w:r>
      <w:proofErr w:type="spellStart"/>
      <w:r w:rsidRPr="003B7960">
        <w:rPr>
          <w:rFonts w:ascii="Cambria" w:hAnsi="Cambria"/>
          <w:color w:val="000000"/>
          <w:sz w:val="20"/>
          <w:szCs w:val="20"/>
          <w:lang w:val="es-ES"/>
        </w:rPr>
        <w:t>Carmichael</w:t>
      </w:r>
      <w:proofErr w:type="spellEnd"/>
      <w:r w:rsidRPr="003B7960">
        <w:rPr>
          <w:rFonts w:ascii="Cambria" w:hAnsi="Cambria"/>
          <w:color w:val="000000"/>
          <w:sz w:val="20"/>
          <w:szCs w:val="20"/>
          <w:lang w:val="es-ES"/>
        </w:rPr>
        <w:t xml:space="preserve"> Road y </w:t>
      </w:r>
      <w:r w:rsidR="00FA3B54" w:rsidRPr="003B7960">
        <w:rPr>
          <w:rFonts w:ascii="Cambria" w:hAnsi="Cambria"/>
          <w:color w:val="000000"/>
          <w:sz w:val="20"/>
          <w:szCs w:val="20"/>
          <w:lang w:val="es-ES"/>
        </w:rPr>
        <w:t xml:space="preserve">que </w:t>
      </w:r>
      <w:r w:rsidRPr="003B7960">
        <w:rPr>
          <w:rFonts w:ascii="Cambria" w:hAnsi="Cambria"/>
          <w:color w:val="000000"/>
          <w:sz w:val="20"/>
          <w:szCs w:val="20"/>
          <w:lang w:val="es-ES"/>
        </w:rPr>
        <w:t xml:space="preserve">sigue sin cumplir con las normas internacionales mínimas en materia de detención migratoria. </w:t>
      </w:r>
    </w:p>
    <w:p w14:paraId="2784AD5A"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0761CA1A" w14:textId="758FA192"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b/>
          <w:bCs/>
          <w:color w:val="000000"/>
          <w:sz w:val="20"/>
          <w:szCs w:val="20"/>
          <w:lang w:val="es-ES"/>
        </w:rPr>
        <w:t>En cuanto a la tercera recomendación</w:t>
      </w:r>
      <w:r w:rsidRPr="003B7960">
        <w:rPr>
          <w:rFonts w:ascii="Cambria" w:hAnsi="Cambria"/>
          <w:color w:val="000000"/>
          <w:sz w:val="20"/>
          <w:szCs w:val="20"/>
          <w:lang w:val="es-ES"/>
        </w:rPr>
        <w:t xml:space="preserve">, relativa a la adopción de una legislación adecuada, la parte peticionaria informó que Bahamas no ha promulgado ningún procedimiento de asilo, ni legislación sobre refugiados, ni ninguna otra medida complementaria de protección internacional adecuada para los contextos de migración mixta; que la vía para acceder a la condición de refugiado en el país no está regulada; y que el Gobierno responde de </w:t>
      </w:r>
      <w:r w:rsidR="00FA3B54" w:rsidRPr="003B7960">
        <w:rPr>
          <w:rFonts w:ascii="Cambria" w:hAnsi="Cambria"/>
          <w:color w:val="000000"/>
          <w:sz w:val="20"/>
          <w:szCs w:val="20"/>
          <w:lang w:val="es-ES"/>
        </w:rPr>
        <w:t>manera</w:t>
      </w:r>
      <w:r w:rsidRPr="003B7960">
        <w:rPr>
          <w:rFonts w:ascii="Cambria" w:hAnsi="Cambria"/>
          <w:i/>
          <w:iCs/>
          <w:color w:val="000000"/>
          <w:sz w:val="20"/>
          <w:szCs w:val="20"/>
          <w:lang w:val="es-ES"/>
        </w:rPr>
        <w:t xml:space="preserve"> ad hoc</w:t>
      </w:r>
      <w:r w:rsidRPr="003B7960">
        <w:rPr>
          <w:rFonts w:ascii="Cambria" w:hAnsi="Cambria"/>
          <w:color w:val="000000"/>
          <w:sz w:val="20"/>
          <w:szCs w:val="20"/>
          <w:lang w:val="es-ES"/>
        </w:rPr>
        <w:t>. Los peticionarios afirmaron que conocen el proyecto de "Ley de Nacionalidad, Inmigración y Asilo", pero no han podido comprobar en qué fase del procedimiento se encuentra actualmente. Si bien consideran un paso positivo que Las Bahamas esté avanzando en la adopción de una legislación que regule los procedimientos de asilo y migración, consideran esencial que dicha ley aborde esta recomendación particular hecha por la CIDH y que dicha ley cumpla con los estándares interamericanos aplicables. La parte peticionaria opina que el Estado no ha cumplido con dicha recomendación.</w:t>
      </w:r>
    </w:p>
    <w:p w14:paraId="4D930E1A"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1D90E04D" w14:textId="33E1B99C"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Con respecto a la garantía del acceso a la información sobre la solicitud de asilo en Bahamas y sobre el derecho a la información en materia de asistencia consular, así como el acceso a intérpretes y a la asistencia jurídica, la parte peticionaria informó que, las organizaciones de la sociedad civil han confirmado que el acceso a este tipo de información para los migrantes y refugiados es inexistente en el país</w:t>
      </w:r>
      <w:r w:rsidR="00F005B1" w:rsidRPr="003B7960">
        <w:rPr>
          <w:rStyle w:val="FootnoteReference"/>
          <w:rFonts w:ascii="Cambria" w:hAnsi="Cambria"/>
          <w:color w:val="000000"/>
          <w:sz w:val="20"/>
          <w:szCs w:val="20"/>
          <w:lang w:val="es-ES"/>
        </w:rPr>
        <w:footnoteReference w:id="147"/>
      </w:r>
      <w:r w:rsidRPr="003B7960">
        <w:rPr>
          <w:rFonts w:ascii="Cambria" w:hAnsi="Cambria"/>
          <w:color w:val="000000"/>
          <w:sz w:val="20"/>
          <w:szCs w:val="20"/>
          <w:lang w:val="es-ES"/>
        </w:rPr>
        <w:t>.  Expresó su preocupación por las iniciativas del Gobierno que desalientan activamente la inmigración. Los peticionarios informaron que encontraron en una página web del Gobierno una línea telefónica para que cualquier "ciudadano preocupado" pueda llamar a las autoridades por cualquier preocupación sobre la inmigración</w:t>
      </w:r>
      <w:r w:rsidR="00C918A9" w:rsidRPr="003B7960">
        <w:rPr>
          <w:rStyle w:val="FootnoteReference"/>
          <w:rFonts w:ascii="Cambria" w:hAnsi="Cambria"/>
          <w:color w:val="000000"/>
          <w:sz w:val="20"/>
          <w:szCs w:val="20"/>
          <w:lang w:val="es-ES"/>
        </w:rPr>
        <w:footnoteReference w:id="148"/>
      </w:r>
      <w:r w:rsidRPr="003B7960">
        <w:rPr>
          <w:rFonts w:ascii="Cambria" w:hAnsi="Cambria"/>
          <w:color w:val="000000"/>
          <w:sz w:val="20"/>
          <w:szCs w:val="20"/>
          <w:lang w:val="es-ES"/>
        </w:rPr>
        <w:t xml:space="preserve">.  También informaron de un testimonio de 2019 denunciado después de su liberación </w:t>
      </w:r>
      <w:r w:rsidR="00FA3B54" w:rsidRPr="003B7960">
        <w:rPr>
          <w:rFonts w:ascii="Cambria" w:hAnsi="Cambria"/>
          <w:color w:val="000000"/>
          <w:sz w:val="20"/>
          <w:szCs w:val="20"/>
          <w:lang w:val="es-ES"/>
        </w:rPr>
        <w:t xml:space="preserve">respecto a </w:t>
      </w:r>
      <w:r w:rsidRPr="003B7960">
        <w:rPr>
          <w:rFonts w:ascii="Cambria" w:hAnsi="Cambria"/>
          <w:color w:val="000000"/>
          <w:sz w:val="20"/>
          <w:szCs w:val="20"/>
          <w:lang w:val="es-ES"/>
        </w:rPr>
        <w:t>que a los detenidos se les negaba el acceso adecuado a la información y la comunicación con sus familias, lo que les impedía recibir fondos para su liberación</w:t>
      </w:r>
      <w:r w:rsidR="00C918A9" w:rsidRPr="003B7960">
        <w:rPr>
          <w:rStyle w:val="FootnoteReference"/>
          <w:rFonts w:ascii="Cambria" w:hAnsi="Cambria"/>
          <w:color w:val="000000"/>
          <w:sz w:val="20"/>
          <w:szCs w:val="20"/>
          <w:lang w:val="es-ES"/>
        </w:rPr>
        <w:footnoteReference w:id="149"/>
      </w:r>
      <w:r w:rsidRPr="003B7960">
        <w:rPr>
          <w:rFonts w:ascii="Cambria" w:hAnsi="Cambria"/>
          <w:color w:val="000000"/>
          <w:sz w:val="20"/>
          <w:szCs w:val="20"/>
          <w:lang w:val="es-ES"/>
        </w:rPr>
        <w:t xml:space="preserve">.  </w:t>
      </w:r>
    </w:p>
    <w:p w14:paraId="59F9B02E"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5AE8B61E" w14:textId="18C1D155"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b/>
          <w:bCs/>
          <w:color w:val="000000"/>
          <w:sz w:val="20"/>
          <w:szCs w:val="20"/>
          <w:lang w:val="es-ES"/>
        </w:rPr>
        <w:t>En cuanto a la cuarta recomendación</w:t>
      </w:r>
      <w:r w:rsidRPr="003B7960">
        <w:rPr>
          <w:rFonts w:ascii="Cambria" w:hAnsi="Cambria"/>
          <w:color w:val="000000"/>
          <w:sz w:val="20"/>
          <w:szCs w:val="20"/>
          <w:lang w:val="es-ES"/>
        </w:rPr>
        <w:t>, la parte peticionaria informó que de acuerdo con los testimonios recogidos por la Organización Internacional para las Migraciones (OIM), los migrantes que han sido deportados de Las Bahamas informaron que fueron aprehendidos en su mayoría en las calles, en sus lugares de trabajo, o mientras estaban en sus hogares durante las redadas que generalmente se llevan a cabo en medio de la noche por los funcionarios de inmigración</w:t>
      </w:r>
      <w:r w:rsidR="00C918A9" w:rsidRPr="003B7960">
        <w:rPr>
          <w:rStyle w:val="FootnoteReference"/>
          <w:rFonts w:ascii="Cambria" w:hAnsi="Cambria"/>
          <w:color w:val="000000"/>
          <w:sz w:val="20"/>
          <w:szCs w:val="20"/>
          <w:lang w:val="es-ES"/>
        </w:rPr>
        <w:footnoteReference w:id="150"/>
      </w:r>
      <w:r w:rsidRPr="003B7960">
        <w:rPr>
          <w:rFonts w:ascii="Cambria" w:hAnsi="Cambria"/>
          <w:color w:val="000000"/>
          <w:sz w:val="20"/>
          <w:szCs w:val="20"/>
          <w:lang w:val="es-ES"/>
        </w:rPr>
        <w:t>.  Los migrantes retornados indicaron que permanecieron detenidos entre 10 y 30 días. Afirmaron que la información pública muestra que la política de deportaciones masivas se intensificó tras el huracán Dorian en 2019</w:t>
      </w:r>
      <w:r w:rsidR="00C918A9" w:rsidRPr="003B7960">
        <w:rPr>
          <w:rStyle w:val="FootnoteReference"/>
          <w:rFonts w:ascii="Cambria" w:hAnsi="Cambria"/>
          <w:color w:val="000000"/>
          <w:sz w:val="20"/>
          <w:szCs w:val="20"/>
          <w:lang w:val="es-ES"/>
        </w:rPr>
        <w:footnoteReference w:id="151"/>
      </w:r>
      <w:r w:rsidRPr="003B7960">
        <w:rPr>
          <w:rFonts w:ascii="Cambria" w:hAnsi="Cambria"/>
          <w:color w:val="000000"/>
          <w:sz w:val="20"/>
          <w:szCs w:val="20"/>
          <w:lang w:val="es-ES"/>
        </w:rPr>
        <w:t xml:space="preserve">.  Agregaron que reflejando las estadísticas proporcionadas por el gobierno, los medios de comunicación afirman que un "total de 2,662 personas fueron repatriadas a sus </w:t>
      </w:r>
      <w:r w:rsidRPr="003B7960">
        <w:rPr>
          <w:rFonts w:ascii="Cambria" w:hAnsi="Cambria"/>
          <w:color w:val="000000"/>
          <w:sz w:val="20"/>
          <w:szCs w:val="20"/>
          <w:lang w:val="es-ES"/>
        </w:rPr>
        <w:lastRenderedPageBreak/>
        <w:t>respectivos países durante el último año fiscal. Y "[e]</w:t>
      </w:r>
      <w:proofErr w:type="spellStart"/>
      <w:r w:rsidRPr="003B7960">
        <w:rPr>
          <w:rFonts w:ascii="Cambria" w:hAnsi="Cambria"/>
          <w:color w:val="000000"/>
          <w:sz w:val="20"/>
          <w:szCs w:val="20"/>
          <w:lang w:val="es-ES"/>
        </w:rPr>
        <w:t>ntre</w:t>
      </w:r>
      <w:proofErr w:type="spellEnd"/>
      <w:r w:rsidRPr="003B7960">
        <w:rPr>
          <w:rFonts w:ascii="Cambria" w:hAnsi="Cambria"/>
          <w:color w:val="000000"/>
          <w:sz w:val="20"/>
          <w:szCs w:val="20"/>
          <w:lang w:val="es-ES"/>
        </w:rPr>
        <w:t xml:space="preserve"> el 1 de enero de 2020 y mayo de 2020 se repatriaron 489 personas"</w:t>
      </w:r>
      <w:r w:rsidR="00C918A9" w:rsidRPr="003B7960">
        <w:rPr>
          <w:rStyle w:val="FootnoteReference"/>
          <w:rFonts w:ascii="Cambria" w:hAnsi="Cambria"/>
          <w:color w:val="000000"/>
          <w:sz w:val="20"/>
          <w:szCs w:val="20"/>
          <w:lang w:val="es-ES"/>
        </w:rPr>
        <w:footnoteReference w:id="152"/>
      </w:r>
      <w:r w:rsidRPr="003B7960">
        <w:rPr>
          <w:rFonts w:ascii="Cambria" w:hAnsi="Cambria"/>
          <w:color w:val="000000"/>
          <w:sz w:val="20"/>
          <w:szCs w:val="20"/>
          <w:lang w:val="es-ES"/>
        </w:rPr>
        <w:t>.  Por tanto, consideran que el Estado ha incumplido esta recomendación.</w:t>
      </w:r>
    </w:p>
    <w:p w14:paraId="2C9F7BD6" w14:textId="7A496349"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4BF6E159" w14:textId="3ACB8847"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b/>
          <w:bCs/>
          <w:color w:val="000000"/>
          <w:sz w:val="20"/>
          <w:szCs w:val="20"/>
          <w:lang w:val="es-ES"/>
        </w:rPr>
        <w:t>En cuanto a la quinta recomendación</w:t>
      </w:r>
      <w:r w:rsidRPr="003B7960">
        <w:rPr>
          <w:rFonts w:ascii="Cambria" w:hAnsi="Cambria"/>
          <w:color w:val="000000"/>
          <w:sz w:val="20"/>
          <w:szCs w:val="20"/>
          <w:lang w:val="es-ES"/>
        </w:rPr>
        <w:t>, la parte peticionaria informó que existe poca información que sugiera que Las Bahamas ha cumplido adecuadamente su obligación de proporcionar a los funcionarios de migración una formación específica y completa. Indicaron que, según la página web del Gobierno de las Bahamas sobre inmigración, se había celebrado una sesión de formación de los funcionarios</w:t>
      </w:r>
      <w:r w:rsidR="00C918A9" w:rsidRPr="003B7960">
        <w:rPr>
          <w:rStyle w:val="FootnoteReference"/>
          <w:rFonts w:ascii="Cambria" w:hAnsi="Cambria"/>
          <w:color w:val="000000"/>
          <w:sz w:val="20"/>
          <w:szCs w:val="20"/>
          <w:lang w:val="es-ES"/>
        </w:rPr>
        <w:footnoteReference w:id="153"/>
      </w:r>
      <w:r w:rsidRPr="003B7960">
        <w:rPr>
          <w:rFonts w:ascii="Cambria" w:hAnsi="Cambria"/>
          <w:color w:val="000000"/>
          <w:sz w:val="20"/>
          <w:szCs w:val="20"/>
          <w:lang w:val="es-ES"/>
        </w:rPr>
        <w:t>, pero no se ofrecía más información sobre el tipo de formación que recibirían los funcionarios. Una declaración publicada afirmaba que "equiparía mejor a los funcionarios en la ejecución de sus tareas diarias como funcionarios de fronteras", pero no ofrecía ninguna información adicional que explicara los detalles de la formación</w:t>
      </w:r>
      <w:r w:rsidR="00C918A9" w:rsidRPr="003B7960">
        <w:rPr>
          <w:rStyle w:val="FootnoteReference"/>
          <w:rFonts w:ascii="Cambria" w:hAnsi="Cambria"/>
          <w:color w:val="000000"/>
          <w:sz w:val="20"/>
          <w:szCs w:val="20"/>
          <w:lang w:val="es-ES"/>
        </w:rPr>
        <w:footnoteReference w:id="154"/>
      </w:r>
      <w:r w:rsidRPr="003B7960">
        <w:rPr>
          <w:rFonts w:ascii="Cambria" w:hAnsi="Cambria"/>
          <w:color w:val="000000"/>
          <w:sz w:val="20"/>
          <w:szCs w:val="20"/>
          <w:lang w:val="es-ES"/>
        </w:rPr>
        <w:t xml:space="preserve">. </w:t>
      </w:r>
    </w:p>
    <w:p w14:paraId="592FF7F6"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mbria" w:hAnsi="Cambria"/>
          <w:color w:val="000000"/>
          <w:sz w:val="20"/>
          <w:szCs w:val="20"/>
          <w:lang w:val="es-ES"/>
        </w:rPr>
      </w:pPr>
    </w:p>
    <w:p w14:paraId="20487009" w14:textId="72E8FEC2"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b/>
          <w:bCs/>
          <w:color w:val="000000"/>
          <w:sz w:val="20"/>
          <w:szCs w:val="20"/>
          <w:lang w:val="es-ES"/>
        </w:rPr>
        <w:t>En cuanto a la sexta recomendación</w:t>
      </w:r>
      <w:r w:rsidRPr="003B7960">
        <w:rPr>
          <w:rFonts w:ascii="Cambria" w:hAnsi="Cambria"/>
          <w:color w:val="000000"/>
          <w:sz w:val="20"/>
          <w:szCs w:val="20"/>
          <w:lang w:val="es-ES"/>
        </w:rPr>
        <w:t>, la parte peticionaria informó que la detención automática de migrantes no ha terminado y que no tiene información sobre que la política de detención automática se haya reducido en alguna medida. Los peticionarios informaron sobre los testimonios de ex detenidos que siguen mostrando la práctica de la detención automática, en la que los migrantes y refugiados no son llevados rápidamente ante un juez y son detenidos sin una orden de arresto</w:t>
      </w:r>
      <w:r w:rsidR="00C918A9" w:rsidRPr="003B7960">
        <w:rPr>
          <w:rStyle w:val="FootnoteReference"/>
          <w:rFonts w:ascii="Cambria" w:hAnsi="Cambria"/>
          <w:color w:val="000000"/>
          <w:sz w:val="20"/>
          <w:szCs w:val="20"/>
          <w:lang w:val="es-ES"/>
        </w:rPr>
        <w:footnoteReference w:id="155"/>
      </w:r>
      <w:r w:rsidRPr="003B7960">
        <w:rPr>
          <w:rFonts w:ascii="Cambria" w:hAnsi="Cambria"/>
          <w:color w:val="000000"/>
          <w:sz w:val="20"/>
          <w:szCs w:val="20"/>
          <w:lang w:val="es-ES"/>
        </w:rPr>
        <w:t xml:space="preserve">.  Afirmaron que la política de detención automática es particularmente preocupante en el contexto de la pandemia del COVID-19, </w:t>
      </w:r>
      <w:r w:rsidR="001E13BD" w:rsidRPr="003B7960">
        <w:rPr>
          <w:rFonts w:ascii="Cambria" w:hAnsi="Cambria"/>
          <w:color w:val="000000"/>
          <w:sz w:val="20"/>
          <w:szCs w:val="20"/>
          <w:lang w:val="es-ES"/>
        </w:rPr>
        <w:t>considerando</w:t>
      </w:r>
      <w:r w:rsidRPr="003B7960">
        <w:rPr>
          <w:rFonts w:ascii="Cambria" w:hAnsi="Cambria"/>
          <w:color w:val="000000"/>
          <w:sz w:val="20"/>
          <w:szCs w:val="20"/>
          <w:lang w:val="es-ES"/>
        </w:rPr>
        <w:t xml:space="preserve"> las directrices emitidas por la CIDH</w:t>
      </w:r>
      <w:r w:rsidR="002F030A" w:rsidRPr="003B7960">
        <w:rPr>
          <w:rStyle w:val="FootnoteReference"/>
          <w:rFonts w:ascii="Cambria" w:hAnsi="Cambria"/>
          <w:color w:val="000000"/>
          <w:sz w:val="20"/>
          <w:szCs w:val="20"/>
          <w:lang w:val="es-ES"/>
        </w:rPr>
        <w:footnoteReference w:id="156"/>
      </w:r>
      <w:r w:rsidRPr="003B7960">
        <w:rPr>
          <w:rFonts w:ascii="Cambria" w:hAnsi="Cambria"/>
          <w:color w:val="000000"/>
          <w:sz w:val="20"/>
          <w:szCs w:val="20"/>
          <w:lang w:val="es-ES"/>
        </w:rPr>
        <w:t>, y las Agencias de la ONU</w:t>
      </w:r>
      <w:r w:rsidR="002F030A" w:rsidRPr="003B7960">
        <w:rPr>
          <w:rStyle w:val="FootnoteReference"/>
          <w:rFonts w:ascii="Cambria" w:hAnsi="Cambria"/>
          <w:color w:val="000000"/>
          <w:sz w:val="20"/>
          <w:szCs w:val="20"/>
          <w:lang w:val="es-ES"/>
        </w:rPr>
        <w:footnoteReference w:id="157"/>
      </w:r>
      <w:r w:rsidRPr="003B7960">
        <w:rPr>
          <w:rFonts w:ascii="Cambria" w:hAnsi="Cambria"/>
          <w:color w:val="000000"/>
          <w:sz w:val="20"/>
          <w:szCs w:val="20"/>
          <w:lang w:val="es-ES"/>
        </w:rPr>
        <w:t xml:space="preserve">. </w:t>
      </w:r>
    </w:p>
    <w:p w14:paraId="15FED0AE"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mbria" w:hAnsi="Cambria"/>
          <w:color w:val="000000"/>
          <w:sz w:val="20"/>
          <w:szCs w:val="20"/>
          <w:lang w:val="es-ES"/>
        </w:rPr>
      </w:pPr>
    </w:p>
    <w:p w14:paraId="6B985AA8" w14:textId="0B136841"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Los peticionarios también informaron que, como resultado del miedo y la desesperación de los detenidos en el Centro de Detención de </w:t>
      </w:r>
      <w:proofErr w:type="spellStart"/>
      <w:r w:rsidRPr="003B7960">
        <w:rPr>
          <w:rFonts w:ascii="Cambria" w:hAnsi="Cambria"/>
          <w:color w:val="000000"/>
          <w:sz w:val="20"/>
          <w:szCs w:val="20"/>
          <w:lang w:val="es-ES"/>
        </w:rPr>
        <w:t>Carmichael</w:t>
      </w:r>
      <w:proofErr w:type="spellEnd"/>
      <w:r w:rsidRPr="003B7960">
        <w:rPr>
          <w:rFonts w:ascii="Cambria" w:hAnsi="Cambria"/>
          <w:color w:val="000000"/>
          <w:sz w:val="20"/>
          <w:szCs w:val="20"/>
          <w:lang w:val="es-ES"/>
        </w:rPr>
        <w:t xml:space="preserve"> Road durante la pandemia del COVID-19, se produjeron huelgas de hambre</w:t>
      </w:r>
      <w:r w:rsidR="002F030A" w:rsidRPr="003B7960">
        <w:rPr>
          <w:rStyle w:val="FootnoteReference"/>
          <w:rFonts w:ascii="Cambria" w:hAnsi="Cambria"/>
          <w:color w:val="000000"/>
          <w:sz w:val="20"/>
          <w:szCs w:val="20"/>
          <w:lang w:val="es-ES"/>
        </w:rPr>
        <w:footnoteReference w:id="158"/>
      </w:r>
      <w:r w:rsidRPr="003B7960">
        <w:rPr>
          <w:rFonts w:ascii="Cambria" w:hAnsi="Cambria"/>
          <w:color w:val="000000"/>
          <w:sz w:val="20"/>
          <w:szCs w:val="20"/>
          <w:lang w:val="es-ES"/>
        </w:rPr>
        <w:t xml:space="preserve"> y protestas dentro del Centro de Detención</w:t>
      </w:r>
      <w:r w:rsidR="002F030A" w:rsidRPr="003B7960">
        <w:rPr>
          <w:rStyle w:val="FootnoteReference"/>
          <w:rFonts w:ascii="Cambria" w:hAnsi="Cambria"/>
          <w:color w:val="000000"/>
          <w:sz w:val="20"/>
          <w:szCs w:val="20"/>
          <w:lang w:val="es-ES"/>
        </w:rPr>
        <w:footnoteReference w:id="159"/>
      </w:r>
      <w:r w:rsidRPr="003B7960">
        <w:rPr>
          <w:rFonts w:ascii="Cambria" w:hAnsi="Cambria"/>
          <w:color w:val="000000"/>
          <w:sz w:val="20"/>
          <w:szCs w:val="20"/>
          <w:lang w:val="es-ES"/>
        </w:rPr>
        <w:t>. Esto se produjo después de que los detenidos exigieran ser liberados y devueltos a su país. El 3 de junio de 2020, algunos detenidos pudieron escapar del Centro de Detención.</w:t>
      </w:r>
      <w:r w:rsidR="00406755" w:rsidRPr="003B7960">
        <w:rPr>
          <w:rStyle w:val="FootnoteReference"/>
          <w:rFonts w:ascii="Cambria" w:hAnsi="Cambria"/>
          <w:color w:val="000000"/>
          <w:sz w:val="20"/>
          <w:szCs w:val="20"/>
          <w:lang w:val="es-ES"/>
        </w:rPr>
        <w:footnoteReference w:id="160"/>
      </w:r>
      <w:r w:rsidRPr="003B7960">
        <w:rPr>
          <w:rFonts w:ascii="Cambria" w:hAnsi="Cambria"/>
          <w:color w:val="000000"/>
          <w:sz w:val="20"/>
          <w:szCs w:val="20"/>
          <w:lang w:val="es-ES"/>
        </w:rPr>
        <w:t xml:space="preserve"> </w:t>
      </w:r>
    </w:p>
    <w:p w14:paraId="4EDAC8C1"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mbria" w:hAnsi="Cambria"/>
          <w:color w:val="000000"/>
          <w:sz w:val="20"/>
          <w:szCs w:val="20"/>
          <w:lang w:val="es-ES"/>
        </w:rPr>
      </w:pPr>
    </w:p>
    <w:p w14:paraId="3A547958" w14:textId="3499FF12"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Informaron que según el Gobierno "había 58 migrantes en el centro de detención, aunque no se facilitaron sus nacionalidades." Y "hasta el 1 de junio, había 133 migrantes detenidos en el Centro de Detención de </w:t>
      </w:r>
      <w:proofErr w:type="spellStart"/>
      <w:r w:rsidRPr="003B7960">
        <w:rPr>
          <w:rFonts w:ascii="Cambria" w:hAnsi="Cambria"/>
          <w:color w:val="000000"/>
          <w:sz w:val="20"/>
          <w:szCs w:val="20"/>
          <w:lang w:val="es-ES"/>
        </w:rPr>
        <w:lastRenderedPageBreak/>
        <w:t>Carmichael</w:t>
      </w:r>
      <w:proofErr w:type="spellEnd"/>
      <w:r w:rsidRPr="003B7960">
        <w:rPr>
          <w:rFonts w:ascii="Cambria" w:hAnsi="Cambria"/>
          <w:color w:val="000000"/>
          <w:sz w:val="20"/>
          <w:szCs w:val="20"/>
          <w:lang w:val="es-ES"/>
        </w:rPr>
        <w:t xml:space="preserve"> Road</w:t>
      </w:r>
      <w:r w:rsidR="001E13BD" w:rsidRPr="009A4875">
        <w:rPr>
          <w:rFonts w:ascii="Cambria" w:hAnsi="Cambria"/>
          <w:color w:val="000000"/>
          <w:sz w:val="20"/>
          <w:szCs w:val="20"/>
          <w:lang w:val="es-US"/>
        </w:rPr>
        <w:t>.”</w:t>
      </w:r>
      <w:r w:rsidR="001E13BD" w:rsidRPr="003B7960">
        <w:rPr>
          <w:rStyle w:val="FootnoteReference"/>
          <w:rFonts w:ascii="Cambria" w:hAnsi="Cambria"/>
          <w:color w:val="000000"/>
          <w:sz w:val="20"/>
          <w:szCs w:val="20"/>
        </w:rPr>
        <w:footnoteReference w:id="161"/>
      </w:r>
      <w:r w:rsidRPr="003B7960">
        <w:rPr>
          <w:rFonts w:ascii="Cambria" w:hAnsi="Cambria"/>
          <w:color w:val="000000"/>
          <w:sz w:val="20"/>
          <w:szCs w:val="20"/>
          <w:lang w:val="es-ES"/>
        </w:rPr>
        <w:t xml:space="preserve"> Los peticionarios no han podido verificar el número real de detenidos en el Centro de Detención</w:t>
      </w:r>
      <w:r w:rsidR="00406755" w:rsidRPr="003B7960">
        <w:rPr>
          <w:rStyle w:val="FootnoteReference"/>
          <w:rFonts w:ascii="Cambria" w:hAnsi="Cambria"/>
          <w:color w:val="000000"/>
          <w:sz w:val="20"/>
          <w:szCs w:val="20"/>
          <w:lang w:val="es-ES"/>
        </w:rPr>
        <w:footnoteReference w:id="162"/>
      </w:r>
      <w:r w:rsidRPr="003B7960">
        <w:rPr>
          <w:rFonts w:ascii="Cambria" w:hAnsi="Cambria"/>
          <w:color w:val="000000"/>
          <w:sz w:val="20"/>
          <w:szCs w:val="20"/>
          <w:lang w:val="es-ES"/>
        </w:rPr>
        <w:t xml:space="preserve">.  Añadieron que, desde el comienzo de la pandemia, ha sido cada vez más difícil acceder a los detenidos, dejándolos desprotegidos en el Centro de Detención. Asimismo, la imposibilidad de controlar las condiciones de detención en el Centro de Detención de </w:t>
      </w:r>
      <w:proofErr w:type="spellStart"/>
      <w:r w:rsidRPr="003B7960">
        <w:rPr>
          <w:rFonts w:ascii="Cambria" w:hAnsi="Cambria"/>
          <w:color w:val="000000"/>
          <w:sz w:val="20"/>
          <w:szCs w:val="20"/>
          <w:lang w:val="es-ES"/>
        </w:rPr>
        <w:t>Carmichael</w:t>
      </w:r>
      <w:proofErr w:type="spellEnd"/>
      <w:r w:rsidRPr="003B7960">
        <w:rPr>
          <w:rFonts w:ascii="Cambria" w:hAnsi="Cambria"/>
          <w:color w:val="000000"/>
          <w:sz w:val="20"/>
          <w:szCs w:val="20"/>
          <w:lang w:val="es-ES"/>
        </w:rPr>
        <w:t xml:space="preserve"> Road continuó durante la pandemia. Los representantes no disponen de información sobre las medidas adoptadas en el centro de detención para evitar la propagación del COVID-19 o si las autoridades del Estado han adoptado algún protocolo para atender a las personas portadoras del virus o para reducir su propagación. En consecuencia, consideran que el Estado de Bahamas ha incumplido su obligación de abstenerse de detener automáticamente a los migrantes y refugiados. </w:t>
      </w:r>
    </w:p>
    <w:p w14:paraId="55BFE7A7" w14:textId="77777777"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mbria" w:hAnsi="Cambria"/>
          <w:color w:val="000000"/>
          <w:sz w:val="20"/>
          <w:szCs w:val="20"/>
          <w:lang w:val="es-ES"/>
        </w:rPr>
      </w:pPr>
    </w:p>
    <w:p w14:paraId="3E26E4D5" w14:textId="57EB42EF" w:rsidR="00C00F2E" w:rsidRPr="003B7960" w:rsidRDefault="00C00F2E" w:rsidP="00C00F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Tras evaluar la información disponible y teniendo en cuenta que hasta la fecha el Estado no ha presentado su respuesta, la Comisión solicita que se adopten las medidas necesarias por parte del Estado para lograr el pleno cumplimiento de las recomendaciones.</w:t>
      </w:r>
    </w:p>
    <w:p w14:paraId="6C72E41F" w14:textId="1AEDD81E" w:rsidR="00C00F2E" w:rsidRPr="003B7960" w:rsidRDefault="00C00F2E" w:rsidP="00C00F2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64B71596" w14:textId="5A2237D2" w:rsidR="00067F9E" w:rsidRPr="003B7960" w:rsidRDefault="00067F9E" w:rsidP="00101DC6">
      <w:pPr>
        <w:pStyle w:val="Heading1"/>
        <w:keepNext w:val="0"/>
        <w:keepLines w:val="0"/>
        <w:tabs>
          <w:tab w:val="clear" w:pos="1440"/>
          <w:tab w:val="left" w:pos="426"/>
        </w:tabs>
        <w:suppressAutoHyphens/>
        <w:ind w:left="0" w:firstLine="0"/>
        <w:jc w:val="left"/>
      </w:pPr>
      <w:bookmarkStart w:id="30" w:name="_Toc90557315"/>
      <w:r w:rsidRPr="003B7960">
        <w:rPr>
          <w:lang w:val="es-ES"/>
        </w:rPr>
        <w:t>CONCLUSION</w:t>
      </w:r>
      <w:r w:rsidR="00654B4A" w:rsidRPr="003B7960">
        <w:rPr>
          <w:lang w:val="es-ES"/>
        </w:rPr>
        <w:t xml:space="preserve">ES Y </w:t>
      </w:r>
      <w:r w:rsidRPr="003B7960">
        <w:rPr>
          <w:lang w:val="es-ES"/>
        </w:rPr>
        <w:t>RECOM</w:t>
      </w:r>
      <w:r w:rsidR="00654B4A" w:rsidRPr="003B7960">
        <w:rPr>
          <w:lang w:val="es-ES"/>
        </w:rPr>
        <w:t>ENDACIONES</w:t>
      </w:r>
      <w:r w:rsidR="00C13CAF" w:rsidRPr="003B7960">
        <w:rPr>
          <w:lang w:val="es-ES"/>
        </w:rPr>
        <w:t xml:space="preserve"> FINALES</w:t>
      </w:r>
      <w:bookmarkEnd w:id="30"/>
      <w:r w:rsidR="00C13CAF" w:rsidRPr="003B7960">
        <w:rPr>
          <w:lang w:val="es-ES"/>
        </w:rPr>
        <w:t xml:space="preserve"> </w:t>
      </w:r>
    </w:p>
    <w:p w14:paraId="6A68CDCC" w14:textId="77777777" w:rsidR="00275C2F" w:rsidRPr="003B7960" w:rsidRDefault="00275C2F" w:rsidP="00275C2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p>
    <w:p w14:paraId="1F0C2B07" w14:textId="00DC4A4C" w:rsidR="00067F9E" w:rsidRPr="003B7960" w:rsidRDefault="00654B4A" w:rsidP="00101D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color w:val="000000"/>
          <w:sz w:val="20"/>
          <w:szCs w:val="20"/>
          <w:lang w:val="es-ES"/>
        </w:rPr>
      </w:pPr>
      <w:r w:rsidRPr="003B7960">
        <w:rPr>
          <w:rFonts w:ascii="Cambria" w:hAnsi="Cambria"/>
          <w:color w:val="000000"/>
          <w:sz w:val="20"/>
          <w:szCs w:val="20"/>
          <w:lang w:val="es-ES"/>
        </w:rPr>
        <w:t xml:space="preserve">Sobre la base de sus determinaciones jurídicas y fácticas, la Comisión Interamericana concluye que el Estado es responsable de la violación de los </w:t>
      </w:r>
      <w:r w:rsidR="00BD5229" w:rsidRPr="003B7960">
        <w:rPr>
          <w:rFonts w:ascii="Cambria" w:hAnsi="Cambria"/>
          <w:color w:val="000000"/>
          <w:sz w:val="20"/>
          <w:szCs w:val="20"/>
          <w:lang w:val="es-ES"/>
        </w:rPr>
        <w:t>artículos I (derecho a la vida, a la libertad, a la seguridad e integridad de la persona), II (derecho de igualdad ante la ley), V (derecho a la protección a la honra, la reputación personal y la vida privada y familiar), VI (derecho a la constitución y a la protección de la familia), VII (derecho de protección a la maternidad y a la infancia), XVIII (derecho de justicia), XXV (derecho de protección contra la detención arbitraria) y XXVII (derecho de asilo)</w:t>
      </w:r>
      <w:r w:rsidR="00067F9E" w:rsidRPr="003B7960">
        <w:rPr>
          <w:rFonts w:ascii="Cambria" w:hAnsi="Cambria"/>
          <w:color w:val="000000"/>
          <w:sz w:val="20"/>
          <w:szCs w:val="20"/>
          <w:lang w:val="es-ES"/>
        </w:rPr>
        <w:t xml:space="preserve"> </w:t>
      </w:r>
      <w:r w:rsidR="005877AD" w:rsidRPr="003B7960">
        <w:rPr>
          <w:rFonts w:ascii="Cambria" w:hAnsi="Cambria"/>
          <w:color w:val="000000"/>
          <w:sz w:val="20"/>
          <w:szCs w:val="20"/>
          <w:lang w:val="es-ES"/>
        </w:rPr>
        <w:t xml:space="preserve">de la </w:t>
      </w:r>
      <w:r w:rsidR="00B9011F" w:rsidRPr="003B7960">
        <w:rPr>
          <w:rFonts w:ascii="Cambria" w:hAnsi="Cambria"/>
          <w:color w:val="000000"/>
          <w:sz w:val="20"/>
          <w:szCs w:val="20"/>
          <w:lang w:val="es-ES"/>
        </w:rPr>
        <w:t xml:space="preserve">Declaración Americana de los Derechos y Deberes del Hombre </w:t>
      </w:r>
      <w:r w:rsidR="00067F9E" w:rsidRPr="003B7960">
        <w:rPr>
          <w:rFonts w:ascii="Cambria" w:hAnsi="Cambria"/>
          <w:color w:val="000000"/>
          <w:sz w:val="20"/>
          <w:szCs w:val="20"/>
          <w:lang w:val="es-ES"/>
        </w:rPr>
        <w:t xml:space="preserve">. </w:t>
      </w:r>
      <w:r w:rsidR="005877AD" w:rsidRPr="003B7960">
        <w:rPr>
          <w:rFonts w:ascii="Cambria" w:hAnsi="Cambria"/>
          <w:color w:val="000000"/>
          <w:sz w:val="20"/>
          <w:szCs w:val="20"/>
          <w:lang w:val="es-ES"/>
        </w:rPr>
        <w:t>E</w:t>
      </w:r>
      <w:r w:rsidR="00067F9E" w:rsidRPr="003B7960">
        <w:rPr>
          <w:rFonts w:ascii="Cambria" w:hAnsi="Cambria"/>
          <w:color w:val="000000"/>
          <w:sz w:val="20"/>
          <w:szCs w:val="20"/>
          <w:lang w:val="es-ES"/>
        </w:rPr>
        <w:t>n conse</w:t>
      </w:r>
      <w:r w:rsidR="005877AD" w:rsidRPr="003B7960">
        <w:rPr>
          <w:rFonts w:ascii="Cambria" w:hAnsi="Cambria"/>
          <w:color w:val="000000"/>
          <w:sz w:val="20"/>
          <w:szCs w:val="20"/>
          <w:lang w:val="es-ES"/>
        </w:rPr>
        <w:t>c</w:t>
      </w:r>
      <w:r w:rsidR="00067F9E" w:rsidRPr="003B7960">
        <w:rPr>
          <w:rFonts w:ascii="Cambria" w:hAnsi="Cambria"/>
          <w:color w:val="000000"/>
          <w:sz w:val="20"/>
          <w:szCs w:val="20"/>
          <w:lang w:val="es-ES"/>
        </w:rPr>
        <w:t>uenc</w:t>
      </w:r>
      <w:r w:rsidR="005877AD" w:rsidRPr="003B7960">
        <w:rPr>
          <w:rFonts w:ascii="Cambria" w:hAnsi="Cambria"/>
          <w:color w:val="000000"/>
          <w:sz w:val="20"/>
          <w:szCs w:val="20"/>
          <w:lang w:val="es-ES"/>
        </w:rPr>
        <w:t>ia,</w:t>
      </w:r>
      <w:r w:rsidR="00D16FD1" w:rsidRPr="003B7960">
        <w:rPr>
          <w:rFonts w:ascii="Cambria" w:hAnsi="Cambria"/>
          <w:color w:val="000000"/>
          <w:sz w:val="20"/>
          <w:szCs w:val="20"/>
          <w:lang w:val="es-ES"/>
        </w:rPr>
        <w:tab/>
      </w:r>
    </w:p>
    <w:p w14:paraId="30DB67C9" w14:textId="77777777" w:rsidR="00067F9E" w:rsidRPr="003B7960" w:rsidRDefault="00067F9E" w:rsidP="00101DC6">
      <w:pPr>
        <w:tabs>
          <w:tab w:val="left" w:pos="426"/>
        </w:tabs>
        <w:suppressAutoHyphens/>
        <w:jc w:val="both"/>
        <w:rPr>
          <w:rFonts w:ascii="Cambria" w:hAnsi="Cambria"/>
          <w:sz w:val="20"/>
          <w:szCs w:val="20"/>
          <w:lang w:val="es-ES"/>
        </w:rPr>
      </w:pPr>
    </w:p>
    <w:p w14:paraId="6C29655B" w14:textId="1DD81F24" w:rsidR="00067F9E" w:rsidRPr="003B7960" w:rsidRDefault="00654B4A" w:rsidP="009A4875">
      <w:pPr>
        <w:keepNext/>
        <w:keepLines/>
        <w:tabs>
          <w:tab w:val="left" w:pos="426"/>
        </w:tabs>
        <w:jc w:val="center"/>
        <w:rPr>
          <w:rFonts w:ascii="Cambria" w:hAnsi="Cambria"/>
          <w:b/>
          <w:sz w:val="20"/>
          <w:szCs w:val="20"/>
          <w:lang w:val="es-ES"/>
        </w:rPr>
      </w:pPr>
      <w:r w:rsidRPr="003B7960">
        <w:rPr>
          <w:rFonts w:ascii="Cambria" w:hAnsi="Cambria"/>
          <w:b/>
          <w:sz w:val="20"/>
          <w:szCs w:val="20"/>
          <w:lang w:val="es-ES"/>
        </w:rPr>
        <w:t xml:space="preserve">LA </w:t>
      </w:r>
      <w:r w:rsidR="00A332F5" w:rsidRPr="003B7960">
        <w:rPr>
          <w:rFonts w:ascii="Cambria" w:hAnsi="Cambria"/>
          <w:b/>
          <w:sz w:val="20"/>
          <w:szCs w:val="20"/>
          <w:lang w:val="es-ES"/>
        </w:rPr>
        <w:t>COMISIÓN INTERAMERICANA DE DERECHOS HUMANOS</w:t>
      </w:r>
      <w:r w:rsidR="00E93AAC" w:rsidRPr="003B7960">
        <w:rPr>
          <w:rFonts w:ascii="Cambria" w:hAnsi="Cambria"/>
          <w:b/>
          <w:sz w:val="20"/>
          <w:szCs w:val="20"/>
          <w:lang w:val="es-ES"/>
        </w:rPr>
        <w:t xml:space="preserve"> </w:t>
      </w:r>
      <w:r w:rsidR="00C13CAF" w:rsidRPr="003B7960">
        <w:rPr>
          <w:rFonts w:ascii="Cambria" w:hAnsi="Cambria"/>
          <w:b/>
          <w:sz w:val="20"/>
          <w:szCs w:val="20"/>
          <w:lang w:val="es-ES"/>
        </w:rPr>
        <w:t>REITERA</w:t>
      </w:r>
      <w:r w:rsidR="00E93AAC" w:rsidRPr="003B7960">
        <w:rPr>
          <w:rFonts w:ascii="Cambria" w:hAnsi="Cambria"/>
          <w:b/>
          <w:sz w:val="20"/>
          <w:szCs w:val="20"/>
          <w:lang w:val="es-ES"/>
        </w:rPr>
        <w:t xml:space="preserve"> AL </w:t>
      </w:r>
      <w:r w:rsidR="00286042" w:rsidRPr="003B7960">
        <w:rPr>
          <w:rFonts w:ascii="Cambria" w:hAnsi="Cambria"/>
          <w:b/>
          <w:sz w:val="20"/>
          <w:szCs w:val="20"/>
          <w:lang w:val="es-ES"/>
        </w:rPr>
        <w:t xml:space="preserve">COMMONWEALTH </w:t>
      </w:r>
      <w:r w:rsidR="00180B78" w:rsidRPr="003B7960">
        <w:rPr>
          <w:rFonts w:ascii="Cambria" w:hAnsi="Cambria"/>
          <w:b/>
          <w:sz w:val="20"/>
          <w:szCs w:val="20"/>
          <w:lang w:val="es-ES"/>
        </w:rPr>
        <w:t>DE</w:t>
      </w:r>
      <w:r w:rsidR="00286042" w:rsidRPr="003B7960">
        <w:rPr>
          <w:rFonts w:ascii="Cambria" w:hAnsi="Cambria"/>
          <w:b/>
          <w:sz w:val="20"/>
          <w:szCs w:val="20"/>
          <w:lang w:val="es-ES"/>
        </w:rPr>
        <w:t xml:space="preserve"> LAS</w:t>
      </w:r>
      <w:r w:rsidRPr="003B7960">
        <w:rPr>
          <w:rFonts w:ascii="Cambria" w:hAnsi="Cambria"/>
          <w:b/>
          <w:sz w:val="20"/>
          <w:szCs w:val="20"/>
          <w:lang w:val="es-ES"/>
        </w:rPr>
        <w:t xml:space="preserve"> </w:t>
      </w:r>
      <w:r w:rsidR="00067F9E" w:rsidRPr="003B7960">
        <w:rPr>
          <w:rFonts w:ascii="Cambria" w:hAnsi="Cambria"/>
          <w:b/>
          <w:sz w:val="20"/>
          <w:szCs w:val="20"/>
          <w:lang w:val="es-ES"/>
        </w:rPr>
        <w:t>BAHAMAS</w:t>
      </w:r>
      <w:r w:rsidRPr="003B7960">
        <w:rPr>
          <w:rFonts w:ascii="Cambria" w:hAnsi="Cambria"/>
          <w:b/>
          <w:sz w:val="20"/>
          <w:szCs w:val="20"/>
          <w:lang w:val="es-ES"/>
        </w:rPr>
        <w:t>:</w:t>
      </w:r>
    </w:p>
    <w:p w14:paraId="0B223E03" w14:textId="77777777" w:rsidR="00067F9E" w:rsidRPr="003B7960" w:rsidRDefault="00067F9E" w:rsidP="00101DC6">
      <w:pPr>
        <w:keepNext/>
        <w:keepLines/>
        <w:tabs>
          <w:tab w:val="left" w:pos="426"/>
        </w:tabs>
        <w:jc w:val="both"/>
        <w:rPr>
          <w:rFonts w:ascii="Cambria" w:hAnsi="Cambria"/>
          <w:b/>
          <w:sz w:val="20"/>
          <w:szCs w:val="20"/>
          <w:lang w:val="es-ES"/>
        </w:rPr>
      </w:pPr>
    </w:p>
    <w:p w14:paraId="3167114C" w14:textId="77777777" w:rsidR="00D16FD1" w:rsidRPr="003B7960" w:rsidRDefault="00D16FD1" w:rsidP="00AA3091">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t xml:space="preserve">Que identifique a cada uno de los ciudadanos cubanos y haitianos mencionados en el presente informe y prepare una lista definitiva de víctimas; que disponga y despliegue todas las medidas diplomáticas necesarias para establecer contacto con todas las víctimas a fin de efectuar reparaciones adecuadas, tanto materiales como morales, por las violaciones de derechos humanos reconocidas en el presente informe, entre ellas una indemnización económica y medidas de satisfacción; </w:t>
      </w:r>
    </w:p>
    <w:p w14:paraId="5A0F57DD" w14:textId="77777777" w:rsidR="00D16FD1" w:rsidRPr="003B7960" w:rsidRDefault="00D16FD1" w:rsidP="00D16FD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t xml:space="preserve"> </w:t>
      </w:r>
    </w:p>
    <w:p w14:paraId="19AAAF86" w14:textId="77777777" w:rsidR="00D16FD1" w:rsidRPr="003B7960" w:rsidRDefault="00D16FD1" w:rsidP="00AA3091">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t xml:space="preserve">Que tome medidas urgentes para mejorar las condiciones de detención en el Centro de Detención de </w:t>
      </w:r>
      <w:proofErr w:type="spellStart"/>
      <w:r w:rsidRPr="003B7960">
        <w:rPr>
          <w:rFonts w:ascii="Cambria" w:hAnsi="Cambria"/>
          <w:sz w:val="20"/>
          <w:szCs w:val="20"/>
          <w:bdr w:val="none" w:sz="0" w:space="0" w:color="auto" w:frame="1"/>
          <w:lang w:val="es-ES"/>
        </w:rPr>
        <w:t>Carmichael</w:t>
      </w:r>
      <w:proofErr w:type="spellEnd"/>
      <w:r w:rsidRPr="003B7960">
        <w:rPr>
          <w:rFonts w:ascii="Cambria" w:hAnsi="Cambria"/>
          <w:sz w:val="20"/>
          <w:szCs w:val="20"/>
          <w:bdr w:val="none" w:sz="0" w:space="0" w:color="auto" w:frame="1"/>
          <w:lang w:val="es-ES"/>
        </w:rPr>
        <w:t xml:space="preserve"> Road, a fin de que se ciñan a las normas mínimas interamericanas señaladas en el presente informe. El Estado debe crear un mecanismo judicial o administrativo a disposición de los detenidos con el fin de proveer medios accesibles y efectivos para facilitar la presentación y tramitación de reclamos en ese sentido, incluidas denuncias de índole penal;</w:t>
      </w:r>
      <w:r w:rsidRPr="003B7960">
        <w:rPr>
          <w:rFonts w:ascii="Cambria" w:hAnsi="Cambria"/>
          <w:sz w:val="20"/>
          <w:szCs w:val="20"/>
          <w:lang w:val="es-ES"/>
        </w:rPr>
        <w:t xml:space="preserve"> </w:t>
      </w:r>
    </w:p>
    <w:p w14:paraId="441C7348" w14:textId="77777777" w:rsidR="00D16FD1" w:rsidRPr="003B7960" w:rsidRDefault="00D16FD1" w:rsidP="00D16FD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bdr w:val="none" w:sz="0" w:space="0" w:color="auto" w:frame="1"/>
          <w:lang w:val="es-ES"/>
        </w:rPr>
      </w:pPr>
    </w:p>
    <w:p w14:paraId="127F7590" w14:textId="77777777" w:rsidR="00D16FD1" w:rsidRPr="003B7960" w:rsidRDefault="00D16FD1" w:rsidP="00AA3091">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lang w:val="es-ES"/>
        </w:rPr>
        <w:t>Que establezca mecanismos como los siguientes para evitar la repetición de los hechos descritos en el presente informe:</w:t>
      </w:r>
    </w:p>
    <w:p w14:paraId="3ECDD813" w14:textId="77777777" w:rsidR="00D16FD1" w:rsidRPr="003B7960" w:rsidRDefault="00D16FD1" w:rsidP="00D16FD1">
      <w:pPr>
        <w:pStyle w:val="ListParagraph"/>
        <w:tabs>
          <w:tab w:val="left" w:pos="426"/>
        </w:tabs>
        <w:ind w:left="0"/>
        <w:rPr>
          <w:rFonts w:ascii="Cambria" w:hAnsi="Cambria"/>
          <w:sz w:val="20"/>
          <w:szCs w:val="20"/>
          <w:lang w:val="es-ES"/>
        </w:rPr>
      </w:pPr>
    </w:p>
    <w:p w14:paraId="47ACECD2" w14:textId="77777777" w:rsidR="009A4875" w:rsidRDefault="009A4875">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bdr w:val="none" w:sz="0" w:space="0" w:color="auto" w:frame="1"/>
          <w:lang w:val="es-ES"/>
        </w:rPr>
      </w:pPr>
      <w:r>
        <w:rPr>
          <w:rFonts w:ascii="Cambria" w:hAnsi="Cambria"/>
          <w:sz w:val="20"/>
          <w:szCs w:val="20"/>
          <w:bdr w:val="none" w:sz="0" w:space="0" w:color="auto" w:frame="1"/>
          <w:lang w:val="es-ES"/>
        </w:rPr>
        <w:br w:type="page"/>
      </w:r>
    </w:p>
    <w:p w14:paraId="2FA1FB96" w14:textId="43D46ED6" w:rsidR="00D16FD1" w:rsidRPr="003B7960" w:rsidRDefault="00D16FD1" w:rsidP="00AA3091">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Cambria" w:hAnsi="Cambria"/>
          <w:sz w:val="20"/>
          <w:szCs w:val="20"/>
          <w:bdr w:val="none" w:sz="0" w:space="0" w:color="auto" w:frame="1"/>
          <w:lang w:val="es-ES"/>
        </w:rPr>
      </w:pPr>
      <w:r w:rsidRPr="003B7960">
        <w:rPr>
          <w:rFonts w:ascii="Cambria" w:hAnsi="Cambria"/>
          <w:sz w:val="20"/>
          <w:szCs w:val="20"/>
          <w:bdr w:val="none" w:sz="0" w:space="0" w:color="auto" w:frame="1"/>
          <w:lang w:val="es-ES"/>
        </w:rPr>
        <w:lastRenderedPageBreak/>
        <w:t xml:space="preserve">Adoptar leyes adecuadas para asegurar que no se repitan los hechos descritos en el presente informe y reglamentar la determinación de la condición de refugiado, así como otras medidas complementarias reconocidas de protección internacional que sean apropiadas para contextos migratorios mixtos. Estas leyes deben asegurar que se cumpla la obligación de </w:t>
      </w:r>
      <w:r w:rsidRPr="003B7960">
        <w:rPr>
          <w:rFonts w:ascii="Cambria" w:hAnsi="Cambria"/>
          <w:iCs/>
          <w:sz w:val="20"/>
          <w:szCs w:val="20"/>
          <w:bdr w:val="none" w:sz="0" w:space="0" w:color="auto" w:frame="1"/>
          <w:lang w:val="es-ES"/>
        </w:rPr>
        <w:t>no devolución</w:t>
      </w:r>
      <w:r w:rsidRPr="003B7960">
        <w:rPr>
          <w:rFonts w:ascii="Cambria" w:hAnsi="Cambria"/>
          <w:sz w:val="20"/>
          <w:szCs w:val="20"/>
          <w:bdr w:val="none" w:sz="0" w:space="0" w:color="auto" w:frame="1"/>
          <w:lang w:val="es-ES"/>
        </w:rPr>
        <w:t xml:space="preserve"> y se respete el principio </w:t>
      </w:r>
      <w:r w:rsidR="000265CB" w:rsidRPr="003B7960">
        <w:rPr>
          <w:rFonts w:ascii="Cambria" w:hAnsi="Cambria"/>
          <w:sz w:val="20"/>
          <w:szCs w:val="20"/>
          <w:bdr w:val="none" w:sz="0" w:space="0" w:color="auto" w:frame="1"/>
          <w:lang w:val="es-ES"/>
        </w:rPr>
        <w:t xml:space="preserve">del interés superior de la niñez </w:t>
      </w:r>
      <w:r w:rsidRPr="003B7960">
        <w:rPr>
          <w:rFonts w:ascii="Cambria" w:hAnsi="Cambria"/>
          <w:sz w:val="20"/>
          <w:szCs w:val="20"/>
          <w:bdr w:val="none" w:sz="0" w:space="0" w:color="auto" w:frame="1"/>
          <w:lang w:val="es-ES"/>
        </w:rPr>
        <w:t>y garantizar el debido proceso en los procedimientos de inmigración. La normativa adoptada deberá consagrar las siguientes garantías procesales, conforme a lo establecido en el párrafo 71 del Informe:</w:t>
      </w:r>
    </w:p>
    <w:p w14:paraId="79E724AB" w14:textId="072F7CD3" w:rsidR="00D16FD1" w:rsidRPr="003B7960" w:rsidRDefault="00D16FD1" w:rsidP="009A487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3376B72C"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color w:val="000000"/>
          <w:sz w:val="20"/>
          <w:szCs w:val="20"/>
          <w:lang w:val="es-ES"/>
        </w:rPr>
      </w:pPr>
      <w:r w:rsidRPr="003B7960">
        <w:rPr>
          <w:rFonts w:ascii="Cambria" w:hAnsi="Cambria"/>
          <w:color w:val="000000"/>
          <w:sz w:val="20"/>
          <w:szCs w:val="20"/>
          <w:lang w:val="es-ES"/>
        </w:rPr>
        <w:t>el derecho a la notificación previa y detallada del procedimiento para determinar su condición jurídica y, en el caso de los detenidos, a que se les comuniquen las razones de su detención y se les informe con prontitud sobre el cargo o los cargos formulados en su contra;</w:t>
      </w:r>
    </w:p>
    <w:p w14:paraId="6C5DE0FB"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derecho a recibir la orientación necesaria en cuanto al procedimiento que ha de seguirse, en un lenguaje y modo comprensibles y, de ser apropiado, se le debe dar la oportunidad de ponerse en contacto con un representante de ACNUR.</w:t>
      </w:r>
      <w:r w:rsidRPr="003B7960">
        <w:rPr>
          <w:rFonts w:ascii="Cambria" w:eastAsia="Times New Roman" w:hAnsi="Cambria"/>
          <w:sz w:val="20"/>
          <w:szCs w:val="20"/>
          <w:bdr w:val="none" w:sz="0" w:space="0" w:color="auto"/>
          <w:lang w:val="es-ES"/>
        </w:rPr>
        <w:t xml:space="preserve">; </w:t>
      </w:r>
    </w:p>
    <w:p w14:paraId="688D00C1"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de toda persona detenida de ser llevada sin demoradas ante una juez o autoridad administrativa autorizada por el ley para el ejercicio jurisdiccional y de ser juzgada en un plazo razonable o, de lo contrario, de ser liberada y continuar su proceso sin detención. Su libertad puede estar condicionada a medidas que aseguren su presencia posterior en su juicio. </w:t>
      </w:r>
    </w:p>
    <w:p w14:paraId="0462EAD2"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una audiencia sin demoras, a contar con tiempo y recursos suficientes para preparar su defensa y a reunirse libremente en privado con su abogado; </w:t>
      </w:r>
    </w:p>
    <w:p w14:paraId="61D733AF"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 xml:space="preserve">el derecho a que la solicitud sea examinada con objetividad, en el marco del procedimiento establecido al efecto, por una autoridad competente claramente identificada, requiriendo una entrevista personal; </w:t>
      </w:r>
    </w:p>
    <w:p w14:paraId="17E69FA9"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la asistencia gratuita de un traductor o intérprete; </w:t>
      </w:r>
    </w:p>
    <w:p w14:paraId="0587DD21"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asistencia letrada; </w:t>
      </w:r>
    </w:p>
    <w:p w14:paraId="483B0072"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US"/>
        </w:rPr>
        <w:t>el respeto a la protección de los datos del solicitante y de la solicitud de asilo y el principio de confidencialidad.</w:t>
      </w:r>
    </w:p>
    <w:p w14:paraId="1A8CFDDE"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a que la decisión que se tome sea debidamente motivada;</w:t>
      </w:r>
    </w:p>
    <w:p w14:paraId="2DF3E911"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que se le notifique la decisión tomada en el procedimiento; </w:t>
      </w:r>
    </w:p>
    <w:p w14:paraId="01410C98"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el derecho de apelación de la decisión tomada ante un tribunal superior y el</w:t>
      </w:r>
      <w:r w:rsidRPr="003B7960">
        <w:rPr>
          <w:rFonts w:ascii="Cambria" w:eastAsia="Times New Roman" w:hAnsi="Cambria"/>
          <w:sz w:val="20"/>
          <w:szCs w:val="20"/>
          <w:bdr w:val="none" w:sz="0" w:space="0" w:color="auto"/>
          <w:lang w:val="es-US"/>
        </w:rPr>
        <w:t xml:space="preserve"> derecho de permanecer en el país hasta que la autoridad competente haya resuelto la apelación.</w:t>
      </w:r>
    </w:p>
    <w:p w14:paraId="378CC769" w14:textId="77777777" w:rsidR="00D16FD1" w:rsidRPr="003B7960" w:rsidRDefault="00D16FD1" w:rsidP="00AA3091">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eastAsia="Times New Roman" w:hAnsi="Cambria"/>
          <w:sz w:val="20"/>
          <w:szCs w:val="20"/>
          <w:bdr w:val="none" w:sz="0" w:space="0" w:color="auto"/>
          <w:lang w:val="es-ES"/>
        </w:rPr>
      </w:pPr>
      <w:r w:rsidRPr="003B7960">
        <w:rPr>
          <w:rFonts w:ascii="Cambria" w:eastAsia="Times New Roman" w:hAnsi="Cambria"/>
          <w:sz w:val="20"/>
          <w:szCs w:val="20"/>
          <w:bdr w:val="none" w:sz="0" w:space="0" w:color="auto"/>
          <w:lang w:val="es-ES"/>
        </w:rPr>
        <w:t xml:space="preserve">el derecho a la información del acceso a la asistencia consular </w:t>
      </w:r>
      <w:r w:rsidRPr="003B7960">
        <w:rPr>
          <w:rFonts w:ascii="Cambria" w:eastAsia="Times New Roman" w:hAnsi="Cambria"/>
          <w:sz w:val="20"/>
          <w:szCs w:val="20"/>
          <w:bdr w:val="none" w:sz="0" w:space="0" w:color="auto"/>
          <w:lang w:val="es-US"/>
        </w:rPr>
        <w:t>y la prohibición de comunicación con las autoridades del país del solicitante de asilo, a menos que se cuente con evidencia del consentimiento expreso de la persona.</w:t>
      </w:r>
    </w:p>
    <w:p w14:paraId="2ECAD6B9" w14:textId="77777777" w:rsidR="00D16FD1" w:rsidRPr="003B7960" w:rsidRDefault="00D16FD1" w:rsidP="00D16FD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jc w:val="both"/>
        <w:rPr>
          <w:rFonts w:ascii="Cambria" w:hAnsi="Cambria"/>
          <w:sz w:val="20"/>
          <w:szCs w:val="20"/>
          <w:bdr w:val="none" w:sz="0" w:space="0" w:color="auto" w:frame="1"/>
          <w:lang w:val="es-ES"/>
        </w:rPr>
      </w:pPr>
    </w:p>
    <w:p w14:paraId="369C3267" w14:textId="77777777" w:rsidR="00D16FD1" w:rsidRPr="003B7960" w:rsidRDefault="00D16FD1" w:rsidP="00AA3091">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361"/>
        <w:jc w:val="both"/>
        <w:rPr>
          <w:rFonts w:ascii="Cambria" w:hAnsi="Cambria"/>
          <w:sz w:val="20"/>
          <w:szCs w:val="20"/>
          <w:lang w:val="es-ES"/>
        </w:rPr>
      </w:pPr>
      <w:r w:rsidRPr="003B7960">
        <w:rPr>
          <w:rFonts w:ascii="Cambria" w:hAnsi="Cambria"/>
          <w:sz w:val="20"/>
          <w:szCs w:val="20"/>
          <w:lang w:val="es-ES"/>
        </w:rPr>
        <w:t>Asegurar el acceso a información sobre la solicitud de asilo en las Bahamas y sobre el derecho a recibir asistencia consular, así como el acceso a intérpretes y asistencia letrada;</w:t>
      </w:r>
    </w:p>
    <w:p w14:paraId="21465FED" w14:textId="77777777" w:rsidR="00D16FD1" w:rsidRPr="003B7960" w:rsidRDefault="00D16FD1" w:rsidP="00D16FD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jc w:val="both"/>
        <w:rPr>
          <w:rFonts w:ascii="Cambria" w:hAnsi="Cambria"/>
          <w:sz w:val="20"/>
          <w:szCs w:val="20"/>
          <w:lang w:val="es-ES"/>
        </w:rPr>
      </w:pPr>
    </w:p>
    <w:p w14:paraId="23DADE04" w14:textId="77777777" w:rsidR="00D16FD1" w:rsidRPr="003B7960" w:rsidRDefault="00D16FD1" w:rsidP="00AA3091">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361"/>
        <w:jc w:val="both"/>
        <w:rPr>
          <w:rFonts w:ascii="Cambria" w:hAnsi="Cambria"/>
          <w:sz w:val="20"/>
          <w:szCs w:val="20"/>
          <w:lang w:val="es-ES"/>
        </w:rPr>
      </w:pPr>
      <w:r w:rsidRPr="003B7960">
        <w:rPr>
          <w:rFonts w:ascii="Cambria" w:hAnsi="Cambria"/>
          <w:sz w:val="20"/>
          <w:szCs w:val="20"/>
          <w:lang w:val="es-ES"/>
        </w:rPr>
        <w:t>Asegurar el acceso adecuado y efectivo de los inmigrantes indocumentados y los solicitantes de asilo a los tribunales para impugnar decisiones administrativas relativas a la determinación de su condición;</w:t>
      </w:r>
    </w:p>
    <w:p w14:paraId="1E840DE8" w14:textId="77777777" w:rsidR="00D16FD1" w:rsidRPr="003B7960" w:rsidRDefault="00D16FD1" w:rsidP="00D16FD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jc w:val="both"/>
        <w:rPr>
          <w:rFonts w:ascii="Cambria" w:hAnsi="Cambria"/>
          <w:sz w:val="20"/>
          <w:szCs w:val="20"/>
          <w:lang w:val="es-ES"/>
        </w:rPr>
      </w:pPr>
    </w:p>
    <w:p w14:paraId="4B163793" w14:textId="77777777" w:rsidR="00D16FD1" w:rsidRPr="003B7960" w:rsidRDefault="00D16FD1" w:rsidP="00AA3091">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361"/>
        <w:jc w:val="both"/>
        <w:rPr>
          <w:rFonts w:ascii="Cambria" w:hAnsi="Cambria"/>
          <w:sz w:val="20"/>
          <w:szCs w:val="20"/>
          <w:lang w:val="es-ES"/>
        </w:rPr>
      </w:pPr>
      <w:r w:rsidRPr="003B7960">
        <w:rPr>
          <w:rFonts w:ascii="Cambria" w:hAnsi="Cambria"/>
          <w:sz w:val="20"/>
          <w:szCs w:val="20"/>
          <w:lang w:val="es-ES"/>
        </w:rPr>
        <w:t>Derogar o abstenerse de implementar cualquier disposición legal nacional o internacional, que establezca la expulsión sumaria de migrantes. Prestar especial atención a los Acuerdos Bilaterales con Cuba y Haití, o prácticas derivadas de dichos acuerdos en la medida que impidan o cercenen la posibilidad de que los ciudadanos cubanos y haitianos presenten reclamos de protección internacional o cuenten con el debido proceso en la consideración de dichos reclamos;</w:t>
      </w:r>
    </w:p>
    <w:p w14:paraId="2E5EE862" w14:textId="77777777" w:rsidR="00D16FD1" w:rsidRPr="003B7960" w:rsidRDefault="00D16FD1" w:rsidP="00D16FD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jc w:val="both"/>
        <w:rPr>
          <w:rFonts w:ascii="Cambria" w:hAnsi="Cambria"/>
          <w:sz w:val="20"/>
          <w:szCs w:val="20"/>
          <w:lang w:val="es-ES"/>
        </w:rPr>
      </w:pPr>
    </w:p>
    <w:p w14:paraId="0A05B340" w14:textId="77777777" w:rsidR="00D16FD1" w:rsidRPr="003B7960" w:rsidRDefault="00D16FD1" w:rsidP="00AA3091">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361"/>
        <w:jc w:val="both"/>
        <w:rPr>
          <w:rFonts w:ascii="Cambria" w:hAnsi="Cambria"/>
          <w:sz w:val="20"/>
          <w:szCs w:val="20"/>
          <w:lang w:val="es-ES"/>
        </w:rPr>
      </w:pPr>
      <w:r w:rsidRPr="003B7960">
        <w:rPr>
          <w:rFonts w:ascii="Cambria" w:hAnsi="Cambria"/>
          <w:sz w:val="20"/>
          <w:szCs w:val="20"/>
          <w:lang w:val="es-ES"/>
        </w:rPr>
        <w:t>Capacitar a todos los funcionarios de inmigración sobre las normas relativas al asilo y la protección internacional y sobre la determinación de la posibilidad de que se necesite protección internacional;</w:t>
      </w:r>
    </w:p>
    <w:p w14:paraId="17BA41D8" w14:textId="77777777" w:rsidR="00D16FD1" w:rsidRPr="003B7960" w:rsidRDefault="00D16FD1" w:rsidP="00D16FD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jc w:val="both"/>
        <w:rPr>
          <w:rFonts w:ascii="Cambria" w:hAnsi="Cambria"/>
          <w:sz w:val="20"/>
          <w:szCs w:val="20"/>
          <w:lang w:val="es-ES"/>
        </w:rPr>
      </w:pPr>
    </w:p>
    <w:p w14:paraId="5F7CB9A8" w14:textId="77777777" w:rsidR="00D16FD1" w:rsidRPr="003B7960" w:rsidRDefault="00D16FD1" w:rsidP="00AA3091">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361"/>
        <w:jc w:val="both"/>
        <w:rPr>
          <w:rFonts w:ascii="Cambria" w:hAnsi="Cambria"/>
          <w:sz w:val="20"/>
          <w:szCs w:val="20"/>
          <w:lang w:val="es-ES"/>
        </w:rPr>
      </w:pPr>
      <w:r w:rsidRPr="003B7960">
        <w:rPr>
          <w:rFonts w:ascii="Cambria" w:hAnsi="Cambria"/>
          <w:sz w:val="20"/>
          <w:szCs w:val="20"/>
          <w:lang w:val="es-ES"/>
        </w:rPr>
        <w:t>Poner fin a la política estatal de detención automática de migrantes. En ese sentido, la detención debería considerarse como una excepción y efectuarse solo de conformidad con una decisión debidamente fundamentada y compatible con las normas internacionales.</w:t>
      </w:r>
    </w:p>
    <w:p w14:paraId="03E13DFB" w14:textId="77777777" w:rsidR="00180B78" w:rsidRPr="003B7960" w:rsidRDefault="00180B78" w:rsidP="00180B7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14:paraId="1389B777" w14:textId="77777777" w:rsidR="009A4875" w:rsidRDefault="009A4875">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Gothic" w:hAnsi="Cambria"/>
          <w:b/>
          <w:bCs/>
          <w:sz w:val="20"/>
          <w:szCs w:val="20"/>
          <w:lang w:val="es-ES"/>
        </w:rPr>
      </w:pPr>
      <w:bookmarkStart w:id="31" w:name="_Toc26552696"/>
      <w:bookmarkStart w:id="32" w:name="_Toc87522752"/>
      <w:bookmarkStart w:id="33" w:name="_Toc90557316"/>
      <w:r>
        <w:rPr>
          <w:lang w:val="es-ES"/>
        </w:rPr>
        <w:br w:type="page"/>
      </w:r>
    </w:p>
    <w:p w14:paraId="731366A0" w14:textId="50060F67" w:rsidR="00180B78" w:rsidRPr="003B7960" w:rsidRDefault="00180B78" w:rsidP="00180B78">
      <w:pPr>
        <w:pStyle w:val="Heading1"/>
        <w:keepNext w:val="0"/>
        <w:keepLines w:val="0"/>
        <w:tabs>
          <w:tab w:val="clear" w:pos="1440"/>
          <w:tab w:val="left" w:pos="426"/>
        </w:tabs>
        <w:suppressAutoHyphens/>
        <w:ind w:left="0" w:firstLine="0"/>
        <w:jc w:val="left"/>
        <w:rPr>
          <w:lang w:val="es-UY"/>
        </w:rPr>
      </w:pPr>
      <w:r w:rsidRPr="003B7960">
        <w:rPr>
          <w:lang w:val="es-ES"/>
        </w:rPr>
        <w:lastRenderedPageBreak/>
        <w:t>PUBLICACIÓN</w:t>
      </w:r>
      <w:bookmarkEnd w:id="31"/>
      <w:bookmarkEnd w:id="32"/>
      <w:bookmarkEnd w:id="33"/>
    </w:p>
    <w:p w14:paraId="4A54FAEA" w14:textId="77777777" w:rsidR="00180B78" w:rsidRPr="003B7960" w:rsidRDefault="00180B78" w:rsidP="00180B78">
      <w:pPr>
        <w:rPr>
          <w:lang w:val="es-UY"/>
        </w:rPr>
      </w:pPr>
    </w:p>
    <w:p w14:paraId="392AC756" w14:textId="77777777" w:rsidR="00180B78" w:rsidRPr="003B7960" w:rsidRDefault="00180B78" w:rsidP="00180B7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num" w:pos="720"/>
        </w:tabs>
        <w:ind w:left="0" w:firstLine="0"/>
        <w:jc w:val="both"/>
        <w:rPr>
          <w:rFonts w:ascii="Cambria" w:hAnsi="Cambria"/>
          <w:color w:val="000000"/>
          <w:sz w:val="20"/>
          <w:szCs w:val="20"/>
          <w:lang w:val="es-AR"/>
        </w:rPr>
      </w:pPr>
      <w:r w:rsidRPr="003B7960">
        <w:rPr>
          <w:rFonts w:ascii="Cambria" w:hAnsi="Cambria"/>
          <w:color w:val="000000"/>
          <w:sz w:val="20"/>
          <w:szCs w:val="20"/>
          <w:lang w:val="es-ES"/>
        </w:rPr>
        <w:t>En</w:t>
      </w:r>
      <w:r w:rsidRPr="003B7960">
        <w:rPr>
          <w:rFonts w:ascii="Cambria" w:hAnsi="Cambria"/>
          <w:color w:val="000000"/>
          <w:sz w:val="20"/>
          <w:szCs w:val="20"/>
          <w:lang w:val="es-AR"/>
        </w:rPr>
        <w:t xml:space="preserve">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3FFA1B6F" w14:textId="7909F86D" w:rsidR="001802A0" w:rsidRDefault="001802A0" w:rsidP="00180B7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lang w:val="es-ES"/>
        </w:rPr>
      </w:pPr>
    </w:p>
    <w:p w14:paraId="0E8C5959" w14:textId="77777777" w:rsidR="005F3BC6" w:rsidRDefault="005F3BC6" w:rsidP="005F3BC6">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eastAsia="Trebuchet MS" w:hAnsi="Cambria" w:cs="Calibri"/>
          <w:color w:val="201F1E"/>
          <w:spacing w:val="-2"/>
          <w:sz w:val="20"/>
          <w:szCs w:val="20"/>
          <w:bdr w:val="none" w:sz="0" w:space="0" w:color="auto" w:frame="1"/>
          <w:lang w:val="es-CL"/>
        </w:rPr>
        <w:t xml:space="preserve"> 31 días del mes de diciembre de 2021. </w:t>
      </w:r>
      <w:r>
        <w:rPr>
          <w:rFonts w:ascii="Cambria" w:hAnsi="Cambria" w:cs="Calibri"/>
          <w:color w:val="201F1E"/>
          <w:spacing w:val="-2"/>
          <w:sz w:val="20"/>
          <w:szCs w:val="20"/>
          <w:bdr w:val="none" w:sz="0" w:space="0" w:color="auto" w:frame="1"/>
          <w:lang w:val="es-CL"/>
        </w:rPr>
        <w:t xml:space="preserve">(Firmado): Antonia Urrejola Noguera, Presidenta; Julissa Mantilla Falcón, Primera Vicepresidenta; </w:t>
      </w:r>
      <w:proofErr w:type="spellStart"/>
      <w:r>
        <w:rPr>
          <w:rFonts w:ascii="Cambria" w:hAnsi="Cambria" w:cs="Calibri"/>
          <w:color w:val="201F1E"/>
          <w:spacing w:val="-2"/>
          <w:sz w:val="20"/>
          <w:szCs w:val="20"/>
          <w:bdr w:val="none" w:sz="0" w:space="0" w:color="auto" w:frame="1"/>
          <w:lang w:val="es-CL"/>
        </w:rPr>
        <w:t>Flávia</w:t>
      </w:r>
      <w:proofErr w:type="spellEnd"/>
      <w:r>
        <w:rPr>
          <w:rFonts w:ascii="Cambria" w:hAnsi="Cambria" w:cs="Calibri"/>
          <w:color w:val="201F1E"/>
          <w:spacing w:val="-2"/>
          <w:sz w:val="20"/>
          <w:szCs w:val="20"/>
          <w:bdr w:val="none" w:sz="0" w:space="0" w:color="auto" w:frame="1"/>
          <w:lang w:val="es-CL"/>
        </w:rPr>
        <w:t xml:space="preserve"> </w:t>
      </w:r>
      <w:proofErr w:type="spellStart"/>
      <w:r>
        <w:rPr>
          <w:rFonts w:ascii="Cambria" w:hAnsi="Cambria" w:cs="Calibri"/>
          <w:color w:val="201F1E"/>
          <w:spacing w:val="-2"/>
          <w:sz w:val="20"/>
          <w:szCs w:val="20"/>
          <w:bdr w:val="none" w:sz="0" w:space="0" w:color="auto" w:frame="1"/>
          <w:lang w:val="es-CL"/>
        </w:rPr>
        <w:t>Piovesan</w:t>
      </w:r>
      <w:proofErr w:type="spellEnd"/>
      <w:r>
        <w:rPr>
          <w:rFonts w:ascii="Cambria" w:hAnsi="Cambria" w:cs="Calibri"/>
          <w:color w:val="201F1E"/>
          <w:spacing w:val="-2"/>
          <w:sz w:val="20"/>
          <w:szCs w:val="20"/>
          <w:bdr w:val="none" w:sz="0" w:space="0" w:color="auto" w:frame="1"/>
          <w:lang w:val="es-CL"/>
        </w:rPr>
        <w:t xml:space="preserve">, Segunda Vicepresidenta; </w:t>
      </w:r>
      <w:proofErr w:type="spellStart"/>
      <w:r>
        <w:rPr>
          <w:rFonts w:ascii="Cambria" w:hAnsi="Cambria" w:cs="Calibri"/>
          <w:color w:val="201F1E"/>
          <w:spacing w:val="-2"/>
          <w:sz w:val="20"/>
          <w:szCs w:val="20"/>
          <w:bdr w:val="none" w:sz="0" w:space="0" w:color="auto" w:frame="1"/>
          <w:lang w:val="es-CL"/>
        </w:rPr>
        <w:t>Margarette</w:t>
      </w:r>
      <w:proofErr w:type="spellEnd"/>
      <w:r>
        <w:rPr>
          <w:rFonts w:ascii="Cambria" w:hAnsi="Cambria" w:cs="Calibri"/>
          <w:color w:val="201F1E"/>
          <w:spacing w:val="-2"/>
          <w:sz w:val="20"/>
          <w:szCs w:val="20"/>
          <w:bdr w:val="none" w:sz="0" w:space="0" w:color="auto" w:frame="1"/>
          <w:lang w:val="es-CL"/>
        </w:rPr>
        <w:t xml:space="preserve"> May </w:t>
      </w:r>
      <w:proofErr w:type="spellStart"/>
      <w:r>
        <w:rPr>
          <w:rFonts w:ascii="Cambria" w:hAnsi="Cambria" w:cs="Calibri"/>
          <w:color w:val="201F1E"/>
          <w:spacing w:val="-2"/>
          <w:sz w:val="20"/>
          <w:szCs w:val="20"/>
          <w:bdr w:val="none" w:sz="0" w:space="0" w:color="auto" w:frame="1"/>
          <w:lang w:val="es-CL"/>
        </w:rPr>
        <w:t>Macaulay</w:t>
      </w:r>
      <w:proofErr w:type="spellEnd"/>
      <w:r>
        <w:rPr>
          <w:rFonts w:ascii="Cambria" w:hAnsi="Cambria" w:cs="Calibri"/>
          <w:color w:val="201F1E"/>
          <w:spacing w:val="-2"/>
          <w:sz w:val="20"/>
          <w:szCs w:val="20"/>
          <w:bdr w:val="none" w:sz="0" w:space="0" w:color="auto" w:frame="1"/>
          <w:lang w:val="es-CL"/>
        </w:rPr>
        <w:t xml:space="preserve">, Esmeralda E. Arosemena de </w:t>
      </w:r>
      <w:proofErr w:type="spellStart"/>
      <w:r>
        <w:rPr>
          <w:rFonts w:ascii="Cambria" w:hAnsi="Cambria" w:cs="Calibri"/>
          <w:color w:val="201F1E"/>
          <w:spacing w:val="-2"/>
          <w:sz w:val="20"/>
          <w:szCs w:val="20"/>
          <w:bdr w:val="none" w:sz="0" w:space="0" w:color="auto" w:frame="1"/>
          <w:lang w:val="es-CL"/>
        </w:rPr>
        <w:t>Troitiño</w:t>
      </w:r>
      <w:proofErr w:type="spellEnd"/>
      <w:r>
        <w:rPr>
          <w:rFonts w:ascii="Cambria" w:hAnsi="Cambria" w:cs="Calibri"/>
          <w:color w:val="201F1E"/>
          <w:spacing w:val="-2"/>
          <w:sz w:val="20"/>
          <w:szCs w:val="20"/>
          <w:bdr w:val="none" w:sz="0" w:space="0" w:color="auto" w:frame="1"/>
          <w:lang w:val="es-CL"/>
        </w:rPr>
        <w:t xml:space="preserve">, Joel Hernández </w:t>
      </w:r>
      <w:proofErr w:type="spellStart"/>
      <w:r>
        <w:rPr>
          <w:rFonts w:ascii="Cambria" w:hAnsi="Cambria" w:cs="Calibri"/>
          <w:color w:val="201F1E"/>
          <w:spacing w:val="-2"/>
          <w:sz w:val="20"/>
          <w:szCs w:val="20"/>
          <w:bdr w:val="none" w:sz="0" w:space="0" w:color="auto" w:frame="1"/>
          <w:lang w:val="es-CL"/>
        </w:rPr>
        <w:t>Gracía</w:t>
      </w:r>
      <w:proofErr w:type="spellEnd"/>
      <w:r>
        <w:rPr>
          <w:rFonts w:ascii="Cambria" w:hAnsi="Cambria" w:cs="Calibri"/>
          <w:color w:val="201F1E"/>
          <w:spacing w:val="-2"/>
          <w:sz w:val="20"/>
          <w:szCs w:val="20"/>
          <w:bdr w:val="none" w:sz="0" w:space="0" w:color="auto" w:frame="1"/>
          <w:lang w:val="es-CL"/>
        </w:rPr>
        <w:t xml:space="preserve"> y Edgar Stuardo </w:t>
      </w:r>
      <w:proofErr w:type="spellStart"/>
      <w:r>
        <w:rPr>
          <w:rFonts w:ascii="Cambria" w:hAnsi="Cambria" w:cs="Calibri"/>
          <w:color w:val="201F1E"/>
          <w:spacing w:val="-2"/>
          <w:sz w:val="20"/>
          <w:szCs w:val="20"/>
          <w:bdr w:val="none" w:sz="0" w:space="0" w:color="auto" w:frame="1"/>
          <w:lang w:val="es-CL"/>
        </w:rPr>
        <w:t>Ralón</w:t>
      </w:r>
      <w:proofErr w:type="spellEnd"/>
      <w:r>
        <w:rPr>
          <w:rFonts w:ascii="Cambria" w:hAnsi="Cambria" w:cs="Calibri"/>
          <w:color w:val="201F1E"/>
          <w:spacing w:val="-2"/>
          <w:sz w:val="20"/>
          <w:szCs w:val="20"/>
          <w:bdr w:val="none" w:sz="0" w:space="0" w:color="auto" w:frame="1"/>
          <w:lang w:val="es-CL"/>
        </w:rPr>
        <w:t xml:space="preserve"> Orellana, Miembros de la Comisión.</w:t>
      </w:r>
    </w:p>
    <w:p w14:paraId="394C669A" w14:textId="77777777" w:rsidR="005F3BC6" w:rsidRDefault="005F3BC6" w:rsidP="005F3BC6">
      <w:pPr>
        <w:pStyle w:val="xparrafos"/>
        <w:spacing w:before="0" w:beforeAutospacing="0" w:after="0" w:afterAutospacing="0"/>
        <w:jc w:val="both"/>
        <w:rPr>
          <w:rFonts w:ascii="Cambria" w:hAnsi="Cambria"/>
          <w:color w:val="000000"/>
          <w:sz w:val="20"/>
          <w:szCs w:val="20"/>
        </w:rPr>
      </w:pPr>
    </w:p>
    <w:sectPr w:rsidR="005F3BC6" w:rsidSect="002011B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9784" w14:textId="77777777" w:rsidR="006E05F4" w:rsidRDefault="006E05F4">
      <w:r>
        <w:separator/>
      </w:r>
    </w:p>
  </w:endnote>
  <w:endnote w:type="continuationSeparator" w:id="0">
    <w:p w14:paraId="09C48AB7" w14:textId="77777777" w:rsidR="006E05F4" w:rsidRDefault="006E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8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AE3" w14:textId="77777777" w:rsidR="00F005B1" w:rsidRPr="00934A2C" w:rsidRDefault="00F005B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p w14:paraId="2FCAA6C0" w14:textId="77777777" w:rsidR="00F005B1" w:rsidRDefault="00F00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92B7" w14:textId="77777777" w:rsidR="00F005B1" w:rsidRPr="00934A2C" w:rsidRDefault="00F005B1">
    <w:pPr>
      <w:pStyle w:val="Footer"/>
      <w:jc w:val="center"/>
      <w:rPr>
        <w:sz w:val="16"/>
        <w:szCs w:val="22"/>
      </w:rPr>
    </w:pPr>
  </w:p>
  <w:p w14:paraId="764C3E8F" w14:textId="77777777" w:rsidR="00F005B1" w:rsidRDefault="00F0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F86A" w14:textId="77777777" w:rsidR="006E05F4" w:rsidRPr="007372D2" w:rsidRDefault="006E05F4">
      <w:pPr>
        <w:rPr>
          <w:rFonts w:ascii="Cambria" w:hAnsi="Cambria"/>
          <w:sz w:val="16"/>
          <w:szCs w:val="16"/>
        </w:rPr>
      </w:pPr>
      <w:r w:rsidRPr="007372D2">
        <w:rPr>
          <w:rFonts w:ascii="Cambria" w:hAnsi="Cambria"/>
          <w:sz w:val="16"/>
          <w:szCs w:val="16"/>
        </w:rPr>
        <w:separator/>
      </w:r>
    </w:p>
  </w:footnote>
  <w:footnote w:type="continuationSeparator" w:id="0">
    <w:p w14:paraId="30A8FA1E" w14:textId="77777777" w:rsidR="006E05F4" w:rsidRPr="007372D2" w:rsidRDefault="006E05F4" w:rsidP="000F35ED">
      <w:pPr>
        <w:rPr>
          <w:rFonts w:ascii="Cambria" w:hAnsi="Cambria"/>
          <w:sz w:val="16"/>
          <w:szCs w:val="16"/>
        </w:rPr>
      </w:pPr>
      <w:r w:rsidRPr="007372D2">
        <w:rPr>
          <w:rFonts w:ascii="Cambria" w:hAnsi="Cambria"/>
          <w:sz w:val="16"/>
          <w:szCs w:val="16"/>
        </w:rPr>
        <w:separator/>
      </w:r>
    </w:p>
    <w:p w14:paraId="5D9025CA" w14:textId="77777777" w:rsidR="006E05F4" w:rsidRPr="007372D2" w:rsidRDefault="006E05F4" w:rsidP="000F35ED">
      <w:pPr>
        <w:pStyle w:val="Footer"/>
        <w:rPr>
          <w:sz w:val="16"/>
          <w:szCs w:val="16"/>
        </w:rPr>
      </w:pPr>
      <w:r w:rsidRPr="007372D2">
        <w:rPr>
          <w:sz w:val="16"/>
          <w:szCs w:val="16"/>
        </w:rPr>
        <w:t xml:space="preserve">[… </w:t>
      </w:r>
      <w:proofErr w:type="spellStart"/>
      <w:r w:rsidRPr="007372D2">
        <w:rPr>
          <w:sz w:val="16"/>
          <w:szCs w:val="16"/>
        </w:rPr>
        <w:t>continuación</w:t>
      </w:r>
      <w:proofErr w:type="spellEnd"/>
      <w:r w:rsidRPr="007372D2">
        <w:rPr>
          <w:sz w:val="16"/>
          <w:szCs w:val="16"/>
        </w:rPr>
        <w:t>]</w:t>
      </w:r>
    </w:p>
  </w:footnote>
  <w:footnote w:type="continuationNotice" w:id="1">
    <w:p w14:paraId="616F577C" w14:textId="77777777" w:rsidR="006E05F4" w:rsidRPr="007372D2" w:rsidRDefault="006E05F4" w:rsidP="000F35ED">
      <w:pPr>
        <w:jc w:val="right"/>
        <w:rPr>
          <w:rFonts w:ascii="Cambria" w:hAnsi="Cambria"/>
          <w:sz w:val="16"/>
          <w:szCs w:val="16"/>
          <w:lang w:val="es-ES"/>
        </w:rPr>
      </w:pPr>
      <w:r w:rsidRPr="007372D2">
        <w:rPr>
          <w:rFonts w:ascii="Cambria" w:hAnsi="Cambria"/>
          <w:sz w:val="16"/>
          <w:szCs w:val="16"/>
          <w:lang w:val="es-ES"/>
        </w:rPr>
        <w:t>[continúa…]</w:t>
      </w:r>
    </w:p>
  </w:footnote>
  <w:footnote w:id="2">
    <w:p w14:paraId="618E7304" w14:textId="48BB3209"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w:t>
      </w:r>
      <w:r>
        <w:rPr>
          <w:rFonts w:ascii="Cambria" w:hAnsi="Cambria"/>
          <w:color w:val="auto"/>
          <w:sz w:val="16"/>
          <w:szCs w:val="16"/>
          <w:lang w:val="es-ES"/>
        </w:rPr>
        <w:t>Segunda</w:t>
      </w:r>
      <w:r w:rsidRPr="00A25B85">
        <w:rPr>
          <w:rFonts w:ascii="Cambria" w:hAnsi="Cambria"/>
          <w:color w:val="auto"/>
          <w:sz w:val="16"/>
          <w:szCs w:val="16"/>
          <w:lang w:val="es-ES"/>
        </w:rPr>
        <w:t xml:space="preserve"> Petición inicial del 15 de mayo de 2000. La CIDH transmitió esta segunda petición al Estado el 16 de mayo de 2000.</w:t>
      </w:r>
    </w:p>
  </w:footnote>
  <w:footnote w:id="3">
    <w:p w14:paraId="21608D45" w14:textId="77777777" w:rsidR="00F005B1" w:rsidRPr="00A25B85" w:rsidRDefault="00F005B1" w:rsidP="0019007D">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6/02. Caso 12.071. Admisibilidad. </w:t>
      </w:r>
      <w:r w:rsidRPr="00A25B85">
        <w:rPr>
          <w:rFonts w:ascii="Cambria" w:hAnsi="Cambria"/>
          <w:i/>
          <w:color w:val="auto"/>
          <w:sz w:val="16"/>
          <w:szCs w:val="16"/>
          <w:lang w:val="es-ES"/>
        </w:rPr>
        <w:t>120 ciudadanos cubanos y 8 ciudadanos haitianos detenidos en las Bahamas</w:t>
      </w:r>
      <w:r w:rsidRPr="00A25B85">
        <w:rPr>
          <w:rFonts w:ascii="Cambria" w:hAnsi="Cambria"/>
          <w:color w:val="auto"/>
          <w:sz w:val="16"/>
          <w:szCs w:val="16"/>
          <w:lang w:val="es-ES"/>
        </w:rPr>
        <w:t xml:space="preserve">. 27 de febrero de 2002. Presuntas violaciones admisibles: artículos I, II, V, VI, VII, XVII, XVIII, XXV y XXVII de la Declaración Americana. </w:t>
      </w:r>
    </w:p>
  </w:footnote>
  <w:footnote w:id="4">
    <w:p w14:paraId="7F647A0F"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De conformidad con el artículo 37, párrafo 3, del Reglamento que estaba en vigor en ese momento. Anexo XX. CIDH. Carta de la Comisión al Estado del 12 de julio de 2005. </w:t>
      </w:r>
    </w:p>
  </w:footnote>
  <w:footnote w:id="5">
    <w:p w14:paraId="42D2018D" w14:textId="0175494A" w:rsidR="00F005B1" w:rsidRPr="0019007D" w:rsidRDefault="00F005B1">
      <w:pPr>
        <w:pStyle w:val="FootnoteText"/>
        <w:rPr>
          <w:rFonts w:ascii="Cambria" w:hAnsi="Cambria"/>
          <w:lang w:val="es-ES_tradnl"/>
        </w:rPr>
      </w:pPr>
      <w:r w:rsidRPr="0019007D">
        <w:rPr>
          <w:rStyle w:val="FootnoteReference"/>
          <w:rFonts w:ascii="Cambria" w:hAnsi="Cambria"/>
          <w:sz w:val="16"/>
        </w:rPr>
        <w:footnoteRef/>
      </w:r>
      <w:r w:rsidRPr="000265CB">
        <w:rPr>
          <w:rFonts w:ascii="Cambria" w:hAnsi="Cambria"/>
          <w:sz w:val="16"/>
          <w:lang w:val="es-ES"/>
        </w:rPr>
        <w:t xml:space="preserve"> </w:t>
      </w:r>
      <w:r w:rsidRPr="0019007D">
        <w:rPr>
          <w:rFonts w:ascii="Cambria" w:hAnsi="Cambria"/>
          <w:sz w:val="16"/>
          <w:lang w:val="es-ES_tradnl"/>
        </w:rPr>
        <w:t>Comunicación de la CIDH al Estado de 12 de julio de 2005.</w:t>
      </w:r>
    </w:p>
  </w:footnote>
  <w:footnote w:id="6">
    <w:p w14:paraId="4CAB9CF7" w14:textId="31D279DE"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El 13 de agosto de 1998 se recibió una solicitud de medidas cautelares, que se otorgaron el 14 de agosto de 1998. De conformidad con estas medidas, se solicitaba al Estado que suspendiera la deportación de ciudadanos cubanos de las Bahamas a Cuba hasta que la Comisión hubiera tenido la oportunidad de investigar los reclamos presentados por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Las medidas cautelares se levantaron el 30 de julio de 2013 debido a que, con la deportación de estas personas, desapareció el riesgo pertinente de un riesgo irreparable indicado en la solicitud de </w:t>
      </w:r>
      <w:r>
        <w:rPr>
          <w:rFonts w:ascii="Cambria" w:hAnsi="Cambria"/>
          <w:color w:val="auto"/>
          <w:sz w:val="16"/>
          <w:szCs w:val="16"/>
          <w:lang w:val="es-ES"/>
        </w:rPr>
        <w:t>la parte peticionaria</w:t>
      </w:r>
      <w:r w:rsidRPr="00A25B85">
        <w:rPr>
          <w:rFonts w:ascii="Cambria" w:hAnsi="Cambria"/>
          <w:color w:val="auto"/>
          <w:sz w:val="16"/>
          <w:szCs w:val="16"/>
          <w:lang w:val="es-ES"/>
        </w:rPr>
        <w:t>.</w:t>
      </w:r>
    </w:p>
  </w:footnote>
  <w:footnote w:id="7">
    <w:p w14:paraId="6EB191F5"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ACNUR. </w:t>
      </w:r>
      <w:r w:rsidRPr="000265CB">
        <w:rPr>
          <w:rFonts w:ascii="Cambria" w:hAnsi="Cambria"/>
          <w:i/>
          <w:color w:val="auto"/>
          <w:sz w:val="16"/>
          <w:szCs w:val="16"/>
        </w:rPr>
        <w:t>Submission by the United Nations High Commissioner for Refugees or the Office of the High Commissioner for Human Rights' Compilation Report - Universal Periodic Review: Commonwealth of the Bahamas</w:t>
      </w:r>
      <w:r w:rsidRPr="000265CB">
        <w:rPr>
          <w:rFonts w:ascii="Cambria" w:hAnsi="Cambria"/>
          <w:color w:val="auto"/>
          <w:sz w:val="16"/>
          <w:szCs w:val="16"/>
        </w:rPr>
        <w:t>. Junio de 2012, p. 1.</w:t>
      </w:r>
    </w:p>
  </w:footnote>
  <w:footnote w:id="8">
    <w:p w14:paraId="2D39693A"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ACNUR. </w:t>
      </w:r>
      <w:r w:rsidRPr="000265CB">
        <w:rPr>
          <w:rFonts w:ascii="Cambria" w:hAnsi="Cambria"/>
          <w:i/>
          <w:color w:val="auto"/>
          <w:sz w:val="16"/>
          <w:szCs w:val="16"/>
        </w:rPr>
        <w:t>Submission by the United Nations High Commissioner for Refugees or the Office of the High Commissioner for Human Rights' Compilation Report - Universal Periodic Review: Commonwealth of the Bahamas.</w:t>
      </w:r>
      <w:r w:rsidRPr="000265CB">
        <w:rPr>
          <w:rFonts w:ascii="Cambria" w:hAnsi="Cambria"/>
          <w:color w:val="auto"/>
          <w:sz w:val="16"/>
          <w:szCs w:val="16"/>
        </w:rPr>
        <w:t xml:space="preserve"> Junio de 2012, p. 1.</w:t>
      </w:r>
    </w:p>
  </w:footnote>
  <w:footnote w:id="9">
    <w:p w14:paraId="0E86AE6A"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proofErr w:type="spellStart"/>
      <w:r w:rsidRPr="000265CB">
        <w:rPr>
          <w:rFonts w:ascii="Cambria" w:hAnsi="Cambria"/>
          <w:color w:val="auto"/>
          <w:sz w:val="16"/>
          <w:szCs w:val="16"/>
        </w:rPr>
        <w:t>Departamento</w:t>
      </w:r>
      <w:proofErr w:type="spellEnd"/>
      <w:r w:rsidRPr="000265CB">
        <w:rPr>
          <w:rFonts w:ascii="Cambria" w:hAnsi="Cambria"/>
          <w:color w:val="auto"/>
          <w:sz w:val="16"/>
          <w:szCs w:val="16"/>
        </w:rPr>
        <w:t xml:space="preserve"> de Estado de </w:t>
      </w:r>
      <w:proofErr w:type="spellStart"/>
      <w:r w:rsidRPr="000265CB">
        <w:rPr>
          <w:rFonts w:ascii="Cambria" w:hAnsi="Cambria"/>
          <w:color w:val="auto"/>
          <w:sz w:val="16"/>
          <w:szCs w:val="16"/>
        </w:rPr>
        <w:t>Estados</w:t>
      </w:r>
      <w:proofErr w:type="spellEnd"/>
      <w:r w:rsidRPr="000265CB">
        <w:rPr>
          <w:rFonts w:ascii="Cambria" w:hAnsi="Cambria"/>
          <w:color w:val="auto"/>
          <w:sz w:val="16"/>
          <w:szCs w:val="16"/>
        </w:rPr>
        <w:t xml:space="preserve"> Unidos. </w:t>
      </w:r>
      <w:r w:rsidRPr="000265CB">
        <w:rPr>
          <w:rFonts w:ascii="Cambria" w:hAnsi="Cambria"/>
          <w:i/>
          <w:color w:val="auto"/>
          <w:sz w:val="16"/>
          <w:szCs w:val="16"/>
        </w:rPr>
        <w:t>U.S. Department of State Country Report on Human Rights Practices 1999 - Bahamas</w:t>
      </w:r>
      <w:r w:rsidRPr="000265CB">
        <w:rPr>
          <w:rFonts w:ascii="Cambria" w:hAnsi="Cambria"/>
          <w:color w:val="auto"/>
          <w:sz w:val="16"/>
          <w:szCs w:val="16"/>
        </w:rPr>
        <w:t xml:space="preserve">. 25 de </w:t>
      </w:r>
      <w:proofErr w:type="spellStart"/>
      <w:r w:rsidRPr="000265CB">
        <w:rPr>
          <w:rFonts w:ascii="Cambria" w:hAnsi="Cambria"/>
          <w:color w:val="auto"/>
          <w:sz w:val="16"/>
          <w:szCs w:val="16"/>
        </w:rPr>
        <w:t>febrero</w:t>
      </w:r>
      <w:proofErr w:type="spellEnd"/>
      <w:r w:rsidRPr="000265CB">
        <w:rPr>
          <w:rFonts w:ascii="Cambria" w:hAnsi="Cambria"/>
          <w:color w:val="auto"/>
          <w:sz w:val="16"/>
          <w:szCs w:val="16"/>
        </w:rPr>
        <w:t xml:space="preserve"> de 2000, </w:t>
      </w:r>
      <w:proofErr w:type="spellStart"/>
      <w:r w:rsidRPr="000265CB">
        <w:rPr>
          <w:rFonts w:ascii="Cambria" w:hAnsi="Cambria"/>
          <w:color w:val="auto"/>
          <w:sz w:val="16"/>
          <w:szCs w:val="16"/>
        </w:rPr>
        <w:t>apartado</w:t>
      </w:r>
      <w:proofErr w:type="spellEnd"/>
      <w:r w:rsidRPr="000265CB">
        <w:rPr>
          <w:rFonts w:ascii="Cambria" w:hAnsi="Cambria"/>
          <w:color w:val="auto"/>
          <w:sz w:val="16"/>
          <w:szCs w:val="16"/>
        </w:rPr>
        <w:t xml:space="preserve"> 2.d.</w:t>
      </w:r>
    </w:p>
  </w:footnote>
  <w:footnote w:id="10">
    <w:p w14:paraId="5FDDD1E7"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ACNUR. </w:t>
      </w:r>
      <w:r w:rsidRPr="000265CB">
        <w:rPr>
          <w:rFonts w:ascii="Cambria" w:hAnsi="Cambria"/>
          <w:i/>
          <w:color w:val="auto"/>
          <w:sz w:val="16"/>
          <w:szCs w:val="16"/>
        </w:rPr>
        <w:t>Submission on the Bahamas: 29th UPR session</w:t>
      </w:r>
      <w:r w:rsidRPr="000265CB">
        <w:rPr>
          <w:rFonts w:ascii="Cambria" w:hAnsi="Cambria"/>
          <w:color w:val="auto"/>
          <w:sz w:val="16"/>
          <w:szCs w:val="16"/>
        </w:rPr>
        <w:t xml:space="preserve">. </w:t>
      </w:r>
      <w:proofErr w:type="spellStart"/>
      <w:r w:rsidRPr="000265CB">
        <w:rPr>
          <w:rFonts w:ascii="Cambria" w:hAnsi="Cambria"/>
          <w:color w:val="auto"/>
          <w:sz w:val="16"/>
          <w:szCs w:val="16"/>
        </w:rPr>
        <w:t>Enero</w:t>
      </w:r>
      <w:proofErr w:type="spellEnd"/>
      <w:r w:rsidRPr="000265CB">
        <w:rPr>
          <w:rFonts w:ascii="Cambria" w:hAnsi="Cambria"/>
          <w:color w:val="auto"/>
          <w:sz w:val="16"/>
          <w:szCs w:val="16"/>
        </w:rPr>
        <w:t xml:space="preserve"> de 2018, p. 2.</w:t>
      </w:r>
    </w:p>
  </w:footnote>
  <w:footnote w:id="11">
    <w:p w14:paraId="5BCA6A00"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ACNUR. </w:t>
      </w:r>
      <w:r w:rsidRPr="000265CB">
        <w:rPr>
          <w:rFonts w:ascii="Cambria" w:hAnsi="Cambria"/>
          <w:i/>
          <w:color w:val="auto"/>
          <w:sz w:val="16"/>
          <w:szCs w:val="16"/>
        </w:rPr>
        <w:t>Submission on the Bahamas: 29th UPR session</w:t>
      </w:r>
      <w:r w:rsidRPr="000265CB">
        <w:rPr>
          <w:rFonts w:ascii="Cambria" w:hAnsi="Cambria"/>
          <w:color w:val="auto"/>
          <w:sz w:val="16"/>
          <w:szCs w:val="16"/>
        </w:rPr>
        <w:t xml:space="preserve">. </w:t>
      </w:r>
      <w:proofErr w:type="spellStart"/>
      <w:r w:rsidRPr="000265CB">
        <w:rPr>
          <w:rFonts w:ascii="Cambria" w:hAnsi="Cambria"/>
          <w:color w:val="auto"/>
          <w:sz w:val="16"/>
          <w:szCs w:val="16"/>
        </w:rPr>
        <w:t>Enero</w:t>
      </w:r>
      <w:proofErr w:type="spellEnd"/>
      <w:r w:rsidRPr="000265CB">
        <w:rPr>
          <w:rFonts w:ascii="Cambria" w:hAnsi="Cambria"/>
          <w:color w:val="auto"/>
          <w:sz w:val="16"/>
          <w:szCs w:val="16"/>
        </w:rPr>
        <w:t xml:space="preserve"> de 2018, p. 1.</w:t>
      </w:r>
    </w:p>
  </w:footnote>
  <w:footnote w:id="12">
    <w:p w14:paraId="7F516F18"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ACNUR. </w:t>
      </w:r>
      <w:r w:rsidRPr="000265CB">
        <w:rPr>
          <w:rFonts w:ascii="Cambria" w:hAnsi="Cambria"/>
          <w:i/>
          <w:color w:val="auto"/>
          <w:sz w:val="16"/>
          <w:szCs w:val="16"/>
        </w:rPr>
        <w:t>Submission on the Bahamas: 29th UPR session</w:t>
      </w:r>
      <w:r w:rsidRPr="000265CB">
        <w:rPr>
          <w:rFonts w:ascii="Cambria" w:hAnsi="Cambria"/>
          <w:color w:val="auto"/>
          <w:sz w:val="16"/>
          <w:szCs w:val="16"/>
        </w:rPr>
        <w:t xml:space="preserve">. </w:t>
      </w:r>
      <w:r w:rsidRPr="00A25B85">
        <w:rPr>
          <w:rFonts w:ascii="Cambria" w:hAnsi="Cambria"/>
          <w:color w:val="auto"/>
          <w:sz w:val="16"/>
          <w:szCs w:val="16"/>
          <w:lang w:val="es-ES"/>
        </w:rPr>
        <w:t>Enero de 2018, p. 2.</w:t>
      </w:r>
    </w:p>
  </w:footnote>
  <w:footnote w:id="13">
    <w:p w14:paraId="721FD78A"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CERD. </w:t>
      </w:r>
      <w:r w:rsidRPr="00A25B85">
        <w:rPr>
          <w:rFonts w:ascii="Cambria" w:hAnsi="Cambria"/>
          <w:i/>
          <w:color w:val="auto"/>
          <w:sz w:val="16"/>
          <w:szCs w:val="16"/>
          <w:lang w:val="es-ES"/>
        </w:rPr>
        <w:t>Observaciones finales del Comité para la Eliminación de la Discriminación Racial: Bahamas</w:t>
      </w:r>
      <w:r w:rsidRPr="00A25B85">
        <w:rPr>
          <w:rFonts w:ascii="Cambria" w:hAnsi="Cambria"/>
          <w:color w:val="auto"/>
          <w:sz w:val="16"/>
          <w:szCs w:val="16"/>
          <w:lang w:val="es-ES"/>
        </w:rPr>
        <w:t xml:space="preserve">. </w:t>
      </w:r>
      <w:r w:rsidRPr="000265CB">
        <w:rPr>
          <w:rFonts w:ascii="Cambria" w:hAnsi="Cambria"/>
          <w:color w:val="auto"/>
          <w:sz w:val="16"/>
          <w:szCs w:val="16"/>
        </w:rPr>
        <w:t xml:space="preserve">28 de </w:t>
      </w:r>
      <w:proofErr w:type="spellStart"/>
      <w:r w:rsidRPr="000265CB">
        <w:rPr>
          <w:rFonts w:ascii="Cambria" w:hAnsi="Cambria"/>
          <w:color w:val="auto"/>
          <w:sz w:val="16"/>
          <w:szCs w:val="16"/>
        </w:rPr>
        <w:t>abril</w:t>
      </w:r>
      <w:proofErr w:type="spellEnd"/>
      <w:r w:rsidRPr="000265CB">
        <w:rPr>
          <w:rFonts w:ascii="Cambria" w:hAnsi="Cambria"/>
          <w:color w:val="auto"/>
          <w:sz w:val="16"/>
          <w:szCs w:val="16"/>
        </w:rPr>
        <w:t xml:space="preserve"> de 2004, CERD/C/64/CO/1, </w:t>
      </w:r>
      <w:proofErr w:type="spellStart"/>
      <w:r w:rsidRPr="000265CB">
        <w:rPr>
          <w:rFonts w:ascii="Cambria" w:hAnsi="Cambria"/>
          <w:color w:val="auto"/>
          <w:sz w:val="16"/>
          <w:szCs w:val="16"/>
        </w:rPr>
        <w:t>párr</w:t>
      </w:r>
      <w:proofErr w:type="spellEnd"/>
      <w:r w:rsidRPr="000265CB">
        <w:rPr>
          <w:rFonts w:ascii="Cambria" w:hAnsi="Cambria"/>
          <w:color w:val="auto"/>
          <w:sz w:val="16"/>
          <w:szCs w:val="16"/>
        </w:rPr>
        <w:t>. 19.</w:t>
      </w:r>
    </w:p>
  </w:footnote>
  <w:footnote w:id="14">
    <w:p w14:paraId="4A9CB1A8"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ACNUR. </w:t>
      </w:r>
      <w:r w:rsidRPr="000265CB">
        <w:rPr>
          <w:rFonts w:ascii="Cambria" w:hAnsi="Cambria"/>
          <w:i/>
          <w:color w:val="auto"/>
          <w:sz w:val="16"/>
          <w:szCs w:val="16"/>
        </w:rPr>
        <w:t>Submission by the United Nations High Commissioner for Refugees or the Office of the High Commissioner for Human Rights' Compilation Report - Universal Periodic Review: Commonwealth of the Bahamas</w:t>
      </w:r>
      <w:r w:rsidRPr="000265CB">
        <w:rPr>
          <w:rFonts w:ascii="Cambria" w:hAnsi="Cambria"/>
          <w:color w:val="auto"/>
          <w:sz w:val="16"/>
          <w:szCs w:val="16"/>
        </w:rPr>
        <w:t>. Junio de 2012, p. 3.</w:t>
      </w:r>
    </w:p>
  </w:footnote>
  <w:footnote w:id="15">
    <w:p w14:paraId="785862DA"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r w:rsidRPr="000265CB">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on the Bahamas: 29th UPR session</w:t>
      </w:r>
      <w:r w:rsidRPr="000265CB">
        <w:rPr>
          <w:rFonts w:ascii="Cambria" w:hAnsi="Cambria"/>
          <w:sz w:val="16"/>
          <w:szCs w:val="16"/>
          <w:bdr w:val="none" w:sz="0" w:space="0" w:color="auto" w:frame="1"/>
        </w:rPr>
        <w:t xml:space="preserve">. </w:t>
      </w:r>
      <w:proofErr w:type="spellStart"/>
      <w:r w:rsidRPr="000265CB">
        <w:rPr>
          <w:rFonts w:ascii="Cambria" w:hAnsi="Cambria"/>
          <w:sz w:val="16"/>
          <w:szCs w:val="16"/>
          <w:bdr w:val="none" w:sz="0" w:space="0" w:color="auto" w:frame="1"/>
        </w:rPr>
        <w:t>Enero</w:t>
      </w:r>
      <w:proofErr w:type="spellEnd"/>
      <w:r w:rsidRPr="000265CB">
        <w:rPr>
          <w:rFonts w:ascii="Cambria" w:hAnsi="Cambria"/>
          <w:color w:val="auto"/>
          <w:sz w:val="16"/>
          <w:szCs w:val="16"/>
        </w:rPr>
        <w:t xml:space="preserve"> de 2018, p. 2.</w:t>
      </w:r>
    </w:p>
  </w:footnote>
  <w:footnote w:id="16">
    <w:p w14:paraId="71D549D1" w14:textId="041D4813"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Anexo 1. </w:t>
      </w:r>
      <w:r w:rsidRPr="000265CB">
        <w:rPr>
          <w:rFonts w:ascii="Cambria" w:hAnsi="Cambria"/>
          <w:i/>
          <w:color w:val="auto"/>
          <w:sz w:val="16"/>
          <w:szCs w:val="16"/>
        </w:rPr>
        <w:t>Memorandum of Understanding Between the Government of the Commonwealth of the Bahamas and the Government of the Republic of Cuba of January 12, 1996 and Protocol to the Memorandum of Understanding of January 12, 1996 Between the Government of the Republic of Cuba and the Government of the Commonwealth of the Bahamas</w:t>
      </w:r>
      <w:r w:rsidRPr="000265CB">
        <w:rPr>
          <w:rFonts w:ascii="Cambria" w:hAnsi="Cambria"/>
          <w:color w:val="auto"/>
          <w:sz w:val="16"/>
          <w:szCs w:val="16"/>
        </w:rPr>
        <w:t xml:space="preserve">. </w:t>
      </w:r>
      <w:r w:rsidRPr="00A25B85">
        <w:rPr>
          <w:rFonts w:ascii="Cambria" w:hAnsi="Cambria"/>
          <w:color w:val="auto"/>
          <w:sz w:val="16"/>
          <w:szCs w:val="16"/>
          <w:lang w:val="es-ES"/>
        </w:rPr>
        <w:t xml:space="preserve">Adjunto a la respuesta del Estado del 23 de octubre de 1998. </w:t>
      </w:r>
    </w:p>
  </w:footnote>
  <w:footnote w:id="17">
    <w:p w14:paraId="1E7DC440"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9A4875">
        <w:rPr>
          <w:rFonts w:ascii="Cambria" w:hAnsi="Cambria"/>
          <w:color w:val="auto"/>
          <w:sz w:val="16"/>
          <w:szCs w:val="16"/>
          <w:lang w:val="es-US"/>
        </w:rPr>
        <w:t xml:space="preserve"> Departamento de Estado de Estados Unidos. </w:t>
      </w:r>
      <w:r w:rsidRPr="000265CB">
        <w:rPr>
          <w:rFonts w:ascii="Cambria" w:hAnsi="Cambria"/>
          <w:i/>
          <w:color w:val="auto"/>
          <w:sz w:val="16"/>
          <w:szCs w:val="16"/>
        </w:rPr>
        <w:t>U.S. Department of State Country Report on Human Rights Practices 1999 - Bahamas</w:t>
      </w:r>
      <w:r w:rsidRPr="000265CB">
        <w:rPr>
          <w:rFonts w:ascii="Cambria" w:hAnsi="Cambria"/>
          <w:color w:val="auto"/>
          <w:sz w:val="16"/>
          <w:szCs w:val="16"/>
        </w:rPr>
        <w:t xml:space="preserve">. 25 de </w:t>
      </w:r>
      <w:proofErr w:type="spellStart"/>
      <w:r w:rsidRPr="000265CB">
        <w:rPr>
          <w:rFonts w:ascii="Cambria" w:hAnsi="Cambria"/>
          <w:color w:val="auto"/>
          <w:sz w:val="16"/>
          <w:szCs w:val="16"/>
        </w:rPr>
        <w:t>febrero</w:t>
      </w:r>
      <w:proofErr w:type="spellEnd"/>
      <w:r w:rsidRPr="000265CB">
        <w:rPr>
          <w:rFonts w:ascii="Cambria" w:hAnsi="Cambria"/>
          <w:color w:val="auto"/>
          <w:sz w:val="16"/>
          <w:szCs w:val="16"/>
        </w:rPr>
        <w:t xml:space="preserve"> de 2000, </w:t>
      </w:r>
      <w:proofErr w:type="spellStart"/>
      <w:r w:rsidRPr="000265CB">
        <w:rPr>
          <w:rFonts w:ascii="Cambria" w:hAnsi="Cambria"/>
          <w:color w:val="auto"/>
          <w:sz w:val="16"/>
          <w:szCs w:val="16"/>
        </w:rPr>
        <w:t>apartado</w:t>
      </w:r>
      <w:proofErr w:type="spellEnd"/>
      <w:r w:rsidRPr="000265CB">
        <w:rPr>
          <w:rFonts w:ascii="Cambria" w:hAnsi="Cambria"/>
          <w:color w:val="auto"/>
          <w:sz w:val="16"/>
          <w:szCs w:val="16"/>
        </w:rPr>
        <w:t xml:space="preserve"> 2.d.</w:t>
      </w:r>
    </w:p>
  </w:footnote>
  <w:footnote w:id="18">
    <w:p w14:paraId="59DE7F53"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r w:rsidRPr="000265CB">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by the United Nations High Commissioner for Refugees or the Office of the High Commissioner for Human Rights' Compilation Report - Universal Periodic Review: Commonwealth of the Bahamas</w:t>
      </w:r>
      <w:r w:rsidRPr="000265CB">
        <w:rPr>
          <w:rFonts w:ascii="Cambria" w:hAnsi="Cambria"/>
          <w:sz w:val="16"/>
          <w:szCs w:val="16"/>
          <w:bdr w:val="none" w:sz="0" w:space="0" w:color="auto" w:frame="1"/>
        </w:rPr>
        <w:t>.</w:t>
      </w:r>
      <w:r w:rsidRPr="000265CB">
        <w:rPr>
          <w:rFonts w:ascii="Cambria" w:hAnsi="Cambria"/>
          <w:color w:val="auto"/>
          <w:sz w:val="16"/>
          <w:szCs w:val="16"/>
        </w:rPr>
        <w:t xml:space="preserve"> Junio de 2012, p. 2.</w:t>
      </w:r>
    </w:p>
  </w:footnote>
  <w:footnote w:id="19">
    <w:p w14:paraId="47C77635" w14:textId="77777777" w:rsidR="00F005B1" w:rsidRPr="009A4875" w:rsidRDefault="00F005B1" w:rsidP="00067F9E">
      <w:pPr>
        <w:pStyle w:val="FootnoteText"/>
        <w:jc w:val="both"/>
        <w:rPr>
          <w:rFonts w:ascii="Cambria" w:hAnsi="Cambria"/>
          <w:color w:val="auto"/>
          <w:sz w:val="16"/>
          <w:szCs w:val="16"/>
          <w:lang w:val="es-U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r w:rsidRPr="000265CB">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on the Bahamas: 29th UPR session</w:t>
      </w:r>
      <w:r w:rsidRPr="000265CB">
        <w:rPr>
          <w:rFonts w:ascii="Cambria" w:hAnsi="Cambria"/>
          <w:sz w:val="16"/>
          <w:szCs w:val="16"/>
          <w:bdr w:val="none" w:sz="0" w:space="0" w:color="auto" w:frame="1"/>
        </w:rPr>
        <w:t xml:space="preserve">. </w:t>
      </w:r>
      <w:r w:rsidRPr="009A4875">
        <w:rPr>
          <w:rFonts w:ascii="Cambria" w:hAnsi="Cambria"/>
          <w:sz w:val="16"/>
          <w:szCs w:val="16"/>
          <w:bdr w:val="none" w:sz="0" w:space="0" w:color="auto" w:frame="1"/>
          <w:lang w:val="es-US"/>
        </w:rPr>
        <w:t>E</w:t>
      </w:r>
      <w:r w:rsidRPr="009A4875">
        <w:rPr>
          <w:rFonts w:ascii="Cambria" w:hAnsi="Cambria"/>
          <w:color w:val="auto"/>
          <w:sz w:val="16"/>
          <w:szCs w:val="16"/>
          <w:lang w:val="es-US"/>
        </w:rPr>
        <w:t>nero de 2018, p. 3.</w:t>
      </w:r>
    </w:p>
  </w:footnote>
  <w:footnote w:id="20">
    <w:p w14:paraId="4A0EAE0A" w14:textId="77777777" w:rsidR="00F005B1" w:rsidRPr="009A4875" w:rsidRDefault="00F005B1" w:rsidP="00067F9E">
      <w:pPr>
        <w:pStyle w:val="FootnoteText"/>
        <w:jc w:val="both"/>
        <w:rPr>
          <w:rFonts w:ascii="Cambria" w:hAnsi="Cambria"/>
          <w:color w:val="auto"/>
          <w:sz w:val="16"/>
          <w:szCs w:val="16"/>
          <w:lang w:val="es-US"/>
        </w:rPr>
      </w:pPr>
      <w:r w:rsidRPr="00A25B85">
        <w:rPr>
          <w:rStyle w:val="FootnoteReference"/>
          <w:rFonts w:ascii="Cambria" w:hAnsi="Cambria"/>
          <w:color w:val="auto"/>
          <w:sz w:val="16"/>
          <w:szCs w:val="16"/>
          <w:lang w:val="es-ES"/>
        </w:rPr>
        <w:footnoteRef/>
      </w:r>
      <w:r w:rsidRPr="009A4875">
        <w:rPr>
          <w:rFonts w:ascii="Cambria" w:hAnsi="Cambria"/>
          <w:color w:val="auto"/>
          <w:sz w:val="16"/>
          <w:szCs w:val="16"/>
          <w:lang w:val="es-US"/>
        </w:rPr>
        <w:t xml:space="preserve"> Comité Estadounidense para Refugiados e Inmigrantes. </w:t>
      </w:r>
      <w:r w:rsidRPr="000265CB">
        <w:rPr>
          <w:rFonts w:ascii="Cambria" w:hAnsi="Cambria"/>
          <w:i/>
          <w:color w:val="auto"/>
          <w:sz w:val="16"/>
          <w:szCs w:val="16"/>
        </w:rPr>
        <w:t>U.S. Committee for Refugees World Refugee Survey 1998 - Bahamas</w:t>
      </w:r>
      <w:r w:rsidRPr="000265CB">
        <w:rPr>
          <w:rFonts w:ascii="Cambria" w:hAnsi="Cambria"/>
          <w:color w:val="auto"/>
          <w:sz w:val="16"/>
          <w:szCs w:val="16"/>
        </w:rPr>
        <w:t xml:space="preserve">. </w:t>
      </w:r>
      <w:r w:rsidRPr="009A4875">
        <w:rPr>
          <w:rFonts w:ascii="Cambria" w:hAnsi="Cambria"/>
          <w:color w:val="auto"/>
          <w:sz w:val="16"/>
          <w:szCs w:val="16"/>
          <w:lang w:val="es-US"/>
        </w:rPr>
        <w:t>1 de enero de 1998.</w:t>
      </w:r>
    </w:p>
  </w:footnote>
  <w:footnote w:id="21">
    <w:p w14:paraId="303786DB"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CERD. </w:t>
      </w:r>
      <w:r w:rsidRPr="00A25B85">
        <w:rPr>
          <w:rFonts w:ascii="Cambria" w:hAnsi="Cambria"/>
          <w:i/>
          <w:color w:val="auto"/>
          <w:sz w:val="16"/>
          <w:szCs w:val="16"/>
          <w:lang w:val="es-ES"/>
        </w:rPr>
        <w:t>Informes presentados por los Estados Partes de conformidad con el artículo 9 de la Convención: Bahamas</w:t>
      </w:r>
      <w:r w:rsidRPr="00A25B85">
        <w:rPr>
          <w:rFonts w:ascii="Cambria" w:hAnsi="Cambria"/>
          <w:color w:val="auto"/>
          <w:sz w:val="16"/>
          <w:szCs w:val="16"/>
          <w:lang w:val="es-ES"/>
        </w:rPr>
        <w:t>. 16 de septiembre de 2003, CERD/C/428/Add.1, párr. 172.</w:t>
      </w:r>
    </w:p>
  </w:footnote>
  <w:footnote w:id="22">
    <w:p w14:paraId="5D3D5580"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ACNUR. </w:t>
      </w:r>
      <w:r w:rsidRPr="00A25B85">
        <w:rPr>
          <w:rFonts w:ascii="Cambria" w:hAnsi="Cambria"/>
          <w:i/>
          <w:color w:val="auto"/>
          <w:sz w:val="16"/>
          <w:szCs w:val="16"/>
          <w:lang w:val="es-ES"/>
        </w:rPr>
        <w:t xml:space="preserve">Country </w:t>
      </w:r>
      <w:proofErr w:type="spellStart"/>
      <w:r w:rsidRPr="00A25B85">
        <w:rPr>
          <w:rFonts w:ascii="Cambria" w:hAnsi="Cambria"/>
          <w:i/>
          <w:color w:val="auto"/>
          <w:sz w:val="16"/>
          <w:szCs w:val="16"/>
          <w:lang w:val="es-ES"/>
        </w:rPr>
        <w:t>Profiles</w:t>
      </w:r>
      <w:proofErr w:type="spellEnd"/>
      <w:r w:rsidRPr="00A25B85">
        <w:rPr>
          <w:rFonts w:ascii="Cambria" w:hAnsi="Cambria"/>
          <w:i/>
          <w:color w:val="auto"/>
          <w:sz w:val="16"/>
          <w:szCs w:val="16"/>
          <w:lang w:val="es-ES"/>
        </w:rPr>
        <w:t xml:space="preserve"> – </w:t>
      </w:r>
      <w:proofErr w:type="spellStart"/>
      <w:r w:rsidRPr="00A25B85">
        <w:rPr>
          <w:rFonts w:ascii="Cambria" w:hAnsi="Cambria"/>
          <w:i/>
          <w:color w:val="auto"/>
          <w:sz w:val="16"/>
          <w:szCs w:val="16"/>
          <w:lang w:val="es-ES"/>
        </w:rPr>
        <w:t>The</w:t>
      </w:r>
      <w:proofErr w:type="spellEnd"/>
      <w:r w:rsidRPr="00A25B85">
        <w:rPr>
          <w:rFonts w:ascii="Cambria" w:hAnsi="Cambria"/>
          <w:i/>
          <w:color w:val="auto"/>
          <w:sz w:val="16"/>
          <w:szCs w:val="16"/>
          <w:lang w:val="es-ES"/>
        </w:rPr>
        <w:t xml:space="preserve"> Bahamas</w:t>
      </w:r>
      <w:r w:rsidRPr="00A25B85">
        <w:rPr>
          <w:rFonts w:ascii="Cambria" w:hAnsi="Cambria"/>
          <w:color w:val="auto"/>
          <w:sz w:val="16"/>
          <w:szCs w:val="16"/>
          <w:lang w:val="es-ES"/>
        </w:rPr>
        <w:t>. Septiembre de 1999. Adjunto a la petición revisada 12.282 del 15 de mayo de 2000.</w:t>
      </w:r>
    </w:p>
  </w:footnote>
  <w:footnote w:id="23">
    <w:p w14:paraId="1505F674"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r w:rsidRPr="000265CB">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by the United Nations High Commissioner for Refugees or the Office of the High Commissioner for Human Rights' Compilation Report - Universal Periodic Review: Commonwealth of the Bahamas</w:t>
      </w:r>
      <w:r w:rsidRPr="000265CB">
        <w:rPr>
          <w:rFonts w:ascii="Cambria" w:hAnsi="Cambria"/>
          <w:sz w:val="16"/>
          <w:szCs w:val="16"/>
          <w:bdr w:val="none" w:sz="0" w:space="0" w:color="auto" w:frame="1"/>
        </w:rPr>
        <w:t>. J</w:t>
      </w:r>
      <w:r w:rsidRPr="000265CB">
        <w:rPr>
          <w:rFonts w:ascii="Cambria" w:hAnsi="Cambria"/>
          <w:color w:val="auto"/>
          <w:sz w:val="16"/>
          <w:szCs w:val="16"/>
        </w:rPr>
        <w:t>unio de 2012, p. 4.</w:t>
      </w:r>
    </w:p>
  </w:footnote>
  <w:footnote w:id="24">
    <w:p w14:paraId="20CC89A6"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r w:rsidRPr="000265CB">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by the United Nations High Commissioner for Refugees or the Office of the High Commissioner for Human Rights' Compilation Report - Universal Periodic Review: Commonwealth of the Bahamas</w:t>
      </w:r>
      <w:r w:rsidRPr="000265CB">
        <w:rPr>
          <w:rFonts w:ascii="Cambria" w:hAnsi="Cambria"/>
          <w:sz w:val="16"/>
          <w:szCs w:val="16"/>
          <w:bdr w:val="none" w:sz="0" w:space="0" w:color="auto" w:frame="1"/>
        </w:rPr>
        <w:t xml:space="preserve">. </w:t>
      </w:r>
      <w:r w:rsidRPr="00A25B85">
        <w:rPr>
          <w:rFonts w:ascii="Cambria" w:hAnsi="Cambria"/>
          <w:sz w:val="16"/>
          <w:szCs w:val="16"/>
          <w:bdr w:val="none" w:sz="0" w:space="0" w:color="auto" w:frame="1"/>
          <w:lang w:val="es-ES"/>
        </w:rPr>
        <w:t>J</w:t>
      </w:r>
      <w:r w:rsidRPr="00A25B85">
        <w:rPr>
          <w:rFonts w:ascii="Cambria" w:hAnsi="Cambria"/>
          <w:color w:val="auto"/>
          <w:sz w:val="16"/>
          <w:szCs w:val="16"/>
          <w:lang w:val="es-ES"/>
        </w:rPr>
        <w:t>unio de 2012, p. 4.</w:t>
      </w:r>
    </w:p>
  </w:footnote>
  <w:footnote w:id="25">
    <w:p w14:paraId="61C9600C"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CERD. </w:t>
      </w:r>
      <w:r w:rsidRPr="00A25B85">
        <w:rPr>
          <w:rFonts w:ascii="Cambria" w:hAnsi="Cambria"/>
          <w:i/>
          <w:color w:val="auto"/>
          <w:sz w:val="16"/>
          <w:szCs w:val="16"/>
          <w:lang w:val="es-ES"/>
        </w:rPr>
        <w:t>Observaciones finales del Comité para la Eliminación de la Discriminación Racial: Bahamas</w:t>
      </w:r>
      <w:r w:rsidRPr="00A25B85">
        <w:rPr>
          <w:rFonts w:ascii="Cambria" w:hAnsi="Cambria"/>
          <w:color w:val="auto"/>
          <w:sz w:val="16"/>
          <w:szCs w:val="16"/>
          <w:lang w:val="es-ES"/>
        </w:rPr>
        <w:t>. 28 de abril de 2004, CERD/C/64/CO/1, párr. 20.</w:t>
      </w:r>
    </w:p>
  </w:footnote>
  <w:footnote w:id="26">
    <w:p w14:paraId="057695CA" w14:textId="77777777" w:rsidR="00F005B1" w:rsidRPr="009A4875"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Consejo de Derechos Humanos. </w:t>
      </w:r>
      <w:r w:rsidRPr="00A25B85">
        <w:rPr>
          <w:rFonts w:ascii="Cambria" w:hAnsi="Cambria"/>
          <w:i/>
          <w:color w:val="auto"/>
          <w:sz w:val="16"/>
          <w:szCs w:val="16"/>
          <w:lang w:val="es-ES"/>
        </w:rPr>
        <w:t>Recopilación preparada por la Oficina del Alto Comisionado para los Derechos Humanos con arreglo al párrafo 15 b) del anexo de la resolución 51/1 del Consejo de Derechos Humanos: Bahamas</w:t>
      </w:r>
      <w:r w:rsidRPr="00A25B85">
        <w:rPr>
          <w:rFonts w:ascii="Cambria" w:hAnsi="Cambria"/>
          <w:color w:val="auto"/>
          <w:sz w:val="16"/>
          <w:szCs w:val="16"/>
          <w:lang w:val="es-ES"/>
        </w:rPr>
        <w:t xml:space="preserve">. </w:t>
      </w:r>
      <w:r w:rsidRPr="009A4875">
        <w:rPr>
          <w:rFonts w:ascii="Cambria" w:hAnsi="Cambria"/>
          <w:color w:val="auto"/>
          <w:sz w:val="16"/>
          <w:szCs w:val="16"/>
        </w:rPr>
        <w:t xml:space="preserve">29 de </w:t>
      </w:r>
      <w:proofErr w:type="spellStart"/>
      <w:r w:rsidRPr="009A4875">
        <w:rPr>
          <w:rFonts w:ascii="Cambria" w:hAnsi="Cambria"/>
          <w:color w:val="auto"/>
          <w:sz w:val="16"/>
          <w:szCs w:val="16"/>
        </w:rPr>
        <w:t>septiembre</w:t>
      </w:r>
      <w:proofErr w:type="spellEnd"/>
      <w:r w:rsidRPr="009A4875">
        <w:rPr>
          <w:rFonts w:ascii="Cambria" w:hAnsi="Cambria"/>
          <w:color w:val="auto"/>
          <w:sz w:val="16"/>
          <w:szCs w:val="16"/>
        </w:rPr>
        <w:t xml:space="preserve"> de 2008, A/HRC/WG.6/3/BHS/2, </w:t>
      </w:r>
      <w:proofErr w:type="spellStart"/>
      <w:r w:rsidRPr="009A4875">
        <w:rPr>
          <w:rFonts w:ascii="Cambria" w:hAnsi="Cambria"/>
          <w:color w:val="auto"/>
          <w:sz w:val="16"/>
          <w:szCs w:val="16"/>
        </w:rPr>
        <w:t>párr</w:t>
      </w:r>
      <w:proofErr w:type="spellEnd"/>
      <w:r w:rsidRPr="009A4875">
        <w:rPr>
          <w:rFonts w:ascii="Cambria" w:hAnsi="Cambria"/>
          <w:color w:val="auto"/>
          <w:sz w:val="16"/>
          <w:szCs w:val="16"/>
        </w:rPr>
        <w:t>. 23.</w:t>
      </w:r>
    </w:p>
  </w:footnote>
  <w:footnote w:id="27">
    <w:p w14:paraId="315D094D" w14:textId="77777777" w:rsidR="00F005B1" w:rsidRPr="009A4875"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9A4875">
        <w:rPr>
          <w:rFonts w:ascii="Cambria" w:hAnsi="Cambria"/>
          <w:color w:val="auto"/>
          <w:sz w:val="16"/>
          <w:szCs w:val="16"/>
        </w:rPr>
        <w:t xml:space="preserve"> </w:t>
      </w:r>
      <w:r w:rsidRPr="009A4875">
        <w:rPr>
          <w:rFonts w:ascii="Cambria" w:hAnsi="Cambria"/>
          <w:sz w:val="16"/>
          <w:szCs w:val="16"/>
          <w:bdr w:val="none" w:sz="0" w:space="0" w:color="auto" w:frame="1"/>
        </w:rPr>
        <w:t xml:space="preserve">ACNUR. </w:t>
      </w:r>
      <w:r w:rsidRPr="009A4875">
        <w:rPr>
          <w:rFonts w:ascii="Cambria" w:hAnsi="Cambria"/>
          <w:i/>
          <w:sz w:val="16"/>
          <w:szCs w:val="16"/>
          <w:bdr w:val="none" w:sz="0" w:space="0" w:color="auto" w:frame="1"/>
        </w:rPr>
        <w:t>Submission on the Bahamas: 29th UPR session</w:t>
      </w:r>
      <w:r w:rsidRPr="009A4875">
        <w:rPr>
          <w:rFonts w:ascii="Cambria" w:hAnsi="Cambria"/>
          <w:sz w:val="16"/>
          <w:szCs w:val="16"/>
          <w:bdr w:val="none" w:sz="0" w:space="0" w:color="auto" w:frame="1"/>
        </w:rPr>
        <w:t xml:space="preserve">. </w:t>
      </w:r>
      <w:proofErr w:type="spellStart"/>
      <w:r w:rsidRPr="009A4875">
        <w:rPr>
          <w:rFonts w:ascii="Cambria" w:hAnsi="Cambria"/>
          <w:sz w:val="16"/>
          <w:szCs w:val="16"/>
          <w:bdr w:val="none" w:sz="0" w:space="0" w:color="auto" w:frame="1"/>
        </w:rPr>
        <w:t>E</w:t>
      </w:r>
      <w:r w:rsidRPr="009A4875">
        <w:rPr>
          <w:rFonts w:ascii="Cambria" w:hAnsi="Cambria"/>
          <w:color w:val="auto"/>
          <w:sz w:val="16"/>
          <w:szCs w:val="16"/>
        </w:rPr>
        <w:t>nero</w:t>
      </w:r>
      <w:proofErr w:type="spellEnd"/>
      <w:r w:rsidRPr="009A4875">
        <w:rPr>
          <w:rFonts w:ascii="Cambria" w:hAnsi="Cambria"/>
          <w:color w:val="auto"/>
          <w:sz w:val="16"/>
          <w:szCs w:val="16"/>
        </w:rPr>
        <w:t xml:space="preserve"> de 2018, p. 14.</w:t>
      </w:r>
    </w:p>
  </w:footnote>
  <w:footnote w:id="28">
    <w:p w14:paraId="593A9B2C"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9A4875">
        <w:rPr>
          <w:rFonts w:ascii="Cambria" w:hAnsi="Cambria"/>
          <w:color w:val="auto"/>
          <w:sz w:val="16"/>
          <w:szCs w:val="16"/>
        </w:rPr>
        <w:t xml:space="preserve"> </w:t>
      </w:r>
      <w:r w:rsidRPr="009A4875">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by the United Nations High Commissioner for Refugees or the Office of the High Commissioner for Human Rights' Compilation Report - Universal Periodic Review: Commonwealth of the Bahamas</w:t>
      </w:r>
      <w:r w:rsidRPr="000265CB">
        <w:rPr>
          <w:rFonts w:ascii="Cambria" w:hAnsi="Cambria"/>
          <w:sz w:val="16"/>
          <w:szCs w:val="16"/>
          <w:bdr w:val="none" w:sz="0" w:space="0" w:color="auto" w:frame="1"/>
        </w:rPr>
        <w:t xml:space="preserve">. </w:t>
      </w:r>
      <w:r w:rsidRPr="00A25B85">
        <w:rPr>
          <w:rFonts w:ascii="Cambria" w:hAnsi="Cambria"/>
          <w:sz w:val="16"/>
          <w:szCs w:val="16"/>
          <w:bdr w:val="none" w:sz="0" w:space="0" w:color="auto" w:frame="1"/>
          <w:lang w:val="es-ES"/>
        </w:rPr>
        <w:t>J</w:t>
      </w:r>
      <w:r w:rsidRPr="00A25B85">
        <w:rPr>
          <w:rFonts w:ascii="Cambria" w:hAnsi="Cambria"/>
          <w:color w:val="auto"/>
          <w:sz w:val="16"/>
          <w:szCs w:val="16"/>
          <w:lang w:val="es-ES"/>
        </w:rPr>
        <w:t>unio de 2012, p. 4.</w:t>
      </w:r>
    </w:p>
  </w:footnote>
  <w:footnote w:id="29">
    <w:p w14:paraId="385FDCC6"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Consejo de Derechos Humanos. </w:t>
      </w:r>
      <w:r w:rsidRPr="00A25B85">
        <w:rPr>
          <w:rFonts w:ascii="Cambria" w:hAnsi="Cambria"/>
          <w:i/>
          <w:color w:val="auto"/>
          <w:sz w:val="16"/>
          <w:szCs w:val="16"/>
          <w:lang w:val="es-ES"/>
        </w:rPr>
        <w:t>Recopilación preparada por la Oficina del Alto Comisionado para los Derechos Humanos con arreglo al párrafo 5 del anexo de la resolución 16/21 del Consejo de Derechos Humanos: Bahamas</w:t>
      </w:r>
      <w:r w:rsidRPr="00A25B85">
        <w:rPr>
          <w:rFonts w:ascii="Cambria" w:hAnsi="Cambria"/>
          <w:color w:val="auto"/>
          <w:sz w:val="16"/>
          <w:szCs w:val="16"/>
          <w:lang w:val="es-ES"/>
        </w:rPr>
        <w:t xml:space="preserve">. </w:t>
      </w:r>
      <w:r w:rsidRPr="000265CB">
        <w:rPr>
          <w:rFonts w:ascii="Cambria" w:hAnsi="Cambria"/>
          <w:color w:val="auto"/>
          <w:sz w:val="16"/>
          <w:szCs w:val="16"/>
        </w:rPr>
        <w:t xml:space="preserve">9 de </w:t>
      </w:r>
      <w:proofErr w:type="spellStart"/>
      <w:r w:rsidRPr="000265CB">
        <w:rPr>
          <w:rFonts w:ascii="Cambria" w:hAnsi="Cambria"/>
          <w:color w:val="auto"/>
          <w:sz w:val="16"/>
          <w:szCs w:val="16"/>
        </w:rPr>
        <w:t>noviembre</w:t>
      </w:r>
      <w:proofErr w:type="spellEnd"/>
      <w:r w:rsidRPr="000265CB">
        <w:rPr>
          <w:rFonts w:ascii="Cambria" w:hAnsi="Cambria"/>
          <w:color w:val="auto"/>
          <w:sz w:val="16"/>
          <w:szCs w:val="16"/>
        </w:rPr>
        <w:t xml:space="preserve"> de 2012, A/HRC/WG.6/15/BHS/2, </w:t>
      </w:r>
      <w:proofErr w:type="spellStart"/>
      <w:r w:rsidRPr="000265CB">
        <w:rPr>
          <w:rFonts w:ascii="Cambria" w:hAnsi="Cambria"/>
          <w:color w:val="auto"/>
          <w:sz w:val="16"/>
          <w:szCs w:val="16"/>
        </w:rPr>
        <w:t>párr</w:t>
      </w:r>
      <w:proofErr w:type="spellEnd"/>
      <w:r w:rsidRPr="000265CB">
        <w:rPr>
          <w:rFonts w:ascii="Cambria" w:hAnsi="Cambria"/>
          <w:color w:val="auto"/>
          <w:sz w:val="16"/>
          <w:szCs w:val="16"/>
        </w:rPr>
        <w:t>. 37.</w:t>
      </w:r>
    </w:p>
  </w:footnote>
  <w:footnote w:id="30">
    <w:p w14:paraId="50A56016"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r w:rsidRPr="000265CB">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by the United Nations High Commissioner for Refugees or the Office of the High Commissioner for Human Rights' Compilation Report - Universal Periodic Review: Commonwealth of the Bahamas</w:t>
      </w:r>
      <w:r w:rsidRPr="000265CB">
        <w:rPr>
          <w:rFonts w:ascii="Cambria" w:hAnsi="Cambria"/>
          <w:sz w:val="16"/>
          <w:szCs w:val="16"/>
          <w:bdr w:val="none" w:sz="0" w:space="0" w:color="auto" w:frame="1"/>
        </w:rPr>
        <w:t xml:space="preserve">. </w:t>
      </w:r>
      <w:r w:rsidRPr="00A25B85">
        <w:rPr>
          <w:rFonts w:ascii="Cambria" w:hAnsi="Cambria"/>
          <w:sz w:val="16"/>
          <w:szCs w:val="16"/>
          <w:bdr w:val="none" w:sz="0" w:space="0" w:color="auto" w:frame="1"/>
          <w:lang w:val="es-ES"/>
        </w:rPr>
        <w:t>J</w:t>
      </w:r>
      <w:r w:rsidRPr="00A25B85">
        <w:rPr>
          <w:rFonts w:ascii="Cambria" w:hAnsi="Cambria"/>
          <w:color w:val="auto"/>
          <w:sz w:val="16"/>
          <w:szCs w:val="16"/>
          <w:lang w:val="es-ES"/>
        </w:rPr>
        <w:t>unio de 2012, págs. 3 y 4.</w:t>
      </w:r>
    </w:p>
  </w:footnote>
  <w:footnote w:id="31">
    <w:p w14:paraId="736402C2"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CERD. </w:t>
      </w:r>
      <w:r w:rsidRPr="00A25B85">
        <w:rPr>
          <w:rFonts w:ascii="Cambria" w:hAnsi="Cambria"/>
          <w:i/>
          <w:color w:val="auto"/>
          <w:sz w:val="16"/>
          <w:szCs w:val="16"/>
          <w:lang w:val="es-ES"/>
        </w:rPr>
        <w:t>Observaciones finales del Comité para la Eliminación de la Discriminación Racial: Bahamas</w:t>
      </w:r>
      <w:r w:rsidRPr="00A25B85">
        <w:rPr>
          <w:rFonts w:ascii="Cambria" w:hAnsi="Cambria"/>
          <w:color w:val="auto"/>
          <w:sz w:val="16"/>
          <w:szCs w:val="16"/>
          <w:lang w:val="es-ES"/>
        </w:rPr>
        <w:t xml:space="preserve">. </w:t>
      </w:r>
      <w:r w:rsidRPr="000265CB">
        <w:rPr>
          <w:rFonts w:ascii="Cambria" w:hAnsi="Cambria"/>
          <w:color w:val="auto"/>
          <w:sz w:val="16"/>
          <w:szCs w:val="16"/>
        </w:rPr>
        <w:t xml:space="preserve">28 de </w:t>
      </w:r>
      <w:proofErr w:type="spellStart"/>
      <w:r w:rsidRPr="000265CB">
        <w:rPr>
          <w:rFonts w:ascii="Cambria" w:hAnsi="Cambria"/>
          <w:color w:val="auto"/>
          <w:sz w:val="16"/>
          <w:szCs w:val="16"/>
        </w:rPr>
        <w:t>abril</w:t>
      </w:r>
      <w:proofErr w:type="spellEnd"/>
      <w:r w:rsidRPr="000265CB">
        <w:rPr>
          <w:rFonts w:ascii="Cambria" w:hAnsi="Cambria"/>
          <w:color w:val="auto"/>
          <w:sz w:val="16"/>
          <w:szCs w:val="16"/>
        </w:rPr>
        <w:t xml:space="preserve"> de 2004, CERD/C/64/CO/1, </w:t>
      </w:r>
      <w:proofErr w:type="spellStart"/>
      <w:r w:rsidRPr="000265CB">
        <w:rPr>
          <w:rFonts w:ascii="Cambria" w:hAnsi="Cambria"/>
          <w:color w:val="auto"/>
          <w:sz w:val="16"/>
          <w:szCs w:val="16"/>
        </w:rPr>
        <w:t>párr</w:t>
      </w:r>
      <w:proofErr w:type="spellEnd"/>
      <w:r w:rsidRPr="000265CB">
        <w:rPr>
          <w:rFonts w:ascii="Cambria" w:hAnsi="Cambria"/>
          <w:color w:val="auto"/>
          <w:sz w:val="16"/>
          <w:szCs w:val="16"/>
        </w:rPr>
        <w:t>. 17.</w:t>
      </w:r>
    </w:p>
  </w:footnote>
  <w:footnote w:id="32">
    <w:p w14:paraId="5ECAB35A" w14:textId="77777777" w:rsidR="00F005B1" w:rsidRPr="002B3C52" w:rsidRDefault="00F005B1" w:rsidP="00067F9E">
      <w:pPr>
        <w:pStyle w:val="FootnoteText"/>
        <w:jc w:val="both"/>
        <w:rPr>
          <w:rFonts w:ascii="Cambria" w:hAnsi="Cambria"/>
          <w:color w:val="auto"/>
          <w:sz w:val="16"/>
          <w:szCs w:val="16"/>
          <w:lang w:val="es-ES"/>
        </w:rPr>
      </w:pPr>
      <w:r w:rsidRPr="002B3C52">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r w:rsidRPr="000265CB">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on the Bahamas: 29th UPR session.</w:t>
      </w:r>
      <w:r w:rsidRPr="000265CB">
        <w:rPr>
          <w:rFonts w:ascii="Cambria" w:hAnsi="Cambria"/>
          <w:sz w:val="16"/>
          <w:szCs w:val="16"/>
          <w:bdr w:val="none" w:sz="0" w:space="0" w:color="auto" w:frame="1"/>
        </w:rPr>
        <w:t xml:space="preserve"> </w:t>
      </w:r>
      <w:r w:rsidRPr="002B3C52">
        <w:rPr>
          <w:rFonts w:ascii="Cambria" w:hAnsi="Cambria"/>
          <w:sz w:val="16"/>
          <w:szCs w:val="16"/>
          <w:bdr w:val="none" w:sz="0" w:space="0" w:color="auto" w:frame="1"/>
          <w:lang w:val="es-ES"/>
        </w:rPr>
        <w:t>E</w:t>
      </w:r>
      <w:r w:rsidRPr="002B3C52">
        <w:rPr>
          <w:rFonts w:ascii="Cambria" w:hAnsi="Cambria"/>
          <w:color w:val="auto"/>
          <w:sz w:val="16"/>
          <w:szCs w:val="16"/>
          <w:lang w:val="es-ES"/>
        </w:rPr>
        <w:t>nero de 2018, p. 14.</w:t>
      </w:r>
    </w:p>
  </w:footnote>
  <w:footnote w:id="33">
    <w:p w14:paraId="214F6CAC" w14:textId="77777777" w:rsidR="00F005B1" w:rsidRPr="002B3C52" w:rsidRDefault="00F005B1" w:rsidP="00DD76B0">
      <w:pPr>
        <w:pStyle w:val="FootnoteText"/>
        <w:rPr>
          <w:rFonts w:ascii="Cambria" w:hAnsi="Cambria"/>
          <w:sz w:val="16"/>
          <w:szCs w:val="16"/>
          <w:lang w:val="es-US"/>
        </w:rPr>
      </w:pPr>
      <w:r w:rsidRPr="002B3C52">
        <w:rPr>
          <w:rStyle w:val="FootnoteReference"/>
          <w:rFonts w:ascii="Cambria" w:hAnsi="Cambria"/>
          <w:sz w:val="16"/>
          <w:szCs w:val="16"/>
        </w:rPr>
        <w:footnoteRef/>
      </w:r>
      <w:r w:rsidRPr="002B3C52">
        <w:rPr>
          <w:rFonts w:ascii="Cambria" w:hAnsi="Cambria"/>
          <w:sz w:val="16"/>
          <w:szCs w:val="16"/>
          <w:lang w:val="es-US"/>
        </w:rPr>
        <w:t xml:space="preserve"> CIDH, MC 535/14 – Personas migrantes detenidas en el Centro de Detención </w:t>
      </w:r>
      <w:proofErr w:type="spellStart"/>
      <w:r w:rsidRPr="002B3C52">
        <w:rPr>
          <w:rFonts w:ascii="Cambria" w:hAnsi="Cambria"/>
          <w:sz w:val="16"/>
          <w:szCs w:val="16"/>
          <w:lang w:val="es-US"/>
        </w:rPr>
        <w:t>Carmichael</w:t>
      </w:r>
      <w:proofErr w:type="spellEnd"/>
      <w:r w:rsidRPr="002B3C52">
        <w:rPr>
          <w:rFonts w:ascii="Cambria" w:hAnsi="Cambria"/>
          <w:sz w:val="16"/>
          <w:szCs w:val="16"/>
          <w:lang w:val="es-US"/>
        </w:rPr>
        <w:t xml:space="preserve"> Road Bahamas, 13 de febrero de 2015.</w:t>
      </w:r>
      <w:r w:rsidRPr="002B3C52">
        <w:rPr>
          <w:rFonts w:ascii="Cambria" w:hAnsi="Cambria"/>
          <w:sz w:val="16"/>
          <w:szCs w:val="16"/>
          <w:lang w:val="es-US"/>
        </w:rPr>
        <w:tab/>
      </w:r>
    </w:p>
  </w:footnote>
  <w:footnote w:id="34">
    <w:p w14:paraId="7F08C850" w14:textId="77777777" w:rsidR="00F005B1" w:rsidRPr="002B3C52" w:rsidRDefault="00F005B1" w:rsidP="00DD76B0">
      <w:pPr>
        <w:pStyle w:val="FootnoteText"/>
        <w:rPr>
          <w:rFonts w:ascii="Cambria" w:hAnsi="Cambria"/>
          <w:sz w:val="16"/>
          <w:szCs w:val="16"/>
          <w:lang w:val="es-US"/>
        </w:rPr>
      </w:pPr>
      <w:r w:rsidRPr="002B3C52">
        <w:rPr>
          <w:rStyle w:val="FootnoteReference"/>
          <w:rFonts w:ascii="Cambria" w:hAnsi="Cambria"/>
          <w:sz w:val="16"/>
          <w:szCs w:val="16"/>
        </w:rPr>
        <w:footnoteRef/>
      </w:r>
      <w:r w:rsidRPr="002B3C52">
        <w:rPr>
          <w:rFonts w:ascii="Cambria" w:hAnsi="Cambria"/>
          <w:sz w:val="16"/>
          <w:szCs w:val="16"/>
          <w:lang w:val="es-US"/>
        </w:rPr>
        <w:t xml:space="preserve"> CIDH, 154 Periodo de Sesiones de la CIDH, Situación de los derechos humanos de las personas migrantes en Bahamas, 20 de marzo de 2015.</w:t>
      </w:r>
    </w:p>
  </w:footnote>
  <w:footnote w:id="35">
    <w:p w14:paraId="0EF9B05C" w14:textId="77777777" w:rsidR="00F005B1" w:rsidRPr="002B3C52" w:rsidRDefault="00F005B1" w:rsidP="00DD76B0">
      <w:pPr>
        <w:pStyle w:val="FootnoteText"/>
        <w:rPr>
          <w:rFonts w:ascii="Cambria" w:hAnsi="Cambria"/>
          <w:sz w:val="16"/>
          <w:szCs w:val="16"/>
        </w:rPr>
      </w:pPr>
      <w:r w:rsidRPr="002B3C52">
        <w:rPr>
          <w:rStyle w:val="FootnoteReference"/>
          <w:rFonts w:ascii="Cambria" w:hAnsi="Cambria"/>
          <w:sz w:val="16"/>
          <w:szCs w:val="16"/>
        </w:rPr>
        <w:footnoteRef/>
      </w:r>
      <w:r w:rsidRPr="002B3C52">
        <w:rPr>
          <w:rFonts w:ascii="Cambria" w:hAnsi="Cambria"/>
          <w:sz w:val="16"/>
          <w:szCs w:val="16"/>
        </w:rPr>
        <w:t xml:space="preserve"> IACHR, Request for follow-up information on new immigration policy in The Bahamas, January 7, 2015.</w:t>
      </w:r>
    </w:p>
  </w:footnote>
  <w:footnote w:id="36">
    <w:p w14:paraId="1BEF6050" w14:textId="77777777" w:rsidR="00F005B1" w:rsidRPr="002A40A7" w:rsidRDefault="00F005B1" w:rsidP="002B3C52">
      <w:pPr>
        <w:pStyle w:val="FootnoteText"/>
      </w:pPr>
      <w:r w:rsidRPr="002B3C52">
        <w:rPr>
          <w:rStyle w:val="FootnoteReference"/>
          <w:rFonts w:ascii="Cambria" w:hAnsi="Cambria"/>
          <w:sz w:val="16"/>
          <w:szCs w:val="16"/>
        </w:rPr>
        <w:footnoteRef/>
      </w:r>
      <w:r w:rsidRPr="002B3C52">
        <w:rPr>
          <w:rFonts w:ascii="Cambria" w:hAnsi="Cambria"/>
          <w:sz w:val="16"/>
          <w:szCs w:val="16"/>
        </w:rPr>
        <w:t xml:space="preserve"> Permanent Mission of the Commonwealth of the Bahamas to the Organization of American States, Re: Request for follow-up information on new immigration policy in the Bahamas, January 22, 2015.</w:t>
      </w:r>
      <w:r>
        <w:t xml:space="preserve"> </w:t>
      </w:r>
    </w:p>
  </w:footnote>
  <w:footnote w:id="37">
    <w:p w14:paraId="494E9AF4" w14:textId="77777777" w:rsidR="00F005B1" w:rsidRPr="000265CB" w:rsidRDefault="00F005B1" w:rsidP="00067F9E">
      <w:pPr>
        <w:pStyle w:val="FootnoteText"/>
        <w:jc w:val="both"/>
        <w:rPr>
          <w:rFonts w:ascii="Cambria" w:hAnsi="Cambria"/>
          <w:color w:val="auto"/>
          <w:sz w:val="16"/>
          <w:szCs w:val="16"/>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CERD. </w:t>
      </w:r>
      <w:r w:rsidRPr="00A25B85">
        <w:rPr>
          <w:rFonts w:ascii="Cambria" w:hAnsi="Cambria"/>
          <w:i/>
          <w:color w:val="auto"/>
          <w:sz w:val="16"/>
          <w:szCs w:val="16"/>
          <w:lang w:val="es-ES"/>
        </w:rPr>
        <w:t>Observaciones finales del Comité para la Eliminación de la Discriminación Racial: Bahamas</w:t>
      </w:r>
      <w:r w:rsidRPr="00A25B85">
        <w:rPr>
          <w:rFonts w:ascii="Cambria" w:hAnsi="Cambria"/>
          <w:color w:val="auto"/>
          <w:sz w:val="16"/>
          <w:szCs w:val="16"/>
          <w:lang w:val="es-ES"/>
        </w:rPr>
        <w:t xml:space="preserve">. </w:t>
      </w:r>
      <w:r w:rsidRPr="000265CB">
        <w:rPr>
          <w:rFonts w:ascii="Cambria" w:hAnsi="Cambria"/>
          <w:color w:val="auto"/>
          <w:sz w:val="16"/>
          <w:szCs w:val="16"/>
        </w:rPr>
        <w:t xml:space="preserve">28 de </w:t>
      </w:r>
      <w:proofErr w:type="spellStart"/>
      <w:r w:rsidRPr="000265CB">
        <w:rPr>
          <w:rFonts w:ascii="Cambria" w:hAnsi="Cambria"/>
          <w:color w:val="auto"/>
          <w:sz w:val="16"/>
          <w:szCs w:val="16"/>
        </w:rPr>
        <w:t>abril</w:t>
      </w:r>
      <w:proofErr w:type="spellEnd"/>
      <w:r w:rsidRPr="000265CB">
        <w:rPr>
          <w:rFonts w:ascii="Cambria" w:hAnsi="Cambria"/>
          <w:color w:val="auto"/>
          <w:sz w:val="16"/>
          <w:szCs w:val="16"/>
        </w:rPr>
        <w:t xml:space="preserve"> de 2004, CERD/C/64/CO/1, </w:t>
      </w:r>
      <w:proofErr w:type="spellStart"/>
      <w:r w:rsidRPr="000265CB">
        <w:rPr>
          <w:rFonts w:ascii="Cambria" w:hAnsi="Cambria"/>
          <w:color w:val="auto"/>
          <w:sz w:val="16"/>
          <w:szCs w:val="16"/>
        </w:rPr>
        <w:t>párr</w:t>
      </w:r>
      <w:proofErr w:type="spellEnd"/>
      <w:r w:rsidRPr="000265CB">
        <w:rPr>
          <w:rFonts w:ascii="Cambria" w:hAnsi="Cambria"/>
          <w:color w:val="auto"/>
          <w:sz w:val="16"/>
          <w:szCs w:val="16"/>
        </w:rPr>
        <w:t>. 17.</w:t>
      </w:r>
    </w:p>
  </w:footnote>
  <w:footnote w:id="38">
    <w:p w14:paraId="679B5DD4"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w:t>
      </w:r>
      <w:r w:rsidRPr="000265CB">
        <w:rPr>
          <w:rFonts w:ascii="Cambria" w:hAnsi="Cambria"/>
          <w:sz w:val="16"/>
          <w:szCs w:val="16"/>
          <w:bdr w:val="none" w:sz="0" w:space="0" w:color="auto" w:frame="1"/>
        </w:rPr>
        <w:t xml:space="preserve">ACNUR. </w:t>
      </w:r>
      <w:r w:rsidRPr="000265CB">
        <w:rPr>
          <w:rFonts w:ascii="Cambria" w:hAnsi="Cambria"/>
          <w:i/>
          <w:sz w:val="16"/>
          <w:szCs w:val="16"/>
          <w:bdr w:val="none" w:sz="0" w:space="0" w:color="auto" w:frame="1"/>
        </w:rPr>
        <w:t>Submission on the Bahamas: 29th UPR session</w:t>
      </w:r>
      <w:r w:rsidRPr="000265CB">
        <w:rPr>
          <w:rFonts w:ascii="Cambria" w:hAnsi="Cambria"/>
          <w:sz w:val="16"/>
          <w:szCs w:val="16"/>
          <w:bdr w:val="none" w:sz="0" w:space="0" w:color="auto" w:frame="1"/>
        </w:rPr>
        <w:t xml:space="preserve">. </w:t>
      </w:r>
      <w:r w:rsidRPr="00A25B85">
        <w:rPr>
          <w:rFonts w:ascii="Cambria" w:hAnsi="Cambria"/>
          <w:sz w:val="16"/>
          <w:szCs w:val="16"/>
          <w:bdr w:val="none" w:sz="0" w:space="0" w:color="auto" w:frame="1"/>
          <w:lang w:val="es-ES"/>
        </w:rPr>
        <w:t>E</w:t>
      </w:r>
      <w:r w:rsidRPr="00A25B85">
        <w:rPr>
          <w:rFonts w:ascii="Cambria" w:hAnsi="Cambria"/>
          <w:color w:val="auto"/>
          <w:sz w:val="16"/>
          <w:szCs w:val="16"/>
          <w:lang w:val="es-ES"/>
        </w:rPr>
        <w:t>nero de 2018, p. 3.</w:t>
      </w:r>
    </w:p>
  </w:footnote>
  <w:footnote w:id="39">
    <w:p w14:paraId="4E6B6A07" w14:textId="17E56262" w:rsidR="00F005B1" w:rsidRPr="00A25B85" w:rsidRDefault="00F005B1" w:rsidP="00067F9E">
      <w:pPr>
        <w:pStyle w:val="FootnoteText"/>
        <w:tabs>
          <w:tab w:val="left" w:pos="5387"/>
        </w:tabs>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2</w:t>
      </w:r>
      <w:r w:rsidRPr="00A25B85">
        <w:rPr>
          <w:rFonts w:ascii="Cambria" w:hAnsi="Cambria"/>
          <w:color w:val="auto"/>
          <w:sz w:val="16"/>
          <w:szCs w:val="16"/>
          <w:lang w:val="es-ES"/>
        </w:rPr>
        <w:t xml:space="preserve">. Lista de entrevistas del CEJIL, págs. 1 y 2, adjunta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40">
    <w:p w14:paraId="09CF6A7C" w14:textId="41B81C74"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3</w:t>
      </w:r>
      <w:r w:rsidRPr="00A25B85">
        <w:rPr>
          <w:rFonts w:ascii="Cambria" w:hAnsi="Cambria"/>
          <w:color w:val="auto"/>
          <w:sz w:val="16"/>
          <w:szCs w:val="16"/>
          <w:lang w:val="es-ES"/>
        </w:rPr>
        <w:t xml:space="preserve">. Entrevista de Manuel Ramón Reyes, Lista de entrevistas del CEJIL, págs. 1 y 2, adjunta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41">
    <w:p w14:paraId="7534C5A6" w14:textId="1E2BD5D0"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Anexo 1. </w:t>
      </w:r>
      <w:r w:rsidRPr="000265CB">
        <w:rPr>
          <w:rFonts w:ascii="Cambria" w:hAnsi="Cambria"/>
          <w:i/>
          <w:color w:val="auto"/>
          <w:sz w:val="16"/>
          <w:szCs w:val="16"/>
        </w:rPr>
        <w:t>Memorandum of Understanding Between the Government of the Commonwealth of the Bahamas and the Government of the Republic of Cuba of January 12, 1996 and Protocol to the Memorandum of Understanding of January 12, 1996 Between the Government of the Republic of Cuba and the Government of the Commonwealth of the Bahamas</w:t>
      </w:r>
      <w:r w:rsidRPr="000265CB">
        <w:rPr>
          <w:rFonts w:ascii="Cambria" w:hAnsi="Cambria"/>
          <w:color w:val="auto"/>
          <w:sz w:val="16"/>
          <w:szCs w:val="16"/>
        </w:rPr>
        <w:t xml:space="preserve">. </w:t>
      </w:r>
      <w:r w:rsidRPr="00A25B85">
        <w:rPr>
          <w:rFonts w:ascii="Cambria" w:hAnsi="Cambria"/>
          <w:color w:val="auto"/>
          <w:sz w:val="16"/>
          <w:szCs w:val="16"/>
          <w:lang w:val="es-ES"/>
        </w:rPr>
        <w:t>Adjunto a la respuesta del Estado del 23 de octubre de 1998.</w:t>
      </w:r>
    </w:p>
  </w:footnote>
  <w:footnote w:id="42">
    <w:p w14:paraId="048F70C3"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Nombres de los ciudadanos cubanos tal como constan en las listas de repatriación proporcionadas por el Estado.</w:t>
      </w:r>
    </w:p>
  </w:footnote>
  <w:footnote w:id="43">
    <w:p w14:paraId="0DE59B45" w14:textId="77F3EC93"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4</w:t>
      </w:r>
      <w:r w:rsidRPr="00A25B85">
        <w:rPr>
          <w:rFonts w:ascii="Cambria" w:hAnsi="Cambria"/>
          <w:color w:val="auto"/>
          <w:sz w:val="16"/>
          <w:szCs w:val="16"/>
          <w:lang w:val="es-ES"/>
        </w:rPr>
        <w:t xml:space="preserve">. Departamento de Inmigración de las Bahamas. </w:t>
      </w:r>
      <w:r w:rsidRPr="000265CB">
        <w:rPr>
          <w:rFonts w:ascii="Cambria" w:hAnsi="Cambria"/>
          <w:i/>
          <w:color w:val="auto"/>
          <w:sz w:val="16"/>
          <w:szCs w:val="16"/>
        </w:rPr>
        <w:t>Approved Cuban nationals for repatriation</w:t>
      </w:r>
      <w:r w:rsidRPr="000265CB">
        <w:rPr>
          <w:rFonts w:ascii="Cambria" w:hAnsi="Cambria"/>
          <w:color w:val="auto"/>
          <w:sz w:val="16"/>
          <w:szCs w:val="16"/>
        </w:rPr>
        <w:t xml:space="preserve">. </w:t>
      </w:r>
      <w:r w:rsidRPr="00A25B85">
        <w:rPr>
          <w:rFonts w:ascii="Cambria" w:hAnsi="Cambria"/>
          <w:color w:val="auto"/>
          <w:sz w:val="16"/>
          <w:szCs w:val="16"/>
          <w:lang w:val="es-ES"/>
        </w:rPr>
        <w:t>11 de agosto de 1998. Adjunto a la respuesta del Estado del 23 de octubre de 1998. Véase una lista de estas personas en el anexo XX.</w:t>
      </w:r>
    </w:p>
  </w:footnote>
  <w:footnote w:id="44">
    <w:p w14:paraId="3C8262E9" w14:textId="7EAB4574"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5</w:t>
      </w:r>
      <w:r w:rsidRPr="00A25B85">
        <w:rPr>
          <w:rFonts w:ascii="Cambria" w:hAnsi="Cambria"/>
          <w:color w:val="auto"/>
          <w:sz w:val="16"/>
          <w:szCs w:val="16"/>
          <w:lang w:val="es-ES"/>
        </w:rPr>
        <w:t xml:space="preserve">. Departamento de Inmigración de las Bahamas. </w:t>
      </w:r>
      <w:r w:rsidRPr="000265CB">
        <w:rPr>
          <w:rFonts w:ascii="Cambria" w:hAnsi="Cambria"/>
          <w:i/>
          <w:color w:val="auto"/>
          <w:sz w:val="16"/>
          <w:szCs w:val="16"/>
        </w:rPr>
        <w:t>Approved Cuban nationals for repatriation</w:t>
      </w:r>
      <w:r w:rsidRPr="000265CB">
        <w:rPr>
          <w:rFonts w:ascii="Cambria" w:hAnsi="Cambria"/>
          <w:color w:val="auto"/>
          <w:sz w:val="16"/>
          <w:szCs w:val="16"/>
        </w:rPr>
        <w:t xml:space="preserve">. </w:t>
      </w:r>
      <w:r w:rsidRPr="00A25B85">
        <w:rPr>
          <w:rFonts w:ascii="Cambria" w:hAnsi="Cambria"/>
          <w:color w:val="auto"/>
          <w:sz w:val="16"/>
          <w:szCs w:val="16"/>
          <w:lang w:val="es-ES"/>
        </w:rPr>
        <w:t>18 de agosto de 1998. Adjunto a la respuesta del Estado del 23 de octubre de 1998. Véase una lista de estas personas en el anexo XX.</w:t>
      </w:r>
    </w:p>
  </w:footnote>
  <w:footnote w:id="45">
    <w:p w14:paraId="71194B00" w14:textId="57A13995"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6</w:t>
      </w:r>
      <w:r w:rsidRPr="00A25B85">
        <w:rPr>
          <w:rFonts w:ascii="Cambria" w:hAnsi="Cambria"/>
          <w:color w:val="auto"/>
          <w:sz w:val="16"/>
          <w:szCs w:val="16"/>
          <w:lang w:val="es-ES"/>
        </w:rPr>
        <w:t xml:space="preserve">. Departamento de Inmigración de las Bahamas. </w:t>
      </w:r>
      <w:r w:rsidRPr="000265CB">
        <w:rPr>
          <w:rFonts w:ascii="Cambria" w:hAnsi="Cambria"/>
          <w:i/>
          <w:color w:val="auto"/>
          <w:sz w:val="16"/>
          <w:szCs w:val="16"/>
        </w:rPr>
        <w:t>Approved Cuban nationals for repatriation</w:t>
      </w:r>
      <w:r w:rsidRPr="000265CB">
        <w:rPr>
          <w:rFonts w:ascii="Cambria" w:hAnsi="Cambria"/>
          <w:color w:val="auto"/>
          <w:sz w:val="16"/>
          <w:szCs w:val="16"/>
        </w:rPr>
        <w:t xml:space="preserve">. </w:t>
      </w:r>
      <w:r w:rsidRPr="00A25B85">
        <w:rPr>
          <w:rFonts w:ascii="Cambria" w:hAnsi="Cambria"/>
          <w:color w:val="auto"/>
          <w:sz w:val="16"/>
          <w:szCs w:val="16"/>
          <w:lang w:val="es-ES"/>
        </w:rPr>
        <w:t>20 de octubre de 1998. A</w:t>
      </w:r>
      <w:r w:rsidRPr="00A25B85">
        <w:rPr>
          <w:rFonts w:ascii="Cambria" w:hAnsi="Cambria"/>
          <w:sz w:val="16"/>
          <w:szCs w:val="16"/>
          <w:bdr w:val="none" w:sz="0" w:space="0" w:color="auto" w:frame="1"/>
          <w:lang w:val="es-ES"/>
        </w:rPr>
        <w:t>djunto a la respuesta del Estado del 23 de octubre de 1998</w:t>
      </w:r>
      <w:r w:rsidRPr="00A25B85">
        <w:rPr>
          <w:rFonts w:ascii="Cambria" w:hAnsi="Cambria"/>
          <w:color w:val="auto"/>
          <w:sz w:val="16"/>
          <w:szCs w:val="16"/>
          <w:lang w:val="es-ES"/>
        </w:rPr>
        <w:t>. Véase una lista de estas personas en el anexo XX.</w:t>
      </w:r>
    </w:p>
  </w:footnote>
  <w:footnote w:id="46">
    <w:p w14:paraId="725F2E57" w14:textId="4D55D155" w:rsidR="00F005B1" w:rsidRPr="00A25B85" w:rsidRDefault="00F005B1" w:rsidP="00067F9E">
      <w:pPr>
        <w:pStyle w:val="FootnoteText"/>
        <w:jc w:val="both"/>
        <w:rPr>
          <w:rFonts w:ascii="Cambria" w:hAnsi="Cambria"/>
          <w:b/>
          <w:color w:val="auto"/>
          <w:sz w:val="16"/>
          <w:szCs w:val="16"/>
          <w:u w:val="single"/>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7</w:t>
      </w:r>
      <w:r w:rsidRPr="00A25B85">
        <w:rPr>
          <w:rFonts w:ascii="Cambria" w:hAnsi="Cambria"/>
          <w:color w:val="auto"/>
          <w:sz w:val="16"/>
          <w:szCs w:val="16"/>
          <w:lang w:val="es-ES"/>
        </w:rPr>
        <w:t xml:space="preserve">. Memorando del Instituto de Derechos Humanos de la Universidad de St. Thomas al CEJIL, del 2 de diciembre de 1998, en el cual se indican otras posibles víctimas.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47">
    <w:p w14:paraId="4881BCCF" w14:textId="43B08CA5"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El 14 de agosto de 1998 se otorgaron medidas cautelares, en las cuales se solicitaba al Estado que suspendiera la deportación de ciudadanos cubanos de las Bahamas a Cuba hasta que la Comisión hubiera tenido la oportunidad de investigar los reclamos de </w:t>
      </w:r>
      <w:r>
        <w:rPr>
          <w:rFonts w:ascii="Cambria" w:hAnsi="Cambria"/>
          <w:color w:val="auto"/>
          <w:sz w:val="16"/>
          <w:szCs w:val="16"/>
          <w:lang w:val="es-ES"/>
        </w:rPr>
        <w:t>la parte peticionaria</w:t>
      </w:r>
      <w:r w:rsidRPr="00A25B85">
        <w:rPr>
          <w:rFonts w:ascii="Cambria" w:hAnsi="Cambria"/>
          <w:color w:val="auto"/>
          <w:sz w:val="16"/>
          <w:szCs w:val="16"/>
          <w:lang w:val="es-ES"/>
        </w:rPr>
        <w:t>.</w:t>
      </w:r>
    </w:p>
  </w:footnote>
  <w:footnote w:id="48">
    <w:p w14:paraId="34353F1F" w14:textId="4BFB20BB"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6</w:t>
      </w:r>
      <w:r w:rsidRPr="00A25B85">
        <w:rPr>
          <w:rFonts w:ascii="Cambria" w:hAnsi="Cambria"/>
          <w:color w:val="auto"/>
          <w:sz w:val="16"/>
          <w:szCs w:val="16"/>
          <w:lang w:val="es-ES"/>
        </w:rPr>
        <w:t xml:space="preserve">. Departamento de Inmigración de las Bahamas. </w:t>
      </w:r>
      <w:r w:rsidRPr="000265CB">
        <w:rPr>
          <w:rFonts w:ascii="Cambria" w:hAnsi="Cambria"/>
          <w:i/>
          <w:color w:val="auto"/>
          <w:sz w:val="16"/>
          <w:szCs w:val="16"/>
        </w:rPr>
        <w:t xml:space="preserve">Approved </w:t>
      </w:r>
      <w:r w:rsidRPr="000265CB">
        <w:rPr>
          <w:rFonts w:ascii="Cambria" w:hAnsi="Cambria"/>
          <w:i/>
          <w:sz w:val="16"/>
          <w:szCs w:val="16"/>
          <w:bdr w:val="none" w:sz="0" w:space="0" w:color="auto" w:frame="1"/>
        </w:rPr>
        <w:t>Cuban nationals</w:t>
      </w:r>
      <w:r w:rsidRPr="000265CB">
        <w:rPr>
          <w:rFonts w:ascii="Cambria" w:hAnsi="Cambria"/>
          <w:i/>
          <w:color w:val="auto"/>
          <w:sz w:val="16"/>
          <w:szCs w:val="16"/>
        </w:rPr>
        <w:t xml:space="preserve"> for repatriation</w:t>
      </w:r>
      <w:r w:rsidRPr="000265CB">
        <w:rPr>
          <w:rFonts w:ascii="Cambria" w:hAnsi="Cambria"/>
          <w:color w:val="auto"/>
          <w:sz w:val="16"/>
          <w:szCs w:val="16"/>
        </w:rPr>
        <w:t xml:space="preserve">. </w:t>
      </w:r>
      <w:r w:rsidRPr="00A25B85">
        <w:rPr>
          <w:rFonts w:ascii="Cambria" w:hAnsi="Cambria"/>
          <w:color w:val="auto"/>
          <w:sz w:val="16"/>
          <w:szCs w:val="16"/>
          <w:lang w:val="es-ES"/>
        </w:rPr>
        <w:t>20 de octubre de 1998. Adjunto a la respuesta del Estado del 23 de octubre de 1998, números 10 a 12.</w:t>
      </w:r>
    </w:p>
  </w:footnote>
  <w:footnote w:id="49">
    <w:p w14:paraId="79C34DA4" w14:textId="7A867561"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Entrevistas de personas que habían estado en las Bahamas en el Centro Nutricional Little y en la Universidad de St. Thomas, realizadas en Miami (Florida) el 17 y 18 de noviembre de 1998.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50">
    <w:p w14:paraId="5486946C" w14:textId="4D3964DE"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Entrevistas de personas que habían estado en las Bahamas en el Centro Nutricional Little y en la Universidad de St. Thomas, realizadas en Miami (Florida) el 17 y 18 de noviembre de 1998.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51">
    <w:p w14:paraId="49F8D936" w14:textId="6F941E73"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Entrevistas de personas que habían estado en las Bahamas en el Centro Nutricional Little y en la Universidad de St. Thomas, realizadas en Miami (Florida) el 17 y 18 de noviembre de 1998.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52">
    <w:p w14:paraId="6AB1CE9F" w14:textId="4A05447C"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9</w:t>
      </w:r>
      <w:r w:rsidRPr="00A25B85">
        <w:rPr>
          <w:rFonts w:ascii="Cambria" w:hAnsi="Cambria"/>
          <w:color w:val="auto"/>
          <w:sz w:val="16"/>
          <w:szCs w:val="16"/>
          <w:lang w:val="es-ES"/>
        </w:rPr>
        <w:t xml:space="preserve">. Carta del Departamento de Justicia de Estados Unidos al señor Rochela, de fecha 24 de agosto de 1998, adjunta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53">
    <w:p w14:paraId="42509A14" w14:textId="6261EC9C"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10</w:t>
      </w:r>
      <w:r w:rsidRPr="00A25B85">
        <w:rPr>
          <w:rFonts w:ascii="Cambria" w:hAnsi="Cambria"/>
          <w:color w:val="auto"/>
          <w:sz w:val="16"/>
          <w:szCs w:val="16"/>
          <w:lang w:val="es-ES"/>
        </w:rPr>
        <w:t xml:space="preserve">. Petición para familiar de refugiado o asilado llenada por Jorge Juan Rochela, de fecha 28 de agosto de 1998, adjunta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 véase también Anexo X. Carta del Instituto de Derechos Humanos de la Universidad de St. Thomas al Secretario Permanente Adjunto del Ministerio de Trabajo e Inmigración, de fecha 28 de agosto de 1998, adjunta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 La petición fue recibida por el Servicio de Inmigración y Naturalización de Estados Unidos el 3 de septiembre de 1998. </w:t>
      </w:r>
      <w:r w:rsidRPr="000265CB">
        <w:rPr>
          <w:rFonts w:ascii="Cambria" w:hAnsi="Cambria"/>
          <w:color w:val="auto"/>
          <w:sz w:val="16"/>
          <w:szCs w:val="16"/>
        </w:rPr>
        <w:t xml:space="preserve">Anexo X. </w:t>
      </w:r>
      <w:r w:rsidRPr="000265CB">
        <w:rPr>
          <w:rFonts w:ascii="Cambria" w:hAnsi="Cambria"/>
          <w:i/>
          <w:color w:val="auto"/>
          <w:sz w:val="16"/>
          <w:szCs w:val="16"/>
        </w:rPr>
        <w:t xml:space="preserve">Notice of Action, the United States of America, Beneficiary </w:t>
      </w:r>
      <w:proofErr w:type="spellStart"/>
      <w:r w:rsidRPr="000265CB">
        <w:rPr>
          <w:rFonts w:ascii="Cambria" w:hAnsi="Cambria"/>
          <w:i/>
          <w:color w:val="auto"/>
          <w:sz w:val="16"/>
          <w:szCs w:val="16"/>
        </w:rPr>
        <w:t>Mildrey</w:t>
      </w:r>
      <w:proofErr w:type="spellEnd"/>
      <w:r w:rsidRPr="000265CB">
        <w:rPr>
          <w:rFonts w:ascii="Cambria" w:hAnsi="Cambria"/>
          <w:i/>
          <w:color w:val="auto"/>
          <w:sz w:val="16"/>
          <w:szCs w:val="16"/>
        </w:rPr>
        <w:t xml:space="preserve"> Martin, Jorge </w:t>
      </w:r>
      <w:proofErr w:type="spellStart"/>
      <w:r w:rsidRPr="000265CB">
        <w:rPr>
          <w:rFonts w:ascii="Cambria" w:hAnsi="Cambria"/>
          <w:i/>
          <w:color w:val="auto"/>
          <w:sz w:val="16"/>
          <w:szCs w:val="16"/>
        </w:rPr>
        <w:t>Rochela</w:t>
      </w:r>
      <w:proofErr w:type="spellEnd"/>
      <w:r w:rsidRPr="000265CB">
        <w:rPr>
          <w:rFonts w:ascii="Cambria" w:hAnsi="Cambria"/>
          <w:i/>
          <w:color w:val="auto"/>
          <w:sz w:val="16"/>
          <w:szCs w:val="16"/>
        </w:rPr>
        <w:t>, Nieves Marlen Escuela</w:t>
      </w:r>
      <w:r w:rsidRPr="000265CB">
        <w:rPr>
          <w:rFonts w:ascii="Cambria" w:hAnsi="Cambria"/>
          <w:color w:val="auto"/>
          <w:sz w:val="16"/>
          <w:szCs w:val="16"/>
        </w:rPr>
        <w:t xml:space="preserve">. </w:t>
      </w:r>
      <w:r w:rsidRPr="00A25B85">
        <w:rPr>
          <w:rFonts w:ascii="Cambria" w:hAnsi="Cambria"/>
          <w:color w:val="auto"/>
          <w:sz w:val="16"/>
          <w:szCs w:val="16"/>
          <w:lang w:val="es-ES"/>
        </w:rPr>
        <w:t xml:space="preserve">3 de septiembre de 1998,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54">
    <w:p w14:paraId="2933D5D2" w14:textId="7AB27B54"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Entrevistas de personas que habían estado en las Bahamas en el Centro Nutricional Little y en la Universidad de St. Thomas, realizadas en Miami (Florida) el 17 y 18 de noviembre de 1998. Adjunto a la comunicación de </w:t>
      </w:r>
      <w:r>
        <w:rPr>
          <w:rFonts w:ascii="Cambria" w:hAnsi="Cambria"/>
          <w:sz w:val="16"/>
          <w:szCs w:val="16"/>
          <w:bdr w:val="none" w:sz="0" w:space="0" w:color="auto" w:frame="1"/>
          <w:lang w:val="es-ES"/>
        </w:rPr>
        <w:t>la parte peticionaria</w:t>
      </w:r>
      <w:r w:rsidRPr="00A25B85">
        <w:rPr>
          <w:rFonts w:ascii="Cambria" w:hAnsi="Cambria"/>
          <w:sz w:val="16"/>
          <w:szCs w:val="16"/>
          <w:bdr w:val="none" w:sz="0" w:space="0" w:color="auto" w:frame="1"/>
          <w:lang w:val="es-ES"/>
        </w:rPr>
        <w:t xml:space="preserve"> del 10 de diciembre de 1998</w:t>
      </w:r>
      <w:r w:rsidRPr="00A25B85">
        <w:rPr>
          <w:rFonts w:ascii="Cambria" w:hAnsi="Cambria"/>
          <w:color w:val="auto"/>
          <w:sz w:val="16"/>
          <w:szCs w:val="16"/>
          <w:lang w:val="es-ES"/>
        </w:rPr>
        <w:t>.</w:t>
      </w:r>
    </w:p>
  </w:footnote>
  <w:footnote w:id="55">
    <w:p w14:paraId="449EA9FD" w14:textId="20C608DD"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11</w:t>
      </w:r>
      <w:r w:rsidRPr="00A25B85">
        <w:rPr>
          <w:rFonts w:ascii="Cambria" w:hAnsi="Cambria"/>
          <w:color w:val="auto"/>
          <w:sz w:val="16"/>
          <w:szCs w:val="16"/>
          <w:lang w:val="es-ES"/>
        </w:rPr>
        <w:t xml:space="preserve">. Carta del Instituto de Derechos Humanos de la Universidad de St. Thomas al Secretario Permanente Adjunto del Ministerio de Trabajo e Inmigración, de fecha 28 de agosto de 1998, adjunta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56">
    <w:p w14:paraId="15EC1A71" w14:textId="784F739B"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6</w:t>
      </w:r>
      <w:r w:rsidRPr="00A25B85">
        <w:rPr>
          <w:rFonts w:ascii="Cambria" w:hAnsi="Cambria"/>
          <w:color w:val="auto"/>
          <w:sz w:val="16"/>
          <w:szCs w:val="16"/>
          <w:lang w:val="es-ES"/>
        </w:rPr>
        <w:t xml:space="preserve">. Departamento de Inmigración de las Bahamas. </w:t>
      </w:r>
      <w:r w:rsidRPr="000265CB">
        <w:rPr>
          <w:rFonts w:ascii="Cambria" w:hAnsi="Cambria"/>
          <w:i/>
          <w:color w:val="auto"/>
          <w:sz w:val="16"/>
          <w:szCs w:val="16"/>
        </w:rPr>
        <w:t xml:space="preserve">Approved </w:t>
      </w:r>
      <w:r w:rsidRPr="000265CB">
        <w:rPr>
          <w:rFonts w:ascii="Cambria" w:hAnsi="Cambria"/>
          <w:i/>
          <w:sz w:val="16"/>
          <w:szCs w:val="16"/>
          <w:bdr w:val="none" w:sz="0" w:space="0" w:color="auto" w:frame="1"/>
        </w:rPr>
        <w:t>Cuban nationals</w:t>
      </w:r>
      <w:r w:rsidRPr="000265CB">
        <w:rPr>
          <w:rFonts w:ascii="Cambria" w:hAnsi="Cambria"/>
          <w:i/>
          <w:color w:val="auto"/>
          <w:sz w:val="16"/>
          <w:szCs w:val="16"/>
        </w:rPr>
        <w:t xml:space="preserve"> for repatriation</w:t>
      </w:r>
      <w:r w:rsidRPr="000265CB">
        <w:rPr>
          <w:rFonts w:ascii="Cambria" w:hAnsi="Cambria"/>
          <w:color w:val="auto"/>
          <w:sz w:val="16"/>
          <w:szCs w:val="16"/>
        </w:rPr>
        <w:t xml:space="preserve">. </w:t>
      </w:r>
      <w:r w:rsidRPr="00A25B85">
        <w:rPr>
          <w:rFonts w:ascii="Cambria" w:hAnsi="Cambria"/>
          <w:color w:val="auto"/>
          <w:sz w:val="16"/>
          <w:szCs w:val="16"/>
          <w:lang w:val="es-ES"/>
        </w:rPr>
        <w:t>20 de octubre de 1998. Adjunto a la respuesta del Estado del 23 de octubre de 1998, números 10 a 12.</w:t>
      </w:r>
    </w:p>
  </w:footnote>
  <w:footnote w:id="57">
    <w:p w14:paraId="1DBF1820" w14:textId="3358300D"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Entrevistas de personas que habían estado en las Bahamas en el Centro Nutricional Little y en la Universidad de St. Thomas, realizadas en Miami (Florida) el 17 y 18 de noviembre de 1998.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58">
    <w:p w14:paraId="470D4A82" w14:textId="5AF72ED3"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Entrevistas de personas que habían estado en las Bahamas en el Centro Nutricional Little y en la Universidad de St. Thomas, realizadas en Miami (Florida) el 17 y 18 de noviembre de 1998.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59">
    <w:p w14:paraId="63F0309F" w14:textId="4ECD0D32"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13</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Memorando del Instituto de </w:t>
      </w:r>
      <w:r>
        <w:rPr>
          <w:rFonts w:ascii="Cambria" w:hAnsi="Cambria"/>
          <w:sz w:val="16"/>
          <w:szCs w:val="16"/>
          <w:bdr w:val="none" w:sz="0" w:space="0" w:color="auto" w:frame="1"/>
          <w:lang w:val="es-ES"/>
        </w:rPr>
        <w:t>DDHH</w:t>
      </w:r>
      <w:r w:rsidRPr="00A25B85">
        <w:rPr>
          <w:rFonts w:ascii="Cambria" w:hAnsi="Cambria"/>
          <w:sz w:val="16"/>
          <w:szCs w:val="16"/>
          <w:bdr w:val="none" w:sz="0" w:space="0" w:color="auto" w:frame="1"/>
          <w:lang w:val="es-ES"/>
        </w:rPr>
        <w:t xml:space="preserve"> de la Universidad de St. Thomas al CEJIL, del 2 de diciembre de 1998, en el cual se indican otras posibles víctimas, adjunto a la comunicación de </w:t>
      </w:r>
      <w:r>
        <w:rPr>
          <w:rFonts w:ascii="Cambria" w:hAnsi="Cambria"/>
          <w:sz w:val="16"/>
          <w:szCs w:val="16"/>
          <w:bdr w:val="none" w:sz="0" w:space="0" w:color="auto" w:frame="1"/>
          <w:lang w:val="es-ES"/>
        </w:rPr>
        <w:t>la parte peticionaria</w:t>
      </w:r>
      <w:r w:rsidRPr="00A25B85">
        <w:rPr>
          <w:rFonts w:ascii="Cambria" w:hAnsi="Cambria"/>
          <w:sz w:val="16"/>
          <w:szCs w:val="16"/>
          <w:bdr w:val="none" w:sz="0" w:space="0" w:color="auto" w:frame="1"/>
          <w:lang w:val="es-ES"/>
        </w:rPr>
        <w:t xml:space="preserve"> del 10 de diciembre de 1998</w:t>
      </w:r>
      <w:r w:rsidRPr="00A25B85">
        <w:rPr>
          <w:rFonts w:ascii="Cambria" w:hAnsi="Cambria"/>
          <w:color w:val="auto"/>
          <w:sz w:val="16"/>
          <w:szCs w:val="16"/>
          <w:lang w:val="es-ES"/>
        </w:rPr>
        <w:t>.</w:t>
      </w:r>
    </w:p>
  </w:footnote>
  <w:footnote w:id="60">
    <w:p w14:paraId="108623F9" w14:textId="6BB17E2E"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13</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Memorando del Instituto de </w:t>
      </w:r>
      <w:r>
        <w:rPr>
          <w:rFonts w:ascii="Cambria" w:hAnsi="Cambria"/>
          <w:sz w:val="16"/>
          <w:szCs w:val="16"/>
          <w:bdr w:val="none" w:sz="0" w:space="0" w:color="auto" w:frame="1"/>
          <w:lang w:val="es-ES"/>
        </w:rPr>
        <w:t>DDHH</w:t>
      </w:r>
      <w:r w:rsidRPr="00A25B85">
        <w:rPr>
          <w:rFonts w:ascii="Cambria" w:hAnsi="Cambria"/>
          <w:sz w:val="16"/>
          <w:szCs w:val="16"/>
          <w:bdr w:val="none" w:sz="0" w:space="0" w:color="auto" w:frame="1"/>
          <w:lang w:val="es-ES"/>
        </w:rPr>
        <w:t xml:space="preserve"> de la Universidad de St. Thomas al CEJIL, del 2 de diciembre de 1998, en el cual se indican otras posibles víctimas, adjunto a la comunicación de </w:t>
      </w:r>
      <w:r>
        <w:rPr>
          <w:rFonts w:ascii="Cambria" w:hAnsi="Cambria"/>
          <w:sz w:val="16"/>
          <w:szCs w:val="16"/>
          <w:bdr w:val="none" w:sz="0" w:space="0" w:color="auto" w:frame="1"/>
          <w:lang w:val="es-ES"/>
        </w:rPr>
        <w:t>la parte peticionaria</w:t>
      </w:r>
      <w:r w:rsidRPr="00A25B85">
        <w:rPr>
          <w:rFonts w:ascii="Cambria" w:hAnsi="Cambria"/>
          <w:sz w:val="16"/>
          <w:szCs w:val="16"/>
          <w:bdr w:val="none" w:sz="0" w:space="0" w:color="auto" w:frame="1"/>
          <w:lang w:val="es-ES"/>
        </w:rPr>
        <w:t xml:space="preserve"> del 10 de diciembre de 1998</w:t>
      </w:r>
      <w:r w:rsidRPr="00A25B85">
        <w:rPr>
          <w:rFonts w:ascii="Cambria" w:hAnsi="Cambria"/>
          <w:color w:val="auto"/>
          <w:sz w:val="16"/>
          <w:szCs w:val="16"/>
          <w:lang w:val="es-ES"/>
        </w:rPr>
        <w:t>.</w:t>
      </w:r>
    </w:p>
  </w:footnote>
  <w:footnote w:id="61">
    <w:p w14:paraId="051EC3A1" w14:textId="7B95F383"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13</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Memorando del Instituto de </w:t>
      </w:r>
      <w:r>
        <w:rPr>
          <w:rFonts w:ascii="Cambria" w:hAnsi="Cambria"/>
          <w:sz w:val="16"/>
          <w:szCs w:val="16"/>
          <w:bdr w:val="none" w:sz="0" w:space="0" w:color="auto" w:frame="1"/>
          <w:lang w:val="es-ES"/>
        </w:rPr>
        <w:t>DDHH</w:t>
      </w:r>
      <w:r w:rsidRPr="00A25B85">
        <w:rPr>
          <w:rFonts w:ascii="Cambria" w:hAnsi="Cambria"/>
          <w:sz w:val="16"/>
          <w:szCs w:val="16"/>
          <w:bdr w:val="none" w:sz="0" w:space="0" w:color="auto" w:frame="1"/>
          <w:lang w:val="es-ES"/>
        </w:rPr>
        <w:t xml:space="preserve"> de la Universidad de St. Thomas al CEJIL, del 2 de diciembre de 1998, en el cual se indican otras posibles víctimas, adjunto a la comunicación de </w:t>
      </w:r>
      <w:r>
        <w:rPr>
          <w:rFonts w:ascii="Cambria" w:hAnsi="Cambria"/>
          <w:sz w:val="16"/>
          <w:szCs w:val="16"/>
          <w:bdr w:val="none" w:sz="0" w:space="0" w:color="auto" w:frame="1"/>
          <w:lang w:val="es-ES"/>
        </w:rPr>
        <w:t>la parte peticionaria</w:t>
      </w:r>
      <w:r w:rsidRPr="00A25B85">
        <w:rPr>
          <w:rFonts w:ascii="Cambria" w:hAnsi="Cambria"/>
          <w:sz w:val="16"/>
          <w:szCs w:val="16"/>
          <w:bdr w:val="none" w:sz="0" w:space="0" w:color="auto" w:frame="1"/>
          <w:lang w:val="es-ES"/>
        </w:rPr>
        <w:t xml:space="preserve"> del 10 de diciembre de 1998</w:t>
      </w:r>
      <w:r w:rsidRPr="00A25B85">
        <w:rPr>
          <w:rFonts w:ascii="Cambria" w:hAnsi="Cambria"/>
          <w:color w:val="auto"/>
          <w:sz w:val="16"/>
          <w:szCs w:val="16"/>
          <w:lang w:val="es-ES"/>
        </w:rPr>
        <w:t>.</w:t>
      </w:r>
    </w:p>
  </w:footnote>
  <w:footnote w:id="62">
    <w:p w14:paraId="0843A57F" w14:textId="58CF1CE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13</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Memorando del Instituto de </w:t>
      </w:r>
      <w:r>
        <w:rPr>
          <w:rFonts w:ascii="Cambria" w:hAnsi="Cambria"/>
          <w:sz w:val="16"/>
          <w:szCs w:val="16"/>
          <w:bdr w:val="none" w:sz="0" w:space="0" w:color="auto" w:frame="1"/>
          <w:lang w:val="es-ES"/>
        </w:rPr>
        <w:t>DDHH</w:t>
      </w:r>
      <w:r w:rsidRPr="00A25B85">
        <w:rPr>
          <w:rFonts w:ascii="Cambria" w:hAnsi="Cambria"/>
          <w:sz w:val="16"/>
          <w:szCs w:val="16"/>
          <w:bdr w:val="none" w:sz="0" w:space="0" w:color="auto" w:frame="1"/>
          <w:lang w:val="es-ES"/>
        </w:rPr>
        <w:t xml:space="preserve"> de la Universidad de St. Thomas al CEJIL, del 2 de diciembre de 1998, en el cual se indican otras posibles víctimas, adjunto a la comunicación de </w:t>
      </w:r>
      <w:r>
        <w:rPr>
          <w:rFonts w:ascii="Cambria" w:hAnsi="Cambria"/>
          <w:sz w:val="16"/>
          <w:szCs w:val="16"/>
          <w:bdr w:val="none" w:sz="0" w:space="0" w:color="auto" w:frame="1"/>
          <w:lang w:val="es-ES"/>
        </w:rPr>
        <w:t>la parte peticionaria</w:t>
      </w:r>
      <w:r w:rsidRPr="00A25B85">
        <w:rPr>
          <w:rFonts w:ascii="Cambria" w:hAnsi="Cambria"/>
          <w:sz w:val="16"/>
          <w:szCs w:val="16"/>
          <w:bdr w:val="none" w:sz="0" w:space="0" w:color="auto" w:frame="1"/>
          <w:lang w:val="es-ES"/>
        </w:rPr>
        <w:t xml:space="preserve"> del 10 de diciembre de 1998</w:t>
      </w:r>
      <w:r w:rsidRPr="00A25B85">
        <w:rPr>
          <w:rFonts w:ascii="Cambria" w:hAnsi="Cambria"/>
          <w:color w:val="auto"/>
          <w:sz w:val="16"/>
          <w:szCs w:val="16"/>
          <w:lang w:val="es-ES"/>
        </w:rPr>
        <w:t>.</w:t>
      </w:r>
    </w:p>
  </w:footnote>
  <w:footnote w:id="63">
    <w:p w14:paraId="2630C0D8" w14:textId="0E3E30EF"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Entrevistas de personas que habían estado en las Bahamas en el Centro Nutricional Little y en la Universidad de St. Thomas, realizadas en Miami (Florida) el 17 y 18 de noviembre de 1998: </w:t>
      </w:r>
      <w:proofErr w:type="spellStart"/>
      <w:r w:rsidRPr="00A25B85">
        <w:rPr>
          <w:rFonts w:ascii="Cambria" w:hAnsi="Cambria"/>
          <w:color w:val="auto"/>
          <w:sz w:val="16"/>
          <w:szCs w:val="16"/>
          <w:lang w:val="es-ES"/>
        </w:rPr>
        <w:t>Magalis</w:t>
      </w:r>
      <w:proofErr w:type="spellEnd"/>
      <w:r w:rsidRPr="00A25B85">
        <w:rPr>
          <w:rFonts w:ascii="Cambria" w:hAnsi="Cambria"/>
          <w:color w:val="auto"/>
          <w:sz w:val="16"/>
          <w:szCs w:val="16"/>
          <w:lang w:val="es-ES"/>
        </w:rPr>
        <w:t xml:space="preserve"> Montero y Ángel González.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64">
    <w:p w14:paraId="3762F1CA" w14:textId="29EE8A02"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14</w:t>
      </w:r>
      <w:r w:rsidRPr="00A25B85">
        <w:rPr>
          <w:rFonts w:ascii="Cambria" w:hAnsi="Cambria"/>
          <w:color w:val="auto"/>
          <w:sz w:val="16"/>
          <w:szCs w:val="16"/>
          <w:lang w:val="es-ES"/>
        </w:rPr>
        <w:t xml:space="preserve">. Hoja para el entrevistador del Open </w:t>
      </w:r>
      <w:proofErr w:type="spellStart"/>
      <w:r w:rsidRPr="00A25B85">
        <w:rPr>
          <w:rFonts w:ascii="Cambria" w:hAnsi="Cambria"/>
          <w:color w:val="auto"/>
          <w:sz w:val="16"/>
          <w:szCs w:val="16"/>
          <w:lang w:val="es-ES"/>
        </w:rPr>
        <w:t>Society</w:t>
      </w:r>
      <w:proofErr w:type="spellEnd"/>
      <w:r w:rsidRPr="00A25B85">
        <w:rPr>
          <w:rFonts w:ascii="Cambria" w:hAnsi="Cambria"/>
          <w:color w:val="auto"/>
          <w:sz w:val="16"/>
          <w:szCs w:val="16"/>
          <w:lang w:val="es-ES"/>
        </w:rPr>
        <w:t xml:space="preserve"> </w:t>
      </w:r>
      <w:proofErr w:type="spellStart"/>
      <w:r w:rsidRPr="00A25B85">
        <w:rPr>
          <w:rFonts w:ascii="Cambria" w:hAnsi="Cambria"/>
          <w:color w:val="auto"/>
          <w:sz w:val="16"/>
          <w:szCs w:val="16"/>
          <w:lang w:val="es-ES"/>
        </w:rPr>
        <w:t>Institute</w:t>
      </w:r>
      <w:proofErr w:type="spellEnd"/>
      <w:r w:rsidRPr="00A25B85">
        <w:rPr>
          <w:rFonts w:ascii="Cambria" w:hAnsi="Cambria"/>
          <w:color w:val="auto"/>
          <w:sz w:val="16"/>
          <w:szCs w:val="16"/>
          <w:lang w:val="es-ES"/>
        </w:rPr>
        <w:t>: Alberto Medina Fuentes, 28 de abril de 1998, adjunta a la petición revisada del 15 de mayo de 1998.</w:t>
      </w:r>
    </w:p>
  </w:footnote>
  <w:footnote w:id="65">
    <w:p w14:paraId="69E2AB9F" w14:textId="5CCE817B"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15</w:t>
      </w:r>
      <w:r w:rsidRPr="00A25B85">
        <w:rPr>
          <w:rFonts w:ascii="Cambria" w:hAnsi="Cambria"/>
          <w:color w:val="auto"/>
          <w:sz w:val="16"/>
          <w:szCs w:val="16"/>
          <w:lang w:val="es-ES"/>
        </w:rPr>
        <w:t xml:space="preserve">. Hoja para el entrevistador del Open </w:t>
      </w:r>
      <w:proofErr w:type="spellStart"/>
      <w:r w:rsidRPr="00A25B85">
        <w:rPr>
          <w:rFonts w:ascii="Cambria" w:hAnsi="Cambria"/>
          <w:color w:val="auto"/>
          <w:sz w:val="16"/>
          <w:szCs w:val="16"/>
          <w:lang w:val="es-ES"/>
        </w:rPr>
        <w:t>Society</w:t>
      </w:r>
      <w:proofErr w:type="spellEnd"/>
      <w:r w:rsidRPr="00A25B85">
        <w:rPr>
          <w:rFonts w:ascii="Cambria" w:hAnsi="Cambria"/>
          <w:color w:val="auto"/>
          <w:sz w:val="16"/>
          <w:szCs w:val="16"/>
          <w:lang w:val="es-ES"/>
        </w:rPr>
        <w:t xml:space="preserve"> </w:t>
      </w:r>
      <w:proofErr w:type="spellStart"/>
      <w:r w:rsidRPr="00A25B85">
        <w:rPr>
          <w:rFonts w:ascii="Cambria" w:hAnsi="Cambria"/>
          <w:color w:val="auto"/>
          <w:sz w:val="16"/>
          <w:szCs w:val="16"/>
          <w:lang w:val="es-ES"/>
        </w:rPr>
        <w:t>Institute</w:t>
      </w:r>
      <w:proofErr w:type="spellEnd"/>
      <w:r w:rsidRPr="00A25B85">
        <w:rPr>
          <w:rFonts w:ascii="Cambria" w:hAnsi="Cambria"/>
          <w:color w:val="auto"/>
          <w:sz w:val="16"/>
          <w:szCs w:val="16"/>
          <w:lang w:val="es-ES"/>
        </w:rPr>
        <w:t>: José Raúl González Gómez, 28 de abril de 1998, adjunta a la petición revisada del 15 de mayo de 1998.</w:t>
      </w:r>
    </w:p>
  </w:footnote>
  <w:footnote w:id="66">
    <w:p w14:paraId="37DED96A" w14:textId="1A76BE69"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Entrevistas de personas que habían estado en las Bahamas en el Centro Nutricional Little y en la Universidad de St. Thomas, realizadas en Miami (Florida) el 17 y 18 de noviembre de 1998: </w:t>
      </w:r>
      <w:proofErr w:type="spellStart"/>
      <w:r w:rsidRPr="00A25B85">
        <w:rPr>
          <w:rFonts w:ascii="Cambria" w:hAnsi="Cambria"/>
          <w:sz w:val="16"/>
          <w:szCs w:val="16"/>
          <w:bdr w:val="none" w:sz="0" w:space="0" w:color="auto" w:frame="1"/>
          <w:lang w:val="es-ES"/>
        </w:rPr>
        <w:t>Magalis</w:t>
      </w:r>
      <w:proofErr w:type="spellEnd"/>
      <w:r w:rsidRPr="00A25B85">
        <w:rPr>
          <w:rFonts w:ascii="Cambria" w:hAnsi="Cambria"/>
          <w:sz w:val="16"/>
          <w:szCs w:val="16"/>
          <w:bdr w:val="none" w:sz="0" w:space="0" w:color="auto" w:frame="1"/>
          <w:lang w:val="es-ES"/>
        </w:rPr>
        <w:t xml:space="preserve"> Montero y Ángel González. Adjunto a la comunicación de </w:t>
      </w:r>
      <w:r>
        <w:rPr>
          <w:rFonts w:ascii="Cambria" w:hAnsi="Cambria"/>
          <w:sz w:val="16"/>
          <w:szCs w:val="16"/>
          <w:bdr w:val="none" w:sz="0" w:space="0" w:color="auto" w:frame="1"/>
          <w:lang w:val="es-ES"/>
        </w:rPr>
        <w:t>la parte peticionaria</w:t>
      </w:r>
      <w:r w:rsidRPr="00A25B85">
        <w:rPr>
          <w:rFonts w:ascii="Cambria" w:hAnsi="Cambria"/>
          <w:sz w:val="16"/>
          <w:szCs w:val="16"/>
          <w:bdr w:val="none" w:sz="0" w:space="0" w:color="auto" w:frame="1"/>
          <w:lang w:val="es-ES"/>
        </w:rPr>
        <w:t xml:space="preserve"> del 10 de diciembre de 1998</w:t>
      </w:r>
      <w:r w:rsidRPr="00A25B85">
        <w:rPr>
          <w:rFonts w:ascii="Cambria" w:hAnsi="Cambria"/>
          <w:color w:val="auto"/>
          <w:sz w:val="16"/>
          <w:szCs w:val="16"/>
          <w:lang w:val="es-ES"/>
        </w:rPr>
        <w:t>.</w:t>
      </w:r>
    </w:p>
  </w:footnote>
  <w:footnote w:id="67">
    <w:p w14:paraId="7B478B80" w14:textId="62A4C437"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Entrevistas de personas que habían estado en las Bahamas en el Centro Nutricional Little y en la Universidad de St. Thomas, realizadas en Miami (Florida) el 17 y 18 de noviembre de 1998: </w:t>
      </w:r>
      <w:proofErr w:type="spellStart"/>
      <w:r w:rsidRPr="00A25B85">
        <w:rPr>
          <w:rFonts w:ascii="Cambria" w:hAnsi="Cambria"/>
          <w:color w:val="auto"/>
          <w:sz w:val="16"/>
          <w:szCs w:val="16"/>
          <w:lang w:val="es-ES"/>
        </w:rPr>
        <w:t>Magalis</w:t>
      </w:r>
      <w:proofErr w:type="spellEnd"/>
      <w:r w:rsidRPr="00A25B85">
        <w:rPr>
          <w:rFonts w:ascii="Cambria" w:hAnsi="Cambria"/>
          <w:color w:val="auto"/>
          <w:sz w:val="16"/>
          <w:szCs w:val="16"/>
          <w:lang w:val="es-ES"/>
        </w:rPr>
        <w:t xml:space="preserve"> Montero y Ángel González.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68">
    <w:p w14:paraId="02BF9F18" w14:textId="6BF1D3AD"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Entrevistas de personas que habían estado en las Bahamas en el Centro Nutricional Little y en la Universidad de St. Thomas, realizadas en Miami (Florida) el 17 y 18 de noviembre de 1998: </w:t>
      </w:r>
      <w:proofErr w:type="spellStart"/>
      <w:r w:rsidRPr="00A25B85">
        <w:rPr>
          <w:rFonts w:ascii="Cambria" w:hAnsi="Cambria"/>
          <w:sz w:val="16"/>
          <w:szCs w:val="16"/>
          <w:bdr w:val="none" w:sz="0" w:space="0" w:color="auto" w:frame="1"/>
          <w:lang w:val="es-ES"/>
        </w:rPr>
        <w:t>Magalis</w:t>
      </w:r>
      <w:proofErr w:type="spellEnd"/>
      <w:r w:rsidRPr="00A25B85">
        <w:rPr>
          <w:rFonts w:ascii="Cambria" w:hAnsi="Cambria"/>
          <w:sz w:val="16"/>
          <w:szCs w:val="16"/>
          <w:bdr w:val="none" w:sz="0" w:space="0" w:color="auto" w:frame="1"/>
          <w:lang w:val="es-ES"/>
        </w:rPr>
        <w:t xml:space="preserve"> Montero y Ángel González. Adjunto a la comunicación de </w:t>
      </w:r>
      <w:r>
        <w:rPr>
          <w:rFonts w:ascii="Cambria" w:hAnsi="Cambria"/>
          <w:sz w:val="16"/>
          <w:szCs w:val="16"/>
          <w:bdr w:val="none" w:sz="0" w:space="0" w:color="auto" w:frame="1"/>
          <w:lang w:val="es-ES"/>
        </w:rPr>
        <w:t>la parte peticionaria</w:t>
      </w:r>
      <w:r w:rsidRPr="00A25B85">
        <w:rPr>
          <w:rFonts w:ascii="Cambria" w:hAnsi="Cambria"/>
          <w:sz w:val="16"/>
          <w:szCs w:val="16"/>
          <w:bdr w:val="none" w:sz="0" w:space="0" w:color="auto" w:frame="1"/>
          <w:lang w:val="es-ES"/>
        </w:rPr>
        <w:t xml:space="preserve"> del 10 de diciembre de 1998</w:t>
      </w:r>
      <w:r w:rsidRPr="00A25B85">
        <w:rPr>
          <w:rFonts w:ascii="Cambria" w:hAnsi="Cambria"/>
          <w:color w:val="auto"/>
          <w:sz w:val="16"/>
          <w:szCs w:val="16"/>
          <w:lang w:val="es-ES"/>
        </w:rPr>
        <w:t>.</w:t>
      </w:r>
    </w:p>
  </w:footnote>
  <w:footnote w:id="69">
    <w:p w14:paraId="0C471D49" w14:textId="7ADF66E8"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16</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Hoja para el entrevistador del Open </w:t>
      </w:r>
      <w:proofErr w:type="spellStart"/>
      <w:r w:rsidRPr="00A25B85">
        <w:rPr>
          <w:rFonts w:ascii="Cambria" w:hAnsi="Cambria"/>
          <w:sz w:val="16"/>
          <w:szCs w:val="16"/>
          <w:bdr w:val="none" w:sz="0" w:space="0" w:color="auto" w:frame="1"/>
          <w:lang w:val="es-ES"/>
        </w:rPr>
        <w:t>Society</w:t>
      </w:r>
      <w:proofErr w:type="spellEnd"/>
      <w:r w:rsidRPr="00A25B85">
        <w:rPr>
          <w:rFonts w:ascii="Cambria" w:hAnsi="Cambria"/>
          <w:sz w:val="16"/>
          <w:szCs w:val="16"/>
          <w:bdr w:val="none" w:sz="0" w:space="0" w:color="auto" w:frame="1"/>
          <w:lang w:val="es-ES"/>
        </w:rPr>
        <w:t xml:space="preserve"> </w:t>
      </w:r>
      <w:proofErr w:type="spellStart"/>
      <w:r w:rsidRPr="00A25B85">
        <w:rPr>
          <w:rFonts w:ascii="Cambria" w:hAnsi="Cambria"/>
          <w:sz w:val="16"/>
          <w:szCs w:val="16"/>
          <w:bdr w:val="none" w:sz="0" w:space="0" w:color="auto" w:frame="1"/>
          <w:lang w:val="es-ES"/>
        </w:rPr>
        <w:t>Institute</w:t>
      </w:r>
      <w:proofErr w:type="spellEnd"/>
      <w:r w:rsidRPr="00A25B85">
        <w:rPr>
          <w:rFonts w:ascii="Cambria" w:hAnsi="Cambria"/>
          <w:sz w:val="16"/>
          <w:szCs w:val="16"/>
          <w:bdr w:val="none" w:sz="0" w:space="0" w:color="auto" w:frame="1"/>
          <w:lang w:val="es-ES"/>
        </w:rPr>
        <w:t>:</w:t>
      </w:r>
      <w:r w:rsidRPr="00A25B85">
        <w:rPr>
          <w:rFonts w:ascii="Cambria" w:hAnsi="Cambria"/>
          <w:color w:val="auto"/>
          <w:sz w:val="16"/>
          <w:szCs w:val="16"/>
          <w:lang w:val="es-ES"/>
        </w:rPr>
        <w:t xml:space="preserve"> Tania Varona </w:t>
      </w:r>
      <w:proofErr w:type="spellStart"/>
      <w:r w:rsidRPr="00A25B85">
        <w:rPr>
          <w:rFonts w:ascii="Cambria" w:hAnsi="Cambria"/>
          <w:color w:val="auto"/>
          <w:sz w:val="16"/>
          <w:szCs w:val="16"/>
          <w:lang w:val="es-ES"/>
        </w:rPr>
        <w:t>Donet</w:t>
      </w:r>
      <w:proofErr w:type="spellEnd"/>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28 de abril de 1998, adjunta a la petición revisada del 15 de mayo de 1998</w:t>
      </w:r>
      <w:r w:rsidRPr="00A25B85">
        <w:rPr>
          <w:rFonts w:ascii="Cambria" w:hAnsi="Cambria"/>
          <w:color w:val="auto"/>
          <w:sz w:val="16"/>
          <w:szCs w:val="16"/>
          <w:lang w:val="es-ES"/>
        </w:rPr>
        <w:t>.</w:t>
      </w:r>
    </w:p>
  </w:footnote>
  <w:footnote w:id="70">
    <w:p w14:paraId="1F3B2A87" w14:textId="7479DA50"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8.</w:t>
      </w:r>
      <w:r w:rsidRPr="00A25B85">
        <w:rPr>
          <w:rFonts w:ascii="Cambria" w:hAnsi="Cambria"/>
          <w:color w:val="auto"/>
          <w:sz w:val="16"/>
          <w:szCs w:val="16"/>
          <w:lang w:val="es-ES"/>
        </w:rPr>
        <w:t xml:space="preserve"> Entrevistas de personas que habían estado en las Bahamas en el Centro Nutricional Little y en la Universidad de St. Thomas, realizadas en Miami (Florida) el 17 y 18 de noviembre de 1998: </w:t>
      </w:r>
      <w:proofErr w:type="spellStart"/>
      <w:r w:rsidRPr="00A25B85">
        <w:rPr>
          <w:rFonts w:ascii="Cambria" w:hAnsi="Cambria"/>
          <w:color w:val="auto"/>
          <w:sz w:val="16"/>
          <w:szCs w:val="16"/>
          <w:lang w:val="es-ES"/>
        </w:rPr>
        <w:t>Magalis</w:t>
      </w:r>
      <w:proofErr w:type="spellEnd"/>
      <w:r w:rsidRPr="00A25B85">
        <w:rPr>
          <w:rFonts w:ascii="Cambria" w:hAnsi="Cambria"/>
          <w:color w:val="auto"/>
          <w:sz w:val="16"/>
          <w:szCs w:val="16"/>
          <w:lang w:val="es-ES"/>
        </w:rPr>
        <w:t xml:space="preserve"> Montero, Ángel González y Yuri Delgado. Adjunto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71">
    <w:p w14:paraId="3BDB3F92" w14:textId="52D274CF" w:rsidR="00F005B1" w:rsidRPr="00A25B85" w:rsidRDefault="00F005B1" w:rsidP="002B3C52">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17</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Hoja para el entrevistador del Open </w:t>
      </w:r>
      <w:proofErr w:type="spellStart"/>
      <w:r w:rsidRPr="00A25B85">
        <w:rPr>
          <w:rFonts w:ascii="Cambria" w:hAnsi="Cambria"/>
          <w:sz w:val="16"/>
          <w:szCs w:val="16"/>
          <w:bdr w:val="none" w:sz="0" w:space="0" w:color="auto" w:frame="1"/>
          <w:lang w:val="es-ES"/>
        </w:rPr>
        <w:t>Society</w:t>
      </w:r>
      <w:proofErr w:type="spellEnd"/>
      <w:r w:rsidRPr="00A25B85">
        <w:rPr>
          <w:rFonts w:ascii="Cambria" w:hAnsi="Cambria"/>
          <w:sz w:val="16"/>
          <w:szCs w:val="16"/>
          <w:bdr w:val="none" w:sz="0" w:space="0" w:color="auto" w:frame="1"/>
          <w:lang w:val="es-ES"/>
        </w:rPr>
        <w:t xml:space="preserve"> </w:t>
      </w:r>
      <w:proofErr w:type="spellStart"/>
      <w:r w:rsidRPr="00A25B85">
        <w:rPr>
          <w:rFonts w:ascii="Cambria" w:hAnsi="Cambria"/>
          <w:sz w:val="16"/>
          <w:szCs w:val="16"/>
          <w:bdr w:val="none" w:sz="0" w:space="0" w:color="auto" w:frame="1"/>
          <w:lang w:val="es-ES"/>
        </w:rPr>
        <w:t>Institute</w:t>
      </w:r>
      <w:proofErr w:type="spellEnd"/>
      <w:r w:rsidRPr="00A25B85">
        <w:rPr>
          <w:rFonts w:ascii="Cambria" w:hAnsi="Cambria"/>
          <w:sz w:val="16"/>
          <w:szCs w:val="16"/>
          <w:bdr w:val="none" w:sz="0" w:space="0" w:color="auto" w:frame="1"/>
          <w:lang w:val="es-ES"/>
        </w:rPr>
        <w:t>:</w:t>
      </w:r>
      <w:r w:rsidRPr="00A25B85">
        <w:rPr>
          <w:rFonts w:ascii="Cambria" w:hAnsi="Cambria"/>
          <w:color w:val="auto"/>
          <w:sz w:val="16"/>
          <w:szCs w:val="16"/>
          <w:lang w:val="es-ES"/>
        </w:rPr>
        <w:t xml:space="preserve"> </w:t>
      </w:r>
      <w:proofErr w:type="spellStart"/>
      <w:r w:rsidRPr="00A25B85">
        <w:rPr>
          <w:rFonts w:ascii="Cambria" w:hAnsi="Cambria"/>
          <w:color w:val="auto"/>
          <w:sz w:val="16"/>
          <w:szCs w:val="16"/>
          <w:lang w:val="es-ES"/>
        </w:rPr>
        <w:t>Zoraya</w:t>
      </w:r>
      <w:proofErr w:type="spellEnd"/>
      <w:r w:rsidRPr="00A25B85">
        <w:rPr>
          <w:rFonts w:ascii="Cambria" w:hAnsi="Cambria"/>
          <w:color w:val="auto"/>
          <w:sz w:val="16"/>
          <w:szCs w:val="16"/>
          <w:lang w:val="es-ES"/>
        </w:rPr>
        <w:t xml:space="preserve"> Ferral Toledano, </w:t>
      </w:r>
      <w:r w:rsidRPr="00A25B85">
        <w:rPr>
          <w:rFonts w:ascii="Cambria" w:hAnsi="Cambria"/>
          <w:sz w:val="16"/>
          <w:szCs w:val="16"/>
          <w:bdr w:val="none" w:sz="0" w:space="0" w:color="auto" w:frame="1"/>
          <w:lang w:val="es-ES"/>
        </w:rPr>
        <w:t>28 de abril de 1998, adjunta a la petición revisada del 15 de mayo de 1998</w:t>
      </w:r>
      <w:r w:rsidRPr="00A25B85">
        <w:rPr>
          <w:rFonts w:ascii="Cambria" w:hAnsi="Cambria"/>
          <w:color w:val="auto"/>
          <w:sz w:val="16"/>
          <w:szCs w:val="16"/>
          <w:lang w:val="es-ES"/>
        </w:rPr>
        <w:t xml:space="preserve">; </w:t>
      </w:r>
      <w:r>
        <w:rPr>
          <w:rFonts w:ascii="Cambria" w:hAnsi="Cambria"/>
          <w:color w:val="auto"/>
          <w:sz w:val="16"/>
          <w:szCs w:val="16"/>
          <w:lang w:val="es-ES"/>
        </w:rPr>
        <w:t>Anexo 18</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Hoja para el entrevistador del Open </w:t>
      </w:r>
      <w:proofErr w:type="spellStart"/>
      <w:r w:rsidRPr="00A25B85">
        <w:rPr>
          <w:rFonts w:ascii="Cambria" w:hAnsi="Cambria"/>
          <w:sz w:val="16"/>
          <w:szCs w:val="16"/>
          <w:bdr w:val="none" w:sz="0" w:space="0" w:color="auto" w:frame="1"/>
          <w:lang w:val="es-ES"/>
        </w:rPr>
        <w:t>Society</w:t>
      </w:r>
      <w:proofErr w:type="spellEnd"/>
      <w:r w:rsidRPr="00A25B85">
        <w:rPr>
          <w:rFonts w:ascii="Cambria" w:hAnsi="Cambria"/>
          <w:sz w:val="16"/>
          <w:szCs w:val="16"/>
          <w:bdr w:val="none" w:sz="0" w:space="0" w:color="auto" w:frame="1"/>
          <w:lang w:val="es-ES"/>
        </w:rPr>
        <w:t xml:space="preserve"> </w:t>
      </w:r>
      <w:proofErr w:type="spellStart"/>
      <w:r w:rsidRPr="00A25B85">
        <w:rPr>
          <w:rFonts w:ascii="Cambria" w:hAnsi="Cambria"/>
          <w:sz w:val="16"/>
          <w:szCs w:val="16"/>
          <w:bdr w:val="none" w:sz="0" w:space="0" w:color="auto" w:frame="1"/>
          <w:lang w:val="es-ES"/>
        </w:rPr>
        <w:t>Institute</w:t>
      </w:r>
      <w:proofErr w:type="spellEnd"/>
      <w:r w:rsidRPr="00A25B85">
        <w:rPr>
          <w:rFonts w:ascii="Cambria" w:hAnsi="Cambria"/>
          <w:sz w:val="16"/>
          <w:szCs w:val="16"/>
          <w:bdr w:val="none" w:sz="0" w:space="0" w:color="auto" w:frame="1"/>
          <w:lang w:val="es-ES"/>
        </w:rPr>
        <w:t>:</w:t>
      </w:r>
      <w:r w:rsidRPr="00A25B85">
        <w:rPr>
          <w:rFonts w:ascii="Cambria" w:hAnsi="Cambria"/>
          <w:color w:val="auto"/>
          <w:sz w:val="16"/>
          <w:szCs w:val="16"/>
          <w:lang w:val="es-ES"/>
        </w:rPr>
        <w:t xml:space="preserve"> Tania Varona </w:t>
      </w:r>
      <w:proofErr w:type="spellStart"/>
      <w:r w:rsidRPr="00A25B85">
        <w:rPr>
          <w:rFonts w:ascii="Cambria" w:hAnsi="Cambria"/>
          <w:color w:val="auto"/>
          <w:sz w:val="16"/>
          <w:szCs w:val="16"/>
          <w:lang w:val="es-ES"/>
        </w:rPr>
        <w:t>Donet</w:t>
      </w:r>
      <w:proofErr w:type="spellEnd"/>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28 de abril de 1998, adjunta a la petición revisada del 15 de mayo de 1998</w:t>
      </w:r>
      <w:r w:rsidRPr="00A25B85">
        <w:rPr>
          <w:rFonts w:ascii="Cambria" w:hAnsi="Cambria"/>
          <w:color w:val="auto"/>
          <w:sz w:val="16"/>
          <w:szCs w:val="16"/>
          <w:lang w:val="es-ES"/>
        </w:rPr>
        <w:t xml:space="preserve">; </w:t>
      </w:r>
      <w:r>
        <w:rPr>
          <w:rFonts w:ascii="Cambria" w:hAnsi="Cambria"/>
          <w:color w:val="auto"/>
          <w:sz w:val="16"/>
          <w:szCs w:val="16"/>
          <w:lang w:val="es-ES"/>
        </w:rPr>
        <w:t>Anexo 19</w:t>
      </w:r>
      <w:r w:rsidRPr="00A25B85">
        <w:rPr>
          <w:rFonts w:ascii="Cambria" w:hAnsi="Cambria"/>
          <w:color w:val="auto"/>
          <w:sz w:val="16"/>
          <w:szCs w:val="16"/>
          <w:lang w:val="es-ES"/>
        </w:rPr>
        <w:t xml:space="preserve">. </w:t>
      </w:r>
      <w:r w:rsidRPr="00A25B85">
        <w:rPr>
          <w:rFonts w:ascii="Cambria" w:hAnsi="Cambria"/>
          <w:sz w:val="16"/>
          <w:szCs w:val="16"/>
          <w:bdr w:val="none" w:sz="0" w:space="0" w:color="auto" w:frame="1"/>
          <w:lang w:val="es-ES"/>
        </w:rPr>
        <w:t xml:space="preserve">Hoja para el entrevistador del Open </w:t>
      </w:r>
      <w:proofErr w:type="spellStart"/>
      <w:r w:rsidRPr="00A25B85">
        <w:rPr>
          <w:rFonts w:ascii="Cambria" w:hAnsi="Cambria"/>
          <w:sz w:val="16"/>
          <w:szCs w:val="16"/>
          <w:bdr w:val="none" w:sz="0" w:space="0" w:color="auto" w:frame="1"/>
          <w:lang w:val="es-ES"/>
        </w:rPr>
        <w:t>Society</w:t>
      </w:r>
      <w:proofErr w:type="spellEnd"/>
      <w:r w:rsidRPr="00A25B85">
        <w:rPr>
          <w:rFonts w:ascii="Cambria" w:hAnsi="Cambria"/>
          <w:sz w:val="16"/>
          <w:szCs w:val="16"/>
          <w:bdr w:val="none" w:sz="0" w:space="0" w:color="auto" w:frame="1"/>
          <w:lang w:val="es-ES"/>
        </w:rPr>
        <w:t xml:space="preserve"> </w:t>
      </w:r>
      <w:proofErr w:type="spellStart"/>
      <w:r w:rsidRPr="00A25B85">
        <w:rPr>
          <w:rFonts w:ascii="Cambria" w:hAnsi="Cambria"/>
          <w:sz w:val="16"/>
          <w:szCs w:val="16"/>
          <w:bdr w:val="none" w:sz="0" w:space="0" w:color="auto" w:frame="1"/>
          <w:lang w:val="es-ES"/>
        </w:rPr>
        <w:t>Institute</w:t>
      </w:r>
      <w:proofErr w:type="spellEnd"/>
      <w:r w:rsidRPr="00A25B85">
        <w:rPr>
          <w:rFonts w:ascii="Cambria" w:hAnsi="Cambria"/>
          <w:sz w:val="16"/>
          <w:szCs w:val="16"/>
          <w:bdr w:val="none" w:sz="0" w:space="0" w:color="auto" w:frame="1"/>
          <w:lang w:val="es-ES"/>
        </w:rPr>
        <w:t>:</w:t>
      </w:r>
      <w:r w:rsidRPr="00A25B85">
        <w:rPr>
          <w:rFonts w:ascii="Cambria" w:hAnsi="Cambria"/>
          <w:color w:val="auto"/>
          <w:sz w:val="16"/>
          <w:szCs w:val="16"/>
          <w:lang w:val="es-ES"/>
        </w:rPr>
        <w:t xml:space="preserve"> Alberto Medina Fuentes, </w:t>
      </w:r>
      <w:r w:rsidRPr="00A25B85">
        <w:rPr>
          <w:rFonts w:ascii="Cambria" w:hAnsi="Cambria"/>
          <w:sz w:val="16"/>
          <w:szCs w:val="16"/>
          <w:bdr w:val="none" w:sz="0" w:space="0" w:color="auto" w:frame="1"/>
          <w:lang w:val="es-ES"/>
        </w:rPr>
        <w:t>28 de abril de 1998, adjunta a la petición revisada del 15 de mayo de 1998</w:t>
      </w:r>
      <w:r w:rsidRPr="00A25B85">
        <w:rPr>
          <w:rFonts w:ascii="Cambria" w:hAnsi="Cambria"/>
          <w:color w:val="auto"/>
          <w:sz w:val="16"/>
          <w:szCs w:val="16"/>
          <w:lang w:val="es-ES"/>
        </w:rPr>
        <w:t>.</w:t>
      </w:r>
    </w:p>
  </w:footnote>
  <w:footnote w:id="72">
    <w:p w14:paraId="65229A04"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Respuesta del Estado de fecha 19 de septiembre de 2000.</w:t>
      </w:r>
    </w:p>
  </w:footnote>
  <w:footnote w:id="73">
    <w:p w14:paraId="7B7B8908" w14:textId="72778B9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rPr>
        <w:t xml:space="preserve"> Anexo 20. </w:t>
      </w:r>
      <w:r w:rsidRPr="000265CB">
        <w:rPr>
          <w:rFonts w:ascii="Cambria" w:hAnsi="Cambria"/>
          <w:i/>
          <w:color w:val="auto"/>
          <w:sz w:val="16"/>
          <w:szCs w:val="16"/>
        </w:rPr>
        <w:t>Draft Act [or Regulation] on Refugee Status and Asylum</w:t>
      </w:r>
      <w:r w:rsidRPr="000265CB">
        <w:rPr>
          <w:rFonts w:ascii="Cambria" w:hAnsi="Cambria"/>
          <w:color w:val="auto"/>
          <w:sz w:val="16"/>
          <w:szCs w:val="16"/>
        </w:rPr>
        <w:t xml:space="preserve">. </w:t>
      </w:r>
      <w:r w:rsidRPr="00A25B85">
        <w:rPr>
          <w:rFonts w:ascii="Cambria" w:hAnsi="Cambria"/>
          <w:color w:val="auto"/>
          <w:sz w:val="16"/>
          <w:szCs w:val="16"/>
          <w:lang w:val="es-ES"/>
        </w:rPr>
        <w:t xml:space="preserve">Adjunto a la respuesta del Estado del 19 de septiembre de 2000. Mediante esta ley se establece un Comité de Refugio y Asilo; se explican la determinación de la condición de refugiado, los criterios y procedimientos para el otorgamiento de asilo y la tramitación de solicitudes, y se señalan los derechos y deberes de los solicitantes de asilo y los asilados, los criterios para la revocación del asilo y los recursos administrativos y judiciales. </w:t>
      </w:r>
    </w:p>
  </w:footnote>
  <w:footnote w:id="74">
    <w:p w14:paraId="4D44E23B" w14:textId="1830A7E3"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21</w:t>
      </w:r>
      <w:r w:rsidRPr="00A25B85">
        <w:rPr>
          <w:rFonts w:ascii="Cambria" w:hAnsi="Cambria"/>
          <w:color w:val="auto"/>
          <w:sz w:val="16"/>
          <w:szCs w:val="16"/>
          <w:lang w:val="es-ES"/>
        </w:rPr>
        <w:t xml:space="preserve">. Departamento de Inmigración de las Bahamas. </w:t>
      </w:r>
      <w:r w:rsidRPr="00A25B85">
        <w:rPr>
          <w:rFonts w:ascii="Cambria" w:hAnsi="Cambria"/>
          <w:i/>
          <w:color w:val="auto"/>
          <w:sz w:val="16"/>
          <w:szCs w:val="16"/>
          <w:lang w:val="es-ES"/>
        </w:rPr>
        <w:t xml:space="preserve">Cuban </w:t>
      </w:r>
      <w:proofErr w:type="spellStart"/>
      <w:r w:rsidRPr="00A25B85">
        <w:rPr>
          <w:rFonts w:ascii="Cambria" w:hAnsi="Cambria"/>
          <w:i/>
          <w:color w:val="auto"/>
          <w:sz w:val="16"/>
          <w:szCs w:val="16"/>
          <w:lang w:val="es-ES"/>
        </w:rPr>
        <w:t>Profile</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Form</w:t>
      </w:r>
      <w:proofErr w:type="spellEnd"/>
      <w:r w:rsidRPr="00A25B85">
        <w:rPr>
          <w:rFonts w:ascii="Cambria" w:hAnsi="Cambria"/>
          <w:color w:val="auto"/>
          <w:sz w:val="16"/>
          <w:szCs w:val="16"/>
          <w:lang w:val="es-ES"/>
        </w:rPr>
        <w:t xml:space="preserve"> (en español), adjunto a la respuesta del Estado de fecha 19 de septiembre de 2000.</w:t>
      </w:r>
    </w:p>
  </w:footnote>
  <w:footnote w:id="75">
    <w:p w14:paraId="66A7C1AE" w14:textId="17E1D079"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22</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Prescreening</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Form</w:t>
      </w:r>
      <w:proofErr w:type="spellEnd"/>
      <w:r w:rsidRPr="00A25B85">
        <w:rPr>
          <w:rFonts w:ascii="Cambria" w:hAnsi="Cambria"/>
          <w:color w:val="auto"/>
          <w:sz w:val="16"/>
          <w:szCs w:val="16"/>
          <w:lang w:val="es-ES"/>
        </w:rPr>
        <w:t xml:space="preserve"> (en inglés) </w:t>
      </w:r>
      <w:r w:rsidRPr="00A25B85">
        <w:rPr>
          <w:rFonts w:ascii="Cambria" w:hAnsi="Cambria"/>
          <w:i/>
          <w:color w:val="auto"/>
          <w:sz w:val="16"/>
          <w:szCs w:val="16"/>
          <w:lang w:val="es-ES"/>
        </w:rPr>
        <w:t xml:space="preserve">– Personal </w:t>
      </w:r>
      <w:proofErr w:type="spellStart"/>
      <w:r w:rsidRPr="00A25B85">
        <w:rPr>
          <w:rFonts w:ascii="Cambria" w:hAnsi="Cambria"/>
          <w:i/>
          <w:color w:val="auto"/>
          <w:sz w:val="16"/>
          <w:szCs w:val="16"/>
          <w:lang w:val="es-ES"/>
        </w:rPr>
        <w:t>History</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Form</w:t>
      </w:r>
      <w:proofErr w:type="spellEnd"/>
      <w:r w:rsidRPr="00A25B85">
        <w:rPr>
          <w:rFonts w:ascii="Cambria" w:hAnsi="Cambria"/>
          <w:color w:val="auto"/>
          <w:sz w:val="16"/>
          <w:szCs w:val="16"/>
          <w:lang w:val="es-ES"/>
        </w:rPr>
        <w:t>, adjunto a la respuesta del Estado de fecha 1</w:t>
      </w:r>
      <w:r>
        <w:rPr>
          <w:rFonts w:ascii="Cambria" w:hAnsi="Cambria"/>
          <w:color w:val="auto"/>
          <w:sz w:val="16"/>
          <w:szCs w:val="16"/>
          <w:lang w:val="es-ES"/>
        </w:rPr>
        <w:t>9 de septiembre de 2000; Anexo 23</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Prescreening</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Form</w:t>
      </w:r>
      <w:proofErr w:type="spellEnd"/>
      <w:r w:rsidRPr="00A25B85">
        <w:rPr>
          <w:rFonts w:ascii="Cambria" w:hAnsi="Cambria"/>
          <w:color w:val="auto"/>
          <w:sz w:val="16"/>
          <w:szCs w:val="16"/>
          <w:lang w:val="es-ES"/>
        </w:rPr>
        <w:t xml:space="preserve"> (en español) – </w:t>
      </w:r>
      <w:r w:rsidRPr="00A25B85">
        <w:rPr>
          <w:rFonts w:ascii="Cambria" w:hAnsi="Cambria"/>
          <w:i/>
          <w:color w:val="auto"/>
          <w:sz w:val="16"/>
          <w:szCs w:val="16"/>
          <w:lang w:val="es-ES"/>
        </w:rPr>
        <w:t>Formulario de Información Personal</w:t>
      </w:r>
      <w:r w:rsidRPr="00A25B85">
        <w:rPr>
          <w:rFonts w:ascii="Cambria" w:hAnsi="Cambria"/>
          <w:color w:val="auto"/>
          <w:sz w:val="16"/>
          <w:szCs w:val="16"/>
          <w:lang w:val="es-ES"/>
        </w:rPr>
        <w:t>, adjunto a la respuesta del Estado de fecha 1</w:t>
      </w:r>
      <w:r>
        <w:rPr>
          <w:rFonts w:ascii="Cambria" w:hAnsi="Cambria"/>
          <w:color w:val="auto"/>
          <w:sz w:val="16"/>
          <w:szCs w:val="16"/>
          <w:lang w:val="es-ES"/>
        </w:rPr>
        <w:t>9 de septiembre de 2000; Anexo 24</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Prescreening</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Form</w:t>
      </w:r>
      <w:proofErr w:type="spellEnd"/>
      <w:r w:rsidRPr="00A25B85">
        <w:rPr>
          <w:rFonts w:ascii="Cambria" w:hAnsi="Cambria"/>
          <w:color w:val="auto"/>
          <w:sz w:val="16"/>
          <w:szCs w:val="16"/>
          <w:lang w:val="es-ES"/>
        </w:rPr>
        <w:t xml:space="preserve"> (en francés) – </w:t>
      </w:r>
      <w:proofErr w:type="spellStart"/>
      <w:r w:rsidRPr="00A25B85">
        <w:rPr>
          <w:rFonts w:ascii="Cambria" w:hAnsi="Cambria"/>
          <w:i/>
          <w:color w:val="auto"/>
          <w:sz w:val="16"/>
          <w:szCs w:val="16"/>
          <w:lang w:val="es-ES"/>
        </w:rPr>
        <w:t>Formulaire</w:t>
      </w:r>
      <w:proofErr w:type="spellEnd"/>
      <w:r w:rsidRPr="00A25B85">
        <w:rPr>
          <w:rFonts w:ascii="Cambria" w:hAnsi="Cambria"/>
          <w:i/>
          <w:color w:val="auto"/>
          <w:sz w:val="16"/>
          <w:szCs w:val="16"/>
          <w:lang w:val="es-ES"/>
        </w:rPr>
        <w:t xml:space="preserve"> de </w:t>
      </w:r>
      <w:proofErr w:type="spellStart"/>
      <w:r w:rsidRPr="00A25B85">
        <w:rPr>
          <w:rFonts w:ascii="Cambria" w:hAnsi="Cambria"/>
          <w:i/>
          <w:color w:val="auto"/>
          <w:sz w:val="16"/>
          <w:szCs w:val="16"/>
          <w:lang w:val="es-ES"/>
        </w:rPr>
        <w:t>Renseignements</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Personnels</w:t>
      </w:r>
      <w:proofErr w:type="spellEnd"/>
      <w:r w:rsidRPr="00A25B85">
        <w:rPr>
          <w:rFonts w:ascii="Cambria" w:hAnsi="Cambria"/>
          <w:color w:val="auto"/>
          <w:sz w:val="16"/>
          <w:szCs w:val="16"/>
          <w:lang w:val="es-ES"/>
        </w:rPr>
        <w:t>, adjunto a la respuesta del Estado de fecha 1</w:t>
      </w:r>
      <w:r>
        <w:rPr>
          <w:rFonts w:ascii="Cambria" w:hAnsi="Cambria"/>
          <w:color w:val="auto"/>
          <w:sz w:val="16"/>
          <w:szCs w:val="16"/>
          <w:lang w:val="es-ES"/>
        </w:rPr>
        <w:t>9 de septiembre de 2000; Anexo 25</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Prescreening</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Form</w:t>
      </w:r>
      <w:proofErr w:type="spellEnd"/>
      <w:r w:rsidRPr="00A25B85">
        <w:rPr>
          <w:rFonts w:ascii="Cambria" w:hAnsi="Cambria"/>
          <w:color w:val="auto"/>
          <w:sz w:val="16"/>
          <w:szCs w:val="16"/>
          <w:lang w:val="es-ES"/>
        </w:rPr>
        <w:t xml:space="preserve"> (en criollo) – </w:t>
      </w:r>
      <w:proofErr w:type="spellStart"/>
      <w:r w:rsidRPr="00A25B85">
        <w:rPr>
          <w:rFonts w:ascii="Cambria" w:hAnsi="Cambria"/>
          <w:i/>
          <w:color w:val="auto"/>
          <w:sz w:val="16"/>
          <w:szCs w:val="16"/>
          <w:lang w:val="es-ES"/>
        </w:rPr>
        <w:t>Fomile</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Enfomasyon</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Personel</w:t>
      </w:r>
      <w:proofErr w:type="spellEnd"/>
      <w:r w:rsidRPr="00A25B85">
        <w:rPr>
          <w:rFonts w:ascii="Cambria" w:hAnsi="Cambria"/>
          <w:color w:val="auto"/>
          <w:sz w:val="16"/>
          <w:szCs w:val="16"/>
          <w:lang w:val="es-ES"/>
        </w:rPr>
        <w:t>, adjunto a la respuesta del Estado de fecha 19 de septiembre de 2000.</w:t>
      </w:r>
    </w:p>
  </w:footnote>
  <w:footnote w:id="76">
    <w:p w14:paraId="4CBE1EA8" w14:textId="78BBF137" w:rsidR="00F005B1" w:rsidRPr="00A25B85" w:rsidRDefault="00F005B1" w:rsidP="00067F9E">
      <w:pPr>
        <w:pStyle w:val="FootnoteText"/>
        <w:jc w:val="both"/>
        <w:rPr>
          <w:rFonts w:ascii="Cambria" w:hAnsi="Cambria"/>
          <w:b/>
          <w:color w:val="auto"/>
          <w:sz w:val="16"/>
          <w:szCs w:val="16"/>
          <w:u w:val="single"/>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26</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Questions</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for</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the</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refugees</w:t>
      </w:r>
      <w:proofErr w:type="spellEnd"/>
      <w:r w:rsidRPr="00A25B85">
        <w:rPr>
          <w:rFonts w:ascii="Cambria" w:hAnsi="Cambria"/>
          <w:color w:val="auto"/>
          <w:sz w:val="16"/>
          <w:szCs w:val="16"/>
          <w:lang w:val="es-ES"/>
        </w:rPr>
        <w:t>, adjunto a la respuesta del Estado de fecha 1</w:t>
      </w:r>
      <w:r>
        <w:rPr>
          <w:rFonts w:ascii="Cambria" w:hAnsi="Cambria"/>
          <w:color w:val="auto"/>
          <w:sz w:val="16"/>
          <w:szCs w:val="16"/>
          <w:lang w:val="es-ES"/>
        </w:rPr>
        <w:t>9 de septiembre de 2000; Anexo 27</w:t>
      </w:r>
      <w:r w:rsidRPr="00A25B85">
        <w:rPr>
          <w:rFonts w:ascii="Cambria" w:hAnsi="Cambria"/>
          <w:color w:val="auto"/>
          <w:sz w:val="16"/>
          <w:szCs w:val="16"/>
          <w:lang w:val="es-ES"/>
        </w:rPr>
        <w:t xml:space="preserve">. </w:t>
      </w:r>
      <w:r w:rsidRPr="00A25B85">
        <w:rPr>
          <w:rFonts w:ascii="Cambria" w:hAnsi="Cambria"/>
          <w:i/>
          <w:color w:val="auto"/>
          <w:sz w:val="16"/>
          <w:szCs w:val="16"/>
          <w:lang w:val="es-ES"/>
        </w:rPr>
        <w:t>Preguntas para los refugiados</w:t>
      </w:r>
      <w:r w:rsidRPr="00A25B85">
        <w:rPr>
          <w:rFonts w:ascii="Cambria" w:hAnsi="Cambria"/>
          <w:color w:val="auto"/>
          <w:sz w:val="16"/>
          <w:szCs w:val="16"/>
          <w:lang w:val="es-ES"/>
        </w:rPr>
        <w:t>, adjunto a la respuesta del Estado de fecha 1</w:t>
      </w:r>
      <w:r>
        <w:rPr>
          <w:rFonts w:ascii="Cambria" w:hAnsi="Cambria"/>
          <w:color w:val="auto"/>
          <w:sz w:val="16"/>
          <w:szCs w:val="16"/>
          <w:lang w:val="es-ES"/>
        </w:rPr>
        <w:t>9 de septiembre de 2000; Anexo 28</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Keksyon</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pou</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refijye</w:t>
      </w:r>
      <w:proofErr w:type="spellEnd"/>
      <w:r w:rsidRPr="00A25B85">
        <w:rPr>
          <w:rFonts w:ascii="Cambria" w:hAnsi="Cambria"/>
          <w:i/>
          <w:color w:val="auto"/>
          <w:sz w:val="16"/>
          <w:szCs w:val="16"/>
          <w:lang w:val="es-ES"/>
        </w:rPr>
        <w:t xml:space="preserve"> yo</w:t>
      </w:r>
      <w:r w:rsidRPr="00A25B85">
        <w:rPr>
          <w:rFonts w:ascii="Cambria" w:hAnsi="Cambria"/>
          <w:color w:val="auto"/>
          <w:sz w:val="16"/>
          <w:szCs w:val="16"/>
          <w:lang w:val="es-ES"/>
        </w:rPr>
        <w:t>, adjunto a la respuesta del Estado de fecha 19 de septiembre de 2000.</w:t>
      </w:r>
    </w:p>
  </w:footnote>
  <w:footnote w:id="77">
    <w:p w14:paraId="34AAE2D5" w14:textId="619F362E" w:rsidR="00F005B1" w:rsidRPr="00A25B85" w:rsidRDefault="00F005B1" w:rsidP="00067F9E">
      <w:pPr>
        <w:pStyle w:val="FootnoteText"/>
        <w:jc w:val="both"/>
        <w:rPr>
          <w:rFonts w:ascii="Cambria" w:hAnsi="Cambria"/>
          <w:b/>
          <w:color w:val="auto"/>
          <w:sz w:val="16"/>
          <w:szCs w:val="16"/>
          <w:u w:val="single"/>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29</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Questionnaire</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for</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the</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determination</w:t>
      </w:r>
      <w:proofErr w:type="spellEnd"/>
      <w:r w:rsidRPr="00A25B85">
        <w:rPr>
          <w:rFonts w:ascii="Cambria" w:hAnsi="Cambria"/>
          <w:i/>
          <w:color w:val="auto"/>
          <w:sz w:val="16"/>
          <w:szCs w:val="16"/>
          <w:lang w:val="es-ES"/>
        </w:rPr>
        <w:t xml:space="preserve"> of </w:t>
      </w:r>
      <w:proofErr w:type="spellStart"/>
      <w:r w:rsidRPr="00A25B85">
        <w:rPr>
          <w:rFonts w:ascii="Cambria" w:hAnsi="Cambria"/>
          <w:i/>
          <w:color w:val="auto"/>
          <w:sz w:val="16"/>
          <w:szCs w:val="16"/>
          <w:lang w:val="es-ES"/>
        </w:rPr>
        <w:t>refugee</w:t>
      </w:r>
      <w:proofErr w:type="spellEnd"/>
      <w:r w:rsidRPr="00A25B85">
        <w:rPr>
          <w:rFonts w:ascii="Cambria" w:hAnsi="Cambria"/>
          <w:i/>
          <w:color w:val="auto"/>
          <w:sz w:val="16"/>
          <w:szCs w:val="16"/>
          <w:lang w:val="es-ES"/>
        </w:rPr>
        <w:t xml:space="preserve"> status</w:t>
      </w:r>
      <w:r w:rsidRPr="00A25B85">
        <w:rPr>
          <w:rFonts w:ascii="Cambria" w:hAnsi="Cambria"/>
          <w:color w:val="auto"/>
          <w:sz w:val="16"/>
          <w:szCs w:val="16"/>
          <w:lang w:val="es-ES"/>
        </w:rPr>
        <w:t>, adjunto a la respuesta del Estado de fecha 1</w:t>
      </w:r>
      <w:r>
        <w:rPr>
          <w:rFonts w:ascii="Cambria" w:hAnsi="Cambria"/>
          <w:color w:val="auto"/>
          <w:sz w:val="16"/>
          <w:szCs w:val="16"/>
          <w:lang w:val="es-ES"/>
        </w:rPr>
        <w:t>9 de septiembre de 2000; Anexo 30</w:t>
      </w:r>
      <w:r w:rsidRPr="00A25B85">
        <w:rPr>
          <w:rFonts w:ascii="Cambria" w:hAnsi="Cambria"/>
          <w:color w:val="auto"/>
          <w:sz w:val="16"/>
          <w:szCs w:val="16"/>
          <w:lang w:val="es-ES"/>
        </w:rPr>
        <w:t xml:space="preserve">. </w:t>
      </w:r>
      <w:r w:rsidRPr="00A25B85">
        <w:rPr>
          <w:rFonts w:ascii="Cambria" w:hAnsi="Cambria"/>
          <w:i/>
          <w:color w:val="auto"/>
          <w:sz w:val="16"/>
          <w:szCs w:val="16"/>
          <w:lang w:val="es-ES"/>
        </w:rPr>
        <w:t>Cuestionario para la determinación de la condición de refugiado</w:t>
      </w:r>
      <w:r w:rsidRPr="00A25B85">
        <w:rPr>
          <w:rFonts w:ascii="Cambria" w:hAnsi="Cambria"/>
          <w:color w:val="auto"/>
          <w:sz w:val="16"/>
          <w:szCs w:val="16"/>
          <w:lang w:val="es-ES"/>
        </w:rPr>
        <w:t>, adjunto a la respuesta del Estado de fecha 1</w:t>
      </w:r>
      <w:r>
        <w:rPr>
          <w:rFonts w:ascii="Cambria" w:hAnsi="Cambria"/>
          <w:color w:val="auto"/>
          <w:sz w:val="16"/>
          <w:szCs w:val="16"/>
          <w:lang w:val="es-ES"/>
        </w:rPr>
        <w:t>9 de septiembre de 2000; Anexo 31</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Kesyone</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pou</w:t>
      </w:r>
      <w:proofErr w:type="spellEnd"/>
      <w:r w:rsidRPr="00A25B85">
        <w:rPr>
          <w:rFonts w:ascii="Cambria" w:hAnsi="Cambria"/>
          <w:i/>
          <w:color w:val="auto"/>
          <w:sz w:val="16"/>
          <w:szCs w:val="16"/>
          <w:lang w:val="es-ES"/>
        </w:rPr>
        <w:t xml:space="preserve"> determine </w:t>
      </w:r>
      <w:proofErr w:type="spellStart"/>
      <w:r w:rsidRPr="00A25B85">
        <w:rPr>
          <w:rFonts w:ascii="Cambria" w:hAnsi="Cambria"/>
          <w:i/>
          <w:color w:val="auto"/>
          <w:sz w:val="16"/>
          <w:szCs w:val="16"/>
          <w:lang w:val="es-ES"/>
        </w:rPr>
        <w:t>kondisyon</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refijie</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yon</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moun</w:t>
      </w:r>
      <w:proofErr w:type="spellEnd"/>
      <w:r w:rsidRPr="00A25B85">
        <w:rPr>
          <w:rFonts w:ascii="Cambria" w:hAnsi="Cambria"/>
          <w:color w:val="auto"/>
          <w:sz w:val="16"/>
          <w:szCs w:val="16"/>
          <w:lang w:val="es-ES"/>
        </w:rPr>
        <w:t>, adjunto a la respuesta del Estado de fecha 1</w:t>
      </w:r>
      <w:r>
        <w:rPr>
          <w:rFonts w:ascii="Cambria" w:hAnsi="Cambria"/>
          <w:color w:val="auto"/>
          <w:sz w:val="16"/>
          <w:szCs w:val="16"/>
          <w:lang w:val="es-ES"/>
        </w:rPr>
        <w:t>9 de septiembre de 2000; Anexo 32</w:t>
      </w:r>
      <w:r w:rsidRPr="00A25B85">
        <w:rPr>
          <w:rFonts w:ascii="Cambria" w:hAnsi="Cambria"/>
          <w:color w:val="auto"/>
          <w:sz w:val="16"/>
          <w:szCs w:val="16"/>
          <w:lang w:val="es-ES"/>
        </w:rPr>
        <w:t xml:space="preserve">. </w:t>
      </w:r>
      <w:proofErr w:type="spellStart"/>
      <w:r w:rsidRPr="00A25B85">
        <w:rPr>
          <w:rFonts w:ascii="Cambria" w:hAnsi="Cambria"/>
          <w:i/>
          <w:color w:val="auto"/>
          <w:sz w:val="16"/>
          <w:szCs w:val="16"/>
          <w:lang w:val="es-ES"/>
        </w:rPr>
        <w:t>Questionnaire</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pour</w:t>
      </w:r>
      <w:proofErr w:type="spellEnd"/>
      <w:r w:rsidRPr="00A25B85">
        <w:rPr>
          <w:rFonts w:ascii="Cambria" w:hAnsi="Cambria"/>
          <w:i/>
          <w:color w:val="auto"/>
          <w:sz w:val="16"/>
          <w:szCs w:val="16"/>
          <w:lang w:val="es-ES"/>
        </w:rPr>
        <w:t xml:space="preserve"> la </w:t>
      </w:r>
      <w:proofErr w:type="spellStart"/>
      <w:r w:rsidRPr="00A25B85">
        <w:rPr>
          <w:rFonts w:ascii="Cambria" w:hAnsi="Cambria"/>
          <w:i/>
          <w:color w:val="auto"/>
          <w:sz w:val="16"/>
          <w:szCs w:val="16"/>
          <w:lang w:val="es-ES"/>
        </w:rPr>
        <w:t>determination</w:t>
      </w:r>
      <w:proofErr w:type="spellEnd"/>
      <w:r w:rsidRPr="00A25B85">
        <w:rPr>
          <w:rFonts w:ascii="Cambria" w:hAnsi="Cambria"/>
          <w:i/>
          <w:color w:val="auto"/>
          <w:sz w:val="16"/>
          <w:szCs w:val="16"/>
          <w:lang w:val="es-ES"/>
        </w:rPr>
        <w:t xml:space="preserve"> du </w:t>
      </w:r>
      <w:proofErr w:type="spellStart"/>
      <w:r w:rsidRPr="00A25B85">
        <w:rPr>
          <w:rFonts w:ascii="Cambria" w:hAnsi="Cambria"/>
          <w:i/>
          <w:color w:val="auto"/>
          <w:sz w:val="16"/>
          <w:szCs w:val="16"/>
          <w:lang w:val="es-ES"/>
        </w:rPr>
        <w:t>statut</w:t>
      </w:r>
      <w:proofErr w:type="spellEnd"/>
      <w:r w:rsidRPr="00A25B85">
        <w:rPr>
          <w:rFonts w:ascii="Cambria" w:hAnsi="Cambria"/>
          <w:i/>
          <w:color w:val="auto"/>
          <w:sz w:val="16"/>
          <w:szCs w:val="16"/>
          <w:lang w:val="es-ES"/>
        </w:rPr>
        <w:t xml:space="preserve"> de refugie</w:t>
      </w:r>
      <w:r w:rsidRPr="00A25B85">
        <w:rPr>
          <w:rFonts w:ascii="Cambria" w:hAnsi="Cambria"/>
          <w:color w:val="auto"/>
          <w:sz w:val="16"/>
          <w:szCs w:val="16"/>
          <w:lang w:val="es-ES"/>
        </w:rPr>
        <w:t>, adjunto a la respuesta del Estado de fecha 19 de septiembre de 2000.</w:t>
      </w:r>
    </w:p>
  </w:footnote>
  <w:footnote w:id="78">
    <w:p w14:paraId="1ACCCA04"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Respuesta del Estado de fecha 19 de septiembre de 2000.</w:t>
      </w:r>
    </w:p>
  </w:footnote>
  <w:footnote w:id="79">
    <w:p w14:paraId="3D6EBD9E" w14:textId="27EFA1A8"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Anexos 5 y 6</w:t>
      </w:r>
      <w:r w:rsidRPr="00A25B85">
        <w:rPr>
          <w:rFonts w:ascii="Cambria" w:hAnsi="Cambria"/>
          <w:color w:val="auto"/>
          <w:sz w:val="16"/>
          <w:szCs w:val="16"/>
          <w:lang w:val="es-ES"/>
        </w:rPr>
        <w:t xml:space="preserve">. Departamento de Inmigración de las Bahamas. </w:t>
      </w:r>
      <w:r w:rsidRPr="000265CB">
        <w:rPr>
          <w:rFonts w:ascii="Cambria" w:hAnsi="Cambria"/>
          <w:i/>
          <w:color w:val="auto"/>
          <w:sz w:val="16"/>
          <w:szCs w:val="16"/>
        </w:rPr>
        <w:t xml:space="preserve">Approved </w:t>
      </w:r>
      <w:r w:rsidRPr="000265CB">
        <w:rPr>
          <w:rFonts w:ascii="Cambria" w:hAnsi="Cambria"/>
          <w:i/>
          <w:sz w:val="16"/>
          <w:szCs w:val="16"/>
          <w:bdr w:val="none" w:sz="0" w:space="0" w:color="auto" w:frame="1"/>
        </w:rPr>
        <w:t>Cuban nationals</w:t>
      </w:r>
      <w:r w:rsidRPr="000265CB">
        <w:rPr>
          <w:rFonts w:ascii="Cambria" w:hAnsi="Cambria"/>
          <w:i/>
          <w:color w:val="auto"/>
          <w:sz w:val="16"/>
          <w:szCs w:val="16"/>
        </w:rPr>
        <w:t xml:space="preserve"> for repatriation</w:t>
      </w:r>
      <w:r w:rsidRPr="000265CB">
        <w:rPr>
          <w:rFonts w:ascii="Cambria" w:hAnsi="Cambria"/>
          <w:color w:val="auto"/>
          <w:sz w:val="16"/>
          <w:szCs w:val="16"/>
        </w:rPr>
        <w:t xml:space="preserve">. </w:t>
      </w:r>
      <w:r w:rsidRPr="00A25B85">
        <w:rPr>
          <w:rFonts w:ascii="Cambria" w:hAnsi="Cambria"/>
          <w:color w:val="auto"/>
          <w:sz w:val="16"/>
          <w:szCs w:val="16"/>
          <w:lang w:val="es-ES"/>
        </w:rPr>
        <w:t>18 de agosto y 20 de octubre de 1998. Adjunto a la respuesta del Estado del 23 de octubre de 1998.</w:t>
      </w:r>
    </w:p>
  </w:footnote>
  <w:footnote w:id="80">
    <w:p w14:paraId="5C6D18C9" w14:textId="384E75C4"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A25B85">
        <w:rPr>
          <w:rFonts w:ascii="Cambria" w:hAnsi="Cambria"/>
          <w:color w:val="auto"/>
          <w:sz w:val="16"/>
          <w:szCs w:val="16"/>
          <w:lang w:val="es-ES"/>
        </w:rPr>
        <w:t xml:space="preserve">. Lista de cuestionarios del CEJIL, adjunta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del 10 de diciembre de 1998.</w:t>
      </w:r>
    </w:p>
  </w:footnote>
  <w:footnote w:id="81">
    <w:p w14:paraId="605CAE4F" w14:textId="7D38D43C" w:rsidR="00F005B1" w:rsidRPr="00A25B85" w:rsidRDefault="00F005B1" w:rsidP="00067F9E">
      <w:pPr>
        <w:pStyle w:val="FootnoteText"/>
        <w:jc w:val="both"/>
        <w:rPr>
          <w:rFonts w:ascii="Cambria" w:hAnsi="Cambria"/>
          <w:color w:val="auto"/>
          <w:sz w:val="16"/>
          <w:szCs w:val="16"/>
          <w:lang w:val="es-ES"/>
        </w:rPr>
      </w:pPr>
      <w:r w:rsidRPr="00EB7A3A">
        <w:rPr>
          <w:rStyle w:val="FootnoteReference"/>
          <w:rFonts w:ascii="Cambria" w:hAnsi="Cambria"/>
          <w:color w:val="auto"/>
          <w:sz w:val="16"/>
          <w:szCs w:val="16"/>
          <w:lang w:val="es-ES"/>
        </w:rPr>
        <w:footnoteRef/>
      </w:r>
      <w:r w:rsidRPr="00EB7A3A">
        <w:rPr>
          <w:rFonts w:ascii="Cambria" w:hAnsi="Cambria"/>
          <w:color w:val="auto"/>
          <w:sz w:val="16"/>
          <w:szCs w:val="16"/>
          <w:lang w:val="es-ES"/>
        </w:rPr>
        <w:t xml:space="preserve"> Anexo 8. Entrevistas de personas que habían estado en las Bahamas en el Centro Nutricional Little y en la Universidad de St. Thomas, realizadas en Miami (Florida) el 17 y 18 de noviembre de 1998: Yuri Delgado, adjunto a la comunicación de </w:t>
      </w:r>
      <w:r>
        <w:rPr>
          <w:rFonts w:ascii="Cambria" w:hAnsi="Cambria"/>
          <w:color w:val="auto"/>
          <w:sz w:val="16"/>
          <w:szCs w:val="16"/>
          <w:lang w:val="es-ES"/>
        </w:rPr>
        <w:t>la parte peticionaria</w:t>
      </w:r>
      <w:r w:rsidRPr="00EB7A3A">
        <w:rPr>
          <w:rFonts w:ascii="Cambria" w:hAnsi="Cambria"/>
          <w:color w:val="auto"/>
          <w:sz w:val="16"/>
          <w:szCs w:val="16"/>
          <w:lang w:val="es-ES"/>
        </w:rPr>
        <w:t xml:space="preserve"> del 10 de diciembre de 1998; Anexo 8. Entrevistas de personas que habían estado en las Bahamas en el Centro Nutricional Little y en la Universidad de St. Thomas, realizadas en Miami (Florida) el 17 y 18 de noviembre de 1998: </w:t>
      </w:r>
      <w:proofErr w:type="spellStart"/>
      <w:r w:rsidRPr="00EB7A3A">
        <w:rPr>
          <w:rFonts w:ascii="Cambria" w:hAnsi="Cambria"/>
          <w:color w:val="auto"/>
          <w:sz w:val="16"/>
          <w:szCs w:val="16"/>
          <w:lang w:val="es-ES"/>
        </w:rPr>
        <w:t>Magalis</w:t>
      </w:r>
      <w:proofErr w:type="spellEnd"/>
      <w:r w:rsidRPr="00EB7A3A">
        <w:rPr>
          <w:rFonts w:ascii="Cambria" w:hAnsi="Cambria"/>
          <w:color w:val="auto"/>
          <w:sz w:val="16"/>
          <w:szCs w:val="16"/>
          <w:lang w:val="es-ES"/>
        </w:rPr>
        <w:t xml:space="preserve"> Montero y Ángel González, adjunto a la comunicación de </w:t>
      </w:r>
      <w:r>
        <w:rPr>
          <w:rFonts w:ascii="Cambria" w:hAnsi="Cambria"/>
          <w:color w:val="auto"/>
          <w:sz w:val="16"/>
          <w:szCs w:val="16"/>
          <w:lang w:val="es-ES"/>
        </w:rPr>
        <w:t>la parte peticionaria</w:t>
      </w:r>
      <w:r w:rsidRPr="00EB7A3A">
        <w:rPr>
          <w:rFonts w:ascii="Cambria" w:hAnsi="Cambria"/>
          <w:color w:val="auto"/>
          <w:sz w:val="16"/>
          <w:szCs w:val="16"/>
          <w:lang w:val="es-ES"/>
        </w:rPr>
        <w:t xml:space="preserve"> del 10 de diciembre de 1998; Anexo 34. Carta del Dr. Eduardo Villasuso Morales a Claudia Hernández, del Open </w:t>
      </w:r>
      <w:proofErr w:type="spellStart"/>
      <w:r w:rsidRPr="00EB7A3A">
        <w:rPr>
          <w:rFonts w:ascii="Cambria" w:hAnsi="Cambria"/>
          <w:color w:val="auto"/>
          <w:sz w:val="16"/>
          <w:szCs w:val="16"/>
          <w:lang w:val="es-ES"/>
        </w:rPr>
        <w:t>Society</w:t>
      </w:r>
      <w:proofErr w:type="spellEnd"/>
      <w:r w:rsidRPr="00EB7A3A">
        <w:rPr>
          <w:rFonts w:ascii="Cambria" w:hAnsi="Cambria"/>
          <w:color w:val="auto"/>
          <w:sz w:val="16"/>
          <w:szCs w:val="16"/>
          <w:lang w:val="es-ES"/>
        </w:rPr>
        <w:t xml:space="preserve"> </w:t>
      </w:r>
      <w:proofErr w:type="spellStart"/>
      <w:r w:rsidRPr="00EB7A3A">
        <w:rPr>
          <w:rFonts w:ascii="Cambria" w:hAnsi="Cambria"/>
          <w:color w:val="auto"/>
          <w:sz w:val="16"/>
          <w:szCs w:val="16"/>
          <w:lang w:val="es-ES"/>
        </w:rPr>
        <w:t>Institute</w:t>
      </w:r>
      <w:proofErr w:type="spellEnd"/>
      <w:r w:rsidRPr="00EB7A3A">
        <w:rPr>
          <w:rFonts w:ascii="Cambria" w:hAnsi="Cambria"/>
          <w:color w:val="auto"/>
          <w:sz w:val="16"/>
          <w:szCs w:val="16"/>
          <w:lang w:val="es-ES"/>
        </w:rPr>
        <w:t xml:space="preserve">, de fecha 13 de julio de 1998, adjunta a la comunicación de </w:t>
      </w:r>
      <w:r>
        <w:rPr>
          <w:rFonts w:ascii="Cambria" w:hAnsi="Cambria"/>
          <w:color w:val="auto"/>
          <w:sz w:val="16"/>
          <w:szCs w:val="16"/>
          <w:lang w:val="es-ES"/>
        </w:rPr>
        <w:t>la parte peticionaria</w:t>
      </w:r>
      <w:r w:rsidRPr="00EB7A3A">
        <w:rPr>
          <w:rFonts w:ascii="Cambria" w:hAnsi="Cambria"/>
          <w:color w:val="auto"/>
          <w:sz w:val="16"/>
          <w:szCs w:val="16"/>
          <w:lang w:val="es-ES"/>
        </w:rPr>
        <w:t xml:space="preserve"> del 10 de diciembre de 1998; Anexo 35. </w:t>
      </w:r>
      <w:r w:rsidRPr="00EB7A3A">
        <w:rPr>
          <w:rFonts w:ascii="Cambria" w:hAnsi="Cambria"/>
          <w:sz w:val="16"/>
          <w:szCs w:val="16"/>
          <w:bdr w:val="none" w:sz="0" w:space="0" w:color="auto" w:frame="1"/>
          <w:lang w:val="es-ES"/>
        </w:rPr>
        <w:t xml:space="preserve">Hoja para el entrevistador del Open </w:t>
      </w:r>
      <w:proofErr w:type="spellStart"/>
      <w:r w:rsidRPr="00EB7A3A">
        <w:rPr>
          <w:rFonts w:ascii="Cambria" w:hAnsi="Cambria"/>
          <w:sz w:val="16"/>
          <w:szCs w:val="16"/>
          <w:bdr w:val="none" w:sz="0" w:space="0" w:color="auto" w:frame="1"/>
          <w:lang w:val="es-ES"/>
        </w:rPr>
        <w:t>Society</w:t>
      </w:r>
      <w:proofErr w:type="spellEnd"/>
      <w:r w:rsidRPr="00EB7A3A">
        <w:rPr>
          <w:rFonts w:ascii="Cambria" w:hAnsi="Cambria"/>
          <w:sz w:val="16"/>
          <w:szCs w:val="16"/>
          <w:bdr w:val="none" w:sz="0" w:space="0" w:color="auto" w:frame="1"/>
          <w:lang w:val="es-ES"/>
        </w:rPr>
        <w:t xml:space="preserve"> </w:t>
      </w:r>
      <w:proofErr w:type="spellStart"/>
      <w:r w:rsidRPr="00EB7A3A">
        <w:rPr>
          <w:rFonts w:ascii="Cambria" w:hAnsi="Cambria"/>
          <w:sz w:val="16"/>
          <w:szCs w:val="16"/>
          <w:bdr w:val="none" w:sz="0" w:space="0" w:color="auto" w:frame="1"/>
          <w:lang w:val="es-ES"/>
        </w:rPr>
        <w:t>Institute</w:t>
      </w:r>
      <w:proofErr w:type="spellEnd"/>
      <w:r w:rsidRPr="00EB7A3A">
        <w:rPr>
          <w:rFonts w:ascii="Cambria" w:hAnsi="Cambria"/>
          <w:sz w:val="16"/>
          <w:szCs w:val="16"/>
          <w:bdr w:val="none" w:sz="0" w:space="0" w:color="auto" w:frame="1"/>
          <w:lang w:val="es-ES"/>
        </w:rPr>
        <w:t>:</w:t>
      </w:r>
      <w:r w:rsidRPr="00EB7A3A">
        <w:rPr>
          <w:rFonts w:ascii="Cambria" w:hAnsi="Cambria"/>
          <w:color w:val="auto"/>
          <w:sz w:val="16"/>
          <w:szCs w:val="16"/>
          <w:lang w:val="es-ES"/>
        </w:rPr>
        <w:t xml:space="preserve"> José Eduardo Villasuso Morales, </w:t>
      </w:r>
      <w:r w:rsidRPr="00EB7A3A">
        <w:rPr>
          <w:rFonts w:ascii="Cambria" w:hAnsi="Cambria"/>
          <w:sz w:val="16"/>
          <w:szCs w:val="16"/>
          <w:bdr w:val="none" w:sz="0" w:space="0" w:color="auto" w:frame="1"/>
          <w:lang w:val="es-ES"/>
        </w:rPr>
        <w:t>28 de abril de 1998, adjunta a la petición revisada del 15 de mayo de 1998</w:t>
      </w:r>
      <w:r w:rsidRPr="00EB7A3A">
        <w:rPr>
          <w:rFonts w:ascii="Cambria" w:hAnsi="Cambria"/>
          <w:color w:val="auto"/>
          <w:sz w:val="16"/>
          <w:szCs w:val="16"/>
          <w:lang w:val="es-ES"/>
        </w:rPr>
        <w:t xml:space="preserve">; Anexo 17. Hoja para el entrevistador del Open </w:t>
      </w:r>
      <w:proofErr w:type="spellStart"/>
      <w:r w:rsidRPr="00EB7A3A">
        <w:rPr>
          <w:rFonts w:ascii="Cambria" w:hAnsi="Cambria"/>
          <w:color w:val="auto"/>
          <w:sz w:val="16"/>
          <w:szCs w:val="16"/>
          <w:lang w:val="es-ES"/>
        </w:rPr>
        <w:t>Society</w:t>
      </w:r>
      <w:proofErr w:type="spellEnd"/>
      <w:r w:rsidRPr="00EB7A3A">
        <w:rPr>
          <w:rFonts w:ascii="Cambria" w:hAnsi="Cambria"/>
          <w:color w:val="auto"/>
          <w:sz w:val="16"/>
          <w:szCs w:val="16"/>
          <w:lang w:val="es-ES"/>
        </w:rPr>
        <w:t xml:space="preserve"> </w:t>
      </w:r>
      <w:proofErr w:type="spellStart"/>
      <w:r w:rsidRPr="00EB7A3A">
        <w:rPr>
          <w:rFonts w:ascii="Cambria" w:hAnsi="Cambria"/>
          <w:color w:val="auto"/>
          <w:sz w:val="16"/>
          <w:szCs w:val="16"/>
          <w:lang w:val="es-ES"/>
        </w:rPr>
        <w:t>Institute</w:t>
      </w:r>
      <w:proofErr w:type="spellEnd"/>
      <w:r w:rsidRPr="00EB7A3A">
        <w:rPr>
          <w:rFonts w:ascii="Cambria" w:hAnsi="Cambria"/>
          <w:color w:val="auto"/>
          <w:sz w:val="16"/>
          <w:szCs w:val="16"/>
          <w:lang w:val="es-ES"/>
        </w:rPr>
        <w:t xml:space="preserve">: </w:t>
      </w:r>
      <w:proofErr w:type="spellStart"/>
      <w:r w:rsidRPr="00EB7A3A">
        <w:rPr>
          <w:rFonts w:ascii="Cambria" w:hAnsi="Cambria"/>
          <w:color w:val="auto"/>
          <w:sz w:val="16"/>
          <w:szCs w:val="16"/>
          <w:lang w:val="es-ES"/>
        </w:rPr>
        <w:t>Zoraya</w:t>
      </w:r>
      <w:proofErr w:type="spellEnd"/>
      <w:r w:rsidRPr="00EB7A3A">
        <w:rPr>
          <w:rFonts w:ascii="Cambria" w:hAnsi="Cambria"/>
          <w:color w:val="auto"/>
          <w:sz w:val="16"/>
          <w:szCs w:val="16"/>
          <w:lang w:val="es-ES"/>
        </w:rPr>
        <w:t xml:space="preserve"> Ferral Toledano, </w:t>
      </w:r>
      <w:r w:rsidRPr="00EB7A3A">
        <w:rPr>
          <w:rFonts w:ascii="Cambria" w:hAnsi="Cambria"/>
          <w:sz w:val="16"/>
          <w:szCs w:val="16"/>
          <w:bdr w:val="none" w:sz="0" w:space="0" w:color="auto" w:frame="1"/>
          <w:lang w:val="es-ES"/>
        </w:rPr>
        <w:t>28 de abril de 1998, adjunta a la petición revisada del 15 de mayo de 1998</w:t>
      </w:r>
      <w:r w:rsidRPr="00EB7A3A">
        <w:rPr>
          <w:rFonts w:ascii="Cambria" w:hAnsi="Cambria"/>
          <w:color w:val="auto"/>
          <w:sz w:val="16"/>
          <w:szCs w:val="16"/>
          <w:lang w:val="es-ES"/>
        </w:rPr>
        <w:t xml:space="preserve">; Comunicación de </w:t>
      </w:r>
      <w:r>
        <w:rPr>
          <w:rFonts w:ascii="Cambria" w:hAnsi="Cambria"/>
          <w:color w:val="auto"/>
          <w:sz w:val="16"/>
          <w:szCs w:val="16"/>
          <w:lang w:val="es-ES"/>
        </w:rPr>
        <w:t>la parte peticionaria</w:t>
      </w:r>
      <w:r w:rsidRPr="00EB7A3A">
        <w:rPr>
          <w:rFonts w:ascii="Cambria" w:hAnsi="Cambria"/>
          <w:color w:val="auto"/>
          <w:sz w:val="16"/>
          <w:szCs w:val="16"/>
          <w:lang w:val="es-ES"/>
        </w:rPr>
        <w:t xml:space="preserve"> a Claudia Hernández, del Open </w:t>
      </w:r>
      <w:proofErr w:type="spellStart"/>
      <w:r w:rsidRPr="00EB7A3A">
        <w:rPr>
          <w:rFonts w:ascii="Cambria" w:hAnsi="Cambria"/>
          <w:color w:val="auto"/>
          <w:sz w:val="16"/>
          <w:szCs w:val="16"/>
          <w:lang w:val="es-ES"/>
        </w:rPr>
        <w:t>Society</w:t>
      </w:r>
      <w:proofErr w:type="spellEnd"/>
      <w:r w:rsidRPr="00EB7A3A">
        <w:rPr>
          <w:rFonts w:ascii="Cambria" w:hAnsi="Cambria"/>
          <w:color w:val="auto"/>
          <w:sz w:val="16"/>
          <w:szCs w:val="16"/>
          <w:lang w:val="es-ES"/>
        </w:rPr>
        <w:t xml:space="preserve"> </w:t>
      </w:r>
      <w:proofErr w:type="spellStart"/>
      <w:r w:rsidRPr="00EB7A3A">
        <w:rPr>
          <w:rFonts w:ascii="Cambria" w:hAnsi="Cambria"/>
          <w:color w:val="auto"/>
          <w:sz w:val="16"/>
          <w:szCs w:val="16"/>
          <w:lang w:val="es-ES"/>
        </w:rPr>
        <w:t>Institute</w:t>
      </w:r>
      <w:proofErr w:type="spellEnd"/>
      <w:r w:rsidRPr="00EB7A3A">
        <w:rPr>
          <w:rFonts w:ascii="Cambria" w:hAnsi="Cambria"/>
          <w:color w:val="auto"/>
          <w:sz w:val="16"/>
          <w:szCs w:val="16"/>
          <w:lang w:val="es-ES"/>
        </w:rPr>
        <w:t xml:space="preserve">, de fecha 1 de octubre de 1999; Anexo 36. Carta de Pedro A. Beckford M.D. al Cónsul de Estados Unidos, Embajada de Estados Unidos, Nassau, Bahamas, 10 de enero de 1998, adjunta a la comunicación de </w:t>
      </w:r>
      <w:r>
        <w:rPr>
          <w:rFonts w:ascii="Cambria" w:hAnsi="Cambria"/>
          <w:color w:val="auto"/>
          <w:sz w:val="16"/>
          <w:szCs w:val="16"/>
          <w:lang w:val="es-ES"/>
        </w:rPr>
        <w:t>la parte peticionaria</w:t>
      </w:r>
      <w:r w:rsidRPr="00EB7A3A">
        <w:rPr>
          <w:rFonts w:ascii="Cambria" w:hAnsi="Cambria"/>
          <w:color w:val="auto"/>
          <w:sz w:val="16"/>
          <w:szCs w:val="16"/>
          <w:lang w:val="es-ES"/>
        </w:rPr>
        <w:t xml:space="preserve"> de fecha 15 de octubre de 1999; y Anexo 37. Carta de Cynthia </w:t>
      </w:r>
      <w:proofErr w:type="spellStart"/>
      <w:r w:rsidRPr="00EB7A3A">
        <w:rPr>
          <w:rFonts w:ascii="Cambria" w:hAnsi="Cambria"/>
          <w:color w:val="auto"/>
          <w:sz w:val="16"/>
          <w:szCs w:val="16"/>
          <w:lang w:val="es-ES"/>
        </w:rPr>
        <w:t>Zemel</w:t>
      </w:r>
      <w:proofErr w:type="spellEnd"/>
      <w:r w:rsidRPr="00EB7A3A">
        <w:rPr>
          <w:rFonts w:ascii="Cambria" w:hAnsi="Cambria"/>
          <w:color w:val="auto"/>
          <w:sz w:val="16"/>
          <w:szCs w:val="16"/>
          <w:lang w:val="es-ES"/>
        </w:rPr>
        <w:t xml:space="preserve">, maestra, </w:t>
      </w:r>
      <w:r w:rsidRPr="00A25B85">
        <w:rPr>
          <w:rFonts w:ascii="Cambria" w:hAnsi="Cambria"/>
          <w:color w:val="auto"/>
          <w:sz w:val="16"/>
          <w:szCs w:val="16"/>
          <w:lang w:val="es-ES"/>
        </w:rPr>
        <w:t xml:space="preserve">Harding </w:t>
      </w:r>
      <w:proofErr w:type="spellStart"/>
      <w:r w:rsidRPr="00A25B85">
        <w:rPr>
          <w:rFonts w:ascii="Cambria" w:hAnsi="Cambria"/>
          <w:color w:val="auto"/>
          <w:sz w:val="16"/>
          <w:szCs w:val="16"/>
          <w:lang w:val="es-ES"/>
        </w:rPr>
        <w:t>School</w:t>
      </w:r>
      <w:proofErr w:type="spellEnd"/>
      <w:r w:rsidRPr="00A25B85">
        <w:rPr>
          <w:rFonts w:ascii="Cambria" w:hAnsi="Cambria"/>
          <w:color w:val="auto"/>
          <w:sz w:val="16"/>
          <w:szCs w:val="16"/>
          <w:lang w:val="es-ES"/>
        </w:rPr>
        <w:t xml:space="preserve">, </w:t>
      </w:r>
      <w:proofErr w:type="spellStart"/>
      <w:r w:rsidRPr="00A25B85">
        <w:rPr>
          <w:rFonts w:ascii="Cambria" w:hAnsi="Cambria"/>
          <w:color w:val="auto"/>
          <w:sz w:val="16"/>
          <w:szCs w:val="16"/>
          <w:lang w:val="es-ES"/>
        </w:rPr>
        <w:t>Kenliworth</w:t>
      </w:r>
      <w:proofErr w:type="spellEnd"/>
      <w:r w:rsidRPr="00A25B85">
        <w:rPr>
          <w:rFonts w:ascii="Cambria" w:hAnsi="Cambria"/>
          <w:color w:val="auto"/>
          <w:sz w:val="16"/>
          <w:szCs w:val="16"/>
          <w:lang w:val="es-ES"/>
        </w:rPr>
        <w:t xml:space="preserve">, NJ, 12 de enero de 1998, adjunta a la comunicación de </w:t>
      </w:r>
      <w:r>
        <w:rPr>
          <w:rFonts w:ascii="Cambria" w:hAnsi="Cambria"/>
          <w:color w:val="auto"/>
          <w:sz w:val="16"/>
          <w:szCs w:val="16"/>
          <w:lang w:val="es-ES"/>
        </w:rPr>
        <w:t>la parte peticionaria</w:t>
      </w:r>
      <w:r w:rsidRPr="00A25B85">
        <w:rPr>
          <w:rFonts w:ascii="Cambria" w:hAnsi="Cambria"/>
          <w:color w:val="auto"/>
          <w:sz w:val="16"/>
          <w:szCs w:val="16"/>
          <w:lang w:val="es-ES"/>
        </w:rPr>
        <w:t xml:space="preserve"> de fecha 15 de octubre de 1999.</w:t>
      </w:r>
    </w:p>
  </w:footnote>
  <w:footnote w:id="82">
    <w:p w14:paraId="5E97FDFD"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Caso 12.250. Informe No. 34/01. </w:t>
      </w:r>
      <w:r w:rsidRPr="00A25B85">
        <w:rPr>
          <w:rFonts w:ascii="Cambria" w:hAnsi="Cambria"/>
          <w:i/>
          <w:color w:val="auto"/>
          <w:sz w:val="16"/>
          <w:szCs w:val="16"/>
          <w:lang w:val="es-ES"/>
        </w:rPr>
        <w:t>Masacre de Mapiripán.</w:t>
      </w:r>
      <w:r w:rsidRPr="00A25B85">
        <w:rPr>
          <w:rFonts w:ascii="Cambria" w:hAnsi="Cambria"/>
          <w:color w:val="auto"/>
          <w:sz w:val="16"/>
          <w:szCs w:val="16"/>
          <w:lang w:val="es-ES"/>
        </w:rPr>
        <w:t xml:space="preserve"> Colombia. Informe Anual de la CIDH, 2000, párr. 27.</w:t>
      </w:r>
    </w:p>
  </w:footnote>
  <w:footnote w:id="83">
    <w:p w14:paraId="07F7C554"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bCs/>
          <w:color w:val="auto"/>
          <w:sz w:val="16"/>
          <w:szCs w:val="16"/>
          <w:lang w:val="es-ES"/>
        </w:rPr>
        <w:t xml:space="preserve">Informe No. 44/00, </w:t>
      </w:r>
      <w:r w:rsidRPr="00A25B85">
        <w:rPr>
          <w:rFonts w:ascii="Cambria" w:hAnsi="Cambria"/>
          <w:color w:val="auto"/>
          <w:sz w:val="16"/>
          <w:szCs w:val="16"/>
          <w:lang w:val="es-ES"/>
        </w:rPr>
        <w:t xml:space="preserve">Caso 10.820. </w:t>
      </w:r>
      <w:r w:rsidRPr="00A25B85">
        <w:rPr>
          <w:rFonts w:ascii="Cambria" w:hAnsi="Cambria"/>
          <w:i/>
          <w:color w:val="auto"/>
          <w:sz w:val="16"/>
          <w:szCs w:val="16"/>
          <w:lang w:val="es-ES"/>
        </w:rPr>
        <w:t>Américo Zavala Martínez.</w:t>
      </w:r>
      <w:r w:rsidRPr="00A25B85">
        <w:rPr>
          <w:rFonts w:ascii="Cambria" w:hAnsi="Cambria"/>
          <w:color w:val="auto"/>
          <w:sz w:val="16"/>
          <w:szCs w:val="16"/>
          <w:lang w:val="es-ES"/>
        </w:rPr>
        <w:t xml:space="preserve"> Perú. 13 de abril de 2000, párr. 19.</w:t>
      </w:r>
    </w:p>
  </w:footnote>
  <w:footnote w:id="84">
    <w:p w14:paraId="4759E901" w14:textId="77777777" w:rsidR="00F005B1" w:rsidRPr="00A25B85" w:rsidRDefault="00F005B1" w:rsidP="00D60BE3">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Naciones Unidas, Consejo Económico y Social. </w:t>
      </w:r>
      <w:r w:rsidRPr="00A25B85">
        <w:rPr>
          <w:rFonts w:ascii="Cambria" w:hAnsi="Cambria"/>
          <w:i/>
          <w:color w:val="auto"/>
          <w:sz w:val="16"/>
          <w:szCs w:val="16"/>
          <w:lang w:val="es-ES"/>
        </w:rPr>
        <w:t>Grupos e individuos específicos: Trabajadores migrantes. Derechos humanos de los migrantes</w:t>
      </w:r>
      <w:r w:rsidRPr="00A25B85">
        <w:rPr>
          <w:rFonts w:ascii="Cambria" w:hAnsi="Cambria"/>
          <w:color w:val="auto"/>
          <w:sz w:val="16"/>
          <w:szCs w:val="16"/>
          <w:lang w:val="es-ES"/>
        </w:rPr>
        <w:t xml:space="preserve">. Informe presentado por la Relatora Especial, Sra. Gabriela Rodríguez Pizarro, de conformidad con la resolución 1999/44 de la Comisión de Derechos Humanos, E/CN.4/2000/82, 6 de enero de 2000, párr. 73; Corte IDH. </w:t>
      </w:r>
      <w:r w:rsidRPr="00A25B85">
        <w:rPr>
          <w:rFonts w:ascii="Cambria" w:hAnsi="Cambria"/>
          <w:i/>
          <w:color w:val="auto"/>
          <w:sz w:val="16"/>
          <w:szCs w:val="16"/>
          <w:lang w:val="es-ES"/>
        </w:rPr>
        <w:t>Condición jurídica y derechos de los migrantes indocumentados</w:t>
      </w:r>
      <w:r w:rsidRPr="00A25B85">
        <w:rPr>
          <w:rFonts w:ascii="Cambria" w:hAnsi="Cambria"/>
          <w:color w:val="auto"/>
          <w:sz w:val="16"/>
          <w:szCs w:val="16"/>
          <w:lang w:val="es-ES"/>
        </w:rPr>
        <w:t xml:space="preserve">. Opinión Consultiva OC-18/03 de 17 de septiembre de 2003, Serie A N.18, párr. 112; Corte IDH. </w:t>
      </w:r>
      <w:r w:rsidRPr="00A25B85">
        <w:rPr>
          <w:rFonts w:ascii="Cambria" w:hAnsi="Cambria"/>
          <w:i/>
          <w:color w:val="auto"/>
          <w:sz w:val="16"/>
          <w:szCs w:val="16"/>
          <w:lang w:val="es-ES"/>
        </w:rPr>
        <w:t xml:space="preserve">Caso Vélez Loor Vs. Panamá. </w:t>
      </w:r>
      <w:r w:rsidRPr="00A25B85">
        <w:rPr>
          <w:rFonts w:ascii="Cambria" w:hAnsi="Cambria"/>
          <w:color w:val="auto"/>
          <w:sz w:val="16"/>
          <w:szCs w:val="16"/>
          <w:lang w:val="es-ES"/>
        </w:rPr>
        <w:t>Excepciones preliminares, Fondo, Reparaciones y Costas</w:t>
      </w:r>
      <w:r w:rsidRPr="00A25B85">
        <w:rPr>
          <w:rFonts w:ascii="Cambria" w:hAnsi="Cambria"/>
          <w:i/>
          <w:color w:val="auto"/>
          <w:sz w:val="16"/>
          <w:szCs w:val="16"/>
          <w:lang w:val="es-ES"/>
        </w:rPr>
        <w:t>.</w:t>
      </w:r>
      <w:r w:rsidRPr="00A25B85">
        <w:rPr>
          <w:rFonts w:ascii="Cambria" w:hAnsi="Cambria"/>
          <w:color w:val="auto"/>
          <w:sz w:val="16"/>
          <w:szCs w:val="16"/>
          <w:lang w:val="es-ES"/>
        </w:rPr>
        <w:t xml:space="preserve"> Sentencia de 23 de noviembre de 2010, Serie C No. 218, párr. 98</w:t>
      </w:r>
    </w:p>
  </w:footnote>
  <w:footnote w:id="85">
    <w:p w14:paraId="5F4C9BC2"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Corte IDH. </w:t>
      </w:r>
      <w:r w:rsidRPr="00A25B85">
        <w:rPr>
          <w:rFonts w:ascii="Cambria" w:hAnsi="Cambria"/>
          <w:i/>
          <w:color w:val="auto"/>
          <w:sz w:val="16"/>
          <w:szCs w:val="16"/>
          <w:lang w:val="es-ES"/>
        </w:rPr>
        <w:t>Interpretación de la Declaración Americana de los Derechos y Deberes del Hombre en el marco del artículo 64 de la Convención Americana sobre Derechos Humanos</w:t>
      </w:r>
      <w:r w:rsidRPr="00A25B85">
        <w:rPr>
          <w:rFonts w:ascii="Cambria" w:hAnsi="Cambria"/>
          <w:color w:val="auto"/>
          <w:sz w:val="16"/>
          <w:szCs w:val="16"/>
          <w:lang w:val="es-ES"/>
        </w:rPr>
        <w:t>. Opinión Consultiva OC-10/89 del 14 de julio de 1989 [en adelante “</w:t>
      </w:r>
      <w:r w:rsidRPr="00A25B85">
        <w:rPr>
          <w:rFonts w:ascii="Cambria" w:hAnsi="Cambria"/>
          <w:i/>
          <w:color w:val="auto"/>
          <w:sz w:val="16"/>
          <w:szCs w:val="16"/>
          <w:lang w:val="es-ES"/>
        </w:rPr>
        <w:t>Interpretación de la Declaración Americana</w:t>
      </w:r>
      <w:r w:rsidRPr="00A25B85">
        <w:rPr>
          <w:rFonts w:ascii="Cambria" w:hAnsi="Cambria"/>
          <w:color w:val="auto"/>
          <w:sz w:val="16"/>
          <w:szCs w:val="16"/>
          <w:lang w:val="es-ES"/>
        </w:rPr>
        <w:t>”], párr. 47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w:t>
      </w:r>
    </w:p>
  </w:footnote>
  <w:footnote w:id="86">
    <w:p w14:paraId="19005DDC" w14:textId="77777777" w:rsidR="00F005B1" w:rsidRPr="00A25B85" w:rsidRDefault="00F005B1" w:rsidP="00067F9E">
      <w:pPr>
        <w:pStyle w:val="Footnotes"/>
        <w:spacing w:after="0"/>
        <w:ind w:firstLine="0"/>
        <w:rPr>
          <w:b/>
          <w:sz w:val="16"/>
          <w:szCs w:val="16"/>
          <w:lang w:val="es-ES"/>
        </w:rPr>
      </w:pPr>
      <w:r w:rsidRPr="00A25B85">
        <w:rPr>
          <w:rStyle w:val="FootnoteReference"/>
          <w:sz w:val="16"/>
          <w:szCs w:val="16"/>
          <w:lang w:val="es-ES"/>
        </w:rPr>
        <w:footnoteRef/>
      </w:r>
      <w:r w:rsidRPr="00A25B85">
        <w:rPr>
          <w:sz w:val="16"/>
          <w:szCs w:val="16"/>
          <w:lang w:val="es-ES"/>
        </w:rPr>
        <w:t xml:space="preserve"> CIDH. Informe No. 50/16, Caso 12.834. Fondo (Publicación). </w:t>
      </w:r>
      <w:r w:rsidRPr="00A25B85">
        <w:rPr>
          <w:i/>
          <w:sz w:val="16"/>
          <w:szCs w:val="16"/>
          <w:lang w:val="es-ES"/>
        </w:rPr>
        <w:t>Trabajadores indocumentados.</w:t>
      </w:r>
      <w:r w:rsidRPr="00A25B85">
        <w:rPr>
          <w:sz w:val="16"/>
          <w:szCs w:val="16"/>
          <w:lang w:val="es-ES"/>
        </w:rPr>
        <w:t xml:space="preserve"> Estados Unidos de América, 30 de noviembre de 2016, párr. 68. Véase Corte IDH, </w:t>
      </w:r>
      <w:r w:rsidRPr="00A25B85">
        <w:rPr>
          <w:i/>
          <w:sz w:val="16"/>
          <w:szCs w:val="16"/>
          <w:lang w:val="es-ES"/>
        </w:rPr>
        <w:t>Interpretación de la Declaración Americana</w:t>
      </w:r>
      <w:r w:rsidRPr="00A25B85">
        <w:rPr>
          <w:sz w:val="16"/>
          <w:szCs w:val="16"/>
          <w:lang w:val="es-ES"/>
        </w:rPr>
        <w:t>. Opinión Consultiva OC-10/89 de 14 de julio de 1989, párr. 37. Véase también</w:t>
      </w:r>
      <w:r w:rsidRPr="00A25B85">
        <w:rPr>
          <w:i/>
          <w:sz w:val="16"/>
          <w:szCs w:val="16"/>
          <w:lang w:val="es-ES"/>
        </w:rPr>
        <w:t xml:space="preserve"> </w:t>
      </w:r>
      <w:r w:rsidRPr="00A25B85">
        <w:rPr>
          <w:sz w:val="16"/>
          <w:szCs w:val="16"/>
          <w:lang w:val="es-ES"/>
        </w:rPr>
        <w:t xml:space="preserve">CIJ, </w:t>
      </w:r>
      <w:r w:rsidRPr="00A25B85">
        <w:rPr>
          <w:i/>
          <w:sz w:val="16"/>
          <w:szCs w:val="16"/>
          <w:lang w:val="es-ES"/>
        </w:rPr>
        <w:t>Consecuencias jurídicas para los estados de la continuada presencia de Sudáfrica en Namibia (África Sudoccidental) no obstante la Resolución 276 (1970) del Consejo de Seguridad.</w:t>
      </w:r>
      <w:r w:rsidRPr="00A25B85">
        <w:rPr>
          <w:sz w:val="16"/>
          <w:szCs w:val="16"/>
          <w:lang w:val="es-ES"/>
        </w:rPr>
        <w:t xml:space="preserve"> Opinión Consultiva, CIJ, Informes de 1971, p. 16 ad 31 (donde se afirma que “un instrumento internacional debe interpretarse y aplicarse dentro del marco general del sistema jurídico vigente a la fecha de la interpretación”).</w:t>
      </w:r>
    </w:p>
  </w:footnote>
  <w:footnote w:id="87">
    <w:p w14:paraId="3E1D887B" w14:textId="77777777" w:rsidR="00F005B1" w:rsidRPr="00A25B85" w:rsidRDefault="00F005B1" w:rsidP="00067F9E">
      <w:pPr>
        <w:pStyle w:val="Footnotes"/>
        <w:spacing w:after="0"/>
        <w:ind w:firstLine="0"/>
        <w:rPr>
          <w:sz w:val="16"/>
          <w:szCs w:val="16"/>
          <w:lang w:val="es-ES"/>
        </w:rPr>
      </w:pPr>
      <w:r w:rsidRPr="00A25B85">
        <w:rPr>
          <w:rStyle w:val="FootnoteReference"/>
          <w:sz w:val="16"/>
          <w:szCs w:val="16"/>
          <w:lang w:val="es-ES"/>
        </w:rPr>
        <w:footnoteRef/>
      </w:r>
      <w:r w:rsidRPr="00A25B85">
        <w:rPr>
          <w:sz w:val="16"/>
          <w:szCs w:val="16"/>
          <w:lang w:val="es-ES"/>
        </w:rPr>
        <w:t xml:space="preserve"> CIDH. </w:t>
      </w:r>
      <w:r w:rsidRPr="00A25B85">
        <w:rPr>
          <w:i/>
          <w:sz w:val="16"/>
          <w:szCs w:val="16"/>
          <w:lang w:val="es-ES"/>
        </w:rPr>
        <w:t>Informe sobre la situación de los derechos humanos de los solicitantes de asilo en el marco del sistema canadiense de determinación de la condición de refugiado</w:t>
      </w:r>
      <w:r w:rsidRPr="00A25B85">
        <w:rPr>
          <w:sz w:val="16"/>
          <w:szCs w:val="16"/>
          <w:lang w:val="es-ES"/>
        </w:rPr>
        <w:t xml:space="preserve"> (2000), párr. 38; CIDH. </w:t>
      </w:r>
      <w:r w:rsidRPr="00A25B85">
        <w:rPr>
          <w:i/>
          <w:sz w:val="16"/>
          <w:szCs w:val="16"/>
          <w:lang w:val="es-ES"/>
        </w:rPr>
        <w:t>Garza c. Estados Unidos.</w:t>
      </w:r>
      <w:r w:rsidRPr="00A25B85">
        <w:rPr>
          <w:sz w:val="16"/>
          <w:szCs w:val="16"/>
          <w:lang w:val="es-ES"/>
        </w:rPr>
        <w:t xml:space="preserve"> Caso No. 12.275. Informe Anual de la CIDH 2000, </w:t>
      </w:r>
      <w:proofErr w:type="spellStart"/>
      <w:r w:rsidRPr="00A25B85">
        <w:rPr>
          <w:sz w:val="16"/>
          <w:szCs w:val="16"/>
          <w:lang w:val="es-ES"/>
        </w:rPr>
        <w:t>párrs</w:t>
      </w:r>
      <w:proofErr w:type="spellEnd"/>
      <w:r w:rsidRPr="00A25B85">
        <w:rPr>
          <w:sz w:val="16"/>
          <w:szCs w:val="16"/>
          <w:lang w:val="es-ES"/>
        </w:rPr>
        <w:t>. 88 y 89.</w:t>
      </w:r>
    </w:p>
  </w:footnote>
  <w:footnote w:id="88">
    <w:p w14:paraId="0E099C12"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Artículo I: “Todo ser humano tiene derecho a la vida, a la libertad y a la seguridad de su persona”. El artículo XXV dice, en la parte pertinente: “Nadie puede ser privado de su libertad sino en los casos y según las formas establecidas por leyes preexistentes. […]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89">
    <w:p w14:paraId="21B519A9" w14:textId="77777777" w:rsidR="00F005B1" w:rsidRPr="000265CB" w:rsidRDefault="00F005B1" w:rsidP="00067F9E">
      <w:pPr>
        <w:pStyle w:val="FootnoteText"/>
        <w:jc w:val="both"/>
        <w:rPr>
          <w:rFonts w:ascii="Cambria" w:hAnsi="Cambria"/>
          <w:color w:val="auto"/>
          <w:sz w:val="16"/>
          <w:szCs w:val="16"/>
          <w:lang w:val="pt-BR"/>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Derechos humanos de migrantes, refugiados, apátridas, víctimas de trata de personas y desplazados internos: Normas y estándares del Sistema Interamericano de Derechos Humanos</w:t>
      </w:r>
      <w:r w:rsidRPr="00A25B85">
        <w:rPr>
          <w:rFonts w:ascii="Cambria" w:hAnsi="Cambria"/>
          <w:color w:val="auto"/>
          <w:sz w:val="16"/>
          <w:szCs w:val="16"/>
          <w:lang w:val="es-ES"/>
        </w:rPr>
        <w:t xml:space="preserve">. </w:t>
      </w:r>
      <w:r w:rsidRPr="000265CB">
        <w:rPr>
          <w:rFonts w:ascii="Cambria" w:hAnsi="Cambria"/>
          <w:color w:val="auto"/>
          <w:sz w:val="16"/>
          <w:szCs w:val="16"/>
          <w:lang w:val="pt-BR"/>
        </w:rPr>
        <w:t>OEA/Ser.L/V/II.Doc. 46/15, párrs. 381 a 384.</w:t>
      </w:r>
    </w:p>
  </w:footnote>
  <w:footnote w:id="90">
    <w:p w14:paraId="3BA627EF"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lang w:val="pt-BR"/>
        </w:rPr>
        <w:t xml:space="preserve"> Corte </w:t>
      </w:r>
      <w:r w:rsidRPr="000265CB">
        <w:rPr>
          <w:rFonts w:ascii="Cambria" w:hAnsi="Cambria"/>
          <w:color w:val="auto"/>
          <w:sz w:val="16"/>
          <w:szCs w:val="16"/>
          <w:lang w:val="pt-BR"/>
        </w:rPr>
        <w:t xml:space="preserve">IDH. </w:t>
      </w:r>
      <w:r w:rsidRPr="00A25B85">
        <w:rPr>
          <w:rFonts w:ascii="Cambria" w:hAnsi="Cambria"/>
          <w:i/>
          <w:sz w:val="16"/>
          <w:szCs w:val="16"/>
          <w:bdr w:val="none" w:sz="0" w:space="0" w:color="auto" w:frame="1"/>
          <w:lang w:val="es-ES"/>
        </w:rPr>
        <w:t xml:space="preserve">Caso Vélez Loor Vs. Panamá. </w:t>
      </w:r>
      <w:r w:rsidRPr="00A25B85">
        <w:rPr>
          <w:rFonts w:ascii="Cambria" w:hAnsi="Cambria"/>
          <w:sz w:val="16"/>
          <w:szCs w:val="16"/>
          <w:bdr w:val="none" w:sz="0" w:space="0" w:color="auto" w:frame="1"/>
          <w:lang w:val="es-ES"/>
        </w:rPr>
        <w:t>Excepciones preliminares, Fondo, Reparaciones y Costas</w:t>
      </w:r>
      <w:r w:rsidRPr="00A25B85">
        <w:rPr>
          <w:rFonts w:ascii="Cambria" w:hAnsi="Cambria"/>
          <w:i/>
          <w:sz w:val="16"/>
          <w:szCs w:val="16"/>
          <w:bdr w:val="none" w:sz="0" w:space="0" w:color="auto" w:frame="1"/>
          <w:lang w:val="es-ES"/>
        </w:rPr>
        <w:t>.</w:t>
      </w:r>
      <w:r w:rsidRPr="00A25B85">
        <w:rPr>
          <w:rFonts w:ascii="Cambria" w:hAnsi="Cambria"/>
          <w:sz w:val="16"/>
          <w:szCs w:val="16"/>
          <w:bdr w:val="none" w:sz="0" w:space="0" w:color="auto" w:frame="1"/>
          <w:lang w:val="es-ES"/>
        </w:rPr>
        <w:t xml:space="preserve"> Sentencia de 23 de noviembre de 2010</w:t>
      </w:r>
      <w:r w:rsidRPr="00A25B85">
        <w:rPr>
          <w:rFonts w:ascii="Cambria" w:hAnsi="Cambria"/>
          <w:color w:val="auto"/>
          <w:sz w:val="16"/>
          <w:szCs w:val="16"/>
          <w:lang w:val="es-ES"/>
        </w:rPr>
        <w:t xml:space="preserve"> Serie C No. 218, párr. 116.</w:t>
      </w:r>
    </w:p>
  </w:footnote>
  <w:footnote w:id="91">
    <w:p w14:paraId="7056D6DC"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Corte IDH. </w:t>
      </w:r>
      <w:r w:rsidRPr="00A25B85">
        <w:rPr>
          <w:rFonts w:ascii="Cambria" w:hAnsi="Cambria"/>
          <w:i/>
          <w:sz w:val="16"/>
          <w:szCs w:val="16"/>
          <w:bdr w:val="none" w:sz="0" w:space="0" w:color="auto" w:frame="1"/>
          <w:lang w:val="es-ES"/>
        </w:rPr>
        <w:t xml:space="preserve">Caso Vélez Loor Vs. Panamá. </w:t>
      </w:r>
      <w:r w:rsidRPr="00A25B85">
        <w:rPr>
          <w:rFonts w:ascii="Cambria" w:hAnsi="Cambria"/>
          <w:sz w:val="16"/>
          <w:szCs w:val="16"/>
          <w:bdr w:val="none" w:sz="0" w:space="0" w:color="auto" w:frame="1"/>
          <w:lang w:val="es-ES"/>
        </w:rPr>
        <w:t>Excepciones preliminares, Fondo, Reparaciones y Costas</w:t>
      </w:r>
      <w:r w:rsidRPr="00A25B85">
        <w:rPr>
          <w:rFonts w:ascii="Cambria" w:hAnsi="Cambria"/>
          <w:i/>
          <w:sz w:val="16"/>
          <w:szCs w:val="16"/>
          <w:bdr w:val="none" w:sz="0" w:space="0" w:color="auto" w:frame="1"/>
          <w:lang w:val="es-ES"/>
        </w:rPr>
        <w:t>.</w:t>
      </w:r>
      <w:r w:rsidRPr="00A25B85">
        <w:rPr>
          <w:rFonts w:ascii="Cambria" w:hAnsi="Cambria"/>
          <w:sz w:val="16"/>
          <w:szCs w:val="16"/>
          <w:bdr w:val="none" w:sz="0" w:space="0" w:color="auto" w:frame="1"/>
          <w:lang w:val="es-ES"/>
        </w:rPr>
        <w:t xml:space="preserve"> Sentencia de 23 de noviembre de 2010</w:t>
      </w:r>
      <w:r w:rsidRPr="00A25B85">
        <w:rPr>
          <w:rFonts w:ascii="Cambria" w:hAnsi="Cambria"/>
          <w:color w:val="auto"/>
          <w:sz w:val="16"/>
          <w:szCs w:val="16"/>
          <w:lang w:val="es-ES"/>
        </w:rPr>
        <w:t>. Serie C No. 218, párr. 166.</w:t>
      </w:r>
    </w:p>
  </w:footnote>
  <w:footnote w:id="92">
    <w:p w14:paraId="4E7DAA5C"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Informe sobre inmigración en Estados Unidos: detenciones y debido proceso</w:t>
      </w:r>
      <w:r w:rsidRPr="00A25B85">
        <w:rPr>
          <w:rFonts w:ascii="Cambria" w:hAnsi="Cambria"/>
          <w:color w:val="auto"/>
          <w:sz w:val="16"/>
          <w:szCs w:val="16"/>
          <w:lang w:val="es-ES"/>
        </w:rPr>
        <w:t>, OEA/</w:t>
      </w:r>
      <w:proofErr w:type="spellStart"/>
      <w:r w:rsidRPr="00A25B85">
        <w:rPr>
          <w:rFonts w:ascii="Cambria" w:hAnsi="Cambria"/>
          <w:color w:val="auto"/>
          <w:sz w:val="16"/>
          <w:szCs w:val="16"/>
          <w:lang w:val="es-ES"/>
        </w:rPr>
        <w:t>Ser.L</w:t>
      </w:r>
      <w:proofErr w:type="spellEnd"/>
      <w:r w:rsidRPr="00A25B85">
        <w:rPr>
          <w:rFonts w:ascii="Cambria" w:hAnsi="Cambria"/>
          <w:color w:val="auto"/>
          <w:sz w:val="16"/>
          <w:szCs w:val="16"/>
          <w:lang w:val="es-ES"/>
        </w:rPr>
        <w:t>/V/II, 30 de diciembre de 2010, párr. 38.</w:t>
      </w:r>
    </w:p>
  </w:footnote>
  <w:footnote w:id="93">
    <w:p w14:paraId="45FD6FC0"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Corte IDH. Opinión Consultiva OC-11/14 de 19 de agosto de 2014. </w:t>
      </w:r>
      <w:r w:rsidRPr="00A25B85">
        <w:rPr>
          <w:rFonts w:ascii="Cambria" w:hAnsi="Cambria"/>
          <w:i/>
          <w:color w:val="auto"/>
          <w:sz w:val="16"/>
          <w:szCs w:val="16"/>
          <w:lang w:val="es-ES"/>
        </w:rPr>
        <w:t>Derechos y garantías de niñas y niños en el contexto de la migración y/o en necesidad de protección internacional</w:t>
      </w:r>
      <w:r w:rsidRPr="00A25B85">
        <w:rPr>
          <w:rFonts w:ascii="Cambria" w:hAnsi="Cambria"/>
          <w:color w:val="auto"/>
          <w:sz w:val="16"/>
          <w:szCs w:val="16"/>
          <w:lang w:val="es-ES"/>
        </w:rPr>
        <w:t>, párr. 154.</w:t>
      </w:r>
    </w:p>
  </w:footnote>
  <w:footnote w:id="94">
    <w:p w14:paraId="26B4FAE8" w14:textId="77777777" w:rsidR="00F005B1" w:rsidRPr="00190BCA" w:rsidRDefault="00F005B1" w:rsidP="00ED7F69">
      <w:pPr>
        <w:pStyle w:val="FootnoteText"/>
        <w:rPr>
          <w:rFonts w:ascii="Cambria" w:hAnsi="Cambria"/>
          <w:sz w:val="16"/>
          <w:szCs w:val="16"/>
          <w:lang w:val="es-US"/>
        </w:rPr>
      </w:pPr>
      <w:r w:rsidRPr="00190BCA">
        <w:rPr>
          <w:rStyle w:val="FootnoteReference"/>
          <w:rFonts w:ascii="Cambria" w:hAnsi="Cambria"/>
          <w:sz w:val="16"/>
          <w:szCs w:val="16"/>
        </w:rPr>
        <w:footnoteRef/>
      </w:r>
      <w:r w:rsidRPr="00190BCA">
        <w:rPr>
          <w:rFonts w:ascii="Cambria" w:hAnsi="Cambria"/>
          <w:sz w:val="16"/>
          <w:szCs w:val="16"/>
          <w:lang w:val="es-US"/>
        </w:rPr>
        <w:t xml:space="preserve"> </w:t>
      </w:r>
      <w:proofErr w:type="spellStart"/>
      <w:r w:rsidRPr="00190BCA">
        <w:rPr>
          <w:rFonts w:ascii="Cambria" w:hAnsi="Cambria"/>
          <w:sz w:val="16"/>
          <w:szCs w:val="16"/>
          <w:lang w:val="es-US"/>
        </w:rPr>
        <w:t>CorteIDH</w:t>
      </w:r>
      <w:proofErr w:type="spellEnd"/>
      <w:r w:rsidRPr="00190BCA">
        <w:rPr>
          <w:rFonts w:ascii="Cambria" w:hAnsi="Cambria"/>
          <w:sz w:val="16"/>
          <w:szCs w:val="16"/>
          <w:lang w:val="es-US"/>
        </w:rPr>
        <w:t>, Opinión Consultiva OC-21/14 Derechos y garantías de niñas y niños en el contexto de la migración y/o en necesidad de protección internacional, 19 de agosto de 2014,  para. 286.6.</w:t>
      </w:r>
    </w:p>
  </w:footnote>
  <w:footnote w:id="95">
    <w:p w14:paraId="080A6E2D"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Rafael Ferrer</w:t>
      </w:r>
      <w:r w:rsidRPr="00A25B85">
        <w:rPr>
          <w:rFonts w:ascii="Cambria" w:hAnsi="Cambria" w:cs="Cambria Math"/>
          <w:i/>
          <w:color w:val="auto"/>
          <w:sz w:val="16"/>
          <w:szCs w:val="16"/>
          <w:lang w:val="es-ES"/>
        </w:rPr>
        <w:t>‐</w:t>
      </w:r>
      <w:proofErr w:type="spellStart"/>
      <w:r w:rsidRPr="00A25B85">
        <w:rPr>
          <w:rFonts w:ascii="Cambria" w:hAnsi="Cambria"/>
          <w:i/>
          <w:color w:val="auto"/>
          <w:sz w:val="16"/>
          <w:szCs w:val="16"/>
          <w:lang w:val="es-ES"/>
        </w:rPr>
        <w:t>Mazorra</w:t>
      </w:r>
      <w:proofErr w:type="spellEnd"/>
      <w:r w:rsidRPr="00A25B85">
        <w:rPr>
          <w:rFonts w:ascii="Cambria" w:hAnsi="Cambria"/>
          <w:i/>
          <w:color w:val="auto"/>
          <w:sz w:val="16"/>
          <w:szCs w:val="16"/>
          <w:lang w:val="es-ES"/>
        </w:rPr>
        <w:t xml:space="preserve"> y otros. Estados Unidos de América.</w:t>
      </w:r>
      <w:r w:rsidRPr="00A25B85">
        <w:rPr>
          <w:rFonts w:ascii="Cambria" w:hAnsi="Cambria"/>
          <w:color w:val="auto"/>
          <w:sz w:val="16"/>
          <w:szCs w:val="16"/>
          <w:lang w:val="es-ES"/>
        </w:rPr>
        <w:t xml:space="preserve"> Informe No. 51/01 (Fondo), Caso No. 9903, párr. 219 (4 de abril de 2001). Véase también CIDH, </w:t>
      </w:r>
      <w:r w:rsidRPr="00A25B85">
        <w:rPr>
          <w:rFonts w:ascii="Cambria" w:hAnsi="Cambria"/>
          <w:i/>
          <w:color w:val="auto"/>
          <w:sz w:val="16"/>
          <w:szCs w:val="16"/>
          <w:lang w:val="es-ES"/>
        </w:rPr>
        <w:t>Principios y buenas prácticas sobre la protección de las personas privadas de libertad en las Américas</w:t>
      </w:r>
      <w:r w:rsidRPr="00A25B85">
        <w:rPr>
          <w:rFonts w:ascii="Cambria" w:hAnsi="Cambria"/>
          <w:color w:val="auto"/>
          <w:sz w:val="16"/>
          <w:szCs w:val="16"/>
          <w:lang w:val="es-ES"/>
        </w:rPr>
        <w:t xml:space="preserve"> (“</w:t>
      </w:r>
      <w:r w:rsidRPr="00A25B85">
        <w:rPr>
          <w:rFonts w:ascii="Cambria" w:hAnsi="Cambria"/>
          <w:i/>
          <w:color w:val="auto"/>
          <w:sz w:val="16"/>
          <w:szCs w:val="16"/>
          <w:lang w:val="es-ES"/>
        </w:rPr>
        <w:t>Principios interamericanos sobre la detención</w:t>
      </w:r>
      <w:r w:rsidRPr="00A25B85">
        <w:rPr>
          <w:rFonts w:ascii="Cambria" w:hAnsi="Cambria" w:cs="Times New Roman"/>
          <w:color w:val="auto"/>
          <w:sz w:val="16"/>
          <w:szCs w:val="16"/>
          <w:lang w:val="es-ES"/>
        </w:rPr>
        <w:t>”</w:t>
      </w:r>
      <w:r w:rsidRPr="00A25B85">
        <w:rPr>
          <w:rFonts w:ascii="Cambria" w:hAnsi="Cambria"/>
          <w:color w:val="auto"/>
          <w:sz w:val="16"/>
          <w:szCs w:val="16"/>
          <w:lang w:val="es-ES"/>
        </w:rPr>
        <w:t xml:space="preserve">), Principio III (2) (2008), donde se </w:t>
      </w:r>
      <w:r w:rsidRPr="00A25B85">
        <w:rPr>
          <w:rFonts w:ascii="Cambria" w:hAnsi="Cambria" w:cs="Times New Roman"/>
          <w:color w:val="auto"/>
          <w:sz w:val="16"/>
          <w:szCs w:val="16"/>
          <w:lang w:val="es-ES"/>
        </w:rPr>
        <w:t>dispone lo siguiente como premisa fundamental</w:t>
      </w:r>
      <w:r w:rsidRPr="00A25B85">
        <w:rPr>
          <w:rFonts w:ascii="Cambria" w:hAnsi="Cambria"/>
          <w:color w:val="auto"/>
          <w:sz w:val="16"/>
          <w:szCs w:val="16"/>
          <w:lang w:val="es-ES"/>
        </w:rPr>
        <w:t xml:space="preserve">: </w:t>
      </w:r>
      <w:r w:rsidRPr="00A25B85">
        <w:rPr>
          <w:rFonts w:ascii="Cambria" w:hAnsi="Cambria" w:cs="Times New Roman"/>
          <w:color w:val="auto"/>
          <w:sz w:val="16"/>
          <w:szCs w:val="16"/>
          <w:lang w:val="es-ES"/>
        </w:rPr>
        <w:t>“</w:t>
      </w:r>
      <w:r w:rsidRPr="00A25B85">
        <w:rPr>
          <w:rFonts w:ascii="Cambria" w:hAnsi="Cambria"/>
          <w:color w:val="auto"/>
          <w:sz w:val="16"/>
          <w:szCs w:val="16"/>
          <w:lang w:val="es-ES"/>
        </w:rPr>
        <w:t>Se deberá asegurar por la ley que en los procedimientos judiciales o administrativos se garantice la libertad personal como regla general, y se aplique como excepción la privación preventiva de la libertad, conforme se establece en los instrumentos internacionales sobre derechos humanos”.</w:t>
      </w:r>
    </w:p>
  </w:footnote>
  <w:footnote w:id="96">
    <w:p w14:paraId="13316A4D"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Rafael Ferrer</w:t>
      </w:r>
      <w:r w:rsidRPr="00A25B85">
        <w:rPr>
          <w:rFonts w:ascii="Cambria" w:hAnsi="Cambria" w:cs="Cambria Math"/>
          <w:i/>
          <w:color w:val="auto"/>
          <w:sz w:val="16"/>
          <w:szCs w:val="16"/>
          <w:lang w:val="es-ES"/>
        </w:rPr>
        <w:t>‐</w:t>
      </w:r>
      <w:proofErr w:type="spellStart"/>
      <w:r w:rsidRPr="00A25B85">
        <w:rPr>
          <w:rFonts w:ascii="Cambria" w:hAnsi="Cambria"/>
          <w:i/>
          <w:color w:val="auto"/>
          <w:sz w:val="16"/>
          <w:szCs w:val="16"/>
          <w:lang w:val="es-ES"/>
        </w:rPr>
        <w:t>Mazorra</w:t>
      </w:r>
      <w:proofErr w:type="spellEnd"/>
      <w:r w:rsidRPr="00A25B85">
        <w:rPr>
          <w:rFonts w:ascii="Cambria" w:hAnsi="Cambria"/>
          <w:i/>
          <w:color w:val="auto"/>
          <w:sz w:val="16"/>
          <w:szCs w:val="16"/>
          <w:lang w:val="es-ES"/>
        </w:rPr>
        <w:t xml:space="preserve"> y otros. Estados Unidos de América.</w:t>
      </w:r>
      <w:r w:rsidRPr="00A25B85">
        <w:rPr>
          <w:rFonts w:ascii="Cambria" w:hAnsi="Cambria"/>
          <w:color w:val="auto"/>
          <w:sz w:val="16"/>
          <w:szCs w:val="16"/>
          <w:lang w:val="es-ES"/>
        </w:rPr>
        <w:t xml:space="preserve"> Informe No. 51/01 (Fondo). Caso No. 9903, párr. 242 (4 de abril de 2001). Véase también CIDH, </w:t>
      </w:r>
      <w:r w:rsidRPr="00A25B85">
        <w:rPr>
          <w:rFonts w:ascii="Cambria" w:hAnsi="Cambria"/>
          <w:i/>
          <w:color w:val="auto"/>
          <w:sz w:val="16"/>
          <w:szCs w:val="16"/>
          <w:lang w:val="es-ES"/>
        </w:rPr>
        <w:t>Principios interamericanos sobre la detención</w:t>
      </w:r>
      <w:r w:rsidRPr="00A25B85">
        <w:rPr>
          <w:rFonts w:ascii="Cambria" w:hAnsi="Cambria"/>
          <w:color w:val="auto"/>
          <w:sz w:val="16"/>
          <w:szCs w:val="16"/>
          <w:lang w:val="es-ES"/>
        </w:rPr>
        <w:t>, Principio III: “La privación preventiva de la libertad, como medida cautelar y no punitiva, deberá además obedecer a los principios de legalidad, presunción de inocencia, necesidad y proporcionalidad, en la medida estrictamente necesaria en una sociedad democrática”.</w:t>
      </w:r>
    </w:p>
  </w:footnote>
  <w:footnote w:id="97">
    <w:p w14:paraId="69C7B70E"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Rafael Ferrer</w:t>
      </w:r>
      <w:r w:rsidRPr="00A25B85">
        <w:rPr>
          <w:rFonts w:ascii="Cambria" w:hAnsi="Cambria" w:cs="Cambria Math"/>
          <w:i/>
          <w:color w:val="auto"/>
          <w:sz w:val="16"/>
          <w:szCs w:val="16"/>
          <w:lang w:val="es-ES"/>
        </w:rPr>
        <w:t>‐</w:t>
      </w:r>
      <w:proofErr w:type="spellStart"/>
      <w:r w:rsidRPr="00A25B85">
        <w:rPr>
          <w:rFonts w:ascii="Cambria" w:hAnsi="Cambria"/>
          <w:i/>
          <w:color w:val="auto"/>
          <w:sz w:val="16"/>
          <w:szCs w:val="16"/>
          <w:lang w:val="es-ES"/>
        </w:rPr>
        <w:t>Mazorra</w:t>
      </w:r>
      <w:proofErr w:type="spellEnd"/>
      <w:r w:rsidRPr="00A25B85">
        <w:rPr>
          <w:rFonts w:ascii="Cambria" w:hAnsi="Cambria"/>
          <w:i/>
          <w:color w:val="auto"/>
          <w:sz w:val="16"/>
          <w:szCs w:val="16"/>
          <w:lang w:val="es-ES"/>
        </w:rPr>
        <w:t xml:space="preserve"> y otros. Estados Unidos de América.</w:t>
      </w:r>
      <w:r w:rsidRPr="00A25B85">
        <w:rPr>
          <w:rFonts w:ascii="Cambria" w:hAnsi="Cambria"/>
          <w:color w:val="auto"/>
          <w:sz w:val="16"/>
          <w:szCs w:val="16"/>
          <w:lang w:val="es-ES"/>
        </w:rPr>
        <w:t xml:space="preserve"> Informe No. 51/01 (Fondo). Caso No. 9903, párr. 221 (4 de abril de 2001).</w:t>
      </w:r>
    </w:p>
  </w:footnote>
  <w:footnote w:id="98">
    <w:p w14:paraId="2DC67EEF"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Naciones Unidas. Informe del Grupo de Trabajo sobre la Detención Arbitraria. Anexo II, Deliberación No. 5: </w:t>
      </w:r>
      <w:r w:rsidRPr="00A25B85">
        <w:rPr>
          <w:rFonts w:ascii="Cambria" w:hAnsi="Cambria"/>
          <w:i/>
          <w:color w:val="auto"/>
          <w:sz w:val="16"/>
          <w:szCs w:val="16"/>
          <w:lang w:val="es-ES"/>
        </w:rPr>
        <w:t>Situación relativa a los inmigrantes y los solicitantes de asilo</w:t>
      </w:r>
      <w:r w:rsidRPr="00A25B85">
        <w:rPr>
          <w:rFonts w:ascii="Cambria" w:hAnsi="Cambria"/>
          <w:color w:val="auto"/>
          <w:sz w:val="16"/>
          <w:szCs w:val="16"/>
          <w:lang w:val="es-ES"/>
        </w:rPr>
        <w:t xml:space="preserve">, 1999, E/CN.4/2000/4, Principio 7; Corte IDH, </w:t>
      </w:r>
      <w:r w:rsidRPr="00A25B85">
        <w:rPr>
          <w:rFonts w:ascii="Cambria" w:hAnsi="Cambria"/>
          <w:i/>
          <w:color w:val="auto"/>
          <w:sz w:val="16"/>
          <w:szCs w:val="16"/>
          <w:lang w:val="es-ES"/>
        </w:rPr>
        <w:t xml:space="preserve">Caso Vélez Loor Vs. Panamá. </w:t>
      </w:r>
      <w:r w:rsidRPr="00A25B85">
        <w:rPr>
          <w:rFonts w:ascii="Cambria" w:hAnsi="Cambria"/>
          <w:color w:val="auto"/>
          <w:sz w:val="16"/>
          <w:szCs w:val="16"/>
          <w:lang w:val="es-ES"/>
        </w:rPr>
        <w:t>Excepciones preliminares, Fondo, Reparaciones y Costas</w:t>
      </w:r>
      <w:r w:rsidRPr="00A25B85">
        <w:rPr>
          <w:rFonts w:ascii="Cambria" w:hAnsi="Cambria"/>
          <w:i/>
          <w:color w:val="auto"/>
          <w:sz w:val="16"/>
          <w:szCs w:val="16"/>
          <w:lang w:val="es-ES"/>
        </w:rPr>
        <w:t>.</w:t>
      </w:r>
      <w:r w:rsidRPr="00A25B85">
        <w:rPr>
          <w:rFonts w:ascii="Cambria" w:hAnsi="Cambria"/>
          <w:color w:val="auto"/>
          <w:sz w:val="16"/>
          <w:szCs w:val="16"/>
          <w:lang w:val="es-ES"/>
        </w:rPr>
        <w:t xml:space="preserve"> Sentencia de 23 de noviembre de 2010, Serie C No. 218, párr. 117.</w:t>
      </w:r>
    </w:p>
  </w:footnote>
  <w:footnote w:id="99">
    <w:p w14:paraId="3300716A"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Corte IDH. </w:t>
      </w:r>
      <w:r w:rsidRPr="00A25B85">
        <w:rPr>
          <w:rFonts w:ascii="Cambria" w:hAnsi="Cambria"/>
          <w:i/>
          <w:color w:val="auto"/>
          <w:sz w:val="16"/>
          <w:szCs w:val="16"/>
          <w:lang w:val="es-ES"/>
        </w:rPr>
        <w:t xml:space="preserve">Caso Vélez Loor Vs. Panamá. </w:t>
      </w:r>
      <w:r w:rsidRPr="00A25B85">
        <w:rPr>
          <w:rFonts w:ascii="Cambria" w:hAnsi="Cambria"/>
          <w:color w:val="auto"/>
          <w:sz w:val="16"/>
          <w:szCs w:val="16"/>
          <w:lang w:val="es-ES"/>
        </w:rPr>
        <w:t>Excepciones preliminares, Fondo, Reparaciones y Costas</w:t>
      </w:r>
      <w:r w:rsidRPr="00A25B85">
        <w:rPr>
          <w:rFonts w:ascii="Cambria" w:hAnsi="Cambria"/>
          <w:i/>
          <w:color w:val="auto"/>
          <w:sz w:val="16"/>
          <w:szCs w:val="16"/>
          <w:lang w:val="es-ES"/>
        </w:rPr>
        <w:t>.</w:t>
      </w:r>
      <w:r w:rsidRPr="00A25B85">
        <w:rPr>
          <w:rFonts w:ascii="Cambria" w:hAnsi="Cambria"/>
          <w:color w:val="auto"/>
          <w:sz w:val="16"/>
          <w:szCs w:val="16"/>
          <w:lang w:val="es-ES"/>
        </w:rPr>
        <w:t xml:space="preserve"> Sentencia de 23 de noviembre de 2010, Serie C No. 218, párr. 117.</w:t>
      </w:r>
    </w:p>
  </w:footnote>
  <w:footnote w:id="100">
    <w:p w14:paraId="330BBA23"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Informe sobre terrorismo y derechos humanos</w:t>
      </w:r>
      <w:r w:rsidRPr="00A25B85">
        <w:rPr>
          <w:rFonts w:ascii="Cambria" w:hAnsi="Cambria"/>
          <w:color w:val="auto"/>
          <w:sz w:val="16"/>
          <w:szCs w:val="16"/>
          <w:lang w:val="es-ES"/>
        </w:rPr>
        <w:t xml:space="preserve">, párr. 167 (donde se citan las </w:t>
      </w:r>
      <w:r w:rsidRPr="00A25B85">
        <w:rPr>
          <w:rFonts w:ascii="Cambria" w:hAnsi="Cambria" w:cs="Arial"/>
          <w:color w:val="auto"/>
          <w:sz w:val="16"/>
          <w:szCs w:val="16"/>
          <w:lang w:val="es-ES"/>
        </w:rPr>
        <w:t xml:space="preserve">Reglas Mínimas de las Naciones Unidas para el Tratamiento de los Reclusos, reglas 8 a 34); véase también </w:t>
      </w:r>
      <w:r w:rsidRPr="00A25B85">
        <w:rPr>
          <w:rFonts w:ascii="Cambria" w:hAnsi="Cambria"/>
          <w:color w:val="auto"/>
          <w:sz w:val="16"/>
          <w:szCs w:val="16"/>
          <w:lang w:val="es-ES"/>
        </w:rPr>
        <w:t xml:space="preserve">CIDH, </w:t>
      </w:r>
      <w:r w:rsidRPr="00A25B85">
        <w:rPr>
          <w:rFonts w:ascii="Cambria" w:hAnsi="Cambria"/>
          <w:i/>
          <w:color w:val="auto"/>
          <w:sz w:val="16"/>
          <w:szCs w:val="16"/>
          <w:lang w:val="es-ES"/>
        </w:rPr>
        <w:t>Informe sobre los derechos humanos de las personas privadas de libertad en las Américas</w:t>
      </w:r>
      <w:r w:rsidRPr="00A25B85">
        <w:rPr>
          <w:rFonts w:ascii="Cambria" w:hAnsi="Cambria"/>
          <w:color w:val="auto"/>
          <w:sz w:val="16"/>
          <w:szCs w:val="16"/>
          <w:lang w:val="es-ES"/>
        </w:rPr>
        <w:t xml:space="preserve"> (2011), párr. 432</w:t>
      </w:r>
      <w:r w:rsidRPr="00A25B85">
        <w:rPr>
          <w:rFonts w:ascii="Cambria" w:hAnsi="Cambria" w:cs="Arial"/>
          <w:color w:val="auto"/>
          <w:sz w:val="16"/>
          <w:szCs w:val="16"/>
          <w:lang w:val="es-ES"/>
        </w:rPr>
        <w:t xml:space="preserve">. </w:t>
      </w:r>
    </w:p>
  </w:footnote>
  <w:footnote w:id="101">
    <w:p w14:paraId="63F0A741" w14:textId="77777777" w:rsidR="00F005B1" w:rsidRPr="00A25B85" w:rsidRDefault="00F005B1" w:rsidP="00067F9E">
      <w:pPr>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CIDH. </w:t>
      </w:r>
      <w:r w:rsidRPr="00A25B85">
        <w:rPr>
          <w:rFonts w:ascii="Cambria" w:hAnsi="Cambria"/>
          <w:i/>
          <w:sz w:val="16"/>
          <w:szCs w:val="16"/>
          <w:lang w:val="es-ES"/>
        </w:rPr>
        <w:t>Informe sobre los derechos humanos de las personas privadas de libertad en las Américas</w:t>
      </w:r>
      <w:r w:rsidRPr="00A25B85">
        <w:rPr>
          <w:rFonts w:ascii="Cambria" w:hAnsi="Cambria"/>
          <w:sz w:val="16"/>
          <w:szCs w:val="16"/>
          <w:lang w:val="es-ES"/>
        </w:rPr>
        <w:t xml:space="preserve"> (2011), párr. 432 (donde se cita a la CIDH, Informe No. 28/09. Caso 12.269. Fondo. </w:t>
      </w:r>
      <w:r w:rsidRPr="00A25B85">
        <w:rPr>
          <w:rFonts w:ascii="Cambria" w:hAnsi="Cambria"/>
          <w:i/>
          <w:sz w:val="16"/>
          <w:szCs w:val="16"/>
          <w:lang w:val="es-ES"/>
        </w:rPr>
        <w:t xml:space="preserve">Dexter </w:t>
      </w:r>
      <w:proofErr w:type="spellStart"/>
      <w:r w:rsidRPr="00A25B85">
        <w:rPr>
          <w:rFonts w:ascii="Cambria" w:hAnsi="Cambria"/>
          <w:i/>
          <w:sz w:val="16"/>
          <w:szCs w:val="16"/>
          <w:lang w:val="es-ES"/>
        </w:rPr>
        <w:t>Lendore</w:t>
      </w:r>
      <w:proofErr w:type="spellEnd"/>
      <w:r w:rsidRPr="00A25B85">
        <w:rPr>
          <w:rFonts w:ascii="Cambria" w:hAnsi="Cambria"/>
          <w:i/>
          <w:sz w:val="16"/>
          <w:szCs w:val="16"/>
          <w:lang w:val="es-ES"/>
        </w:rPr>
        <w:t>. Trinidad y Tobago</w:t>
      </w:r>
      <w:r w:rsidRPr="00A25B85">
        <w:rPr>
          <w:rFonts w:ascii="Cambria" w:hAnsi="Cambria"/>
          <w:sz w:val="16"/>
          <w:szCs w:val="16"/>
          <w:lang w:val="es-ES"/>
        </w:rPr>
        <w:t xml:space="preserve">. 20 de marzo de 2009,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30 y 31; Informe No. 78/07. Caso 12.265. Fondo. </w:t>
      </w:r>
      <w:r w:rsidRPr="00A25B85">
        <w:rPr>
          <w:rFonts w:ascii="Cambria" w:hAnsi="Cambria"/>
          <w:i/>
          <w:sz w:val="16"/>
          <w:szCs w:val="16"/>
          <w:lang w:val="es-ES"/>
        </w:rPr>
        <w:t>Chad Roger Goodman. Bahamas</w:t>
      </w:r>
      <w:r w:rsidRPr="00A25B85">
        <w:rPr>
          <w:rFonts w:ascii="Cambria" w:hAnsi="Cambria"/>
          <w:sz w:val="16"/>
          <w:szCs w:val="16"/>
          <w:lang w:val="es-ES"/>
        </w:rPr>
        <w:t xml:space="preserve">. 15 de octubre de 2007,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86 y 87; Informe No. 67/06. Caso 12.476. Fondo. </w:t>
      </w:r>
      <w:r w:rsidRPr="00A25B85">
        <w:rPr>
          <w:rFonts w:ascii="Cambria" w:hAnsi="Cambria"/>
          <w:i/>
          <w:sz w:val="16"/>
          <w:szCs w:val="16"/>
          <w:lang w:val="es-ES"/>
        </w:rPr>
        <w:t xml:space="preserve">Oscar Elías </w:t>
      </w:r>
      <w:proofErr w:type="spellStart"/>
      <w:r w:rsidRPr="00A25B85">
        <w:rPr>
          <w:rFonts w:ascii="Cambria" w:hAnsi="Cambria"/>
          <w:i/>
          <w:sz w:val="16"/>
          <w:szCs w:val="16"/>
          <w:lang w:val="es-ES"/>
        </w:rPr>
        <w:t>Bicet</w:t>
      </w:r>
      <w:proofErr w:type="spellEnd"/>
      <w:r w:rsidRPr="00A25B85">
        <w:rPr>
          <w:rFonts w:ascii="Cambria" w:hAnsi="Cambria"/>
          <w:i/>
          <w:sz w:val="16"/>
          <w:szCs w:val="16"/>
          <w:lang w:val="es-ES"/>
        </w:rPr>
        <w:t xml:space="preserve"> y otros. Cuba</w:t>
      </w:r>
      <w:r w:rsidRPr="00A25B85">
        <w:rPr>
          <w:rFonts w:ascii="Cambria" w:hAnsi="Cambria"/>
          <w:sz w:val="16"/>
          <w:szCs w:val="16"/>
          <w:lang w:val="es-ES"/>
        </w:rPr>
        <w:t xml:space="preserve">. 21 de octubre de 2006, párr. 152; Informe No. 76/02. Caso 12.347. Fondo. </w:t>
      </w:r>
      <w:r w:rsidRPr="00A25B85">
        <w:rPr>
          <w:rFonts w:ascii="Cambria" w:hAnsi="Cambria"/>
          <w:i/>
          <w:sz w:val="16"/>
          <w:szCs w:val="16"/>
          <w:lang w:val="es-ES"/>
        </w:rPr>
        <w:t>Dave Sewell. Jamaica</w:t>
      </w:r>
      <w:r w:rsidRPr="00A25B85">
        <w:rPr>
          <w:rFonts w:ascii="Cambria" w:hAnsi="Cambria"/>
          <w:sz w:val="16"/>
          <w:szCs w:val="16"/>
          <w:lang w:val="es-ES"/>
        </w:rPr>
        <w:t xml:space="preserve">. 27 de diciembre de 2002,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114 y 115). </w:t>
      </w:r>
    </w:p>
  </w:footnote>
  <w:footnote w:id="102">
    <w:p w14:paraId="224D60F3"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Consejo de Derechos Humanos. </w:t>
      </w:r>
      <w:r w:rsidRPr="00A25B85">
        <w:rPr>
          <w:rFonts w:ascii="Cambria" w:hAnsi="Cambria"/>
          <w:i/>
          <w:color w:val="auto"/>
          <w:sz w:val="16"/>
          <w:szCs w:val="16"/>
          <w:lang w:val="es-ES"/>
        </w:rPr>
        <w:t>Informe del Grupo de Trabajo sobre la Detención Arbitraria</w:t>
      </w:r>
      <w:r w:rsidRPr="00A25B85">
        <w:rPr>
          <w:rFonts w:ascii="Cambria" w:hAnsi="Cambria"/>
          <w:color w:val="auto"/>
          <w:sz w:val="16"/>
          <w:szCs w:val="16"/>
          <w:lang w:val="es-ES"/>
        </w:rPr>
        <w:t xml:space="preserve">. A/HRC/10/21, 16 de febrero de 2009. Capítulo III: Consideraciones temáticas, párr. 46. </w:t>
      </w:r>
    </w:p>
  </w:footnote>
  <w:footnote w:id="103">
    <w:p w14:paraId="0D8D192E"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 xml:space="preserve">Informe especial sobre la situación de los derechos humanos en la cárcel de </w:t>
      </w:r>
      <w:proofErr w:type="spellStart"/>
      <w:r w:rsidRPr="00A25B85">
        <w:rPr>
          <w:rFonts w:ascii="Cambria" w:hAnsi="Cambria"/>
          <w:i/>
          <w:color w:val="auto"/>
          <w:sz w:val="16"/>
          <w:szCs w:val="16"/>
          <w:lang w:val="es-ES"/>
        </w:rPr>
        <w:t>Challapalca</w:t>
      </w:r>
      <w:proofErr w:type="spellEnd"/>
      <w:r w:rsidRPr="00A25B85">
        <w:rPr>
          <w:rFonts w:ascii="Cambria" w:hAnsi="Cambria"/>
          <w:i/>
          <w:color w:val="auto"/>
          <w:sz w:val="16"/>
          <w:szCs w:val="16"/>
          <w:lang w:val="es-ES"/>
        </w:rPr>
        <w:t>, Departamento de Tacna, República de Perú</w:t>
      </w:r>
      <w:r w:rsidRPr="00A25B85">
        <w:rPr>
          <w:rFonts w:ascii="Cambria" w:hAnsi="Cambria"/>
          <w:color w:val="auto"/>
          <w:sz w:val="16"/>
          <w:szCs w:val="16"/>
          <w:lang w:val="es-ES"/>
        </w:rPr>
        <w:t xml:space="preserve">, párr. 113; CIDH. Informe No. 41/99. Fondo. </w:t>
      </w:r>
      <w:r w:rsidRPr="00A25B85">
        <w:rPr>
          <w:rFonts w:ascii="Cambria" w:hAnsi="Cambria"/>
          <w:i/>
          <w:color w:val="auto"/>
          <w:sz w:val="16"/>
          <w:szCs w:val="16"/>
          <w:lang w:val="es-ES"/>
        </w:rPr>
        <w:t>Menores detenidos. Honduras</w:t>
      </w:r>
      <w:r w:rsidRPr="00A25B85">
        <w:rPr>
          <w:rFonts w:ascii="Cambria" w:hAnsi="Cambria"/>
          <w:color w:val="auto"/>
          <w:sz w:val="16"/>
          <w:szCs w:val="16"/>
          <w:lang w:val="es-ES"/>
        </w:rPr>
        <w:t xml:space="preserve">. 10 de marzo de 1999, párr. 135. </w:t>
      </w:r>
    </w:p>
  </w:footnote>
  <w:footnote w:id="104">
    <w:p w14:paraId="790BB773"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Corte IDH. </w:t>
      </w:r>
      <w:r w:rsidRPr="00A25B85">
        <w:rPr>
          <w:rFonts w:ascii="Cambria" w:hAnsi="Cambria"/>
          <w:i/>
          <w:sz w:val="16"/>
          <w:szCs w:val="16"/>
          <w:bdr w:val="none" w:sz="0" w:space="0" w:color="auto" w:frame="1"/>
          <w:lang w:val="es-ES"/>
        </w:rPr>
        <w:t xml:space="preserve">Caso Vélez Loor Vs. Panamá. </w:t>
      </w:r>
      <w:r w:rsidRPr="00A25B85">
        <w:rPr>
          <w:rFonts w:ascii="Cambria" w:hAnsi="Cambria"/>
          <w:sz w:val="16"/>
          <w:szCs w:val="16"/>
          <w:bdr w:val="none" w:sz="0" w:space="0" w:color="auto" w:frame="1"/>
          <w:lang w:val="es-ES"/>
        </w:rPr>
        <w:t>Excepciones preliminares, Fondo, Reparaciones y Costas</w:t>
      </w:r>
      <w:r w:rsidRPr="00A25B85">
        <w:rPr>
          <w:rFonts w:ascii="Cambria" w:hAnsi="Cambria"/>
          <w:i/>
          <w:sz w:val="16"/>
          <w:szCs w:val="16"/>
          <w:bdr w:val="none" w:sz="0" w:space="0" w:color="auto" w:frame="1"/>
          <w:lang w:val="es-ES"/>
        </w:rPr>
        <w:t>.</w:t>
      </w:r>
      <w:r w:rsidRPr="00A25B85">
        <w:rPr>
          <w:rFonts w:ascii="Cambria" w:hAnsi="Cambria"/>
          <w:sz w:val="16"/>
          <w:szCs w:val="16"/>
          <w:bdr w:val="none" w:sz="0" w:space="0" w:color="auto" w:frame="1"/>
          <w:lang w:val="es-ES"/>
        </w:rPr>
        <w:t xml:space="preserve"> Sentencia de 23 de noviembre de 2010. </w:t>
      </w:r>
      <w:r w:rsidRPr="00A25B85">
        <w:rPr>
          <w:rFonts w:ascii="Cambria" w:hAnsi="Cambria"/>
          <w:color w:val="auto"/>
          <w:sz w:val="16"/>
          <w:szCs w:val="16"/>
          <w:lang w:val="es-ES"/>
        </w:rPr>
        <w:t>Serie C No. 218, párr. 209.</w:t>
      </w:r>
    </w:p>
  </w:footnote>
  <w:footnote w:id="105">
    <w:p w14:paraId="5189AA64"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28/09. Caso 12.269. Fondo. </w:t>
      </w:r>
      <w:r w:rsidRPr="00A25B85">
        <w:rPr>
          <w:rFonts w:ascii="Cambria" w:hAnsi="Cambria"/>
          <w:i/>
          <w:color w:val="auto"/>
          <w:sz w:val="16"/>
          <w:szCs w:val="16"/>
          <w:lang w:val="es-ES"/>
        </w:rPr>
        <w:t xml:space="preserve">Dexter </w:t>
      </w:r>
      <w:proofErr w:type="spellStart"/>
      <w:r w:rsidRPr="00A25B85">
        <w:rPr>
          <w:rFonts w:ascii="Cambria" w:hAnsi="Cambria"/>
          <w:i/>
          <w:color w:val="auto"/>
          <w:sz w:val="16"/>
          <w:szCs w:val="16"/>
          <w:lang w:val="es-ES"/>
        </w:rPr>
        <w:t>Lendore</w:t>
      </w:r>
      <w:proofErr w:type="spellEnd"/>
      <w:r w:rsidRPr="00A25B85">
        <w:rPr>
          <w:rFonts w:ascii="Cambria" w:hAnsi="Cambria"/>
          <w:i/>
          <w:color w:val="auto"/>
          <w:sz w:val="16"/>
          <w:szCs w:val="16"/>
          <w:lang w:val="es-ES"/>
        </w:rPr>
        <w:t>. Trinidad y Tobago</w:t>
      </w:r>
      <w:r w:rsidRPr="00A25B85">
        <w:rPr>
          <w:rFonts w:ascii="Cambria" w:hAnsi="Cambria"/>
          <w:color w:val="auto"/>
          <w:sz w:val="16"/>
          <w:szCs w:val="16"/>
          <w:lang w:val="es-ES"/>
        </w:rPr>
        <w:t xml:space="preserve">. 20 de marzo de 2009, párr. 34; Informe No. 76/02. Caso 12.347. Fondo. </w:t>
      </w:r>
      <w:r w:rsidRPr="00A25B85">
        <w:rPr>
          <w:rFonts w:ascii="Cambria" w:hAnsi="Cambria"/>
          <w:i/>
          <w:color w:val="auto"/>
          <w:sz w:val="16"/>
          <w:szCs w:val="16"/>
          <w:lang w:val="es-ES"/>
        </w:rPr>
        <w:t>Dave Sewell. Jamaica</w:t>
      </w:r>
      <w:r w:rsidRPr="00A25B85">
        <w:rPr>
          <w:rFonts w:ascii="Cambria" w:hAnsi="Cambria"/>
          <w:color w:val="auto"/>
          <w:sz w:val="16"/>
          <w:szCs w:val="16"/>
          <w:lang w:val="es-ES"/>
        </w:rPr>
        <w:t xml:space="preserve">. 27 de diciembre de 2002, párr. 116; Informe No. 56/02. Caso 12.158. Fondo. </w:t>
      </w:r>
      <w:r w:rsidRPr="00A25B85">
        <w:rPr>
          <w:rFonts w:ascii="Cambria" w:hAnsi="Cambria"/>
          <w:i/>
          <w:color w:val="auto"/>
          <w:sz w:val="16"/>
          <w:szCs w:val="16"/>
          <w:lang w:val="es-ES"/>
        </w:rPr>
        <w:t xml:space="preserve">Benedict Jacob. </w:t>
      </w:r>
      <w:proofErr w:type="spellStart"/>
      <w:r w:rsidRPr="00A25B85">
        <w:rPr>
          <w:rFonts w:ascii="Cambria" w:hAnsi="Cambria"/>
          <w:i/>
          <w:color w:val="auto"/>
          <w:sz w:val="16"/>
          <w:szCs w:val="16"/>
          <w:lang w:val="es-ES"/>
        </w:rPr>
        <w:t>Grenada</w:t>
      </w:r>
      <w:proofErr w:type="spellEnd"/>
      <w:r w:rsidRPr="00A25B85">
        <w:rPr>
          <w:rFonts w:ascii="Cambria" w:hAnsi="Cambria"/>
          <w:color w:val="auto"/>
          <w:sz w:val="16"/>
          <w:szCs w:val="16"/>
          <w:lang w:val="es-ES"/>
        </w:rPr>
        <w:t xml:space="preserve">. 21 de octubre de 2002, párr. 94; Informe No. 41/04. Caso 12.417. Fondo. </w:t>
      </w:r>
      <w:proofErr w:type="spellStart"/>
      <w:r w:rsidRPr="00A25B85">
        <w:rPr>
          <w:rFonts w:ascii="Cambria" w:hAnsi="Cambria"/>
          <w:i/>
          <w:color w:val="auto"/>
          <w:sz w:val="16"/>
          <w:szCs w:val="16"/>
          <w:lang w:val="es-ES"/>
        </w:rPr>
        <w:t>Whitley</w:t>
      </w:r>
      <w:proofErr w:type="spellEnd"/>
      <w:r w:rsidRPr="00A25B85">
        <w:rPr>
          <w:rFonts w:ascii="Cambria" w:hAnsi="Cambria"/>
          <w:i/>
          <w:color w:val="auto"/>
          <w:sz w:val="16"/>
          <w:szCs w:val="16"/>
          <w:lang w:val="es-ES"/>
        </w:rPr>
        <w:t xml:space="preserve"> </w:t>
      </w:r>
      <w:proofErr w:type="spellStart"/>
      <w:r w:rsidRPr="00A25B85">
        <w:rPr>
          <w:rFonts w:ascii="Cambria" w:hAnsi="Cambria"/>
          <w:i/>
          <w:color w:val="auto"/>
          <w:sz w:val="16"/>
          <w:szCs w:val="16"/>
          <w:lang w:val="es-ES"/>
        </w:rPr>
        <w:t>Myrie</w:t>
      </w:r>
      <w:proofErr w:type="spellEnd"/>
      <w:r w:rsidRPr="00A25B85">
        <w:rPr>
          <w:rFonts w:ascii="Cambria" w:hAnsi="Cambria"/>
          <w:i/>
          <w:color w:val="auto"/>
          <w:sz w:val="16"/>
          <w:szCs w:val="16"/>
          <w:lang w:val="es-ES"/>
        </w:rPr>
        <w:t>. Jamaica</w:t>
      </w:r>
      <w:r w:rsidRPr="00A25B85">
        <w:rPr>
          <w:rFonts w:ascii="Cambria" w:hAnsi="Cambria"/>
          <w:color w:val="auto"/>
          <w:sz w:val="16"/>
          <w:szCs w:val="16"/>
          <w:lang w:val="es-ES"/>
        </w:rPr>
        <w:t xml:space="preserve">. 12 de octubre de 2004, párr. 46. </w:t>
      </w:r>
    </w:p>
  </w:footnote>
  <w:footnote w:id="106">
    <w:p w14:paraId="295AA2A9" w14:textId="77777777" w:rsidR="00F005B1" w:rsidRPr="00A25B85" w:rsidRDefault="00F005B1" w:rsidP="00067F9E">
      <w:pPr>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Véase, por ejemplo, Corte IDH, </w:t>
      </w:r>
      <w:r w:rsidRPr="00A25B85">
        <w:rPr>
          <w:rFonts w:ascii="Cambria" w:hAnsi="Cambria"/>
          <w:bCs/>
          <w:i/>
          <w:sz w:val="16"/>
          <w:szCs w:val="16"/>
          <w:lang w:val="es-ES"/>
        </w:rPr>
        <w:t>Caso Vélez Loor Vs. Panamá</w:t>
      </w:r>
      <w:r w:rsidRPr="00A25B85">
        <w:rPr>
          <w:rFonts w:ascii="Cambria" w:hAnsi="Cambria"/>
          <w:bCs/>
          <w:sz w:val="16"/>
          <w:szCs w:val="16"/>
          <w:lang w:val="es-ES"/>
        </w:rPr>
        <w:t xml:space="preserve">. Sentencia de </w:t>
      </w:r>
      <w:r w:rsidRPr="00A25B85">
        <w:rPr>
          <w:rFonts w:ascii="Cambria" w:hAnsi="Cambria"/>
          <w:sz w:val="16"/>
          <w:szCs w:val="16"/>
          <w:lang w:val="es-ES"/>
        </w:rPr>
        <w:t xml:space="preserve">23 de noviembre de 2010, párr. 227; </w:t>
      </w:r>
      <w:r w:rsidRPr="00A25B85">
        <w:rPr>
          <w:rFonts w:ascii="Cambria" w:hAnsi="Cambria"/>
          <w:i/>
          <w:sz w:val="16"/>
          <w:szCs w:val="16"/>
          <w:lang w:val="es-ES"/>
        </w:rPr>
        <w:t>Caso Boyce y otros Vs. Barbados</w:t>
      </w:r>
      <w:r w:rsidRPr="00A25B85">
        <w:rPr>
          <w:rFonts w:ascii="Cambria" w:hAnsi="Cambria"/>
          <w:sz w:val="16"/>
          <w:szCs w:val="16"/>
          <w:lang w:val="es-ES"/>
        </w:rPr>
        <w:t xml:space="preserve">. Sentencia de 20 de noviembre de 2007, párr. 94. </w:t>
      </w:r>
    </w:p>
  </w:footnote>
  <w:footnote w:id="107">
    <w:p w14:paraId="151EE931"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Informe sobre los derechos humanos de las personas privadas de libertad en las Américas</w:t>
      </w:r>
      <w:r w:rsidRPr="00A25B85">
        <w:rPr>
          <w:rFonts w:ascii="Cambria" w:hAnsi="Cambria"/>
          <w:color w:val="auto"/>
          <w:sz w:val="16"/>
          <w:szCs w:val="16"/>
          <w:lang w:val="es-ES"/>
        </w:rPr>
        <w:t xml:space="preserve"> (2011), párr. 434. </w:t>
      </w:r>
    </w:p>
  </w:footnote>
  <w:footnote w:id="108">
    <w:p w14:paraId="5DE4AE54" w14:textId="77777777" w:rsidR="00F005B1" w:rsidRPr="00A25B85" w:rsidRDefault="00F005B1" w:rsidP="00067F9E">
      <w:pPr>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CIDH, </w:t>
      </w:r>
      <w:r w:rsidRPr="00A25B85">
        <w:rPr>
          <w:rFonts w:ascii="Cambria" w:hAnsi="Cambria"/>
          <w:i/>
          <w:sz w:val="16"/>
          <w:szCs w:val="16"/>
          <w:lang w:val="es-ES"/>
        </w:rPr>
        <w:t>Informe sobre los derechos humanos de las personas privadas de libertad en las Américas</w:t>
      </w:r>
      <w:r w:rsidRPr="00A25B85">
        <w:rPr>
          <w:rFonts w:ascii="Cambria" w:hAnsi="Cambria"/>
          <w:sz w:val="16"/>
          <w:szCs w:val="16"/>
          <w:lang w:val="es-ES"/>
        </w:rPr>
        <w:t xml:space="preserve"> (2011), párr. 434 (donde se cita, entre otros, a la Corte IDH,</w:t>
      </w:r>
      <w:r w:rsidRPr="00A25B85">
        <w:rPr>
          <w:rFonts w:ascii="Cambria" w:hAnsi="Cambria"/>
          <w:i/>
          <w:sz w:val="16"/>
          <w:szCs w:val="16"/>
          <w:lang w:val="es-ES"/>
        </w:rPr>
        <w:t xml:space="preserve"> Caso Loayza Tamayo Vs. Perú</w:t>
      </w:r>
      <w:r w:rsidRPr="00A25B85">
        <w:rPr>
          <w:rFonts w:ascii="Cambria" w:hAnsi="Cambria"/>
          <w:sz w:val="16"/>
          <w:szCs w:val="16"/>
          <w:lang w:val="es-ES"/>
        </w:rPr>
        <w:t xml:space="preserve">, párr. 89; </w:t>
      </w:r>
      <w:r w:rsidRPr="00A25B85">
        <w:rPr>
          <w:rFonts w:ascii="Cambria" w:hAnsi="Cambria"/>
          <w:i/>
          <w:sz w:val="16"/>
          <w:szCs w:val="16"/>
          <w:lang w:val="es-ES"/>
        </w:rPr>
        <w:t>Caso Cantoral Benavides Vs. Perú</w:t>
      </w:r>
      <w:r w:rsidRPr="00A25B85">
        <w:rPr>
          <w:rFonts w:ascii="Cambria" w:hAnsi="Cambria"/>
          <w:sz w:val="16"/>
          <w:szCs w:val="16"/>
          <w:lang w:val="es-ES"/>
        </w:rPr>
        <w:t xml:space="preserve">, párr. 85; </w:t>
      </w:r>
      <w:r w:rsidRPr="00A25B85">
        <w:rPr>
          <w:rFonts w:ascii="Cambria" w:hAnsi="Cambria"/>
          <w:i/>
          <w:sz w:val="16"/>
          <w:szCs w:val="16"/>
          <w:lang w:val="es-ES"/>
        </w:rPr>
        <w:t>Caso Hilaire y otros Vs. Trinidad y Tobago</w:t>
      </w:r>
      <w:r w:rsidRPr="00A25B85">
        <w:rPr>
          <w:rFonts w:ascii="Cambria" w:hAnsi="Cambria"/>
          <w:sz w:val="16"/>
          <w:szCs w:val="16"/>
          <w:lang w:val="es-ES"/>
        </w:rPr>
        <w:t xml:space="preserve">, párr. 76.b; </w:t>
      </w:r>
      <w:r w:rsidRPr="00A25B85">
        <w:rPr>
          <w:rFonts w:ascii="Cambria" w:hAnsi="Cambria"/>
          <w:i/>
          <w:sz w:val="16"/>
          <w:szCs w:val="16"/>
          <w:lang w:val="es-ES"/>
        </w:rPr>
        <w:t xml:space="preserve">Caso </w:t>
      </w:r>
      <w:proofErr w:type="spellStart"/>
      <w:r w:rsidRPr="00A25B85">
        <w:rPr>
          <w:rFonts w:ascii="Cambria" w:hAnsi="Cambria"/>
          <w:i/>
          <w:sz w:val="16"/>
          <w:szCs w:val="16"/>
          <w:lang w:val="es-ES"/>
        </w:rPr>
        <w:t>Caesar</w:t>
      </w:r>
      <w:proofErr w:type="spellEnd"/>
      <w:r w:rsidRPr="00A25B85">
        <w:rPr>
          <w:rFonts w:ascii="Cambria" w:hAnsi="Cambria"/>
          <w:i/>
          <w:sz w:val="16"/>
          <w:szCs w:val="16"/>
          <w:lang w:val="es-ES"/>
        </w:rPr>
        <w:t xml:space="preserve"> Vs. Trinidad y Tobago</w:t>
      </w:r>
      <w:r w:rsidRPr="00A25B85">
        <w:rPr>
          <w:rFonts w:ascii="Cambria" w:hAnsi="Cambria"/>
          <w:sz w:val="16"/>
          <w:szCs w:val="16"/>
          <w:lang w:val="es-ES"/>
        </w:rPr>
        <w:t xml:space="preserve">, párr. 99; </w:t>
      </w:r>
      <w:r w:rsidRPr="00A25B85">
        <w:rPr>
          <w:rFonts w:ascii="Cambria" w:hAnsi="Cambria"/>
          <w:i/>
          <w:sz w:val="16"/>
          <w:szCs w:val="16"/>
          <w:lang w:val="es-ES"/>
        </w:rPr>
        <w:t>Caso Tibi Vs. Ecuador</w:t>
      </w:r>
      <w:r w:rsidRPr="00A25B85">
        <w:rPr>
          <w:rFonts w:ascii="Cambria" w:hAnsi="Cambria"/>
          <w:sz w:val="16"/>
          <w:szCs w:val="16"/>
          <w:lang w:val="es-ES"/>
        </w:rPr>
        <w:t xml:space="preserve">, párr. 151; </w:t>
      </w:r>
      <w:r w:rsidRPr="00A25B85">
        <w:rPr>
          <w:rFonts w:ascii="Cambria" w:hAnsi="Cambria"/>
          <w:i/>
          <w:sz w:val="16"/>
          <w:szCs w:val="16"/>
          <w:lang w:val="es-ES"/>
        </w:rPr>
        <w:t>Caso Suárez Rosero Vs. Ecuador</w:t>
      </w:r>
      <w:r w:rsidRPr="00A25B85">
        <w:rPr>
          <w:rFonts w:ascii="Cambria" w:hAnsi="Cambria"/>
          <w:sz w:val="16"/>
          <w:szCs w:val="16"/>
          <w:lang w:val="es-ES"/>
        </w:rPr>
        <w:t xml:space="preserve">, párr. 91; </w:t>
      </w:r>
      <w:r w:rsidRPr="00A25B85">
        <w:rPr>
          <w:rFonts w:ascii="Cambria" w:hAnsi="Cambria"/>
          <w:i/>
          <w:sz w:val="16"/>
          <w:szCs w:val="16"/>
          <w:lang w:val="es-ES"/>
        </w:rPr>
        <w:t>Caso “Instituto de Reeducación del Menor” Vs. Paraguay</w:t>
      </w:r>
      <w:r w:rsidRPr="00A25B85">
        <w:rPr>
          <w:rFonts w:ascii="Cambria" w:hAnsi="Cambria"/>
          <w:sz w:val="16"/>
          <w:szCs w:val="16"/>
          <w:lang w:val="es-ES"/>
        </w:rPr>
        <w:t xml:space="preserve">,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165 a 171; </w:t>
      </w:r>
      <w:r w:rsidRPr="00A25B85">
        <w:rPr>
          <w:rFonts w:ascii="Cambria" w:hAnsi="Cambria"/>
          <w:i/>
          <w:sz w:val="16"/>
          <w:szCs w:val="16"/>
          <w:lang w:val="es-ES"/>
        </w:rPr>
        <w:t>Caso Fermín Ramírez Vs. Guatemala</w:t>
      </w:r>
      <w:r w:rsidRPr="00A25B85">
        <w:rPr>
          <w:rFonts w:ascii="Cambria" w:hAnsi="Cambria"/>
          <w:sz w:val="16"/>
          <w:szCs w:val="16"/>
          <w:lang w:val="es-ES"/>
        </w:rPr>
        <w:t xml:space="preserve">,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54.55 a 54.57; </w:t>
      </w:r>
      <w:r w:rsidRPr="00A25B85">
        <w:rPr>
          <w:rFonts w:ascii="Cambria" w:hAnsi="Cambria"/>
          <w:i/>
          <w:sz w:val="16"/>
          <w:szCs w:val="16"/>
          <w:lang w:val="es-ES"/>
        </w:rPr>
        <w:t xml:space="preserve">Caso </w:t>
      </w:r>
      <w:proofErr w:type="spellStart"/>
      <w:r w:rsidRPr="00A25B85">
        <w:rPr>
          <w:rFonts w:ascii="Cambria" w:hAnsi="Cambria"/>
          <w:i/>
          <w:sz w:val="16"/>
          <w:szCs w:val="16"/>
          <w:lang w:val="es-ES"/>
        </w:rPr>
        <w:t>Raxcacó</w:t>
      </w:r>
      <w:proofErr w:type="spellEnd"/>
      <w:r w:rsidRPr="00A25B85">
        <w:rPr>
          <w:rFonts w:ascii="Cambria" w:hAnsi="Cambria"/>
          <w:i/>
          <w:sz w:val="16"/>
          <w:szCs w:val="16"/>
          <w:lang w:val="es-ES"/>
        </w:rPr>
        <w:t xml:space="preserve"> Reyes Vs. Guatemala</w:t>
      </w:r>
      <w:r w:rsidRPr="00A25B85">
        <w:rPr>
          <w:rFonts w:ascii="Cambria" w:hAnsi="Cambria"/>
          <w:sz w:val="16"/>
          <w:szCs w:val="16"/>
          <w:lang w:val="es-ES"/>
        </w:rPr>
        <w:t xml:space="preserve">, párr. 43.23; </w:t>
      </w:r>
      <w:r w:rsidRPr="00A25B85">
        <w:rPr>
          <w:rFonts w:ascii="Cambria" w:hAnsi="Cambria"/>
          <w:i/>
          <w:sz w:val="16"/>
          <w:szCs w:val="16"/>
          <w:lang w:val="es-ES"/>
        </w:rPr>
        <w:t xml:space="preserve">Caso García </w:t>
      </w:r>
      <w:proofErr w:type="spellStart"/>
      <w:r w:rsidRPr="00A25B85">
        <w:rPr>
          <w:rFonts w:ascii="Cambria" w:hAnsi="Cambria"/>
          <w:i/>
          <w:sz w:val="16"/>
          <w:szCs w:val="16"/>
          <w:lang w:val="es-ES"/>
        </w:rPr>
        <w:t>Asto</w:t>
      </w:r>
      <w:proofErr w:type="spellEnd"/>
      <w:r w:rsidRPr="00A25B85">
        <w:rPr>
          <w:rFonts w:ascii="Cambria" w:hAnsi="Cambria"/>
          <w:i/>
          <w:sz w:val="16"/>
          <w:szCs w:val="16"/>
          <w:lang w:val="es-ES"/>
        </w:rPr>
        <w:t xml:space="preserve"> y Ramírez Rojas Vs. Perú</w:t>
      </w:r>
      <w:r w:rsidRPr="00A25B85">
        <w:rPr>
          <w:rFonts w:ascii="Cambria" w:hAnsi="Cambria"/>
          <w:sz w:val="16"/>
          <w:szCs w:val="16"/>
          <w:lang w:val="es-ES"/>
        </w:rPr>
        <w:t xml:space="preserve">,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97.55 a 97.57; </w:t>
      </w:r>
      <w:r w:rsidRPr="00A25B85">
        <w:rPr>
          <w:rFonts w:ascii="Cambria" w:hAnsi="Cambria"/>
          <w:i/>
          <w:sz w:val="16"/>
          <w:szCs w:val="16"/>
          <w:lang w:val="es-ES"/>
        </w:rPr>
        <w:t>Caso López Álvarez Vs. Honduras</w:t>
      </w:r>
      <w:r w:rsidRPr="00A25B85">
        <w:rPr>
          <w:rFonts w:ascii="Cambria" w:hAnsi="Cambria"/>
          <w:sz w:val="16"/>
          <w:szCs w:val="16"/>
          <w:lang w:val="es-ES"/>
        </w:rPr>
        <w:t xml:space="preserve">,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54.48 y 108; </w:t>
      </w:r>
      <w:r w:rsidRPr="00A25B85">
        <w:rPr>
          <w:rFonts w:ascii="Cambria" w:hAnsi="Cambria"/>
          <w:i/>
          <w:sz w:val="16"/>
          <w:szCs w:val="16"/>
          <w:lang w:val="es-ES"/>
        </w:rPr>
        <w:t>Caso del Penal Miguel Castro-Castro Vs. Perú</w:t>
      </w:r>
      <w:r w:rsidRPr="00A25B85">
        <w:rPr>
          <w:rFonts w:ascii="Cambria" w:hAnsi="Cambria"/>
          <w:sz w:val="16"/>
          <w:szCs w:val="16"/>
          <w:lang w:val="es-ES"/>
        </w:rPr>
        <w:t xml:space="preserve">,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296 y 297; </w:t>
      </w:r>
      <w:r w:rsidRPr="00A25B85">
        <w:rPr>
          <w:rFonts w:ascii="Cambria" w:hAnsi="Cambria"/>
          <w:i/>
          <w:sz w:val="16"/>
          <w:szCs w:val="16"/>
          <w:lang w:val="es-ES"/>
        </w:rPr>
        <w:t>Caso Montero Aranguren y otros Vs. Venezuela</w:t>
      </w:r>
      <w:r w:rsidRPr="00A25B85">
        <w:rPr>
          <w:rFonts w:ascii="Cambria" w:hAnsi="Cambria"/>
          <w:sz w:val="16"/>
          <w:szCs w:val="16"/>
          <w:lang w:val="es-ES"/>
        </w:rPr>
        <w:t xml:space="preserve">,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90 a 99 y 104; </w:t>
      </w:r>
      <w:r w:rsidRPr="00A25B85">
        <w:rPr>
          <w:rFonts w:ascii="Cambria" w:hAnsi="Cambria"/>
          <w:i/>
          <w:sz w:val="16"/>
          <w:szCs w:val="16"/>
          <w:lang w:val="es-ES"/>
        </w:rPr>
        <w:t>Caso Boyce y otros Vs. Barbados</w:t>
      </w:r>
      <w:r w:rsidRPr="00A25B85">
        <w:rPr>
          <w:rFonts w:ascii="Cambria" w:hAnsi="Cambria"/>
          <w:sz w:val="16"/>
          <w:szCs w:val="16"/>
          <w:lang w:val="es-ES"/>
        </w:rPr>
        <w:t xml:space="preserve">, </w:t>
      </w:r>
      <w:proofErr w:type="spellStart"/>
      <w:r w:rsidRPr="00A25B85">
        <w:rPr>
          <w:rFonts w:ascii="Cambria" w:hAnsi="Cambria"/>
          <w:sz w:val="16"/>
          <w:szCs w:val="16"/>
          <w:lang w:val="es-ES"/>
        </w:rPr>
        <w:t>párrs</w:t>
      </w:r>
      <w:proofErr w:type="spellEnd"/>
      <w:r w:rsidRPr="00A25B85">
        <w:rPr>
          <w:rFonts w:ascii="Cambria" w:hAnsi="Cambria"/>
          <w:sz w:val="16"/>
          <w:szCs w:val="16"/>
          <w:lang w:val="es-ES"/>
        </w:rPr>
        <w:t xml:space="preserve">. 94 a 102). </w:t>
      </w:r>
    </w:p>
  </w:footnote>
  <w:footnote w:id="109">
    <w:p w14:paraId="2900A8D4" w14:textId="77777777" w:rsidR="00F005B1" w:rsidRPr="00065151" w:rsidRDefault="00F005B1" w:rsidP="00065151">
      <w:pPr>
        <w:pStyle w:val="FootnoteText"/>
        <w:rPr>
          <w:rFonts w:ascii="Cambria" w:hAnsi="Cambria"/>
          <w:sz w:val="16"/>
          <w:szCs w:val="16"/>
        </w:rPr>
      </w:pPr>
      <w:r w:rsidRPr="00065151">
        <w:rPr>
          <w:rStyle w:val="FootnoteReference"/>
          <w:rFonts w:ascii="Cambria" w:hAnsi="Cambria"/>
          <w:sz w:val="16"/>
          <w:szCs w:val="16"/>
        </w:rPr>
        <w:footnoteRef/>
      </w:r>
      <w:r w:rsidRPr="00065151">
        <w:rPr>
          <w:rFonts w:ascii="Cambria" w:hAnsi="Cambria"/>
          <w:sz w:val="16"/>
          <w:szCs w:val="16"/>
        </w:rPr>
        <w:t xml:space="preserve"> Art.1 UNCAT.</w:t>
      </w:r>
    </w:p>
  </w:footnote>
  <w:footnote w:id="110">
    <w:p w14:paraId="19599E77" w14:textId="77777777" w:rsidR="00F005B1" w:rsidRPr="00065151" w:rsidRDefault="00F005B1" w:rsidP="00065151">
      <w:pPr>
        <w:pStyle w:val="FootnoteText"/>
        <w:rPr>
          <w:rFonts w:ascii="Cambria" w:hAnsi="Cambria"/>
          <w:sz w:val="16"/>
          <w:szCs w:val="16"/>
        </w:rPr>
      </w:pPr>
      <w:r w:rsidRPr="00065151">
        <w:rPr>
          <w:rStyle w:val="FootnoteReference"/>
          <w:rFonts w:ascii="Cambria" w:hAnsi="Cambria"/>
          <w:sz w:val="16"/>
          <w:szCs w:val="16"/>
        </w:rPr>
        <w:footnoteRef/>
      </w:r>
      <w:r w:rsidRPr="00065151">
        <w:rPr>
          <w:rFonts w:ascii="Cambria" w:hAnsi="Cambria"/>
          <w:sz w:val="16"/>
          <w:szCs w:val="16"/>
        </w:rPr>
        <w:t xml:space="preserve"> ECtHR, </w:t>
      </w:r>
      <w:proofErr w:type="spellStart"/>
      <w:r w:rsidRPr="00065151">
        <w:rPr>
          <w:rFonts w:ascii="Cambria" w:hAnsi="Cambria"/>
          <w:i/>
          <w:sz w:val="16"/>
          <w:szCs w:val="16"/>
        </w:rPr>
        <w:t>Hode_and_Abdi_v._UK</w:t>
      </w:r>
      <w:proofErr w:type="spellEnd"/>
      <w:r w:rsidRPr="00065151">
        <w:rPr>
          <w:rFonts w:ascii="Cambria" w:hAnsi="Cambria"/>
          <w:i/>
          <w:sz w:val="16"/>
          <w:szCs w:val="16"/>
        </w:rPr>
        <w:t>_</w:t>
      </w:r>
      <w:r w:rsidRPr="00065151">
        <w:rPr>
          <w:rFonts w:ascii="Cambria" w:hAnsi="Cambria"/>
          <w:sz w:val="16"/>
          <w:szCs w:val="16"/>
        </w:rPr>
        <w:t>(No.22341/09</w:t>
      </w:r>
      <w:proofErr w:type="gramStart"/>
      <w:r w:rsidRPr="00065151">
        <w:rPr>
          <w:rFonts w:ascii="Cambria" w:hAnsi="Cambria"/>
          <w:sz w:val="16"/>
          <w:szCs w:val="16"/>
        </w:rPr>
        <w:t>),_</w:t>
      </w:r>
      <w:proofErr w:type="gramEnd"/>
      <w:r w:rsidRPr="00065151">
        <w:rPr>
          <w:rFonts w:ascii="Cambria" w:hAnsi="Cambria"/>
          <w:sz w:val="16"/>
          <w:szCs w:val="16"/>
        </w:rPr>
        <w:t>06.11.2012, §56.</w:t>
      </w:r>
    </w:p>
  </w:footnote>
  <w:footnote w:id="111">
    <w:p w14:paraId="1E20FFB8" w14:textId="77777777" w:rsidR="00F005B1" w:rsidRPr="00065151" w:rsidRDefault="00F005B1" w:rsidP="00065151">
      <w:pPr>
        <w:pStyle w:val="FootnoteText"/>
        <w:rPr>
          <w:rFonts w:ascii="Cambria" w:hAnsi="Cambria"/>
          <w:sz w:val="16"/>
          <w:szCs w:val="16"/>
          <w:lang w:val="es-US"/>
        </w:rPr>
      </w:pPr>
      <w:r w:rsidRPr="00065151">
        <w:rPr>
          <w:rStyle w:val="FootnoteReference"/>
          <w:rFonts w:ascii="Cambria" w:hAnsi="Cambria"/>
          <w:sz w:val="16"/>
          <w:szCs w:val="16"/>
        </w:rPr>
        <w:footnoteRef/>
      </w:r>
      <w:r w:rsidRPr="00065151">
        <w:rPr>
          <w:rFonts w:ascii="Cambria" w:hAnsi="Cambria"/>
          <w:sz w:val="16"/>
          <w:szCs w:val="16"/>
          <w:lang w:val="es-US"/>
        </w:rPr>
        <w:t xml:space="preserve"> Relator Especial sobre la tortura y otros tratos o penas crueles, inhumanos o degradantes, 26 de febrero – 23 de marzo 2018, párr.20 </w:t>
      </w:r>
    </w:p>
  </w:footnote>
  <w:footnote w:id="112">
    <w:p w14:paraId="72FEEA11" w14:textId="77777777" w:rsidR="00F005B1" w:rsidRPr="00065151" w:rsidRDefault="00F005B1" w:rsidP="00065151">
      <w:pPr>
        <w:pStyle w:val="FootnoteText"/>
        <w:rPr>
          <w:rFonts w:ascii="Cambria" w:hAnsi="Cambria"/>
          <w:sz w:val="16"/>
          <w:szCs w:val="16"/>
        </w:rPr>
      </w:pPr>
      <w:r w:rsidRPr="00065151">
        <w:rPr>
          <w:rStyle w:val="FootnoteReference"/>
          <w:rFonts w:ascii="Cambria" w:hAnsi="Cambria"/>
          <w:sz w:val="16"/>
          <w:szCs w:val="16"/>
        </w:rPr>
        <w:footnoteRef/>
      </w:r>
      <w:r w:rsidRPr="00065151">
        <w:rPr>
          <w:rFonts w:ascii="Cambria" w:hAnsi="Cambria"/>
          <w:sz w:val="16"/>
          <w:szCs w:val="16"/>
        </w:rPr>
        <w:t xml:space="preserve"> </w:t>
      </w:r>
      <w:r w:rsidRPr="00065151">
        <w:rPr>
          <w:rFonts w:ascii="Cambria" w:eastAsia="Arial Unicode MS" w:hAnsi="Cambria"/>
          <w:sz w:val="16"/>
          <w:szCs w:val="16"/>
        </w:rPr>
        <w:t xml:space="preserve">Special Rapporteur on </w:t>
      </w:r>
      <w:r w:rsidRPr="00065151">
        <w:rPr>
          <w:rFonts w:ascii="Cambria" w:hAnsi="Cambria"/>
          <w:sz w:val="16"/>
          <w:szCs w:val="16"/>
        </w:rPr>
        <w:t xml:space="preserve">torture and other cruel, inhuman or degrading treatment or punishment, </w:t>
      </w:r>
      <w:r w:rsidRPr="00065151">
        <w:rPr>
          <w:rFonts w:ascii="Cambria" w:eastAsia="Arial Unicode MS" w:hAnsi="Cambria"/>
          <w:sz w:val="16"/>
          <w:szCs w:val="16"/>
        </w:rPr>
        <w:t xml:space="preserve">Report of the Special Rapporteur on </w:t>
      </w:r>
      <w:r w:rsidRPr="00065151">
        <w:rPr>
          <w:rFonts w:ascii="Cambria" w:hAnsi="Cambria"/>
          <w:sz w:val="16"/>
          <w:szCs w:val="16"/>
        </w:rPr>
        <w:t>torture and other cruel, inhuman or degrading treatment or punishment, 26 February- 23 March 2018, parr. 26.</w:t>
      </w:r>
    </w:p>
  </w:footnote>
  <w:footnote w:id="113">
    <w:p w14:paraId="38667F2B" w14:textId="77777777" w:rsidR="00F005B1" w:rsidRPr="000265CB" w:rsidRDefault="00F005B1" w:rsidP="00065151">
      <w:pPr>
        <w:pStyle w:val="FootnoteText"/>
        <w:rPr>
          <w:rFonts w:ascii="Cambria" w:hAnsi="Cambria"/>
          <w:sz w:val="16"/>
          <w:szCs w:val="16"/>
          <w:lang w:val="es-ES"/>
        </w:rPr>
      </w:pPr>
      <w:r w:rsidRPr="00065151">
        <w:rPr>
          <w:rStyle w:val="FootnoteReference"/>
          <w:rFonts w:ascii="Cambria" w:hAnsi="Cambria"/>
          <w:sz w:val="16"/>
          <w:szCs w:val="16"/>
        </w:rPr>
        <w:footnoteRef/>
      </w:r>
      <w:r w:rsidRPr="00065151">
        <w:rPr>
          <w:rFonts w:ascii="Cambria" w:hAnsi="Cambria"/>
          <w:sz w:val="16"/>
          <w:szCs w:val="16"/>
        </w:rPr>
        <w:t xml:space="preserve"> </w:t>
      </w:r>
      <w:r w:rsidRPr="00065151">
        <w:rPr>
          <w:rFonts w:ascii="Cambria" w:eastAsia="Arial Unicode MS" w:hAnsi="Cambria"/>
          <w:sz w:val="16"/>
          <w:szCs w:val="16"/>
        </w:rPr>
        <w:t xml:space="preserve">Special Rapporteur on </w:t>
      </w:r>
      <w:r w:rsidRPr="00065151">
        <w:rPr>
          <w:rFonts w:ascii="Cambria" w:hAnsi="Cambria"/>
          <w:sz w:val="16"/>
          <w:szCs w:val="16"/>
        </w:rPr>
        <w:t xml:space="preserve">torture and other cruel, inhuman or degrading treatment or punishment, </w:t>
      </w:r>
      <w:r w:rsidRPr="00065151">
        <w:rPr>
          <w:rFonts w:ascii="Cambria" w:eastAsia="Arial Unicode MS" w:hAnsi="Cambria"/>
          <w:sz w:val="16"/>
          <w:szCs w:val="16"/>
        </w:rPr>
        <w:t xml:space="preserve">Report of the Special Rapporteur on </w:t>
      </w:r>
      <w:r w:rsidRPr="00065151">
        <w:rPr>
          <w:rFonts w:ascii="Cambria" w:hAnsi="Cambria"/>
          <w:sz w:val="16"/>
          <w:szCs w:val="16"/>
        </w:rPr>
        <w:t xml:space="preserve">torture and other cruel, inhuman or degrading treatment or punishment, 26 February- 23 March 2018, parr. </w:t>
      </w:r>
      <w:r w:rsidRPr="000265CB">
        <w:rPr>
          <w:rFonts w:ascii="Cambria" w:hAnsi="Cambria"/>
          <w:sz w:val="16"/>
          <w:szCs w:val="16"/>
          <w:lang w:val="es-ES"/>
        </w:rPr>
        <w:t>20.</w:t>
      </w:r>
    </w:p>
  </w:footnote>
  <w:footnote w:id="114">
    <w:p w14:paraId="4F296B2A" w14:textId="77777777" w:rsidR="00F005B1" w:rsidRPr="00E63A3A" w:rsidRDefault="00F005B1" w:rsidP="00065151">
      <w:pPr>
        <w:pStyle w:val="FootnoteText"/>
        <w:rPr>
          <w:lang w:val="es-US"/>
        </w:rPr>
      </w:pPr>
      <w:r w:rsidRPr="00065151">
        <w:rPr>
          <w:rStyle w:val="FootnoteReference"/>
          <w:rFonts w:ascii="Cambria" w:hAnsi="Cambria"/>
          <w:sz w:val="16"/>
          <w:szCs w:val="16"/>
        </w:rPr>
        <w:footnoteRef/>
      </w:r>
      <w:r w:rsidRPr="00065151">
        <w:rPr>
          <w:rFonts w:ascii="Cambria" w:hAnsi="Cambria"/>
          <w:sz w:val="16"/>
          <w:szCs w:val="16"/>
          <w:lang w:val="es-US"/>
        </w:rPr>
        <w:t xml:space="preserve"> Relator Especial sobre la tortura y otros tratos o penas crueles, inhumanos o degradantes, 26 de febrero – 23 de marzo 2018, párr.26</w:t>
      </w:r>
      <w:r>
        <w:rPr>
          <w:lang w:val="es-US"/>
        </w:rPr>
        <w:t xml:space="preserve"> </w:t>
      </w:r>
    </w:p>
  </w:footnote>
  <w:footnote w:id="115">
    <w:p w14:paraId="0300FC3C" w14:textId="77777777" w:rsidR="00F005B1" w:rsidRPr="00A25B85" w:rsidRDefault="00F005B1" w:rsidP="00067F9E">
      <w:pPr>
        <w:jc w:val="both"/>
        <w:rPr>
          <w:rFonts w:ascii="Cambria" w:hAnsi="Cambria"/>
          <w:sz w:val="16"/>
          <w:szCs w:val="16"/>
          <w:lang w:val="es-ES"/>
        </w:rPr>
      </w:pPr>
      <w:r w:rsidRPr="00A25B85">
        <w:rPr>
          <w:rStyle w:val="FootnoteReference"/>
          <w:rFonts w:ascii="Cambria" w:hAnsi="Cambria"/>
          <w:sz w:val="16"/>
          <w:szCs w:val="16"/>
          <w:lang w:val="es-ES"/>
        </w:rPr>
        <w:footnoteRef/>
      </w:r>
      <w:r w:rsidRPr="000265CB">
        <w:rPr>
          <w:rFonts w:ascii="Cambria" w:hAnsi="Cambria"/>
          <w:sz w:val="16"/>
          <w:szCs w:val="16"/>
        </w:rPr>
        <w:t xml:space="preserve"> Anexo X. </w:t>
      </w:r>
      <w:r w:rsidRPr="000265CB">
        <w:rPr>
          <w:rFonts w:ascii="Cambria" w:hAnsi="Cambria"/>
          <w:i/>
          <w:sz w:val="16"/>
          <w:szCs w:val="16"/>
        </w:rPr>
        <w:t>Immigration Act, Chapter 179 of the Revised Statute Law of the Bahamas 1987</w:t>
      </w:r>
      <w:r w:rsidRPr="000265CB">
        <w:rPr>
          <w:rFonts w:ascii="Cambria" w:hAnsi="Cambria"/>
          <w:sz w:val="16"/>
          <w:szCs w:val="16"/>
        </w:rPr>
        <w:t xml:space="preserve">. </w:t>
      </w:r>
      <w:r w:rsidRPr="00A25B85">
        <w:rPr>
          <w:rFonts w:ascii="Cambria" w:hAnsi="Cambria"/>
          <w:sz w:val="16"/>
          <w:szCs w:val="16"/>
          <w:lang w:val="es-ES"/>
        </w:rPr>
        <w:t>Adjunto a la respuesta del Estado de fecha 19 de septiembre de 2000.</w:t>
      </w:r>
    </w:p>
  </w:footnote>
  <w:footnote w:id="116">
    <w:p w14:paraId="57D93255" w14:textId="77777777" w:rsidR="00F005B1" w:rsidRPr="00A25B85" w:rsidRDefault="00F005B1" w:rsidP="00067F9E">
      <w:pPr>
        <w:jc w:val="both"/>
        <w:rPr>
          <w:rFonts w:ascii="Cambria" w:hAnsi="Cambria"/>
          <w:sz w:val="16"/>
          <w:szCs w:val="16"/>
          <w:lang w:val="es-ES"/>
        </w:rPr>
      </w:pPr>
      <w:r w:rsidRPr="00A25B85">
        <w:rPr>
          <w:rStyle w:val="FootnoteReference"/>
          <w:rFonts w:ascii="Cambria" w:hAnsi="Cambria"/>
          <w:sz w:val="16"/>
          <w:szCs w:val="16"/>
          <w:lang w:val="es-ES"/>
        </w:rPr>
        <w:footnoteRef/>
      </w:r>
      <w:r w:rsidRPr="000265CB">
        <w:rPr>
          <w:rFonts w:ascii="Cambria" w:hAnsi="Cambria"/>
          <w:sz w:val="16"/>
          <w:szCs w:val="16"/>
        </w:rPr>
        <w:t xml:space="preserve"> Anexo X. </w:t>
      </w:r>
      <w:r w:rsidRPr="000265CB">
        <w:rPr>
          <w:rFonts w:ascii="Cambria" w:hAnsi="Cambria"/>
          <w:i/>
          <w:sz w:val="16"/>
          <w:szCs w:val="16"/>
        </w:rPr>
        <w:t>Immigration Act, Chapter 179 of the Revised Statute Law of the Bahamas 1987</w:t>
      </w:r>
      <w:r w:rsidRPr="000265CB">
        <w:rPr>
          <w:rFonts w:ascii="Cambria" w:hAnsi="Cambria"/>
          <w:sz w:val="16"/>
          <w:szCs w:val="16"/>
        </w:rPr>
        <w:t xml:space="preserve">. </w:t>
      </w:r>
      <w:r w:rsidRPr="00A25B85">
        <w:rPr>
          <w:rFonts w:ascii="Cambria" w:hAnsi="Cambria"/>
          <w:sz w:val="16"/>
          <w:szCs w:val="16"/>
          <w:lang w:val="es-ES"/>
        </w:rPr>
        <w:t>Adjunto a la respuesta del Estado de fecha 19 de septiembre de 2000.</w:t>
      </w:r>
    </w:p>
  </w:footnote>
  <w:footnote w:id="117">
    <w:p w14:paraId="426CCAFC" w14:textId="77777777" w:rsidR="00F005B1" w:rsidRPr="00A25B85" w:rsidRDefault="00F005B1" w:rsidP="00067F9E">
      <w:pPr>
        <w:shd w:val="clear" w:color="auto" w:fill="FFFFFF"/>
        <w:tabs>
          <w:tab w:val="num" w:pos="720"/>
          <w:tab w:val="left" w:pos="1440"/>
          <w:tab w:val="num" w:pos="2040"/>
        </w:tabs>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Artículo </w:t>
      </w:r>
      <w:r w:rsidRPr="00A25B85">
        <w:rPr>
          <w:rFonts w:ascii="Cambria" w:hAnsi="Cambria" w:cs="Tahoma"/>
          <w:sz w:val="16"/>
          <w:szCs w:val="16"/>
          <w:lang w:val="es-ES"/>
        </w:rPr>
        <w:t>XXVII: “Toda persona tiene el derecho de buscar y recibir asilo en territorio extranjero, en caso de persecución que no sea motivada por delitos de derecho común y de acuerdo con la legislación de cada país y con los convenios internacionales”.</w:t>
      </w:r>
    </w:p>
  </w:footnote>
  <w:footnote w:id="118">
    <w:p w14:paraId="62B409CD" w14:textId="77777777" w:rsidR="00F005B1" w:rsidRPr="00A25B85" w:rsidRDefault="00F005B1" w:rsidP="00101137">
      <w:pPr>
        <w:shd w:val="clear" w:color="auto" w:fill="FFFFFF"/>
        <w:tabs>
          <w:tab w:val="num" w:pos="720"/>
          <w:tab w:val="left" w:pos="1440"/>
          <w:tab w:val="num" w:pos="2040"/>
        </w:tabs>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Artículo </w:t>
      </w:r>
      <w:r w:rsidRPr="00A25B85">
        <w:rPr>
          <w:rFonts w:ascii="Cambria" w:hAnsi="Cambria" w:cs="Tahoma"/>
          <w:sz w:val="16"/>
          <w:szCs w:val="16"/>
          <w:lang w:val="es-ES"/>
        </w:rPr>
        <w:t>XXVI: “Se presume que todo acusado es inocente, hasta que se pruebe que es culpable. Toda persona acusada de delito tiene derecho a ser oída en forma imparcial y pública, a ser juzgada por tribunales anteriormente establecidos de acuerdo con leyes preexistentes y a que no se le imponga penas crueles, infamantes o inusitadas”.</w:t>
      </w:r>
    </w:p>
  </w:footnote>
  <w:footnote w:id="119">
    <w:p w14:paraId="2FE8D8A9" w14:textId="77777777" w:rsidR="00F005B1" w:rsidRPr="00A25B85" w:rsidRDefault="00F005B1" w:rsidP="00101137">
      <w:pPr>
        <w:shd w:val="clear" w:color="auto" w:fill="FFFFFF"/>
        <w:tabs>
          <w:tab w:val="num" w:pos="720"/>
          <w:tab w:val="left" w:pos="1440"/>
          <w:tab w:val="num" w:pos="2040"/>
        </w:tabs>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Artículo II: “Todas las personas son iguales ante la Ley y tienen los derechos y deberes consagrados en esta declaración sin distinción de raza, sexo, idioma, credo ni otra alguna”</w:t>
      </w:r>
      <w:r w:rsidRPr="00A25B85">
        <w:rPr>
          <w:rFonts w:ascii="Cambria" w:eastAsia="Times New Roman" w:hAnsi="Cambria" w:cs="Tahoma"/>
          <w:sz w:val="16"/>
          <w:szCs w:val="16"/>
          <w:bdr w:val="none" w:sz="0" w:space="0" w:color="auto"/>
          <w:lang w:val="es-ES"/>
        </w:rPr>
        <w:t>.</w:t>
      </w:r>
    </w:p>
  </w:footnote>
  <w:footnote w:id="120">
    <w:p w14:paraId="12CCA769"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51/96. </w:t>
      </w:r>
      <w:r w:rsidRPr="00A25B85">
        <w:rPr>
          <w:rFonts w:ascii="Cambria" w:hAnsi="Cambria"/>
          <w:i/>
          <w:color w:val="auto"/>
          <w:sz w:val="16"/>
          <w:szCs w:val="16"/>
          <w:lang w:val="es-ES"/>
        </w:rPr>
        <w:t>Decisión de la Comisión en cuanto al mérito del caso 10.675 (Interdicción de haitianos en alta mar: balseros haitianos). Estados Unidos</w:t>
      </w:r>
      <w:r w:rsidRPr="00A25B85">
        <w:rPr>
          <w:rFonts w:ascii="Cambria" w:hAnsi="Cambria"/>
          <w:color w:val="auto"/>
          <w:sz w:val="16"/>
          <w:szCs w:val="16"/>
          <w:lang w:val="es-ES"/>
        </w:rPr>
        <w:t xml:space="preserve">. 13 de marzo de 1997, párr. 155. </w:t>
      </w:r>
    </w:p>
  </w:footnote>
  <w:footnote w:id="121">
    <w:p w14:paraId="503F1CB8"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Cfr. </w:t>
      </w:r>
      <w:r w:rsidRPr="00A25B85">
        <w:rPr>
          <w:rFonts w:ascii="Cambria" w:hAnsi="Cambria" w:cs="Verdana"/>
          <w:color w:val="auto"/>
          <w:sz w:val="16"/>
          <w:szCs w:val="16"/>
          <w:lang w:val="es-ES"/>
        </w:rPr>
        <w:t xml:space="preserve">CIDH. </w:t>
      </w:r>
      <w:r w:rsidRPr="00A25B85">
        <w:rPr>
          <w:rFonts w:ascii="Cambria" w:hAnsi="Cambria"/>
          <w:i/>
          <w:color w:val="auto"/>
          <w:sz w:val="16"/>
          <w:szCs w:val="16"/>
          <w:lang w:val="es-ES"/>
        </w:rPr>
        <w:t>Derechos humanos de migrantes, refugiados, apátridas, víctimas de trata de personas y desplazados internos: Normas y estándares del Sistema Interamericano de Derechos Humanos</w:t>
      </w:r>
      <w:r w:rsidRPr="00A25B85">
        <w:rPr>
          <w:rFonts w:ascii="Cambria" w:hAnsi="Cambria" w:cs="Verdana"/>
          <w:color w:val="auto"/>
          <w:sz w:val="16"/>
          <w:szCs w:val="16"/>
          <w:lang w:val="es-ES"/>
        </w:rPr>
        <w:t>. OEA/</w:t>
      </w:r>
      <w:proofErr w:type="spellStart"/>
      <w:r w:rsidRPr="00A25B85">
        <w:rPr>
          <w:rFonts w:ascii="Cambria" w:hAnsi="Cambria" w:cs="Verdana"/>
          <w:color w:val="auto"/>
          <w:sz w:val="16"/>
          <w:szCs w:val="16"/>
          <w:lang w:val="es-ES"/>
        </w:rPr>
        <w:t>Ser.L</w:t>
      </w:r>
      <w:proofErr w:type="spellEnd"/>
      <w:r w:rsidRPr="00A25B85">
        <w:rPr>
          <w:rFonts w:ascii="Cambria" w:hAnsi="Cambria" w:cs="Verdana"/>
          <w:color w:val="auto"/>
          <w:sz w:val="16"/>
          <w:szCs w:val="16"/>
          <w:lang w:val="es-ES"/>
        </w:rPr>
        <w:t xml:space="preserve">/V/II. Doc. 46/15, 31 de diciembre de 2015, </w:t>
      </w:r>
      <w:proofErr w:type="spellStart"/>
      <w:r w:rsidRPr="00A25B85">
        <w:rPr>
          <w:rFonts w:ascii="Cambria" w:hAnsi="Cambria" w:cs="Verdana"/>
          <w:color w:val="auto"/>
          <w:sz w:val="16"/>
          <w:szCs w:val="16"/>
          <w:lang w:val="es-ES"/>
        </w:rPr>
        <w:t>párrs</w:t>
      </w:r>
      <w:proofErr w:type="spellEnd"/>
      <w:r w:rsidRPr="00A25B85">
        <w:rPr>
          <w:rFonts w:ascii="Cambria" w:hAnsi="Cambria" w:cs="Verdana"/>
          <w:color w:val="auto"/>
          <w:sz w:val="16"/>
          <w:szCs w:val="16"/>
          <w:lang w:val="es-ES"/>
        </w:rPr>
        <w:t>. 179 a 183.</w:t>
      </w:r>
    </w:p>
  </w:footnote>
  <w:footnote w:id="122">
    <w:p w14:paraId="203D93D1"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w:t>
      </w:r>
      <w:r w:rsidRPr="00A25B85">
        <w:rPr>
          <w:rFonts w:ascii="Cambria" w:hAnsi="Cambria" w:cs="Verdana"/>
          <w:color w:val="auto"/>
          <w:sz w:val="16"/>
          <w:szCs w:val="16"/>
          <w:lang w:val="es-ES"/>
        </w:rPr>
        <w:t xml:space="preserve">CIDH. </w:t>
      </w:r>
      <w:r w:rsidRPr="00A25B85">
        <w:rPr>
          <w:rFonts w:ascii="Cambria" w:hAnsi="Cambria"/>
          <w:i/>
          <w:color w:val="auto"/>
          <w:sz w:val="16"/>
          <w:szCs w:val="16"/>
          <w:lang w:val="es-ES"/>
        </w:rPr>
        <w:t>Derechos humanos de migrantes, refugiados, apátridas, víctimas de trata de personas y desplazados internos: Normas y estándares del Sistema Interamericano de Derechos Humanos</w:t>
      </w:r>
      <w:r w:rsidRPr="00A25B85">
        <w:rPr>
          <w:rFonts w:ascii="Cambria" w:hAnsi="Cambria" w:cs="Verdana"/>
          <w:color w:val="auto"/>
          <w:sz w:val="16"/>
          <w:szCs w:val="16"/>
          <w:lang w:val="es-ES"/>
        </w:rPr>
        <w:t>. OEA/</w:t>
      </w:r>
      <w:proofErr w:type="spellStart"/>
      <w:r w:rsidRPr="00A25B85">
        <w:rPr>
          <w:rFonts w:ascii="Cambria" w:hAnsi="Cambria" w:cs="Verdana"/>
          <w:color w:val="auto"/>
          <w:sz w:val="16"/>
          <w:szCs w:val="16"/>
          <w:lang w:val="es-ES"/>
        </w:rPr>
        <w:t>Ser.L</w:t>
      </w:r>
      <w:proofErr w:type="spellEnd"/>
      <w:r w:rsidRPr="00A25B85">
        <w:rPr>
          <w:rFonts w:ascii="Cambria" w:hAnsi="Cambria" w:cs="Verdana"/>
          <w:color w:val="auto"/>
          <w:sz w:val="16"/>
          <w:szCs w:val="16"/>
          <w:lang w:val="es-ES"/>
        </w:rPr>
        <w:t xml:space="preserve">/V/II. Doc. 46/15, 31 de diciembre de 2015, </w:t>
      </w:r>
      <w:proofErr w:type="spellStart"/>
      <w:r w:rsidRPr="00A25B85">
        <w:rPr>
          <w:rFonts w:ascii="Cambria" w:hAnsi="Cambria" w:cs="Verdana"/>
          <w:color w:val="auto"/>
          <w:sz w:val="16"/>
          <w:szCs w:val="16"/>
          <w:lang w:val="es-ES"/>
        </w:rPr>
        <w:t>párrs</w:t>
      </w:r>
      <w:proofErr w:type="spellEnd"/>
      <w:r w:rsidRPr="00A25B85">
        <w:rPr>
          <w:rFonts w:ascii="Cambria" w:hAnsi="Cambria" w:cs="Verdana"/>
          <w:color w:val="auto"/>
          <w:sz w:val="16"/>
          <w:szCs w:val="16"/>
          <w:lang w:val="es-ES"/>
        </w:rPr>
        <w:t>. 300 a 334.</w:t>
      </w:r>
    </w:p>
  </w:footnote>
  <w:footnote w:id="123">
    <w:p w14:paraId="755C6BA6"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51/96. </w:t>
      </w:r>
      <w:r w:rsidRPr="00A25B85">
        <w:rPr>
          <w:rFonts w:ascii="Cambria" w:hAnsi="Cambria"/>
          <w:i/>
          <w:color w:val="auto"/>
          <w:sz w:val="16"/>
          <w:szCs w:val="16"/>
          <w:lang w:val="es-ES"/>
        </w:rPr>
        <w:t>Decisión de la Comisión en cuanto al mérito del caso 10.675 (Interdicción de haitianos en alta mar: balseros haitianos). Estados Unidos</w:t>
      </w:r>
      <w:r w:rsidRPr="00A25B85">
        <w:rPr>
          <w:rFonts w:ascii="Cambria" w:hAnsi="Cambria"/>
          <w:color w:val="auto"/>
          <w:sz w:val="16"/>
          <w:szCs w:val="16"/>
          <w:lang w:val="es-ES"/>
        </w:rPr>
        <w:t>. 13 de marzo de 1997, párr. 163.</w:t>
      </w:r>
    </w:p>
  </w:footnote>
  <w:footnote w:id="124">
    <w:p w14:paraId="759ABE61"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Situación de derechos humanos de familias, niños, niñas y adolescentes no acompañados refugiados y migrantes en los Estados Unidos de América</w:t>
      </w:r>
      <w:r w:rsidRPr="00A25B85">
        <w:rPr>
          <w:rFonts w:ascii="Cambria" w:hAnsi="Cambria"/>
          <w:color w:val="auto"/>
          <w:sz w:val="16"/>
          <w:szCs w:val="16"/>
          <w:lang w:val="es-ES"/>
        </w:rPr>
        <w:t>. OEA/</w:t>
      </w:r>
      <w:proofErr w:type="spellStart"/>
      <w:r w:rsidRPr="00A25B85">
        <w:rPr>
          <w:rFonts w:ascii="Cambria" w:hAnsi="Cambria"/>
          <w:color w:val="auto"/>
          <w:sz w:val="16"/>
          <w:szCs w:val="16"/>
          <w:lang w:val="es-ES"/>
        </w:rPr>
        <w:t>Ser.L</w:t>
      </w:r>
      <w:proofErr w:type="spellEnd"/>
      <w:r w:rsidRPr="00A25B85">
        <w:rPr>
          <w:rFonts w:ascii="Cambria" w:hAnsi="Cambria"/>
          <w:color w:val="auto"/>
          <w:sz w:val="16"/>
          <w:szCs w:val="16"/>
          <w:lang w:val="es-ES"/>
        </w:rPr>
        <w:t>/V/II.155 Doc.</w:t>
      </w:r>
      <w:r w:rsidRPr="00A25B85">
        <w:rPr>
          <w:rFonts w:ascii="Cambria" w:hAnsi="Cambria"/>
          <w:b/>
          <w:bCs/>
          <w:color w:val="auto"/>
          <w:sz w:val="16"/>
          <w:szCs w:val="16"/>
          <w:lang w:val="es-ES"/>
        </w:rPr>
        <w:t xml:space="preserve"> </w:t>
      </w:r>
      <w:r w:rsidRPr="00A25B85">
        <w:rPr>
          <w:rFonts w:ascii="Cambria" w:hAnsi="Cambria"/>
          <w:color w:val="auto"/>
          <w:sz w:val="16"/>
          <w:szCs w:val="16"/>
          <w:lang w:val="es-ES"/>
        </w:rPr>
        <w:t>16, párr. 220.</w:t>
      </w:r>
    </w:p>
  </w:footnote>
  <w:footnote w:id="125">
    <w:p w14:paraId="4C8691D6" w14:textId="77777777" w:rsidR="00F005B1" w:rsidRPr="00A25B85" w:rsidRDefault="00F005B1" w:rsidP="00DD1B41">
      <w:pPr>
        <w:pStyle w:val="FootnoteText"/>
        <w:jc w:val="both"/>
        <w:rPr>
          <w:rFonts w:ascii="Cambria" w:hAnsi="Cambria" w:cs="Verdan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s="Verdana"/>
          <w:color w:val="auto"/>
          <w:sz w:val="16"/>
          <w:szCs w:val="16"/>
          <w:lang w:val="es-ES"/>
        </w:rPr>
        <w:t xml:space="preserve"> CIDH. </w:t>
      </w:r>
      <w:r w:rsidRPr="00A25B85">
        <w:rPr>
          <w:rFonts w:ascii="Cambria" w:hAnsi="Cambria"/>
          <w:i/>
          <w:color w:val="auto"/>
          <w:sz w:val="16"/>
          <w:szCs w:val="16"/>
          <w:lang w:val="es-ES"/>
        </w:rPr>
        <w:t>Derechos humanos de migrantes, refugiados, apátridas, víctimas de trata de personas y desplazados internos: Normas y estándares del Sistema Interamericano de Derechos Humanos</w:t>
      </w:r>
      <w:r w:rsidRPr="00A25B85">
        <w:rPr>
          <w:rFonts w:ascii="Cambria" w:hAnsi="Cambria" w:cs="Verdana"/>
          <w:color w:val="auto"/>
          <w:sz w:val="16"/>
          <w:szCs w:val="16"/>
          <w:lang w:val="es-ES"/>
        </w:rPr>
        <w:t>. OEA/</w:t>
      </w:r>
      <w:proofErr w:type="spellStart"/>
      <w:r w:rsidRPr="00A25B85">
        <w:rPr>
          <w:rFonts w:ascii="Cambria" w:hAnsi="Cambria" w:cs="Verdana"/>
          <w:color w:val="auto"/>
          <w:sz w:val="16"/>
          <w:szCs w:val="16"/>
          <w:lang w:val="es-ES"/>
        </w:rPr>
        <w:t>Ser.L</w:t>
      </w:r>
      <w:proofErr w:type="spellEnd"/>
      <w:r w:rsidRPr="00A25B85">
        <w:rPr>
          <w:rFonts w:ascii="Cambria" w:hAnsi="Cambria" w:cs="Verdana"/>
          <w:color w:val="auto"/>
          <w:sz w:val="16"/>
          <w:szCs w:val="16"/>
          <w:lang w:val="es-ES"/>
        </w:rPr>
        <w:t>/V/II. Doc. 46/15, 31 de diciembre de 2015, párr. 438; Corte IDH. Opinión Consultiva OC-25/18 de 30 de mayo de 2018.</w:t>
      </w:r>
      <w:r w:rsidRPr="00A25B85">
        <w:rPr>
          <w:rFonts w:ascii="Cambria" w:hAnsi="Cambria" w:cs="Verdana"/>
          <w:i/>
          <w:color w:val="auto"/>
          <w:sz w:val="16"/>
          <w:szCs w:val="16"/>
          <w:lang w:val="es-ES"/>
        </w:rPr>
        <w:t xml:space="preserve"> La institución del asilo y su reconocimiento como derecho humano en el sistema interamericano de protección (interpretación y alcance de los artículos 5, 22.7 y 22.8 , en relación con el artículo 1.1 de la Convención Americana sobre Derechos Humanos)</w:t>
      </w:r>
      <w:r w:rsidRPr="00A25B85">
        <w:rPr>
          <w:rFonts w:ascii="Cambria" w:hAnsi="Cambria" w:cs="Verdana"/>
          <w:color w:val="auto"/>
          <w:sz w:val="16"/>
          <w:szCs w:val="16"/>
          <w:lang w:val="es-ES"/>
        </w:rPr>
        <w:t>, párr. 179. Véase también ACNUR, Comité Ejecutivo. 42 período de sesiones. No. 65 (XVII). Conclusiones generales, párr. c. El Comité señaló que los principios de no devolución y asilo son “principios cardinales” de la protección de los refugiados y alentó a los Estados “a que redoblen sus esfuerzos para proteger los derechos de los refugiados”. En el párrafo 4 de la Declaración de los Estados Partes de la Convención de 1951 y/o el Protocolo de 1967 sobre el estatuto de los refugiados dice: “Aceptando la continua relevancia y adaptabilidad de este régimen internacional de derechos y principios, centrado en el principio de no-devolución (</w:t>
      </w:r>
      <w:r w:rsidRPr="00A25B85">
        <w:rPr>
          <w:rFonts w:ascii="Cambria" w:hAnsi="Cambria" w:cs="Verdana"/>
          <w:i/>
          <w:color w:val="auto"/>
          <w:sz w:val="16"/>
          <w:szCs w:val="16"/>
          <w:lang w:val="es-ES"/>
        </w:rPr>
        <w:t>non-</w:t>
      </w:r>
      <w:proofErr w:type="spellStart"/>
      <w:r w:rsidRPr="00A25B85">
        <w:rPr>
          <w:rFonts w:ascii="Cambria" w:hAnsi="Cambria" w:cs="Verdana"/>
          <w:i/>
          <w:color w:val="auto"/>
          <w:sz w:val="16"/>
          <w:szCs w:val="16"/>
          <w:lang w:val="es-ES"/>
        </w:rPr>
        <w:t>refoulement</w:t>
      </w:r>
      <w:proofErr w:type="spellEnd"/>
      <w:r w:rsidRPr="00A25B85">
        <w:rPr>
          <w:rFonts w:ascii="Cambria" w:hAnsi="Cambria" w:cs="Verdana"/>
          <w:color w:val="auto"/>
          <w:sz w:val="16"/>
          <w:szCs w:val="16"/>
          <w:lang w:val="es-ES"/>
        </w:rPr>
        <w:t xml:space="preserve">) cuya aplicabilidad se inserta en el derecho consuetudinario internacional </w:t>
      </w:r>
      <w:r w:rsidRPr="000265CB">
        <w:rPr>
          <w:rFonts w:ascii="Cambria" w:hAnsi="Cambria" w:cs="Verdana"/>
          <w:color w:val="auto"/>
          <w:sz w:val="16"/>
          <w:szCs w:val="16"/>
          <w:lang w:val="es-ES"/>
        </w:rPr>
        <w:t>[...]</w:t>
      </w:r>
      <w:r w:rsidRPr="00A25B85">
        <w:rPr>
          <w:rFonts w:ascii="Cambria" w:hAnsi="Cambria" w:cs="Verdana"/>
          <w:color w:val="auto"/>
          <w:sz w:val="16"/>
          <w:szCs w:val="16"/>
          <w:lang w:val="es-ES"/>
        </w:rPr>
        <w:t>”.</w:t>
      </w:r>
    </w:p>
  </w:footnote>
  <w:footnote w:id="126">
    <w:p w14:paraId="6195AFA8"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lang w:val="pt-BR"/>
        </w:rPr>
        <w:t xml:space="preserve"> </w:t>
      </w:r>
      <w:r w:rsidRPr="000265CB">
        <w:rPr>
          <w:rFonts w:ascii="Cambria" w:hAnsi="Cambria"/>
          <w:color w:val="auto"/>
          <w:sz w:val="16"/>
          <w:szCs w:val="16"/>
          <w:lang w:val="pt-BR"/>
        </w:rPr>
        <w:t xml:space="preserve">Corte IDH. </w:t>
      </w:r>
      <w:r w:rsidRPr="000265CB">
        <w:rPr>
          <w:rFonts w:ascii="Cambria" w:hAnsi="Cambria"/>
          <w:i/>
          <w:color w:val="auto"/>
          <w:sz w:val="16"/>
          <w:szCs w:val="16"/>
          <w:lang w:val="pt-BR"/>
        </w:rPr>
        <w:t xml:space="preserve">Caso familia Pacheco Tineo Vs. </w:t>
      </w:r>
      <w:r w:rsidRPr="00A25B85">
        <w:rPr>
          <w:rFonts w:ascii="Cambria" w:hAnsi="Cambria"/>
          <w:i/>
          <w:color w:val="auto"/>
          <w:sz w:val="16"/>
          <w:szCs w:val="16"/>
          <w:lang w:val="es-ES"/>
        </w:rPr>
        <w:t>Estado Plurinacional de Bolivia</w:t>
      </w:r>
      <w:r w:rsidRPr="00A25B85">
        <w:rPr>
          <w:rFonts w:ascii="Cambria" w:hAnsi="Cambria"/>
          <w:color w:val="auto"/>
          <w:sz w:val="16"/>
          <w:szCs w:val="16"/>
          <w:lang w:val="es-ES"/>
        </w:rPr>
        <w:t xml:space="preserve">. Excepciones preliminares, fondo, reparaciones y costas. Sentencia de 25 de noviembre de 2013. Serie C. No. 272, párr. 153; Corte IDH. Opinión Consultiva OC-25/18 de 30 de mayo de 2018. </w:t>
      </w:r>
      <w:r w:rsidRPr="00A25B85">
        <w:rPr>
          <w:rFonts w:ascii="Cambria" w:hAnsi="Cambria" w:cs="Verdana"/>
          <w:i/>
          <w:color w:val="auto"/>
          <w:sz w:val="16"/>
          <w:szCs w:val="16"/>
          <w:lang w:val="es-ES"/>
        </w:rPr>
        <w:t>La institución del asilo y su reconocimiento como derecho humano en el sistema interamericano de protección (interpretación y alcance de los artículos 5, 22.7 y 22.8 , en relación con el artículo 1.1 de la Convención Americana sobre Derechos Humanos)</w:t>
      </w:r>
      <w:r w:rsidRPr="00A25B85">
        <w:rPr>
          <w:rFonts w:ascii="Cambria" w:hAnsi="Cambria"/>
          <w:color w:val="auto"/>
          <w:sz w:val="16"/>
          <w:szCs w:val="16"/>
          <w:lang w:val="es-ES"/>
        </w:rPr>
        <w:t>, párr. 190.</w:t>
      </w:r>
    </w:p>
  </w:footnote>
  <w:footnote w:id="127">
    <w:p w14:paraId="4680B5F8"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sz w:val="16"/>
          <w:szCs w:val="16"/>
          <w:bdr w:val="none" w:sz="0" w:space="0" w:color="auto" w:frame="1"/>
          <w:lang w:val="es-ES"/>
        </w:rPr>
        <w:t>Informe sobre la situación de los derechos humanos de los solicitantes de asilo en el marco del sistema canadiense de determinación de la condición de refugiado</w:t>
      </w:r>
      <w:r w:rsidRPr="00A25B85">
        <w:rPr>
          <w:rFonts w:ascii="Cambria" w:hAnsi="Cambria"/>
          <w:color w:val="auto"/>
          <w:sz w:val="16"/>
          <w:szCs w:val="16"/>
          <w:lang w:val="es-ES"/>
        </w:rPr>
        <w:t>. OEA/</w:t>
      </w:r>
      <w:proofErr w:type="spellStart"/>
      <w:r w:rsidRPr="00A25B85">
        <w:rPr>
          <w:rFonts w:ascii="Cambria" w:hAnsi="Cambria"/>
          <w:color w:val="auto"/>
          <w:sz w:val="16"/>
          <w:szCs w:val="16"/>
          <w:lang w:val="es-ES"/>
        </w:rPr>
        <w:t>Ser.L</w:t>
      </w:r>
      <w:proofErr w:type="spellEnd"/>
      <w:r w:rsidRPr="00A25B85">
        <w:rPr>
          <w:rFonts w:ascii="Cambria" w:hAnsi="Cambria"/>
          <w:color w:val="auto"/>
          <w:sz w:val="16"/>
          <w:szCs w:val="16"/>
          <w:lang w:val="es-ES"/>
        </w:rPr>
        <w:t>/V/II.106, 28 de febrero de 2000, párr. 154.</w:t>
      </w:r>
    </w:p>
  </w:footnote>
  <w:footnote w:id="128">
    <w:p w14:paraId="52D1C12F"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63/08. Caso 12.534. Admisibilidad y Fondo. Publicación. </w:t>
      </w:r>
      <w:r w:rsidRPr="00A25B85">
        <w:rPr>
          <w:rFonts w:ascii="Cambria" w:hAnsi="Cambria"/>
          <w:i/>
          <w:color w:val="auto"/>
          <w:sz w:val="16"/>
          <w:szCs w:val="16"/>
          <w:lang w:val="es-ES"/>
        </w:rPr>
        <w:t xml:space="preserve">Andrea </w:t>
      </w:r>
      <w:proofErr w:type="spellStart"/>
      <w:r w:rsidRPr="00A25B85">
        <w:rPr>
          <w:rFonts w:ascii="Cambria" w:hAnsi="Cambria"/>
          <w:i/>
          <w:color w:val="auto"/>
          <w:sz w:val="16"/>
          <w:szCs w:val="16"/>
          <w:lang w:val="es-ES"/>
        </w:rPr>
        <w:t>Mortlock</w:t>
      </w:r>
      <w:proofErr w:type="spellEnd"/>
      <w:r w:rsidRPr="00A25B85">
        <w:rPr>
          <w:rFonts w:ascii="Cambria" w:hAnsi="Cambria"/>
          <w:i/>
          <w:color w:val="auto"/>
          <w:sz w:val="16"/>
          <w:szCs w:val="16"/>
          <w:lang w:val="es-ES"/>
        </w:rPr>
        <w:t>. Estados Unidos</w:t>
      </w:r>
      <w:r w:rsidRPr="00A25B85">
        <w:rPr>
          <w:rFonts w:ascii="Cambria" w:hAnsi="Cambria"/>
          <w:color w:val="auto"/>
          <w:sz w:val="16"/>
          <w:szCs w:val="16"/>
          <w:lang w:val="es-ES"/>
        </w:rPr>
        <w:t>. 25 de julio de 2008, párr. 83.</w:t>
      </w:r>
    </w:p>
  </w:footnote>
  <w:footnote w:id="129">
    <w:p w14:paraId="53ED1CF6" w14:textId="0CD502A3"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51/96. </w:t>
      </w:r>
      <w:r w:rsidRPr="00A25B85">
        <w:rPr>
          <w:rFonts w:ascii="Cambria" w:hAnsi="Cambria"/>
          <w:i/>
          <w:sz w:val="16"/>
          <w:szCs w:val="16"/>
          <w:bdr w:val="none" w:sz="0" w:space="0" w:color="auto" w:frame="1"/>
          <w:lang w:val="es-ES"/>
        </w:rPr>
        <w:t>Decisión de la Comisión en cuanto al mérito del caso 10.675 (Interdicción de haitianos en alta mar: balseros haitianos). Estados Unidos</w:t>
      </w:r>
      <w:r w:rsidRPr="00A25B85">
        <w:rPr>
          <w:rFonts w:ascii="Cambria" w:hAnsi="Cambria"/>
          <w:color w:val="auto"/>
          <w:sz w:val="16"/>
          <w:szCs w:val="16"/>
          <w:lang w:val="es-ES"/>
        </w:rPr>
        <w:t>.</w:t>
      </w:r>
      <w:r w:rsidR="005D4092">
        <w:rPr>
          <w:rFonts w:ascii="Cambria" w:hAnsi="Cambria"/>
          <w:color w:val="auto"/>
          <w:sz w:val="16"/>
          <w:szCs w:val="16"/>
          <w:lang w:val="es-ES"/>
        </w:rPr>
        <w:t xml:space="preserve"> </w:t>
      </w:r>
      <w:r w:rsidRPr="00A25B85">
        <w:rPr>
          <w:rFonts w:ascii="Cambria" w:hAnsi="Cambria"/>
          <w:color w:val="auto"/>
          <w:sz w:val="16"/>
          <w:szCs w:val="16"/>
          <w:lang w:val="es-ES"/>
        </w:rPr>
        <w:t xml:space="preserve">13 de marzo de 1997, </w:t>
      </w:r>
      <w:proofErr w:type="spellStart"/>
      <w:r w:rsidRPr="00A25B85">
        <w:rPr>
          <w:rFonts w:ascii="Cambria" w:hAnsi="Cambria"/>
          <w:color w:val="auto"/>
          <w:sz w:val="16"/>
          <w:szCs w:val="16"/>
          <w:lang w:val="es-ES"/>
        </w:rPr>
        <w:t>párrs</w:t>
      </w:r>
      <w:proofErr w:type="spellEnd"/>
      <w:r w:rsidRPr="00A25B85">
        <w:rPr>
          <w:rFonts w:ascii="Cambria" w:hAnsi="Cambria"/>
          <w:color w:val="auto"/>
          <w:sz w:val="16"/>
          <w:szCs w:val="16"/>
          <w:lang w:val="es-ES"/>
        </w:rPr>
        <w:t>. 167 a 171 y 180.</w:t>
      </w:r>
    </w:p>
  </w:footnote>
  <w:footnote w:id="130">
    <w:p w14:paraId="4A7CF0FE" w14:textId="77777777" w:rsidR="00F005B1" w:rsidRPr="000265CB" w:rsidRDefault="00F005B1" w:rsidP="00067F9E">
      <w:pPr>
        <w:pStyle w:val="FootnoteText"/>
        <w:jc w:val="both"/>
        <w:rPr>
          <w:rFonts w:ascii="Cambria" w:hAnsi="Cambria"/>
          <w:color w:val="auto"/>
          <w:sz w:val="16"/>
          <w:szCs w:val="16"/>
          <w:lang w:val="pt-BR"/>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Corte IDH. </w:t>
      </w:r>
      <w:r w:rsidRPr="000265CB">
        <w:rPr>
          <w:rFonts w:ascii="Cambria" w:hAnsi="Cambria"/>
          <w:i/>
          <w:color w:val="auto"/>
          <w:sz w:val="16"/>
          <w:szCs w:val="16"/>
          <w:lang w:val="pt-BR"/>
        </w:rPr>
        <w:t>Caso familia Pacheco Tineo Vs. Estado Plurinacional de Bolivia</w:t>
      </w:r>
      <w:r w:rsidRPr="000265CB">
        <w:rPr>
          <w:rFonts w:ascii="Cambria" w:hAnsi="Cambria"/>
          <w:color w:val="auto"/>
          <w:sz w:val="16"/>
          <w:szCs w:val="16"/>
          <w:lang w:val="pt-BR"/>
        </w:rPr>
        <w:t>. Sentencia de 25 de noviembre de 2013, párr. 157.</w:t>
      </w:r>
    </w:p>
  </w:footnote>
  <w:footnote w:id="131">
    <w:p w14:paraId="36362221"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0265CB">
        <w:rPr>
          <w:rFonts w:ascii="Cambria" w:hAnsi="Cambria"/>
          <w:color w:val="auto"/>
          <w:sz w:val="16"/>
          <w:szCs w:val="16"/>
          <w:lang w:val="pt-BR"/>
        </w:rPr>
        <w:t xml:space="preserve"> Corte </w:t>
      </w:r>
      <w:r w:rsidRPr="000265CB">
        <w:rPr>
          <w:rFonts w:ascii="Cambria" w:hAnsi="Cambria"/>
          <w:color w:val="auto"/>
          <w:sz w:val="16"/>
          <w:szCs w:val="16"/>
          <w:lang w:val="pt-BR"/>
        </w:rPr>
        <w:t xml:space="preserve">IDH. </w:t>
      </w:r>
      <w:r w:rsidRPr="000265CB">
        <w:rPr>
          <w:rFonts w:ascii="Cambria" w:hAnsi="Cambria"/>
          <w:i/>
          <w:color w:val="auto"/>
          <w:sz w:val="16"/>
          <w:szCs w:val="16"/>
          <w:lang w:val="pt-BR"/>
        </w:rPr>
        <w:t>Caso familia Pacheco Tineo Vs. Estado Plurinacional de Bolivia</w:t>
      </w:r>
      <w:r w:rsidRPr="000265CB">
        <w:rPr>
          <w:rFonts w:ascii="Cambria" w:hAnsi="Cambria"/>
          <w:color w:val="auto"/>
          <w:sz w:val="16"/>
          <w:szCs w:val="16"/>
          <w:lang w:val="pt-BR"/>
        </w:rPr>
        <w:t xml:space="preserve">. </w:t>
      </w:r>
      <w:r w:rsidRPr="00A25B85">
        <w:rPr>
          <w:rFonts w:ascii="Cambria" w:hAnsi="Cambria"/>
          <w:color w:val="auto"/>
          <w:sz w:val="16"/>
          <w:szCs w:val="16"/>
          <w:lang w:val="es-ES"/>
        </w:rPr>
        <w:t xml:space="preserve">Sentencia de 25 de noviembre de 2013, </w:t>
      </w:r>
      <w:proofErr w:type="spellStart"/>
      <w:r w:rsidRPr="00A25B85">
        <w:rPr>
          <w:rFonts w:ascii="Cambria" w:hAnsi="Cambria"/>
          <w:color w:val="auto"/>
          <w:sz w:val="16"/>
          <w:szCs w:val="16"/>
          <w:lang w:val="es-ES"/>
        </w:rPr>
        <w:t>párrs</w:t>
      </w:r>
      <w:proofErr w:type="spellEnd"/>
      <w:r w:rsidRPr="00A25B85">
        <w:rPr>
          <w:rFonts w:ascii="Cambria" w:hAnsi="Cambria"/>
          <w:color w:val="auto"/>
          <w:sz w:val="16"/>
          <w:szCs w:val="16"/>
          <w:lang w:val="es-ES"/>
        </w:rPr>
        <w:t xml:space="preserve">. 153 y 159 (donde se cita a la CIDH, </w:t>
      </w:r>
      <w:r w:rsidRPr="00A25B85">
        <w:rPr>
          <w:rFonts w:ascii="Cambria" w:hAnsi="Cambria"/>
          <w:i/>
          <w:sz w:val="16"/>
          <w:szCs w:val="16"/>
          <w:bdr w:val="none" w:sz="0" w:space="0" w:color="auto" w:frame="1"/>
          <w:lang w:val="es-ES"/>
        </w:rPr>
        <w:t>Informe sobre la situación de los derechos humanos de los solicitantes de asilo en el marco del sistema canadiense de determinación de la condición de refugiado</w:t>
      </w:r>
      <w:r w:rsidRPr="00A25B85">
        <w:rPr>
          <w:rFonts w:ascii="Cambria" w:hAnsi="Cambria"/>
          <w:color w:val="auto"/>
          <w:sz w:val="16"/>
          <w:szCs w:val="16"/>
          <w:lang w:val="es-ES"/>
        </w:rPr>
        <w:t xml:space="preserve"> </w:t>
      </w:r>
      <w:r w:rsidRPr="000265CB">
        <w:rPr>
          <w:rFonts w:ascii="Cambria" w:hAnsi="Cambria"/>
          <w:color w:val="auto"/>
          <w:sz w:val="16"/>
          <w:szCs w:val="16"/>
          <w:lang w:val="es-ES"/>
        </w:rPr>
        <w:t>[</w:t>
      </w:r>
      <w:r w:rsidRPr="00A25B85">
        <w:rPr>
          <w:rFonts w:ascii="Cambria" w:hAnsi="Cambria"/>
          <w:color w:val="auto"/>
          <w:sz w:val="16"/>
          <w:szCs w:val="16"/>
          <w:lang w:val="es-ES"/>
        </w:rPr>
        <w:t xml:space="preserve">2000], párr. 111). </w:t>
      </w:r>
    </w:p>
  </w:footnote>
  <w:footnote w:id="132">
    <w:p w14:paraId="55C82E5E"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136/11. Caso 12.474. Fondo. </w:t>
      </w:r>
      <w:r w:rsidRPr="00A25B85">
        <w:rPr>
          <w:rFonts w:ascii="Cambria" w:hAnsi="Cambria"/>
          <w:i/>
          <w:color w:val="auto"/>
          <w:sz w:val="16"/>
          <w:szCs w:val="16"/>
          <w:lang w:val="es-ES"/>
        </w:rPr>
        <w:t>Familia Pacheco Tineo. Bolivia</w:t>
      </w:r>
      <w:r w:rsidRPr="00A25B85">
        <w:rPr>
          <w:rFonts w:ascii="Cambria" w:hAnsi="Cambria"/>
          <w:color w:val="auto"/>
          <w:sz w:val="16"/>
          <w:szCs w:val="16"/>
          <w:lang w:val="es-ES"/>
        </w:rPr>
        <w:t>. 31 de octubre de 2011, párr. 152.</w:t>
      </w:r>
    </w:p>
  </w:footnote>
  <w:footnote w:id="133">
    <w:p w14:paraId="7BA7B8F1"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78/13. Caso 12.794. Fondo. </w:t>
      </w:r>
      <w:r w:rsidRPr="00A25B85">
        <w:rPr>
          <w:rFonts w:ascii="Cambria" w:hAnsi="Cambria"/>
          <w:i/>
          <w:color w:val="auto"/>
          <w:sz w:val="16"/>
          <w:szCs w:val="16"/>
          <w:lang w:val="es-ES"/>
        </w:rPr>
        <w:t xml:space="preserve">Wong Ho </w:t>
      </w:r>
      <w:proofErr w:type="spellStart"/>
      <w:r w:rsidRPr="00A25B85">
        <w:rPr>
          <w:rFonts w:ascii="Cambria" w:hAnsi="Cambria"/>
          <w:i/>
          <w:color w:val="auto"/>
          <w:sz w:val="16"/>
          <w:szCs w:val="16"/>
          <w:lang w:val="es-ES"/>
        </w:rPr>
        <w:t>Wing</w:t>
      </w:r>
      <w:proofErr w:type="spellEnd"/>
      <w:r w:rsidRPr="00A25B85">
        <w:rPr>
          <w:rFonts w:ascii="Cambria" w:hAnsi="Cambria"/>
          <w:i/>
          <w:color w:val="auto"/>
          <w:sz w:val="16"/>
          <w:szCs w:val="16"/>
          <w:lang w:val="es-ES"/>
        </w:rPr>
        <w:t>. Perú</w:t>
      </w:r>
      <w:r w:rsidRPr="00A25B85">
        <w:rPr>
          <w:rFonts w:ascii="Cambria" w:hAnsi="Cambria"/>
          <w:color w:val="auto"/>
          <w:sz w:val="16"/>
          <w:szCs w:val="16"/>
          <w:lang w:val="es-ES"/>
        </w:rPr>
        <w:t>. 18 de julio de 2013, párr. 251.</w:t>
      </w:r>
    </w:p>
  </w:footnote>
  <w:footnote w:id="134">
    <w:p w14:paraId="6C6EEBDC"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Véase, entre otros, CIDH, Informe No. 64/12. Caso 12.271. </w:t>
      </w:r>
      <w:r w:rsidRPr="00A25B85">
        <w:rPr>
          <w:rFonts w:ascii="Cambria" w:hAnsi="Cambria"/>
          <w:i/>
          <w:color w:val="auto"/>
          <w:sz w:val="16"/>
          <w:szCs w:val="16"/>
          <w:lang w:val="es-ES"/>
        </w:rPr>
        <w:t xml:space="preserve">Benito </w:t>
      </w:r>
      <w:proofErr w:type="spellStart"/>
      <w:r w:rsidRPr="00A25B85">
        <w:rPr>
          <w:rFonts w:ascii="Cambria" w:hAnsi="Cambria"/>
          <w:i/>
          <w:color w:val="auto"/>
          <w:sz w:val="16"/>
          <w:szCs w:val="16"/>
          <w:lang w:val="es-ES"/>
        </w:rPr>
        <w:t>Tide</w:t>
      </w:r>
      <w:proofErr w:type="spellEnd"/>
      <w:r w:rsidRPr="00A25B85">
        <w:rPr>
          <w:rFonts w:ascii="Cambria" w:hAnsi="Cambria"/>
          <w:i/>
          <w:color w:val="auto"/>
          <w:sz w:val="16"/>
          <w:szCs w:val="16"/>
          <w:lang w:val="es-ES"/>
        </w:rPr>
        <w:t xml:space="preserve"> Méndez y otros. República Dominicana</w:t>
      </w:r>
      <w:r w:rsidRPr="00A25B85">
        <w:rPr>
          <w:rFonts w:ascii="Cambria" w:hAnsi="Cambria"/>
          <w:color w:val="auto"/>
          <w:sz w:val="16"/>
          <w:szCs w:val="16"/>
          <w:lang w:val="es-ES"/>
        </w:rPr>
        <w:t xml:space="preserve">. Informe de fondo. 29 de marzo de 2012, párr. 226 (donde se cita a la CIDH, </w:t>
      </w:r>
      <w:r w:rsidRPr="00A25B85">
        <w:rPr>
          <w:rFonts w:ascii="Cambria" w:hAnsi="Cambria"/>
          <w:color w:val="auto"/>
          <w:sz w:val="16"/>
          <w:szCs w:val="16"/>
          <w:lang w:val="es-AR"/>
        </w:rPr>
        <w:t xml:space="preserve">Demanda ante la Corte Interamericana de Derechos Humanos. </w:t>
      </w:r>
      <w:r w:rsidRPr="00A25B85">
        <w:rPr>
          <w:rFonts w:ascii="Cambria" w:hAnsi="Cambria"/>
          <w:i/>
          <w:color w:val="auto"/>
          <w:sz w:val="16"/>
          <w:szCs w:val="16"/>
          <w:lang w:val="es-AR"/>
        </w:rPr>
        <w:t xml:space="preserve">Caso Karen </w:t>
      </w:r>
      <w:proofErr w:type="spellStart"/>
      <w:r w:rsidRPr="00A25B85">
        <w:rPr>
          <w:rFonts w:ascii="Cambria" w:hAnsi="Cambria"/>
          <w:i/>
          <w:color w:val="auto"/>
          <w:sz w:val="16"/>
          <w:szCs w:val="16"/>
          <w:lang w:val="es-AR"/>
        </w:rPr>
        <w:t>Atala</w:t>
      </w:r>
      <w:proofErr w:type="spellEnd"/>
      <w:r w:rsidRPr="00A25B85">
        <w:rPr>
          <w:rFonts w:ascii="Cambria" w:hAnsi="Cambria"/>
          <w:i/>
          <w:color w:val="auto"/>
          <w:sz w:val="16"/>
          <w:szCs w:val="16"/>
          <w:lang w:val="es-AR"/>
        </w:rPr>
        <w:t xml:space="preserve"> e Hijas</w:t>
      </w:r>
      <w:r w:rsidRPr="00A25B85">
        <w:rPr>
          <w:rFonts w:ascii="Cambria" w:hAnsi="Cambria"/>
          <w:color w:val="auto"/>
          <w:sz w:val="16"/>
          <w:szCs w:val="16"/>
          <w:lang w:val="es-AR"/>
        </w:rPr>
        <w:t xml:space="preserve"> </w:t>
      </w:r>
      <w:r w:rsidRPr="00A25B85">
        <w:rPr>
          <w:rFonts w:ascii="Cambria" w:hAnsi="Cambria"/>
          <w:i/>
          <w:color w:val="auto"/>
          <w:sz w:val="16"/>
          <w:szCs w:val="16"/>
          <w:lang w:val="es-AR"/>
        </w:rPr>
        <w:t>v. Chile.</w:t>
      </w:r>
      <w:r w:rsidRPr="00A25B85">
        <w:rPr>
          <w:rFonts w:ascii="Cambria" w:hAnsi="Cambria"/>
          <w:color w:val="auto"/>
          <w:sz w:val="16"/>
          <w:szCs w:val="16"/>
          <w:lang w:val="es-AR"/>
        </w:rPr>
        <w:t xml:space="preserve"> 17 de septiembre de 2010</w:t>
      </w:r>
      <w:r w:rsidRPr="00A25B85">
        <w:rPr>
          <w:rFonts w:ascii="Cambria" w:hAnsi="Cambria"/>
          <w:color w:val="auto"/>
          <w:sz w:val="16"/>
          <w:szCs w:val="16"/>
          <w:lang w:val="es-ES"/>
        </w:rPr>
        <w:t>, párr. 74).</w:t>
      </w:r>
    </w:p>
  </w:footnote>
  <w:footnote w:id="135">
    <w:p w14:paraId="765B4FEE"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56/10. Caso 12.469. Fondo. </w:t>
      </w:r>
      <w:r w:rsidRPr="00A25B85">
        <w:rPr>
          <w:rFonts w:ascii="Cambria" w:hAnsi="Cambria"/>
          <w:i/>
          <w:color w:val="auto"/>
          <w:sz w:val="16"/>
          <w:szCs w:val="16"/>
          <w:lang w:val="es-ES"/>
        </w:rPr>
        <w:t>Margarita Cecilia Barbería Miranda. Chile</w:t>
      </w:r>
      <w:r w:rsidRPr="00A25B85">
        <w:rPr>
          <w:rFonts w:ascii="Cambria" w:hAnsi="Cambria"/>
          <w:color w:val="auto"/>
          <w:sz w:val="16"/>
          <w:szCs w:val="16"/>
          <w:lang w:val="es-ES"/>
        </w:rPr>
        <w:t>. 18 de marzo de 2010, párr. 28.</w:t>
      </w:r>
    </w:p>
  </w:footnote>
  <w:footnote w:id="136">
    <w:p w14:paraId="281644CA" w14:textId="77777777" w:rsidR="00F005B1" w:rsidRPr="00A25B85" w:rsidRDefault="00F005B1" w:rsidP="00067F9E">
      <w:pPr>
        <w:pStyle w:val="Footnotes"/>
        <w:spacing w:after="0"/>
        <w:ind w:firstLine="0"/>
        <w:rPr>
          <w:sz w:val="16"/>
          <w:szCs w:val="16"/>
          <w:lang w:val="es-ES"/>
        </w:rPr>
      </w:pPr>
      <w:r w:rsidRPr="00A25B85">
        <w:rPr>
          <w:rStyle w:val="FootnoteReference"/>
          <w:sz w:val="16"/>
          <w:szCs w:val="16"/>
          <w:lang w:val="es-ES"/>
        </w:rPr>
        <w:footnoteRef/>
      </w:r>
      <w:r w:rsidRPr="00A25B85">
        <w:rPr>
          <w:sz w:val="16"/>
          <w:szCs w:val="16"/>
          <w:lang w:val="es-ES"/>
        </w:rPr>
        <w:t xml:space="preserve"> CIDH. Informe No. 50/16. Caso 12.834. Fondo. Publicación. </w:t>
      </w:r>
      <w:r w:rsidRPr="00A25B85">
        <w:rPr>
          <w:i/>
          <w:sz w:val="16"/>
          <w:szCs w:val="16"/>
          <w:lang w:val="es-ES"/>
        </w:rPr>
        <w:t>Trabajadores indocumentados. Estados Unidos</w:t>
      </w:r>
      <w:r w:rsidRPr="00A25B85">
        <w:rPr>
          <w:sz w:val="16"/>
          <w:szCs w:val="16"/>
          <w:lang w:val="es-ES"/>
        </w:rPr>
        <w:t xml:space="preserve">. 30 de noviembre de 2016, párr. 74; CIDH. Informe No. 51/01. Caso 9903. </w:t>
      </w:r>
      <w:r w:rsidRPr="00A25B85">
        <w:rPr>
          <w:i/>
          <w:sz w:val="16"/>
          <w:szCs w:val="16"/>
          <w:lang w:val="es-ES"/>
        </w:rPr>
        <w:t>Rafael Ferrer-</w:t>
      </w:r>
      <w:proofErr w:type="spellStart"/>
      <w:r w:rsidRPr="00A25B85">
        <w:rPr>
          <w:i/>
          <w:sz w:val="16"/>
          <w:szCs w:val="16"/>
          <w:lang w:val="es-ES"/>
        </w:rPr>
        <w:t>Mazorra</w:t>
      </w:r>
      <w:proofErr w:type="spellEnd"/>
      <w:r w:rsidRPr="00A25B85">
        <w:rPr>
          <w:i/>
          <w:sz w:val="16"/>
          <w:szCs w:val="16"/>
          <w:lang w:val="es-ES"/>
        </w:rPr>
        <w:t xml:space="preserve"> y otros. Estados Unidos.</w:t>
      </w:r>
      <w:r w:rsidRPr="00A25B85">
        <w:rPr>
          <w:sz w:val="16"/>
          <w:szCs w:val="16"/>
          <w:lang w:val="es-ES"/>
        </w:rPr>
        <w:t xml:space="preserve"> 4 de abril de 2001, párr. 238 (donde se cita, en respaldo de su posición, a la Corte Europea de Derechos Humanos, </w:t>
      </w:r>
      <w:r w:rsidRPr="00A25B85">
        <w:rPr>
          <w:rFonts w:eastAsia="Times New Roman"/>
          <w:i/>
          <w:iCs/>
          <w:sz w:val="16"/>
          <w:szCs w:val="16"/>
          <w:lang w:val="es-ES"/>
        </w:rPr>
        <w:t xml:space="preserve">Caso </w:t>
      </w:r>
      <w:proofErr w:type="spellStart"/>
      <w:r w:rsidRPr="00A25B85">
        <w:rPr>
          <w:rFonts w:eastAsia="Times New Roman"/>
          <w:i/>
          <w:iCs/>
          <w:sz w:val="16"/>
          <w:szCs w:val="16"/>
          <w:lang w:val="es-ES"/>
        </w:rPr>
        <w:t>Belgian</w:t>
      </w:r>
      <w:proofErr w:type="spellEnd"/>
      <w:r w:rsidRPr="00A25B85">
        <w:rPr>
          <w:rFonts w:eastAsia="Times New Roman"/>
          <w:i/>
          <w:iCs/>
          <w:sz w:val="16"/>
          <w:szCs w:val="16"/>
          <w:lang w:val="es-ES"/>
        </w:rPr>
        <w:t xml:space="preserve"> </w:t>
      </w:r>
      <w:proofErr w:type="spellStart"/>
      <w:r w:rsidRPr="00A25B85">
        <w:rPr>
          <w:rFonts w:eastAsia="Times New Roman"/>
          <w:i/>
          <w:iCs/>
          <w:sz w:val="16"/>
          <w:szCs w:val="16"/>
          <w:lang w:val="es-ES"/>
        </w:rPr>
        <w:t>Linguistics</w:t>
      </w:r>
      <w:proofErr w:type="spellEnd"/>
      <w:r w:rsidRPr="00A25B85">
        <w:rPr>
          <w:rFonts w:eastAsia="Times New Roman"/>
          <w:i/>
          <w:iCs/>
          <w:sz w:val="16"/>
          <w:szCs w:val="16"/>
          <w:lang w:val="es-ES"/>
        </w:rPr>
        <w:t>.</w:t>
      </w:r>
      <w:r w:rsidRPr="00A25B85">
        <w:rPr>
          <w:rFonts w:eastAsia="Times New Roman"/>
          <w:iCs/>
          <w:sz w:val="16"/>
          <w:szCs w:val="16"/>
          <w:lang w:val="es-ES"/>
        </w:rPr>
        <w:t xml:space="preserve"> 23 de julio de 1968. Serie</w:t>
      </w:r>
      <w:r w:rsidRPr="00A25B85">
        <w:rPr>
          <w:rFonts w:eastAsia="Times New Roman"/>
          <w:sz w:val="16"/>
          <w:szCs w:val="16"/>
          <w:lang w:val="es-ES"/>
        </w:rPr>
        <w:t xml:space="preserve"> A </w:t>
      </w:r>
      <w:proofErr w:type="spellStart"/>
      <w:r w:rsidRPr="00A25B85">
        <w:rPr>
          <w:rFonts w:eastAsia="Times New Roman"/>
          <w:sz w:val="16"/>
          <w:szCs w:val="16"/>
          <w:lang w:val="es-ES"/>
        </w:rPr>
        <w:t>Nº</w:t>
      </w:r>
      <w:proofErr w:type="spellEnd"/>
      <w:r w:rsidRPr="00A25B85">
        <w:rPr>
          <w:rFonts w:eastAsia="Times New Roman"/>
          <w:sz w:val="16"/>
          <w:szCs w:val="16"/>
          <w:lang w:val="es-ES"/>
        </w:rPr>
        <w:t xml:space="preserve"> 6, 1 E.H.R.R. 252, p. 35, párr. 10). </w:t>
      </w:r>
    </w:p>
  </w:footnote>
  <w:footnote w:id="137">
    <w:p w14:paraId="7959BF70"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color w:val="auto"/>
          <w:sz w:val="16"/>
          <w:szCs w:val="16"/>
          <w:lang w:val="es-ES"/>
        </w:rPr>
        <w:t xml:space="preserve">Informe sobre terrorismo y derechos humanos </w:t>
      </w:r>
      <w:r w:rsidRPr="00A25B85">
        <w:rPr>
          <w:rFonts w:ascii="Cambria" w:hAnsi="Cambria"/>
          <w:color w:val="auto"/>
          <w:sz w:val="16"/>
          <w:szCs w:val="16"/>
          <w:lang w:val="es-ES"/>
        </w:rPr>
        <w:t>(2002), párr. 338 (</w:t>
      </w:r>
      <w:r w:rsidRPr="00A25B85">
        <w:rPr>
          <w:rFonts w:ascii="Cambria" w:eastAsia="Arial Unicode MS" w:hAnsi="Cambria"/>
          <w:sz w:val="16"/>
          <w:szCs w:val="16"/>
          <w:lang w:val="es-ES"/>
        </w:rPr>
        <w:t>donde se cita, </w:t>
      </w:r>
      <w:r w:rsidRPr="00A25B85">
        <w:rPr>
          <w:rFonts w:ascii="Cambria" w:eastAsia="Arial Unicode MS" w:hAnsi="Cambria"/>
          <w:iCs/>
          <w:sz w:val="16"/>
          <w:szCs w:val="16"/>
          <w:lang w:val="es-ES"/>
        </w:rPr>
        <w:t>entre otros</w:t>
      </w:r>
      <w:r w:rsidRPr="00A25B85">
        <w:rPr>
          <w:rFonts w:ascii="Cambria" w:eastAsia="Arial Unicode MS" w:hAnsi="Cambria"/>
          <w:sz w:val="16"/>
          <w:szCs w:val="16"/>
          <w:lang w:val="es-ES"/>
        </w:rPr>
        <w:t xml:space="preserve">, a Repetto, Inés, Corte Suprema de Justicia [Argentina], 8 de noviembre de 1988; jueces </w:t>
      </w:r>
      <w:proofErr w:type="spellStart"/>
      <w:r w:rsidRPr="00A25B85">
        <w:rPr>
          <w:rFonts w:ascii="Cambria" w:eastAsia="Arial Unicode MS" w:hAnsi="Cambria"/>
          <w:sz w:val="16"/>
          <w:szCs w:val="16"/>
          <w:lang w:val="es-ES"/>
        </w:rPr>
        <w:t>Petracchi</w:t>
      </w:r>
      <w:proofErr w:type="spellEnd"/>
      <w:r w:rsidRPr="00A25B85">
        <w:rPr>
          <w:rFonts w:ascii="Cambria" w:eastAsia="Arial Unicode MS" w:hAnsi="Cambria"/>
          <w:sz w:val="16"/>
          <w:szCs w:val="16"/>
          <w:lang w:val="es-ES"/>
        </w:rPr>
        <w:t xml:space="preserve"> y </w:t>
      </w:r>
      <w:proofErr w:type="spellStart"/>
      <w:r w:rsidRPr="00A25B85">
        <w:rPr>
          <w:rFonts w:ascii="Cambria" w:eastAsia="Arial Unicode MS" w:hAnsi="Cambria"/>
          <w:sz w:val="16"/>
          <w:szCs w:val="16"/>
          <w:lang w:val="es-ES"/>
        </w:rPr>
        <w:t>Bacqué</w:t>
      </w:r>
      <w:proofErr w:type="spellEnd"/>
      <w:r w:rsidRPr="00A25B85">
        <w:rPr>
          <w:rFonts w:ascii="Cambria" w:eastAsia="Arial Unicode MS" w:hAnsi="Cambria"/>
          <w:sz w:val="16"/>
          <w:szCs w:val="16"/>
          <w:lang w:val="es-ES"/>
        </w:rPr>
        <w:t xml:space="preserve">, párr. 6; </w:t>
      </w:r>
      <w:proofErr w:type="spellStart"/>
      <w:r w:rsidRPr="00A25B85">
        <w:rPr>
          <w:rFonts w:ascii="Cambria" w:eastAsia="Arial Unicode MS" w:hAnsi="Cambria"/>
          <w:i/>
          <w:sz w:val="16"/>
          <w:szCs w:val="16"/>
          <w:lang w:val="es-ES"/>
        </w:rPr>
        <w:t>Loving</w:t>
      </w:r>
      <w:proofErr w:type="spellEnd"/>
      <w:r w:rsidRPr="00A25B85">
        <w:rPr>
          <w:rFonts w:ascii="Cambria" w:eastAsia="Arial Unicode MS" w:hAnsi="Cambria"/>
          <w:i/>
          <w:sz w:val="16"/>
          <w:szCs w:val="16"/>
          <w:lang w:val="es-ES"/>
        </w:rPr>
        <w:t xml:space="preserve"> v. Virginia</w:t>
      </w:r>
      <w:r w:rsidRPr="00A25B85">
        <w:rPr>
          <w:rFonts w:ascii="Cambria" w:eastAsia="Arial Unicode MS" w:hAnsi="Cambria"/>
          <w:sz w:val="16"/>
          <w:szCs w:val="16"/>
          <w:lang w:val="es-ES"/>
        </w:rPr>
        <w:t xml:space="preserve">, 388 US 1, 87 [1967], Corte Europea de Derechos Humanos, </w:t>
      </w:r>
      <w:r w:rsidRPr="00A25B85">
        <w:rPr>
          <w:rFonts w:ascii="Cambria" w:eastAsia="Arial Unicode MS" w:hAnsi="Cambria"/>
          <w:i/>
          <w:sz w:val="16"/>
          <w:szCs w:val="16"/>
          <w:lang w:val="es-ES"/>
        </w:rPr>
        <w:t>Abdulaziz v. Reino Unido</w:t>
      </w:r>
      <w:r w:rsidRPr="00A25B85">
        <w:rPr>
          <w:rFonts w:ascii="Cambria" w:eastAsia="Arial Unicode MS" w:hAnsi="Cambria"/>
          <w:sz w:val="16"/>
          <w:szCs w:val="16"/>
          <w:lang w:val="es-ES"/>
        </w:rPr>
        <w:t>, Sentencia de 28 de mayo de 1985</w:t>
      </w:r>
      <w:r w:rsidRPr="00A25B85">
        <w:rPr>
          <w:rFonts w:ascii="Cambria" w:hAnsi="Cambria"/>
          <w:color w:val="auto"/>
          <w:sz w:val="16"/>
          <w:szCs w:val="16"/>
          <w:lang w:val="es-ES"/>
        </w:rPr>
        <w:t xml:space="preserve">, Ser. A </w:t>
      </w:r>
      <w:proofErr w:type="spellStart"/>
      <w:r w:rsidRPr="00A25B85">
        <w:rPr>
          <w:rFonts w:ascii="Cambria" w:hAnsi="Cambria"/>
          <w:color w:val="auto"/>
          <w:sz w:val="16"/>
          <w:szCs w:val="16"/>
          <w:lang w:val="es-ES"/>
        </w:rPr>
        <w:t>Nº</w:t>
      </w:r>
      <w:proofErr w:type="spellEnd"/>
      <w:r w:rsidRPr="00A25B85">
        <w:rPr>
          <w:rFonts w:ascii="Cambria" w:hAnsi="Cambria"/>
          <w:color w:val="auto"/>
          <w:sz w:val="16"/>
          <w:szCs w:val="16"/>
          <w:lang w:val="es-ES"/>
        </w:rPr>
        <w:t xml:space="preserve"> 94, párr. 79).</w:t>
      </w:r>
    </w:p>
  </w:footnote>
  <w:footnote w:id="138">
    <w:p w14:paraId="03122586" w14:textId="77777777" w:rsidR="00F005B1" w:rsidRPr="00A25B85" w:rsidRDefault="00F005B1" w:rsidP="00067F9E">
      <w:pPr>
        <w:shd w:val="clear" w:color="auto" w:fill="FFFFFF"/>
        <w:tabs>
          <w:tab w:val="num" w:pos="720"/>
          <w:tab w:val="left" w:pos="1440"/>
          <w:tab w:val="num" w:pos="2040"/>
        </w:tabs>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Artículo V:</w:t>
      </w:r>
      <w:r w:rsidRPr="00A25B85">
        <w:rPr>
          <w:rFonts w:ascii="Cambria" w:hAnsi="Cambria" w:cs="Tahoma"/>
          <w:color w:val="333333"/>
          <w:sz w:val="16"/>
          <w:szCs w:val="16"/>
          <w:lang w:val="es-ES"/>
        </w:rPr>
        <w:t xml:space="preserve"> “Toda persona tiene derecho a la protección de la Ley contra los ataques abusivos a su honra, a su reputación y a su vida privada y familiar”.</w:t>
      </w:r>
    </w:p>
  </w:footnote>
  <w:footnote w:id="139">
    <w:p w14:paraId="6A3646A4" w14:textId="77777777" w:rsidR="00F005B1" w:rsidRPr="00A25B85" w:rsidRDefault="00F005B1" w:rsidP="00067F9E">
      <w:pPr>
        <w:shd w:val="clear" w:color="auto" w:fill="FFFFFF"/>
        <w:tabs>
          <w:tab w:val="num" w:pos="720"/>
          <w:tab w:val="left" w:pos="1440"/>
          <w:tab w:val="num" w:pos="2040"/>
        </w:tabs>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Artículo VI: “</w:t>
      </w:r>
      <w:r w:rsidRPr="00A25B85">
        <w:rPr>
          <w:rFonts w:ascii="Cambria" w:hAnsi="Cambria" w:cs="Tahoma"/>
          <w:color w:val="333333"/>
          <w:sz w:val="16"/>
          <w:szCs w:val="16"/>
          <w:lang w:val="es-ES"/>
        </w:rPr>
        <w:t>Toda persona tiene derecho a constituir familia, elemento fundamental de la sociedad, y a recibir protección para ella”.</w:t>
      </w:r>
    </w:p>
  </w:footnote>
  <w:footnote w:id="140">
    <w:p w14:paraId="3F40EDED" w14:textId="77777777" w:rsidR="00F005B1" w:rsidRPr="00A25B85" w:rsidRDefault="00F005B1" w:rsidP="00067F9E">
      <w:pPr>
        <w:shd w:val="clear" w:color="auto" w:fill="FFFFFF"/>
        <w:tabs>
          <w:tab w:val="num" w:pos="720"/>
          <w:tab w:val="left" w:pos="1440"/>
          <w:tab w:val="num" w:pos="2040"/>
        </w:tabs>
        <w:jc w:val="both"/>
        <w:rPr>
          <w:rFonts w:ascii="Cambria" w:hAnsi="Cambria"/>
          <w:sz w:val="16"/>
          <w:szCs w:val="16"/>
          <w:lang w:val="es-ES"/>
        </w:rPr>
      </w:pPr>
      <w:r w:rsidRPr="00A25B85">
        <w:rPr>
          <w:rStyle w:val="FootnoteReference"/>
          <w:rFonts w:ascii="Cambria" w:hAnsi="Cambria"/>
          <w:sz w:val="16"/>
          <w:szCs w:val="16"/>
          <w:lang w:val="es-ES"/>
        </w:rPr>
        <w:footnoteRef/>
      </w:r>
      <w:r w:rsidRPr="00A25B85">
        <w:rPr>
          <w:rFonts w:ascii="Cambria" w:hAnsi="Cambria"/>
          <w:sz w:val="16"/>
          <w:szCs w:val="16"/>
          <w:lang w:val="es-ES"/>
        </w:rPr>
        <w:t xml:space="preserve"> Artículo VII: “</w:t>
      </w:r>
      <w:r w:rsidRPr="00A25B85">
        <w:rPr>
          <w:rFonts w:ascii="Cambria" w:hAnsi="Cambria" w:cs="Tahoma"/>
          <w:color w:val="333333"/>
          <w:sz w:val="16"/>
          <w:szCs w:val="16"/>
          <w:lang w:val="es-ES"/>
        </w:rPr>
        <w:t>Toda mujer en estado de gravidez o en época de lactancia, así como todo niño, tienen derecho a protección, cuidados y ayuda especiales”.</w:t>
      </w:r>
    </w:p>
  </w:footnote>
  <w:footnote w:id="141">
    <w:p w14:paraId="38F4809A"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w:t>
      </w:r>
      <w:r w:rsidRPr="00A25B85">
        <w:rPr>
          <w:rFonts w:ascii="Cambria" w:hAnsi="Cambria"/>
          <w:i/>
          <w:iCs/>
          <w:color w:val="auto"/>
          <w:sz w:val="16"/>
          <w:szCs w:val="16"/>
          <w:lang w:val="es-ES"/>
        </w:rPr>
        <w:t>Informe sobre la situación de los derechos humanos de los solicitantes de asilo en el marco del sistema canadiense de determinación de la condición de refugiado</w:t>
      </w:r>
      <w:r w:rsidRPr="00A25B85">
        <w:rPr>
          <w:rFonts w:ascii="Cambria" w:hAnsi="Cambria"/>
          <w:color w:val="auto"/>
          <w:sz w:val="16"/>
          <w:szCs w:val="16"/>
          <w:lang w:val="es-ES"/>
        </w:rPr>
        <w:t>. OEA/</w:t>
      </w:r>
      <w:proofErr w:type="spellStart"/>
      <w:r w:rsidRPr="00A25B85">
        <w:rPr>
          <w:rFonts w:ascii="Cambria" w:hAnsi="Cambria"/>
          <w:color w:val="auto"/>
          <w:sz w:val="16"/>
          <w:szCs w:val="16"/>
          <w:lang w:val="es-ES"/>
        </w:rPr>
        <w:t>Ser.L</w:t>
      </w:r>
      <w:proofErr w:type="spellEnd"/>
      <w:r w:rsidRPr="00A25B85">
        <w:rPr>
          <w:rFonts w:ascii="Cambria" w:hAnsi="Cambria"/>
          <w:color w:val="auto"/>
          <w:sz w:val="16"/>
          <w:szCs w:val="16"/>
          <w:lang w:val="es-ES"/>
        </w:rPr>
        <w:t xml:space="preserve">/V/II.106, Doc. 40 </w:t>
      </w:r>
      <w:proofErr w:type="spellStart"/>
      <w:r w:rsidRPr="00A25B85">
        <w:rPr>
          <w:rFonts w:ascii="Cambria" w:hAnsi="Cambria"/>
          <w:color w:val="auto"/>
          <w:sz w:val="16"/>
          <w:szCs w:val="16"/>
          <w:lang w:val="es-ES"/>
        </w:rPr>
        <w:t>rev.</w:t>
      </w:r>
      <w:proofErr w:type="spellEnd"/>
      <w:r w:rsidRPr="00A25B85">
        <w:rPr>
          <w:rFonts w:ascii="Cambria" w:hAnsi="Cambria"/>
          <w:color w:val="auto"/>
          <w:sz w:val="16"/>
          <w:szCs w:val="16"/>
          <w:lang w:val="es-ES"/>
        </w:rPr>
        <w:t xml:space="preserve"> 28 de febrero de 2000, párr. 166.</w:t>
      </w:r>
    </w:p>
  </w:footnote>
  <w:footnote w:id="142">
    <w:p w14:paraId="16F6762E" w14:textId="77777777" w:rsidR="00F005B1" w:rsidRPr="00A25B85" w:rsidRDefault="00F005B1" w:rsidP="00067F9E">
      <w:pPr>
        <w:pStyle w:val="FootnoteText"/>
        <w:jc w:val="both"/>
        <w:rPr>
          <w:rFonts w:ascii="Cambria" w:hAnsi="Cambria"/>
          <w:color w:val="auto"/>
          <w:sz w:val="16"/>
          <w:szCs w:val="16"/>
          <w:lang w:val="es-ES"/>
        </w:rPr>
      </w:pPr>
      <w:r w:rsidRPr="00A25B85">
        <w:rPr>
          <w:rStyle w:val="FootnoteReference"/>
          <w:rFonts w:ascii="Cambria" w:hAnsi="Cambria"/>
          <w:color w:val="auto"/>
          <w:sz w:val="16"/>
          <w:szCs w:val="16"/>
          <w:lang w:val="es-ES"/>
        </w:rPr>
        <w:footnoteRef/>
      </w:r>
      <w:r w:rsidRPr="00A25B85">
        <w:rPr>
          <w:rFonts w:ascii="Cambria" w:hAnsi="Cambria"/>
          <w:color w:val="auto"/>
          <w:sz w:val="16"/>
          <w:szCs w:val="16"/>
          <w:lang w:val="es-ES"/>
        </w:rPr>
        <w:t xml:space="preserve"> CIDH. Informe No. 81/10. Caso 12.562. Publicación. </w:t>
      </w:r>
      <w:r w:rsidRPr="00A25B85">
        <w:rPr>
          <w:rFonts w:ascii="Cambria" w:hAnsi="Cambria"/>
          <w:i/>
          <w:color w:val="auto"/>
          <w:sz w:val="16"/>
          <w:szCs w:val="16"/>
          <w:lang w:val="es-ES"/>
        </w:rPr>
        <w:t>Wayne Smith y otros. Estados Unidos</w:t>
      </w:r>
      <w:r w:rsidRPr="00A25B85">
        <w:rPr>
          <w:rFonts w:ascii="Cambria" w:hAnsi="Cambria"/>
          <w:color w:val="auto"/>
          <w:sz w:val="16"/>
          <w:szCs w:val="16"/>
          <w:lang w:val="es-ES"/>
        </w:rPr>
        <w:t>. 12 de julio de 2010, párr. 56.</w:t>
      </w:r>
    </w:p>
  </w:footnote>
  <w:footnote w:id="143">
    <w:p w14:paraId="506BF319" w14:textId="40545FCF" w:rsidR="00F005B1" w:rsidRPr="009A4875" w:rsidRDefault="00F005B1"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Entrevista telefónica del Instituto Caribeño de Derechos Humanos y Robert F. Kennedy Human </w:t>
      </w:r>
      <w:proofErr w:type="spellStart"/>
      <w:r w:rsidRPr="009A4875">
        <w:rPr>
          <w:rFonts w:ascii="Cambria" w:hAnsi="Cambria"/>
          <w:sz w:val="16"/>
          <w:szCs w:val="16"/>
          <w:lang w:val="es-US"/>
        </w:rPr>
        <w:t>Rights</w:t>
      </w:r>
      <w:proofErr w:type="spellEnd"/>
      <w:r w:rsidRPr="009A4875">
        <w:rPr>
          <w:rFonts w:ascii="Cambria" w:hAnsi="Cambria"/>
          <w:sz w:val="16"/>
          <w:szCs w:val="16"/>
          <w:lang w:val="es-US"/>
        </w:rPr>
        <w:t xml:space="preserve"> con Joey </w:t>
      </w:r>
      <w:proofErr w:type="spellStart"/>
      <w:r w:rsidRPr="009A4875">
        <w:rPr>
          <w:rFonts w:ascii="Cambria" w:hAnsi="Cambria"/>
          <w:sz w:val="16"/>
          <w:szCs w:val="16"/>
          <w:lang w:val="es-US"/>
        </w:rPr>
        <w:t>Cinque</w:t>
      </w:r>
      <w:proofErr w:type="spellEnd"/>
      <w:r w:rsidRPr="009A4875">
        <w:rPr>
          <w:rFonts w:ascii="Cambria" w:hAnsi="Cambria"/>
          <w:sz w:val="16"/>
          <w:szCs w:val="16"/>
          <w:lang w:val="es-US"/>
        </w:rPr>
        <w:t xml:space="preserve"> (5 de septiembre de 2019). Escrito de los peticionarios de 20 de julio de 2020.</w:t>
      </w:r>
    </w:p>
  </w:footnote>
  <w:footnote w:id="144">
    <w:p w14:paraId="0F6435B1" w14:textId="6058B206" w:rsidR="00F005B1" w:rsidRPr="009A4875" w:rsidRDefault="00F005B1"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Tanya Smith-Cartwright, </w:t>
      </w:r>
      <w:proofErr w:type="spellStart"/>
      <w:r w:rsidRPr="009A4875">
        <w:rPr>
          <w:rFonts w:ascii="Cambria" w:hAnsi="Cambria"/>
          <w:i/>
          <w:iCs/>
          <w:sz w:val="16"/>
          <w:szCs w:val="16"/>
          <w:lang w:val="es-US"/>
        </w:rPr>
        <w:t>Jamaican</w:t>
      </w:r>
      <w:proofErr w:type="spellEnd"/>
      <w:r w:rsidRPr="009A4875">
        <w:rPr>
          <w:rFonts w:ascii="Cambria" w:hAnsi="Cambria"/>
          <w:i/>
          <w:iCs/>
          <w:sz w:val="16"/>
          <w:szCs w:val="16"/>
          <w:lang w:val="es-US"/>
        </w:rPr>
        <w:t xml:space="preserve"> Man </w:t>
      </w:r>
      <w:proofErr w:type="spellStart"/>
      <w:r w:rsidRPr="009A4875">
        <w:rPr>
          <w:rFonts w:ascii="Cambria" w:hAnsi="Cambria"/>
          <w:i/>
          <w:iCs/>
          <w:sz w:val="16"/>
          <w:szCs w:val="16"/>
          <w:lang w:val="es-US"/>
        </w:rPr>
        <w:t>Wins</w:t>
      </w:r>
      <w:proofErr w:type="spellEnd"/>
      <w:r w:rsidRPr="009A4875">
        <w:rPr>
          <w:rFonts w:ascii="Cambria" w:hAnsi="Cambria"/>
          <w:i/>
          <w:iCs/>
          <w:sz w:val="16"/>
          <w:szCs w:val="16"/>
          <w:lang w:val="es-US"/>
        </w:rPr>
        <w:t xml:space="preserve"> New $60k </w:t>
      </w:r>
      <w:proofErr w:type="spellStart"/>
      <w:r w:rsidRPr="009A4875">
        <w:rPr>
          <w:rFonts w:ascii="Cambria" w:hAnsi="Cambria"/>
          <w:i/>
          <w:iCs/>
          <w:sz w:val="16"/>
          <w:szCs w:val="16"/>
          <w:lang w:val="es-US"/>
        </w:rPr>
        <w:t>Payout</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Over</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Detention</w:t>
      </w:r>
      <w:proofErr w:type="spellEnd"/>
      <w:r w:rsidRPr="009A4875">
        <w:rPr>
          <w:rFonts w:ascii="Cambria" w:hAnsi="Cambria"/>
          <w:i/>
          <w:iCs/>
          <w:sz w:val="16"/>
          <w:szCs w:val="16"/>
          <w:lang w:val="es-US"/>
        </w:rPr>
        <w:t>, THE TRIBUNE</w:t>
      </w:r>
      <w:r w:rsidRPr="009A4875">
        <w:rPr>
          <w:rFonts w:ascii="Cambria" w:hAnsi="Cambria"/>
          <w:sz w:val="16"/>
          <w:szCs w:val="16"/>
          <w:lang w:val="es-US"/>
        </w:rPr>
        <w:t>, (8 de junio de 2020), http://www.tribune242.com/news/2020/jun/08/jamaican-man-wins-new-60k-payout-over-detention/. Escrito de los peticionarios de 20 de julio de 2020.</w:t>
      </w:r>
    </w:p>
  </w:footnote>
  <w:footnote w:id="145">
    <w:p w14:paraId="1908EA7B" w14:textId="51D43462" w:rsidR="00F005B1" w:rsidRPr="009A4875" w:rsidRDefault="00F005B1"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w:t>
      </w:r>
      <w:r w:rsidRPr="009A4875">
        <w:rPr>
          <w:rFonts w:ascii="Cambria" w:hAnsi="Cambria"/>
          <w:i/>
          <w:iCs/>
          <w:sz w:val="16"/>
          <w:szCs w:val="16"/>
          <w:lang w:val="es-US"/>
        </w:rPr>
        <w:t xml:space="preserve">Sloan Smith, </w:t>
      </w:r>
      <w:proofErr w:type="spellStart"/>
      <w:r w:rsidRPr="009A4875">
        <w:rPr>
          <w:rFonts w:ascii="Cambria" w:hAnsi="Cambria"/>
          <w:i/>
          <w:iCs/>
          <w:sz w:val="16"/>
          <w:szCs w:val="16"/>
          <w:lang w:val="es-US"/>
        </w:rPr>
        <w:t>Stateless</w:t>
      </w:r>
      <w:proofErr w:type="spellEnd"/>
      <w:r w:rsidRPr="009A4875">
        <w:rPr>
          <w:rFonts w:ascii="Cambria" w:hAnsi="Cambria"/>
          <w:i/>
          <w:iCs/>
          <w:sz w:val="16"/>
          <w:szCs w:val="16"/>
          <w:lang w:val="es-US"/>
        </w:rPr>
        <w:t xml:space="preserve"> Man </w:t>
      </w:r>
      <w:proofErr w:type="spellStart"/>
      <w:r w:rsidRPr="009A4875">
        <w:rPr>
          <w:rFonts w:ascii="Cambria" w:hAnsi="Cambria"/>
          <w:i/>
          <w:iCs/>
          <w:sz w:val="16"/>
          <w:szCs w:val="16"/>
          <w:lang w:val="es-US"/>
        </w:rPr>
        <w:t>Sues</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Over</w:t>
      </w:r>
      <w:proofErr w:type="spellEnd"/>
      <w:r w:rsidRPr="009A4875">
        <w:rPr>
          <w:rFonts w:ascii="Cambria" w:hAnsi="Cambria"/>
          <w:i/>
          <w:iCs/>
          <w:sz w:val="16"/>
          <w:szCs w:val="16"/>
          <w:lang w:val="es-US"/>
        </w:rPr>
        <w:t xml:space="preserve"> Long </w:t>
      </w:r>
      <w:proofErr w:type="spellStart"/>
      <w:r w:rsidRPr="009A4875">
        <w:rPr>
          <w:rFonts w:ascii="Cambria" w:hAnsi="Cambria"/>
          <w:i/>
          <w:iCs/>
          <w:sz w:val="16"/>
          <w:szCs w:val="16"/>
          <w:lang w:val="es-US"/>
        </w:rPr>
        <w:t>Term</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Detention</w:t>
      </w:r>
      <w:proofErr w:type="spellEnd"/>
      <w:r w:rsidRPr="009A4875">
        <w:rPr>
          <w:rFonts w:ascii="Cambria" w:hAnsi="Cambria"/>
          <w:i/>
          <w:iCs/>
          <w:sz w:val="16"/>
          <w:szCs w:val="16"/>
          <w:lang w:val="es-US"/>
        </w:rPr>
        <w:t>, EYEWITNESS NEWS</w:t>
      </w:r>
      <w:r w:rsidRPr="009A4875">
        <w:rPr>
          <w:rFonts w:ascii="Cambria" w:hAnsi="Cambria"/>
          <w:sz w:val="16"/>
          <w:szCs w:val="16"/>
          <w:lang w:val="es-US"/>
        </w:rPr>
        <w:t xml:space="preserve"> (27 de febrero de 2020), https://ewnews.com/stateless-man-sues-over-long-term-detention.  Escrito de los peticionarios de 20 de julio de 2020.</w:t>
      </w:r>
    </w:p>
  </w:footnote>
  <w:footnote w:id="146">
    <w:p w14:paraId="40419C0D" w14:textId="19F6F2E4" w:rsidR="00F005B1" w:rsidRPr="009A4875" w:rsidRDefault="00F005B1"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La OIM pide al Gobierno que investigue las denuncias de abusos a migrantes, EYEWITNESS NEWS (18 de noviembre de 2019), https://ewnews.com/iom-calls-for-govt-to-investigate-migrant-abuse-claims. Escrito de los peticionarios de 20 de julio de 2020.</w:t>
      </w:r>
    </w:p>
  </w:footnote>
  <w:footnote w:id="147">
    <w:p w14:paraId="41B77C4B" w14:textId="1FF36CB1" w:rsidR="00F005B1" w:rsidRPr="005D4092" w:rsidRDefault="00F005B1" w:rsidP="005D4092">
      <w:pPr>
        <w:pStyle w:val="FootnoteText"/>
        <w:jc w:val="both"/>
        <w:rPr>
          <w:rFonts w:ascii="Cambria" w:hAnsi="Cambria"/>
          <w:sz w:val="16"/>
          <w:szCs w:val="16"/>
        </w:rPr>
      </w:pPr>
      <w:r w:rsidRPr="005D4092">
        <w:rPr>
          <w:rStyle w:val="FootnoteReference"/>
          <w:rFonts w:ascii="Cambria" w:hAnsi="Cambria"/>
          <w:sz w:val="16"/>
          <w:szCs w:val="16"/>
        </w:rPr>
        <w:footnoteRef/>
      </w:r>
      <w:r w:rsidRPr="009A4875">
        <w:rPr>
          <w:rFonts w:ascii="Cambria" w:hAnsi="Cambria"/>
          <w:sz w:val="16"/>
          <w:szCs w:val="16"/>
          <w:lang w:val="es-US"/>
        </w:rPr>
        <w:t xml:space="preserve"> Entrevista telefónica con </w:t>
      </w:r>
      <w:proofErr w:type="spellStart"/>
      <w:r w:rsidRPr="009A4875">
        <w:rPr>
          <w:rFonts w:ascii="Cambria" w:hAnsi="Cambria"/>
          <w:i/>
          <w:iCs/>
          <w:sz w:val="16"/>
          <w:szCs w:val="16"/>
          <w:lang w:val="es-US"/>
        </w:rPr>
        <w:t>Rights</w:t>
      </w:r>
      <w:proofErr w:type="spellEnd"/>
      <w:r w:rsidRPr="009A4875">
        <w:rPr>
          <w:rFonts w:ascii="Cambria" w:hAnsi="Cambria"/>
          <w:i/>
          <w:iCs/>
          <w:sz w:val="16"/>
          <w:szCs w:val="16"/>
          <w:lang w:val="es-US"/>
        </w:rPr>
        <w:t xml:space="preserve"> Bahamas</w:t>
      </w:r>
      <w:r w:rsidRPr="009A4875">
        <w:rPr>
          <w:rFonts w:ascii="Cambria" w:hAnsi="Cambria"/>
          <w:sz w:val="16"/>
          <w:szCs w:val="16"/>
          <w:lang w:val="es-US"/>
        </w:rPr>
        <w:t xml:space="preserve"> (16 de junio de 2020). </w:t>
      </w:r>
      <w:proofErr w:type="spellStart"/>
      <w:r w:rsidRPr="005D4092">
        <w:rPr>
          <w:rFonts w:ascii="Cambria" w:hAnsi="Cambria"/>
          <w:sz w:val="16"/>
          <w:szCs w:val="16"/>
        </w:rPr>
        <w:t>Escrito</w:t>
      </w:r>
      <w:proofErr w:type="spellEnd"/>
      <w:r w:rsidRPr="005D4092">
        <w:rPr>
          <w:rFonts w:ascii="Cambria" w:hAnsi="Cambria"/>
          <w:sz w:val="16"/>
          <w:szCs w:val="16"/>
        </w:rPr>
        <w:t xml:space="preserve"> de </w:t>
      </w:r>
      <w:proofErr w:type="spellStart"/>
      <w:r w:rsidRPr="005D4092">
        <w:rPr>
          <w:rFonts w:ascii="Cambria" w:hAnsi="Cambria"/>
          <w:sz w:val="16"/>
          <w:szCs w:val="16"/>
        </w:rPr>
        <w:t>los</w:t>
      </w:r>
      <w:proofErr w:type="spellEnd"/>
      <w:r w:rsidRPr="005D4092">
        <w:rPr>
          <w:rFonts w:ascii="Cambria" w:hAnsi="Cambria"/>
          <w:sz w:val="16"/>
          <w:szCs w:val="16"/>
        </w:rPr>
        <w:t xml:space="preserve"> </w:t>
      </w:r>
      <w:proofErr w:type="spellStart"/>
      <w:r w:rsidRPr="005D4092">
        <w:rPr>
          <w:rFonts w:ascii="Cambria" w:hAnsi="Cambria"/>
          <w:sz w:val="16"/>
          <w:szCs w:val="16"/>
        </w:rPr>
        <w:t>peticionarios</w:t>
      </w:r>
      <w:proofErr w:type="spellEnd"/>
      <w:r w:rsidRPr="005D4092">
        <w:rPr>
          <w:rFonts w:ascii="Cambria" w:hAnsi="Cambria"/>
          <w:sz w:val="16"/>
          <w:szCs w:val="16"/>
        </w:rPr>
        <w:t xml:space="preserve"> de 20 de </w:t>
      </w:r>
      <w:proofErr w:type="spellStart"/>
      <w:r w:rsidRPr="005D4092">
        <w:rPr>
          <w:rFonts w:ascii="Cambria" w:hAnsi="Cambria"/>
          <w:sz w:val="16"/>
          <w:szCs w:val="16"/>
        </w:rPr>
        <w:t>julio</w:t>
      </w:r>
      <w:proofErr w:type="spellEnd"/>
      <w:r w:rsidRPr="005D4092">
        <w:rPr>
          <w:rFonts w:ascii="Cambria" w:hAnsi="Cambria"/>
          <w:sz w:val="16"/>
          <w:szCs w:val="16"/>
        </w:rPr>
        <w:t xml:space="preserve"> de 2020.</w:t>
      </w:r>
    </w:p>
  </w:footnote>
  <w:footnote w:id="148">
    <w:p w14:paraId="76C359E3" w14:textId="1A4A7043" w:rsidR="00C918A9" w:rsidRPr="009A4875" w:rsidRDefault="00C918A9"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5D4092">
        <w:rPr>
          <w:rFonts w:ascii="Cambria" w:hAnsi="Cambria"/>
          <w:sz w:val="16"/>
          <w:szCs w:val="16"/>
        </w:rPr>
        <w:t xml:space="preserve"> </w:t>
      </w:r>
      <w:r w:rsidRPr="005D4092">
        <w:rPr>
          <w:rFonts w:ascii="Cambria" w:hAnsi="Cambria"/>
          <w:i/>
          <w:iCs/>
          <w:sz w:val="16"/>
          <w:szCs w:val="16"/>
        </w:rPr>
        <w:t>Contact Form for Immigration Complaints, THE GOV'T OF THE BAH., DEP'T OF IMMIGR</w:t>
      </w:r>
      <w:r w:rsidRPr="005D4092">
        <w:rPr>
          <w:rFonts w:ascii="Cambria" w:hAnsi="Cambria"/>
          <w:sz w:val="16"/>
          <w:szCs w:val="16"/>
        </w:rPr>
        <w:t xml:space="preserve">., https://www.immigration.gov.bs/contact-us/; </w:t>
      </w:r>
      <w:r w:rsidRPr="005D4092">
        <w:rPr>
          <w:rFonts w:ascii="Cambria" w:hAnsi="Cambria"/>
          <w:i/>
          <w:iCs/>
          <w:sz w:val="16"/>
          <w:szCs w:val="16"/>
        </w:rPr>
        <w:t>Information Brochure for Bahamas Immigration Department Public Hotline/Tipsters</w:t>
      </w:r>
      <w:r w:rsidRPr="005D4092">
        <w:rPr>
          <w:rFonts w:ascii="Cambria" w:hAnsi="Cambria"/>
          <w:sz w:val="16"/>
          <w:szCs w:val="16"/>
        </w:rPr>
        <w:t xml:space="preserve">, </w:t>
      </w:r>
      <w:r w:rsidRPr="005D4092">
        <w:rPr>
          <w:rFonts w:ascii="Cambria" w:hAnsi="Cambria"/>
          <w:i/>
          <w:iCs/>
          <w:sz w:val="16"/>
          <w:szCs w:val="16"/>
        </w:rPr>
        <w:t>THE GOV'T OF THE BAH., DEP'T OF IMMIGR.,</w:t>
      </w:r>
      <w:r w:rsidRPr="005D4092">
        <w:rPr>
          <w:rFonts w:ascii="Cambria" w:hAnsi="Cambria"/>
          <w:sz w:val="16"/>
          <w:szCs w:val="16"/>
        </w:rPr>
        <w:t xml:space="preserve"> http://www.bahamas.gov.bs/wps/wcm/connect/3aeba1b8-49f6-49a1-9ba2- 1d9e63dff340/</w:t>
      </w:r>
      <w:proofErr w:type="spellStart"/>
      <w:r w:rsidRPr="005D4092">
        <w:rPr>
          <w:rFonts w:ascii="Cambria" w:hAnsi="Cambria"/>
          <w:sz w:val="16"/>
          <w:szCs w:val="16"/>
        </w:rPr>
        <w:t>Hotline+Brochure.pdf?MOD</w:t>
      </w:r>
      <w:proofErr w:type="spellEnd"/>
      <w:r w:rsidRPr="005D4092">
        <w:rPr>
          <w:rFonts w:ascii="Cambria" w:hAnsi="Cambria"/>
          <w:sz w:val="16"/>
          <w:szCs w:val="16"/>
        </w:rPr>
        <w:t xml:space="preserve">=AJPERES. </w:t>
      </w:r>
      <w:r w:rsidRPr="009A4875">
        <w:rPr>
          <w:rFonts w:ascii="Cambria" w:hAnsi="Cambria"/>
          <w:sz w:val="16"/>
          <w:szCs w:val="16"/>
          <w:lang w:val="es-US"/>
        </w:rPr>
        <w:t>Escrito de los peticionarios de 20 de julio de 2020.</w:t>
      </w:r>
    </w:p>
  </w:footnote>
  <w:footnote w:id="149">
    <w:p w14:paraId="759A749A" w14:textId="3A59A00E" w:rsidR="00C918A9" w:rsidRPr="009A4875" w:rsidRDefault="00C918A9"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Escrito de </w:t>
      </w:r>
      <w:r w:rsidRPr="009A4875">
        <w:rPr>
          <w:rFonts w:ascii="Cambria" w:hAnsi="Cambria"/>
          <w:i/>
          <w:iCs/>
          <w:sz w:val="16"/>
          <w:szCs w:val="16"/>
          <w:lang w:val="es-US"/>
        </w:rPr>
        <w:t xml:space="preserve">RFK </w:t>
      </w:r>
      <w:proofErr w:type="spellStart"/>
      <w:r w:rsidRPr="009A4875">
        <w:rPr>
          <w:rFonts w:ascii="Cambria" w:hAnsi="Cambria"/>
          <w:i/>
          <w:iCs/>
          <w:sz w:val="16"/>
          <w:szCs w:val="16"/>
          <w:lang w:val="es-US"/>
        </w:rPr>
        <w:t>Rights</w:t>
      </w:r>
      <w:proofErr w:type="spellEnd"/>
      <w:r w:rsidRPr="009A4875">
        <w:rPr>
          <w:rFonts w:ascii="Cambria" w:hAnsi="Cambria"/>
          <w:sz w:val="16"/>
          <w:szCs w:val="16"/>
          <w:lang w:val="es-US"/>
        </w:rPr>
        <w:t xml:space="preserve"> y </w:t>
      </w:r>
      <w:proofErr w:type="spellStart"/>
      <w:r w:rsidRPr="009A4875">
        <w:rPr>
          <w:rFonts w:ascii="Cambria" w:hAnsi="Cambria"/>
          <w:i/>
          <w:iCs/>
          <w:sz w:val="16"/>
          <w:szCs w:val="16"/>
          <w:lang w:val="es-US"/>
        </w:rPr>
        <w:t>The</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Caribbean</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Institute</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for</w:t>
      </w:r>
      <w:proofErr w:type="spellEnd"/>
      <w:r w:rsidRPr="009A4875">
        <w:rPr>
          <w:rFonts w:ascii="Cambria" w:hAnsi="Cambria"/>
          <w:i/>
          <w:iCs/>
          <w:sz w:val="16"/>
          <w:szCs w:val="16"/>
          <w:lang w:val="es-US"/>
        </w:rPr>
        <w:t xml:space="preserve"> Human </w:t>
      </w:r>
      <w:proofErr w:type="spellStart"/>
      <w:r w:rsidRPr="009A4875">
        <w:rPr>
          <w:rFonts w:ascii="Cambria" w:hAnsi="Cambria"/>
          <w:i/>
          <w:iCs/>
          <w:sz w:val="16"/>
          <w:szCs w:val="16"/>
          <w:lang w:val="es-US"/>
        </w:rPr>
        <w:t>Rights</w:t>
      </w:r>
      <w:proofErr w:type="spellEnd"/>
      <w:r w:rsidRPr="009A4875">
        <w:rPr>
          <w:rFonts w:ascii="Cambria" w:hAnsi="Cambria"/>
          <w:sz w:val="16"/>
          <w:szCs w:val="16"/>
          <w:lang w:val="es-US"/>
        </w:rPr>
        <w:t xml:space="preserve"> a la CIDH, </w:t>
      </w:r>
      <w:proofErr w:type="spellStart"/>
      <w:r w:rsidRPr="009A4875">
        <w:rPr>
          <w:rFonts w:ascii="Cambria" w:hAnsi="Cambria"/>
          <w:sz w:val="16"/>
          <w:szCs w:val="16"/>
          <w:lang w:val="es-US"/>
        </w:rPr>
        <w:t>Updates</w:t>
      </w:r>
      <w:proofErr w:type="spellEnd"/>
      <w:r w:rsidRPr="009A4875">
        <w:rPr>
          <w:rFonts w:ascii="Cambria" w:hAnsi="Cambria"/>
          <w:sz w:val="16"/>
          <w:szCs w:val="16"/>
          <w:lang w:val="es-US"/>
        </w:rPr>
        <w:t xml:space="preserve"> </w:t>
      </w:r>
      <w:proofErr w:type="spellStart"/>
      <w:r w:rsidRPr="009A4875">
        <w:rPr>
          <w:rFonts w:ascii="Cambria" w:hAnsi="Cambria"/>
          <w:sz w:val="16"/>
          <w:szCs w:val="16"/>
          <w:lang w:val="es-US"/>
        </w:rPr>
        <w:t>on</w:t>
      </w:r>
      <w:proofErr w:type="spellEnd"/>
      <w:r w:rsidRPr="009A4875">
        <w:rPr>
          <w:rFonts w:ascii="Cambria" w:hAnsi="Cambria"/>
          <w:sz w:val="16"/>
          <w:szCs w:val="16"/>
          <w:lang w:val="es-US"/>
        </w:rPr>
        <w:t xml:space="preserve"> PM 535-14, </w:t>
      </w:r>
      <w:proofErr w:type="spellStart"/>
      <w:r w:rsidRPr="009A4875">
        <w:rPr>
          <w:rFonts w:ascii="Cambria" w:hAnsi="Cambria"/>
          <w:i/>
          <w:iCs/>
          <w:sz w:val="16"/>
          <w:szCs w:val="16"/>
          <w:lang w:val="es-US"/>
        </w:rPr>
        <w:t>Persons</w:t>
      </w:r>
      <w:proofErr w:type="spellEnd"/>
      <w:r w:rsidRPr="009A4875">
        <w:rPr>
          <w:rFonts w:ascii="Cambria" w:hAnsi="Cambria"/>
          <w:i/>
          <w:iCs/>
          <w:sz w:val="16"/>
          <w:szCs w:val="16"/>
          <w:lang w:val="es-US"/>
        </w:rPr>
        <w:t xml:space="preserve"> in </w:t>
      </w:r>
      <w:proofErr w:type="spellStart"/>
      <w:r w:rsidRPr="009A4875">
        <w:rPr>
          <w:rFonts w:ascii="Cambria" w:hAnsi="Cambria"/>
          <w:i/>
          <w:iCs/>
          <w:sz w:val="16"/>
          <w:szCs w:val="16"/>
          <w:lang w:val="es-US"/>
        </w:rPr>
        <w:t>immigration</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detention</w:t>
      </w:r>
      <w:proofErr w:type="spellEnd"/>
      <w:r w:rsidRPr="009A4875">
        <w:rPr>
          <w:rFonts w:ascii="Cambria" w:hAnsi="Cambria"/>
          <w:i/>
          <w:iCs/>
          <w:sz w:val="16"/>
          <w:szCs w:val="16"/>
          <w:lang w:val="es-US"/>
        </w:rPr>
        <w:t xml:space="preserve"> at </w:t>
      </w:r>
      <w:proofErr w:type="spellStart"/>
      <w:r w:rsidRPr="009A4875">
        <w:rPr>
          <w:rFonts w:ascii="Cambria" w:hAnsi="Cambria"/>
          <w:i/>
          <w:iCs/>
          <w:sz w:val="16"/>
          <w:szCs w:val="16"/>
          <w:lang w:val="es-US"/>
        </w:rPr>
        <w:t>Carmichael</w:t>
      </w:r>
      <w:proofErr w:type="spellEnd"/>
      <w:r w:rsidRPr="009A4875">
        <w:rPr>
          <w:rFonts w:ascii="Cambria" w:hAnsi="Cambria"/>
          <w:i/>
          <w:iCs/>
          <w:sz w:val="16"/>
          <w:szCs w:val="16"/>
          <w:lang w:val="es-US"/>
        </w:rPr>
        <w:t xml:space="preserve"> Road </w:t>
      </w:r>
      <w:proofErr w:type="spellStart"/>
      <w:r w:rsidRPr="009A4875">
        <w:rPr>
          <w:rFonts w:ascii="Cambria" w:hAnsi="Cambria"/>
          <w:i/>
          <w:iCs/>
          <w:sz w:val="16"/>
          <w:szCs w:val="16"/>
          <w:lang w:val="es-US"/>
        </w:rPr>
        <w:t>Detention</w:t>
      </w:r>
      <w:proofErr w:type="spellEnd"/>
      <w:r w:rsidRPr="009A4875">
        <w:rPr>
          <w:rFonts w:ascii="Cambria" w:hAnsi="Cambria"/>
          <w:i/>
          <w:iCs/>
          <w:sz w:val="16"/>
          <w:szCs w:val="16"/>
          <w:lang w:val="es-US"/>
        </w:rPr>
        <w:t xml:space="preserve"> Center, </w:t>
      </w:r>
      <w:proofErr w:type="spellStart"/>
      <w:r w:rsidRPr="009A4875">
        <w:rPr>
          <w:rFonts w:ascii="Cambria" w:hAnsi="Cambria"/>
          <w:i/>
          <w:iCs/>
          <w:sz w:val="16"/>
          <w:szCs w:val="16"/>
          <w:lang w:val="es-US"/>
        </w:rPr>
        <w:t>The</w:t>
      </w:r>
      <w:proofErr w:type="spellEnd"/>
      <w:r w:rsidRPr="009A4875">
        <w:rPr>
          <w:rFonts w:ascii="Cambria" w:hAnsi="Cambria"/>
          <w:i/>
          <w:iCs/>
          <w:sz w:val="16"/>
          <w:szCs w:val="16"/>
          <w:lang w:val="es-US"/>
        </w:rPr>
        <w:t xml:space="preserve"> Bahamas, </w:t>
      </w:r>
      <w:r w:rsidRPr="009A4875">
        <w:rPr>
          <w:rFonts w:ascii="Cambria" w:hAnsi="Cambria"/>
          <w:sz w:val="16"/>
          <w:szCs w:val="16"/>
          <w:lang w:val="es-US"/>
        </w:rPr>
        <w:t>(manuscrito no publicado) (24 de septiembre de 2019). Escrito de los peticionarios de 20 de julio de 2020.</w:t>
      </w:r>
    </w:p>
  </w:footnote>
  <w:footnote w:id="150">
    <w:p w14:paraId="5D298558" w14:textId="640BCDC4" w:rsidR="00C918A9" w:rsidRPr="009A4875" w:rsidRDefault="00C918A9"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Comunicado de prensa, OIM, U.N. </w:t>
      </w:r>
      <w:proofErr w:type="spellStart"/>
      <w:r w:rsidRPr="009A4875">
        <w:rPr>
          <w:rFonts w:ascii="Cambria" w:hAnsi="Cambria"/>
          <w:sz w:val="16"/>
          <w:szCs w:val="16"/>
          <w:lang w:val="es-US"/>
        </w:rPr>
        <w:t>Migration</w:t>
      </w:r>
      <w:proofErr w:type="spellEnd"/>
      <w:r w:rsidRPr="009A4875">
        <w:rPr>
          <w:rFonts w:ascii="Cambria" w:hAnsi="Cambria"/>
          <w:sz w:val="16"/>
          <w:szCs w:val="16"/>
          <w:lang w:val="es-US"/>
        </w:rPr>
        <w:t xml:space="preserve">, </w:t>
      </w:r>
      <w:r w:rsidRPr="009A4875">
        <w:rPr>
          <w:rFonts w:ascii="Cambria" w:hAnsi="Cambria"/>
          <w:i/>
          <w:iCs/>
          <w:sz w:val="16"/>
          <w:szCs w:val="16"/>
          <w:lang w:val="es-US"/>
        </w:rPr>
        <w:t xml:space="preserve">IOM </w:t>
      </w:r>
      <w:proofErr w:type="spellStart"/>
      <w:r w:rsidRPr="009A4875">
        <w:rPr>
          <w:rFonts w:ascii="Cambria" w:hAnsi="Cambria"/>
          <w:i/>
          <w:iCs/>
          <w:sz w:val="16"/>
          <w:szCs w:val="16"/>
          <w:lang w:val="es-US"/>
        </w:rPr>
        <w:t>Tracks</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Repatriations</w:t>
      </w:r>
      <w:proofErr w:type="spellEnd"/>
      <w:r w:rsidRPr="009A4875">
        <w:rPr>
          <w:rFonts w:ascii="Cambria" w:hAnsi="Cambria"/>
          <w:i/>
          <w:iCs/>
          <w:sz w:val="16"/>
          <w:szCs w:val="16"/>
          <w:lang w:val="es-US"/>
        </w:rPr>
        <w:t xml:space="preserve"> of </w:t>
      </w:r>
      <w:proofErr w:type="spellStart"/>
      <w:r w:rsidRPr="009A4875">
        <w:rPr>
          <w:rFonts w:ascii="Cambria" w:hAnsi="Cambria"/>
          <w:i/>
          <w:iCs/>
          <w:sz w:val="16"/>
          <w:szCs w:val="16"/>
          <w:lang w:val="es-US"/>
        </w:rPr>
        <w:t>Haitian</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Migrants</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from</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The</w:t>
      </w:r>
      <w:proofErr w:type="spellEnd"/>
      <w:r w:rsidRPr="009A4875">
        <w:rPr>
          <w:rFonts w:ascii="Cambria" w:hAnsi="Cambria"/>
          <w:i/>
          <w:iCs/>
          <w:sz w:val="16"/>
          <w:szCs w:val="16"/>
          <w:lang w:val="es-US"/>
        </w:rPr>
        <w:t xml:space="preserve"> Bahamas</w:t>
      </w:r>
      <w:r w:rsidRPr="009A4875">
        <w:rPr>
          <w:rFonts w:ascii="Cambria" w:hAnsi="Cambria"/>
          <w:sz w:val="16"/>
          <w:szCs w:val="16"/>
          <w:lang w:val="es-US"/>
        </w:rPr>
        <w:t>, https://www.iom.int/news/iom-tracks-repatriations-haitian-migrants-bahamas. Escrito de los peticionarios de 20 de julio de 2020.</w:t>
      </w:r>
    </w:p>
  </w:footnote>
  <w:footnote w:id="151">
    <w:p w14:paraId="02BB4344" w14:textId="3AC0FD4A" w:rsidR="00C918A9" w:rsidRPr="009A4875" w:rsidRDefault="00C918A9"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Bert Wilkinson, Bahamas continuará deportando ilegales, AMSTERDAM NEWS (24 de octubre de 2019), http://amsterdamnews.com/news/2019/oct/24/bahamas-continue-deporting-illegals/; </w:t>
      </w:r>
      <w:proofErr w:type="spellStart"/>
      <w:r w:rsidRPr="009A4875">
        <w:rPr>
          <w:rFonts w:ascii="Cambria" w:hAnsi="Cambria"/>
          <w:sz w:val="16"/>
          <w:szCs w:val="16"/>
          <w:lang w:val="es-US"/>
        </w:rPr>
        <w:t>Bertin</w:t>
      </w:r>
      <w:proofErr w:type="spellEnd"/>
      <w:r w:rsidRPr="009A4875">
        <w:rPr>
          <w:rFonts w:ascii="Cambria" w:hAnsi="Cambria"/>
          <w:sz w:val="16"/>
          <w:szCs w:val="16"/>
          <w:lang w:val="es-US"/>
        </w:rPr>
        <w:t xml:space="preserve"> M. </w:t>
      </w:r>
      <w:proofErr w:type="spellStart"/>
      <w:r w:rsidRPr="009A4875">
        <w:rPr>
          <w:rFonts w:ascii="Cambria" w:hAnsi="Cambria"/>
          <w:sz w:val="16"/>
          <w:szCs w:val="16"/>
          <w:lang w:val="es-US"/>
        </w:rPr>
        <w:t>Loouis</w:t>
      </w:r>
      <w:proofErr w:type="spellEnd"/>
      <w:r w:rsidRPr="009A4875">
        <w:rPr>
          <w:rFonts w:ascii="Cambria" w:hAnsi="Cambria"/>
          <w:sz w:val="16"/>
          <w:szCs w:val="16"/>
          <w:lang w:val="es-US"/>
        </w:rPr>
        <w:t xml:space="preserve">, Jr., </w:t>
      </w:r>
      <w:proofErr w:type="spellStart"/>
      <w:r w:rsidRPr="009A4875">
        <w:rPr>
          <w:rFonts w:ascii="Cambria" w:hAnsi="Cambria"/>
          <w:i/>
          <w:iCs/>
          <w:sz w:val="16"/>
          <w:szCs w:val="16"/>
          <w:lang w:val="es-US"/>
        </w:rPr>
        <w:t>Haitian</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Migrants</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Face</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Deportation</w:t>
      </w:r>
      <w:proofErr w:type="spellEnd"/>
      <w:r w:rsidRPr="009A4875">
        <w:rPr>
          <w:rFonts w:ascii="Cambria" w:hAnsi="Cambria"/>
          <w:i/>
          <w:iCs/>
          <w:sz w:val="16"/>
          <w:szCs w:val="16"/>
          <w:lang w:val="es-US"/>
        </w:rPr>
        <w:t xml:space="preserve"> and </w:t>
      </w:r>
      <w:proofErr w:type="spellStart"/>
      <w:r w:rsidRPr="009A4875">
        <w:rPr>
          <w:rFonts w:ascii="Cambria" w:hAnsi="Cambria"/>
          <w:i/>
          <w:iCs/>
          <w:sz w:val="16"/>
          <w:szCs w:val="16"/>
          <w:lang w:val="es-US"/>
        </w:rPr>
        <w:t>Stigma</w:t>
      </w:r>
      <w:proofErr w:type="spellEnd"/>
      <w:r w:rsidRPr="009A4875">
        <w:rPr>
          <w:rFonts w:ascii="Cambria" w:hAnsi="Cambria"/>
          <w:i/>
          <w:iCs/>
          <w:sz w:val="16"/>
          <w:szCs w:val="16"/>
          <w:lang w:val="es-US"/>
        </w:rPr>
        <w:t xml:space="preserve"> in </w:t>
      </w:r>
      <w:proofErr w:type="spellStart"/>
      <w:r w:rsidRPr="009A4875">
        <w:rPr>
          <w:rFonts w:ascii="Cambria" w:hAnsi="Cambria"/>
          <w:i/>
          <w:iCs/>
          <w:sz w:val="16"/>
          <w:szCs w:val="16"/>
          <w:lang w:val="es-US"/>
        </w:rPr>
        <w:t>Hurricane-Ravaged</w:t>
      </w:r>
      <w:proofErr w:type="spellEnd"/>
      <w:r w:rsidRPr="009A4875">
        <w:rPr>
          <w:rFonts w:ascii="Cambria" w:hAnsi="Cambria"/>
          <w:i/>
          <w:iCs/>
          <w:sz w:val="16"/>
          <w:szCs w:val="16"/>
          <w:lang w:val="es-US"/>
        </w:rPr>
        <w:t xml:space="preserve"> Bahamas, THE CONVERSATION</w:t>
      </w:r>
      <w:r w:rsidRPr="009A4875">
        <w:rPr>
          <w:rFonts w:ascii="Cambria" w:hAnsi="Cambria"/>
          <w:sz w:val="16"/>
          <w:szCs w:val="16"/>
          <w:lang w:val="es-US"/>
        </w:rPr>
        <w:t xml:space="preserve"> (3 de diciembre de 2019), https://theconversation.com/haitian-migrants-face-deportation-and-stigma-in-hurricane-ravaged- bahamas-127008. Escrito de los peticionarios de 20 de julio de 2020.</w:t>
      </w:r>
    </w:p>
  </w:footnote>
  <w:footnote w:id="152">
    <w:p w14:paraId="5E886E5D" w14:textId="2554E88F" w:rsidR="00C918A9" w:rsidRPr="009A4875" w:rsidRDefault="00C918A9"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w:t>
      </w:r>
      <w:proofErr w:type="spellStart"/>
      <w:r w:rsidRPr="009A4875">
        <w:rPr>
          <w:rFonts w:ascii="Cambria" w:hAnsi="Cambria"/>
          <w:sz w:val="16"/>
          <w:szCs w:val="16"/>
          <w:lang w:val="es-US"/>
        </w:rPr>
        <w:t>Royston</w:t>
      </w:r>
      <w:proofErr w:type="spellEnd"/>
      <w:r w:rsidRPr="009A4875">
        <w:rPr>
          <w:rFonts w:ascii="Cambria" w:hAnsi="Cambria"/>
          <w:sz w:val="16"/>
          <w:szCs w:val="16"/>
          <w:lang w:val="es-US"/>
        </w:rPr>
        <w:t xml:space="preserve"> Jones Jr., </w:t>
      </w:r>
      <w:proofErr w:type="spellStart"/>
      <w:r w:rsidRPr="009A4875">
        <w:rPr>
          <w:rFonts w:ascii="Cambria" w:hAnsi="Cambria"/>
          <w:sz w:val="16"/>
          <w:szCs w:val="16"/>
          <w:lang w:val="es-US"/>
        </w:rPr>
        <w:t>Despite</w:t>
      </w:r>
      <w:proofErr w:type="spellEnd"/>
      <w:r w:rsidRPr="009A4875">
        <w:rPr>
          <w:rFonts w:ascii="Cambria" w:hAnsi="Cambria"/>
          <w:sz w:val="16"/>
          <w:szCs w:val="16"/>
          <w:lang w:val="es-US"/>
        </w:rPr>
        <w:t xml:space="preserve"> </w:t>
      </w:r>
      <w:proofErr w:type="spellStart"/>
      <w:r w:rsidRPr="009A4875">
        <w:rPr>
          <w:rFonts w:ascii="Cambria" w:hAnsi="Cambria"/>
          <w:sz w:val="16"/>
          <w:szCs w:val="16"/>
          <w:lang w:val="es-US"/>
        </w:rPr>
        <w:t>Cuts</w:t>
      </w:r>
      <w:proofErr w:type="spellEnd"/>
      <w:r w:rsidRPr="009A4875">
        <w:rPr>
          <w:rFonts w:ascii="Cambria" w:hAnsi="Cambria"/>
          <w:sz w:val="16"/>
          <w:szCs w:val="16"/>
          <w:lang w:val="es-US"/>
        </w:rPr>
        <w:t xml:space="preserve">, </w:t>
      </w:r>
      <w:proofErr w:type="spellStart"/>
      <w:r w:rsidRPr="009A4875">
        <w:rPr>
          <w:rFonts w:ascii="Cambria" w:hAnsi="Cambria"/>
          <w:i/>
          <w:iCs/>
          <w:sz w:val="16"/>
          <w:szCs w:val="16"/>
          <w:lang w:val="es-US"/>
        </w:rPr>
        <w:t>Promotions</w:t>
      </w:r>
      <w:proofErr w:type="spellEnd"/>
      <w:r w:rsidRPr="009A4875">
        <w:rPr>
          <w:rFonts w:ascii="Cambria" w:hAnsi="Cambria"/>
          <w:i/>
          <w:iCs/>
          <w:sz w:val="16"/>
          <w:szCs w:val="16"/>
          <w:lang w:val="es-US"/>
        </w:rPr>
        <w:t xml:space="preserve"> and New </w:t>
      </w:r>
      <w:proofErr w:type="spellStart"/>
      <w:r w:rsidRPr="009A4875">
        <w:rPr>
          <w:rFonts w:ascii="Cambria" w:hAnsi="Cambria"/>
          <w:i/>
          <w:iCs/>
          <w:sz w:val="16"/>
          <w:szCs w:val="16"/>
          <w:lang w:val="es-US"/>
        </w:rPr>
        <w:t>Hires</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Planned</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for</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Immigration</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Dept</w:t>
      </w:r>
      <w:proofErr w:type="spellEnd"/>
      <w:r w:rsidRPr="009A4875">
        <w:rPr>
          <w:rFonts w:ascii="Cambria" w:hAnsi="Cambria"/>
          <w:i/>
          <w:iCs/>
          <w:sz w:val="16"/>
          <w:szCs w:val="16"/>
          <w:lang w:val="es-US"/>
        </w:rPr>
        <w:t>., EYEWITNESS NEWS</w:t>
      </w:r>
      <w:r w:rsidRPr="009A4875">
        <w:rPr>
          <w:rFonts w:ascii="Cambria" w:hAnsi="Cambria"/>
          <w:sz w:val="16"/>
          <w:szCs w:val="16"/>
          <w:lang w:val="es-US"/>
        </w:rPr>
        <w:t xml:space="preserve"> (16 de junio de 2020), https://ewnews.com/despite-cuts-promotions-and-new-hires-planned- </w:t>
      </w:r>
      <w:proofErr w:type="spellStart"/>
      <w:r w:rsidRPr="009A4875">
        <w:rPr>
          <w:rFonts w:ascii="Cambria" w:hAnsi="Cambria"/>
          <w:sz w:val="16"/>
          <w:szCs w:val="16"/>
          <w:lang w:val="es-US"/>
        </w:rPr>
        <w:t>for-immigration-dept</w:t>
      </w:r>
      <w:proofErr w:type="spellEnd"/>
      <w:r w:rsidRPr="009A4875">
        <w:rPr>
          <w:rFonts w:ascii="Cambria" w:hAnsi="Cambria"/>
          <w:sz w:val="16"/>
          <w:szCs w:val="16"/>
          <w:lang w:val="es-US"/>
        </w:rPr>
        <w:t>. Escrito de los peticionarios de 20 de julio de 2020.</w:t>
      </w:r>
    </w:p>
  </w:footnote>
  <w:footnote w:id="153">
    <w:p w14:paraId="201E97F8" w14:textId="62D2D0B9" w:rsidR="00C918A9" w:rsidRPr="009A4875" w:rsidRDefault="00C918A9"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Programa de formación continua para funcionarios de inmigración en la frontera, GOBIERNO DE LA</w:t>
      </w:r>
      <w:r w:rsidR="005D4092" w:rsidRPr="009A4875">
        <w:rPr>
          <w:rFonts w:ascii="Cambria" w:hAnsi="Cambria"/>
          <w:sz w:val="16"/>
          <w:szCs w:val="16"/>
          <w:lang w:val="es-US"/>
        </w:rPr>
        <w:t>S</w:t>
      </w:r>
      <w:r w:rsidRPr="009A4875">
        <w:rPr>
          <w:rFonts w:ascii="Cambria" w:hAnsi="Cambria"/>
          <w:sz w:val="16"/>
          <w:szCs w:val="16"/>
          <w:lang w:val="es-US"/>
        </w:rPr>
        <w:t xml:space="preserve"> BAH. </w:t>
      </w:r>
      <w:r w:rsidRPr="009A4875">
        <w:rPr>
          <w:rFonts w:ascii="Cambria" w:hAnsi="Cambria"/>
          <w:i/>
          <w:iCs/>
          <w:sz w:val="16"/>
          <w:szCs w:val="16"/>
          <w:lang w:val="es-US"/>
        </w:rPr>
        <w:t>DEP'T OF IMMIGR</w:t>
      </w:r>
      <w:r w:rsidRPr="009A4875">
        <w:rPr>
          <w:rFonts w:ascii="Cambria" w:hAnsi="Cambria"/>
          <w:sz w:val="16"/>
          <w:szCs w:val="16"/>
          <w:lang w:val="es-US"/>
        </w:rPr>
        <w:t xml:space="preserve">., https://www.immigration.gov.bs/continued-training-education-for-immigration-officers-at- </w:t>
      </w:r>
      <w:proofErr w:type="spellStart"/>
      <w:r w:rsidRPr="009A4875">
        <w:rPr>
          <w:rFonts w:ascii="Cambria" w:hAnsi="Cambria"/>
          <w:sz w:val="16"/>
          <w:szCs w:val="16"/>
          <w:lang w:val="es-US"/>
        </w:rPr>
        <w:t>the-border-program</w:t>
      </w:r>
      <w:proofErr w:type="spellEnd"/>
      <w:r w:rsidRPr="009A4875">
        <w:rPr>
          <w:rFonts w:ascii="Cambria" w:hAnsi="Cambria"/>
          <w:sz w:val="16"/>
          <w:szCs w:val="16"/>
          <w:lang w:val="es-US"/>
        </w:rPr>
        <w:t>/ (última visita el 8 de junio de 2020). Escrito de los peticionarios de 20 de julio de 2020.</w:t>
      </w:r>
    </w:p>
  </w:footnote>
  <w:footnote w:id="154">
    <w:p w14:paraId="2D37D154" w14:textId="4C9E3B2C" w:rsidR="00C918A9" w:rsidRPr="009A4875" w:rsidRDefault="00C918A9"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Programa de formación continua para funcionarios de inmigración en la frontera, GOBIERNO DE LA</w:t>
      </w:r>
      <w:r w:rsidR="005D4092" w:rsidRPr="009A4875">
        <w:rPr>
          <w:rFonts w:ascii="Cambria" w:hAnsi="Cambria"/>
          <w:sz w:val="16"/>
          <w:szCs w:val="16"/>
          <w:lang w:val="es-US"/>
        </w:rPr>
        <w:t>S</w:t>
      </w:r>
      <w:r w:rsidRPr="009A4875">
        <w:rPr>
          <w:rFonts w:ascii="Cambria" w:hAnsi="Cambria"/>
          <w:sz w:val="16"/>
          <w:szCs w:val="16"/>
          <w:lang w:val="es-US"/>
        </w:rPr>
        <w:t xml:space="preserve"> BAH. </w:t>
      </w:r>
      <w:r w:rsidRPr="009A4875">
        <w:rPr>
          <w:rFonts w:ascii="Cambria" w:hAnsi="Cambria"/>
          <w:i/>
          <w:iCs/>
          <w:sz w:val="16"/>
          <w:szCs w:val="16"/>
          <w:lang w:val="es-US"/>
        </w:rPr>
        <w:t>DEP'T OF IMMIGR</w:t>
      </w:r>
      <w:r w:rsidRPr="009A4875">
        <w:rPr>
          <w:rFonts w:ascii="Cambria" w:hAnsi="Cambria"/>
          <w:sz w:val="16"/>
          <w:szCs w:val="16"/>
          <w:lang w:val="es-US"/>
        </w:rPr>
        <w:t xml:space="preserve">., https://www.immigration.gov.bs/continued-training-education-for-immigration-officers-at- </w:t>
      </w:r>
      <w:proofErr w:type="spellStart"/>
      <w:r w:rsidRPr="009A4875">
        <w:rPr>
          <w:rFonts w:ascii="Cambria" w:hAnsi="Cambria"/>
          <w:sz w:val="16"/>
          <w:szCs w:val="16"/>
          <w:lang w:val="es-US"/>
        </w:rPr>
        <w:t>the-border-program</w:t>
      </w:r>
      <w:proofErr w:type="spellEnd"/>
      <w:r w:rsidRPr="009A4875">
        <w:rPr>
          <w:rFonts w:ascii="Cambria" w:hAnsi="Cambria"/>
          <w:sz w:val="16"/>
          <w:szCs w:val="16"/>
          <w:lang w:val="es-US"/>
        </w:rPr>
        <w:t>/ (última visita el 8 de junio de 2020). Escrito de los peticionarios de 20 de julio de 2020.</w:t>
      </w:r>
    </w:p>
  </w:footnote>
  <w:footnote w:id="155">
    <w:p w14:paraId="3132AE37" w14:textId="08047E85" w:rsidR="00C918A9" w:rsidRPr="009A4875" w:rsidRDefault="00C918A9"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w:t>
      </w:r>
      <w:r w:rsidR="002F030A" w:rsidRPr="009A4875">
        <w:rPr>
          <w:rFonts w:ascii="Cambria" w:hAnsi="Cambria"/>
          <w:sz w:val="16"/>
          <w:szCs w:val="16"/>
          <w:lang w:val="es-US"/>
        </w:rPr>
        <w:t xml:space="preserve">Sloan Smith, </w:t>
      </w:r>
      <w:proofErr w:type="spellStart"/>
      <w:r w:rsidR="002F030A" w:rsidRPr="009A4875">
        <w:rPr>
          <w:rFonts w:ascii="Cambria" w:hAnsi="Cambria"/>
          <w:i/>
          <w:iCs/>
          <w:sz w:val="16"/>
          <w:szCs w:val="16"/>
          <w:lang w:val="es-US"/>
        </w:rPr>
        <w:t>Stateless</w:t>
      </w:r>
      <w:proofErr w:type="spellEnd"/>
      <w:r w:rsidR="002F030A" w:rsidRPr="009A4875">
        <w:rPr>
          <w:rFonts w:ascii="Cambria" w:hAnsi="Cambria"/>
          <w:i/>
          <w:iCs/>
          <w:sz w:val="16"/>
          <w:szCs w:val="16"/>
          <w:lang w:val="es-US"/>
        </w:rPr>
        <w:t xml:space="preserve"> Man </w:t>
      </w:r>
      <w:proofErr w:type="spellStart"/>
      <w:r w:rsidR="002F030A" w:rsidRPr="009A4875">
        <w:rPr>
          <w:rFonts w:ascii="Cambria" w:hAnsi="Cambria"/>
          <w:i/>
          <w:iCs/>
          <w:sz w:val="16"/>
          <w:szCs w:val="16"/>
          <w:lang w:val="es-US"/>
        </w:rPr>
        <w:t>Sues</w:t>
      </w:r>
      <w:proofErr w:type="spellEnd"/>
      <w:r w:rsidR="002F030A" w:rsidRPr="009A4875">
        <w:rPr>
          <w:rFonts w:ascii="Cambria" w:hAnsi="Cambria"/>
          <w:i/>
          <w:iCs/>
          <w:sz w:val="16"/>
          <w:szCs w:val="16"/>
          <w:lang w:val="es-US"/>
        </w:rPr>
        <w:t xml:space="preserve"> </w:t>
      </w:r>
      <w:proofErr w:type="spellStart"/>
      <w:r w:rsidR="002F030A" w:rsidRPr="009A4875">
        <w:rPr>
          <w:rFonts w:ascii="Cambria" w:hAnsi="Cambria"/>
          <w:i/>
          <w:iCs/>
          <w:sz w:val="16"/>
          <w:szCs w:val="16"/>
          <w:lang w:val="es-US"/>
        </w:rPr>
        <w:t>Over</w:t>
      </w:r>
      <w:proofErr w:type="spellEnd"/>
      <w:r w:rsidR="002F030A" w:rsidRPr="009A4875">
        <w:rPr>
          <w:rFonts w:ascii="Cambria" w:hAnsi="Cambria"/>
          <w:i/>
          <w:iCs/>
          <w:sz w:val="16"/>
          <w:szCs w:val="16"/>
          <w:lang w:val="es-US"/>
        </w:rPr>
        <w:t xml:space="preserve"> Long </w:t>
      </w:r>
      <w:proofErr w:type="spellStart"/>
      <w:r w:rsidR="002F030A" w:rsidRPr="009A4875">
        <w:rPr>
          <w:rFonts w:ascii="Cambria" w:hAnsi="Cambria"/>
          <w:i/>
          <w:iCs/>
          <w:sz w:val="16"/>
          <w:szCs w:val="16"/>
          <w:lang w:val="es-US"/>
        </w:rPr>
        <w:t>Term</w:t>
      </w:r>
      <w:proofErr w:type="spellEnd"/>
      <w:r w:rsidR="002F030A" w:rsidRPr="009A4875">
        <w:rPr>
          <w:rFonts w:ascii="Cambria" w:hAnsi="Cambria"/>
          <w:i/>
          <w:iCs/>
          <w:sz w:val="16"/>
          <w:szCs w:val="16"/>
          <w:lang w:val="es-US"/>
        </w:rPr>
        <w:t xml:space="preserve"> </w:t>
      </w:r>
      <w:proofErr w:type="spellStart"/>
      <w:r w:rsidR="002F030A" w:rsidRPr="009A4875">
        <w:rPr>
          <w:rFonts w:ascii="Cambria" w:hAnsi="Cambria"/>
          <w:i/>
          <w:iCs/>
          <w:sz w:val="16"/>
          <w:szCs w:val="16"/>
          <w:lang w:val="es-US"/>
        </w:rPr>
        <w:t>Detention</w:t>
      </w:r>
      <w:proofErr w:type="spellEnd"/>
      <w:r w:rsidR="002F030A" w:rsidRPr="009A4875">
        <w:rPr>
          <w:rFonts w:ascii="Cambria" w:hAnsi="Cambria"/>
          <w:i/>
          <w:iCs/>
          <w:sz w:val="16"/>
          <w:szCs w:val="16"/>
          <w:lang w:val="es-US"/>
        </w:rPr>
        <w:t>, EYEWITNESS NEWS</w:t>
      </w:r>
      <w:r w:rsidR="002F030A" w:rsidRPr="009A4875">
        <w:rPr>
          <w:rFonts w:ascii="Cambria" w:hAnsi="Cambria"/>
          <w:sz w:val="16"/>
          <w:szCs w:val="16"/>
          <w:lang w:val="es-US"/>
        </w:rPr>
        <w:t xml:space="preserve"> (27 de febrero de 2020), https://ewnews.com/stateless-man-sues-over-long-term-detention. Escrito de los peticionarios de 20 de julio de 2020.</w:t>
      </w:r>
    </w:p>
  </w:footnote>
  <w:footnote w:id="156">
    <w:p w14:paraId="6B860CBD" w14:textId="33BCF3FD" w:rsidR="002F030A" w:rsidRPr="009A4875" w:rsidRDefault="002F030A"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CIDH, Comunicado de prensa, La CIDH urge a los Estados a proteger los derechos humanos de los migrantes, refugiados y desplazados ante la pandemia del COVID-19 (17 de abril de 2020) y Pandemia y Derechos Humanos en las Américas, Res. No. 1/2020, ¶ 58 (10 de abril de 2020), https://www.oas.org/en/iachr/decisions/pdf/Resolution-1-20-en.pdf. Escrito de los peticionarios de 20 de julio de 2020.</w:t>
      </w:r>
    </w:p>
  </w:footnote>
  <w:footnote w:id="157">
    <w:p w14:paraId="6F824E1D" w14:textId="5D731240" w:rsidR="002F030A" w:rsidRPr="005D4092" w:rsidRDefault="002F030A" w:rsidP="005D4092">
      <w:pPr>
        <w:pStyle w:val="FootnoteText"/>
        <w:jc w:val="both"/>
        <w:rPr>
          <w:rFonts w:ascii="Cambria" w:hAnsi="Cambria"/>
          <w:sz w:val="16"/>
          <w:szCs w:val="16"/>
        </w:rPr>
      </w:pPr>
      <w:r w:rsidRPr="005D4092">
        <w:rPr>
          <w:rStyle w:val="FootnoteReference"/>
          <w:rFonts w:ascii="Cambria" w:hAnsi="Cambria"/>
          <w:sz w:val="16"/>
          <w:szCs w:val="16"/>
        </w:rPr>
        <w:footnoteRef/>
      </w:r>
      <w:r w:rsidRPr="005D4092">
        <w:rPr>
          <w:rFonts w:ascii="Cambria" w:hAnsi="Cambria"/>
          <w:sz w:val="16"/>
          <w:szCs w:val="16"/>
        </w:rPr>
        <w:t xml:space="preserve"> OACNUDH, </w:t>
      </w:r>
      <w:r w:rsidRPr="005D4092">
        <w:rPr>
          <w:rFonts w:ascii="Cambria" w:hAnsi="Cambria"/>
          <w:i/>
          <w:iCs/>
          <w:sz w:val="16"/>
          <w:szCs w:val="16"/>
        </w:rPr>
        <w:t>Urgent action needed to prevent COVID-19 "rampaging though places of detention"</w:t>
      </w:r>
      <w:r w:rsidRPr="005D4092">
        <w:rPr>
          <w:rFonts w:ascii="Cambria" w:hAnsi="Cambria"/>
          <w:sz w:val="16"/>
          <w:szCs w:val="16"/>
        </w:rPr>
        <w:t xml:space="preserve"> - Bachelet, </w:t>
      </w:r>
      <w:hyperlink r:id="rId1" w:history="1">
        <w:r w:rsidRPr="005D4092">
          <w:rPr>
            <w:rStyle w:val="Hyperlink"/>
            <w:rFonts w:ascii="Cambria" w:hAnsi="Cambria"/>
            <w:sz w:val="16"/>
            <w:szCs w:val="16"/>
          </w:rPr>
          <w:t>https://www.ohchr.org/EN/NewsEvents/Pages/DisplayNews.aspx?NewsID=25745&amp;LangID=E</w:t>
        </w:r>
      </w:hyperlink>
      <w:r w:rsidRPr="005D4092">
        <w:rPr>
          <w:rFonts w:ascii="Cambria" w:hAnsi="Cambria"/>
          <w:sz w:val="16"/>
          <w:szCs w:val="16"/>
        </w:rPr>
        <w:t xml:space="preserve">; OACNUDH, Newsletter, COVID-19 and the Human Rights of Migrants: Guidance (7 de </w:t>
      </w:r>
      <w:proofErr w:type="spellStart"/>
      <w:r w:rsidRPr="005D4092">
        <w:rPr>
          <w:rFonts w:ascii="Cambria" w:hAnsi="Cambria"/>
          <w:sz w:val="16"/>
          <w:szCs w:val="16"/>
        </w:rPr>
        <w:t>abril</w:t>
      </w:r>
      <w:proofErr w:type="spellEnd"/>
      <w:r w:rsidRPr="005D4092">
        <w:rPr>
          <w:rFonts w:ascii="Cambria" w:hAnsi="Cambria"/>
          <w:sz w:val="16"/>
          <w:szCs w:val="16"/>
        </w:rPr>
        <w:t xml:space="preserve"> de 2020), https://www.ohchr.org/Documents/Issues/Migration/OHCHRGuidance_COVID19_Migrants.pdf; ACNUR, </w:t>
      </w:r>
      <w:r w:rsidRPr="005D4092">
        <w:rPr>
          <w:rFonts w:ascii="Cambria" w:hAnsi="Cambria"/>
          <w:i/>
          <w:iCs/>
          <w:sz w:val="16"/>
          <w:szCs w:val="16"/>
        </w:rPr>
        <w:t>Key Legal Considerations on access to territory for persons in need of international protection in the context of the COVID-19 response</w:t>
      </w:r>
      <w:r w:rsidRPr="005D4092">
        <w:rPr>
          <w:rFonts w:ascii="Cambria" w:hAnsi="Cambria"/>
          <w:sz w:val="16"/>
          <w:szCs w:val="16"/>
        </w:rPr>
        <w:t xml:space="preserve">, ¶ 7, (16 de </w:t>
      </w:r>
      <w:proofErr w:type="spellStart"/>
      <w:r w:rsidRPr="005D4092">
        <w:rPr>
          <w:rFonts w:ascii="Cambria" w:hAnsi="Cambria"/>
          <w:sz w:val="16"/>
          <w:szCs w:val="16"/>
        </w:rPr>
        <w:t>marzo</w:t>
      </w:r>
      <w:proofErr w:type="spellEnd"/>
      <w:r w:rsidRPr="005D4092">
        <w:rPr>
          <w:rFonts w:ascii="Cambria" w:hAnsi="Cambria"/>
          <w:sz w:val="16"/>
          <w:szCs w:val="16"/>
        </w:rPr>
        <w:t xml:space="preserve"> de 2020), https://www.refworld.org/docid/5e7132834.html; </w:t>
      </w:r>
      <w:proofErr w:type="spellStart"/>
      <w:r w:rsidRPr="005D4092">
        <w:rPr>
          <w:rFonts w:ascii="Cambria" w:hAnsi="Cambria"/>
          <w:sz w:val="16"/>
          <w:szCs w:val="16"/>
        </w:rPr>
        <w:t>Escrito</w:t>
      </w:r>
      <w:proofErr w:type="spellEnd"/>
      <w:r w:rsidRPr="005D4092">
        <w:rPr>
          <w:rFonts w:ascii="Cambria" w:hAnsi="Cambria"/>
          <w:sz w:val="16"/>
          <w:szCs w:val="16"/>
        </w:rPr>
        <w:t xml:space="preserve"> de </w:t>
      </w:r>
      <w:proofErr w:type="spellStart"/>
      <w:r w:rsidRPr="005D4092">
        <w:rPr>
          <w:rFonts w:ascii="Cambria" w:hAnsi="Cambria"/>
          <w:sz w:val="16"/>
          <w:szCs w:val="16"/>
        </w:rPr>
        <w:t>los</w:t>
      </w:r>
      <w:proofErr w:type="spellEnd"/>
      <w:r w:rsidRPr="005D4092">
        <w:rPr>
          <w:rFonts w:ascii="Cambria" w:hAnsi="Cambria"/>
          <w:sz w:val="16"/>
          <w:szCs w:val="16"/>
        </w:rPr>
        <w:t xml:space="preserve"> </w:t>
      </w:r>
      <w:proofErr w:type="spellStart"/>
      <w:r w:rsidRPr="005D4092">
        <w:rPr>
          <w:rFonts w:ascii="Cambria" w:hAnsi="Cambria"/>
          <w:sz w:val="16"/>
          <w:szCs w:val="16"/>
        </w:rPr>
        <w:t>peticionarios</w:t>
      </w:r>
      <w:proofErr w:type="spellEnd"/>
      <w:r w:rsidRPr="005D4092">
        <w:rPr>
          <w:rFonts w:ascii="Cambria" w:hAnsi="Cambria"/>
          <w:sz w:val="16"/>
          <w:szCs w:val="16"/>
        </w:rPr>
        <w:t xml:space="preserve"> de 20 de </w:t>
      </w:r>
      <w:proofErr w:type="spellStart"/>
      <w:r w:rsidRPr="005D4092">
        <w:rPr>
          <w:rFonts w:ascii="Cambria" w:hAnsi="Cambria"/>
          <w:sz w:val="16"/>
          <w:szCs w:val="16"/>
        </w:rPr>
        <w:t>julio</w:t>
      </w:r>
      <w:proofErr w:type="spellEnd"/>
      <w:r w:rsidRPr="005D4092">
        <w:rPr>
          <w:rFonts w:ascii="Cambria" w:hAnsi="Cambria"/>
          <w:sz w:val="16"/>
          <w:szCs w:val="16"/>
        </w:rPr>
        <w:t xml:space="preserve"> de 2020.</w:t>
      </w:r>
    </w:p>
  </w:footnote>
  <w:footnote w:id="158">
    <w:p w14:paraId="7E5D785C" w14:textId="4808A8DB" w:rsidR="002F030A" w:rsidRPr="009A4875" w:rsidRDefault="002F030A"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Rashad Rolle, Activistas piden un mejor trato a los inmigrantes en el centro de detención, </w:t>
      </w:r>
      <w:r w:rsidRPr="009A4875">
        <w:rPr>
          <w:rFonts w:ascii="Cambria" w:hAnsi="Cambria"/>
          <w:i/>
          <w:iCs/>
          <w:sz w:val="16"/>
          <w:szCs w:val="16"/>
          <w:lang w:val="es-US"/>
        </w:rPr>
        <w:t>THE TRIBUNE</w:t>
      </w:r>
      <w:r w:rsidRPr="009A4875">
        <w:rPr>
          <w:rFonts w:ascii="Cambria" w:hAnsi="Cambria"/>
          <w:sz w:val="16"/>
          <w:szCs w:val="16"/>
          <w:lang w:val="es-US"/>
        </w:rPr>
        <w:t xml:space="preserve"> (4 de junio de 2020), http://www.tribune242.com/news/2020/jun/04/activists-call-better-treatment-migrants-detention; Escrito de los demandantes de 20 de julio de 2020.</w:t>
      </w:r>
    </w:p>
    <w:p w14:paraId="09312D7E" w14:textId="47561010" w:rsidR="002F030A" w:rsidRPr="009A4875" w:rsidRDefault="002F030A" w:rsidP="005D4092">
      <w:pPr>
        <w:pStyle w:val="FootnoteText"/>
        <w:jc w:val="both"/>
        <w:rPr>
          <w:rFonts w:ascii="Cambria" w:hAnsi="Cambria"/>
          <w:sz w:val="16"/>
          <w:szCs w:val="16"/>
          <w:lang w:val="es-US"/>
        </w:rPr>
      </w:pPr>
      <w:r w:rsidRPr="005D4092">
        <w:rPr>
          <w:rFonts w:ascii="Cambria" w:hAnsi="Cambria"/>
          <w:i/>
          <w:iCs/>
          <w:sz w:val="16"/>
          <w:szCs w:val="16"/>
        </w:rPr>
        <w:t>Bahamas:</w:t>
      </w:r>
      <w:r w:rsidRPr="005D4092">
        <w:rPr>
          <w:rFonts w:ascii="Cambria" w:hAnsi="Cambria"/>
          <w:sz w:val="16"/>
          <w:szCs w:val="16"/>
        </w:rPr>
        <w:t xml:space="preserve"> </w:t>
      </w:r>
      <w:r w:rsidRPr="005D4092">
        <w:rPr>
          <w:rFonts w:ascii="Cambria" w:hAnsi="Cambria"/>
          <w:i/>
          <w:iCs/>
          <w:sz w:val="16"/>
          <w:szCs w:val="16"/>
        </w:rPr>
        <w:t xml:space="preserve">Haitian Detainees Protest, </w:t>
      </w:r>
      <w:proofErr w:type="gramStart"/>
      <w:r w:rsidRPr="005D4092">
        <w:rPr>
          <w:rFonts w:ascii="Cambria" w:hAnsi="Cambria"/>
          <w:i/>
          <w:iCs/>
          <w:sz w:val="16"/>
          <w:szCs w:val="16"/>
        </w:rPr>
        <w:t>Want</w:t>
      </w:r>
      <w:proofErr w:type="gramEnd"/>
      <w:r w:rsidRPr="005D4092">
        <w:rPr>
          <w:rFonts w:ascii="Cambria" w:hAnsi="Cambria"/>
          <w:i/>
          <w:iCs/>
          <w:sz w:val="16"/>
          <w:szCs w:val="16"/>
        </w:rPr>
        <w:t xml:space="preserve"> to go Home, THE ST. </w:t>
      </w:r>
      <w:r w:rsidRPr="009A4875">
        <w:rPr>
          <w:rFonts w:ascii="Cambria" w:hAnsi="Cambria"/>
          <w:i/>
          <w:iCs/>
          <w:sz w:val="16"/>
          <w:szCs w:val="16"/>
          <w:lang w:val="es-US"/>
        </w:rPr>
        <w:t>KITTS &amp; NEVIS OBSERVER</w:t>
      </w:r>
      <w:r w:rsidRPr="009A4875">
        <w:rPr>
          <w:rFonts w:ascii="Cambria" w:hAnsi="Cambria"/>
          <w:sz w:val="16"/>
          <w:szCs w:val="16"/>
          <w:lang w:val="es-US"/>
        </w:rPr>
        <w:t xml:space="preserve"> (4 de junio de 2020), https://www.thestkittsnevisobserver.com/bahamas-haitian-detainees-protest-want-to-go-home/; Escrito de los peticionarios de</w:t>
      </w:r>
      <w:r w:rsidR="000E0F4F" w:rsidRPr="009A4875">
        <w:rPr>
          <w:rFonts w:ascii="Cambria" w:hAnsi="Cambria"/>
          <w:sz w:val="16"/>
          <w:szCs w:val="16"/>
          <w:lang w:val="es-US"/>
        </w:rPr>
        <w:t xml:space="preserve"> </w:t>
      </w:r>
      <w:r w:rsidRPr="009A4875">
        <w:rPr>
          <w:rFonts w:ascii="Cambria" w:hAnsi="Cambria"/>
          <w:sz w:val="16"/>
          <w:szCs w:val="16"/>
          <w:lang w:val="es-US"/>
        </w:rPr>
        <w:t>20 de julio de 2020.</w:t>
      </w:r>
    </w:p>
  </w:footnote>
  <w:footnote w:id="159">
    <w:p w14:paraId="3D4738B5" w14:textId="701D718C" w:rsidR="002F030A" w:rsidRPr="009A4875" w:rsidRDefault="002F030A"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5D4092">
        <w:rPr>
          <w:rFonts w:ascii="Cambria" w:hAnsi="Cambria"/>
          <w:sz w:val="16"/>
          <w:szCs w:val="16"/>
        </w:rPr>
        <w:t xml:space="preserve"> </w:t>
      </w:r>
      <w:r w:rsidR="00406755" w:rsidRPr="005D4092">
        <w:rPr>
          <w:rFonts w:ascii="Cambria" w:hAnsi="Cambria"/>
          <w:i/>
          <w:iCs/>
          <w:sz w:val="16"/>
          <w:szCs w:val="16"/>
        </w:rPr>
        <w:t xml:space="preserve">Bahamas: Haitian Detainees Protest, </w:t>
      </w:r>
      <w:proofErr w:type="gramStart"/>
      <w:r w:rsidR="00406755" w:rsidRPr="005D4092">
        <w:rPr>
          <w:rFonts w:ascii="Cambria" w:hAnsi="Cambria"/>
          <w:i/>
          <w:iCs/>
          <w:sz w:val="16"/>
          <w:szCs w:val="16"/>
        </w:rPr>
        <w:t>Want</w:t>
      </w:r>
      <w:proofErr w:type="gramEnd"/>
      <w:r w:rsidR="00406755" w:rsidRPr="005D4092">
        <w:rPr>
          <w:rFonts w:ascii="Cambria" w:hAnsi="Cambria"/>
          <w:i/>
          <w:iCs/>
          <w:sz w:val="16"/>
          <w:szCs w:val="16"/>
        </w:rPr>
        <w:t xml:space="preserve"> to go Home, THE ST. </w:t>
      </w:r>
      <w:r w:rsidR="00406755" w:rsidRPr="009A4875">
        <w:rPr>
          <w:rFonts w:ascii="Cambria" w:hAnsi="Cambria"/>
          <w:i/>
          <w:iCs/>
          <w:sz w:val="16"/>
          <w:szCs w:val="16"/>
          <w:lang w:val="es-US"/>
        </w:rPr>
        <w:t>KITTS &amp; NEVIS OBSERVER</w:t>
      </w:r>
      <w:r w:rsidR="00406755" w:rsidRPr="009A4875">
        <w:rPr>
          <w:rFonts w:ascii="Cambria" w:hAnsi="Cambria"/>
          <w:sz w:val="16"/>
          <w:szCs w:val="16"/>
          <w:lang w:val="es-US"/>
        </w:rPr>
        <w:t xml:space="preserve"> (4 de junio de 2020), https://www.thestkittsnevisobserver.com/bahamas-haitian-detainees-protest-want-to-go-home/; escrito de los peticionarios de 20 de julio de 2020.</w:t>
      </w:r>
    </w:p>
  </w:footnote>
  <w:footnote w:id="160">
    <w:p w14:paraId="02934C33" w14:textId="20C37F72" w:rsidR="00406755" w:rsidRPr="009A4875" w:rsidRDefault="00406755"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w:t>
      </w:r>
      <w:proofErr w:type="spellStart"/>
      <w:r w:rsidRPr="009A4875">
        <w:rPr>
          <w:rFonts w:ascii="Cambria" w:hAnsi="Cambria"/>
          <w:i/>
          <w:iCs/>
          <w:sz w:val="16"/>
          <w:szCs w:val="16"/>
          <w:lang w:val="es-US"/>
        </w:rPr>
        <w:t>Detainees</w:t>
      </w:r>
      <w:proofErr w:type="spellEnd"/>
      <w:r w:rsidRPr="009A4875">
        <w:rPr>
          <w:rFonts w:ascii="Cambria" w:hAnsi="Cambria"/>
          <w:i/>
          <w:iCs/>
          <w:sz w:val="16"/>
          <w:szCs w:val="16"/>
          <w:lang w:val="es-US"/>
        </w:rPr>
        <w:t xml:space="preserve"> escape </w:t>
      </w:r>
      <w:proofErr w:type="spellStart"/>
      <w:r w:rsidRPr="009A4875">
        <w:rPr>
          <w:rFonts w:ascii="Cambria" w:hAnsi="Cambria"/>
          <w:i/>
          <w:iCs/>
          <w:sz w:val="16"/>
          <w:szCs w:val="16"/>
          <w:lang w:val="es-US"/>
        </w:rPr>
        <w:t>dorms</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destroy</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fences</w:t>
      </w:r>
      <w:proofErr w:type="spellEnd"/>
      <w:r w:rsidRPr="009A4875">
        <w:rPr>
          <w:rFonts w:ascii="Cambria" w:hAnsi="Cambria"/>
          <w:i/>
          <w:iCs/>
          <w:sz w:val="16"/>
          <w:szCs w:val="16"/>
          <w:lang w:val="es-US"/>
        </w:rPr>
        <w:t xml:space="preserve"> at </w:t>
      </w:r>
      <w:proofErr w:type="spellStart"/>
      <w:r w:rsidRPr="009A4875">
        <w:rPr>
          <w:rFonts w:ascii="Cambria" w:hAnsi="Cambria"/>
          <w:i/>
          <w:iCs/>
          <w:sz w:val="16"/>
          <w:szCs w:val="16"/>
          <w:lang w:val="es-US"/>
        </w:rPr>
        <w:t>Carmichael</w:t>
      </w:r>
      <w:proofErr w:type="spellEnd"/>
      <w:r w:rsidRPr="009A4875">
        <w:rPr>
          <w:rFonts w:ascii="Cambria" w:hAnsi="Cambria"/>
          <w:i/>
          <w:iCs/>
          <w:sz w:val="16"/>
          <w:szCs w:val="16"/>
          <w:lang w:val="es-US"/>
        </w:rPr>
        <w:t xml:space="preserve"> Road </w:t>
      </w:r>
      <w:proofErr w:type="spellStart"/>
      <w:r w:rsidRPr="009A4875">
        <w:rPr>
          <w:rFonts w:ascii="Cambria" w:hAnsi="Cambria"/>
          <w:i/>
          <w:iCs/>
          <w:sz w:val="16"/>
          <w:szCs w:val="16"/>
          <w:lang w:val="es-US"/>
        </w:rPr>
        <w:t>Detention</w:t>
      </w:r>
      <w:proofErr w:type="spellEnd"/>
      <w:r w:rsidRPr="009A4875">
        <w:rPr>
          <w:rFonts w:ascii="Cambria" w:hAnsi="Cambria"/>
          <w:i/>
          <w:iCs/>
          <w:sz w:val="16"/>
          <w:szCs w:val="16"/>
          <w:lang w:val="es-US"/>
        </w:rPr>
        <w:t xml:space="preserve"> Center, EYEWITNESS NEWS</w:t>
      </w:r>
      <w:r w:rsidRPr="009A4875">
        <w:rPr>
          <w:rFonts w:ascii="Cambria" w:hAnsi="Cambria"/>
          <w:sz w:val="16"/>
          <w:szCs w:val="16"/>
          <w:lang w:val="es-US"/>
        </w:rPr>
        <w:t xml:space="preserve"> (3 de junio de 2020), https://ewnews.com/detainees-escape-dorms-destroy-fences-at-carmichael-road- </w:t>
      </w:r>
      <w:proofErr w:type="spellStart"/>
      <w:r w:rsidRPr="009A4875">
        <w:rPr>
          <w:rFonts w:ascii="Cambria" w:hAnsi="Cambria"/>
          <w:sz w:val="16"/>
          <w:szCs w:val="16"/>
          <w:lang w:val="es-US"/>
        </w:rPr>
        <w:t>detention</w:t>
      </w:r>
      <w:proofErr w:type="spellEnd"/>
      <w:r w:rsidRPr="009A4875">
        <w:rPr>
          <w:rFonts w:ascii="Cambria" w:hAnsi="Cambria"/>
          <w:sz w:val="16"/>
          <w:szCs w:val="16"/>
          <w:lang w:val="es-US"/>
        </w:rPr>
        <w:t>-center; escrito de los peticionarios de 20 de julio de 2020.</w:t>
      </w:r>
    </w:p>
  </w:footnote>
  <w:footnote w:id="161">
    <w:p w14:paraId="40775DE2" w14:textId="67061E4F" w:rsidR="00F005B1" w:rsidRPr="009A4875" w:rsidRDefault="00F005B1"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w:t>
      </w:r>
      <w:proofErr w:type="spellStart"/>
      <w:r w:rsidR="005D4092" w:rsidRPr="009A4875">
        <w:rPr>
          <w:rFonts w:ascii="Cambria" w:hAnsi="Cambria"/>
          <w:sz w:val="16"/>
          <w:szCs w:val="16"/>
          <w:lang w:val="es-US"/>
        </w:rPr>
        <w:t>Royston</w:t>
      </w:r>
      <w:proofErr w:type="spellEnd"/>
      <w:r w:rsidR="005D4092" w:rsidRPr="009A4875">
        <w:rPr>
          <w:rFonts w:ascii="Cambria" w:hAnsi="Cambria"/>
          <w:sz w:val="16"/>
          <w:szCs w:val="16"/>
          <w:lang w:val="es-US"/>
        </w:rPr>
        <w:t xml:space="preserve"> James Jr., </w:t>
      </w:r>
      <w:proofErr w:type="spellStart"/>
      <w:r w:rsidR="005D4092" w:rsidRPr="009A4875">
        <w:rPr>
          <w:rFonts w:ascii="Cambria" w:hAnsi="Cambria"/>
          <w:sz w:val="16"/>
          <w:szCs w:val="16"/>
          <w:lang w:val="es-US"/>
        </w:rPr>
        <w:t>Despite</w:t>
      </w:r>
      <w:proofErr w:type="spellEnd"/>
      <w:r w:rsidR="005D4092" w:rsidRPr="009A4875">
        <w:rPr>
          <w:rFonts w:ascii="Cambria" w:hAnsi="Cambria"/>
          <w:sz w:val="16"/>
          <w:szCs w:val="16"/>
          <w:lang w:val="es-US"/>
        </w:rPr>
        <w:t xml:space="preserve"> </w:t>
      </w:r>
      <w:proofErr w:type="spellStart"/>
      <w:r w:rsidR="005D4092" w:rsidRPr="009A4875">
        <w:rPr>
          <w:rFonts w:ascii="Cambria" w:hAnsi="Cambria"/>
          <w:sz w:val="16"/>
          <w:szCs w:val="16"/>
          <w:lang w:val="es-US"/>
        </w:rPr>
        <w:t>Cuts</w:t>
      </w:r>
      <w:proofErr w:type="spellEnd"/>
      <w:r w:rsidR="005D4092" w:rsidRPr="009A4875">
        <w:rPr>
          <w:rFonts w:ascii="Cambria" w:hAnsi="Cambria"/>
          <w:sz w:val="16"/>
          <w:szCs w:val="16"/>
          <w:lang w:val="es-US"/>
        </w:rPr>
        <w:t xml:space="preserve">, </w:t>
      </w:r>
      <w:proofErr w:type="spellStart"/>
      <w:r w:rsidR="005D4092" w:rsidRPr="009A4875">
        <w:rPr>
          <w:rFonts w:ascii="Cambria" w:hAnsi="Cambria"/>
          <w:i/>
          <w:iCs/>
          <w:sz w:val="16"/>
          <w:szCs w:val="16"/>
          <w:lang w:val="es-US"/>
        </w:rPr>
        <w:t>Promotions</w:t>
      </w:r>
      <w:proofErr w:type="spellEnd"/>
      <w:r w:rsidR="005D4092" w:rsidRPr="009A4875">
        <w:rPr>
          <w:rFonts w:ascii="Cambria" w:hAnsi="Cambria"/>
          <w:i/>
          <w:iCs/>
          <w:sz w:val="16"/>
          <w:szCs w:val="16"/>
          <w:lang w:val="es-US"/>
        </w:rPr>
        <w:t xml:space="preserve"> and New </w:t>
      </w:r>
      <w:proofErr w:type="spellStart"/>
      <w:r w:rsidR="005D4092" w:rsidRPr="009A4875">
        <w:rPr>
          <w:rFonts w:ascii="Cambria" w:hAnsi="Cambria"/>
          <w:i/>
          <w:iCs/>
          <w:sz w:val="16"/>
          <w:szCs w:val="16"/>
          <w:lang w:val="es-US"/>
        </w:rPr>
        <w:t>Hires</w:t>
      </w:r>
      <w:proofErr w:type="spellEnd"/>
      <w:r w:rsidR="005D4092" w:rsidRPr="009A4875">
        <w:rPr>
          <w:rFonts w:ascii="Cambria" w:hAnsi="Cambria"/>
          <w:i/>
          <w:iCs/>
          <w:sz w:val="16"/>
          <w:szCs w:val="16"/>
          <w:lang w:val="es-US"/>
        </w:rPr>
        <w:t xml:space="preserve"> </w:t>
      </w:r>
      <w:proofErr w:type="spellStart"/>
      <w:r w:rsidR="005D4092" w:rsidRPr="009A4875">
        <w:rPr>
          <w:rFonts w:ascii="Cambria" w:hAnsi="Cambria"/>
          <w:i/>
          <w:iCs/>
          <w:sz w:val="16"/>
          <w:szCs w:val="16"/>
          <w:lang w:val="es-US"/>
        </w:rPr>
        <w:t>Planned</w:t>
      </w:r>
      <w:proofErr w:type="spellEnd"/>
      <w:r w:rsidR="005D4092" w:rsidRPr="009A4875">
        <w:rPr>
          <w:rFonts w:ascii="Cambria" w:hAnsi="Cambria"/>
          <w:i/>
          <w:iCs/>
          <w:sz w:val="16"/>
          <w:szCs w:val="16"/>
          <w:lang w:val="es-US"/>
        </w:rPr>
        <w:t xml:space="preserve"> </w:t>
      </w:r>
      <w:proofErr w:type="spellStart"/>
      <w:r w:rsidR="005D4092" w:rsidRPr="009A4875">
        <w:rPr>
          <w:rFonts w:ascii="Cambria" w:hAnsi="Cambria"/>
          <w:i/>
          <w:iCs/>
          <w:sz w:val="16"/>
          <w:szCs w:val="16"/>
          <w:lang w:val="es-US"/>
        </w:rPr>
        <w:t>for</w:t>
      </w:r>
      <w:proofErr w:type="spellEnd"/>
      <w:r w:rsidR="005D4092" w:rsidRPr="009A4875">
        <w:rPr>
          <w:rFonts w:ascii="Cambria" w:hAnsi="Cambria"/>
          <w:i/>
          <w:iCs/>
          <w:sz w:val="16"/>
          <w:szCs w:val="16"/>
          <w:lang w:val="es-US"/>
        </w:rPr>
        <w:t xml:space="preserve"> </w:t>
      </w:r>
      <w:proofErr w:type="spellStart"/>
      <w:r w:rsidR="005D4092" w:rsidRPr="009A4875">
        <w:rPr>
          <w:rFonts w:ascii="Cambria" w:hAnsi="Cambria"/>
          <w:i/>
          <w:iCs/>
          <w:sz w:val="16"/>
          <w:szCs w:val="16"/>
          <w:lang w:val="es-US"/>
        </w:rPr>
        <w:t>Immigration</w:t>
      </w:r>
      <w:proofErr w:type="spellEnd"/>
      <w:r w:rsidR="005D4092" w:rsidRPr="009A4875">
        <w:rPr>
          <w:rFonts w:ascii="Cambria" w:hAnsi="Cambria"/>
          <w:i/>
          <w:iCs/>
          <w:sz w:val="16"/>
          <w:szCs w:val="16"/>
          <w:lang w:val="es-US"/>
        </w:rPr>
        <w:t xml:space="preserve"> </w:t>
      </w:r>
      <w:proofErr w:type="spellStart"/>
      <w:r w:rsidR="005D4092" w:rsidRPr="009A4875">
        <w:rPr>
          <w:rFonts w:ascii="Cambria" w:hAnsi="Cambria"/>
          <w:i/>
          <w:iCs/>
          <w:sz w:val="16"/>
          <w:szCs w:val="16"/>
          <w:lang w:val="es-US"/>
        </w:rPr>
        <w:t>Dept</w:t>
      </w:r>
      <w:proofErr w:type="spellEnd"/>
      <w:r w:rsidR="005D4092" w:rsidRPr="009A4875">
        <w:rPr>
          <w:rFonts w:ascii="Cambria" w:hAnsi="Cambria"/>
          <w:i/>
          <w:iCs/>
          <w:sz w:val="16"/>
          <w:szCs w:val="16"/>
          <w:lang w:val="es-US"/>
        </w:rPr>
        <w:t>., EYEWITNESS NEWS</w:t>
      </w:r>
      <w:r w:rsidR="005D4092" w:rsidRPr="009A4875">
        <w:rPr>
          <w:rFonts w:ascii="Cambria" w:hAnsi="Cambria"/>
          <w:sz w:val="16"/>
          <w:szCs w:val="16"/>
          <w:lang w:val="es-US"/>
        </w:rPr>
        <w:t xml:space="preserve"> (16 de junio de 2020), https://ewnews.com/despite-cuts-promotions-and-new-hires-planned- </w:t>
      </w:r>
      <w:proofErr w:type="spellStart"/>
      <w:r w:rsidR="005D4092" w:rsidRPr="009A4875">
        <w:rPr>
          <w:rFonts w:ascii="Cambria" w:hAnsi="Cambria"/>
          <w:sz w:val="16"/>
          <w:szCs w:val="16"/>
          <w:lang w:val="es-US"/>
        </w:rPr>
        <w:t>for-immigration-dept</w:t>
      </w:r>
      <w:proofErr w:type="spellEnd"/>
      <w:r w:rsidR="005D4092" w:rsidRPr="009A4875">
        <w:rPr>
          <w:rFonts w:ascii="Cambria" w:hAnsi="Cambria"/>
          <w:sz w:val="16"/>
          <w:szCs w:val="16"/>
          <w:lang w:val="es-US"/>
        </w:rPr>
        <w:t>; escrito de los peticionarios 20 de julio de 2020.</w:t>
      </w:r>
    </w:p>
  </w:footnote>
  <w:footnote w:id="162">
    <w:p w14:paraId="12DB2F15" w14:textId="08611211" w:rsidR="00406755" w:rsidRPr="009A4875" w:rsidRDefault="00406755" w:rsidP="005D4092">
      <w:pPr>
        <w:pStyle w:val="FootnoteText"/>
        <w:jc w:val="both"/>
        <w:rPr>
          <w:rFonts w:ascii="Cambria" w:hAnsi="Cambria"/>
          <w:sz w:val="16"/>
          <w:szCs w:val="16"/>
          <w:lang w:val="es-US"/>
        </w:rPr>
      </w:pPr>
      <w:r w:rsidRPr="005D4092">
        <w:rPr>
          <w:rStyle w:val="FootnoteReference"/>
          <w:rFonts w:ascii="Cambria" w:hAnsi="Cambria"/>
          <w:sz w:val="16"/>
          <w:szCs w:val="16"/>
        </w:rPr>
        <w:footnoteRef/>
      </w:r>
      <w:r w:rsidRPr="009A4875">
        <w:rPr>
          <w:rFonts w:ascii="Cambria" w:hAnsi="Cambria"/>
          <w:sz w:val="16"/>
          <w:szCs w:val="16"/>
          <w:lang w:val="es-US"/>
        </w:rPr>
        <w:t xml:space="preserve"> </w:t>
      </w:r>
      <w:proofErr w:type="spellStart"/>
      <w:r w:rsidRPr="009A4875">
        <w:rPr>
          <w:rFonts w:ascii="Cambria" w:hAnsi="Cambria"/>
          <w:sz w:val="16"/>
          <w:szCs w:val="16"/>
          <w:lang w:val="es-US"/>
        </w:rPr>
        <w:t>Royston</w:t>
      </w:r>
      <w:proofErr w:type="spellEnd"/>
      <w:r w:rsidRPr="009A4875">
        <w:rPr>
          <w:rFonts w:ascii="Cambria" w:hAnsi="Cambria"/>
          <w:sz w:val="16"/>
          <w:szCs w:val="16"/>
          <w:lang w:val="es-US"/>
        </w:rPr>
        <w:t xml:space="preserve"> James Jr., </w:t>
      </w:r>
      <w:proofErr w:type="spellStart"/>
      <w:r w:rsidRPr="009A4875">
        <w:rPr>
          <w:rFonts w:ascii="Cambria" w:hAnsi="Cambria"/>
          <w:sz w:val="16"/>
          <w:szCs w:val="16"/>
          <w:lang w:val="es-US"/>
        </w:rPr>
        <w:t>Despite</w:t>
      </w:r>
      <w:proofErr w:type="spellEnd"/>
      <w:r w:rsidRPr="009A4875">
        <w:rPr>
          <w:rFonts w:ascii="Cambria" w:hAnsi="Cambria"/>
          <w:sz w:val="16"/>
          <w:szCs w:val="16"/>
          <w:lang w:val="es-US"/>
        </w:rPr>
        <w:t xml:space="preserve"> </w:t>
      </w:r>
      <w:proofErr w:type="spellStart"/>
      <w:r w:rsidRPr="009A4875">
        <w:rPr>
          <w:rFonts w:ascii="Cambria" w:hAnsi="Cambria"/>
          <w:sz w:val="16"/>
          <w:szCs w:val="16"/>
          <w:lang w:val="es-US"/>
        </w:rPr>
        <w:t>Cuts</w:t>
      </w:r>
      <w:proofErr w:type="spellEnd"/>
      <w:r w:rsidRPr="009A4875">
        <w:rPr>
          <w:rFonts w:ascii="Cambria" w:hAnsi="Cambria"/>
          <w:sz w:val="16"/>
          <w:szCs w:val="16"/>
          <w:lang w:val="es-US"/>
        </w:rPr>
        <w:t xml:space="preserve">, </w:t>
      </w:r>
      <w:proofErr w:type="spellStart"/>
      <w:r w:rsidRPr="009A4875">
        <w:rPr>
          <w:rFonts w:ascii="Cambria" w:hAnsi="Cambria"/>
          <w:i/>
          <w:iCs/>
          <w:sz w:val="16"/>
          <w:szCs w:val="16"/>
          <w:lang w:val="es-US"/>
        </w:rPr>
        <w:t>Promotions</w:t>
      </w:r>
      <w:proofErr w:type="spellEnd"/>
      <w:r w:rsidRPr="009A4875">
        <w:rPr>
          <w:rFonts w:ascii="Cambria" w:hAnsi="Cambria"/>
          <w:i/>
          <w:iCs/>
          <w:sz w:val="16"/>
          <w:szCs w:val="16"/>
          <w:lang w:val="es-US"/>
        </w:rPr>
        <w:t xml:space="preserve"> and New </w:t>
      </w:r>
      <w:proofErr w:type="spellStart"/>
      <w:r w:rsidRPr="009A4875">
        <w:rPr>
          <w:rFonts w:ascii="Cambria" w:hAnsi="Cambria"/>
          <w:i/>
          <w:iCs/>
          <w:sz w:val="16"/>
          <w:szCs w:val="16"/>
          <w:lang w:val="es-US"/>
        </w:rPr>
        <w:t>Hires</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Planned</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for</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Immigration</w:t>
      </w:r>
      <w:proofErr w:type="spellEnd"/>
      <w:r w:rsidRPr="009A4875">
        <w:rPr>
          <w:rFonts w:ascii="Cambria" w:hAnsi="Cambria"/>
          <w:i/>
          <w:iCs/>
          <w:sz w:val="16"/>
          <w:szCs w:val="16"/>
          <w:lang w:val="es-US"/>
        </w:rPr>
        <w:t xml:space="preserve"> </w:t>
      </w:r>
      <w:proofErr w:type="spellStart"/>
      <w:r w:rsidRPr="009A4875">
        <w:rPr>
          <w:rFonts w:ascii="Cambria" w:hAnsi="Cambria"/>
          <w:i/>
          <w:iCs/>
          <w:sz w:val="16"/>
          <w:szCs w:val="16"/>
          <w:lang w:val="es-US"/>
        </w:rPr>
        <w:t>Dept</w:t>
      </w:r>
      <w:proofErr w:type="spellEnd"/>
      <w:r w:rsidRPr="009A4875">
        <w:rPr>
          <w:rFonts w:ascii="Cambria" w:hAnsi="Cambria"/>
          <w:i/>
          <w:iCs/>
          <w:sz w:val="16"/>
          <w:szCs w:val="16"/>
          <w:lang w:val="es-US"/>
        </w:rPr>
        <w:t>., EYEWITNESS NEWS</w:t>
      </w:r>
      <w:r w:rsidRPr="009A4875">
        <w:rPr>
          <w:rFonts w:ascii="Cambria" w:hAnsi="Cambria"/>
          <w:sz w:val="16"/>
          <w:szCs w:val="16"/>
          <w:lang w:val="es-US"/>
        </w:rPr>
        <w:t xml:space="preserve"> (16 de junio de 2020), https://ewnews.com/despite-cuts-promotions-and-new-hires-planned- </w:t>
      </w:r>
      <w:proofErr w:type="spellStart"/>
      <w:r w:rsidRPr="009A4875">
        <w:rPr>
          <w:rFonts w:ascii="Cambria" w:hAnsi="Cambria"/>
          <w:sz w:val="16"/>
          <w:szCs w:val="16"/>
          <w:lang w:val="es-US"/>
        </w:rPr>
        <w:t>for-immigration-dept</w:t>
      </w:r>
      <w:proofErr w:type="spellEnd"/>
      <w:r w:rsidRPr="009A4875">
        <w:rPr>
          <w:rFonts w:ascii="Cambria" w:hAnsi="Cambria"/>
          <w:sz w:val="16"/>
          <w:szCs w:val="16"/>
          <w:lang w:val="es-US"/>
        </w:rPr>
        <w:t>; escrito de los peticionarios 20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92D8" w14:textId="77777777" w:rsidR="00F005B1" w:rsidRDefault="00F005B1" w:rsidP="008933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2576E37" w14:textId="77777777" w:rsidR="00F005B1" w:rsidRDefault="00F00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33C6" w14:textId="77777777" w:rsidR="00F005B1" w:rsidRDefault="00F005B1" w:rsidP="00A50FCF">
    <w:pPr>
      <w:pStyle w:val="Header"/>
      <w:tabs>
        <w:tab w:val="clear" w:pos="4320"/>
        <w:tab w:val="clear" w:pos="8640"/>
      </w:tabs>
      <w:jc w:val="center"/>
      <w:rPr>
        <w:sz w:val="22"/>
        <w:szCs w:val="22"/>
      </w:rPr>
    </w:pPr>
    <w:r w:rsidRPr="00E67B33">
      <w:rPr>
        <w:noProof/>
        <w:sz w:val="22"/>
        <w:szCs w:val="22"/>
        <w:lang w:val="es-ES" w:eastAsia="es-ES"/>
      </w:rPr>
      <w:drawing>
        <wp:inline distT="0" distB="0" distL="0" distR="0" wp14:anchorId="425D7D04" wp14:editId="1791E716">
          <wp:extent cx="1981200" cy="104775"/>
          <wp:effectExtent l="0" t="0" r="0" b="9525"/>
          <wp:docPr id="4" name="Picture 3" descr="Description: 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4775"/>
                  </a:xfrm>
                  <a:prstGeom prst="rect">
                    <a:avLst/>
                  </a:prstGeom>
                  <a:noFill/>
                  <a:ln>
                    <a:noFill/>
                  </a:ln>
                </pic:spPr>
              </pic:pic>
            </a:graphicData>
          </a:graphic>
        </wp:inline>
      </w:drawing>
    </w:r>
  </w:p>
  <w:p w14:paraId="13C51FBB" w14:textId="77777777" w:rsidR="00F005B1" w:rsidRPr="00EC7D62" w:rsidRDefault="006E05F4" w:rsidP="00A50FCF">
    <w:pPr>
      <w:pStyle w:val="Header"/>
      <w:tabs>
        <w:tab w:val="clear" w:pos="4320"/>
        <w:tab w:val="clear" w:pos="8640"/>
      </w:tabs>
      <w:jc w:val="center"/>
      <w:rPr>
        <w:sz w:val="22"/>
        <w:szCs w:val="22"/>
      </w:rPr>
    </w:pPr>
    <w:r>
      <w:rPr>
        <w:noProof/>
        <w:sz w:val="22"/>
        <w:szCs w:val="22"/>
      </w:rPr>
      <w:pict w14:anchorId="5725006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484"/>
    <w:multiLevelType w:val="hybridMultilevel"/>
    <w:tmpl w:val="64325DC0"/>
    <w:lvl w:ilvl="0" w:tplc="B8624038">
      <w:start w:val="2"/>
      <w:numFmt w:val="upperRoman"/>
      <w:lvlText w:val="%1."/>
      <w:lvlJc w:val="left"/>
      <w:pPr>
        <w:tabs>
          <w:tab w:val="num" w:pos="1440"/>
        </w:tabs>
        <w:ind w:left="1440" w:hanging="720"/>
      </w:pPr>
      <w:rPr>
        <w:rFonts w:cs="Times New Roman" w:hint="default"/>
      </w:rPr>
    </w:lvl>
    <w:lvl w:ilvl="1" w:tplc="F8EE8686">
      <w:start w:val="1"/>
      <w:numFmt w:val="decimal"/>
      <w:pStyle w:val="estilo3"/>
      <w:lvlText w:val="%2."/>
      <w:lvlJc w:val="left"/>
      <w:pPr>
        <w:tabs>
          <w:tab w:val="num" w:pos="1170"/>
        </w:tabs>
        <w:ind w:left="117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1F0678"/>
    <w:multiLevelType w:val="hybridMultilevel"/>
    <w:tmpl w:val="C6AE9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A3BA2"/>
    <w:multiLevelType w:val="hybridMultilevel"/>
    <w:tmpl w:val="C6AE9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DE497B"/>
    <w:multiLevelType w:val="hybridMultilevel"/>
    <w:tmpl w:val="5CF0BFEA"/>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1B68F9"/>
    <w:multiLevelType w:val="hybridMultilevel"/>
    <w:tmpl w:val="B9FEF594"/>
    <w:lvl w:ilvl="0" w:tplc="C9BCCD0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6C6531"/>
    <w:multiLevelType w:val="hybridMultilevel"/>
    <w:tmpl w:val="77102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EEA35C5"/>
    <w:multiLevelType w:val="hybridMultilevel"/>
    <w:tmpl w:val="AC40BE76"/>
    <w:lvl w:ilvl="0" w:tplc="27A89DB0">
      <w:start w:val="1"/>
      <w:numFmt w:val="decimal"/>
      <w:lvlText w:val="%1."/>
      <w:lvlJc w:val="left"/>
      <w:pPr>
        <w:ind w:left="45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495"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6150C0"/>
    <w:multiLevelType w:val="hybridMultilevel"/>
    <w:tmpl w:val="C08E834A"/>
    <w:lvl w:ilvl="0" w:tplc="4378C7C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C8D89E34"/>
    <w:lvl w:ilvl="0" w:tplc="9FD8D00A">
      <w:start w:val="1"/>
      <w:numFmt w:val="decimal"/>
      <w:lvlText w:val="%1."/>
      <w:lvlJc w:val="left"/>
      <w:pPr>
        <w:ind w:left="72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9093C2C"/>
    <w:multiLevelType w:val="hybridMultilevel"/>
    <w:tmpl w:val="2340B4D8"/>
    <w:lvl w:ilvl="0" w:tplc="3BF2036E">
      <w:start w:val="1"/>
      <w:numFmt w:val="decimal"/>
      <w:lvlText w:val="%1."/>
      <w:lvlJc w:val="left"/>
      <w:pPr>
        <w:ind w:left="135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BE32DA4"/>
    <w:multiLevelType w:val="hybridMultilevel"/>
    <w:tmpl w:val="6D48BB92"/>
    <w:lvl w:ilvl="0" w:tplc="72E4155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E6084074"/>
    <w:lvl w:ilvl="0" w:tplc="FC34F45C">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C928A3"/>
    <w:multiLevelType w:val="hybridMultilevel"/>
    <w:tmpl w:val="2578C52C"/>
    <w:lvl w:ilvl="0" w:tplc="A42A57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60998"/>
    <w:multiLevelType w:val="hybridMultilevel"/>
    <w:tmpl w:val="AC40BE76"/>
    <w:lvl w:ilvl="0" w:tplc="27A89DB0">
      <w:start w:val="1"/>
      <w:numFmt w:val="decimal"/>
      <w:lvlText w:val="%1."/>
      <w:lvlJc w:val="left"/>
      <w:pPr>
        <w:ind w:left="45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1"/>
  </w:num>
  <w:num w:numId="4">
    <w:abstractNumId w:val="24"/>
  </w:num>
  <w:num w:numId="5">
    <w:abstractNumId w:val="52"/>
  </w:num>
  <w:num w:numId="6">
    <w:abstractNumId w:val="29"/>
  </w:num>
  <w:num w:numId="7">
    <w:abstractNumId w:val="8"/>
  </w:num>
  <w:num w:numId="8">
    <w:abstractNumId w:val="20"/>
  </w:num>
  <w:num w:numId="9">
    <w:abstractNumId w:val="45"/>
  </w:num>
  <w:num w:numId="10">
    <w:abstractNumId w:val="1"/>
  </w:num>
  <w:num w:numId="11">
    <w:abstractNumId w:val="39"/>
  </w:num>
  <w:num w:numId="12">
    <w:abstractNumId w:val="40"/>
  </w:num>
  <w:num w:numId="13">
    <w:abstractNumId w:val="47"/>
  </w:num>
  <w:num w:numId="14">
    <w:abstractNumId w:val="2"/>
  </w:num>
  <w:num w:numId="15">
    <w:abstractNumId w:val="5"/>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51"/>
  </w:num>
  <w:num w:numId="42">
    <w:abstractNumId w:val="54"/>
  </w:num>
  <w:num w:numId="43">
    <w:abstractNumId w:val="56"/>
  </w:num>
  <w:num w:numId="44">
    <w:abstractNumId w:val="59"/>
  </w:num>
  <w:num w:numId="45">
    <w:abstractNumId w:val="60"/>
  </w:num>
  <w:num w:numId="46">
    <w:abstractNumId w:val="62"/>
  </w:num>
  <w:num w:numId="47">
    <w:abstractNumId w:val="63"/>
  </w:num>
  <w:num w:numId="48">
    <w:abstractNumId w:val="64"/>
  </w:num>
  <w:num w:numId="49">
    <w:abstractNumId w:val="66"/>
  </w:num>
  <w:num w:numId="50">
    <w:abstractNumId w:val="68"/>
  </w:num>
  <w:num w:numId="51">
    <w:abstractNumId w:val="23"/>
  </w:num>
  <w:num w:numId="52">
    <w:abstractNumId w:val="44"/>
  </w:num>
  <w:num w:numId="53">
    <w:abstractNumId w:val="57"/>
  </w:num>
  <w:num w:numId="54">
    <w:abstractNumId w:val="49"/>
  </w:num>
  <w:num w:numId="55">
    <w:abstractNumId w:val="67"/>
  </w:num>
  <w:num w:numId="56">
    <w:abstractNumId w:val="50"/>
  </w:num>
  <w:num w:numId="57">
    <w:abstractNumId w:val="48"/>
  </w:num>
  <w:num w:numId="58">
    <w:abstractNumId w:val="55"/>
  </w:num>
  <w:num w:numId="59">
    <w:abstractNumId w:val="0"/>
  </w:num>
  <w:num w:numId="60">
    <w:abstractNumId w:val="19"/>
  </w:num>
  <w:num w:numId="61">
    <w:abstractNumId w:val="58"/>
  </w:num>
  <w:num w:numId="62">
    <w:abstractNumId w:val="53"/>
    <w:lvlOverride w:ilvl="0">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65"/>
  </w:num>
  <w:num w:numId="66">
    <w:abstractNumId w:val="19"/>
    <w:lvlOverride w:ilvl="0">
      <w:startOverride w:val="1"/>
    </w:lvlOverride>
  </w:num>
  <w:num w:numId="67">
    <w:abstractNumId w:val="19"/>
    <w:lvlOverride w:ilvl="0">
      <w:startOverride w:val="1"/>
    </w:lvlOverride>
  </w:num>
  <w:num w:numId="68">
    <w:abstractNumId w:val="58"/>
    <w:lvlOverride w:ilvl="0">
      <w:startOverride w:val="1"/>
    </w:lvlOverride>
  </w:num>
  <w:num w:numId="69">
    <w:abstractNumId w:val="3"/>
  </w:num>
  <w:num w:numId="70">
    <w:abstractNumId w:val="41"/>
  </w:num>
  <w:num w:numId="71">
    <w:abstractNumId w:val="14"/>
  </w:num>
  <w:num w:numId="72">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74"/>
    <w:rsid w:val="00000CDA"/>
    <w:rsid w:val="00002497"/>
    <w:rsid w:val="0000309D"/>
    <w:rsid w:val="000031EC"/>
    <w:rsid w:val="00004630"/>
    <w:rsid w:val="0000547E"/>
    <w:rsid w:val="00005834"/>
    <w:rsid w:val="00006DCA"/>
    <w:rsid w:val="00006E1F"/>
    <w:rsid w:val="000070D7"/>
    <w:rsid w:val="00007506"/>
    <w:rsid w:val="00007B91"/>
    <w:rsid w:val="00007D4C"/>
    <w:rsid w:val="00007F84"/>
    <w:rsid w:val="00011662"/>
    <w:rsid w:val="00011E17"/>
    <w:rsid w:val="000127C3"/>
    <w:rsid w:val="00012FCE"/>
    <w:rsid w:val="0001348F"/>
    <w:rsid w:val="0001550E"/>
    <w:rsid w:val="00015AA6"/>
    <w:rsid w:val="000166C8"/>
    <w:rsid w:val="00016A79"/>
    <w:rsid w:val="00016C80"/>
    <w:rsid w:val="0001788C"/>
    <w:rsid w:val="00020808"/>
    <w:rsid w:val="00020999"/>
    <w:rsid w:val="000219F1"/>
    <w:rsid w:val="00021DBF"/>
    <w:rsid w:val="000241A0"/>
    <w:rsid w:val="00024307"/>
    <w:rsid w:val="000246E9"/>
    <w:rsid w:val="00026248"/>
    <w:rsid w:val="000265CB"/>
    <w:rsid w:val="000277E6"/>
    <w:rsid w:val="0002788B"/>
    <w:rsid w:val="000308B6"/>
    <w:rsid w:val="000310D2"/>
    <w:rsid w:val="00031FC0"/>
    <w:rsid w:val="0003283D"/>
    <w:rsid w:val="000331BB"/>
    <w:rsid w:val="000336FE"/>
    <w:rsid w:val="00033BFF"/>
    <w:rsid w:val="00035518"/>
    <w:rsid w:val="000358EC"/>
    <w:rsid w:val="00036141"/>
    <w:rsid w:val="00037E23"/>
    <w:rsid w:val="00040C3A"/>
    <w:rsid w:val="0004124D"/>
    <w:rsid w:val="000413EE"/>
    <w:rsid w:val="000416D4"/>
    <w:rsid w:val="00041997"/>
    <w:rsid w:val="00041D86"/>
    <w:rsid w:val="0004488C"/>
    <w:rsid w:val="000451D1"/>
    <w:rsid w:val="0004562F"/>
    <w:rsid w:val="0004594F"/>
    <w:rsid w:val="00045D4D"/>
    <w:rsid w:val="00046EC4"/>
    <w:rsid w:val="00047B57"/>
    <w:rsid w:val="00050821"/>
    <w:rsid w:val="00051CE0"/>
    <w:rsid w:val="000520E5"/>
    <w:rsid w:val="000536B0"/>
    <w:rsid w:val="0005379E"/>
    <w:rsid w:val="00053E07"/>
    <w:rsid w:val="00053E54"/>
    <w:rsid w:val="0005428B"/>
    <w:rsid w:val="00055921"/>
    <w:rsid w:val="000604C0"/>
    <w:rsid w:val="00061170"/>
    <w:rsid w:val="0006162E"/>
    <w:rsid w:val="00061AE5"/>
    <w:rsid w:val="00061F1B"/>
    <w:rsid w:val="00061FF0"/>
    <w:rsid w:val="0006236A"/>
    <w:rsid w:val="00062E8A"/>
    <w:rsid w:val="0006351D"/>
    <w:rsid w:val="00063B94"/>
    <w:rsid w:val="00064127"/>
    <w:rsid w:val="00064223"/>
    <w:rsid w:val="00065151"/>
    <w:rsid w:val="00065BCB"/>
    <w:rsid w:val="00065F05"/>
    <w:rsid w:val="00066FDC"/>
    <w:rsid w:val="000677AF"/>
    <w:rsid w:val="00067F9E"/>
    <w:rsid w:val="0007094B"/>
    <w:rsid w:val="0007098C"/>
    <w:rsid w:val="00070EA5"/>
    <w:rsid w:val="000716C5"/>
    <w:rsid w:val="000719D0"/>
    <w:rsid w:val="000726A0"/>
    <w:rsid w:val="000737C6"/>
    <w:rsid w:val="00074C42"/>
    <w:rsid w:val="000753BC"/>
    <w:rsid w:val="00075E23"/>
    <w:rsid w:val="000761A9"/>
    <w:rsid w:val="00076946"/>
    <w:rsid w:val="00076A78"/>
    <w:rsid w:val="000802BC"/>
    <w:rsid w:val="000807BA"/>
    <w:rsid w:val="0008232A"/>
    <w:rsid w:val="00082BA8"/>
    <w:rsid w:val="000835E5"/>
    <w:rsid w:val="00083CDE"/>
    <w:rsid w:val="00083D86"/>
    <w:rsid w:val="000842C9"/>
    <w:rsid w:val="0008461D"/>
    <w:rsid w:val="00084BB4"/>
    <w:rsid w:val="00084D3E"/>
    <w:rsid w:val="000862FE"/>
    <w:rsid w:val="00087833"/>
    <w:rsid w:val="00090145"/>
    <w:rsid w:val="00091B2B"/>
    <w:rsid w:val="00092461"/>
    <w:rsid w:val="000927AD"/>
    <w:rsid w:val="00093181"/>
    <w:rsid w:val="0009344A"/>
    <w:rsid w:val="00093556"/>
    <w:rsid w:val="00093C55"/>
    <w:rsid w:val="00094BDA"/>
    <w:rsid w:val="00096CF3"/>
    <w:rsid w:val="00097134"/>
    <w:rsid w:val="000A045E"/>
    <w:rsid w:val="000A07AF"/>
    <w:rsid w:val="000A13E3"/>
    <w:rsid w:val="000A16F3"/>
    <w:rsid w:val="000A17A5"/>
    <w:rsid w:val="000A2001"/>
    <w:rsid w:val="000A2DAB"/>
    <w:rsid w:val="000A392E"/>
    <w:rsid w:val="000A550C"/>
    <w:rsid w:val="000A575F"/>
    <w:rsid w:val="000A772F"/>
    <w:rsid w:val="000A7B08"/>
    <w:rsid w:val="000A7B77"/>
    <w:rsid w:val="000A7E9C"/>
    <w:rsid w:val="000B13BF"/>
    <w:rsid w:val="000B1644"/>
    <w:rsid w:val="000B20BD"/>
    <w:rsid w:val="000B20D8"/>
    <w:rsid w:val="000B2106"/>
    <w:rsid w:val="000B4539"/>
    <w:rsid w:val="000B48DA"/>
    <w:rsid w:val="000B4E45"/>
    <w:rsid w:val="000B4FFB"/>
    <w:rsid w:val="000B5F66"/>
    <w:rsid w:val="000B74FA"/>
    <w:rsid w:val="000C0CA0"/>
    <w:rsid w:val="000C1284"/>
    <w:rsid w:val="000C195B"/>
    <w:rsid w:val="000C1DAE"/>
    <w:rsid w:val="000C2D9C"/>
    <w:rsid w:val="000C3E4C"/>
    <w:rsid w:val="000C54A2"/>
    <w:rsid w:val="000C5AAB"/>
    <w:rsid w:val="000D05BD"/>
    <w:rsid w:val="000D099D"/>
    <w:rsid w:val="000D0F9B"/>
    <w:rsid w:val="000D10DB"/>
    <w:rsid w:val="000D1BCF"/>
    <w:rsid w:val="000D29C8"/>
    <w:rsid w:val="000D34DB"/>
    <w:rsid w:val="000D4CE1"/>
    <w:rsid w:val="000D5652"/>
    <w:rsid w:val="000D5912"/>
    <w:rsid w:val="000D6DAC"/>
    <w:rsid w:val="000D746A"/>
    <w:rsid w:val="000E0631"/>
    <w:rsid w:val="000E0F4F"/>
    <w:rsid w:val="000E11CF"/>
    <w:rsid w:val="000E1302"/>
    <w:rsid w:val="000E1D07"/>
    <w:rsid w:val="000E274C"/>
    <w:rsid w:val="000E3364"/>
    <w:rsid w:val="000E42EA"/>
    <w:rsid w:val="000E467B"/>
    <w:rsid w:val="000E513D"/>
    <w:rsid w:val="000E5B36"/>
    <w:rsid w:val="000E5EB5"/>
    <w:rsid w:val="000E6331"/>
    <w:rsid w:val="000E6810"/>
    <w:rsid w:val="000E7947"/>
    <w:rsid w:val="000F0495"/>
    <w:rsid w:val="000F2057"/>
    <w:rsid w:val="000F35ED"/>
    <w:rsid w:val="000F43A8"/>
    <w:rsid w:val="000F494B"/>
    <w:rsid w:val="000F5186"/>
    <w:rsid w:val="000F64EA"/>
    <w:rsid w:val="000F6D9D"/>
    <w:rsid w:val="000F78E7"/>
    <w:rsid w:val="001010E3"/>
    <w:rsid w:val="00101137"/>
    <w:rsid w:val="00101DC6"/>
    <w:rsid w:val="00102615"/>
    <w:rsid w:val="00102AF7"/>
    <w:rsid w:val="00102B7B"/>
    <w:rsid w:val="001038FA"/>
    <w:rsid w:val="00104FA7"/>
    <w:rsid w:val="00105334"/>
    <w:rsid w:val="00106036"/>
    <w:rsid w:val="00107131"/>
    <w:rsid w:val="0010736F"/>
    <w:rsid w:val="001074EE"/>
    <w:rsid w:val="00107C66"/>
    <w:rsid w:val="00107F37"/>
    <w:rsid w:val="00110CDB"/>
    <w:rsid w:val="00110DAC"/>
    <w:rsid w:val="0011191A"/>
    <w:rsid w:val="00111AD0"/>
    <w:rsid w:val="00112588"/>
    <w:rsid w:val="0011299D"/>
    <w:rsid w:val="00113F73"/>
    <w:rsid w:val="0011576B"/>
    <w:rsid w:val="00115814"/>
    <w:rsid w:val="00115A54"/>
    <w:rsid w:val="00115F81"/>
    <w:rsid w:val="001171AF"/>
    <w:rsid w:val="0012111D"/>
    <w:rsid w:val="00121CC2"/>
    <w:rsid w:val="001220B7"/>
    <w:rsid w:val="001221F9"/>
    <w:rsid w:val="001237DE"/>
    <w:rsid w:val="00124F62"/>
    <w:rsid w:val="001258BC"/>
    <w:rsid w:val="00126BB9"/>
    <w:rsid w:val="00127951"/>
    <w:rsid w:val="0013022F"/>
    <w:rsid w:val="00130514"/>
    <w:rsid w:val="001313E4"/>
    <w:rsid w:val="00131497"/>
    <w:rsid w:val="0013225C"/>
    <w:rsid w:val="00133648"/>
    <w:rsid w:val="001337A7"/>
    <w:rsid w:val="00133A5D"/>
    <w:rsid w:val="00133EE5"/>
    <w:rsid w:val="00135978"/>
    <w:rsid w:val="00135B69"/>
    <w:rsid w:val="001364D8"/>
    <w:rsid w:val="00140684"/>
    <w:rsid w:val="00140A6C"/>
    <w:rsid w:val="00141084"/>
    <w:rsid w:val="00141E6D"/>
    <w:rsid w:val="001425B4"/>
    <w:rsid w:val="00142FD7"/>
    <w:rsid w:val="0014403D"/>
    <w:rsid w:val="00145890"/>
    <w:rsid w:val="00145FEC"/>
    <w:rsid w:val="001466AB"/>
    <w:rsid w:val="00147027"/>
    <w:rsid w:val="001474B4"/>
    <w:rsid w:val="001515AF"/>
    <w:rsid w:val="0015255F"/>
    <w:rsid w:val="00152D31"/>
    <w:rsid w:val="0015406E"/>
    <w:rsid w:val="00154644"/>
    <w:rsid w:val="00154984"/>
    <w:rsid w:val="00154A98"/>
    <w:rsid w:val="00156981"/>
    <w:rsid w:val="001575BF"/>
    <w:rsid w:val="001610D2"/>
    <w:rsid w:val="001612A6"/>
    <w:rsid w:val="00161414"/>
    <w:rsid w:val="0016163F"/>
    <w:rsid w:val="001616AF"/>
    <w:rsid w:val="00162A5A"/>
    <w:rsid w:val="00162DA4"/>
    <w:rsid w:val="00162F22"/>
    <w:rsid w:val="0016544D"/>
    <w:rsid w:val="0016747C"/>
    <w:rsid w:val="00167A34"/>
    <w:rsid w:val="00170D77"/>
    <w:rsid w:val="00172429"/>
    <w:rsid w:val="00172538"/>
    <w:rsid w:val="0017372C"/>
    <w:rsid w:val="00174313"/>
    <w:rsid w:val="0017533B"/>
    <w:rsid w:val="00175993"/>
    <w:rsid w:val="0017691B"/>
    <w:rsid w:val="001772CC"/>
    <w:rsid w:val="0017778A"/>
    <w:rsid w:val="001801CE"/>
    <w:rsid w:val="001802A0"/>
    <w:rsid w:val="00180B78"/>
    <w:rsid w:val="00181E75"/>
    <w:rsid w:val="00182CC7"/>
    <w:rsid w:val="0018354E"/>
    <w:rsid w:val="00183DB4"/>
    <w:rsid w:val="00184955"/>
    <w:rsid w:val="00186A05"/>
    <w:rsid w:val="001872BC"/>
    <w:rsid w:val="0019007D"/>
    <w:rsid w:val="00190195"/>
    <w:rsid w:val="00190BCA"/>
    <w:rsid w:val="00191BCE"/>
    <w:rsid w:val="00192533"/>
    <w:rsid w:val="00192962"/>
    <w:rsid w:val="00194106"/>
    <w:rsid w:val="00194611"/>
    <w:rsid w:val="0019509E"/>
    <w:rsid w:val="001970B3"/>
    <w:rsid w:val="00197403"/>
    <w:rsid w:val="001974A3"/>
    <w:rsid w:val="00197E50"/>
    <w:rsid w:val="001A034C"/>
    <w:rsid w:val="001A0C3F"/>
    <w:rsid w:val="001A0CB8"/>
    <w:rsid w:val="001A21B4"/>
    <w:rsid w:val="001A4058"/>
    <w:rsid w:val="001A44B0"/>
    <w:rsid w:val="001A4D09"/>
    <w:rsid w:val="001A6DB5"/>
    <w:rsid w:val="001A6E22"/>
    <w:rsid w:val="001A6EF3"/>
    <w:rsid w:val="001A7870"/>
    <w:rsid w:val="001B1BE6"/>
    <w:rsid w:val="001B229F"/>
    <w:rsid w:val="001B237C"/>
    <w:rsid w:val="001B28EF"/>
    <w:rsid w:val="001B3541"/>
    <w:rsid w:val="001B49DD"/>
    <w:rsid w:val="001B61A9"/>
    <w:rsid w:val="001B7DC6"/>
    <w:rsid w:val="001C050A"/>
    <w:rsid w:val="001C0E33"/>
    <w:rsid w:val="001C0F16"/>
    <w:rsid w:val="001C1B41"/>
    <w:rsid w:val="001C1FBE"/>
    <w:rsid w:val="001C2B50"/>
    <w:rsid w:val="001C2FA8"/>
    <w:rsid w:val="001C3273"/>
    <w:rsid w:val="001C34E0"/>
    <w:rsid w:val="001C3707"/>
    <w:rsid w:val="001C3B7A"/>
    <w:rsid w:val="001C4A80"/>
    <w:rsid w:val="001C572F"/>
    <w:rsid w:val="001C6C41"/>
    <w:rsid w:val="001C71FC"/>
    <w:rsid w:val="001C78CE"/>
    <w:rsid w:val="001D0061"/>
    <w:rsid w:val="001D12A6"/>
    <w:rsid w:val="001D230D"/>
    <w:rsid w:val="001D34D3"/>
    <w:rsid w:val="001D3631"/>
    <w:rsid w:val="001D4EE2"/>
    <w:rsid w:val="001D551C"/>
    <w:rsid w:val="001D55AD"/>
    <w:rsid w:val="001D65B0"/>
    <w:rsid w:val="001D65EF"/>
    <w:rsid w:val="001D6829"/>
    <w:rsid w:val="001D791B"/>
    <w:rsid w:val="001D7A78"/>
    <w:rsid w:val="001E01F1"/>
    <w:rsid w:val="001E0261"/>
    <w:rsid w:val="001E04D5"/>
    <w:rsid w:val="001E054E"/>
    <w:rsid w:val="001E13BD"/>
    <w:rsid w:val="001E1991"/>
    <w:rsid w:val="001E1D04"/>
    <w:rsid w:val="001E28DA"/>
    <w:rsid w:val="001E2D2C"/>
    <w:rsid w:val="001E3062"/>
    <w:rsid w:val="001E31B5"/>
    <w:rsid w:val="001E3A45"/>
    <w:rsid w:val="001E3D48"/>
    <w:rsid w:val="001E45AA"/>
    <w:rsid w:val="001E5F6D"/>
    <w:rsid w:val="001E70ED"/>
    <w:rsid w:val="001E73E4"/>
    <w:rsid w:val="001F0149"/>
    <w:rsid w:val="001F0CC1"/>
    <w:rsid w:val="001F0E68"/>
    <w:rsid w:val="001F1230"/>
    <w:rsid w:val="001F3A4D"/>
    <w:rsid w:val="001F469A"/>
    <w:rsid w:val="001F69B8"/>
    <w:rsid w:val="001F6DAB"/>
    <w:rsid w:val="001F72EF"/>
    <w:rsid w:val="001F77B0"/>
    <w:rsid w:val="001F7F49"/>
    <w:rsid w:val="001F7F83"/>
    <w:rsid w:val="002011B2"/>
    <w:rsid w:val="0020199B"/>
    <w:rsid w:val="002027C1"/>
    <w:rsid w:val="00202DCF"/>
    <w:rsid w:val="0020369B"/>
    <w:rsid w:val="00204B1D"/>
    <w:rsid w:val="00204EA7"/>
    <w:rsid w:val="0020556A"/>
    <w:rsid w:val="0020581A"/>
    <w:rsid w:val="002063C3"/>
    <w:rsid w:val="0021054D"/>
    <w:rsid w:val="00210FB7"/>
    <w:rsid w:val="00211FB8"/>
    <w:rsid w:val="00212028"/>
    <w:rsid w:val="00212554"/>
    <w:rsid w:val="00220487"/>
    <w:rsid w:val="00220F8A"/>
    <w:rsid w:val="00221008"/>
    <w:rsid w:val="002212A0"/>
    <w:rsid w:val="00221825"/>
    <w:rsid w:val="0022297B"/>
    <w:rsid w:val="00222A5F"/>
    <w:rsid w:val="00222DA5"/>
    <w:rsid w:val="002231DC"/>
    <w:rsid w:val="00224740"/>
    <w:rsid w:val="002247E3"/>
    <w:rsid w:val="00224FB6"/>
    <w:rsid w:val="002250A3"/>
    <w:rsid w:val="00225BAD"/>
    <w:rsid w:val="00225BFC"/>
    <w:rsid w:val="002262DD"/>
    <w:rsid w:val="00227CC8"/>
    <w:rsid w:val="002302D7"/>
    <w:rsid w:val="002312D9"/>
    <w:rsid w:val="00231488"/>
    <w:rsid w:val="00231AF3"/>
    <w:rsid w:val="00231F27"/>
    <w:rsid w:val="00234402"/>
    <w:rsid w:val="00235217"/>
    <w:rsid w:val="00236786"/>
    <w:rsid w:val="0023795D"/>
    <w:rsid w:val="0024191D"/>
    <w:rsid w:val="00241E56"/>
    <w:rsid w:val="0024300C"/>
    <w:rsid w:val="0024331A"/>
    <w:rsid w:val="0024520C"/>
    <w:rsid w:val="00245670"/>
    <w:rsid w:val="00245BF1"/>
    <w:rsid w:val="00246358"/>
    <w:rsid w:val="002468B3"/>
    <w:rsid w:val="00246D1F"/>
    <w:rsid w:val="00247403"/>
    <w:rsid w:val="00247542"/>
    <w:rsid w:val="00247C1B"/>
    <w:rsid w:val="00250013"/>
    <w:rsid w:val="0025162A"/>
    <w:rsid w:val="00251A16"/>
    <w:rsid w:val="00251EAE"/>
    <w:rsid w:val="00252613"/>
    <w:rsid w:val="00252CBB"/>
    <w:rsid w:val="00253414"/>
    <w:rsid w:val="0025354A"/>
    <w:rsid w:val="00253813"/>
    <w:rsid w:val="002538C7"/>
    <w:rsid w:val="002539AC"/>
    <w:rsid w:val="0025671F"/>
    <w:rsid w:val="00256E9D"/>
    <w:rsid w:val="002611C1"/>
    <w:rsid w:val="00261F98"/>
    <w:rsid w:val="0026295A"/>
    <w:rsid w:val="0026443D"/>
    <w:rsid w:val="00265636"/>
    <w:rsid w:val="00266844"/>
    <w:rsid w:val="00266B61"/>
    <w:rsid w:val="0026712A"/>
    <w:rsid w:val="002704DB"/>
    <w:rsid w:val="00270604"/>
    <w:rsid w:val="00272293"/>
    <w:rsid w:val="0027281F"/>
    <w:rsid w:val="00273BB5"/>
    <w:rsid w:val="00273E61"/>
    <w:rsid w:val="00275243"/>
    <w:rsid w:val="00275C2F"/>
    <w:rsid w:val="00275F40"/>
    <w:rsid w:val="00277155"/>
    <w:rsid w:val="00277F5C"/>
    <w:rsid w:val="0028029B"/>
    <w:rsid w:val="002805AE"/>
    <w:rsid w:val="002819CB"/>
    <w:rsid w:val="00281AE9"/>
    <w:rsid w:val="002840D4"/>
    <w:rsid w:val="00285618"/>
    <w:rsid w:val="00286042"/>
    <w:rsid w:val="00287063"/>
    <w:rsid w:val="00287948"/>
    <w:rsid w:val="00287AAE"/>
    <w:rsid w:val="0029046F"/>
    <w:rsid w:val="002925A7"/>
    <w:rsid w:val="002935DC"/>
    <w:rsid w:val="00293DE7"/>
    <w:rsid w:val="0029409A"/>
    <w:rsid w:val="0029471F"/>
    <w:rsid w:val="00295037"/>
    <w:rsid w:val="0029581B"/>
    <w:rsid w:val="00295EE9"/>
    <w:rsid w:val="0029607A"/>
    <w:rsid w:val="00296A13"/>
    <w:rsid w:val="00296AF6"/>
    <w:rsid w:val="00296DAF"/>
    <w:rsid w:val="00297CF8"/>
    <w:rsid w:val="00297DA2"/>
    <w:rsid w:val="002A0AAE"/>
    <w:rsid w:val="002A0F77"/>
    <w:rsid w:val="002A2085"/>
    <w:rsid w:val="002A2649"/>
    <w:rsid w:val="002A3038"/>
    <w:rsid w:val="002A42AA"/>
    <w:rsid w:val="002A5820"/>
    <w:rsid w:val="002A5DBF"/>
    <w:rsid w:val="002A6A6B"/>
    <w:rsid w:val="002A7838"/>
    <w:rsid w:val="002A7ACC"/>
    <w:rsid w:val="002B09B6"/>
    <w:rsid w:val="002B0C49"/>
    <w:rsid w:val="002B1654"/>
    <w:rsid w:val="002B1D18"/>
    <w:rsid w:val="002B2B73"/>
    <w:rsid w:val="002B3C52"/>
    <w:rsid w:val="002B41F2"/>
    <w:rsid w:val="002B4333"/>
    <w:rsid w:val="002B4658"/>
    <w:rsid w:val="002B4689"/>
    <w:rsid w:val="002B6DF8"/>
    <w:rsid w:val="002C1503"/>
    <w:rsid w:val="002C2B64"/>
    <w:rsid w:val="002C4D3A"/>
    <w:rsid w:val="002C59CC"/>
    <w:rsid w:val="002C6B4C"/>
    <w:rsid w:val="002C6DD2"/>
    <w:rsid w:val="002C714F"/>
    <w:rsid w:val="002C7150"/>
    <w:rsid w:val="002C745C"/>
    <w:rsid w:val="002C7D28"/>
    <w:rsid w:val="002D0103"/>
    <w:rsid w:val="002D04E8"/>
    <w:rsid w:val="002D0B9D"/>
    <w:rsid w:val="002D123B"/>
    <w:rsid w:val="002D2A71"/>
    <w:rsid w:val="002D2B26"/>
    <w:rsid w:val="002D35F9"/>
    <w:rsid w:val="002D3ABF"/>
    <w:rsid w:val="002D6340"/>
    <w:rsid w:val="002D6DF8"/>
    <w:rsid w:val="002D6F66"/>
    <w:rsid w:val="002D7977"/>
    <w:rsid w:val="002D7CA6"/>
    <w:rsid w:val="002D7EA2"/>
    <w:rsid w:val="002E187C"/>
    <w:rsid w:val="002E1D03"/>
    <w:rsid w:val="002E2411"/>
    <w:rsid w:val="002E3D96"/>
    <w:rsid w:val="002E42D6"/>
    <w:rsid w:val="002E4357"/>
    <w:rsid w:val="002E643A"/>
    <w:rsid w:val="002E71B0"/>
    <w:rsid w:val="002E7F9F"/>
    <w:rsid w:val="002F030A"/>
    <w:rsid w:val="002F0391"/>
    <w:rsid w:val="002F1167"/>
    <w:rsid w:val="002F1789"/>
    <w:rsid w:val="002F1E56"/>
    <w:rsid w:val="002F5775"/>
    <w:rsid w:val="002F5AD4"/>
    <w:rsid w:val="002F5C1C"/>
    <w:rsid w:val="002F5E72"/>
    <w:rsid w:val="002F6048"/>
    <w:rsid w:val="002F7F44"/>
    <w:rsid w:val="00300187"/>
    <w:rsid w:val="00300672"/>
    <w:rsid w:val="0030179B"/>
    <w:rsid w:val="00301F10"/>
    <w:rsid w:val="00302733"/>
    <w:rsid w:val="00302F27"/>
    <w:rsid w:val="003057C4"/>
    <w:rsid w:val="0030629B"/>
    <w:rsid w:val="00306326"/>
    <w:rsid w:val="0030633A"/>
    <w:rsid w:val="00306657"/>
    <w:rsid w:val="00306A8C"/>
    <w:rsid w:val="00306B9A"/>
    <w:rsid w:val="00306FA5"/>
    <w:rsid w:val="00310B5D"/>
    <w:rsid w:val="003122CD"/>
    <w:rsid w:val="00312F14"/>
    <w:rsid w:val="0031342D"/>
    <w:rsid w:val="00314078"/>
    <w:rsid w:val="003141FD"/>
    <w:rsid w:val="0031535D"/>
    <w:rsid w:val="00315763"/>
    <w:rsid w:val="00315F73"/>
    <w:rsid w:val="0031730F"/>
    <w:rsid w:val="003174DB"/>
    <w:rsid w:val="003178E3"/>
    <w:rsid w:val="00317912"/>
    <w:rsid w:val="003205B4"/>
    <w:rsid w:val="00322850"/>
    <w:rsid w:val="00322FA4"/>
    <w:rsid w:val="00323B9E"/>
    <w:rsid w:val="00325574"/>
    <w:rsid w:val="00330C8A"/>
    <w:rsid w:val="0033169F"/>
    <w:rsid w:val="00332428"/>
    <w:rsid w:val="00332A54"/>
    <w:rsid w:val="00332FF1"/>
    <w:rsid w:val="00333F1B"/>
    <w:rsid w:val="003347FF"/>
    <w:rsid w:val="00334878"/>
    <w:rsid w:val="00335BEA"/>
    <w:rsid w:val="00335D5F"/>
    <w:rsid w:val="00336266"/>
    <w:rsid w:val="003363C3"/>
    <w:rsid w:val="00336F7B"/>
    <w:rsid w:val="00337015"/>
    <w:rsid w:val="00337213"/>
    <w:rsid w:val="003400EF"/>
    <w:rsid w:val="00340677"/>
    <w:rsid w:val="00340FFE"/>
    <w:rsid w:val="00342542"/>
    <w:rsid w:val="003427D8"/>
    <w:rsid w:val="00342A1B"/>
    <w:rsid w:val="00342FFC"/>
    <w:rsid w:val="00345500"/>
    <w:rsid w:val="00345D92"/>
    <w:rsid w:val="00346637"/>
    <w:rsid w:val="00346C95"/>
    <w:rsid w:val="003477C5"/>
    <w:rsid w:val="00350697"/>
    <w:rsid w:val="0035073E"/>
    <w:rsid w:val="00351B9F"/>
    <w:rsid w:val="00351D17"/>
    <w:rsid w:val="0035450C"/>
    <w:rsid w:val="00356185"/>
    <w:rsid w:val="00356BE7"/>
    <w:rsid w:val="00357159"/>
    <w:rsid w:val="0035731A"/>
    <w:rsid w:val="00357AEB"/>
    <w:rsid w:val="00360368"/>
    <w:rsid w:val="00360380"/>
    <w:rsid w:val="003616F3"/>
    <w:rsid w:val="003619CE"/>
    <w:rsid w:val="00362998"/>
    <w:rsid w:val="003630AF"/>
    <w:rsid w:val="003636D3"/>
    <w:rsid w:val="00363F92"/>
    <w:rsid w:val="00364105"/>
    <w:rsid w:val="00365803"/>
    <w:rsid w:val="00367AF5"/>
    <w:rsid w:val="0037079B"/>
    <w:rsid w:val="00370AA1"/>
    <w:rsid w:val="00370BD1"/>
    <w:rsid w:val="00372431"/>
    <w:rsid w:val="00372B23"/>
    <w:rsid w:val="00372E5B"/>
    <w:rsid w:val="003732CA"/>
    <w:rsid w:val="00373B91"/>
    <w:rsid w:val="00373E33"/>
    <w:rsid w:val="00374BBE"/>
    <w:rsid w:val="00374C4E"/>
    <w:rsid w:val="0037519E"/>
    <w:rsid w:val="003763B1"/>
    <w:rsid w:val="0037673C"/>
    <w:rsid w:val="0037737E"/>
    <w:rsid w:val="00377D93"/>
    <w:rsid w:val="00377E4C"/>
    <w:rsid w:val="00380035"/>
    <w:rsid w:val="00381524"/>
    <w:rsid w:val="003818B0"/>
    <w:rsid w:val="00381ABD"/>
    <w:rsid w:val="00385652"/>
    <w:rsid w:val="00385D81"/>
    <w:rsid w:val="00385E10"/>
    <w:rsid w:val="003865FA"/>
    <w:rsid w:val="00386CF0"/>
    <w:rsid w:val="00390375"/>
    <w:rsid w:val="00390845"/>
    <w:rsid w:val="003908BF"/>
    <w:rsid w:val="00390BCD"/>
    <w:rsid w:val="00391220"/>
    <w:rsid w:val="0039155A"/>
    <w:rsid w:val="00391763"/>
    <w:rsid w:val="00393027"/>
    <w:rsid w:val="003938DC"/>
    <w:rsid w:val="003942F0"/>
    <w:rsid w:val="003942FA"/>
    <w:rsid w:val="0039430B"/>
    <w:rsid w:val="00395688"/>
    <w:rsid w:val="003957CA"/>
    <w:rsid w:val="0039763C"/>
    <w:rsid w:val="00397A2E"/>
    <w:rsid w:val="003A1B0C"/>
    <w:rsid w:val="003A2B93"/>
    <w:rsid w:val="003A2E71"/>
    <w:rsid w:val="003A357C"/>
    <w:rsid w:val="003A3751"/>
    <w:rsid w:val="003A4606"/>
    <w:rsid w:val="003A4B7E"/>
    <w:rsid w:val="003A4D96"/>
    <w:rsid w:val="003A4E74"/>
    <w:rsid w:val="003A65F2"/>
    <w:rsid w:val="003A6CAF"/>
    <w:rsid w:val="003A7AF4"/>
    <w:rsid w:val="003A7F3E"/>
    <w:rsid w:val="003B00A2"/>
    <w:rsid w:val="003B062E"/>
    <w:rsid w:val="003B0A5E"/>
    <w:rsid w:val="003B0D8B"/>
    <w:rsid w:val="003B134B"/>
    <w:rsid w:val="003B1947"/>
    <w:rsid w:val="003B24D4"/>
    <w:rsid w:val="003B29C3"/>
    <w:rsid w:val="003B3C5F"/>
    <w:rsid w:val="003B40F7"/>
    <w:rsid w:val="003B48B6"/>
    <w:rsid w:val="003B4CED"/>
    <w:rsid w:val="003B5083"/>
    <w:rsid w:val="003B58B4"/>
    <w:rsid w:val="003B595A"/>
    <w:rsid w:val="003B607C"/>
    <w:rsid w:val="003B735A"/>
    <w:rsid w:val="003B7960"/>
    <w:rsid w:val="003C003B"/>
    <w:rsid w:val="003C0407"/>
    <w:rsid w:val="003C087D"/>
    <w:rsid w:val="003C0944"/>
    <w:rsid w:val="003C1298"/>
    <w:rsid w:val="003C1913"/>
    <w:rsid w:val="003C26CC"/>
    <w:rsid w:val="003C3917"/>
    <w:rsid w:val="003C4117"/>
    <w:rsid w:val="003C49C6"/>
    <w:rsid w:val="003C49EC"/>
    <w:rsid w:val="003C50E1"/>
    <w:rsid w:val="003C676B"/>
    <w:rsid w:val="003C6ECC"/>
    <w:rsid w:val="003C753B"/>
    <w:rsid w:val="003C7C2F"/>
    <w:rsid w:val="003D065D"/>
    <w:rsid w:val="003D06FB"/>
    <w:rsid w:val="003D1204"/>
    <w:rsid w:val="003D1427"/>
    <w:rsid w:val="003D1475"/>
    <w:rsid w:val="003D2A55"/>
    <w:rsid w:val="003D3342"/>
    <w:rsid w:val="003D3BC2"/>
    <w:rsid w:val="003D3CA5"/>
    <w:rsid w:val="003D4AE8"/>
    <w:rsid w:val="003D79B1"/>
    <w:rsid w:val="003D7A11"/>
    <w:rsid w:val="003D7FDB"/>
    <w:rsid w:val="003E0AE4"/>
    <w:rsid w:val="003E0D23"/>
    <w:rsid w:val="003E10BD"/>
    <w:rsid w:val="003E1A14"/>
    <w:rsid w:val="003E29FA"/>
    <w:rsid w:val="003E4A70"/>
    <w:rsid w:val="003E50F8"/>
    <w:rsid w:val="003E5A05"/>
    <w:rsid w:val="003E5B36"/>
    <w:rsid w:val="003E6A7A"/>
    <w:rsid w:val="003E6B74"/>
    <w:rsid w:val="003E6CA1"/>
    <w:rsid w:val="003E790C"/>
    <w:rsid w:val="003E7B7A"/>
    <w:rsid w:val="003E7D93"/>
    <w:rsid w:val="003F0AA6"/>
    <w:rsid w:val="003F14FD"/>
    <w:rsid w:val="003F1C67"/>
    <w:rsid w:val="003F1D4C"/>
    <w:rsid w:val="003F2C42"/>
    <w:rsid w:val="003F4F42"/>
    <w:rsid w:val="003F53C1"/>
    <w:rsid w:val="003F5598"/>
    <w:rsid w:val="003F7371"/>
    <w:rsid w:val="004004F1"/>
    <w:rsid w:val="0040162A"/>
    <w:rsid w:val="004016DF"/>
    <w:rsid w:val="00402258"/>
    <w:rsid w:val="00402A72"/>
    <w:rsid w:val="004038C0"/>
    <w:rsid w:val="00405EDB"/>
    <w:rsid w:val="00406755"/>
    <w:rsid w:val="00406E29"/>
    <w:rsid w:val="00407899"/>
    <w:rsid w:val="00407F80"/>
    <w:rsid w:val="00410ECE"/>
    <w:rsid w:val="0041193D"/>
    <w:rsid w:val="00411B60"/>
    <w:rsid w:val="00411D99"/>
    <w:rsid w:val="00412456"/>
    <w:rsid w:val="004126D6"/>
    <w:rsid w:val="00412CA2"/>
    <w:rsid w:val="004149B7"/>
    <w:rsid w:val="004152E3"/>
    <w:rsid w:val="004153F2"/>
    <w:rsid w:val="004157EA"/>
    <w:rsid w:val="00416520"/>
    <w:rsid w:val="004165C2"/>
    <w:rsid w:val="00417BD4"/>
    <w:rsid w:val="00420BC9"/>
    <w:rsid w:val="00421CD5"/>
    <w:rsid w:val="00422582"/>
    <w:rsid w:val="00423B3C"/>
    <w:rsid w:val="00423B50"/>
    <w:rsid w:val="004247E2"/>
    <w:rsid w:val="00426B4D"/>
    <w:rsid w:val="0042758C"/>
    <w:rsid w:val="0043016E"/>
    <w:rsid w:val="0043254D"/>
    <w:rsid w:val="00432E1D"/>
    <w:rsid w:val="004333B8"/>
    <w:rsid w:val="004362D9"/>
    <w:rsid w:val="00436C97"/>
    <w:rsid w:val="004372F8"/>
    <w:rsid w:val="0044087E"/>
    <w:rsid w:val="00440FDD"/>
    <w:rsid w:val="004413B1"/>
    <w:rsid w:val="00441ECB"/>
    <w:rsid w:val="00442A19"/>
    <w:rsid w:val="00444450"/>
    <w:rsid w:val="00444457"/>
    <w:rsid w:val="00444C2B"/>
    <w:rsid w:val="00444FB3"/>
    <w:rsid w:val="004455B7"/>
    <w:rsid w:val="0044626B"/>
    <w:rsid w:val="00447C2D"/>
    <w:rsid w:val="00450640"/>
    <w:rsid w:val="0045086D"/>
    <w:rsid w:val="004508FD"/>
    <w:rsid w:val="00450F8A"/>
    <w:rsid w:val="00454991"/>
    <w:rsid w:val="00454EC2"/>
    <w:rsid w:val="00455F1C"/>
    <w:rsid w:val="00456611"/>
    <w:rsid w:val="00462071"/>
    <w:rsid w:val="0046342B"/>
    <w:rsid w:val="00463C5A"/>
    <w:rsid w:val="00466087"/>
    <w:rsid w:val="00466798"/>
    <w:rsid w:val="00467166"/>
    <w:rsid w:val="00467B7E"/>
    <w:rsid w:val="0047379F"/>
    <w:rsid w:val="004741B3"/>
    <w:rsid w:val="00474BC7"/>
    <w:rsid w:val="00476B52"/>
    <w:rsid w:val="00476B70"/>
    <w:rsid w:val="00477592"/>
    <w:rsid w:val="004778B8"/>
    <w:rsid w:val="00480334"/>
    <w:rsid w:val="00480F7A"/>
    <w:rsid w:val="00481541"/>
    <w:rsid w:val="004825CC"/>
    <w:rsid w:val="00483203"/>
    <w:rsid w:val="00483F40"/>
    <w:rsid w:val="004853DD"/>
    <w:rsid w:val="00486F1C"/>
    <w:rsid w:val="0048739C"/>
    <w:rsid w:val="00487AD4"/>
    <w:rsid w:val="004907F0"/>
    <w:rsid w:val="004921E5"/>
    <w:rsid w:val="00492972"/>
    <w:rsid w:val="00493EF0"/>
    <w:rsid w:val="00494052"/>
    <w:rsid w:val="0049419D"/>
    <w:rsid w:val="004945D6"/>
    <w:rsid w:val="00495554"/>
    <w:rsid w:val="00495600"/>
    <w:rsid w:val="00495A09"/>
    <w:rsid w:val="00497190"/>
    <w:rsid w:val="004A1166"/>
    <w:rsid w:val="004A1398"/>
    <w:rsid w:val="004A18FF"/>
    <w:rsid w:val="004A1D2D"/>
    <w:rsid w:val="004A2A6B"/>
    <w:rsid w:val="004A2FC6"/>
    <w:rsid w:val="004A32EF"/>
    <w:rsid w:val="004A5180"/>
    <w:rsid w:val="004A5B9B"/>
    <w:rsid w:val="004A635E"/>
    <w:rsid w:val="004A66C0"/>
    <w:rsid w:val="004A71FF"/>
    <w:rsid w:val="004A7E3C"/>
    <w:rsid w:val="004B02B5"/>
    <w:rsid w:val="004B1D51"/>
    <w:rsid w:val="004B2866"/>
    <w:rsid w:val="004B2A95"/>
    <w:rsid w:val="004B2B7A"/>
    <w:rsid w:val="004B41F2"/>
    <w:rsid w:val="004B535E"/>
    <w:rsid w:val="004B66B6"/>
    <w:rsid w:val="004B67AE"/>
    <w:rsid w:val="004C070C"/>
    <w:rsid w:val="004C0AB0"/>
    <w:rsid w:val="004C20D2"/>
    <w:rsid w:val="004C224E"/>
    <w:rsid w:val="004C239F"/>
    <w:rsid w:val="004C319B"/>
    <w:rsid w:val="004C41DF"/>
    <w:rsid w:val="004C4B62"/>
    <w:rsid w:val="004C4DC5"/>
    <w:rsid w:val="004C54C9"/>
    <w:rsid w:val="004C6EF3"/>
    <w:rsid w:val="004C7566"/>
    <w:rsid w:val="004C7D1A"/>
    <w:rsid w:val="004C7FA2"/>
    <w:rsid w:val="004D02E2"/>
    <w:rsid w:val="004D1E8B"/>
    <w:rsid w:val="004D23E2"/>
    <w:rsid w:val="004D2EB7"/>
    <w:rsid w:val="004D316D"/>
    <w:rsid w:val="004D5E73"/>
    <w:rsid w:val="004D6025"/>
    <w:rsid w:val="004D70F4"/>
    <w:rsid w:val="004E1563"/>
    <w:rsid w:val="004E2093"/>
    <w:rsid w:val="004E2378"/>
    <w:rsid w:val="004E23F1"/>
    <w:rsid w:val="004E2649"/>
    <w:rsid w:val="004E2C41"/>
    <w:rsid w:val="004E2D72"/>
    <w:rsid w:val="004E3113"/>
    <w:rsid w:val="004E3528"/>
    <w:rsid w:val="004E5B5C"/>
    <w:rsid w:val="004E6355"/>
    <w:rsid w:val="004E6D75"/>
    <w:rsid w:val="004E6EA6"/>
    <w:rsid w:val="004E723D"/>
    <w:rsid w:val="004E79EC"/>
    <w:rsid w:val="004E7DFA"/>
    <w:rsid w:val="004F0107"/>
    <w:rsid w:val="004F0288"/>
    <w:rsid w:val="004F0ED5"/>
    <w:rsid w:val="004F450C"/>
    <w:rsid w:val="004F4E20"/>
    <w:rsid w:val="004F656F"/>
    <w:rsid w:val="004F788A"/>
    <w:rsid w:val="004F7979"/>
    <w:rsid w:val="00501060"/>
    <w:rsid w:val="00501399"/>
    <w:rsid w:val="00501887"/>
    <w:rsid w:val="00502057"/>
    <w:rsid w:val="0050293D"/>
    <w:rsid w:val="005030B0"/>
    <w:rsid w:val="0050366B"/>
    <w:rsid w:val="00504209"/>
    <w:rsid w:val="005048D8"/>
    <w:rsid w:val="00504D47"/>
    <w:rsid w:val="00505000"/>
    <w:rsid w:val="005056C5"/>
    <w:rsid w:val="0050572F"/>
    <w:rsid w:val="00505F17"/>
    <w:rsid w:val="0050633D"/>
    <w:rsid w:val="00506778"/>
    <w:rsid w:val="00507BC4"/>
    <w:rsid w:val="00507E81"/>
    <w:rsid w:val="0051084C"/>
    <w:rsid w:val="00510B9D"/>
    <w:rsid w:val="00510BE7"/>
    <w:rsid w:val="00511E0F"/>
    <w:rsid w:val="005127A9"/>
    <w:rsid w:val="005128E4"/>
    <w:rsid w:val="005133DB"/>
    <w:rsid w:val="00513401"/>
    <w:rsid w:val="005134EA"/>
    <w:rsid w:val="00513E67"/>
    <w:rsid w:val="00514B5C"/>
    <w:rsid w:val="00514E2C"/>
    <w:rsid w:val="00515C44"/>
    <w:rsid w:val="00515E1C"/>
    <w:rsid w:val="00516470"/>
    <w:rsid w:val="0051759E"/>
    <w:rsid w:val="005177BE"/>
    <w:rsid w:val="00520AC1"/>
    <w:rsid w:val="00520D8C"/>
    <w:rsid w:val="00521E09"/>
    <w:rsid w:val="005240AD"/>
    <w:rsid w:val="00524E1F"/>
    <w:rsid w:val="00525560"/>
    <w:rsid w:val="00525CC8"/>
    <w:rsid w:val="0052753B"/>
    <w:rsid w:val="005276CE"/>
    <w:rsid w:val="005277A6"/>
    <w:rsid w:val="00527E15"/>
    <w:rsid w:val="00534405"/>
    <w:rsid w:val="005358D0"/>
    <w:rsid w:val="0053686A"/>
    <w:rsid w:val="00540365"/>
    <w:rsid w:val="00540CEA"/>
    <w:rsid w:val="0054190E"/>
    <w:rsid w:val="00542201"/>
    <w:rsid w:val="00542E67"/>
    <w:rsid w:val="00542E76"/>
    <w:rsid w:val="00544C49"/>
    <w:rsid w:val="0054554A"/>
    <w:rsid w:val="00545658"/>
    <w:rsid w:val="00545B6E"/>
    <w:rsid w:val="0055008C"/>
    <w:rsid w:val="005506C0"/>
    <w:rsid w:val="00550816"/>
    <w:rsid w:val="005516A1"/>
    <w:rsid w:val="00551C00"/>
    <w:rsid w:val="00551EEB"/>
    <w:rsid w:val="00552A59"/>
    <w:rsid w:val="00552F96"/>
    <w:rsid w:val="005535BE"/>
    <w:rsid w:val="00555B44"/>
    <w:rsid w:val="00556117"/>
    <w:rsid w:val="0055649D"/>
    <w:rsid w:val="0055713B"/>
    <w:rsid w:val="00557343"/>
    <w:rsid w:val="00557554"/>
    <w:rsid w:val="005577AD"/>
    <w:rsid w:val="00557885"/>
    <w:rsid w:val="005639B7"/>
    <w:rsid w:val="00563C20"/>
    <w:rsid w:val="00563CC4"/>
    <w:rsid w:val="0056444B"/>
    <w:rsid w:val="00564CE1"/>
    <w:rsid w:val="00565A9E"/>
    <w:rsid w:val="0056776F"/>
    <w:rsid w:val="00572624"/>
    <w:rsid w:val="00573240"/>
    <w:rsid w:val="0057402A"/>
    <w:rsid w:val="00576CE2"/>
    <w:rsid w:val="005771D0"/>
    <w:rsid w:val="005773E2"/>
    <w:rsid w:val="00577A6C"/>
    <w:rsid w:val="00581512"/>
    <w:rsid w:val="00582C12"/>
    <w:rsid w:val="00582C81"/>
    <w:rsid w:val="00584172"/>
    <w:rsid w:val="005850DC"/>
    <w:rsid w:val="005858A4"/>
    <w:rsid w:val="005863CA"/>
    <w:rsid w:val="00586AA7"/>
    <w:rsid w:val="005877AD"/>
    <w:rsid w:val="00587B56"/>
    <w:rsid w:val="00587B79"/>
    <w:rsid w:val="00590147"/>
    <w:rsid w:val="0059088D"/>
    <w:rsid w:val="005908CB"/>
    <w:rsid w:val="005916A9"/>
    <w:rsid w:val="0059191A"/>
    <w:rsid w:val="005921FF"/>
    <w:rsid w:val="0059224A"/>
    <w:rsid w:val="0059232F"/>
    <w:rsid w:val="00594668"/>
    <w:rsid w:val="0059568E"/>
    <w:rsid w:val="00595BC2"/>
    <w:rsid w:val="00595DF4"/>
    <w:rsid w:val="00595EAE"/>
    <w:rsid w:val="00597139"/>
    <w:rsid w:val="005975C8"/>
    <w:rsid w:val="00597E5A"/>
    <w:rsid w:val="005A178A"/>
    <w:rsid w:val="005A1E24"/>
    <w:rsid w:val="005A2988"/>
    <w:rsid w:val="005A2F94"/>
    <w:rsid w:val="005A348C"/>
    <w:rsid w:val="005A35FE"/>
    <w:rsid w:val="005A3813"/>
    <w:rsid w:val="005A4488"/>
    <w:rsid w:val="005A478A"/>
    <w:rsid w:val="005A4C92"/>
    <w:rsid w:val="005A6D0E"/>
    <w:rsid w:val="005A7B4A"/>
    <w:rsid w:val="005B094C"/>
    <w:rsid w:val="005B13A7"/>
    <w:rsid w:val="005B174D"/>
    <w:rsid w:val="005B1CE2"/>
    <w:rsid w:val="005B1D1D"/>
    <w:rsid w:val="005B382F"/>
    <w:rsid w:val="005B4749"/>
    <w:rsid w:val="005B4BCA"/>
    <w:rsid w:val="005B5005"/>
    <w:rsid w:val="005B52B0"/>
    <w:rsid w:val="005B54B0"/>
    <w:rsid w:val="005B585D"/>
    <w:rsid w:val="005B5CF4"/>
    <w:rsid w:val="005B6806"/>
    <w:rsid w:val="005B6E19"/>
    <w:rsid w:val="005B7C64"/>
    <w:rsid w:val="005B7FDA"/>
    <w:rsid w:val="005C04AD"/>
    <w:rsid w:val="005C0AC5"/>
    <w:rsid w:val="005C0DAC"/>
    <w:rsid w:val="005C0F66"/>
    <w:rsid w:val="005C14B0"/>
    <w:rsid w:val="005C157B"/>
    <w:rsid w:val="005C2709"/>
    <w:rsid w:val="005C4225"/>
    <w:rsid w:val="005C42CD"/>
    <w:rsid w:val="005C438F"/>
    <w:rsid w:val="005C4446"/>
    <w:rsid w:val="005C4E52"/>
    <w:rsid w:val="005C5440"/>
    <w:rsid w:val="005C5AFC"/>
    <w:rsid w:val="005C75CF"/>
    <w:rsid w:val="005C7A11"/>
    <w:rsid w:val="005D1152"/>
    <w:rsid w:val="005D201A"/>
    <w:rsid w:val="005D24F8"/>
    <w:rsid w:val="005D2E35"/>
    <w:rsid w:val="005D3F24"/>
    <w:rsid w:val="005D4092"/>
    <w:rsid w:val="005D42C6"/>
    <w:rsid w:val="005D4522"/>
    <w:rsid w:val="005D4EC5"/>
    <w:rsid w:val="005D70AF"/>
    <w:rsid w:val="005D7D7C"/>
    <w:rsid w:val="005E0436"/>
    <w:rsid w:val="005E0B34"/>
    <w:rsid w:val="005E1953"/>
    <w:rsid w:val="005E235F"/>
    <w:rsid w:val="005E236D"/>
    <w:rsid w:val="005E2711"/>
    <w:rsid w:val="005E3AD8"/>
    <w:rsid w:val="005E3B2D"/>
    <w:rsid w:val="005E4117"/>
    <w:rsid w:val="005E4E07"/>
    <w:rsid w:val="005E53A5"/>
    <w:rsid w:val="005E6031"/>
    <w:rsid w:val="005E7027"/>
    <w:rsid w:val="005E7969"/>
    <w:rsid w:val="005E7F10"/>
    <w:rsid w:val="005E7FA1"/>
    <w:rsid w:val="005F0D52"/>
    <w:rsid w:val="005F0DAD"/>
    <w:rsid w:val="005F0F33"/>
    <w:rsid w:val="005F1A6C"/>
    <w:rsid w:val="005F254C"/>
    <w:rsid w:val="005F28D3"/>
    <w:rsid w:val="005F3BC6"/>
    <w:rsid w:val="005F4CA7"/>
    <w:rsid w:val="005F530E"/>
    <w:rsid w:val="005F5E68"/>
    <w:rsid w:val="005F6100"/>
    <w:rsid w:val="00600120"/>
    <w:rsid w:val="00600738"/>
    <w:rsid w:val="00600DEB"/>
    <w:rsid w:val="0060116F"/>
    <w:rsid w:val="00601555"/>
    <w:rsid w:val="0060166C"/>
    <w:rsid w:val="00602384"/>
    <w:rsid w:val="00602431"/>
    <w:rsid w:val="00603758"/>
    <w:rsid w:val="0060385E"/>
    <w:rsid w:val="006039DE"/>
    <w:rsid w:val="00604381"/>
    <w:rsid w:val="0060469B"/>
    <w:rsid w:val="00604A3C"/>
    <w:rsid w:val="00605782"/>
    <w:rsid w:val="006069E6"/>
    <w:rsid w:val="00607543"/>
    <w:rsid w:val="00611D1B"/>
    <w:rsid w:val="006121B0"/>
    <w:rsid w:val="00612F62"/>
    <w:rsid w:val="00613832"/>
    <w:rsid w:val="00614C63"/>
    <w:rsid w:val="006151CD"/>
    <w:rsid w:val="006154BD"/>
    <w:rsid w:val="0061619F"/>
    <w:rsid w:val="00616E74"/>
    <w:rsid w:val="00617C06"/>
    <w:rsid w:val="00620D40"/>
    <w:rsid w:val="006214D6"/>
    <w:rsid w:val="0062239B"/>
    <w:rsid w:val="0062273F"/>
    <w:rsid w:val="006233C2"/>
    <w:rsid w:val="006241C6"/>
    <w:rsid w:val="00624F35"/>
    <w:rsid w:val="00624F61"/>
    <w:rsid w:val="00625735"/>
    <w:rsid w:val="006262B3"/>
    <w:rsid w:val="00626BE5"/>
    <w:rsid w:val="0062780E"/>
    <w:rsid w:val="00627C9F"/>
    <w:rsid w:val="00627D7A"/>
    <w:rsid w:val="006305F3"/>
    <w:rsid w:val="00630827"/>
    <w:rsid w:val="00630DFC"/>
    <w:rsid w:val="006311E9"/>
    <w:rsid w:val="00632354"/>
    <w:rsid w:val="0063414B"/>
    <w:rsid w:val="006350C8"/>
    <w:rsid w:val="0063554E"/>
    <w:rsid w:val="00635D78"/>
    <w:rsid w:val="00635E1C"/>
    <w:rsid w:val="0063612C"/>
    <w:rsid w:val="00636832"/>
    <w:rsid w:val="00637181"/>
    <w:rsid w:val="00637247"/>
    <w:rsid w:val="00640429"/>
    <w:rsid w:val="00640588"/>
    <w:rsid w:val="0064083D"/>
    <w:rsid w:val="00640E59"/>
    <w:rsid w:val="00641344"/>
    <w:rsid w:val="00642575"/>
    <w:rsid w:val="00642750"/>
    <w:rsid w:val="00642810"/>
    <w:rsid w:val="006432D2"/>
    <w:rsid w:val="00643DA7"/>
    <w:rsid w:val="00644E60"/>
    <w:rsid w:val="00645CE7"/>
    <w:rsid w:val="00646845"/>
    <w:rsid w:val="00647014"/>
    <w:rsid w:val="006479B6"/>
    <w:rsid w:val="00651945"/>
    <w:rsid w:val="00651C0B"/>
    <w:rsid w:val="00652333"/>
    <w:rsid w:val="00652E79"/>
    <w:rsid w:val="006535A9"/>
    <w:rsid w:val="00654B4A"/>
    <w:rsid w:val="006551E9"/>
    <w:rsid w:val="006552A6"/>
    <w:rsid w:val="00656309"/>
    <w:rsid w:val="00656E1D"/>
    <w:rsid w:val="0066032C"/>
    <w:rsid w:val="00660956"/>
    <w:rsid w:val="00660E35"/>
    <w:rsid w:val="00660F7F"/>
    <w:rsid w:val="006610FD"/>
    <w:rsid w:val="00661421"/>
    <w:rsid w:val="006624EE"/>
    <w:rsid w:val="00665089"/>
    <w:rsid w:val="006664D5"/>
    <w:rsid w:val="00670778"/>
    <w:rsid w:val="00672422"/>
    <w:rsid w:val="00673861"/>
    <w:rsid w:val="00673E50"/>
    <w:rsid w:val="006741A1"/>
    <w:rsid w:val="00674653"/>
    <w:rsid w:val="0067470D"/>
    <w:rsid w:val="00675298"/>
    <w:rsid w:val="00676BF1"/>
    <w:rsid w:val="00676C95"/>
    <w:rsid w:val="00677470"/>
    <w:rsid w:val="0068009E"/>
    <w:rsid w:val="006803C2"/>
    <w:rsid w:val="00692219"/>
    <w:rsid w:val="00692917"/>
    <w:rsid w:val="00692AE2"/>
    <w:rsid w:val="00693C51"/>
    <w:rsid w:val="0069546F"/>
    <w:rsid w:val="006974C7"/>
    <w:rsid w:val="006A17D2"/>
    <w:rsid w:val="006A1DA9"/>
    <w:rsid w:val="006A2B5A"/>
    <w:rsid w:val="006A364B"/>
    <w:rsid w:val="006A473C"/>
    <w:rsid w:val="006A581A"/>
    <w:rsid w:val="006A73E6"/>
    <w:rsid w:val="006A7737"/>
    <w:rsid w:val="006A7864"/>
    <w:rsid w:val="006B006D"/>
    <w:rsid w:val="006B08D4"/>
    <w:rsid w:val="006B0DDC"/>
    <w:rsid w:val="006B0E43"/>
    <w:rsid w:val="006B1210"/>
    <w:rsid w:val="006B187D"/>
    <w:rsid w:val="006B2D5C"/>
    <w:rsid w:val="006B3DDD"/>
    <w:rsid w:val="006B3FCB"/>
    <w:rsid w:val="006B434C"/>
    <w:rsid w:val="006B5311"/>
    <w:rsid w:val="006B7502"/>
    <w:rsid w:val="006B7AE4"/>
    <w:rsid w:val="006C1159"/>
    <w:rsid w:val="006C1175"/>
    <w:rsid w:val="006C2B50"/>
    <w:rsid w:val="006C3BF1"/>
    <w:rsid w:val="006C4EB1"/>
    <w:rsid w:val="006C6E5C"/>
    <w:rsid w:val="006C7053"/>
    <w:rsid w:val="006C74EA"/>
    <w:rsid w:val="006D2D18"/>
    <w:rsid w:val="006D3683"/>
    <w:rsid w:val="006D3C46"/>
    <w:rsid w:val="006D5647"/>
    <w:rsid w:val="006D5B5C"/>
    <w:rsid w:val="006D7008"/>
    <w:rsid w:val="006E0166"/>
    <w:rsid w:val="006E05F4"/>
    <w:rsid w:val="006E0C18"/>
    <w:rsid w:val="006E13C3"/>
    <w:rsid w:val="006E175F"/>
    <w:rsid w:val="006E19D8"/>
    <w:rsid w:val="006E1E04"/>
    <w:rsid w:val="006E2CB5"/>
    <w:rsid w:val="006E3CBE"/>
    <w:rsid w:val="006E4766"/>
    <w:rsid w:val="006E4988"/>
    <w:rsid w:val="006E4D34"/>
    <w:rsid w:val="006E5380"/>
    <w:rsid w:val="006E5B1D"/>
    <w:rsid w:val="006E684A"/>
    <w:rsid w:val="006E7029"/>
    <w:rsid w:val="006E7B34"/>
    <w:rsid w:val="006F0B5B"/>
    <w:rsid w:val="006F0C21"/>
    <w:rsid w:val="006F11B5"/>
    <w:rsid w:val="006F18C8"/>
    <w:rsid w:val="006F24BA"/>
    <w:rsid w:val="006F26F5"/>
    <w:rsid w:val="006F2C82"/>
    <w:rsid w:val="006F3212"/>
    <w:rsid w:val="006F4954"/>
    <w:rsid w:val="006F6065"/>
    <w:rsid w:val="007008EB"/>
    <w:rsid w:val="00700B10"/>
    <w:rsid w:val="00700B66"/>
    <w:rsid w:val="0070114F"/>
    <w:rsid w:val="00701397"/>
    <w:rsid w:val="00701472"/>
    <w:rsid w:val="007017E9"/>
    <w:rsid w:val="00701A06"/>
    <w:rsid w:val="00702232"/>
    <w:rsid w:val="00702517"/>
    <w:rsid w:val="0070354F"/>
    <w:rsid w:val="00703939"/>
    <w:rsid w:val="007042B2"/>
    <w:rsid w:val="00704521"/>
    <w:rsid w:val="00704555"/>
    <w:rsid w:val="00704DC5"/>
    <w:rsid w:val="007050C7"/>
    <w:rsid w:val="0070520E"/>
    <w:rsid w:val="007054F2"/>
    <w:rsid w:val="00705D67"/>
    <w:rsid w:val="0070619C"/>
    <w:rsid w:val="0070625E"/>
    <w:rsid w:val="0070697F"/>
    <w:rsid w:val="007071DC"/>
    <w:rsid w:val="007102A7"/>
    <w:rsid w:val="00710BE9"/>
    <w:rsid w:val="0071138D"/>
    <w:rsid w:val="007114CC"/>
    <w:rsid w:val="00711F36"/>
    <w:rsid w:val="0071376C"/>
    <w:rsid w:val="007139AB"/>
    <w:rsid w:val="007139BB"/>
    <w:rsid w:val="00713EA7"/>
    <w:rsid w:val="00715201"/>
    <w:rsid w:val="00715ACB"/>
    <w:rsid w:val="00715F47"/>
    <w:rsid w:val="00716096"/>
    <w:rsid w:val="00716666"/>
    <w:rsid w:val="00716F66"/>
    <w:rsid w:val="00717666"/>
    <w:rsid w:val="00717B07"/>
    <w:rsid w:val="007202A3"/>
    <w:rsid w:val="0072072C"/>
    <w:rsid w:val="007218A3"/>
    <w:rsid w:val="0072199C"/>
    <w:rsid w:val="00721B2F"/>
    <w:rsid w:val="0072248E"/>
    <w:rsid w:val="007227D8"/>
    <w:rsid w:val="00722C9F"/>
    <w:rsid w:val="00723D88"/>
    <w:rsid w:val="00723F3C"/>
    <w:rsid w:val="007244BB"/>
    <w:rsid w:val="00724550"/>
    <w:rsid w:val="00724E41"/>
    <w:rsid w:val="007253B8"/>
    <w:rsid w:val="00725553"/>
    <w:rsid w:val="00726714"/>
    <w:rsid w:val="00727BFD"/>
    <w:rsid w:val="00727D76"/>
    <w:rsid w:val="007312B7"/>
    <w:rsid w:val="0073152E"/>
    <w:rsid w:val="00731BF5"/>
    <w:rsid w:val="00731F01"/>
    <w:rsid w:val="007326FB"/>
    <w:rsid w:val="007327C2"/>
    <w:rsid w:val="00733D92"/>
    <w:rsid w:val="007341A2"/>
    <w:rsid w:val="00734308"/>
    <w:rsid w:val="0073470A"/>
    <w:rsid w:val="00735F53"/>
    <w:rsid w:val="00736514"/>
    <w:rsid w:val="007372D2"/>
    <w:rsid w:val="0073741F"/>
    <w:rsid w:val="0073789E"/>
    <w:rsid w:val="00740E3C"/>
    <w:rsid w:val="00740F20"/>
    <w:rsid w:val="007413F3"/>
    <w:rsid w:val="007419C9"/>
    <w:rsid w:val="007419E9"/>
    <w:rsid w:val="00743116"/>
    <w:rsid w:val="00743E72"/>
    <w:rsid w:val="0074427B"/>
    <w:rsid w:val="007444AA"/>
    <w:rsid w:val="0074474E"/>
    <w:rsid w:val="00744F57"/>
    <w:rsid w:val="00745577"/>
    <w:rsid w:val="00745794"/>
    <w:rsid w:val="00745CDB"/>
    <w:rsid w:val="00746F41"/>
    <w:rsid w:val="00747BBB"/>
    <w:rsid w:val="0075036D"/>
    <w:rsid w:val="007504D6"/>
    <w:rsid w:val="007504E2"/>
    <w:rsid w:val="007514E9"/>
    <w:rsid w:val="007516B0"/>
    <w:rsid w:val="007528C2"/>
    <w:rsid w:val="00752FB2"/>
    <w:rsid w:val="00754414"/>
    <w:rsid w:val="00754548"/>
    <w:rsid w:val="00754C1E"/>
    <w:rsid w:val="007552AC"/>
    <w:rsid w:val="007554AF"/>
    <w:rsid w:val="00755873"/>
    <w:rsid w:val="007559BB"/>
    <w:rsid w:val="00755BDC"/>
    <w:rsid w:val="007569BA"/>
    <w:rsid w:val="007569F0"/>
    <w:rsid w:val="0075722E"/>
    <w:rsid w:val="0075744A"/>
    <w:rsid w:val="0076001F"/>
    <w:rsid w:val="00761A43"/>
    <w:rsid w:val="00761AB4"/>
    <w:rsid w:val="00762ABB"/>
    <w:rsid w:val="00762E68"/>
    <w:rsid w:val="0076643F"/>
    <w:rsid w:val="00767482"/>
    <w:rsid w:val="007677CD"/>
    <w:rsid w:val="00767F7D"/>
    <w:rsid w:val="0077058F"/>
    <w:rsid w:val="00771C1D"/>
    <w:rsid w:val="00772678"/>
    <w:rsid w:val="00772786"/>
    <w:rsid w:val="007735A5"/>
    <w:rsid w:val="00774960"/>
    <w:rsid w:val="0077607C"/>
    <w:rsid w:val="00776BFB"/>
    <w:rsid w:val="00777058"/>
    <w:rsid w:val="00777B3D"/>
    <w:rsid w:val="00777F63"/>
    <w:rsid w:val="007801D7"/>
    <w:rsid w:val="0078023F"/>
    <w:rsid w:val="00780398"/>
    <w:rsid w:val="00781310"/>
    <w:rsid w:val="007814B4"/>
    <w:rsid w:val="00782018"/>
    <w:rsid w:val="00784610"/>
    <w:rsid w:val="00784B49"/>
    <w:rsid w:val="00785100"/>
    <w:rsid w:val="00785183"/>
    <w:rsid w:val="00785318"/>
    <w:rsid w:val="00785D30"/>
    <w:rsid w:val="00786177"/>
    <w:rsid w:val="00786301"/>
    <w:rsid w:val="00786D27"/>
    <w:rsid w:val="007870F8"/>
    <w:rsid w:val="007875E8"/>
    <w:rsid w:val="007928ED"/>
    <w:rsid w:val="00792B26"/>
    <w:rsid w:val="00792B41"/>
    <w:rsid w:val="007935FD"/>
    <w:rsid w:val="00793EDB"/>
    <w:rsid w:val="00794847"/>
    <w:rsid w:val="0079632D"/>
    <w:rsid w:val="00796564"/>
    <w:rsid w:val="00796EBF"/>
    <w:rsid w:val="007A12CB"/>
    <w:rsid w:val="007A1DE0"/>
    <w:rsid w:val="007A257B"/>
    <w:rsid w:val="007A2C58"/>
    <w:rsid w:val="007A35DC"/>
    <w:rsid w:val="007A3760"/>
    <w:rsid w:val="007A4B02"/>
    <w:rsid w:val="007A4B98"/>
    <w:rsid w:val="007A4BD3"/>
    <w:rsid w:val="007A4C8E"/>
    <w:rsid w:val="007A5817"/>
    <w:rsid w:val="007A5ED9"/>
    <w:rsid w:val="007A6BBB"/>
    <w:rsid w:val="007B1F5C"/>
    <w:rsid w:val="007B1F60"/>
    <w:rsid w:val="007B27A3"/>
    <w:rsid w:val="007B27B5"/>
    <w:rsid w:val="007B342C"/>
    <w:rsid w:val="007B3970"/>
    <w:rsid w:val="007B4325"/>
    <w:rsid w:val="007B4426"/>
    <w:rsid w:val="007B6078"/>
    <w:rsid w:val="007B60E9"/>
    <w:rsid w:val="007B6C18"/>
    <w:rsid w:val="007B6CC3"/>
    <w:rsid w:val="007B719B"/>
    <w:rsid w:val="007B739B"/>
    <w:rsid w:val="007B7D98"/>
    <w:rsid w:val="007C10B3"/>
    <w:rsid w:val="007C113D"/>
    <w:rsid w:val="007C293C"/>
    <w:rsid w:val="007C2AAE"/>
    <w:rsid w:val="007C3334"/>
    <w:rsid w:val="007C390E"/>
    <w:rsid w:val="007C3A53"/>
    <w:rsid w:val="007C474F"/>
    <w:rsid w:val="007C5585"/>
    <w:rsid w:val="007C58FD"/>
    <w:rsid w:val="007C5C27"/>
    <w:rsid w:val="007C5FA1"/>
    <w:rsid w:val="007C680F"/>
    <w:rsid w:val="007D02FE"/>
    <w:rsid w:val="007D0BA3"/>
    <w:rsid w:val="007D1025"/>
    <w:rsid w:val="007D19B1"/>
    <w:rsid w:val="007D2B98"/>
    <w:rsid w:val="007D38CF"/>
    <w:rsid w:val="007D3BD1"/>
    <w:rsid w:val="007D46C8"/>
    <w:rsid w:val="007D56B6"/>
    <w:rsid w:val="007D5E9C"/>
    <w:rsid w:val="007E00A3"/>
    <w:rsid w:val="007E033C"/>
    <w:rsid w:val="007E098C"/>
    <w:rsid w:val="007E0AF5"/>
    <w:rsid w:val="007E0BE6"/>
    <w:rsid w:val="007E1B15"/>
    <w:rsid w:val="007E21BC"/>
    <w:rsid w:val="007E2B6A"/>
    <w:rsid w:val="007E2E66"/>
    <w:rsid w:val="007E343E"/>
    <w:rsid w:val="007E43EB"/>
    <w:rsid w:val="007E528A"/>
    <w:rsid w:val="007E553F"/>
    <w:rsid w:val="007E5D8B"/>
    <w:rsid w:val="007E5FB8"/>
    <w:rsid w:val="007E6004"/>
    <w:rsid w:val="007E6324"/>
    <w:rsid w:val="007E7246"/>
    <w:rsid w:val="007E7FC1"/>
    <w:rsid w:val="007F0979"/>
    <w:rsid w:val="007F0DD4"/>
    <w:rsid w:val="007F28F8"/>
    <w:rsid w:val="007F37B6"/>
    <w:rsid w:val="007F4ABB"/>
    <w:rsid w:val="007F6DB8"/>
    <w:rsid w:val="0080031A"/>
    <w:rsid w:val="00800462"/>
    <w:rsid w:val="008005F9"/>
    <w:rsid w:val="00801DA6"/>
    <w:rsid w:val="00802169"/>
    <w:rsid w:val="008027CF"/>
    <w:rsid w:val="0080355F"/>
    <w:rsid w:val="00803962"/>
    <w:rsid w:val="00803F1C"/>
    <w:rsid w:val="00804361"/>
    <w:rsid w:val="0080600E"/>
    <w:rsid w:val="00807244"/>
    <w:rsid w:val="00807545"/>
    <w:rsid w:val="0080778E"/>
    <w:rsid w:val="00810001"/>
    <w:rsid w:val="00810362"/>
    <w:rsid w:val="00812DCB"/>
    <w:rsid w:val="00812F08"/>
    <w:rsid w:val="00813108"/>
    <w:rsid w:val="00813FBE"/>
    <w:rsid w:val="00814005"/>
    <w:rsid w:val="0081424D"/>
    <w:rsid w:val="00814511"/>
    <w:rsid w:val="0081497B"/>
    <w:rsid w:val="00815498"/>
    <w:rsid w:val="008165C5"/>
    <w:rsid w:val="008169C5"/>
    <w:rsid w:val="00817612"/>
    <w:rsid w:val="00821D9F"/>
    <w:rsid w:val="0082513C"/>
    <w:rsid w:val="00825378"/>
    <w:rsid w:val="0082542B"/>
    <w:rsid w:val="00831D90"/>
    <w:rsid w:val="008330EB"/>
    <w:rsid w:val="008338A4"/>
    <w:rsid w:val="00833D69"/>
    <w:rsid w:val="00834518"/>
    <w:rsid w:val="00834E0F"/>
    <w:rsid w:val="00834E86"/>
    <w:rsid w:val="008358C7"/>
    <w:rsid w:val="00835A1C"/>
    <w:rsid w:val="00835C95"/>
    <w:rsid w:val="00835D98"/>
    <w:rsid w:val="00836D50"/>
    <w:rsid w:val="00837183"/>
    <w:rsid w:val="00837C45"/>
    <w:rsid w:val="00837E93"/>
    <w:rsid w:val="00840BBB"/>
    <w:rsid w:val="0084183E"/>
    <w:rsid w:val="00842CBB"/>
    <w:rsid w:val="00844730"/>
    <w:rsid w:val="00844929"/>
    <w:rsid w:val="008451E7"/>
    <w:rsid w:val="00845267"/>
    <w:rsid w:val="008452F1"/>
    <w:rsid w:val="008454A5"/>
    <w:rsid w:val="008457C2"/>
    <w:rsid w:val="00845EEB"/>
    <w:rsid w:val="0084701B"/>
    <w:rsid w:val="008502FB"/>
    <w:rsid w:val="00851930"/>
    <w:rsid w:val="008520A5"/>
    <w:rsid w:val="00852456"/>
    <w:rsid w:val="0085353B"/>
    <w:rsid w:val="0085356B"/>
    <w:rsid w:val="00853640"/>
    <w:rsid w:val="00853731"/>
    <w:rsid w:val="00853C5D"/>
    <w:rsid w:val="00854C66"/>
    <w:rsid w:val="00856996"/>
    <w:rsid w:val="008570D2"/>
    <w:rsid w:val="00857A82"/>
    <w:rsid w:val="00857AF0"/>
    <w:rsid w:val="00857D7C"/>
    <w:rsid w:val="0086046C"/>
    <w:rsid w:val="0086180D"/>
    <w:rsid w:val="00861EB5"/>
    <w:rsid w:val="008626A3"/>
    <w:rsid w:val="00862B86"/>
    <w:rsid w:val="00863A8B"/>
    <w:rsid w:val="00864065"/>
    <w:rsid w:val="008647ED"/>
    <w:rsid w:val="00864C71"/>
    <w:rsid w:val="008655D5"/>
    <w:rsid w:val="00865F19"/>
    <w:rsid w:val="008660B7"/>
    <w:rsid w:val="00866579"/>
    <w:rsid w:val="00867197"/>
    <w:rsid w:val="008700FE"/>
    <w:rsid w:val="008701FD"/>
    <w:rsid w:val="008703AA"/>
    <w:rsid w:val="008708BB"/>
    <w:rsid w:val="0087097B"/>
    <w:rsid w:val="00870A49"/>
    <w:rsid w:val="00870F93"/>
    <w:rsid w:val="00871A9B"/>
    <w:rsid w:val="0087254E"/>
    <w:rsid w:val="0087307B"/>
    <w:rsid w:val="00873836"/>
    <w:rsid w:val="00873949"/>
    <w:rsid w:val="00874901"/>
    <w:rsid w:val="00875415"/>
    <w:rsid w:val="008769BF"/>
    <w:rsid w:val="0088026A"/>
    <w:rsid w:val="00882740"/>
    <w:rsid w:val="008833D8"/>
    <w:rsid w:val="00883487"/>
    <w:rsid w:val="00884A4A"/>
    <w:rsid w:val="008853FC"/>
    <w:rsid w:val="008855FF"/>
    <w:rsid w:val="00885737"/>
    <w:rsid w:val="00886040"/>
    <w:rsid w:val="00887255"/>
    <w:rsid w:val="0088795E"/>
    <w:rsid w:val="008902DF"/>
    <w:rsid w:val="00890650"/>
    <w:rsid w:val="0089339B"/>
    <w:rsid w:val="008935F3"/>
    <w:rsid w:val="008946C8"/>
    <w:rsid w:val="0089508A"/>
    <w:rsid w:val="008952FC"/>
    <w:rsid w:val="00895700"/>
    <w:rsid w:val="00895D4F"/>
    <w:rsid w:val="00895D99"/>
    <w:rsid w:val="00895E42"/>
    <w:rsid w:val="00895ED0"/>
    <w:rsid w:val="00896E46"/>
    <w:rsid w:val="00897E12"/>
    <w:rsid w:val="008A1476"/>
    <w:rsid w:val="008A14DB"/>
    <w:rsid w:val="008A1C76"/>
    <w:rsid w:val="008A337B"/>
    <w:rsid w:val="008A35EB"/>
    <w:rsid w:val="008A4899"/>
    <w:rsid w:val="008A4F19"/>
    <w:rsid w:val="008A5106"/>
    <w:rsid w:val="008A593F"/>
    <w:rsid w:val="008A5BAC"/>
    <w:rsid w:val="008A6D62"/>
    <w:rsid w:val="008A754D"/>
    <w:rsid w:val="008A7E0F"/>
    <w:rsid w:val="008B0529"/>
    <w:rsid w:val="008B12F5"/>
    <w:rsid w:val="008B1A59"/>
    <w:rsid w:val="008B2537"/>
    <w:rsid w:val="008B2C23"/>
    <w:rsid w:val="008B3B36"/>
    <w:rsid w:val="008B3DE5"/>
    <w:rsid w:val="008B43A5"/>
    <w:rsid w:val="008B5575"/>
    <w:rsid w:val="008B5CA1"/>
    <w:rsid w:val="008B62DD"/>
    <w:rsid w:val="008B66A6"/>
    <w:rsid w:val="008B72B3"/>
    <w:rsid w:val="008B7943"/>
    <w:rsid w:val="008B7B30"/>
    <w:rsid w:val="008C1384"/>
    <w:rsid w:val="008C1E3F"/>
    <w:rsid w:val="008C2C62"/>
    <w:rsid w:val="008C4EA6"/>
    <w:rsid w:val="008C54B5"/>
    <w:rsid w:val="008C5D1D"/>
    <w:rsid w:val="008C651A"/>
    <w:rsid w:val="008C7DF5"/>
    <w:rsid w:val="008D051B"/>
    <w:rsid w:val="008D2098"/>
    <w:rsid w:val="008D365C"/>
    <w:rsid w:val="008D43FF"/>
    <w:rsid w:val="008D44AC"/>
    <w:rsid w:val="008D4DFF"/>
    <w:rsid w:val="008D6575"/>
    <w:rsid w:val="008D768D"/>
    <w:rsid w:val="008E150C"/>
    <w:rsid w:val="008E3131"/>
    <w:rsid w:val="008E3759"/>
    <w:rsid w:val="008E3E05"/>
    <w:rsid w:val="008E640D"/>
    <w:rsid w:val="008F0EA1"/>
    <w:rsid w:val="008F1912"/>
    <w:rsid w:val="008F1A21"/>
    <w:rsid w:val="008F2263"/>
    <w:rsid w:val="008F49F9"/>
    <w:rsid w:val="008F4EE5"/>
    <w:rsid w:val="008F51D8"/>
    <w:rsid w:val="008F7B6C"/>
    <w:rsid w:val="00900102"/>
    <w:rsid w:val="009002DA"/>
    <w:rsid w:val="009006D4"/>
    <w:rsid w:val="0090175D"/>
    <w:rsid w:val="0090270B"/>
    <w:rsid w:val="00902CA4"/>
    <w:rsid w:val="00902F0D"/>
    <w:rsid w:val="00902FB2"/>
    <w:rsid w:val="00903DDB"/>
    <w:rsid w:val="009041DC"/>
    <w:rsid w:val="00904B36"/>
    <w:rsid w:val="00905055"/>
    <w:rsid w:val="00905583"/>
    <w:rsid w:val="00905587"/>
    <w:rsid w:val="0090589D"/>
    <w:rsid w:val="00906159"/>
    <w:rsid w:val="00906CBC"/>
    <w:rsid w:val="009074EB"/>
    <w:rsid w:val="00910542"/>
    <w:rsid w:val="00910DA6"/>
    <w:rsid w:val="009111BE"/>
    <w:rsid w:val="0091274B"/>
    <w:rsid w:val="00912A8D"/>
    <w:rsid w:val="00917B5A"/>
    <w:rsid w:val="00920177"/>
    <w:rsid w:val="00920A58"/>
    <w:rsid w:val="00920A8C"/>
    <w:rsid w:val="00920C6B"/>
    <w:rsid w:val="00922B97"/>
    <w:rsid w:val="009236EB"/>
    <w:rsid w:val="00923951"/>
    <w:rsid w:val="0092405A"/>
    <w:rsid w:val="00924ED5"/>
    <w:rsid w:val="00925599"/>
    <w:rsid w:val="009258D0"/>
    <w:rsid w:val="00926134"/>
    <w:rsid w:val="00926DFF"/>
    <w:rsid w:val="00930190"/>
    <w:rsid w:val="00931FF1"/>
    <w:rsid w:val="00933439"/>
    <w:rsid w:val="00933F2B"/>
    <w:rsid w:val="00934153"/>
    <w:rsid w:val="0093444D"/>
    <w:rsid w:val="00934558"/>
    <w:rsid w:val="00934A2C"/>
    <w:rsid w:val="00935C8F"/>
    <w:rsid w:val="009363B2"/>
    <w:rsid w:val="009365E1"/>
    <w:rsid w:val="00937025"/>
    <w:rsid w:val="00937642"/>
    <w:rsid w:val="0093785D"/>
    <w:rsid w:val="00937DA0"/>
    <w:rsid w:val="00937EE3"/>
    <w:rsid w:val="00937FD8"/>
    <w:rsid w:val="009423BF"/>
    <w:rsid w:val="009423E7"/>
    <w:rsid w:val="00942A71"/>
    <w:rsid w:val="00943130"/>
    <w:rsid w:val="00944F64"/>
    <w:rsid w:val="0094505F"/>
    <w:rsid w:val="00946201"/>
    <w:rsid w:val="009468D4"/>
    <w:rsid w:val="00947322"/>
    <w:rsid w:val="00947A55"/>
    <w:rsid w:val="00947BDC"/>
    <w:rsid w:val="0095062E"/>
    <w:rsid w:val="00953FF5"/>
    <w:rsid w:val="0095520E"/>
    <w:rsid w:val="009556D2"/>
    <w:rsid w:val="00955934"/>
    <w:rsid w:val="00955B2D"/>
    <w:rsid w:val="00956064"/>
    <w:rsid w:val="0095643C"/>
    <w:rsid w:val="00956EA9"/>
    <w:rsid w:val="00956FBE"/>
    <w:rsid w:val="00957724"/>
    <w:rsid w:val="00957C4E"/>
    <w:rsid w:val="009600D7"/>
    <w:rsid w:val="00960B2D"/>
    <w:rsid w:val="00961B02"/>
    <w:rsid w:val="00962ED7"/>
    <w:rsid w:val="00963022"/>
    <w:rsid w:val="00963122"/>
    <w:rsid w:val="00963C75"/>
    <w:rsid w:val="009662A4"/>
    <w:rsid w:val="00966F1D"/>
    <w:rsid w:val="0096706E"/>
    <w:rsid w:val="00967945"/>
    <w:rsid w:val="00967E49"/>
    <w:rsid w:val="00971DA7"/>
    <w:rsid w:val="00972DC2"/>
    <w:rsid w:val="009751B8"/>
    <w:rsid w:val="00975513"/>
    <w:rsid w:val="0097589F"/>
    <w:rsid w:val="00975C4E"/>
    <w:rsid w:val="00976FC8"/>
    <w:rsid w:val="00977129"/>
    <w:rsid w:val="00981838"/>
    <w:rsid w:val="00981FBA"/>
    <w:rsid w:val="00981FDC"/>
    <w:rsid w:val="00982323"/>
    <w:rsid w:val="009832D1"/>
    <w:rsid w:val="009852F1"/>
    <w:rsid w:val="0098602E"/>
    <w:rsid w:val="009863E0"/>
    <w:rsid w:val="009876B0"/>
    <w:rsid w:val="00987A57"/>
    <w:rsid w:val="009916DF"/>
    <w:rsid w:val="00991E05"/>
    <w:rsid w:val="00995178"/>
    <w:rsid w:val="009962EC"/>
    <w:rsid w:val="009976F6"/>
    <w:rsid w:val="00997BC5"/>
    <w:rsid w:val="009A0011"/>
    <w:rsid w:val="009A00CD"/>
    <w:rsid w:val="009A0249"/>
    <w:rsid w:val="009A259A"/>
    <w:rsid w:val="009A2AD1"/>
    <w:rsid w:val="009A2B45"/>
    <w:rsid w:val="009A31EF"/>
    <w:rsid w:val="009A36E6"/>
    <w:rsid w:val="009A4875"/>
    <w:rsid w:val="009A4B18"/>
    <w:rsid w:val="009A4D05"/>
    <w:rsid w:val="009A4F41"/>
    <w:rsid w:val="009A595D"/>
    <w:rsid w:val="009A6C04"/>
    <w:rsid w:val="009A6E1C"/>
    <w:rsid w:val="009A7698"/>
    <w:rsid w:val="009B01F6"/>
    <w:rsid w:val="009B0D90"/>
    <w:rsid w:val="009B1002"/>
    <w:rsid w:val="009B1199"/>
    <w:rsid w:val="009B1A90"/>
    <w:rsid w:val="009B1E64"/>
    <w:rsid w:val="009B25F6"/>
    <w:rsid w:val="009B2E1F"/>
    <w:rsid w:val="009B381B"/>
    <w:rsid w:val="009B42F3"/>
    <w:rsid w:val="009B4708"/>
    <w:rsid w:val="009B4AD5"/>
    <w:rsid w:val="009B4B46"/>
    <w:rsid w:val="009B658A"/>
    <w:rsid w:val="009B6CA1"/>
    <w:rsid w:val="009C0460"/>
    <w:rsid w:val="009C0BC6"/>
    <w:rsid w:val="009C0F03"/>
    <w:rsid w:val="009C1471"/>
    <w:rsid w:val="009C1846"/>
    <w:rsid w:val="009C27C9"/>
    <w:rsid w:val="009C39C4"/>
    <w:rsid w:val="009C597B"/>
    <w:rsid w:val="009C5B12"/>
    <w:rsid w:val="009C5BDC"/>
    <w:rsid w:val="009C7170"/>
    <w:rsid w:val="009C7B5A"/>
    <w:rsid w:val="009C7B89"/>
    <w:rsid w:val="009C7B90"/>
    <w:rsid w:val="009D0198"/>
    <w:rsid w:val="009D1020"/>
    <w:rsid w:val="009D1753"/>
    <w:rsid w:val="009D2747"/>
    <w:rsid w:val="009D290A"/>
    <w:rsid w:val="009D3581"/>
    <w:rsid w:val="009D37A0"/>
    <w:rsid w:val="009D501A"/>
    <w:rsid w:val="009D503D"/>
    <w:rsid w:val="009D53CD"/>
    <w:rsid w:val="009D7611"/>
    <w:rsid w:val="009D76E1"/>
    <w:rsid w:val="009E040E"/>
    <w:rsid w:val="009E0AC2"/>
    <w:rsid w:val="009E0B61"/>
    <w:rsid w:val="009E13BD"/>
    <w:rsid w:val="009E309F"/>
    <w:rsid w:val="009E350F"/>
    <w:rsid w:val="009E4609"/>
    <w:rsid w:val="009E53DE"/>
    <w:rsid w:val="009E6065"/>
    <w:rsid w:val="009E759E"/>
    <w:rsid w:val="009F05ED"/>
    <w:rsid w:val="009F0E10"/>
    <w:rsid w:val="009F1D0C"/>
    <w:rsid w:val="009F22B8"/>
    <w:rsid w:val="009F3762"/>
    <w:rsid w:val="009F4210"/>
    <w:rsid w:val="009F44A8"/>
    <w:rsid w:val="009F53BF"/>
    <w:rsid w:val="009F5563"/>
    <w:rsid w:val="009F591C"/>
    <w:rsid w:val="009F5ED8"/>
    <w:rsid w:val="009F603B"/>
    <w:rsid w:val="009F68C9"/>
    <w:rsid w:val="00A006F1"/>
    <w:rsid w:val="00A0100E"/>
    <w:rsid w:val="00A0130C"/>
    <w:rsid w:val="00A01D04"/>
    <w:rsid w:val="00A01EF3"/>
    <w:rsid w:val="00A033CC"/>
    <w:rsid w:val="00A03648"/>
    <w:rsid w:val="00A03BBF"/>
    <w:rsid w:val="00A0558A"/>
    <w:rsid w:val="00A0587A"/>
    <w:rsid w:val="00A062F7"/>
    <w:rsid w:val="00A066AB"/>
    <w:rsid w:val="00A06C76"/>
    <w:rsid w:val="00A06DA5"/>
    <w:rsid w:val="00A06F27"/>
    <w:rsid w:val="00A072CC"/>
    <w:rsid w:val="00A106CB"/>
    <w:rsid w:val="00A1090E"/>
    <w:rsid w:val="00A11409"/>
    <w:rsid w:val="00A11A3E"/>
    <w:rsid w:val="00A11BC5"/>
    <w:rsid w:val="00A129B9"/>
    <w:rsid w:val="00A1365B"/>
    <w:rsid w:val="00A13812"/>
    <w:rsid w:val="00A13AEC"/>
    <w:rsid w:val="00A143C8"/>
    <w:rsid w:val="00A147B8"/>
    <w:rsid w:val="00A14BC2"/>
    <w:rsid w:val="00A153CA"/>
    <w:rsid w:val="00A169F6"/>
    <w:rsid w:val="00A173F5"/>
    <w:rsid w:val="00A174A2"/>
    <w:rsid w:val="00A20AB1"/>
    <w:rsid w:val="00A20CD5"/>
    <w:rsid w:val="00A24008"/>
    <w:rsid w:val="00A24808"/>
    <w:rsid w:val="00A24E3A"/>
    <w:rsid w:val="00A24E73"/>
    <w:rsid w:val="00A25B85"/>
    <w:rsid w:val="00A26E93"/>
    <w:rsid w:val="00A272C2"/>
    <w:rsid w:val="00A2785C"/>
    <w:rsid w:val="00A27CE7"/>
    <w:rsid w:val="00A3012E"/>
    <w:rsid w:val="00A31760"/>
    <w:rsid w:val="00A3176C"/>
    <w:rsid w:val="00A318DC"/>
    <w:rsid w:val="00A328B3"/>
    <w:rsid w:val="00A332F5"/>
    <w:rsid w:val="00A33D3D"/>
    <w:rsid w:val="00A33F5D"/>
    <w:rsid w:val="00A3447D"/>
    <w:rsid w:val="00A349C5"/>
    <w:rsid w:val="00A34DFE"/>
    <w:rsid w:val="00A3721C"/>
    <w:rsid w:val="00A37A57"/>
    <w:rsid w:val="00A40067"/>
    <w:rsid w:val="00A40D4D"/>
    <w:rsid w:val="00A40F42"/>
    <w:rsid w:val="00A4125B"/>
    <w:rsid w:val="00A4249E"/>
    <w:rsid w:val="00A429D0"/>
    <w:rsid w:val="00A42E99"/>
    <w:rsid w:val="00A4353E"/>
    <w:rsid w:val="00A43CFA"/>
    <w:rsid w:val="00A44068"/>
    <w:rsid w:val="00A4440A"/>
    <w:rsid w:val="00A45884"/>
    <w:rsid w:val="00A45B56"/>
    <w:rsid w:val="00A4609B"/>
    <w:rsid w:val="00A47463"/>
    <w:rsid w:val="00A47679"/>
    <w:rsid w:val="00A47D4F"/>
    <w:rsid w:val="00A50FCF"/>
    <w:rsid w:val="00A51349"/>
    <w:rsid w:val="00A51824"/>
    <w:rsid w:val="00A518C8"/>
    <w:rsid w:val="00A528D1"/>
    <w:rsid w:val="00A52B43"/>
    <w:rsid w:val="00A52D97"/>
    <w:rsid w:val="00A54D92"/>
    <w:rsid w:val="00A550AB"/>
    <w:rsid w:val="00A5517D"/>
    <w:rsid w:val="00A55C26"/>
    <w:rsid w:val="00A561D2"/>
    <w:rsid w:val="00A5636A"/>
    <w:rsid w:val="00A60CD9"/>
    <w:rsid w:val="00A60EC3"/>
    <w:rsid w:val="00A610CD"/>
    <w:rsid w:val="00A6234E"/>
    <w:rsid w:val="00A645B9"/>
    <w:rsid w:val="00A66084"/>
    <w:rsid w:val="00A66A4F"/>
    <w:rsid w:val="00A67A74"/>
    <w:rsid w:val="00A67E5B"/>
    <w:rsid w:val="00A70889"/>
    <w:rsid w:val="00A70D73"/>
    <w:rsid w:val="00A71A8A"/>
    <w:rsid w:val="00A73A4D"/>
    <w:rsid w:val="00A73E6B"/>
    <w:rsid w:val="00A743AD"/>
    <w:rsid w:val="00A7654A"/>
    <w:rsid w:val="00A776E6"/>
    <w:rsid w:val="00A77986"/>
    <w:rsid w:val="00A77E16"/>
    <w:rsid w:val="00A806AA"/>
    <w:rsid w:val="00A80BD0"/>
    <w:rsid w:val="00A81092"/>
    <w:rsid w:val="00A81146"/>
    <w:rsid w:val="00A82587"/>
    <w:rsid w:val="00A82936"/>
    <w:rsid w:val="00A83CA8"/>
    <w:rsid w:val="00A83F59"/>
    <w:rsid w:val="00A84422"/>
    <w:rsid w:val="00A85B08"/>
    <w:rsid w:val="00A85F7B"/>
    <w:rsid w:val="00A879B2"/>
    <w:rsid w:val="00A9136B"/>
    <w:rsid w:val="00A9316F"/>
    <w:rsid w:val="00A94F8B"/>
    <w:rsid w:val="00A950FD"/>
    <w:rsid w:val="00A95727"/>
    <w:rsid w:val="00A9649F"/>
    <w:rsid w:val="00A9665B"/>
    <w:rsid w:val="00A96D8D"/>
    <w:rsid w:val="00A97A2A"/>
    <w:rsid w:val="00AA098A"/>
    <w:rsid w:val="00AA09A2"/>
    <w:rsid w:val="00AA114E"/>
    <w:rsid w:val="00AA199B"/>
    <w:rsid w:val="00AA3091"/>
    <w:rsid w:val="00AA330D"/>
    <w:rsid w:val="00AA4C9B"/>
    <w:rsid w:val="00AA4CDB"/>
    <w:rsid w:val="00AA5D9C"/>
    <w:rsid w:val="00AA6722"/>
    <w:rsid w:val="00AA70F2"/>
    <w:rsid w:val="00AA751F"/>
    <w:rsid w:val="00AA7996"/>
    <w:rsid w:val="00AA7E6D"/>
    <w:rsid w:val="00AB0FFF"/>
    <w:rsid w:val="00AB1A2C"/>
    <w:rsid w:val="00AB1BF3"/>
    <w:rsid w:val="00AB1D97"/>
    <w:rsid w:val="00AB25D8"/>
    <w:rsid w:val="00AB284C"/>
    <w:rsid w:val="00AB3A72"/>
    <w:rsid w:val="00AB3CA6"/>
    <w:rsid w:val="00AB3F0F"/>
    <w:rsid w:val="00AB42AF"/>
    <w:rsid w:val="00AB529E"/>
    <w:rsid w:val="00AB77BA"/>
    <w:rsid w:val="00AC0EB5"/>
    <w:rsid w:val="00AC1373"/>
    <w:rsid w:val="00AC19CB"/>
    <w:rsid w:val="00AC1E0A"/>
    <w:rsid w:val="00AC2007"/>
    <w:rsid w:val="00AC3845"/>
    <w:rsid w:val="00AC3C0A"/>
    <w:rsid w:val="00AC4605"/>
    <w:rsid w:val="00AC486F"/>
    <w:rsid w:val="00AC59E5"/>
    <w:rsid w:val="00AC66BC"/>
    <w:rsid w:val="00AC7629"/>
    <w:rsid w:val="00AC78AA"/>
    <w:rsid w:val="00AD08CB"/>
    <w:rsid w:val="00AD112D"/>
    <w:rsid w:val="00AD205E"/>
    <w:rsid w:val="00AD3AAC"/>
    <w:rsid w:val="00AD3ABA"/>
    <w:rsid w:val="00AD518F"/>
    <w:rsid w:val="00AD51CF"/>
    <w:rsid w:val="00AD58D1"/>
    <w:rsid w:val="00AD6C6C"/>
    <w:rsid w:val="00AD739B"/>
    <w:rsid w:val="00AD7770"/>
    <w:rsid w:val="00AD7FC8"/>
    <w:rsid w:val="00AE0059"/>
    <w:rsid w:val="00AE0C60"/>
    <w:rsid w:val="00AE20C6"/>
    <w:rsid w:val="00AE2C48"/>
    <w:rsid w:val="00AE2D66"/>
    <w:rsid w:val="00AE3230"/>
    <w:rsid w:val="00AE34AB"/>
    <w:rsid w:val="00AE5488"/>
    <w:rsid w:val="00AE6F91"/>
    <w:rsid w:val="00AE732C"/>
    <w:rsid w:val="00AF098C"/>
    <w:rsid w:val="00AF0AC0"/>
    <w:rsid w:val="00AF1D11"/>
    <w:rsid w:val="00AF215F"/>
    <w:rsid w:val="00AF2382"/>
    <w:rsid w:val="00AF2737"/>
    <w:rsid w:val="00AF2A06"/>
    <w:rsid w:val="00AF2D4B"/>
    <w:rsid w:val="00AF377C"/>
    <w:rsid w:val="00AF4FF0"/>
    <w:rsid w:val="00AF5571"/>
    <w:rsid w:val="00AF59B0"/>
    <w:rsid w:val="00AF689C"/>
    <w:rsid w:val="00AF696F"/>
    <w:rsid w:val="00AF69DA"/>
    <w:rsid w:val="00AF6D50"/>
    <w:rsid w:val="00B01552"/>
    <w:rsid w:val="00B0430F"/>
    <w:rsid w:val="00B04527"/>
    <w:rsid w:val="00B047AD"/>
    <w:rsid w:val="00B055A8"/>
    <w:rsid w:val="00B063DC"/>
    <w:rsid w:val="00B06936"/>
    <w:rsid w:val="00B07341"/>
    <w:rsid w:val="00B07547"/>
    <w:rsid w:val="00B07E83"/>
    <w:rsid w:val="00B11390"/>
    <w:rsid w:val="00B114CB"/>
    <w:rsid w:val="00B12579"/>
    <w:rsid w:val="00B1258B"/>
    <w:rsid w:val="00B13737"/>
    <w:rsid w:val="00B1435A"/>
    <w:rsid w:val="00B15877"/>
    <w:rsid w:val="00B15F5E"/>
    <w:rsid w:val="00B16583"/>
    <w:rsid w:val="00B16D25"/>
    <w:rsid w:val="00B20650"/>
    <w:rsid w:val="00B20DEA"/>
    <w:rsid w:val="00B229E5"/>
    <w:rsid w:val="00B22EF2"/>
    <w:rsid w:val="00B24F89"/>
    <w:rsid w:val="00B257CB"/>
    <w:rsid w:val="00B25EBA"/>
    <w:rsid w:val="00B27093"/>
    <w:rsid w:val="00B278EF"/>
    <w:rsid w:val="00B30539"/>
    <w:rsid w:val="00B309EB"/>
    <w:rsid w:val="00B30C0D"/>
    <w:rsid w:val="00B30E6F"/>
    <w:rsid w:val="00B314DB"/>
    <w:rsid w:val="00B32774"/>
    <w:rsid w:val="00B33C9C"/>
    <w:rsid w:val="00B34152"/>
    <w:rsid w:val="00B3434C"/>
    <w:rsid w:val="00B350F7"/>
    <w:rsid w:val="00B35995"/>
    <w:rsid w:val="00B361F2"/>
    <w:rsid w:val="00B369D5"/>
    <w:rsid w:val="00B3718B"/>
    <w:rsid w:val="00B373A5"/>
    <w:rsid w:val="00B374D8"/>
    <w:rsid w:val="00B40C7B"/>
    <w:rsid w:val="00B42727"/>
    <w:rsid w:val="00B42A83"/>
    <w:rsid w:val="00B42A99"/>
    <w:rsid w:val="00B42F96"/>
    <w:rsid w:val="00B43475"/>
    <w:rsid w:val="00B44689"/>
    <w:rsid w:val="00B44E73"/>
    <w:rsid w:val="00B45126"/>
    <w:rsid w:val="00B455C0"/>
    <w:rsid w:val="00B45FDB"/>
    <w:rsid w:val="00B46166"/>
    <w:rsid w:val="00B4632A"/>
    <w:rsid w:val="00B476C6"/>
    <w:rsid w:val="00B50507"/>
    <w:rsid w:val="00B50B6B"/>
    <w:rsid w:val="00B517ED"/>
    <w:rsid w:val="00B52A89"/>
    <w:rsid w:val="00B530F1"/>
    <w:rsid w:val="00B5324B"/>
    <w:rsid w:val="00B537AA"/>
    <w:rsid w:val="00B53D22"/>
    <w:rsid w:val="00B55324"/>
    <w:rsid w:val="00B55422"/>
    <w:rsid w:val="00B55951"/>
    <w:rsid w:val="00B56061"/>
    <w:rsid w:val="00B56389"/>
    <w:rsid w:val="00B56390"/>
    <w:rsid w:val="00B56CE0"/>
    <w:rsid w:val="00B56DC0"/>
    <w:rsid w:val="00B570EC"/>
    <w:rsid w:val="00B57670"/>
    <w:rsid w:val="00B6063F"/>
    <w:rsid w:val="00B607E8"/>
    <w:rsid w:val="00B60C55"/>
    <w:rsid w:val="00B615B0"/>
    <w:rsid w:val="00B624A5"/>
    <w:rsid w:val="00B62AFC"/>
    <w:rsid w:val="00B62C81"/>
    <w:rsid w:val="00B62E7B"/>
    <w:rsid w:val="00B63BBE"/>
    <w:rsid w:val="00B63E1C"/>
    <w:rsid w:val="00B6423F"/>
    <w:rsid w:val="00B66457"/>
    <w:rsid w:val="00B66905"/>
    <w:rsid w:val="00B66B6B"/>
    <w:rsid w:val="00B67695"/>
    <w:rsid w:val="00B676E3"/>
    <w:rsid w:val="00B67AFB"/>
    <w:rsid w:val="00B67E22"/>
    <w:rsid w:val="00B7067D"/>
    <w:rsid w:val="00B71439"/>
    <w:rsid w:val="00B71866"/>
    <w:rsid w:val="00B71B11"/>
    <w:rsid w:val="00B72031"/>
    <w:rsid w:val="00B72417"/>
    <w:rsid w:val="00B726B1"/>
    <w:rsid w:val="00B73141"/>
    <w:rsid w:val="00B747F6"/>
    <w:rsid w:val="00B74A13"/>
    <w:rsid w:val="00B74F7E"/>
    <w:rsid w:val="00B75A6C"/>
    <w:rsid w:val="00B75F66"/>
    <w:rsid w:val="00B769DB"/>
    <w:rsid w:val="00B76E4F"/>
    <w:rsid w:val="00B76FC2"/>
    <w:rsid w:val="00B7712A"/>
    <w:rsid w:val="00B772BF"/>
    <w:rsid w:val="00B808D5"/>
    <w:rsid w:val="00B80D32"/>
    <w:rsid w:val="00B812F2"/>
    <w:rsid w:val="00B8190E"/>
    <w:rsid w:val="00B8225B"/>
    <w:rsid w:val="00B823AF"/>
    <w:rsid w:val="00B82957"/>
    <w:rsid w:val="00B835C8"/>
    <w:rsid w:val="00B8398D"/>
    <w:rsid w:val="00B83C67"/>
    <w:rsid w:val="00B847F2"/>
    <w:rsid w:val="00B85588"/>
    <w:rsid w:val="00B85E36"/>
    <w:rsid w:val="00B861DB"/>
    <w:rsid w:val="00B86283"/>
    <w:rsid w:val="00B86DCF"/>
    <w:rsid w:val="00B87354"/>
    <w:rsid w:val="00B9011F"/>
    <w:rsid w:val="00B90F60"/>
    <w:rsid w:val="00B92445"/>
    <w:rsid w:val="00B92CA7"/>
    <w:rsid w:val="00B93694"/>
    <w:rsid w:val="00B93C69"/>
    <w:rsid w:val="00B9494E"/>
    <w:rsid w:val="00B9573A"/>
    <w:rsid w:val="00B95B66"/>
    <w:rsid w:val="00B9635E"/>
    <w:rsid w:val="00B96D38"/>
    <w:rsid w:val="00B97402"/>
    <w:rsid w:val="00BA180E"/>
    <w:rsid w:val="00BA1DA2"/>
    <w:rsid w:val="00BA276C"/>
    <w:rsid w:val="00BA389D"/>
    <w:rsid w:val="00BA3D36"/>
    <w:rsid w:val="00BA42B6"/>
    <w:rsid w:val="00BA46F4"/>
    <w:rsid w:val="00BA5FBD"/>
    <w:rsid w:val="00BB058F"/>
    <w:rsid w:val="00BB0AE9"/>
    <w:rsid w:val="00BB0B7A"/>
    <w:rsid w:val="00BB0CD4"/>
    <w:rsid w:val="00BB1CE2"/>
    <w:rsid w:val="00BB3029"/>
    <w:rsid w:val="00BB306F"/>
    <w:rsid w:val="00BB373C"/>
    <w:rsid w:val="00BB3B0F"/>
    <w:rsid w:val="00BB434C"/>
    <w:rsid w:val="00BB4B1F"/>
    <w:rsid w:val="00BB5FFA"/>
    <w:rsid w:val="00BB6C1B"/>
    <w:rsid w:val="00BC0681"/>
    <w:rsid w:val="00BC1021"/>
    <w:rsid w:val="00BC13C3"/>
    <w:rsid w:val="00BC237A"/>
    <w:rsid w:val="00BC289B"/>
    <w:rsid w:val="00BC4C44"/>
    <w:rsid w:val="00BC4C7A"/>
    <w:rsid w:val="00BC5511"/>
    <w:rsid w:val="00BC5893"/>
    <w:rsid w:val="00BC6207"/>
    <w:rsid w:val="00BC6263"/>
    <w:rsid w:val="00BC65E6"/>
    <w:rsid w:val="00BD11B3"/>
    <w:rsid w:val="00BD17AC"/>
    <w:rsid w:val="00BD27CD"/>
    <w:rsid w:val="00BD2A0F"/>
    <w:rsid w:val="00BD4B89"/>
    <w:rsid w:val="00BD5229"/>
    <w:rsid w:val="00BD7F16"/>
    <w:rsid w:val="00BE0112"/>
    <w:rsid w:val="00BE0B43"/>
    <w:rsid w:val="00BE1909"/>
    <w:rsid w:val="00BE1DBA"/>
    <w:rsid w:val="00BE3918"/>
    <w:rsid w:val="00BE3D9A"/>
    <w:rsid w:val="00BE4623"/>
    <w:rsid w:val="00BE4AB4"/>
    <w:rsid w:val="00BE4B65"/>
    <w:rsid w:val="00BE5B6F"/>
    <w:rsid w:val="00BE669C"/>
    <w:rsid w:val="00BE6D38"/>
    <w:rsid w:val="00BE6F7F"/>
    <w:rsid w:val="00BF01DD"/>
    <w:rsid w:val="00BF32FB"/>
    <w:rsid w:val="00BF3632"/>
    <w:rsid w:val="00BF3941"/>
    <w:rsid w:val="00BF3AC4"/>
    <w:rsid w:val="00BF3F5D"/>
    <w:rsid w:val="00BF5B7B"/>
    <w:rsid w:val="00BF5DC8"/>
    <w:rsid w:val="00BF6FD8"/>
    <w:rsid w:val="00BF709C"/>
    <w:rsid w:val="00BF773C"/>
    <w:rsid w:val="00BF79EC"/>
    <w:rsid w:val="00BF7A83"/>
    <w:rsid w:val="00C00DCF"/>
    <w:rsid w:val="00C00F2E"/>
    <w:rsid w:val="00C0158B"/>
    <w:rsid w:val="00C016DD"/>
    <w:rsid w:val="00C01745"/>
    <w:rsid w:val="00C01903"/>
    <w:rsid w:val="00C02432"/>
    <w:rsid w:val="00C031C8"/>
    <w:rsid w:val="00C031D4"/>
    <w:rsid w:val="00C03680"/>
    <w:rsid w:val="00C04768"/>
    <w:rsid w:val="00C04A93"/>
    <w:rsid w:val="00C054DF"/>
    <w:rsid w:val="00C06FC9"/>
    <w:rsid w:val="00C0701D"/>
    <w:rsid w:val="00C07CDA"/>
    <w:rsid w:val="00C1025F"/>
    <w:rsid w:val="00C10DFC"/>
    <w:rsid w:val="00C12AF5"/>
    <w:rsid w:val="00C13518"/>
    <w:rsid w:val="00C13CAF"/>
    <w:rsid w:val="00C140DA"/>
    <w:rsid w:val="00C14996"/>
    <w:rsid w:val="00C15D46"/>
    <w:rsid w:val="00C160C5"/>
    <w:rsid w:val="00C16455"/>
    <w:rsid w:val="00C20034"/>
    <w:rsid w:val="00C2012A"/>
    <w:rsid w:val="00C2042B"/>
    <w:rsid w:val="00C2069A"/>
    <w:rsid w:val="00C212E3"/>
    <w:rsid w:val="00C21762"/>
    <w:rsid w:val="00C2293C"/>
    <w:rsid w:val="00C230B1"/>
    <w:rsid w:val="00C230F9"/>
    <w:rsid w:val="00C23874"/>
    <w:rsid w:val="00C23A8E"/>
    <w:rsid w:val="00C23ABF"/>
    <w:rsid w:val="00C243BE"/>
    <w:rsid w:val="00C24543"/>
    <w:rsid w:val="00C24AF7"/>
    <w:rsid w:val="00C251FE"/>
    <w:rsid w:val="00C256A2"/>
    <w:rsid w:val="00C25AFD"/>
    <w:rsid w:val="00C27946"/>
    <w:rsid w:val="00C27D46"/>
    <w:rsid w:val="00C31A71"/>
    <w:rsid w:val="00C339D5"/>
    <w:rsid w:val="00C33F51"/>
    <w:rsid w:val="00C34611"/>
    <w:rsid w:val="00C34C12"/>
    <w:rsid w:val="00C36A4D"/>
    <w:rsid w:val="00C4098E"/>
    <w:rsid w:val="00C41468"/>
    <w:rsid w:val="00C423F0"/>
    <w:rsid w:val="00C42537"/>
    <w:rsid w:val="00C4480F"/>
    <w:rsid w:val="00C44B14"/>
    <w:rsid w:val="00C45C08"/>
    <w:rsid w:val="00C45C0C"/>
    <w:rsid w:val="00C46678"/>
    <w:rsid w:val="00C467AC"/>
    <w:rsid w:val="00C46C14"/>
    <w:rsid w:val="00C4754A"/>
    <w:rsid w:val="00C47806"/>
    <w:rsid w:val="00C5028A"/>
    <w:rsid w:val="00C5048D"/>
    <w:rsid w:val="00C50E19"/>
    <w:rsid w:val="00C51515"/>
    <w:rsid w:val="00C52875"/>
    <w:rsid w:val="00C5367C"/>
    <w:rsid w:val="00C55BB4"/>
    <w:rsid w:val="00C5660B"/>
    <w:rsid w:val="00C56891"/>
    <w:rsid w:val="00C56C8A"/>
    <w:rsid w:val="00C57930"/>
    <w:rsid w:val="00C60142"/>
    <w:rsid w:val="00C6017D"/>
    <w:rsid w:val="00C60615"/>
    <w:rsid w:val="00C61C38"/>
    <w:rsid w:val="00C61CBE"/>
    <w:rsid w:val="00C61EF6"/>
    <w:rsid w:val="00C627CC"/>
    <w:rsid w:val="00C62DEF"/>
    <w:rsid w:val="00C62E3B"/>
    <w:rsid w:val="00C6316F"/>
    <w:rsid w:val="00C6319F"/>
    <w:rsid w:val="00C63E43"/>
    <w:rsid w:val="00C63EC6"/>
    <w:rsid w:val="00C64622"/>
    <w:rsid w:val="00C65018"/>
    <w:rsid w:val="00C6564B"/>
    <w:rsid w:val="00C664E9"/>
    <w:rsid w:val="00C66B72"/>
    <w:rsid w:val="00C66D96"/>
    <w:rsid w:val="00C70059"/>
    <w:rsid w:val="00C70267"/>
    <w:rsid w:val="00C71A76"/>
    <w:rsid w:val="00C7253F"/>
    <w:rsid w:val="00C731B0"/>
    <w:rsid w:val="00C74ED8"/>
    <w:rsid w:val="00C77C48"/>
    <w:rsid w:val="00C80049"/>
    <w:rsid w:val="00C81C41"/>
    <w:rsid w:val="00C81F49"/>
    <w:rsid w:val="00C823BF"/>
    <w:rsid w:val="00C827C8"/>
    <w:rsid w:val="00C836BC"/>
    <w:rsid w:val="00C83843"/>
    <w:rsid w:val="00C83FFD"/>
    <w:rsid w:val="00C84287"/>
    <w:rsid w:val="00C8442C"/>
    <w:rsid w:val="00C84BA1"/>
    <w:rsid w:val="00C85688"/>
    <w:rsid w:val="00C867C2"/>
    <w:rsid w:val="00C86C50"/>
    <w:rsid w:val="00C918A9"/>
    <w:rsid w:val="00C91919"/>
    <w:rsid w:val="00C92F0F"/>
    <w:rsid w:val="00C9567A"/>
    <w:rsid w:val="00C95C71"/>
    <w:rsid w:val="00C95E05"/>
    <w:rsid w:val="00C960A7"/>
    <w:rsid w:val="00C96229"/>
    <w:rsid w:val="00C963B4"/>
    <w:rsid w:val="00C964A4"/>
    <w:rsid w:val="00C97BD5"/>
    <w:rsid w:val="00CA155F"/>
    <w:rsid w:val="00CA2BC6"/>
    <w:rsid w:val="00CA4727"/>
    <w:rsid w:val="00CA497F"/>
    <w:rsid w:val="00CA4A25"/>
    <w:rsid w:val="00CA6CB6"/>
    <w:rsid w:val="00CB0722"/>
    <w:rsid w:val="00CB11C7"/>
    <w:rsid w:val="00CB212D"/>
    <w:rsid w:val="00CB2215"/>
    <w:rsid w:val="00CB2660"/>
    <w:rsid w:val="00CB2BFE"/>
    <w:rsid w:val="00CB37E3"/>
    <w:rsid w:val="00CB3DB2"/>
    <w:rsid w:val="00CB4488"/>
    <w:rsid w:val="00CB46B3"/>
    <w:rsid w:val="00CB7765"/>
    <w:rsid w:val="00CB7BBC"/>
    <w:rsid w:val="00CC0378"/>
    <w:rsid w:val="00CC118A"/>
    <w:rsid w:val="00CC1580"/>
    <w:rsid w:val="00CC1B85"/>
    <w:rsid w:val="00CC30B5"/>
    <w:rsid w:val="00CC30E4"/>
    <w:rsid w:val="00CC3A65"/>
    <w:rsid w:val="00CC412E"/>
    <w:rsid w:val="00CC42BC"/>
    <w:rsid w:val="00CC50B9"/>
    <w:rsid w:val="00CC5E90"/>
    <w:rsid w:val="00CC62D7"/>
    <w:rsid w:val="00CC6A65"/>
    <w:rsid w:val="00CC79EC"/>
    <w:rsid w:val="00CC7C0A"/>
    <w:rsid w:val="00CC7D3F"/>
    <w:rsid w:val="00CD046C"/>
    <w:rsid w:val="00CD0759"/>
    <w:rsid w:val="00CD130E"/>
    <w:rsid w:val="00CD1329"/>
    <w:rsid w:val="00CD2AD5"/>
    <w:rsid w:val="00CD336C"/>
    <w:rsid w:val="00CD5180"/>
    <w:rsid w:val="00CD5CA3"/>
    <w:rsid w:val="00CD7A7E"/>
    <w:rsid w:val="00CD7CD0"/>
    <w:rsid w:val="00CE0521"/>
    <w:rsid w:val="00CE076C"/>
    <w:rsid w:val="00CE09DB"/>
    <w:rsid w:val="00CE1BBB"/>
    <w:rsid w:val="00CE3048"/>
    <w:rsid w:val="00CE3158"/>
    <w:rsid w:val="00CE330B"/>
    <w:rsid w:val="00CE4AB5"/>
    <w:rsid w:val="00CE4F35"/>
    <w:rsid w:val="00CE5199"/>
    <w:rsid w:val="00CE6077"/>
    <w:rsid w:val="00CE62B0"/>
    <w:rsid w:val="00CE66D5"/>
    <w:rsid w:val="00CE7E51"/>
    <w:rsid w:val="00CF0F3D"/>
    <w:rsid w:val="00CF13A1"/>
    <w:rsid w:val="00CF2321"/>
    <w:rsid w:val="00CF36F6"/>
    <w:rsid w:val="00CF3BDB"/>
    <w:rsid w:val="00CF4097"/>
    <w:rsid w:val="00CF541E"/>
    <w:rsid w:val="00CF637A"/>
    <w:rsid w:val="00D00165"/>
    <w:rsid w:val="00D00523"/>
    <w:rsid w:val="00D00835"/>
    <w:rsid w:val="00D00DE0"/>
    <w:rsid w:val="00D00F87"/>
    <w:rsid w:val="00D0162B"/>
    <w:rsid w:val="00D01B79"/>
    <w:rsid w:val="00D01FEC"/>
    <w:rsid w:val="00D020EA"/>
    <w:rsid w:val="00D02507"/>
    <w:rsid w:val="00D02784"/>
    <w:rsid w:val="00D02F3A"/>
    <w:rsid w:val="00D03136"/>
    <w:rsid w:val="00D05662"/>
    <w:rsid w:val="00D059DE"/>
    <w:rsid w:val="00D0619B"/>
    <w:rsid w:val="00D069BE"/>
    <w:rsid w:val="00D07386"/>
    <w:rsid w:val="00D10089"/>
    <w:rsid w:val="00D10650"/>
    <w:rsid w:val="00D11BAD"/>
    <w:rsid w:val="00D1255F"/>
    <w:rsid w:val="00D13A3F"/>
    <w:rsid w:val="00D13FCE"/>
    <w:rsid w:val="00D16FD1"/>
    <w:rsid w:val="00D172B9"/>
    <w:rsid w:val="00D2066A"/>
    <w:rsid w:val="00D20826"/>
    <w:rsid w:val="00D209DC"/>
    <w:rsid w:val="00D20EDE"/>
    <w:rsid w:val="00D21405"/>
    <w:rsid w:val="00D21EAA"/>
    <w:rsid w:val="00D24554"/>
    <w:rsid w:val="00D245FA"/>
    <w:rsid w:val="00D25C21"/>
    <w:rsid w:val="00D27F5A"/>
    <w:rsid w:val="00D306D1"/>
    <w:rsid w:val="00D313E5"/>
    <w:rsid w:val="00D3166D"/>
    <w:rsid w:val="00D31DD3"/>
    <w:rsid w:val="00D32142"/>
    <w:rsid w:val="00D32D36"/>
    <w:rsid w:val="00D34647"/>
    <w:rsid w:val="00D3468C"/>
    <w:rsid w:val="00D34786"/>
    <w:rsid w:val="00D35188"/>
    <w:rsid w:val="00D36570"/>
    <w:rsid w:val="00D36B18"/>
    <w:rsid w:val="00D37235"/>
    <w:rsid w:val="00D372E8"/>
    <w:rsid w:val="00D376B1"/>
    <w:rsid w:val="00D37BFC"/>
    <w:rsid w:val="00D410BA"/>
    <w:rsid w:val="00D42DF7"/>
    <w:rsid w:val="00D43AE7"/>
    <w:rsid w:val="00D45D4A"/>
    <w:rsid w:val="00D46445"/>
    <w:rsid w:val="00D466FA"/>
    <w:rsid w:val="00D4689A"/>
    <w:rsid w:val="00D46CA7"/>
    <w:rsid w:val="00D471BE"/>
    <w:rsid w:val="00D47A8E"/>
    <w:rsid w:val="00D50E01"/>
    <w:rsid w:val="00D51F7C"/>
    <w:rsid w:val="00D522AD"/>
    <w:rsid w:val="00D5275F"/>
    <w:rsid w:val="00D52791"/>
    <w:rsid w:val="00D52852"/>
    <w:rsid w:val="00D52D14"/>
    <w:rsid w:val="00D55686"/>
    <w:rsid w:val="00D57125"/>
    <w:rsid w:val="00D60BE3"/>
    <w:rsid w:val="00D632FF"/>
    <w:rsid w:val="00D63583"/>
    <w:rsid w:val="00D63E18"/>
    <w:rsid w:val="00D6432F"/>
    <w:rsid w:val="00D652C2"/>
    <w:rsid w:val="00D65519"/>
    <w:rsid w:val="00D65742"/>
    <w:rsid w:val="00D67CF6"/>
    <w:rsid w:val="00D70964"/>
    <w:rsid w:val="00D712D3"/>
    <w:rsid w:val="00D71422"/>
    <w:rsid w:val="00D71F43"/>
    <w:rsid w:val="00D72579"/>
    <w:rsid w:val="00D729F7"/>
    <w:rsid w:val="00D72A68"/>
    <w:rsid w:val="00D72DA4"/>
    <w:rsid w:val="00D72DA9"/>
    <w:rsid w:val="00D72DC6"/>
    <w:rsid w:val="00D74339"/>
    <w:rsid w:val="00D7558D"/>
    <w:rsid w:val="00D756CC"/>
    <w:rsid w:val="00D7700B"/>
    <w:rsid w:val="00D801FE"/>
    <w:rsid w:val="00D80F91"/>
    <w:rsid w:val="00D812B2"/>
    <w:rsid w:val="00D8142B"/>
    <w:rsid w:val="00D81B89"/>
    <w:rsid w:val="00D81D92"/>
    <w:rsid w:val="00D8572F"/>
    <w:rsid w:val="00D85BBA"/>
    <w:rsid w:val="00D869C6"/>
    <w:rsid w:val="00D86C5F"/>
    <w:rsid w:val="00D87715"/>
    <w:rsid w:val="00D90038"/>
    <w:rsid w:val="00D900F3"/>
    <w:rsid w:val="00D91CAB"/>
    <w:rsid w:val="00D91D6C"/>
    <w:rsid w:val="00D92EBD"/>
    <w:rsid w:val="00D93613"/>
    <w:rsid w:val="00D93D8A"/>
    <w:rsid w:val="00D94477"/>
    <w:rsid w:val="00D945C6"/>
    <w:rsid w:val="00D94994"/>
    <w:rsid w:val="00D95C05"/>
    <w:rsid w:val="00D9742D"/>
    <w:rsid w:val="00D976C9"/>
    <w:rsid w:val="00DA0B2D"/>
    <w:rsid w:val="00DA0E3D"/>
    <w:rsid w:val="00DA1363"/>
    <w:rsid w:val="00DA29B5"/>
    <w:rsid w:val="00DA301E"/>
    <w:rsid w:val="00DA3574"/>
    <w:rsid w:val="00DA389F"/>
    <w:rsid w:val="00DA3A11"/>
    <w:rsid w:val="00DA3FDE"/>
    <w:rsid w:val="00DA4811"/>
    <w:rsid w:val="00DA67BA"/>
    <w:rsid w:val="00DA69F6"/>
    <w:rsid w:val="00DA7179"/>
    <w:rsid w:val="00DA7429"/>
    <w:rsid w:val="00DA7B5F"/>
    <w:rsid w:val="00DB1036"/>
    <w:rsid w:val="00DB1133"/>
    <w:rsid w:val="00DB2CD4"/>
    <w:rsid w:val="00DB6809"/>
    <w:rsid w:val="00DB68D7"/>
    <w:rsid w:val="00DB7920"/>
    <w:rsid w:val="00DC011E"/>
    <w:rsid w:val="00DC08A6"/>
    <w:rsid w:val="00DC0B65"/>
    <w:rsid w:val="00DC11E7"/>
    <w:rsid w:val="00DC1B51"/>
    <w:rsid w:val="00DC2BF1"/>
    <w:rsid w:val="00DC34DE"/>
    <w:rsid w:val="00DC3CDA"/>
    <w:rsid w:val="00DC3F8E"/>
    <w:rsid w:val="00DC4AA1"/>
    <w:rsid w:val="00DC7023"/>
    <w:rsid w:val="00DC769A"/>
    <w:rsid w:val="00DD0740"/>
    <w:rsid w:val="00DD1A23"/>
    <w:rsid w:val="00DD1AB0"/>
    <w:rsid w:val="00DD1B41"/>
    <w:rsid w:val="00DD3B4C"/>
    <w:rsid w:val="00DD3D86"/>
    <w:rsid w:val="00DD54EA"/>
    <w:rsid w:val="00DD76B0"/>
    <w:rsid w:val="00DD7A38"/>
    <w:rsid w:val="00DE02C7"/>
    <w:rsid w:val="00DE1992"/>
    <w:rsid w:val="00DE1DD5"/>
    <w:rsid w:val="00DE28A2"/>
    <w:rsid w:val="00DE57B3"/>
    <w:rsid w:val="00DE5937"/>
    <w:rsid w:val="00DE6AD9"/>
    <w:rsid w:val="00DE70A4"/>
    <w:rsid w:val="00DF0245"/>
    <w:rsid w:val="00DF04BC"/>
    <w:rsid w:val="00DF1EC4"/>
    <w:rsid w:val="00DF5AB4"/>
    <w:rsid w:val="00DF5E03"/>
    <w:rsid w:val="00DF652F"/>
    <w:rsid w:val="00DF6F09"/>
    <w:rsid w:val="00DF79FD"/>
    <w:rsid w:val="00DF7C37"/>
    <w:rsid w:val="00E00640"/>
    <w:rsid w:val="00E0097F"/>
    <w:rsid w:val="00E01259"/>
    <w:rsid w:val="00E01979"/>
    <w:rsid w:val="00E0340B"/>
    <w:rsid w:val="00E046B0"/>
    <w:rsid w:val="00E04A90"/>
    <w:rsid w:val="00E05A7A"/>
    <w:rsid w:val="00E06620"/>
    <w:rsid w:val="00E07E14"/>
    <w:rsid w:val="00E10EA8"/>
    <w:rsid w:val="00E1168C"/>
    <w:rsid w:val="00E11E2A"/>
    <w:rsid w:val="00E12121"/>
    <w:rsid w:val="00E129D3"/>
    <w:rsid w:val="00E12A4D"/>
    <w:rsid w:val="00E13609"/>
    <w:rsid w:val="00E13782"/>
    <w:rsid w:val="00E139F9"/>
    <w:rsid w:val="00E13F87"/>
    <w:rsid w:val="00E146C9"/>
    <w:rsid w:val="00E1648B"/>
    <w:rsid w:val="00E16725"/>
    <w:rsid w:val="00E170BC"/>
    <w:rsid w:val="00E17705"/>
    <w:rsid w:val="00E2151D"/>
    <w:rsid w:val="00E219C7"/>
    <w:rsid w:val="00E23315"/>
    <w:rsid w:val="00E23507"/>
    <w:rsid w:val="00E23FF2"/>
    <w:rsid w:val="00E24A29"/>
    <w:rsid w:val="00E255A9"/>
    <w:rsid w:val="00E255BA"/>
    <w:rsid w:val="00E25BF4"/>
    <w:rsid w:val="00E260AF"/>
    <w:rsid w:val="00E266F6"/>
    <w:rsid w:val="00E267EF"/>
    <w:rsid w:val="00E279AA"/>
    <w:rsid w:val="00E27A8C"/>
    <w:rsid w:val="00E27C1B"/>
    <w:rsid w:val="00E304DF"/>
    <w:rsid w:val="00E30C38"/>
    <w:rsid w:val="00E31AC4"/>
    <w:rsid w:val="00E325BF"/>
    <w:rsid w:val="00E34E9F"/>
    <w:rsid w:val="00E35039"/>
    <w:rsid w:val="00E35808"/>
    <w:rsid w:val="00E35864"/>
    <w:rsid w:val="00E36DFB"/>
    <w:rsid w:val="00E36E6A"/>
    <w:rsid w:val="00E40CA1"/>
    <w:rsid w:val="00E40F7B"/>
    <w:rsid w:val="00E413FC"/>
    <w:rsid w:val="00E42B75"/>
    <w:rsid w:val="00E43157"/>
    <w:rsid w:val="00E434A1"/>
    <w:rsid w:val="00E43C8D"/>
    <w:rsid w:val="00E4423C"/>
    <w:rsid w:val="00E44AB7"/>
    <w:rsid w:val="00E451F4"/>
    <w:rsid w:val="00E46061"/>
    <w:rsid w:val="00E461CE"/>
    <w:rsid w:val="00E46DF2"/>
    <w:rsid w:val="00E4732E"/>
    <w:rsid w:val="00E50F59"/>
    <w:rsid w:val="00E525D4"/>
    <w:rsid w:val="00E53537"/>
    <w:rsid w:val="00E5410D"/>
    <w:rsid w:val="00E54DF6"/>
    <w:rsid w:val="00E551BA"/>
    <w:rsid w:val="00E554DC"/>
    <w:rsid w:val="00E561D2"/>
    <w:rsid w:val="00E57C66"/>
    <w:rsid w:val="00E63550"/>
    <w:rsid w:val="00E639C1"/>
    <w:rsid w:val="00E640DD"/>
    <w:rsid w:val="00E6556F"/>
    <w:rsid w:val="00E66959"/>
    <w:rsid w:val="00E67B33"/>
    <w:rsid w:val="00E70B4B"/>
    <w:rsid w:val="00E717C7"/>
    <w:rsid w:val="00E71F0D"/>
    <w:rsid w:val="00E720CA"/>
    <w:rsid w:val="00E72151"/>
    <w:rsid w:val="00E722A2"/>
    <w:rsid w:val="00E7291D"/>
    <w:rsid w:val="00E72FBE"/>
    <w:rsid w:val="00E73EC3"/>
    <w:rsid w:val="00E75AB7"/>
    <w:rsid w:val="00E76917"/>
    <w:rsid w:val="00E771EF"/>
    <w:rsid w:val="00E8152F"/>
    <w:rsid w:val="00E81741"/>
    <w:rsid w:val="00E82EF5"/>
    <w:rsid w:val="00E8308E"/>
    <w:rsid w:val="00E84520"/>
    <w:rsid w:val="00E84C64"/>
    <w:rsid w:val="00E84EB5"/>
    <w:rsid w:val="00E85662"/>
    <w:rsid w:val="00E85E9D"/>
    <w:rsid w:val="00E8701D"/>
    <w:rsid w:val="00E87079"/>
    <w:rsid w:val="00E8765E"/>
    <w:rsid w:val="00E8789F"/>
    <w:rsid w:val="00E87914"/>
    <w:rsid w:val="00E87A56"/>
    <w:rsid w:val="00E87A94"/>
    <w:rsid w:val="00E902B3"/>
    <w:rsid w:val="00E913E0"/>
    <w:rsid w:val="00E919BC"/>
    <w:rsid w:val="00E930F9"/>
    <w:rsid w:val="00E9363B"/>
    <w:rsid w:val="00E93AAC"/>
    <w:rsid w:val="00E944BB"/>
    <w:rsid w:val="00E9511B"/>
    <w:rsid w:val="00E955D3"/>
    <w:rsid w:val="00E96D87"/>
    <w:rsid w:val="00E974D6"/>
    <w:rsid w:val="00E97B71"/>
    <w:rsid w:val="00E97C98"/>
    <w:rsid w:val="00E97D5E"/>
    <w:rsid w:val="00E97F34"/>
    <w:rsid w:val="00EA0B0E"/>
    <w:rsid w:val="00EA1352"/>
    <w:rsid w:val="00EA176A"/>
    <w:rsid w:val="00EA17CE"/>
    <w:rsid w:val="00EA1E03"/>
    <w:rsid w:val="00EA20EE"/>
    <w:rsid w:val="00EA21C8"/>
    <w:rsid w:val="00EA3405"/>
    <w:rsid w:val="00EA3415"/>
    <w:rsid w:val="00EA3614"/>
    <w:rsid w:val="00EA3D34"/>
    <w:rsid w:val="00EA42BB"/>
    <w:rsid w:val="00EA436D"/>
    <w:rsid w:val="00EA47EE"/>
    <w:rsid w:val="00EA52A1"/>
    <w:rsid w:val="00EA5579"/>
    <w:rsid w:val="00EA57D6"/>
    <w:rsid w:val="00EA65E1"/>
    <w:rsid w:val="00EA6C8A"/>
    <w:rsid w:val="00EA6C96"/>
    <w:rsid w:val="00EA7109"/>
    <w:rsid w:val="00EA79BE"/>
    <w:rsid w:val="00EB1E17"/>
    <w:rsid w:val="00EB28E9"/>
    <w:rsid w:val="00EB3EC8"/>
    <w:rsid w:val="00EB425B"/>
    <w:rsid w:val="00EB454D"/>
    <w:rsid w:val="00EB4B2D"/>
    <w:rsid w:val="00EB4D46"/>
    <w:rsid w:val="00EB5685"/>
    <w:rsid w:val="00EB58DA"/>
    <w:rsid w:val="00EB7A3A"/>
    <w:rsid w:val="00EB7DD1"/>
    <w:rsid w:val="00EC15D1"/>
    <w:rsid w:val="00EC18D8"/>
    <w:rsid w:val="00EC1932"/>
    <w:rsid w:val="00EC24C2"/>
    <w:rsid w:val="00EC2DEB"/>
    <w:rsid w:val="00EC33B6"/>
    <w:rsid w:val="00EC5609"/>
    <w:rsid w:val="00EC56B3"/>
    <w:rsid w:val="00EC59B4"/>
    <w:rsid w:val="00EC5C9A"/>
    <w:rsid w:val="00EC62C9"/>
    <w:rsid w:val="00EC6C1F"/>
    <w:rsid w:val="00EC7078"/>
    <w:rsid w:val="00ED00DF"/>
    <w:rsid w:val="00ED01DC"/>
    <w:rsid w:val="00ED05E8"/>
    <w:rsid w:val="00ED06DA"/>
    <w:rsid w:val="00ED1DAF"/>
    <w:rsid w:val="00ED21C8"/>
    <w:rsid w:val="00ED3470"/>
    <w:rsid w:val="00ED4BDD"/>
    <w:rsid w:val="00ED5B00"/>
    <w:rsid w:val="00ED5FE9"/>
    <w:rsid w:val="00ED76BE"/>
    <w:rsid w:val="00ED76D2"/>
    <w:rsid w:val="00ED7718"/>
    <w:rsid w:val="00ED7F69"/>
    <w:rsid w:val="00EE08FD"/>
    <w:rsid w:val="00EE0A4A"/>
    <w:rsid w:val="00EE0FE5"/>
    <w:rsid w:val="00EE1767"/>
    <w:rsid w:val="00EE1A15"/>
    <w:rsid w:val="00EE1C43"/>
    <w:rsid w:val="00EE3375"/>
    <w:rsid w:val="00EE3953"/>
    <w:rsid w:val="00EE40FE"/>
    <w:rsid w:val="00EE43DA"/>
    <w:rsid w:val="00EE6554"/>
    <w:rsid w:val="00EE6A4C"/>
    <w:rsid w:val="00EE6D2F"/>
    <w:rsid w:val="00EE763A"/>
    <w:rsid w:val="00EE7A66"/>
    <w:rsid w:val="00EF0FDA"/>
    <w:rsid w:val="00EF2ACB"/>
    <w:rsid w:val="00EF335C"/>
    <w:rsid w:val="00EF5559"/>
    <w:rsid w:val="00EF55ED"/>
    <w:rsid w:val="00EF619B"/>
    <w:rsid w:val="00EF7161"/>
    <w:rsid w:val="00EF72F8"/>
    <w:rsid w:val="00EF780B"/>
    <w:rsid w:val="00EF7CE1"/>
    <w:rsid w:val="00EF7DDB"/>
    <w:rsid w:val="00F005B1"/>
    <w:rsid w:val="00F00A88"/>
    <w:rsid w:val="00F00B55"/>
    <w:rsid w:val="00F011C1"/>
    <w:rsid w:val="00F01D10"/>
    <w:rsid w:val="00F02400"/>
    <w:rsid w:val="00F02AD1"/>
    <w:rsid w:val="00F0336B"/>
    <w:rsid w:val="00F03E85"/>
    <w:rsid w:val="00F04737"/>
    <w:rsid w:val="00F06378"/>
    <w:rsid w:val="00F11259"/>
    <w:rsid w:val="00F12822"/>
    <w:rsid w:val="00F12936"/>
    <w:rsid w:val="00F129BA"/>
    <w:rsid w:val="00F13F04"/>
    <w:rsid w:val="00F144C2"/>
    <w:rsid w:val="00F1548F"/>
    <w:rsid w:val="00F15B10"/>
    <w:rsid w:val="00F17049"/>
    <w:rsid w:val="00F1767B"/>
    <w:rsid w:val="00F17780"/>
    <w:rsid w:val="00F17811"/>
    <w:rsid w:val="00F17BAB"/>
    <w:rsid w:val="00F2128B"/>
    <w:rsid w:val="00F213F5"/>
    <w:rsid w:val="00F2152E"/>
    <w:rsid w:val="00F22552"/>
    <w:rsid w:val="00F2296E"/>
    <w:rsid w:val="00F230DA"/>
    <w:rsid w:val="00F2370B"/>
    <w:rsid w:val="00F243B0"/>
    <w:rsid w:val="00F24955"/>
    <w:rsid w:val="00F24B22"/>
    <w:rsid w:val="00F24BAD"/>
    <w:rsid w:val="00F24C74"/>
    <w:rsid w:val="00F253CC"/>
    <w:rsid w:val="00F256B4"/>
    <w:rsid w:val="00F2608E"/>
    <w:rsid w:val="00F263A1"/>
    <w:rsid w:val="00F268CB"/>
    <w:rsid w:val="00F27D1F"/>
    <w:rsid w:val="00F30368"/>
    <w:rsid w:val="00F30768"/>
    <w:rsid w:val="00F31073"/>
    <w:rsid w:val="00F31141"/>
    <w:rsid w:val="00F319D0"/>
    <w:rsid w:val="00F31DBD"/>
    <w:rsid w:val="00F3281F"/>
    <w:rsid w:val="00F34F14"/>
    <w:rsid w:val="00F34F36"/>
    <w:rsid w:val="00F363D3"/>
    <w:rsid w:val="00F36922"/>
    <w:rsid w:val="00F369AE"/>
    <w:rsid w:val="00F36DFB"/>
    <w:rsid w:val="00F37106"/>
    <w:rsid w:val="00F40108"/>
    <w:rsid w:val="00F401E3"/>
    <w:rsid w:val="00F4024D"/>
    <w:rsid w:val="00F42039"/>
    <w:rsid w:val="00F42183"/>
    <w:rsid w:val="00F42437"/>
    <w:rsid w:val="00F42953"/>
    <w:rsid w:val="00F43054"/>
    <w:rsid w:val="00F43697"/>
    <w:rsid w:val="00F44417"/>
    <w:rsid w:val="00F451E7"/>
    <w:rsid w:val="00F45D86"/>
    <w:rsid w:val="00F46F20"/>
    <w:rsid w:val="00F47A02"/>
    <w:rsid w:val="00F47B54"/>
    <w:rsid w:val="00F47CC6"/>
    <w:rsid w:val="00F5032B"/>
    <w:rsid w:val="00F50FF9"/>
    <w:rsid w:val="00F5103E"/>
    <w:rsid w:val="00F514D7"/>
    <w:rsid w:val="00F51980"/>
    <w:rsid w:val="00F519CF"/>
    <w:rsid w:val="00F51BA9"/>
    <w:rsid w:val="00F51D27"/>
    <w:rsid w:val="00F5294E"/>
    <w:rsid w:val="00F52E12"/>
    <w:rsid w:val="00F53749"/>
    <w:rsid w:val="00F54251"/>
    <w:rsid w:val="00F54782"/>
    <w:rsid w:val="00F55907"/>
    <w:rsid w:val="00F55B74"/>
    <w:rsid w:val="00F568D7"/>
    <w:rsid w:val="00F56BA5"/>
    <w:rsid w:val="00F578E2"/>
    <w:rsid w:val="00F578EA"/>
    <w:rsid w:val="00F60E22"/>
    <w:rsid w:val="00F62570"/>
    <w:rsid w:val="00F62983"/>
    <w:rsid w:val="00F6639D"/>
    <w:rsid w:val="00F666E4"/>
    <w:rsid w:val="00F66BD7"/>
    <w:rsid w:val="00F66D60"/>
    <w:rsid w:val="00F66F87"/>
    <w:rsid w:val="00F67642"/>
    <w:rsid w:val="00F67A0C"/>
    <w:rsid w:val="00F7002B"/>
    <w:rsid w:val="00F70A60"/>
    <w:rsid w:val="00F71D56"/>
    <w:rsid w:val="00F74845"/>
    <w:rsid w:val="00F74FB5"/>
    <w:rsid w:val="00F759A8"/>
    <w:rsid w:val="00F75FB1"/>
    <w:rsid w:val="00F76B51"/>
    <w:rsid w:val="00F809CA"/>
    <w:rsid w:val="00F81395"/>
    <w:rsid w:val="00F81404"/>
    <w:rsid w:val="00F8162F"/>
    <w:rsid w:val="00F816BD"/>
    <w:rsid w:val="00F82263"/>
    <w:rsid w:val="00F830CC"/>
    <w:rsid w:val="00F835BF"/>
    <w:rsid w:val="00F84012"/>
    <w:rsid w:val="00F84426"/>
    <w:rsid w:val="00F84EB8"/>
    <w:rsid w:val="00F87213"/>
    <w:rsid w:val="00F87DB1"/>
    <w:rsid w:val="00F90975"/>
    <w:rsid w:val="00F913C0"/>
    <w:rsid w:val="00F9169A"/>
    <w:rsid w:val="00F917D1"/>
    <w:rsid w:val="00F91A8F"/>
    <w:rsid w:val="00F9351F"/>
    <w:rsid w:val="00F93E30"/>
    <w:rsid w:val="00F942F9"/>
    <w:rsid w:val="00F948FB"/>
    <w:rsid w:val="00F94A3B"/>
    <w:rsid w:val="00F96347"/>
    <w:rsid w:val="00F9653B"/>
    <w:rsid w:val="00F9774A"/>
    <w:rsid w:val="00F97DF6"/>
    <w:rsid w:val="00FA21AD"/>
    <w:rsid w:val="00FA2A8D"/>
    <w:rsid w:val="00FA3B54"/>
    <w:rsid w:val="00FA4569"/>
    <w:rsid w:val="00FA4605"/>
    <w:rsid w:val="00FA472D"/>
    <w:rsid w:val="00FA47E8"/>
    <w:rsid w:val="00FA5A0F"/>
    <w:rsid w:val="00FA5F18"/>
    <w:rsid w:val="00FA5FE2"/>
    <w:rsid w:val="00FA6A10"/>
    <w:rsid w:val="00FB0FA5"/>
    <w:rsid w:val="00FB1402"/>
    <w:rsid w:val="00FB1733"/>
    <w:rsid w:val="00FB2A16"/>
    <w:rsid w:val="00FB32D5"/>
    <w:rsid w:val="00FB3BA2"/>
    <w:rsid w:val="00FB4694"/>
    <w:rsid w:val="00FB527C"/>
    <w:rsid w:val="00FB62CF"/>
    <w:rsid w:val="00FB7039"/>
    <w:rsid w:val="00FB72EE"/>
    <w:rsid w:val="00FC1734"/>
    <w:rsid w:val="00FC1932"/>
    <w:rsid w:val="00FC32F4"/>
    <w:rsid w:val="00FC33E1"/>
    <w:rsid w:val="00FC3CF7"/>
    <w:rsid w:val="00FC3DB1"/>
    <w:rsid w:val="00FC5D8C"/>
    <w:rsid w:val="00FD045C"/>
    <w:rsid w:val="00FD22AC"/>
    <w:rsid w:val="00FD2BD6"/>
    <w:rsid w:val="00FD3704"/>
    <w:rsid w:val="00FD3C3B"/>
    <w:rsid w:val="00FD4160"/>
    <w:rsid w:val="00FD4246"/>
    <w:rsid w:val="00FD49BF"/>
    <w:rsid w:val="00FD5AB7"/>
    <w:rsid w:val="00FD6AD2"/>
    <w:rsid w:val="00FD75BC"/>
    <w:rsid w:val="00FD781E"/>
    <w:rsid w:val="00FD78A5"/>
    <w:rsid w:val="00FE2137"/>
    <w:rsid w:val="00FE26A3"/>
    <w:rsid w:val="00FE34D6"/>
    <w:rsid w:val="00FE3E2B"/>
    <w:rsid w:val="00FE43A8"/>
    <w:rsid w:val="00FE4D5D"/>
    <w:rsid w:val="00FE50D2"/>
    <w:rsid w:val="00FE5256"/>
    <w:rsid w:val="00FE6B45"/>
    <w:rsid w:val="00FF069B"/>
    <w:rsid w:val="00FF0F97"/>
    <w:rsid w:val="00FF13BB"/>
    <w:rsid w:val="00FF1F11"/>
    <w:rsid w:val="00FF3776"/>
    <w:rsid w:val="00FF453C"/>
    <w:rsid w:val="00FF4641"/>
    <w:rsid w:val="00FF4A73"/>
    <w:rsid w:val="00FF55F3"/>
    <w:rsid w:val="00FF55FE"/>
    <w:rsid w:val="00FF5851"/>
    <w:rsid w:val="00FF6252"/>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3A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BB058F"/>
    <w:pPr>
      <w:keepNext/>
      <w:keepLines/>
      <w:numPr>
        <w:numId w:val="53"/>
      </w:numPr>
      <w:tabs>
        <w:tab w:val="left" w:pos="1440"/>
      </w:tabs>
      <w:jc w:val="both"/>
      <w:outlineLvl w:val="0"/>
    </w:pPr>
    <w:rPr>
      <w:rFonts w:ascii="Cambria" w:eastAsia="MS Gothic" w:hAnsi="Cambria"/>
      <w:b/>
      <w:bCs/>
      <w:sz w:val="20"/>
      <w:szCs w:val="20"/>
      <w:lang w:val="es-ES_tradnl"/>
    </w:rPr>
  </w:style>
  <w:style w:type="paragraph" w:styleId="Heading2">
    <w:name w:val="heading 2"/>
    <w:basedOn w:val="BodyTextIndent"/>
    <w:next w:val="Normal"/>
    <w:link w:val="Heading2Char"/>
    <w:qFormat/>
    <w:rsid w:val="00C15D46"/>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hanging="540"/>
      <w:jc w:val="both"/>
      <w:outlineLvl w:val="1"/>
    </w:pPr>
    <w:rPr>
      <w:rFonts w:ascii="Cambria" w:hAnsi="Cambria"/>
      <w:b/>
      <w:sz w:val="20"/>
      <w:szCs w:val="20"/>
    </w:rPr>
  </w:style>
  <w:style w:type="paragraph" w:styleId="Heading3">
    <w:name w:val="heading 3"/>
    <w:basedOn w:val="BodyTextIndent"/>
    <w:next w:val="Normal"/>
    <w:link w:val="Heading3Char"/>
    <w:qFormat/>
    <w:rsid w:val="00C15D46"/>
    <w:pPr>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pPr>
    <w:rPr>
      <w:rFonts w:ascii="Cambria" w:hAnsi="Cambria"/>
      <w:b/>
      <w:sz w:val="20"/>
      <w:szCs w:val="20"/>
    </w:rPr>
  </w:style>
  <w:style w:type="paragraph" w:styleId="Heading5">
    <w:name w:val="heading 5"/>
    <w:basedOn w:val="Normal"/>
    <w:next w:val="Normal"/>
    <w:link w:val="Heading5Char"/>
    <w:uiPriority w:val="9"/>
    <w:qFormat/>
    <w:rsid w:val="004A1D2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List2-Accent41">
    <w:name w:val="Medium List 2 - Accent 4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BB058F"/>
    <w:rPr>
      <w:rFonts w:ascii="Cambria" w:eastAsia="MS Gothic" w:hAnsi="Cambria"/>
      <w:b/>
      <w:bCs/>
      <w:bdr w:val="nil"/>
      <w:lang w:val="es-ES_tradnl"/>
    </w:rPr>
  </w:style>
  <w:style w:type="table" w:customStyle="1" w:styleId="Bibliography1">
    <w:name w:val="Bibliography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4247E2"/>
    <w:pPr>
      <w:ind w:left="240"/>
    </w:pPr>
    <w:rPr>
      <w:rFonts w:asciiTheme="minorHAnsi" w:hAnsiTheme="minorHAnsi"/>
      <w:b/>
      <w:sz w:val="22"/>
      <w:szCs w:val="22"/>
    </w:rPr>
  </w:style>
  <w:style w:type="paragraph" w:styleId="TOC1">
    <w:name w:val="toc 1"/>
    <w:basedOn w:val="Normal"/>
    <w:next w:val="Normal"/>
    <w:autoRedefine/>
    <w:uiPriority w:val="39"/>
    <w:unhideWhenUsed/>
    <w:rsid w:val="005C4225"/>
    <w:pPr>
      <w:spacing w:before="120"/>
    </w:pPr>
    <w:rPr>
      <w:rFonts w:asciiTheme="minorHAnsi" w:hAnsiTheme="minorHAnsi"/>
      <w:b/>
    </w:rPr>
  </w:style>
  <w:style w:type="paragraph" w:styleId="TOC3">
    <w:name w:val="toc 3"/>
    <w:basedOn w:val="Normal"/>
    <w:next w:val="Normal"/>
    <w:autoRedefine/>
    <w:uiPriority w:val="39"/>
    <w:unhideWhenUsed/>
    <w:rsid w:val="005C4225"/>
    <w:pPr>
      <w:ind w:left="480"/>
    </w:pPr>
    <w:rPr>
      <w:rFonts w:asciiTheme="minorHAnsi" w:hAnsiTheme="minorHAnsi"/>
      <w:sz w:val="22"/>
      <w:szCs w:val="22"/>
    </w:rPr>
  </w:style>
  <w:style w:type="paragraph" w:styleId="TOC4">
    <w:name w:val="toc 4"/>
    <w:basedOn w:val="Normal"/>
    <w:next w:val="Normal"/>
    <w:autoRedefine/>
    <w:uiPriority w:val="39"/>
    <w:unhideWhenUsed/>
    <w:rsid w:val="005C4225"/>
    <w:pPr>
      <w:ind w:left="720"/>
    </w:pPr>
    <w:rPr>
      <w:rFonts w:asciiTheme="minorHAnsi" w:hAnsiTheme="minorHAnsi"/>
      <w:sz w:val="20"/>
      <w:szCs w:val="20"/>
    </w:r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link w:val="Heading2"/>
    <w:rsid w:val="00C15D46"/>
    <w:rPr>
      <w:rFonts w:ascii="Cambria" w:eastAsia="Times New Roman" w:hAnsi="Cambria"/>
      <w:b/>
      <w:color w:val="000000"/>
      <w:u w:color="000000"/>
      <w:bdr w:val="nil"/>
      <w:lang w:val="es-ES_tradnl" w:eastAsia="es-ES"/>
    </w:rPr>
  </w:style>
  <w:style w:type="character" w:customStyle="1" w:styleId="Heading3Char">
    <w:name w:val="Heading 3 Char"/>
    <w:link w:val="Heading3"/>
    <w:rsid w:val="00C15D46"/>
    <w:rPr>
      <w:rFonts w:ascii="Cambria" w:eastAsia="Times New Roman" w:hAnsi="Cambria"/>
      <w:b/>
      <w:color w:val="000000"/>
      <w:u w:color="000000"/>
      <w:bdr w:val="nil"/>
      <w:lang w:val="es-ES_tradnl" w:eastAsia="es-E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s-ES_tradnl"/>
    </w:rPr>
  </w:style>
  <w:style w:type="character" w:customStyle="1" w:styleId="apple-converted-space">
    <w:name w:val="apple-converted-space"/>
    <w:rsid w:val="003122CD"/>
  </w:style>
  <w:style w:type="paragraph" w:customStyle="1" w:styleId="ColorfulShading-Accent31">
    <w:name w:val="Colorful Shading - Accent 3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DarkList-Accent31">
    <w:name w:val="Dark List - Accent 31"/>
    <w:hidden/>
    <w:uiPriority w:val="99"/>
    <w:semiHidden/>
    <w:rsid w:val="000A16F3"/>
    <w:rPr>
      <w:sz w:val="24"/>
      <w:szCs w:val="24"/>
      <w:bdr w:val="nil"/>
    </w:rPr>
  </w:style>
  <w:style w:type="paragraph" w:customStyle="1" w:styleId="LightGrid-Accent31">
    <w:name w:val="Light Grid - Accent 31"/>
    <w:basedOn w:val="Normal"/>
    <w:uiPriority w:val="72"/>
    <w:qFormat/>
    <w:rsid w:val="003D06FB"/>
    <w:pPr>
      <w:ind w:left="720"/>
    </w:pPr>
  </w:style>
  <w:style w:type="paragraph" w:customStyle="1" w:styleId="MediumGrid1-Accent21">
    <w:name w:val="Medium Grid 1 - Accent 21"/>
    <w:basedOn w:val="Normal"/>
    <w:uiPriority w:val="72"/>
    <w:qFormat/>
    <w:rsid w:val="00572624"/>
    <w:pPr>
      <w:ind w:left="720"/>
    </w:pPr>
  </w:style>
  <w:style w:type="paragraph" w:customStyle="1" w:styleId="ColorfulList-Accent11">
    <w:name w:val="Colorful List - Accent 11"/>
    <w:basedOn w:val="Normal"/>
    <w:uiPriority w:val="72"/>
    <w:qFormat/>
    <w:rsid w:val="00A03648"/>
    <w:pPr>
      <w:ind w:left="720"/>
    </w:pPr>
  </w:style>
  <w:style w:type="paragraph" w:customStyle="1" w:styleId="Style2">
    <w:name w:val="Style2"/>
    <w:basedOn w:val="Normal"/>
    <w:qFormat/>
    <w:rsid w:val="00754548"/>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customStyle="1" w:styleId="MediumList2-Accent42">
    <w:name w:val="Medium List 2 - Accent 42"/>
    <w:basedOn w:val="Normal"/>
    <w:uiPriority w:val="34"/>
    <w:qFormat/>
    <w:rsid w:val="006069E6"/>
    <w:pPr>
      <w:ind w:left="720"/>
    </w:pPr>
  </w:style>
  <w:style w:type="character" w:styleId="FollowedHyperlink">
    <w:name w:val="FollowedHyperlink"/>
    <w:uiPriority w:val="99"/>
    <w:semiHidden/>
    <w:unhideWhenUsed/>
    <w:rsid w:val="00DA3FDE"/>
    <w:rPr>
      <w:color w:val="800080"/>
      <w:u w:val="single"/>
    </w:rPr>
  </w:style>
  <w:style w:type="paragraph" w:customStyle="1" w:styleId="ColorfulShading-Accent32">
    <w:name w:val="Colorful Shading - Accent 32"/>
    <w:basedOn w:val="Normal"/>
    <w:uiPriority w:val="34"/>
    <w:qFormat/>
    <w:rsid w:val="0005428B"/>
    <w:pPr>
      <w:ind w:left="720"/>
    </w:pPr>
  </w:style>
  <w:style w:type="paragraph" w:customStyle="1" w:styleId="LightGrid-Accent32">
    <w:name w:val="Light Grid - Accent 32"/>
    <w:basedOn w:val="Normal"/>
    <w:uiPriority w:val="34"/>
    <w:qFormat/>
    <w:rsid w:val="004149B7"/>
    <w:pPr>
      <w:ind w:left="720"/>
    </w:pPr>
  </w:style>
  <w:style w:type="paragraph" w:customStyle="1" w:styleId="MediumGrid1-Accent22">
    <w:name w:val="Medium Grid 1 - Accent 22"/>
    <w:basedOn w:val="Normal"/>
    <w:uiPriority w:val="34"/>
    <w:qFormat/>
    <w:rsid w:val="00944F64"/>
    <w:pPr>
      <w:ind w:left="720"/>
    </w:pPr>
  </w:style>
  <w:style w:type="paragraph" w:customStyle="1" w:styleId="ColorfulList-Accent12">
    <w:name w:val="Colorful List - Accent 12"/>
    <w:aliases w:val="Párrafo de lista1,List Paragraph1,List Paragraph11"/>
    <w:link w:val="ColorfulList-Accent1Char"/>
    <w:uiPriority w:val="99"/>
    <w:qFormat/>
    <w:rsid w:val="00FE43A8"/>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styleId="Strong">
    <w:name w:val="Strong"/>
    <w:uiPriority w:val="22"/>
    <w:qFormat/>
    <w:rsid w:val="00FE43A8"/>
    <w:rPr>
      <w:b/>
      <w:bCs/>
    </w:rPr>
  </w:style>
  <w:style w:type="character" w:customStyle="1" w:styleId="ColorfulList-Accent1Char">
    <w:name w:val="Colorful List - Accent 1 Char"/>
    <w:aliases w:val="Párrafo de lista1 Char,List Paragraph1 Char,List Paragraph11 Char"/>
    <w:link w:val="ColorfulList-Accent12"/>
    <w:uiPriority w:val="99"/>
    <w:locked/>
    <w:rsid w:val="00FE43A8"/>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FE43A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bdr w:val="none" w:sz="0" w:space="0" w:color="auto"/>
      <w:vertAlign w:val="superscript"/>
    </w:rPr>
  </w:style>
  <w:style w:type="character" w:customStyle="1" w:styleId="Heading5Char">
    <w:name w:val="Heading 5 Char"/>
    <w:link w:val="Heading5"/>
    <w:uiPriority w:val="99"/>
    <w:rsid w:val="004A1D2D"/>
    <w:rPr>
      <w:rFonts w:ascii="Calibri" w:eastAsia="Times New Roman" w:hAnsi="Calibri" w:cs="Times New Roman"/>
      <w:b/>
      <w:bCs/>
      <w:i/>
      <w:iCs/>
      <w:sz w:val="26"/>
      <w:szCs w:val="26"/>
      <w:bdr w:val="nil"/>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uiPriority w:val="99"/>
    <w:locked/>
    <w:rsid w:val="004A1D2D"/>
    <w:rPr>
      <w:rFonts w:ascii="Calibri" w:eastAsia="Times New Roman" w:hAnsi="Calibri"/>
      <w:color w:val="000000"/>
      <w:u w:color="000000"/>
      <w:lang w:val="en-US"/>
    </w:rPr>
  </w:style>
  <w:style w:type="paragraph" w:customStyle="1" w:styleId="ColorfulList-Accent13">
    <w:name w:val="Colorful List - Accent 13"/>
    <w:basedOn w:val="Normal"/>
    <w:uiPriority w:val="72"/>
    <w:qFormat/>
    <w:rsid w:val="00F47CC6"/>
    <w:pPr>
      <w:ind w:left="720"/>
    </w:pPr>
  </w:style>
  <w:style w:type="paragraph" w:styleId="ListParagraph">
    <w:name w:val="List Paragraph"/>
    <w:aliases w:val="List Paragraph2"/>
    <w:basedOn w:val="Normal"/>
    <w:qFormat/>
    <w:rsid w:val="003C087D"/>
    <w:pPr>
      <w:ind w:left="720"/>
    </w:p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FB72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estilo3">
    <w:name w:val="estilo 3"/>
    <w:basedOn w:val="Normal"/>
    <w:uiPriority w:val="99"/>
    <w:rsid w:val="000E6331"/>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MS Mincho" w:hAnsi="Calibri"/>
      <w:b/>
      <w:sz w:val="22"/>
      <w:szCs w:val="20"/>
      <w:bdr w:val="none" w:sz="0" w:space="0" w:color="auto"/>
      <w:lang w:val="es-ES_tradnl"/>
    </w:rPr>
  </w:style>
  <w:style w:type="paragraph" w:customStyle="1" w:styleId="Footnotes">
    <w:name w:val="Footnotes"/>
    <w:basedOn w:val="FootnoteText"/>
    <w:qFormat/>
    <w:rsid w:val="00067F9E"/>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styleId="TOC5">
    <w:name w:val="toc 5"/>
    <w:basedOn w:val="Normal"/>
    <w:next w:val="Normal"/>
    <w:autoRedefine/>
    <w:uiPriority w:val="39"/>
    <w:unhideWhenUsed/>
    <w:rsid w:val="00D16FD1"/>
    <w:pPr>
      <w:ind w:left="960"/>
    </w:pPr>
    <w:rPr>
      <w:rFonts w:asciiTheme="minorHAnsi" w:hAnsiTheme="minorHAnsi"/>
      <w:sz w:val="20"/>
      <w:szCs w:val="20"/>
    </w:rPr>
  </w:style>
  <w:style w:type="paragraph" w:styleId="TOC6">
    <w:name w:val="toc 6"/>
    <w:basedOn w:val="Normal"/>
    <w:next w:val="Normal"/>
    <w:autoRedefine/>
    <w:uiPriority w:val="39"/>
    <w:unhideWhenUsed/>
    <w:rsid w:val="00D16FD1"/>
    <w:pPr>
      <w:ind w:left="1200"/>
    </w:pPr>
    <w:rPr>
      <w:rFonts w:asciiTheme="minorHAnsi" w:hAnsiTheme="minorHAnsi"/>
      <w:sz w:val="20"/>
      <w:szCs w:val="20"/>
    </w:rPr>
  </w:style>
  <w:style w:type="paragraph" w:styleId="TOC7">
    <w:name w:val="toc 7"/>
    <w:basedOn w:val="Normal"/>
    <w:next w:val="Normal"/>
    <w:autoRedefine/>
    <w:uiPriority w:val="39"/>
    <w:unhideWhenUsed/>
    <w:rsid w:val="00D16FD1"/>
    <w:pPr>
      <w:ind w:left="1440"/>
    </w:pPr>
    <w:rPr>
      <w:rFonts w:asciiTheme="minorHAnsi" w:hAnsiTheme="minorHAnsi"/>
      <w:sz w:val="20"/>
      <w:szCs w:val="20"/>
    </w:rPr>
  </w:style>
  <w:style w:type="paragraph" w:styleId="TOC8">
    <w:name w:val="toc 8"/>
    <w:basedOn w:val="Normal"/>
    <w:next w:val="Normal"/>
    <w:autoRedefine/>
    <w:uiPriority w:val="39"/>
    <w:unhideWhenUsed/>
    <w:rsid w:val="00D16FD1"/>
    <w:pPr>
      <w:ind w:left="1680"/>
    </w:pPr>
    <w:rPr>
      <w:rFonts w:asciiTheme="minorHAnsi" w:hAnsiTheme="minorHAnsi"/>
      <w:sz w:val="20"/>
      <w:szCs w:val="20"/>
    </w:rPr>
  </w:style>
  <w:style w:type="paragraph" w:styleId="TOC9">
    <w:name w:val="toc 9"/>
    <w:basedOn w:val="Normal"/>
    <w:next w:val="Normal"/>
    <w:autoRedefine/>
    <w:uiPriority w:val="39"/>
    <w:unhideWhenUsed/>
    <w:rsid w:val="00D16FD1"/>
    <w:pPr>
      <w:ind w:left="1920"/>
    </w:pPr>
    <w:rPr>
      <w:rFonts w:asciiTheme="minorHAnsi" w:hAnsiTheme="minorHAnsi"/>
      <w:sz w:val="20"/>
      <w:szCs w:val="20"/>
    </w:rPr>
  </w:style>
  <w:style w:type="character" w:styleId="UnresolvedMention">
    <w:name w:val="Unresolved Mention"/>
    <w:basedOn w:val="DefaultParagraphFont"/>
    <w:uiPriority w:val="99"/>
    <w:semiHidden/>
    <w:unhideWhenUsed/>
    <w:rsid w:val="002F030A"/>
    <w:rPr>
      <w:color w:val="605E5C"/>
      <w:shd w:val="clear" w:color="auto" w:fill="E1DFDD"/>
    </w:rPr>
  </w:style>
  <w:style w:type="paragraph" w:customStyle="1" w:styleId="xmsonormal">
    <w:name w:val="x_msonormal"/>
    <w:basedOn w:val="Normal"/>
    <w:rsid w:val="005F3B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customStyle="1" w:styleId="xparrafos">
    <w:name w:val="x_parrafos"/>
    <w:basedOn w:val="Normal"/>
    <w:rsid w:val="005F3B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9577">
      <w:bodyDiv w:val="1"/>
      <w:marLeft w:val="0"/>
      <w:marRight w:val="0"/>
      <w:marTop w:val="0"/>
      <w:marBottom w:val="0"/>
      <w:divBdr>
        <w:top w:val="none" w:sz="0" w:space="0" w:color="auto"/>
        <w:left w:val="none" w:sz="0" w:space="0" w:color="auto"/>
        <w:bottom w:val="none" w:sz="0" w:space="0" w:color="auto"/>
        <w:right w:val="none" w:sz="0" w:space="0" w:color="auto"/>
      </w:divBdr>
    </w:div>
    <w:div w:id="99111820">
      <w:bodyDiv w:val="1"/>
      <w:marLeft w:val="0"/>
      <w:marRight w:val="0"/>
      <w:marTop w:val="0"/>
      <w:marBottom w:val="0"/>
      <w:divBdr>
        <w:top w:val="none" w:sz="0" w:space="0" w:color="auto"/>
        <w:left w:val="none" w:sz="0" w:space="0" w:color="auto"/>
        <w:bottom w:val="none" w:sz="0" w:space="0" w:color="auto"/>
        <w:right w:val="none" w:sz="0" w:space="0" w:color="auto"/>
      </w:divBdr>
    </w:div>
    <w:div w:id="161892597">
      <w:bodyDiv w:val="1"/>
      <w:marLeft w:val="0"/>
      <w:marRight w:val="0"/>
      <w:marTop w:val="0"/>
      <w:marBottom w:val="0"/>
      <w:divBdr>
        <w:top w:val="none" w:sz="0" w:space="0" w:color="auto"/>
        <w:left w:val="none" w:sz="0" w:space="0" w:color="auto"/>
        <w:bottom w:val="none" w:sz="0" w:space="0" w:color="auto"/>
        <w:right w:val="none" w:sz="0" w:space="0" w:color="auto"/>
      </w:divBdr>
    </w:div>
    <w:div w:id="227570173">
      <w:bodyDiv w:val="1"/>
      <w:marLeft w:val="0"/>
      <w:marRight w:val="0"/>
      <w:marTop w:val="0"/>
      <w:marBottom w:val="0"/>
      <w:divBdr>
        <w:top w:val="none" w:sz="0" w:space="0" w:color="auto"/>
        <w:left w:val="none" w:sz="0" w:space="0" w:color="auto"/>
        <w:bottom w:val="none" w:sz="0" w:space="0" w:color="auto"/>
        <w:right w:val="none" w:sz="0" w:space="0" w:color="auto"/>
      </w:divBdr>
    </w:div>
    <w:div w:id="231698357">
      <w:bodyDiv w:val="1"/>
      <w:marLeft w:val="0"/>
      <w:marRight w:val="0"/>
      <w:marTop w:val="0"/>
      <w:marBottom w:val="0"/>
      <w:divBdr>
        <w:top w:val="none" w:sz="0" w:space="0" w:color="auto"/>
        <w:left w:val="none" w:sz="0" w:space="0" w:color="auto"/>
        <w:bottom w:val="none" w:sz="0" w:space="0" w:color="auto"/>
        <w:right w:val="none" w:sz="0" w:space="0" w:color="auto"/>
      </w:divBdr>
    </w:div>
    <w:div w:id="257064036">
      <w:bodyDiv w:val="1"/>
      <w:marLeft w:val="0"/>
      <w:marRight w:val="0"/>
      <w:marTop w:val="0"/>
      <w:marBottom w:val="0"/>
      <w:divBdr>
        <w:top w:val="none" w:sz="0" w:space="0" w:color="auto"/>
        <w:left w:val="none" w:sz="0" w:space="0" w:color="auto"/>
        <w:bottom w:val="none" w:sz="0" w:space="0" w:color="auto"/>
        <w:right w:val="none" w:sz="0" w:space="0" w:color="auto"/>
      </w:divBdr>
    </w:div>
    <w:div w:id="390537910">
      <w:bodyDiv w:val="1"/>
      <w:marLeft w:val="0"/>
      <w:marRight w:val="0"/>
      <w:marTop w:val="0"/>
      <w:marBottom w:val="0"/>
      <w:divBdr>
        <w:top w:val="none" w:sz="0" w:space="0" w:color="auto"/>
        <w:left w:val="none" w:sz="0" w:space="0" w:color="auto"/>
        <w:bottom w:val="none" w:sz="0" w:space="0" w:color="auto"/>
        <w:right w:val="none" w:sz="0" w:space="0" w:color="auto"/>
      </w:divBdr>
    </w:div>
    <w:div w:id="598219594">
      <w:bodyDiv w:val="1"/>
      <w:marLeft w:val="0"/>
      <w:marRight w:val="0"/>
      <w:marTop w:val="0"/>
      <w:marBottom w:val="0"/>
      <w:divBdr>
        <w:top w:val="none" w:sz="0" w:space="0" w:color="auto"/>
        <w:left w:val="none" w:sz="0" w:space="0" w:color="auto"/>
        <w:bottom w:val="none" w:sz="0" w:space="0" w:color="auto"/>
        <w:right w:val="none" w:sz="0" w:space="0" w:color="auto"/>
      </w:divBdr>
    </w:div>
    <w:div w:id="696153261">
      <w:bodyDiv w:val="1"/>
      <w:marLeft w:val="0"/>
      <w:marRight w:val="0"/>
      <w:marTop w:val="0"/>
      <w:marBottom w:val="0"/>
      <w:divBdr>
        <w:top w:val="none" w:sz="0" w:space="0" w:color="auto"/>
        <w:left w:val="none" w:sz="0" w:space="0" w:color="auto"/>
        <w:bottom w:val="none" w:sz="0" w:space="0" w:color="auto"/>
        <w:right w:val="none" w:sz="0" w:space="0" w:color="auto"/>
      </w:divBdr>
      <w:divsChild>
        <w:div w:id="1304122087">
          <w:marLeft w:val="0"/>
          <w:marRight w:val="0"/>
          <w:marTop w:val="0"/>
          <w:marBottom w:val="0"/>
          <w:divBdr>
            <w:top w:val="none" w:sz="0" w:space="0" w:color="auto"/>
            <w:left w:val="none" w:sz="0" w:space="0" w:color="auto"/>
            <w:bottom w:val="none" w:sz="0" w:space="0" w:color="auto"/>
            <w:right w:val="none" w:sz="0" w:space="0" w:color="auto"/>
          </w:divBdr>
          <w:divsChild>
            <w:div w:id="1058238247">
              <w:marLeft w:val="0"/>
              <w:marRight w:val="0"/>
              <w:marTop w:val="0"/>
              <w:marBottom w:val="0"/>
              <w:divBdr>
                <w:top w:val="none" w:sz="0" w:space="0" w:color="auto"/>
                <w:left w:val="none" w:sz="0" w:space="0" w:color="auto"/>
                <w:bottom w:val="none" w:sz="0" w:space="0" w:color="auto"/>
                <w:right w:val="none" w:sz="0" w:space="0" w:color="auto"/>
              </w:divBdr>
              <w:divsChild>
                <w:div w:id="1655839844">
                  <w:marLeft w:val="0"/>
                  <w:marRight w:val="0"/>
                  <w:marTop w:val="0"/>
                  <w:marBottom w:val="0"/>
                  <w:divBdr>
                    <w:top w:val="none" w:sz="0" w:space="0" w:color="auto"/>
                    <w:left w:val="none" w:sz="0" w:space="0" w:color="auto"/>
                    <w:bottom w:val="none" w:sz="0" w:space="0" w:color="auto"/>
                    <w:right w:val="none" w:sz="0" w:space="0" w:color="auto"/>
                  </w:divBdr>
                  <w:divsChild>
                    <w:div w:id="618881607">
                      <w:marLeft w:val="0"/>
                      <w:marRight w:val="0"/>
                      <w:marTop w:val="0"/>
                      <w:marBottom w:val="0"/>
                      <w:divBdr>
                        <w:top w:val="none" w:sz="0" w:space="0" w:color="auto"/>
                        <w:left w:val="none" w:sz="0" w:space="0" w:color="auto"/>
                        <w:bottom w:val="none" w:sz="0" w:space="0" w:color="auto"/>
                        <w:right w:val="none" w:sz="0" w:space="0" w:color="auto"/>
                      </w:divBdr>
                      <w:divsChild>
                        <w:div w:id="431436201">
                          <w:marLeft w:val="0"/>
                          <w:marRight w:val="0"/>
                          <w:marTop w:val="0"/>
                          <w:marBottom w:val="0"/>
                          <w:divBdr>
                            <w:top w:val="none" w:sz="0" w:space="0" w:color="auto"/>
                            <w:left w:val="none" w:sz="0" w:space="0" w:color="auto"/>
                            <w:bottom w:val="none" w:sz="0" w:space="0" w:color="auto"/>
                            <w:right w:val="none" w:sz="0" w:space="0" w:color="auto"/>
                          </w:divBdr>
                          <w:divsChild>
                            <w:div w:id="856777385">
                              <w:marLeft w:val="0"/>
                              <w:marRight w:val="300"/>
                              <w:marTop w:val="180"/>
                              <w:marBottom w:val="0"/>
                              <w:divBdr>
                                <w:top w:val="none" w:sz="0" w:space="0" w:color="auto"/>
                                <w:left w:val="none" w:sz="0" w:space="0" w:color="auto"/>
                                <w:bottom w:val="none" w:sz="0" w:space="0" w:color="auto"/>
                                <w:right w:val="none" w:sz="0" w:space="0" w:color="auto"/>
                              </w:divBdr>
                              <w:divsChild>
                                <w:div w:id="2037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61749">
          <w:marLeft w:val="0"/>
          <w:marRight w:val="0"/>
          <w:marTop w:val="0"/>
          <w:marBottom w:val="0"/>
          <w:divBdr>
            <w:top w:val="none" w:sz="0" w:space="0" w:color="auto"/>
            <w:left w:val="none" w:sz="0" w:space="0" w:color="auto"/>
            <w:bottom w:val="none" w:sz="0" w:space="0" w:color="auto"/>
            <w:right w:val="none" w:sz="0" w:space="0" w:color="auto"/>
          </w:divBdr>
          <w:divsChild>
            <w:div w:id="193616750">
              <w:marLeft w:val="0"/>
              <w:marRight w:val="0"/>
              <w:marTop w:val="0"/>
              <w:marBottom w:val="0"/>
              <w:divBdr>
                <w:top w:val="none" w:sz="0" w:space="0" w:color="auto"/>
                <w:left w:val="none" w:sz="0" w:space="0" w:color="auto"/>
                <w:bottom w:val="none" w:sz="0" w:space="0" w:color="auto"/>
                <w:right w:val="none" w:sz="0" w:space="0" w:color="auto"/>
              </w:divBdr>
              <w:divsChild>
                <w:div w:id="1323003865">
                  <w:marLeft w:val="0"/>
                  <w:marRight w:val="0"/>
                  <w:marTop w:val="0"/>
                  <w:marBottom w:val="0"/>
                  <w:divBdr>
                    <w:top w:val="none" w:sz="0" w:space="0" w:color="auto"/>
                    <w:left w:val="none" w:sz="0" w:space="0" w:color="auto"/>
                    <w:bottom w:val="none" w:sz="0" w:space="0" w:color="auto"/>
                    <w:right w:val="none" w:sz="0" w:space="0" w:color="auto"/>
                  </w:divBdr>
                  <w:divsChild>
                    <w:div w:id="395972928">
                      <w:marLeft w:val="0"/>
                      <w:marRight w:val="0"/>
                      <w:marTop w:val="0"/>
                      <w:marBottom w:val="0"/>
                      <w:divBdr>
                        <w:top w:val="none" w:sz="0" w:space="0" w:color="auto"/>
                        <w:left w:val="none" w:sz="0" w:space="0" w:color="auto"/>
                        <w:bottom w:val="none" w:sz="0" w:space="0" w:color="auto"/>
                        <w:right w:val="none" w:sz="0" w:space="0" w:color="auto"/>
                      </w:divBdr>
                      <w:divsChild>
                        <w:div w:id="2673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931854">
      <w:bodyDiv w:val="1"/>
      <w:marLeft w:val="0"/>
      <w:marRight w:val="0"/>
      <w:marTop w:val="0"/>
      <w:marBottom w:val="0"/>
      <w:divBdr>
        <w:top w:val="none" w:sz="0" w:space="0" w:color="auto"/>
        <w:left w:val="none" w:sz="0" w:space="0" w:color="auto"/>
        <w:bottom w:val="none" w:sz="0" w:space="0" w:color="auto"/>
        <w:right w:val="none" w:sz="0" w:space="0" w:color="auto"/>
      </w:divBdr>
    </w:div>
    <w:div w:id="820390448">
      <w:bodyDiv w:val="1"/>
      <w:marLeft w:val="0"/>
      <w:marRight w:val="0"/>
      <w:marTop w:val="0"/>
      <w:marBottom w:val="0"/>
      <w:divBdr>
        <w:top w:val="none" w:sz="0" w:space="0" w:color="auto"/>
        <w:left w:val="none" w:sz="0" w:space="0" w:color="auto"/>
        <w:bottom w:val="none" w:sz="0" w:space="0" w:color="auto"/>
        <w:right w:val="none" w:sz="0" w:space="0" w:color="auto"/>
      </w:divBdr>
    </w:div>
    <w:div w:id="840238404">
      <w:bodyDiv w:val="1"/>
      <w:marLeft w:val="0"/>
      <w:marRight w:val="0"/>
      <w:marTop w:val="0"/>
      <w:marBottom w:val="0"/>
      <w:divBdr>
        <w:top w:val="none" w:sz="0" w:space="0" w:color="auto"/>
        <w:left w:val="none" w:sz="0" w:space="0" w:color="auto"/>
        <w:bottom w:val="none" w:sz="0" w:space="0" w:color="auto"/>
        <w:right w:val="none" w:sz="0" w:space="0" w:color="auto"/>
      </w:divBdr>
    </w:div>
    <w:div w:id="841621665">
      <w:bodyDiv w:val="1"/>
      <w:marLeft w:val="0"/>
      <w:marRight w:val="0"/>
      <w:marTop w:val="0"/>
      <w:marBottom w:val="0"/>
      <w:divBdr>
        <w:top w:val="none" w:sz="0" w:space="0" w:color="auto"/>
        <w:left w:val="none" w:sz="0" w:space="0" w:color="auto"/>
        <w:bottom w:val="none" w:sz="0" w:space="0" w:color="auto"/>
        <w:right w:val="none" w:sz="0" w:space="0" w:color="auto"/>
      </w:divBdr>
    </w:div>
    <w:div w:id="883951426">
      <w:bodyDiv w:val="1"/>
      <w:marLeft w:val="0"/>
      <w:marRight w:val="0"/>
      <w:marTop w:val="0"/>
      <w:marBottom w:val="0"/>
      <w:divBdr>
        <w:top w:val="none" w:sz="0" w:space="0" w:color="auto"/>
        <w:left w:val="none" w:sz="0" w:space="0" w:color="auto"/>
        <w:bottom w:val="none" w:sz="0" w:space="0" w:color="auto"/>
        <w:right w:val="none" w:sz="0" w:space="0" w:color="auto"/>
      </w:divBdr>
    </w:div>
    <w:div w:id="977955099">
      <w:bodyDiv w:val="1"/>
      <w:marLeft w:val="0"/>
      <w:marRight w:val="0"/>
      <w:marTop w:val="0"/>
      <w:marBottom w:val="0"/>
      <w:divBdr>
        <w:top w:val="none" w:sz="0" w:space="0" w:color="auto"/>
        <w:left w:val="none" w:sz="0" w:space="0" w:color="auto"/>
        <w:bottom w:val="none" w:sz="0" w:space="0" w:color="auto"/>
        <w:right w:val="none" w:sz="0" w:space="0" w:color="auto"/>
      </w:divBdr>
    </w:div>
    <w:div w:id="999695248">
      <w:bodyDiv w:val="1"/>
      <w:marLeft w:val="0"/>
      <w:marRight w:val="0"/>
      <w:marTop w:val="0"/>
      <w:marBottom w:val="0"/>
      <w:divBdr>
        <w:top w:val="none" w:sz="0" w:space="0" w:color="auto"/>
        <w:left w:val="none" w:sz="0" w:space="0" w:color="auto"/>
        <w:bottom w:val="none" w:sz="0" w:space="0" w:color="auto"/>
        <w:right w:val="none" w:sz="0" w:space="0" w:color="auto"/>
      </w:divBdr>
    </w:div>
    <w:div w:id="1056010982">
      <w:bodyDiv w:val="1"/>
      <w:marLeft w:val="0"/>
      <w:marRight w:val="0"/>
      <w:marTop w:val="0"/>
      <w:marBottom w:val="0"/>
      <w:divBdr>
        <w:top w:val="none" w:sz="0" w:space="0" w:color="auto"/>
        <w:left w:val="none" w:sz="0" w:space="0" w:color="auto"/>
        <w:bottom w:val="none" w:sz="0" w:space="0" w:color="auto"/>
        <w:right w:val="none" w:sz="0" w:space="0" w:color="auto"/>
      </w:divBdr>
      <w:divsChild>
        <w:div w:id="595525647">
          <w:marLeft w:val="0"/>
          <w:marRight w:val="0"/>
          <w:marTop w:val="0"/>
          <w:marBottom w:val="0"/>
          <w:divBdr>
            <w:top w:val="none" w:sz="0" w:space="0" w:color="auto"/>
            <w:left w:val="none" w:sz="0" w:space="0" w:color="auto"/>
            <w:bottom w:val="none" w:sz="0" w:space="0" w:color="auto"/>
            <w:right w:val="none" w:sz="0" w:space="0" w:color="auto"/>
          </w:divBdr>
          <w:divsChild>
            <w:div w:id="1370640247">
              <w:marLeft w:val="0"/>
              <w:marRight w:val="0"/>
              <w:marTop w:val="0"/>
              <w:marBottom w:val="0"/>
              <w:divBdr>
                <w:top w:val="none" w:sz="0" w:space="0" w:color="auto"/>
                <w:left w:val="none" w:sz="0" w:space="0" w:color="auto"/>
                <w:bottom w:val="none" w:sz="0" w:space="0" w:color="auto"/>
                <w:right w:val="none" w:sz="0" w:space="0" w:color="auto"/>
              </w:divBdr>
              <w:divsChild>
                <w:div w:id="1742485033">
                  <w:marLeft w:val="0"/>
                  <w:marRight w:val="0"/>
                  <w:marTop w:val="0"/>
                  <w:marBottom w:val="0"/>
                  <w:divBdr>
                    <w:top w:val="none" w:sz="0" w:space="0" w:color="auto"/>
                    <w:left w:val="none" w:sz="0" w:space="0" w:color="auto"/>
                    <w:bottom w:val="none" w:sz="0" w:space="0" w:color="auto"/>
                    <w:right w:val="none" w:sz="0" w:space="0" w:color="auto"/>
                  </w:divBdr>
                  <w:divsChild>
                    <w:div w:id="1140810358">
                      <w:marLeft w:val="0"/>
                      <w:marRight w:val="0"/>
                      <w:marTop w:val="0"/>
                      <w:marBottom w:val="0"/>
                      <w:divBdr>
                        <w:top w:val="none" w:sz="0" w:space="0" w:color="auto"/>
                        <w:left w:val="none" w:sz="0" w:space="0" w:color="auto"/>
                        <w:bottom w:val="none" w:sz="0" w:space="0" w:color="auto"/>
                        <w:right w:val="none" w:sz="0" w:space="0" w:color="auto"/>
                      </w:divBdr>
                      <w:divsChild>
                        <w:div w:id="1613200588">
                          <w:marLeft w:val="0"/>
                          <w:marRight w:val="0"/>
                          <w:marTop w:val="0"/>
                          <w:marBottom w:val="0"/>
                          <w:divBdr>
                            <w:top w:val="none" w:sz="0" w:space="0" w:color="auto"/>
                            <w:left w:val="none" w:sz="0" w:space="0" w:color="auto"/>
                            <w:bottom w:val="none" w:sz="0" w:space="0" w:color="auto"/>
                            <w:right w:val="none" w:sz="0" w:space="0" w:color="auto"/>
                          </w:divBdr>
                          <w:divsChild>
                            <w:div w:id="401948709">
                              <w:marLeft w:val="0"/>
                              <w:marRight w:val="300"/>
                              <w:marTop w:val="180"/>
                              <w:marBottom w:val="0"/>
                              <w:divBdr>
                                <w:top w:val="none" w:sz="0" w:space="0" w:color="auto"/>
                                <w:left w:val="none" w:sz="0" w:space="0" w:color="auto"/>
                                <w:bottom w:val="none" w:sz="0" w:space="0" w:color="auto"/>
                                <w:right w:val="none" w:sz="0" w:space="0" w:color="auto"/>
                              </w:divBdr>
                              <w:divsChild>
                                <w:div w:id="3168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7788">
          <w:marLeft w:val="0"/>
          <w:marRight w:val="0"/>
          <w:marTop w:val="0"/>
          <w:marBottom w:val="0"/>
          <w:divBdr>
            <w:top w:val="none" w:sz="0" w:space="0" w:color="auto"/>
            <w:left w:val="none" w:sz="0" w:space="0" w:color="auto"/>
            <w:bottom w:val="none" w:sz="0" w:space="0" w:color="auto"/>
            <w:right w:val="none" w:sz="0" w:space="0" w:color="auto"/>
          </w:divBdr>
          <w:divsChild>
            <w:div w:id="1610047685">
              <w:marLeft w:val="0"/>
              <w:marRight w:val="0"/>
              <w:marTop w:val="0"/>
              <w:marBottom w:val="0"/>
              <w:divBdr>
                <w:top w:val="none" w:sz="0" w:space="0" w:color="auto"/>
                <w:left w:val="none" w:sz="0" w:space="0" w:color="auto"/>
                <w:bottom w:val="none" w:sz="0" w:space="0" w:color="auto"/>
                <w:right w:val="none" w:sz="0" w:space="0" w:color="auto"/>
              </w:divBdr>
              <w:divsChild>
                <w:div w:id="552431326">
                  <w:marLeft w:val="0"/>
                  <w:marRight w:val="0"/>
                  <w:marTop w:val="0"/>
                  <w:marBottom w:val="0"/>
                  <w:divBdr>
                    <w:top w:val="none" w:sz="0" w:space="0" w:color="auto"/>
                    <w:left w:val="none" w:sz="0" w:space="0" w:color="auto"/>
                    <w:bottom w:val="none" w:sz="0" w:space="0" w:color="auto"/>
                    <w:right w:val="none" w:sz="0" w:space="0" w:color="auto"/>
                  </w:divBdr>
                  <w:divsChild>
                    <w:div w:id="220992040">
                      <w:marLeft w:val="0"/>
                      <w:marRight w:val="0"/>
                      <w:marTop w:val="0"/>
                      <w:marBottom w:val="0"/>
                      <w:divBdr>
                        <w:top w:val="none" w:sz="0" w:space="0" w:color="auto"/>
                        <w:left w:val="none" w:sz="0" w:space="0" w:color="auto"/>
                        <w:bottom w:val="none" w:sz="0" w:space="0" w:color="auto"/>
                        <w:right w:val="none" w:sz="0" w:space="0" w:color="auto"/>
                      </w:divBdr>
                      <w:divsChild>
                        <w:div w:id="12636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785377">
      <w:bodyDiv w:val="1"/>
      <w:marLeft w:val="0"/>
      <w:marRight w:val="0"/>
      <w:marTop w:val="0"/>
      <w:marBottom w:val="0"/>
      <w:divBdr>
        <w:top w:val="none" w:sz="0" w:space="0" w:color="auto"/>
        <w:left w:val="none" w:sz="0" w:space="0" w:color="auto"/>
        <w:bottom w:val="none" w:sz="0" w:space="0" w:color="auto"/>
        <w:right w:val="none" w:sz="0" w:space="0" w:color="auto"/>
      </w:divBdr>
    </w:div>
    <w:div w:id="1204098108">
      <w:bodyDiv w:val="1"/>
      <w:marLeft w:val="0"/>
      <w:marRight w:val="0"/>
      <w:marTop w:val="0"/>
      <w:marBottom w:val="0"/>
      <w:divBdr>
        <w:top w:val="none" w:sz="0" w:space="0" w:color="auto"/>
        <w:left w:val="none" w:sz="0" w:space="0" w:color="auto"/>
        <w:bottom w:val="none" w:sz="0" w:space="0" w:color="auto"/>
        <w:right w:val="none" w:sz="0" w:space="0" w:color="auto"/>
      </w:divBdr>
    </w:div>
    <w:div w:id="1536388043">
      <w:bodyDiv w:val="1"/>
      <w:marLeft w:val="0"/>
      <w:marRight w:val="0"/>
      <w:marTop w:val="0"/>
      <w:marBottom w:val="0"/>
      <w:divBdr>
        <w:top w:val="none" w:sz="0" w:space="0" w:color="auto"/>
        <w:left w:val="none" w:sz="0" w:space="0" w:color="auto"/>
        <w:bottom w:val="none" w:sz="0" w:space="0" w:color="auto"/>
        <w:right w:val="none" w:sz="0" w:space="0" w:color="auto"/>
      </w:divBdr>
    </w:div>
    <w:div w:id="1543177878">
      <w:bodyDiv w:val="1"/>
      <w:marLeft w:val="0"/>
      <w:marRight w:val="0"/>
      <w:marTop w:val="0"/>
      <w:marBottom w:val="0"/>
      <w:divBdr>
        <w:top w:val="none" w:sz="0" w:space="0" w:color="auto"/>
        <w:left w:val="none" w:sz="0" w:space="0" w:color="auto"/>
        <w:bottom w:val="none" w:sz="0" w:space="0" w:color="auto"/>
        <w:right w:val="none" w:sz="0" w:space="0" w:color="auto"/>
      </w:divBdr>
    </w:div>
    <w:div w:id="164515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419154">
      <w:bodyDiv w:val="1"/>
      <w:marLeft w:val="0"/>
      <w:marRight w:val="0"/>
      <w:marTop w:val="0"/>
      <w:marBottom w:val="0"/>
      <w:divBdr>
        <w:top w:val="none" w:sz="0" w:space="0" w:color="auto"/>
        <w:left w:val="none" w:sz="0" w:space="0" w:color="auto"/>
        <w:bottom w:val="none" w:sz="0" w:space="0" w:color="auto"/>
        <w:right w:val="none" w:sz="0" w:space="0" w:color="auto"/>
      </w:divBdr>
    </w:div>
    <w:div w:id="1886411524">
      <w:bodyDiv w:val="1"/>
      <w:marLeft w:val="0"/>
      <w:marRight w:val="0"/>
      <w:marTop w:val="0"/>
      <w:marBottom w:val="0"/>
      <w:divBdr>
        <w:top w:val="none" w:sz="0" w:space="0" w:color="auto"/>
        <w:left w:val="none" w:sz="0" w:space="0" w:color="auto"/>
        <w:bottom w:val="none" w:sz="0" w:space="0" w:color="auto"/>
        <w:right w:val="none" w:sz="0" w:space="0" w:color="auto"/>
      </w:divBdr>
    </w:div>
    <w:div w:id="198222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NewsEvents/Pages/DisplayNews.aspx?NewsID=25745&amp;Lang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AC04-26F2-744D-B30E-7A3861E7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15576</Words>
  <Characters>86760</Characters>
  <Application>Microsoft Office Word</Application>
  <DocSecurity>0</DocSecurity>
  <Lines>1275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102093</CharactersWithSpaces>
  <SharedDoc>false</SharedDoc>
  <HLinks>
    <vt:vector size="198" baseType="variant">
      <vt:variant>
        <vt:i4>1703996</vt:i4>
      </vt:variant>
      <vt:variant>
        <vt:i4>110</vt:i4>
      </vt:variant>
      <vt:variant>
        <vt:i4>0</vt:i4>
      </vt:variant>
      <vt:variant>
        <vt:i4>5</vt:i4>
      </vt:variant>
      <vt:variant>
        <vt:lpwstr/>
      </vt:variant>
      <vt:variant>
        <vt:lpwstr>_Toc534897413</vt:lpwstr>
      </vt:variant>
      <vt:variant>
        <vt:i4>1703996</vt:i4>
      </vt:variant>
      <vt:variant>
        <vt:i4>104</vt:i4>
      </vt:variant>
      <vt:variant>
        <vt:i4>0</vt:i4>
      </vt:variant>
      <vt:variant>
        <vt:i4>5</vt:i4>
      </vt:variant>
      <vt:variant>
        <vt:lpwstr/>
      </vt:variant>
      <vt:variant>
        <vt:lpwstr>_Toc534897412</vt:lpwstr>
      </vt:variant>
      <vt:variant>
        <vt:i4>1703996</vt:i4>
      </vt:variant>
      <vt:variant>
        <vt:i4>98</vt:i4>
      </vt:variant>
      <vt:variant>
        <vt:i4>0</vt:i4>
      </vt:variant>
      <vt:variant>
        <vt:i4>5</vt:i4>
      </vt:variant>
      <vt:variant>
        <vt:lpwstr/>
      </vt:variant>
      <vt:variant>
        <vt:lpwstr>_Toc534897411</vt:lpwstr>
      </vt:variant>
      <vt:variant>
        <vt:i4>1703996</vt:i4>
      </vt:variant>
      <vt:variant>
        <vt:i4>92</vt:i4>
      </vt:variant>
      <vt:variant>
        <vt:i4>0</vt:i4>
      </vt:variant>
      <vt:variant>
        <vt:i4>5</vt:i4>
      </vt:variant>
      <vt:variant>
        <vt:lpwstr/>
      </vt:variant>
      <vt:variant>
        <vt:lpwstr>_Toc534897410</vt:lpwstr>
      </vt:variant>
      <vt:variant>
        <vt:i4>1769532</vt:i4>
      </vt:variant>
      <vt:variant>
        <vt:i4>86</vt:i4>
      </vt:variant>
      <vt:variant>
        <vt:i4>0</vt:i4>
      </vt:variant>
      <vt:variant>
        <vt:i4>5</vt:i4>
      </vt:variant>
      <vt:variant>
        <vt:lpwstr/>
      </vt:variant>
      <vt:variant>
        <vt:lpwstr>_Toc534897409</vt:lpwstr>
      </vt:variant>
      <vt:variant>
        <vt:i4>1769532</vt:i4>
      </vt:variant>
      <vt:variant>
        <vt:i4>80</vt:i4>
      </vt:variant>
      <vt:variant>
        <vt:i4>0</vt:i4>
      </vt:variant>
      <vt:variant>
        <vt:i4>5</vt:i4>
      </vt:variant>
      <vt:variant>
        <vt:lpwstr/>
      </vt:variant>
      <vt:variant>
        <vt:lpwstr>_Toc534897408</vt:lpwstr>
      </vt:variant>
      <vt:variant>
        <vt:i4>1769532</vt:i4>
      </vt:variant>
      <vt:variant>
        <vt:i4>74</vt:i4>
      </vt:variant>
      <vt:variant>
        <vt:i4>0</vt:i4>
      </vt:variant>
      <vt:variant>
        <vt:i4>5</vt:i4>
      </vt:variant>
      <vt:variant>
        <vt:lpwstr/>
      </vt:variant>
      <vt:variant>
        <vt:lpwstr>_Toc534897407</vt:lpwstr>
      </vt:variant>
      <vt:variant>
        <vt:i4>1769532</vt:i4>
      </vt:variant>
      <vt:variant>
        <vt:i4>68</vt:i4>
      </vt:variant>
      <vt:variant>
        <vt:i4>0</vt:i4>
      </vt:variant>
      <vt:variant>
        <vt:i4>5</vt:i4>
      </vt:variant>
      <vt:variant>
        <vt:lpwstr/>
      </vt:variant>
      <vt:variant>
        <vt:lpwstr>_Toc534897406</vt:lpwstr>
      </vt:variant>
      <vt:variant>
        <vt:i4>1769532</vt:i4>
      </vt:variant>
      <vt:variant>
        <vt:i4>62</vt:i4>
      </vt:variant>
      <vt:variant>
        <vt:i4>0</vt:i4>
      </vt:variant>
      <vt:variant>
        <vt:i4>5</vt:i4>
      </vt:variant>
      <vt:variant>
        <vt:lpwstr/>
      </vt:variant>
      <vt:variant>
        <vt:lpwstr>_Toc534897405</vt:lpwstr>
      </vt:variant>
      <vt:variant>
        <vt:i4>1769532</vt:i4>
      </vt:variant>
      <vt:variant>
        <vt:i4>56</vt:i4>
      </vt:variant>
      <vt:variant>
        <vt:i4>0</vt:i4>
      </vt:variant>
      <vt:variant>
        <vt:i4>5</vt:i4>
      </vt:variant>
      <vt:variant>
        <vt:lpwstr/>
      </vt:variant>
      <vt:variant>
        <vt:lpwstr>_Toc534897404</vt:lpwstr>
      </vt:variant>
      <vt:variant>
        <vt:i4>1769532</vt:i4>
      </vt:variant>
      <vt:variant>
        <vt:i4>50</vt:i4>
      </vt:variant>
      <vt:variant>
        <vt:i4>0</vt:i4>
      </vt:variant>
      <vt:variant>
        <vt:i4>5</vt:i4>
      </vt:variant>
      <vt:variant>
        <vt:lpwstr/>
      </vt:variant>
      <vt:variant>
        <vt:lpwstr>_Toc534897403</vt:lpwstr>
      </vt:variant>
      <vt:variant>
        <vt:i4>1769532</vt:i4>
      </vt:variant>
      <vt:variant>
        <vt:i4>44</vt:i4>
      </vt:variant>
      <vt:variant>
        <vt:i4>0</vt:i4>
      </vt:variant>
      <vt:variant>
        <vt:i4>5</vt:i4>
      </vt:variant>
      <vt:variant>
        <vt:lpwstr/>
      </vt:variant>
      <vt:variant>
        <vt:lpwstr>_Toc534897402</vt:lpwstr>
      </vt:variant>
      <vt:variant>
        <vt:i4>1769532</vt:i4>
      </vt:variant>
      <vt:variant>
        <vt:i4>38</vt:i4>
      </vt:variant>
      <vt:variant>
        <vt:i4>0</vt:i4>
      </vt:variant>
      <vt:variant>
        <vt:i4>5</vt:i4>
      </vt:variant>
      <vt:variant>
        <vt:lpwstr/>
      </vt:variant>
      <vt:variant>
        <vt:lpwstr>_Toc534897401</vt:lpwstr>
      </vt:variant>
      <vt:variant>
        <vt:i4>1769532</vt:i4>
      </vt:variant>
      <vt:variant>
        <vt:i4>32</vt:i4>
      </vt:variant>
      <vt:variant>
        <vt:i4>0</vt:i4>
      </vt:variant>
      <vt:variant>
        <vt:i4>5</vt:i4>
      </vt:variant>
      <vt:variant>
        <vt:lpwstr/>
      </vt:variant>
      <vt:variant>
        <vt:lpwstr>_Toc534897400</vt:lpwstr>
      </vt:variant>
      <vt:variant>
        <vt:i4>1179707</vt:i4>
      </vt:variant>
      <vt:variant>
        <vt:i4>26</vt:i4>
      </vt:variant>
      <vt:variant>
        <vt:i4>0</vt:i4>
      </vt:variant>
      <vt:variant>
        <vt:i4>5</vt:i4>
      </vt:variant>
      <vt:variant>
        <vt:lpwstr/>
      </vt:variant>
      <vt:variant>
        <vt:lpwstr>_Toc534897399</vt:lpwstr>
      </vt:variant>
      <vt:variant>
        <vt:i4>1179707</vt:i4>
      </vt:variant>
      <vt:variant>
        <vt:i4>20</vt:i4>
      </vt:variant>
      <vt:variant>
        <vt:i4>0</vt:i4>
      </vt:variant>
      <vt:variant>
        <vt:i4>5</vt:i4>
      </vt:variant>
      <vt:variant>
        <vt:lpwstr/>
      </vt:variant>
      <vt:variant>
        <vt:lpwstr>_Toc534897398</vt:lpwstr>
      </vt:variant>
      <vt:variant>
        <vt:i4>1179707</vt:i4>
      </vt:variant>
      <vt:variant>
        <vt:i4>14</vt:i4>
      </vt:variant>
      <vt:variant>
        <vt:i4>0</vt:i4>
      </vt:variant>
      <vt:variant>
        <vt:i4>5</vt:i4>
      </vt:variant>
      <vt:variant>
        <vt:lpwstr/>
      </vt:variant>
      <vt:variant>
        <vt:lpwstr>_Toc534897397</vt:lpwstr>
      </vt:variant>
      <vt:variant>
        <vt:i4>1179707</vt:i4>
      </vt:variant>
      <vt:variant>
        <vt:i4>8</vt:i4>
      </vt:variant>
      <vt:variant>
        <vt:i4>0</vt:i4>
      </vt:variant>
      <vt:variant>
        <vt:i4>5</vt:i4>
      </vt:variant>
      <vt:variant>
        <vt:lpwstr/>
      </vt:variant>
      <vt:variant>
        <vt:lpwstr>_Toc534897396</vt:lpwstr>
      </vt:variant>
      <vt:variant>
        <vt:i4>1179707</vt:i4>
      </vt:variant>
      <vt:variant>
        <vt:i4>2</vt:i4>
      </vt:variant>
      <vt:variant>
        <vt:i4>0</vt:i4>
      </vt:variant>
      <vt:variant>
        <vt:i4>5</vt:i4>
      </vt:variant>
      <vt:variant>
        <vt:lpwstr/>
      </vt:variant>
      <vt:variant>
        <vt:lpwstr>_Toc534897395</vt:lpwstr>
      </vt:variant>
      <vt:variant>
        <vt:i4>4980739</vt:i4>
      </vt:variant>
      <vt:variant>
        <vt:i4>39</vt:i4>
      </vt:variant>
      <vt:variant>
        <vt:i4>0</vt:i4>
      </vt:variant>
      <vt:variant>
        <vt:i4>5</vt:i4>
      </vt:variant>
      <vt:variant>
        <vt:lpwstr>http://www.cidh.org/Terrorism/Span/indice.htm</vt:lpwstr>
      </vt:variant>
      <vt:variant>
        <vt:lpwstr/>
      </vt:variant>
      <vt:variant>
        <vt:i4>8061032</vt:i4>
      </vt:variant>
      <vt:variant>
        <vt:i4>36</vt:i4>
      </vt:variant>
      <vt:variant>
        <vt:i4>0</vt:i4>
      </vt:variant>
      <vt:variant>
        <vt:i4>5</vt:i4>
      </vt:variant>
      <vt:variant>
        <vt:lpwstr>http://www.oas.org/es/cidh/ppl/docs/pdf/PPL2011esp.pdf</vt:lpwstr>
      </vt:variant>
      <vt:variant>
        <vt:lpwstr/>
      </vt:variant>
      <vt:variant>
        <vt:i4>2162812</vt:i4>
      </vt:variant>
      <vt:variant>
        <vt:i4>33</vt:i4>
      </vt:variant>
      <vt:variant>
        <vt:i4>0</vt:i4>
      </vt:variant>
      <vt:variant>
        <vt:i4>5</vt:i4>
      </vt:variant>
      <vt:variant>
        <vt:lpwstr>http://www.oas.org/es/cidh/ppl/informes/pdfs/Informe-PP-2013-es.pdf</vt:lpwstr>
      </vt:variant>
      <vt:variant>
        <vt:lpwstr/>
      </vt:variant>
      <vt:variant>
        <vt:i4>4587609</vt:i4>
      </vt:variant>
      <vt:variant>
        <vt:i4>30</vt:i4>
      </vt:variant>
      <vt:variant>
        <vt:i4>0</vt:i4>
      </vt:variant>
      <vt:variant>
        <vt:i4>5</vt:i4>
      </vt:variant>
      <vt:variant>
        <vt:lpwstr>http://www.cidh.oas.org/annualrep/95span/cap.III.argentina11.245.htm</vt:lpwstr>
      </vt:variant>
      <vt:variant>
        <vt:lpwstr/>
      </vt:variant>
      <vt:variant>
        <vt:i4>4587609</vt:i4>
      </vt:variant>
      <vt:variant>
        <vt:i4>27</vt:i4>
      </vt:variant>
      <vt:variant>
        <vt:i4>0</vt:i4>
      </vt:variant>
      <vt:variant>
        <vt:i4>5</vt:i4>
      </vt:variant>
      <vt:variant>
        <vt:lpwstr>http://www.cidh.oas.org/annualrep/95span/cap.III.argentina11.245.htm</vt:lpwstr>
      </vt:variant>
      <vt:variant>
        <vt:lpwstr/>
      </vt:variant>
      <vt:variant>
        <vt:i4>2162801</vt:i4>
      </vt:variant>
      <vt:variant>
        <vt:i4>24</vt:i4>
      </vt:variant>
      <vt:variant>
        <vt:i4>0</vt:i4>
      </vt:variant>
      <vt:variant>
        <vt:i4>5</vt:i4>
      </vt:variant>
      <vt:variant>
        <vt:lpwstr>http://www.cidh.org/countryrep/Paraguay01sp/indice.htm</vt:lpwstr>
      </vt:variant>
      <vt:variant>
        <vt:lpwstr/>
      </vt:variant>
      <vt:variant>
        <vt:i4>2162812</vt:i4>
      </vt:variant>
      <vt:variant>
        <vt:i4>21</vt:i4>
      </vt:variant>
      <vt:variant>
        <vt:i4>0</vt:i4>
      </vt:variant>
      <vt:variant>
        <vt:i4>5</vt:i4>
      </vt:variant>
      <vt:variant>
        <vt:lpwstr>http://www.oas.org/es/cidh/ppl/informes/pdfs/Informe-PP-2013-es.pdf</vt:lpwstr>
      </vt:variant>
      <vt:variant>
        <vt:lpwstr/>
      </vt:variant>
      <vt:variant>
        <vt:i4>2162812</vt:i4>
      </vt:variant>
      <vt:variant>
        <vt:i4>18</vt:i4>
      </vt:variant>
      <vt:variant>
        <vt:i4>0</vt:i4>
      </vt:variant>
      <vt:variant>
        <vt:i4>5</vt:i4>
      </vt:variant>
      <vt:variant>
        <vt:lpwstr>http://www.oas.org/es/cidh/ppl/informes/pdfs/Informe-PP-2013-es.pdf</vt:lpwstr>
      </vt:variant>
      <vt:variant>
        <vt:lpwstr/>
      </vt:variant>
      <vt:variant>
        <vt:i4>2162812</vt:i4>
      </vt:variant>
      <vt:variant>
        <vt:i4>15</vt:i4>
      </vt:variant>
      <vt:variant>
        <vt:i4>0</vt:i4>
      </vt:variant>
      <vt:variant>
        <vt:i4>5</vt:i4>
      </vt:variant>
      <vt:variant>
        <vt:lpwstr>http://www.oas.org/es/cidh/ppl/informes/pdfs/Informe-PP-2013-es.pdf</vt:lpwstr>
      </vt:variant>
      <vt:variant>
        <vt:lpwstr/>
      </vt:variant>
      <vt:variant>
        <vt:i4>2162812</vt:i4>
      </vt:variant>
      <vt:variant>
        <vt:i4>12</vt:i4>
      </vt:variant>
      <vt:variant>
        <vt:i4>0</vt:i4>
      </vt:variant>
      <vt:variant>
        <vt:i4>5</vt:i4>
      </vt:variant>
      <vt:variant>
        <vt:lpwstr>http://www.oas.org/es/cidh/ppl/informes/pdfs/Informe-PP-2013-es.pdf</vt:lpwstr>
      </vt:variant>
      <vt:variant>
        <vt:lpwstr/>
      </vt:variant>
      <vt:variant>
        <vt:i4>8061032</vt:i4>
      </vt:variant>
      <vt:variant>
        <vt:i4>9</vt:i4>
      </vt:variant>
      <vt:variant>
        <vt:i4>0</vt:i4>
      </vt:variant>
      <vt:variant>
        <vt:i4>5</vt:i4>
      </vt:variant>
      <vt:variant>
        <vt:lpwstr>http://www.oas.org/es/cidh/ppl/docs/pdf/PPL2011esp.pdf</vt:lpwstr>
      </vt:variant>
      <vt:variant>
        <vt:lpwstr/>
      </vt:variant>
      <vt:variant>
        <vt:i4>4259919</vt:i4>
      </vt:variant>
      <vt:variant>
        <vt:i4>6</vt:i4>
      </vt:variant>
      <vt:variant>
        <vt:i4>0</vt:i4>
      </vt:variant>
      <vt:variant>
        <vt:i4>5</vt:i4>
      </vt:variant>
      <vt:variant>
        <vt:lpwstr>http://www.oas.org/es/cidh/docs/pdfs/SEGURIDAD CIUDADANA 2009 ESP.pdf</vt:lpwstr>
      </vt:variant>
      <vt:variant>
        <vt:lpwstr/>
      </vt:variant>
      <vt:variant>
        <vt:i4>4259919</vt:i4>
      </vt:variant>
      <vt:variant>
        <vt:i4>3</vt:i4>
      </vt:variant>
      <vt:variant>
        <vt:i4>0</vt:i4>
      </vt:variant>
      <vt:variant>
        <vt:i4>5</vt:i4>
      </vt:variant>
      <vt:variant>
        <vt:lpwstr>http://www.oas.org/es/cidh/docs/pdfs/SEGURIDAD CIUDADANA 2009 ESP.pdf</vt:lpwstr>
      </vt:variant>
      <vt:variant>
        <vt:lpwstr/>
      </vt:variant>
      <vt:variant>
        <vt:i4>6488165</vt:i4>
      </vt:variant>
      <vt:variant>
        <vt:i4>0</vt:i4>
      </vt:variant>
      <vt:variant>
        <vt:i4>0</vt:i4>
      </vt:variant>
      <vt:variant>
        <vt:i4>5</vt:i4>
      </vt:variant>
      <vt:variant>
        <vt:lpwstr>http://www.oas.org/es/cidh/decisiones/2011/ECAD12197ES.doc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459/21</dc:title>
  <dc:creator/>
  <cp:lastModifiedBy/>
  <cp:revision>1</cp:revision>
  <dcterms:created xsi:type="dcterms:W3CDTF">2022-04-04T14:44:00Z</dcterms:created>
  <dcterms:modified xsi:type="dcterms:W3CDTF">2022-04-04T14:44:00Z</dcterms:modified>
</cp:coreProperties>
</file>