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663353EC" w:rsidR="00040C3A" w:rsidRPr="00A53566" w:rsidRDefault="00D306D1" w:rsidP="00627C9F">
      <w:pPr>
        <w:jc w:val="both"/>
        <w:rPr>
          <w:rFonts w:asciiTheme="majorHAnsi" w:hAnsiTheme="majorHAnsi" w:cs="Univers"/>
          <w:b/>
          <w:bCs/>
          <w:sz w:val="22"/>
          <w:szCs w:val="22"/>
        </w:rPr>
      </w:pPr>
      <w:r w:rsidRPr="00A5356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719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5356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6C5BA5" w:rsidRPr="00A53566">
        <w:rPr>
          <w:rFonts w:asciiTheme="majorHAnsi" w:hAnsiTheme="majorHAnsi" w:cs="Univers"/>
          <w:b/>
          <w:bCs/>
          <w:sz w:val="22"/>
          <w:szCs w:val="22"/>
        </w:rPr>
        <w:t>x</w:t>
      </w:r>
    </w:p>
    <w:p w14:paraId="47386BAF" w14:textId="77777777" w:rsidR="00040C3A" w:rsidRPr="00A53566" w:rsidRDefault="00040C3A" w:rsidP="00040C3A">
      <w:pPr>
        <w:tabs>
          <w:tab w:val="center" w:pos="5400"/>
        </w:tabs>
        <w:suppressAutoHyphens/>
        <w:jc w:val="both"/>
        <w:rPr>
          <w:rFonts w:asciiTheme="majorHAnsi" w:hAnsiTheme="majorHAnsi"/>
          <w:sz w:val="22"/>
          <w:szCs w:val="22"/>
        </w:rPr>
      </w:pPr>
    </w:p>
    <w:p w14:paraId="5A87E141" w14:textId="77777777" w:rsidR="00040C3A" w:rsidRPr="00A53566" w:rsidRDefault="00040C3A" w:rsidP="00040C3A">
      <w:pPr>
        <w:tabs>
          <w:tab w:val="center" w:pos="5400"/>
        </w:tabs>
        <w:suppressAutoHyphens/>
        <w:jc w:val="both"/>
        <w:rPr>
          <w:rFonts w:asciiTheme="majorHAnsi" w:hAnsiTheme="majorHAnsi"/>
          <w:sz w:val="22"/>
          <w:szCs w:val="22"/>
        </w:rPr>
      </w:pPr>
    </w:p>
    <w:p w14:paraId="29D95BCC" w14:textId="77777777" w:rsidR="005128E4" w:rsidRPr="00A53566" w:rsidRDefault="005128E4" w:rsidP="00040C3A">
      <w:pPr>
        <w:tabs>
          <w:tab w:val="center" w:pos="5400"/>
        </w:tabs>
        <w:suppressAutoHyphens/>
        <w:rPr>
          <w:rFonts w:asciiTheme="majorHAnsi" w:hAnsiTheme="majorHAnsi"/>
          <w:sz w:val="22"/>
          <w:szCs w:val="22"/>
        </w:rPr>
      </w:pPr>
    </w:p>
    <w:p w14:paraId="12A36B24" w14:textId="77777777" w:rsidR="005128E4" w:rsidRPr="00A53566" w:rsidRDefault="005128E4" w:rsidP="00040C3A">
      <w:pPr>
        <w:tabs>
          <w:tab w:val="center" w:pos="5400"/>
        </w:tabs>
        <w:suppressAutoHyphens/>
        <w:rPr>
          <w:rFonts w:asciiTheme="majorHAnsi" w:hAnsiTheme="majorHAnsi"/>
          <w:sz w:val="22"/>
          <w:szCs w:val="22"/>
        </w:rPr>
      </w:pPr>
    </w:p>
    <w:p w14:paraId="2252093D" w14:textId="77777777" w:rsidR="005128E4" w:rsidRPr="00A53566" w:rsidRDefault="005128E4" w:rsidP="00040C3A">
      <w:pPr>
        <w:tabs>
          <w:tab w:val="center" w:pos="5400"/>
        </w:tabs>
        <w:suppressAutoHyphens/>
        <w:rPr>
          <w:rFonts w:asciiTheme="majorHAnsi" w:hAnsiTheme="majorHAnsi"/>
          <w:sz w:val="22"/>
          <w:szCs w:val="22"/>
        </w:rPr>
      </w:pPr>
    </w:p>
    <w:p w14:paraId="403935BD" w14:textId="77777777" w:rsidR="00040C3A" w:rsidRPr="00A53566" w:rsidRDefault="00040C3A" w:rsidP="005128E4">
      <w:pPr>
        <w:tabs>
          <w:tab w:val="center" w:pos="5400"/>
        </w:tabs>
        <w:suppressAutoHyphens/>
        <w:jc w:val="center"/>
        <w:rPr>
          <w:rFonts w:asciiTheme="majorHAnsi" w:hAnsiTheme="majorHAnsi"/>
          <w:sz w:val="22"/>
          <w:szCs w:val="22"/>
        </w:rPr>
      </w:pPr>
    </w:p>
    <w:p w14:paraId="6DCF5F8F" w14:textId="77777777" w:rsidR="00040C3A" w:rsidRPr="00A53566" w:rsidRDefault="00040C3A" w:rsidP="005128E4">
      <w:pPr>
        <w:tabs>
          <w:tab w:val="center" w:pos="5400"/>
        </w:tabs>
        <w:suppressAutoHyphens/>
        <w:jc w:val="center"/>
        <w:rPr>
          <w:rFonts w:asciiTheme="majorHAnsi" w:hAnsiTheme="majorHAnsi"/>
          <w:sz w:val="22"/>
          <w:szCs w:val="22"/>
        </w:rPr>
      </w:pPr>
    </w:p>
    <w:p w14:paraId="4791F13A" w14:textId="77777777" w:rsidR="005B52B0" w:rsidRPr="00A53566" w:rsidRDefault="005B52B0" w:rsidP="005128E4">
      <w:pPr>
        <w:tabs>
          <w:tab w:val="center" w:pos="5400"/>
        </w:tabs>
        <w:suppressAutoHyphens/>
        <w:jc w:val="center"/>
        <w:rPr>
          <w:rFonts w:asciiTheme="majorHAnsi" w:hAnsiTheme="majorHAnsi"/>
          <w:sz w:val="22"/>
          <w:szCs w:val="22"/>
        </w:rPr>
      </w:pPr>
    </w:p>
    <w:p w14:paraId="44E016B6" w14:textId="77777777" w:rsidR="005B52B0" w:rsidRPr="00A53566" w:rsidRDefault="005B52B0" w:rsidP="005128E4">
      <w:pPr>
        <w:tabs>
          <w:tab w:val="center" w:pos="5400"/>
        </w:tabs>
        <w:suppressAutoHyphens/>
        <w:jc w:val="center"/>
        <w:rPr>
          <w:rFonts w:asciiTheme="majorHAnsi" w:hAnsiTheme="majorHAnsi"/>
          <w:sz w:val="22"/>
          <w:szCs w:val="22"/>
        </w:rPr>
      </w:pPr>
    </w:p>
    <w:p w14:paraId="63D41962" w14:textId="77777777" w:rsidR="005B52B0" w:rsidRPr="00A53566" w:rsidRDefault="005B52B0" w:rsidP="005128E4">
      <w:pPr>
        <w:tabs>
          <w:tab w:val="center" w:pos="5400"/>
        </w:tabs>
        <w:suppressAutoHyphens/>
        <w:jc w:val="center"/>
        <w:rPr>
          <w:rFonts w:asciiTheme="majorHAnsi" w:hAnsiTheme="majorHAnsi"/>
          <w:sz w:val="22"/>
          <w:szCs w:val="22"/>
        </w:rPr>
      </w:pPr>
    </w:p>
    <w:p w14:paraId="5ADEB990" w14:textId="77777777" w:rsidR="00040C3A" w:rsidRPr="00A53566" w:rsidRDefault="00040C3A" w:rsidP="00040C3A">
      <w:pPr>
        <w:tabs>
          <w:tab w:val="center" w:pos="5400"/>
        </w:tabs>
        <w:suppressAutoHyphens/>
        <w:jc w:val="center"/>
        <w:rPr>
          <w:rFonts w:asciiTheme="majorHAnsi" w:hAnsiTheme="majorHAnsi"/>
          <w:sz w:val="22"/>
          <w:szCs w:val="22"/>
        </w:rPr>
      </w:pPr>
    </w:p>
    <w:p w14:paraId="2D81B7E8" w14:textId="77777777" w:rsidR="00040C3A" w:rsidRPr="00A53566" w:rsidRDefault="00040C3A" w:rsidP="00040C3A">
      <w:pPr>
        <w:tabs>
          <w:tab w:val="center" w:pos="5400"/>
        </w:tabs>
        <w:suppressAutoHyphens/>
        <w:jc w:val="center"/>
        <w:rPr>
          <w:rFonts w:asciiTheme="majorHAnsi" w:hAnsiTheme="majorHAnsi"/>
          <w:sz w:val="22"/>
          <w:szCs w:val="22"/>
        </w:rPr>
      </w:pPr>
    </w:p>
    <w:p w14:paraId="64791D04" w14:textId="77777777" w:rsidR="00040C3A" w:rsidRPr="00A53566" w:rsidRDefault="003D3BC2" w:rsidP="00040C3A">
      <w:pPr>
        <w:tabs>
          <w:tab w:val="center" w:pos="5400"/>
        </w:tabs>
        <w:suppressAutoHyphens/>
        <w:jc w:val="center"/>
        <w:rPr>
          <w:rFonts w:asciiTheme="majorHAnsi" w:hAnsiTheme="majorHAnsi"/>
          <w:sz w:val="22"/>
          <w:szCs w:val="22"/>
        </w:rPr>
      </w:pPr>
      <w:r w:rsidRPr="00A5356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227B325">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A15898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E2B91">
                              <w:rPr>
                                <w:rFonts w:asciiTheme="majorHAnsi" w:hAnsiTheme="majorHAnsi" w:cs="Arial"/>
                                <w:b/>
                                <w:bCs/>
                                <w:color w:val="0D0D0D" w:themeColor="text1" w:themeTint="F2"/>
                                <w:sz w:val="36"/>
                                <w:szCs w:val="22"/>
                                <w:lang w:val="es-ES_tradnl"/>
                              </w:rPr>
                              <w:t>322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2C76F3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51A85">
                              <w:rPr>
                                <w:rFonts w:asciiTheme="majorHAnsi" w:hAnsiTheme="majorHAnsi" w:cs="Arial"/>
                                <w:b/>
                                <w:color w:val="0D0D0D" w:themeColor="text1" w:themeTint="F2"/>
                                <w:sz w:val="36"/>
                                <w:szCs w:val="22"/>
                                <w:lang w:val="es-ES_tradnl"/>
                              </w:rPr>
                              <w:t>110</w:t>
                            </w:r>
                            <w:r w:rsidR="00096E63">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w:t>
                            </w:r>
                            <w:r w:rsidR="00951A85">
                              <w:rPr>
                                <w:rFonts w:asciiTheme="majorHAnsi" w:hAnsiTheme="majorHAnsi" w:cs="Arial"/>
                                <w:b/>
                                <w:color w:val="0D0D0D" w:themeColor="text1" w:themeTint="F2"/>
                                <w:sz w:val="36"/>
                                <w:szCs w:val="22"/>
                                <w:lang w:val="es-ES_tradnl"/>
                              </w:rPr>
                              <w:t>20</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60C7DF9" w:rsidR="005B52B0" w:rsidRPr="0010736F" w:rsidRDefault="00136D9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INTEGRANTES DEL CENIDH</w:t>
                            </w:r>
                          </w:p>
                          <w:bookmarkEnd w:id="0"/>
                          <w:p w14:paraId="35068D0D" w14:textId="311CE3DA" w:rsidR="005B52B0" w:rsidRPr="0010736F" w:rsidRDefault="006D3AB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1A15898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E2B91">
                        <w:rPr>
                          <w:rFonts w:asciiTheme="majorHAnsi" w:hAnsiTheme="majorHAnsi" w:cs="Arial"/>
                          <w:b/>
                          <w:bCs/>
                          <w:color w:val="0D0D0D" w:themeColor="text1" w:themeTint="F2"/>
                          <w:sz w:val="36"/>
                          <w:szCs w:val="22"/>
                          <w:lang w:val="es-ES_tradnl"/>
                        </w:rPr>
                        <w:t>322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2C76F37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51A85">
                        <w:rPr>
                          <w:rFonts w:asciiTheme="majorHAnsi" w:hAnsiTheme="majorHAnsi" w:cs="Arial"/>
                          <w:b/>
                          <w:color w:val="0D0D0D" w:themeColor="text1" w:themeTint="F2"/>
                          <w:sz w:val="36"/>
                          <w:szCs w:val="22"/>
                          <w:lang w:val="es-ES_tradnl"/>
                        </w:rPr>
                        <w:t>110</w:t>
                      </w:r>
                      <w:r w:rsidR="00096E63">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w:t>
                      </w:r>
                      <w:r w:rsidR="00951A85">
                        <w:rPr>
                          <w:rFonts w:asciiTheme="majorHAnsi" w:hAnsiTheme="majorHAnsi" w:cs="Arial"/>
                          <w:b/>
                          <w:color w:val="0D0D0D" w:themeColor="text1" w:themeTint="F2"/>
                          <w:sz w:val="36"/>
                          <w:szCs w:val="22"/>
                          <w:lang w:val="es-ES_tradnl"/>
                        </w:rPr>
                        <w:t>20</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60C7DF9" w:rsidR="005B52B0" w:rsidRPr="0010736F" w:rsidRDefault="00136D9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INTEGRANTES DEL CENIDH</w:t>
                      </w:r>
                    </w:p>
                    <w:bookmarkEnd w:id="1"/>
                    <w:p w14:paraId="35068D0D" w14:textId="311CE3DA" w:rsidR="005B52B0" w:rsidRPr="0010736F" w:rsidRDefault="006D3AB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A5356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FA6CC84" w:rsidR="00627C9F" w:rsidRPr="004D0BDA" w:rsidRDefault="00834D49" w:rsidP="007A5817">
                            <w:pPr>
                              <w:spacing w:line="276" w:lineRule="auto"/>
                              <w:jc w:val="right"/>
                              <w:rPr>
                                <w:rFonts w:asciiTheme="minorHAnsi" w:hAnsiTheme="minorHAnsi"/>
                                <w:color w:val="FFFFFF" w:themeColor="background1"/>
                                <w:sz w:val="22"/>
                                <w:lang w:val="es-419"/>
                              </w:rPr>
                            </w:pPr>
                            <w:r w:rsidRPr="004D0BDA">
                              <w:rPr>
                                <w:rFonts w:asciiTheme="minorHAnsi" w:hAnsiTheme="minorHAnsi"/>
                                <w:color w:val="FFFFFF" w:themeColor="background1"/>
                                <w:sz w:val="22"/>
                                <w:lang w:val="es-419"/>
                              </w:rPr>
                              <w:t>OEA/Ser.L/V/II</w:t>
                            </w:r>
                          </w:p>
                          <w:p w14:paraId="6A41611B" w14:textId="23D5CF03" w:rsidR="00627C9F" w:rsidRPr="004D0BDA" w:rsidRDefault="00627C9F" w:rsidP="007A5817">
                            <w:pPr>
                              <w:spacing w:line="276" w:lineRule="auto"/>
                              <w:jc w:val="right"/>
                              <w:rPr>
                                <w:rFonts w:asciiTheme="minorHAnsi" w:hAnsiTheme="minorHAnsi"/>
                                <w:color w:val="FFFFFF" w:themeColor="background1"/>
                                <w:sz w:val="22"/>
                                <w:lang w:val="es-419"/>
                              </w:rPr>
                            </w:pPr>
                            <w:r w:rsidRPr="004D0BDA">
                              <w:rPr>
                                <w:rFonts w:asciiTheme="minorHAnsi" w:hAnsiTheme="minorHAnsi"/>
                                <w:color w:val="FFFFFF" w:themeColor="background1"/>
                                <w:sz w:val="22"/>
                                <w:lang w:val="es-419"/>
                              </w:rPr>
                              <w:t xml:space="preserve">Doc. </w:t>
                            </w:r>
                            <w:r w:rsidR="00BE2B91" w:rsidRPr="004D0BDA">
                              <w:rPr>
                                <w:rFonts w:asciiTheme="minorHAnsi" w:hAnsiTheme="minorHAnsi"/>
                                <w:color w:val="FFFFFF" w:themeColor="background1"/>
                                <w:sz w:val="22"/>
                                <w:lang w:val="es-419"/>
                              </w:rPr>
                              <w:t>332</w:t>
                            </w:r>
                          </w:p>
                          <w:p w14:paraId="69373ED2" w14:textId="7AB1B2F9" w:rsidR="00627C9F" w:rsidRPr="00C25ADB" w:rsidRDefault="00BE2B9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FA6CC84" w:rsidR="00627C9F" w:rsidRPr="004D0BDA" w:rsidRDefault="00834D49" w:rsidP="007A5817">
                      <w:pPr>
                        <w:spacing w:line="276" w:lineRule="auto"/>
                        <w:jc w:val="right"/>
                        <w:rPr>
                          <w:rFonts w:asciiTheme="minorHAnsi" w:hAnsiTheme="minorHAnsi"/>
                          <w:color w:val="FFFFFF" w:themeColor="background1"/>
                          <w:sz w:val="22"/>
                          <w:lang w:val="es-419"/>
                        </w:rPr>
                      </w:pPr>
                      <w:r w:rsidRPr="004D0BDA">
                        <w:rPr>
                          <w:rFonts w:asciiTheme="minorHAnsi" w:hAnsiTheme="minorHAnsi"/>
                          <w:color w:val="FFFFFF" w:themeColor="background1"/>
                          <w:sz w:val="22"/>
                          <w:lang w:val="es-419"/>
                        </w:rPr>
                        <w:t>OEA/Ser.L/V/II</w:t>
                      </w:r>
                    </w:p>
                    <w:p w14:paraId="6A41611B" w14:textId="23D5CF03" w:rsidR="00627C9F" w:rsidRPr="004D0BDA" w:rsidRDefault="00627C9F" w:rsidP="007A5817">
                      <w:pPr>
                        <w:spacing w:line="276" w:lineRule="auto"/>
                        <w:jc w:val="right"/>
                        <w:rPr>
                          <w:rFonts w:asciiTheme="minorHAnsi" w:hAnsiTheme="minorHAnsi"/>
                          <w:color w:val="FFFFFF" w:themeColor="background1"/>
                          <w:sz w:val="22"/>
                          <w:lang w:val="es-419"/>
                        </w:rPr>
                      </w:pPr>
                      <w:r w:rsidRPr="004D0BDA">
                        <w:rPr>
                          <w:rFonts w:asciiTheme="minorHAnsi" w:hAnsiTheme="minorHAnsi"/>
                          <w:color w:val="FFFFFF" w:themeColor="background1"/>
                          <w:sz w:val="22"/>
                          <w:lang w:val="es-419"/>
                        </w:rPr>
                        <w:t xml:space="preserve">Doc. </w:t>
                      </w:r>
                      <w:r w:rsidR="00BE2B91" w:rsidRPr="004D0BDA">
                        <w:rPr>
                          <w:rFonts w:asciiTheme="minorHAnsi" w:hAnsiTheme="minorHAnsi"/>
                          <w:color w:val="FFFFFF" w:themeColor="background1"/>
                          <w:sz w:val="22"/>
                          <w:lang w:val="es-419"/>
                        </w:rPr>
                        <w:t>332</w:t>
                      </w:r>
                    </w:p>
                    <w:p w14:paraId="69373ED2" w14:textId="7AB1B2F9" w:rsidR="00627C9F" w:rsidRPr="00C25ADB" w:rsidRDefault="00BE2B9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A53566" w:rsidRDefault="00040C3A" w:rsidP="00040C3A">
      <w:pPr>
        <w:tabs>
          <w:tab w:val="center" w:pos="5400"/>
        </w:tabs>
        <w:suppressAutoHyphens/>
        <w:jc w:val="center"/>
        <w:rPr>
          <w:rFonts w:asciiTheme="majorHAnsi" w:hAnsiTheme="majorHAnsi"/>
          <w:sz w:val="22"/>
          <w:szCs w:val="22"/>
        </w:rPr>
      </w:pPr>
    </w:p>
    <w:p w14:paraId="5FE3AB87" w14:textId="77777777" w:rsidR="00040C3A" w:rsidRPr="00A53566" w:rsidRDefault="00040C3A" w:rsidP="00040C3A">
      <w:pPr>
        <w:tabs>
          <w:tab w:val="center" w:pos="5400"/>
        </w:tabs>
        <w:suppressAutoHyphens/>
        <w:jc w:val="center"/>
        <w:rPr>
          <w:rFonts w:asciiTheme="majorHAnsi" w:hAnsiTheme="majorHAnsi"/>
          <w:sz w:val="22"/>
          <w:szCs w:val="22"/>
        </w:rPr>
      </w:pPr>
    </w:p>
    <w:p w14:paraId="3C383BC0" w14:textId="77777777" w:rsidR="00040C3A" w:rsidRPr="00A53566"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A53566" w:rsidRDefault="00040C3A" w:rsidP="00040C3A">
      <w:pPr>
        <w:tabs>
          <w:tab w:val="center" w:pos="5400"/>
        </w:tabs>
        <w:suppressAutoHyphens/>
        <w:jc w:val="center"/>
        <w:rPr>
          <w:rFonts w:asciiTheme="majorHAnsi" w:hAnsiTheme="majorHAnsi"/>
          <w:sz w:val="22"/>
          <w:szCs w:val="22"/>
        </w:rPr>
      </w:pPr>
    </w:p>
    <w:p w14:paraId="76C291D6" w14:textId="77777777" w:rsidR="00040C3A" w:rsidRPr="00A53566" w:rsidRDefault="00040C3A" w:rsidP="00040C3A">
      <w:pPr>
        <w:tabs>
          <w:tab w:val="center" w:pos="5400"/>
        </w:tabs>
        <w:suppressAutoHyphens/>
        <w:jc w:val="center"/>
        <w:rPr>
          <w:rFonts w:asciiTheme="majorHAnsi" w:hAnsiTheme="majorHAnsi"/>
          <w:sz w:val="22"/>
          <w:szCs w:val="22"/>
        </w:rPr>
      </w:pPr>
    </w:p>
    <w:p w14:paraId="2161B44F" w14:textId="77777777" w:rsidR="00040C3A" w:rsidRPr="00A53566" w:rsidRDefault="00040C3A" w:rsidP="00040C3A">
      <w:pPr>
        <w:tabs>
          <w:tab w:val="center" w:pos="5400"/>
        </w:tabs>
        <w:suppressAutoHyphens/>
        <w:jc w:val="center"/>
        <w:rPr>
          <w:rFonts w:asciiTheme="majorHAnsi" w:hAnsiTheme="majorHAnsi"/>
          <w:sz w:val="22"/>
          <w:szCs w:val="22"/>
        </w:rPr>
      </w:pPr>
    </w:p>
    <w:p w14:paraId="3C4EEE07" w14:textId="77777777" w:rsidR="00040C3A" w:rsidRPr="00A53566" w:rsidRDefault="00040C3A" w:rsidP="00040C3A">
      <w:pPr>
        <w:tabs>
          <w:tab w:val="center" w:pos="5400"/>
        </w:tabs>
        <w:suppressAutoHyphens/>
        <w:jc w:val="center"/>
        <w:rPr>
          <w:rFonts w:asciiTheme="majorHAnsi" w:hAnsiTheme="majorHAnsi"/>
          <w:sz w:val="22"/>
          <w:szCs w:val="22"/>
        </w:rPr>
      </w:pPr>
    </w:p>
    <w:p w14:paraId="3B0E4647" w14:textId="77777777" w:rsidR="005128E4" w:rsidRPr="00A53566" w:rsidRDefault="005128E4" w:rsidP="00040C3A">
      <w:pPr>
        <w:tabs>
          <w:tab w:val="center" w:pos="5400"/>
        </w:tabs>
        <w:suppressAutoHyphens/>
        <w:jc w:val="center"/>
        <w:rPr>
          <w:rFonts w:asciiTheme="majorHAnsi" w:hAnsiTheme="majorHAnsi"/>
          <w:sz w:val="22"/>
          <w:szCs w:val="22"/>
        </w:rPr>
      </w:pPr>
    </w:p>
    <w:p w14:paraId="2DAAF36D" w14:textId="77777777" w:rsidR="00040C3A" w:rsidRPr="00A53566" w:rsidRDefault="00040C3A" w:rsidP="00040C3A">
      <w:pPr>
        <w:tabs>
          <w:tab w:val="center" w:pos="5400"/>
        </w:tabs>
        <w:suppressAutoHyphens/>
        <w:jc w:val="center"/>
        <w:rPr>
          <w:rFonts w:asciiTheme="majorHAnsi" w:hAnsiTheme="majorHAnsi"/>
          <w:sz w:val="22"/>
          <w:szCs w:val="22"/>
        </w:rPr>
      </w:pPr>
    </w:p>
    <w:p w14:paraId="12496A14" w14:textId="77777777" w:rsidR="005128E4" w:rsidRPr="00A53566" w:rsidRDefault="005128E4" w:rsidP="00040C3A">
      <w:pPr>
        <w:tabs>
          <w:tab w:val="center" w:pos="5400"/>
        </w:tabs>
        <w:suppressAutoHyphens/>
        <w:jc w:val="center"/>
        <w:rPr>
          <w:rFonts w:asciiTheme="majorHAnsi" w:hAnsiTheme="majorHAnsi"/>
          <w:sz w:val="22"/>
          <w:szCs w:val="22"/>
        </w:rPr>
      </w:pPr>
    </w:p>
    <w:p w14:paraId="25772DB3" w14:textId="77777777" w:rsidR="005128E4" w:rsidRPr="00A53566" w:rsidRDefault="005128E4" w:rsidP="00040C3A">
      <w:pPr>
        <w:tabs>
          <w:tab w:val="center" w:pos="5400"/>
        </w:tabs>
        <w:suppressAutoHyphens/>
        <w:jc w:val="center"/>
        <w:rPr>
          <w:rFonts w:asciiTheme="majorHAnsi" w:hAnsiTheme="majorHAnsi"/>
          <w:sz w:val="22"/>
          <w:szCs w:val="22"/>
        </w:rPr>
      </w:pPr>
    </w:p>
    <w:p w14:paraId="6820FADA" w14:textId="77777777" w:rsidR="005128E4" w:rsidRPr="00A53566" w:rsidRDefault="005128E4" w:rsidP="00040C3A">
      <w:pPr>
        <w:tabs>
          <w:tab w:val="center" w:pos="5400"/>
        </w:tabs>
        <w:suppressAutoHyphens/>
        <w:jc w:val="center"/>
        <w:rPr>
          <w:rFonts w:asciiTheme="majorHAnsi" w:hAnsiTheme="majorHAnsi"/>
          <w:sz w:val="22"/>
          <w:szCs w:val="22"/>
        </w:rPr>
      </w:pPr>
    </w:p>
    <w:p w14:paraId="54445A55" w14:textId="77777777" w:rsidR="00040C3A" w:rsidRPr="00A53566" w:rsidRDefault="00040C3A" w:rsidP="00040C3A">
      <w:pPr>
        <w:tabs>
          <w:tab w:val="center" w:pos="5400"/>
        </w:tabs>
        <w:suppressAutoHyphens/>
        <w:jc w:val="center"/>
        <w:rPr>
          <w:rFonts w:asciiTheme="majorHAnsi" w:hAnsiTheme="majorHAnsi"/>
          <w:sz w:val="22"/>
          <w:szCs w:val="22"/>
        </w:rPr>
      </w:pPr>
    </w:p>
    <w:p w14:paraId="5D4A4040" w14:textId="77777777" w:rsidR="00040C3A" w:rsidRPr="00A53566" w:rsidRDefault="00040C3A" w:rsidP="00040C3A">
      <w:pPr>
        <w:tabs>
          <w:tab w:val="center" w:pos="5400"/>
        </w:tabs>
        <w:suppressAutoHyphens/>
        <w:jc w:val="center"/>
        <w:rPr>
          <w:rFonts w:asciiTheme="majorHAnsi" w:hAnsiTheme="majorHAnsi"/>
          <w:sz w:val="22"/>
          <w:szCs w:val="22"/>
        </w:rPr>
      </w:pPr>
    </w:p>
    <w:p w14:paraId="048FBB22" w14:textId="77777777" w:rsidR="00A50FCF" w:rsidRPr="00A53566" w:rsidRDefault="00A50FCF" w:rsidP="00040C3A">
      <w:pPr>
        <w:tabs>
          <w:tab w:val="center" w:pos="5400"/>
        </w:tabs>
        <w:suppressAutoHyphens/>
        <w:jc w:val="center"/>
        <w:rPr>
          <w:rFonts w:asciiTheme="majorHAnsi" w:hAnsiTheme="majorHAnsi"/>
          <w:sz w:val="18"/>
          <w:szCs w:val="22"/>
        </w:rPr>
      </w:pPr>
    </w:p>
    <w:p w14:paraId="190ABFB3" w14:textId="77777777" w:rsidR="00A50FCF" w:rsidRPr="00A53566" w:rsidRDefault="00A50FCF" w:rsidP="00040C3A">
      <w:pPr>
        <w:tabs>
          <w:tab w:val="center" w:pos="5400"/>
        </w:tabs>
        <w:suppressAutoHyphens/>
        <w:jc w:val="center"/>
        <w:rPr>
          <w:rFonts w:asciiTheme="majorHAnsi" w:hAnsiTheme="majorHAnsi"/>
          <w:sz w:val="18"/>
          <w:szCs w:val="22"/>
        </w:rPr>
      </w:pPr>
    </w:p>
    <w:p w14:paraId="4C690048" w14:textId="77777777" w:rsidR="00A50FCF" w:rsidRPr="00A53566" w:rsidRDefault="00A50FCF" w:rsidP="00040C3A">
      <w:pPr>
        <w:tabs>
          <w:tab w:val="center" w:pos="5400"/>
        </w:tabs>
        <w:suppressAutoHyphens/>
        <w:jc w:val="center"/>
        <w:rPr>
          <w:rFonts w:asciiTheme="majorHAnsi" w:hAnsiTheme="majorHAnsi"/>
          <w:sz w:val="18"/>
          <w:szCs w:val="22"/>
        </w:rPr>
      </w:pPr>
    </w:p>
    <w:p w14:paraId="733CA438" w14:textId="77777777" w:rsidR="00A50FCF" w:rsidRPr="00A53566" w:rsidRDefault="00A50FCF" w:rsidP="00040C3A">
      <w:pPr>
        <w:tabs>
          <w:tab w:val="center" w:pos="5400"/>
        </w:tabs>
        <w:suppressAutoHyphens/>
        <w:jc w:val="center"/>
        <w:rPr>
          <w:rFonts w:asciiTheme="majorHAnsi" w:hAnsiTheme="majorHAnsi"/>
          <w:sz w:val="18"/>
          <w:szCs w:val="22"/>
        </w:rPr>
      </w:pPr>
    </w:p>
    <w:p w14:paraId="7874DEEB" w14:textId="77777777" w:rsidR="00A50FCF" w:rsidRPr="00A53566" w:rsidRDefault="00A50FCF" w:rsidP="00040C3A">
      <w:pPr>
        <w:tabs>
          <w:tab w:val="center" w:pos="5400"/>
        </w:tabs>
        <w:suppressAutoHyphens/>
        <w:jc w:val="center"/>
        <w:rPr>
          <w:rFonts w:asciiTheme="majorHAnsi" w:hAnsiTheme="majorHAnsi"/>
          <w:sz w:val="18"/>
          <w:szCs w:val="22"/>
        </w:rPr>
      </w:pPr>
    </w:p>
    <w:p w14:paraId="3698D0D6" w14:textId="77777777" w:rsidR="00A50FCF" w:rsidRPr="00A53566" w:rsidRDefault="00A50FCF" w:rsidP="00040C3A">
      <w:pPr>
        <w:tabs>
          <w:tab w:val="center" w:pos="5400"/>
        </w:tabs>
        <w:suppressAutoHyphens/>
        <w:jc w:val="center"/>
        <w:rPr>
          <w:rFonts w:asciiTheme="majorHAnsi" w:hAnsiTheme="majorHAnsi"/>
          <w:sz w:val="18"/>
          <w:szCs w:val="22"/>
        </w:rPr>
      </w:pPr>
    </w:p>
    <w:p w14:paraId="1F907823" w14:textId="77777777" w:rsidR="00A50FCF" w:rsidRPr="00A53566" w:rsidRDefault="00A50FCF" w:rsidP="00040C3A">
      <w:pPr>
        <w:tabs>
          <w:tab w:val="center" w:pos="5400"/>
        </w:tabs>
        <w:suppressAutoHyphens/>
        <w:jc w:val="center"/>
        <w:rPr>
          <w:rFonts w:asciiTheme="majorHAnsi" w:hAnsiTheme="majorHAnsi"/>
          <w:sz w:val="18"/>
          <w:szCs w:val="22"/>
        </w:rPr>
      </w:pPr>
    </w:p>
    <w:p w14:paraId="045D9AC1" w14:textId="77777777" w:rsidR="00A50FCF" w:rsidRPr="00A53566" w:rsidRDefault="00A50FCF" w:rsidP="00040C3A">
      <w:pPr>
        <w:tabs>
          <w:tab w:val="center" w:pos="5400"/>
        </w:tabs>
        <w:suppressAutoHyphens/>
        <w:jc w:val="center"/>
        <w:rPr>
          <w:rFonts w:asciiTheme="majorHAnsi" w:hAnsiTheme="majorHAnsi"/>
          <w:sz w:val="18"/>
          <w:szCs w:val="22"/>
        </w:rPr>
      </w:pPr>
    </w:p>
    <w:p w14:paraId="16068EE5" w14:textId="77777777" w:rsidR="00A50FCF" w:rsidRPr="00A53566" w:rsidRDefault="00A50FCF" w:rsidP="00040C3A">
      <w:pPr>
        <w:tabs>
          <w:tab w:val="center" w:pos="5400"/>
        </w:tabs>
        <w:suppressAutoHyphens/>
        <w:jc w:val="center"/>
        <w:rPr>
          <w:rFonts w:asciiTheme="majorHAnsi" w:hAnsiTheme="majorHAnsi"/>
          <w:sz w:val="18"/>
          <w:szCs w:val="22"/>
        </w:rPr>
      </w:pPr>
    </w:p>
    <w:p w14:paraId="14A4A430" w14:textId="77777777" w:rsidR="00A50FCF" w:rsidRPr="00A53566" w:rsidRDefault="00A50FCF" w:rsidP="00040C3A">
      <w:pPr>
        <w:tabs>
          <w:tab w:val="center" w:pos="5400"/>
        </w:tabs>
        <w:suppressAutoHyphens/>
        <w:jc w:val="center"/>
        <w:rPr>
          <w:rFonts w:asciiTheme="majorHAnsi" w:hAnsiTheme="majorHAnsi"/>
          <w:sz w:val="18"/>
          <w:szCs w:val="22"/>
        </w:rPr>
      </w:pPr>
    </w:p>
    <w:p w14:paraId="0B3B735F" w14:textId="77777777" w:rsidR="00A50FCF" w:rsidRPr="00A53566" w:rsidRDefault="00A50FCF" w:rsidP="00040C3A">
      <w:pPr>
        <w:tabs>
          <w:tab w:val="center" w:pos="5400"/>
        </w:tabs>
        <w:suppressAutoHyphens/>
        <w:jc w:val="center"/>
        <w:rPr>
          <w:rFonts w:asciiTheme="majorHAnsi" w:hAnsiTheme="majorHAnsi"/>
          <w:sz w:val="18"/>
          <w:szCs w:val="22"/>
        </w:rPr>
      </w:pPr>
    </w:p>
    <w:p w14:paraId="02C5C441" w14:textId="77777777" w:rsidR="00A50FCF" w:rsidRPr="00A53566" w:rsidRDefault="00A50FCF" w:rsidP="00040C3A">
      <w:pPr>
        <w:tabs>
          <w:tab w:val="center" w:pos="5400"/>
        </w:tabs>
        <w:suppressAutoHyphens/>
        <w:jc w:val="center"/>
        <w:rPr>
          <w:rFonts w:asciiTheme="majorHAnsi" w:hAnsiTheme="majorHAnsi"/>
          <w:sz w:val="18"/>
          <w:szCs w:val="22"/>
        </w:rPr>
      </w:pPr>
    </w:p>
    <w:p w14:paraId="7806A2B0" w14:textId="77777777" w:rsidR="00A50FCF" w:rsidRPr="00A53566" w:rsidRDefault="00A50FCF" w:rsidP="00040C3A">
      <w:pPr>
        <w:tabs>
          <w:tab w:val="center" w:pos="5400"/>
        </w:tabs>
        <w:suppressAutoHyphens/>
        <w:jc w:val="center"/>
        <w:rPr>
          <w:rFonts w:asciiTheme="majorHAnsi" w:hAnsiTheme="majorHAnsi"/>
          <w:sz w:val="18"/>
          <w:szCs w:val="22"/>
        </w:rPr>
      </w:pPr>
    </w:p>
    <w:p w14:paraId="319C392B" w14:textId="77777777" w:rsidR="00A50FCF" w:rsidRPr="00A53566" w:rsidRDefault="00A50FCF" w:rsidP="00040C3A">
      <w:pPr>
        <w:tabs>
          <w:tab w:val="center" w:pos="5400"/>
        </w:tabs>
        <w:suppressAutoHyphens/>
        <w:jc w:val="center"/>
        <w:rPr>
          <w:rFonts w:asciiTheme="majorHAnsi" w:hAnsiTheme="majorHAnsi"/>
          <w:sz w:val="18"/>
          <w:szCs w:val="22"/>
        </w:rPr>
      </w:pPr>
    </w:p>
    <w:p w14:paraId="514A0182" w14:textId="77777777" w:rsidR="00A50FCF" w:rsidRPr="00A53566" w:rsidRDefault="0090270B" w:rsidP="00040C3A">
      <w:pPr>
        <w:tabs>
          <w:tab w:val="center" w:pos="5400"/>
        </w:tabs>
        <w:suppressAutoHyphens/>
        <w:jc w:val="center"/>
        <w:rPr>
          <w:rFonts w:asciiTheme="majorHAnsi" w:hAnsiTheme="majorHAnsi"/>
          <w:sz w:val="18"/>
          <w:szCs w:val="22"/>
        </w:rPr>
      </w:pPr>
      <w:r w:rsidRPr="00A5356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1642717"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BE2B91">
                              <w:rPr>
                                <w:rFonts w:asciiTheme="majorHAnsi" w:hAnsiTheme="majorHAnsi"/>
                                <w:color w:val="0D0D0D" w:themeColor="text1" w:themeTint="F2"/>
                                <w:sz w:val="18"/>
                                <w:szCs w:val="22"/>
                              </w:rPr>
                              <w:t>4</w:t>
                            </w:r>
                            <w:r w:rsidRPr="000C6268">
                              <w:rPr>
                                <w:rFonts w:asciiTheme="majorHAnsi" w:hAnsiTheme="majorHAnsi"/>
                                <w:color w:val="0D0D0D" w:themeColor="text1" w:themeTint="F2"/>
                                <w:sz w:val="18"/>
                                <w:szCs w:val="22"/>
                              </w:rPr>
                              <w:t xml:space="preserve"> de </w:t>
                            </w:r>
                            <w:r w:rsidR="00BE2B91">
                              <w:rPr>
                                <w:rFonts w:asciiTheme="majorHAnsi" w:hAnsiTheme="majorHAnsi"/>
                                <w:color w:val="0D0D0D" w:themeColor="text1" w:themeTint="F2"/>
                                <w:sz w:val="18"/>
                                <w:szCs w:val="22"/>
                              </w:rPr>
                              <w:t>noviembre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A461A4">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1642717"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BE2B91">
                        <w:rPr>
                          <w:rFonts w:asciiTheme="majorHAnsi" w:hAnsiTheme="majorHAnsi"/>
                          <w:color w:val="0D0D0D" w:themeColor="text1" w:themeTint="F2"/>
                          <w:sz w:val="18"/>
                          <w:szCs w:val="22"/>
                        </w:rPr>
                        <w:t>4</w:t>
                      </w:r>
                      <w:r w:rsidRPr="000C6268">
                        <w:rPr>
                          <w:rFonts w:asciiTheme="majorHAnsi" w:hAnsiTheme="majorHAnsi"/>
                          <w:color w:val="0D0D0D" w:themeColor="text1" w:themeTint="F2"/>
                          <w:sz w:val="18"/>
                          <w:szCs w:val="22"/>
                        </w:rPr>
                        <w:t xml:space="preserve"> de </w:t>
                      </w:r>
                      <w:r w:rsidR="00BE2B91">
                        <w:rPr>
                          <w:rFonts w:asciiTheme="majorHAnsi" w:hAnsiTheme="majorHAnsi"/>
                          <w:color w:val="0D0D0D" w:themeColor="text1" w:themeTint="F2"/>
                          <w:sz w:val="18"/>
                          <w:szCs w:val="22"/>
                        </w:rPr>
                        <w:t>noviembre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A461A4">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A53566" w:rsidRDefault="00A50FCF" w:rsidP="00040C3A">
      <w:pPr>
        <w:tabs>
          <w:tab w:val="center" w:pos="5400"/>
        </w:tabs>
        <w:suppressAutoHyphens/>
        <w:jc w:val="center"/>
        <w:rPr>
          <w:rFonts w:asciiTheme="majorHAnsi" w:hAnsiTheme="majorHAnsi"/>
          <w:sz w:val="18"/>
          <w:szCs w:val="22"/>
        </w:rPr>
      </w:pPr>
    </w:p>
    <w:p w14:paraId="7929D1FD" w14:textId="77777777" w:rsidR="00A50FCF" w:rsidRPr="00A53566" w:rsidRDefault="00A50FCF" w:rsidP="00040C3A">
      <w:pPr>
        <w:tabs>
          <w:tab w:val="center" w:pos="5400"/>
        </w:tabs>
        <w:suppressAutoHyphens/>
        <w:jc w:val="center"/>
        <w:rPr>
          <w:rFonts w:asciiTheme="majorHAnsi" w:hAnsiTheme="majorHAnsi"/>
          <w:sz w:val="18"/>
          <w:szCs w:val="22"/>
        </w:rPr>
      </w:pPr>
    </w:p>
    <w:p w14:paraId="5469D0BE" w14:textId="77777777" w:rsidR="00A50FCF" w:rsidRPr="00A53566" w:rsidRDefault="00A50FCF" w:rsidP="00040C3A">
      <w:pPr>
        <w:tabs>
          <w:tab w:val="center" w:pos="5400"/>
        </w:tabs>
        <w:suppressAutoHyphens/>
        <w:jc w:val="center"/>
        <w:rPr>
          <w:rFonts w:asciiTheme="majorHAnsi" w:hAnsiTheme="majorHAnsi"/>
          <w:sz w:val="18"/>
          <w:szCs w:val="22"/>
        </w:rPr>
      </w:pPr>
    </w:p>
    <w:p w14:paraId="7A79F059" w14:textId="77777777" w:rsidR="00A50FCF" w:rsidRPr="00A53566" w:rsidRDefault="00A50FCF" w:rsidP="00040C3A">
      <w:pPr>
        <w:tabs>
          <w:tab w:val="center" w:pos="5400"/>
        </w:tabs>
        <w:suppressAutoHyphens/>
        <w:jc w:val="center"/>
        <w:rPr>
          <w:rFonts w:asciiTheme="majorHAnsi" w:hAnsiTheme="majorHAnsi"/>
          <w:sz w:val="18"/>
          <w:szCs w:val="22"/>
        </w:rPr>
      </w:pPr>
    </w:p>
    <w:p w14:paraId="330672AE" w14:textId="77777777" w:rsidR="00A50FCF" w:rsidRPr="00A53566" w:rsidRDefault="0090270B" w:rsidP="00040C3A">
      <w:pPr>
        <w:tabs>
          <w:tab w:val="center" w:pos="5400"/>
        </w:tabs>
        <w:suppressAutoHyphens/>
        <w:jc w:val="center"/>
        <w:rPr>
          <w:rFonts w:asciiTheme="majorHAnsi" w:hAnsiTheme="majorHAnsi"/>
          <w:sz w:val="18"/>
          <w:szCs w:val="22"/>
        </w:rPr>
      </w:pPr>
      <w:r w:rsidRPr="00A5356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A3C61C5"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BE2B91" w:rsidRPr="00BE2B91">
                              <w:rPr>
                                <w:rFonts w:asciiTheme="majorHAnsi" w:hAnsiTheme="majorHAnsi"/>
                                <w:color w:val="595959" w:themeColor="text1" w:themeTint="A6"/>
                                <w:sz w:val="18"/>
                                <w:szCs w:val="18"/>
                                <w:lang w:val="pt-BR"/>
                              </w:rPr>
                              <w:t>322</w:t>
                            </w:r>
                            <w:r w:rsidR="007B05C4" w:rsidRPr="00BE2B91">
                              <w:rPr>
                                <w:rFonts w:asciiTheme="majorHAnsi" w:hAnsiTheme="majorHAnsi"/>
                                <w:color w:val="595959" w:themeColor="text1" w:themeTint="A6"/>
                                <w:sz w:val="18"/>
                                <w:szCs w:val="18"/>
                                <w:lang w:val="pt-BR"/>
                              </w:rPr>
                              <w:t>/</w:t>
                            </w:r>
                            <w:r w:rsidR="00BE2B91" w:rsidRPr="00BE2B91">
                              <w:rPr>
                                <w:rFonts w:asciiTheme="majorHAnsi" w:hAnsiTheme="majorHAnsi"/>
                                <w:color w:val="595959" w:themeColor="text1" w:themeTint="A6"/>
                                <w:sz w:val="18"/>
                                <w:szCs w:val="18"/>
                                <w:lang w:val="pt-BR"/>
                              </w:rPr>
                              <w:t>21</w:t>
                            </w:r>
                            <w:r w:rsidRPr="00BE2B91">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AB5EB9">
                              <w:rPr>
                                <w:rFonts w:asciiTheme="majorHAnsi" w:hAnsiTheme="majorHAnsi"/>
                                <w:color w:val="595959" w:themeColor="text1" w:themeTint="A6"/>
                                <w:sz w:val="18"/>
                                <w:szCs w:val="18"/>
                              </w:rPr>
                              <w:t>1108</w:t>
                            </w:r>
                            <w:r w:rsidR="000433C9" w:rsidRPr="009670AB">
                              <w:rPr>
                                <w:rFonts w:asciiTheme="majorHAnsi" w:hAnsiTheme="majorHAnsi"/>
                                <w:color w:val="595959" w:themeColor="text1" w:themeTint="A6"/>
                                <w:sz w:val="18"/>
                                <w:szCs w:val="18"/>
                              </w:rPr>
                              <w:t>-</w:t>
                            </w:r>
                            <w:r w:rsidR="00AB5EB9">
                              <w:rPr>
                                <w:rFonts w:asciiTheme="majorHAnsi" w:hAnsiTheme="majorHAnsi"/>
                                <w:color w:val="595959" w:themeColor="text1" w:themeTint="A6"/>
                                <w:sz w:val="18"/>
                                <w:szCs w:val="18"/>
                              </w:rPr>
                              <w:t>20</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4D0BDA">
                              <w:rPr>
                                <w:rFonts w:asciiTheme="majorHAnsi" w:hAnsiTheme="majorHAnsi"/>
                                <w:color w:val="595959" w:themeColor="text1" w:themeTint="A6"/>
                                <w:sz w:val="18"/>
                                <w:szCs w:val="18"/>
                              </w:rPr>
                              <w:t>Integrantes</w:t>
                            </w:r>
                            <w:r w:rsidR="00AB5EB9">
                              <w:rPr>
                                <w:rFonts w:asciiTheme="majorHAnsi" w:hAnsiTheme="majorHAnsi"/>
                                <w:color w:val="595959" w:themeColor="text1" w:themeTint="A6"/>
                                <w:sz w:val="18"/>
                                <w:szCs w:val="18"/>
                              </w:rPr>
                              <w:t xml:space="preserve"> del CENIDH</w:t>
                            </w:r>
                            <w:r w:rsidRPr="00CF45CB">
                              <w:rPr>
                                <w:rFonts w:asciiTheme="majorHAnsi" w:hAnsiTheme="majorHAnsi"/>
                                <w:color w:val="595959" w:themeColor="text1" w:themeTint="A6"/>
                                <w:sz w:val="18"/>
                                <w:szCs w:val="18"/>
                              </w:rPr>
                              <w:t xml:space="preserve">. </w:t>
                            </w:r>
                            <w:r w:rsidR="006D3AB9">
                              <w:rPr>
                                <w:rFonts w:asciiTheme="majorHAnsi" w:hAnsiTheme="majorHAnsi"/>
                                <w:color w:val="595959" w:themeColor="text1" w:themeTint="A6"/>
                                <w:sz w:val="18"/>
                                <w:szCs w:val="18"/>
                              </w:rPr>
                              <w:t>Nicaragua</w:t>
                            </w:r>
                            <w:r w:rsidRPr="009670AB">
                              <w:rPr>
                                <w:rFonts w:asciiTheme="majorHAnsi" w:hAnsiTheme="majorHAnsi"/>
                                <w:color w:val="595959" w:themeColor="text1" w:themeTint="A6"/>
                                <w:sz w:val="18"/>
                                <w:szCs w:val="18"/>
                              </w:rPr>
                              <w:t xml:space="preserve">. </w:t>
                            </w:r>
                            <w:r w:rsidR="00BE2B91">
                              <w:rPr>
                                <w:rFonts w:asciiTheme="majorHAnsi" w:hAnsiTheme="majorHAnsi"/>
                                <w:color w:val="595959" w:themeColor="text1" w:themeTint="A6"/>
                                <w:sz w:val="18"/>
                                <w:szCs w:val="18"/>
                              </w:rPr>
                              <w:t>4 de noviembre de 2021</w:t>
                            </w:r>
                            <w:r w:rsidRPr="009670A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A3C61C5"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BE2B91" w:rsidRPr="00BE2B91">
                        <w:rPr>
                          <w:rFonts w:asciiTheme="majorHAnsi" w:hAnsiTheme="majorHAnsi"/>
                          <w:color w:val="595959" w:themeColor="text1" w:themeTint="A6"/>
                          <w:sz w:val="18"/>
                          <w:szCs w:val="18"/>
                          <w:lang w:val="pt-BR"/>
                        </w:rPr>
                        <w:t>322</w:t>
                      </w:r>
                      <w:r w:rsidR="007B05C4" w:rsidRPr="00BE2B91">
                        <w:rPr>
                          <w:rFonts w:asciiTheme="majorHAnsi" w:hAnsiTheme="majorHAnsi"/>
                          <w:color w:val="595959" w:themeColor="text1" w:themeTint="A6"/>
                          <w:sz w:val="18"/>
                          <w:szCs w:val="18"/>
                          <w:lang w:val="pt-BR"/>
                        </w:rPr>
                        <w:t>/</w:t>
                      </w:r>
                      <w:r w:rsidR="00BE2B91" w:rsidRPr="00BE2B91">
                        <w:rPr>
                          <w:rFonts w:asciiTheme="majorHAnsi" w:hAnsiTheme="majorHAnsi"/>
                          <w:color w:val="595959" w:themeColor="text1" w:themeTint="A6"/>
                          <w:sz w:val="18"/>
                          <w:szCs w:val="18"/>
                          <w:lang w:val="pt-BR"/>
                        </w:rPr>
                        <w:t>21</w:t>
                      </w:r>
                      <w:r w:rsidRPr="00BE2B91">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AB5EB9">
                        <w:rPr>
                          <w:rFonts w:asciiTheme="majorHAnsi" w:hAnsiTheme="majorHAnsi"/>
                          <w:color w:val="595959" w:themeColor="text1" w:themeTint="A6"/>
                          <w:sz w:val="18"/>
                          <w:szCs w:val="18"/>
                        </w:rPr>
                        <w:t>1108</w:t>
                      </w:r>
                      <w:r w:rsidR="000433C9" w:rsidRPr="009670AB">
                        <w:rPr>
                          <w:rFonts w:asciiTheme="majorHAnsi" w:hAnsiTheme="majorHAnsi"/>
                          <w:color w:val="595959" w:themeColor="text1" w:themeTint="A6"/>
                          <w:sz w:val="18"/>
                          <w:szCs w:val="18"/>
                        </w:rPr>
                        <w:t>-</w:t>
                      </w:r>
                      <w:r w:rsidR="00AB5EB9">
                        <w:rPr>
                          <w:rFonts w:asciiTheme="majorHAnsi" w:hAnsiTheme="majorHAnsi"/>
                          <w:color w:val="595959" w:themeColor="text1" w:themeTint="A6"/>
                          <w:sz w:val="18"/>
                          <w:szCs w:val="18"/>
                        </w:rPr>
                        <w:t>20</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4D0BDA">
                        <w:rPr>
                          <w:rFonts w:asciiTheme="majorHAnsi" w:hAnsiTheme="majorHAnsi"/>
                          <w:color w:val="595959" w:themeColor="text1" w:themeTint="A6"/>
                          <w:sz w:val="18"/>
                          <w:szCs w:val="18"/>
                        </w:rPr>
                        <w:t>Integrantes</w:t>
                      </w:r>
                      <w:r w:rsidR="00AB5EB9">
                        <w:rPr>
                          <w:rFonts w:asciiTheme="majorHAnsi" w:hAnsiTheme="majorHAnsi"/>
                          <w:color w:val="595959" w:themeColor="text1" w:themeTint="A6"/>
                          <w:sz w:val="18"/>
                          <w:szCs w:val="18"/>
                        </w:rPr>
                        <w:t xml:space="preserve"> del CENIDH</w:t>
                      </w:r>
                      <w:r w:rsidRPr="00CF45CB">
                        <w:rPr>
                          <w:rFonts w:asciiTheme="majorHAnsi" w:hAnsiTheme="majorHAnsi"/>
                          <w:color w:val="595959" w:themeColor="text1" w:themeTint="A6"/>
                          <w:sz w:val="18"/>
                          <w:szCs w:val="18"/>
                        </w:rPr>
                        <w:t xml:space="preserve">. </w:t>
                      </w:r>
                      <w:r w:rsidR="006D3AB9">
                        <w:rPr>
                          <w:rFonts w:asciiTheme="majorHAnsi" w:hAnsiTheme="majorHAnsi"/>
                          <w:color w:val="595959" w:themeColor="text1" w:themeTint="A6"/>
                          <w:sz w:val="18"/>
                          <w:szCs w:val="18"/>
                        </w:rPr>
                        <w:t>Nicaragua</w:t>
                      </w:r>
                      <w:r w:rsidRPr="009670AB">
                        <w:rPr>
                          <w:rFonts w:asciiTheme="majorHAnsi" w:hAnsiTheme="majorHAnsi"/>
                          <w:color w:val="595959" w:themeColor="text1" w:themeTint="A6"/>
                          <w:sz w:val="18"/>
                          <w:szCs w:val="18"/>
                        </w:rPr>
                        <w:t xml:space="preserve">. </w:t>
                      </w:r>
                      <w:r w:rsidR="00BE2B91">
                        <w:rPr>
                          <w:rFonts w:asciiTheme="majorHAnsi" w:hAnsiTheme="majorHAnsi"/>
                          <w:color w:val="595959" w:themeColor="text1" w:themeTint="A6"/>
                          <w:sz w:val="18"/>
                          <w:szCs w:val="18"/>
                        </w:rPr>
                        <w:t>4 de noviembre de 2021</w:t>
                      </w:r>
                      <w:r w:rsidRPr="009670AB">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A53566" w:rsidRDefault="00A50FCF" w:rsidP="00040C3A">
      <w:pPr>
        <w:tabs>
          <w:tab w:val="center" w:pos="5400"/>
        </w:tabs>
        <w:suppressAutoHyphens/>
        <w:jc w:val="center"/>
        <w:rPr>
          <w:rFonts w:asciiTheme="majorHAnsi" w:hAnsiTheme="majorHAnsi"/>
          <w:sz w:val="18"/>
          <w:szCs w:val="22"/>
        </w:rPr>
      </w:pPr>
    </w:p>
    <w:p w14:paraId="1DA07629" w14:textId="4D0364B3" w:rsidR="0090270B" w:rsidRPr="00A53566" w:rsidRDefault="00D306D1" w:rsidP="005516A1">
      <w:pPr>
        <w:tabs>
          <w:tab w:val="center" w:pos="5400"/>
        </w:tabs>
        <w:suppressAutoHyphens/>
        <w:jc w:val="center"/>
        <w:rPr>
          <w:rFonts w:asciiTheme="majorHAnsi" w:hAnsiTheme="majorHAnsi"/>
          <w:b/>
          <w:sz w:val="20"/>
        </w:rPr>
      </w:pPr>
      <w:r w:rsidRPr="00A5356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F27672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63AF721" w:rsidR="0070697F" w:rsidRPr="00A53566" w:rsidRDefault="00BE2B91" w:rsidP="005516A1">
      <w:pPr>
        <w:tabs>
          <w:tab w:val="center" w:pos="5400"/>
        </w:tabs>
        <w:suppressAutoHyphens/>
        <w:jc w:val="center"/>
        <w:rPr>
          <w:rFonts w:asciiTheme="majorHAnsi" w:hAnsiTheme="majorHAnsi"/>
          <w:b/>
          <w:sz w:val="20"/>
        </w:rPr>
        <w:sectPr w:rsidR="0070697F" w:rsidRPr="00A53566"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5356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D2CE961">
                <wp:simplePos x="0" y="0"/>
                <wp:positionH relativeFrom="column">
                  <wp:posOffset>1329690</wp:posOffset>
                </wp:positionH>
                <wp:positionV relativeFrom="paragraph">
                  <wp:posOffset>572878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1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Et4BtXi&#10;AAAACgEAAA8AAAAAAAAAAAAAAAAA1AQAAGRycy9kb3ducmV2LnhtbFBLBQYAAAAABAAEAPMAAADj&#10;BQ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53566">
        <w:rPr>
          <w:rFonts w:asciiTheme="majorHAnsi" w:hAnsiTheme="majorHAnsi"/>
          <w:b/>
          <w:sz w:val="20"/>
        </w:rPr>
        <w:tab/>
      </w:r>
    </w:p>
    <w:p w14:paraId="376DDC8B" w14:textId="77777777" w:rsidR="003239B8" w:rsidRPr="00A53566" w:rsidRDefault="003239B8" w:rsidP="004A6A54">
      <w:pPr>
        <w:spacing w:after="240"/>
        <w:ind w:firstLine="720"/>
        <w:jc w:val="both"/>
        <w:rPr>
          <w:rFonts w:asciiTheme="majorHAnsi" w:hAnsiTheme="majorHAnsi"/>
          <w:b/>
          <w:bCs/>
          <w:sz w:val="20"/>
          <w:szCs w:val="20"/>
        </w:rPr>
      </w:pPr>
      <w:r w:rsidRPr="00A53566">
        <w:rPr>
          <w:rFonts w:asciiTheme="majorHAnsi" w:hAnsiTheme="majorHAnsi"/>
          <w:b/>
          <w:bCs/>
          <w:sz w:val="20"/>
          <w:szCs w:val="20"/>
        </w:rPr>
        <w:lastRenderedPageBreak/>
        <w:t>I.</w:t>
      </w:r>
      <w:r w:rsidRPr="00A53566">
        <w:rPr>
          <w:rFonts w:asciiTheme="majorHAnsi" w:hAnsiTheme="majorHAnsi"/>
          <w:b/>
          <w:bCs/>
          <w:sz w:val="20"/>
          <w:szCs w:val="20"/>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53566" w14:paraId="5A79D1F7" w14:textId="77777777" w:rsidTr="002B210E">
        <w:trPr>
          <w:jc w:val="center"/>
        </w:trPr>
        <w:tc>
          <w:tcPr>
            <w:tcW w:w="3600" w:type="dxa"/>
            <w:tcBorders>
              <w:top w:val="single" w:sz="4" w:space="0" w:color="auto"/>
              <w:bottom w:val="single" w:sz="6" w:space="0" w:color="auto"/>
            </w:tcBorders>
            <w:shd w:val="clear" w:color="auto" w:fill="386294"/>
            <w:vAlign w:val="center"/>
          </w:tcPr>
          <w:p w14:paraId="0CB2A43B" w14:textId="77777777" w:rsidR="003239B8" w:rsidRPr="00A53566" w:rsidRDefault="003239B8" w:rsidP="00FC4870">
            <w:pPr>
              <w:jc w:val="center"/>
              <w:rPr>
                <w:rFonts w:ascii="Cambria" w:hAnsi="Cambria"/>
                <w:b/>
                <w:bCs/>
                <w:color w:val="FFFFFF" w:themeColor="background1"/>
                <w:sz w:val="20"/>
                <w:szCs w:val="20"/>
              </w:rPr>
            </w:pPr>
            <w:r w:rsidRPr="00A53566">
              <w:rPr>
                <w:rFonts w:ascii="Cambria" w:hAnsi="Cambria"/>
                <w:b/>
                <w:bCs/>
                <w:color w:val="FFFFFF" w:themeColor="background1"/>
                <w:sz w:val="20"/>
                <w:szCs w:val="20"/>
              </w:rPr>
              <w:t>Parte peticionaria:</w:t>
            </w:r>
          </w:p>
        </w:tc>
        <w:tc>
          <w:tcPr>
            <w:tcW w:w="5760" w:type="dxa"/>
            <w:vAlign w:val="center"/>
          </w:tcPr>
          <w:p w14:paraId="3C5315D8" w14:textId="4F7982CD" w:rsidR="003239B8" w:rsidRPr="00A53566" w:rsidRDefault="00784800" w:rsidP="00FC4870">
            <w:pPr>
              <w:jc w:val="both"/>
              <w:rPr>
                <w:rFonts w:ascii="Cambria" w:hAnsi="Cambria"/>
                <w:bCs/>
                <w:sz w:val="20"/>
                <w:szCs w:val="20"/>
              </w:rPr>
            </w:pPr>
            <w:r w:rsidRPr="00A53566">
              <w:rPr>
                <w:rFonts w:ascii="Cambria" w:hAnsi="Cambria"/>
                <w:bCs/>
                <w:sz w:val="20"/>
                <w:szCs w:val="20"/>
              </w:rPr>
              <w:t xml:space="preserve">Centro </w:t>
            </w:r>
            <w:r w:rsidR="00B44C7C" w:rsidRPr="00A53566">
              <w:rPr>
                <w:rFonts w:ascii="Cambria" w:hAnsi="Cambria"/>
                <w:bCs/>
                <w:sz w:val="20"/>
                <w:szCs w:val="20"/>
              </w:rPr>
              <w:t>Nicaragüense</w:t>
            </w:r>
            <w:r w:rsidRPr="00A53566">
              <w:rPr>
                <w:rFonts w:ascii="Cambria" w:hAnsi="Cambria"/>
                <w:bCs/>
                <w:sz w:val="20"/>
                <w:szCs w:val="20"/>
              </w:rPr>
              <w:t xml:space="preserve"> de</w:t>
            </w:r>
            <w:r w:rsidR="003A4F26" w:rsidRPr="00A53566">
              <w:rPr>
                <w:rFonts w:ascii="Cambria" w:hAnsi="Cambria"/>
                <w:bCs/>
                <w:sz w:val="20"/>
                <w:szCs w:val="20"/>
              </w:rPr>
              <w:t xml:space="preserve"> </w:t>
            </w:r>
            <w:r w:rsidRPr="00A53566">
              <w:rPr>
                <w:rFonts w:ascii="Cambria" w:hAnsi="Cambria"/>
                <w:bCs/>
                <w:sz w:val="20"/>
                <w:szCs w:val="20"/>
              </w:rPr>
              <w:t>Derechos Humanos (CENIDH)</w:t>
            </w:r>
            <w:r w:rsidR="00EA2C08">
              <w:rPr>
                <w:rFonts w:ascii="Cambria" w:hAnsi="Cambria"/>
                <w:bCs/>
                <w:sz w:val="20"/>
                <w:szCs w:val="20"/>
              </w:rPr>
              <w:t xml:space="preserve"> y </w:t>
            </w:r>
            <w:r w:rsidR="00EA2C08" w:rsidRPr="00EA2C08">
              <w:rPr>
                <w:rFonts w:ascii="Cambria" w:hAnsi="Cambria"/>
                <w:bCs/>
                <w:sz w:val="20"/>
                <w:szCs w:val="20"/>
              </w:rPr>
              <w:t xml:space="preserve">Centro por la Justicia y el Derecho Internacional </w:t>
            </w:r>
            <w:r w:rsidR="00EA2C08">
              <w:rPr>
                <w:rFonts w:ascii="Cambria" w:hAnsi="Cambria"/>
                <w:bCs/>
                <w:sz w:val="20"/>
                <w:szCs w:val="20"/>
              </w:rPr>
              <w:t>(</w:t>
            </w:r>
            <w:r w:rsidR="00EA2C08" w:rsidRPr="00EA2C08">
              <w:rPr>
                <w:rFonts w:ascii="Cambria" w:hAnsi="Cambria"/>
                <w:bCs/>
                <w:sz w:val="20"/>
                <w:szCs w:val="20"/>
              </w:rPr>
              <w:t>CEJIL</w:t>
            </w:r>
            <w:r w:rsidR="00EA2C08">
              <w:rPr>
                <w:rFonts w:ascii="Cambria" w:hAnsi="Cambria"/>
                <w:bCs/>
                <w:sz w:val="20"/>
                <w:szCs w:val="20"/>
              </w:rPr>
              <w:t>)</w:t>
            </w:r>
          </w:p>
        </w:tc>
      </w:tr>
      <w:tr w:rsidR="003239B8" w:rsidRPr="00A53566" w14:paraId="593A7E45" w14:textId="77777777" w:rsidTr="002B210E">
        <w:trPr>
          <w:jc w:val="center"/>
        </w:trPr>
        <w:tc>
          <w:tcPr>
            <w:tcW w:w="3600" w:type="dxa"/>
            <w:tcBorders>
              <w:top w:val="single" w:sz="6" w:space="0" w:color="auto"/>
              <w:bottom w:val="single" w:sz="6" w:space="0" w:color="auto"/>
            </w:tcBorders>
            <w:shd w:val="clear" w:color="auto" w:fill="386294"/>
            <w:vAlign w:val="center"/>
          </w:tcPr>
          <w:p w14:paraId="0E78CA0C" w14:textId="0B443413" w:rsidR="003239B8" w:rsidRPr="00A53566" w:rsidRDefault="006F40EB"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A53566">
                  <w:rPr>
                    <w:rFonts w:ascii="Cambria" w:hAnsi="Cambria"/>
                    <w:b/>
                    <w:bCs/>
                    <w:color w:val="FFFFFF" w:themeColor="background1"/>
                    <w:sz w:val="20"/>
                    <w:szCs w:val="20"/>
                  </w:rPr>
                  <w:t>Presunta víctima</w:t>
                </w:r>
              </w:sdtContent>
            </w:sdt>
            <w:r w:rsidR="003239B8" w:rsidRPr="00A53566">
              <w:rPr>
                <w:rFonts w:ascii="Cambria" w:hAnsi="Cambria"/>
                <w:b/>
                <w:bCs/>
                <w:color w:val="FFFFFF" w:themeColor="background1"/>
                <w:sz w:val="20"/>
                <w:szCs w:val="20"/>
              </w:rPr>
              <w:t>:</w:t>
            </w:r>
          </w:p>
        </w:tc>
        <w:tc>
          <w:tcPr>
            <w:tcW w:w="5760" w:type="dxa"/>
            <w:vAlign w:val="center"/>
          </w:tcPr>
          <w:p w14:paraId="4AEBF59E" w14:textId="1CB20D6E" w:rsidR="003239B8" w:rsidRPr="00A53566" w:rsidRDefault="00555363" w:rsidP="00FC4870">
            <w:pPr>
              <w:jc w:val="both"/>
              <w:rPr>
                <w:rFonts w:ascii="Cambria" w:hAnsi="Cambria"/>
                <w:bCs/>
                <w:sz w:val="20"/>
                <w:szCs w:val="20"/>
              </w:rPr>
            </w:pPr>
            <w:r w:rsidRPr="00A53566">
              <w:rPr>
                <w:rFonts w:ascii="Cambria" w:hAnsi="Cambria"/>
                <w:bCs/>
                <w:sz w:val="20"/>
                <w:szCs w:val="20"/>
              </w:rPr>
              <w:t>Integrantes</w:t>
            </w:r>
            <w:r w:rsidR="00AB5EB9" w:rsidRPr="00A53566">
              <w:rPr>
                <w:rFonts w:ascii="Cambria" w:hAnsi="Cambria"/>
                <w:bCs/>
                <w:sz w:val="20"/>
                <w:szCs w:val="20"/>
              </w:rPr>
              <w:t xml:space="preserve"> del CENIDH</w:t>
            </w:r>
            <w:r w:rsidR="00AB5EB9" w:rsidRPr="00A53566">
              <w:rPr>
                <w:rStyle w:val="FootnoteReference"/>
                <w:rFonts w:ascii="Cambria" w:hAnsi="Cambria"/>
                <w:bCs/>
                <w:sz w:val="20"/>
                <w:szCs w:val="20"/>
              </w:rPr>
              <w:footnoteReference w:id="2"/>
            </w:r>
          </w:p>
        </w:tc>
      </w:tr>
      <w:tr w:rsidR="003239B8" w:rsidRPr="00A53566" w14:paraId="3E62E1D3" w14:textId="77777777" w:rsidTr="002B210E">
        <w:trPr>
          <w:jc w:val="center"/>
        </w:trPr>
        <w:tc>
          <w:tcPr>
            <w:tcW w:w="3600" w:type="dxa"/>
            <w:tcBorders>
              <w:top w:val="single" w:sz="6" w:space="0" w:color="auto"/>
              <w:bottom w:val="single" w:sz="6" w:space="0" w:color="auto"/>
            </w:tcBorders>
            <w:shd w:val="clear" w:color="auto" w:fill="386294"/>
            <w:vAlign w:val="center"/>
          </w:tcPr>
          <w:p w14:paraId="340B0F09" w14:textId="77777777" w:rsidR="003239B8" w:rsidRPr="00A53566" w:rsidRDefault="003239B8" w:rsidP="00FC4870">
            <w:pPr>
              <w:jc w:val="center"/>
              <w:rPr>
                <w:rFonts w:ascii="Cambria" w:hAnsi="Cambria"/>
                <w:b/>
                <w:bCs/>
                <w:color w:val="FFFFFF" w:themeColor="background1"/>
                <w:sz w:val="20"/>
                <w:szCs w:val="20"/>
              </w:rPr>
            </w:pPr>
            <w:r w:rsidRPr="00A53566">
              <w:rPr>
                <w:rFonts w:ascii="Cambria" w:hAnsi="Cambria"/>
                <w:b/>
                <w:bCs/>
                <w:color w:val="FFFFFF" w:themeColor="background1"/>
                <w:sz w:val="20"/>
                <w:szCs w:val="20"/>
              </w:rPr>
              <w:t>Estado denunciado:</w:t>
            </w:r>
          </w:p>
        </w:tc>
        <w:tc>
          <w:tcPr>
            <w:tcW w:w="5760" w:type="dxa"/>
            <w:vAlign w:val="center"/>
          </w:tcPr>
          <w:p w14:paraId="274C8A50" w14:textId="45A98919" w:rsidR="003239B8" w:rsidRPr="00A53566" w:rsidRDefault="006D3AB9" w:rsidP="00FC4870">
            <w:pPr>
              <w:jc w:val="both"/>
              <w:rPr>
                <w:rFonts w:ascii="Cambria" w:hAnsi="Cambria"/>
                <w:bCs/>
                <w:sz w:val="20"/>
                <w:szCs w:val="20"/>
              </w:rPr>
            </w:pPr>
            <w:r w:rsidRPr="00A53566">
              <w:rPr>
                <w:rFonts w:ascii="Cambria" w:hAnsi="Cambria"/>
                <w:bCs/>
                <w:sz w:val="20"/>
                <w:szCs w:val="20"/>
              </w:rPr>
              <w:t>Nicaragua</w:t>
            </w:r>
          </w:p>
        </w:tc>
      </w:tr>
      <w:tr w:rsidR="00223A29" w:rsidRPr="00A53566" w14:paraId="632511BC" w14:textId="77777777" w:rsidTr="002B210E">
        <w:trPr>
          <w:jc w:val="center"/>
        </w:trPr>
        <w:tc>
          <w:tcPr>
            <w:tcW w:w="3600" w:type="dxa"/>
            <w:tcBorders>
              <w:top w:val="single" w:sz="6" w:space="0" w:color="auto"/>
              <w:bottom w:val="single" w:sz="6" w:space="0" w:color="auto"/>
            </w:tcBorders>
            <w:shd w:val="clear" w:color="auto" w:fill="386294"/>
            <w:vAlign w:val="center"/>
          </w:tcPr>
          <w:p w14:paraId="727E2F6B" w14:textId="60AEE329" w:rsidR="00223A29" w:rsidRPr="00A53566" w:rsidRDefault="001B3A00" w:rsidP="00E4118C">
            <w:pPr>
              <w:jc w:val="center"/>
              <w:rPr>
                <w:rFonts w:ascii="Cambria" w:hAnsi="Cambria"/>
                <w:b/>
                <w:bCs/>
                <w:color w:val="FFFFFF" w:themeColor="background1"/>
                <w:sz w:val="20"/>
                <w:szCs w:val="20"/>
              </w:rPr>
            </w:pPr>
            <w:r w:rsidRPr="00A53566">
              <w:rPr>
                <w:rFonts w:ascii="Cambria" w:hAnsi="Cambria"/>
                <w:b/>
                <w:bCs/>
                <w:color w:val="FFFFFF" w:themeColor="background1"/>
                <w:sz w:val="20"/>
                <w:szCs w:val="20"/>
              </w:rPr>
              <w:t xml:space="preserve">Derechos </w:t>
            </w:r>
            <w:r w:rsidR="00E4118C" w:rsidRPr="00A53566">
              <w:rPr>
                <w:rFonts w:ascii="Cambria" w:hAnsi="Cambria"/>
                <w:b/>
                <w:bCs/>
                <w:color w:val="FFFFFF" w:themeColor="background1"/>
                <w:sz w:val="20"/>
                <w:szCs w:val="20"/>
              </w:rPr>
              <w:t>invocados</w:t>
            </w:r>
            <w:r w:rsidRPr="00A53566">
              <w:rPr>
                <w:rFonts w:ascii="Cambria" w:hAnsi="Cambria"/>
                <w:b/>
                <w:bCs/>
                <w:color w:val="FFFFFF" w:themeColor="background1"/>
                <w:sz w:val="20"/>
                <w:szCs w:val="20"/>
              </w:rPr>
              <w:t>:</w:t>
            </w:r>
          </w:p>
        </w:tc>
        <w:tc>
          <w:tcPr>
            <w:tcW w:w="5760" w:type="dxa"/>
            <w:vAlign w:val="center"/>
          </w:tcPr>
          <w:p w14:paraId="6DEE1EEB" w14:textId="79B12C39" w:rsidR="006954D0" w:rsidRPr="00A53566" w:rsidRDefault="001B3497" w:rsidP="00C77D94">
            <w:pPr>
              <w:autoSpaceDE w:val="0"/>
              <w:autoSpaceDN w:val="0"/>
              <w:adjustRightInd w:val="0"/>
              <w:jc w:val="both"/>
              <w:rPr>
                <w:rFonts w:ascii="Cambria" w:eastAsia="Arial Unicode MS" w:hAnsi="Cambria" w:cs="Cambria"/>
                <w:color w:val="000000"/>
                <w:sz w:val="19"/>
                <w:szCs w:val="19"/>
                <w:bdr w:val="nil"/>
                <w:lang w:eastAsia="es-ES"/>
              </w:rPr>
            </w:pPr>
            <w:r w:rsidRPr="00A53566">
              <w:rPr>
                <w:rFonts w:asciiTheme="majorHAnsi" w:hAnsiTheme="majorHAnsi"/>
                <w:sz w:val="20"/>
                <w:szCs w:val="20"/>
              </w:rPr>
              <w:t xml:space="preserve">Artículos 5 (integridad personal), 8 (garantías judiciales), 9 (legalidad), 11 (honra y dignidad), 13 (libertad de pensamiento y expresión), 15 (reunión), 16 (asociación), 17 (familia), 21 (propiedad privada), 22 (circulación y residencia) y 25 (protección judicial), en relación en relación con los artículos 1.1 y 2 </w:t>
            </w:r>
            <w:r w:rsidR="001F2D7A" w:rsidRPr="00A53566">
              <w:rPr>
                <w:rFonts w:asciiTheme="majorHAnsi" w:hAnsiTheme="majorHAnsi"/>
                <w:sz w:val="20"/>
                <w:szCs w:val="20"/>
              </w:rPr>
              <w:t>de la Convención Americana sobre Derechos Humanos</w:t>
            </w:r>
            <w:r w:rsidR="001F2D7A" w:rsidRPr="00A53566">
              <w:rPr>
                <w:rStyle w:val="FootnoteReference"/>
                <w:rFonts w:asciiTheme="majorHAnsi" w:hAnsiTheme="majorHAnsi"/>
                <w:sz w:val="20"/>
                <w:szCs w:val="20"/>
              </w:rPr>
              <w:footnoteReference w:id="3"/>
            </w:r>
          </w:p>
        </w:tc>
      </w:tr>
    </w:tbl>
    <w:p w14:paraId="20263696" w14:textId="77777777" w:rsidR="003239B8" w:rsidRPr="00A53566" w:rsidRDefault="003239B8" w:rsidP="003239B8">
      <w:pPr>
        <w:spacing w:before="240" w:after="240"/>
        <w:ind w:firstLine="720"/>
        <w:jc w:val="both"/>
        <w:rPr>
          <w:rFonts w:asciiTheme="majorHAnsi" w:hAnsiTheme="majorHAnsi"/>
          <w:b/>
          <w:bCs/>
          <w:sz w:val="20"/>
          <w:szCs w:val="20"/>
        </w:rPr>
      </w:pPr>
      <w:r w:rsidRPr="00A53566">
        <w:rPr>
          <w:rFonts w:asciiTheme="majorHAnsi" w:hAnsiTheme="majorHAnsi"/>
          <w:b/>
          <w:bCs/>
          <w:sz w:val="20"/>
          <w:szCs w:val="20"/>
        </w:rPr>
        <w:t>II.</w:t>
      </w:r>
      <w:r w:rsidRPr="00A53566">
        <w:rPr>
          <w:rFonts w:asciiTheme="majorHAnsi" w:hAnsiTheme="majorHAnsi"/>
          <w:b/>
          <w:bCs/>
          <w:sz w:val="20"/>
          <w:szCs w:val="20"/>
        </w:rPr>
        <w:tab/>
        <w:t>TRÁMITE ANTE LA CIDH</w:t>
      </w:r>
      <w:r w:rsidR="008E3BFE" w:rsidRPr="00A53566">
        <w:rPr>
          <w:rStyle w:val="FootnoteReference"/>
          <w:rFonts w:ascii="Cambria" w:hAnsi="Cambria"/>
          <w:b/>
          <w:sz w:val="20"/>
          <w:szCs w:val="20"/>
        </w:rPr>
        <w:footnoteReference w:id="4"/>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53566" w14:paraId="306EFCB0" w14:textId="77777777" w:rsidTr="002B210E">
        <w:trPr>
          <w:jc w:val="center"/>
        </w:trPr>
        <w:tc>
          <w:tcPr>
            <w:tcW w:w="3600" w:type="dxa"/>
            <w:tcBorders>
              <w:top w:val="single" w:sz="6" w:space="0" w:color="auto"/>
              <w:bottom w:val="single" w:sz="6" w:space="0" w:color="auto"/>
            </w:tcBorders>
            <w:shd w:val="clear" w:color="auto" w:fill="386294"/>
            <w:vAlign w:val="center"/>
          </w:tcPr>
          <w:p w14:paraId="7508D16F" w14:textId="653461D7" w:rsidR="004C2312" w:rsidRPr="00A53566" w:rsidRDefault="004A6A54" w:rsidP="004A6A54">
            <w:pPr>
              <w:jc w:val="center"/>
              <w:rPr>
                <w:rFonts w:ascii="Cambria" w:hAnsi="Cambria"/>
                <w:b/>
                <w:bCs/>
                <w:color w:val="FFFFFF" w:themeColor="background1"/>
                <w:sz w:val="20"/>
                <w:szCs w:val="20"/>
              </w:rPr>
            </w:pPr>
            <w:r w:rsidRPr="00A53566">
              <w:rPr>
                <w:rFonts w:ascii="Cambria" w:hAnsi="Cambria"/>
                <w:b/>
                <w:bCs/>
                <w:color w:val="FFFFFF" w:themeColor="background1"/>
                <w:sz w:val="20"/>
                <w:szCs w:val="20"/>
              </w:rPr>
              <w:t>P</w:t>
            </w:r>
            <w:r w:rsidR="004C2312" w:rsidRPr="00A53566">
              <w:rPr>
                <w:rFonts w:ascii="Cambria" w:hAnsi="Cambria"/>
                <w:b/>
                <w:bCs/>
                <w:color w:val="FFFFFF" w:themeColor="background1"/>
                <w:sz w:val="20"/>
                <w:szCs w:val="20"/>
              </w:rPr>
              <w:t>resentación de la petición:</w:t>
            </w:r>
          </w:p>
        </w:tc>
        <w:tc>
          <w:tcPr>
            <w:tcW w:w="5760" w:type="dxa"/>
            <w:vAlign w:val="center"/>
          </w:tcPr>
          <w:p w14:paraId="6E579153" w14:textId="20C80241" w:rsidR="004C2312" w:rsidRPr="00A53566" w:rsidRDefault="00066A27" w:rsidP="003D4DE6">
            <w:pPr>
              <w:rPr>
                <w:rFonts w:ascii="Cambria" w:hAnsi="Cambria"/>
                <w:bCs/>
                <w:sz w:val="20"/>
                <w:szCs w:val="20"/>
              </w:rPr>
            </w:pPr>
            <w:r>
              <w:rPr>
                <w:rFonts w:ascii="Cambria" w:hAnsi="Cambria"/>
                <w:bCs/>
                <w:sz w:val="20"/>
                <w:szCs w:val="20"/>
              </w:rPr>
              <w:t>14 de mayo de 2020</w:t>
            </w:r>
          </w:p>
        </w:tc>
      </w:tr>
      <w:tr w:rsidR="00131425" w:rsidRPr="00A53566" w14:paraId="337129E8" w14:textId="77777777" w:rsidTr="002B210E">
        <w:trPr>
          <w:jc w:val="center"/>
        </w:trPr>
        <w:tc>
          <w:tcPr>
            <w:tcW w:w="3600" w:type="dxa"/>
            <w:tcBorders>
              <w:top w:val="single" w:sz="6" w:space="0" w:color="auto"/>
              <w:bottom w:val="single" w:sz="6" w:space="0" w:color="auto"/>
            </w:tcBorders>
            <w:shd w:val="clear" w:color="auto" w:fill="386294"/>
            <w:vAlign w:val="center"/>
          </w:tcPr>
          <w:p w14:paraId="3D52E482" w14:textId="0FA8B3B3" w:rsidR="00131425" w:rsidRPr="00A53566" w:rsidRDefault="00131425" w:rsidP="004A6A54">
            <w:pPr>
              <w:jc w:val="center"/>
              <w:rPr>
                <w:rFonts w:ascii="Cambria" w:hAnsi="Cambria"/>
                <w:b/>
                <w:bCs/>
                <w:color w:val="FFFFFF" w:themeColor="background1"/>
                <w:sz w:val="20"/>
                <w:szCs w:val="20"/>
              </w:rPr>
            </w:pPr>
            <w:r w:rsidRPr="00A53566">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5EF0C8FC" w:rsidR="00131425" w:rsidRPr="00A53566" w:rsidRDefault="00066A27" w:rsidP="003D4DE6">
            <w:pPr>
              <w:rPr>
                <w:rFonts w:ascii="Cambria" w:hAnsi="Cambria"/>
                <w:bCs/>
                <w:sz w:val="20"/>
                <w:szCs w:val="20"/>
              </w:rPr>
            </w:pPr>
            <w:r>
              <w:rPr>
                <w:rFonts w:ascii="Cambria" w:hAnsi="Cambria"/>
                <w:bCs/>
                <w:sz w:val="20"/>
                <w:szCs w:val="20"/>
              </w:rPr>
              <w:t>1 de junio de 2020 y 21 de octubre de 2020</w:t>
            </w:r>
          </w:p>
        </w:tc>
      </w:tr>
      <w:tr w:rsidR="004C2312" w:rsidRPr="00A53566" w14:paraId="1BDCD5C6" w14:textId="77777777" w:rsidTr="002B210E">
        <w:trPr>
          <w:jc w:val="center"/>
        </w:trPr>
        <w:tc>
          <w:tcPr>
            <w:tcW w:w="3600" w:type="dxa"/>
            <w:tcBorders>
              <w:top w:val="single" w:sz="6" w:space="0" w:color="auto"/>
              <w:bottom w:val="single" w:sz="6" w:space="0" w:color="auto"/>
            </w:tcBorders>
            <w:shd w:val="clear" w:color="auto" w:fill="386294"/>
            <w:vAlign w:val="center"/>
          </w:tcPr>
          <w:p w14:paraId="7A18664F" w14:textId="73FE510C" w:rsidR="004C2312" w:rsidRPr="00A53566" w:rsidRDefault="004A6A54" w:rsidP="004A6A54">
            <w:pPr>
              <w:jc w:val="center"/>
              <w:rPr>
                <w:rFonts w:ascii="Cambria" w:hAnsi="Cambria"/>
                <w:b/>
                <w:bCs/>
                <w:color w:val="FFFFFF" w:themeColor="background1"/>
                <w:sz w:val="20"/>
                <w:szCs w:val="20"/>
              </w:rPr>
            </w:pPr>
            <w:r w:rsidRPr="00A53566">
              <w:rPr>
                <w:rFonts w:ascii="Cambria" w:hAnsi="Cambria"/>
                <w:b/>
                <w:color w:val="FFFFFF" w:themeColor="background1"/>
                <w:sz w:val="20"/>
                <w:szCs w:val="20"/>
              </w:rPr>
              <w:t>N</w:t>
            </w:r>
            <w:r w:rsidR="004C2312" w:rsidRPr="00A53566">
              <w:rPr>
                <w:rFonts w:ascii="Cambria" w:hAnsi="Cambria"/>
                <w:b/>
                <w:color w:val="FFFFFF" w:themeColor="background1"/>
                <w:sz w:val="20"/>
                <w:szCs w:val="20"/>
              </w:rPr>
              <w:t>otificación de la petición al Estado:</w:t>
            </w:r>
          </w:p>
        </w:tc>
        <w:tc>
          <w:tcPr>
            <w:tcW w:w="5760" w:type="dxa"/>
            <w:vAlign w:val="center"/>
          </w:tcPr>
          <w:p w14:paraId="1519DA6A" w14:textId="2147AE7E" w:rsidR="004C2312" w:rsidRPr="00A53566" w:rsidRDefault="00066A27" w:rsidP="003D4DE6">
            <w:pPr>
              <w:rPr>
                <w:rFonts w:ascii="Cambria" w:hAnsi="Cambria"/>
                <w:bCs/>
                <w:sz w:val="20"/>
                <w:szCs w:val="20"/>
              </w:rPr>
            </w:pPr>
            <w:r>
              <w:rPr>
                <w:rFonts w:ascii="Cambria" w:hAnsi="Cambria"/>
                <w:bCs/>
                <w:sz w:val="20"/>
                <w:szCs w:val="20"/>
              </w:rPr>
              <w:t>9 de febrero de 2021</w:t>
            </w:r>
          </w:p>
        </w:tc>
      </w:tr>
      <w:tr w:rsidR="00980A78" w:rsidRPr="00A53566" w14:paraId="6147A8D5" w14:textId="77777777" w:rsidTr="002B210E">
        <w:trPr>
          <w:jc w:val="center"/>
        </w:trPr>
        <w:tc>
          <w:tcPr>
            <w:tcW w:w="3600" w:type="dxa"/>
            <w:tcBorders>
              <w:top w:val="single" w:sz="6" w:space="0" w:color="auto"/>
              <w:bottom w:val="single" w:sz="6" w:space="0" w:color="auto"/>
            </w:tcBorders>
            <w:shd w:val="clear" w:color="auto" w:fill="386294"/>
            <w:vAlign w:val="center"/>
          </w:tcPr>
          <w:p w14:paraId="0201C86D" w14:textId="4A5EC6F9" w:rsidR="00980A78" w:rsidRPr="00A53566" w:rsidRDefault="00980A78" w:rsidP="00980A78">
            <w:pPr>
              <w:jc w:val="center"/>
              <w:rPr>
                <w:rFonts w:ascii="Cambria" w:hAnsi="Cambria"/>
                <w:b/>
                <w:bCs/>
                <w:color w:val="FFFFFF" w:themeColor="background1"/>
                <w:sz w:val="20"/>
                <w:szCs w:val="20"/>
              </w:rPr>
            </w:pPr>
            <w:r w:rsidRPr="00A53566">
              <w:rPr>
                <w:rFonts w:ascii="Cambria" w:hAnsi="Cambria"/>
                <w:b/>
                <w:color w:val="FFFFFF" w:themeColor="background1"/>
                <w:sz w:val="20"/>
                <w:szCs w:val="20"/>
              </w:rPr>
              <w:t>Primera respuesta del Estado:</w:t>
            </w:r>
          </w:p>
        </w:tc>
        <w:tc>
          <w:tcPr>
            <w:tcW w:w="5760" w:type="dxa"/>
            <w:vAlign w:val="center"/>
          </w:tcPr>
          <w:p w14:paraId="1972B99E" w14:textId="3BDED79B" w:rsidR="00980A78" w:rsidRPr="00A53566" w:rsidRDefault="00066A27" w:rsidP="003D4DE6">
            <w:pPr>
              <w:rPr>
                <w:rFonts w:ascii="Cambria" w:hAnsi="Cambria"/>
                <w:bCs/>
                <w:sz w:val="20"/>
                <w:szCs w:val="20"/>
              </w:rPr>
            </w:pPr>
            <w:r>
              <w:rPr>
                <w:rFonts w:ascii="Cambria" w:hAnsi="Cambria"/>
                <w:bCs/>
                <w:sz w:val="20"/>
                <w:szCs w:val="20"/>
              </w:rPr>
              <w:t>30 de mayo de 2021</w:t>
            </w:r>
          </w:p>
        </w:tc>
      </w:tr>
      <w:tr w:rsidR="005F7948" w:rsidRPr="00A53566" w14:paraId="3335A15D" w14:textId="77777777" w:rsidTr="002B210E">
        <w:trPr>
          <w:jc w:val="center"/>
        </w:trPr>
        <w:tc>
          <w:tcPr>
            <w:tcW w:w="3600" w:type="dxa"/>
            <w:tcBorders>
              <w:top w:val="single" w:sz="6" w:space="0" w:color="auto"/>
              <w:bottom w:val="single" w:sz="6" w:space="0" w:color="auto"/>
            </w:tcBorders>
            <w:shd w:val="clear" w:color="auto" w:fill="386294"/>
            <w:vAlign w:val="center"/>
          </w:tcPr>
          <w:p w14:paraId="6F151512" w14:textId="0AF5F087" w:rsidR="005F7948" w:rsidRPr="00A53566" w:rsidRDefault="005F7948" w:rsidP="00980A78">
            <w:pPr>
              <w:jc w:val="center"/>
              <w:rPr>
                <w:rFonts w:ascii="Cambria" w:hAnsi="Cambria"/>
                <w:b/>
                <w:color w:val="FFFFFF" w:themeColor="background1"/>
                <w:sz w:val="20"/>
                <w:szCs w:val="20"/>
              </w:rPr>
            </w:pPr>
            <w:r>
              <w:rPr>
                <w:rFonts w:ascii="Cambria" w:hAnsi="Cambria"/>
                <w:b/>
                <w:color w:val="FFFFFF" w:themeColor="background1"/>
                <w:sz w:val="20"/>
                <w:szCs w:val="20"/>
              </w:rPr>
              <w:t>MC asociada</w:t>
            </w:r>
          </w:p>
        </w:tc>
        <w:tc>
          <w:tcPr>
            <w:tcW w:w="5760" w:type="dxa"/>
            <w:vAlign w:val="center"/>
          </w:tcPr>
          <w:p w14:paraId="16D6382C" w14:textId="3EFA7963" w:rsidR="005F7948" w:rsidRDefault="005F7948" w:rsidP="003D4DE6">
            <w:pPr>
              <w:rPr>
                <w:rFonts w:ascii="Cambria" w:hAnsi="Cambria"/>
                <w:bCs/>
                <w:sz w:val="20"/>
                <w:szCs w:val="20"/>
              </w:rPr>
            </w:pPr>
            <w:r>
              <w:rPr>
                <w:rFonts w:ascii="Cambria" w:hAnsi="Cambria"/>
                <w:bCs/>
                <w:sz w:val="20"/>
                <w:szCs w:val="20"/>
              </w:rPr>
              <w:t xml:space="preserve">MC-277-08 (otorgada) </w:t>
            </w:r>
          </w:p>
        </w:tc>
      </w:tr>
    </w:tbl>
    <w:p w14:paraId="21DAA666" w14:textId="77777777" w:rsidR="003239B8" w:rsidRPr="00A53566" w:rsidRDefault="003239B8" w:rsidP="003239B8">
      <w:pPr>
        <w:spacing w:before="240" w:after="240"/>
        <w:ind w:firstLine="720"/>
        <w:jc w:val="both"/>
        <w:rPr>
          <w:rFonts w:asciiTheme="majorHAnsi" w:hAnsiTheme="majorHAnsi"/>
          <w:b/>
          <w:bCs/>
          <w:sz w:val="20"/>
          <w:szCs w:val="20"/>
        </w:rPr>
      </w:pPr>
      <w:r w:rsidRPr="00A53566">
        <w:rPr>
          <w:rFonts w:asciiTheme="majorHAnsi" w:hAnsiTheme="majorHAnsi"/>
          <w:b/>
          <w:bCs/>
          <w:sz w:val="20"/>
          <w:szCs w:val="20"/>
        </w:rPr>
        <w:t xml:space="preserve">III. </w:t>
      </w:r>
      <w:r w:rsidRPr="00A53566">
        <w:rPr>
          <w:rFonts w:asciiTheme="majorHAnsi" w:hAnsiTheme="majorHAnsi"/>
          <w:b/>
          <w:bCs/>
          <w:sz w:val="20"/>
          <w:szCs w:val="20"/>
        </w:rPr>
        <w:tab/>
        <w:t>COMPETENCIA</w:t>
      </w:r>
      <w:r w:rsidR="00EE00E9" w:rsidRPr="00A53566">
        <w:rPr>
          <w:rFonts w:asciiTheme="majorHAnsi" w:hAnsiTheme="majorHAnsi"/>
          <w:b/>
          <w:bCs/>
          <w:sz w:val="20"/>
          <w:szCs w:val="20"/>
        </w:rPr>
        <w:t xml:space="preserve"> </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56"/>
        <w:gridCol w:w="5781"/>
      </w:tblGrid>
      <w:tr w:rsidR="003239B8" w:rsidRPr="00A53566" w14:paraId="072532AD" w14:textId="77777777" w:rsidTr="002B210E">
        <w:trPr>
          <w:cantSplit/>
          <w:jc w:val="center"/>
        </w:trPr>
        <w:tc>
          <w:tcPr>
            <w:tcW w:w="3556" w:type="dxa"/>
            <w:tcBorders>
              <w:top w:val="single" w:sz="4" w:space="0" w:color="auto"/>
              <w:bottom w:val="single" w:sz="6" w:space="0" w:color="auto"/>
            </w:tcBorders>
            <w:shd w:val="clear" w:color="auto" w:fill="386294"/>
            <w:vAlign w:val="center"/>
          </w:tcPr>
          <w:p w14:paraId="5C2E4B34" w14:textId="129692ED" w:rsidR="003239B8" w:rsidRPr="00A53566" w:rsidRDefault="003239B8" w:rsidP="00FC4870">
            <w:pPr>
              <w:jc w:val="center"/>
              <w:rPr>
                <w:rFonts w:ascii="Cambria" w:hAnsi="Cambria"/>
                <w:b/>
                <w:bCs/>
                <w:i/>
                <w:color w:val="FFFFFF" w:themeColor="background1"/>
                <w:sz w:val="20"/>
                <w:szCs w:val="20"/>
              </w:rPr>
            </w:pPr>
            <w:r w:rsidRPr="00A53566">
              <w:rPr>
                <w:rFonts w:ascii="Cambria" w:hAnsi="Cambria"/>
                <w:b/>
                <w:bCs/>
                <w:i/>
                <w:color w:val="FFFFFF" w:themeColor="background1"/>
                <w:sz w:val="20"/>
                <w:szCs w:val="20"/>
              </w:rPr>
              <w:t>Ratione personae:</w:t>
            </w:r>
          </w:p>
        </w:tc>
        <w:tc>
          <w:tcPr>
            <w:tcW w:w="5781" w:type="dxa"/>
            <w:vAlign w:val="center"/>
          </w:tcPr>
          <w:p w14:paraId="7707F3E9" w14:textId="5D209CE2" w:rsidR="003239B8" w:rsidRPr="00A53566" w:rsidRDefault="004D7370" w:rsidP="00FC4870">
            <w:pPr>
              <w:rPr>
                <w:rFonts w:ascii="Cambria" w:hAnsi="Cambria"/>
                <w:bCs/>
                <w:sz w:val="20"/>
                <w:szCs w:val="20"/>
              </w:rPr>
            </w:pPr>
            <w:r w:rsidRPr="00A53566">
              <w:rPr>
                <w:rFonts w:ascii="Cambria" w:hAnsi="Cambria"/>
                <w:bCs/>
                <w:sz w:val="20"/>
                <w:szCs w:val="20"/>
              </w:rPr>
              <w:t>Sí</w:t>
            </w:r>
          </w:p>
        </w:tc>
      </w:tr>
      <w:tr w:rsidR="003239B8" w:rsidRPr="00A53566" w14:paraId="4B8802DA" w14:textId="77777777" w:rsidTr="002B210E">
        <w:trPr>
          <w:cantSplit/>
          <w:jc w:val="center"/>
        </w:trPr>
        <w:tc>
          <w:tcPr>
            <w:tcW w:w="3556" w:type="dxa"/>
            <w:tcBorders>
              <w:top w:val="single" w:sz="6" w:space="0" w:color="auto"/>
              <w:bottom w:val="single" w:sz="6" w:space="0" w:color="auto"/>
            </w:tcBorders>
            <w:shd w:val="clear" w:color="auto" w:fill="386294"/>
            <w:vAlign w:val="center"/>
          </w:tcPr>
          <w:p w14:paraId="3915C23B" w14:textId="358F392F" w:rsidR="003239B8" w:rsidRPr="00A53566" w:rsidRDefault="003239B8" w:rsidP="00FC4870">
            <w:pPr>
              <w:jc w:val="center"/>
              <w:rPr>
                <w:rFonts w:ascii="Cambria" w:hAnsi="Cambria"/>
                <w:b/>
                <w:bCs/>
                <w:color w:val="FFFFFF" w:themeColor="background1"/>
                <w:sz w:val="20"/>
                <w:szCs w:val="20"/>
              </w:rPr>
            </w:pPr>
            <w:r w:rsidRPr="00A53566">
              <w:rPr>
                <w:rFonts w:ascii="Cambria" w:hAnsi="Cambria"/>
                <w:b/>
                <w:bCs/>
                <w:i/>
                <w:color w:val="FFFFFF" w:themeColor="background1"/>
                <w:sz w:val="20"/>
                <w:szCs w:val="20"/>
              </w:rPr>
              <w:t>Ratione loci</w:t>
            </w:r>
            <w:r w:rsidRPr="00A53566">
              <w:rPr>
                <w:rFonts w:ascii="Cambria" w:hAnsi="Cambria"/>
                <w:b/>
                <w:bCs/>
                <w:color w:val="FFFFFF" w:themeColor="background1"/>
                <w:sz w:val="20"/>
                <w:szCs w:val="20"/>
              </w:rPr>
              <w:t>:</w:t>
            </w:r>
          </w:p>
        </w:tc>
        <w:tc>
          <w:tcPr>
            <w:tcW w:w="5781" w:type="dxa"/>
            <w:vAlign w:val="center"/>
          </w:tcPr>
          <w:p w14:paraId="12C931CB" w14:textId="496AACCD" w:rsidR="003239B8" w:rsidRPr="00A53566" w:rsidRDefault="004D7370" w:rsidP="00FC4870">
            <w:pPr>
              <w:rPr>
                <w:rFonts w:ascii="Cambria" w:hAnsi="Cambria"/>
                <w:bCs/>
                <w:sz w:val="20"/>
                <w:szCs w:val="20"/>
              </w:rPr>
            </w:pPr>
            <w:r w:rsidRPr="00A53566">
              <w:rPr>
                <w:rFonts w:ascii="Cambria" w:hAnsi="Cambria"/>
                <w:bCs/>
                <w:sz w:val="20"/>
                <w:szCs w:val="20"/>
              </w:rPr>
              <w:t>Sí</w:t>
            </w:r>
          </w:p>
        </w:tc>
      </w:tr>
      <w:tr w:rsidR="003239B8" w:rsidRPr="00A53566" w14:paraId="4362FDF3" w14:textId="77777777" w:rsidTr="002B210E">
        <w:trPr>
          <w:cantSplit/>
          <w:jc w:val="center"/>
        </w:trPr>
        <w:tc>
          <w:tcPr>
            <w:tcW w:w="3556" w:type="dxa"/>
            <w:tcBorders>
              <w:top w:val="single" w:sz="6" w:space="0" w:color="auto"/>
              <w:bottom w:val="single" w:sz="6" w:space="0" w:color="auto"/>
            </w:tcBorders>
            <w:shd w:val="clear" w:color="auto" w:fill="386294"/>
            <w:vAlign w:val="center"/>
          </w:tcPr>
          <w:p w14:paraId="3BE23153" w14:textId="5291848F" w:rsidR="003239B8" w:rsidRPr="00A53566" w:rsidRDefault="003239B8" w:rsidP="00FC4870">
            <w:pPr>
              <w:jc w:val="center"/>
              <w:rPr>
                <w:rFonts w:ascii="Cambria" w:hAnsi="Cambria"/>
                <w:b/>
                <w:bCs/>
                <w:color w:val="FFFFFF" w:themeColor="background1"/>
                <w:sz w:val="20"/>
                <w:szCs w:val="20"/>
              </w:rPr>
            </w:pPr>
            <w:r w:rsidRPr="00A53566">
              <w:rPr>
                <w:rFonts w:ascii="Cambria" w:hAnsi="Cambria"/>
                <w:b/>
                <w:bCs/>
                <w:i/>
                <w:color w:val="FFFFFF" w:themeColor="background1"/>
                <w:sz w:val="20"/>
                <w:szCs w:val="20"/>
              </w:rPr>
              <w:t>Ratione temporis</w:t>
            </w:r>
            <w:r w:rsidRPr="00A53566">
              <w:rPr>
                <w:rFonts w:ascii="Cambria" w:hAnsi="Cambria"/>
                <w:b/>
                <w:bCs/>
                <w:color w:val="FFFFFF" w:themeColor="background1"/>
                <w:sz w:val="20"/>
                <w:szCs w:val="20"/>
              </w:rPr>
              <w:t>:</w:t>
            </w:r>
          </w:p>
        </w:tc>
        <w:tc>
          <w:tcPr>
            <w:tcW w:w="5781" w:type="dxa"/>
            <w:vAlign w:val="center"/>
          </w:tcPr>
          <w:p w14:paraId="6F8B059B" w14:textId="680DA518" w:rsidR="003239B8" w:rsidRPr="00A53566" w:rsidRDefault="004D7370" w:rsidP="00FC4870">
            <w:pPr>
              <w:rPr>
                <w:rFonts w:ascii="Cambria" w:hAnsi="Cambria"/>
                <w:bCs/>
                <w:sz w:val="20"/>
                <w:szCs w:val="20"/>
              </w:rPr>
            </w:pPr>
            <w:r w:rsidRPr="00A53566">
              <w:rPr>
                <w:rFonts w:ascii="Cambria" w:hAnsi="Cambria"/>
                <w:bCs/>
                <w:sz w:val="20"/>
                <w:szCs w:val="20"/>
              </w:rPr>
              <w:t>Sí</w:t>
            </w:r>
          </w:p>
        </w:tc>
      </w:tr>
      <w:tr w:rsidR="0002740B" w:rsidRPr="00A53566" w14:paraId="30ABEC3E" w14:textId="77777777" w:rsidTr="002B210E">
        <w:trPr>
          <w:cantSplit/>
          <w:jc w:val="center"/>
        </w:trPr>
        <w:tc>
          <w:tcPr>
            <w:tcW w:w="3556" w:type="dxa"/>
            <w:tcBorders>
              <w:top w:val="single" w:sz="6" w:space="0" w:color="auto"/>
              <w:bottom w:val="single" w:sz="6" w:space="0" w:color="auto"/>
            </w:tcBorders>
            <w:shd w:val="clear" w:color="auto" w:fill="386294"/>
            <w:vAlign w:val="center"/>
          </w:tcPr>
          <w:p w14:paraId="47B529D2" w14:textId="33973C8A" w:rsidR="0002740B" w:rsidRPr="00A53566" w:rsidRDefault="0002740B" w:rsidP="0002740B">
            <w:pPr>
              <w:jc w:val="center"/>
              <w:rPr>
                <w:rFonts w:ascii="Cambria" w:hAnsi="Cambria"/>
                <w:b/>
                <w:bCs/>
                <w:color w:val="FFFFFF" w:themeColor="background1"/>
                <w:sz w:val="20"/>
                <w:szCs w:val="20"/>
              </w:rPr>
            </w:pPr>
            <w:r w:rsidRPr="00A53566">
              <w:rPr>
                <w:rFonts w:ascii="Cambria" w:hAnsi="Cambria"/>
                <w:b/>
                <w:bCs/>
                <w:i/>
                <w:color w:val="FFFFFF" w:themeColor="background1"/>
                <w:sz w:val="20"/>
                <w:szCs w:val="20"/>
              </w:rPr>
              <w:t>Ratione materiae</w:t>
            </w:r>
            <w:r w:rsidRPr="00A53566">
              <w:rPr>
                <w:rFonts w:ascii="Cambria" w:hAnsi="Cambria"/>
                <w:b/>
                <w:bCs/>
                <w:color w:val="FFFFFF" w:themeColor="background1"/>
                <w:sz w:val="20"/>
                <w:szCs w:val="20"/>
              </w:rPr>
              <w:t>:</w:t>
            </w:r>
          </w:p>
        </w:tc>
        <w:tc>
          <w:tcPr>
            <w:tcW w:w="5781" w:type="dxa"/>
            <w:vAlign w:val="center"/>
          </w:tcPr>
          <w:p w14:paraId="0C122F44" w14:textId="70ABD1B9" w:rsidR="0002740B" w:rsidRPr="00A53566" w:rsidRDefault="0002740B" w:rsidP="0002740B">
            <w:pPr>
              <w:jc w:val="both"/>
              <w:rPr>
                <w:rFonts w:ascii="Cambria" w:hAnsi="Cambria"/>
                <w:bCs/>
                <w:sz w:val="20"/>
                <w:szCs w:val="20"/>
              </w:rPr>
            </w:pPr>
            <w:r w:rsidRPr="00A53566">
              <w:rPr>
                <w:rFonts w:ascii="Cambria" w:hAnsi="Cambria"/>
                <w:bCs/>
                <w:sz w:val="20"/>
                <w:szCs w:val="20"/>
              </w:rPr>
              <w:t>Sí, Convención Americana (depósito de instrumento de ratificación el 25 de septiembre de 1979)</w:t>
            </w:r>
          </w:p>
        </w:tc>
      </w:tr>
    </w:tbl>
    <w:p w14:paraId="4E92C444" w14:textId="140CB1E7" w:rsidR="003239B8" w:rsidRPr="00A53566" w:rsidRDefault="003239B8" w:rsidP="003239B8">
      <w:pPr>
        <w:spacing w:before="240" w:after="240"/>
        <w:ind w:firstLine="720"/>
        <w:jc w:val="both"/>
        <w:rPr>
          <w:rFonts w:asciiTheme="majorHAnsi" w:hAnsiTheme="majorHAnsi"/>
          <w:b/>
          <w:bCs/>
          <w:sz w:val="20"/>
          <w:szCs w:val="20"/>
        </w:rPr>
      </w:pPr>
      <w:r w:rsidRPr="00A53566">
        <w:rPr>
          <w:rFonts w:asciiTheme="majorHAnsi" w:hAnsiTheme="majorHAnsi"/>
          <w:b/>
          <w:bCs/>
          <w:sz w:val="20"/>
          <w:szCs w:val="20"/>
        </w:rPr>
        <w:t xml:space="preserve">IV. </w:t>
      </w:r>
      <w:r w:rsidRPr="00A53566">
        <w:rPr>
          <w:rFonts w:asciiTheme="majorHAnsi" w:hAnsiTheme="majorHAnsi"/>
          <w:b/>
          <w:bCs/>
          <w:sz w:val="20"/>
          <w:szCs w:val="20"/>
        </w:rPr>
        <w:tab/>
      </w:r>
      <w:r w:rsidR="00EE00E9" w:rsidRPr="00A53566">
        <w:rPr>
          <w:rFonts w:asciiTheme="majorHAnsi" w:hAnsiTheme="majorHAnsi"/>
          <w:b/>
          <w:bCs/>
          <w:sz w:val="20"/>
          <w:szCs w:val="20"/>
        </w:rPr>
        <w:t>DUPLICACIÓN</w:t>
      </w:r>
      <w:r w:rsidR="00EE00E9" w:rsidRPr="00A53566">
        <w:rPr>
          <w:rFonts w:asciiTheme="majorHAnsi" w:hAnsiTheme="majorHAnsi"/>
          <w:b/>
          <w:bCs/>
          <w:color w:val="FFFFFF" w:themeColor="background1"/>
          <w:sz w:val="20"/>
          <w:szCs w:val="20"/>
        </w:rPr>
        <w:t xml:space="preserve"> </w:t>
      </w:r>
      <w:r w:rsidR="00EE00E9" w:rsidRPr="00A53566">
        <w:rPr>
          <w:rFonts w:asciiTheme="majorHAnsi" w:hAnsiTheme="majorHAnsi"/>
          <w:b/>
          <w:bCs/>
          <w:sz w:val="20"/>
          <w:szCs w:val="20"/>
        </w:rPr>
        <w:t>DE PROCEDIMIENTOS Y COSA JUZGADA</w:t>
      </w:r>
      <w:r w:rsidR="00EE00E9" w:rsidRPr="00A53566">
        <w:rPr>
          <w:rFonts w:asciiTheme="majorHAnsi" w:hAnsiTheme="majorHAnsi"/>
          <w:b/>
          <w:bCs/>
          <w:i/>
          <w:sz w:val="20"/>
          <w:szCs w:val="20"/>
        </w:rPr>
        <w:t xml:space="preserve"> </w:t>
      </w:r>
      <w:r w:rsidR="00EE00E9" w:rsidRPr="00A53566">
        <w:rPr>
          <w:rFonts w:asciiTheme="majorHAnsi" w:hAnsiTheme="majorHAnsi"/>
          <w:b/>
          <w:bCs/>
          <w:sz w:val="20"/>
          <w:szCs w:val="20"/>
        </w:rPr>
        <w:t>INTERNACIONAL</w:t>
      </w:r>
      <w:r w:rsidR="005D38F9" w:rsidRPr="00A53566">
        <w:rPr>
          <w:rFonts w:asciiTheme="majorHAnsi" w:hAnsiTheme="majorHAnsi"/>
          <w:b/>
          <w:bCs/>
          <w:sz w:val="20"/>
          <w:szCs w:val="20"/>
        </w:rPr>
        <w:t>,</w:t>
      </w:r>
      <w:r w:rsidRPr="00A53566">
        <w:rPr>
          <w:rFonts w:asciiTheme="majorHAnsi" w:hAnsiTheme="majorHAnsi"/>
          <w:b/>
          <w:bCs/>
          <w:sz w:val="20"/>
          <w:szCs w:val="20"/>
        </w:rPr>
        <w:t xml:space="preserve"> CARACTERIZACIÓN, </w:t>
      </w:r>
      <w:r w:rsidRPr="00A53566">
        <w:rPr>
          <w:rFonts w:asciiTheme="majorHAnsi" w:hAnsiTheme="majorHAnsi"/>
          <w:b/>
          <w:sz w:val="20"/>
          <w:szCs w:val="20"/>
        </w:rPr>
        <w:t>AGOTAMIENTO DE LOS RECURSOS INTERNOS Y PLAZO DE PRESENTACIÓN</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62"/>
        <w:gridCol w:w="5775"/>
      </w:tblGrid>
      <w:tr w:rsidR="00EE00E9" w:rsidRPr="00A53566" w14:paraId="1231C988" w14:textId="77777777" w:rsidTr="002B210E">
        <w:trPr>
          <w:cantSplit/>
          <w:jc w:val="center"/>
        </w:trPr>
        <w:tc>
          <w:tcPr>
            <w:tcW w:w="3562" w:type="dxa"/>
            <w:tcBorders>
              <w:top w:val="single" w:sz="4" w:space="0" w:color="auto"/>
              <w:bottom w:val="single" w:sz="6" w:space="0" w:color="auto"/>
            </w:tcBorders>
            <w:shd w:val="clear" w:color="auto" w:fill="386294"/>
            <w:vAlign w:val="center"/>
          </w:tcPr>
          <w:p w14:paraId="6F8031F4" w14:textId="77777777" w:rsidR="00EE00E9" w:rsidRPr="00A53566" w:rsidRDefault="00EE00E9" w:rsidP="00FC4870">
            <w:pPr>
              <w:jc w:val="center"/>
              <w:rPr>
                <w:rFonts w:ascii="Cambria" w:hAnsi="Cambria"/>
                <w:b/>
                <w:bCs/>
                <w:color w:val="FFFFFF" w:themeColor="background1"/>
                <w:sz w:val="20"/>
                <w:szCs w:val="20"/>
              </w:rPr>
            </w:pPr>
            <w:r w:rsidRPr="00A53566">
              <w:rPr>
                <w:rFonts w:ascii="Cambria" w:hAnsi="Cambria"/>
                <w:b/>
                <w:bCs/>
                <w:color w:val="FFFFFF" w:themeColor="background1"/>
                <w:sz w:val="20"/>
                <w:szCs w:val="20"/>
              </w:rPr>
              <w:t>Duplicación de procedimientos y cosa juzgada internacional:</w:t>
            </w:r>
          </w:p>
        </w:tc>
        <w:tc>
          <w:tcPr>
            <w:tcW w:w="5775" w:type="dxa"/>
            <w:vAlign w:val="center"/>
          </w:tcPr>
          <w:p w14:paraId="240941E6" w14:textId="5171B395" w:rsidR="00EE00E9" w:rsidRPr="00A53566" w:rsidRDefault="00BB6A0F" w:rsidP="00FC4870">
            <w:pPr>
              <w:jc w:val="both"/>
              <w:rPr>
                <w:rFonts w:ascii="Cambria" w:hAnsi="Cambria"/>
                <w:bCs/>
                <w:sz w:val="20"/>
                <w:szCs w:val="20"/>
              </w:rPr>
            </w:pPr>
            <w:r w:rsidRPr="00A53566">
              <w:rPr>
                <w:rFonts w:ascii="Cambria" w:hAnsi="Cambria"/>
                <w:bCs/>
                <w:sz w:val="20"/>
                <w:szCs w:val="20"/>
              </w:rPr>
              <w:t>No</w:t>
            </w:r>
          </w:p>
        </w:tc>
      </w:tr>
      <w:tr w:rsidR="002B3E6B" w:rsidRPr="00A53566" w14:paraId="15FAA7D1" w14:textId="77777777" w:rsidTr="002B210E">
        <w:trPr>
          <w:cantSplit/>
          <w:jc w:val="center"/>
        </w:trPr>
        <w:tc>
          <w:tcPr>
            <w:tcW w:w="3562" w:type="dxa"/>
            <w:tcBorders>
              <w:top w:val="single" w:sz="4" w:space="0" w:color="auto"/>
              <w:bottom w:val="single" w:sz="6" w:space="0" w:color="auto"/>
            </w:tcBorders>
            <w:shd w:val="clear" w:color="auto" w:fill="386294"/>
            <w:vAlign w:val="center"/>
          </w:tcPr>
          <w:p w14:paraId="1B0D29FF" w14:textId="3040C614" w:rsidR="002B3E6B" w:rsidRPr="00A53566" w:rsidRDefault="002B3E6B" w:rsidP="002B3E6B">
            <w:pPr>
              <w:jc w:val="center"/>
              <w:rPr>
                <w:rFonts w:ascii="Cambria" w:hAnsi="Cambria"/>
                <w:b/>
                <w:bCs/>
                <w:i/>
                <w:color w:val="FFFFFF" w:themeColor="background1"/>
                <w:sz w:val="20"/>
                <w:szCs w:val="20"/>
              </w:rPr>
            </w:pPr>
            <w:r w:rsidRPr="00A53566">
              <w:rPr>
                <w:rFonts w:ascii="Cambria" w:hAnsi="Cambria"/>
                <w:b/>
                <w:bCs/>
                <w:color w:val="FFFFFF" w:themeColor="background1"/>
                <w:sz w:val="20"/>
                <w:szCs w:val="20"/>
              </w:rPr>
              <w:t xml:space="preserve">Derechos </w:t>
            </w:r>
            <w:r w:rsidR="00C51FE9" w:rsidRPr="00A53566">
              <w:rPr>
                <w:rFonts w:ascii="Cambria" w:hAnsi="Cambria"/>
                <w:b/>
                <w:bCs/>
                <w:color w:val="FFFFFF" w:themeColor="background1"/>
                <w:sz w:val="20"/>
                <w:szCs w:val="20"/>
              </w:rPr>
              <w:t>admitidos</w:t>
            </w:r>
            <w:r w:rsidRPr="00A53566">
              <w:rPr>
                <w:rFonts w:ascii="Cambria" w:hAnsi="Cambria"/>
                <w:b/>
                <w:bCs/>
                <w:i/>
                <w:color w:val="FFFFFF" w:themeColor="background1"/>
                <w:sz w:val="20"/>
                <w:szCs w:val="20"/>
              </w:rPr>
              <w:t>:</w:t>
            </w:r>
          </w:p>
        </w:tc>
        <w:tc>
          <w:tcPr>
            <w:tcW w:w="5775" w:type="dxa"/>
            <w:vAlign w:val="center"/>
          </w:tcPr>
          <w:p w14:paraId="6310C8F7" w14:textId="7EEA50EB" w:rsidR="00F34F85" w:rsidRPr="00527D2B" w:rsidRDefault="00650313" w:rsidP="001B3497">
            <w:pPr>
              <w:jc w:val="both"/>
              <w:rPr>
                <w:rFonts w:asciiTheme="majorHAnsi" w:hAnsiTheme="majorHAnsi"/>
                <w:sz w:val="20"/>
                <w:szCs w:val="20"/>
                <w:lang w:val="es-US"/>
              </w:rPr>
            </w:pPr>
            <w:r w:rsidRPr="00501D94">
              <w:rPr>
                <w:rFonts w:asciiTheme="majorHAnsi" w:hAnsiTheme="majorHAnsi"/>
                <w:sz w:val="20"/>
                <w:szCs w:val="20"/>
              </w:rPr>
              <w:t>Artículos</w:t>
            </w:r>
            <w:r w:rsidRPr="00A53566">
              <w:rPr>
                <w:rFonts w:asciiTheme="majorHAnsi" w:hAnsiTheme="majorHAnsi"/>
                <w:sz w:val="20"/>
                <w:szCs w:val="20"/>
              </w:rPr>
              <w:t xml:space="preserve"> 5 (integridad personal), 8 (garantías judiciales), </w:t>
            </w:r>
            <w:r w:rsidR="007D649E" w:rsidRPr="00A53566">
              <w:rPr>
                <w:rFonts w:asciiTheme="majorHAnsi" w:hAnsiTheme="majorHAnsi"/>
                <w:sz w:val="20"/>
                <w:szCs w:val="20"/>
              </w:rPr>
              <w:t xml:space="preserve">9 (legalidad), 11 (honra y dignidad), </w:t>
            </w:r>
            <w:r w:rsidRPr="00A53566">
              <w:rPr>
                <w:rFonts w:asciiTheme="majorHAnsi" w:hAnsiTheme="majorHAnsi"/>
                <w:sz w:val="20"/>
                <w:szCs w:val="20"/>
              </w:rPr>
              <w:t>13 (libertad de pensamiento y expresión)</w:t>
            </w:r>
            <w:r w:rsidR="007D649E" w:rsidRPr="00A53566">
              <w:rPr>
                <w:rFonts w:asciiTheme="majorHAnsi" w:hAnsiTheme="majorHAnsi"/>
                <w:sz w:val="20"/>
                <w:szCs w:val="20"/>
              </w:rPr>
              <w:t>, 15 (reunión), 16 (asociación), 17 (familia), 21 (propiedad privada), 22 (circulación y residencia)</w:t>
            </w:r>
            <w:r w:rsidRPr="00A53566">
              <w:rPr>
                <w:rFonts w:asciiTheme="majorHAnsi" w:hAnsiTheme="majorHAnsi"/>
                <w:sz w:val="20"/>
                <w:szCs w:val="20"/>
              </w:rPr>
              <w:t xml:space="preserve"> y 25 (protección judicial), </w:t>
            </w:r>
            <w:r w:rsidR="006572BD">
              <w:rPr>
                <w:rFonts w:asciiTheme="majorHAnsi" w:hAnsiTheme="majorHAnsi"/>
                <w:sz w:val="20"/>
                <w:szCs w:val="20"/>
              </w:rPr>
              <w:t xml:space="preserve">de la Convención Americana, </w:t>
            </w:r>
            <w:r w:rsidRPr="00A53566">
              <w:rPr>
                <w:rFonts w:asciiTheme="majorHAnsi" w:hAnsiTheme="majorHAnsi"/>
                <w:sz w:val="20"/>
                <w:szCs w:val="20"/>
              </w:rPr>
              <w:t xml:space="preserve">en relación </w:t>
            </w:r>
            <w:r w:rsidR="001B3497" w:rsidRPr="00A53566">
              <w:rPr>
                <w:rFonts w:asciiTheme="majorHAnsi" w:hAnsiTheme="majorHAnsi"/>
                <w:sz w:val="20"/>
                <w:szCs w:val="20"/>
              </w:rPr>
              <w:t xml:space="preserve">con </w:t>
            </w:r>
            <w:r w:rsidR="006572BD">
              <w:rPr>
                <w:rFonts w:asciiTheme="majorHAnsi" w:hAnsiTheme="majorHAnsi"/>
                <w:sz w:val="20"/>
                <w:szCs w:val="20"/>
              </w:rPr>
              <w:t>su</w:t>
            </w:r>
            <w:r w:rsidR="00527D2B">
              <w:rPr>
                <w:rFonts w:asciiTheme="majorHAnsi" w:hAnsiTheme="majorHAnsi"/>
                <w:sz w:val="20"/>
                <w:szCs w:val="20"/>
              </w:rPr>
              <w:t>s</w:t>
            </w:r>
            <w:r w:rsidR="001B3497" w:rsidRPr="00A53566">
              <w:rPr>
                <w:rFonts w:asciiTheme="majorHAnsi" w:hAnsiTheme="majorHAnsi"/>
                <w:sz w:val="20"/>
                <w:szCs w:val="20"/>
              </w:rPr>
              <w:t xml:space="preserve"> artículo</w:t>
            </w:r>
            <w:r w:rsidR="00527D2B">
              <w:rPr>
                <w:rFonts w:asciiTheme="majorHAnsi" w:hAnsiTheme="majorHAnsi"/>
                <w:sz w:val="20"/>
                <w:szCs w:val="20"/>
              </w:rPr>
              <w:t>s</w:t>
            </w:r>
            <w:r w:rsidR="001B3497" w:rsidRPr="00A53566">
              <w:rPr>
                <w:rFonts w:asciiTheme="majorHAnsi" w:hAnsiTheme="majorHAnsi"/>
                <w:sz w:val="20"/>
                <w:szCs w:val="20"/>
              </w:rPr>
              <w:t xml:space="preserve"> 1.1</w:t>
            </w:r>
            <w:r w:rsidRPr="00A53566">
              <w:rPr>
                <w:rFonts w:asciiTheme="majorHAnsi" w:hAnsiTheme="majorHAnsi"/>
                <w:sz w:val="20"/>
                <w:szCs w:val="20"/>
              </w:rPr>
              <w:t xml:space="preserve"> </w:t>
            </w:r>
            <w:r w:rsidR="00527D2B">
              <w:rPr>
                <w:rFonts w:asciiTheme="majorHAnsi" w:hAnsiTheme="majorHAnsi"/>
                <w:sz w:val="20"/>
                <w:szCs w:val="20"/>
              </w:rPr>
              <w:t xml:space="preserve">(obligación de </w:t>
            </w:r>
            <w:r w:rsidR="00527D2B">
              <w:rPr>
                <w:rFonts w:asciiTheme="majorHAnsi" w:hAnsiTheme="majorHAnsi"/>
                <w:sz w:val="20"/>
                <w:szCs w:val="20"/>
                <w:lang w:val="es-US"/>
              </w:rPr>
              <w:t>respetar los derechos) y 2 (deber de adoptar disposiciones de derechos interno)</w:t>
            </w:r>
          </w:p>
        </w:tc>
      </w:tr>
      <w:tr w:rsidR="0002740B" w:rsidRPr="00A53566" w14:paraId="4EFD141E" w14:textId="77777777" w:rsidTr="002B210E">
        <w:trPr>
          <w:cantSplit/>
          <w:jc w:val="center"/>
        </w:trPr>
        <w:tc>
          <w:tcPr>
            <w:tcW w:w="3562" w:type="dxa"/>
            <w:tcBorders>
              <w:top w:val="single" w:sz="6" w:space="0" w:color="auto"/>
              <w:bottom w:val="single" w:sz="6" w:space="0" w:color="auto"/>
            </w:tcBorders>
            <w:shd w:val="clear" w:color="auto" w:fill="386294"/>
            <w:vAlign w:val="center"/>
          </w:tcPr>
          <w:p w14:paraId="4C04A89C" w14:textId="77777777" w:rsidR="0002740B" w:rsidRPr="00A53566" w:rsidRDefault="0002740B" w:rsidP="0002740B">
            <w:pPr>
              <w:jc w:val="center"/>
              <w:rPr>
                <w:rFonts w:ascii="Cambria" w:hAnsi="Cambria"/>
                <w:b/>
                <w:bCs/>
                <w:color w:val="FFFFFF" w:themeColor="background1"/>
                <w:sz w:val="20"/>
                <w:szCs w:val="20"/>
              </w:rPr>
            </w:pPr>
            <w:r w:rsidRPr="00A53566">
              <w:rPr>
                <w:rFonts w:ascii="Cambria" w:hAnsi="Cambria"/>
                <w:b/>
                <w:bCs/>
                <w:color w:val="FFFFFF" w:themeColor="background1"/>
                <w:sz w:val="20"/>
                <w:szCs w:val="20"/>
              </w:rPr>
              <w:t>Agotamiento de recursos internos o procedencia de una excepción:</w:t>
            </w:r>
          </w:p>
        </w:tc>
        <w:tc>
          <w:tcPr>
            <w:tcW w:w="5775" w:type="dxa"/>
            <w:vAlign w:val="center"/>
          </w:tcPr>
          <w:p w14:paraId="69C53E8A" w14:textId="59430742" w:rsidR="0002740B" w:rsidRPr="00A53566" w:rsidRDefault="0002740B" w:rsidP="0002740B">
            <w:pPr>
              <w:rPr>
                <w:rFonts w:ascii="Cambria" w:hAnsi="Cambria"/>
                <w:bCs/>
                <w:sz w:val="20"/>
                <w:szCs w:val="20"/>
              </w:rPr>
            </w:pPr>
            <w:r w:rsidRPr="0069228C">
              <w:rPr>
                <w:rFonts w:ascii="Cambria" w:hAnsi="Cambria"/>
                <w:bCs/>
                <w:sz w:val="20"/>
                <w:szCs w:val="20"/>
              </w:rPr>
              <w:t>Sí</w:t>
            </w:r>
            <w:r w:rsidRPr="00A53566">
              <w:rPr>
                <w:rFonts w:ascii="Cambria" w:hAnsi="Cambria"/>
                <w:bCs/>
                <w:sz w:val="20"/>
                <w:szCs w:val="20"/>
              </w:rPr>
              <w:t>, aplica la excepción del artículo 46.2.</w:t>
            </w:r>
            <w:r w:rsidR="00BA2486" w:rsidRPr="00A53566">
              <w:rPr>
                <w:rFonts w:ascii="Cambria" w:hAnsi="Cambria"/>
                <w:bCs/>
                <w:sz w:val="20"/>
                <w:szCs w:val="20"/>
              </w:rPr>
              <w:t>c</w:t>
            </w:r>
            <w:r w:rsidR="00434FE2">
              <w:rPr>
                <w:rFonts w:ascii="Cambria" w:hAnsi="Cambria"/>
                <w:bCs/>
                <w:sz w:val="20"/>
                <w:szCs w:val="20"/>
              </w:rPr>
              <w:t>)</w:t>
            </w:r>
            <w:r w:rsidRPr="00A53566">
              <w:rPr>
                <w:rFonts w:ascii="Cambria" w:hAnsi="Cambria"/>
                <w:bCs/>
                <w:sz w:val="20"/>
                <w:szCs w:val="20"/>
              </w:rPr>
              <w:t xml:space="preserve"> de la Convención Americana</w:t>
            </w:r>
          </w:p>
        </w:tc>
      </w:tr>
      <w:tr w:rsidR="003239B8" w:rsidRPr="00A53566" w14:paraId="52B5BA17" w14:textId="77777777" w:rsidTr="002B210E">
        <w:trPr>
          <w:cantSplit/>
          <w:jc w:val="center"/>
        </w:trPr>
        <w:tc>
          <w:tcPr>
            <w:tcW w:w="3562" w:type="dxa"/>
            <w:tcBorders>
              <w:top w:val="single" w:sz="6" w:space="0" w:color="auto"/>
              <w:bottom w:val="single" w:sz="6" w:space="0" w:color="auto"/>
            </w:tcBorders>
            <w:shd w:val="clear" w:color="auto" w:fill="386294"/>
            <w:vAlign w:val="center"/>
          </w:tcPr>
          <w:p w14:paraId="5DF99086" w14:textId="77777777" w:rsidR="003239B8" w:rsidRPr="00A53566" w:rsidRDefault="003239B8" w:rsidP="00FC4870">
            <w:pPr>
              <w:jc w:val="center"/>
              <w:rPr>
                <w:rFonts w:ascii="Cambria" w:hAnsi="Cambria"/>
                <w:b/>
                <w:bCs/>
                <w:color w:val="FFFFFF" w:themeColor="background1"/>
                <w:sz w:val="20"/>
                <w:szCs w:val="20"/>
              </w:rPr>
            </w:pPr>
            <w:r w:rsidRPr="00A53566">
              <w:rPr>
                <w:rFonts w:ascii="Cambria" w:hAnsi="Cambria"/>
                <w:b/>
                <w:bCs/>
                <w:color w:val="FFFFFF" w:themeColor="background1"/>
                <w:sz w:val="20"/>
                <w:szCs w:val="20"/>
              </w:rPr>
              <w:t>Presentación dentro de plazo:</w:t>
            </w:r>
          </w:p>
        </w:tc>
        <w:tc>
          <w:tcPr>
            <w:tcW w:w="5775" w:type="dxa"/>
            <w:vAlign w:val="center"/>
          </w:tcPr>
          <w:p w14:paraId="4A2A4569" w14:textId="33B8F77C" w:rsidR="003239B8" w:rsidRPr="00A53566" w:rsidRDefault="00BB6A0F" w:rsidP="00FC4870">
            <w:pPr>
              <w:rPr>
                <w:rFonts w:ascii="Cambria" w:hAnsi="Cambria"/>
                <w:bCs/>
                <w:sz w:val="20"/>
                <w:szCs w:val="20"/>
              </w:rPr>
            </w:pPr>
            <w:r w:rsidRPr="0069228C">
              <w:rPr>
                <w:rFonts w:asciiTheme="majorHAnsi" w:hAnsiTheme="majorHAnsi"/>
                <w:bCs/>
                <w:color w:val="000000" w:themeColor="text1"/>
                <w:sz w:val="20"/>
                <w:szCs w:val="20"/>
              </w:rPr>
              <w:t>Sí</w:t>
            </w:r>
            <w:r w:rsidRPr="00A53566">
              <w:rPr>
                <w:rFonts w:asciiTheme="majorHAnsi" w:hAnsiTheme="majorHAnsi"/>
                <w:bCs/>
                <w:color w:val="000000" w:themeColor="text1"/>
                <w:sz w:val="20"/>
                <w:szCs w:val="20"/>
              </w:rPr>
              <w:t xml:space="preserve">, </w:t>
            </w:r>
            <w:r w:rsidR="000409C2" w:rsidRPr="00A53566">
              <w:rPr>
                <w:rFonts w:asciiTheme="majorHAnsi" w:hAnsiTheme="majorHAnsi"/>
                <w:bCs/>
                <w:color w:val="000000" w:themeColor="text1"/>
                <w:sz w:val="20"/>
                <w:szCs w:val="20"/>
              </w:rPr>
              <w:t xml:space="preserve">en </w:t>
            </w:r>
            <w:r w:rsidR="00927AF5" w:rsidRPr="00A53566">
              <w:rPr>
                <w:rFonts w:asciiTheme="majorHAnsi" w:hAnsiTheme="majorHAnsi"/>
                <w:bCs/>
                <w:color w:val="000000" w:themeColor="text1"/>
                <w:sz w:val="20"/>
                <w:szCs w:val="20"/>
              </w:rPr>
              <w:t xml:space="preserve">los </w:t>
            </w:r>
            <w:r w:rsidR="000409C2" w:rsidRPr="00A53566">
              <w:rPr>
                <w:rFonts w:asciiTheme="majorHAnsi" w:hAnsiTheme="majorHAnsi"/>
                <w:bCs/>
                <w:color w:val="000000" w:themeColor="text1"/>
                <w:sz w:val="20"/>
                <w:szCs w:val="20"/>
              </w:rPr>
              <w:t>términos de la sección VI</w:t>
            </w:r>
          </w:p>
        </w:tc>
      </w:tr>
    </w:tbl>
    <w:p w14:paraId="171023E8" w14:textId="77777777" w:rsidR="00C466C7" w:rsidRDefault="00C466C7" w:rsidP="00C466C7">
      <w:pPr>
        <w:pBdr>
          <w:top w:val="nil"/>
          <w:left w:val="nil"/>
          <w:bottom w:val="nil"/>
          <w:right w:val="nil"/>
          <w:between w:val="nil"/>
          <w:bar w:val="nil"/>
        </w:pBdr>
        <w:rPr>
          <w:rFonts w:ascii="Cambria" w:hAnsi="Cambria"/>
          <w:b/>
          <w:sz w:val="20"/>
          <w:szCs w:val="20"/>
        </w:rPr>
      </w:pPr>
    </w:p>
    <w:p w14:paraId="2DA24B77" w14:textId="77777777" w:rsidR="00C466C7" w:rsidRDefault="00C466C7" w:rsidP="00C466C7">
      <w:pPr>
        <w:pBdr>
          <w:top w:val="nil"/>
          <w:left w:val="nil"/>
          <w:bottom w:val="nil"/>
          <w:right w:val="nil"/>
          <w:between w:val="nil"/>
          <w:bar w:val="nil"/>
        </w:pBdr>
        <w:rPr>
          <w:rFonts w:ascii="Cambria" w:hAnsi="Cambria"/>
          <w:b/>
          <w:sz w:val="20"/>
          <w:szCs w:val="20"/>
        </w:rPr>
      </w:pPr>
    </w:p>
    <w:p w14:paraId="66A3F0D2" w14:textId="613E49CE" w:rsidR="007C2323" w:rsidRDefault="00223A29" w:rsidP="00C466C7">
      <w:pPr>
        <w:pBdr>
          <w:top w:val="nil"/>
          <w:left w:val="nil"/>
          <w:bottom w:val="nil"/>
          <w:right w:val="nil"/>
          <w:between w:val="nil"/>
          <w:bar w:val="nil"/>
        </w:pBdr>
        <w:ind w:firstLine="720"/>
        <w:rPr>
          <w:rFonts w:asciiTheme="majorHAnsi" w:hAnsiTheme="majorHAnsi"/>
          <w:b/>
          <w:sz w:val="20"/>
          <w:szCs w:val="20"/>
        </w:rPr>
      </w:pPr>
      <w:r w:rsidRPr="00A53566">
        <w:rPr>
          <w:rFonts w:ascii="Cambria" w:hAnsi="Cambria"/>
          <w:b/>
          <w:sz w:val="20"/>
          <w:szCs w:val="20"/>
        </w:rPr>
        <w:t xml:space="preserve">V. </w:t>
      </w:r>
      <w:r w:rsidRPr="00A53566">
        <w:rPr>
          <w:rFonts w:ascii="Cambria" w:hAnsi="Cambria"/>
          <w:b/>
          <w:sz w:val="20"/>
          <w:szCs w:val="20"/>
        </w:rPr>
        <w:tab/>
      </w:r>
      <w:r w:rsidR="007C2323" w:rsidRPr="00A53566">
        <w:rPr>
          <w:rFonts w:asciiTheme="majorHAnsi" w:hAnsiTheme="majorHAnsi"/>
          <w:b/>
          <w:sz w:val="20"/>
          <w:szCs w:val="20"/>
        </w:rPr>
        <w:t xml:space="preserve">HECHOS ALEGADOS </w:t>
      </w:r>
    </w:p>
    <w:p w14:paraId="524266B6" w14:textId="77777777" w:rsidR="00586D77" w:rsidRPr="00597DD1" w:rsidRDefault="00586D77" w:rsidP="00597DD1">
      <w:pPr>
        <w:pBdr>
          <w:top w:val="nil"/>
          <w:left w:val="nil"/>
          <w:bottom w:val="nil"/>
          <w:right w:val="nil"/>
          <w:between w:val="nil"/>
          <w:bar w:val="nil"/>
        </w:pBdr>
        <w:ind w:firstLine="720"/>
        <w:rPr>
          <w:rFonts w:ascii="Cambria" w:hAnsi="Cambria"/>
          <w:b/>
          <w:sz w:val="20"/>
          <w:szCs w:val="20"/>
          <w:lang w:val="es-US"/>
        </w:rPr>
      </w:pPr>
    </w:p>
    <w:p w14:paraId="1A510864" w14:textId="74DD30C5" w:rsidR="00276E59" w:rsidRPr="00A53566" w:rsidRDefault="0006271E" w:rsidP="00765B1C">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La</w:t>
      </w:r>
      <w:r w:rsidR="002E357E" w:rsidRPr="00A53566">
        <w:rPr>
          <w:rFonts w:asciiTheme="majorHAnsi" w:hAnsiTheme="majorHAnsi"/>
          <w:sz w:val="20"/>
          <w:szCs w:val="20"/>
        </w:rPr>
        <w:t xml:space="preserve"> parte peticionaria plantea </w:t>
      </w:r>
      <w:r w:rsidR="00276E59" w:rsidRPr="00A53566">
        <w:rPr>
          <w:rFonts w:asciiTheme="majorHAnsi" w:hAnsiTheme="majorHAnsi"/>
          <w:sz w:val="20"/>
          <w:szCs w:val="20"/>
        </w:rPr>
        <w:t>dos</w:t>
      </w:r>
      <w:r w:rsidR="002E357E" w:rsidRPr="00A53566">
        <w:rPr>
          <w:rFonts w:asciiTheme="majorHAnsi" w:hAnsiTheme="majorHAnsi"/>
          <w:sz w:val="20"/>
          <w:szCs w:val="20"/>
        </w:rPr>
        <w:t xml:space="preserve"> reclamos diferentes</w:t>
      </w:r>
      <w:r w:rsidR="00FD3444" w:rsidRPr="00A53566">
        <w:rPr>
          <w:rFonts w:asciiTheme="majorHAnsi" w:hAnsiTheme="majorHAnsi"/>
          <w:sz w:val="20"/>
          <w:szCs w:val="20"/>
        </w:rPr>
        <w:t>,</w:t>
      </w:r>
      <w:r w:rsidR="002E357E" w:rsidRPr="00A53566">
        <w:rPr>
          <w:rFonts w:asciiTheme="majorHAnsi" w:hAnsiTheme="majorHAnsi"/>
          <w:sz w:val="20"/>
          <w:szCs w:val="20"/>
        </w:rPr>
        <w:t xml:space="preserve"> pero relacionados entre sí</w:t>
      </w:r>
      <w:r w:rsidR="00793F5C" w:rsidRPr="00A53566">
        <w:rPr>
          <w:rFonts w:asciiTheme="majorHAnsi" w:hAnsiTheme="majorHAnsi"/>
          <w:sz w:val="20"/>
          <w:szCs w:val="20"/>
        </w:rPr>
        <w:t xml:space="preserve">. El primero, relativo a </w:t>
      </w:r>
      <w:r w:rsidR="004A38F2" w:rsidRPr="00A53566">
        <w:rPr>
          <w:rFonts w:asciiTheme="majorHAnsi" w:hAnsiTheme="majorHAnsi"/>
          <w:sz w:val="20"/>
          <w:szCs w:val="20"/>
        </w:rPr>
        <w:t>los continuos</w:t>
      </w:r>
      <w:r w:rsidR="002E357E" w:rsidRPr="00A53566">
        <w:rPr>
          <w:rFonts w:asciiTheme="majorHAnsi" w:hAnsiTheme="majorHAnsi"/>
          <w:sz w:val="20"/>
          <w:szCs w:val="20"/>
        </w:rPr>
        <w:t xml:space="preserve"> </w:t>
      </w:r>
      <w:r w:rsidR="00533211" w:rsidRPr="00A53566">
        <w:rPr>
          <w:rFonts w:asciiTheme="majorHAnsi" w:hAnsiTheme="majorHAnsi"/>
          <w:sz w:val="20"/>
          <w:szCs w:val="20"/>
        </w:rPr>
        <w:t xml:space="preserve">hostigamientos, amenazas, </w:t>
      </w:r>
      <w:r w:rsidR="00793F5C" w:rsidRPr="00A53566">
        <w:rPr>
          <w:rFonts w:asciiTheme="majorHAnsi" w:hAnsiTheme="majorHAnsi"/>
          <w:sz w:val="20"/>
          <w:szCs w:val="20"/>
        </w:rPr>
        <w:t>criminalización</w:t>
      </w:r>
      <w:r w:rsidR="004A38F2" w:rsidRPr="00A53566">
        <w:rPr>
          <w:rFonts w:asciiTheme="majorHAnsi" w:hAnsiTheme="majorHAnsi"/>
          <w:sz w:val="20"/>
          <w:szCs w:val="20"/>
        </w:rPr>
        <w:t xml:space="preserve">, </w:t>
      </w:r>
      <w:r w:rsidR="00102120">
        <w:rPr>
          <w:rFonts w:asciiTheme="majorHAnsi" w:hAnsiTheme="majorHAnsi"/>
          <w:sz w:val="20"/>
          <w:szCs w:val="20"/>
        </w:rPr>
        <w:t xml:space="preserve">persecución, </w:t>
      </w:r>
      <w:r w:rsidR="00533211" w:rsidRPr="00A53566">
        <w:rPr>
          <w:rFonts w:asciiTheme="majorHAnsi" w:hAnsiTheme="majorHAnsi"/>
          <w:sz w:val="20"/>
          <w:szCs w:val="20"/>
        </w:rPr>
        <w:t xml:space="preserve">estigmatización y ataques </w:t>
      </w:r>
      <w:r w:rsidR="00FD3444" w:rsidRPr="00A53566">
        <w:rPr>
          <w:rFonts w:asciiTheme="majorHAnsi" w:hAnsiTheme="majorHAnsi"/>
          <w:sz w:val="20"/>
          <w:szCs w:val="20"/>
        </w:rPr>
        <w:t>en contra de los</w:t>
      </w:r>
      <w:r w:rsidR="00533211" w:rsidRPr="00A53566">
        <w:rPr>
          <w:rFonts w:asciiTheme="majorHAnsi" w:hAnsiTheme="majorHAnsi"/>
          <w:sz w:val="20"/>
          <w:szCs w:val="20"/>
        </w:rPr>
        <w:t xml:space="preserve"> integrantes del CENIDH</w:t>
      </w:r>
      <w:r w:rsidR="00FC6723" w:rsidRPr="00A53566">
        <w:rPr>
          <w:rFonts w:asciiTheme="majorHAnsi" w:hAnsiTheme="majorHAnsi"/>
          <w:sz w:val="20"/>
          <w:szCs w:val="20"/>
        </w:rPr>
        <w:t xml:space="preserve">; </w:t>
      </w:r>
      <w:r w:rsidR="00793F5C" w:rsidRPr="00A53566">
        <w:rPr>
          <w:rFonts w:asciiTheme="majorHAnsi" w:hAnsiTheme="majorHAnsi"/>
          <w:sz w:val="20"/>
          <w:szCs w:val="20"/>
        </w:rPr>
        <w:t xml:space="preserve">y el segundo, por </w:t>
      </w:r>
      <w:r w:rsidR="00765B1C" w:rsidRPr="00A53566">
        <w:rPr>
          <w:rFonts w:asciiTheme="majorHAnsi" w:hAnsiTheme="majorHAnsi"/>
          <w:sz w:val="20"/>
          <w:szCs w:val="20"/>
        </w:rPr>
        <w:t xml:space="preserve">la alegada </w:t>
      </w:r>
      <w:r w:rsidR="00FC6723" w:rsidRPr="00A53566">
        <w:rPr>
          <w:rFonts w:asciiTheme="majorHAnsi" w:hAnsiTheme="majorHAnsi"/>
          <w:sz w:val="20"/>
          <w:szCs w:val="20"/>
        </w:rPr>
        <w:t>cancelación</w:t>
      </w:r>
      <w:r w:rsidR="00180F41">
        <w:rPr>
          <w:rFonts w:asciiTheme="majorHAnsi" w:hAnsiTheme="majorHAnsi"/>
          <w:sz w:val="20"/>
          <w:szCs w:val="20"/>
        </w:rPr>
        <w:t xml:space="preserve"> arbitraria</w:t>
      </w:r>
      <w:r w:rsidR="00FC6723" w:rsidRPr="00A53566">
        <w:rPr>
          <w:rFonts w:asciiTheme="majorHAnsi" w:hAnsiTheme="majorHAnsi"/>
          <w:sz w:val="20"/>
          <w:szCs w:val="20"/>
        </w:rPr>
        <w:t xml:space="preserve"> de </w:t>
      </w:r>
      <w:r w:rsidR="00DA4F4E" w:rsidRPr="00A53566">
        <w:rPr>
          <w:rFonts w:asciiTheme="majorHAnsi" w:hAnsiTheme="majorHAnsi"/>
          <w:sz w:val="20"/>
          <w:szCs w:val="20"/>
        </w:rPr>
        <w:t>la personalidad</w:t>
      </w:r>
      <w:r w:rsidR="00FC6723" w:rsidRPr="00A53566">
        <w:rPr>
          <w:rFonts w:asciiTheme="majorHAnsi" w:hAnsiTheme="majorHAnsi"/>
          <w:sz w:val="20"/>
          <w:szCs w:val="20"/>
        </w:rPr>
        <w:t xml:space="preserve"> jurídica, allanamiento y robo </w:t>
      </w:r>
      <w:r w:rsidR="00A2287E" w:rsidRPr="00A53566">
        <w:rPr>
          <w:rFonts w:asciiTheme="majorHAnsi" w:hAnsiTheme="majorHAnsi"/>
          <w:sz w:val="20"/>
          <w:szCs w:val="20"/>
        </w:rPr>
        <w:t>en instalaciones</w:t>
      </w:r>
      <w:r w:rsidR="00765B1C" w:rsidRPr="00A53566">
        <w:rPr>
          <w:rFonts w:asciiTheme="majorHAnsi" w:hAnsiTheme="majorHAnsi"/>
          <w:sz w:val="20"/>
          <w:szCs w:val="20"/>
        </w:rPr>
        <w:t xml:space="preserve"> del CENIDH</w:t>
      </w:r>
      <w:r w:rsidR="00276E59" w:rsidRPr="00A53566">
        <w:rPr>
          <w:rFonts w:asciiTheme="majorHAnsi" w:hAnsiTheme="majorHAnsi"/>
          <w:sz w:val="20"/>
          <w:szCs w:val="20"/>
        </w:rPr>
        <w:t xml:space="preserve">. </w:t>
      </w:r>
      <w:r w:rsidR="003151D6">
        <w:rPr>
          <w:rFonts w:asciiTheme="majorHAnsi" w:hAnsiTheme="majorHAnsi"/>
          <w:sz w:val="20"/>
          <w:szCs w:val="20"/>
        </w:rPr>
        <w:t>Todo esto como consecuencia el trabajo de defensa de los derechos humanos que realiza esta institución</w:t>
      </w:r>
      <w:r w:rsidR="00102120">
        <w:rPr>
          <w:rFonts w:asciiTheme="majorHAnsi" w:hAnsiTheme="majorHAnsi"/>
          <w:sz w:val="20"/>
          <w:szCs w:val="20"/>
        </w:rPr>
        <w:t>.</w:t>
      </w:r>
    </w:p>
    <w:p w14:paraId="0DC54CD9" w14:textId="78E7F037" w:rsidR="009500F3" w:rsidRPr="00A53566" w:rsidRDefault="00FC6723" w:rsidP="00FC6723">
      <w:pPr>
        <w:suppressAutoHyphens/>
        <w:spacing w:after="240"/>
        <w:ind w:firstLine="720"/>
        <w:jc w:val="both"/>
        <w:rPr>
          <w:rFonts w:asciiTheme="majorHAnsi" w:hAnsiTheme="majorHAnsi"/>
          <w:b/>
          <w:bCs/>
          <w:i/>
          <w:iCs/>
          <w:sz w:val="20"/>
          <w:szCs w:val="20"/>
        </w:rPr>
      </w:pPr>
      <w:r w:rsidRPr="00A53566">
        <w:rPr>
          <w:rFonts w:asciiTheme="majorHAnsi" w:hAnsiTheme="majorHAnsi"/>
          <w:b/>
          <w:bCs/>
          <w:i/>
          <w:iCs/>
          <w:sz w:val="20"/>
          <w:szCs w:val="20"/>
        </w:rPr>
        <w:t xml:space="preserve">i) </w:t>
      </w:r>
      <w:r w:rsidR="00746BD4">
        <w:rPr>
          <w:rFonts w:asciiTheme="majorHAnsi" w:hAnsiTheme="majorHAnsi"/>
          <w:b/>
          <w:bCs/>
          <w:i/>
          <w:iCs/>
          <w:sz w:val="20"/>
          <w:szCs w:val="20"/>
        </w:rPr>
        <w:tab/>
      </w:r>
      <w:r w:rsidR="00BC3188" w:rsidRPr="00A53566">
        <w:rPr>
          <w:rFonts w:asciiTheme="majorHAnsi" w:hAnsiTheme="majorHAnsi"/>
          <w:b/>
          <w:bCs/>
          <w:i/>
          <w:iCs/>
          <w:sz w:val="20"/>
          <w:szCs w:val="20"/>
        </w:rPr>
        <w:t>A</w:t>
      </w:r>
      <w:r w:rsidR="005644D0" w:rsidRPr="00A53566">
        <w:rPr>
          <w:rFonts w:asciiTheme="majorHAnsi" w:hAnsiTheme="majorHAnsi"/>
          <w:b/>
          <w:bCs/>
          <w:i/>
          <w:iCs/>
          <w:sz w:val="20"/>
          <w:szCs w:val="20"/>
        </w:rPr>
        <w:t>taques</w:t>
      </w:r>
      <w:r w:rsidR="00BC3188" w:rsidRPr="00A53566">
        <w:rPr>
          <w:rFonts w:asciiTheme="majorHAnsi" w:hAnsiTheme="majorHAnsi"/>
          <w:b/>
          <w:bCs/>
          <w:i/>
          <w:iCs/>
          <w:sz w:val="20"/>
          <w:szCs w:val="20"/>
        </w:rPr>
        <w:t xml:space="preserve">, hostigamiento, amenazas y </w:t>
      </w:r>
      <w:r w:rsidR="00002F5C" w:rsidRPr="00A53566">
        <w:rPr>
          <w:rFonts w:asciiTheme="majorHAnsi" w:hAnsiTheme="majorHAnsi"/>
          <w:b/>
          <w:bCs/>
          <w:i/>
          <w:iCs/>
          <w:sz w:val="20"/>
          <w:szCs w:val="20"/>
        </w:rPr>
        <w:t>persecución</w:t>
      </w:r>
      <w:r w:rsidR="00BC3188" w:rsidRPr="00A53566">
        <w:rPr>
          <w:rFonts w:asciiTheme="majorHAnsi" w:hAnsiTheme="majorHAnsi"/>
          <w:b/>
          <w:bCs/>
          <w:i/>
          <w:iCs/>
          <w:sz w:val="20"/>
          <w:szCs w:val="20"/>
        </w:rPr>
        <w:t xml:space="preserve"> en</w:t>
      </w:r>
      <w:r w:rsidR="005644D0" w:rsidRPr="00A53566">
        <w:rPr>
          <w:rFonts w:asciiTheme="majorHAnsi" w:hAnsiTheme="majorHAnsi"/>
          <w:b/>
          <w:bCs/>
          <w:i/>
          <w:iCs/>
          <w:sz w:val="20"/>
          <w:szCs w:val="20"/>
        </w:rPr>
        <w:t xml:space="preserve"> contra</w:t>
      </w:r>
      <w:r w:rsidR="00BC3188" w:rsidRPr="00A53566">
        <w:rPr>
          <w:rFonts w:asciiTheme="majorHAnsi" w:hAnsiTheme="majorHAnsi"/>
          <w:b/>
          <w:bCs/>
          <w:i/>
          <w:iCs/>
          <w:sz w:val="20"/>
          <w:szCs w:val="20"/>
        </w:rPr>
        <w:t xml:space="preserve"> de</w:t>
      </w:r>
      <w:r w:rsidR="005644D0" w:rsidRPr="00A53566">
        <w:rPr>
          <w:rFonts w:asciiTheme="majorHAnsi" w:hAnsiTheme="majorHAnsi"/>
          <w:b/>
          <w:bCs/>
          <w:i/>
          <w:iCs/>
          <w:sz w:val="20"/>
          <w:szCs w:val="20"/>
        </w:rPr>
        <w:t xml:space="preserve"> integrantes del CENIDH</w:t>
      </w:r>
    </w:p>
    <w:p w14:paraId="3702318F" w14:textId="7D98ABEC" w:rsidR="00B41A46" w:rsidRDefault="00995343" w:rsidP="00DF5653">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Los</w:t>
      </w:r>
      <w:r w:rsidR="004510BC" w:rsidRPr="00A53566">
        <w:rPr>
          <w:rFonts w:asciiTheme="majorHAnsi" w:hAnsiTheme="majorHAnsi"/>
          <w:sz w:val="20"/>
          <w:szCs w:val="20"/>
        </w:rPr>
        <w:t xml:space="preserve"> peticionario</w:t>
      </w:r>
      <w:r w:rsidRPr="00A53566">
        <w:rPr>
          <w:rFonts w:asciiTheme="majorHAnsi" w:hAnsiTheme="majorHAnsi"/>
          <w:sz w:val="20"/>
          <w:szCs w:val="20"/>
        </w:rPr>
        <w:t>s</w:t>
      </w:r>
      <w:r w:rsidR="004510BC" w:rsidRPr="00A53566">
        <w:rPr>
          <w:rFonts w:asciiTheme="majorHAnsi" w:hAnsiTheme="majorHAnsi"/>
          <w:sz w:val="20"/>
          <w:szCs w:val="20"/>
        </w:rPr>
        <w:t xml:space="preserve"> manifiesta</w:t>
      </w:r>
      <w:r w:rsidRPr="00A53566">
        <w:rPr>
          <w:rFonts w:asciiTheme="majorHAnsi" w:hAnsiTheme="majorHAnsi"/>
          <w:sz w:val="20"/>
          <w:szCs w:val="20"/>
        </w:rPr>
        <w:t>n</w:t>
      </w:r>
      <w:r w:rsidR="0069635A" w:rsidRPr="00A53566">
        <w:rPr>
          <w:rFonts w:asciiTheme="majorHAnsi" w:hAnsiTheme="majorHAnsi"/>
          <w:sz w:val="20"/>
          <w:szCs w:val="20"/>
        </w:rPr>
        <w:t xml:space="preserve"> que</w:t>
      </w:r>
      <w:r w:rsidR="00D71D9F" w:rsidRPr="00A53566">
        <w:rPr>
          <w:rFonts w:asciiTheme="majorHAnsi" w:hAnsiTheme="majorHAnsi"/>
          <w:sz w:val="20"/>
          <w:szCs w:val="20"/>
        </w:rPr>
        <w:t xml:space="preserve"> </w:t>
      </w:r>
      <w:r w:rsidR="004D1673">
        <w:rPr>
          <w:rFonts w:asciiTheme="majorHAnsi" w:hAnsiTheme="majorHAnsi"/>
          <w:sz w:val="20"/>
          <w:szCs w:val="20"/>
        </w:rPr>
        <w:t>luego</w:t>
      </w:r>
      <w:r w:rsidR="0069635A" w:rsidRPr="00A53566">
        <w:rPr>
          <w:rFonts w:asciiTheme="majorHAnsi" w:hAnsiTheme="majorHAnsi"/>
          <w:sz w:val="20"/>
          <w:szCs w:val="20"/>
        </w:rPr>
        <w:t xml:space="preserve"> </w:t>
      </w:r>
      <w:r w:rsidR="004D1673">
        <w:rPr>
          <w:rFonts w:asciiTheme="majorHAnsi" w:hAnsiTheme="majorHAnsi"/>
          <w:sz w:val="20"/>
          <w:szCs w:val="20"/>
        </w:rPr>
        <w:t>de</w:t>
      </w:r>
      <w:r w:rsidR="0069635A" w:rsidRPr="00A53566">
        <w:rPr>
          <w:rFonts w:asciiTheme="majorHAnsi" w:hAnsiTheme="majorHAnsi"/>
          <w:sz w:val="20"/>
          <w:szCs w:val="20"/>
        </w:rPr>
        <w:t xml:space="preserve"> </w:t>
      </w:r>
      <w:r w:rsidR="00AA63D6" w:rsidRPr="00A53566">
        <w:rPr>
          <w:rFonts w:asciiTheme="majorHAnsi" w:hAnsiTheme="majorHAnsi"/>
          <w:sz w:val="20"/>
          <w:szCs w:val="20"/>
        </w:rPr>
        <w:t xml:space="preserve">las </w:t>
      </w:r>
      <w:r w:rsidR="00E2570C" w:rsidRPr="00A53566">
        <w:rPr>
          <w:rFonts w:asciiTheme="majorHAnsi" w:hAnsiTheme="majorHAnsi"/>
          <w:sz w:val="20"/>
          <w:szCs w:val="20"/>
        </w:rPr>
        <w:t xml:space="preserve">protestas </w:t>
      </w:r>
      <w:r w:rsidR="00846B42">
        <w:rPr>
          <w:rFonts w:asciiTheme="majorHAnsi" w:hAnsiTheme="majorHAnsi"/>
          <w:sz w:val="20"/>
          <w:szCs w:val="20"/>
        </w:rPr>
        <w:t>iniciadas</w:t>
      </w:r>
      <w:r w:rsidR="00DF5653">
        <w:rPr>
          <w:rFonts w:asciiTheme="majorHAnsi" w:hAnsiTheme="majorHAnsi"/>
          <w:sz w:val="20"/>
          <w:szCs w:val="20"/>
        </w:rPr>
        <w:t xml:space="preserve"> el 18 </w:t>
      </w:r>
      <w:r w:rsidR="00DF5653" w:rsidRPr="00DF5653">
        <w:rPr>
          <w:rFonts w:asciiTheme="majorHAnsi" w:hAnsiTheme="majorHAnsi"/>
          <w:sz w:val="20"/>
          <w:szCs w:val="20"/>
        </w:rPr>
        <w:t xml:space="preserve">de abril de 2018 </w:t>
      </w:r>
      <w:r w:rsidR="00DF5653">
        <w:rPr>
          <w:rFonts w:asciiTheme="majorHAnsi" w:hAnsiTheme="majorHAnsi"/>
          <w:sz w:val="20"/>
          <w:szCs w:val="20"/>
        </w:rPr>
        <w:t xml:space="preserve">en contra del gobierno de Nicaragua, </w:t>
      </w:r>
      <w:r w:rsidR="00E2570C" w:rsidRPr="00DF5653">
        <w:rPr>
          <w:rFonts w:asciiTheme="majorHAnsi" w:hAnsiTheme="majorHAnsi"/>
          <w:sz w:val="20"/>
          <w:szCs w:val="20"/>
        </w:rPr>
        <w:t>varias personas</w:t>
      </w:r>
      <w:r w:rsidR="0069635A" w:rsidRPr="00DF5653">
        <w:rPr>
          <w:rFonts w:asciiTheme="majorHAnsi" w:hAnsiTheme="majorHAnsi"/>
          <w:sz w:val="20"/>
          <w:szCs w:val="20"/>
        </w:rPr>
        <w:t xml:space="preserve"> </w:t>
      </w:r>
      <w:r w:rsidR="004A38F2" w:rsidRPr="00DF5653">
        <w:rPr>
          <w:rFonts w:asciiTheme="majorHAnsi" w:hAnsiTheme="majorHAnsi" w:cs="Calibri"/>
          <w:color w:val="000000"/>
          <w:sz w:val="20"/>
          <w:szCs w:val="20"/>
        </w:rPr>
        <w:t>fueron detenidas, entre estudiantes, población civil, defensores de derechos humanos y periodistas</w:t>
      </w:r>
      <w:r w:rsidR="00E2570C" w:rsidRPr="00DF5653">
        <w:rPr>
          <w:rFonts w:asciiTheme="majorHAnsi" w:hAnsiTheme="majorHAnsi" w:cs="Calibri"/>
          <w:color w:val="000000"/>
          <w:sz w:val="20"/>
          <w:szCs w:val="20"/>
        </w:rPr>
        <w:t xml:space="preserve">. </w:t>
      </w:r>
      <w:r w:rsidR="00E2570C" w:rsidRPr="00DF5653">
        <w:rPr>
          <w:rFonts w:asciiTheme="majorHAnsi" w:hAnsiTheme="majorHAnsi"/>
          <w:sz w:val="20"/>
          <w:szCs w:val="20"/>
        </w:rPr>
        <w:t>A</w:t>
      </w:r>
      <w:r w:rsidR="00B41A46">
        <w:rPr>
          <w:rFonts w:asciiTheme="majorHAnsi" w:hAnsiTheme="majorHAnsi"/>
          <w:sz w:val="20"/>
          <w:szCs w:val="20"/>
        </w:rPr>
        <w:t>ducen que a</w:t>
      </w:r>
      <w:r w:rsidR="00E2570C" w:rsidRPr="00DF5653">
        <w:rPr>
          <w:rFonts w:asciiTheme="majorHAnsi" w:hAnsiTheme="majorHAnsi"/>
          <w:sz w:val="20"/>
          <w:szCs w:val="20"/>
        </w:rPr>
        <w:t xml:space="preserve"> </w:t>
      </w:r>
      <w:r w:rsidR="00B41A46">
        <w:rPr>
          <w:rFonts w:asciiTheme="majorHAnsi" w:hAnsiTheme="majorHAnsi"/>
          <w:sz w:val="20"/>
          <w:szCs w:val="20"/>
        </w:rPr>
        <w:t>causa</w:t>
      </w:r>
      <w:r w:rsidR="00E2570C" w:rsidRPr="00DF5653">
        <w:rPr>
          <w:rFonts w:asciiTheme="majorHAnsi" w:hAnsiTheme="majorHAnsi"/>
          <w:sz w:val="20"/>
          <w:szCs w:val="20"/>
        </w:rPr>
        <w:t xml:space="preserve"> de ello </w:t>
      </w:r>
      <w:r w:rsidR="00B41A46">
        <w:rPr>
          <w:rFonts w:asciiTheme="majorHAnsi" w:hAnsiTheme="majorHAnsi"/>
          <w:sz w:val="20"/>
          <w:szCs w:val="20"/>
        </w:rPr>
        <w:t xml:space="preserve">los ataques en contra de los integrantes del CENIDH aumentaron y se recrudecieron. </w:t>
      </w:r>
    </w:p>
    <w:p w14:paraId="4AD8EBB2" w14:textId="4F4B58D4" w:rsidR="00BF0D5A" w:rsidRDefault="00BF0D5A" w:rsidP="00BF0D5A">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Detalla</w:t>
      </w:r>
      <w:r w:rsidR="00FF4255" w:rsidRPr="00A53566">
        <w:rPr>
          <w:rFonts w:asciiTheme="majorHAnsi" w:hAnsiTheme="majorHAnsi"/>
          <w:sz w:val="20"/>
          <w:szCs w:val="20"/>
        </w:rPr>
        <w:t>n</w:t>
      </w:r>
      <w:r w:rsidRPr="00A53566">
        <w:rPr>
          <w:rFonts w:asciiTheme="majorHAnsi" w:hAnsiTheme="majorHAnsi"/>
          <w:sz w:val="20"/>
          <w:szCs w:val="20"/>
        </w:rPr>
        <w:t xml:space="preserve"> que los ataques </w:t>
      </w:r>
      <w:r w:rsidR="00B41A46" w:rsidRPr="00A53566">
        <w:rPr>
          <w:rFonts w:asciiTheme="majorHAnsi" w:hAnsiTheme="majorHAnsi"/>
          <w:sz w:val="20"/>
          <w:szCs w:val="20"/>
        </w:rPr>
        <w:t xml:space="preserve">en contra de los integrantes del CENIDH </w:t>
      </w:r>
      <w:r w:rsidR="00B41A46">
        <w:rPr>
          <w:rFonts w:asciiTheme="majorHAnsi" w:hAnsiTheme="majorHAnsi"/>
          <w:sz w:val="20"/>
          <w:szCs w:val="20"/>
        </w:rPr>
        <w:t xml:space="preserve">fueron </w:t>
      </w:r>
      <w:r w:rsidR="00636B05" w:rsidRPr="00A53566">
        <w:rPr>
          <w:rFonts w:asciiTheme="majorHAnsi" w:hAnsiTheme="majorHAnsi"/>
          <w:sz w:val="20"/>
          <w:szCs w:val="20"/>
        </w:rPr>
        <w:t xml:space="preserve">principalmente </w:t>
      </w:r>
      <w:r w:rsidR="00B41A46">
        <w:rPr>
          <w:rFonts w:asciiTheme="majorHAnsi" w:hAnsiTheme="majorHAnsi"/>
          <w:sz w:val="20"/>
          <w:szCs w:val="20"/>
        </w:rPr>
        <w:t xml:space="preserve">perpetrados </w:t>
      </w:r>
      <w:r w:rsidRPr="00A53566">
        <w:rPr>
          <w:rFonts w:asciiTheme="majorHAnsi" w:hAnsiTheme="majorHAnsi"/>
          <w:sz w:val="20"/>
          <w:szCs w:val="20"/>
        </w:rPr>
        <w:t>por parte de la policía</w:t>
      </w:r>
      <w:r w:rsidR="004D1673">
        <w:rPr>
          <w:rFonts w:asciiTheme="majorHAnsi" w:hAnsiTheme="majorHAnsi"/>
          <w:sz w:val="20"/>
          <w:szCs w:val="20"/>
        </w:rPr>
        <w:t>;</w:t>
      </w:r>
      <w:r w:rsidR="00B41A46">
        <w:rPr>
          <w:rFonts w:asciiTheme="majorHAnsi" w:hAnsiTheme="majorHAnsi"/>
          <w:sz w:val="20"/>
          <w:szCs w:val="20"/>
        </w:rPr>
        <w:t xml:space="preserve"> y que</w:t>
      </w:r>
      <w:r w:rsidR="00636B05" w:rsidRPr="00A53566">
        <w:rPr>
          <w:rFonts w:asciiTheme="majorHAnsi" w:hAnsiTheme="majorHAnsi"/>
          <w:sz w:val="20"/>
          <w:szCs w:val="20"/>
        </w:rPr>
        <w:t xml:space="preserve"> </w:t>
      </w:r>
      <w:r w:rsidRPr="00A53566">
        <w:rPr>
          <w:rFonts w:asciiTheme="majorHAnsi" w:hAnsiTheme="majorHAnsi"/>
          <w:sz w:val="20"/>
          <w:szCs w:val="20"/>
        </w:rPr>
        <w:t xml:space="preserve">habrían consistido en: i) </w:t>
      </w:r>
      <w:r w:rsidR="008F1B6B" w:rsidRPr="00A53566">
        <w:rPr>
          <w:rFonts w:asciiTheme="majorHAnsi" w:hAnsiTheme="majorHAnsi"/>
          <w:sz w:val="20"/>
          <w:szCs w:val="20"/>
        </w:rPr>
        <w:t>c</w:t>
      </w:r>
      <w:r w:rsidRPr="00A53566">
        <w:rPr>
          <w:rFonts w:asciiTheme="majorHAnsi" w:hAnsiTheme="majorHAnsi"/>
          <w:sz w:val="20"/>
          <w:szCs w:val="20"/>
        </w:rPr>
        <w:t>ampañas públicas de desprestigio y estigmatización</w:t>
      </w:r>
      <w:r w:rsidR="00636B05" w:rsidRPr="00A53566">
        <w:rPr>
          <w:rFonts w:asciiTheme="majorHAnsi" w:hAnsiTheme="majorHAnsi"/>
          <w:sz w:val="20"/>
          <w:szCs w:val="20"/>
        </w:rPr>
        <w:t>,</w:t>
      </w:r>
      <w:r w:rsidRPr="00A53566">
        <w:rPr>
          <w:rFonts w:asciiTheme="majorHAnsi" w:hAnsiTheme="majorHAnsi"/>
          <w:sz w:val="20"/>
          <w:szCs w:val="20"/>
        </w:rPr>
        <w:t xml:space="preserve"> a través de medios de comunicación y redes sociales, </w:t>
      </w:r>
      <w:r w:rsidR="00C81F91">
        <w:rPr>
          <w:rFonts w:asciiTheme="majorHAnsi" w:hAnsiTheme="majorHAnsi"/>
          <w:sz w:val="20"/>
          <w:szCs w:val="20"/>
        </w:rPr>
        <w:t>con la finalidad de generar</w:t>
      </w:r>
      <w:r w:rsidRPr="00A53566">
        <w:rPr>
          <w:rFonts w:asciiTheme="majorHAnsi" w:hAnsiTheme="majorHAnsi"/>
          <w:sz w:val="20"/>
          <w:szCs w:val="20"/>
        </w:rPr>
        <w:t xml:space="preserve"> actos de violencia en su contra</w:t>
      </w:r>
      <w:r w:rsidR="00C81F91">
        <w:rPr>
          <w:rFonts w:asciiTheme="majorHAnsi" w:hAnsiTheme="majorHAnsi"/>
          <w:sz w:val="20"/>
          <w:szCs w:val="20"/>
        </w:rPr>
        <w:t xml:space="preserve"> y la</w:t>
      </w:r>
      <w:r w:rsidRPr="00A53566">
        <w:rPr>
          <w:rFonts w:asciiTheme="majorHAnsi" w:hAnsiTheme="majorHAnsi"/>
          <w:sz w:val="20"/>
          <w:szCs w:val="20"/>
        </w:rPr>
        <w:t xml:space="preserve"> </w:t>
      </w:r>
      <w:r w:rsidR="00C81F91">
        <w:rPr>
          <w:rFonts w:asciiTheme="majorHAnsi" w:hAnsiTheme="majorHAnsi"/>
          <w:sz w:val="20"/>
          <w:szCs w:val="20"/>
        </w:rPr>
        <w:t>atribución de</w:t>
      </w:r>
      <w:r w:rsidRPr="00A53566">
        <w:rPr>
          <w:rFonts w:asciiTheme="majorHAnsi" w:hAnsiTheme="majorHAnsi"/>
          <w:sz w:val="20"/>
          <w:szCs w:val="20"/>
        </w:rPr>
        <w:t xml:space="preserve"> la comisión de </w:t>
      </w:r>
      <w:r w:rsidR="00427559">
        <w:rPr>
          <w:rFonts w:asciiTheme="majorHAnsi" w:hAnsiTheme="majorHAnsi"/>
          <w:sz w:val="20"/>
          <w:szCs w:val="20"/>
        </w:rPr>
        <w:t xml:space="preserve">falsos </w:t>
      </w:r>
      <w:r w:rsidRPr="00A53566">
        <w:rPr>
          <w:rFonts w:asciiTheme="majorHAnsi" w:hAnsiTheme="majorHAnsi"/>
          <w:sz w:val="20"/>
          <w:szCs w:val="20"/>
        </w:rPr>
        <w:t xml:space="preserve">delitos; ii) </w:t>
      </w:r>
      <w:r w:rsidR="00636B05" w:rsidRPr="00A53566">
        <w:rPr>
          <w:rFonts w:asciiTheme="majorHAnsi" w:hAnsiTheme="majorHAnsi"/>
          <w:sz w:val="20"/>
          <w:szCs w:val="20"/>
        </w:rPr>
        <w:t>c</w:t>
      </w:r>
      <w:r w:rsidRPr="00A53566">
        <w:rPr>
          <w:rFonts w:asciiTheme="majorHAnsi" w:hAnsiTheme="majorHAnsi"/>
          <w:sz w:val="20"/>
          <w:szCs w:val="20"/>
        </w:rPr>
        <w:t>onstantes seguimientos de parte de la policía y personas afines no identificadas, mientras realizaban sus labores de defensa o monitoreo de derechos humanos</w:t>
      </w:r>
      <w:r w:rsidR="00FF47F1">
        <w:rPr>
          <w:rFonts w:asciiTheme="majorHAnsi" w:hAnsiTheme="majorHAnsi"/>
          <w:sz w:val="20"/>
          <w:szCs w:val="20"/>
        </w:rPr>
        <w:t>;</w:t>
      </w:r>
      <w:r w:rsidRPr="00A53566">
        <w:rPr>
          <w:rFonts w:asciiTheme="majorHAnsi" w:hAnsiTheme="majorHAnsi"/>
          <w:sz w:val="20"/>
          <w:szCs w:val="20"/>
        </w:rPr>
        <w:t xml:space="preserve"> así como un control cercano de sus movimientos, incluyendo direcciones personales o lugares frecuentes a los que </w:t>
      </w:r>
      <w:r w:rsidR="00636B05" w:rsidRPr="00A53566">
        <w:rPr>
          <w:rFonts w:asciiTheme="majorHAnsi" w:hAnsiTheme="majorHAnsi"/>
          <w:sz w:val="20"/>
          <w:szCs w:val="20"/>
        </w:rPr>
        <w:t>asistían</w:t>
      </w:r>
      <w:r w:rsidRPr="00A53566">
        <w:rPr>
          <w:rFonts w:asciiTheme="majorHAnsi" w:hAnsiTheme="majorHAnsi"/>
          <w:sz w:val="20"/>
          <w:szCs w:val="20"/>
        </w:rPr>
        <w:t xml:space="preserve">; iii) </w:t>
      </w:r>
      <w:r w:rsidR="00636B05" w:rsidRPr="00A53566">
        <w:rPr>
          <w:rFonts w:asciiTheme="majorHAnsi" w:hAnsiTheme="majorHAnsi"/>
          <w:sz w:val="20"/>
          <w:szCs w:val="20"/>
        </w:rPr>
        <w:t>p</w:t>
      </w:r>
      <w:r w:rsidRPr="00A53566">
        <w:rPr>
          <w:rFonts w:asciiTheme="majorHAnsi" w:hAnsiTheme="majorHAnsi"/>
          <w:sz w:val="20"/>
          <w:szCs w:val="20"/>
        </w:rPr>
        <w:t xml:space="preserve">resencia policial cerca de los centros de labores, e incluso dentro de los centros de labores y en las áreas donde </w:t>
      </w:r>
      <w:r w:rsidR="00937D0F">
        <w:rPr>
          <w:rFonts w:asciiTheme="majorHAnsi" w:hAnsiTheme="majorHAnsi"/>
          <w:sz w:val="20"/>
          <w:szCs w:val="20"/>
        </w:rPr>
        <w:t>se tomaban</w:t>
      </w:r>
      <w:r w:rsidRPr="00A53566">
        <w:rPr>
          <w:rFonts w:asciiTheme="majorHAnsi" w:hAnsiTheme="majorHAnsi"/>
          <w:sz w:val="20"/>
          <w:szCs w:val="20"/>
        </w:rPr>
        <w:t xml:space="preserve"> las denuncias que recibían, así como control policial estricto para poder ingresar a la zona donde se encuentra la sede del CENIDH; v) </w:t>
      </w:r>
      <w:r w:rsidR="00636B05" w:rsidRPr="00A53566">
        <w:rPr>
          <w:rFonts w:asciiTheme="majorHAnsi" w:hAnsiTheme="majorHAnsi"/>
          <w:sz w:val="20"/>
          <w:szCs w:val="20"/>
        </w:rPr>
        <w:t>i</w:t>
      </w:r>
      <w:r w:rsidRPr="00A53566">
        <w:rPr>
          <w:rFonts w:asciiTheme="majorHAnsi" w:hAnsiTheme="majorHAnsi"/>
          <w:sz w:val="20"/>
          <w:szCs w:val="20"/>
        </w:rPr>
        <w:t>mpedimentos para realizar sus labores en lugares públicos como juzgados, centros policiales o centros penitenciarios</w:t>
      </w:r>
      <w:r w:rsidR="00636B05" w:rsidRPr="00A53566">
        <w:rPr>
          <w:rFonts w:asciiTheme="majorHAnsi" w:hAnsiTheme="majorHAnsi"/>
          <w:sz w:val="20"/>
          <w:szCs w:val="20"/>
        </w:rPr>
        <w:t>; vi) impedimentos por parte de la policía para realizar protestas pacíficas</w:t>
      </w:r>
      <w:r w:rsidRPr="00A53566">
        <w:rPr>
          <w:rFonts w:asciiTheme="majorHAnsi" w:hAnsiTheme="majorHAnsi"/>
          <w:sz w:val="20"/>
          <w:szCs w:val="20"/>
        </w:rPr>
        <w:t>.</w:t>
      </w:r>
    </w:p>
    <w:p w14:paraId="189BA8B1" w14:textId="0CD25196" w:rsidR="00C640A6" w:rsidRPr="008261B1" w:rsidRDefault="008261B1" w:rsidP="0005421E">
      <w:pPr>
        <w:numPr>
          <w:ilvl w:val="0"/>
          <w:numId w:val="55"/>
        </w:numPr>
        <w:suppressAutoHyphens/>
        <w:spacing w:after="240"/>
        <w:jc w:val="both"/>
        <w:rPr>
          <w:rFonts w:asciiTheme="majorHAnsi" w:hAnsiTheme="majorHAnsi"/>
          <w:sz w:val="20"/>
          <w:szCs w:val="20"/>
        </w:rPr>
      </w:pPr>
      <w:r w:rsidRPr="008261B1">
        <w:rPr>
          <w:rFonts w:asciiTheme="majorHAnsi" w:hAnsiTheme="majorHAnsi"/>
          <w:sz w:val="20"/>
          <w:szCs w:val="20"/>
        </w:rPr>
        <w:t>L</w:t>
      </w:r>
      <w:r w:rsidR="00815C45" w:rsidRPr="008261B1">
        <w:rPr>
          <w:rFonts w:asciiTheme="majorHAnsi" w:hAnsiTheme="majorHAnsi"/>
          <w:sz w:val="20"/>
          <w:szCs w:val="20"/>
        </w:rPr>
        <w:t xml:space="preserve">os peticionarios </w:t>
      </w:r>
      <w:r w:rsidRPr="008261B1">
        <w:rPr>
          <w:rFonts w:asciiTheme="majorHAnsi" w:hAnsiTheme="majorHAnsi"/>
          <w:sz w:val="20"/>
          <w:szCs w:val="20"/>
        </w:rPr>
        <w:t>alegan</w:t>
      </w:r>
      <w:r w:rsidR="001550FE">
        <w:rPr>
          <w:rFonts w:asciiTheme="majorHAnsi" w:hAnsiTheme="majorHAnsi"/>
          <w:sz w:val="20"/>
          <w:szCs w:val="20"/>
        </w:rPr>
        <w:t xml:space="preserve">, por ejemplo, </w:t>
      </w:r>
      <w:r w:rsidR="00815C45" w:rsidRPr="008261B1">
        <w:rPr>
          <w:rFonts w:asciiTheme="majorHAnsi" w:hAnsiTheme="majorHAnsi"/>
          <w:sz w:val="20"/>
          <w:szCs w:val="20"/>
        </w:rPr>
        <w:t>que</w:t>
      </w:r>
      <w:r w:rsidR="0005421E" w:rsidRPr="008261B1">
        <w:rPr>
          <w:rFonts w:asciiTheme="majorHAnsi" w:hAnsiTheme="majorHAnsi"/>
          <w:sz w:val="20"/>
          <w:szCs w:val="20"/>
        </w:rPr>
        <w:t xml:space="preserve"> los integrantes del CENIDH fueron atacados mediáticamente en redes sociales y en distintos medios de comunicación</w:t>
      </w:r>
      <w:r w:rsidRPr="008261B1">
        <w:rPr>
          <w:rFonts w:asciiTheme="majorHAnsi" w:hAnsiTheme="majorHAnsi"/>
          <w:sz w:val="20"/>
          <w:szCs w:val="20"/>
        </w:rPr>
        <w:t>, lo cual habría estado orquestado desde el gobierno;</w:t>
      </w:r>
      <w:r w:rsidR="0005421E" w:rsidRPr="008261B1">
        <w:rPr>
          <w:rFonts w:asciiTheme="majorHAnsi" w:hAnsiTheme="majorHAnsi"/>
          <w:sz w:val="20"/>
          <w:szCs w:val="20"/>
        </w:rPr>
        <w:t xml:space="preserve"> </w:t>
      </w:r>
      <w:r w:rsidRPr="008261B1">
        <w:rPr>
          <w:rFonts w:asciiTheme="majorHAnsi" w:hAnsiTheme="majorHAnsi"/>
          <w:sz w:val="20"/>
          <w:szCs w:val="20"/>
        </w:rPr>
        <w:t>y</w:t>
      </w:r>
      <w:r w:rsidR="0005421E" w:rsidRPr="008261B1">
        <w:rPr>
          <w:rFonts w:asciiTheme="majorHAnsi" w:hAnsiTheme="majorHAnsi"/>
          <w:sz w:val="20"/>
          <w:szCs w:val="20"/>
        </w:rPr>
        <w:t xml:space="preserve"> que en los alrededores de las oficinas del CENIDH se instalaron vallas policiales con la finalidad de obstaculizar el acceso de víctimas y de sus integrantes</w:t>
      </w:r>
      <w:r w:rsidR="00815C45" w:rsidRPr="008261B1">
        <w:rPr>
          <w:rFonts w:asciiTheme="majorHAnsi" w:hAnsiTheme="majorHAnsi"/>
          <w:sz w:val="20"/>
          <w:szCs w:val="20"/>
        </w:rPr>
        <w:t xml:space="preserve">. </w:t>
      </w:r>
    </w:p>
    <w:p w14:paraId="7DD00856" w14:textId="0C48B152" w:rsidR="00BF405A" w:rsidRPr="00BF405A" w:rsidRDefault="009F57F7" w:rsidP="00BF405A">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Indican</w:t>
      </w:r>
      <w:r w:rsidR="00864E93" w:rsidRPr="00A53566">
        <w:rPr>
          <w:rFonts w:asciiTheme="majorHAnsi" w:hAnsiTheme="majorHAnsi"/>
          <w:sz w:val="20"/>
          <w:szCs w:val="20"/>
        </w:rPr>
        <w:t xml:space="preserve"> que el 9 de diciembre de 2018 la Policía Nacional </w:t>
      </w:r>
      <w:r w:rsidR="00280A64" w:rsidRPr="00A53566">
        <w:rPr>
          <w:rFonts w:asciiTheme="majorHAnsi" w:hAnsiTheme="majorHAnsi"/>
          <w:sz w:val="20"/>
          <w:szCs w:val="20"/>
        </w:rPr>
        <w:t>publicó</w:t>
      </w:r>
      <w:r w:rsidR="00864E93" w:rsidRPr="00A53566">
        <w:rPr>
          <w:rFonts w:asciiTheme="majorHAnsi" w:hAnsiTheme="majorHAnsi"/>
          <w:sz w:val="20"/>
          <w:szCs w:val="20"/>
        </w:rPr>
        <w:t xml:space="preserve"> la Resolución 030-2018, a través de la cual </w:t>
      </w:r>
      <w:r w:rsidR="00280A64" w:rsidRPr="00A53566">
        <w:rPr>
          <w:rFonts w:asciiTheme="majorHAnsi" w:hAnsiTheme="majorHAnsi"/>
          <w:sz w:val="20"/>
          <w:szCs w:val="20"/>
        </w:rPr>
        <w:t>negó</w:t>
      </w:r>
      <w:r w:rsidR="00864E93" w:rsidRPr="00A53566">
        <w:rPr>
          <w:rFonts w:asciiTheme="majorHAnsi" w:hAnsiTheme="majorHAnsi"/>
          <w:sz w:val="20"/>
          <w:szCs w:val="20"/>
        </w:rPr>
        <w:t xml:space="preserve"> la autorización del CENIDH para celebrar una marcha en el Día Internacional de los Derechos Humanos, argumentando que se trataba de una organización participante en el “fallido golpe de Estado”.</w:t>
      </w:r>
      <w:r w:rsidR="00280A64" w:rsidRPr="00A53566">
        <w:rPr>
          <w:rFonts w:asciiTheme="majorHAnsi" w:hAnsiTheme="majorHAnsi"/>
          <w:sz w:val="20"/>
          <w:szCs w:val="20"/>
        </w:rPr>
        <w:t xml:space="preserve"> Asimismo, indican que e</w:t>
      </w:r>
      <w:r w:rsidR="00F3612F" w:rsidRPr="00A53566">
        <w:rPr>
          <w:rFonts w:asciiTheme="majorHAnsi" w:hAnsiTheme="majorHAnsi"/>
          <w:sz w:val="20"/>
          <w:szCs w:val="20"/>
        </w:rPr>
        <w:t>l 19 de diciembre de 2018 la Policía Nacional vinculó mediáticamente a Gonzalo Carrión y Vilma Núñez, ambos integrantes del CENIDH</w:t>
      </w:r>
      <w:r w:rsidR="00937D0F">
        <w:rPr>
          <w:rFonts w:asciiTheme="majorHAnsi" w:hAnsiTheme="majorHAnsi"/>
          <w:sz w:val="20"/>
          <w:szCs w:val="20"/>
        </w:rPr>
        <w:t>,</w:t>
      </w:r>
      <w:r w:rsidR="00F3612F" w:rsidRPr="00A53566">
        <w:rPr>
          <w:rFonts w:asciiTheme="majorHAnsi" w:hAnsiTheme="majorHAnsi"/>
          <w:sz w:val="20"/>
          <w:szCs w:val="20"/>
        </w:rPr>
        <w:t xml:space="preserve"> por el incendio de una vivienda. </w:t>
      </w:r>
      <w:r w:rsidR="00937D0F">
        <w:rPr>
          <w:rFonts w:asciiTheme="majorHAnsi" w:hAnsiTheme="majorHAnsi"/>
          <w:sz w:val="20"/>
          <w:szCs w:val="20"/>
        </w:rPr>
        <w:t>Los</w:t>
      </w:r>
      <w:r w:rsidR="00F3612F" w:rsidRPr="00A53566">
        <w:rPr>
          <w:rFonts w:asciiTheme="majorHAnsi" w:hAnsiTheme="majorHAnsi"/>
          <w:sz w:val="20"/>
          <w:szCs w:val="20"/>
        </w:rPr>
        <w:t xml:space="preserve"> peticionario</w:t>
      </w:r>
      <w:r w:rsidR="00937D0F">
        <w:rPr>
          <w:rFonts w:asciiTheme="majorHAnsi" w:hAnsiTheme="majorHAnsi"/>
          <w:sz w:val="20"/>
          <w:szCs w:val="20"/>
        </w:rPr>
        <w:t>s</w:t>
      </w:r>
      <w:r w:rsidR="00F3612F" w:rsidRPr="00A53566">
        <w:rPr>
          <w:rFonts w:asciiTheme="majorHAnsi" w:hAnsiTheme="majorHAnsi"/>
          <w:sz w:val="20"/>
          <w:szCs w:val="20"/>
        </w:rPr>
        <w:t xml:space="preserve"> sostiene</w:t>
      </w:r>
      <w:r w:rsidR="00937D0F">
        <w:rPr>
          <w:rFonts w:asciiTheme="majorHAnsi" w:hAnsiTheme="majorHAnsi"/>
          <w:sz w:val="20"/>
          <w:szCs w:val="20"/>
        </w:rPr>
        <w:t>n</w:t>
      </w:r>
      <w:r w:rsidR="00F3612F" w:rsidRPr="00A53566">
        <w:rPr>
          <w:rFonts w:asciiTheme="majorHAnsi" w:hAnsiTheme="majorHAnsi"/>
          <w:sz w:val="20"/>
          <w:szCs w:val="20"/>
        </w:rPr>
        <w:t xml:space="preserve"> que,</w:t>
      </w:r>
      <w:r w:rsidR="00A1604C" w:rsidRPr="00A53566">
        <w:rPr>
          <w:rFonts w:asciiTheme="majorHAnsi" w:hAnsiTheme="majorHAnsi"/>
          <w:sz w:val="20"/>
          <w:szCs w:val="20"/>
        </w:rPr>
        <w:t xml:space="preserve"> </w:t>
      </w:r>
      <w:r w:rsidR="00F3612F" w:rsidRPr="00A53566">
        <w:rPr>
          <w:rFonts w:asciiTheme="majorHAnsi" w:hAnsiTheme="majorHAnsi"/>
          <w:sz w:val="20"/>
          <w:szCs w:val="20"/>
        </w:rPr>
        <w:t xml:space="preserve">si bien ambos integrantes del CENIDH no han sido inculpados, esto ha </w:t>
      </w:r>
      <w:r w:rsidR="008D3A7F">
        <w:rPr>
          <w:rFonts w:asciiTheme="majorHAnsi" w:hAnsiTheme="majorHAnsi"/>
          <w:sz w:val="20"/>
          <w:szCs w:val="20"/>
        </w:rPr>
        <w:t>incrementado</w:t>
      </w:r>
      <w:r w:rsidR="00F3612F" w:rsidRPr="00A53566">
        <w:rPr>
          <w:rFonts w:asciiTheme="majorHAnsi" w:hAnsiTheme="majorHAnsi"/>
          <w:sz w:val="20"/>
          <w:szCs w:val="20"/>
        </w:rPr>
        <w:t xml:space="preserve"> </w:t>
      </w:r>
      <w:r w:rsidR="008D3A7F">
        <w:rPr>
          <w:rFonts w:asciiTheme="majorHAnsi" w:hAnsiTheme="majorHAnsi"/>
          <w:sz w:val="20"/>
          <w:szCs w:val="20"/>
        </w:rPr>
        <w:t>l</w:t>
      </w:r>
      <w:r w:rsidR="00F3612F" w:rsidRPr="00A53566">
        <w:rPr>
          <w:rFonts w:asciiTheme="majorHAnsi" w:hAnsiTheme="majorHAnsi"/>
          <w:sz w:val="20"/>
          <w:szCs w:val="20"/>
        </w:rPr>
        <w:t>a campaña mediática de estigmatización contra el CENIDH y sus integrantes.</w:t>
      </w:r>
    </w:p>
    <w:p w14:paraId="74422345" w14:textId="32DF9AC5" w:rsidR="005644D0" w:rsidRPr="00A53566" w:rsidRDefault="00A951E2" w:rsidP="005644D0">
      <w:pPr>
        <w:suppressAutoHyphens/>
        <w:spacing w:after="240"/>
        <w:ind w:firstLine="720"/>
        <w:jc w:val="both"/>
        <w:rPr>
          <w:rFonts w:asciiTheme="majorHAnsi" w:hAnsiTheme="majorHAnsi"/>
          <w:b/>
          <w:bCs/>
          <w:i/>
          <w:iCs/>
          <w:sz w:val="20"/>
          <w:szCs w:val="20"/>
        </w:rPr>
      </w:pPr>
      <w:r w:rsidRPr="00A53566">
        <w:rPr>
          <w:rFonts w:asciiTheme="majorHAnsi" w:hAnsiTheme="majorHAnsi"/>
          <w:b/>
          <w:bCs/>
          <w:i/>
          <w:iCs/>
          <w:sz w:val="20"/>
          <w:szCs w:val="20"/>
        </w:rPr>
        <w:t xml:space="preserve">ii) </w:t>
      </w:r>
      <w:r w:rsidR="00EA32A1">
        <w:rPr>
          <w:rFonts w:asciiTheme="majorHAnsi" w:hAnsiTheme="majorHAnsi"/>
          <w:b/>
          <w:bCs/>
          <w:i/>
          <w:iCs/>
          <w:sz w:val="20"/>
          <w:szCs w:val="20"/>
        </w:rPr>
        <w:tab/>
      </w:r>
      <w:r w:rsidR="00A2287E" w:rsidRPr="00A53566">
        <w:rPr>
          <w:rFonts w:asciiTheme="majorHAnsi" w:hAnsiTheme="majorHAnsi"/>
          <w:b/>
          <w:bCs/>
          <w:i/>
          <w:iCs/>
          <w:sz w:val="20"/>
          <w:szCs w:val="20"/>
        </w:rPr>
        <w:t xml:space="preserve">CENIDH: cancelación de </w:t>
      </w:r>
      <w:r w:rsidR="00D46B89" w:rsidRPr="00A53566">
        <w:rPr>
          <w:rFonts w:asciiTheme="majorHAnsi" w:hAnsiTheme="majorHAnsi"/>
          <w:b/>
          <w:bCs/>
          <w:i/>
          <w:iCs/>
          <w:sz w:val="20"/>
          <w:szCs w:val="20"/>
        </w:rPr>
        <w:t>personalidad</w:t>
      </w:r>
      <w:r w:rsidR="00A2287E" w:rsidRPr="00A53566">
        <w:rPr>
          <w:rFonts w:asciiTheme="majorHAnsi" w:hAnsiTheme="majorHAnsi"/>
          <w:b/>
          <w:bCs/>
          <w:i/>
          <w:iCs/>
          <w:sz w:val="20"/>
          <w:szCs w:val="20"/>
        </w:rPr>
        <w:t xml:space="preserve"> jurídica, allanamiento y robo en instalaciones</w:t>
      </w:r>
      <w:r w:rsidR="005644D0" w:rsidRPr="00A53566">
        <w:rPr>
          <w:rFonts w:asciiTheme="majorHAnsi" w:hAnsiTheme="majorHAnsi"/>
          <w:b/>
          <w:bCs/>
          <w:i/>
          <w:iCs/>
          <w:sz w:val="20"/>
          <w:szCs w:val="20"/>
        </w:rPr>
        <w:t xml:space="preserve"> </w:t>
      </w:r>
    </w:p>
    <w:p w14:paraId="1F703ACB" w14:textId="7AAB2F77" w:rsidR="00F34909" w:rsidRPr="00A53566" w:rsidRDefault="003B5A66" w:rsidP="002521EC">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Manifiesta</w:t>
      </w:r>
      <w:r w:rsidR="00CA7A69" w:rsidRPr="00A53566">
        <w:rPr>
          <w:rFonts w:asciiTheme="majorHAnsi" w:hAnsiTheme="majorHAnsi"/>
          <w:sz w:val="20"/>
          <w:szCs w:val="20"/>
        </w:rPr>
        <w:t>n</w:t>
      </w:r>
      <w:r w:rsidRPr="00A53566">
        <w:rPr>
          <w:rFonts w:asciiTheme="majorHAnsi" w:hAnsiTheme="majorHAnsi"/>
          <w:sz w:val="20"/>
          <w:szCs w:val="20"/>
        </w:rPr>
        <w:t xml:space="preserve"> que </w:t>
      </w:r>
      <w:r w:rsidR="002521EC" w:rsidRPr="00A53566">
        <w:rPr>
          <w:rFonts w:asciiTheme="majorHAnsi" w:hAnsiTheme="majorHAnsi"/>
          <w:sz w:val="20"/>
          <w:szCs w:val="20"/>
        </w:rPr>
        <w:t>e</w:t>
      </w:r>
      <w:r w:rsidR="00B374F4" w:rsidRPr="00A53566">
        <w:rPr>
          <w:rFonts w:asciiTheme="majorHAnsi" w:hAnsiTheme="majorHAnsi"/>
          <w:sz w:val="20"/>
          <w:szCs w:val="20"/>
        </w:rPr>
        <w:t>l</w:t>
      </w:r>
      <w:r w:rsidR="00523C07" w:rsidRPr="00A53566">
        <w:rPr>
          <w:rFonts w:asciiTheme="majorHAnsi" w:hAnsiTheme="majorHAnsi"/>
          <w:sz w:val="20"/>
          <w:szCs w:val="20"/>
        </w:rPr>
        <w:t xml:space="preserve"> 12 de diciembre de 2018 un diputado </w:t>
      </w:r>
      <w:r w:rsidR="00B374F4" w:rsidRPr="00A53566">
        <w:rPr>
          <w:rFonts w:asciiTheme="majorHAnsi" w:hAnsiTheme="majorHAnsi"/>
          <w:sz w:val="20"/>
          <w:szCs w:val="20"/>
        </w:rPr>
        <w:t>de la bancada sandinista</w:t>
      </w:r>
      <w:r w:rsidR="006B238C" w:rsidRPr="00A53566">
        <w:rPr>
          <w:rFonts w:asciiTheme="majorHAnsi" w:hAnsiTheme="majorHAnsi"/>
          <w:sz w:val="20"/>
          <w:szCs w:val="20"/>
        </w:rPr>
        <w:t xml:space="preserve"> </w:t>
      </w:r>
      <w:r w:rsidR="00F04350" w:rsidRPr="00A53566">
        <w:rPr>
          <w:rFonts w:asciiTheme="majorHAnsi" w:hAnsiTheme="majorHAnsi"/>
          <w:sz w:val="20"/>
          <w:szCs w:val="20"/>
        </w:rPr>
        <w:t>presentó</w:t>
      </w:r>
      <w:r w:rsidR="006B238C" w:rsidRPr="00A53566">
        <w:rPr>
          <w:rFonts w:asciiTheme="majorHAnsi" w:hAnsiTheme="majorHAnsi"/>
          <w:sz w:val="20"/>
          <w:szCs w:val="20"/>
        </w:rPr>
        <w:t xml:space="preserve"> ante la Asamblea Legislativa de Nicaragua</w:t>
      </w:r>
      <w:r w:rsidR="00F04350" w:rsidRPr="00A53566">
        <w:rPr>
          <w:rFonts w:asciiTheme="majorHAnsi" w:hAnsiTheme="majorHAnsi"/>
          <w:sz w:val="20"/>
          <w:szCs w:val="20"/>
        </w:rPr>
        <w:t xml:space="preserve"> una</w:t>
      </w:r>
      <w:r w:rsidR="00523C07" w:rsidRPr="00A53566">
        <w:rPr>
          <w:rFonts w:asciiTheme="majorHAnsi" w:hAnsiTheme="majorHAnsi"/>
          <w:sz w:val="20"/>
          <w:szCs w:val="20"/>
        </w:rPr>
        <w:t xml:space="preserve"> solicitud para </w:t>
      </w:r>
      <w:r w:rsidR="009C0240" w:rsidRPr="00A53566">
        <w:rPr>
          <w:rFonts w:asciiTheme="majorHAnsi" w:hAnsiTheme="majorHAnsi"/>
          <w:sz w:val="20"/>
          <w:szCs w:val="20"/>
        </w:rPr>
        <w:t>cancelar</w:t>
      </w:r>
      <w:r w:rsidR="00523C07" w:rsidRPr="00A53566">
        <w:rPr>
          <w:rFonts w:asciiTheme="majorHAnsi" w:hAnsiTheme="majorHAnsi"/>
          <w:sz w:val="20"/>
          <w:szCs w:val="20"/>
        </w:rPr>
        <w:t xml:space="preserve"> la personería jurídica del CENIDH. </w:t>
      </w:r>
      <w:r w:rsidR="000554BC" w:rsidRPr="00A53566">
        <w:rPr>
          <w:rFonts w:asciiTheme="majorHAnsi" w:hAnsiTheme="majorHAnsi"/>
          <w:sz w:val="20"/>
          <w:szCs w:val="20"/>
        </w:rPr>
        <w:t>Así,</w:t>
      </w:r>
      <w:r w:rsidR="00523C07" w:rsidRPr="00A53566">
        <w:rPr>
          <w:rFonts w:asciiTheme="majorHAnsi" w:hAnsiTheme="majorHAnsi"/>
          <w:sz w:val="20"/>
          <w:szCs w:val="20"/>
        </w:rPr>
        <w:t xml:space="preserve"> </w:t>
      </w:r>
      <w:r w:rsidR="004A309A" w:rsidRPr="00A53566">
        <w:rPr>
          <w:rFonts w:asciiTheme="majorHAnsi" w:hAnsiTheme="majorHAnsi"/>
          <w:sz w:val="20"/>
          <w:szCs w:val="20"/>
        </w:rPr>
        <w:t>el 12 de diciembre de 2018</w:t>
      </w:r>
      <w:r w:rsidR="00430513">
        <w:rPr>
          <w:rFonts w:asciiTheme="majorHAnsi" w:hAnsiTheme="majorHAnsi"/>
          <w:sz w:val="20"/>
          <w:szCs w:val="20"/>
        </w:rPr>
        <w:t>,</w:t>
      </w:r>
      <w:r w:rsidR="009C0240" w:rsidRPr="00A53566">
        <w:rPr>
          <w:rFonts w:asciiTheme="majorHAnsi" w:hAnsiTheme="majorHAnsi"/>
          <w:sz w:val="20"/>
          <w:szCs w:val="20"/>
        </w:rPr>
        <w:t xml:space="preserve"> </w:t>
      </w:r>
      <w:r w:rsidR="004A309A" w:rsidRPr="00A53566">
        <w:rPr>
          <w:rFonts w:asciiTheme="majorHAnsi" w:hAnsiTheme="majorHAnsi"/>
          <w:sz w:val="20"/>
          <w:szCs w:val="20"/>
        </w:rPr>
        <w:t xml:space="preserve">con </w:t>
      </w:r>
      <w:r w:rsidR="00430513">
        <w:rPr>
          <w:rFonts w:asciiTheme="majorHAnsi" w:hAnsiTheme="majorHAnsi"/>
          <w:sz w:val="20"/>
          <w:szCs w:val="20"/>
        </w:rPr>
        <w:t>setenta</w:t>
      </w:r>
      <w:r w:rsidR="004A309A" w:rsidRPr="00A53566">
        <w:rPr>
          <w:rFonts w:asciiTheme="majorHAnsi" w:hAnsiTheme="majorHAnsi"/>
          <w:sz w:val="20"/>
          <w:szCs w:val="20"/>
        </w:rPr>
        <w:t xml:space="preserve"> votos a favor y </w:t>
      </w:r>
      <w:r w:rsidR="00430513">
        <w:rPr>
          <w:rFonts w:asciiTheme="majorHAnsi" w:hAnsiTheme="majorHAnsi"/>
          <w:sz w:val="20"/>
          <w:szCs w:val="20"/>
        </w:rPr>
        <w:t>diecisiete</w:t>
      </w:r>
      <w:r w:rsidR="004A309A" w:rsidRPr="00A53566">
        <w:rPr>
          <w:rFonts w:asciiTheme="majorHAnsi" w:hAnsiTheme="majorHAnsi"/>
          <w:sz w:val="20"/>
          <w:szCs w:val="20"/>
        </w:rPr>
        <w:t xml:space="preserve"> en contra, la mayoría de los diputados de la bancada sandinista emitieron el Decreto A.N. No. 8509-18, a través del cual se derogó el Decreto A.N. No. 381 de 26 de septiembre de 1990, con el cual se le había otorgado la </w:t>
      </w:r>
      <w:r w:rsidR="00CA7A69" w:rsidRPr="00A53566">
        <w:rPr>
          <w:rFonts w:asciiTheme="majorHAnsi" w:hAnsiTheme="majorHAnsi"/>
          <w:sz w:val="20"/>
          <w:szCs w:val="20"/>
        </w:rPr>
        <w:t>personalidad</w:t>
      </w:r>
      <w:r w:rsidR="004A309A" w:rsidRPr="00A53566">
        <w:rPr>
          <w:rFonts w:asciiTheme="majorHAnsi" w:hAnsiTheme="majorHAnsi"/>
          <w:sz w:val="20"/>
          <w:szCs w:val="20"/>
        </w:rPr>
        <w:t xml:space="preserve"> jurídica al CENID</w:t>
      </w:r>
      <w:r w:rsidR="001A5E00">
        <w:rPr>
          <w:rFonts w:asciiTheme="majorHAnsi" w:hAnsiTheme="majorHAnsi"/>
          <w:sz w:val="20"/>
          <w:szCs w:val="20"/>
        </w:rPr>
        <w:t>H</w:t>
      </w:r>
      <w:r w:rsidR="004A309A" w:rsidRPr="00A53566">
        <w:rPr>
          <w:rFonts w:asciiTheme="majorHAnsi" w:hAnsiTheme="majorHAnsi"/>
          <w:sz w:val="20"/>
          <w:szCs w:val="20"/>
        </w:rPr>
        <w:t>.</w:t>
      </w:r>
      <w:r w:rsidR="00523C07" w:rsidRPr="00A53566">
        <w:rPr>
          <w:rFonts w:asciiTheme="majorHAnsi" w:hAnsiTheme="majorHAnsi"/>
          <w:sz w:val="20"/>
          <w:szCs w:val="20"/>
        </w:rPr>
        <w:t xml:space="preserve"> </w:t>
      </w:r>
    </w:p>
    <w:p w14:paraId="0F736605" w14:textId="5A921C2B" w:rsidR="00523C07" w:rsidRPr="00A53566" w:rsidRDefault="0024166C" w:rsidP="005644D0">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D</w:t>
      </w:r>
      <w:r w:rsidR="00523C07" w:rsidRPr="00A53566">
        <w:rPr>
          <w:rFonts w:asciiTheme="majorHAnsi" w:hAnsiTheme="majorHAnsi"/>
          <w:sz w:val="20"/>
          <w:szCs w:val="20"/>
        </w:rPr>
        <w:t>icho decreto habría sido sustentado en un informe emitido por el Ministerio de Gobernación, en el cual se acusaba al CENIDH de alterar el orden público y realizar acciones para desestabilizar al país</w:t>
      </w:r>
      <w:r w:rsidR="00CA7A69" w:rsidRPr="00A53566">
        <w:rPr>
          <w:rFonts w:asciiTheme="majorHAnsi" w:hAnsiTheme="majorHAnsi"/>
          <w:sz w:val="20"/>
          <w:szCs w:val="20"/>
        </w:rPr>
        <w:t xml:space="preserve"> </w:t>
      </w:r>
      <w:r w:rsidR="009C0240" w:rsidRPr="00A53566">
        <w:rPr>
          <w:rFonts w:asciiTheme="majorHAnsi" w:hAnsiTheme="majorHAnsi"/>
          <w:sz w:val="20"/>
          <w:szCs w:val="20"/>
        </w:rPr>
        <w:t>en el marco de</w:t>
      </w:r>
      <w:r w:rsidR="00E77324" w:rsidRPr="00A53566">
        <w:rPr>
          <w:rFonts w:asciiTheme="majorHAnsi" w:hAnsiTheme="majorHAnsi"/>
          <w:sz w:val="20"/>
          <w:szCs w:val="20"/>
        </w:rPr>
        <w:t xml:space="preserve"> las </w:t>
      </w:r>
      <w:r w:rsidR="00476336">
        <w:rPr>
          <w:rFonts w:asciiTheme="majorHAnsi" w:hAnsiTheme="majorHAnsi"/>
          <w:sz w:val="20"/>
          <w:szCs w:val="20"/>
        </w:rPr>
        <w:t>p</w:t>
      </w:r>
      <w:r w:rsidR="001A5E00">
        <w:rPr>
          <w:rFonts w:asciiTheme="majorHAnsi" w:hAnsiTheme="majorHAnsi"/>
          <w:sz w:val="20"/>
          <w:szCs w:val="20"/>
        </w:rPr>
        <w:t>rotestas</w:t>
      </w:r>
      <w:r w:rsidR="00E77324" w:rsidRPr="00A53566">
        <w:rPr>
          <w:rFonts w:asciiTheme="majorHAnsi" w:hAnsiTheme="majorHAnsi"/>
          <w:sz w:val="20"/>
          <w:szCs w:val="20"/>
        </w:rPr>
        <w:t xml:space="preserve"> de </w:t>
      </w:r>
      <w:r w:rsidR="00476336">
        <w:rPr>
          <w:rFonts w:asciiTheme="majorHAnsi" w:hAnsiTheme="majorHAnsi"/>
          <w:sz w:val="20"/>
          <w:szCs w:val="20"/>
        </w:rPr>
        <w:t>a</w:t>
      </w:r>
      <w:r w:rsidR="00E77324" w:rsidRPr="00A53566">
        <w:rPr>
          <w:rFonts w:asciiTheme="majorHAnsi" w:hAnsiTheme="majorHAnsi"/>
          <w:sz w:val="20"/>
          <w:szCs w:val="20"/>
        </w:rPr>
        <w:t>bril de 2018</w:t>
      </w:r>
      <w:r w:rsidR="00523C07" w:rsidRPr="00A53566">
        <w:rPr>
          <w:rFonts w:asciiTheme="majorHAnsi" w:hAnsiTheme="majorHAnsi"/>
          <w:sz w:val="20"/>
          <w:szCs w:val="20"/>
        </w:rPr>
        <w:t>.</w:t>
      </w:r>
      <w:r w:rsidR="00D76123" w:rsidRPr="00A53566">
        <w:rPr>
          <w:rFonts w:asciiTheme="majorHAnsi" w:hAnsiTheme="majorHAnsi"/>
          <w:sz w:val="20"/>
          <w:szCs w:val="20"/>
        </w:rPr>
        <w:t xml:space="preserve"> </w:t>
      </w:r>
      <w:r w:rsidR="00476336">
        <w:rPr>
          <w:rFonts w:asciiTheme="majorHAnsi" w:hAnsiTheme="majorHAnsi"/>
          <w:sz w:val="20"/>
          <w:szCs w:val="20"/>
        </w:rPr>
        <w:t>Luego,</w:t>
      </w:r>
      <w:r w:rsidR="00D76123" w:rsidRPr="00A53566">
        <w:rPr>
          <w:rFonts w:asciiTheme="majorHAnsi" w:hAnsiTheme="majorHAnsi"/>
          <w:sz w:val="20"/>
          <w:szCs w:val="20"/>
        </w:rPr>
        <w:t xml:space="preserve"> el </w:t>
      </w:r>
      <w:r w:rsidR="00707C22" w:rsidRPr="00A53566">
        <w:rPr>
          <w:rFonts w:asciiTheme="majorHAnsi" w:hAnsiTheme="majorHAnsi"/>
          <w:sz w:val="20"/>
          <w:szCs w:val="20"/>
        </w:rPr>
        <w:t>13</w:t>
      </w:r>
      <w:r w:rsidR="00D76123" w:rsidRPr="00A53566">
        <w:rPr>
          <w:rFonts w:asciiTheme="majorHAnsi" w:hAnsiTheme="majorHAnsi"/>
          <w:sz w:val="20"/>
          <w:szCs w:val="20"/>
        </w:rPr>
        <w:t xml:space="preserve"> de </w:t>
      </w:r>
      <w:r w:rsidR="00D4249E" w:rsidRPr="00A53566">
        <w:rPr>
          <w:rFonts w:asciiTheme="majorHAnsi" w:hAnsiTheme="majorHAnsi"/>
          <w:sz w:val="20"/>
          <w:szCs w:val="20"/>
        </w:rPr>
        <w:t>diciembre</w:t>
      </w:r>
      <w:r w:rsidR="00D76123" w:rsidRPr="00A53566">
        <w:rPr>
          <w:rFonts w:asciiTheme="majorHAnsi" w:hAnsiTheme="majorHAnsi"/>
          <w:sz w:val="20"/>
          <w:szCs w:val="20"/>
        </w:rPr>
        <w:t xml:space="preserve"> de 2018</w:t>
      </w:r>
      <w:r w:rsidR="00476336">
        <w:rPr>
          <w:rFonts w:asciiTheme="majorHAnsi" w:hAnsiTheme="majorHAnsi"/>
          <w:sz w:val="20"/>
          <w:szCs w:val="20"/>
        </w:rPr>
        <w:t>,</w:t>
      </w:r>
      <w:r w:rsidR="00D76123" w:rsidRPr="00A53566">
        <w:rPr>
          <w:rFonts w:asciiTheme="majorHAnsi" w:hAnsiTheme="majorHAnsi"/>
          <w:sz w:val="20"/>
          <w:szCs w:val="20"/>
        </w:rPr>
        <w:t xml:space="preserve"> </w:t>
      </w:r>
      <w:r w:rsidR="00D4249E" w:rsidRPr="00A53566">
        <w:rPr>
          <w:rFonts w:asciiTheme="majorHAnsi" w:hAnsiTheme="majorHAnsi"/>
          <w:sz w:val="20"/>
          <w:szCs w:val="20"/>
        </w:rPr>
        <w:t>elementos de la policía allanaron</w:t>
      </w:r>
      <w:r w:rsidR="00D76123" w:rsidRPr="00A53566">
        <w:rPr>
          <w:rFonts w:asciiTheme="majorHAnsi" w:hAnsiTheme="majorHAnsi"/>
          <w:sz w:val="20"/>
          <w:szCs w:val="20"/>
        </w:rPr>
        <w:t xml:space="preserve"> las </w:t>
      </w:r>
      <w:r w:rsidR="00D4249E" w:rsidRPr="00A53566">
        <w:rPr>
          <w:rFonts w:asciiTheme="majorHAnsi" w:hAnsiTheme="majorHAnsi"/>
          <w:sz w:val="20"/>
          <w:szCs w:val="20"/>
        </w:rPr>
        <w:t xml:space="preserve">instalaciones </w:t>
      </w:r>
      <w:r w:rsidR="00D76123" w:rsidRPr="00A53566">
        <w:rPr>
          <w:rFonts w:asciiTheme="majorHAnsi" w:hAnsiTheme="majorHAnsi"/>
          <w:sz w:val="20"/>
          <w:szCs w:val="20"/>
        </w:rPr>
        <w:t>del CENIDH</w:t>
      </w:r>
      <w:r w:rsidR="00476336">
        <w:rPr>
          <w:rFonts w:asciiTheme="majorHAnsi" w:hAnsiTheme="majorHAnsi"/>
          <w:sz w:val="20"/>
          <w:szCs w:val="20"/>
        </w:rPr>
        <w:t xml:space="preserve">; y </w:t>
      </w:r>
      <w:r w:rsidR="00D76123" w:rsidRPr="00A53566">
        <w:rPr>
          <w:rFonts w:asciiTheme="majorHAnsi" w:hAnsiTheme="majorHAnsi"/>
          <w:sz w:val="20"/>
          <w:szCs w:val="20"/>
        </w:rPr>
        <w:t xml:space="preserve">el Ministerio de Gobernación notificó la cancelación </w:t>
      </w:r>
      <w:r w:rsidR="00F1382E" w:rsidRPr="00A53566">
        <w:rPr>
          <w:rFonts w:asciiTheme="majorHAnsi" w:hAnsiTheme="majorHAnsi"/>
          <w:sz w:val="20"/>
          <w:szCs w:val="20"/>
        </w:rPr>
        <w:t>su personalidad jurídica</w:t>
      </w:r>
      <w:r w:rsidR="005277EE" w:rsidRPr="00A53566">
        <w:rPr>
          <w:rFonts w:asciiTheme="majorHAnsi" w:hAnsiTheme="majorHAnsi"/>
          <w:sz w:val="20"/>
          <w:szCs w:val="20"/>
        </w:rPr>
        <w:t>.</w:t>
      </w:r>
      <w:r w:rsidR="006D2C2D" w:rsidRPr="00A53566">
        <w:rPr>
          <w:rFonts w:asciiTheme="majorHAnsi" w:hAnsiTheme="majorHAnsi"/>
          <w:sz w:val="20"/>
          <w:szCs w:val="20"/>
        </w:rPr>
        <w:t xml:space="preserve"> </w:t>
      </w:r>
    </w:p>
    <w:p w14:paraId="00E1E259" w14:textId="723FA22D" w:rsidR="00595E0B" w:rsidRPr="00A53566" w:rsidRDefault="007A44D8" w:rsidP="004B1847">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lastRenderedPageBreak/>
        <w:t>Respecto al allanamiento de las instalaciones</w:t>
      </w:r>
      <w:r w:rsidR="00D54910" w:rsidRPr="00A53566">
        <w:rPr>
          <w:rFonts w:asciiTheme="majorHAnsi" w:hAnsiTheme="majorHAnsi"/>
          <w:sz w:val="20"/>
          <w:szCs w:val="20"/>
        </w:rPr>
        <w:t xml:space="preserve"> del CENIDH</w:t>
      </w:r>
      <w:r w:rsidRPr="00A53566">
        <w:rPr>
          <w:rFonts w:asciiTheme="majorHAnsi" w:hAnsiTheme="majorHAnsi"/>
          <w:sz w:val="20"/>
          <w:szCs w:val="20"/>
        </w:rPr>
        <w:t xml:space="preserve">, </w:t>
      </w:r>
      <w:r w:rsidR="00BF1C2A" w:rsidRPr="00A53566">
        <w:rPr>
          <w:rFonts w:asciiTheme="majorHAnsi" w:hAnsiTheme="majorHAnsi"/>
          <w:sz w:val="20"/>
          <w:szCs w:val="20"/>
        </w:rPr>
        <w:t>narra</w:t>
      </w:r>
      <w:r w:rsidR="00F44887" w:rsidRPr="00A53566">
        <w:rPr>
          <w:rFonts w:asciiTheme="majorHAnsi" w:hAnsiTheme="majorHAnsi"/>
          <w:sz w:val="20"/>
          <w:szCs w:val="20"/>
        </w:rPr>
        <w:t>n</w:t>
      </w:r>
      <w:r w:rsidR="00D54910" w:rsidRPr="00A53566">
        <w:rPr>
          <w:rFonts w:asciiTheme="majorHAnsi" w:hAnsiTheme="majorHAnsi"/>
          <w:sz w:val="20"/>
          <w:szCs w:val="20"/>
        </w:rPr>
        <w:t xml:space="preserve"> que </w:t>
      </w:r>
      <w:r w:rsidR="00707C22" w:rsidRPr="00A53566">
        <w:rPr>
          <w:rFonts w:asciiTheme="majorHAnsi" w:hAnsiTheme="majorHAnsi"/>
          <w:sz w:val="20"/>
          <w:szCs w:val="20"/>
        </w:rPr>
        <w:t>s</w:t>
      </w:r>
      <w:r w:rsidRPr="00A53566">
        <w:rPr>
          <w:rFonts w:asciiTheme="majorHAnsi" w:hAnsiTheme="majorHAnsi"/>
          <w:sz w:val="20"/>
          <w:szCs w:val="20"/>
        </w:rPr>
        <w:t xml:space="preserve">esenta agentes policiales de la Dirección de Auxilio Judicial rodearon la entrada de la sede del CENIDH, impidiendo la entrada de </w:t>
      </w:r>
      <w:r w:rsidR="00707C22" w:rsidRPr="00A53566">
        <w:rPr>
          <w:rFonts w:asciiTheme="majorHAnsi" w:hAnsiTheme="majorHAnsi"/>
          <w:sz w:val="20"/>
          <w:szCs w:val="20"/>
        </w:rPr>
        <w:t>sus integrantes</w:t>
      </w:r>
      <w:r w:rsidRPr="00A53566">
        <w:rPr>
          <w:rFonts w:asciiTheme="majorHAnsi" w:hAnsiTheme="majorHAnsi"/>
          <w:sz w:val="20"/>
          <w:szCs w:val="20"/>
        </w:rPr>
        <w:t xml:space="preserve">. </w:t>
      </w:r>
      <w:r w:rsidR="00F866A7">
        <w:rPr>
          <w:rFonts w:asciiTheme="majorHAnsi" w:hAnsiTheme="majorHAnsi"/>
          <w:sz w:val="20"/>
          <w:szCs w:val="20"/>
        </w:rPr>
        <w:t xml:space="preserve">Así, </w:t>
      </w:r>
      <w:r w:rsidRPr="00A53566">
        <w:rPr>
          <w:rFonts w:asciiTheme="majorHAnsi" w:hAnsiTheme="majorHAnsi"/>
          <w:sz w:val="20"/>
          <w:szCs w:val="20"/>
        </w:rPr>
        <w:t>la madrugada del 14 de diciembre</w:t>
      </w:r>
      <w:r w:rsidR="00565BFF" w:rsidRPr="00A53566">
        <w:rPr>
          <w:rFonts w:asciiTheme="majorHAnsi" w:hAnsiTheme="majorHAnsi"/>
          <w:sz w:val="20"/>
          <w:szCs w:val="20"/>
        </w:rPr>
        <w:t xml:space="preserve"> de 2018</w:t>
      </w:r>
      <w:r w:rsidRPr="00A53566">
        <w:rPr>
          <w:rFonts w:asciiTheme="majorHAnsi" w:hAnsiTheme="majorHAnsi"/>
          <w:sz w:val="20"/>
          <w:szCs w:val="20"/>
        </w:rPr>
        <w:t xml:space="preserve"> </w:t>
      </w:r>
      <w:r w:rsidR="00630588" w:rsidRPr="00A53566">
        <w:rPr>
          <w:rFonts w:asciiTheme="majorHAnsi" w:hAnsiTheme="majorHAnsi"/>
          <w:sz w:val="20"/>
          <w:szCs w:val="20"/>
        </w:rPr>
        <w:t>cuarenta</w:t>
      </w:r>
      <w:r w:rsidRPr="00A53566">
        <w:rPr>
          <w:rFonts w:asciiTheme="majorHAnsi" w:hAnsiTheme="majorHAnsi"/>
          <w:sz w:val="20"/>
          <w:szCs w:val="20"/>
        </w:rPr>
        <w:t xml:space="preserve"> policías</w:t>
      </w:r>
      <w:r w:rsidR="00565BFF" w:rsidRPr="00A53566">
        <w:rPr>
          <w:rFonts w:asciiTheme="majorHAnsi" w:hAnsiTheme="majorHAnsi"/>
          <w:sz w:val="20"/>
          <w:szCs w:val="20"/>
        </w:rPr>
        <w:t>,</w:t>
      </w:r>
      <w:r w:rsidRPr="00A53566">
        <w:rPr>
          <w:rFonts w:asciiTheme="majorHAnsi" w:hAnsiTheme="majorHAnsi"/>
          <w:sz w:val="20"/>
          <w:szCs w:val="20"/>
        </w:rPr>
        <w:t xml:space="preserve"> sin mostrar orden judicial</w:t>
      </w:r>
      <w:r w:rsidR="00565BFF" w:rsidRPr="00A53566">
        <w:rPr>
          <w:rFonts w:asciiTheme="majorHAnsi" w:hAnsiTheme="majorHAnsi"/>
          <w:sz w:val="20"/>
          <w:szCs w:val="20"/>
        </w:rPr>
        <w:t>,</w:t>
      </w:r>
      <w:r w:rsidR="00630588" w:rsidRPr="00A53566">
        <w:rPr>
          <w:rFonts w:asciiTheme="majorHAnsi" w:hAnsiTheme="majorHAnsi"/>
          <w:sz w:val="20"/>
          <w:szCs w:val="20"/>
        </w:rPr>
        <w:t xml:space="preserve"> entraron de manera</w:t>
      </w:r>
      <w:r w:rsidRPr="00A53566">
        <w:rPr>
          <w:rFonts w:asciiTheme="majorHAnsi" w:hAnsiTheme="majorHAnsi"/>
          <w:sz w:val="20"/>
          <w:szCs w:val="20"/>
        </w:rPr>
        <w:t xml:space="preserve"> ilegal a las instalaciones</w:t>
      </w:r>
      <w:r w:rsidR="004B1847" w:rsidRPr="00A53566">
        <w:rPr>
          <w:rFonts w:asciiTheme="majorHAnsi" w:hAnsiTheme="majorHAnsi"/>
          <w:sz w:val="20"/>
          <w:szCs w:val="20"/>
        </w:rPr>
        <w:t xml:space="preserve"> del CENIDH</w:t>
      </w:r>
      <w:r w:rsidRPr="00A53566">
        <w:rPr>
          <w:rFonts w:asciiTheme="majorHAnsi" w:hAnsiTheme="majorHAnsi"/>
          <w:sz w:val="20"/>
          <w:szCs w:val="20"/>
        </w:rPr>
        <w:t xml:space="preserve">, </w:t>
      </w:r>
      <w:r w:rsidR="00630588" w:rsidRPr="00A53566">
        <w:rPr>
          <w:rFonts w:asciiTheme="majorHAnsi" w:hAnsiTheme="majorHAnsi"/>
          <w:sz w:val="20"/>
          <w:szCs w:val="20"/>
        </w:rPr>
        <w:t>extrayendo</w:t>
      </w:r>
      <w:r w:rsidRPr="00A53566">
        <w:rPr>
          <w:rFonts w:asciiTheme="majorHAnsi" w:hAnsiTheme="majorHAnsi"/>
          <w:sz w:val="20"/>
          <w:szCs w:val="20"/>
        </w:rPr>
        <w:t xml:space="preserve"> equipos de c</w:t>
      </w:r>
      <w:r w:rsidR="005366D5">
        <w:rPr>
          <w:rFonts w:asciiTheme="majorHAnsi" w:hAnsiTheme="majorHAnsi"/>
          <w:sz w:val="20"/>
          <w:szCs w:val="20"/>
        </w:rPr>
        <w:t>ó</w:t>
      </w:r>
      <w:r w:rsidRPr="00A53566">
        <w:rPr>
          <w:rFonts w:asciiTheme="majorHAnsi" w:hAnsiTheme="majorHAnsi"/>
          <w:sz w:val="20"/>
          <w:szCs w:val="20"/>
        </w:rPr>
        <w:t xml:space="preserve">mputo, </w:t>
      </w:r>
      <w:r w:rsidR="00DC1EFD" w:rsidRPr="00A53566">
        <w:rPr>
          <w:rFonts w:asciiTheme="majorHAnsi" w:hAnsiTheme="majorHAnsi"/>
          <w:sz w:val="20"/>
          <w:szCs w:val="20"/>
        </w:rPr>
        <w:t>vehículos</w:t>
      </w:r>
      <w:r w:rsidR="004B1847" w:rsidRPr="00A53566">
        <w:rPr>
          <w:rFonts w:asciiTheme="majorHAnsi" w:hAnsiTheme="majorHAnsi"/>
          <w:sz w:val="20"/>
          <w:szCs w:val="20"/>
        </w:rPr>
        <w:t>,</w:t>
      </w:r>
      <w:r w:rsidR="00DC1EFD" w:rsidRPr="00A53566">
        <w:rPr>
          <w:rFonts w:asciiTheme="majorHAnsi" w:hAnsiTheme="majorHAnsi"/>
          <w:sz w:val="20"/>
          <w:szCs w:val="20"/>
        </w:rPr>
        <w:t xml:space="preserve"> </w:t>
      </w:r>
      <w:r w:rsidRPr="00A53566">
        <w:rPr>
          <w:rFonts w:asciiTheme="majorHAnsi" w:hAnsiTheme="majorHAnsi"/>
          <w:sz w:val="20"/>
          <w:szCs w:val="20"/>
        </w:rPr>
        <w:t>información operativ</w:t>
      </w:r>
      <w:r w:rsidR="00DC1EFD" w:rsidRPr="00A53566">
        <w:rPr>
          <w:rFonts w:asciiTheme="majorHAnsi" w:hAnsiTheme="majorHAnsi"/>
          <w:sz w:val="20"/>
          <w:szCs w:val="20"/>
        </w:rPr>
        <w:t>a</w:t>
      </w:r>
      <w:r w:rsidRPr="00A53566">
        <w:rPr>
          <w:rFonts w:asciiTheme="majorHAnsi" w:hAnsiTheme="majorHAnsi"/>
          <w:sz w:val="20"/>
          <w:szCs w:val="20"/>
        </w:rPr>
        <w:t xml:space="preserve">, </w:t>
      </w:r>
      <w:r w:rsidR="00DC1EFD" w:rsidRPr="00A53566">
        <w:rPr>
          <w:rFonts w:asciiTheme="majorHAnsi" w:hAnsiTheme="majorHAnsi"/>
          <w:sz w:val="20"/>
          <w:szCs w:val="20"/>
        </w:rPr>
        <w:t>entre otros.</w:t>
      </w:r>
      <w:r w:rsidR="004B1847" w:rsidRPr="00A53566">
        <w:rPr>
          <w:rFonts w:asciiTheme="majorHAnsi" w:hAnsiTheme="majorHAnsi"/>
          <w:sz w:val="20"/>
          <w:szCs w:val="20"/>
        </w:rPr>
        <w:t xml:space="preserve"> </w:t>
      </w:r>
      <w:r w:rsidR="00C710EB" w:rsidRPr="00A53566">
        <w:rPr>
          <w:rFonts w:asciiTheme="majorHAnsi" w:hAnsiTheme="majorHAnsi"/>
          <w:sz w:val="20"/>
          <w:szCs w:val="20"/>
        </w:rPr>
        <w:t xml:space="preserve">En contra de la cancelación de la personería jurídica, el CENIDH, </w:t>
      </w:r>
      <w:r w:rsidR="004B1847" w:rsidRPr="00A53566">
        <w:rPr>
          <w:rFonts w:asciiTheme="majorHAnsi" w:hAnsiTheme="majorHAnsi"/>
          <w:sz w:val="20"/>
          <w:szCs w:val="20"/>
        </w:rPr>
        <w:t>interpuso</w:t>
      </w:r>
      <w:r w:rsidR="0071122A" w:rsidRPr="00A53566">
        <w:rPr>
          <w:rFonts w:asciiTheme="majorHAnsi" w:hAnsiTheme="majorHAnsi"/>
          <w:sz w:val="20"/>
          <w:szCs w:val="20"/>
        </w:rPr>
        <w:t xml:space="preserve"> un recurso de revisión</w:t>
      </w:r>
      <w:r w:rsidR="005366D5">
        <w:rPr>
          <w:rFonts w:asciiTheme="majorHAnsi" w:hAnsiTheme="majorHAnsi"/>
          <w:sz w:val="20"/>
          <w:szCs w:val="20"/>
        </w:rPr>
        <w:t>;</w:t>
      </w:r>
      <w:r w:rsidR="00C710EB" w:rsidRPr="00A53566">
        <w:rPr>
          <w:rFonts w:asciiTheme="majorHAnsi" w:hAnsiTheme="majorHAnsi"/>
          <w:sz w:val="20"/>
          <w:szCs w:val="20"/>
        </w:rPr>
        <w:t xml:space="preserve"> </w:t>
      </w:r>
      <w:r w:rsidR="005366D5">
        <w:rPr>
          <w:rFonts w:asciiTheme="majorHAnsi" w:hAnsiTheme="majorHAnsi"/>
          <w:sz w:val="20"/>
          <w:szCs w:val="20"/>
        </w:rPr>
        <w:t>s</w:t>
      </w:r>
      <w:r w:rsidR="00C710EB" w:rsidRPr="00A53566">
        <w:rPr>
          <w:rFonts w:asciiTheme="majorHAnsi" w:hAnsiTheme="majorHAnsi"/>
          <w:sz w:val="20"/>
          <w:szCs w:val="20"/>
        </w:rPr>
        <w:t>in embargo</w:t>
      </w:r>
      <w:r w:rsidR="00352D00" w:rsidRPr="00A53566">
        <w:rPr>
          <w:rFonts w:asciiTheme="majorHAnsi" w:hAnsiTheme="majorHAnsi"/>
          <w:sz w:val="20"/>
          <w:szCs w:val="20"/>
        </w:rPr>
        <w:t>,</w:t>
      </w:r>
      <w:r w:rsidR="00C710EB" w:rsidRPr="00A53566">
        <w:rPr>
          <w:rFonts w:asciiTheme="majorHAnsi" w:hAnsiTheme="majorHAnsi"/>
          <w:sz w:val="20"/>
          <w:szCs w:val="20"/>
        </w:rPr>
        <w:t xml:space="preserve"> la recepción de dicho recurso </w:t>
      </w:r>
      <w:r w:rsidR="005366D5">
        <w:rPr>
          <w:rFonts w:asciiTheme="majorHAnsi" w:hAnsiTheme="majorHAnsi"/>
          <w:sz w:val="20"/>
          <w:szCs w:val="20"/>
        </w:rPr>
        <w:t>habría sido</w:t>
      </w:r>
      <w:r w:rsidR="00C710EB" w:rsidRPr="00A53566">
        <w:rPr>
          <w:rFonts w:asciiTheme="majorHAnsi" w:hAnsiTheme="majorHAnsi"/>
          <w:sz w:val="20"/>
          <w:szCs w:val="20"/>
        </w:rPr>
        <w:t xml:space="preserve"> negada arbitrariamente por el Departamento de Registro y Control de Asociaciones</w:t>
      </w:r>
      <w:r w:rsidR="003B5A66" w:rsidRPr="00A53566">
        <w:rPr>
          <w:rFonts w:asciiTheme="majorHAnsi" w:hAnsiTheme="majorHAnsi"/>
          <w:sz w:val="20"/>
          <w:szCs w:val="20"/>
        </w:rPr>
        <w:t xml:space="preserve"> </w:t>
      </w:r>
      <w:r w:rsidR="00BE7375">
        <w:rPr>
          <w:rFonts w:asciiTheme="majorHAnsi" w:hAnsiTheme="majorHAnsi"/>
          <w:sz w:val="20"/>
          <w:szCs w:val="20"/>
        </w:rPr>
        <w:t>s</w:t>
      </w:r>
      <w:r w:rsidR="005252E2" w:rsidRPr="00A53566">
        <w:rPr>
          <w:rFonts w:asciiTheme="majorHAnsi" w:hAnsiTheme="majorHAnsi"/>
          <w:sz w:val="20"/>
          <w:szCs w:val="20"/>
        </w:rPr>
        <w:t xml:space="preserve">in Fines de Lucro </w:t>
      </w:r>
      <w:r w:rsidR="003B5A66" w:rsidRPr="00A53566">
        <w:rPr>
          <w:rFonts w:asciiTheme="majorHAnsi" w:hAnsiTheme="majorHAnsi"/>
          <w:sz w:val="20"/>
          <w:szCs w:val="20"/>
        </w:rPr>
        <w:t>del Ministerio de Gobernación</w:t>
      </w:r>
      <w:r w:rsidR="00C710EB" w:rsidRPr="00A53566">
        <w:rPr>
          <w:rFonts w:asciiTheme="majorHAnsi" w:hAnsiTheme="majorHAnsi"/>
          <w:sz w:val="20"/>
          <w:szCs w:val="20"/>
        </w:rPr>
        <w:t xml:space="preserve">. </w:t>
      </w:r>
    </w:p>
    <w:p w14:paraId="477B777A" w14:textId="5CB9BA12" w:rsidR="005252E2" w:rsidRPr="00A53566" w:rsidRDefault="00C710EB" w:rsidP="005252E2">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 xml:space="preserve">Inconformes con </w:t>
      </w:r>
      <w:r w:rsidR="000F3A58">
        <w:rPr>
          <w:rFonts w:asciiTheme="majorHAnsi" w:hAnsiTheme="majorHAnsi"/>
          <w:sz w:val="20"/>
          <w:szCs w:val="20"/>
        </w:rPr>
        <w:t>esta</w:t>
      </w:r>
      <w:r w:rsidRPr="00A53566">
        <w:rPr>
          <w:rFonts w:asciiTheme="majorHAnsi" w:hAnsiTheme="majorHAnsi"/>
          <w:sz w:val="20"/>
          <w:szCs w:val="20"/>
        </w:rPr>
        <w:t xml:space="preserve"> negativa</w:t>
      </w:r>
      <w:r w:rsidR="000F3A58">
        <w:rPr>
          <w:rFonts w:asciiTheme="majorHAnsi" w:hAnsiTheme="majorHAnsi"/>
          <w:sz w:val="20"/>
          <w:szCs w:val="20"/>
        </w:rPr>
        <w:t>,</w:t>
      </w:r>
      <w:r w:rsidRPr="00A53566">
        <w:rPr>
          <w:rFonts w:asciiTheme="majorHAnsi" w:hAnsiTheme="majorHAnsi"/>
          <w:sz w:val="20"/>
          <w:szCs w:val="20"/>
        </w:rPr>
        <w:t xml:space="preserve"> el CENIDH interpuso un recurso de amparo </w:t>
      </w:r>
      <w:r w:rsidR="005A28BB" w:rsidRPr="00A53566">
        <w:rPr>
          <w:rFonts w:asciiTheme="majorHAnsi" w:hAnsiTheme="majorHAnsi"/>
          <w:sz w:val="20"/>
          <w:szCs w:val="20"/>
        </w:rPr>
        <w:t>en contra de los funcionarios del Departamento de Registro y Control de Asociaciones</w:t>
      </w:r>
      <w:r w:rsidR="00CF5F5D" w:rsidRPr="00A53566">
        <w:rPr>
          <w:rFonts w:asciiTheme="majorHAnsi" w:hAnsiTheme="majorHAnsi"/>
          <w:sz w:val="20"/>
          <w:szCs w:val="20"/>
        </w:rPr>
        <w:t xml:space="preserve"> </w:t>
      </w:r>
      <w:r w:rsidR="00C63575">
        <w:rPr>
          <w:rFonts w:asciiTheme="majorHAnsi" w:hAnsiTheme="majorHAnsi"/>
          <w:sz w:val="20"/>
          <w:szCs w:val="20"/>
        </w:rPr>
        <w:t>s</w:t>
      </w:r>
      <w:r w:rsidR="00CF5F5D" w:rsidRPr="00A53566">
        <w:rPr>
          <w:rFonts w:asciiTheme="majorHAnsi" w:hAnsiTheme="majorHAnsi"/>
          <w:sz w:val="20"/>
          <w:szCs w:val="20"/>
        </w:rPr>
        <w:t>in Fines de Lucro</w:t>
      </w:r>
      <w:r w:rsidR="005A28BB" w:rsidRPr="00A53566">
        <w:rPr>
          <w:rFonts w:asciiTheme="majorHAnsi" w:hAnsiTheme="majorHAnsi"/>
          <w:sz w:val="20"/>
          <w:szCs w:val="20"/>
        </w:rPr>
        <w:t xml:space="preserve">, </w:t>
      </w:r>
      <w:r w:rsidRPr="00A53566">
        <w:rPr>
          <w:rFonts w:asciiTheme="majorHAnsi" w:hAnsiTheme="majorHAnsi"/>
          <w:sz w:val="20"/>
          <w:szCs w:val="20"/>
        </w:rPr>
        <w:t xml:space="preserve">ante el Tribunal de Apelaciones Circunscripción Judicial Managua. </w:t>
      </w:r>
      <w:r w:rsidR="000F3A58">
        <w:rPr>
          <w:rFonts w:asciiTheme="majorHAnsi" w:hAnsiTheme="majorHAnsi"/>
          <w:sz w:val="20"/>
          <w:szCs w:val="20"/>
        </w:rPr>
        <w:t>E</w:t>
      </w:r>
      <w:r w:rsidRPr="00A53566">
        <w:rPr>
          <w:rFonts w:asciiTheme="majorHAnsi" w:hAnsiTheme="majorHAnsi"/>
          <w:sz w:val="20"/>
          <w:szCs w:val="20"/>
        </w:rPr>
        <w:t>l 15 de enero de 2019</w:t>
      </w:r>
      <w:r w:rsidR="000F3A58">
        <w:rPr>
          <w:rFonts w:asciiTheme="majorHAnsi" w:hAnsiTheme="majorHAnsi"/>
          <w:sz w:val="20"/>
          <w:szCs w:val="20"/>
        </w:rPr>
        <w:t xml:space="preserve"> este tribunal</w:t>
      </w:r>
      <w:r w:rsidRPr="00A53566">
        <w:rPr>
          <w:rFonts w:asciiTheme="majorHAnsi" w:hAnsiTheme="majorHAnsi"/>
          <w:sz w:val="20"/>
          <w:szCs w:val="20"/>
        </w:rPr>
        <w:t xml:space="preserve"> admitió el amparo</w:t>
      </w:r>
      <w:r w:rsidR="000F3A58">
        <w:rPr>
          <w:rFonts w:asciiTheme="majorHAnsi" w:hAnsiTheme="majorHAnsi"/>
          <w:sz w:val="20"/>
          <w:szCs w:val="20"/>
        </w:rPr>
        <w:t>;</w:t>
      </w:r>
      <w:r w:rsidRPr="00A53566">
        <w:rPr>
          <w:rFonts w:asciiTheme="majorHAnsi" w:hAnsiTheme="majorHAnsi"/>
          <w:sz w:val="20"/>
          <w:szCs w:val="20"/>
        </w:rPr>
        <w:t xml:space="preserve"> pero negó la suspensión del acto reclamado. </w:t>
      </w:r>
      <w:r w:rsidR="000F3A58">
        <w:rPr>
          <w:rFonts w:asciiTheme="majorHAnsi" w:hAnsiTheme="majorHAnsi"/>
          <w:sz w:val="20"/>
          <w:szCs w:val="20"/>
        </w:rPr>
        <w:t>E</w:t>
      </w:r>
      <w:r w:rsidR="005A28BB" w:rsidRPr="00A53566">
        <w:rPr>
          <w:rFonts w:asciiTheme="majorHAnsi" w:hAnsiTheme="majorHAnsi"/>
          <w:sz w:val="20"/>
          <w:szCs w:val="20"/>
        </w:rPr>
        <w:t xml:space="preserve">n el curso del </w:t>
      </w:r>
      <w:r w:rsidRPr="00A53566">
        <w:rPr>
          <w:rFonts w:asciiTheme="majorHAnsi" w:hAnsiTheme="majorHAnsi"/>
          <w:sz w:val="20"/>
          <w:szCs w:val="20"/>
        </w:rPr>
        <w:t>proceso no se convocó a las partes a comparecer ante la Sala Constitucional de la Corte Suprema de Justicia</w:t>
      </w:r>
      <w:r w:rsidR="000F3A58">
        <w:rPr>
          <w:rFonts w:asciiTheme="majorHAnsi" w:hAnsiTheme="majorHAnsi"/>
          <w:sz w:val="20"/>
          <w:szCs w:val="20"/>
        </w:rPr>
        <w:t>,</w:t>
      </w:r>
      <w:r w:rsidRPr="00A53566">
        <w:rPr>
          <w:rFonts w:asciiTheme="majorHAnsi" w:hAnsiTheme="majorHAnsi"/>
          <w:sz w:val="20"/>
          <w:szCs w:val="20"/>
        </w:rPr>
        <w:t xml:space="preserve"> </w:t>
      </w:r>
      <w:r w:rsidR="004720B9" w:rsidRPr="00A53566">
        <w:rPr>
          <w:rFonts w:asciiTheme="majorHAnsi" w:hAnsiTheme="majorHAnsi"/>
          <w:sz w:val="20"/>
          <w:szCs w:val="20"/>
        </w:rPr>
        <w:t>ni</w:t>
      </w:r>
      <w:r w:rsidRPr="00A53566">
        <w:rPr>
          <w:rFonts w:asciiTheme="majorHAnsi" w:hAnsiTheme="majorHAnsi"/>
          <w:sz w:val="20"/>
          <w:szCs w:val="20"/>
        </w:rPr>
        <w:t xml:space="preserve"> </w:t>
      </w:r>
      <w:r w:rsidR="000F3A58">
        <w:rPr>
          <w:rFonts w:asciiTheme="majorHAnsi" w:hAnsiTheme="majorHAnsi"/>
          <w:sz w:val="20"/>
          <w:szCs w:val="20"/>
        </w:rPr>
        <w:t xml:space="preserve">se </w:t>
      </w:r>
      <w:r w:rsidRPr="00A53566">
        <w:rPr>
          <w:rFonts w:asciiTheme="majorHAnsi" w:hAnsiTheme="majorHAnsi"/>
          <w:sz w:val="20"/>
          <w:szCs w:val="20"/>
        </w:rPr>
        <w:t xml:space="preserve">solicitó a los funcionarios recurridos presentar </w:t>
      </w:r>
      <w:r w:rsidR="000F3A58">
        <w:rPr>
          <w:rFonts w:asciiTheme="majorHAnsi" w:hAnsiTheme="majorHAnsi"/>
          <w:sz w:val="20"/>
          <w:szCs w:val="20"/>
        </w:rPr>
        <w:t xml:space="preserve">informe de sus actuaciones. </w:t>
      </w:r>
      <w:r w:rsidR="006D51AB" w:rsidRPr="00A53566">
        <w:rPr>
          <w:rFonts w:asciiTheme="majorHAnsi" w:hAnsiTheme="majorHAnsi"/>
          <w:sz w:val="20"/>
          <w:szCs w:val="20"/>
        </w:rPr>
        <w:t xml:space="preserve">En contra de ello, el CENIDH interpuso un recurso de reposición por no haber requerido a la autoridad responsable rendir y enviar el informe </w:t>
      </w:r>
      <w:r w:rsidR="007E2941">
        <w:rPr>
          <w:rFonts w:asciiTheme="majorHAnsi" w:hAnsiTheme="majorHAnsi"/>
          <w:sz w:val="20"/>
          <w:szCs w:val="20"/>
        </w:rPr>
        <w:t xml:space="preserve">justificativo </w:t>
      </w:r>
      <w:r w:rsidR="006D51AB" w:rsidRPr="00A53566">
        <w:rPr>
          <w:rFonts w:asciiTheme="majorHAnsi" w:hAnsiTheme="majorHAnsi"/>
          <w:sz w:val="20"/>
          <w:szCs w:val="20"/>
        </w:rPr>
        <w:t xml:space="preserve">correspondiente. </w:t>
      </w:r>
    </w:p>
    <w:p w14:paraId="2815A7F2" w14:textId="56AB5DD3" w:rsidR="006D51AB" w:rsidRPr="00A53566" w:rsidRDefault="00B8100B" w:rsidP="005252E2">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E</w:t>
      </w:r>
      <w:r w:rsidR="006D51AB" w:rsidRPr="00A53566">
        <w:rPr>
          <w:rFonts w:asciiTheme="majorHAnsi" w:hAnsiTheme="majorHAnsi"/>
          <w:sz w:val="20"/>
          <w:szCs w:val="20"/>
        </w:rPr>
        <w:t xml:space="preserve">l 25 de enero de 2019 el CENIDH interpuso un recurso de amparo en contra del Departamento de Registro y Control de </w:t>
      </w:r>
      <w:r w:rsidR="00CF5F5D" w:rsidRPr="00A53566">
        <w:rPr>
          <w:rFonts w:asciiTheme="majorHAnsi" w:hAnsiTheme="majorHAnsi"/>
          <w:sz w:val="20"/>
          <w:szCs w:val="20"/>
        </w:rPr>
        <w:t>Asociaciones</w:t>
      </w:r>
      <w:r w:rsidR="006D51AB" w:rsidRPr="00A53566">
        <w:rPr>
          <w:rFonts w:asciiTheme="majorHAnsi" w:hAnsiTheme="majorHAnsi"/>
          <w:sz w:val="20"/>
          <w:szCs w:val="20"/>
        </w:rPr>
        <w:t xml:space="preserve"> </w:t>
      </w:r>
      <w:r w:rsidR="00C63575">
        <w:rPr>
          <w:rFonts w:asciiTheme="majorHAnsi" w:hAnsiTheme="majorHAnsi"/>
          <w:sz w:val="20"/>
          <w:szCs w:val="20"/>
        </w:rPr>
        <w:t>s</w:t>
      </w:r>
      <w:r w:rsidR="006D51AB" w:rsidRPr="00A53566">
        <w:rPr>
          <w:rFonts w:asciiTheme="majorHAnsi" w:hAnsiTheme="majorHAnsi"/>
          <w:sz w:val="20"/>
          <w:szCs w:val="20"/>
        </w:rPr>
        <w:t xml:space="preserve">in </w:t>
      </w:r>
      <w:r w:rsidR="00780AA8" w:rsidRPr="00A53566">
        <w:rPr>
          <w:rFonts w:asciiTheme="majorHAnsi" w:hAnsiTheme="majorHAnsi"/>
          <w:sz w:val="20"/>
          <w:szCs w:val="20"/>
        </w:rPr>
        <w:t>F</w:t>
      </w:r>
      <w:r w:rsidR="006D51AB" w:rsidRPr="00A53566">
        <w:rPr>
          <w:rFonts w:asciiTheme="majorHAnsi" w:hAnsiTheme="majorHAnsi"/>
          <w:sz w:val="20"/>
          <w:szCs w:val="20"/>
        </w:rPr>
        <w:t xml:space="preserve">ines de </w:t>
      </w:r>
      <w:r w:rsidR="00780AA8" w:rsidRPr="00A53566">
        <w:rPr>
          <w:rFonts w:asciiTheme="majorHAnsi" w:hAnsiTheme="majorHAnsi"/>
          <w:sz w:val="20"/>
          <w:szCs w:val="20"/>
        </w:rPr>
        <w:t>L</w:t>
      </w:r>
      <w:r w:rsidR="006D51AB" w:rsidRPr="00A53566">
        <w:rPr>
          <w:rFonts w:asciiTheme="majorHAnsi" w:hAnsiTheme="majorHAnsi"/>
          <w:sz w:val="20"/>
          <w:szCs w:val="20"/>
        </w:rPr>
        <w:t>ucr</w:t>
      </w:r>
      <w:r w:rsidR="00780AA8" w:rsidRPr="00A53566">
        <w:rPr>
          <w:rFonts w:asciiTheme="majorHAnsi" w:hAnsiTheme="majorHAnsi"/>
          <w:sz w:val="20"/>
          <w:szCs w:val="20"/>
        </w:rPr>
        <w:t>o</w:t>
      </w:r>
      <w:r w:rsidR="006D51AB" w:rsidRPr="00A53566">
        <w:rPr>
          <w:rFonts w:asciiTheme="majorHAnsi" w:hAnsiTheme="majorHAnsi"/>
          <w:sz w:val="20"/>
          <w:szCs w:val="20"/>
        </w:rPr>
        <w:t xml:space="preserve"> del Ministerio de Gobernación</w:t>
      </w:r>
      <w:r w:rsidR="003E4157" w:rsidRPr="00A53566">
        <w:rPr>
          <w:rFonts w:asciiTheme="majorHAnsi" w:hAnsiTheme="majorHAnsi"/>
          <w:sz w:val="20"/>
          <w:szCs w:val="20"/>
        </w:rPr>
        <w:t xml:space="preserve"> y</w:t>
      </w:r>
      <w:r w:rsidR="006D51AB" w:rsidRPr="00A53566">
        <w:rPr>
          <w:rFonts w:asciiTheme="majorHAnsi" w:hAnsiTheme="majorHAnsi"/>
          <w:sz w:val="20"/>
          <w:szCs w:val="20"/>
        </w:rPr>
        <w:t xml:space="preserve"> en contra de la Dirección de Auxilio Judicial</w:t>
      </w:r>
      <w:r w:rsidR="003E4157" w:rsidRPr="00A53566">
        <w:rPr>
          <w:rFonts w:asciiTheme="majorHAnsi" w:hAnsiTheme="majorHAnsi"/>
          <w:sz w:val="20"/>
          <w:szCs w:val="20"/>
        </w:rPr>
        <w:t xml:space="preserve">, </w:t>
      </w:r>
      <w:r w:rsidR="006D51AB" w:rsidRPr="00A53566">
        <w:rPr>
          <w:rFonts w:asciiTheme="majorHAnsi" w:hAnsiTheme="majorHAnsi"/>
          <w:sz w:val="20"/>
          <w:szCs w:val="20"/>
        </w:rPr>
        <w:t>por</w:t>
      </w:r>
      <w:r w:rsidR="001A560F" w:rsidRPr="00A53566">
        <w:rPr>
          <w:rFonts w:asciiTheme="majorHAnsi" w:hAnsiTheme="majorHAnsi"/>
          <w:sz w:val="20"/>
          <w:szCs w:val="20"/>
        </w:rPr>
        <w:t xml:space="preserve"> haber ordenado y ejecutado </w:t>
      </w:r>
      <w:r w:rsidR="006D51AB" w:rsidRPr="00A53566">
        <w:rPr>
          <w:rFonts w:asciiTheme="majorHAnsi" w:hAnsiTheme="majorHAnsi"/>
          <w:sz w:val="20"/>
          <w:szCs w:val="20"/>
        </w:rPr>
        <w:t>el allanamiento de</w:t>
      </w:r>
      <w:r w:rsidR="003E4157" w:rsidRPr="00A53566">
        <w:rPr>
          <w:rFonts w:asciiTheme="majorHAnsi" w:hAnsiTheme="majorHAnsi"/>
          <w:sz w:val="20"/>
          <w:szCs w:val="20"/>
        </w:rPr>
        <w:t xml:space="preserve"> las instalaciones del </w:t>
      </w:r>
      <w:r w:rsidR="006D51AB" w:rsidRPr="00A53566">
        <w:rPr>
          <w:rFonts w:asciiTheme="majorHAnsi" w:hAnsiTheme="majorHAnsi"/>
          <w:sz w:val="20"/>
          <w:szCs w:val="20"/>
        </w:rPr>
        <w:t>CENIDH</w:t>
      </w:r>
      <w:r w:rsidR="00243394" w:rsidRPr="00A53566">
        <w:rPr>
          <w:rFonts w:asciiTheme="majorHAnsi" w:hAnsiTheme="majorHAnsi"/>
          <w:sz w:val="20"/>
          <w:szCs w:val="20"/>
        </w:rPr>
        <w:t xml:space="preserve">. </w:t>
      </w:r>
      <w:r w:rsidR="006003A1" w:rsidRPr="00A53566">
        <w:rPr>
          <w:rFonts w:asciiTheme="majorHAnsi" w:hAnsiTheme="majorHAnsi"/>
          <w:sz w:val="20"/>
          <w:szCs w:val="20"/>
        </w:rPr>
        <w:t>La parte peticionaria expresa que a</w:t>
      </w:r>
      <w:r w:rsidR="00A5469A" w:rsidRPr="00A53566">
        <w:rPr>
          <w:rFonts w:asciiTheme="majorHAnsi" w:hAnsiTheme="majorHAnsi"/>
          <w:sz w:val="20"/>
          <w:szCs w:val="20"/>
        </w:rPr>
        <w:t>mbos amparos</w:t>
      </w:r>
      <w:r w:rsidR="006003A1" w:rsidRPr="00A53566">
        <w:rPr>
          <w:rFonts w:asciiTheme="majorHAnsi" w:hAnsiTheme="majorHAnsi"/>
          <w:sz w:val="20"/>
          <w:szCs w:val="20"/>
        </w:rPr>
        <w:t xml:space="preserve"> siguen pendientes de resolución por parte de la</w:t>
      </w:r>
      <w:r w:rsidR="00A5469A" w:rsidRPr="00A53566">
        <w:rPr>
          <w:rFonts w:asciiTheme="majorHAnsi" w:hAnsiTheme="majorHAnsi"/>
          <w:sz w:val="20"/>
          <w:szCs w:val="20"/>
        </w:rPr>
        <w:t xml:space="preserve"> Sala Constitucional de la Corte Suprema de Justicia. </w:t>
      </w:r>
    </w:p>
    <w:p w14:paraId="7245A93E" w14:textId="073B52A7" w:rsidR="00020D77" w:rsidRPr="00542CF1" w:rsidRDefault="00592D85" w:rsidP="00542CF1">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Asimismo</w:t>
      </w:r>
      <w:r w:rsidR="00C26DE1" w:rsidRPr="00A53566">
        <w:rPr>
          <w:rFonts w:asciiTheme="majorHAnsi" w:hAnsiTheme="majorHAnsi"/>
          <w:sz w:val="20"/>
          <w:szCs w:val="20"/>
        </w:rPr>
        <w:t>, manifiestan que</w:t>
      </w:r>
      <w:r w:rsidR="00A5469A" w:rsidRPr="00A53566">
        <w:rPr>
          <w:rFonts w:asciiTheme="majorHAnsi" w:hAnsiTheme="majorHAnsi"/>
          <w:sz w:val="20"/>
          <w:szCs w:val="20"/>
        </w:rPr>
        <w:t xml:space="preserve"> </w:t>
      </w:r>
      <w:r w:rsidR="00C26DE1" w:rsidRPr="00A53566">
        <w:rPr>
          <w:rFonts w:asciiTheme="majorHAnsi" w:hAnsiTheme="majorHAnsi"/>
          <w:sz w:val="20"/>
          <w:szCs w:val="20"/>
        </w:rPr>
        <w:t xml:space="preserve">el </w:t>
      </w:r>
      <w:r w:rsidR="00A5469A" w:rsidRPr="00A53566">
        <w:rPr>
          <w:rFonts w:asciiTheme="majorHAnsi" w:hAnsiTheme="majorHAnsi"/>
          <w:sz w:val="20"/>
          <w:szCs w:val="20"/>
        </w:rPr>
        <w:t>16 de febrero de 2019</w:t>
      </w:r>
      <w:r w:rsidR="00C26DE1" w:rsidRPr="00A53566">
        <w:rPr>
          <w:rFonts w:asciiTheme="majorHAnsi" w:hAnsiTheme="majorHAnsi"/>
          <w:sz w:val="20"/>
          <w:szCs w:val="20"/>
        </w:rPr>
        <w:t xml:space="preserve"> </w:t>
      </w:r>
      <w:r w:rsidR="00A5469A" w:rsidRPr="00A53566">
        <w:rPr>
          <w:rFonts w:asciiTheme="majorHAnsi" w:hAnsiTheme="majorHAnsi"/>
          <w:sz w:val="20"/>
          <w:szCs w:val="20"/>
        </w:rPr>
        <w:t xml:space="preserve">el CENIDH interpuso un recurso por inconstitucionalidad ante la Corte Suprema de Justicia en contra del Decreto A.N. 8509-18, a través del cual se canceló la personalidad jurídica </w:t>
      </w:r>
      <w:r w:rsidR="00C26DE1" w:rsidRPr="00A53566">
        <w:rPr>
          <w:rFonts w:asciiTheme="majorHAnsi" w:hAnsiTheme="majorHAnsi"/>
          <w:sz w:val="20"/>
          <w:szCs w:val="20"/>
        </w:rPr>
        <w:t>de la organización</w:t>
      </w:r>
      <w:r w:rsidR="00A5469A" w:rsidRPr="00A53566">
        <w:rPr>
          <w:rFonts w:asciiTheme="majorHAnsi" w:hAnsiTheme="majorHAnsi"/>
          <w:sz w:val="20"/>
          <w:szCs w:val="20"/>
        </w:rPr>
        <w:t xml:space="preserve">. </w:t>
      </w:r>
      <w:r w:rsidR="00F91544">
        <w:rPr>
          <w:rFonts w:asciiTheme="majorHAnsi" w:hAnsiTheme="majorHAnsi"/>
          <w:sz w:val="20"/>
          <w:szCs w:val="20"/>
        </w:rPr>
        <w:t>Este</w:t>
      </w:r>
      <w:r w:rsidR="008B3B3C" w:rsidRPr="00A53566">
        <w:rPr>
          <w:rFonts w:asciiTheme="majorHAnsi" w:hAnsiTheme="majorHAnsi"/>
          <w:sz w:val="20"/>
          <w:szCs w:val="20"/>
        </w:rPr>
        <w:t xml:space="preserve"> recurso fue admitido el</w:t>
      </w:r>
      <w:r w:rsidR="00020D77" w:rsidRPr="00A53566">
        <w:rPr>
          <w:rFonts w:asciiTheme="majorHAnsi" w:hAnsiTheme="majorHAnsi"/>
          <w:sz w:val="20"/>
          <w:szCs w:val="20"/>
        </w:rPr>
        <w:t xml:space="preserve"> 26 de abril de 2019 por la Corte Suprema de Justicia</w:t>
      </w:r>
      <w:r w:rsidR="005679BB" w:rsidRPr="00A53566">
        <w:rPr>
          <w:rFonts w:asciiTheme="majorHAnsi" w:hAnsiTheme="majorHAnsi"/>
          <w:sz w:val="20"/>
          <w:szCs w:val="20"/>
        </w:rPr>
        <w:t>,</w:t>
      </w:r>
      <w:r w:rsidR="00C26DE1" w:rsidRPr="00A53566">
        <w:rPr>
          <w:rFonts w:asciiTheme="majorHAnsi" w:hAnsiTheme="majorHAnsi"/>
          <w:sz w:val="20"/>
          <w:szCs w:val="20"/>
        </w:rPr>
        <w:t xml:space="preserve"> y</w:t>
      </w:r>
      <w:r w:rsidR="00020D77" w:rsidRPr="00A53566">
        <w:rPr>
          <w:rFonts w:asciiTheme="majorHAnsi" w:hAnsiTheme="majorHAnsi"/>
          <w:sz w:val="20"/>
          <w:szCs w:val="20"/>
        </w:rPr>
        <w:t xml:space="preserve"> </w:t>
      </w:r>
      <w:r w:rsidR="00C26DE1" w:rsidRPr="00A53566">
        <w:rPr>
          <w:rFonts w:asciiTheme="majorHAnsi" w:hAnsiTheme="majorHAnsi"/>
          <w:sz w:val="20"/>
          <w:szCs w:val="20"/>
        </w:rPr>
        <w:t xml:space="preserve">a </w:t>
      </w:r>
      <w:r w:rsidR="00020D77" w:rsidRPr="00A53566">
        <w:rPr>
          <w:rFonts w:asciiTheme="majorHAnsi" w:hAnsiTheme="majorHAnsi"/>
          <w:sz w:val="20"/>
          <w:szCs w:val="20"/>
        </w:rPr>
        <w:t>la fecha de presentación de la petición</w:t>
      </w:r>
      <w:r w:rsidR="0088743A">
        <w:rPr>
          <w:rFonts w:asciiTheme="majorHAnsi" w:hAnsiTheme="majorHAnsi"/>
          <w:sz w:val="20"/>
          <w:szCs w:val="20"/>
        </w:rPr>
        <w:t xml:space="preserve"> se encuentra pendiente de resolución</w:t>
      </w:r>
      <w:r w:rsidR="00020D77" w:rsidRPr="00A53566">
        <w:rPr>
          <w:rFonts w:asciiTheme="majorHAnsi" w:hAnsiTheme="majorHAnsi"/>
          <w:sz w:val="20"/>
          <w:szCs w:val="20"/>
        </w:rPr>
        <w:t xml:space="preserve">. </w:t>
      </w:r>
      <w:r w:rsidRPr="00542CF1">
        <w:rPr>
          <w:rFonts w:asciiTheme="majorHAnsi" w:hAnsiTheme="majorHAnsi"/>
          <w:sz w:val="20"/>
          <w:szCs w:val="20"/>
        </w:rPr>
        <w:t>Por otro lado, e</w:t>
      </w:r>
      <w:r w:rsidR="00020D77" w:rsidRPr="00542CF1">
        <w:rPr>
          <w:rFonts w:asciiTheme="majorHAnsi" w:hAnsiTheme="majorHAnsi"/>
          <w:sz w:val="20"/>
          <w:szCs w:val="20"/>
        </w:rPr>
        <w:t>l 17 de enero de 2019 miembros del CENIDH interpusieron una denuncia en contra del Director General de la Policía Nacional</w:t>
      </w:r>
      <w:r w:rsidR="00EE1CA6" w:rsidRPr="00542CF1">
        <w:rPr>
          <w:rFonts w:asciiTheme="majorHAnsi" w:hAnsiTheme="majorHAnsi"/>
          <w:sz w:val="20"/>
          <w:szCs w:val="20"/>
        </w:rPr>
        <w:t xml:space="preserve"> por el robo de pertenencias, equipo de trabajo, vehículos, entre otros, </w:t>
      </w:r>
      <w:r w:rsidR="009F1C7A" w:rsidRPr="00542CF1">
        <w:rPr>
          <w:rFonts w:asciiTheme="majorHAnsi" w:hAnsiTheme="majorHAnsi"/>
          <w:sz w:val="20"/>
          <w:szCs w:val="20"/>
        </w:rPr>
        <w:t>que se encontraban al interior de</w:t>
      </w:r>
      <w:r w:rsidR="00EE1CA6" w:rsidRPr="00542CF1">
        <w:rPr>
          <w:rFonts w:asciiTheme="majorHAnsi" w:hAnsiTheme="majorHAnsi"/>
          <w:sz w:val="20"/>
          <w:szCs w:val="20"/>
        </w:rPr>
        <w:t xml:space="preserve"> instalaciones del CENIDH. </w:t>
      </w:r>
      <w:r w:rsidR="009F1C7A" w:rsidRPr="00542CF1">
        <w:rPr>
          <w:rFonts w:asciiTheme="majorHAnsi" w:hAnsiTheme="majorHAnsi"/>
          <w:sz w:val="20"/>
          <w:szCs w:val="20"/>
        </w:rPr>
        <w:t xml:space="preserve">No obstante, la parte peticionaria manifiesta que no hay avance en la investigación de los hechos </w:t>
      </w:r>
      <w:r w:rsidR="00FD3DD1" w:rsidRPr="00542CF1">
        <w:rPr>
          <w:rFonts w:asciiTheme="majorHAnsi" w:hAnsiTheme="majorHAnsi"/>
          <w:sz w:val="20"/>
          <w:szCs w:val="20"/>
        </w:rPr>
        <w:t>denunciados</w:t>
      </w:r>
      <w:r w:rsidR="009F1C7A" w:rsidRPr="00542CF1">
        <w:rPr>
          <w:rFonts w:asciiTheme="majorHAnsi" w:hAnsiTheme="majorHAnsi"/>
          <w:sz w:val="20"/>
          <w:szCs w:val="20"/>
        </w:rPr>
        <w:t xml:space="preserve">. </w:t>
      </w:r>
    </w:p>
    <w:p w14:paraId="7BAD48C3" w14:textId="5BC73E80" w:rsidR="00C57CBB" w:rsidRDefault="00D117E9" w:rsidP="004E6FC8">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 xml:space="preserve">En suma, la parte peticionaria alega que </w:t>
      </w:r>
      <w:r w:rsidR="002E357E" w:rsidRPr="00A53566">
        <w:rPr>
          <w:rFonts w:asciiTheme="majorHAnsi" w:hAnsiTheme="majorHAnsi"/>
          <w:sz w:val="20"/>
          <w:szCs w:val="20"/>
        </w:rPr>
        <w:t xml:space="preserve">el Estado violentó los derechos </w:t>
      </w:r>
      <w:r w:rsidR="00FD3DD1" w:rsidRPr="00A53566">
        <w:rPr>
          <w:rFonts w:asciiTheme="majorHAnsi" w:hAnsiTheme="majorHAnsi"/>
          <w:sz w:val="20"/>
          <w:szCs w:val="20"/>
        </w:rPr>
        <w:t xml:space="preserve">de los integrantes del CENIDH </w:t>
      </w:r>
      <w:r w:rsidR="00C57CBB" w:rsidRPr="00A53566">
        <w:rPr>
          <w:rFonts w:asciiTheme="majorHAnsi" w:hAnsiTheme="majorHAnsi"/>
          <w:sz w:val="20"/>
          <w:szCs w:val="20"/>
        </w:rPr>
        <w:t xml:space="preserve">por la falta de investigación y sanción de los responsables de los hostigamientos, persecuciones, amenazas, campañas de estigmatización y criminalización de </w:t>
      </w:r>
      <w:r w:rsidR="00BB011B">
        <w:rPr>
          <w:rFonts w:asciiTheme="majorHAnsi" w:hAnsiTheme="majorHAnsi"/>
          <w:sz w:val="20"/>
          <w:szCs w:val="20"/>
        </w:rPr>
        <w:t>sus</w:t>
      </w:r>
      <w:r w:rsidR="00C57CBB" w:rsidRPr="00A53566">
        <w:rPr>
          <w:rFonts w:asciiTheme="majorHAnsi" w:hAnsiTheme="majorHAnsi"/>
          <w:sz w:val="20"/>
          <w:szCs w:val="20"/>
        </w:rPr>
        <w:t xml:space="preserve"> integrantes</w:t>
      </w:r>
      <w:r w:rsidR="00BB011B">
        <w:rPr>
          <w:rFonts w:asciiTheme="majorHAnsi" w:hAnsiTheme="majorHAnsi"/>
          <w:sz w:val="20"/>
          <w:szCs w:val="20"/>
        </w:rPr>
        <w:t xml:space="preserve"> (incluyendo los desplazamientos de algunos); y </w:t>
      </w:r>
      <w:r w:rsidR="00C57CBB" w:rsidRPr="00A53566">
        <w:rPr>
          <w:rFonts w:asciiTheme="majorHAnsi" w:hAnsiTheme="majorHAnsi"/>
          <w:sz w:val="20"/>
          <w:szCs w:val="20"/>
        </w:rPr>
        <w:t xml:space="preserve">por la cancelación </w:t>
      </w:r>
      <w:r w:rsidR="00BB011B" w:rsidRPr="00A53566">
        <w:rPr>
          <w:rFonts w:asciiTheme="majorHAnsi" w:hAnsiTheme="majorHAnsi"/>
          <w:sz w:val="20"/>
          <w:szCs w:val="20"/>
        </w:rPr>
        <w:t xml:space="preserve">arbitraria </w:t>
      </w:r>
      <w:r w:rsidR="00C57CBB" w:rsidRPr="00A53566">
        <w:rPr>
          <w:rFonts w:asciiTheme="majorHAnsi" w:hAnsiTheme="majorHAnsi"/>
          <w:sz w:val="20"/>
          <w:szCs w:val="20"/>
        </w:rPr>
        <w:t>de la personalidad jurídica del CENIDH, debido a que esta se habría realizado por considerar a la organización como opositora del gobierno sandinista. Asimismo, alegan que los recursos</w:t>
      </w:r>
      <w:r w:rsidR="004E6FC8">
        <w:rPr>
          <w:rFonts w:asciiTheme="majorHAnsi" w:hAnsiTheme="majorHAnsi"/>
          <w:sz w:val="20"/>
          <w:szCs w:val="20"/>
        </w:rPr>
        <w:t xml:space="preserve"> de amparo e inconstitucionalidad</w:t>
      </w:r>
      <w:r w:rsidR="00C57CBB" w:rsidRPr="00A53566">
        <w:rPr>
          <w:rFonts w:asciiTheme="majorHAnsi" w:hAnsiTheme="majorHAnsi"/>
          <w:sz w:val="20"/>
          <w:szCs w:val="20"/>
        </w:rPr>
        <w:t xml:space="preserve"> interpuestos en contra de la cancelación de la personalidad jurídica del CENIDH, así como la denuncia por allanamiento y robo en sus instalaciones no se han tramitado conforme al debido proceso</w:t>
      </w:r>
      <w:r w:rsidR="00750DBF">
        <w:rPr>
          <w:rFonts w:asciiTheme="majorHAnsi" w:hAnsiTheme="majorHAnsi"/>
          <w:sz w:val="20"/>
          <w:szCs w:val="20"/>
        </w:rPr>
        <w:t xml:space="preserve">, demorando excesivamente, y siendo en definitiva inefectivos. </w:t>
      </w:r>
    </w:p>
    <w:p w14:paraId="05B598AF" w14:textId="04F21210" w:rsidR="00BF405A" w:rsidRPr="005A382C" w:rsidRDefault="00BD52C3" w:rsidP="00252539">
      <w:pPr>
        <w:numPr>
          <w:ilvl w:val="0"/>
          <w:numId w:val="55"/>
        </w:numPr>
        <w:suppressAutoHyphens/>
        <w:spacing w:after="240"/>
        <w:jc w:val="both"/>
        <w:rPr>
          <w:rFonts w:asciiTheme="majorHAnsi" w:hAnsiTheme="majorHAnsi"/>
          <w:sz w:val="20"/>
          <w:szCs w:val="20"/>
        </w:rPr>
      </w:pPr>
      <w:r w:rsidRPr="005A382C">
        <w:rPr>
          <w:rFonts w:asciiTheme="majorHAnsi" w:hAnsiTheme="majorHAnsi"/>
          <w:sz w:val="20"/>
          <w:szCs w:val="20"/>
        </w:rPr>
        <w:t xml:space="preserve">Por último, los peticionarios alegan que </w:t>
      </w:r>
      <w:r w:rsidR="008F7624" w:rsidRPr="005A382C">
        <w:rPr>
          <w:rFonts w:asciiTheme="majorHAnsi" w:hAnsiTheme="majorHAnsi"/>
          <w:sz w:val="20"/>
          <w:szCs w:val="20"/>
        </w:rPr>
        <w:t>el Estado ha incumplido las medidas cautelares</w:t>
      </w:r>
      <w:r w:rsidR="00AE7B9C" w:rsidRPr="005A382C">
        <w:rPr>
          <w:rFonts w:asciiTheme="majorHAnsi" w:hAnsiTheme="majorHAnsi"/>
          <w:sz w:val="20"/>
          <w:szCs w:val="20"/>
        </w:rPr>
        <w:t xml:space="preserve"> </w:t>
      </w:r>
      <w:r w:rsidR="008F7624" w:rsidRPr="005A382C">
        <w:rPr>
          <w:rFonts w:asciiTheme="majorHAnsi" w:hAnsiTheme="majorHAnsi"/>
          <w:sz w:val="20"/>
          <w:szCs w:val="20"/>
        </w:rPr>
        <w:t xml:space="preserve">otorgadas por la Comisión Interamericana </w:t>
      </w:r>
      <w:r w:rsidR="00047F37" w:rsidRPr="005A382C">
        <w:rPr>
          <w:rFonts w:asciiTheme="majorHAnsi" w:hAnsiTheme="majorHAnsi"/>
          <w:sz w:val="20"/>
          <w:szCs w:val="20"/>
        </w:rPr>
        <w:t xml:space="preserve">(MC-277-08) </w:t>
      </w:r>
      <w:r w:rsidR="008F7624" w:rsidRPr="005A382C">
        <w:rPr>
          <w:rFonts w:asciiTheme="majorHAnsi" w:hAnsiTheme="majorHAnsi"/>
          <w:sz w:val="20"/>
          <w:szCs w:val="20"/>
        </w:rPr>
        <w:t>y la</w:t>
      </w:r>
      <w:r w:rsidR="00AE7B9C" w:rsidRPr="005A382C">
        <w:rPr>
          <w:rFonts w:asciiTheme="majorHAnsi" w:hAnsiTheme="majorHAnsi"/>
          <w:sz w:val="20"/>
          <w:szCs w:val="20"/>
        </w:rPr>
        <w:t>s medidas urgentes y provisionales</w:t>
      </w:r>
      <w:r w:rsidR="008F7624" w:rsidRPr="005A382C">
        <w:rPr>
          <w:rFonts w:asciiTheme="majorHAnsi" w:hAnsiTheme="majorHAnsi"/>
          <w:sz w:val="20"/>
          <w:szCs w:val="20"/>
        </w:rPr>
        <w:t xml:space="preserve"> </w:t>
      </w:r>
      <w:r w:rsidR="00AE7B9C" w:rsidRPr="005A382C">
        <w:rPr>
          <w:rFonts w:asciiTheme="majorHAnsi" w:hAnsiTheme="majorHAnsi"/>
          <w:sz w:val="20"/>
          <w:szCs w:val="20"/>
        </w:rPr>
        <w:t xml:space="preserve">otorgadas por la </w:t>
      </w:r>
      <w:r w:rsidR="008F7624" w:rsidRPr="005A382C">
        <w:rPr>
          <w:rFonts w:asciiTheme="majorHAnsi" w:hAnsiTheme="majorHAnsi"/>
          <w:sz w:val="20"/>
          <w:szCs w:val="20"/>
        </w:rPr>
        <w:t>Corte Interamericana</w:t>
      </w:r>
      <w:r w:rsidR="00996300" w:rsidRPr="005A382C">
        <w:rPr>
          <w:rFonts w:asciiTheme="majorHAnsi" w:hAnsiTheme="majorHAnsi"/>
          <w:sz w:val="20"/>
          <w:szCs w:val="20"/>
        </w:rPr>
        <w:t xml:space="preserve"> de Derechos Humano</w:t>
      </w:r>
      <w:r w:rsidR="005A382C" w:rsidRPr="005A382C">
        <w:rPr>
          <w:rFonts w:asciiTheme="majorHAnsi" w:hAnsiTheme="majorHAnsi"/>
          <w:sz w:val="20"/>
          <w:szCs w:val="20"/>
        </w:rPr>
        <w:t>s</w:t>
      </w:r>
      <w:r w:rsidR="008F7624" w:rsidRPr="005A382C">
        <w:rPr>
          <w:rFonts w:asciiTheme="majorHAnsi" w:hAnsiTheme="majorHAnsi"/>
          <w:sz w:val="20"/>
          <w:szCs w:val="20"/>
        </w:rPr>
        <w:t xml:space="preserve">. </w:t>
      </w:r>
      <w:r w:rsidR="00F34E75" w:rsidRPr="005A382C">
        <w:rPr>
          <w:rFonts w:asciiTheme="majorHAnsi" w:hAnsiTheme="majorHAnsi"/>
          <w:sz w:val="20"/>
          <w:szCs w:val="20"/>
        </w:rPr>
        <w:t>Aducen</w:t>
      </w:r>
      <w:r w:rsidR="008F7624" w:rsidRPr="005A382C">
        <w:rPr>
          <w:rFonts w:asciiTheme="majorHAnsi" w:hAnsiTheme="majorHAnsi"/>
          <w:sz w:val="20"/>
          <w:szCs w:val="20"/>
        </w:rPr>
        <w:t xml:space="preserve"> que no se han tomado </w:t>
      </w:r>
      <w:r w:rsidR="00F34E75" w:rsidRPr="005A382C">
        <w:rPr>
          <w:rFonts w:asciiTheme="majorHAnsi" w:hAnsiTheme="majorHAnsi"/>
          <w:sz w:val="20"/>
          <w:szCs w:val="20"/>
        </w:rPr>
        <w:t xml:space="preserve">las </w:t>
      </w:r>
      <w:r w:rsidR="008F7624" w:rsidRPr="005A382C">
        <w:rPr>
          <w:rFonts w:asciiTheme="majorHAnsi" w:hAnsiTheme="majorHAnsi"/>
          <w:sz w:val="20"/>
          <w:szCs w:val="20"/>
        </w:rPr>
        <w:t>medida</w:t>
      </w:r>
      <w:r w:rsidR="00F34E75" w:rsidRPr="005A382C">
        <w:rPr>
          <w:rFonts w:asciiTheme="majorHAnsi" w:hAnsiTheme="majorHAnsi"/>
          <w:sz w:val="20"/>
          <w:szCs w:val="20"/>
        </w:rPr>
        <w:t xml:space="preserve">s pertinentes encaminadas a ejecutar las acciones de protección </w:t>
      </w:r>
      <w:r w:rsidR="005A382C" w:rsidRPr="005A382C">
        <w:rPr>
          <w:rFonts w:asciiTheme="majorHAnsi" w:hAnsiTheme="majorHAnsi"/>
          <w:sz w:val="20"/>
          <w:szCs w:val="20"/>
        </w:rPr>
        <w:t>dictadas por estos órganos en favor de los</w:t>
      </w:r>
      <w:r w:rsidR="00AE7B9C" w:rsidRPr="005A382C">
        <w:rPr>
          <w:rFonts w:asciiTheme="majorHAnsi" w:hAnsiTheme="majorHAnsi"/>
          <w:sz w:val="20"/>
          <w:szCs w:val="20"/>
        </w:rPr>
        <w:t xml:space="preserve"> integrantes</w:t>
      </w:r>
      <w:r w:rsidR="00F34E75" w:rsidRPr="005A382C">
        <w:rPr>
          <w:rFonts w:asciiTheme="majorHAnsi" w:hAnsiTheme="majorHAnsi"/>
          <w:sz w:val="20"/>
          <w:szCs w:val="20"/>
        </w:rPr>
        <w:t xml:space="preserve"> </w:t>
      </w:r>
      <w:r w:rsidR="00AE7B9C" w:rsidRPr="005A382C">
        <w:rPr>
          <w:rFonts w:asciiTheme="majorHAnsi" w:hAnsiTheme="majorHAnsi"/>
          <w:sz w:val="20"/>
          <w:szCs w:val="20"/>
        </w:rPr>
        <w:t>d</w:t>
      </w:r>
      <w:r w:rsidR="00F34E75" w:rsidRPr="005A382C">
        <w:rPr>
          <w:rFonts w:asciiTheme="majorHAnsi" w:hAnsiTheme="majorHAnsi"/>
          <w:sz w:val="20"/>
          <w:szCs w:val="20"/>
        </w:rPr>
        <w:t>el CENIDH.</w:t>
      </w:r>
      <w:r w:rsidR="001D5AD4" w:rsidRPr="005A382C">
        <w:rPr>
          <w:rFonts w:asciiTheme="majorHAnsi" w:hAnsiTheme="majorHAnsi"/>
          <w:sz w:val="20"/>
          <w:szCs w:val="20"/>
        </w:rPr>
        <w:t xml:space="preserve"> Además, afirman que, debido a la cancelación de la personería jurídica del CENIDH, </w:t>
      </w:r>
      <w:r w:rsidR="00252539" w:rsidRPr="005A382C">
        <w:rPr>
          <w:rFonts w:asciiTheme="majorHAnsi" w:hAnsiTheme="majorHAnsi"/>
          <w:sz w:val="20"/>
          <w:szCs w:val="20"/>
        </w:rPr>
        <w:t>no existía</w:t>
      </w:r>
      <w:r w:rsidR="005A382C" w:rsidRPr="005A382C">
        <w:rPr>
          <w:rFonts w:asciiTheme="majorHAnsi" w:hAnsiTheme="majorHAnsi"/>
          <w:sz w:val="20"/>
          <w:szCs w:val="20"/>
        </w:rPr>
        <w:t>n las condiciones necesarias para que sus integrantes</w:t>
      </w:r>
      <w:r w:rsidR="00252539" w:rsidRPr="005A382C">
        <w:rPr>
          <w:rFonts w:asciiTheme="majorHAnsi" w:hAnsiTheme="majorHAnsi"/>
          <w:sz w:val="20"/>
          <w:szCs w:val="20"/>
        </w:rPr>
        <w:t xml:space="preserve"> </w:t>
      </w:r>
      <w:r w:rsidR="005A382C" w:rsidRPr="005A382C">
        <w:rPr>
          <w:rFonts w:asciiTheme="majorHAnsi" w:hAnsiTheme="majorHAnsi"/>
          <w:sz w:val="20"/>
          <w:szCs w:val="20"/>
        </w:rPr>
        <w:t xml:space="preserve">pudieran ejercer adecuada y libremente su labor de defensa de los derechos humanos, </w:t>
      </w:r>
      <w:r w:rsidR="00252539" w:rsidRPr="005A382C">
        <w:rPr>
          <w:rFonts w:asciiTheme="majorHAnsi" w:hAnsiTheme="majorHAnsi"/>
          <w:sz w:val="20"/>
          <w:szCs w:val="20"/>
        </w:rPr>
        <w:t xml:space="preserve">sin que ello </w:t>
      </w:r>
      <w:r w:rsidR="005A382C" w:rsidRPr="005A382C">
        <w:rPr>
          <w:rFonts w:asciiTheme="majorHAnsi" w:hAnsiTheme="majorHAnsi"/>
          <w:sz w:val="20"/>
          <w:szCs w:val="20"/>
        </w:rPr>
        <w:t>les trajera como</w:t>
      </w:r>
      <w:r w:rsidR="00252539" w:rsidRPr="005A382C">
        <w:rPr>
          <w:rFonts w:asciiTheme="majorHAnsi" w:hAnsiTheme="majorHAnsi"/>
          <w:sz w:val="20"/>
          <w:szCs w:val="20"/>
        </w:rPr>
        <w:t xml:space="preserve"> consecuenci</w:t>
      </w:r>
      <w:r w:rsidR="005A382C" w:rsidRPr="005A382C">
        <w:rPr>
          <w:rFonts w:asciiTheme="majorHAnsi" w:hAnsiTheme="majorHAnsi"/>
          <w:sz w:val="20"/>
          <w:szCs w:val="20"/>
        </w:rPr>
        <w:t>a</w:t>
      </w:r>
      <w:r w:rsidR="00252539" w:rsidRPr="005A382C">
        <w:rPr>
          <w:rFonts w:asciiTheme="majorHAnsi" w:hAnsiTheme="majorHAnsi"/>
          <w:sz w:val="20"/>
          <w:szCs w:val="20"/>
        </w:rPr>
        <w:t xml:space="preserve"> amenazas o represión en su contra o en contra de las víctimas a quienes representan</w:t>
      </w:r>
      <w:r w:rsidR="00AE7B9C" w:rsidRPr="005A382C">
        <w:rPr>
          <w:rFonts w:asciiTheme="majorHAnsi" w:hAnsiTheme="majorHAnsi"/>
          <w:sz w:val="20"/>
          <w:szCs w:val="20"/>
        </w:rPr>
        <w:t>.</w:t>
      </w:r>
      <w:r w:rsidR="001D5AD4" w:rsidRPr="005A382C">
        <w:rPr>
          <w:rFonts w:asciiTheme="majorHAnsi" w:hAnsiTheme="majorHAnsi"/>
          <w:sz w:val="20"/>
          <w:szCs w:val="20"/>
        </w:rPr>
        <w:t xml:space="preserve"> </w:t>
      </w:r>
    </w:p>
    <w:p w14:paraId="0C363AD4" w14:textId="2946D23F" w:rsidR="009B6A3E" w:rsidRPr="00A53566" w:rsidRDefault="00D052F2" w:rsidP="00C316FA">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Por su parte, e</w:t>
      </w:r>
      <w:r w:rsidR="003823B5" w:rsidRPr="00A53566">
        <w:rPr>
          <w:rFonts w:asciiTheme="majorHAnsi" w:hAnsiTheme="majorHAnsi"/>
          <w:sz w:val="20"/>
          <w:szCs w:val="20"/>
        </w:rPr>
        <w:t>l Estado</w:t>
      </w:r>
      <w:r w:rsidR="004F24DA">
        <w:rPr>
          <w:rFonts w:asciiTheme="majorHAnsi" w:hAnsiTheme="majorHAnsi"/>
          <w:sz w:val="20"/>
          <w:szCs w:val="20"/>
        </w:rPr>
        <w:t xml:space="preserve"> nicaragüense</w:t>
      </w:r>
      <w:r w:rsidR="003823B5" w:rsidRPr="00A53566">
        <w:rPr>
          <w:rFonts w:asciiTheme="majorHAnsi" w:hAnsiTheme="majorHAnsi"/>
          <w:sz w:val="20"/>
          <w:szCs w:val="20"/>
        </w:rPr>
        <w:t xml:space="preserve"> </w:t>
      </w:r>
      <w:r w:rsidR="004F24DA">
        <w:rPr>
          <w:rFonts w:asciiTheme="majorHAnsi" w:hAnsiTheme="majorHAnsi"/>
          <w:sz w:val="20"/>
          <w:szCs w:val="20"/>
        </w:rPr>
        <w:t>aduce</w:t>
      </w:r>
      <w:r w:rsidR="003823B5" w:rsidRPr="00A53566">
        <w:rPr>
          <w:rFonts w:asciiTheme="majorHAnsi" w:hAnsiTheme="majorHAnsi"/>
          <w:sz w:val="20"/>
          <w:szCs w:val="20"/>
        </w:rPr>
        <w:t xml:space="preserve"> que </w:t>
      </w:r>
      <w:r w:rsidR="00474A51" w:rsidRPr="00A53566">
        <w:rPr>
          <w:rFonts w:asciiTheme="majorHAnsi" w:hAnsiTheme="majorHAnsi"/>
          <w:sz w:val="20"/>
          <w:szCs w:val="20"/>
        </w:rPr>
        <w:t>la cancelación de la personalidad jurídica del</w:t>
      </w:r>
      <w:r w:rsidR="003823B5" w:rsidRPr="00A53566">
        <w:rPr>
          <w:rFonts w:asciiTheme="majorHAnsi" w:hAnsiTheme="majorHAnsi"/>
          <w:sz w:val="20"/>
          <w:szCs w:val="20"/>
        </w:rPr>
        <w:t xml:space="preserve"> CENIDH</w:t>
      </w:r>
      <w:r w:rsidR="00474A51" w:rsidRPr="00A53566">
        <w:rPr>
          <w:rFonts w:asciiTheme="majorHAnsi" w:hAnsiTheme="majorHAnsi"/>
          <w:sz w:val="20"/>
          <w:szCs w:val="20"/>
        </w:rPr>
        <w:t xml:space="preserve"> </w:t>
      </w:r>
      <w:r w:rsidR="00D86371" w:rsidRPr="00A53566">
        <w:rPr>
          <w:rFonts w:asciiTheme="majorHAnsi" w:hAnsiTheme="majorHAnsi"/>
          <w:sz w:val="20"/>
          <w:szCs w:val="20"/>
        </w:rPr>
        <w:t xml:space="preserve">fue </w:t>
      </w:r>
      <w:r w:rsidR="00AC63D8">
        <w:rPr>
          <w:rFonts w:asciiTheme="majorHAnsi" w:hAnsiTheme="majorHAnsi"/>
          <w:sz w:val="20"/>
          <w:szCs w:val="20"/>
        </w:rPr>
        <w:t>l</w:t>
      </w:r>
      <w:r w:rsidR="00D86371" w:rsidRPr="00A53566">
        <w:rPr>
          <w:rFonts w:asciiTheme="majorHAnsi" w:hAnsiTheme="majorHAnsi"/>
          <w:sz w:val="20"/>
          <w:szCs w:val="20"/>
        </w:rPr>
        <w:t>a consecuencia</w:t>
      </w:r>
      <w:r w:rsidR="00474A51" w:rsidRPr="00A53566">
        <w:rPr>
          <w:rFonts w:asciiTheme="majorHAnsi" w:hAnsiTheme="majorHAnsi"/>
          <w:sz w:val="20"/>
          <w:szCs w:val="20"/>
        </w:rPr>
        <w:t xml:space="preserve"> </w:t>
      </w:r>
      <w:r w:rsidR="00D86371" w:rsidRPr="00A53566">
        <w:rPr>
          <w:rFonts w:asciiTheme="majorHAnsi" w:hAnsiTheme="majorHAnsi"/>
          <w:sz w:val="20"/>
          <w:szCs w:val="20"/>
        </w:rPr>
        <w:t>d</w:t>
      </w:r>
      <w:r w:rsidR="00474A51" w:rsidRPr="00A53566">
        <w:rPr>
          <w:rFonts w:asciiTheme="majorHAnsi" w:hAnsiTheme="majorHAnsi"/>
          <w:sz w:val="20"/>
          <w:szCs w:val="20"/>
        </w:rPr>
        <w:t xml:space="preserve">el incumplimiento de </w:t>
      </w:r>
      <w:r w:rsidR="003823B5" w:rsidRPr="00A53566">
        <w:rPr>
          <w:rFonts w:asciiTheme="majorHAnsi" w:hAnsiTheme="majorHAnsi"/>
          <w:sz w:val="20"/>
          <w:szCs w:val="20"/>
        </w:rPr>
        <w:t xml:space="preserve">dos requisitos establecidos en la normativa </w:t>
      </w:r>
      <w:r w:rsidR="00EC25ED" w:rsidRPr="00A53566">
        <w:rPr>
          <w:rFonts w:asciiTheme="majorHAnsi" w:hAnsiTheme="majorHAnsi"/>
          <w:sz w:val="20"/>
          <w:szCs w:val="20"/>
        </w:rPr>
        <w:t xml:space="preserve">nicaragüense. </w:t>
      </w:r>
      <w:r w:rsidR="003823B5" w:rsidRPr="00A53566">
        <w:rPr>
          <w:rFonts w:asciiTheme="majorHAnsi" w:hAnsiTheme="majorHAnsi"/>
          <w:sz w:val="20"/>
          <w:szCs w:val="20"/>
        </w:rPr>
        <w:t>En primer lugar, manifiesta que el CENIDH omitió entregar sus estados financieros correspondientes al 2017</w:t>
      </w:r>
      <w:r w:rsidR="00EC25ED" w:rsidRPr="00A53566">
        <w:rPr>
          <w:rFonts w:asciiTheme="majorHAnsi" w:hAnsiTheme="majorHAnsi"/>
          <w:sz w:val="20"/>
          <w:szCs w:val="20"/>
        </w:rPr>
        <w:t xml:space="preserve">, incumpliendo </w:t>
      </w:r>
      <w:r w:rsidR="00474A51" w:rsidRPr="00A53566">
        <w:rPr>
          <w:rFonts w:asciiTheme="majorHAnsi" w:hAnsiTheme="majorHAnsi"/>
          <w:sz w:val="20"/>
          <w:szCs w:val="20"/>
        </w:rPr>
        <w:t>con ello</w:t>
      </w:r>
      <w:r w:rsidR="00EC25ED" w:rsidRPr="00A53566">
        <w:rPr>
          <w:rFonts w:asciiTheme="majorHAnsi" w:hAnsiTheme="majorHAnsi"/>
          <w:sz w:val="20"/>
          <w:szCs w:val="20"/>
        </w:rPr>
        <w:t xml:space="preserve"> </w:t>
      </w:r>
      <w:r w:rsidR="00474A51" w:rsidRPr="00A53566">
        <w:rPr>
          <w:rFonts w:asciiTheme="majorHAnsi" w:hAnsiTheme="majorHAnsi"/>
          <w:sz w:val="20"/>
          <w:szCs w:val="20"/>
        </w:rPr>
        <w:t xml:space="preserve">lo </w:t>
      </w:r>
      <w:r w:rsidR="009B6A3E" w:rsidRPr="00A53566">
        <w:rPr>
          <w:rFonts w:asciiTheme="majorHAnsi" w:hAnsiTheme="majorHAnsi"/>
          <w:sz w:val="20"/>
          <w:szCs w:val="20"/>
        </w:rPr>
        <w:t xml:space="preserve">requerido </w:t>
      </w:r>
      <w:r w:rsidR="00EC25ED" w:rsidRPr="00A53566">
        <w:rPr>
          <w:rFonts w:asciiTheme="majorHAnsi" w:hAnsiTheme="majorHAnsi"/>
          <w:sz w:val="20"/>
          <w:szCs w:val="20"/>
        </w:rPr>
        <w:t xml:space="preserve">en </w:t>
      </w:r>
      <w:r w:rsidR="00956C41">
        <w:rPr>
          <w:rFonts w:asciiTheme="majorHAnsi" w:hAnsiTheme="majorHAnsi"/>
          <w:sz w:val="20"/>
          <w:szCs w:val="20"/>
        </w:rPr>
        <w:t>el</w:t>
      </w:r>
      <w:r w:rsidR="00EC25ED" w:rsidRPr="00A53566">
        <w:rPr>
          <w:rFonts w:asciiTheme="majorHAnsi" w:hAnsiTheme="majorHAnsi"/>
          <w:sz w:val="20"/>
          <w:szCs w:val="20"/>
        </w:rPr>
        <w:t xml:space="preserve"> artículo 13.f) </w:t>
      </w:r>
      <w:r w:rsidR="007B3564" w:rsidRPr="00A53566">
        <w:rPr>
          <w:rFonts w:asciiTheme="majorHAnsi" w:hAnsiTheme="majorHAnsi"/>
          <w:sz w:val="20"/>
          <w:szCs w:val="20"/>
        </w:rPr>
        <w:t>de la Ley 147</w:t>
      </w:r>
      <w:r w:rsidR="00EC25ED" w:rsidRPr="00A53566">
        <w:rPr>
          <w:rFonts w:asciiTheme="majorHAnsi" w:hAnsiTheme="majorHAnsi"/>
          <w:sz w:val="20"/>
          <w:szCs w:val="20"/>
        </w:rPr>
        <w:t xml:space="preserve">. En segundo lugar, </w:t>
      </w:r>
      <w:r w:rsidR="009B6A3E" w:rsidRPr="00A53566">
        <w:rPr>
          <w:rFonts w:asciiTheme="majorHAnsi" w:hAnsiTheme="majorHAnsi"/>
          <w:sz w:val="20"/>
          <w:szCs w:val="20"/>
        </w:rPr>
        <w:t xml:space="preserve">que el CENIDH incumplió con lo establecido </w:t>
      </w:r>
      <w:r w:rsidR="007B3564" w:rsidRPr="00A53566">
        <w:rPr>
          <w:rFonts w:asciiTheme="majorHAnsi" w:hAnsiTheme="majorHAnsi"/>
          <w:sz w:val="20"/>
          <w:szCs w:val="20"/>
        </w:rPr>
        <w:t>en sus estatutos y</w:t>
      </w:r>
      <w:r w:rsidR="00ED442A">
        <w:rPr>
          <w:rFonts w:asciiTheme="majorHAnsi" w:hAnsiTheme="majorHAnsi"/>
          <w:sz w:val="20"/>
          <w:szCs w:val="20"/>
        </w:rPr>
        <w:t>,</w:t>
      </w:r>
      <w:r w:rsidR="007B3564" w:rsidRPr="00A53566">
        <w:rPr>
          <w:rFonts w:asciiTheme="majorHAnsi" w:hAnsiTheme="majorHAnsi"/>
          <w:sz w:val="20"/>
          <w:szCs w:val="20"/>
        </w:rPr>
        <w:t xml:space="preserve"> por ende</w:t>
      </w:r>
      <w:r w:rsidR="00ED442A">
        <w:rPr>
          <w:rFonts w:asciiTheme="majorHAnsi" w:hAnsiTheme="majorHAnsi"/>
          <w:sz w:val="20"/>
          <w:szCs w:val="20"/>
        </w:rPr>
        <w:t>,</w:t>
      </w:r>
      <w:r w:rsidR="007B3564" w:rsidRPr="00A53566">
        <w:rPr>
          <w:rFonts w:asciiTheme="majorHAnsi" w:hAnsiTheme="majorHAnsi"/>
          <w:sz w:val="20"/>
          <w:szCs w:val="20"/>
        </w:rPr>
        <w:t xml:space="preserve"> en lo establecido en el artículo 21 de la Ley 147, a causa de que</w:t>
      </w:r>
      <w:r w:rsidR="004E364B" w:rsidRPr="00A53566">
        <w:rPr>
          <w:rFonts w:asciiTheme="majorHAnsi" w:hAnsiTheme="majorHAnsi"/>
          <w:sz w:val="20"/>
          <w:szCs w:val="20"/>
        </w:rPr>
        <w:t xml:space="preserve"> entregó de manera extemporánea los documentos relativos a la elección de su junta directiva. </w:t>
      </w:r>
      <w:r w:rsidR="00AC63D8">
        <w:rPr>
          <w:rFonts w:asciiTheme="majorHAnsi" w:hAnsiTheme="majorHAnsi"/>
          <w:sz w:val="20"/>
          <w:szCs w:val="20"/>
        </w:rPr>
        <w:lastRenderedPageBreak/>
        <w:t>Esta</w:t>
      </w:r>
      <w:r w:rsidR="004E364B" w:rsidRPr="00A53566">
        <w:rPr>
          <w:rFonts w:asciiTheme="majorHAnsi" w:hAnsiTheme="majorHAnsi"/>
          <w:sz w:val="20"/>
          <w:szCs w:val="20"/>
        </w:rPr>
        <w:t xml:space="preserve"> documentación </w:t>
      </w:r>
      <w:r w:rsidR="00AC63D8">
        <w:rPr>
          <w:rFonts w:asciiTheme="majorHAnsi" w:hAnsiTheme="majorHAnsi"/>
          <w:sz w:val="20"/>
          <w:szCs w:val="20"/>
        </w:rPr>
        <w:t>habría sido</w:t>
      </w:r>
      <w:r w:rsidR="004E364B" w:rsidRPr="00A53566">
        <w:rPr>
          <w:rFonts w:asciiTheme="majorHAnsi" w:hAnsiTheme="majorHAnsi"/>
          <w:sz w:val="20"/>
          <w:szCs w:val="20"/>
        </w:rPr>
        <w:t xml:space="preserve"> entregada el 30 de noviembre de 2018</w:t>
      </w:r>
      <w:r w:rsidR="007D27EA">
        <w:rPr>
          <w:rFonts w:asciiTheme="majorHAnsi" w:hAnsiTheme="majorHAnsi"/>
          <w:sz w:val="20"/>
          <w:szCs w:val="20"/>
        </w:rPr>
        <w:t>,</w:t>
      </w:r>
      <w:r w:rsidR="004E364B" w:rsidRPr="00A53566">
        <w:rPr>
          <w:rFonts w:asciiTheme="majorHAnsi" w:hAnsiTheme="majorHAnsi"/>
          <w:sz w:val="20"/>
          <w:szCs w:val="20"/>
        </w:rPr>
        <w:t xml:space="preserve"> siete meses después del vencimiento. </w:t>
      </w:r>
      <w:r w:rsidR="007D27EA">
        <w:rPr>
          <w:rFonts w:asciiTheme="majorHAnsi" w:hAnsiTheme="majorHAnsi"/>
          <w:sz w:val="20"/>
          <w:szCs w:val="20"/>
        </w:rPr>
        <w:t>S</w:t>
      </w:r>
      <w:r w:rsidR="004E364B" w:rsidRPr="00A53566">
        <w:rPr>
          <w:rFonts w:asciiTheme="majorHAnsi" w:hAnsiTheme="majorHAnsi"/>
          <w:sz w:val="20"/>
          <w:szCs w:val="20"/>
        </w:rPr>
        <w:t xml:space="preserve">i bien los peticionarios </w:t>
      </w:r>
      <w:r w:rsidR="007D27EA">
        <w:rPr>
          <w:rFonts w:asciiTheme="majorHAnsi" w:hAnsiTheme="majorHAnsi"/>
          <w:sz w:val="20"/>
          <w:szCs w:val="20"/>
        </w:rPr>
        <w:t>invocan</w:t>
      </w:r>
      <w:r w:rsidR="004E364B" w:rsidRPr="00A53566">
        <w:rPr>
          <w:rFonts w:asciiTheme="majorHAnsi" w:hAnsiTheme="majorHAnsi"/>
          <w:sz w:val="20"/>
          <w:szCs w:val="20"/>
        </w:rPr>
        <w:t xml:space="preserve"> causas de fuerza mayor </w:t>
      </w:r>
      <w:r w:rsidR="007D27EA">
        <w:rPr>
          <w:rFonts w:asciiTheme="majorHAnsi" w:hAnsiTheme="majorHAnsi"/>
          <w:sz w:val="20"/>
          <w:szCs w:val="20"/>
        </w:rPr>
        <w:t xml:space="preserve">para </w:t>
      </w:r>
      <w:r w:rsidR="004E364B" w:rsidRPr="00A53566">
        <w:rPr>
          <w:rFonts w:asciiTheme="majorHAnsi" w:hAnsiTheme="majorHAnsi"/>
          <w:sz w:val="20"/>
          <w:szCs w:val="20"/>
        </w:rPr>
        <w:t xml:space="preserve">posponer la elección, en ningún momento solicitaron </w:t>
      </w:r>
      <w:r w:rsidR="00660976">
        <w:rPr>
          <w:rFonts w:asciiTheme="majorHAnsi" w:hAnsiTheme="majorHAnsi"/>
          <w:sz w:val="20"/>
          <w:szCs w:val="20"/>
        </w:rPr>
        <w:t>la</w:t>
      </w:r>
      <w:r w:rsidR="004E364B" w:rsidRPr="00A53566">
        <w:rPr>
          <w:rFonts w:asciiTheme="majorHAnsi" w:hAnsiTheme="majorHAnsi"/>
          <w:sz w:val="20"/>
          <w:szCs w:val="20"/>
        </w:rPr>
        <w:t xml:space="preserve"> prórroga </w:t>
      </w:r>
      <w:r w:rsidR="00660976">
        <w:rPr>
          <w:rFonts w:asciiTheme="majorHAnsi" w:hAnsiTheme="majorHAnsi"/>
          <w:sz w:val="20"/>
          <w:szCs w:val="20"/>
        </w:rPr>
        <w:t>correspondiente</w:t>
      </w:r>
      <w:r w:rsidR="00843889">
        <w:rPr>
          <w:rFonts w:asciiTheme="majorHAnsi" w:hAnsiTheme="majorHAnsi"/>
          <w:sz w:val="20"/>
          <w:szCs w:val="20"/>
        </w:rPr>
        <w:t>.</w:t>
      </w:r>
      <w:r w:rsidR="004E364B" w:rsidRPr="00A53566">
        <w:rPr>
          <w:rFonts w:asciiTheme="majorHAnsi" w:hAnsiTheme="majorHAnsi"/>
          <w:sz w:val="20"/>
          <w:szCs w:val="20"/>
        </w:rPr>
        <w:t xml:space="preserve"> </w:t>
      </w:r>
    </w:p>
    <w:p w14:paraId="345ADC6E" w14:textId="43114911" w:rsidR="004E364B" w:rsidRPr="00A53566" w:rsidRDefault="004E364B" w:rsidP="00C316FA">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En relación con lo anterior, el 11 de diciembre de 2018 un diputado de la Asamblea Nacional presentó una iniciativa para cancelar la personería jurídica del CENIDH. Así, el 12 de diciembre de 2018 fue aprobado el Decreto Legislativo A.N. Nº 8509, a través del cual se canceló de manera definitiva la personalidad jurídica del CENIDH. Indica que la iniciativa y publicación del decreto se realizó con apego a lo establecido en la normativa interna</w:t>
      </w:r>
      <w:r w:rsidR="009D1CF9" w:rsidRPr="00A53566">
        <w:rPr>
          <w:rFonts w:asciiTheme="majorHAnsi" w:hAnsiTheme="majorHAnsi"/>
          <w:sz w:val="20"/>
          <w:szCs w:val="20"/>
        </w:rPr>
        <w:t xml:space="preserve"> y que la Asamblea Nacional actuó dentro del ámbito de sus competencias, </w:t>
      </w:r>
      <w:r w:rsidR="00451D18">
        <w:rPr>
          <w:rFonts w:asciiTheme="majorHAnsi" w:hAnsiTheme="majorHAnsi"/>
          <w:sz w:val="20"/>
          <w:szCs w:val="20"/>
        </w:rPr>
        <w:t>teniendo</w:t>
      </w:r>
      <w:r w:rsidR="009D1CF9" w:rsidRPr="00A53566">
        <w:rPr>
          <w:rFonts w:asciiTheme="majorHAnsi" w:hAnsiTheme="majorHAnsi"/>
          <w:sz w:val="20"/>
          <w:szCs w:val="20"/>
        </w:rPr>
        <w:t xml:space="preserve"> facultad para otorgar y cancelar la personalidad jurídica a asociaciones civiles, conforme </w:t>
      </w:r>
      <w:r w:rsidR="00451D18">
        <w:rPr>
          <w:rFonts w:asciiTheme="majorHAnsi" w:hAnsiTheme="majorHAnsi"/>
          <w:sz w:val="20"/>
          <w:szCs w:val="20"/>
        </w:rPr>
        <w:t>al</w:t>
      </w:r>
      <w:r w:rsidR="009D1CF9" w:rsidRPr="00A53566">
        <w:rPr>
          <w:rFonts w:asciiTheme="majorHAnsi" w:hAnsiTheme="majorHAnsi"/>
          <w:sz w:val="20"/>
          <w:szCs w:val="20"/>
        </w:rPr>
        <w:t xml:space="preserve"> artículo 138 de la Constitución Política.</w:t>
      </w:r>
    </w:p>
    <w:p w14:paraId="42B16500" w14:textId="382880B5" w:rsidR="00090B52" w:rsidRPr="00A53566" w:rsidRDefault="009D1CF9" w:rsidP="00C316FA">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Respecto a la alegada violación al derecho a la propiedad del CENIDH, el Estado manifiesta que</w:t>
      </w:r>
      <w:r w:rsidR="00085EF5" w:rsidRPr="00A53566">
        <w:rPr>
          <w:rFonts w:asciiTheme="majorHAnsi" w:hAnsiTheme="majorHAnsi"/>
          <w:sz w:val="20"/>
          <w:szCs w:val="20"/>
        </w:rPr>
        <w:t xml:space="preserve"> 13 de diciembre de 2018 la</w:t>
      </w:r>
      <w:r w:rsidR="00625146" w:rsidRPr="00A53566">
        <w:rPr>
          <w:rFonts w:asciiTheme="majorHAnsi" w:hAnsiTheme="majorHAnsi"/>
          <w:sz w:val="20"/>
          <w:szCs w:val="20"/>
        </w:rPr>
        <w:t xml:space="preserve"> Directora Auxiliar del Departamento de Registro y Control de Organismos sin Fines de Lucro solicitó a la</w:t>
      </w:r>
      <w:r w:rsidR="00085EF5" w:rsidRPr="00A53566">
        <w:rPr>
          <w:rFonts w:asciiTheme="majorHAnsi" w:hAnsiTheme="majorHAnsi"/>
          <w:sz w:val="20"/>
          <w:szCs w:val="20"/>
        </w:rPr>
        <w:t xml:space="preserve"> Dirección de Auxilio Judicial de la Policía Nacional, </w:t>
      </w:r>
      <w:r w:rsidR="00625146" w:rsidRPr="00A53566">
        <w:rPr>
          <w:rFonts w:asciiTheme="majorHAnsi" w:hAnsiTheme="majorHAnsi"/>
          <w:sz w:val="20"/>
          <w:szCs w:val="20"/>
        </w:rPr>
        <w:t xml:space="preserve">la clausura, allanamiento, registro de morada, secuestro y ocupación de bienes de </w:t>
      </w:r>
      <w:r w:rsidR="00C85C74" w:rsidRPr="00A53566">
        <w:rPr>
          <w:rFonts w:asciiTheme="majorHAnsi" w:hAnsiTheme="majorHAnsi"/>
          <w:sz w:val="20"/>
          <w:szCs w:val="20"/>
        </w:rPr>
        <w:t>la oficina</w:t>
      </w:r>
      <w:r w:rsidR="00625146" w:rsidRPr="00A53566">
        <w:rPr>
          <w:rFonts w:asciiTheme="majorHAnsi" w:hAnsiTheme="majorHAnsi"/>
          <w:sz w:val="20"/>
          <w:szCs w:val="20"/>
        </w:rPr>
        <w:t xml:space="preserve"> del CENIDH. </w:t>
      </w:r>
      <w:r w:rsidR="003B7672">
        <w:rPr>
          <w:rFonts w:asciiTheme="majorHAnsi" w:hAnsiTheme="majorHAnsi"/>
          <w:sz w:val="20"/>
          <w:szCs w:val="20"/>
        </w:rPr>
        <w:t>El Estado alega que a</w:t>
      </w:r>
      <w:r w:rsidR="003B7672" w:rsidRPr="00A53566">
        <w:rPr>
          <w:rFonts w:asciiTheme="majorHAnsi" w:hAnsiTheme="majorHAnsi"/>
          <w:sz w:val="20"/>
          <w:szCs w:val="20"/>
        </w:rPr>
        <w:t xml:space="preserve">l tratarse de un caso de urgencia </w:t>
      </w:r>
      <w:r w:rsidR="00625146" w:rsidRPr="00A53566">
        <w:rPr>
          <w:rFonts w:asciiTheme="majorHAnsi" w:hAnsiTheme="majorHAnsi"/>
          <w:sz w:val="20"/>
          <w:szCs w:val="20"/>
        </w:rPr>
        <w:t>la Policía Nacional</w:t>
      </w:r>
      <w:r w:rsidR="003B7672">
        <w:rPr>
          <w:rFonts w:asciiTheme="majorHAnsi" w:hAnsiTheme="majorHAnsi"/>
          <w:sz w:val="20"/>
          <w:szCs w:val="20"/>
        </w:rPr>
        <w:t xml:space="preserve"> </w:t>
      </w:r>
      <w:r w:rsidR="00625146" w:rsidRPr="00A53566">
        <w:rPr>
          <w:rFonts w:asciiTheme="majorHAnsi" w:hAnsiTheme="majorHAnsi"/>
          <w:sz w:val="20"/>
          <w:szCs w:val="20"/>
        </w:rPr>
        <w:t>allanó las oficinas del CENIDH, ocupando los bienes y clausurando el sitio</w:t>
      </w:r>
      <w:r w:rsidR="003B7672">
        <w:rPr>
          <w:rFonts w:asciiTheme="majorHAnsi" w:hAnsiTheme="majorHAnsi"/>
          <w:sz w:val="20"/>
          <w:szCs w:val="20"/>
        </w:rPr>
        <w:t>; y</w:t>
      </w:r>
      <w:r w:rsidR="00625146" w:rsidRPr="00A53566">
        <w:rPr>
          <w:rFonts w:asciiTheme="majorHAnsi" w:hAnsiTheme="majorHAnsi"/>
          <w:sz w:val="20"/>
          <w:szCs w:val="20"/>
        </w:rPr>
        <w:t xml:space="preserve"> </w:t>
      </w:r>
      <w:r w:rsidR="004E129E" w:rsidRPr="00A53566">
        <w:rPr>
          <w:rFonts w:asciiTheme="majorHAnsi" w:hAnsiTheme="majorHAnsi"/>
          <w:sz w:val="20"/>
          <w:szCs w:val="20"/>
        </w:rPr>
        <w:t xml:space="preserve">que </w:t>
      </w:r>
      <w:r w:rsidR="003B7672">
        <w:rPr>
          <w:rFonts w:asciiTheme="majorHAnsi" w:hAnsiTheme="majorHAnsi"/>
          <w:sz w:val="20"/>
          <w:szCs w:val="20"/>
        </w:rPr>
        <w:t>este</w:t>
      </w:r>
      <w:r w:rsidR="004E129E" w:rsidRPr="00A53566">
        <w:rPr>
          <w:rFonts w:asciiTheme="majorHAnsi" w:hAnsiTheme="majorHAnsi"/>
          <w:sz w:val="20"/>
          <w:szCs w:val="20"/>
        </w:rPr>
        <w:t xml:space="preserve"> allanamiento </w:t>
      </w:r>
      <w:r w:rsidR="003B7672">
        <w:rPr>
          <w:rFonts w:asciiTheme="majorHAnsi" w:hAnsiTheme="majorHAnsi"/>
          <w:sz w:val="20"/>
          <w:szCs w:val="20"/>
        </w:rPr>
        <w:t>se realizó en apego a la ley. Así,</w:t>
      </w:r>
      <w:r w:rsidR="00C85C74" w:rsidRPr="00A53566">
        <w:rPr>
          <w:rFonts w:asciiTheme="majorHAnsi" w:hAnsiTheme="majorHAnsi"/>
          <w:sz w:val="20"/>
          <w:szCs w:val="20"/>
        </w:rPr>
        <w:t xml:space="preserve"> el</w:t>
      </w:r>
      <w:r w:rsidR="004E129E" w:rsidRPr="00A53566">
        <w:rPr>
          <w:rFonts w:asciiTheme="majorHAnsi" w:hAnsiTheme="majorHAnsi"/>
          <w:sz w:val="20"/>
          <w:szCs w:val="20"/>
        </w:rPr>
        <w:t xml:space="preserve"> 14 de diciembre el Juzgado Se</w:t>
      </w:r>
      <w:r w:rsidR="00C85C74" w:rsidRPr="00A53566">
        <w:rPr>
          <w:rFonts w:asciiTheme="majorHAnsi" w:hAnsiTheme="majorHAnsi"/>
          <w:sz w:val="20"/>
          <w:szCs w:val="20"/>
        </w:rPr>
        <w:t>x</w:t>
      </w:r>
      <w:r w:rsidR="004E129E" w:rsidRPr="00A53566">
        <w:rPr>
          <w:rFonts w:asciiTheme="majorHAnsi" w:hAnsiTheme="majorHAnsi"/>
          <w:sz w:val="20"/>
          <w:szCs w:val="20"/>
        </w:rPr>
        <w:t xml:space="preserve">to de Distrito de lo </w:t>
      </w:r>
      <w:r w:rsidR="00C85C74" w:rsidRPr="00A53566">
        <w:rPr>
          <w:rFonts w:asciiTheme="majorHAnsi" w:hAnsiTheme="majorHAnsi"/>
          <w:sz w:val="20"/>
          <w:szCs w:val="20"/>
        </w:rPr>
        <w:t>P</w:t>
      </w:r>
      <w:r w:rsidR="004E129E" w:rsidRPr="00A53566">
        <w:rPr>
          <w:rFonts w:asciiTheme="majorHAnsi" w:hAnsiTheme="majorHAnsi"/>
          <w:sz w:val="20"/>
          <w:szCs w:val="20"/>
        </w:rPr>
        <w:t xml:space="preserve">enal de Audiencia </w:t>
      </w:r>
      <w:r w:rsidR="00747CDA" w:rsidRPr="00A53566">
        <w:rPr>
          <w:rFonts w:asciiTheme="majorHAnsi" w:hAnsiTheme="majorHAnsi"/>
          <w:sz w:val="20"/>
          <w:szCs w:val="20"/>
        </w:rPr>
        <w:t>Circunscripción</w:t>
      </w:r>
      <w:r w:rsidR="004E129E" w:rsidRPr="00A53566">
        <w:rPr>
          <w:rFonts w:asciiTheme="majorHAnsi" w:hAnsiTheme="majorHAnsi"/>
          <w:sz w:val="20"/>
          <w:szCs w:val="20"/>
        </w:rPr>
        <w:t xml:space="preserve"> de Managua, convalidó lo solicitado por la </w:t>
      </w:r>
      <w:r w:rsidR="00C85C74" w:rsidRPr="00A53566">
        <w:rPr>
          <w:rFonts w:asciiTheme="majorHAnsi" w:hAnsiTheme="majorHAnsi"/>
          <w:sz w:val="20"/>
          <w:szCs w:val="20"/>
        </w:rPr>
        <w:t>P</w:t>
      </w:r>
      <w:r w:rsidR="004E129E" w:rsidRPr="00A53566">
        <w:rPr>
          <w:rFonts w:asciiTheme="majorHAnsi" w:hAnsiTheme="majorHAnsi"/>
          <w:sz w:val="20"/>
          <w:szCs w:val="20"/>
        </w:rPr>
        <w:t xml:space="preserve">olicía </w:t>
      </w:r>
      <w:r w:rsidR="00C85C74" w:rsidRPr="00A53566">
        <w:rPr>
          <w:rFonts w:asciiTheme="majorHAnsi" w:hAnsiTheme="majorHAnsi"/>
          <w:sz w:val="20"/>
          <w:szCs w:val="20"/>
        </w:rPr>
        <w:t>N</w:t>
      </w:r>
      <w:r w:rsidR="004E129E" w:rsidRPr="00A53566">
        <w:rPr>
          <w:rFonts w:asciiTheme="majorHAnsi" w:hAnsiTheme="majorHAnsi"/>
          <w:sz w:val="20"/>
          <w:szCs w:val="20"/>
        </w:rPr>
        <w:t xml:space="preserve">acional. </w:t>
      </w:r>
    </w:p>
    <w:p w14:paraId="3B7B8FA6" w14:textId="2657D823" w:rsidR="00B12E33" w:rsidRPr="00A53566" w:rsidRDefault="00B12E33" w:rsidP="00C316FA">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Por lo que respecta al recurso de revisión interpuesto en contra la resolución de la cancelación de la personalidad jurídica de</w:t>
      </w:r>
      <w:r w:rsidR="00FE637E">
        <w:rPr>
          <w:rFonts w:asciiTheme="majorHAnsi" w:hAnsiTheme="majorHAnsi"/>
          <w:sz w:val="20"/>
          <w:szCs w:val="20"/>
        </w:rPr>
        <w:t xml:space="preserve"> la organización</w:t>
      </w:r>
      <w:r w:rsidRPr="00A53566">
        <w:rPr>
          <w:rFonts w:asciiTheme="majorHAnsi" w:hAnsiTheme="majorHAnsi"/>
          <w:sz w:val="20"/>
          <w:szCs w:val="20"/>
        </w:rPr>
        <w:t xml:space="preserve">, el Estado sostiene que el CENIDH erróneamente interpuso el recurso de revisión ante el Departamento de Registro y Control de Asociaciones del Ministerio de Gobernación, debido a que </w:t>
      </w:r>
      <w:r w:rsidR="003B7672">
        <w:rPr>
          <w:rFonts w:asciiTheme="majorHAnsi" w:hAnsiTheme="majorHAnsi"/>
          <w:sz w:val="20"/>
          <w:szCs w:val="20"/>
        </w:rPr>
        <w:t>esta dependencia</w:t>
      </w:r>
      <w:r w:rsidRPr="00A53566">
        <w:rPr>
          <w:rFonts w:asciiTheme="majorHAnsi" w:hAnsiTheme="majorHAnsi"/>
          <w:sz w:val="20"/>
          <w:szCs w:val="20"/>
        </w:rPr>
        <w:t xml:space="preserve"> no tiene facultad alguna para cancelar la personalidad jurídica del CENIDH o de alguna otra organización. </w:t>
      </w:r>
      <w:r w:rsidR="003B7672">
        <w:rPr>
          <w:rFonts w:asciiTheme="majorHAnsi" w:hAnsiTheme="majorHAnsi"/>
          <w:sz w:val="20"/>
          <w:szCs w:val="20"/>
        </w:rPr>
        <w:t>En este sentido Nicaragua precisa que</w:t>
      </w:r>
      <w:r w:rsidRPr="00A53566">
        <w:rPr>
          <w:rFonts w:asciiTheme="majorHAnsi" w:hAnsiTheme="majorHAnsi"/>
          <w:sz w:val="20"/>
          <w:szCs w:val="20"/>
        </w:rPr>
        <w:t xml:space="preserve"> la cancelación de la personalidad jurídica fue realizada por la Asamblea Nacional mediante Decreto Legislativo No. 8509. </w:t>
      </w:r>
    </w:p>
    <w:p w14:paraId="7AB0BBA9" w14:textId="59D5497E" w:rsidR="001032F2" w:rsidRPr="00A53566" w:rsidRDefault="001032F2" w:rsidP="00C316FA">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En cuanto a los dos recursos de amparo presentados ante la Corte Suprema de Justicia de Nicaragua</w:t>
      </w:r>
      <w:r w:rsidR="003B7672">
        <w:rPr>
          <w:rFonts w:asciiTheme="majorHAnsi" w:hAnsiTheme="majorHAnsi"/>
          <w:sz w:val="20"/>
          <w:szCs w:val="20"/>
        </w:rPr>
        <w:t>,</w:t>
      </w:r>
      <w:r w:rsidRPr="00A53566">
        <w:rPr>
          <w:rFonts w:asciiTheme="majorHAnsi" w:hAnsiTheme="majorHAnsi"/>
          <w:sz w:val="20"/>
          <w:szCs w:val="20"/>
        </w:rPr>
        <w:t xml:space="preserve"> y el recurso por inconstitucionalidad, el Estado considera que los tres recursos son improcedentes debido a que las personas que lo interpusieron lo hicieron en calidad de asociados del CENIDH</w:t>
      </w:r>
      <w:r w:rsidR="003B7672">
        <w:rPr>
          <w:rFonts w:asciiTheme="majorHAnsi" w:hAnsiTheme="majorHAnsi"/>
          <w:sz w:val="20"/>
          <w:szCs w:val="20"/>
        </w:rPr>
        <w:t>;</w:t>
      </w:r>
      <w:r w:rsidRPr="00A53566">
        <w:rPr>
          <w:rFonts w:asciiTheme="majorHAnsi" w:hAnsiTheme="majorHAnsi"/>
          <w:sz w:val="20"/>
          <w:szCs w:val="20"/>
        </w:rPr>
        <w:t xml:space="preserve"> y no en su carácter de ciudadanos, tal y como lo establece el artículo 64 de la Ley de Justicia Constitucional. Asimismo, indica que</w:t>
      </w:r>
      <w:r w:rsidR="00952EDF" w:rsidRPr="00A53566">
        <w:rPr>
          <w:rFonts w:asciiTheme="majorHAnsi" w:hAnsiTheme="majorHAnsi"/>
          <w:sz w:val="20"/>
          <w:szCs w:val="20"/>
        </w:rPr>
        <w:t xml:space="preserve"> a la fecha</w:t>
      </w:r>
      <w:r w:rsidR="003B7672">
        <w:rPr>
          <w:rFonts w:asciiTheme="majorHAnsi" w:hAnsiTheme="majorHAnsi"/>
          <w:sz w:val="20"/>
          <w:szCs w:val="20"/>
        </w:rPr>
        <w:t xml:space="preserve"> </w:t>
      </w:r>
      <w:r w:rsidRPr="00A53566">
        <w:rPr>
          <w:rFonts w:asciiTheme="majorHAnsi" w:hAnsiTheme="majorHAnsi"/>
          <w:sz w:val="20"/>
          <w:szCs w:val="20"/>
        </w:rPr>
        <w:t xml:space="preserve">los tres recursos </w:t>
      </w:r>
      <w:r w:rsidR="00952EDF" w:rsidRPr="00A53566">
        <w:rPr>
          <w:rFonts w:asciiTheme="majorHAnsi" w:hAnsiTheme="majorHAnsi"/>
          <w:sz w:val="20"/>
          <w:szCs w:val="20"/>
        </w:rPr>
        <w:t>se encuentran pendientes de resolución.</w:t>
      </w:r>
    </w:p>
    <w:p w14:paraId="7EFBECF1" w14:textId="1CDB5522" w:rsidR="00747CDA" w:rsidRPr="00A53566" w:rsidRDefault="00747CDA" w:rsidP="00C316FA">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 xml:space="preserve">Respecto a </w:t>
      </w:r>
      <w:r w:rsidR="00C87618" w:rsidRPr="00A53566">
        <w:rPr>
          <w:rFonts w:asciiTheme="majorHAnsi" w:hAnsiTheme="majorHAnsi"/>
          <w:sz w:val="20"/>
          <w:szCs w:val="20"/>
        </w:rPr>
        <w:t xml:space="preserve">los alegados hostigamientos y agresiones en contra </w:t>
      </w:r>
      <w:r w:rsidR="00C85C74" w:rsidRPr="00A53566">
        <w:rPr>
          <w:rFonts w:asciiTheme="majorHAnsi" w:hAnsiTheme="majorHAnsi"/>
          <w:sz w:val="20"/>
          <w:szCs w:val="20"/>
        </w:rPr>
        <w:t>de los integrantes del</w:t>
      </w:r>
      <w:r w:rsidR="00C87618" w:rsidRPr="00A53566">
        <w:rPr>
          <w:rFonts w:asciiTheme="majorHAnsi" w:hAnsiTheme="majorHAnsi"/>
          <w:sz w:val="20"/>
          <w:szCs w:val="20"/>
        </w:rPr>
        <w:t xml:space="preserve"> CENIDH, el Estado afirma que en el Sistema Automatizado de Registro de Expedientes Fiscales</w:t>
      </w:r>
      <w:r w:rsidR="001B7AFD" w:rsidRPr="00A53566">
        <w:rPr>
          <w:rFonts w:asciiTheme="majorHAnsi" w:hAnsiTheme="majorHAnsi"/>
          <w:sz w:val="20"/>
          <w:szCs w:val="20"/>
        </w:rPr>
        <w:t xml:space="preserve"> ni en la base de datos de la Policía Nacional</w:t>
      </w:r>
      <w:r w:rsidR="00C87618" w:rsidRPr="00A53566">
        <w:rPr>
          <w:rFonts w:asciiTheme="majorHAnsi" w:hAnsiTheme="majorHAnsi"/>
          <w:sz w:val="20"/>
          <w:szCs w:val="20"/>
        </w:rPr>
        <w:t xml:space="preserve"> se </w:t>
      </w:r>
      <w:r w:rsidR="00FF7E76" w:rsidRPr="00A53566">
        <w:rPr>
          <w:rFonts w:asciiTheme="majorHAnsi" w:hAnsiTheme="majorHAnsi"/>
          <w:sz w:val="20"/>
          <w:szCs w:val="20"/>
        </w:rPr>
        <w:t>cuenta con</w:t>
      </w:r>
      <w:r w:rsidR="00C87618" w:rsidRPr="00A53566">
        <w:rPr>
          <w:rFonts w:asciiTheme="majorHAnsi" w:hAnsiTheme="majorHAnsi"/>
          <w:sz w:val="20"/>
          <w:szCs w:val="20"/>
        </w:rPr>
        <w:t xml:space="preserve"> registro algun</w:t>
      </w:r>
      <w:r w:rsidR="00B12E33" w:rsidRPr="00A53566">
        <w:rPr>
          <w:rFonts w:asciiTheme="majorHAnsi" w:hAnsiTheme="majorHAnsi"/>
          <w:sz w:val="20"/>
          <w:szCs w:val="20"/>
        </w:rPr>
        <w:t xml:space="preserve">o de denuncias interpuestas </w:t>
      </w:r>
      <w:r w:rsidR="00C87618" w:rsidRPr="00A53566">
        <w:rPr>
          <w:rFonts w:asciiTheme="majorHAnsi" w:hAnsiTheme="majorHAnsi"/>
          <w:sz w:val="20"/>
          <w:szCs w:val="20"/>
        </w:rPr>
        <w:t xml:space="preserve">por parte del CENIDH sobre acciones en su contra ni de sus integrantes. </w:t>
      </w:r>
    </w:p>
    <w:p w14:paraId="7EB999EB" w14:textId="5396D9D1" w:rsidR="00704B3D" w:rsidRPr="00A53566" w:rsidRDefault="007C2323" w:rsidP="00621110">
      <w:pPr>
        <w:spacing w:before="240" w:after="240"/>
        <w:ind w:firstLine="720"/>
        <w:jc w:val="both"/>
        <w:rPr>
          <w:rFonts w:asciiTheme="majorHAnsi" w:hAnsiTheme="majorHAnsi"/>
          <w:sz w:val="20"/>
          <w:szCs w:val="20"/>
        </w:rPr>
      </w:pPr>
      <w:r w:rsidRPr="00A53566">
        <w:rPr>
          <w:rFonts w:asciiTheme="majorHAnsi" w:eastAsia="Cambria" w:hAnsiTheme="majorHAnsi" w:cs="Cambria"/>
          <w:b/>
          <w:bCs/>
          <w:color w:val="000000"/>
          <w:sz w:val="20"/>
          <w:szCs w:val="20"/>
          <w:u w:color="000000"/>
          <w:lang w:eastAsia="es-ES"/>
        </w:rPr>
        <w:t>VI.</w:t>
      </w:r>
      <w:r w:rsidRPr="00A53566">
        <w:rPr>
          <w:rFonts w:asciiTheme="majorHAnsi" w:eastAsia="Cambria" w:hAnsiTheme="majorHAnsi" w:cs="Cambria"/>
          <w:b/>
          <w:bCs/>
          <w:color w:val="000000"/>
          <w:sz w:val="20"/>
          <w:szCs w:val="20"/>
          <w:u w:color="000000"/>
          <w:lang w:eastAsia="es-ES"/>
        </w:rPr>
        <w:tab/>
      </w:r>
      <w:r w:rsidRPr="00A53566">
        <w:rPr>
          <w:rFonts w:asciiTheme="majorHAnsi" w:hAnsiTheme="majorHAnsi"/>
          <w:b/>
          <w:bCs/>
          <w:sz w:val="20"/>
          <w:szCs w:val="20"/>
        </w:rPr>
        <w:t xml:space="preserve">ANÁLISIS DE </w:t>
      </w:r>
      <w:r w:rsidRPr="00A53566">
        <w:rPr>
          <w:rFonts w:asciiTheme="majorHAnsi" w:hAnsiTheme="majorHAnsi"/>
          <w:b/>
          <w:sz w:val="20"/>
          <w:szCs w:val="20"/>
        </w:rPr>
        <w:t>AGOTAMIENTO DE LOS RECURSOS INTERNOS Y PLAZO DE PRESENTACIÓN</w:t>
      </w:r>
      <w:r w:rsidRPr="00A53566">
        <w:rPr>
          <w:rFonts w:asciiTheme="majorHAnsi" w:eastAsia="Cambria" w:hAnsiTheme="majorHAnsi" w:cs="Cambria"/>
          <w:b/>
          <w:bCs/>
          <w:color w:val="000000"/>
          <w:sz w:val="20"/>
          <w:szCs w:val="20"/>
          <w:u w:color="000000"/>
          <w:lang w:eastAsia="es-ES"/>
        </w:rPr>
        <w:t xml:space="preserve"> </w:t>
      </w:r>
    </w:p>
    <w:p w14:paraId="7F684EB7" w14:textId="7F353CC8" w:rsidR="000157C9" w:rsidRPr="00A53566" w:rsidRDefault="00704B3D" w:rsidP="00C316FA">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 xml:space="preserve">Para analizar la cuestión de los recursos internos, la Comisión abordará </w:t>
      </w:r>
      <w:r w:rsidR="004F5BD4">
        <w:rPr>
          <w:rFonts w:asciiTheme="majorHAnsi" w:hAnsiTheme="majorHAnsi"/>
          <w:sz w:val="20"/>
          <w:szCs w:val="20"/>
        </w:rPr>
        <w:t xml:space="preserve">primero los relativos a </w:t>
      </w:r>
      <w:r w:rsidR="000157C9" w:rsidRPr="00A53566">
        <w:rPr>
          <w:rFonts w:asciiTheme="majorHAnsi" w:hAnsiTheme="majorHAnsi"/>
          <w:sz w:val="20"/>
          <w:szCs w:val="20"/>
        </w:rPr>
        <w:t>la presunta falta del Estado de intervenir o de investigar la</w:t>
      </w:r>
      <w:r w:rsidR="009E1B64" w:rsidRPr="00A53566">
        <w:rPr>
          <w:rFonts w:asciiTheme="majorHAnsi" w:hAnsiTheme="majorHAnsi"/>
          <w:sz w:val="20"/>
          <w:szCs w:val="20"/>
        </w:rPr>
        <w:t>s</w:t>
      </w:r>
      <w:r w:rsidR="000157C9" w:rsidRPr="00A53566">
        <w:rPr>
          <w:rFonts w:asciiTheme="majorHAnsi" w:hAnsiTheme="majorHAnsi"/>
          <w:sz w:val="20"/>
          <w:szCs w:val="20"/>
        </w:rPr>
        <w:t xml:space="preserve"> campaña</w:t>
      </w:r>
      <w:r w:rsidR="009E1B64" w:rsidRPr="00A53566">
        <w:rPr>
          <w:rFonts w:asciiTheme="majorHAnsi" w:hAnsiTheme="majorHAnsi"/>
          <w:sz w:val="20"/>
          <w:szCs w:val="20"/>
        </w:rPr>
        <w:t>s</w:t>
      </w:r>
      <w:r w:rsidR="000157C9" w:rsidRPr="00A53566">
        <w:rPr>
          <w:rFonts w:asciiTheme="majorHAnsi" w:hAnsiTheme="majorHAnsi"/>
          <w:sz w:val="20"/>
          <w:szCs w:val="20"/>
        </w:rPr>
        <w:t xml:space="preserve"> de </w:t>
      </w:r>
      <w:r w:rsidR="0034692E" w:rsidRPr="00A53566">
        <w:rPr>
          <w:rFonts w:asciiTheme="majorHAnsi" w:hAnsiTheme="majorHAnsi"/>
          <w:sz w:val="20"/>
          <w:szCs w:val="20"/>
        </w:rPr>
        <w:t xml:space="preserve">desprestigio, </w:t>
      </w:r>
      <w:r w:rsidR="000157C9" w:rsidRPr="00A53566">
        <w:rPr>
          <w:rFonts w:asciiTheme="majorHAnsi" w:hAnsiTheme="majorHAnsi"/>
          <w:sz w:val="20"/>
          <w:szCs w:val="20"/>
        </w:rPr>
        <w:t>hostigamiento</w:t>
      </w:r>
      <w:r w:rsidR="006101DF" w:rsidRPr="00A53566">
        <w:rPr>
          <w:rFonts w:asciiTheme="majorHAnsi" w:hAnsiTheme="majorHAnsi"/>
          <w:sz w:val="20"/>
          <w:szCs w:val="20"/>
        </w:rPr>
        <w:t>, estigmatización,</w:t>
      </w:r>
      <w:r w:rsidR="000157C9" w:rsidRPr="00A53566">
        <w:rPr>
          <w:rFonts w:asciiTheme="majorHAnsi" w:hAnsiTheme="majorHAnsi"/>
          <w:sz w:val="20"/>
          <w:szCs w:val="20"/>
        </w:rPr>
        <w:t xml:space="preserve"> intimidación</w:t>
      </w:r>
      <w:r w:rsidR="006101DF" w:rsidRPr="00A53566">
        <w:rPr>
          <w:rFonts w:asciiTheme="majorHAnsi" w:hAnsiTheme="majorHAnsi"/>
          <w:sz w:val="20"/>
          <w:szCs w:val="20"/>
        </w:rPr>
        <w:t>, criminalización y ataques</w:t>
      </w:r>
      <w:r w:rsidR="000157C9" w:rsidRPr="00A53566">
        <w:rPr>
          <w:rFonts w:asciiTheme="majorHAnsi" w:hAnsiTheme="majorHAnsi"/>
          <w:sz w:val="20"/>
          <w:szCs w:val="20"/>
        </w:rPr>
        <w:t xml:space="preserve"> en contra de</w:t>
      </w:r>
      <w:r w:rsidR="00424ECC" w:rsidRPr="00A53566">
        <w:rPr>
          <w:rFonts w:asciiTheme="majorHAnsi" w:hAnsiTheme="majorHAnsi"/>
          <w:sz w:val="20"/>
          <w:szCs w:val="20"/>
        </w:rPr>
        <w:t xml:space="preserve"> los integrantes del CENIDH</w:t>
      </w:r>
      <w:r w:rsidR="004F5BD4">
        <w:rPr>
          <w:rFonts w:asciiTheme="majorHAnsi" w:hAnsiTheme="majorHAnsi"/>
          <w:sz w:val="20"/>
          <w:szCs w:val="20"/>
        </w:rPr>
        <w:t>; y luego,</w:t>
      </w:r>
      <w:r w:rsidR="00424ECC" w:rsidRPr="00A53566">
        <w:rPr>
          <w:rFonts w:asciiTheme="majorHAnsi" w:hAnsiTheme="majorHAnsi"/>
          <w:sz w:val="20"/>
          <w:szCs w:val="20"/>
        </w:rPr>
        <w:t xml:space="preserve"> </w:t>
      </w:r>
      <w:r w:rsidR="004F5BD4">
        <w:rPr>
          <w:rFonts w:asciiTheme="majorHAnsi" w:hAnsiTheme="majorHAnsi"/>
          <w:sz w:val="20"/>
          <w:szCs w:val="20"/>
        </w:rPr>
        <w:t>los relativos</w:t>
      </w:r>
      <w:r w:rsidR="00F11E14" w:rsidRPr="00A53566">
        <w:rPr>
          <w:rFonts w:asciiTheme="majorHAnsi" w:hAnsiTheme="majorHAnsi"/>
          <w:sz w:val="20"/>
          <w:szCs w:val="20"/>
        </w:rPr>
        <w:t xml:space="preserve"> a</w:t>
      </w:r>
      <w:r w:rsidR="00424ECC" w:rsidRPr="00A53566">
        <w:rPr>
          <w:rFonts w:asciiTheme="majorHAnsi" w:hAnsiTheme="majorHAnsi"/>
          <w:sz w:val="20"/>
          <w:szCs w:val="20"/>
        </w:rPr>
        <w:t xml:space="preserve"> la alegada cancelación arbitraria de la personalidad jurídica del CENIDH y los hechos subsecuentes, tales como el allanamiento de sus instalaciones, vulneraciones a la propiedad privada,</w:t>
      </w:r>
      <w:r w:rsidR="00F11E14" w:rsidRPr="00A53566">
        <w:rPr>
          <w:rFonts w:asciiTheme="majorHAnsi" w:hAnsiTheme="majorHAnsi"/>
          <w:sz w:val="20"/>
          <w:szCs w:val="20"/>
        </w:rPr>
        <w:t xml:space="preserve"> robo,</w:t>
      </w:r>
      <w:r w:rsidR="00424ECC" w:rsidRPr="00A53566">
        <w:rPr>
          <w:rFonts w:asciiTheme="majorHAnsi" w:hAnsiTheme="majorHAnsi"/>
          <w:sz w:val="20"/>
          <w:szCs w:val="20"/>
        </w:rPr>
        <w:t xml:space="preserve"> entre otros. </w:t>
      </w:r>
    </w:p>
    <w:p w14:paraId="7291F7C0" w14:textId="2F3B49AD" w:rsidR="00341906" w:rsidRPr="00061FDF" w:rsidRDefault="00704B3D" w:rsidP="00341906">
      <w:pPr>
        <w:numPr>
          <w:ilvl w:val="0"/>
          <w:numId w:val="55"/>
        </w:numPr>
        <w:suppressAutoHyphens/>
        <w:spacing w:after="240"/>
        <w:jc w:val="both"/>
        <w:rPr>
          <w:rFonts w:asciiTheme="majorHAnsi" w:hAnsiTheme="majorHAnsi"/>
          <w:sz w:val="20"/>
          <w:szCs w:val="20"/>
        </w:rPr>
      </w:pPr>
      <w:r w:rsidRPr="00A53566">
        <w:rPr>
          <w:rFonts w:asciiTheme="majorHAnsi" w:hAnsiTheme="majorHAnsi"/>
          <w:sz w:val="20"/>
          <w:szCs w:val="20"/>
        </w:rPr>
        <w:t>Con relación al primer reclamo,</w:t>
      </w:r>
      <w:r w:rsidR="00424ECC" w:rsidRPr="00A53566">
        <w:rPr>
          <w:rFonts w:asciiTheme="majorHAnsi" w:hAnsiTheme="majorHAnsi"/>
          <w:sz w:val="20"/>
          <w:szCs w:val="20"/>
        </w:rPr>
        <w:t xml:space="preserve"> relativo </w:t>
      </w:r>
      <w:r w:rsidRPr="00A53566">
        <w:rPr>
          <w:rFonts w:asciiTheme="majorHAnsi" w:hAnsiTheme="majorHAnsi"/>
          <w:sz w:val="20"/>
          <w:szCs w:val="20"/>
        </w:rPr>
        <w:t>a presunta</w:t>
      </w:r>
      <w:r w:rsidR="009E1B64" w:rsidRPr="00A53566">
        <w:rPr>
          <w:rFonts w:asciiTheme="majorHAnsi" w:hAnsiTheme="majorHAnsi"/>
          <w:sz w:val="20"/>
          <w:szCs w:val="20"/>
        </w:rPr>
        <w:t>s</w:t>
      </w:r>
      <w:r w:rsidRPr="00A53566">
        <w:rPr>
          <w:rFonts w:asciiTheme="majorHAnsi" w:hAnsiTheme="majorHAnsi"/>
          <w:sz w:val="20"/>
          <w:szCs w:val="20"/>
        </w:rPr>
        <w:t xml:space="preserve"> campaña</w:t>
      </w:r>
      <w:r w:rsidR="009E1B64" w:rsidRPr="00A53566">
        <w:rPr>
          <w:rFonts w:asciiTheme="majorHAnsi" w:hAnsiTheme="majorHAnsi"/>
          <w:sz w:val="20"/>
          <w:szCs w:val="20"/>
        </w:rPr>
        <w:t>s</w:t>
      </w:r>
      <w:r w:rsidRPr="00A53566">
        <w:rPr>
          <w:rFonts w:asciiTheme="majorHAnsi" w:hAnsiTheme="majorHAnsi"/>
          <w:sz w:val="20"/>
          <w:szCs w:val="20"/>
        </w:rPr>
        <w:t xml:space="preserve"> de </w:t>
      </w:r>
      <w:r w:rsidR="0034692E" w:rsidRPr="00A53566">
        <w:rPr>
          <w:rFonts w:asciiTheme="majorHAnsi" w:hAnsiTheme="majorHAnsi"/>
          <w:sz w:val="20"/>
          <w:szCs w:val="20"/>
        </w:rPr>
        <w:t>desprestigio, hostigamiento, estigmatización, intimidación, criminalización y ataques</w:t>
      </w:r>
      <w:r w:rsidRPr="00A53566">
        <w:rPr>
          <w:rFonts w:asciiTheme="majorHAnsi" w:hAnsiTheme="majorHAnsi"/>
          <w:sz w:val="20"/>
          <w:szCs w:val="20"/>
        </w:rPr>
        <w:t xml:space="preserve"> en contra de</w:t>
      </w:r>
      <w:r w:rsidR="00424ECC" w:rsidRPr="00A53566">
        <w:rPr>
          <w:rFonts w:asciiTheme="majorHAnsi" w:hAnsiTheme="majorHAnsi"/>
          <w:sz w:val="20"/>
          <w:szCs w:val="20"/>
        </w:rPr>
        <w:t xml:space="preserve"> los integrantes del CEN</w:t>
      </w:r>
      <w:r w:rsidR="0034692E" w:rsidRPr="00A53566">
        <w:rPr>
          <w:rFonts w:asciiTheme="majorHAnsi" w:hAnsiTheme="majorHAnsi"/>
          <w:sz w:val="20"/>
          <w:szCs w:val="20"/>
        </w:rPr>
        <w:t>I</w:t>
      </w:r>
      <w:r w:rsidR="00424ECC" w:rsidRPr="00A53566">
        <w:rPr>
          <w:rFonts w:asciiTheme="majorHAnsi" w:hAnsiTheme="majorHAnsi"/>
          <w:sz w:val="20"/>
          <w:szCs w:val="20"/>
        </w:rPr>
        <w:t>DH</w:t>
      </w:r>
      <w:r w:rsidRPr="00A53566">
        <w:rPr>
          <w:rFonts w:asciiTheme="majorHAnsi" w:hAnsiTheme="majorHAnsi"/>
          <w:sz w:val="20"/>
          <w:szCs w:val="20"/>
        </w:rPr>
        <w:t xml:space="preserve">, el Estado señala que </w:t>
      </w:r>
      <w:r w:rsidR="00366756" w:rsidRPr="00A53566">
        <w:rPr>
          <w:rFonts w:asciiTheme="majorHAnsi" w:hAnsiTheme="majorHAnsi"/>
          <w:bCs/>
          <w:sz w:val="20"/>
          <w:szCs w:val="20"/>
        </w:rPr>
        <w:t xml:space="preserve">en el Sistema Automatizado de Registro de Expedientes Fiscales ni en la base de datos de la Policía Nacional se tiene registro de denuncias </w:t>
      </w:r>
      <w:r w:rsidR="004C730F">
        <w:rPr>
          <w:rFonts w:asciiTheme="majorHAnsi" w:hAnsiTheme="majorHAnsi"/>
          <w:bCs/>
          <w:sz w:val="20"/>
          <w:szCs w:val="20"/>
        </w:rPr>
        <w:t>al respecto</w:t>
      </w:r>
      <w:r w:rsidRPr="00A53566">
        <w:rPr>
          <w:rFonts w:asciiTheme="majorHAnsi" w:hAnsiTheme="majorHAnsi"/>
          <w:sz w:val="20"/>
          <w:szCs w:val="20"/>
        </w:rPr>
        <w:t xml:space="preserve">. </w:t>
      </w:r>
      <w:r w:rsidR="00341906">
        <w:rPr>
          <w:rFonts w:asciiTheme="majorHAnsi" w:hAnsiTheme="majorHAnsi"/>
          <w:sz w:val="20"/>
          <w:szCs w:val="20"/>
        </w:rPr>
        <w:t>Por su parte</w:t>
      </w:r>
      <w:r w:rsidR="00341906" w:rsidRPr="006809AA">
        <w:rPr>
          <w:rFonts w:asciiTheme="majorHAnsi" w:hAnsiTheme="majorHAnsi"/>
          <w:sz w:val="20"/>
          <w:szCs w:val="20"/>
        </w:rPr>
        <w:t xml:space="preserve">, la Comisión observa que estas alegadas violaciones al derecho a la integridad personal de </w:t>
      </w:r>
      <w:r w:rsidR="00341906">
        <w:rPr>
          <w:rFonts w:asciiTheme="majorHAnsi" w:hAnsiTheme="majorHAnsi"/>
          <w:sz w:val="20"/>
          <w:szCs w:val="20"/>
        </w:rPr>
        <w:t>los integrantes del CENIDH has sido continúas por más de una década</w:t>
      </w:r>
      <w:r w:rsidR="00A070C5">
        <w:rPr>
          <w:rFonts w:asciiTheme="majorHAnsi" w:hAnsiTheme="majorHAnsi"/>
          <w:sz w:val="20"/>
          <w:szCs w:val="20"/>
        </w:rPr>
        <w:t>, tomando en cuenta toda la información que estos han aportado a la CIDH en el trámite de la MC-277-08</w:t>
      </w:r>
      <w:r w:rsidR="00341906" w:rsidRPr="006809AA">
        <w:rPr>
          <w:rFonts w:asciiTheme="majorHAnsi" w:hAnsiTheme="majorHAnsi"/>
          <w:sz w:val="20"/>
          <w:szCs w:val="20"/>
        </w:rPr>
        <w:t>. Sin embargo, en ningún momento se habría procedido a su adecuada investigación y eventual sanción. De hecho, el Estado</w:t>
      </w:r>
      <w:r w:rsidR="00AE72D3">
        <w:rPr>
          <w:rFonts w:asciiTheme="majorHAnsi" w:hAnsiTheme="majorHAnsi"/>
          <w:sz w:val="20"/>
          <w:szCs w:val="20"/>
          <w:lang w:val="es-US"/>
        </w:rPr>
        <w:t xml:space="preserve"> </w:t>
      </w:r>
      <w:r w:rsidR="00341906">
        <w:rPr>
          <w:rFonts w:asciiTheme="majorHAnsi" w:hAnsiTheme="majorHAnsi"/>
          <w:sz w:val="20"/>
          <w:szCs w:val="20"/>
        </w:rPr>
        <w:t xml:space="preserve">se ha limitado a </w:t>
      </w:r>
      <w:r w:rsidR="00AE72D3">
        <w:rPr>
          <w:rFonts w:asciiTheme="majorHAnsi" w:hAnsiTheme="majorHAnsi"/>
          <w:sz w:val="20"/>
          <w:szCs w:val="20"/>
        </w:rPr>
        <w:t>decir</w:t>
      </w:r>
      <w:r w:rsidR="00341906">
        <w:rPr>
          <w:rFonts w:asciiTheme="majorHAnsi" w:hAnsiTheme="majorHAnsi"/>
          <w:sz w:val="20"/>
          <w:szCs w:val="20"/>
        </w:rPr>
        <w:t xml:space="preserve"> que no tiene registro de denuncia alguna relativa a estos hechos</w:t>
      </w:r>
      <w:r w:rsidR="00341906" w:rsidRPr="006809AA">
        <w:rPr>
          <w:rFonts w:asciiTheme="majorHAnsi" w:hAnsiTheme="majorHAnsi"/>
          <w:sz w:val="20"/>
          <w:szCs w:val="20"/>
        </w:rPr>
        <w:t xml:space="preserve">. </w:t>
      </w:r>
      <w:r w:rsidR="00AE72D3">
        <w:rPr>
          <w:rFonts w:asciiTheme="majorHAnsi" w:hAnsiTheme="majorHAnsi"/>
          <w:sz w:val="20"/>
          <w:szCs w:val="20"/>
          <w:lang w:val="es-US"/>
        </w:rPr>
        <w:t xml:space="preserve">Esta </w:t>
      </w:r>
      <w:r w:rsidR="00AE72D3">
        <w:rPr>
          <w:rFonts w:asciiTheme="majorHAnsi" w:hAnsiTheme="majorHAnsi"/>
          <w:sz w:val="20"/>
          <w:szCs w:val="20"/>
          <w:lang w:val="es-US"/>
        </w:rPr>
        <w:lastRenderedPageBreak/>
        <w:t xml:space="preserve">respuesta tangencial del Estado tampoco equivale a considerar que este ha planteado en debida forma la excepción de la falta de agotamiento de los recursos internos. </w:t>
      </w:r>
    </w:p>
    <w:p w14:paraId="7294A497" w14:textId="7E01CB55" w:rsidR="00980A03" w:rsidRPr="00293744" w:rsidRDefault="00C85409" w:rsidP="0010509E">
      <w:pPr>
        <w:numPr>
          <w:ilvl w:val="0"/>
          <w:numId w:val="55"/>
        </w:numPr>
        <w:suppressAutoHyphens/>
        <w:spacing w:after="240"/>
        <w:jc w:val="both"/>
        <w:rPr>
          <w:rFonts w:asciiTheme="majorHAnsi" w:hAnsiTheme="majorHAnsi"/>
          <w:sz w:val="20"/>
          <w:szCs w:val="20"/>
          <w:lang w:val="es-US"/>
        </w:rPr>
      </w:pPr>
      <w:r w:rsidRPr="00293744">
        <w:rPr>
          <w:rFonts w:asciiTheme="majorHAnsi" w:hAnsiTheme="majorHAnsi"/>
          <w:sz w:val="20"/>
          <w:szCs w:val="20"/>
          <w:lang w:val="es-US"/>
        </w:rPr>
        <w:t>Lo anterior se sustenta además, en que desde el 11 de noviembre de 2008</w:t>
      </w:r>
      <w:r w:rsidR="00980A03" w:rsidRPr="00293744">
        <w:rPr>
          <w:rFonts w:asciiTheme="majorHAnsi" w:hAnsiTheme="majorHAnsi"/>
          <w:sz w:val="20"/>
          <w:szCs w:val="20"/>
          <w:lang w:val="es-US"/>
        </w:rPr>
        <w:t xml:space="preserve"> la Comisión Interamericana otorgó medidas cautelares</w:t>
      </w:r>
      <w:r w:rsidR="00980A03" w:rsidRPr="00293744">
        <w:rPr>
          <w:rFonts w:ascii="Cambria" w:hAnsi="Cambria"/>
          <w:sz w:val="20"/>
          <w:szCs w:val="20"/>
          <w:vertAlign w:val="superscript"/>
        </w:rPr>
        <w:footnoteReference w:id="5"/>
      </w:r>
      <w:r w:rsidR="00980A03" w:rsidRPr="00293744">
        <w:rPr>
          <w:rFonts w:asciiTheme="majorHAnsi" w:hAnsiTheme="majorHAnsi"/>
          <w:sz w:val="20"/>
          <w:szCs w:val="20"/>
          <w:lang w:val="es-US"/>
        </w:rPr>
        <w:t xml:space="preserve"> a favor de la defensora de derechos humanos Vilma </w:t>
      </w:r>
      <w:r w:rsidR="0010509E" w:rsidRPr="00293744">
        <w:rPr>
          <w:rFonts w:asciiTheme="majorHAnsi" w:hAnsiTheme="majorHAnsi"/>
          <w:sz w:val="20"/>
          <w:szCs w:val="20"/>
          <w:lang w:val="es-US"/>
        </w:rPr>
        <w:t>Núñez</w:t>
      </w:r>
      <w:r w:rsidR="00980A03" w:rsidRPr="00293744">
        <w:rPr>
          <w:rFonts w:asciiTheme="majorHAnsi" w:hAnsiTheme="majorHAnsi"/>
          <w:sz w:val="20"/>
          <w:szCs w:val="20"/>
          <w:lang w:val="es-US"/>
        </w:rPr>
        <w:t xml:space="preserve"> de Escorcia y de los integrantes del CENIDH. Al respecto, la CIDH solicitó al Estado de Nicaragua adoptar las medidas necesarias para garantizar la vida y la integridad física de los beneficiarios e informar sobre las acciones adoptadas a fin de esclarecer judicialmente los hechos que dieron lugar a la adopción de medidas cautelares.</w:t>
      </w:r>
      <w:r w:rsidR="00C1496C" w:rsidRPr="00293744">
        <w:rPr>
          <w:rFonts w:asciiTheme="majorHAnsi" w:hAnsiTheme="majorHAnsi"/>
          <w:sz w:val="20"/>
          <w:szCs w:val="20"/>
          <w:lang w:val="es-US"/>
        </w:rPr>
        <w:t xml:space="preserve"> </w:t>
      </w:r>
      <w:r w:rsidR="0010509E" w:rsidRPr="00293744">
        <w:rPr>
          <w:rFonts w:asciiTheme="majorHAnsi" w:hAnsiTheme="majorHAnsi"/>
          <w:sz w:val="20"/>
          <w:szCs w:val="20"/>
          <w:lang w:val="es-US"/>
        </w:rPr>
        <w:t xml:space="preserve">No obstante, a raíz de los hechos ocurridos </w:t>
      </w:r>
      <w:r w:rsidR="00AE7B9C" w:rsidRPr="00293744">
        <w:rPr>
          <w:rFonts w:asciiTheme="majorHAnsi" w:hAnsiTheme="majorHAnsi"/>
          <w:sz w:val="20"/>
          <w:szCs w:val="20"/>
          <w:lang w:val="es-US"/>
        </w:rPr>
        <w:t>el 18</w:t>
      </w:r>
      <w:r w:rsidR="0010509E" w:rsidRPr="00293744">
        <w:rPr>
          <w:rFonts w:asciiTheme="majorHAnsi" w:hAnsiTheme="majorHAnsi"/>
          <w:sz w:val="20"/>
          <w:szCs w:val="20"/>
          <w:lang w:val="es-US"/>
        </w:rPr>
        <w:t xml:space="preserve"> abril de 2018 en Nicaragua, la Comisión Interamericana solicitó a la </w:t>
      </w:r>
      <w:r w:rsidR="00457CB6" w:rsidRPr="00293744">
        <w:rPr>
          <w:rFonts w:asciiTheme="majorHAnsi" w:hAnsiTheme="majorHAnsi"/>
          <w:sz w:val="20"/>
          <w:szCs w:val="20"/>
          <w:lang w:val="es-US"/>
        </w:rPr>
        <w:t>Corte Interamericana de Derechos Humanos adoptar medidas provisionales para proteger los derechos de los integrantes del CENIDH</w:t>
      </w:r>
      <w:r w:rsidR="00AE7B9C" w:rsidRPr="00293744">
        <w:rPr>
          <w:rFonts w:asciiTheme="majorHAnsi" w:hAnsiTheme="majorHAnsi"/>
          <w:sz w:val="20"/>
          <w:szCs w:val="20"/>
          <w:lang w:val="es-US"/>
        </w:rPr>
        <w:t>,</w:t>
      </w:r>
      <w:r w:rsidR="00457CB6" w:rsidRPr="00293744">
        <w:rPr>
          <w:rFonts w:asciiTheme="majorHAnsi" w:hAnsiTheme="majorHAnsi"/>
          <w:sz w:val="20"/>
          <w:szCs w:val="20"/>
          <w:lang w:val="es-US"/>
        </w:rPr>
        <w:t xml:space="preserve"> por encontrarse en una situación de extrema gravedad y urgencia de daños irreparables en Nicaragua. </w:t>
      </w:r>
    </w:p>
    <w:p w14:paraId="601F2066" w14:textId="59DADD9D" w:rsidR="00FA4E7D" w:rsidRPr="00293744" w:rsidRDefault="00457CB6" w:rsidP="001D5AD4">
      <w:pPr>
        <w:numPr>
          <w:ilvl w:val="0"/>
          <w:numId w:val="55"/>
        </w:numPr>
        <w:suppressAutoHyphens/>
        <w:spacing w:after="240"/>
        <w:jc w:val="both"/>
        <w:rPr>
          <w:rFonts w:asciiTheme="majorHAnsi" w:hAnsiTheme="majorHAnsi"/>
          <w:sz w:val="20"/>
          <w:szCs w:val="20"/>
        </w:rPr>
      </w:pPr>
      <w:r w:rsidRPr="00293744">
        <w:rPr>
          <w:rFonts w:asciiTheme="majorHAnsi" w:hAnsiTheme="majorHAnsi"/>
          <w:sz w:val="20"/>
          <w:szCs w:val="20"/>
          <w:lang w:val="es-US"/>
        </w:rPr>
        <w:t>En relación con lo anterior, el 12 de julio de 2019 la Corte Interamericana otorgó medidas urgentes en favor</w:t>
      </w:r>
      <w:r w:rsidR="00BD52C3" w:rsidRPr="00293744">
        <w:rPr>
          <w:rFonts w:asciiTheme="majorHAnsi" w:hAnsiTheme="majorHAnsi"/>
          <w:sz w:val="20"/>
          <w:szCs w:val="20"/>
          <w:lang w:val="es-US"/>
        </w:rPr>
        <w:t xml:space="preserve"> de los miembros del CENIDH</w:t>
      </w:r>
      <w:r w:rsidR="00BD52C3" w:rsidRPr="00293744">
        <w:rPr>
          <w:rStyle w:val="FootnoteReference"/>
          <w:rFonts w:asciiTheme="majorHAnsi" w:hAnsiTheme="majorHAnsi"/>
          <w:sz w:val="20"/>
          <w:szCs w:val="20"/>
          <w:lang w:val="es-US"/>
        </w:rPr>
        <w:footnoteReference w:id="6"/>
      </w:r>
      <w:r w:rsidRPr="00293744">
        <w:rPr>
          <w:rFonts w:asciiTheme="majorHAnsi" w:hAnsiTheme="majorHAnsi"/>
          <w:sz w:val="20"/>
          <w:szCs w:val="20"/>
          <w:lang w:val="es-US"/>
        </w:rPr>
        <w:t>, instando</w:t>
      </w:r>
      <w:r w:rsidR="00BD52C3" w:rsidRPr="00293744">
        <w:rPr>
          <w:rFonts w:asciiTheme="majorHAnsi" w:hAnsiTheme="majorHAnsi"/>
          <w:sz w:val="20"/>
          <w:szCs w:val="20"/>
          <w:lang w:val="es-US"/>
        </w:rPr>
        <w:t xml:space="preserve"> </w:t>
      </w:r>
      <w:r w:rsidRPr="00293744">
        <w:rPr>
          <w:rFonts w:asciiTheme="majorHAnsi" w:hAnsiTheme="majorHAnsi"/>
          <w:sz w:val="20"/>
          <w:szCs w:val="20"/>
          <w:lang w:val="es-US"/>
        </w:rPr>
        <w:t xml:space="preserve">al Estado de Nicaragua a adoptar las medidas necesarias para proteger la vida y la integridad de los integrantes del CENIDH, con la finalidad de asegurar la continuidad de sus labores como defensores de derechos humanos sin ser objetos de hostigamientos, amenazas o agresiones. </w:t>
      </w:r>
      <w:r w:rsidR="00BD52C3" w:rsidRPr="00293744">
        <w:rPr>
          <w:rFonts w:asciiTheme="majorHAnsi" w:hAnsiTheme="majorHAnsi"/>
          <w:sz w:val="20"/>
          <w:szCs w:val="20"/>
          <w:lang w:val="es-US"/>
        </w:rPr>
        <w:t xml:space="preserve">Posteriormente, el 14 de octubre de 2019 </w:t>
      </w:r>
      <w:r w:rsidR="0005421E" w:rsidRPr="00293744">
        <w:rPr>
          <w:rFonts w:asciiTheme="majorHAnsi" w:hAnsiTheme="majorHAnsi"/>
          <w:sz w:val="20"/>
          <w:szCs w:val="20"/>
          <w:lang w:val="es-US"/>
        </w:rPr>
        <w:t>y el 1 de septiembre de 2021</w:t>
      </w:r>
      <w:r w:rsidR="0005421E" w:rsidRPr="00293744">
        <w:rPr>
          <w:rStyle w:val="FootnoteReference"/>
          <w:rFonts w:asciiTheme="majorHAnsi" w:hAnsiTheme="majorHAnsi"/>
          <w:sz w:val="20"/>
          <w:szCs w:val="20"/>
          <w:lang w:val="es-US"/>
        </w:rPr>
        <w:footnoteReference w:id="7"/>
      </w:r>
      <w:r w:rsidR="0005421E" w:rsidRPr="00293744">
        <w:rPr>
          <w:rFonts w:asciiTheme="majorHAnsi" w:hAnsiTheme="majorHAnsi"/>
          <w:sz w:val="20"/>
          <w:szCs w:val="20"/>
          <w:lang w:val="es-US"/>
        </w:rPr>
        <w:t xml:space="preserve">, </w:t>
      </w:r>
      <w:r w:rsidR="00BD52C3" w:rsidRPr="00293744">
        <w:rPr>
          <w:rFonts w:asciiTheme="majorHAnsi" w:hAnsiTheme="majorHAnsi"/>
          <w:sz w:val="20"/>
          <w:szCs w:val="20"/>
          <w:lang w:val="es-US"/>
        </w:rPr>
        <w:t>la Corte IDH otorgó medidas provisionales a favor de los miembros del CENIDH</w:t>
      </w:r>
      <w:r w:rsidR="009C24A3" w:rsidRPr="00293744">
        <w:rPr>
          <w:rStyle w:val="FootnoteReference"/>
          <w:rFonts w:asciiTheme="majorHAnsi" w:hAnsiTheme="majorHAnsi"/>
          <w:sz w:val="20"/>
          <w:szCs w:val="20"/>
          <w:lang w:val="es-US"/>
        </w:rPr>
        <w:footnoteReference w:id="8"/>
      </w:r>
      <w:r w:rsidR="00BD52C3" w:rsidRPr="00293744">
        <w:rPr>
          <w:rFonts w:asciiTheme="majorHAnsi" w:hAnsiTheme="majorHAnsi"/>
          <w:sz w:val="20"/>
          <w:szCs w:val="20"/>
          <w:lang w:val="es-US"/>
        </w:rPr>
        <w:t>, ratificando lo establecido en las medidas urgentes otorgadas en julio de 2019.</w:t>
      </w:r>
      <w:r w:rsidR="001D5AD4" w:rsidRPr="00293744">
        <w:rPr>
          <w:rFonts w:asciiTheme="majorHAnsi" w:hAnsiTheme="majorHAnsi"/>
          <w:sz w:val="20"/>
          <w:szCs w:val="20"/>
          <w:lang w:val="es-US"/>
        </w:rPr>
        <w:t xml:space="preserve"> </w:t>
      </w:r>
      <w:r w:rsidR="00293744" w:rsidRPr="00293744">
        <w:rPr>
          <w:rFonts w:asciiTheme="majorHAnsi" w:hAnsiTheme="majorHAnsi"/>
          <w:sz w:val="20"/>
          <w:szCs w:val="20"/>
          <w:lang w:val="es-US"/>
        </w:rPr>
        <w:t xml:space="preserve">En este sentido, </w:t>
      </w:r>
      <w:r w:rsidR="001D5AD4" w:rsidRPr="00293744">
        <w:rPr>
          <w:rFonts w:asciiTheme="majorHAnsi" w:hAnsiTheme="majorHAnsi"/>
          <w:sz w:val="20"/>
          <w:szCs w:val="20"/>
          <w:lang w:val="es-US"/>
        </w:rPr>
        <w:t>la Comisión observa que el Estado</w:t>
      </w:r>
      <w:r w:rsidR="00293744" w:rsidRPr="00293744">
        <w:rPr>
          <w:rFonts w:asciiTheme="majorHAnsi" w:hAnsiTheme="majorHAnsi"/>
          <w:sz w:val="20"/>
          <w:szCs w:val="20"/>
          <w:lang w:val="es-US"/>
        </w:rPr>
        <w:t xml:space="preserve"> nicaragüense, que ha participado ampliamente de todos estos procesos de protección ante los órganos de Sistema Interamericano, </w:t>
      </w:r>
      <w:r w:rsidR="001D5AD4" w:rsidRPr="00293744">
        <w:rPr>
          <w:rFonts w:asciiTheme="majorHAnsi" w:hAnsiTheme="majorHAnsi"/>
          <w:sz w:val="20"/>
          <w:szCs w:val="20"/>
          <w:lang w:val="es-US"/>
        </w:rPr>
        <w:t xml:space="preserve">ha </w:t>
      </w:r>
      <w:r w:rsidR="00293744" w:rsidRPr="00293744">
        <w:rPr>
          <w:rFonts w:asciiTheme="majorHAnsi" w:hAnsiTheme="majorHAnsi"/>
          <w:sz w:val="20"/>
          <w:szCs w:val="20"/>
          <w:lang w:val="es-US"/>
        </w:rPr>
        <w:t>estado siempre en</w:t>
      </w:r>
      <w:r w:rsidR="001D5AD4" w:rsidRPr="00293744">
        <w:rPr>
          <w:rFonts w:asciiTheme="majorHAnsi" w:hAnsiTheme="majorHAnsi"/>
          <w:sz w:val="20"/>
          <w:szCs w:val="20"/>
          <w:lang w:val="es-US"/>
        </w:rPr>
        <w:t xml:space="preserve"> conocimiento de los hechos alegados en la presente petición, específicamente, los relativos a los hostigamientos, criminalización, persecución y amenazas en contra de los integrantes del CENIDH. </w:t>
      </w:r>
    </w:p>
    <w:p w14:paraId="47CE4F8A" w14:textId="54E85549" w:rsidR="00341906" w:rsidRPr="00341906" w:rsidRDefault="00341906" w:rsidP="00341906">
      <w:pPr>
        <w:numPr>
          <w:ilvl w:val="0"/>
          <w:numId w:val="55"/>
        </w:numPr>
        <w:suppressAutoHyphens/>
        <w:spacing w:after="240"/>
        <w:jc w:val="both"/>
        <w:rPr>
          <w:rFonts w:asciiTheme="majorHAnsi" w:hAnsiTheme="majorHAnsi"/>
          <w:sz w:val="20"/>
          <w:szCs w:val="20"/>
        </w:rPr>
      </w:pPr>
      <w:r w:rsidRPr="006809AA">
        <w:rPr>
          <w:rFonts w:asciiTheme="majorHAnsi" w:hAnsiTheme="majorHAnsi"/>
          <w:sz w:val="20"/>
          <w:szCs w:val="20"/>
        </w:rPr>
        <w:t xml:space="preserve">En conclusión, la Comisión estima que, para efectos de la presente decisión de admisibilidad, en vista de la alegada falta de investigación de los hechos </w:t>
      </w:r>
      <w:r>
        <w:rPr>
          <w:rFonts w:asciiTheme="majorHAnsi" w:hAnsiTheme="majorHAnsi"/>
          <w:sz w:val="20"/>
          <w:szCs w:val="20"/>
        </w:rPr>
        <w:t xml:space="preserve">que afectan de manera continua y agravada a los integrantes del CENIDH, en su calidad de defensoras y defensores de derechos humanos, </w:t>
      </w:r>
      <w:r w:rsidRPr="006809AA">
        <w:rPr>
          <w:rFonts w:asciiTheme="majorHAnsi" w:hAnsiTheme="majorHAnsi"/>
          <w:sz w:val="20"/>
          <w:szCs w:val="20"/>
        </w:rPr>
        <w:t xml:space="preserve">resulta aplicable la excepción contemplada en el artículo 46.2.c) de la Convención Americana. De igual forma, la Comisión estima que frente a estos alegatos la petición fue presentada en un plazo razonable en los términos del artículo 32.2 de su Reglamento. </w:t>
      </w:r>
    </w:p>
    <w:p w14:paraId="13D1DF55" w14:textId="4B59240C" w:rsidR="00B72356" w:rsidRPr="00A53566" w:rsidRDefault="00B72356" w:rsidP="00B72356">
      <w:pPr>
        <w:pStyle w:val="ListParagraph"/>
        <w:numPr>
          <w:ilvl w:val="0"/>
          <w:numId w:val="55"/>
        </w:numPr>
        <w:suppressAutoHyphens/>
        <w:spacing w:after="240"/>
        <w:jc w:val="both"/>
        <w:rPr>
          <w:sz w:val="20"/>
          <w:szCs w:val="20"/>
          <w:lang w:val="es-ES"/>
        </w:rPr>
      </w:pPr>
      <w:r w:rsidRPr="00A53566">
        <w:rPr>
          <w:rFonts w:asciiTheme="majorHAnsi" w:hAnsiTheme="majorHAnsi"/>
          <w:sz w:val="20"/>
          <w:szCs w:val="20"/>
          <w:lang w:val="es-ES"/>
        </w:rPr>
        <w:t xml:space="preserve">Respecto al </w:t>
      </w:r>
      <w:r w:rsidR="00341906">
        <w:rPr>
          <w:rFonts w:asciiTheme="majorHAnsi" w:hAnsiTheme="majorHAnsi"/>
          <w:sz w:val="20"/>
          <w:szCs w:val="20"/>
          <w:lang w:val="es-ES"/>
        </w:rPr>
        <w:t>otro</w:t>
      </w:r>
      <w:r w:rsidRPr="00A53566">
        <w:rPr>
          <w:rFonts w:asciiTheme="majorHAnsi" w:hAnsiTheme="majorHAnsi"/>
          <w:sz w:val="20"/>
          <w:szCs w:val="20"/>
          <w:lang w:val="es-ES"/>
        </w:rPr>
        <w:t xml:space="preserve"> extremo de la petición, la </w:t>
      </w:r>
      <w:r w:rsidRPr="00A53566">
        <w:rPr>
          <w:sz w:val="20"/>
          <w:szCs w:val="20"/>
          <w:lang w:val="es-ES"/>
        </w:rPr>
        <w:t>CIDH observa que las actuaciones realizadas en contra de la cancelación de la personalidad jurídica del CENIDH, así como del alegado allanamiento y robo en sus instalaciones, se pueden sintetizar como sigue:</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970"/>
        <w:gridCol w:w="2253"/>
        <w:gridCol w:w="1702"/>
      </w:tblGrid>
      <w:tr w:rsidR="00C316FA" w:rsidRPr="00A53566" w14:paraId="3131FD31" w14:textId="116C50A7" w:rsidTr="00BF01C0">
        <w:trPr>
          <w:jc w:val="center"/>
        </w:trPr>
        <w:tc>
          <w:tcPr>
            <w:tcW w:w="2425" w:type="dxa"/>
            <w:shd w:val="clear" w:color="auto" w:fill="auto"/>
          </w:tcPr>
          <w:p w14:paraId="75717C91" w14:textId="77777777" w:rsidR="00C316FA" w:rsidRPr="00A53566" w:rsidRDefault="00C316FA" w:rsidP="00B91F01">
            <w:pPr>
              <w:widowControl w:val="0"/>
              <w:autoSpaceDE w:val="0"/>
              <w:autoSpaceDN w:val="0"/>
              <w:adjustRightInd w:val="0"/>
              <w:jc w:val="center"/>
              <w:rPr>
                <w:rFonts w:ascii="Cambria" w:hAnsi="Cambria"/>
                <w:b/>
                <w:bCs/>
                <w:sz w:val="18"/>
                <w:szCs w:val="18"/>
              </w:rPr>
            </w:pPr>
            <w:r w:rsidRPr="00A53566">
              <w:rPr>
                <w:rFonts w:ascii="Cambria" w:hAnsi="Cambria"/>
                <w:b/>
                <w:bCs/>
                <w:sz w:val="18"/>
                <w:szCs w:val="18"/>
              </w:rPr>
              <w:t>Acción legal o gestión</w:t>
            </w:r>
          </w:p>
        </w:tc>
        <w:tc>
          <w:tcPr>
            <w:tcW w:w="2970" w:type="dxa"/>
            <w:shd w:val="clear" w:color="auto" w:fill="auto"/>
          </w:tcPr>
          <w:p w14:paraId="1DC4CBD3" w14:textId="77777777" w:rsidR="00C316FA" w:rsidRPr="00A53566" w:rsidRDefault="00C316FA" w:rsidP="00B91F01">
            <w:pPr>
              <w:widowControl w:val="0"/>
              <w:autoSpaceDE w:val="0"/>
              <w:autoSpaceDN w:val="0"/>
              <w:adjustRightInd w:val="0"/>
              <w:jc w:val="center"/>
              <w:rPr>
                <w:rFonts w:ascii="Cambria" w:hAnsi="Cambria"/>
                <w:b/>
                <w:bCs/>
                <w:sz w:val="18"/>
                <w:szCs w:val="18"/>
              </w:rPr>
            </w:pPr>
            <w:r w:rsidRPr="00A53566">
              <w:rPr>
                <w:rFonts w:ascii="Cambria" w:hAnsi="Cambria"/>
                <w:b/>
                <w:bCs/>
                <w:sz w:val="18"/>
                <w:szCs w:val="18"/>
              </w:rPr>
              <w:t>Autoridad competente</w:t>
            </w:r>
          </w:p>
        </w:tc>
        <w:tc>
          <w:tcPr>
            <w:tcW w:w="2253" w:type="dxa"/>
            <w:shd w:val="clear" w:color="auto" w:fill="auto"/>
          </w:tcPr>
          <w:p w14:paraId="21CC2EF4" w14:textId="538EAB71" w:rsidR="00C316FA" w:rsidRPr="00A53566" w:rsidRDefault="00C316FA" w:rsidP="00B91F01">
            <w:pPr>
              <w:widowControl w:val="0"/>
              <w:autoSpaceDE w:val="0"/>
              <w:autoSpaceDN w:val="0"/>
              <w:adjustRightInd w:val="0"/>
              <w:jc w:val="center"/>
              <w:rPr>
                <w:rFonts w:ascii="Cambria" w:hAnsi="Cambria"/>
                <w:b/>
                <w:bCs/>
                <w:sz w:val="18"/>
                <w:szCs w:val="18"/>
              </w:rPr>
            </w:pPr>
            <w:r w:rsidRPr="00A53566">
              <w:rPr>
                <w:rFonts w:ascii="Cambria" w:hAnsi="Cambria"/>
                <w:b/>
                <w:bCs/>
                <w:sz w:val="18"/>
                <w:szCs w:val="18"/>
              </w:rPr>
              <w:t>Fecha de interposición</w:t>
            </w:r>
          </w:p>
        </w:tc>
        <w:tc>
          <w:tcPr>
            <w:tcW w:w="1702" w:type="dxa"/>
          </w:tcPr>
          <w:p w14:paraId="035EC880" w14:textId="022219BF" w:rsidR="00C316FA" w:rsidRPr="00A53566" w:rsidRDefault="00C316FA" w:rsidP="00B91F01">
            <w:pPr>
              <w:widowControl w:val="0"/>
              <w:autoSpaceDE w:val="0"/>
              <w:autoSpaceDN w:val="0"/>
              <w:adjustRightInd w:val="0"/>
              <w:jc w:val="center"/>
              <w:rPr>
                <w:rFonts w:ascii="Cambria" w:hAnsi="Cambria"/>
                <w:b/>
                <w:bCs/>
                <w:sz w:val="18"/>
                <w:szCs w:val="18"/>
              </w:rPr>
            </w:pPr>
            <w:r w:rsidRPr="00A53566">
              <w:rPr>
                <w:rFonts w:ascii="Cambria" w:hAnsi="Cambria"/>
                <w:b/>
                <w:bCs/>
                <w:sz w:val="18"/>
                <w:szCs w:val="18"/>
              </w:rPr>
              <w:t>Estado</w:t>
            </w:r>
          </w:p>
        </w:tc>
      </w:tr>
      <w:tr w:rsidR="00DF6BCD" w:rsidRPr="00A53566" w14:paraId="18461152" w14:textId="663E81F5" w:rsidTr="00BF01C0">
        <w:trPr>
          <w:jc w:val="center"/>
        </w:trPr>
        <w:tc>
          <w:tcPr>
            <w:tcW w:w="2425" w:type="dxa"/>
            <w:shd w:val="clear" w:color="auto" w:fill="auto"/>
            <w:vAlign w:val="center"/>
          </w:tcPr>
          <w:p w14:paraId="65CAFD44" w14:textId="657DE14A" w:rsidR="00DF6BCD" w:rsidRPr="00A53566" w:rsidRDefault="00DF6BCD" w:rsidP="00DF6BCD">
            <w:pPr>
              <w:widowControl w:val="0"/>
              <w:autoSpaceDE w:val="0"/>
              <w:autoSpaceDN w:val="0"/>
              <w:adjustRightInd w:val="0"/>
              <w:rPr>
                <w:rFonts w:ascii="Cambria" w:hAnsi="Cambria"/>
                <w:sz w:val="18"/>
                <w:szCs w:val="18"/>
              </w:rPr>
            </w:pPr>
            <w:r w:rsidRPr="00A53566">
              <w:rPr>
                <w:rFonts w:ascii="Cambria" w:hAnsi="Cambria"/>
                <w:sz w:val="18"/>
                <w:szCs w:val="18"/>
              </w:rPr>
              <w:t>Recurso de amparo</w:t>
            </w:r>
          </w:p>
        </w:tc>
        <w:tc>
          <w:tcPr>
            <w:tcW w:w="2970" w:type="dxa"/>
            <w:shd w:val="clear" w:color="auto" w:fill="auto"/>
            <w:vAlign w:val="center"/>
          </w:tcPr>
          <w:p w14:paraId="376309F2" w14:textId="77A45F03" w:rsidR="00DF6BCD" w:rsidRPr="00A53566" w:rsidRDefault="00DF6BCD" w:rsidP="00DF6BCD">
            <w:pPr>
              <w:widowControl w:val="0"/>
              <w:autoSpaceDE w:val="0"/>
              <w:autoSpaceDN w:val="0"/>
              <w:adjustRightInd w:val="0"/>
              <w:rPr>
                <w:rFonts w:ascii="Cambria" w:hAnsi="Cambria"/>
                <w:sz w:val="18"/>
                <w:szCs w:val="18"/>
              </w:rPr>
            </w:pPr>
            <w:r w:rsidRPr="00A53566">
              <w:rPr>
                <w:rFonts w:ascii="Cambria" w:hAnsi="Cambria"/>
                <w:sz w:val="18"/>
                <w:szCs w:val="18"/>
              </w:rPr>
              <w:t>Sala Constitucional de la Corte Suprema de Justica de Nicaragua</w:t>
            </w:r>
          </w:p>
        </w:tc>
        <w:tc>
          <w:tcPr>
            <w:tcW w:w="2253" w:type="dxa"/>
            <w:shd w:val="clear" w:color="auto" w:fill="auto"/>
            <w:vAlign w:val="center"/>
          </w:tcPr>
          <w:p w14:paraId="6D81667F" w14:textId="771CBF17" w:rsidR="00DF6BCD" w:rsidRPr="00A53566" w:rsidRDefault="00DF6BCD" w:rsidP="00DF6BCD">
            <w:pPr>
              <w:widowControl w:val="0"/>
              <w:autoSpaceDE w:val="0"/>
              <w:autoSpaceDN w:val="0"/>
              <w:adjustRightInd w:val="0"/>
              <w:rPr>
                <w:rFonts w:ascii="Cambria" w:hAnsi="Cambria"/>
                <w:sz w:val="18"/>
                <w:szCs w:val="18"/>
              </w:rPr>
            </w:pPr>
            <w:r w:rsidRPr="00A53566">
              <w:rPr>
                <w:rFonts w:ascii="Cambria" w:hAnsi="Cambria"/>
                <w:sz w:val="18"/>
                <w:szCs w:val="18"/>
              </w:rPr>
              <w:t>15 de enero de 2019</w:t>
            </w:r>
          </w:p>
        </w:tc>
        <w:tc>
          <w:tcPr>
            <w:tcW w:w="1702" w:type="dxa"/>
          </w:tcPr>
          <w:p w14:paraId="070C7B55" w14:textId="2F89CF1D" w:rsidR="00DF6BCD" w:rsidRPr="00A53566" w:rsidRDefault="00AB35B5" w:rsidP="00DF6BCD">
            <w:pPr>
              <w:widowControl w:val="0"/>
              <w:autoSpaceDE w:val="0"/>
              <w:autoSpaceDN w:val="0"/>
              <w:adjustRightInd w:val="0"/>
              <w:rPr>
                <w:rFonts w:ascii="Cambria" w:hAnsi="Cambria"/>
                <w:sz w:val="18"/>
                <w:szCs w:val="18"/>
              </w:rPr>
            </w:pPr>
            <w:r>
              <w:rPr>
                <w:rFonts w:ascii="Cambria" w:hAnsi="Cambria"/>
                <w:sz w:val="18"/>
                <w:szCs w:val="18"/>
              </w:rPr>
              <w:t>Pendiente de</w:t>
            </w:r>
            <w:r w:rsidR="00DF6BCD" w:rsidRPr="00A53566">
              <w:rPr>
                <w:rFonts w:ascii="Cambria" w:hAnsi="Cambria"/>
                <w:sz w:val="18"/>
                <w:szCs w:val="18"/>
              </w:rPr>
              <w:t xml:space="preserve"> resolución</w:t>
            </w:r>
            <w:r w:rsidR="003D60BA" w:rsidRPr="00A53566">
              <w:rPr>
                <w:rFonts w:ascii="Cambria" w:hAnsi="Cambria"/>
                <w:sz w:val="18"/>
                <w:szCs w:val="18"/>
              </w:rPr>
              <w:t xml:space="preserve"> </w:t>
            </w:r>
          </w:p>
        </w:tc>
      </w:tr>
      <w:tr w:rsidR="00DF6BCD" w:rsidRPr="00A53566" w14:paraId="5FFD3975" w14:textId="77777777" w:rsidTr="00BF01C0">
        <w:trPr>
          <w:jc w:val="center"/>
        </w:trPr>
        <w:tc>
          <w:tcPr>
            <w:tcW w:w="2425" w:type="dxa"/>
            <w:shd w:val="clear" w:color="auto" w:fill="auto"/>
            <w:vAlign w:val="center"/>
          </w:tcPr>
          <w:p w14:paraId="7D47CE4D" w14:textId="4E35B72D" w:rsidR="00DF6BCD" w:rsidRPr="00A53566" w:rsidRDefault="00DF6BCD" w:rsidP="00DF6BCD">
            <w:pPr>
              <w:widowControl w:val="0"/>
              <w:autoSpaceDE w:val="0"/>
              <w:autoSpaceDN w:val="0"/>
              <w:adjustRightInd w:val="0"/>
              <w:rPr>
                <w:rFonts w:ascii="Cambria" w:hAnsi="Cambria"/>
                <w:sz w:val="18"/>
                <w:szCs w:val="18"/>
              </w:rPr>
            </w:pPr>
            <w:r w:rsidRPr="00A53566">
              <w:rPr>
                <w:rFonts w:ascii="Cambria" w:hAnsi="Cambria"/>
                <w:sz w:val="18"/>
                <w:szCs w:val="18"/>
              </w:rPr>
              <w:t>Recurso de amparo</w:t>
            </w:r>
          </w:p>
        </w:tc>
        <w:tc>
          <w:tcPr>
            <w:tcW w:w="2970" w:type="dxa"/>
            <w:shd w:val="clear" w:color="auto" w:fill="auto"/>
            <w:vAlign w:val="center"/>
          </w:tcPr>
          <w:p w14:paraId="46C25AB5" w14:textId="22EFDE85" w:rsidR="00DF6BCD" w:rsidRPr="00A53566" w:rsidRDefault="00DF6BCD" w:rsidP="00DF6BCD">
            <w:pPr>
              <w:widowControl w:val="0"/>
              <w:autoSpaceDE w:val="0"/>
              <w:autoSpaceDN w:val="0"/>
              <w:adjustRightInd w:val="0"/>
              <w:rPr>
                <w:rFonts w:ascii="Cambria" w:hAnsi="Cambria"/>
                <w:sz w:val="18"/>
                <w:szCs w:val="18"/>
              </w:rPr>
            </w:pPr>
            <w:r w:rsidRPr="00A53566">
              <w:rPr>
                <w:rFonts w:ascii="Cambria" w:hAnsi="Cambria"/>
                <w:sz w:val="18"/>
                <w:szCs w:val="18"/>
              </w:rPr>
              <w:t>Sala Constitucional de la Corte Suprema de Justica de Nicaragua</w:t>
            </w:r>
          </w:p>
        </w:tc>
        <w:tc>
          <w:tcPr>
            <w:tcW w:w="2253" w:type="dxa"/>
            <w:shd w:val="clear" w:color="auto" w:fill="auto"/>
            <w:vAlign w:val="center"/>
          </w:tcPr>
          <w:p w14:paraId="291E999D" w14:textId="1C2BD34F" w:rsidR="00DF6BCD" w:rsidRPr="00A53566" w:rsidRDefault="00DF6BCD" w:rsidP="00DF6BCD">
            <w:pPr>
              <w:widowControl w:val="0"/>
              <w:autoSpaceDE w:val="0"/>
              <w:autoSpaceDN w:val="0"/>
              <w:adjustRightInd w:val="0"/>
              <w:rPr>
                <w:rFonts w:ascii="Cambria" w:hAnsi="Cambria"/>
                <w:sz w:val="18"/>
                <w:szCs w:val="18"/>
              </w:rPr>
            </w:pPr>
            <w:r w:rsidRPr="00A53566">
              <w:rPr>
                <w:rFonts w:ascii="Cambria" w:hAnsi="Cambria"/>
                <w:sz w:val="18"/>
                <w:szCs w:val="18"/>
              </w:rPr>
              <w:t>25 de enero de 2019</w:t>
            </w:r>
          </w:p>
        </w:tc>
        <w:tc>
          <w:tcPr>
            <w:tcW w:w="1702" w:type="dxa"/>
          </w:tcPr>
          <w:p w14:paraId="15F7D6EF" w14:textId="3270A779" w:rsidR="00DF6BCD" w:rsidRPr="00A53566" w:rsidRDefault="00AB35B5" w:rsidP="00DF6BCD">
            <w:pPr>
              <w:widowControl w:val="0"/>
              <w:autoSpaceDE w:val="0"/>
              <w:autoSpaceDN w:val="0"/>
              <w:adjustRightInd w:val="0"/>
              <w:rPr>
                <w:rFonts w:ascii="Cambria" w:hAnsi="Cambria"/>
                <w:sz w:val="18"/>
                <w:szCs w:val="18"/>
              </w:rPr>
            </w:pPr>
            <w:r>
              <w:rPr>
                <w:rFonts w:ascii="Cambria" w:hAnsi="Cambria"/>
                <w:sz w:val="18"/>
                <w:szCs w:val="18"/>
              </w:rPr>
              <w:t>Pendiente de</w:t>
            </w:r>
            <w:r w:rsidRPr="00A53566">
              <w:rPr>
                <w:rFonts w:ascii="Cambria" w:hAnsi="Cambria"/>
                <w:sz w:val="18"/>
                <w:szCs w:val="18"/>
              </w:rPr>
              <w:t xml:space="preserve"> resolución</w:t>
            </w:r>
          </w:p>
        </w:tc>
      </w:tr>
      <w:tr w:rsidR="00DF6BCD" w:rsidRPr="00A53566" w14:paraId="41E714AF" w14:textId="29EC8552" w:rsidTr="00BF01C0">
        <w:trPr>
          <w:jc w:val="center"/>
        </w:trPr>
        <w:tc>
          <w:tcPr>
            <w:tcW w:w="2425" w:type="dxa"/>
            <w:shd w:val="clear" w:color="auto" w:fill="auto"/>
            <w:vAlign w:val="center"/>
          </w:tcPr>
          <w:p w14:paraId="220504D1" w14:textId="1B4BA6DA" w:rsidR="00DF6BCD" w:rsidRPr="00A53566" w:rsidRDefault="009E0528" w:rsidP="00DF6BCD">
            <w:pPr>
              <w:widowControl w:val="0"/>
              <w:autoSpaceDE w:val="0"/>
              <w:autoSpaceDN w:val="0"/>
              <w:adjustRightInd w:val="0"/>
              <w:rPr>
                <w:rFonts w:ascii="Cambria" w:hAnsi="Cambria"/>
                <w:sz w:val="18"/>
                <w:szCs w:val="18"/>
              </w:rPr>
            </w:pPr>
            <w:r w:rsidRPr="00A53566">
              <w:rPr>
                <w:rFonts w:ascii="Cambria" w:hAnsi="Cambria"/>
                <w:sz w:val="18"/>
                <w:szCs w:val="18"/>
              </w:rPr>
              <w:t>Recurso</w:t>
            </w:r>
            <w:r w:rsidR="00DF6BCD" w:rsidRPr="00A53566">
              <w:rPr>
                <w:rFonts w:ascii="Cambria" w:hAnsi="Cambria"/>
                <w:sz w:val="18"/>
                <w:szCs w:val="18"/>
              </w:rPr>
              <w:t xml:space="preserve"> por inconstitucionalidad</w:t>
            </w:r>
          </w:p>
        </w:tc>
        <w:tc>
          <w:tcPr>
            <w:tcW w:w="2970" w:type="dxa"/>
            <w:shd w:val="clear" w:color="auto" w:fill="auto"/>
            <w:vAlign w:val="center"/>
          </w:tcPr>
          <w:p w14:paraId="35969C65" w14:textId="21FAA605" w:rsidR="00DF6BCD" w:rsidRPr="00A53566" w:rsidRDefault="00DF6BCD" w:rsidP="00DF6BCD">
            <w:pPr>
              <w:widowControl w:val="0"/>
              <w:autoSpaceDE w:val="0"/>
              <w:autoSpaceDN w:val="0"/>
              <w:adjustRightInd w:val="0"/>
              <w:rPr>
                <w:rFonts w:ascii="Cambria" w:hAnsi="Cambria"/>
                <w:sz w:val="18"/>
                <w:szCs w:val="18"/>
              </w:rPr>
            </w:pPr>
            <w:r w:rsidRPr="00A53566">
              <w:rPr>
                <w:rFonts w:ascii="Cambria" w:hAnsi="Cambria"/>
                <w:sz w:val="18"/>
                <w:szCs w:val="18"/>
              </w:rPr>
              <w:t>Sala Constitucional de la Corte Suprema de Justica de Nicaragua</w:t>
            </w:r>
          </w:p>
        </w:tc>
        <w:tc>
          <w:tcPr>
            <w:tcW w:w="2253" w:type="dxa"/>
            <w:shd w:val="clear" w:color="auto" w:fill="auto"/>
            <w:vAlign w:val="center"/>
          </w:tcPr>
          <w:p w14:paraId="6DFA99B1" w14:textId="7A11CF24" w:rsidR="00DF6BCD" w:rsidRPr="00A53566" w:rsidRDefault="009E0528" w:rsidP="00DF6BCD">
            <w:pPr>
              <w:widowControl w:val="0"/>
              <w:autoSpaceDE w:val="0"/>
              <w:autoSpaceDN w:val="0"/>
              <w:adjustRightInd w:val="0"/>
              <w:rPr>
                <w:rFonts w:ascii="Cambria" w:hAnsi="Cambria"/>
                <w:sz w:val="18"/>
                <w:szCs w:val="18"/>
              </w:rPr>
            </w:pPr>
            <w:r w:rsidRPr="00A53566">
              <w:rPr>
                <w:rFonts w:ascii="Cambria" w:hAnsi="Cambria"/>
                <w:sz w:val="18"/>
                <w:szCs w:val="18"/>
              </w:rPr>
              <w:t>6 de febrero de 2019</w:t>
            </w:r>
          </w:p>
        </w:tc>
        <w:tc>
          <w:tcPr>
            <w:tcW w:w="1702" w:type="dxa"/>
          </w:tcPr>
          <w:p w14:paraId="71C35275" w14:textId="03A33B1B" w:rsidR="00DF6BCD" w:rsidRPr="00A53566" w:rsidRDefault="00AB35B5" w:rsidP="00DF6BCD">
            <w:pPr>
              <w:widowControl w:val="0"/>
              <w:autoSpaceDE w:val="0"/>
              <w:autoSpaceDN w:val="0"/>
              <w:adjustRightInd w:val="0"/>
              <w:rPr>
                <w:rFonts w:ascii="Cambria" w:hAnsi="Cambria"/>
                <w:sz w:val="18"/>
                <w:szCs w:val="18"/>
              </w:rPr>
            </w:pPr>
            <w:r>
              <w:rPr>
                <w:rFonts w:ascii="Cambria" w:hAnsi="Cambria"/>
                <w:sz w:val="18"/>
                <w:szCs w:val="18"/>
              </w:rPr>
              <w:t>Pendiente de</w:t>
            </w:r>
            <w:r w:rsidRPr="00A53566">
              <w:rPr>
                <w:rFonts w:ascii="Cambria" w:hAnsi="Cambria"/>
                <w:sz w:val="18"/>
                <w:szCs w:val="18"/>
              </w:rPr>
              <w:t xml:space="preserve"> resolución </w:t>
            </w:r>
          </w:p>
        </w:tc>
      </w:tr>
      <w:tr w:rsidR="009E0528" w:rsidRPr="00A53566" w14:paraId="57861B6F" w14:textId="6D3F5121" w:rsidTr="00BF01C0">
        <w:trPr>
          <w:jc w:val="center"/>
        </w:trPr>
        <w:tc>
          <w:tcPr>
            <w:tcW w:w="2425" w:type="dxa"/>
            <w:shd w:val="clear" w:color="auto" w:fill="auto"/>
            <w:vAlign w:val="center"/>
          </w:tcPr>
          <w:p w14:paraId="5911614D" w14:textId="47EFA7EF" w:rsidR="009E0528" w:rsidRPr="00A53566" w:rsidRDefault="009E0528" w:rsidP="009E0528">
            <w:pPr>
              <w:widowControl w:val="0"/>
              <w:autoSpaceDE w:val="0"/>
              <w:autoSpaceDN w:val="0"/>
              <w:adjustRightInd w:val="0"/>
              <w:rPr>
                <w:rFonts w:ascii="Cambria" w:hAnsi="Cambria"/>
                <w:sz w:val="18"/>
                <w:szCs w:val="18"/>
              </w:rPr>
            </w:pPr>
            <w:r w:rsidRPr="00A53566">
              <w:rPr>
                <w:rFonts w:ascii="Cambria" w:hAnsi="Cambria"/>
                <w:sz w:val="18"/>
                <w:szCs w:val="18"/>
              </w:rPr>
              <w:t>Denuncia por allanamiento y robo</w:t>
            </w:r>
          </w:p>
        </w:tc>
        <w:tc>
          <w:tcPr>
            <w:tcW w:w="2970" w:type="dxa"/>
            <w:shd w:val="clear" w:color="auto" w:fill="auto"/>
            <w:vAlign w:val="center"/>
          </w:tcPr>
          <w:p w14:paraId="0ACEBE1D" w14:textId="20B303F4" w:rsidR="009E0528" w:rsidRPr="00A53566" w:rsidRDefault="009E0528" w:rsidP="009E0528">
            <w:pPr>
              <w:widowControl w:val="0"/>
              <w:autoSpaceDE w:val="0"/>
              <w:autoSpaceDN w:val="0"/>
              <w:adjustRightInd w:val="0"/>
              <w:rPr>
                <w:rFonts w:ascii="Cambria" w:hAnsi="Cambria"/>
                <w:sz w:val="18"/>
                <w:szCs w:val="18"/>
              </w:rPr>
            </w:pPr>
            <w:r w:rsidRPr="00A53566">
              <w:rPr>
                <w:rFonts w:ascii="Cambria" w:hAnsi="Cambria"/>
                <w:sz w:val="18"/>
                <w:szCs w:val="18"/>
              </w:rPr>
              <w:t>Ministerio Público; Fiscalía de Managua</w:t>
            </w:r>
          </w:p>
        </w:tc>
        <w:tc>
          <w:tcPr>
            <w:tcW w:w="2253" w:type="dxa"/>
            <w:shd w:val="clear" w:color="auto" w:fill="auto"/>
            <w:vAlign w:val="center"/>
          </w:tcPr>
          <w:p w14:paraId="38600AAB" w14:textId="33E3AD57" w:rsidR="009E0528" w:rsidRPr="00A53566" w:rsidRDefault="009E0528" w:rsidP="009E0528">
            <w:pPr>
              <w:widowControl w:val="0"/>
              <w:autoSpaceDE w:val="0"/>
              <w:autoSpaceDN w:val="0"/>
              <w:adjustRightInd w:val="0"/>
              <w:rPr>
                <w:rFonts w:ascii="Cambria" w:hAnsi="Cambria"/>
                <w:sz w:val="18"/>
                <w:szCs w:val="18"/>
              </w:rPr>
            </w:pPr>
            <w:r w:rsidRPr="00A53566">
              <w:rPr>
                <w:rFonts w:ascii="Cambria" w:hAnsi="Cambria"/>
                <w:sz w:val="18"/>
                <w:szCs w:val="18"/>
              </w:rPr>
              <w:t>17 de enero de 2019</w:t>
            </w:r>
          </w:p>
        </w:tc>
        <w:tc>
          <w:tcPr>
            <w:tcW w:w="1702" w:type="dxa"/>
          </w:tcPr>
          <w:p w14:paraId="31185E4B" w14:textId="281F284B" w:rsidR="009E0528" w:rsidRPr="00A53566" w:rsidRDefault="00BF01C0" w:rsidP="009E0528">
            <w:pPr>
              <w:widowControl w:val="0"/>
              <w:autoSpaceDE w:val="0"/>
              <w:autoSpaceDN w:val="0"/>
              <w:adjustRightInd w:val="0"/>
              <w:rPr>
                <w:rFonts w:ascii="Cambria" w:hAnsi="Cambria"/>
                <w:sz w:val="18"/>
                <w:szCs w:val="18"/>
              </w:rPr>
            </w:pPr>
            <w:r>
              <w:rPr>
                <w:rFonts w:ascii="Cambria" w:hAnsi="Cambria"/>
                <w:sz w:val="18"/>
                <w:szCs w:val="18"/>
              </w:rPr>
              <w:t>Pendiente de</w:t>
            </w:r>
            <w:r w:rsidRPr="00A53566">
              <w:rPr>
                <w:rFonts w:ascii="Cambria" w:hAnsi="Cambria"/>
                <w:sz w:val="18"/>
                <w:szCs w:val="18"/>
              </w:rPr>
              <w:t xml:space="preserve"> resolución </w:t>
            </w:r>
          </w:p>
        </w:tc>
      </w:tr>
    </w:tbl>
    <w:p w14:paraId="64FA3EEE" w14:textId="77777777" w:rsidR="00976506" w:rsidRPr="00976506" w:rsidRDefault="00114E63" w:rsidP="00252539">
      <w:pPr>
        <w:pStyle w:val="ListParagraph"/>
        <w:numPr>
          <w:ilvl w:val="0"/>
          <w:numId w:val="55"/>
        </w:numPr>
        <w:suppressAutoHyphens/>
        <w:spacing w:before="240" w:after="240"/>
        <w:jc w:val="both"/>
        <w:rPr>
          <w:rFonts w:asciiTheme="majorHAnsi" w:hAnsiTheme="majorHAnsi"/>
          <w:b/>
          <w:bCs/>
          <w:sz w:val="20"/>
          <w:szCs w:val="20"/>
          <w:lang w:val="es-US"/>
        </w:rPr>
      </w:pPr>
      <w:r w:rsidRPr="00A53566">
        <w:rPr>
          <w:rFonts w:asciiTheme="majorHAnsi" w:hAnsiTheme="majorHAnsi"/>
          <w:sz w:val="20"/>
          <w:szCs w:val="20"/>
          <w:lang w:val="es-ES"/>
        </w:rPr>
        <w:t xml:space="preserve">Con relación a los recursos de amparo, el recurso por inconstitucionalidad y la denuncia por allanamiento y robo, la Comisión nota que, conforme a la información aportada por las partes, el proceso inició en el 2019, y a la fecha, de acuerdo con la información aportada por el Estado, dichos actuaciones estarían pendientes de decisión. </w:t>
      </w:r>
      <w:r w:rsidR="00D45921">
        <w:rPr>
          <w:rFonts w:asciiTheme="majorHAnsi" w:hAnsiTheme="majorHAnsi"/>
          <w:sz w:val="20"/>
          <w:szCs w:val="20"/>
          <w:lang w:val="es-ES"/>
        </w:rPr>
        <w:t xml:space="preserve">Asimismo, al momento de la aprobación del presente informe, no consta en el expediente de la petición información que indique se hayan decidido estos recursos. </w:t>
      </w:r>
    </w:p>
    <w:p w14:paraId="31E72737" w14:textId="1B3A0669" w:rsidR="00A734A2" w:rsidRPr="008261B1" w:rsidRDefault="00976506" w:rsidP="00252539">
      <w:pPr>
        <w:pStyle w:val="ListParagraph"/>
        <w:numPr>
          <w:ilvl w:val="0"/>
          <w:numId w:val="55"/>
        </w:numPr>
        <w:suppressAutoHyphens/>
        <w:spacing w:before="240" w:after="240"/>
        <w:jc w:val="both"/>
        <w:rPr>
          <w:rFonts w:asciiTheme="majorHAnsi" w:hAnsiTheme="majorHAnsi"/>
          <w:b/>
          <w:bCs/>
          <w:sz w:val="20"/>
          <w:szCs w:val="20"/>
          <w:lang w:val="es-US"/>
        </w:rPr>
      </w:pPr>
      <w:r>
        <w:rPr>
          <w:rFonts w:asciiTheme="majorHAnsi" w:hAnsiTheme="majorHAnsi"/>
          <w:sz w:val="20"/>
          <w:szCs w:val="20"/>
          <w:lang w:val="es-US"/>
        </w:rPr>
        <w:lastRenderedPageBreak/>
        <w:t xml:space="preserve">Además, en un caso de las características del presente esta demora en la resolución de los mencionados recursos se ha traducido en la imposibilidad durante cerca de tres años de que los integrantes del CENIDH puedan ejercer adecuadamente su trabajo de defensa de los derechos humanos, teniendo que hacerlo, como alegan, al margen de la ley, desde la clandestinidad, precisamente en un contexto en el que tanto la Comisión Interamericana, como otros organismos y organizaciones han calificado como de especial gravedad y riesgo para la observancia de los derechos humanos en ese país. </w:t>
      </w:r>
      <w:r w:rsidR="001D5AD4">
        <w:rPr>
          <w:rFonts w:asciiTheme="majorHAnsi" w:hAnsiTheme="majorHAnsi"/>
          <w:sz w:val="20"/>
          <w:szCs w:val="20"/>
          <w:lang w:val="es-ES"/>
        </w:rPr>
        <w:t xml:space="preserve">En razón de ello, </w:t>
      </w:r>
      <w:r w:rsidR="00114E63" w:rsidRPr="00A53566">
        <w:rPr>
          <w:rFonts w:asciiTheme="majorHAnsi" w:hAnsiTheme="majorHAnsi"/>
          <w:sz w:val="20"/>
          <w:szCs w:val="20"/>
          <w:lang w:val="es-ES"/>
        </w:rPr>
        <w:t xml:space="preserve">la CIDH </w:t>
      </w:r>
      <w:r>
        <w:rPr>
          <w:rFonts w:asciiTheme="majorHAnsi" w:hAnsiTheme="majorHAnsi"/>
          <w:sz w:val="20"/>
          <w:szCs w:val="20"/>
          <w:lang w:val="es-ES"/>
        </w:rPr>
        <w:t>considera aplicable</w:t>
      </w:r>
      <w:r w:rsidR="00114E63" w:rsidRPr="00A53566">
        <w:rPr>
          <w:rFonts w:asciiTheme="majorHAnsi" w:hAnsiTheme="majorHAnsi"/>
          <w:sz w:val="20"/>
          <w:szCs w:val="20"/>
          <w:lang w:val="es-ES"/>
        </w:rPr>
        <w:t xml:space="preserve"> la excepción prevista en el artículo 46.2.c) de la Convención Americana</w:t>
      </w:r>
      <w:r>
        <w:rPr>
          <w:rFonts w:asciiTheme="majorHAnsi" w:hAnsiTheme="majorHAnsi"/>
          <w:sz w:val="20"/>
          <w:szCs w:val="20"/>
          <w:lang w:val="es-ES"/>
        </w:rPr>
        <w:t xml:space="preserve"> relativa al retardo injustificado en la resolución de los recursos judiciales internos</w:t>
      </w:r>
      <w:r w:rsidR="00114E63" w:rsidRPr="00A53566">
        <w:rPr>
          <w:rFonts w:asciiTheme="majorHAnsi" w:hAnsiTheme="majorHAnsi"/>
          <w:sz w:val="20"/>
          <w:szCs w:val="20"/>
          <w:lang w:val="es-ES"/>
        </w:rPr>
        <w:t>. Del mismo modo, la Comisión estima que también se cumple el plazo de presentación, dado que la petición fue presentada en un plazo razonable en los términos del artículo 32.2 de su Reglamento.</w:t>
      </w:r>
      <w:r w:rsidR="00276859">
        <w:rPr>
          <w:rFonts w:asciiTheme="majorHAnsi" w:hAnsiTheme="majorHAnsi"/>
          <w:sz w:val="20"/>
          <w:szCs w:val="20"/>
          <w:lang w:val="es-ES"/>
        </w:rPr>
        <w:t xml:space="preserve"> </w:t>
      </w:r>
    </w:p>
    <w:p w14:paraId="555AF668" w14:textId="5929C13D" w:rsidR="00D63FBE" w:rsidRPr="00A734A2" w:rsidRDefault="007C2323" w:rsidP="00EC6BBD">
      <w:pPr>
        <w:pStyle w:val="ListParagraph"/>
        <w:suppressAutoHyphens/>
        <w:spacing w:before="240" w:after="240"/>
        <w:jc w:val="both"/>
        <w:rPr>
          <w:rFonts w:asciiTheme="majorHAnsi" w:hAnsiTheme="majorHAnsi"/>
          <w:b/>
          <w:bCs/>
          <w:sz w:val="20"/>
          <w:szCs w:val="20"/>
          <w:lang w:val="es-ES"/>
        </w:rPr>
      </w:pPr>
      <w:r w:rsidRPr="00A53566">
        <w:rPr>
          <w:rFonts w:asciiTheme="majorHAnsi" w:hAnsiTheme="majorHAnsi"/>
          <w:b/>
          <w:bCs/>
          <w:sz w:val="20"/>
          <w:szCs w:val="20"/>
          <w:lang w:val="es-ES"/>
        </w:rPr>
        <w:t>VII.</w:t>
      </w:r>
      <w:r w:rsidRPr="00A53566">
        <w:rPr>
          <w:rFonts w:asciiTheme="majorHAnsi" w:hAnsiTheme="majorHAnsi"/>
          <w:b/>
          <w:bCs/>
          <w:sz w:val="20"/>
          <w:szCs w:val="20"/>
          <w:lang w:val="es-ES"/>
        </w:rPr>
        <w:tab/>
        <w:t>ANÁLISIS DE CARACTERIZACIÓN DE LOS HECHOS ALEGADOS</w:t>
      </w:r>
    </w:p>
    <w:p w14:paraId="3AD228DA" w14:textId="77777777" w:rsidR="007C2323" w:rsidRPr="00A53566" w:rsidRDefault="007C2323" w:rsidP="00E42A0B">
      <w:pPr>
        <w:numPr>
          <w:ilvl w:val="0"/>
          <w:numId w:val="55"/>
        </w:numPr>
        <w:suppressAutoHyphens/>
        <w:spacing w:after="240"/>
        <w:jc w:val="both"/>
        <w:rPr>
          <w:rFonts w:asciiTheme="majorHAnsi" w:hAnsiTheme="majorHAnsi"/>
          <w:bCs/>
          <w:sz w:val="20"/>
          <w:szCs w:val="20"/>
        </w:rPr>
      </w:pPr>
      <w:r w:rsidRPr="00A53566">
        <w:rPr>
          <w:rFonts w:asciiTheme="majorHAnsi" w:hAnsiTheme="majorHAnsi"/>
          <w:bCs/>
          <w:sz w:val="20"/>
          <w:szCs w:val="20"/>
        </w:rPr>
        <w:t xml:space="preserve">Es de conocimiento de la CIDH que a mediados de abril de 2018 jóvenes y ambientalistas llevaron a cabo protestas, como consecuencia de las alegadas ineficientes medidas adoptadas por el Estado para enfrentar el severo incendio forestal que afectó a la Reserva Biológica Indio-Maíz. Días después, empezaron las protestas masivas a lo largo de Nicaragua en contra de la aprobación de propuestas reformas a la Ley de Seguridad Social que establecían un aumento en las cotizaciones de trabajadores y patronos, así como un aporte adicional del cinco por ciento a los pensionistas. Pese a que el gobierno retiró la propuesta de reforma unos días más tarde, las protestas continuaron y se extendieron a otros reclamos contra el gobierno. </w:t>
      </w:r>
    </w:p>
    <w:p w14:paraId="2B76022C" w14:textId="6FC25726" w:rsidR="007C2323" w:rsidRPr="00A53566" w:rsidRDefault="007C2323" w:rsidP="00E42A0B">
      <w:pPr>
        <w:numPr>
          <w:ilvl w:val="0"/>
          <w:numId w:val="55"/>
        </w:numPr>
        <w:suppressAutoHyphens/>
        <w:spacing w:after="240"/>
        <w:jc w:val="both"/>
        <w:rPr>
          <w:rFonts w:asciiTheme="majorHAnsi" w:hAnsiTheme="majorHAnsi"/>
          <w:bCs/>
          <w:sz w:val="20"/>
          <w:szCs w:val="20"/>
        </w:rPr>
      </w:pPr>
      <w:r w:rsidRPr="00A53566">
        <w:rPr>
          <w:rFonts w:asciiTheme="majorHAnsi" w:hAnsiTheme="majorHAnsi"/>
          <w:bCs/>
          <w:sz w:val="20"/>
          <w:szCs w:val="20"/>
        </w:rPr>
        <w:t xml:space="preserve">En ese </w:t>
      </w:r>
      <w:r w:rsidR="001643F1">
        <w:rPr>
          <w:rFonts w:asciiTheme="majorHAnsi" w:hAnsiTheme="majorHAnsi"/>
          <w:bCs/>
          <w:sz w:val="20"/>
          <w:szCs w:val="20"/>
        </w:rPr>
        <w:t>contexto</w:t>
      </w:r>
      <w:r w:rsidRPr="00A53566">
        <w:rPr>
          <w:rFonts w:asciiTheme="majorHAnsi" w:hAnsiTheme="majorHAnsi"/>
          <w:bCs/>
          <w:sz w:val="20"/>
          <w:szCs w:val="20"/>
        </w:rPr>
        <w:t xml:space="preserve">, la Comisión Interamericana en sus observaciones preliminares de su visita de trabajo a Nicaragua realizada del 17 al 21 de mayo de 2018, </w:t>
      </w:r>
      <w:r w:rsidRPr="00A53566">
        <w:rPr>
          <w:rFonts w:asciiTheme="majorHAnsi" w:hAnsiTheme="majorHAnsi" w:cs="Calibri"/>
          <w:color w:val="000000"/>
          <w:sz w:val="20"/>
          <w:szCs w:val="20"/>
        </w:rPr>
        <w:t>reportó que desde el 18 de abril y hasta el 21 de mayo hubo, al menos, 76 personas muertas y 868 resultaron heridas en su gran mayoría en el contexto de las protestas. Asimismo, que 438 personas fueron detenidas, entre estudiantes, población civil, defensoras y defensores de derechos humanos y periodistas. Así, en sus observaciones preliminares de esta visita de trabajo a Nicaragua, la CIDH “</w:t>
      </w:r>
      <w:r w:rsidRPr="00A53566">
        <w:rPr>
          <w:rFonts w:asciiTheme="majorHAnsi" w:hAnsiTheme="majorHAnsi" w:cs="Calibri"/>
          <w:i/>
          <w:iCs/>
          <w:color w:val="000000"/>
          <w:sz w:val="20"/>
          <w:szCs w:val="20"/>
        </w:rPr>
        <w:t>condenó enfáticamente las muertes, agresiones y detenciones arbitrarias de las y los estudiantes, manifestantes, periodistas y otros ciudadanos que se han registrado en el país desde el inicio de las protestas y que continúan hasta la fecha</w:t>
      </w:r>
      <w:r w:rsidRPr="00A53566">
        <w:rPr>
          <w:rFonts w:asciiTheme="majorHAnsi" w:hAnsiTheme="majorHAnsi" w:cs="Calibri"/>
          <w:color w:val="000000"/>
          <w:sz w:val="20"/>
          <w:szCs w:val="20"/>
        </w:rPr>
        <w:t>”</w:t>
      </w:r>
      <w:r w:rsidRPr="00A53566">
        <w:rPr>
          <w:rStyle w:val="FootnoteReference"/>
          <w:rFonts w:asciiTheme="majorHAnsi" w:hAnsiTheme="majorHAnsi" w:cs="Calibri"/>
          <w:color w:val="000000"/>
          <w:sz w:val="20"/>
          <w:szCs w:val="20"/>
        </w:rPr>
        <w:footnoteReference w:id="9"/>
      </w:r>
      <w:r w:rsidRPr="00A53566">
        <w:rPr>
          <w:rFonts w:asciiTheme="majorHAnsi" w:hAnsiTheme="majorHAnsi" w:cs="Calibri"/>
          <w:color w:val="000000"/>
          <w:sz w:val="20"/>
          <w:szCs w:val="20"/>
        </w:rPr>
        <w:t>.</w:t>
      </w:r>
    </w:p>
    <w:p w14:paraId="693E16B1" w14:textId="0940881D" w:rsidR="007C2323" w:rsidRDefault="007C2323" w:rsidP="00E42A0B">
      <w:pPr>
        <w:numPr>
          <w:ilvl w:val="0"/>
          <w:numId w:val="55"/>
        </w:numPr>
        <w:suppressAutoHyphens/>
        <w:spacing w:after="240"/>
        <w:jc w:val="both"/>
        <w:rPr>
          <w:rFonts w:ascii="Cambria" w:hAnsi="Cambria"/>
          <w:bCs/>
          <w:sz w:val="20"/>
          <w:szCs w:val="20"/>
        </w:rPr>
      </w:pPr>
      <w:r w:rsidRPr="00A53566">
        <w:rPr>
          <w:rFonts w:ascii="Cambria" w:hAnsi="Cambria"/>
          <w:bCs/>
          <w:sz w:val="20"/>
          <w:szCs w:val="20"/>
        </w:rPr>
        <w:t xml:space="preserve">El 21 </w:t>
      </w:r>
      <w:r w:rsidRPr="00E42A0B">
        <w:rPr>
          <w:rFonts w:asciiTheme="majorHAnsi" w:hAnsiTheme="majorHAnsi"/>
          <w:bCs/>
          <w:sz w:val="20"/>
          <w:szCs w:val="20"/>
        </w:rPr>
        <w:t>de</w:t>
      </w:r>
      <w:r w:rsidRPr="00A53566">
        <w:rPr>
          <w:rFonts w:ascii="Cambria" w:hAnsi="Cambria"/>
          <w:bCs/>
          <w:sz w:val="20"/>
          <w:szCs w:val="20"/>
        </w:rPr>
        <w:t xml:space="preserve"> junio de 2018 la CIDH publicó su Informe Final: “Graves violaciones a los derechos humanos en el marco de las protestas sociales en Nicaragua”</w:t>
      </w:r>
      <w:r w:rsidR="001643F1">
        <w:rPr>
          <w:rFonts w:ascii="Cambria" w:hAnsi="Cambria"/>
          <w:bCs/>
          <w:sz w:val="20"/>
          <w:szCs w:val="20"/>
        </w:rPr>
        <w:t>,</w:t>
      </w:r>
      <w:r w:rsidRPr="00A53566">
        <w:rPr>
          <w:rFonts w:ascii="Cambria" w:hAnsi="Cambria"/>
          <w:bCs/>
          <w:sz w:val="20"/>
          <w:szCs w:val="20"/>
        </w:rPr>
        <w:t xml:space="preserve"> en el que concluyó que la respuesta estatal estuvo dirigida en todo momento a disuadir de forma violenta la participación en las manifestaciones. En cumplimiento de las recomendaciones formuladas, el 24 de junio de 2018, la Comisión instaló </w:t>
      </w:r>
      <w:r w:rsidRPr="00A53566">
        <w:rPr>
          <w:rFonts w:ascii="Cambria" w:hAnsi="Cambria" w:cs="Tahoma"/>
          <w:sz w:val="20"/>
          <w:szCs w:val="20"/>
          <w:shd w:val="clear" w:color="auto" w:fill="FFFFFF"/>
        </w:rPr>
        <w:t>el Mecanismo Especial de Seguimiento para Nicaragua (MESENI)</w:t>
      </w:r>
      <w:r w:rsidR="001643F1">
        <w:rPr>
          <w:rFonts w:ascii="Cambria" w:hAnsi="Cambria" w:cs="Tahoma"/>
          <w:sz w:val="20"/>
          <w:szCs w:val="20"/>
          <w:shd w:val="clear" w:color="auto" w:fill="FFFFFF"/>
        </w:rPr>
        <w:t>;</w:t>
      </w:r>
      <w:r w:rsidRPr="00A53566">
        <w:rPr>
          <w:rFonts w:ascii="Cambria" w:hAnsi="Cambria" w:cs="Tahoma"/>
          <w:sz w:val="20"/>
          <w:szCs w:val="20"/>
          <w:shd w:val="clear" w:color="auto" w:fill="FFFFFF"/>
        </w:rPr>
        <w:t xml:space="preserve"> y</w:t>
      </w:r>
      <w:r w:rsidR="001643F1">
        <w:rPr>
          <w:rFonts w:ascii="Cambria" w:hAnsi="Cambria" w:cs="Tahoma"/>
          <w:sz w:val="20"/>
          <w:szCs w:val="20"/>
          <w:shd w:val="clear" w:color="auto" w:fill="FFFFFF"/>
        </w:rPr>
        <w:t xml:space="preserve"> </w:t>
      </w:r>
      <w:r w:rsidRPr="00A53566">
        <w:rPr>
          <w:rFonts w:ascii="Cambria" w:hAnsi="Cambria"/>
          <w:bCs/>
          <w:sz w:val="20"/>
          <w:szCs w:val="20"/>
        </w:rPr>
        <w:t>el 2 de julio de 2018, anunció la instalación de un Grupo Interdisciplinario de Expertos Independientes (GIEI)</w:t>
      </w:r>
      <w:r w:rsidR="001643F1">
        <w:rPr>
          <w:rFonts w:ascii="Cambria" w:hAnsi="Cambria"/>
          <w:bCs/>
          <w:sz w:val="20"/>
          <w:szCs w:val="20"/>
        </w:rPr>
        <w:t>,</w:t>
      </w:r>
      <w:r w:rsidRPr="00A53566">
        <w:rPr>
          <w:rFonts w:ascii="Cambria" w:hAnsi="Cambria"/>
          <w:bCs/>
          <w:sz w:val="20"/>
          <w:szCs w:val="20"/>
        </w:rPr>
        <w:t xml:space="preserve"> encargado de coadyuvar y apoyar las investigaciones de las muertes ocurridas en el contexto de los hechos violentos en el país, entre ellas, </w:t>
      </w:r>
      <w:r w:rsidR="00F9061B">
        <w:rPr>
          <w:rFonts w:asciiTheme="majorHAnsi" w:hAnsiTheme="majorHAnsi"/>
          <w:sz w:val="20"/>
          <w:szCs w:val="20"/>
        </w:rPr>
        <w:t>la identificación de los responsables de los actos de violencia en Nicaragua</w:t>
      </w:r>
      <w:r w:rsidRPr="00A53566">
        <w:rPr>
          <w:rStyle w:val="FootnoteReference"/>
          <w:rFonts w:ascii="Cambria" w:hAnsi="Cambria"/>
          <w:bCs/>
          <w:sz w:val="20"/>
          <w:szCs w:val="20"/>
        </w:rPr>
        <w:footnoteReference w:id="10"/>
      </w:r>
      <w:r w:rsidRPr="00A53566">
        <w:rPr>
          <w:rFonts w:asciiTheme="majorHAnsi" w:hAnsiTheme="majorHAnsi"/>
          <w:sz w:val="20"/>
          <w:szCs w:val="20"/>
        </w:rPr>
        <w:t>.</w:t>
      </w:r>
      <w:r w:rsidRPr="00A53566">
        <w:rPr>
          <w:rFonts w:ascii="Cambria" w:hAnsi="Cambria"/>
          <w:bCs/>
          <w:sz w:val="20"/>
          <w:szCs w:val="20"/>
        </w:rPr>
        <w:t xml:space="preserve"> El 21 de diciembre de 2018, el GIEI presentó su “Informe final sobre los hechos de violencia ocurridos entre el 18 de abril y el 30 de mayo de 2018”, en el mismo señaló que </w:t>
      </w:r>
      <w:r w:rsidR="00F9061B">
        <w:rPr>
          <w:rFonts w:ascii="Cambria" w:hAnsi="Cambria"/>
          <w:bCs/>
          <w:sz w:val="20"/>
          <w:szCs w:val="20"/>
        </w:rPr>
        <w:t>“</w:t>
      </w:r>
      <w:r w:rsidR="00F9061B" w:rsidRPr="00F9061B">
        <w:rPr>
          <w:rFonts w:ascii="Cambria" w:hAnsi="Cambria"/>
          <w:bCs/>
          <w:i/>
          <w:iCs/>
          <w:sz w:val="20"/>
          <w:szCs w:val="20"/>
        </w:rPr>
        <w:t>se criminaliza y judicializa cualquier forma de protesta por parte de la sociedad en general y en particular a defensores y defensoras de derechos humanos</w:t>
      </w:r>
      <w:r w:rsidRPr="00A53566">
        <w:rPr>
          <w:rStyle w:val="FootnoteReference"/>
          <w:rFonts w:ascii="Cambria" w:hAnsi="Cambria"/>
          <w:bCs/>
          <w:sz w:val="20"/>
          <w:szCs w:val="20"/>
        </w:rPr>
        <w:footnoteReference w:id="11"/>
      </w:r>
      <w:r w:rsidRPr="00F9061B">
        <w:rPr>
          <w:rStyle w:val="FootnoteReference"/>
          <w:rFonts w:ascii="Cambria" w:hAnsi="Cambria"/>
          <w:bCs/>
          <w:sz w:val="20"/>
          <w:szCs w:val="20"/>
          <w:vertAlign w:val="baseline"/>
        </w:rPr>
        <w:t>“</w:t>
      </w:r>
      <w:r w:rsidRPr="00F9061B">
        <w:rPr>
          <w:rFonts w:ascii="Cambria" w:hAnsi="Cambria"/>
          <w:bCs/>
          <w:sz w:val="20"/>
          <w:szCs w:val="20"/>
        </w:rPr>
        <w:t>.</w:t>
      </w:r>
      <w:r w:rsidRPr="00F9061B">
        <w:rPr>
          <w:rStyle w:val="FootnoteReference"/>
          <w:rFonts w:ascii="Cambria" w:hAnsi="Cambria"/>
          <w:bCs/>
          <w:sz w:val="20"/>
          <w:szCs w:val="20"/>
        </w:rPr>
        <w:t xml:space="preserve"> </w:t>
      </w:r>
    </w:p>
    <w:p w14:paraId="14A07B68" w14:textId="2583C29A" w:rsidR="00E42A0B" w:rsidRPr="005F6777" w:rsidRDefault="00E42A0B" w:rsidP="004A5B42">
      <w:pPr>
        <w:numPr>
          <w:ilvl w:val="0"/>
          <w:numId w:val="55"/>
        </w:numPr>
        <w:suppressAutoHyphens/>
        <w:spacing w:after="240"/>
        <w:jc w:val="both"/>
        <w:rPr>
          <w:rFonts w:ascii="Cambria" w:hAnsi="Cambria"/>
          <w:bCs/>
          <w:sz w:val="20"/>
          <w:szCs w:val="20"/>
        </w:rPr>
      </w:pPr>
      <w:r w:rsidRPr="005F6777">
        <w:rPr>
          <w:rFonts w:asciiTheme="majorHAnsi" w:hAnsiTheme="majorHAnsi"/>
          <w:bCs/>
          <w:sz w:val="20"/>
          <w:szCs w:val="20"/>
        </w:rPr>
        <w:t>Aunado</w:t>
      </w:r>
      <w:r w:rsidRPr="005F6777">
        <w:rPr>
          <w:rFonts w:ascii="Cambria" w:hAnsi="Cambria"/>
          <w:bCs/>
          <w:sz w:val="20"/>
          <w:szCs w:val="20"/>
        </w:rPr>
        <w:t xml:space="preserve"> a lo anterior, el 11 de noviembre de 2008 la CIDH otorgó medidas cautelares a favor de los integrantes del CENIDH</w:t>
      </w:r>
      <w:r w:rsidR="00C152D0" w:rsidRPr="005F6777">
        <w:rPr>
          <w:rStyle w:val="FootnoteReference"/>
          <w:rFonts w:ascii="Cambria" w:hAnsi="Cambria"/>
          <w:bCs/>
          <w:sz w:val="20"/>
          <w:szCs w:val="20"/>
        </w:rPr>
        <w:footnoteReference w:id="12"/>
      </w:r>
      <w:r w:rsidRPr="005F6777">
        <w:rPr>
          <w:rFonts w:ascii="Cambria" w:hAnsi="Cambria"/>
          <w:bCs/>
          <w:sz w:val="20"/>
          <w:szCs w:val="20"/>
        </w:rPr>
        <w:t xml:space="preserve">, por ser blancos de señalamientos y actos de hostigamiento por parte de funcionarios públicos a causa de su actividad </w:t>
      </w:r>
      <w:r w:rsidR="0078305C" w:rsidRPr="005F6777">
        <w:rPr>
          <w:rFonts w:ascii="Cambria" w:hAnsi="Cambria"/>
          <w:bCs/>
          <w:sz w:val="20"/>
          <w:szCs w:val="20"/>
        </w:rPr>
        <w:t>de</w:t>
      </w:r>
      <w:r w:rsidRPr="005F6777">
        <w:rPr>
          <w:rFonts w:ascii="Cambria" w:hAnsi="Cambria"/>
          <w:bCs/>
          <w:sz w:val="20"/>
          <w:szCs w:val="20"/>
        </w:rPr>
        <w:t xml:space="preserve"> </w:t>
      </w:r>
      <w:r w:rsidR="0078305C" w:rsidRPr="005F6777">
        <w:rPr>
          <w:rFonts w:ascii="Cambria" w:hAnsi="Cambria"/>
          <w:bCs/>
          <w:sz w:val="20"/>
          <w:szCs w:val="20"/>
        </w:rPr>
        <w:t>defensa</w:t>
      </w:r>
      <w:r w:rsidRPr="005F6777">
        <w:rPr>
          <w:rFonts w:ascii="Cambria" w:hAnsi="Cambria"/>
          <w:bCs/>
          <w:sz w:val="20"/>
          <w:szCs w:val="20"/>
        </w:rPr>
        <w:t xml:space="preserve"> de</w:t>
      </w:r>
      <w:r w:rsidR="0078305C" w:rsidRPr="005F6777">
        <w:rPr>
          <w:rFonts w:ascii="Cambria" w:hAnsi="Cambria"/>
          <w:bCs/>
          <w:sz w:val="20"/>
          <w:szCs w:val="20"/>
        </w:rPr>
        <w:t xml:space="preserve"> los</w:t>
      </w:r>
      <w:r w:rsidRPr="005F6777">
        <w:rPr>
          <w:rFonts w:ascii="Cambria" w:hAnsi="Cambria"/>
          <w:bCs/>
          <w:sz w:val="20"/>
          <w:szCs w:val="20"/>
        </w:rPr>
        <w:t xml:space="preserve"> derechos humanos.</w:t>
      </w:r>
      <w:r w:rsidR="00252539" w:rsidRPr="005F6777">
        <w:rPr>
          <w:rFonts w:ascii="Cambria" w:hAnsi="Cambria"/>
          <w:bCs/>
          <w:sz w:val="20"/>
          <w:szCs w:val="20"/>
        </w:rPr>
        <w:t xml:space="preserve"> En </w:t>
      </w:r>
      <w:r w:rsidR="005F6777" w:rsidRPr="005F6777">
        <w:rPr>
          <w:rFonts w:ascii="Cambria" w:hAnsi="Cambria"/>
          <w:bCs/>
          <w:sz w:val="20"/>
          <w:szCs w:val="20"/>
        </w:rPr>
        <w:t>consecuencia,</w:t>
      </w:r>
      <w:r w:rsidR="00252539" w:rsidRPr="005F6777">
        <w:rPr>
          <w:rFonts w:ascii="Cambria" w:hAnsi="Cambria"/>
          <w:bCs/>
          <w:sz w:val="20"/>
          <w:szCs w:val="20"/>
        </w:rPr>
        <w:t xml:space="preserve"> y derivado de los hechos ocurridos el 18 de abril de 2018 en Nicaragua</w:t>
      </w:r>
      <w:r w:rsidRPr="005F6777">
        <w:rPr>
          <w:rFonts w:ascii="Cambria" w:hAnsi="Cambria"/>
          <w:bCs/>
          <w:sz w:val="20"/>
          <w:szCs w:val="20"/>
        </w:rPr>
        <w:t xml:space="preserve">, </w:t>
      </w:r>
      <w:r w:rsidR="00252539" w:rsidRPr="005F6777">
        <w:rPr>
          <w:rFonts w:ascii="Cambria" w:hAnsi="Cambria"/>
          <w:bCs/>
          <w:sz w:val="20"/>
          <w:szCs w:val="20"/>
        </w:rPr>
        <w:t xml:space="preserve">la CIDH solicitó a la Corte Interamericana el </w:t>
      </w:r>
      <w:r w:rsidR="005F6777" w:rsidRPr="005F6777">
        <w:rPr>
          <w:rFonts w:ascii="Cambria" w:hAnsi="Cambria"/>
          <w:bCs/>
          <w:sz w:val="20"/>
          <w:szCs w:val="20"/>
        </w:rPr>
        <w:t>otorgamiento</w:t>
      </w:r>
      <w:r w:rsidR="00252539" w:rsidRPr="005F6777">
        <w:rPr>
          <w:rFonts w:ascii="Cambria" w:hAnsi="Cambria"/>
          <w:bCs/>
          <w:sz w:val="20"/>
          <w:szCs w:val="20"/>
        </w:rPr>
        <w:t xml:space="preserve"> de medidas provisionales en favor de los integrantes del CENIDH. </w:t>
      </w:r>
      <w:r w:rsidR="009C24A3" w:rsidRPr="005F6777">
        <w:rPr>
          <w:rFonts w:ascii="Cambria" w:hAnsi="Cambria"/>
          <w:bCs/>
          <w:sz w:val="20"/>
          <w:szCs w:val="20"/>
        </w:rPr>
        <w:t xml:space="preserve">El </w:t>
      </w:r>
      <w:r w:rsidR="009C24A3" w:rsidRPr="005F6777">
        <w:rPr>
          <w:rFonts w:asciiTheme="majorHAnsi" w:hAnsiTheme="majorHAnsi"/>
          <w:sz w:val="20"/>
          <w:szCs w:val="20"/>
          <w:lang w:val="es-US"/>
        </w:rPr>
        <w:t>12 de julio de 2019 la Corte Interamericana otorgó medidas urgentes y el</w:t>
      </w:r>
      <w:r w:rsidR="009C24A3" w:rsidRPr="005F6777">
        <w:rPr>
          <w:rFonts w:ascii="Cambria" w:hAnsi="Cambria"/>
          <w:bCs/>
          <w:sz w:val="20"/>
          <w:szCs w:val="20"/>
          <w:lang w:val="es-US"/>
        </w:rPr>
        <w:t xml:space="preserve"> </w:t>
      </w:r>
      <w:r w:rsidR="00C152D0" w:rsidRPr="005F6777">
        <w:rPr>
          <w:rFonts w:ascii="Cambria" w:hAnsi="Cambria"/>
          <w:bCs/>
          <w:sz w:val="20"/>
          <w:szCs w:val="20"/>
        </w:rPr>
        <w:t xml:space="preserve">14 de octubre de 2019 </w:t>
      </w:r>
      <w:r w:rsidR="009E60E8" w:rsidRPr="005F6777">
        <w:rPr>
          <w:rFonts w:ascii="Cambria" w:hAnsi="Cambria"/>
          <w:bCs/>
          <w:sz w:val="20"/>
          <w:szCs w:val="20"/>
        </w:rPr>
        <w:t xml:space="preserve">y el 21 de septiembre de 2021 </w:t>
      </w:r>
      <w:r w:rsidR="00C152D0" w:rsidRPr="005F6777">
        <w:rPr>
          <w:rFonts w:ascii="Cambria" w:hAnsi="Cambria"/>
          <w:bCs/>
          <w:sz w:val="20"/>
          <w:szCs w:val="20"/>
        </w:rPr>
        <w:t xml:space="preserve">otorgó </w:t>
      </w:r>
      <w:r w:rsidR="00C152D0" w:rsidRPr="005F6777">
        <w:rPr>
          <w:rFonts w:ascii="Cambria" w:hAnsi="Cambria"/>
          <w:bCs/>
          <w:sz w:val="20"/>
          <w:szCs w:val="20"/>
        </w:rPr>
        <w:lastRenderedPageBreak/>
        <w:t>medidas provisionales</w:t>
      </w:r>
      <w:r w:rsidR="00531957" w:rsidRPr="005F6777">
        <w:rPr>
          <w:rFonts w:ascii="Cambria" w:hAnsi="Cambria"/>
          <w:bCs/>
          <w:sz w:val="20"/>
          <w:szCs w:val="20"/>
        </w:rPr>
        <w:t>, ambas concedidas</w:t>
      </w:r>
      <w:r w:rsidR="005C3689" w:rsidRPr="005F6777">
        <w:rPr>
          <w:rFonts w:ascii="Cambria" w:hAnsi="Cambria"/>
          <w:bCs/>
          <w:sz w:val="20"/>
          <w:szCs w:val="20"/>
        </w:rPr>
        <w:t xml:space="preserve"> en favor de los integrantes del CENIDH</w:t>
      </w:r>
      <w:r w:rsidR="009E60E8" w:rsidRPr="005F6777">
        <w:rPr>
          <w:rFonts w:ascii="Cambria" w:hAnsi="Cambria"/>
          <w:bCs/>
          <w:sz w:val="20"/>
          <w:szCs w:val="20"/>
        </w:rPr>
        <w:t>,</w:t>
      </w:r>
      <w:r w:rsidR="005C3689" w:rsidRPr="005F6777">
        <w:rPr>
          <w:rFonts w:ascii="Cambria" w:hAnsi="Cambria"/>
          <w:bCs/>
          <w:sz w:val="20"/>
          <w:szCs w:val="20"/>
        </w:rPr>
        <w:t xml:space="preserve"> con la finalidad de asegurar la continuidad de sus labores sin ser objeto de hostigamientos, amenazas o agresiones. Dichas medidas provisionales se encuentran sujetas a supervisión en su cumplimiento por parte de la Corte Interamericana de Derechos Humanos.</w:t>
      </w:r>
      <w:r w:rsidR="009E60E8" w:rsidRPr="005F6777">
        <w:rPr>
          <w:rFonts w:ascii="Cambria" w:hAnsi="Cambria"/>
          <w:bCs/>
          <w:sz w:val="20"/>
          <w:szCs w:val="20"/>
        </w:rPr>
        <w:t xml:space="preserve"> En ese sentido, en </w:t>
      </w:r>
      <w:r w:rsidR="005F6777" w:rsidRPr="005F6777">
        <w:rPr>
          <w:rFonts w:ascii="Cambria" w:hAnsi="Cambria"/>
          <w:bCs/>
          <w:sz w:val="20"/>
          <w:szCs w:val="20"/>
        </w:rPr>
        <w:t>su</w:t>
      </w:r>
      <w:r w:rsidR="009E60E8" w:rsidRPr="005F6777">
        <w:rPr>
          <w:rFonts w:ascii="Cambria" w:hAnsi="Cambria"/>
          <w:bCs/>
          <w:sz w:val="20"/>
          <w:szCs w:val="20"/>
        </w:rPr>
        <w:t xml:space="preserve"> resolución de 1 de septiembre de 2021, la Corte </w:t>
      </w:r>
      <w:r w:rsidR="004A5B42" w:rsidRPr="005F6777">
        <w:rPr>
          <w:rFonts w:ascii="Cambria" w:hAnsi="Cambria"/>
          <w:bCs/>
          <w:sz w:val="20"/>
          <w:szCs w:val="20"/>
        </w:rPr>
        <w:t>estableció, entre otros,</w:t>
      </w:r>
      <w:r w:rsidR="009E60E8" w:rsidRPr="005F6777">
        <w:rPr>
          <w:rFonts w:ascii="Cambria" w:hAnsi="Cambria"/>
          <w:bCs/>
          <w:sz w:val="20"/>
          <w:szCs w:val="20"/>
        </w:rPr>
        <w:t xml:space="preserve"> que </w:t>
      </w:r>
      <w:r w:rsidR="004A5B42" w:rsidRPr="005F6777">
        <w:rPr>
          <w:rFonts w:ascii="Cambria" w:hAnsi="Cambria"/>
          <w:bCs/>
          <w:sz w:val="20"/>
          <w:szCs w:val="20"/>
        </w:rPr>
        <w:t>el Estado no ha aportado información respecto a medidas específicas adoptadas para dar cumplimento a lo ordenado en las Medidas Provisionales de 14 de octubre de 2019, relativas a proteger la vida e integridad personal de las personas beneficiarias.</w:t>
      </w:r>
      <w:r w:rsidR="005F6777" w:rsidRPr="005F6777">
        <w:rPr>
          <w:rFonts w:ascii="Cambria" w:hAnsi="Cambria"/>
          <w:bCs/>
          <w:sz w:val="20"/>
          <w:szCs w:val="20"/>
        </w:rPr>
        <w:t xml:space="preserve"> Estos hechos, verificados a través del proceso de protección que se conduce actualmente ante la Corte Interamericana, si bien independientes procesalmente del presente trámite, sí contribuyen a sustentar el análisis de caracterización </w:t>
      </w:r>
      <w:r w:rsidR="005F6777" w:rsidRPr="005F6777">
        <w:rPr>
          <w:rFonts w:ascii="Cambria" w:hAnsi="Cambria"/>
          <w:bCs/>
          <w:i/>
          <w:iCs/>
          <w:sz w:val="20"/>
          <w:szCs w:val="20"/>
        </w:rPr>
        <w:t xml:space="preserve">prima facie </w:t>
      </w:r>
      <w:r w:rsidR="005F6777" w:rsidRPr="005F6777">
        <w:rPr>
          <w:rFonts w:ascii="Cambria" w:hAnsi="Cambria"/>
          <w:bCs/>
          <w:sz w:val="20"/>
          <w:szCs w:val="20"/>
        </w:rPr>
        <w:t xml:space="preserve">de los hechos denunciados por los peticionarios en la presente petición. </w:t>
      </w:r>
    </w:p>
    <w:p w14:paraId="38F851AB" w14:textId="27FA9E1E" w:rsidR="004F6A12" w:rsidRPr="00857B7A" w:rsidRDefault="00EE0929" w:rsidP="00E42A0B">
      <w:pPr>
        <w:numPr>
          <w:ilvl w:val="0"/>
          <w:numId w:val="55"/>
        </w:numPr>
        <w:suppressAutoHyphens/>
        <w:spacing w:after="240"/>
        <w:jc w:val="both"/>
        <w:rPr>
          <w:rFonts w:asciiTheme="majorHAnsi" w:hAnsiTheme="majorHAnsi"/>
          <w:bCs/>
          <w:sz w:val="20"/>
          <w:szCs w:val="20"/>
        </w:rPr>
      </w:pPr>
      <w:r>
        <w:rPr>
          <w:rFonts w:asciiTheme="majorHAnsi" w:hAnsiTheme="majorHAnsi"/>
          <w:bCs/>
          <w:sz w:val="20"/>
          <w:szCs w:val="20"/>
        </w:rPr>
        <w:t xml:space="preserve">En atención a estas </w:t>
      </w:r>
      <w:r w:rsidR="007C2323" w:rsidRPr="00A53566">
        <w:rPr>
          <w:rFonts w:asciiTheme="majorHAnsi" w:hAnsiTheme="majorHAnsi"/>
          <w:bCs/>
          <w:sz w:val="20"/>
          <w:szCs w:val="20"/>
        </w:rPr>
        <w:t xml:space="preserve">consideraciones, la Comisión </w:t>
      </w:r>
      <w:r>
        <w:rPr>
          <w:rFonts w:asciiTheme="majorHAnsi" w:hAnsiTheme="majorHAnsi"/>
          <w:bCs/>
          <w:sz w:val="20"/>
          <w:szCs w:val="20"/>
        </w:rPr>
        <w:t>concluye</w:t>
      </w:r>
      <w:r w:rsidR="007C2323" w:rsidRPr="00A53566">
        <w:rPr>
          <w:rFonts w:asciiTheme="majorHAnsi" w:hAnsiTheme="majorHAnsi"/>
          <w:bCs/>
          <w:sz w:val="20"/>
          <w:szCs w:val="20"/>
        </w:rPr>
        <w:t xml:space="preserve"> que los alegatos de los peticionarios no resultan manifiestamente infundados y ameritan un análisis de fondo, a la luz de los derechos establecidos en los artículos </w:t>
      </w:r>
      <w:r w:rsidR="00857B7A" w:rsidRPr="00A53566">
        <w:rPr>
          <w:rFonts w:asciiTheme="majorHAnsi" w:hAnsiTheme="majorHAnsi"/>
          <w:sz w:val="20"/>
          <w:szCs w:val="20"/>
        </w:rPr>
        <w:t>5 (integridad personal), 8 (garantías judiciales), 9 (legalidad), 11 (honra y dignidad), 13 (libertad de pensamiento y expresión), 15 (reunión), 16 (asociación), 17 (familia), 21 (propiedad privada), 22 (circulación y residencia) y 25 (protección judicial)</w:t>
      </w:r>
      <w:r w:rsidR="00857B7A">
        <w:rPr>
          <w:rFonts w:asciiTheme="majorHAnsi" w:hAnsiTheme="majorHAnsi"/>
          <w:sz w:val="20"/>
          <w:szCs w:val="20"/>
        </w:rPr>
        <w:t xml:space="preserve"> </w:t>
      </w:r>
      <w:r w:rsidR="007C2323" w:rsidRPr="00A53566">
        <w:rPr>
          <w:rFonts w:asciiTheme="majorHAnsi" w:hAnsiTheme="majorHAnsi"/>
          <w:bCs/>
          <w:sz w:val="20"/>
          <w:szCs w:val="20"/>
        </w:rPr>
        <w:t>de la Convención Americana, en relación con su</w:t>
      </w:r>
      <w:r w:rsidR="00586561">
        <w:rPr>
          <w:rFonts w:asciiTheme="majorHAnsi" w:hAnsiTheme="majorHAnsi"/>
          <w:bCs/>
          <w:sz w:val="20"/>
          <w:szCs w:val="20"/>
        </w:rPr>
        <w:t>s</w:t>
      </w:r>
      <w:r w:rsidR="007C2323" w:rsidRPr="00A53566">
        <w:rPr>
          <w:rFonts w:asciiTheme="majorHAnsi" w:hAnsiTheme="majorHAnsi"/>
          <w:bCs/>
          <w:sz w:val="20"/>
          <w:szCs w:val="20"/>
        </w:rPr>
        <w:t xml:space="preserve"> artículo</w:t>
      </w:r>
      <w:r w:rsidR="00586561">
        <w:rPr>
          <w:rFonts w:asciiTheme="majorHAnsi" w:hAnsiTheme="majorHAnsi"/>
          <w:bCs/>
          <w:sz w:val="20"/>
          <w:szCs w:val="20"/>
        </w:rPr>
        <w:t>s</w:t>
      </w:r>
      <w:r w:rsidR="007C2323" w:rsidRPr="00A53566">
        <w:rPr>
          <w:rFonts w:asciiTheme="majorHAnsi" w:hAnsiTheme="majorHAnsi"/>
          <w:bCs/>
          <w:sz w:val="20"/>
          <w:szCs w:val="20"/>
        </w:rPr>
        <w:t xml:space="preserve"> 1.1 (obligación de respetar los derechos)</w:t>
      </w:r>
      <w:r w:rsidR="00586561">
        <w:rPr>
          <w:rFonts w:asciiTheme="majorHAnsi" w:hAnsiTheme="majorHAnsi"/>
          <w:bCs/>
          <w:sz w:val="20"/>
          <w:szCs w:val="20"/>
        </w:rPr>
        <w:t xml:space="preserve"> y 2 (obligación de adoptar disposiciones de derecho interno)</w:t>
      </w:r>
      <w:r w:rsidR="007C2323" w:rsidRPr="00A53566">
        <w:rPr>
          <w:rFonts w:asciiTheme="majorHAnsi" w:hAnsiTheme="majorHAnsi"/>
          <w:bCs/>
          <w:sz w:val="20"/>
          <w:szCs w:val="20"/>
        </w:rPr>
        <w:t xml:space="preserve">, en perjuicio de </w:t>
      </w:r>
      <w:r w:rsidR="00857B7A">
        <w:rPr>
          <w:rFonts w:asciiTheme="majorHAnsi" w:hAnsiTheme="majorHAnsi"/>
          <w:bCs/>
          <w:sz w:val="20"/>
          <w:szCs w:val="20"/>
        </w:rPr>
        <w:t>los</w:t>
      </w:r>
      <w:r w:rsidR="007C2323" w:rsidRPr="00A53566">
        <w:rPr>
          <w:rFonts w:asciiTheme="majorHAnsi" w:hAnsiTheme="majorHAnsi"/>
          <w:bCs/>
          <w:sz w:val="20"/>
          <w:szCs w:val="20"/>
        </w:rPr>
        <w:t xml:space="preserve"> </w:t>
      </w:r>
      <w:r w:rsidR="00857B7A">
        <w:rPr>
          <w:rFonts w:asciiTheme="majorHAnsi" w:hAnsiTheme="majorHAnsi"/>
          <w:bCs/>
          <w:sz w:val="20"/>
          <w:szCs w:val="20"/>
        </w:rPr>
        <w:t>integrantes del CENIDH</w:t>
      </w:r>
      <w:r w:rsidR="007C2323" w:rsidRPr="00A53566">
        <w:rPr>
          <w:rFonts w:asciiTheme="majorHAnsi" w:hAnsiTheme="majorHAnsi"/>
          <w:bCs/>
          <w:sz w:val="20"/>
          <w:szCs w:val="20"/>
        </w:rPr>
        <w:t xml:space="preserve"> en los términos del presente informe.</w:t>
      </w:r>
    </w:p>
    <w:p w14:paraId="6E6ABCE6" w14:textId="77777777" w:rsidR="007C2323" w:rsidRPr="00A53566" w:rsidRDefault="007C2323" w:rsidP="007C2323">
      <w:pPr>
        <w:suppressAutoHyphens/>
        <w:spacing w:after="240"/>
        <w:ind w:firstLine="720"/>
        <w:jc w:val="both"/>
        <w:rPr>
          <w:rFonts w:asciiTheme="majorHAnsi" w:hAnsiTheme="majorHAnsi"/>
          <w:b/>
          <w:bCs/>
          <w:sz w:val="20"/>
          <w:szCs w:val="20"/>
        </w:rPr>
      </w:pPr>
      <w:r w:rsidRPr="00A53566">
        <w:rPr>
          <w:rFonts w:asciiTheme="majorHAnsi" w:hAnsiTheme="majorHAnsi"/>
          <w:b/>
          <w:bCs/>
          <w:sz w:val="20"/>
          <w:szCs w:val="20"/>
        </w:rPr>
        <w:t xml:space="preserve">VIII. </w:t>
      </w:r>
      <w:r w:rsidRPr="00A53566">
        <w:rPr>
          <w:rFonts w:asciiTheme="majorHAnsi" w:hAnsiTheme="majorHAnsi"/>
          <w:b/>
          <w:bCs/>
          <w:sz w:val="20"/>
          <w:szCs w:val="20"/>
        </w:rPr>
        <w:tab/>
        <w:t>DECISIÓN</w:t>
      </w:r>
    </w:p>
    <w:p w14:paraId="0FDDC7BB" w14:textId="16E9F98D" w:rsidR="007C2323" w:rsidRPr="00A53566" w:rsidRDefault="007C2323" w:rsidP="007C2323">
      <w:pPr>
        <w:numPr>
          <w:ilvl w:val="0"/>
          <w:numId w:val="56"/>
        </w:numPr>
        <w:suppressAutoHyphens/>
        <w:spacing w:after="240"/>
        <w:jc w:val="both"/>
        <w:rPr>
          <w:rFonts w:asciiTheme="majorHAnsi" w:hAnsiTheme="majorHAnsi"/>
          <w:sz w:val="20"/>
          <w:szCs w:val="20"/>
        </w:rPr>
      </w:pPr>
      <w:r w:rsidRPr="00A53566">
        <w:rPr>
          <w:rFonts w:asciiTheme="majorHAnsi" w:hAnsiTheme="majorHAnsi"/>
          <w:sz w:val="20"/>
          <w:szCs w:val="20"/>
        </w:rPr>
        <w:t xml:space="preserve">Declarar admisible la presente petición en relación con los artículos </w:t>
      </w:r>
      <w:r w:rsidR="004F6A12" w:rsidRPr="00A53566">
        <w:rPr>
          <w:rFonts w:asciiTheme="majorHAnsi" w:hAnsiTheme="majorHAnsi"/>
          <w:sz w:val="20"/>
          <w:szCs w:val="20"/>
        </w:rPr>
        <w:t>5, 8, 9, 11, 13, 15, 16, 17, 21, 22 y 25</w:t>
      </w:r>
      <w:r w:rsidR="00A07A17">
        <w:rPr>
          <w:rFonts w:asciiTheme="majorHAnsi" w:hAnsiTheme="majorHAnsi"/>
          <w:sz w:val="20"/>
          <w:szCs w:val="20"/>
        </w:rPr>
        <w:t>,</w:t>
      </w:r>
      <w:r w:rsidR="002410A1" w:rsidRPr="00A53566">
        <w:rPr>
          <w:rFonts w:asciiTheme="majorHAnsi" w:hAnsiTheme="majorHAnsi"/>
          <w:sz w:val="20"/>
          <w:szCs w:val="20"/>
        </w:rPr>
        <w:t xml:space="preserve"> </w:t>
      </w:r>
      <w:r w:rsidRPr="00A53566">
        <w:rPr>
          <w:rFonts w:asciiTheme="majorHAnsi" w:hAnsiTheme="majorHAnsi"/>
          <w:sz w:val="20"/>
          <w:szCs w:val="20"/>
        </w:rPr>
        <w:t xml:space="preserve">en concordancia con </w:t>
      </w:r>
      <w:r w:rsidR="00AF496C">
        <w:rPr>
          <w:rFonts w:asciiTheme="majorHAnsi" w:hAnsiTheme="majorHAnsi"/>
          <w:sz w:val="20"/>
          <w:szCs w:val="20"/>
        </w:rPr>
        <w:t>los</w:t>
      </w:r>
      <w:r w:rsidRPr="00A53566">
        <w:rPr>
          <w:rFonts w:asciiTheme="majorHAnsi" w:hAnsiTheme="majorHAnsi"/>
          <w:sz w:val="20"/>
          <w:szCs w:val="20"/>
        </w:rPr>
        <w:t xml:space="preserve"> artículo</w:t>
      </w:r>
      <w:r w:rsidR="00AF496C">
        <w:rPr>
          <w:rFonts w:asciiTheme="majorHAnsi" w:hAnsiTheme="majorHAnsi"/>
          <w:sz w:val="20"/>
          <w:szCs w:val="20"/>
        </w:rPr>
        <w:t>s</w:t>
      </w:r>
      <w:r w:rsidRPr="00A53566">
        <w:rPr>
          <w:rFonts w:asciiTheme="majorHAnsi" w:hAnsiTheme="majorHAnsi"/>
          <w:sz w:val="20"/>
          <w:szCs w:val="20"/>
        </w:rPr>
        <w:t xml:space="preserve"> 1.1 </w:t>
      </w:r>
      <w:r w:rsidR="00586561">
        <w:rPr>
          <w:rFonts w:asciiTheme="majorHAnsi" w:hAnsiTheme="majorHAnsi"/>
          <w:sz w:val="20"/>
          <w:szCs w:val="20"/>
        </w:rPr>
        <w:t xml:space="preserve">y 2 </w:t>
      </w:r>
      <w:r w:rsidRPr="00A53566">
        <w:rPr>
          <w:rFonts w:asciiTheme="majorHAnsi" w:hAnsiTheme="majorHAnsi"/>
          <w:sz w:val="20"/>
          <w:szCs w:val="20"/>
        </w:rPr>
        <w:t>de la Convención Americana</w:t>
      </w:r>
      <w:r w:rsidR="00566088">
        <w:rPr>
          <w:rFonts w:asciiTheme="majorHAnsi" w:hAnsiTheme="majorHAnsi"/>
          <w:sz w:val="20"/>
          <w:szCs w:val="20"/>
        </w:rPr>
        <w:t>, y;</w:t>
      </w:r>
    </w:p>
    <w:p w14:paraId="3E87D9F7" w14:textId="5F01FA84" w:rsidR="002410A1" w:rsidRDefault="007C2323" w:rsidP="00597DD1">
      <w:pPr>
        <w:numPr>
          <w:ilvl w:val="0"/>
          <w:numId w:val="56"/>
        </w:numPr>
        <w:suppressAutoHyphens/>
        <w:spacing w:after="240"/>
        <w:jc w:val="both"/>
        <w:rPr>
          <w:rFonts w:asciiTheme="majorHAnsi" w:hAnsiTheme="majorHAnsi"/>
          <w:sz w:val="20"/>
          <w:szCs w:val="20"/>
        </w:rPr>
      </w:pPr>
      <w:r w:rsidRPr="00A53566">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146BCC7E" w14:textId="7F769601" w:rsidR="00BE2B91" w:rsidRPr="00A37B82" w:rsidRDefault="00BE2B91" w:rsidP="00BE2B9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BE2B9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BA2B" w14:textId="77777777" w:rsidR="004F63D7" w:rsidRDefault="004F63D7">
      <w:r>
        <w:separator/>
      </w:r>
    </w:p>
  </w:endnote>
  <w:endnote w:type="continuationSeparator" w:id="0">
    <w:p w14:paraId="63D047EE" w14:textId="77777777" w:rsidR="004F63D7" w:rsidRDefault="004F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9C67" w14:textId="77777777" w:rsidR="004F63D7" w:rsidRPr="000F35ED" w:rsidRDefault="004F63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67502A" w14:textId="77777777" w:rsidR="004F63D7" w:rsidRPr="000F35ED" w:rsidRDefault="004F63D7" w:rsidP="000F35ED">
      <w:pPr>
        <w:rPr>
          <w:rFonts w:asciiTheme="majorHAnsi" w:hAnsiTheme="majorHAnsi"/>
          <w:sz w:val="16"/>
          <w:szCs w:val="16"/>
        </w:rPr>
      </w:pPr>
      <w:r w:rsidRPr="000F35ED">
        <w:rPr>
          <w:rFonts w:asciiTheme="majorHAnsi" w:hAnsiTheme="majorHAnsi"/>
          <w:sz w:val="16"/>
          <w:szCs w:val="16"/>
        </w:rPr>
        <w:separator/>
      </w:r>
    </w:p>
    <w:p w14:paraId="747B461A" w14:textId="77777777" w:rsidR="004F63D7" w:rsidRPr="000F35ED" w:rsidRDefault="004F63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3E15780" w14:textId="77777777" w:rsidR="004F63D7" w:rsidRPr="000F35ED" w:rsidRDefault="004F63D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609B8E0" w14:textId="4D0987B2" w:rsidR="00AB5EB9" w:rsidRPr="00D062D8" w:rsidRDefault="00AB5EB9" w:rsidP="00D062D8">
      <w:pPr>
        <w:pStyle w:val="FootnoteText"/>
        <w:ind w:firstLine="720"/>
        <w:jc w:val="both"/>
        <w:rPr>
          <w:rFonts w:asciiTheme="majorHAnsi" w:hAnsiTheme="majorHAnsi"/>
          <w:color w:val="auto"/>
          <w:sz w:val="16"/>
          <w:szCs w:val="16"/>
          <w:lang w:val="es-ES"/>
        </w:rPr>
      </w:pPr>
      <w:r w:rsidRPr="00D062D8">
        <w:rPr>
          <w:rFonts w:asciiTheme="majorHAnsi" w:hAnsiTheme="majorHAnsi"/>
          <w:color w:val="auto"/>
          <w:sz w:val="16"/>
          <w:szCs w:val="16"/>
          <w:vertAlign w:val="superscript"/>
          <w:lang w:val="es-ES"/>
        </w:rPr>
        <w:footnoteRef/>
      </w:r>
      <w:r w:rsidRPr="00D062D8">
        <w:rPr>
          <w:rFonts w:asciiTheme="majorHAnsi" w:hAnsiTheme="majorHAnsi"/>
          <w:color w:val="auto"/>
          <w:sz w:val="16"/>
          <w:szCs w:val="16"/>
          <w:lang w:val="es-ES"/>
        </w:rPr>
        <w:t xml:space="preserve"> </w:t>
      </w:r>
      <w:r w:rsidR="00EA6F61" w:rsidRPr="00D062D8">
        <w:rPr>
          <w:rFonts w:asciiTheme="majorHAnsi" w:hAnsiTheme="majorHAnsi"/>
          <w:color w:val="auto"/>
          <w:sz w:val="16"/>
          <w:szCs w:val="16"/>
          <w:lang w:val="es-PA"/>
        </w:rPr>
        <w:t xml:space="preserve">La petición </w:t>
      </w:r>
      <w:r w:rsidR="0031449A" w:rsidRPr="00D062D8">
        <w:rPr>
          <w:rFonts w:asciiTheme="majorHAnsi" w:hAnsiTheme="majorHAnsi"/>
          <w:color w:val="auto"/>
          <w:sz w:val="16"/>
          <w:szCs w:val="16"/>
          <w:lang w:val="es-PA"/>
        </w:rPr>
        <w:t xml:space="preserve">se individualizan a las siguientes veinticuatro personas: Vilma Núñez de Escorcia, Mauro Xavier Ampié Vílchez, Melvin Arturo Wallace Simpso, María de los Milagros lanzas Morales, Carlos Tunnerman Bernheim, Marlín Sierra Palma, Georgina del Socorro Ruiz, Blanca del Socorro Santana Jiménez, Doris Azucena Barahona, Ruth Argentina Castillo Díaz, </w:t>
      </w:r>
      <w:r w:rsidR="0088736A" w:rsidRPr="0088736A">
        <w:rPr>
          <w:rFonts w:asciiTheme="majorHAnsi" w:hAnsiTheme="majorHAnsi"/>
          <w:noProof/>
          <w:color w:val="auto"/>
          <w:sz w:val="16"/>
          <w:szCs w:val="16"/>
          <w:lang w:val="es-PA"/>
        </w:rPr>
        <w:drawing>
          <wp:inline distT="0" distB="0" distL="0" distR="0" wp14:anchorId="7C86E470" wp14:editId="010F8FBA">
            <wp:extent cx="1162050" cy="76200"/>
            <wp:effectExtent l="0" t="0" r="0" b="0"/>
            <wp:docPr id="1795584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6200"/>
                    </a:xfrm>
                    <a:prstGeom prst="rect">
                      <a:avLst/>
                    </a:prstGeom>
                    <a:noFill/>
                    <a:ln>
                      <a:noFill/>
                    </a:ln>
                  </pic:spPr>
                </pic:pic>
              </a:graphicData>
            </a:graphic>
          </wp:inline>
        </w:drawing>
      </w:r>
      <w:r w:rsidR="0031449A" w:rsidRPr="00D062D8">
        <w:rPr>
          <w:rFonts w:asciiTheme="majorHAnsi" w:hAnsiTheme="majorHAnsi"/>
          <w:color w:val="auto"/>
          <w:sz w:val="16"/>
          <w:szCs w:val="16"/>
          <w:lang w:val="es-PA"/>
        </w:rPr>
        <w:t xml:space="preserve">, </w:t>
      </w:r>
      <w:r w:rsidR="0088736A" w:rsidRPr="0088736A">
        <w:rPr>
          <w:rFonts w:asciiTheme="majorHAnsi" w:hAnsiTheme="majorHAnsi"/>
          <w:noProof/>
          <w:color w:val="auto"/>
          <w:sz w:val="16"/>
          <w:szCs w:val="16"/>
          <w:lang w:val="es-PA"/>
        </w:rPr>
        <w:drawing>
          <wp:inline distT="0" distB="0" distL="0" distR="0" wp14:anchorId="079EDEB2" wp14:editId="7435885B">
            <wp:extent cx="3575320" cy="66675"/>
            <wp:effectExtent l="0" t="0" r="6350" b="0"/>
            <wp:docPr id="91525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1293" cy="79840"/>
                    </a:xfrm>
                    <a:prstGeom prst="rect">
                      <a:avLst/>
                    </a:prstGeom>
                    <a:noFill/>
                    <a:ln>
                      <a:noFill/>
                    </a:ln>
                  </pic:spPr>
                </pic:pic>
              </a:graphicData>
            </a:graphic>
          </wp:inline>
        </w:drawing>
      </w:r>
      <w:r w:rsidR="0031449A" w:rsidRPr="00D062D8">
        <w:rPr>
          <w:rFonts w:asciiTheme="majorHAnsi" w:hAnsiTheme="majorHAnsi"/>
          <w:color w:val="auto"/>
          <w:sz w:val="16"/>
          <w:szCs w:val="16"/>
          <w:lang w:val="es-PA"/>
        </w:rPr>
        <w:t>Humberto José Díaz Carrión, José del Carmen Morales Carrasco, María José Rodríguez Romero, Guillermo Gonzalo Carrión Maradiaga, Wendy Valeska Flores Acevedo, Juan Carlos Arce Campos, Juana Cristina Bermúdez García, Braulio José Abarca Aguilar, Yader Joel Valdivia Martínez, Salvador Lulio Marenco</w:t>
      </w:r>
      <w:r w:rsidR="009912C6" w:rsidRPr="00D062D8">
        <w:rPr>
          <w:rFonts w:asciiTheme="majorHAnsi" w:hAnsiTheme="majorHAnsi"/>
          <w:color w:val="auto"/>
          <w:sz w:val="16"/>
          <w:szCs w:val="16"/>
          <w:lang w:val="es-PA"/>
        </w:rPr>
        <w:t>.</w:t>
      </w:r>
    </w:p>
  </w:footnote>
  <w:footnote w:id="3">
    <w:p w14:paraId="4DA4FDB7" w14:textId="6998CC12" w:rsidR="001F2D7A" w:rsidRPr="00D062D8" w:rsidRDefault="001F2D7A" w:rsidP="00D062D8">
      <w:pPr>
        <w:pStyle w:val="FootnoteText"/>
        <w:ind w:firstLine="720"/>
        <w:jc w:val="both"/>
        <w:rPr>
          <w:rFonts w:asciiTheme="majorHAnsi" w:hAnsiTheme="majorHAnsi"/>
          <w:color w:val="auto"/>
          <w:sz w:val="16"/>
          <w:szCs w:val="16"/>
          <w:lang w:val="es-ES"/>
        </w:rPr>
      </w:pPr>
      <w:r w:rsidRPr="00D062D8">
        <w:rPr>
          <w:rFonts w:asciiTheme="majorHAnsi" w:hAnsiTheme="majorHAnsi"/>
          <w:color w:val="auto"/>
          <w:sz w:val="16"/>
          <w:szCs w:val="16"/>
          <w:vertAlign w:val="superscript"/>
          <w:lang w:val="es-ES"/>
        </w:rPr>
        <w:footnoteRef/>
      </w:r>
      <w:r w:rsidRPr="00D062D8">
        <w:rPr>
          <w:rFonts w:asciiTheme="majorHAnsi" w:hAnsiTheme="majorHAnsi"/>
          <w:color w:val="auto"/>
          <w:sz w:val="16"/>
          <w:szCs w:val="16"/>
          <w:lang w:val="es-ES"/>
        </w:rPr>
        <w:t xml:space="preserve"> En adelante, “</w:t>
      </w:r>
      <w:r w:rsidR="00BD1A18" w:rsidRPr="00D062D8">
        <w:rPr>
          <w:rFonts w:asciiTheme="majorHAnsi" w:hAnsiTheme="majorHAnsi"/>
          <w:color w:val="auto"/>
          <w:sz w:val="16"/>
          <w:szCs w:val="16"/>
          <w:lang w:val="es-ES"/>
        </w:rPr>
        <w:t xml:space="preserve">la </w:t>
      </w:r>
      <w:r w:rsidRPr="00D062D8">
        <w:rPr>
          <w:rFonts w:asciiTheme="majorHAnsi" w:hAnsiTheme="majorHAnsi"/>
          <w:color w:val="auto"/>
          <w:sz w:val="16"/>
          <w:szCs w:val="16"/>
          <w:lang w:val="es-ES"/>
        </w:rPr>
        <w:t>Convención Americana” o “</w:t>
      </w:r>
      <w:r w:rsidR="00BD1A18" w:rsidRPr="00D062D8">
        <w:rPr>
          <w:rFonts w:asciiTheme="majorHAnsi" w:hAnsiTheme="majorHAnsi"/>
          <w:color w:val="auto"/>
          <w:sz w:val="16"/>
          <w:szCs w:val="16"/>
          <w:lang w:val="es-ES"/>
        </w:rPr>
        <w:t xml:space="preserve">la </w:t>
      </w:r>
      <w:r w:rsidRPr="00D062D8">
        <w:rPr>
          <w:rFonts w:asciiTheme="majorHAnsi" w:hAnsiTheme="majorHAnsi"/>
          <w:color w:val="auto"/>
          <w:sz w:val="16"/>
          <w:szCs w:val="16"/>
          <w:lang w:val="es-ES"/>
        </w:rPr>
        <w:t>Convención”</w:t>
      </w:r>
      <w:r w:rsidR="007B4E13" w:rsidRPr="00D062D8">
        <w:rPr>
          <w:rFonts w:asciiTheme="majorHAnsi" w:hAnsiTheme="majorHAnsi"/>
          <w:color w:val="auto"/>
          <w:sz w:val="16"/>
          <w:szCs w:val="16"/>
          <w:lang w:val="es-ES"/>
        </w:rPr>
        <w:t>.</w:t>
      </w:r>
    </w:p>
  </w:footnote>
  <w:footnote w:id="4">
    <w:p w14:paraId="02ECED4F" w14:textId="36A6B520" w:rsidR="005D01C2" w:rsidRPr="00D062D8" w:rsidRDefault="008E3BFE" w:rsidP="00D062D8">
      <w:pPr>
        <w:pStyle w:val="FootnoteText"/>
        <w:ind w:firstLine="720"/>
        <w:jc w:val="both"/>
        <w:rPr>
          <w:rFonts w:asciiTheme="majorHAnsi" w:hAnsiTheme="majorHAnsi"/>
          <w:color w:val="auto"/>
          <w:sz w:val="16"/>
          <w:szCs w:val="16"/>
          <w:lang w:val="es-ES"/>
        </w:rPr>
      </w:pPr>
      <w:r w:rsidRPr="00D062D8">
        <w:rPr>
          <w:rStyle w:val="FootnoteReference"/>
          <w:rFonts w:asciiTheme="majorHAnsi" w:hAnsiTheme="majorHAnsi"/>
          <w:color w:val="auto"/>
          <w:sz w:val="16"/>
          <w:szCs w:val="16"/>
        </w:rPr>
        <w:footnoteRef/>
      </w:r>
      <w:r w:rsidRPr="00D062D8">
        <w:rPr>
          <w:rFonts w:asciiTheme="majorHAnsi" w:hAnsiTheme="majorHAnsi"/>
          <w:color w:val="auto"/>
          <w:sz w:val="16"/>
          <w:szCs w:val="16"/>
          <w:lang w:val="es-ES"/>
        </w:rPr>
        <w:t xml:space="preserve"> Las observaciones de cada parte fueron debidamente trasladadas a la parte contraria.</w:t>
      </w:r>
    </w:p>
  </w:footnote>
  <w:footnote w:id="5">
    <w:p w14:paraId="63E9212E" w14:textId="028DFA1A" w:rsidR="00980A03" w:rsidRPr="00D062D8" w:rsidRDefault="00980A03" w:rsidP="00D062D8">
      <w:pPr>
        <w:pStyle w:val="FootnoteText"/>
        <w:ind w:firstLine="720"/>
        <w:jc w:val="both"/>
        <w:rPr>
          <w:rFonts w:asciiTheme="majorHAnsi" w:hAnsiTheme="majorHAnsi"/>
          <w:color w:val="auto"/>
          <w:sz w:val="16"/>
          <w:szCs w:val="16"/>
          <w:lang w:val="es-PA"/>
        </w:rPr>
      </w:pPr>
      <w:r w:rsidRPr="00D062D8">
        <w:rPr>
          <w:rFonts w:asciiTheme="majorHAnsi" w:hAnsiTheme="majorHAnsi"/>
          <w:color w:val="auto"/>
          <w:sz w:val="16"/>
          <w:szCs w:val="16"/>
          <w:vertAlign w:val="superscript"/>
          <w:lang w:val="es-PA"/>
        </w:rPr>
        <w:footnoteRef/>
      </w:r>
      <w:r w:rsidRPr="00D062D8">
        <w:rPr>
          <w:rFonts w:asciiTheme="majorHAnsi" w:hAnsiTheme="majorHAnsi"/>
          <w:color w:val="auto"/>
          <w:sz w:val="16"/>
          <w:szCs w:val="16"/>
          <w:lang w:val="es-PA"/>
        </w:rPr>
        <w:t xml:space="preserve"> </w:t>
      </w:r>
      <w:r w:rsidR="009C24A3" w:rsidRPr="00D062D8">
        <w:rPr>
          <w:rFonts w:asciiTheme="majorHAnsi" w:hAnsiTheme="majorHAnsi"/>
          <w:color w:val="auto"/>
          <w:sz w:val="16"/>
          <w:szCs w:val="16"/>
          <w:lang w:val="es-ES"/>
        </w:rPr>
        <w:t xml:space="preserve">Esta resolución está disponible en: </w:t>
      </w:r>
      <w:r w:rsidR="00C1496C" w:rsidRPr="00D062D8">
        <w:rPr>
          <w:rFonts w:asciiTheme="majorHAnsi" w:hAnsiTheme="majorHAnsi"/>
          <w:color w:val="auto"/>
          <w:sz w:val="16"/>
          <w:szCs w:val="16"/>
          <w:lang w:val="es-PA"/>
        </w:rPr>
        <w:t>http://www.cidh.oas.org/medidas/2008.sp.htm</w:t>
      </w:r>
    </w:p>
  </w:footnote>
  <w:footnote w:id="6">
    <w:p w14:paraId="61EB349E" w14:textId="1BC073EA" w:rsidR="00BD52C3" w:rsidRPr="00D062D8" w:rsidRDefault="00BD52C3" w:rsidP="00D062D8">
      <w:pPr>
        <w:pStyle w:val="FootnoteText"/>
        <w:ind w:firstLine="720"/>
        <w:jc w:val="both"/>
        <w:rPr>
          <w:rFonts w:asciiTheme="majorHAnsi" w:hAnsiTheme="majorHAnsi"/>
          <w:color w:val="auto"/>
          <w:sz w:val="16"/>
          <w:szCs w:val="16"/>
          <w:lang w:val="es-ES"/>
        </w:rPr>
      </w:pPr>
      <w:r w:rsidRPr="00D062D8">
        <w:rPr>
          <w:rFonts w:asciiTheme="majorHAnsi" w:hAnsiTheme="majorHAnsi"/>
          <w:color w:val="auto"/>
          <w:sz w:val="16"/>
          <w:szCs w:val="16"/>
          <w:vertAlign w:val="superscript"/>
          <w:lang w:val="es-PA"/>
        </w:rPr>
        <w:footnoteRef/>
      </w:r>
      <w:r w:rsidRPr="00D062D8">
        <w:rPr>
          <w:rFonts w:asciiTheme="majorHAnsi" w:hAnsiTheme="majorHAnsi"/>
          <w:color w:val="auto"/>
          <w:sz w:val="16"/>
          <w:szCs w:val="16"/>
          <w:lang w:val="es-PA"/>
        </w:rPr>
        <w:t xml:space="preserve"> </w:t>
      </w:r>
      <w:r w:rsidR="009C24A3" w:rsidRPr="00D062D8">
        <w:rPr>
          <w:rFonts w:asciiTheme="majorHAnsi" w:hAnsiTheme="majorHAnsi"/>
          <w:color w:val="auto"/>
          <w:sz w:val="16"/>
          <w:szCs w:val="16"/>
          <w:lang w:val="es-ES"/>
        </w:rPr>
        <w:t xml:space="preserve">Esta resolución está disponible en: </w:t>
      </w:r>
      <w:r w:rsidRPr="00D062D8">
        <w:rPr>
          <w:rFonts w:asciiTheme="majorHAnsi" w:hAnsiTheme="majorHAnsi"/>
          <w:color w:val="auto"/>
          <w:sz w:val="16"/>
          <w:szCs w:val="16"/>
          <w:lang w:val="es-PA"/>
        </w:rPr>
        <w:t>https://www.corteidh.or.cr/docs/medidas/integrantes_centro_ni_se_01.pdf</w:t>
      </w:r>
    </w:p>
  </w:footnote>
  <w:footnote w:id="7">
    <w:p w14:paraId="7D4B06A2" w14:textId="5DE4DEC3" w:rsidR="0005421E" w:rsidRPr="00D062D8" w:rsidRDefault="0005421E" w:rsidP="00D062D8">
      <w:pPr>
        <w:pStyle w:val="FootnoteText"/>
        <w:ind w:firstLine="720"/>
        <w:jc w:val="both"/>
        <w:rPr>
          <w:rFonts w:asciiTheme="majorHAnsi" w:hAnsiTheme="majorHAnsi"/>
          <w:color w:val="auto"/>
          <w:sz w:val="16"/>
          <w:szCs w:val="16"/>
          <w:lang w:val="es-ES"/>
        </w:rPr>
      </w:pPr>
      <w:r w:rsidRPr="00D062D8">
        <w:rPr>
          <w:rFonts w:asciiTheme="majorHAnsi" w:hAnsiTheme="majorHAnsi"/>
          <w:color w:val="auto"/>
          <w:sz w:val="16"/>
          <w:szCs w:val="16"/>
          <w:vertAlign w:val="superscript"/>
          <w:lang w:val="es-ES"/>
        </w:rPr>
        <w:footnoteRef/>
      </w:r>
      <w:r w:rsidRPr="00D062D8">
        <w:rPr>
          <w:rFonts w:asciiTheme="majorHAnsi" w:hAnsiTheme="majorHAnsi"/>
          <w:color w:val="auto"/>
          <w:sz w:val="16"/>
          <w:szCs w:val="16"/>
          <w:lang w:val="es-ES"/>
        </w:rPr>
        <w:t xml:space="preserve"> https://www.corteidh.or.cr/docs/medidas/integrantes_centro_ni_se_03.pdf</w:t>
      </w:r>
    </w:p>
  </w:footnote>
  <w:footnote w:id="8">
    <w:p w14:paraId="41EE760E" w14:textId="2583F695" w:rsidR="009C24A3" w:rsidRPr="00D062D8" w:rsidRDefault="009C24A3" w:rsidP="00D062D8">
      <w:pPr>
        <w:pStyle w:val="FootnoteText"/>
        <w:ind w:firstLine="720"/>
        <w:jc w:val="both"/>
        <w:rPr>
          <w:rFonts w:asciiTheme="majorHAnsi" w:hAnsiTheme="majorHAnsi"/>
          <w:color w:val="auto"/>
          <w:sz w:val="16"/>
          <w:szCs w:val="16"/>
          <w:lang w:val="es-ES"/>
        </w:rPr>
      </w:pPr>
      <w:r w:rsidRPr="00D062D8">
        <w:rPr>
          <w:rStyle w:val="FootnoteReference"/>
          <w:rFonts w:asciiTheme="majorHAnsi" w:hAnsiTheme="majorHAnsi"/>
          <w:color w:val="auto"/>
          <w:sz w:val="16"/>
          <w:szCs w:val="16"/>
        </w:rPr>
        <w:footnoteRef/>
      </w:r>
      <w:r w:rsidRPr="00D062D8">
        <w:rPr>
          <w:rFonts w:asciiTheme="majorHAnsi" w:hAnsiTheme="majorHAnsi"/>
          <w:color w:val="auto"/>
          <w:sz w:val="16"/>
          <w:szCs w:val="16"/>
          <w:lang w:val="es-ES"/>
        </w:rPr>
        <w:t xml:space="preserve"> Esta resolución está disponible en: https://www.corteidh.or.cr/docs/medidas/integrantes_centro_ni_se_02.pdf</w:t>
      </w:r>
    </w:p>
  </w:footnote>
  <w:footnote w:id="9">
    <w:p w14:paraId="13C8E73F" w14:textId="77777777" w:rsidR="007C2323" w:rsidRPr="00D062D8" w:rsidRDefault="007C2323" w:rsidP="00D062D8">
      <w:pPr>
        <w:pStyle w:val="FootnoteText"/>
        <w:ind w:firstLine="720"/>
        <w:jc w:val="both"/>
        <w:rPr>
          <w:rFonts w:asciiTheme="majorHAnsi" w:hAnsiTheme="majorHAnsi"/>
          <w:color w:val="auto"/>
          <w:sz w:val="16"/>
          <w:szCs w:val="16"/>
          <w:lang w:val="es-ES"/>
        </w:rPr>
      </w:pPr>
      <w:r w:rsidRPr="00D062D8">
        <w:rPr>
          <w:rFonts w:asciiTheme="majorHAnsi" w:hAnsiTheme="majorHAnsi"/>
          <w:color w:val="auto"/>
          <w:sz w:val="16"/>
          <w:szCs w:val="16"/>
          <w:vertAlign w:val="superscript"/>
          <w:lang w:val="es-ES"/>
        </w:rPr>
        <w:footnoteRef/>
      </w:r>
      <w:r w:rsidRPr="00D062D8">
        <w:rPr>
          <w:rFonts w:asciiTheme="majorHAnsi" w:hAnsiTheme="majorHAnsi"/>
          <w:color w:val="auto"/>
          <w:sz w:val="16"/>
          <w:szCs w:val="16"/>
          <w:lang w:val="es-ES"/>
        </w:rPr>
        <w:t xml:space="preserve"> CIDH, Observaciones preliminares de la visita de trabajo de la CIDH a Nicaragua, 21 de mayo de 2018. Disponible en: </w:t>
      </w:r>
      <w:hyperlink r:id="rId3" w:history="1">
        <w:r w:rsidRPr="00D062D8">
          <w:rPr>
            <w:rFonts w:asciiTheme="majorHAnsi" w:hAnsiTheme="majorHAnsi"/>
            <w:color w:val="auto"/>
            <w:sz w:val="16"/>
            <w:szCs w:val="16"/>
            <w:lang w:val="es-ES"/>
          </w:rPr>
          <w:t>http://www.oas.org/es/cidh/prensa/comunicados/2018/113.asp</w:t>
        </w:r>
      </w:hyperlink>
      <w:r w:rsidRPr="00D062D8">
        <w:rPr>
          <w:rFonts w:asciiTheme="majorHAnsi" w:hAnsiTheme="majorHAnsi"/>
          <w:color w:val="auto"/>
          <w:sz w:val="16"/>
          <w:szCs w:val="16"/>
          <w:lang w:val="es-ES"/>
        </w:rPr>
        <w:t xml:space="preserve"> </w:t>
      </w:r>
    </w:p>
  </w:footnote>
  <w:footnote w:id="10">
    <w:p w14:paraId="1D5C24B8" w14:textId="77777777" w:rsidR="007C2323" w:rsidRPr="00D062D8" w:rsidRDefault="007C2323" w:rsidP="00D062D8">
      <w:pPr>
        <w:pStyle w:val="FootnoteText"/>
        <w:spacing w:after="40"/>
        <w:ind w:firstLine="720"/>
        <w:jc w:val="both"/>
        <w:rPr>
          <w:rFonts w:asciiTheme="majorHAnsi" w:hAnsiTheme="majorHAnsi"/>
          <w:color w:val="auto"/>
          <w:sz w:val="16"/>
          <w:szCs w:val="16"/>
          <w:lang w:val="es-MX"/>
        </w:rPr>
      </w:pPr>
      <w:r w:rsidRPr="00D062D8">
        <w:rPr>
          <w:rFonts w:asciiTheme="majorHAnsi" w:hAnsiTheme="majorHAnsi"/>
          <w:color w:val="auto"/>
          <w:sz w:val="16"/>
          <w:szCs w:val="16"/>
          <w:vertAlign w:val="superscript"/>
        </w:rPr>
        <w:footnoteRef/>
      </w:r>
      <w:r w:rsidRPr="00D062D8">
        <w:rPr>
          <w:rFonts w:asciiTheme="majorHAnsi" w:hAnsiTheme="majorHAnsi"/>
          <w:color w:val="auto"/>
          <w:sz w:val="16"/>
          <w:szCs w:val="16"/>
          <w:lang w:val="es-MX"/>
        </w:rPr>
        <w:t xml:space="preserve"> CIDH, Comunicado de prensa 121/2018, </w:t>
      </w:r>
      <w:hyperlink r:id="rId4" w:history="1">
        <w:r w:rsidRPr="00D062D8">
          <w:rPr>
            <w:rStyle w:val="Hyperlink"/>
            <w:rFonts w:asciiTheme="majorHAnsi" w:hAnsiTheme="majorHAnsi"/>
            <w:color w:val="auto"/>
            <w:sz w:val="16"/>
            <w:szCs w:val="16"/>
            <w:lang w:val="es-MX"/>
          </w:rPr>
          <w:t>CIDH anuncia la creación de Grupo Interdisciplinario de Expertos Independientes para</w:t>
        </w:r>
        <w:r w:rsidRPr="00D062D8">
          <w:rPr>
            <w:rStyle w:val="Hyperlink"/>
            <w:rFonts w:asciiTheme="majorHAnsi" w:eastAsia="Times New Roman" w:hAnsiTheme="majorHAnsi"/>
            <w:color w:val="auto"/>
            <w:sz w:val="16"/>
            <w:szCs w:val="16"/>
            <w:lang w:val="es-MX"/>
          </w:rPr>
          <w:t xml:space="preserve"> coadyuvar las investigaciones de los hechos recientes de violencia en Nicaragua</w:t>
        </w:r>
      </w:hyperlink>
      <w:r w:rsidRPr="00D062D8">
        <w:rPr>
          <w:rFonts w:asciiTheme="majorHAnsi" w:hAnsiTheme="majorHAnsi"/>
          <w:color w:val="auto"/>
          <w:sz w:val="16"/>
          <w:szCs w:val="16"/>
          <w:lang w:val="es-MX"/>
        </w:rPr>
        <w:t>, Washington DC, 30 de mayo de 2018.</w:t>
      </w:r>
    </w:p>
  </w:footnote>
  <w:footnote w:id="11">
    <w:p w14:paraId="72F96F99" w14:textId="77777777" w:rsidR="007C2323" w:rsidRPr="00D062D8" w:rsidRDefault="007C2323" w:rsidP="00D062D8">
      <w:pPr>
        <w:pStyle w:val="FootnoteText"/>
        <w:ind w:firstLine="720"/>
        <w:jc w:val="both"/>
        <w:rPr>
          <w:rFonts w:asciiTheme="majorHAnsi" w:hAnsiTheme="majorHAnsi"/>
          <w:color w:val="auto"/>
          <w:sz w:val="16"/>
          <w:szCs w:val="16"/>
          <w:lang w:val="es-MX"/>
        </w:rPr>
      </w:pPr>
      <w:r w:rsidRPr="00D062D8">
        <w:rPr>
          <w:rStyle w:val="FootnoteReference"/>
          <w:rFonts w:asciiTheme="majorHAnsi" w:hAnsiTheme="majorHAnsi"/>
          <w:color w:val="auto"/>
          <w:sz w:val="16"/>
          <w:szCs w:val="16"/>
        </w:rPr>
        <w:footnoteRef/>
      </w:r>
      <w:r w:rsidRPr="00D062D8">
        <w:rPr>
          <w:rFonts w:asciiTheme="majorHAnsi" w:hAnsiTheme="majorHAnsi"/>
          <w:color w:val="auto"/>
          <w:sz w:val="16"/>
          <w:szCs w:val="16"/>
          <w:lang w:val="es-MX"/>
        </w:rPr>
        <w:t xml:space="preserve"> GIEI, Informe final sobre los hechos de violencia ocurridos entre el 18 de abril y el 30 de mayo de 2018, 21 de diciembre de 2018. Disponible en: </w:t>
      </w:r>
      <w:hyperlink r:id="rId5" w:history="1">
        <w:r w:rsidRPr="00D062D8">
          <w:rPr>
            <w:rStyle w:val="Hyperlink"/>
            <w:rFonts w:asciiTheme="majorHAnsi" w:hAnsiTheme="majorHAnsi"/>
            <w:color w:val="auto"/>
            <w:sz w:val="16"/>
            <w:szCs w:val="16"/>
            <w:lang w:val="es-MX"/>
          </w:rPr>
          <w:t>https://gieinicaragua.org/giei-content/uploads/2019/02/GIEI_INFORME_DIGITAL_07_02_2019_VF.pdf</w:t>
        </w:r>
      </w:hyperlink>
      <w:r w:rsidRPr="00D062D8">
        <w:rPr>
          <w:rFonts w:asciiTheme="majorHAnsi" w:hAnsiTheme="majorHAnsi"/>
          <w:color w:val="auto"/>
          <w:sz w:val="16"/>
          <w:szCs w:val="16"/>
          <w:lang w:val="es-MX"/>
        </w:rPr>
        <w:t xml:space="preserve"> </w:t>
      </w:r>
    </w:p>
  </w:footnote>
  <w:footnote w:id="12">
    <w:p w14:paraId="1A53BA50" w14:textId="4A8C6A19" w:rsidR="00C152D0" w:rsidRPr="00D062D8" w:rsidRDefault="00C152D0" w:rsidP="00D062D8">
      <w:pPr>
        <w:pStyle w:val="FootnoteText"/>
        <w:spacing w:after="40"/>
        <w:ind w:firstLine="720"/>
        <w:jc w:val="both"/>
        <w:rPr>
          <w:rFonts w:asciiTheme="majorHAnsi" w:hAnsiTheme="majorHAnsi"/>
          <w:color w:val="auto"/>
          <w:sz w:val="16"/>
          <w:szCs w:val="16"/>
          <w:lang w:val="es-MX"/>
        </w:rPr>
      </w:pPr>
      <w:r w:rsidRPr="00D062D8">
        <w:rPr>
          <w:rFonts w:asciiTheme="majorHAnsi" w:hAnsiTheme="majorHAnsi"/>
          <w:color w:val="auto"/>
          <w:sz w:val="16"/>
          <w:szCs w:val="16"/>
          <w:vertAlign w:val="superscript"/>
          <w:lang w:val="es-MX"/>
        </w:rPr>
        <w:footnoteRef/>
      </w:r>
      <w:r w:rsidRPr="00D062D8">
        <w:rPr>
          <w:rFonts w:asciiTheme="majorHAnsi" w:hAnsiTheme="majorHAnsi"/>
          <w:color w:val="auto"/>
          <w:sz w:val="16"/>
          <w:szCs w:val="16"/>
          <w:lang w:val="es-MX"/>
        </w:rPr>
        <w:t xml:space="preserve"> </w:t>
      </w:r>
      <w:r w:rsidR="00346157" w:rsidRPr="00D062D8">
        <w:rPr>
          <w:rFonts w:asciiTheme="majorHAnsi" w:hAnsiTheme="majorHAnsi"/>
          <w:color w:val="auto"/>
          <w:sz w:val="16"/>
          <w:szCs w:val="16"/>
          <w:lang w:val="es-ES"/>
        </w:rPr>
        <w:t xml:space="preserve">Esta resolución está disponible en: </w:t>
      </w:r>
      <w:r w:rsidR="005C3689" w:rsidRPr="00D062D8">
        <w:rPr>
          <w:rFonts w:asciiTheme="majorHAnsi" w:hAnsiTheme="majorHAnsi"/>
          <w:color w:val="auto"/>
          <w:sz w:val="16"/>
          <w:szCs w:val="16"/>
          <w:u w:val="single"/>
          <w:lang w:val="es-MX"/>
        </w:rPr>
        <w:t>http://www.cidh.oas.org/medidas/2008.sp.htm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F40EB" w:rsidP="00A50FCF">
    <w:pPr>
      <w:pStyle w:val="Header"/>
      <w:tabs>
        <w:tab w:val="clear" w:pos="4320"/>
        <w:tab w:val="clear" w:pos="8640"/>
      </w:tabs>
      <w:jc w:val="center"/>
      <w:rPr>
        <w:sz w:val="22"/>
        <w:szCs w:val="22"/>
      </w:rPr>
    </w:pPr>
    <w:r>
      <w:rPr>
        <w:noProof/>
        <w:sz w:val="22"/>
        <w:szCs w:val="22"/>
        <w:bdr w:val="nil"/>
      </w:rPr>
      <w:pict w14:anchorId="609CF8B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38A26B4"/>
    <w:lvl w:ilvl="0" w:tplc="1F123A48">
      <w:start w:val="1"/>
      <w:numFmt w:val="decimal"/>
      <w:lvlText w:val="%1."/>
      <w:lvlJc w:val="left"/>
      <w:pPr>
        <w:tabs>
          <w:tab w:val="num" w:pos="720"/>
        </w:tabs>
        <w:ind w:left="0" w:firstLine="720"/>
      </w:pPr>
      <w:rPr>
        <w:rFonts w:ascii="Cambria" w:hAnsi="Cambria"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D3E0C"/>
    <w:multiLevelType w:val="hybridMultilevel"/>
    <w:tmpl w:val="C38A26B4"/>
    <w:lvl w:ilvl="0" w:tplc="1F123A48">
      <w:start w:val="1"/>
      <w:numFmt w:val="decimal"/>
      <w:lvlText w:val="%1."/>
      <w:lvlJc w:val="left"/>
      <w:pPr>
        <w:tabs>
          <w:tab w:val="num" w:pos="720"/>
        </w:tabs>
        <w:ind w:left="0" w:firstLine="720"/>
      </w:pPr>
      <w:rPr>
        <w:rFonts w:ascii="Cambria" w:hAnsi="Cambria"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78B3E42"/>
    <w:multiLevelType w:val="hybridMultilevel"/>
    <w:tmpl w:val="8708D212"/>
    <w:lvl w:ilvl="0" w:tplc="29C6EC3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7E11D6E"/>
    <w:multiLevelType w:val="hybridMultilevel"/>
    <w:tmpl w:val="780CDDD0"/>
    <w:lvl w:ilvl="0" w:tplc="29C6EC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B147E0"/>
    <w:multiLevelType w:val="hybridMultilevel"/>
    <w:tmpl w:val="8A0A0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2A6E1A"/>
    <w:multiLevelType w:val="hybridMultilevel"/>
    <w:tmpl w:val="FAC01A4A"/>
    <w:lvl w:ilvl="0" w:tplc="EEBE98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09304618">
    <w:abstractNumId w:val="3"/>
  </w:num>
  <w:num w:numId="2" w16cid:durableId="994794130">
    <w:abstractNumId w:val="5"/>
  </w:num>
  <w:num w:numId="3" w16cid:durableId="977104958">
    <w:abstractNumId w:val="54"/>
  </w:num>
  <w:num w:numId="4" w16cid:durableId="2073772550">
    <w:abstractNumId w:val="21"/>
  </w:num>
  <w:num w:numId="5" w16cid:durableId="566451724">
    <w:abstractNumId w:val="48"/>
  </w:num>
  <w:num w:numId="6" w16cid:durableId="899681223">
    <w:abstractNumId w:val="27"/>
  </w:num>
  <w:num w:numId="7" w16cid:durableId="2107269224">
    <w:abstractNumId w:val="7"/>
  </w:num>
  <w:num w:numId="8" w16cid:durableId="318460426">
    <w:abstractNumId w:val="17"/>
  </w:num>
  <w:num w:numId="9" w16cid:durableId="909075461">
    <w:abstractNumId w:val="38"/>
  </w:num>
  <w:num w:numId="10" w16cid:durableId="425539750">
    <w:abstractNumId w:val="42"/>
  </w:num>
  <w:num w:numId="11" w16cid:durableId="1409300552">
    <w:abstractNumId w:val="0"/>
  </w:num>
  <w:num w:numId="12" w16cid:durableId="441149454">
    <w:abstractNumId w:val="37"/>
  </w:num>
  <w:num w:numId="13" w16cid:durableId="760570042">
    <w:abstractNumId w:val="45"/>
  </w:num>
  <w:num w:numId="14" w16cid:durableId="630208609">
    <w:abstractNumId w:val="1"/>
  </w:num>
  <w:num w:numId="15" w16cid:durableId="1855000414">
    <w:abstractNumId w:val="2"/>
  </w:num>
  <w:num w:numId="16" w16cid:durableId="1449616438">
    <w:abstractNumId w:val="8"/>
  </w:num>
  <w:num w:numId="17" w16cid:durableId="1181746878">
    <w:abstractNumId w:val="9"/>
  </w:num>
  <w:num w:numId="18" w16cid:durableId="312410603">
    <w:abstractNumId w:val="10"/>
  </w:num>
  <w:num w:numId="19" w16cid:durableId="252470521">
    <w:abstractNumId w:val="11"/>
  </w:num>
  <w:num w:numId="20" w16cid:durableId="367608803">
    <w:abstractNumId w:val="12"/>
  </w:num>
  <w:num w:numId="21" w16cid:durableId="2101217943">
    <w:abstractNumId w:val="13"/>
  </w:num>
  <w:num w:numId="22" w16cid:durableId="1207334060">
    <w:abstractNumId w:val="14"/>
  </w:num>
  <w:num w:numId="23" w16cid:durableId="1624310840">
    <w:abstractNumId w:val="15"/>
  </w:num>
  <w:num w:numId="24" w16cid:durableId="661197346">
    <w:abstractNumId w:val="16"/>
  </w:num>
  <w:num w:numId="25" w16cid:durableId="2033259310">
    <w:abstractNumId w:val="18"/>
  </w:num>
  <w:num w:numId="26" w16cid:durableId="1601179723">
    <w:abstractNumId w:val="19"/>
  </w:num>
  <w:num w:numId="27" w16cid:durableId="102699991">
    <w:abstractNumId w:val="22"/>
  </w:num>
  <w:num w:numId="28" w16cid:durableId="1717853486">
    <w:abstractNumId w:val="23"/>
  </w:num>
  <w:num w:numId="29" w16cid:durableId="735132325">
    <w:abstractNumId w:val="24"/>
  </w:num>
  <w:num w:numId="30" w16cid:durableId="818765950">
    <w:abstractNumId w:val="25"/>
  </w:num>
  <w:num w:numId="31" w16cid:durableId="531576554">
    <w:abstractNumId w:val="28"/>
  </w:num>
  <w:num w:numId="32" w16cid:durableId="1483932997">
    <w:abstractNumId w:val="30"/>
  </w:num>
  <w:num w:numId="33" w16cid:durableId="2083405218">
    <w:abstractNumId w:val="31"/>
  </w:num>
  <w:num w:numId="34" w16cid:durableId="1074202561">
    <w:abstractNumId w:val="32"/>
  </w:num>
  <w:num w:numId="35" w16cid:durableId="1792943630">
    <w:abstractNumId w:val="33"/>
  </w:num>
  <w:num w:numId="36" w16cid:durableId="1263345427">
    <w:abstractNumId w:val="34"/>
  </w:num>
  <w:num w:numId="37" w16cid:durableId="1178933369">
    <w:abstractNumId w:val="35"/>
  </w:num>
  <w:num w:numId="38" w16cid:durableId="214701159">
    <w:abstractNumId w:val="36"/>
  </w:num>
  <w:num w:numId="39" w16cid:durableId="39479846">
    <w:abstractNumId w:val="39"/>
  </w:num>
  <w:num w:numId="40" w16cid:durableId="605893657">
    <w:abstractNumId w:val="40"/>
  </w:num>
  <w:num w:numId="41" w16cid:durableId="627324903">
    <w:abstractNumId w:val="47"/>
  </w:num>
  <w:num w:numId="42" w16cid:durableId="2026249343">
    <w:abstractNumId w:val="49"/>
  </w:num>
  <w:num w:numId="43" w16cid:durableId="37172009">
    <w:abstractNumId w:val="50"/>
  </w:num>
  <w:num w:numId="44" w16cid:durableId="148601431">
    <w:abstractNumId w:val="52"/>
  </w:num>
  <w:num w:numId="45" w16cid:durableId="1031418770">
    <w:abstractNumId w:val="53"/>
  </w:num>
  <w:num w:numId="46" w16cid:durableId="850679129">
    <w:abstractNumId w:val="56"/>
  </w:num>
  <w:num w:numId="47" w16cid:durableId="1570771593">
    <w:abstractNumId w:val="58"/>
  </w:num>
  <w:num w:numId="48" w16cid:durableId="1636107872">
    <w:abstractNumId w:val="59"/>
  </w:num>
  <w:num w:numId="49" w16cid:durableId="193738195">
    <w:abstractNumId w:val="60"/>
  </w:num>
  <w:num w:numId="50" w16cid:durableId="249701442">
    <w:abstractNumId w:val="61"/>
  </w:num>
  <w:num w:numId="51" w16cid:durableId="105583738">
    <w:abstractNumId w:val="20"/>
  </w:num>
  <w:num w:numId="52" w16cid:durableId="504366235">
    <w:abstractNumId w:val="41"/>
  </w:num>
  <w:num w:numId="53" w16cid:durableId="766658383">
    <w:abstractNumId w:val="51"/>
  </w:num>
  <w:num w:numId="54" w16cid:durableId="693389201">
    <w:abstractNumId w:val="46"/>
  </w:num>
  <w:num w:numId="55" w16cid:durableId="760838198">
    <w:abstractNumId w:val="4"/>
  </w:num>
  <w:num w:numId="56" w16cid:durableId="2142965642">
    <w:abstractNumId w:val="29"/>
  </w:num>
  <w:num w:numId="57" w16cid:durableId="396755429">
    <w:abstractNumId w:val="44"/>
  </w:num>
  <w:num w:numId="58" w16cid:durableId="456072562">
    <w:abstractNumId w:val="43"/>
  </w:num>
  <w:num w:numId="59" w16cid:durableId="400757604">
    <w:abstractNumId w:val="26"/>
  </w:num>
  <w:num w:numId="60" w16cid:durableId="1165516861">
    <w:abstractNumId w:val="6"/>
  </w:num>
  <w:num w:numId="61" w16cid:durableId="1860584494">
    <w:abstractNumId w:val="55"/>
  </w:num>
  <w:num w:numId="62" w16cid:durableId="1220508095">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880"/>
    <w:rsid w:val="00000CDA"/>
    <w:rsid w:val="000011D9"/>
    <w:rsid w:val="00002F5C"/>
    <w:rsid w:val="00003C7C"/>
    <w:rsid w:val="0000406D"/>
    <w:rsid w:val="00006E1F"/>
    <w:rsid w:val="000070D7"/>
    <w:rsid w:val="00010151"/>
    <w:rsid w:val="00011F09"/>
    <w:rsid w:val="00013CDA"/>
    <w:rsid w:val="000157C9"/>
    <w:rsid w:val="00015847"/>
    <w:rsid w:val="00016493"/>
    <w:rsid w:val="0001666D"/>
    <w:rsid w:val="0001788C"/>
    <w:rsid w:val="000208EC"/>
    <w:rsid w:val="00020D77"/>
    <w:rsid w:val="00020EBA"/>
    <w:rsid w:val="000227E8"/>
    <w:rsid w:val="00023543"/>
    <w:rsid w:val="000251FE"/>
    <w:rsid w:val="000260EE"/>
    <w:rsid w:val="0002740B"/>
    <w:rsid w:val="00027F3E"/>
    <w:rsid w:val="0003081B"/>
    <w:rsid w:val="000337EF"/>
    <w:rsid w:val="0003414B"/>
    <w:rsid w:val="0003675C"/>
    <w:rsid w:val="000409C2"/>
    <w:rsid w:val="00040C3A"/>
    <w:rsid w:val="000419AD"/>
    <w:rsid w:val="00042E04"/>
    <w:rsid w:val="000433C9"/>
    <w:rsid w:val="00046DD0"/>
    <w:rsid w:val="00046E61"/>
    <w:rsid w:val="0004761A"/>
    <w:rsid w:val="0004778D"/>
    <w:rsid w:val="00047F37"/>
    <w:rsid w:val="00051059"/>
    <w:rsid w:val="0005110F"/>
    <w:rsid w:val="00051C04"/>
    <w:rsid w:val="00053B7C"/>
    <w:rsid w:val="0005421E"/>
    <w:rsid w:val="000554BC"/>
    <w:rsid w:val="00056166"/>
    <w:rsid w:val="00056B67"/>
    <w:rsid w:val="00056CC1"/>
    <w:rsid w:val="00057CD9"/>
    <w:rsid w:val="00057D5B"/>
    <w:rsid w:val="00061142"/>
    <w:rsid w:val="00061268"/>
    <w:rsid w:val="00061F1D"/>
    <w:rsid w:val="00061FDF"/>
    <w:rsid w:val="000626E1"/>
    <w:rsid w:val="0006271E"/>
    <w:rsid w:val="00064D3B"/>
    <w:rsid w:val="0006559C"/>
    <w:rsid w:val="00066000"/>
    <w:rsid w:val="00066A27"/>
    <w:rsid w:val="000716C5"/>
    <w:rsid w:val="000736E9"/>
    <w:rsid w:val="000744A8"/>
    <w:rsid w:val="00075E23"/>
    <w:rsid w:val="00076F55"/>
    <w:rsid w:val="00077066"/>
    <w:rsid w:val="000773AD"/>
    <w:rsid w:val="00080227"/>
    <w:rsid w:val="0008026C"/>
    <w:rsid w:val="00080797"/>
    <w:rsid w:val="00081C8C"/>
    <w:rsid w:val="000838D7"/>
    <w:rsid w:val="00084A8E"/>
    <w:rsid w:val="00085E42"/>
    <w:rsid w:val="00085EF5"/>
    <w:rsid w:val="0008617B"/>
    <w:rsid w:val="00086CC9"/>
    <w:rsid w:val="00090B52"/>
    <w:rsid w:val="00091F5C"/>
    <w:rsid w:val="00092443"/>
    <w:rsid w:val="00092FB4"/>
    <w:rsid w:val="0009344A"/>
    <w:rsid w:val="00096E63"/>
    <w:rsid w:val="000975C5"/>
    <w:rsid w:val="000A1F49"/>
    <w:rsid w:val="000A330C"/>
    <w:rsid w:val="000A392E"/>
    <w:rsid w:val="000A3F59"/>
    <w:rsid w:val="000A575F"/>
    <w:rsid w:val="000A5C1E"/>
    <w:rsid w:val="000A7B93"/>
    <w:rsid w:val="000B0A76"/>
    <w:rsid w:val="000B0B0D"/>
    <w:rsid w:val="000B1327"/>
    <w:rsid w:val="000B28EE"/>
    <w:rsid w:val="000B3345"/>
    <w:rsid w:val="000B3E93"/>
    <w:rsid w:val="000B4C40"/>
    <w:rsid w:val="000B5F7F"/>
    <w:rsid w:val="000B737E"/>
    <w:rsid w:val="000C0DD1"/>
    <w:rsid w:val="000C1364"/>
    <w:rsid w:val="000C197C"/>
    <w:rsid w:val="000C2673"/>
    <w:rsid w:val="000C2A42"/>
    <w:rsid w:val="000C3CF0"/>
    <w:rsid w:val="000C4754"/>
    <w:rsid w:val="000C4DDB"/>
    <w:rsid w:val="000C4F22"/>
    <w:rsid w:val="000C624C"/>
    <w:rsid w:val="000C6268"/>
    <w:rsid w:val="000C6AC5"/>
    <w:rsid w:val="000C6DEC"/>
    <w:rsid w:val="000C746D"/>
    <w:rsid w:val="000D05CB"/>
    <w:rsid w:val="000D10DB"/>
    <w:rsid w:val="000D1107"/>
    <w:rsid w:val="000D1DE3"/>
    <w:rsid w:val="000D2002"/>
    <w:rsid w:val="000D2ADD"/>
    <w:rsid w:val="000D3755"/>
    <w:rsid w:val="000D67A1"/>
    <w:rsid w:val="000D67F3"/>
    <w:rsid w:val="000D6E6D"/>
    <w:rsid w:val="000D7DEA"/>
    <w:rsid w:val="000E0772"/>
    <w:rsid w:val="000E5DB5"/>
    <w:rsid w:val="000E5EB5"/>
    <w:rsid w:val="000E6814"/>
    <w:rsid w:val="000E6F3A"/>
    <w:rsid w:val="000E7838"/>
    <w:rsid w:val="000E7FCC"/>
    <w:rsid w:val="000F26FE"/>
    <w:rsid w:val="000F35ED"/>
    <w:rsid w:val="000F3A58"/>
    <w:rsid w:val="000F482D"/>
    <w:rsid w:val="00100C3E"/>
    <w:rsid w:val="00102120"/>
    <w:rsid w:val="001025D6"/>
    <w:rsid w:val="00102EFD"/>
    <w:rsid w:val="001032F2"/>
    <w:rsid w:val="001035B5"/>
    <w:rsid w:val="00104239"/>
    <w:rsid w:val="0010509E"/>
    <w:rsid w:val="001065D5"/>
    <w:rsid w:val="0010677B"/>
    <w:rsid w:val="00107131"/>
    <w:rsid w:val="0010736F"/>
    <w:rsid w:val="00107740"/>
    <w:rsid w:val="00110382"/>
    <w:rsid w:val="001106DC"/>
    <w:rsid w:val="00110BBE"/>
    <w:rsid w:val="00110CED"/>
    <w:rsid w:val="00113F73"/>
    <w:rsid w:val="0011442B"/>
    <w:rsid w:val="001144DA"/>
    <w:rsid w:val="00114B57"/>
    <w:rsid w:val="00114D9A"/>
    <w:rsid w:val="00114E63"/>
    <w:rsid w:val="00115BB4"/>
    <w:rsid w:val="0011658E"/>
    <w:rsid w:val="00116A35"/>
    <w:rsid w:val="00120458"/>
    <w:rsid w:val="0012084B"/>
    <w:rsid w:val="00121CC2"/>
    <w:rsid w:val="001237B4"/>
    <w:rsid w:val="00125E91"/>
    <w:rsid w:val="00127C17"/>
    <w:rsid w:val="00127E69"/>
    <w:rsid w:val="00130F4F"/>
    <w:rsid w:val="00130F9E"/>
    <w:rsid w:val="0013138A"/>
    <w:rsid w:val="00131425"/>
    <w:rsid w:val="001319F4"/>
    <w:rsid w:val="001328AF"/>
    <w:rsid w:val="00133EE5"/>
    <w:rsid w:val="0013468A"/>
    <w:rsid w:val="001367DD"/>
    <w:rsid w:val="001368EB"/>
    <w:rsid w:val="00136D9C"/>
    <w:rsid w:val="00137AC9"/>
    <w:rsid w:val="00140D1F"/>
    <w:rsid w:val="00141255"/>
    <w:rsid w:val="00141C14"/>
    <w:rsid w:val="00141D6D"/>
    <w:rsid w:val="00142FB2"/>
    <w:rsid w:val="001437A8"/>
    <w:rsid w:val="00143CEF"/>
    <w:rsid w:val="0014508A"/>
    <w:rsid w:val="001453F4"/>
    <w:rsid w:val="00150310"/>
    <w:rsid w:val="00151190"/>
    <w:rsid w:val="00152DDA"/>
    <w:rsid w:val="00153435"/>
    <w:rsid w:val="00153A97"/>
    <w:rsid w:val="001550FE"/>
    <w:rsid w:val="001606EA"/>
    <w:rsid w:val="001607BF"/>
    <w:rsid w:val="001609D3"/>
    <w:rsid w:val="0016190C"/>
    <w:rsid w:val="00162078"/>
    <w:rsid w:val="00162282"/>
    <w:rsid w:val="001643F1"/>
    <w:rsid w:val="001652C2"/>
    <w:rsid w:val="00167A34"/>
    <w:rsid w:val="00172839"/>
    <w:rsid w:val="001743AF"/>
    <w:rsid w:val="00175018"/>
    <w:rsid w:val="00175216"/>
    <w:rsid w:val="0017563A"/>
    <w:rsid w:val="00175B6C"/>
    <w:rsid w:val="00177565"/>
    <w:rsid w:val="00180125"/>
    <w:rsid w:val="00180F41"/>
    <w:rsid w:val="001828BE"/>
    <w:rsid w:val="00183528"/>
    <w:rsid w:val="00186962"/>
    <w:rsid w:val="001957C7"/>
    <w:rsid w:val="00195CBA"/>
    <w:rsid w:val="001973B8"/>
    <w:rsid w:val="001A0551"/>
    <w:rsid w:val="001A1205"/>
    <w:rsid w:val="001A1E9D"/>
    <w:rsid w:val="001A4C84"/>
    <w:rsid w:val="001A4F3C"/>
    <w:rsid w:val="001A560F"/>
    <w:rsid w:val="001A5E00"/>
    <w:rsid w:val="001A6992"/>
    <w:rsid w:val="001A7870"/>
    <w:rsid w:val="001B0099"/>
    <w:rsid w:val="001B3333"/>
    <w:rsid w:val="001B3497"/>
    <w:rsid w:val="001B3689"/>
    <w:rsid w:val="001B36DC"/>
    <w:rsid w:val="001B3A00"/>
    <w:rsid w:val="001B584C"/>
    <w:rsid w:val="001B6751"/>
    <w:rsid w:val="001B7AFD"/>
    <w:rsid w:val="001C0610"/>
    <w:rsid w:val="001C1718"/>
    <w:rsid w:val="001C1B41"/>
    <w:rsid w:val="001C1E0A"/>
    <w:rsid w:val="001C3301"/>
    <w:rsid w:val="001C3D30"/>
    <w:rsid w:val="001C3E1A"/>
    <w:rsid w:val="001C4F06"/>
    <w:rsid w:val="001C4F3F"/>
    <w:rsid w:val="001C5E4F"/>
    <w:rsid w:val="001C7665"/>
    <w:rsid w:val="001C7774"/>
    <w:rsid w:val="001D0C2E"/>
    <w:rsid w:val="001D1444"/>
    <w:rsid w:val="001D1DAC"/>
    <w:rsid w:val="001D26D5"/>
    <w:rsid w:val="001D3A74"/>
    <w:rsid w:val="001D5AD4"/>
    <w:rsid w:val="001D65EF"/>
    <w:rsid w:val="001D7787"/>
    <w:rsid w:val="001E1203"/>
    <w:rsid w:val="001E15C4"/>
    <w:rsid w:val="001E1D6C"/>
    <w:rsid w:val="001E3814"/>
    <w:rsid w:val="001E49E7"/>
    <w:rsid w:val="001E59C8"/>
    <w:rsid w:val="001E5A2B"/>
    <w:rsid w:val="001E6320"/>
    <w:rsid w:val="001E6DEB"/>
    <w:rsid w:val="001E70B0"/>
    <w:rsid w:val="001E7CBD"/>
    <w:rsid w:val="001F18F0"/>
    <w:rsid w:val="001F2D7A"/>
    <w:rsid w:val="001F5BB1"/>
    <w:rsid w:val="001F6342"/>
    <w:rsid w:val="001F7201"/>
    <w:rsid w:val="001F78C5"/>
    <w:rsid w:val="00201D89"/>
    <w:rsid w:val="002046E1"/>
    <w:rsid w:val="00206109"/>
    <w:rsid w:val="00206BD8"/>
    <w:rsid w:val="002074A8"/>
    <w:rsid w:val="00207729"/>
    <w:rsid w:val="00212AF9"/>
    <w:rsid w:val="00213C6E"/>
    <w:rsid w:val="0021568E"/>
    <w:rsid w:val="00216B0C"/>
    <w:rsid w:val="002226D8"/>
    <w:rsid w:val="00223970"/>
    <w:rsid w:val="00223A29"/>
    <w:rsid w:val="00224F76"/>
    <w:rsid w:val="00224F99"/>
    <w:rsid w:val="00225042"/>
    <w:rsid w:val="002250A3"/>
    <w:rsid w:val="002250A4"/>
    <w:rsid w:val="00225F85"/>
    <w:rsid w:val="00226003"/>
    <w:rsid w:val="00227929"/>
    <w:rsid w:val="00230CDD"/>
    <w:rsid w:val="00230E39"/>
    <w:rsid w:val="00232058"/>
    <w:rsid w:val="00233027"/>
    <w:rsid w:val="00233F11"/>
    <w:rsid w:val="00235217"/>
    <w:rsid w:val="002366BF"/>
    <w:rsid w:val="00240BEE"/>
    <w:rsid w:val="002410A1"/>
    <w:rsid w:val="0024166C"/>
    <w:rsid w:val="00243394"/>
    <w:rsid w:val="00246D1F"/>
    <w:rsid w:val="00247403"/>
    <w:rsid w:val="00247542"/>
    <w:rsid w:val="00250B2B"/>
    <w:rsid w:val="00251968"/>
    <w:rsid w:val="002521EC"/>
    <w:rsid w:val="00252539"/>
    <w:rsid w:val="0025269C"/>
    <w:rsid w:val="0025295F"/>
    <w:rsid w:val="00252F26"/>
    <w:rsid w:val="00253B84"/>
    <w:rsid w:val="00255C82"/>
    <w:rsid w:val="00256289"/>
    <w:rsid w:val="00256621"/>
    <w:rsid w:val="00262F53"/>
    <w:rsid w:val="002643BC"/>
    <w:rsid w:val="002643CD"/>
    <w:rsid w:val="00264D63"/>
    <w:rsid w:val="00265B07"/>
    <w:rsid w:val="00265F57"/>
    <w:rsid w:val="00266B61"/>
    <w:rsid w:val="0026712A"/>
    <w:rsid w:val="0026714B"/>
    <w:rsid w:val="002704DB"/>
    <w:rsid w:val="0027050B"/>
    <w:rsid w:val="00270872"/>
    <w:rsid w:val="0027180A"/>
    <w:rsid w:val="00271D28"/>
    <w:rsid w:val="0027287B"/>
    <w:rsid w:val="00273303"/>
    <w:rsid w:val="00276016"/>
    <w:rsid w:val="00276859"/>
    <w:rsid w:val="00276A93"/>
    <w:rsid w:val="00276E59"/>
    <w:rsid w:val="0028026F"/>
    <w:rsid w:val="00280A64"/>
    <w:rsid w:val="00281C99"/>
    <w:rsid w:val="002861F5"/>
    <w:rsid w:val="00287A19"/>
    <w:rsid w:val="00287FB9"/>
    <w:rsid w:val="00290BB3"/>
    <w:rsid w:val="00291045"/>
    <w:rsid w:val="00292439"/>
    <w:rsid w:val="00292481"/>
    <w:rsid w:val="00293744"/>
    <w:rsid w:val="002947E7"/>
    <w:rsid w:val="00294ACF"/>
    <w:rsid w:val="00295F85"/>
    <w:rsid w:val="0029609F"/>
    <w:rsid w:val="0029635D"/>
    <w:rsid w:val="00297F02"/>
    <w:rsid w:val="002A0AAE"/>
    <w:rsid w:val="002A1693"/>
    <w:rsid w:val="002A5820"/>
    <w:rsid w:val="002A5AF2"/>
    <w:rsid w:val="002B14C8"/>
    <w:rsid w:val="002B210E"/>
    <w:rsid w:val="002B30D8"/>
    <w:rsid w:val="002B364C"/>
    <w:rsid w:val="002B3E6B"/>
    <w:rsid w:val="002B408A"/>
    <w:rsid w:val="002B47A0"/>
    <w:rsid w:val="002B527C"/>
    <w:rsid w:val="002B55B0"/>
    <w:rsid w:val="002B7447"/>
    <w:rsid w:val="002C00E7"/>
    <w:rsid w:val="002C01A3"/>
    <w:rsid w:val="002C0FC1"/>
    <w:rsid w:val="002C1EA4"/>
    <w:rsid w:val="002C56FA"/>
    <w:rsid w:val="002D0F0B"/>
    <w:rsid w:val="002D15D4"/>
    <w:rsid w:val="002D1E7C"/>
    <w:rsid w:val="002D2B26"/>
    <w:rsid w:val="002D2E4E"/>
    <w:rsid w:val="002D3936"/>
    <w:rsid w:val="002D4825"/>
    <w:rsid w:val="002D7EA2"/>
    <w:rsid w:val="002E060A"/>
    <w:rsid w:val="002E1161"/>
    <w:rsid w:val="002E187C"/>
    <w:rsid w:val="002E1B55"/>
    <w:rsid w:val="002E1E7F"/>
    <w:rsid w:val="002E2055"/>
    <w:rsid w:val="002E295F"/>
    <w:rsid w:val="002E357E"/>
    <w:rsid w:val="002E49C3"/>
    <w:rsid w:val="002E5DDF"/>
    <w:rsid w:val="002E6A09"/>
    <w:rsid w:val="002E7DB3"/>
    <w:rsid w:val="002F03CE"/>
    <w:rsid w:val="002F09A5"/>
    <w:rsid w:val="002F0E14"/>
    <w:rsid w:val="002F30F5"/>
    <w:rsid w:val="002F343A"/>
    <w:rsid w:val="002F6692"/>
    <w:rsid w:val="002F7247"/>
    <w:rsid w:val="002F7A80"/>
    <w:rsid w:val="003015FF"/>
    <w:rsid w:val="00302733"/>
    <w:rsid w:val="00302F99"/>
    <w:rsid w:val="003030BD"/>
    <w:rsid w:val="0030371F"/>
    <w:rsid w:val="00303B0B"/>
    <w:rsid w:val="003042E4"/>
    <w:rsid w:val="0030464D"/>
    <w:rsid w:val="00305180"/>
    <w:rsid w:val="0030593D"/>
    <w:rsid w:val="0030607A"/>
    <w:rsid w:val="00306B17"/>
    <w:rsid w:val="00314078"/>
    <w:rsid w:val="0031449A"/>
    <w:rsid w:val="003151D6"/>
    <w:rsid w:val="003152EE"/>
    <w:rsid w:val="0031535D"/>
    <w:rsid w:val="003168D1"/>
    <w:rsid w:val="00316902"/>
    <w:rsid w:val="00316E42"/>
    <w:rsid w:val="00323409"/>
    <w:rsid w:val="003238B7"/>
    <w:rsid w:val="003239B8"/>
    <w:rsid w:val="00325168"/>
    <w:rsid w:val="00325367"/>
    <w:rsid w:val="0033169F"/>
    <w:rsid w:val="00331B34"/>
    <w:rsid w:val="00332ACE"/>
    <w:rsid w:val="00335394"/>
    <w:rsid w:val="00335C01"/>
    <w:rsid w:val="00341906"/>
    <w:rsid w:val="00344689"/>
    <w:rsid w:val="00344859"/>
    <w:rsid w:val="00344977"/>
    <w:rsid w:val="00346157"/>
    <w:rsid w:val="0034692E"/>
    <w:rsid w:val="00346C95"/>
    <w:rsid w:val="0034729F"/>
    <w:rsid w:val="0035217B"/>
    <w:rsid w:val="00352D00"/>
    <w:rsid w:val="00354D79"/>
    <w:rsid w:val="003552BC"/>
    <w:rsid w:val="00356185"/>
    <w:rsid w:val="003562EA"/>
    <w:rsid w:val="003564D2"/>
    <w:rsid w:val="00360380"/>
    <w:rsid w:val="003612F4"/>
    <w:rsid w:val="003648BD"/>
    <w:rsid w:val="00364907"/>
    <w:rsid w:val="0036554B"/>
    <w:rsid w:val="00366756"/>
    <w:rsid w:val="00366BCA"/>
    <w:rsid w:val="00367960"/>
    <w:rsid w:val="003704C9"/>
    <w:rsid w:val="003706E5"/>
    <w:rsid w:val="00370853"/>
    <w:rsid w:val="00370BFC"/>
    <w:rsid w:val="003718C6"/>
    <w:rsid w:val="003719AC"/>
    <w:rsid w:val="003727C1"/>
    <w:rsid w:val="0037519E"/>
    <w:rsid w:val="00375268"/>
    <w:rsid w:val="00376417"/>
    <w:rsid w:val="0037777C"/>
    <w:rsid w:val="00380D00"/>
    <w:rsid w:val="00381A33"/>
    <w:rsid w:val="003823B5"/>
    <w:rsid w:val="00383063"/>
    <w:rsid w:val="00383888"/>
    <w:rsid w:val="0038599C"/>
    <w:rsid w:val="00385C8B"/>
    <w:rsid w:val="003861C3"/>
    <w:rsid w:val="00386CF0"/>
    <w:rsid w:val="003875BC"/>
    <w:rsid w:val="00387FC5"/>
    <w:rsid w:val="003904B1"/>
    <w:rsid w:val="00390A86"/>
    <w:rsid w:val="0039172F"/>
    <w:rsid w:val="003921F0"/>
    <w:rsid w:val="00392BDB"/>
    <w:rsid w:val="00394BBB"/>
    <w:rsid w:val="00394CBF"/>
    <w:rsid w:val="003955B9"/>
    <w:rsid w:val="0039649D"/>
    <w:rsid w:val="003967BF"/>
    <w:rsid w:val="00396F1E"/>
    <w:rsid w:val="00397E20"/>
    <w:rsid w:val="003A0800"/>
    <w:rsid w:val="003A1877"/>
    <w:rsid w:val="003A209A"/>
    <w:rsid w:val="003A2F26"/>
    <w:rsid w:val="003A305D"/>
    <w:rsid w:val="003A4F26"/>
    <w:rsid w:val="003A7EB4"/>
    <w:rsid w:val="003B0D4F"/>
    <w:rsid w:val="003B1E5D"/>
    <w:rsid w:val="003B2D8D"/>
    <w:rsid w:val="003B3703"/>
    <w:rsid w:val="003B5A66"/>
    <w:rsid w:val="003B70FB"/>
    <w:rsid w:val="003B7672"/>
    <w:rsid w:val="003B78ED"/>
    <w:rsid w:val="003B7BFB"/>
    <w:rsid w:val="003C2DBA"/>
    <w:rsid w:val="003C2F1A"/>
    <w:rsid w:val="003C54C8"/>
    <w:rsid w:val="003C676B"/>
    <w:rsid w:val="003C7BD7"/>
    <w:rsid w:val="003D1C8D"/>
    <w:rsid w:val="003D2B7C"/>
    <w:rsid w:val="003D2D96"/>
    <w:rsid w:val="003D3BC2"/>
    <w:rsid w:val="003D4DE6"/>
    <w:rsid w:val="003D4E66"/>
    <w:rsid w:val="003D60BA"/>
    <w:rsid w:val="003E1002"/>
    <w:rsid w:val="003E3225"/>
    <w:rsid w:val="003E375D"/>
    <w:rsid w:val="003E4157"/>
    <w:rsid w:val="003E6AFE"/>
    <w:rsid w:val="003E6CA1"/>
    <w:rsid w:val="003E73BB"/>
    <w:rsid w:val="003E76DE"/>
    <w:rsid w:val="003F0446"/>
    <w:rsid w:val="003F1BDC"/>
    <w:rsid w:val="003F40E0"/>
    <w:rsid w:val="003F4F38"/>
    <w:rsid w:val="003F77F1"/>
    <w:rsid w:val="00401F6C"/>
    <w:rsid w:val="00402C60"/>
    <w:rsid w:val="004039A8"/>
    <w:rsid w:val="004040B2"/>
    <w:rsid w:val="00405F9C"/>
    <w:rsid w:val="00406135"/>
    <w:rsid w:val="0040644F"/>
    <w:rsid w:val="004065A8"/>
    <w:rsid w:val="00410F0F"/>
    <w:rsid w:val="00411324"/>
    <w:rsid w:val="00411B37"/>
    <w:rsid w:val="0041253A"/>
    <w:rsid w:val="004162A1"/>
    <w:rsid w:val="00416482"/>
    <w:rsid w:val="004165C2"/>
    <w:rsid w:val="00416E0F"/>
    <w:rsid w:val="00417798"/>
    <w:rsid w:val="0042086A"/>
    <w:rsid w:val="004209A1"/>
    <w:rsid w:val="004215FA"/>
    <w:rsid w:val="00424ECC"/>
    <w:rsid w:val="00427559"/>
    <w:rsid w:val="0042782F"/>
    <w:rsid w:val="0042793A"/>
    <w:rsid w:val="00430513"/>
    <w:rsid w:val="004309B2"/>
    <w:rsid w:val="00431669"/>
    <w:rsid w:val="0043342E"/>
    <w:rsid w:val="0043447F"/>
    <w:rsid w:val="00434FE2"/>
    <w:rsid w:val="00440D47"/>
    <w:rsid w:val="00440EFC"/>
    <w:rsid w:val="00441B8A"/>
    <w:rsid w:val="00441ECB"/>
    <w:rsid w:val="00444204"/>
    <w:rsid w:val="00445193"/>
    <w:rsid w:val="004510AE"/>
    <w:rsid w:val="004510BC"/>
    <w:rsid w:val="00451D18"/>
    <w:rsid w:val="00452F38"/>
    <w:rsid w:val="0045557B"/>
    <w:rsid w:val="00455B87"/>
    <w:rsid w:val="0045619C"/>
    <w:rsid w:val="004576B8"/>
    <w:rsid w:val="00457CB6"/>
    <w:rsid w:val="00460844"/>
    <w:rsid w:val="00460FFA"/>
    <w:rsid w:val="0046160F"/>
    <w:rsid w:val="00462722"/>
    <w:rsid w:val="00462BFB"/>
    <w:rsid w:val="00462C1B"/>
    <w:rsid w:val="00463585"/>
    <w:rsid w:val="00463906"/>
    <w:rsid w:val="00464CA7"/>
    <w:rsid w:val="00467B7E"/>
    <w:rsid w:val="004711A7"/>
    <w:rsid w:val="00471FBB"/>
    <w:rsid w:val="004720B9"/>
    <w:rsid w:val="0047385F"/>
    <w:rsid w:val="00473BB4"/>
    <w:rsid w:val="00474A51"/>
    <w:rsid w:val="00474D68"/>
    <w:rsid w:val="00476038"/>
    <w:rsid w:val="00476336"/>
    <w:rsid w:val="0047739B"/>
    <w:rsid w:val="00477592"/>
    <w:rsid w:val="004778EC"/>
    <w:rsid w:val="00477AF6"/>
    <w:rsid w:val="00477FC4"/>
    <w:rsid w:val="0048224F"/>
    <w:rsid w:val="0048370D"/>
    <w:rsid w:val="00486F1C"/>
    <w:rsid w:val="004875C7"/>
    <w:rsid w:val="00487CC4"/>
    <w:rsid w:val="0049226E"/>
    <w:rsid w:val="00492C4E"/>
    <w:rsid w:val="0049419D"/>
    <w:rsid w:val="00495747"/>
    <w:rsid w:val="004968A8"/>
    <w:rsid w:val="004A0178"/>
    <w:rsid w:val="004A0647"/>
    <w:rsid w:val="004A120C"/>
    <w:rsid w:val="004A259B"/>
    <w:rsid w:val="004A2BC0"/>
    <w:rsid w:val="004A309A"/>
    <w:rsid w:val="004A38F2"/>
    <w:rsid w:val="004A5B42"/>
    <w:rsid w:val="004A6374"/>
    <w:rsid w:val="004A6A54"/>
    <w:rsid w:val="004A7A52"/>
    <w:rsid w:val="004A7B09"/>
    <w:rsid w:val="004A7E2A"/>
    <w:rsid w:val="004B1847"/>
    <w:rsid w:val="004B18E6"/>
    <w:rsid w:val="004B25DC"/>
    <w:rsid w:val="004B6AF8"/>
    <w:rsid w:val="004B6CBB"/>
    <w:rsid w:val="004B7645"/>
    <w:rsid w:val="004C20D2"/>
    <w:rsid w:val="004C2312"/>
    <w:rsid w:val="004C25EE"/>
    <w:rsid w:val="004C29D7"/>
    <w:rsid w:val="004C34B2"/>
    <w:rsid w:val="004C40E8"/>
    <w:rsid w:val="004C4B62"/>
    <w:rsid w:val="004C548B"/>
    <w:rsid w:val="004C54C9"/>
    <w:rsid w:val="004C730F"/>
    <w:rsid w:val="004D08D4"/>
    <w:rsid w:val="004D0BDA"/>
    <w:rsid w:val="004D107D"/>
    <w:rsid w:val="004D1673"/>
    <w:rsid w:val="004D24B6"/>
    <w:rsid w:val="004D3955"/>
    <w:rsid w:val="004D45C2"/>
    <w:rsid w:val="004D4981"/>
    <w:rsid w:val="004D4ABA"/>
    <w:rsid w:val="004D6025"/>
    <w:rsid w:val="004D7370"/>
    <w:rsid w:val="004D740A"/>
    <w:rsid w:val="004E129E"/>
    <w:rsid w:val="004E153B"/>
    <w:rsid w:val="004E2649"/>
    <w:rsid w:val="004E327A"/>
    <w:rsid w:val="004E344E"/>
    <w:rsid w:val="004E364B"/>
    <w:rsid w:val="004E3B27"/>
    <w:rsid w:val="004E4507"/>
    <w:rsid w:val="004E47C8"/>
    <w:rsid w:val="004E5851"/>
    <w:rsid w:val="004E5909"/>
    <w:rsid w:val="004E662D"/>
    <w:rsid w:val="004E6FC8"/>
    <w:rsid w:val="004F24DA"/>
    <w:rsid w:val="004F2649"/>
    <w:rsid w:val="004F54B6"/>
    <w:rsid w:val="004F5BD4"/>
    <w:rsid w:val="004F626F"/>
    <w:rsid w:val="004F63D7"/>
    <w:rsid w:val="004F67E2"/>
    <w:rsid w:val="004F6A12"/>
    <w:rsid w:val="004F6BE6"/>
    <w:rsid w:val="0050050F"/>
    <w:rsid w:val="00500A29"/>
    <w:rsid w:val="00500B5F"/>
    <w:rsid w:val="005010F2"/>
    <w:rsid w:val="00501399"/>
    <w:rsid w:val="00501D94"/>
    <w:rsid w:val="005027E6"/>
    <w:rsid w:val="00502FDE"/>
    <w:rsid w:val="005058EC"/>
    <w:rsid w:val="0050633D"/>
    <w:rsid w:val="00507BC4"/>
    <w:rsid w:val="00511E62"/>
    <w:rsid w:val="005128E4"/>
    <w:rsid w:val="005133DB"/>
    <w:rsid w:val="00513417"/>
    <w:rsid w:val="005136C5"/>
    <w:rsid w:val="00514504"/>
    <w:rsid w:val="00514729"/>
    <w:rsid w:val="00515B28"/>
    <w:rsid w:val="00520387"/>
    <w:rsid w:val="005231E1"/>
    <w:rsid w:val="00523C07"/>
    <w:rsid w:val="005243FB"/>
    <w:rsid w:val="00524592"/>
    <w:rsid w:val="005247B0"/>
    <w:rsid w:val="00524E30"/>
    <w:rsid w:val="005252E2"/>
    <w:rsid w:val="00525560"/>
    <w:rsid w:val="00527721"/>
    <w:rsid w:val="005277EE"/>
    <w:rsid w:val="0052791F"/>
    <w:rsid w:val="005279B7"/>
    <w:rsid w:val="00527D2B"/>
    <w:rsid w:val="005305E5"/>
    <w:rsid w:val="00531957"/>
    <w:rsid w:val="00533211"/>
    <w:rsid w:val="00533352"/>
    <w:rsid w:val="005336D6"/>
    <w:rsid w:val="005338A9"/>
    <w:rsid w:val="00534C69"/>
    <w:rsid w:val="0053503C"/>
    <w:rsid w:val="005366D5"/>
    <w:rsid w:val="00541013"/>
    <w:rsid w:val="005417E5"/>
    <w:rsid w:val="00541F32"/>
    <w:rsid w:val="00542CF1"/>
    <w:rsid w:val="005430F5"/>
    <w:rsid w:val="00544A1B"/>
    <w:rsid w:val="00544C49"/>
    <w:rsid w:val="005459E6"/>
    <w:rsid w:val="00545D20"/>
    <w:rsid w:val="00546727"/>
    <w:rsid w:val="00547ED4"/>
    <w:rsid w:val="00551316"/>
    <w:rsid w:val="00551669"/>
    <w:rsid w:val="005516A1"/>
    <w:rsid w:val="00552B71"/>
    <w:rsid w:val="0055310B"/>
    <w:rsid w:val="00553DAB"/>
    <w:rsid w:val="00554759"/>
    <w:rsid w:val="00554A8C"/>
    <w:rsid w:val="00554B2E"/>
    <w:rsid w:val="00554F42"/>
    <w:rsid w:val="00555363"/>
    <w:rsid w:val="00555393"/>
    <w:rsid w:val="005559EF"/>
    <w:rsid w:val="00557058"/>
    <w:rsid w:val="00561629"/>
    <w:rsid w:val="005617C7"/>
    <w:rsid w:val="00561937"/>
    <w:rsid w:val="00561E3F"/>
    <w:rsid w:val="00563557"/>
    <w:rsid w:val="005644D0"/>
    <w:rsid w:val="00564909"/>
    <w:rsid w:val="00564EE3"/>
    <w:rsid w:val="00565A13"/>
    <w:rsid w:val="00565BFF"/>
    <w:rsid w:val="00566075"/>
    <w:rsid w:val="00566088"/>
    <w:rsid w:val="005679BB"/>
    <w:rsid w:val="00567A0F"/>
    <w:rsid w:val="0057147C"/>
    <w:rsid w:val="0057402A"/>
    <w:rsid w:val="00574909"/>
    <w:rsid w:val="005771D0"/>
    <w:rsid w:val="005772E6"/>
    <w:rsid w:val="00580B93"/>
    <w:rsid w:val="00581BE8"/>
    <w:rsid w:val="00581C74"/>
    <w:rsid w:val="00583C58"/>
    <w:rsid w:val="00586561"/>
    <w:rsid w:val="00586D77"/>
    <w:rsid w:val="00586D78"/>
    <w:rsid w:val="00590071"/>
    <w:rsid w:val="00590451"/>
    <w:rsid w:val="0059191A"/>
    <w:rsid w:val="005921FF"/>
    <w:rsid w:val="00592D85"/>
    <w:rsid w:val="005945C4"/>
    <w:rsid w:val="00595E0B"/>
    <w:rsid w:val="00596D2C"/>
    <w:rsid w:val="00597076"/>
    <w:rsid w:val="005978AB"/>
    <w:rsid w:val="00597DD1"/>
    <w:rsid w:val="005A1FB7"/>
    <w:rsid w:val="005A24ED"/>
    <w:rsid w:val="005A28BB"/>
    <w:rsid w:val="005A382C"/>
    <w:rsid w:val="005A3BD9"/>
    <w:rsid w:val="005A6D0E"/>
    <w:rsid w:val="005A7E98"/>
    <w:rsid w:val="005B3EEF"/>
    <w:rsid w:val="005B52B0"/>
    <w:rsid w:val="005B6806"/>
    <w:rsid w:val="005B6A66"/>
    <w:rsid w:val="005B70B8"/>
    <w:rsid w:val="005C0084"/>
    <w:rsid w:val="005C3689"/>
    <w:rsid w:val="005C3B29"/>
    <w:rsid w:val="005C4225"/>
    <w:rsid w:val="005C562E"/>
    <w:rsid w:val="005D01C2"/>
    <w:rsid w:val="005D1961"/>
    <w:rsid w:val="005D240C"/>
    <w:rsid w:val="005D2B90"/>
    <w:rsid w:val="005D38F9"/>
    <w:rsid w:val="005D55B2"/>
    <w:rsid w:val="005D564E"/>
    <w:rsid w:val="005D5936"/>
    <w:rsid w:val="005D70F3"/>
    <w:rsid w:val="005D72BA"/>
    <w:rsid w:val="005E1557"/>
    <w:rsid w:val="005E1826"/>
    <w:rsid w:val="005E1DDA"/>
    <w:rsid w:val="005E2CD3"/>
    <w:rsid w:val="005E3402"/>
    <w:rsid w:val="005F0DAD"/>
    <w:rsid w:val="005F0F33"/>
    <w:rsid w:val="005F3564"/>
    <w:rsid w:val="005F5104"/>
    <w:rsid w:val="005F6777"/>
    <w:rsid w:val="005F7948"/>
    <w:rsid w:val="006003A1"/>
    <w:rsid w:val="006003FD"/>
    <w:rsid w:val="00600DEB"/>
    <w:rsid w:val="00601058"/>
    <w:rsid w:val="0060138B"/>
    <w:rsid w:val="00601535"/>
    <w:rsid w:val="0060191F"/>
    <w:rsid w:val="00604931"/>
    <w:rsid w:val="00604C52"/>
    <w:rsid w:val="00605EC4"/>
    <w:rsid w:val="006061ED"/>
    <w:rsid w:val="006101DF"/>
    <w:rsid w:val="00614DD2"/>
    <w:rsid w:val="00614DD6"/>
    <w:rsid w:val="00615173"/>
    <w:rsid w:val="00615500"/>
    <w:rsid w:val="0061587D"/>
    <w:rsid w:val="00617930"/>
    <w:rsid w:val="00621110"/>
    <w:rsid w:val="006221E3"/>
    <w:rsid w:val="006226BD"/>
    <w:rsid w:val="00623BEE"/>
    <w:rsid w:val="0062408C"/>
    <w:rsid w:val="006248A8"/>
    <w:rsid w:val="00624945"/>
    <w:rsid w:val="00625146"/>
    <w:rsid w:val="00627C9F"/>
    <w:rsid w:val="00630588"/>
    <w:rsid w:val="00630AA6"/>
    <w:rsid w:val="006311E9"/>
    <w:rsid w:val="0063121E"/>
    <w:rsid w:val="00631548"/>
    <w:rsid w:val="00631CF0"/>
    <w:rsid w:val="00632354"/>
    <w:rsid w:val="00632FFD"/>
    <w:rsid w:val="00633CE6"/>
    <w:rsid w:val="00635421"/>
    <w:rsid w:val="00636843"/>
    <w:rsid w:val="00636B05"/>
    <w:rsid w:val="006403BE"/>
    <w:rsid w:val="006405F7"/>
    <w:rsid w:val="00642810"/>
    <w:rsid w:val="00643C12"/>
    <w:rsid w:val="00643FF1"/>
    <w:rsid w:val="00645112"/>
    <w:rsid w:val="00650313"/>
    <w:rsid w:val="0065064F"/>
    <w:rsid w:val="00651395"/>
    <w:rsid w:val="00652252"/>
    <w:rsid w:val="00652333"/>
    <w:rsid w:val="00656BEE"/>
    <w:rsid w:val="006572BD"/>
    <w:rsid w:val="00660976"/>
    <w:rsid w:val="00662A2C"/>
    <w:rsid w:val="00665BF5"/>
    <w:rsid w:val="00670C8B"/>
    <w:rsid w:val="00672060"/>
    <w:rsid w:val="006724D3"/>
    <w:rsid w:val="00673D07"/>
    <w:rsid w:val="0067475D"/>
    <w:rsid w:val="00674C58"/>
    <w:rsid w:val="00676E8E"/>
    <w:rsid w:val="0068009E"/>
    <w:rsid w:val="006836EC"/>
    <w:rsid w:val="00683DC1"/>
    <w:rsid w:val="00690D3C"/>
    <w:rsid w:val="00692219"/>
    <w:rsid w:val="0069228C"/>
    <w:rsid w:val="00692523"/>
    <w:rsid w:val="00692F1B"/>
    <w:rsid w:val="00693075"/>
    <w:rsid w:val="006937B7"/>
    <w:rsid w:val="00693C78"/>
    <w:rsid w:val="00694A99"/>
    <w:rsid w:val="006954D0"/>
    <w:rsid w:val="0069635A"/>
    <w:rsid w:val="00697EBC"/>
    <w:rsid w:val="006A0812"/>
    <w:rsid w:val="006A1074"/>
    <w:rsid w:val="006A17D2"/>
    <w:rsid w:val="006A4740"/>
    <w:rsid w:val="006A4D21"/>
    <w:rsid w:val="006A73E6"/>
    <w:rsid w:val="006B0BA7"/>
    <w:rsid w:val="006B0F19"/>
    <w:rsid w:val="006B1648"/>
    <w:rsid w:val="006B238C"/>
    <w:rsid w:val="006B2D5C"/>
    <w:rsid w:val="006B419F"/>
    <w:rsid w:val="006B6F88"/>
    <w:rsid w:val="006B6FD9"/>
    <w:rsid w:val="006B799A"/>
    <w:rsid w:val="006C00EC"/>
    <w:rsid w:val="006C07B4"/>
    <w:rsid w:val="006C07B7"/>
    <w:rsid w:val="006C1187"/>
    <w:rsid w:val="006C36B6"/>
    <w:rsid w:val="006C4EB1"/>
    <w:rsid w:val="006C5BA5"/>
    <w:rsid w:val="006C6F8F"/>
    <w:rsid w:val="006C7428"/>
    <w:rsid w:val="006D1656"/>
    <w:rsid w:val="006D1C26"/>
    <w:rsid w:val="006D2C2D"/>
    <w:rsid w:val="006D2FE0"/>
    <w:rsid w:val="006D3AB9"/>
    <w:rsid w:val="006D4387"/>
    <w:rsid w:val="006D51AB"/>
    <w:rsid w:val="006D7775"/>
    <w:rsid w:val="006E0166"/>
    <w:rsid w:val="006E02AF"/>
    <w:rsid w:val="006E0A2D"/>
    <w:rsid w:val="006E2FFB"/>
    <w:rsid w:val="006E36CC"/>
    <w:rsid w:val="006E4170"/>
    <w:rsid w:val="006E50B0"/>
    <w:rsid w:val="006E5551"/>
    <w:rsid w:val="006E5615"/>
    <w:rsid w:val="006E604D"/>
    <w:rsid w:val="006E7557"/>
    <w:rsid w:val="006E7728"/>
    <w:rsid w:val="006E77F1"/>
    <w:rsid w:val="006E7B34"/>
    <w:rsid w:val="006F28F7"/>
    <w:rsid w:val="006F32D0"/>
    <w:rsid w:val="006F40EB"/>
    <w:rsid w:val="007004F4"/>
    <w:rsid w:val="00700A48"/>
    <w:rsid w:val="00700B1D"/>
    <w:rsid w:val="0070197E"/>
    <w:rsid w:val="0070298C"/>
    <w:rsid w:val="00702CA2"/>
    <w:rsid w:val="00703A0B"/>
    <w:rsid w:val="00703E0A"/>
    <w:rsid w:val="007041B0"/>
    <w:rsid w:val="00704B3D"/>
    <w:rsid w:val="00704D27"/>
    <w:rsid w:val="0070697F"/>
    <w:rsid w:val="007079E6"/>
    <w:rsid w:val="00707C22"/>
    <w:rsid w:val="00707C60"/>
    <w:rsid w:val="00710B7D"/>
    <w:rsid w:val="0071122A"/>
    <w:rsid w:val="007118B0"/>
    <w:rsid w:val="007138FD"/>
    <w:rsid w:val="0071621F"/>
    <w:rsid w:val="0072199C"/>
    <w:rsid w:val="00722C9F"/>
    <w:rsid w:val="007233C1"/>
    <w:rsid w:val="0072498A"/>
    <w:rsid w:val="00724DBE"/>
    <w:rsid w:val="00724F58"/>
    <w:rsid w:val="007252E1"/>
    <w:rsid w:val="007253B8"/>
    <w:rsid w:val="00726EA6"/>
    <w:rsid w:val="007273A0"/>
    <w:rsid w:val="00727E46"/>
    <w:rsid w:val="007300B3"/>
    <w:rsid w:val="007302FF"/>
    <w:rsid w:val="00732894"/>
    <w:rsid w:val="00732FF4"/>
    <w:rsid w:val="007344E9"/>
    <w:rsid w:val="007350B1"/>
    <w:rsid w:val="007352A6"/>
    <w:rsid w:val="0073568F"/>
    <w:rsid w:val="00735C79"/>
    <w:rsid w:val="00735F02"/>
    <w:rsid w:val="007364E1"/>
    <w:rsid w:val="00736943"/>
    <w:rsid w:val="00736B1B"/>
    <w:rsid w:val="0073741F"/>
    <w:rsid w:val="00740542"/>
    <w:rsid w:val="0074186A"/>
    <w:rsid w:val="007426A2"/>
    <w:rsid w:val="007439A7"/>
    <w:rsid w:val="00743C70"/>
    <w:rsid w:val="00744BAF"/>
    <w:rsid w:val="00746BD4"/>
    <w:rsid w:val="00747CDA"/>
    <w:rsid w:val="00747D04"/>
    <w:rsid w:val="00747EB7"/>
    <w:rsid w:val="00750CC6"/>
    <w:rsid w:val="00750DB8"/>
    <w:rsid w:val="00750DBF"/>
    <w:rsid w:val="0075287E"/>
    <w:rsid w:val="00753AB4"/>
    <w:rsid w:val="00754B2C"/>
    <w:rsid w:val="00754D38"/>
    <w:rsid w:val="00755875"/>
    <w:rsid w:val="0075785B"/>
    <w:rsid w:val="00757B51"/>
    <w:rsid w:val="00760831"/>
    <w:rsid w:val="00760D76"/>
    <w:rsid w:val="00760ED6"/>
    <w:rsid w:val="00761746"/>
    <w:rsid w:val="007620AB"/>
    <w:rsid w:val="007621E7"/>
    <w:rsid w:val="00764347"/>
    <w:rsid w:val="00765B1C"/>
    <w:rsid w:val="0076643F"/>
    <w:rsid w:val="0077000C"/>
    <w:rsid w:val="00770A95"/>
    <w:rsid w:val="007724B2"/>
    <w:rsid w:val="00772AE8"/>
    <w:rsid w:val="00772F92"/>
    <w:rsid w:val="00773EFC"/>
    <w:rsid w:val="00776A90"/>
    <w:rsid w:val="007779A7"/>
    <w:rsid w:val="00777F63"/>
    <w:rsid w:val="00780AA8"/>
    <w:rsid w:val="00782514"/>
    <w:rsid w:val="007826BF"/>
    <w:rsid w:val="0078305C"/>
    <w:rsid w:val="00784800"/>
    <w:rsid w:val="007859CD"/>
    <w:rsid w:val="00785B11"/>
    <w:rsid w:val="007863E2"/>
    <w:rsid w:val="0078741C"/>
    <w:rsid w:val="00787D04"/>
    <w:rsid w:val="00790526"/>
    <w:rsid w:val="00792065"/>
    <w:rsid w:val="007933DE"/>
    <w:rsid w:val="00793CA9"/>
    <w:rsid w:val="00793F5C"/>
    <w:rsid w:val="007940F9"/>
    <w:rsid w:val="00795191"/>
    <w:rsid w:val="00796553"/>
    <w:rsid w:val="007967C1"/>
    <w:rsid w:val="00796C2B"/>
    <w:rsid w:val="007979AE"/>
    <w:rsid w:val="007A0CC0"/>
    <w:rsid w:val="007A2389"/>
    <w:rsid w:val="007A2E14"/>
    <w:rsid w:val="007A3B99"/>
    <w:rsid w:val="007A3FDD"/>
    <w:rsid w:val="007A44D8"/>
    <w:rsid w:val="007A5817"/>
    <w:rsid w:val="007A5ED5"/>
    <w:rsid w:val="007A64B3"/>
    <w:rsid w:val="007A7CC8"/>
    <w:rsid w:val="007B0355"/>
    <w:rsid w:val="007B05C4"/>
    <w:rsid w:val="007B116F"/>
    <w:rsid w:val="007B3564"/>
    <w:rsid w:val="007B3EDD"/>
    <w:rsid w:val="007B4E13"/>
    <w:rsid w:val="007B4F52"/>
    <w:rsid w:val="007B501E"/>
    <w:rsid w:val="007B5FA0"/>
    <w:rsid w:val="007B60E9"/>
    <w:rsid w:val="007B6CC3"/>
    <w:rsid w:val="007B76D3"/>
    <w:rsid w:val="007C013F"/>
    <w:rsid w:val="007C0855"/>
    <w:rsid w:val="007C1A74"/>
    <w:rsid w:val="007C2119"/>
    <w:rsid w:val="007C2323"/>
    <w:rsid w:val="007C3179"/>
    <w:rsid w:val="007C3334"/>
    <w:rsid w:val="007C396F"/>
    <w:rsid w:val="007C611D"/>
    <w:rsid w:val="007C7EBE"/>
    <w:rsid w:val="007D23C0"/>
    <w:rsid w:val="007D27EA"/>
    <w:rsid w:val="007D29B9"/>
    <w:rsid w:val="007D2B98"/>
    <w:rsid w:val="007D48BF"/>
    <w:rsid w:val="007D649E"/>
    <w:rsid w:val="007D7224"/>
    <w:rsid w:val="007D7272"/>
    <w:rsid w:val="007E07B2"/>
    <w:rsid w:val="007E1266"/>
    <w:rsid w:val="007E153C"/>
    <w:rsid w:val="007E19E4"/>
    <w:rsid w:val="007E1F46"/>
    <w:rsid w:val="007E21BC"/>
    <w:rsid w:val="007E2904"/>
    <w:rsid w:val="007E2941"/>
    <w:rsid w:val="007E29CC"/>
    <w:rsid w:val="007E4109"/>
    <w:rsid w:val="007E546D"/>
    <w:rsid w:val="007E6FDE"/>
    <w:rsid w:val="007E7636"/>
    <w:rsid w:val="007E789B"/>
    <w:rsid w:val="007E7C82"/>
    <w:rsid w:val="007F1677"/>
    <w:rsid w:val="007F1F67"/>
    <w:rsid w:val="007F2AA1"/>
    <w:rsid w:val="007F3174"/>
    <w:rsid w:val="007F588D"/>
    <w:rsid w:val="007F7672"/>
    <w:rsid w:val="007F799A"/>
    <w:rsid w:val="007F7A9D"/>
    <w:rsid w:val="008005EE"/>
    <w:rsid w:val="0080108D"/>
    <w:rsid w:val="0080307F"/>
    <w:rsid w:val="008036B3"/>
    <w:rsid w:val="0080386D"/>
    <w:rsid w:val="00803F1C"/>
    <w:rsid w:val="00805511"/>
    <w:rsid w:val="0080600E"/>
    <w:rsid w:val="008068BD"/>
    <w:rsid w:val="008109F8"/>
    <w:rsid w:val="008112AA"/>
    <w:rsid w:val="008117FE"/>
    <w:rsid w:val="008139EF"/>
    <w:rsid w:val="00814688"/>
    <w:rsid w:val="00815C45"/>
    <w:rsid w:val="008169CA"/>
    <w:rsid w:val="0081742D"/>
    <w:rsid w:val="00817612"/>
    <w:rsid w:val="00820A75"/>
    <w:rsid w:val="008240E4"/>
    <w:rsid w:val="0082460D"/>
    <w:rsid w:val="008261B1"/>
    <w:rsid w:val="008315C6"/>
    <w:rsid w:val="008322DD"/>
    <w:rsid w:val="00832E6A"/>
    <w:rsid w:val="0083365A"/>
    <w:rsid w:val="008338A4"/>
    <w:rsid w:val="00833ECE"/>
    <w:rsid w:val="0083448C"/>
    <w:rsid w:val="0083472A"/>
    <w:rsid w:val="00834B51"/>
    <w:rsid w:val="00834D49"/>
    <w:rsid w:val="008350C3"/>
    <w:rsid w:val="008354DE"/>
    <w:rsid w:val="00837C45"/>
    <w:rsid w:val="00840795"/>
    <w:rsid w:val="008434C3"/>
    <w:rsid w:val="00843889"/>
    <w:rsid w:val="00844730"/>
    <w:rsid w:val="008457C2"/>
    <w:rsid w:val="00846388"/>
    <w:rsid w:val="00846B42"/>
    <w:rsid w:val="00846BA1"/>
    <w:rsid w:val="00847BD9"/>
    <w:rsid w:val="008524AB"/>
    <w:rsid w:val="008537D0"/>
    <w:rsid w:val="00854B73"/>
    <w:rsid w:val="0085610B"/>
    <w:rsid w:val="00857A82"/>
    <w:rsid w:val="00857B7A"/>
    <w:rsid w:val="008624DA"/>
    <w:rsid w:val="00863042"/>
    <w:rsid w:val="0086392F"/>
    <w:rsid w:val="00864D02"/>
    <w:rsid w:val="00864E93"/>
    <w:rsid w:val="008657E2"/>
    <w:rsid w:val="00866295"/>
    <w:rsid w:val="0086700E"/>
    <w:rsid w:val="008670AA"/>
    <w:rsid w:val="00867694"/>
    <w:rsid w:val="00867B3E"/>
    <w:rsid w:val="008708BF"/>
    <w:rsid w:val="00872F0D"/>
    <w:rsid w:val="00873836"/>
    <w:rsid w:val="008742F9"/>
    <w:rsid w:val="00880445"/>
    <w:rsid w:val="0088047F"/>
    <w:rsid w:val="00880A1A"/>
    <w:rsid w:val="00881E37"/>
    <w:rsid w:val="00882E7C"/>
    <w:rsid w:val="0088488F"/>
    <w:rsid w:val="00884AF4"/>
    <w:rsid w:val="00885737"/>
    <w:rsid w:val="0088599B"/>
    <w:rsid w:val="00886910"/>
    <w:rsid w:val="0088736A"/>
    <w:rsid w:val="0088743A"/>
    <w:rsid w:val="00890650"/>
    <w:rsid w:val="00890C99"/>
    <w:rsid w:val="008916BB"/>
    <w:rsid w:val="00892C36"/>
    <w:rsid w:val="008937FC"/>
    <w:rsid w:val="0089586E"/>
    <w:rsid w:val="00895AD9"/>
    <w:rsid w:val="00897083"/>
    <w:rsid w:val="00897CD1"/>
    <w:rsid w:val="00897E12"/>
    <w:rsid w:val="008A078B"/>
    <w:rsid w:val="008A0F9D"/>
    <w:rsid w:val="008A110B"/>
    <w:rsid w:val="008A3DA0"/>
    <w:rsid w:val="008A4291"/>
    <w:rsid w:val="008A6DE3"/>
    <w:rsid w:val="008A7E0F"/>
    <w:rsid w:val="008B0163"/>
    <w:rsid w:val="008B0689"/>
    <w:rsid w:val="008B12F5"/>
    <w:rsid w:val="008B3B3C"/>
    <w:rsid w:val="008B4283"/>
    <w:rsid w:val="008B4DE9"/>
    <w:rsid w:val="008B5A03"/>
    <w:rsid w:val="008B5D6F"/>
    <w:rsid w:val="008B66C2"/>
    <w:rsid w:val="008C1069"/>
    <w:rsid w:val="008C18BD"/>
    <w:rsid w:val="008C2431"/>
    <w:rsid w:val="008C2B72"/>
    <w:rsid w:val="008C2D14"/>
    <w:rsid w:val="008C350F"/>
    <w:rsid w:val="008C42A5"/>
    <w:rsid w:val="008C5E2D"/>
    <w:rsid w:val="008D1963"/>
    <w:rsid w:val="008D29D9"/>
    <w:rsid w:val="008D30B3"/>
    <w:rsid w:val="008D3A7F"/>
    <w:rsid w:val="008D4B92"/>
    <w:rsid w:val="008D768D"/>
    <w:rsid w:val="008E14CC"/>
    <w:rsid w:val="008E1BC1"/>
    <w:rsid w:val="008E262B"/>
    <w:rsid w:val="008E3319"/>
    <w:rsid w:val="008E3759"/>
    <w:rsid w:val="008E3BFE"/>
    <w:rsid w:val="008E5A22"/>
    <w:rsid w:val="008E6F50"/>
    <w:rsid w:val="008F0DFF"/>
    <w:rsid w:val="008F1912"/>
    <w:rsid w:val="008F1B6B"/>
    <w:rsid w:val="008F1EE4"/>
    <w:rsid w:val="008F3890"/>
    <w:rsid w:val="008F3F38"/>
    <w:rsid w:val="008F5880"/>
    <w:rsid w:val="008F7624"/>
    <w:rsid w:val="00900A00"/>
    <w:rsid w:val="0090270B"/>
    <w:rsid w:val="00902F82"/>
    <w:rsid w:val="009041DC"/>
    <w:rsid w:val="00910BA0"/>
    <w:rsid w:val="00911FE2"/>
    <w:rsid w:val="00913D92"/>
    <w:rsid w:val="009140CF"/>
    <w:rsid w:val="00917135"/>
    <w:rsid w:val="00917B5A"/>
    <w:rsid w:val="00917C1B"/>
    <w:rsid w:val="009206CC"/>
    <w:rsid w:val="00920A58"/>
    <w:rsid w:val="00920A8C"/>
    <w:rsid w:val="0092155E"/>
    <w:rsid w:val="00922A85"/>
    <w:rsid w:val="00923599"/>
    <w:rsid w:val="00924491"/>
    <w:rsid w:val="0092567F"/>
    <w:rsid w:val="009258A9"/>
    <w:rsid w:val="00926429"/>
    <w:rsid w:val="009264F0"/>
    <w:rsid w:val="00926926"/>
    <w:rsid w:val="00926BB9"/>
    <w:rsid w:val="00927AF5"/>
    <w:rsid w:val="00927D57"/>
    <w:rsid w:val="00930683"/>
    <w:rsid w:val="00930EA3"/>
    <w:rsid w:val="009332E1"/>
    <w:rsid w:val="0093355D"/>
    <w:rsid w:val="00933839"/>
    <w:rsid w:val="00934A2C"/>
    <w:rsid w:val="00935EF8"/>
    <w:rsid w:val="00936049"/>
    <w:rsid w:val="009362C8"/>
    <w:rsid w:val="009369B6"/>
    <w:rsid w:val="00937D0F"/>
    <w:rsid w:val="009403D8"/>
    <w:rsid w:val="009416C8"/>
    <w:rsid w:val="00941B4A"/>
    <w:rsid w:val="009436FA"/>
    <w:rsid w:val="00943D3F"/>
    <w:rsid w:val="009442B5"/>
    <w:rsid w:val="00944381"/>
    <w:rsid w:val="00945C84"/>
    <w:rsid w:val="00945D27"/>
    <w:rsid w:val="00946D49"/>
    <w:rsid w:val="00946F73"/>
    <w:rsid w:val="009474D4"/>
    <w:rsid w:val="009500F3"/>
    <w:rsid w:val="00950A2D"/>
    <w:rsid w:val="00951A85"/>
    <w:rsid w:val="0095267A"/>
    <w:rsid w:val="00952EDF"/>
    <w:rsid w:val="0095349C"/>
    <w:rsid w:val="0095432E"/>
    <w:rsid w:val="00955DDA"/>
    <w:rsid w:val="00956C41"/>
    <w:rsid w:val="00956DEF"/>
    <w:rsid w:val="00956E1B"/>
    <w:rsid w:val="009571D1"/>
    <w:rsid w:val="00962F04"/>
    <w:rsid w:val="009664F1"/>
    <w:rsid w:val="0096706E"/>
    <w:rsid w:val="009670AB"/>
    <w:rsid w:val="00967692"/>
    <w:rsid w:val="00971361"/>
    <w:rsid w:val="00974491"/>
    <w:rsid w:val="00975C4E"/>
    <w:rsid w:val="0097626D"/>
    <w:rsid w:val="00976506"/>
    <w:rsid w:val="00980274"/>
    <w:rsid w:val="00980A03"/>
    <w:rsid w:val="00980A78"/>
    <w:rsid w:val="00981FBA"/>
    <w:rsid w:val="0098302F"/>
    <w:rsid w:val="009850EE"/>
    <w:rsid w:val="009902FD"/>
    <w:rsid w:val="009903A8"/>
    <w:rsid w:val="009906A5"/>
    <w:rsid w:val="009912C6"/>
    <w:rsid w:val="00992573"/>
    <w:rsid w:val="0099299D"/>
    <w:rsid w:val="00995343"/>
    <w:rsid w:val="00996300"/>
    <w:rsid w:val="009978DF"/>
    <w:rsid w:val="00997BC5"/>
    <w:rsid w:val="00997C83"/>
    <w:rsid w:val="009A077C"/>
    <w:rsid w:val="009A14B0"/>
    <w:rsid w:val="009A1E58"/>
    <w:rsid w:val="009A2021"/>
    <w:rsid w:val="009A2750"/>
    <w:rsid w:val="009A2766"/>
    <w:rsid w:val="009A4F41"/>
    <w:rsid w:val="009B04C2"/>
    <w:rsid w:val="009B381B"/>
    <w:rsid w:val="009B4F32"/>
    <w:rsid w:val="009B5190"/>
    <w:rsid w:val="009B6A3E"/>
    <w:rsid w:val="009B6A61"/>
    <w:rsid w:val="009B6C16"/>
    <w:rsid w:val="009B72A7"/>
    <w:rsid w:val="009B7AE1"/>
    <w:rsid w:val="009C0240"/>
    <w:rsid w:val="009C1090"/>
    <w:rsid w:val="009C24A3"/>
    <w:rsid w:val="009C67CD"/>
    <w:rsid w:val="009D1459"/>
    <w:rsid w:val="009D1753"/>
    <w:rsid w:val="009D1CF9"/>
    <w:rsid w:val="009D4DE2"/>
    <w:rsid w:val="009D55D4"/>
    <w:rsid w:val="009D63C4"/>
    <w:rsid w:val="009D7611"/>
    <w:rsid w:val="009E0439"/>
    <w:rsid w:val="009E0528"/>
    <w:rsid w:val="009E0B61"/>
    <w:rsid w:val="009E0D77"/>
    <w:rsid w:val="009E1110"/>
    <w:rsid w:val="009E1641"/>
    <w:rsid w:val="009E1B64"/>
    <w:rsid w:val="009E2D21"/>
    <w:rsid w:val="009E458D"/>
    <w:rsid w:val="009E53DE"/>
    <w:rsid w:val="009E60E8"/>
    <w:rsid w:val="009F1C7A"/>
    <w:rsid w:val="009F26BE"/>
    <w:rsid w:val="009F2F7B"/>
    <w:rsid w:val="009F4EC4"/>
    <w:rsid w:val="009F4F41"/>
    <w:rsid w:val="009F57F7"/>
    <w:rsid w:val="009F5EDC"/>
    <w:rsid w:val="009F70CD"/>
    <w:rsid w:val="00A02A59"/>
    <w:rsid w:val="00A03618"/>
    <w:rsid w:val="00A03C13"/>
    <w:rsid w:val="00A0505F"/>
    <w:rsid w:val="00A070C5"/>
    <w:rsid w:val="00A07A17"/>
    <w:rsid w:val="00A1060C"/>
    <w:rsid w:val="00A11212"/>
    <w:rsid w:val="00A118D2"/>
    <w:rsid w:val="00A11E44"/>
    <w:rsid w:val="00A13406"/>
    <w:rsid w:val="00A1604C"/>
    <w:rsid w:val="00A203A1"/>
    <w:rsid w:val="00A2287E"/>
    <w:rsid w:val="00A2349D"/>
    <w:rsid w:val="00A2434E"/>
    <w:rsid w:val="00A24B76"/>
    <w:rsid w:val="00A27973"/>
    <w:rsid w:val="00A30100"/>
    <w:rsid w:val="00A32035"/>
    <w:rsid w:val="00A328B3"/>
    <w:rsid w:val="00A35A7F"/>
    <w:rsid w:val="00A362BF"/>
    <w:rsid w:val="00A373F2"/>
    <w:rsid w:val="00A40197"/>
    <w:rsid w:val="00A40878"/>
    <w:rsid w:val="00A437EA"/>
    <w:rsid w:val="00A44167"/>
    <w:rsid w:val="00A45F2D"/>
    <w:rsid w:val="00A461A4"/>
    <w:rsid w:val="00A47270"/>
    <w:rsid w:val="00A47543"/>
    <w:rsid w:val="00A50FCF"/>
    <w:rsid w:val="00A528D1"/>
    <w:rsid w:val="00A53566"/>
    <w:rsid w:val="00A5376E"/>
    <w:rsid w:val="00A54613"/>
    <w:rsid w:val="00A5469A"/>
    <w:rsid w:val="00A55021"/>
    <w:rsid w:val="00A55335"/>
    <w:rsid w:val="00A60720"/>
    <w:rsid w:val="00A60B23"/>
    <w:rsid w:val="00A610CD"/>
    <w:rsid w:val="00A61557"/>
    <w:rsid w:val="00A6304C"/>
    <w:rsid w:val="00A6350A"/>
    <w:rsid w:val="00A63B7D"/>
    <w:rsid w:val="00A64CA8"/>
    <w:rsid w:val="00A70429"/>
    <w:rsid w:val="00A73136"/>
    <w:rsid w:val="00A734A2"/>
    <w:rsid w:val="00A7399C"/>
    <w:rsid w:val="00A74011"/>
    <w:rsid w:val="00A7402A"/>
    <w:rsid w:val="00A74865"/>
    <w:rsid w:val="00A74CE8"/>
    <w:rsid w:val="00A75425"/>
    <w:rsid w:val="00A758AA"/>
    <w:rsid w:val="00A761AA"/>
    <w:rsid w:val="00A76774"/>
    <w:rsid w:val="00A76BD5"/>
    <w:rsid w:val="00A80934"/>
    <w:rsid w:val="00A8618C"/>
    <w:rsid w:val="00A86545"/>
    <w:rsid w:val="00A906C9"/>
    <w:rsid w:val="00A90AB6"/>
    <w:rsid w:val="00A90C66"/>
    <w:rsid w:val="00A91652"/>
    <w:rsid w:val="00A92244"/>
    <w:rsid w:val="00A92B8A"/>
    <w:rsid w:val="00A92B8E"/>
    <w:rsid w:val="00A92C56"/>
    <w:rsid w:val="00A9437E"/>
    <w:rsid w:val="00A94530"/>
    <w:rsid w:val="00A951E2"/>
    <w:rsid w:val="00A95443"/>
    <w:rsid w:val="00A96E1A"/>
    <w:rsid w:val="00AA09A2"/>
    <w:rsid w:val="00AA2297"/>
    <w:rsid w:val="00AA24AA"/>
    <w:rsid w:val="00AA315F"/>
    <w:rsid w:val="00AA44B2"/>
    <w:rsid w:val="00AA4CB9"/>
    <w:rsid w:val="00AA5F11"/>
    <w:rsid w:val="00AA63D6"/>
    <w:rsid w:val="00AA7996"/>
    <w:rsid w:val="00AA7BC4"/>
    <w:rsid w:val="00AA7C6A"/>
    <w:rsid w:val="00AA7C89"/>
    <w:rsid w:val="00AB0CA0"/>
    <w:rsid w:val="00AB1042"/>
    <w:rsid w:val="00AB193A"/>
    <w:rsid w:val="00AB21D8"/>
    <w:rsid w:val="00AB2490"/>
    <w:rsid w:val="00AB35B5"/>
    <w:rsid w:val="00AB413B"/>
    <w:rsid w:val="00AB4790"/>
    <w:rsid w:val="00AB5B94"/>
    <w:rsid w:val="00AB5EB9"/>
    <w:rsid w:val="00AB6330"/>
    <w:rsid w:val="00AB6A19"/>
    <w:rsid w:val="00AC0BB6"/>
    <w:rsid w:val="00AC16B8"/>
    <w:rsid w:val="00AC19CB"/>
    <w:rsid w:val="00AC2366"/>
    <w:rsid w:val="00AC46CE"/>
    <w:rsid w:val="00AC488C"/>
    <w:rsid w:val="00AC4EE6"/>
    <w:rsid w:val="00AC53D7"/>
    <w:rsid w:val="00AC63D8"/>
    <w:rsid w:val="00AD02B3"/>
    <w:rsid w:val="00AD090D"/>
    <w:rsid w:val="00AD090F"/>
    <w:rsid w:val="00AD125D"/>
    <w:rsid w:val="00AD1D9D"/>
    <w:rsid w:val="00AD1E7A"/>
    <w:rsid w:val="00AD2DA9"/>
    <w:rsid w:val="00AD34C4"/>
    <w:rsid w:val="00AD4786"/>
    <w:rsid w:val="00AD6922"/>
    <w:rsid w:val="00AD6F2F"/>
    <w:rsid w:val="00AD7668"/>
    <w:rsid w:val="00AE02C1"/>
    <w:rsid w:val="00AE08B8"/>
    <w:rsid w:val="00AE0AEA"/>
    <w:rsid w:val="00AE3B98"/>
    <w:rsid w:val="00AE4283"/>
    <w:rsid w:val="00AE4FDB"/>
    <w:rsid w:val="00AE5280"/>
    <w:rsid w:val="00AE5393"/>
    <w:rsid w:val="00AE53F4"/>
    <w:rsid w:val="00AE5488"/>
    <w:rsid w:val="00AE5EE6"/>
    <w:rsid w:val="00AE6B54"/>
    <w:rsid w:val="00AE6F91"/>
    <w:rsid w:val="00AE72D3"/>
    <w:rsid w:val="00AE78F5"/>
    <w:rsid w:val="00AE7B9C"/>
    <w:rsid w:val="00AF47EB"/>
    <w:rsid w:val="00AF496C"/>
    <w:rsid w:val="00AF5571"/>
    <w:rsid w:val="00AF708F"/>
    <w:rsid w:val="00AF762E"/>
    <w:rsid w:val="00AF7EAA"/>
    <w:rsid w:val="00B0020C"/>
    <w:rsid w:val="00B003EC"/>
    <w:rsid w:val="00B01936"/>
    <w:rsid w:val="00B02685"/>
    <w:rsid w:val="00B04944"/>
    <w:rsid w:val="00B071C0"/>
    <w:rsid w:val="00B07341"/>
    <w:rsid w:val="00B1173E"/>
    <w:rsid w:val="00B127E2"/>
    <w:rsid w:val="00B12E33"/>
    <w:rsid w:val="00B13486"/>
    <w:rsid w:val="00B14498"/>
    <w:rsid w:val="00B14688"/>
    <w:rsid w:val="00B15AEB"/>
    <w:rsid w:val="00B15D58"/>
    <w:rsid w:val="00B20DFB"/>
    <w:rsid w:val="00B21CEC"/>
    <w:rsid w:val="00B22102"/>
    <w:rsid w:val="00B225C7"/>
    <w:rsid w:val="00B23B17"/>
    <w:rsid w:val="00B24DA6"/>
    <w:rsid w:val="00B25228"/>
    <w:rsid w:val="00B26DAC"/>
    <w:rsid w:val="00B27ACF"/>
    <w:rsid w:val="00B302E4"/>
    <w:rsid w:val="00B30539"/>
    <w:rsid w:val="00B314DB"/>
    <w:rsid w:val="00B326A7"/>
    <w:rsid w:val="00B33EAD"/>
    <w:rsid w:val="00B34E08"/>
    <w:rsid w:val="00B358F8"/>
    <w:rsid w:val="00B361F2"/>
    <w:rsid w:val="00B36A8E"/>
    <w:rsid w:val="00B3718B"/>
    <w:rsid w:val="00B3745F"/>
    <w:rsid w:val="00B374F4"/>
    <w:rsid w:val="00B40548"/>
    <w:rsid w:val="00B41A46"/>
    <w:rsid w:val="00B433A6"/>
    <w:rsid w:val="00B436B3"/>
    <w:rsid w:val="00B43EAE"/>
    <w:rsid w:val="00B44C7C"/>
    <w:rsid w:val="00B45C4E"/>
    <w:rsid w:val="00B4632A"/>
    <w:rsid w:val="00B46475"/>
    <w:rsid w:val="00B47A2F"/>
    <w:rsid w:val="00B47C4F"/>
    <w:rsid w:val="00B47DB9"/>
    <w:rsid w:val="00B51557"/>
    <w:rsid w:val="00B51D3C"/>
    <w:rsid w:val="00B522F1"/>
    <w:rsid w:val="00B530F1"/>
    <w:rsid w:val="00B60D24"/>
    <w:rsid w:val="00B62543"/>
    <w:rsid w:val="00B62F46"/>
    <w:rsid w:val="00B63487"/>
    <w:rsid w:val="00B641CA"/>
    <w:rsid w:val="00B64C2E"/>
    <w:rsid w:val="00B64D2C"/>
    <w:rsid w:val="00B671CE"/>
    <w:rsid w:val="00B67AD2"/>
    <w:rsid w:val="00B71B9F"/>
    <w:rsid w:val="00B72356"/>
    <w:rsid w:val="00B727D7"/>
    <w:rsid w:val="00B761C8"/>
    <w:rsid w:val="00B8035F"/>
    <w:rsid w:val="00B8100B"/>
    <w:rsid w:val="00B82267"/>
    <w:rsid w:val="00B83069"/>
    <w:rsid w:val="00B8392C"/>
    <w:rsid w:val="00B83A83"/>
    <w:rsid w:val="00B84AF0"/>
    <w:rsid w:val="00B856EF"/>
    <w:rsid w:val="00B85F85"/>
    <w:rsid w:val="00B86132"/>
    <w:rsid w:val="00B9035D"/>
    <w:rsid w:val="00B91234"/>
    <w:rsid w:val="00B9255C"/>
    <w:rsid w:val="00B9393C"/>
    <w:rsid w:val="00B946F9"/>
    <w:rsid w:val="00B94EE1"/>
    <w:rsid w:val="00B96F02"/>
    <w:rsid w:val="00BA0462"/>
    <w:rsid w:val="00BA2486"/>
    <w:rsid w:val="00BA276C"/>
    <w:rsid w:val="00BA3A8F"/>
    <w:rsid w:val="00BA4B15"/>
    <w:rsid w:val="00BA4BB9"/>
    <w:rsid w:val="00BA63F8"/>
    <w:rsid w:val="00BA63F9"/>
    <w:rsid w:val="00BB011B"/>
    <w:rsid w:val="00BB04F2"/>
    <w:rsid w:val="00BB0B78"/>
    <w:rsid w:val="00BB306F"/>
    <w:rsid w:val="00BB3116"/>
    <w:rsid w:val="00BB3CC8"/>
    <w:rsid w:val="00BB3E3F"/>
    <w:rsid w:val="00BB442F"/>
    <w:rsid w:val="00BB5F8D"/>
    <w:rsid w:val="00BB6A0F"/>
    <w:rsid w:val="00BB6A81"/>
    <w:rsid w:val="00BB780A"/>
    <w:rsid w:val="00BB78FD"/>
    <w:rsid w:val="00BB7A0C"/>
    <w:rsid w:val="00BC05BE"/>
    <w:rsid w:val="00BC158A"/>
    <w:rsid w:val="00BC208C"/>
    <w:rsid w:val="00BC2D11"/>
    <w:rsid w:val="00BC3188"/>
    <w:rsid w:val="00BC3321"/>
    <w:rsid w:val="00BC6476"/>
    <w:rsid w:val="00BC67C5"/>
    <w:rsid w:val="00BC6C3A"/>
    <w:rsid w:val="00BD0377"/>
    <w:rsid w:val="00BD134A"/>
    <w:rsid w:val="00BD1A18"/>
    <w:rsid w:val="00BD295A"/>
    <w:rsid w:val="00BD4B89"/>
    <w:rsid w:val="00BD52C3"/>
    <w:rsid w:val="00BD5520"/>
    <w:rsid w:val="00BD5922"/>
    <w:rsid w:val="00BD6B69"/>
    <w:rsid w:val="00BD6F06"/>
    <w:rsid w:val="00BD7C65"/>
    <w:rsid w:val="00BD7DB2"/>
    <w:rsid w:val="00BE04A1"/>
    <w:rsid w:val="00BE16AB"/>
    <w:rsid w:val="00BE1A42"/>
    <w:rsid w:val="00BE2040"/>
    <w:rsid w:val="00BE213E"/>
    <w:rsid w:val="00BE236F"/>
    <w:rsid w:val="00BE2B91"/>
    <w:rsid w:val="00BE3B58"/>
    <w:rsid w:val="00BE48D7"/>
    <w:rsid w:val="00BE4AAC"/>
    <w:rsid w:val="00BE7375"/>
    <w:rsid w:val="00BF01C0"/>
    <w:rsid w:val="00BF02CB"/>
    <w:rsid w:val="00BF0D5A"/>
    <w:rsid w:val="00BF11F3"/>
    <w:rsid w:val="00BF14B9"/>
    <w:rsid w:val="00BF1583"/>
    <w:rsid w:val="00BF1C2A"/>
    <w:rsid w:val="00BF27E0"/>
    <w:rsid w:val="00BF405A"/>
    <w:rsid w:val="00BF4B30"/>
    <w:rsid w:val="00BF6FD8"/>
    <w:rsid w:val="00BF7054"/>
    <w:rsid w:val="00C002F1"/>
    <w:rsid w:val="00C008D1"/>
    <w:rsid w:val="00C01B91"/>
    <w:rsid w:val="00C02979"/>
    <w:rsid w:val="00C033B0"/>
    <w:rsid w:val="00C03680"/>
    <w:rsid w:val="00C03AE3"/>
    <w:rsid w:val="00C0483C"/>
    <w:rsid w:val="00C054DF"/>
    <w:rsid w:val="00C06E27"/>
    <w:rsid w:val="00C109DE"/>
    <w:rsid w:val="00C11BE0"/>
    <w:rsid w:val="00C128DD"/>
    <w:rsid w:val="00C13215"/>
    <w:rsid w:val="00C1324E"/>
    <w:rsid w:val="00C14286"/>
    <w:rsid w:val="00C1496C"/>
    <w:rsid w:val="00C152D0"/>
    <w:rsid w:val="00C15BC7"/>
    <w:rsid w:val="00C163D0"/>
    <w:rsid w:val="00C21762"/>
    <w:rsid w:val="00C21FEF"/>
    <w:rsid w:val="00C2300B"/>
    <w:rsid w:val="00C23BA4"/>
    <w:rsid w:val="00C23E91"/>
    <w:rsid w:val="00C24543"/>
    <w:rsid w:val="00C25006"/>
    <w:rsid w:val="00C256A2"/>
    <w:rsid w:val="00C25ADB"/>
    <w:rsid w:val="00C25F80"/>
    <w:rsid w:val="00C26DE1"/>
    <w:rsid w:val="00C302AE"/>
    <w:rsid w:val="00C315DF"/>
    <w:rsid w:val="00C316FA"/>
    <w:rsid w:val="00C32240"/>
    <w:rsid w:val="00C329CA"/>
    <w:rsid w:val="00C346B5"/>
    <w:rsid w:val="00C3504B"/>
    <w:rsid w:val="00C35286"/>
    <w:rsid w:val="00C35B90"/>
    <w:rsid w:val="00C37220"/>
    <w:rsid w:val="00C4189D"/>
    <w:rsid w:val="00C41A40"/>
    <w:rsid w:val="00C41E37"/>
    <w:rsid w:val="00C429E6"/>
    <w:rsid w:val="00C44D40"/>
    <w:rsid w:val="00C466C7"/>
    <w:rsid w:val="00C51515"/>
    <w:rsid w:val="00C51A0E"/>
    <w:rsid w:val="00C51FE9"/>
    <w:rsid w:val="00C53BE5"/>
    <w:rsid w:val="00C55083"/>
    <w:rsid w:val="00C560D0"/>
    <w:rsid w:val="00C5660B"/>
    <w:rsid w:val="00C57CBB"/>
    <w:rsid w:val="00C61456"/>
    <w:rsid w:val="00C62411"/>
    <w:rsid w:val="00C63575"/>
    <w:rsid w:val="00C63B3E"/>
    <w:rsid w:val="00C64032"/>
    <w:rsid w:val="00C640A6"/>
    <w:rsid w:val="00C644AE"/>
    <w:rsid w:val="00C6528E"/>
    <w:rsid w:val="00C66B37"/>
    <w:rsid w:val="00C66B72"/>
    <w:rsid w:val="00C67678"/>
    <w:rsid w:val="00C67751"/>
    <w:rsid w:val="00C710EB"/>
    <w:rsid w:val="00C7231D"/>
    <w:rsid w:val="00C72B03"/>
    <w:rsid w:val="00C73D23"/>
    <w:rsid w:val="00C73EA2"/>
    <w:rsid w:val="00C747E7"/>
    <w:rsid w:val="00C752EB"/>
    <w:rsid w:val="00C75C65"/>
    <w:rsid w:val="00C76066"/>
    <w:rsid w:val="00C77D94"/>
    <w:rsid w:val="00C80254"/>
    <w:rsid w:val="00C81F91"/>
    <w:rsid w:val="00C83F22"/>
    <w:rsid w:val="00C84BB9"/>
    <w:rsid w:val="00C852C9"/>
    <w:rsid w:val="00C85409"/>
    <w:rsid w:val="00C85C74"/>
    <w:rsid w:val="00C86C05"/>
    <w:rsid w:val="00C87618"/>
    <w:rsid w:val="00C87AC4"/>
    <w:rsid w:val="00C87CD5"/>
    <w:rsid w:val="00C90301"/>
    <w:rsid w:val="00C90877"/>
    <w:rsid w:val="00C91C82"/>
    <w:rsid w:val="00C92BA1"/>
    <w:rsid w:val="00C9460C"/>
    <w:rsid w:val="00C95051"/>
    <w:rsid w:val="00C9567A"/>
    <w:rsid w:val="00C95770"/>
    <w:rsid w:val="00CA09B3"/>
    <w:rsid w:val="00CA4820"/>
    <w:rsid w:val="00CA58DF"/>
    <w:rsid w:val="00CA6238"/>
    <w:rsid w:val="00CA7323"/>
    <w:rsid w:val="00CA77EF"/>
    <w:rsid w:val="00CA7A69"/>
    <w:rsid w:val="00CB0002"/>
    <w:rsid w:val="00CB0089"/>
    <w:rsid w:val="00CB212D"/>
    <w:rsid w:val="00CB2660"/>
    <w:rsid w:val="00CB2956"/>
    <w:rsid w:val="00CB5200"/>
    <w:rsid w:val="00CC0154"/>
    <w:rsid w:val="00CC1518"/>
    <w:rsid w:val="00CC2D21"/>
    <w:rsid w:val="00CC301C"/>
    <w:rsid w:val="00CC3D17"/>
    <w:rsid w:val="00CC40E7"/>
    <w:rsid w:val="00CC4B33"/>
    <w:rsid w:val="00CC5679"/>
    <w:rsid w:val="00CC5E90"/>
    <w:rsid w:val="00CC69F5"/>
    <w:rsid w:val="00CC7D34"/>
    <w:rsid w:val="00CD046C"/>
    <w:rsid w:val="00CD141A"/>
    <w:rsid w:val="00CD20F3"/>
    <w:rsid w:val="00CD45E3"/>
    <w:rsid w:val="00CD48FC"/>
    <w:rsid w:val="00CD65D6"/>
    <w:rsid w:val="00CE03E2"/>
    <w:rsid w:val="00CE076C"/>
    <w:rsid w:val="00CE1854"/>
    <w:rsid w:val="00CE3F37"/>
    <w:rsid w:val="00CE470F"/>
    <w:rsid w:val="00CE5199"/>
    <w:rsid w:val="00CE66D5"/>
    <w:rsid w:val="00CE793C"/>
    <w:rsid w:val="00CE7CAE"/>
    <w:rsid w:val="00CF0F98"/>
    <w:rsid w:val="00CF1A35"/>
    <w:rsid w:val="00CF34E5"/>
    <w:rsid w:val="00CF3898"/>
    <w:rsid w:val="00CF3ABE"/>
    <w:rsid w:val="00CF45CB"/>
    <w:rsid w:val="00CF511D"/>
    <w:rsid w:val="00CF5F5D"/>
    <w:rsid w:val="00CF637A"/>
    <w:rsid w:val="00D0292B"/>
    <w:rsid w:val="00D052F2"/>
    <w:rsid w:val="00D05884"/>
    <w:rsid w:val="00D059DE"/>
    <w:rsid w:val="00D05ABD"/>
    <w:rsid w:val="00D062D8"/>
    <w:rsid w:val="00D06C88"/>
    <w:rsid w:val="00D0748A"/>
    <w:rsid w:val="00D07FE7"/>
    <w:rsid w:val="00D117E9"/>
    <w:rsid w:val="00D11FB6"/>
    <w:rsid w:val="00D12B54"/>
    <w:rsid w:val="00D13FCE"/>
    <w:rsid w:val="00D15693"/>
    <w:rsid w:val="00D1695C"/>
    <w:rsid w:val="00D16AC9"/>
    <w:rsid w:val="00D20C47"/>
    <w:rsid w:val="00D262D7"/>
    <w:rsid w:val="00D2662D"/>
    <w:rsid w:val="00D2687F"/>
    <w:rsid w:val="00D306D1"/>
    <w:rsid w:val="00D30800"/>
    <w:rsid w:val="00D30A66"/>
    <w:rsid w:val="00D31497"/>
    <w:rsid w:val="00D32B4D"/>
    <w:rsid w:val="00D34786"/>
    <w:rsid w:val="00D37BFC"/>
    <w:rsid w:val="00D37D9F"/>
    <w:rsid w:val="00D40C04"/>
    <w:rsid w:val="00D41200"/>
    <w:rsid w:val="00D4249E"/>
    <w:rsid w:val="00D42769"/>
    <w:rsid w:val="00D4293A"/>
    <w:rsid w:val="00D43DD7"/>
    <w:rsid w:val="00D44B36"/>
    <w:rsid w:val="00D45921"/>
    <w:rsid w:val="00D46B89"/>
    <w:rsid w:val="00D47A8E"/>
    <w:rsid w:val="00D50201"/>
    <w:rsid w:val="00D50F4D"/>
    <w:rsid w:val="00D52BCE"/>
    <w:rsid w:val="00D52D14"/>
    <w:rsid w:val="00D538EA"/>
    <w:rsid w:val="00D53B63"/>
    <w:rsid w:val="00D53FFC"/>
    <w:rsid w:val="00D54910"/>
    <w:rsid w:val="00D54D5C"/>
    <w:rsid w:val="00D553E4"/>
    <w:rsid w:val="00D63FBE"/>
    <w:rsid w:val="00D64D1C"/>
    <w:rsid w:val="00D654AA"/>
    <w:rsid w:val="00D6758C"/>
    <w:rsid w:val="00D677E7"/>
    <w:rsid w:val="00D67E55"/>
    <w:rsid w:val="00D7009D"/>
    <w:rsid w:val="00D712D3"/>
    <w:rsid w:val="00D71422"/>
    <w:rsid w:val="00D71D9F"/>
    <w:rsid w:val="00D71E66"/>
    <w:rsid w:val="00D722DD"/>
    <w:rsid w:val="00D72C00"/>
    <w:rsid w:val="00D72DC6"/>
    <w:rsid w:val="00D7558D"/>
    <w:rsid w:val="00D76123"/>
    <w:rsid w:val="00D7698E"/>
    <w:rsid w:val="00D77056"/>
    <w:rsid w:val="00D770F4"/>
    <w:rsid w:val="00D7795B"/>
    <w:rsid w:val="00D81190"/>
    <w:rsid w:val="00D81D92"/>
    <w:rsid w:val="00D832BE"/>
    <w:rsid w:val="00D83AD0"/>
    <w:rsid w:val="00D86371"/>
    <w:rsid w:val="00D86C68"/>
    <w:rsid w:val="00D876F9"/>
    <w:rsid w:val="00D9011D"/>
    <w:rsid w:val="00D9050C"/>
    <w:rsid w:val="00D90AC9"/>
    <w:rsid w:val="00D9109D"/>
    <w:rsid w:val="00D92914"/>
    <w:rsid w:val="00D94E52"/>
    <w:rsid w:val="00D95C94"/>
    <w:rsid w:val="00D9613C"/>
    <w:rsid w:val="00D964BC"/>
    <w:rsid w:val="00D97339"/>
    <w:rsid w:val="00D975AB"/>
    <w:rsid w:val="00D97769"/>
    <w:rsid w:val="00D97D0A"/>
    <w:rsid w:val="00DA0AC5"/>
    <w:rsid w:val="00DA1A47"/>
    <w:rsid w:val="00DA31AA"/>
    <w:rsid w:val="00DA3334"/>
    <w:rsid w:val="00DA3B6E"/>
    <w:rsid w:val="00DA4803"/>
    <w:rsid w:val="00DA4F4E"/>
    <w:rsid w:val="00DA6DEA"/>
    <w:rsid w:val="00DA7B5F"/>
    <w:rsid w:val="00DB2734"/>
    <w:rsid w:val="00DB52EF"/>
    <w:rsid w:val="00DC11E7"/>
    <w:rsid w:val="00DC1356"/>
    <w:rsid w:val="00DC1EFD"/>
    <w:rsid w:val="00DC24E3"/>
    <w:rsid w:val="00DC3047"/>
    <w:rsid w:val="00DC307C"/>
    <w:rsid w:val="00DC3104"/>
    <w:rsid w:val="00DC4478"/>
    <w:rsid w:val="00DC4BC0"/>
    <w:rsid w:val="00DC552A"/>
    <w:rsid w:val="00DC5D67"/>
    <w:rsid w:val="00DC7023"/>
    <w:rsid w:val="00DC769A"/>
    <w:rsid w:val="00DD3D86"/>
    <w:rsid w:val="00DD4AD2"/>
    <w:rsid w:val="00DD563E"/>
    <w:rsid w:val="00DD581F"/>
    <w:rsid w:val="00DD6AE0"/>
    <w:rsid w:val="00DD6DE5"/>
    <w:rsid w:val="00DE0EAD"/>
    <w:rsid w:val="00DE2087"/>
    <w:rsid w:val="00DE28BB"/>
    <w:rsid w:val="00DE3649"/>
    <w:rsid w:val="00DE3E2C"/>
    <w:rsid w:val="00DE719E"/>
    <w:rsid w:val="00DF1EC4"/>
    <w:rsid w:val="00DF27E3"/>
    <w:rsid w:val="00DF2BD2"/>
    <w:rsid w:val="00DF4CC4"/>
    <w:rsid w:val="00DF4D54"/>
    <w:rsid w:val="00DF55F9"/>
    <w:rsid w:val="00DF5653"/>
    <w:rsid w:val="00DF5EC4"/>
    <w:rsid w:val="00DF6BCD"/>
    <w:rsid w:val="00E00D19"/>
    <w:rsid w:val="00E00DB4"/>
    <w:rsid w:val="00E01516"/>
    <w:rsid w:val="00E0340B"/>
    <w:rsid w:val="00E04A90"/>
    <w:rsid w:val="00E0551F"/>
    <w:rsid w:val="00E0573B"/>
    <w:rsid w:val="00E1107F"/>
    <w:rsid w:val="00E1475F"/>
    <w:rsid w:val="00E14989"/>
    <w:rsid w:val="00E15342"/>
    <w:rsid w:val="00E16254"/>
    <w:rsid w:val="00E20699"/>
    <w:rsid w:val="00E211F1"/>
    <w:rsid w:val="00E219C7"/>
    <w:rsid w:val="00E226E5"/>
    <w:rsid w:val="00E23818"/>
    <w:rsid w:val="00E241CA"/>
    <w:rsid w:val="00E245B3"/>
    <w:rsid w:val="00E24FF0"/>
    <w:rsid w:val="00E2570C"/>
    <w:rsid w:val="00E25C04"/>
    <w:rsid w:val="00E26761"/>
    <w:rsid w:val="00E320A5"/>
    <w:rsid w:val="00E326F3"/>
    <w:rsid w:val="00E34242"/>
    <w:rsid w:val="00E34294"/>
    <w:rsid w:val="00E346CA"/>
    <w:rsid w:val="00E36DCF"/>
    <w:rsid w:val="00E37965"/>
    <w:rsid w:val="00E4118C"/>
    <w:rsid w:val="00E4162E"/>
    <w:rsid w:val="00E42A0B"/>
    <w:rsid w:val="00E42C0F"/>
    <w:rsid w:val="00E43157"/>
    <w:rsid w:val="00E44D05"/>
    <w:rsid w:val="00E453E7"/>
    <w:rsid w:val="00E461CE"/>
    <w:rsid w:val="00E5293D"/>
    <w:rsid w:val="00E562E1"/>
    <w:rsid w:val="00E56402"/>
    <w:rsid w:val="00E56C66"/>
    <w:rsid w:val="00E573E4"/>
    <w:rsid w:val="00E60464"/>
    <w:rsid w:val="00E614F9"/>
    <w:rsid w:val="00E616BB"/>
    <w:rsid w:val="00E632F8"/>
    <w:rsid w:val="00E63E55"/>
    <w:rsid w:val="00E64C3D"/>
    <w:rsid w:val="00E65C51"/>
    <w:rsid w:val="00E665A0"/>
    <w:rsid w:val="00E67024"/>
    <w:rsid w:val="00E6766F"/>
    <w:rsid w:val="00E677BE"/>
    <w:rsid w:val="00E67A38"/>
    <w:rsid w:val="00E70320"/>
    <w:rsid w:val="00E709B4"/>
    <w:rsid w:val="00E70A84"/>
    <w:rsid w:val="00E720CA"/>
    <w:rsid w:val="00E73944"/>
    <w:rsid w:val="00E74845"/>
    <w:rsid w:val="00E74E29"/>
    <w:rsid w:val="00E7534F"/>
    <w:rsid w:val="00E753F1"/>
    <w:rsid w:val="00E77324"/>
    <w:rsid w:val="00E80561"/>
    <w:rsid w:val="00E80637"/>
    <w:rsid w:val="00E8281A"/>
    <w:rsid w:val="00E83FA5"/>
    <w:rsid w:val="00E849F9"/>
    <w:rsid w:val="00E84EB5"/>
    <w:rsid w:val="00E85662"/>
    <w:rsid w:val="00E8789F"/>
    <w:rsid w:val="00E87AE5"/>
    <w:rsid w:val="00E91040"/>
    <w:rsid w:val="00E91381"/>
    <w:rsid w:val="00E91BBB"/>
    <w:rsid w:val="00E929FB"/>
    <w:rsid w:val="00E93A21"/>
    <w:rsid w:val="00E97B71"/>
    <w:rsid w:val="00EA13AB"/>
    <w:rsid w:val="00EA1EDA"/>
    <w:rsid w:val="00EA24A3"/>
    <w:rsid w:val="00EA2C08"/>
    <w:rsid w:val="00EA32A1"/>
    <w:rsid w:val="00EA3B43"/>
    <w:rsid w:val="00EA3C6F"/>
    <w:rsid w:val="00EA3D34"/>
    <w:rsid w:val="00EA5A0A"/>
    <w:rsid w:val="00EA5F9E"/>
    <w:rsid w:val="00EA6F61"/>
    <w:rsid w:val="00EB1CE6"/>
    <w:rsid w:val="00EB23EF"/>
    <w:rsid w:val="00EB24BC"/>
    <w:rsid w:val="00EB24DA"/>
    <w:rsid w:val="00EB319C"/>
    <w:rsid w:val="00EB454D"/>
    <w:rsid w:val="00EB517E"/>
    <w:rsid w:val="00EB53A2"/>
    <w:rsid w:val="00EB53E7"/>
    <w:rsid w:val="00EB6D31"/>
    <w:rsid w:val="00EB6EA3"/>
    <w:rsid w:val="00EB7579"/>
    <w:rsid w:val="00EB76DC"/>
    <w:rsid w:val="00EC25ED"/>
    <w:rsid w:val="00EC2A89"/>
    <w:rsid w:val="00EC2FB3"/>
    <w:rsid w:val="00EC6BBD"/>
    <w:rsid w:val="00EC6C19"/>
    <w:rsid w:val="00EC7364"/>
    <w:rsid w:val="00EC7C59"/>
    <w:rsid w:val="00ED05CA"/>
    <w:rsid w:val="00ED14AE"/>
    <w:rsid w:val="00ED2CF4"/>
    <w:rsid w:val="00ED3AA4"/>
    <w:rsid w:val="00ED40B1"/>
    <w:rsid w:val="00ED43EA"/>
    <w:rsid w:val="00ED442A"/>
    <w:rsid w:val="00ED4D6B"/>
    <w:rsid w:val="00ED549D"/>
    <w:rsid w:val="00ED6B70"/>
    <w:rsid w:val="00ED76BE"/>
    <w:rsid w:val="00EE00E9"/>
    <w:rsid w:val="00EE0929"/>
    <w:rsid w:val="00EE0DD4"/>
    <w:rsid w:val="00EE102B"/>
    <w:rsid w:val="00EE16F2"/>
    <w:rsid w:val="00EE1CA6"/>
    <w:rsid w:val="00EE1FF2"/>
    <w:rsid w:val="00EE2948"/>
    <w:rsid w:val="00EE5237"/>
    <w:rsid w:val="00EE6DF0"/>
    <w:rsid w:val="00EF0E3B"/>
    <w:rsid w:val="00EF1AAA"/>
    <w:rsid w:val="00EF20DC"/>
    <w:rsid w:val="00EF34EF"/>
    <w:rsid w:val="00EF45BB"/>
    <w:rsid w:val="00EF4E1C"/>
    <w:rsid w:val="00EF5357"/>
    <w:rsid w:val="00EF619B"/>
    <w:rsid w:val="00EF6F9C"/>
    <w:rsid w:val="00F004E6"/>
    <w:rsid w:val="00F00B55"/>
    <w:rsid w:val="00F00CB5"/>
    <w:rsid w:val="00F018F8"/>
    <w:rsid w:val="00F023D9"/>
    <w:rsid w:val="00F02AD1"/>
    <w:rsid w:val="00F02CC3"/>
    <w:rsid w:val="00F04350"/>
    <w:rsid w:val="00F04C58"/>
    <w:rsid w:val="00F074D1"/>
    <w:rsid w:val="00F11919"/>
    <w:rsid w:val="00F11E14"/>
    <w:rsid w:val="00F128E6"/>
    <w:rsid w:val="00F13686"/>
    <w:rsid w:val="00F1382E"/>
    <w:rsid w:val="00F14A8D"/>
    <w:rsid w:val="00F15CBD"/>
    <w:rsid w:val="00F16354"/>
    <w:rsid w:val="00F17943"/>
    <w:rsid w:val="00F20786"/>
    <w:rsid w:val="00F21E62"/>
    <w:rsid w:val="00F221B9"/>
    <w:rsid w:val="00F22E8F"/>
    <w:rsid w:val="00F2359C"/>
    <w:rsid w:val="00F235E5"/>
    <w:rsid w:val="00F236D6"/>
    <w:rsid w:val="00F23F5F"/>
    <w:rsid w:val="00F244DE"/>
    <w:rsid w:val="00F253CC"/>
    <w:rsid w:val="00F274E6"/>
    <w:rsid w:val="00F27D6D"/>
    <w:rsid w:val="00F3156C"/>
    <w:rsid w:val="00F32215"/>
    <w:rsid w:val="00F326D7"/>
    <w:rsid w:val="00F34909"/>
    <w:rsid w:val="00F34B96"/>
    <w:rsid w:val="00F34E75"/>
    <w:rsid w:val="00F34F85"/>
    <w:rsid w:val="00F3612F"/>
    <w:rsid w:val="00F37106"/>
    <w:rsid w:val="00F414D9"/>
    <w:rsid w:val="00F41A4E"/>
    <w:rsid w:val="00F41A76"/>
    <w:rsid w:val="00F42353"/>
    <w:rsid w:val="00F44887"/>
    <w:rsid w:val="00F44E25"/>
    <w:rsid w:val="00F4659B"/>
    <w:rsid w:val="00F47696"/>
    <w:rsid w:val="00F47FD1"/>
    <w:rsid w:val="00F519CF"/>
    <w:rsid w:val="00F51B90"/>
    <w:rsid w:val="00F53FEA"/>
    <w:rsid w:val="00F5463A"/>
    <w:rsid w:val="00F54866"/>
    <w:rsid w:val="00F55CA5"/>
    <w:rsid w:val="00F55E77"/>
    <w:rsid w:val="00F55FA4"/>
    <w:rsid w:val="00F56AE2"/>
    <w:rsid w:val="00F56BA5"/>
    <w:rsid w:val="00F57A8C"/>
    <w:rsid w:val="00F60D78"/>
    <w:rsid w:val="00F60E22"/>
    <w:rsid w:val="00F617CD"/>
    <w:rsid w:val="00F61A87"/>
    <w:rsid w:val="00F61C62"/>
    <w:rsid w:val="00F6232A"/>
    <w:rsid w:val="00F623B7"/>
    <w:rsid w:val="00F6243D"/>
    <w:rsid w:val="00F653AA"/>
    <w:rsid w:val="00F654A5"/>
    <w:rsid w:val="00F6576C"/>
    <w:rsid w:val="00F71146"/>
    <w:rsid w:val="00F7455A"/>
    <w:rsid w:val="00F767A8"/>
    <w:rsid w:val="00F76BEE"/>
    <w:rsid w:val="00F800BD"/>
    <w:rsid w:val="00F81395"/>
    <w:rsid w:val="00F81BB8"/>
    <w:rsid w:val="00F82AD7"/>
    <w:rsid w:val="00F83073"/>
    <w:rsid w:val="00F866A7"/>
    <w:rsid w:val="00F903C8"/>
    <w:rsid w:val="00F904CC"/>
    <w:rsid w:val="00F9061B"/>
    <w:rsid w:val="00F90C64"/>
    <w:rsid w:val="00F90C97"/>
    <w:rsid w:val="00F90E7D"/>
    <w:rsid w:val="00F91544"/>
    <w:rsid w:val="00F917D1"/>
    <w:rsid w:val="00F91F28"/>
    <w:rsid w:val="00F938C8"/>
    <w:rsid w:val="00F93AFE"/>
    <w:rsid w:val="00F962AA"/>
    <w:rsid w:val="00F9653B"/>
    <w:rsid w:val="00F969D3"/>
    <w:rsid w:val="00F974FB"/>
    <w:rsid w:val="00FA265C"/>
    <w:rsid w:val="00FA31B2"/>
    <w:rsid w:val="00FA398F"/>
    <w:rsid w:val="00FA3F21"/>
    <w:rsid w:val="00FA416A"/>
    <w:rsid w:val="00FA49EA"/>
    <w:rsid w:val="00FA4E7D"/>
    <w:rsid w:val="00FA5036"/>
    <w:rsid w:val="00FA6BFB"/>
    <w:rsid w:val="00FB1CCD"/>
    <w:rsid w:val="00FB23BA"/>
    <w:rsid w:val="00FB4552"/>
    <w:rsid w:val="00FB621B"/>
    <w:rsid w:val="00FB624F"/>
    <w:rsid w:val="00FB62CF"/>
    <w:rsid w:val="00FB6A5E"/>
    <w:rsid w:val="00FB6B58"/>
    <w:rsid w:val="00FC192A"/>
    <w:rsid w:val="00FC21D6"/>
    <w:rsid w:val="00FC26A7"/>
    <w:rsid w:val="00FC3245"/>
    <w:rsid w:val="00FC4870"/>
    <w:rsid w:val="00FC5BC4"/>
    <w:rsid w:val="00FC6356"/>
    <w:rsid w:val="00FC6723"/>
    <w:rsid w:val="00FD01EA"/>
    <w:rsid w:val="00FD01F0"/>
    <w:rsid w:val="00FD1646"/>
    <w:rsid w:val="00FD2BE5"/>
    <w:rsid w:val="00FD3444"/>
    <w:rsid w:val="00FD373B"/>
    <w:rsid w:val="00FD3C3B"/>
    <w:rsid w:val="00FD3DD1"/>
    <w:rsid w:val="00FD3F3A"/>
    <w:rsid w:val="00FD73CD"/>
    <w:rsid w:val="00FD73DA"/>
    <w:rsid w:val="00FE07DD"/>
    <w:rsid w:val="00FE1D1F"/>
    <w:rsid w:val="00FE1F5C"/>
    <w:rsid w:val="00FE433D"/>
    <w:rsid w:val="00FE4893"/>
    <w:rsid w:val="00FE637E"/>
    <w:rsid w:val="00FE6923"/>
    <w:rsid w:val="00FE6B45"/>
    <w:rsid w:val="00FE7AA0"/>
    <w:rsid w:val="00FE7ADC"/>
    <w:rsid w:val="00FE7B52"/>
    <w:rsid w:val="00FF0390"/>
    <w:rsid w:val="00FF308B"/>
    <w:rsid w:val="00FF4255"/>
    <w:rsid w:val="00FF43A7"/>
    <w:rsid w:val="00FF47F1"/>
    <w:rsid w:val="00FF4FA1"/>
    <w:rsid w:val="00FF5558"/>
    <w:rsid w:val="00FF55F3"/>
    <w:rsid w:val="00FF5851"/>
    <w:rsid w:val="00FF7B79"/>
    <w:rsid w:val="00FF7E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character" w:customStyle="1" w:styleId="apple-converted-space">
    <w:name w:val="apple-converted-space"/>
    <w:basedOn w:val="DefaultParagraphFont"/>
    <w:rsid w:val="00880A1A"/>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080797"/>
    <w:pPr>
      <w:spacing w:before="200" w:after="160" w:line="240" w:lineRule="exact"/>
    </w:pPr>
    <w:rPr>
      <w:rFonts w:eastAsia="Arial Unicode MS"/>
      <w:sz w:val="20"/>
      <w:szCs w:val="20"/>
      <w:bdr w:val="nil"/>
      <w:vertAlign w:val="superscript"/>
      <w:lang w:eastAsia="es-ES"/>
    </w:rPr>
  </w:style>
  <w:style w:type="paragraph" w:customStyle="1" w:styleId="Appelnotedebasde">
    <w:name w:val="Appel note de bas de..."/>
    <w:basedOn w:val="Normal"/>
    <w:rsid w:val="00CE793C"/>
    <w:pPr>
      <w:spacing w:after="160" w:line="240" w:lineRule="exact"/>
    </w:pPr>
    <w:rPr>
      <w:rFonts w:ascii="Calibri" w:eastAsia="Calibri" w:hAnsi="Calibri"/>
      <w:sz w:val="20"/>
      <w:szCs w:val="20"/>
      <w:vertAlign w:val="superscript"/>
      <w:lang w:val="es-MX"/>
    </w:rPr>
  </w:style>
  <w:style w:type="character" w:styleId="UnresolvedMention">
    <w:name w:val="Unresolved Mention"/>
    <w:basedOn w:val="DefaultParagraphFont"/>
    <w:uiPriority w:val="99"/>
    <w:semiHidden/>
    <w:unhideWhenUsed/>
    <w:rsid w:val="005D01C2"/>
    <w:rPr>
      <w:color w:val="605E5C"/>
      <w:shd w:val="clear" w:color="auto" w:fill="E1DFDD"/>
    </w:rPr>
  </w:style>
  <w:style w:type="paragraph" w:styleId="NormalWeb">
    <w:name w:val="Normal (Web)"/>
    <w:basedOn w:val="Normal"/>
    <w:uiPriority w:val="99"/>
    <w:unhideWhenUsed/>
    <w:rsid w:val="007C2323"/>
    <w:pPr>
      <w:spacing w:before="100" w:beforeAutospacing="1" w:after="100" w:afterAutospacing="1"/>
    </w:pPr>
    <w:rPr>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7719">
      <w:bodyDiv w:val="1"/>
      <w:marLeft w:val="0"/>
      <w:marRight w:val="0"/>
      <w:marTop w:val="0"/>
      <w:marBottom w:val="0"/>
      <w:divBdr>
        <w:top w:val="none" w:sz="0" w:space="0" w:color="auto"/>
        <w:left w:val="none" w:sz="0" w:space="0" w:color="auto"/>
        <w:bottom w:val="none" w:sz="0" w:space="0" w:color="auto"/>
        <w:right w:val="none" w:sz="0" w:space="0" w:color="auto"/>
      </w:divBdr>
    </w:div>
    <w:div w:id="44646729">
      <w:bodyDiv w:val="1"/>
      <w:marLeft w:val="0"/>
      <w:marRight w:val="0"/>
      <w:marTop w:val="0"/>
      <w:marBottom w:val="0"/>
      <w:divBdr>
        <w:top w:val="none" w:sz="0" w:space="0" w:color="auto"/>
        <w:left w:val="none" w:sz="0" w:space="0" w:color="auto"/>
        <w:bottom w:val="none" w:sz="0" w:space="0" w:color="auto"/>
        <w:right w:val="none" w:sz="0" w:space="0" w:color="auto"/>
      </w:divBdr>
    </w:div>
    <w:div w:id="45029246">
      <w:bodyDiv w:val="1"/>
      <w:marLeft w:val="0"/>
      <w:marRight w:val="0"/>
      <w:marTop w:val="0"/>
      <w:marBottom w:val="0"/>
      <w:divBdr>
        <w:top w:val="none" w:sz="0" w:space="0" w:color="auto"/>
        <w:left w:val="none" w:sz="0" w:space="0" w:color="auto"/>
        <w:bottom w:val="none" w:sz="0" w:space="0" w:color="auto"/>
        <w:right w:val="none" w:sz="0" w:space="0" w:color="auto"/>
      </w:divBdr>
    </w:div>
    <w:div w:id="47996713">
      <w:bodyDiv w:val="1"/>
      <w:marLeft w:val="0"/>
      <w:marRight w:val="0"/>
      <w:marTop w:val="0"/>
      <w:marBottom w:val="0"/>
      <w:divBdr>
        <w:top w:val="none" w:sz="0" w:space="0" w:color="auto"/>
        <w:left w:val="none" w:sz="0" w:space="0" w:color="auto"/>
        <w:bottom w:val="none" w:sz="0" w:space="0" w:color="auto"/>
        <w:right w:val="none" w:sz="0" w:space="0" w:color="auto"/>
      </w:divBdr>
    </w:div>
    <w:div w:id="61367573">
      <w:bodyDiv w:val="1"/>
      <w:marLeft w:val="0"/>
      <w:marRight w:val="0"/>
      <w:marTop w:val="0"/>
      <w:marBottom w:val="0"/>
      <w:divBdr>
        <w:top w:val="none" w:sz="0" w:space="0" w:color="auto"/>
        <w:left w:val="none" w:sz="0" w:space="0" w:color="auto"/>
        <w:bottom w:val="none" w:sz="0" w:space="0" w:color="auto"/>
        <w:right w:val="none" w:sz="0" w:space="0" w:color="auto"/>
      </w:divBdr>
    </w:div>
    <w:div w:id="84151676">
      <w:bodyDiv w:val="1"/>
      <w:marLeft w:val="0"/>
      <w:marRight w:val="0"/>
      <w:marTop w:val="0"/>
      <w:marBottom w:val="0"/>
      <w:divBdr>
        <w:top w:val="none" w:sz="0" w:space="0" w:color="auto"/>
        <w:left w:val="none" w:sz="0" w:space="0" w:color="auto"/>
        <w:bottom w:val="none" w:sz="0" w:space="0" w:color="auto"/>
        <w:right w:val="none" w:sz="0" w:space="0" w:color="auto"/>
      </w:divBdr>
    </w:div>
    <w:div w:id="99034378">
      <w:bodyDiv w:val="1"/>
      <w:marLeft w:val="0"/>
      <w:marRight w:val="0"/>
      <w:marTop w:val="0"/>
      <w:marBottom w:val="0"/>
      <w:divBdr>
        <w:top w:val="none" w:sz="0" w:space="0" w:color="auto"/>
        <w:left w:val="none" w:sz="0" w:space="0" w:color="auto"/>
        <w:bottom w:val="none" w:sz="0" w:space="0" w:color="auto"/>
        <w:right w:val="none" w:sz="0" w:space="0" w:color="auto"/>
      </w:divBdr>
    </w:div>
    <w:div w:id="126945606">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51023289">
      <w:bodyDiv w:val="1"/>
      <w:marLeft w:val="0"/>
      <w:marRight w:val="0"/>
      <w:marTop w:val="0"/>
      <w:marBottom w:val="0"/>
      <w:divBdr>
        <w:top w:val="none" w:sz="0" w:space="0" w:color="auto"/>
        <w:left w:val="none" w:sz="0" w:space="0" w:color="auto"/>
        <w:bottom w:val="none" w:sz="0" w:space="0" w:color="auto"/>
        <w:right w:val="none" w:sz="0" w:space="0" w:color="auto"/>
      </w:divBdr>
    </w:div>
    <w:div w:id="155414805">
      <w:bodyDiv w:val="1"/>
      <w:marLeft w:val="0"/>
      <w:marRight w:val="0"/>
      <w:marTop w:val="0"/>
      <w:marBottom w:val="0"/>
      <w:divBdr>
        <w:top w:val="none" w:sz="0" w:space="0" w:color="auto"/>
        <w:left w:val="none" w:sz="0" w:space="0" w:color="auto"/>
        <w:bottom w:val="none" w:sz="0" w:space="0" w:color="auto"/>
        <w:right w:val="none" w:sz="0" w:space="0" w:color="auto"/>
      </w:divBdr>
    </w:div>
    <w:div w:id="170149322">
      <w:bodyDiv w:val="1"/>
      <w:marLeft w:val="0"/>
      <w:marRight w:val="0"/>
      <w:marTop w:val="0"/>
      <w:marBottom w:val="0"/>
      <w:divBdr>
        <w:top w:val="none" w:sz="0" w:space="0" w:color="auto"/>
        <w:left w:val="none" w:sz="0" w:space="0" w:color="auto"/>
        <w:bottom w:val="none" w:sz="0" w:space="0" w:color="auto"/>
        <w:right w:val="none" w:sz="0" w:space="0" w:color="auto"/>
      </w:divBdr>
    </w:div>
    <w:div w:id="171073442">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84900918">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9169118">
      <w:bodyDiv w:val="1"/>
      <w:marLeft w:val="0"/>
      <w:marRight w:val="0"/>
      <w:marTop w:val="0"/>
      <w:marBottom w:val="0"/>
      <w:divBdr>
        <w:top w:val="none" w:sz="0" w:space="0" w:color="auto"/>
        <w:left w:val="none" w:sz="0" w:space="0" w:color="auto"/>
        <w:bottom w:val="none" w:sz="0" w:space="0" w:color="auto"/>
        <w:right w:val="none" w:sz="0" w:space="0" w:color="auto"/>
      </w:divBdr>
    </w:div>
    <w:div w:id="249192792">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285544679">
      <w:bodyDiv w:val="1"/>
      <w:marLeft w:val="0"/>
      <w:marRight w:val="0"/>
      <w:marTop w:val="0"/>
      <w:marBottom w:val="0"/>
      <w:divBdr>
        <w:top w:val="none" w:sz="0" w:space="0" w:color="auto"/>
        <w:left w:val="none" w:sz="0" w:space="0" w:color="auto"/>
        <w:bottom w:val="none" w:sz="0" w:space="0" w:color="auto"/>
        <w:right w:val="none" w:sz="0" w:space="0" w:color="auto"/>
      </w:divBdr>
    </w:div>
    <w:div w:id="298264867">
      <w:bodyDiv w:val="1"/>
      <w:marLeft w:val="0"/>
      <w:marRight w:val="0"/>
      <w:marTop w:val="0"/>
      <w:marBottom w:val="0"/>
      <w:divBdr>
        <w:top w:val="none" w:sz="0" w:space="0" w:color="auto"/>
        <w:left w:val="none" w:sz="0" w:space="0" w:color="auto"/>
        <w:bottom w:val="none" w:sz="0" w:space="0" w:color="auto"/>
        <w:right w:val="none" w:sz="0" w:space="0" w:color="auto"/>
      </w:divBdr>
    </w:div>
    <w:div w:id="38032202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0537485">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19764965">
      <w:bodyDiv w:val="1"/>
      <w:marLeft w:val="0"/>
      <w:marRight w:val="0"/>
      <w:marTop w:val="0"/>
      <w:marBottom w:val="0"/>
      <w:divBdr>
        <w:top w:val="none" w:sz="0" w:space="0" w:color="auto"/>
        <w:left w:val="none" w:sz="0" w:space="0" w:color="auto"/>
        <w:bottom w:val="none" w:sz="0" w:space="0" w:color="auto"/>
        <w:right w:val="none" w:sz="0" w:space="0" w:color="auto"/>
      </w:divBdr>
    </w:div>
    <w:div w:id="420182888">
      <w:bodyDiv w:val="1"/>
      <w:marLeft w:val="0"/>
      <w:marRight w:val="0"/>
      <w:marTop w:val="0"/>
      <w:marBottom w:val="0"/>
      <w:divBdr>
        <w:top w:val="none" w:sz="0" w:space="0" w:color="auto"/>
        <w:left w:val="none" w:sz="0" w:space="0" w:color="auto"/>
        <w:bottom w:val="none" w:sz="0" w:space="0" w:color="auto"/>
        <w:right w:val="none" w:sz="0" w:space="0" w:color="auto"/>
      </w:divBdr>
    </w:div>
    <w:div w:id="422994793">
      <w:bodyDiv w:val="1"/>
      <w:marLeft w:val="0"/>
      <w:marRight w:val="0"/>
      <w:marTop w:val="0"/>
      <w:marBottom w:val="0"/>
      <w:divBdr>
        <w:top w:val="none" w:sz="0" w:space="0" w:color="auto"/>
        <w:left w:val="none" w:sz="0" w:space="0" w:color="auto"/>
        <w:bottom w:val="none" w:sz="0" w:space="0" w:color="auto"/>
        <w:right w:val="none" w:sz="0" w:space="0" w:color="auto"/>
      </w:divBdr>
    </w:div>
    <w:div w:id="424348120">
      <w:bodyDiv w:val="1"/>
      <w:marLeft w:val="0"/>
      <w:marRight w:val="0"/>
      <w:marTop w:val="0"/>
      <w:marBottom w:val="0"/>
      <w:divBdr>
        <w:top w:val="none" w:sz="0" w:space="0" w:color="auto"/>
        <w:left w:val="none" w:sz="0" w:space="0" w:color="auto"/>
        <w:bottom w:val="none" w:sz="0" w:space="0" w:color="auto"/>
        <w:right w:val="none" w:sz="0" w:space="0" w:color="auto"/>
      </w:divBdr>
    </w:div>
    <w:div w:id="460877357">
      <w:bodyDiv w:val="1"/>
      <w:marLeft w:val="0"/>
      <w:marRight w:val="0"/>
      <w:marTop w:val="0"/>
      <w:marBottom w:val="0"/>
      <w:divBdr>
        <w:top w:val="none" w:sz="0" w:space="0" w:color="auto"/>
        <w:left w:val="none" w:sz="0" w:space="0" w:color="auto"/>
        <w:bottom w:val="none" w:sz="0" w:space="0" w:color="auto"/>
        <w:right w:val="none" w:sz="0" w:space="0" w:color="auto"/>
      </w:divBdr>
    </w:div>
    <w:div w:id="468791508">
      <w:bodyDiv w:val="1"/>
      <w:marLeft w:val="0"/>
      <w:marRight w:val="0"/>
      <w:marTop w:val="0"/>
      <w:marBottom w:val="0"/>
      <w:divBdr>
        <w:top w:val="none" w:sz="0" w:space="0" w:color="auto"/>
        <w:left w:val="none" w:sz="0" w:space="0" w:color="auto"/>
        <w:bottom w:val="none" w:sz="0" w:space="0" w:color="auto"/>
        <w:right w:val="none" w:sz="0" w:space="0" w:color="auto"/>
      </w:divBdr>
    </w:div>
    <w:div w:id="490756106">
      <w:bodyDiv w:val="1"/>
      <w:marLeft w:val="0"/>
      <w:marRight w:val="0"/>
      <w:marTop w:val="0"/>
      <w:marBottom w:val="0"/>
      <w:divBdr>
        <w:top w:val="none" w:sz="0" w:space="0" w:color="auto"/>
        <w:left w:val="none" w:sz="0" w:space="0" w:color="auto"/>
        <w:bottom w:val="none" w:sz="0" w:space="0" w:color="auto"/>
        <w:right w:val="none" w:sz="0" w:space="0" w:color="auto"/>
      </w:divBdr>
    </w:div>
    <w:div w:id="532573249">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9419503">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209902">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05231381">
      <w:bodyDiv w:val="1"/>
      <w:marLeft w:val="0"/>
      <w:marRight w:val="0"/>
      <w:marTop w:val="0"/>
      <w:marBottom w:val="0"/>
      <w:divBdr>
        <w:top w:val="none" w:sz="0" w:space="0" w:color="auto"/>
        <w:left w:val="none" w:sz="0" w:space="0" w:color="auto"/>
        <w:bottom w:val="none" w:sz="0" w:space="0" w:color="auto"/>
        <w:right w:val="none" w:sz="0" w:space="0" w:color="auto"/>
      </w:divBdr>
    </w:div>
    <w:div w:id="6410799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78581884">
      <w:bodyDiv w:val="1"/>
      <w:marLeft w:val="0"/>
      <w:marRight w:val="0"/>
      <w:marTop w:val="0"/>
      <w:marBottom w:val="0"/>
      <w:divBdr>
        <w:top w:val="none" w:sz="0" w:space="0" w:color="auto"/>
        <w:left w:val="none" w:sz="0" w:space="0" w:color="auto"/>
        <w:bottom w:val="none" w:sz="0" w:space="0" w:color="auto"/>
        <w:right w:val="none" w:sz="0" w:space="0" w:color="auto"/>
      </w:divBdr>
    </w:div>
    <w:div w:id="688456182">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14088490">
      <w:bodyDiv w:val="1"/>
      <w:marLeft w:val="0"/>
      <w:marRight w:val="0"/>
      <w:marTop w:val="0"/>
      <w:marBottom w:val="0"/>
      <w:divBdr>
        <w:top w:val="none" w:sz="0" w:space="0" w:color="auto"/>
        <w:left w:val="none" w:sz="0" w:space="0" w:color="auto"/>
        <w:bottom w:val="none" w:sz="0" w:space="0" w:color="auto"/>
        <w:right w:val="none" w:sz="0" w:space="0" w:color="auto"/>
      </w:divBdr>
    </w:div>
    <w:div w:id="714475990">
      <w:bodyDiv w:val="1"/>
      <w:marLeft w:val="0"/>
      <w:marRight w:val="0"/>
      <w:marTop w:val="0"/>
      <w:marBottom w:val="0"/>
      <w:divBdr>
        <w:top w:val="none" w:sz="0" w:space="0" w:color="auto"/>
        <w:left w:val="none" w:sz="0" w:space="0" w:color="auto"/>
        <w:bottom w:val="none" w:sz="0" w:space="0" w:color="auto"/>
        <w:right w:val="none" w:sz="0" w:space="0" w:color="auto"/>
      </w:divBdr>
    </w:div>
    <w:div w:id="736513601">
      <w:bodyDiv w:val="1"/>
      <w:marLeft w:val="0"/>
      <w:marRight w:val="0"/>
      <w:marTop w:val="0"/>
      <w:marBottom w:val="0"/>
      <w:divBdr>
        <w:top w:val="none" w:sz="0" w:space="0" w:color="auto"/>
        <w:left w:val="none" w:sz="0" w:space="0" w:color="auto"/>
        <w:bottom w:val="none" w:sz="0" w:space="0" w:color="auto"/>
        <w:right w:val="none" w:sz="0" w:space="0" w:color="auto"/>
      </w:divBdr>
    </w:div>
    <w:div w:id="739716056">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64232579">
      <w:bodyDiv w:val="1"/>
      <w:marLeft w:val="0"/>
      <w:marRight w:val="0"/>
      <w:marTop w:val="0"/>
      <w:marBottom w:val="0"/>
      <w:divBdr>
        <w:top w:val="none" w:sz="0" w:space="0" w:color="auto"/>
        <w:left w:val="none" w:sz="0" w:space="0" w:color="auto"/>
        <w:bottom w:val="none" w:sz="0" w:space="0" w:color="auto"/>
        <w:right w:val="none" w:sz="0" w:space="0" w:color="auto"/>
      </w:divBdr>
    </w:div>
    <w:div w:id="786313520">
      <w:bodyDiv w:val="1"/>
      <w:marLeft w:val="0"/>
      <w:marRight w:val="0"/>
      <w:marTop w:val="0"/>
      <w:marBottom w:val="0"/>
      <w:divBdr>
        <w:top w:val="none" w:sz="0" w:space="0" w:color="auto"/>
        <w:left w:val="none" w:sz="0" w:space="0" w:color="auto"/>
        <w:bottom w:val="none" w:sz="0" w:space="0" w:color="auto"/>
        <w:right w:val="none" w:sz="0" w:space="0" w:color="auto"/>
      </w:divBdr>
    </w:div>
    <w:div w:id="814877539">
      <w:bodyDiv w:val="1"/>
      <w:marLeft w:val="0"/>
      <w:marRight w:val="0"/>
      <w:marTop w:val="0"/>
      <w:marBottom w:val="0"/>
      <w:divBdr>
        <w:top w:val="none" w:sz="0" w:space="0" w:color="auto"/>
        <w:left w:val="none" w:sz="0" w:space="0" w:color="auto"/>
        <w:bottom w:val="none" w:sz="0" w:space="0" w:color="auto"/>
        <w:right w:val="none" w:sz="0" w:space="0" w:color="auto"/>
      </w:divBdr>
    </w:div>
    <w:div w:id="822939505">
      <w:bodyDiv w:val="1"/>
      <w:marLeft w:val="0"/>
      <w:marRight w:val="0"/>
      <w:marTop w:val="0"/>
      <w:marBottom w:val="0"/>
      <w:divBdr>
        <w:top w:val="none" w:sz="0" w:space="0" w:color="auto"/>
        <w:left w:val="none" w:sz="0" w:space="0" w:color="auto"/>
        <w:bottom w:val="none" w:sz="0" w:space="0" w:color="auto"/>
        <w:right w:val="none" w:sz="0" w:space="0" w:color="auto"/>
      </w:divBdr>
    </w:div>
    <w:div w:id="841430710">
      <w:bodyDiv w:val="1"/>
      <w:marLeft w:val="0"/>
      <w:marRight w:val="0"/>
      <w:marTop w:val="0"/>
      <w:marBottom w:val="0"/>
      <w:divBdr>
        <w:top w:val="none" w:sz="0" w:space="0" w:color="auto"/>
        <w:left w:val="none" w:sz="0" w:space="0" w:color="auto"/>
        <w:bottom w:val="none" w:sz="0" w:space="0" w:color="auto"/>
        <w:right w:val="none" w:sz="0" w:space="0" w:color="auto"/>
      </w:divBdr>
    </w:div>
    <w:div w:id="85599640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93586680">
      <w:bodyDiv w:val="1"/>
      <w:marLeft w:val="0"/>
      <w:marRight w:val="0"/>
      <w:marTop w:val="0"/>
      <w:marBottom w:val="0"/>
      <w:divBdr>
        <w:top w:val="none" w:sz="0" w:space="0" w:color="auto"/>
        <w:left w:val="none" w:sz="0" w:space="0" w:color="auto"/>
        <w:bottom w:val="none" w:sz="0" w:space="0" w:color="auto"/>
        <w:right w:val="none" w:sz="0" w:space="0" w:color="auto"/>
      </w:divBdr>
    </w:div>
    <w:div w:id="900557018">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8590125">
      <w:bodyDiv w:val="1"/>
      <w:marLeft w:val="0"/>
      <w:marRight w:val="0"/>
      <w:marTop w:val="0"/>
      <w:marBottom w:val="0"/>
      <w:divBdr>
        <w:top w:val="none" w:sz="0" w:space="0" w:color="auto"/>
        <w:left w:val="none" w:sz="0" w:space="0" w:color="auto"/>
        <w:bottom w:val="none" w:sz="0" w:space="0" w:color="auto"/>
        <w:right w:val="none" w:sz="0" w:space="0" w:color="auto"/>
      </w:divBdr>
    </w:div>
    <w:div w:id="956908811">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31938">
      <w:bodyDiv w:val="1"/>
      <w:marLeft w:val="0"/>
      <w:marRight w:val="0"/>
      <w:marTop w:val="0"/>
      <w:marBottom w:val="0"/>
      <w:divBdr>
        <w:top w:val="none" w:sz="0" w:space="0" w:color="auto"/>
        <w:left w:val="none" w:sz="0" w:space="0" w:color="auto"/>
        <w:bottom w:val="none" w:sz="0" w:space="0" w:color="auto"/>
        <w:right w:val="none" w:sz="0" w:space="0" w:color="auto"/>
      </w:divBdr>
    </w:div>
    <w:div w:id="974682589">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5693456">
      <w:bodyDiv w:val="1"/>
      <w:marLeft w:val="0"/>
      <w:marRight w:val="0"/>
      <w:marTop w:val="0"/>
      <w:marBottom w:val="0"/>
      <w:divBdr>
        <w:top w:val="none" w:sz="0" w:space="0" w:color="auto"/>
        <w:left w:val="none" w:sz="0" w:space="0" w:color="auto"/>
        <w:bottom w:val="none" w:sz="0" w:space="0" w:color="auto"/>
        <w:right w:val="none" w:sz="0" w:space="0" w:color="auto"/>
      </w:divBdr>
    </w:div>
    <w:div w:id="1008218378">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18505613">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23753292">
      <w:bodyDiv w:val="1"/>
      <w:marLeft w:val="0"/>
      <w:marRight w:val="0"/>
      <w:marTop w:val="0"/>
      <w:marBottom w:val="0"/>
      <w:divBdr>
        <w:top w:val="none" w:sz="0" w:space="0" w:color="auto"/>
        <w:left w:val="none" w:sz="0" w:space="0" w:color="auto"/>
        <w:bottom w:val="none" w:sz="0" w:space="0" w:color="auto"/>
        <w:right w:val="none" w:sz="0" w:space="0" w:color="auto"/>
      </w:divBdr>
    </w:div>
    <w:div w:id="1063141815">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09471926">
      <w:bodyDiv w:val="1"/>
      <w:marLeft w:val="0"/>
      <w:marRight w:val="0"/>
      <w:marTop w:val="0"/>
      <w:marBottom w:val="0"/>
      <w:divBdr>
        <w:top w:val="none" w:sz="0" w:space="0" w:color="auto"/>
        <w:left w:val="none" w:sz="0" w:space="0" w:color="auto"/>
        <w:bottom w:val="none" w:sz="0" w:space="0" w:color="auto"/>
        <w:right w:val="none" w:sz="0" w:space="0" w:color="auto"/>
      </w:divBdr>
    </w:div>
    <w:div w:id="1115948573">
      <w:bodyDiv w:val="1"/>
      <w:marLeft w:val="0"/>
      <w:marRight w:val="0"/>
      <w:marTop w:val="0"/>
      <w:marBottom w:val="0"/>
      <w:divBdr>
        <w:top w:val="none" w:sz="0" w:space="0" w:color="auto"/>
        <w:left w:val="none" w:sz="0" w:space="0" w:color="auto"/>
        <w:bottom w:val="none" w:sz="0" w:space="0" w:color="auto"/>
        <w:right w:val="none" w:sz="0" w:space="0" w:color="auto"/>
      </w:divBdr>
    </w:div>
    <w:div w:id="1120684215">
      <w:bodyDiv w:val="1"/>
      <w:marLeft w:val="0"/>
      <w:marRight w:val="0"/>
      <w:marTop w:val="0"/>
      <w:marBottom w:val="0"/>
      <w:divBdr>
        <w:top w:val="none" w:sz="0" w:space="0" w:color="auto"/>
        <w:left w:val="none" w:sz="0" w:space="0" w:color="auto"/>
        <w:bottom w:val="none" w:sz="0" w:space="0" w:color="auto"/>
        <w:right w:val="none" w:sz="0" w:space="0" w:color="auto"/>
      </w:divBdr>
      <w:divsChild>
        <w:div w:id="2020741837">
          <w:marLeft w:val="0"/>
          <w:marRight w:val="0"/>
          <w:marTop w:val="0"/>
          <w:marBottom w:val="0"/>
          <w:divBdr>
            <w:top w:val="none" w:sz="0" w:space="0" w:color="auto"/>
            <w:left w:val="none" w:sz="0" w:space="0" w:color="auto"/>
            <w:bottom w:val="none" w:sz="0" w:space="0" w:color="auto"/>
            <w:right w:val="none" w:sz="0" w:space="0" w:color="auto"/>
          </w:divBdr>
        </w:div>
      </w:divsChild>
    </w:div>
    <w:div w:id="1127703425">
      <w:bodyDiv w:val="1"/>
      <w:marLeft w:val="0"/>
      <w:marRight w:val="0"/>
      <w:marTop w:val="0"/>
      <w:marBottom w:val="0"/>
      <w:divBdr>
        <w:top w:val="none" w:sz="0" w:space="0" w:color="auto"/>
        <w:left w:val="none" w:sz="0" w:space="0" w:color="auto"/>
        <w:bottom w:val="none" w:sz="0" w:space="0" w:color="auto"/>
        <w:right w:val="none" w:sz="0" w:space="0" w:color="auto"/>
      </w:divBdr>
      <w:divsChild>
        <w:div w:id="1466047742">
          <w:marLeft w:val="0"/>
          <w:marRight w:val="0"/>
          <w:marTop w:val="0"/>
          <w:marBottom w:val="0"/>
          <w:divBdr>
            <w:top w:val="none" w:sz="0" w:space="0" w:color="auto"/>
            <w:left w:val="none" w:sz="0" w:space="0" w:color="auto"/>
            <w:bottom w:val="none" w:sz="0" w:space="0" w:color="auto"/>
            <w:right w:val="none" w:sz="0" w:space="0" w:color="auto"/>
          </w:divBdr>
        </w:div>
      </w:divsChild>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39760036">
      <w:bodyDiv w:val="1"/>
      <w:marLeft w:val="0"/>
      <w:marRight w:val="0"/>
      <w:marTop w:val="0"/>
      <w:marBottom w:val="0"/>
      <w:divBdr>
        <w:top w:val="none" w:sz="0" w:space="0" w:color="auto"/>
        <w:left w:val="none" w:sz="0" w:space="0" w:color="auto"/>
        <w:bottom w:val="none" w:sz="0" w:space="0" w:color="auto"/>
        <w:right w:val="none" w:sz="0" w:space="0" w:color="auto"/>
      </w:divBdr>
    </w:div>
    <w:div w:id="1158111122">
      <w:bodyDiv w:val="1"/>
      <w:marLeft w:val="0"/>
      <w:marRight w:val="0"/>
      <w:marTop w:val="0"/>
      <w:marBottom w:val="0"/>
      <w:divBdr>
        <w:top w:val="none" w:sz="0" w:space="0" w:color="auto"/>
        <w:left w:val="none" w:sz="0" w:space="0" w:color="auto"/>
        <w:bottom w:val="none" w:sz="0" w:space="0" w:color="auto"/>
        <w:right w:val="none" w:sz="0" w:space="0" w:color="auto"/>
      </w:divBdr>
    </w:div>
    <w:div w:id="1158499893">
      <w:bodyDiv w:val="1"/>
      <w:marLeft w:val="0"/>
      <w:marRight w:val="0"/>
      <w:marTop w:val="0"/>
      <w:marBottom w:val="0"/>
      <w:divBdr>
        <w:top w:val="none" w:sz="0" w:space="0" w:color="auto"/>
        <w:left w:val="none" w:sz="0" w:space="0" w:color="auto"/>
        <w:bottom w:val="none" w:sz="0" w:space="0" w:color="auto"/>
        <w:right w:val="none" w:sz="0" w:space="0" w:color="auto"/>
      </w:divBdr>
    </w:div>
    <w:div w:id="1204558840">
      <w:bodyDiv w:val="1"/>
      <w:marLeft w:val="0"/>
      <w:marRight w:val="0"/>
      <w:marTop w:val="0"/>
      <w:marBottom w:val="0"/>
      <w:divBdr>
        <w:top w:val="none" w:sz="0" w:space="0" w:color="auto"/>
        <w:left w:val="none" w:sz="0" w:space="0" w:color="auto"/>
        <w:bottom w:val="none" w:sz="0" w:space="0" w:color="auto"/>
        <w:right w:val="none" w:sz="0" w:space="0" w:color="auto"/>
      </w:divBdr>
    </w:div>
    <w:div w:id="122436750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5307167">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87734546">
      <w:bodyDiv w:val="1"/>
      <w:marLeft w:val="0"/>
      <w:marRight w:val="0"/>
      <w:marTop w:val="0"/>
      <w:marBottom w:val="0"/>
      <w:divBdr>
        <w:top w:val="none" w:sz="0" w:space="0" w:color="auto"/>
        <w:left w:val="none" w:sz="0" w:space="0" w:color="auto"/>
        <w:bottom w:val="none" w:sz="0" w:space="0" w:color="auto"/>
        <w:right w:val="none" w:sz="0" w:space="0" w:color="auto"/>
      </w:divBdr>
    </w:div>
    <w:div w:id="1299408652">
      <w:bodyDiv w:val="1"/>
      <w:marLeft w:val="0"/>
      <w:marRight w:val="0"/>
      <w:marTop w:val="0"/>
      <w:marBottom w:val="0"/>
      <w:divBdr>
        <w:top w:val="none" w:sz="0" w:space="0" w:color="auto"/>
        <w:left w:val="none" w:sz="0" w:space="0" w:color="auto"/>
        <w:bottom w:val="none" w:sz="0" w:space="0" w:color="auto"/>
        <w:right w:val="none" w:sz="0" w:space="0" w:color="auto"/>
      </w:divBdr>
    </w:div>
    <w:div w:id="1324744877">
      <w:bodyDiv w:val="1"/>
      <w:marLeft w:val="0"/>
      <w:marRight w:val="0"/>
      <w:marTop w:val="0"/>
      <w:marBottom w:val="0"/>
      <w:divBdr>
        <w:top w:val="none" w:sz="0" w:space="0" w:color="auto"/>
        <w:left w:val="none" w:sz="0" w:space="0" w:color="auto"/>
        <w:bottom w:val="none" w:sz="0" w:space="0" w:color="auto"/>
        <w:right w:val="none" w:sz="0" w:space="0" w:color="auto"/>
      </w:divBdr>
    </w:div>
    <w:div w:id="1348143158">
      <w:bodyDiv w:val="1"/>
      <w:marLeft w:val="0"/>
      <w:marRight w:val="0"/>
      <w:marTop w:val="0"/>
      <w:marBottom w:val="0"/>
      <w:divBdr>
        <w:top w:val="none" w:sz="0" w:space="0" w:color="auto"/>
        <w:left w:val="none" w:sz="0" w:space="0" w:color="auto"/>
        <w:bottom w:val="none" w:sz="0" w:space="0" w:color="auto"/>
        <w:right w:val="none" w:sz="0" w:space="0" w:color="auto"/>
      </w:divBdr>
    </w:div>
    <w:div w:id="1366832007">
      <w:bodyDiv w:val="1"/>
      <w:marLeft w:val="0"/>
      <w:marRight w:val="0"/>
      <w:marTop w:val="0"/>
      <w:marBottom w:val="0"/>
      <w:divBdr>
        <w:top w:val="none" w:sz="0" w:space="0" w:color="auto"/>
        <w:left w:val="none" w:sz="0" w:space="0" w:color="auto"/>
        <w:bottom w:val="none" w:sz="0" w:space="0" w:color="auto"/>
        <w:right w:val="none" w:sz="0" w:space="0" w:color="auto"/>
      </w:divBdr>
    </w:div>
    <w:div w:id="1371685252">
      <w:bodyDiv w:val="1"/>
      <w:marLeft w:val="0"/>
      <w:marRight w:val="0"/>
      <w:marTop w:val="0"/>
      <w:marBottom w:val="0"/>
      <w:divBdr>
        <w:top w:val="none" w:sz="0" w:space="0" w:color="auto"/>
        <w:left w:val="none" w:sz="0" w:space="0" w:color="auto"/>
        <w:bottom w:val="none" w:sz="0" w:space="0" w:color="auto"/>
        <w:right w:val="none" w:sz="0" w:space="0" w:color="auto"/>
      </w:divBdr>
    </w:div>
    <w:div w:id="1375691731">
      <w:bodyDiv w:val="1"/>
      <w:marLeft w:val="0"/>
      <w:marRight w:val="0"/>
      <w:marTop w:val="0"/>
      <w:marBottom w:val="0"/>
      <w:divBdr>
        <w:top w:val="none" w:sz="0" w:space="0" w:color="auto"/>
        <w:left w:val="none" w:sz="0" w:space="0" w:color="auto"/>
        <w:bottom w:val="none" w:sz="0" w:space="0" w:color="auto"/>
        <w:right w:val="none" w:sz="0" w:space="0" w:color="auto"/>
      </w:divBdr>
    </w:div>
    <w:div w:id="1381317797">
      <w:bodyDiv w:val="1"/>
      <w:marLeft w:val="0"/>
      <w:marRight w:val="0"/>
      <w:marTop w:val="0"/>
      <w:marBottom w:val="0"/>
      <w:divBdr>
        <w:top w:val="none" w:sz="0" w:space="0" w:color="auto"/>
        <w:left w:val="none" w:sz="0" w:space="0" w:color="auto"/>
        <w:bottom w:val="none" w:sz="0" w:space="0" w:color="auto"/>
        <w:right w:val="none" w:sz="0" w:space="0" w:color="auto"/>
      </w:divBdr>
    </w:div>
    <w:div w:id="141297051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42188224">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91827547">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21705096">
      <w:bodyDiv w:val="1"/>
      <w:marLeft w:val="0"/>
      <w:marRight w:val="0"/>
      <w:marTop w:val="0"/>
      <w:marBottom w:val="0"/>
      <w:divBdr>
        <w:top w:val="none" w:sz="0" w:space="0" w:color="auto"/>
        <w:left w:val="none" w:sz="0" w:space="0" w:color="auto"/>
        <w:bottom w:val="none" w:sz="0" w:space="0" w:color="auto"/>
        <w:right w:val="none" w:sz="0" w:space="0" w:color="auto"/>
      </w:divBdr>
    </w:div>
    <w:div w:id="1551914750">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58129924">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1305773">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1835186">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23540525">
      <w:bodyDiv w:val="1"/>
      <w:marLeft w:val="0"/>
      <w:marRight w:val="0"/>
      <w:marTop w:val="0"/>
      <w:marBottom w:val="0"/>
      <w:divBdr>
        <w:top w:val="none" w:sz="0" w:space="0" w:color="auto"/>
        <w:left w:val="none" w:sz="0" w:space="0" w:color="auto"/>
        <w:bottom w:val="none" w:sz="0" w:space="0" w:color="auto"/>
        <w:right w:val="none" w:sz="0" w:space="0" w:color="auto"/>
      </w:divBdr>
    </w:div>
    <w:div w:id="1626042411">
      <w:bodyDiv w:val="1"/>
      <w:marLeft w:val="0"/>
      <w:marRight w:val="0"/>
      <w:marTop w:val="0"/>
      <w:marBottom w:val="0"/>
      <w:divBdr>
        <w:top w:val="none" w:sz="0" w:space="0" w:color="auto"/>
        <w:left w:val="none" w:sz="0" w:space="0" w:color="auto"/>
        <w:bottom w:val="none" w:sz="0" w:space="0" w:color="auto"/>
        <w:right w:val="none" w:sz="0" w:space="0" w:color="auto"/>
      </w:divBdr>
    </w:div>
    <w:div w:id="1644844788">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0887025">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15617007">
      <w:bodyDiv w:val="1"/>
      <w:marLeft w:val="0"/>
      <w:marRight w:val="0"/>
      <w:marTop w:val="0"/>
      <w:marBottom w:val="0"/>
      <w:divBdr>
        <w:top w:val="none" w:sz="0" w:space="0" w:color="auto"/>
        <w:left w:val="none" w:sz="0" w:space="0" w:color="auto"/>
        <w:bottom w:val="none" w:sz="0" w:space="0" w:color="auto"/>
        <w:right w:val="none" w:sz="0" w:space="0" w:color="auto"/>
      </w:divBdr>
    </w:div>
    <w:div w:id="1723211899">
      <w:bodyDiv w:val="1"/>
      <w:marLeft w:val="0"/>
      <w:marRight w:val="0"/>
      <w:marTop w:val="0"/>
      <w:marBottom w:val="0"/>
      <w:divBdr>
        <w:top w:val="none" w:sz="0" w:space="0" w:color="auto"/>
        <w:left w:val="none" w:sz="0" w:space="0" w:color="auto"/>
        <w:bottom w:val="none" w:sz="0" w:space="0" w:color="auto"/>
        <w:right w:val="none" w:sz="0" w:space="0" w:color="auto"/>
      </w:divBdr>
    </w:div>
    <w:div w:id="1748112959">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146360">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20414536">
      <w:bodyDiv w:val="1"/>
      <w:marLeft w:val="0"/>
      <w:marRight w:val="0"/>
      <w:marTop w:val="0"/>
      <w:marBottom w:val="0"/>
      <w:divBdr>
        <w:top w:val="none" w:sz="0" w:space="0" w:color="auto"/>
        <w:left w:val="none" w:sz="0" w:space="0" w:color="auto"/>
        <w:bottom w:val="none" w:sz="0" w:space="0" w:color="auto"/>
        <w:right w:val="none" w:sz="0" w:space="0" w:color="auto"/>
      </w:divBdr>
    </w:div>
    <w:div w:id="1868446540">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00288537">
      <w:bodyDiv w:val="1"/>
      <w:marLeft w:val="0"/>
      <w:marRight w:val="0"/>
      <w:marTop w:val="0"/>
      <w:marBottom w:val="0"/>
      <w:divBdr>
        <w:top w:val="none" w:sz="0" w:space="0" w:color="auto"/>
        <w:left w:val="none" w:sz="0" w:space="0" w:color="auto"/>
        <w:bottom w:val="none" w:sz="0" w:space="0" w:color="auto"/>
        <w:right w:val="none" w:sz="0" w:space="0" w:color="auto"/>
      </w:divBdr>
    </w:div>
    <w:div w:id="1912959560">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6688345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1666449">
      <w:bodyDiv w:val="1"/>
      <w:marLeft w:val="0"/>
      <w:marRight w:val="0"/>
      <w:marTop w:val="0"/>
      <w:marBottom w:val="0"/>
      <w:divBdr>
        <w:top w:val="none" w:sz="0" w:space="0" w:color="auto"/>
        <w:left w:val="none" w:sz="0" w:space="0" w:color="auto"/>
        <w:bottom w:val="none" w:sz="0" w:space="0" w:color="auto"/>
        <w:right w:val="none" w:sz="0" w:space="0" w:color="auto"/>
      </w:divBdr>
    </w:div>
    <w:div w:id="1999923110">
      <w:bodyDiv w:val="1"/>
      <w:marLeft w:val="0"/>
      <w:marRight w:val="0"/>
      <w:marTop w:val="0"/>
      <w:marBottom w:val="0"/>
      <w:divBdr>
        <w:top w:val="none" w:sz="0" w:space="0" w:color="auto"/>
        <w:left w:val="none" w:sz="0" w:space="0" w:color="auto"/>
        <w:bottom w:val="none" w:sz="0" w:space="0" w:color="auto"/>
        <w:right w:val="none" w:sz="0" w:space="0" w:color="auto"/>
      </w:divBdr>
    </w:div>
    <w:div w:id="2020309410">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083183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29808657">
      <w:bodyDiv w:val="1"/>
      <w:marLeft w:val="0"/>
      <w:marRight w:val="0"/>
      <w:marTop w:val="0"/>
      <w:marBottom w:val="0"/>
      <w:divBdr>
        <w:top w:val="none" w:sz="0" w:space="0" w:color="auto"/>
        <w:left w:val="none" w:sz="0" w:space="0" w:color="auto"/>
        <w:bottom w:val="none" w:sz="0" w:space="0" w:color="auto"/>
        <w:right w:val="none" w:sz="0" w:space="0" w:color="auto"/>
      </w:divBdr>
    </w:div>
    <w:div w:id="213578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prensa/comunicados/2018/113.asp" TargetMode="External"/><Relationship Id="rId2" Type="http://schemas.openxmlformats.org/officeDocument/2006/relationships/image" Target="media/image5.emf"/><Relationship Id="rId1" Type="http://schemas.openxmlformats.org/officeDocument/2006/relationships/image" Target="media/image4.emf"/><Relationship Id="rId5" Type="http://schemas.openxmlformats.org/officeDocument/2006/relationships/hyperlink" Target="https://gieinicaragua.org/giei-content/uploads/2019/02/GIEI_INFORME_DIGITAL_07_02_2019_VF.pdf" TargetMode="External"/><Relationship Id="rId4" Type="http://schemas.openxmlformats.org/officeDocument/2006/relationships/hyperlink" Target="http://www.oas.org/es/cidh/prensa/comunicados/2018/121.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DCA"/>
    <w:rsid w:val="00200821"/>
    <w:rsid w:val="0025245B"/>
    <w:rsid w:val="00271035"/>
    <w:rsid w:val="002A3923"/>
    <w:rsid w:val="002D2368"/>
    <w:rsid w:val="00312493"/>
    <w:rsid w:val="00394049"/>
    <w:rsid w:val="003D7D4A"/>
    <w:rsid w:val="00415933"/>
    <w:rsid w:val="00472A9F"/>
    <w:rsid w:val="004B5BBB"/>
    <w:rsid w:val="004B6B13"/>
    <w:rsid w:val="004D7328"/>
    <w:rsid w:val="004D7C23"/>
    <w:rsid w:val="004F2DF8"/>
    <w:rsid w:val="00501F06"/>
    <w:rsid w:val="00535430"/>
    <w:rsid w:val="005437A9"/>
    <w:rsid w:val="005604BC"/>
    <w:rsid w:val="005C2B6C"/>
    <w:rsid w:val="006748DB"/>
    <w:rsid w:val="006B20F0"/>
    <w:rsid w:val="006E693B"/>
    <w:rsid w:val="006F24A1"/>
    <w:rsid w:val="007169C1"/>
    <w:rsid w:val="007A6D65"/>
    <w:rsid w:val="007E3AAF"/>
    <w:rsid w:val="00812EAE"/>
    <w:rsid w:val="00834BD8"/>
    <w:rsid w:val="009869FC"/>
    <w:rsid w:val="00992F49"/>
    <w:rsid w:val="009A261B"/>
    <w:rsid w:val="009B4A34"/>
    <w:rsid w:val="00A21D18"/>
    <w:rsid w:val="00A7437A"/>
    <w:rsid w:val="00A87EFA"/>
    <w:rsid w:val="00AA2E17"/>
    <w:rsid w:val="00AC15A4"/>
    <w:rsid w:val="00B0336C"/>
    <w:rsid w:val="00B846CC"/>
    <w:rsid w:val="00CB3B2A"/>
    <w:rsid w:val="00CD2EFC"/>
    <w:rsid w:val="00D241E9"/>
    <w:rsid w:val="00D7545D"/>
    <w:rsid w:val="00D7750D"/>
    <w:rsid w:val="00D802A4"/>
    <w:rsid w:val="00E92507"/>
    <w:rsid w:val="00EA54EC"/>
    <w:rsid w:val="00EF5360"/>
    <w:rsid w:val="00F00D2F"/>
    <w:rsid w:val="00F128DF"/>
    <w:rsid w:val="00F44226"/>
    <w:rsid w:val="00F65A8E"/>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E975-9735-4EB6-ADE0-46388D3D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3945</Words>
  <Characters>22493</Characters>
  <Application>Microsoft Office Word</Application>
  <DocSecurity>0</DocSecurity>
  <Lines>187</Lines>
  <Paragraphs>52</Paragraphs>
  <ScaleCrop>false</ScaleCrop>
  <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2024-10-16T17:15:00Z</dcterms:created>
  <dcterms:modified xsi:type="dcterms:W3CDTF">2024-10-16T17:15:00Z</dcterms:modified>
</cp:coreProperties>
</file>