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E0150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55D80" w:rsidRDefault="00455D8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455D80" w:rsidRDefault="00455D8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90E0D30" w:rsidR="00455D80" w:rsidRPr="004E2649" w:rsidRDefault="00455D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C2423">
                              <w:rPr>
                                <w:rFonts w:asciiTheme="majorHAnsi" w:hAnsiTheme="majorHAnsi" w:cs="Arial"/>
                                <w:b/>
                                <w:bCs/>
                                <w:color w:val="0D0D0D" w:themeColor="text1" w:themeTint="F2"/>
                                <w:sz w:val="36"/>
                                <w:szCs w:val="22"/>
                                <w:lang w:val="es-ES_tradnl"/>
                              </w:rPr>
                              <w:t>75</w:t>
                            </w:r>
                            <w:r>
                              <w:rPr>
                                <w:rFonts w:asciiTheme="majorHAnsi" w:hAnsiTheme="majorHAnsi" w:cs="Arial"/>
                                <w:b/>
                                <w:bCs/>
                                <w:color w:val="0D0D0D" w:themeColor="text1" w:themeTint="F2"/>
                                <w:sz w:val="36"/>
                                <w:szCs w:val="22"/>
                                <w:lang w:val="es-ES_tradnl"/>
                              </w:rPr>
                              <w:t>/</w:t>
                            </w:r>
                            <w:r w:rsidR="00C66412">
                              <w:rPr>
                                <w:rFonts w:asciiTheme="majorHAnsi" w:hAnsiTheme="majorHAnsi" w:cs="Arial"/>
                                <w:b/>
                                <w:bCs/>
                                <w:color w:val="0D0D0D" w:themeColor="text1" w:themeTint="F2"/>
                                <w:sz w:val="36"/>
                                <w:szCs w:val="22"/>
                                <w:lang w:val="es-ES_tradnl"/>
                              </w:rPr>
                              <w:t>22</w:t>
                            </w:r>
                          </w:p>
                          <w:p w14:paraId="09C54AB3" w14:textId="1AF34D4F" w:rsidR="00455D80" w:rsidRDefault="00455D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6412">
                              <w:rPr>
                                <w:rFonts w:asciiTheme="majorHAnsi" w:hAnsiTheme="majorHAnsi" w:cs="Arial"/>
                                <w:b/>
                                <w:color w:val="0D0D0D" w:themeColor="text1" w:themeTint="F2"/>
                                <w:sz w:val="36"/>
                                <w:szCs w:val="22"/>
                                <w:lang w:val="es-ES_tradnl"/>
                              </w:rPr>
                              <w:t>593-12</w:t>
                            </w:r>
                            <w:r w:rsidR="00C66412">
                              <w:rPr>
                                <w:rFonts w:asciiTheme="majorHAnsi" w:hAnsiTheme="majorHAnsi" w:cs="Arial"/>
                                <w:b/>
                                <w:color w:val="0D0D0D" w:themeColor="text1" w:themeTint="F2"/>
                                <w:sz w:val="36"/>
                                <w:szCs w:val="22"/>
                                <w:lang w:val="es-ES_tradnl"/>
                              </w:rPr>
                              <w:tab/>
                            </w:r>
                          </w:p>
                          <w:p w14:paraId="70CF6833" w14:textId="61F96687" w:rsidR="00455D80" w:rsidRPr="0010736F" w:rsidRDefault="00455D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55D80" w:rsidRPr="0010736F" w:rsidRDefault="00455D80"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068FD8B" w:rsidR="00455D80" w:rsidRPr="0010736F" w:rsidRDefault="00370939" w:rsidP="00997BC5">
                            <w:pPr>
                              <w:spacing w:line="276" w:lineRule="auto"/>
                              <w:rPr>
                                <w:rFonts w:asciiTheme="majorHAnsi" w:hAnsiTheme="majorHAnsi" w:cs="Arial"/>
                                <w:color w:val="0D0D0D" w:themeColor="text1" w:themeTint="F2"/>
                                <w:szCs w:val="22"/>
                                <w:lang w:val="es-ES_tradnl"/>
                              </w:rPr>
                            </w:pPr>
                            <w:r w:rsidRPr="00370939">
                              <w:rPr>
                                <w:rFonts w:asciiTheme="majorHAnsi" w:hAnsiTheme="majorHAnsi" w:cs="Arial"/>
                                <w:color w:val="0D0D0D" w:themeColor="text1" w:themeTint="F2"/>
                                <w:szCs w:val="22"/>
                                <w:lang w:val="es-419"/>
                              </w:rPr>
                              <w:t xml:space="preserve">RUBÉN DARÍO PÉREZ OCAMPO </w:t>
                            </w:r>
                            <w:r w:rsidRPr="00370939">
                              <w:rPr>
                                <w:rFonts w:asciiTheme="majorHAnsi" w:hAnsiTheme="majorHAnsi" w:cs="Arial"/>
                                <w:bCs/>
                                <w:color w:val="0D0D0D" w:themeColor="text1" w:themeTint="F2"/>
                                <w:szCs w:val="22"/>
                                <w:lang w:val="es-419"/>
                              </w:rPr>
                              <w:t>Y FAMILIA</w:t>
                            </w:r>
                            <w:r w:rsidRPr="00370939">
                              <w:rPr>
                                <w:rFonts w:asciiTheme="majorHAnsi" w:hAnsiTheme="majorHAnsi" w:cs="Arial"/>
                                <w:color w:val="0D0D0D" w:themeColor="text1" w:themeTint="F2"/>
                                <w:szCs w:val="22"/>
                                <w:lang w:val="es-ES_tradnl"/>
                              </w:rPr>
                              <w:t xml:space="preserve"> </w:t>
                            </w:r>
                          </w:p>
                          <w:bookmarkEnd w:id="0"/>
                          <w:p w14:paraId="35068D0D" w14:textId="345C11D8" w:rsidR="00455D80" w:rsidRPr="0010736F" w:rsidRDefault="00C664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55D80" w:rsidRPr="00AE5488" w:rsidRDefault="00455D8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90E0D30" w:rsidR="00455D80" w:rsidRPr="004E2649" w:rsidRDefault="00455D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C2423">
                        <w:rPr>
                          <w:rFonts w:asciiTheme="majorHAnsi" w:hAnsiTheme="majorHAnsi" w:cs="Arial"/>
                          <w:b/>
                          <w:bCs/>
                          <w:color w:val="0D0D0D" w:themeColor="text1" w:themeTint="F2"/>
                          <w:sz w:val="36"/>
                          <w:szCs w:val="22"/>
                          <w:lang w:val="es-ES_tradnl"/>
                        </w:rPr>
                        <w:t>75</w:t>
                      </w:r>
                      <w:r>
                        <w:rPr>
                          <w:rFonts w:asciiTheme="majorHAnsi" w:hAnsiTheme="majorHAnsi" w:cs="Arial"/>
                          <w:b/>
                          <w:bCs/>
                          <w:color w:val="0D0D0D" w:themeColor="text1" w:themeTint="F2"/>
                          <w:sz w:val="36"/>
                          <w:szCs w:val="22"/>
                          <w:lang w:val="es-ES_tradnl"/>
                        </w:rPr>
                        <w:t>/</w:t>
                      </w:r>
                      <w:r w:rsidR="00C66412">
                        <w:rPr>
                          <w:rFonts w:asciiTheme="majorHAnsi" w:hAnsiTheme="majorHAnsi" w:cs="Arial"/>
                          <w:b/>
                          <w:bCs/>
                          <w:color w:val="0D0D0D" w:themeColor="text1" w:themeTint="F2"/>
                          <w:sz w:val="36"/>
                          <w:szCs w:val="22"/>
                          <w:lang w:val="es-ES_tradnl"/>
                        </w:rPr>
                        <w:t>22</w:t>
                      </w:r>
                    </w:p>
                    <w:p w14:paraId="09C54AB3" w14:textId="1AF34D4F" w:rsidR="00455D80" w:rsidRDefault="00455D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66412">
                        <w:rPr>
                          <w:rFonts w:asciiTheme="majorHAnsi" w:hAnsiTheme="majorHAnsi" w:cs="Arial"/>
                          <w:b/>
                          <w:color w:val="0D0D0D" w:themeColor="text1" w:themeTint="F2"/>
                          <w:sz w:val="36"/>
                          <w:szCs w:val="22"/>
                          <w:lang w:val="es-ES_tradnl"/>
                        </w:rPr>
                        <w:t>593-12</w:t>
                      </w:r>
                      <w:r w:rsidR="00C66412">
                        <w:rPr>
                          <w:rFonts w:asciiTheme="majorHAnsi" w:hAnsiTheme="majorHAnsi" w:cs="Arial"/>
                          <w:b/>
                          <w:color w:val="0D0D0D" w:themeColor="text1" w:themeTint="F2"/>
                          <w:sz w:val="36"/>
                          <w:szCs w:val="22"/>
                          <w:lang w:val="es-ES_tradnl"/>
                        </w:rPr>
                        <w:tab/>
                      </w:r>
                    </w:p>
                    <w:p w14:paraId="70CF6833" w14:textId="61F96687" w:rsidR="00455D80" w:rsidRPr="0010736F" w:rsidRDefault="00455D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55D80" w:rsidRPr="0010736F" w:rsidRDefault="00455D8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068FD8B" w:rsidR="00455D80" w:rsidRPr="0010736F" w:rsidRDefault="00370939" w:rsidP="00997BC5">
                      <w:pPr>
                        <w:spacing w:line="276" w:lineRule="auto"/>
                        <w:rPr>
                          <w:rFonts w:asciiTheme="majorHAnsi" w:hAnsiTheme="majorHAnsi" w:cs="Arial"/>
                          <w:color w:val="0D0D0D" w:themeColor="text1" w:themeTint="F2"/>
                          <w:szCs w:val="22"/>
                          <w:lang w:val="es-ES_tradnl"/>
                        </w:rPr>
                      </w:pPr>
                      <w:r w:rsidRPr="00370939">
                        <w:rPr>
                          <w:rFonts w:asciiTheme="majorHAnsi" w:hAnsiTheme="majorHAnsi" w:cs="Arial"/>
                          <w:color w:val="0D0D0D" w:themeColor="text1" w:themeTint="F2"/>
                          <w:szCs w:val="22"/>
                          <w:lang w:val="es-419"/>
                        </w:rPr>
                        <w:t xml:space="preserve">RUBÉN DARÍO PÉREZ OCAMPO </w:t>
                      </w:r>
                      <w:r w:rsidRPr="00370939">
                        <w:rPr>
                          <w:rFonts w:asciiTheme="majorHAnsi" w:hAnsiTheme="majorHAnsi" w:cs="Arial"/>
                          <w:bCs/>
                          <w:color w:val="0D0D0D" w:themeColor="text1" w:themeTint="F2"/>
                          <w:szCs w:val="22"/>
                          <w:lang w:val="es-419"/>
                        </w:rPr>
                        <w:t>Y FAMILIA</w:t>
                      </w:r>
                      <w:r w:rsidRPr="00370939">
                        <w:rPr>
                          <w:rFonts w:asciiTheme="majorHAnsi" w:hAnsiTheme="majorHAnsi" w:cs="Arial"/>
                          <w:color w:val="0D0D0D" w:themeColor="text1" w:themeTint="F2"/>
                          <w:szCs w:val="22"/>
                          <w:lang w:val="es-ES_tradnl"/>
                        </w:rPr>
                        <w:t xml:space="preserve"> </w:t>
                      </w:r>
                    </w:p>
                    <w:bookmarkEnd w:id="1"/>
                    <w:p w14:paraId="35068D0D" w14:textId="345C11D8" w:rsidR="00455D80" w:rsidRPr="0010736F" w:rsidRDefault="00C664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55D80" w:rsidRPr="00AE5488" w:rsidRDefault="00455D8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E00D727" w:rsidR="00455D80" w:rsidRPr="00935F06" w:rsidRDefault="00455D8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65458A0" w:rsidR="00455D80" w:rsidRPr="00935F06" w:rsidRDefault="00455D8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4C2423">
                              <w:rPr>
                                <w:rFonts w:asciiTheme="minorHAnsi" w:hAnsiTheme="minorHAnsi"/>
                                <w:color w:val="FFFFFF" w:themeColor="background1"/>
                                <w:sz w:val="22"/>
                                <w:lang w:val="pt-BR"/>
                              </w:rPr>
                              <w:t>78</w:t>
                            </w:r>
                          </w:p>
                          <w:p w14:paraId="69373ED2" w14:textId="195F06D4" w:rsidR="00455D80" w:rsidRPr="00C66412" w:rsidRDefault="004C2423"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30 abril</w:t>
                            </w:r>
                            <w:r w:rsidR="00455D80" w:rsidRPr="00C66412">
                              <w:rPr>
                                <w:rFonts w:asciiTheme="minorHAnsi" w:hAnsiTheme="minorHAnsi"/>
                                <w:color w:val="FFFFFF" w:themeColor="background1"/>
                                <w:sz w:val="22"/>
                                <w:lang w:val="es-419"/>
                              </w:rPr>
                              <w:t xml:space="preserve"> 20</w:t>
                            </w:r>
                            <w:r w:rsidR="00C66412">
                              <w:rPr>
                                <w:rFonts w:asciiTheme="minorHAnsi" w:hAnsiTheme="minorHAnsi"/>
                                <w:color w:val="FFFFFF" w:themeColor="background1"/>
                                <w:sz w:val="22"/>
                                <w:lang w:val="es-419"/>
                              </w:rPr>
                              <w:t>22</w:t>
                            </w:r>
                          </w:p>
                          <w:p w14:paraId="0771DB5B" w14:textId="77777777" w:rsidR="00455D80" w:rsidRPr="00C66412" w:rsidRDefault="00455D80" w:rsidP="007A5817">
                            <w:pPr>
                              <w:spacing w:line="276" w:lineRule="auto"/>
                              <w:jc w:val="right"/>
                              <w:rPr>
                                <w:rFonts w:asciiTheme="minorHAnsi" w:hAnsiTheme="minorHAnsi"/>
                                <w:color w:val="FFFFFF" w:themeColor="background1"/>
                                <w:sz w:val="22"/>
                                <w:lang w:val="es-419"/>
                              </w:rPr>
                            </w:pPr>
                            <w:r w:rsidRPr="00C66412">
                              <w:rPr>
                                <w:rFonts w:asciiTheme="minorHAnsi" w:hAnsiTheme="minorHAnsi"/>
                                <w:color w:val="FFFFFF" w:themeColor="background1"/>
                                <w:sz w:val="22"/>
                                <w:lang w:val="es-419"/>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E00D727" w:rsidR="00455D80" w:rsidRPr="00935F06" w:rsidRDefault="00455D8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65458A0" w:rsidR="00455D80" w:rsidRPr="00935F06" w:rsidRDefault="00455D80"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4C2423">
                        <w:rPr>
                          <w:rFonts w:asciiTheme="minorHAnsi" w:hAnsiTheme="minorHAnsi"/>
                          <w:color w:val="FFFFFF" w:themeColor="background1"/>
                          <w:sz w:val="22"/>
                          <w:lang w:val="pt-BR"/>
                        </w:rPr>
                        <w:t>78</w:t>
                      </w:r>
                    </w:p>
                    <w:p w14:paraId="69373ED2" w14:textId="195F06D4" w:rsidR="00455D80" w:rsidRPr="00C66412" w:rsidRDefault="004C2423"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30 abril</w:t>
                      </w:r>
                      <w:r w:rsidR="00455D80" w:rsidRPr="00C66412">
                        <w:rPr>
                          <w:rFonts w:asciiTheme="minorHAnsi" w:hAnsiTheme="minorHAnsi"/>
                          <w:color w:val="FFFFFF" w:themeColor="background1"/>
                          <w:sz w:val="22"/>
                          <w:lang w:val="es-419"/>
                        </w:rPr>
                        <w:t xml:space="preserve"> 20</w:t>
                      </w:r>
                      <w:r w:rsidR="00C66412">
                        <w:rPr>
                          <w:rFonts w:asciiTheme="minorHAnsi" w:hAnsiTheme="minorHAnsi"/>
                          <w:color w:val="FFFFFF" w:themeColor="background1"/>
                          <w:sz w:val="22"/>
                          <w:lang w:val="es-419"/>
                        </w:rPr>
                        <w:t>22</w:t>
                      </w:r>
                    </w:p>
                    <w:p w14:paraId="0771DB5B" w14:textId="77777777" w:rsidR="00455D80" w:rsidRPr="00C66412" w:rsidRDefault="00455D80" w:rsidP="007A5817">
                      <w:pPr>
                        <w:spacing w:line="276" w:lineRule="auto"/>
                        <w:jc w:val="right"/>
                        <w:rPr>
                          <w:rFonts w:asciiTheme="minorHAnsi" w:hAnsiTheme="minorHAnsi"/>
                          <w:color w:val="FFFFFF" w:themeColor="background1"/>
                          <w:sz w:val="22"/>
                          <w:lang w:val="es-419"/>
                        </w:rPr>
                      </w:pPr>
                      <w:r w:rsidRPr="00C66412">
                        <w:rPr>
                          <w:rFonts w:asciiTheme="minorHAnsi" w:hAnsiTheme="minorHAnsi"/>
                          <w:color w:val="FFFFFF" w:themeColor="background1"/>
                          <w:sz w:val="22"/>
                          <w:lang w:val="es-419"/>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02331B9" w:rsidR="00455D80" w:rsidRPr="00890650" w:rsidRDefault="00455D8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24F0">
                              <w:rPr>
                                <w:rFonts w:asciiTheme="majorHAnsi" w:hAnsiTheme="majorHAnsi"/>
                                <w:color w:val="0D0D0D" w:themeColor="text1" w:themeTint="F2"/>
                                <w:sz w:val="18"/>
                                <w:szCs w:val="22"/>
                                <w:lang w:val="es-ES"/>
                              </w:rPr>
                              <w:t>30 de 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66412">
                              <w:rPr>
                                <w:rFonts w:asciiTheme="majorHAnsi" w:hAnsiTheme="majorHAnsi"/>
                                <w:color w:val="0D0D0D" w:themeColor="text1" w:themeTint="F2"/>
                                <w:sz w:val="18"/>
                                <w:szCs w:val="22"/>
                                <w:lang w:val="es-ES"/>
                              </w:rPr>
                              <w:t>22</w:t>
                            </w:r>
                            <w:r w:rsidR="000524F0">
                              <w:rPr>
                                <w:rFonts w:asciiTheme="majorHAnsi" w:hAnsiTheme="majorHAnsi"/>
                                <w:color w:val="0D0D0D" w:themeColor="text1" w:themeTint="F2"/>
                                <w:sz w:val="18"/>
                                <w:szCs w:val="22"/>
                                <w:lang w:val="es-ES"/>
                              </w:rPr>
                              <w:t>.</w:t>
                            </w:r>
                          </w:p>
                          <w:p w14:paraId="4BDF3581" w14:textId="77777777" w:rsidR="00455D80" w:rsidRPr="007A5817" w:rsidRDefault="00455D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5D80" w:rsidRPr="00167A34" w:rsidRDefault="00455D8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02331B9" w:rsidR="00455D80" w:rsidRPr="00890650" w:rsidRDefault="00455D8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24F0">
                        <w:rPr>
                          <w:rFonts w:asciiTheme="majorHAnsi" w:hAnsiTheme="majorHAnsi"/>
                          <w:color w:val="0D0D0D" w:themeColor="text1" w:themeTint="F2"/>
                          <w:sz w:val="18"/>
                          <w:szCs w:val="22"/>
                          <w:lang w:val="es-ES"/>
                        </w:rPr>
                        <w:t>30 de 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66412">
                        <w:rPr>
                          <w:rFonts w:asciiTheme="majorHAnsi" w:hAnsiTheme="majorHAnsi"/>
                          <w:color w:val="0D0D0D" w:themeColor="text1" w:themeTint="F2"/>
                          <w:sz w:val="18"/>
                          <w:szCs w:val="22"/>
                          <w:lang w:val="es-ES"/>
                        </w:rPr>
                        <w:t>22</w:t>
                      </w:r>
                      <w:r w:rsidR="000524F0">
                        <w:rPr>
                          <w:rFonts w:asciiTheme="majorHAnsi" w:hAnsiTheme="majorHAnsi"/>
                          <w:color w:val="0D0D0D" w:themeColor="text1" w:themeTint="F2"/>
                          <w:sz w:val="18"/>
                          <w:szCs w:val="22"/>
                          <w:lang w:val="es-ES"/>
                        </w:rPr>
                        <w:t>.</w:t>
                      </w:r>
                    </w:p>
                    <w:p w14:paraId="4BDF3581" w14:textId="77777777" w:rsidR="00455D80" w:rsidRPr="007A5817" w:rsidRDefault="00455D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55D80" w:rsidRPr="00167A34" w:rsidRDefault="00455D8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A09BDE9" w:rsidR="00455D80" w:rsidRPr="007B05C4" w:rsidRDefault="00455D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04357" w:rsidRPr="00804357">
                              <w:rPr>
                                <w:rFonts w:asciiTheme="majorHAnsi" w:hAnsiTheme="majorHAnsi"/>
                                <w:color w:val="595959" w:themeColor="text1" w:themeTint="A6"/>
                                <w:sz w:val="18"/>
                                <w:szCs w:val="18"/>
                                <w:lang w:val="pt-BR"/>
                              </w:rPr>
                              <w:t>75</w:t>
                            </w:r>
                            <w:r w:rsidRPr="00804357">
                              <w:rPr>
                                <w:rFonts w:asciiTheme="majorHAnsi" w:hAnsiTheme="majorHAnsi"/>
                                <w:color w:val="595959" w:themeColor="text1" w:themeTint="A6"/>
                                <w:sz w:val="18"/>
                                <w:szCs w:val="18"/>
                                <w:lang w:val="pt-BR"/>
                              </w:rPr>
                              <w:t>/</w:t>
                            </w:r>
                            <w:r w:rsidR="00C66412" w:rsidRPr="00804357">
                              <w:rPr>
                                <w:rFonts w:asciiTheme="majorHAnsi" w:hAnsiTheme="majorHAnsi"/>
                                <w:color w:val="595959" w:themeColor="text1" w:themeTint="A6"/>
                                <w:sz w:val="18"/>
                                <w:szCs w:val="18"/>
                                <w:lang w:val="pt-BR"/>
                              </w:rPr>
                              <w:t>22</w:t>
                            </w:r>
                            <w:r w:rsidRPr="00804357">
                              <w:rPr>
                                <w:rFonts w:asciiTheme="majorHAnsi" w:hAnsiTheme="majorHAnsi"/>
                                <w:color w:val="595959" w:themeColor="text1" w:themeTint="A6"/>
                                <w:sz w:val="18"/>
                                <w:szCs w:val="18"/>
                                <w:lang w:val="pt-BR"/>
                              </w:rPr>
                              <w:t xml:space="preserve">. </w:t>
                            </w:r>
                            <w:r w:rsidR="00EE3DAC">
                              <w:rPr>
                                <w:rFonts w:asciiTheme="majorHAnsi" w:hAnsiTheme="majorHAnsi"/>
                                <w:color w:val="595959" w:themeColor="text1" w:themeTint="A6"/>
                                <w:sz w:val="18"/>
                                <w:szCs w:val="18"/>
                                <w:lang w:val="pt-BR"/>
                              </w:rPr>
                              <w:t xml:space="preserve">Petición 593-12. </w:t>
                            </w:r>
                            <w:r w:rsidRPr="00890650">
                              <w:rPr>
                                <w:rFonts w:asciiTheme="majorHAnsi" w:hAnsiTheme="majorHAnsi"/>
                                <w:color w:val="595959" w:themeColor="text1" w:themeTint="A6"/>
                                <w:sz w:val="18"/>
                                <w:szCs w:val="18"/>
                                <w:lang w:val="es-ES_tradnl"/>
                              </w:rPr>
                              <w:t xml:space="preserve">Admisibilidad. </w:t>
                            </w:r>
                            <w:r w:rsidR="00370939" w:rsidRPr="00370939">
                              <w:rPr>
                                <w:rFonts w:asciiTheme="majorHAnsi" w:hAnsiTheme="majorHAnsi"/>
                                <w:color w:val="595959" w:themeColor="text1" w:themeTint="A6"/>
                                <w:sz w:val="18"/>
                                <w:szCs w:val="18"/>
                                <w:lang w:val="es-419"/>
                              </w:rPr>
                              <w:t xml:space="preserve">Rubén Darío Pérez Ocampo </w:t>
                            </w:r>
                            <w:r w:rsidR="00370939" w:rsidRPr="00370939">
                              <w:rPr>
                                <w:rFonts w:asciiTheme="majorHAnsi" w:hAnsiTheme="majorHAnsi"/>
                                <w:bCs/>
                                <w:color w:val="595959" w:themeColor="text1" w:themeTint="A6"/>
                                <w:sz w:val="18"/>
                                <w:szCs w:val="18"/>
                                <w:lang w:val="es-419"/>
                              </w:rPr>
                              <w:t>y familia</w:t>
                            </w:r>
                            <w:r w:rsidRPr="00890650">
                              <w:rPr>
                                <w:rFonts w:asciiTheme="majorHAnsi" w:hAnsiTheme="majorHAnsi"/>
                                <w:color w:val="595959" w:themeColor="text1" w:themeTint="A6"/>
                                <w:sz w:val="18"/>
                                <w:szCs w:val="18"/>
                                <w:lang w:val="es-ES_tradnl"/>
                              </w:rPr>
                              <w:t xml:space="preserve">. </w:t>
                            </w:r>
                            <w:r w:rsidR="00C6641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04357">
                              <w:rPr>
                                <w:rFonts w:asciiTheme="majorHAnsi" w:hAnsiTheme="majorHAnsi"/>
                                <w:color w:val="595959" w:themeColor="text1" w:themeTint="A6"/>
                                <w:sz w:val="18"/>
                                <w:szCs w:val="18"/>
                                <w:lang w:val="es-ES"/>
                              </w:rPr>
                              <w:t>30 de abril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A09BDE9" w:rsidR="00455D80" w:rsidRPr="007B05C4" w:rsidRDefault="00455D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04357" w:rsidRPr="00804357">
                        <w:rPr>
                          <w:rFonts w:asciiTheme="majorHAnsi" w:hAnsiTheme="majorHAnsi"/>
                          <w:color w:val="595959" w:themeColor="text1" w:themeTint="A6"/>
                          <w:sz w:val="18"/>
                          <w:szCs w:val="18"/>
                          <w:lang w:val="pt-BR"/>
                        </w:rPr>
                        <w:t>75</w:t>
                      </w:r>
                      <w:r w:rsidRPr="00804357">
                        <w:rPr>
                          <w:rFonts w:asciiTheme="majorHAnsi" w:hAnsiTheme="majorHAnsi"/>
                          <w:color w:val="595959" w:themeColor="text1" w:themeTint="A6"/>
                          <w:sz w:val="18"/>
                          <w:szCs w:val="18"/>
                          <w:lang w:val="pt-BR"/>
                        </w:rPr>
                        <w:t>/</w:t>
                      </w:r>
                      <w:r w:rsidR="00C66412" w:rsidRPr="00804357">
                        <w:rPr>
                          <w:rFonts w:asciiTheme="majorHAnsi" w:hAnsiTheme="majorHAnsi"/>
                          <w:color w:val="595959" w:themeColor="text1" w:themeTint="A6"/>
                          <w:sz w:val="18"/>
                          <w:szCs w:val="18"/>
                          <w:lang w:val="pt-BR"/>
                        </w:rPr>
                        <w:t>22</w:t>
                      </w:r>
                      <w:r w:rsidRPr="00804357">
                        <w:rPr>
                          <w:rFonts w:asciiTheme="majorHAnsi" w:hAnsiTheme="majorHAnsi"/>
                          <w:color w:val="595959" w:themeColor="text1" w:themeTint="A6"/>
                          <w:sz w:val="18"/>
                          <w:szCs w:val="18"/>
                          <w:lang w:val="pt-BR"/>
                        </w:rPr>
                        <w:t xml:space="preserve">. </w:t>
                      </w:r>
                      <w:r w:rsidR="00EE3DAC">
                        <w:rPr>
                          <w:rFonts w:asciiTheme="majorHAnsi" w:hAnsiTheme="majorHAnsi"/>
                          <w:color w:val="595959" w:themeColor="text1" w:themeTint="A6"/>
                          <w:sz w:val="18"/>
                          <w:szCs w:val="18"/>
                          <w:lang w:val="pt-BR"/>
                        </w:rPr>
                        <w:t xml:space="preserve">Petición 593-12. </w:t>
                      </w:r>
                      <w:r w:rsidRPr="00890650">
                        <w:rPr>
                          <w:rFonts w:asciiTheme="majorHAnsi" w:hAnsiTheme="majorHAnsi"/>
                          <w:color w:val="595959" w:themeColor="text1" w:themeTint="A6"/>
                          <w:sz w:val="18"/>
                          <w:szCs w:val="18"/>
                          <w:lang w:val="es-ES_tradnl"/>
                        </w:rPr>
                        <w:t xml:space="preserve">Admisibilidad. </w:t>
                      </w:r>
                      <w:r w:rsidR="00370939" w:rsidRPr="00370939">
                        <w:rPr>
                          <w:rFonts w:asciiTheme="majorHAnsi" w:hAnsiTheme="majorHAnsi"/>
                          <w:color w:val="595959" w:themeColor="text1" w:themeTint="A6"/>
                          <w:sz w:val="18"/>
                          <w:szCs w:val="18"/>
                          <w:lang w:val="es-419"/>
                        </w:rPr>
                        <w:t xml:space="preserve">Rubén Darío Pérez Ocampo </w:t>
                      </w:r>
                      <w:r w:rsidR="00370939" w:rsidRPr="00370939">
                        <w:rPr>
                          <w:rFonts w:asciiTheme="majorHAnsi" w:hAnsiTheme="majorHAnsi"/>
                          <w:bCs/>
                          <w:color w:val="595959" w:themeColor="text1" w:themeTint="A6"/>
                          <w:sz w:val="18"/>
                          <w:szCs w:val="18"/>
                          <w:lang w:val="es-419"/>
                        </w:rPr>
                        <w:t>y familia</w:t>
                      </w:r>
                      <w:r w:rsidRPr="00890650">
                        <w:rPr>
                          <w:rFonts w:asciiTheme="majorHAnsi" w:hAnsiTheme="majorHAnsi"/>
                          <w:color w:val="595959" w:themeColor="text1" w:themeTint="A6"/>
                          <w:sz w:val="18"/>
                          <w:szCs w:val="18"/>
                          <w:lang w:val="es-ES_tradnl"/>
                        </w:rPr>
                        <w:t xml:space="preserve">. </w:t>
                      </w:r>
                      <w:r w:rsidR="00C6641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04357">
                        <w:rPr>
                          <w:rFonts w:asciiTheme="majorHAnsi" w:hAnsiTheme="majorHAnsi"/>
                          <w:color w:val="595959" w:themeColor="text1" w:themeTint="A6"/>
                          <w:sz w:val="18"/>
                          <w:szCs w:val="18"/>
                          <w:lang w:val="es-ES"/>
                        </w:rPr>
                        <w:t>30 de abril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504DE82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EDF859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55D80" w:rsidRPr="004B7EB6" w:rsidRDefault="00455D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455D80" w:rsidRPr="004B7EB6" w:rsidRDefault="00455D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7CFEDB8" w:rsidR="0070697F" w:rsidRPr="00006B74" w:rsidRDefault="000524F0"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1B6048F">
                <wp:simplePos x="0" y="0"/>
                <wp:positionH relativeFrom="column">
                  <wp:posOffset>1284242</wp:posOffset>
                </wp:positionH>
                <wp:positionV relativeFrom="paragraph">
                  <wp:posOffset>534670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3471B8A" w:rsidR="00455D80" w:rsidRPr="00D72DC6" w:rsidRDefault="000524F0" w:rsidP="00F02AD1">
                            <w:pPr>
                              <w:rPr>
                                <w:color w:val="FFFFFF" w:themeColor="background1"/>
                                <w14:textFill>
                                  <w14:noFill/>
                                </w14:textFill>
                              </w:rPr>
                            </w:pPr>
                            <w:r>
                              <w:rPr>
                                <w:noProof/>
                                <w:color w:val="FFFFFF" w:themeColor="background1"/>
                              </w:rPr>
                              <w:drawing>
                                <wp:inline distT="0" distB="0" distL="0" distR="0" wp14:anchorId="69F856E5" wp14:editId="772A804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472543" id="Text Box 9" o:spid="_x0000_s1032" type="#_x0000_t202" style="position:absolute;left:0;text-align:left;margin-left:101.1pt;margin-top:42.1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" fillcolor="white [3201]" stroked="f" strokeweight=".5pt">
                <v:textbox>
                  <w:txbxContent>
                    <w:p w14:paraId="2A1ECD3C" w14:textId="53471B8A" w:rsidR="00455D80" w:rsidRPr="00D72DC6" w:rsidRDefault="000524F0" w:rsidP="00F02AD1">
                      <w:pPr>
                        <w:rPr>
                          <w:color w:val="FFFFFF" w:themeColor="background1"/>
                          <w14:textFill>
                            <w14:noFill/>
                          </w14:textFill>
                        </w:rPr>
                      </w:pPr>
                      <w:r>
                        <w:rPr>
                          <w:noProof/>
                          <w:color w:val="FFFFFF" w:themeColor="background1"/>
                        </w:rPr>
                        <w:drawing>
                          <wp:inline distT="0" distB="0" distL="0" distR="0" wp14:anchorId="69F856E5" wp14:editId="772A804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330"/>
        <w:gridCol w:w="6030"/>
      </w:tblGrid>
      <w:tr w:rsidR="003239B8" w:rsidRPr="00EE3DAC" w14:paraId="5A79D1F7" w14:textId="77777777" w:rsidTr="0067711E">
        <w:tc>
          <w:tcPr>
            <w:tcW w:w="3330" w:type="dxa"/>
            <w:tcBorders>
              <w:top w:val="single" w:sz="4" w:space="0" w:color="auto"/>
              <w:bottom w:val="single" w:sz="6" w:space="0" w:color="auto"/>
            </w:tcBorders>
            <w:shd w:val="clear" w:color="auto" w:fill="386294"/>
            <w:vAlign w:val="center"/>
          </w:tcPr>
          <w:p w14:paraId="0CB2A43B" w14:textId="6FB89BFC" w:rsidR="003239B8" w:rsidRPr="00835D6E" w:rsidRDefault="00D77503" w:rsidP="00455D80">
            <w:pPr>
              <w:jc w:val="center"/>
              <w:rPr>
                <w:rFonts w:ascii="Cambria" w:hAnsi="Cambria"/>
                <w:b/>
                <w:color w:val="FFFFFF" w:themeColor="background1"/>
                <w:sz w:val="19"/>
                <w:szCs w:val="19"/>
                <w:lang w:val="es-ES"/>
              </w:rPr>
            </w:pPr>
            <w:r w:rsidRPr="00835D6E">
              <w:rPr>
                <w:rFonts w:ascii="Cambria" w:hAnsi="Cambria"/>
                <w:b/>
                <w:color w:val="FFFFFF" w:themeColor="background1"/>
                <w:sz w:val="19"/>
                <w:szCs w:val="19"/>
                <w:lang w:val="es-ES"/>
              </w:rPr>
              <w:t>Parte peticionaria</w:t>
            </w:r>
          </w:p>
        </w:tc>
        <w:tc>
          <w:tcPr>
            <w:tcW w:w="6030" w:type="dxa"/>
            <w:vAlign w:val="center"/>
          </w:tcPr>
          <w:p w14:paraId="3C5315D8" w14:textId="5D6EF61B" w:rsidR="003239B8" w:rsidRPr="009605CA" w:rsidRDefault="00C13160" w:rsidP="009605CA">
            <w:pPr>
              <w:jc w:val="both"/>
              <w:rPr>
                <w:rFonts w:ascii="Cambria" w:hAnsi="Cambria"/>
                <w:bCs/>
                <w:sz w:val="19"/>
                <w:szCs w:val="19"/>
                <w:lang w:val="es-ES"/>
              </w:rPr>
            </w:pPr>
            <w:r>
              <w:rPr>
                <w:rFonts w:ascii="Cambria" w:hAnsi="Cambria"/>
                <w:bCs/>
                <w:sz w:val="19"/>
                <w:szCs w:val="19"/>
                <w:lang w:val="es-ES"/>
              </w:rPr>
              <w:t xml:space="preserve">Henry </w:t>
            </w:r>
            <w:proofErr w:type="spellStart"/>
            <w:r>
              <w:rPr>
                <w:rFonts w:ascii="Cambria" w:hAnsi="Cambria"/>
                <w:bCs/>
                <w:sz w:val="19"/>
                <w:szCs w:val="19"/>
                <w:lang w:val="es-ES"/>
              </w:rPr>
              <w:t>Bryon</w:t>
            </w:r>
            <w:proofErr w:type="spellEnd"/>
            <w:r>
              <w:rPr>
                <w:rFonts w:ascii="Cambria" w:hAnsi="Cambria"/>
                <w:bCs/>
                <w:sz w:val="19"/>
                <w:szCs w:val="19"/>
                <w:lang w:val="es-ES"/>
              </w:rPr>
              <w:t xml:space="preserve"> </w:t>
            </w:r>
            <w:r w:rsidR="009056A9">
              <w:rPr>
                <w:rFonts w:ascii="Cambria" w:hAnsi="Cambria"/>
                <w:bCs/>
                <w:sz w:val="19"/>
                <w:szCs w:val="19"/>
                <w:lang w:val="es-ES"/>
              </w:rPr>
              <w:t>Ibáñez</w:t>
            </w:r>
            <w:r>
              <w:rPr>
                <w:rFonts w:ascii="Cambria" w:hAnsi="Cambria"/>
                <w:bCs/>
                <w:sz w:val="19"/>
                <w:szCs w:val="19"/>
                <w:lang w:val="es-ES"/>
              </w:rPr>
              <w:t xml:space="preserve"> y </w:t>
            </w:r>
            <w:r w:rsidR="00A90B41">
              <w:rPr>
                <w:rFonts w:ascii="Cambria" w:hAnsi="Cambria"/>
                <w:bCs/>
                <w:sz w:val="19"/>
                <w:szCs w:val="19"/>
                <w:lang w:val="es-ES"/>
              </w:rPr>
              <w:t>Fernando Yepes Gomez</w:t>
            </w:r>
          </w:p>
        </w:tc>
      </w:tr>
      <w:tr w:rsidR="003239B8" w:rsidRPr="00EE3DAC" w14:paraId="593A7E45" w14:textId="77777777" w:rsidTr="0067711E">
        <w:tc>
          <w:tcPr>
            <w:tcW w:w="3330" w:type="dxa"/>
            <w:tcBorders>
              <w:top w:val="single" w:sz="6" w:space="0" w:color="auto"/>
              <w:bottom w:val="single" w:sz="6" w:space="0" w:color="auto"/>
            </w:tcBorders>
            <w:shd w:val="clear" w:color="auto" w:fill="386294"/>
            <w:vAlign w:val="center"/>
          </w:tcPr>
          <w:p w14:paraId="0E78CA0C" w14:textId="07F33939" w:rsidR="003239B8" w:rsidRPr="00835D6E" w:rsidRDefault="006F2774" w:rsidP="00455D80">
            <w:pPr>
              <w:jc w:val="center"/>
              <w:rPr>
                <w:rFonts w:ascii="Cambria" w:hAnsi="Cambria"/>
                <w:b/>
                <w:color w:val="FFFFFF" w:themeColor="background1"/>
                <w:sz w:val="19"/>
                <w:szCs w:val="19"/>
                <w:lang w:val="es-ES"/>
              </w:rPr>
            </w:pPr>
            <w:sdt>
              <w:sdtPr>
                <w:rPr>
                  <w:rFonts w:ascii="Cambria" w:hAnsi="Cambria"/>
                  <w:b/>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35D6E">
                  <w:rPr>
                    <w:rFonts w:ascii="Cambria" w:hAnsi="Cambria"/>
                    <w:b/>
                    <w:color w:val="FFFFFF" w:themeColor="background1"/>
                    <w:sz w:val="19"/>
                    <w:szCs w:val="19"/>
                    <w:lang w:val="es-ES"/>
                  </w:rPr>
                  <w:t>Presunta víctima</w:t>
                </w:r>
              </w:sdtContent>
            </w:sdt>
          </w:p>
        </w:tc>
        <w:tc>
          <w:tcPr>
            <w:tcW w:w="6030" w:type="dxa"/>
            <w:vAlign w:val="center"/>
          </w:tcPr>
          <w:p w14:paraId="4AEBF59E" w14:textId="5A565903" w:rsidR="003239B8" w:rsidRPr="00A90B41" w:rsidRDefault="00DE2E6C" w:rsidP="005B6D22">
            <w:pPr>
              <w:jc w:val="both"/>
              <w:rPr>
                <w:rFonts w:ascii="Cambria" w:hAnsi="Cambria"/>
                <w:bCs/>
                <w:sz w:val="19"/>
                <w:szCs w:val="19"/>
                <w:lang w:val="es-419"/>
              </w:rPr>
            </w:pPr>
            <w:r w:rsidRPr="00DE2E6C">
              <w:rPr>
                <w:rFonts w:ascii="Cambria" w:hAnsi="Cambria"/>
                <w:sz w:val="19"/>
                <w:szCs w:val="19"/>
                <w:lang w:val="es-419"/>
              </w:rPr>
              <w:t>Rubén Darío Pérez Ocampo</w:t>
            </w:r>
            <w:r>
              <w:rPr>
                <w:rFonts w:ascii="Cambria" w:hAnsi="Cambria"/>
                <w:sz w:val="20"/>
                <w:szCs w:val="20"/>
                <w:lang w:val="es-419"/>
              </w:rPr>
              <w:t xml:space="preserve"> </w:t>
            </w:r>
            <w:r w:rsidR="00A90B41" w:rsidRPr="00A90B41">
              <w:rPr>
                <w:rFonts w:ascii="Cambria" w:hAnsi="Cambria"/>
                <w:bCs/>
                <w:sz w:val="19"/>
                <w:szCs w:val="19"/>
                <w:lang w:val="es-419"/>
              </w:rPr>
              <w:t xml:space="preserve">y </w:t>
            </w:r>
            <w:r w:rsidR="006156F7">
              <w:rPr>
                <w:rFonts w:ascii="Cambria" w:hAnsi="Cambria"/>
                <w:bCs/>
                <w:sz w:val="19"/>
                <w:szCs w:val="19"/>
                <w:lang w:val="es-419"/>
              </w:rPr>
              <w:t>familia</w:t>
            </w:r>
            <w:r w:rsidR="006156F7">
              <w:rPr>
                <w:rStyle w:val="FootnoteReference"/>
                <w:rFonts w:ascii="Cambria" w:hAnsi="Cambria"/>
                <w:bCs/>
                <w:sz w:val="19"/>
                <w:szCs w:val="19"/>
                <w:lang w:val="es-419"/>
              </w:rPr>
              <w:footnoteReference w:id="2"/>
            </w:r>
          </w:p>
        </w:tc>
      </w:tr>
      <w:tr w:rsidR="003239B8" w:rsidRPr="00006B74" w14:paraId="3E62E1D3" w14:textId="77777777" w:rsidTr="0067711E">
        <w:tc>
          <w:tcPr>
            <w:tcW w:w="3330" w:type="dxa"/>
            <w:tcBorders>
              <w:top w:val="single" w:sz="6" w:space="0" w:color="auto"/>
              <w:bottom w:val="single" w:sz="6" w:space="0" w:color="auto"/>
            </w:tcBorders>
            <w:shd w:val="clear" w:color="auto" w:fill="386294"/>
            <w:vAlign w:val="center"/>
          </w:tcPr>
          <w:p w14:paraId="340B0F09" w14:textId="16C11299" w:rsidR="003239B8" w:rsidRPr="00835D6E" w:rsidRDefault="00D77503" w:rsidP="00455D80">
            <w:pPr>
              <w:jc w:val="center"/>
              <w:rPr>
                <w:rFonts w:ascii="Cambria" w:hAnsi="Cambria"/>
                <w:b/>
                <w:color w:val="FFFFFF" w:themeColor="background1"/>
                <w:sz w:val="19"/>
                <w:szCs w:val="19"/>
                <w:lang w:val="es-ES"/>
              </w:rPr>
            </w:pPr>
            <w:r w:rsidRPr="00835D6E">
              <w:rPr>
                <w:rFonts w:ascii="Cambria" w:hAnsi="Cambria"/>
                <w:b/>
                <w:color w:val="FFFFFF" w:themeColor="background1"/>
                <w:sz w:val="19"/>
                <w:szCs w:val="19"/>
                <w:lang w:val="es-ES"/>
              </w:rPr>
              <w:t>Estado denunciado</w:t>
            </w:r>
          </w:p>
        </w:tc>
        <w:tc>
          <w:tcPr>
            <w:tcW w:w="6030" w:type="dxa"/>
            <w:vAlign w:val="center"/>
          </w:tcPr>
          <w:p w14:paraId="274C8A50" w14:textId="746641B8" w:rsidR="003239B8" w:rsidRPr="00006B74" w:rsidRDefault="00A90B41" w:rsidP="000851F2">
            <w:pPr>
              <w:jc w:val="both"/>
              <w:rPr>
                <w:rFonts w:ascii="Cambria" w:hAnsi="Cambria"/>
                <w:bCs/>
                <w:sz w:val="19"/>
                <w:szCs w:val="19"/>
                <w:lang w:val="es-ES"/>
              </w:rPr>
            </w:pPr>
            <w:r>
              <w:rPr>
                <w:rFonts w:ascii="Cambria" w:hAnsi="Cambria"/>
                <w:bCs/>
                <w:sz w:val="19"/>
                <w:szCs w:val="19"/>
                <w:lang w:val="es-ES"/>
              </w:rPr>
              <w:t>Colombia</w:t>
            </w:r>
            <w:r w:rsidR="004A6A54" w:rsidRPr="00006B74">
              <w:rPr>
                <w:rStyle w:val="FootnoteReference"/>
                <w:rFonts w:ascii="Cambria" w:hAnsi="Cambria"/>
                <w:bCs/>
                <w:sz w:val="19"/>
                <w:szCs w:val="19"/>
                <w:lang w:val="es-ES"/>
              </w:rPr>
              <w:footnoteReference w:id="3"/>
            </w:r>
          </w:p>
        </w:tc>
      </w:tr>
      <w:tr w:rsidR="00223A29" w:rsidRPr="00EE3DAC" w14:paraId="632511BC" w14:textId="77777777" w:rsidTr="0067711E">
        <w:tc>
          <w:tcPr>
            <w:tcW w:w="3330" w:type="dxa"/>
            <w:tcBorders>
              <w:top w:val="single" w:sz="6" w:space="0" w:color="auto"/>
              <w:bottom w:val="single" w:sz="6" w:space="0" w:color="auto"/>
            </w:tcBorders>
            <w:shd w:val="clear" w:color="auto" w:fill="386294"/>
            <w:vAlign w:val="center"/>
          </w:tcPr>
          <w:p w14:paraId="727E2F6B" w14:textId="1D86EADA" w:rsidR="00223A29" w:rsidRPr="00835D6E" w:rsidRDefault="001B3A00" w:rsidP="00E4118C">
            <w:pPr>
              <w:jc w:val="center"/>
              <w:rPr>
                <w:rFonts w:ascii="Cambria" w:hAnsi="Cambria"/>
                <w:b/>
                <w:color w:val="FFFFFF" w:themeColor="background1"/>
                <w:sz w:val="19"/>
                <w:szCs w:val="19"/>
                <w:lang w:val="es-ES"/>
              </w:rPr>
            </w:pPr>
            <w:r w:rsidRPr="00835D6E">
              <w:rPr>
                <w:rFonts w:ascii="Cambria" w:hAnsi="Cambria"/>
                <w:b/>
                <w:color w:val="FFFFFF" w:themeColor="background1"/>
                <w:sz w:val="19"/>
                <w:szCs w:val="19"/>
                <w:lang w:val="es-ES"/>
              </w:rPr>
              <w:t xml:space="preserve">Derechos </w:t>
            </w:r>
            <w:r w:rsidR="00E4118C" w:rsidRPr="00835D6E">
              <w:rPr>
                <w:rFonts w:ascii="Cambria" w:hAnsi="Cambria"/>
                <w:b/>
                <w:color w:val="FFFFFF" w:themeColor="background1"/>
                <w:sz w:val="19"/>
                <w:szCs w:val="19"/>
                <w:lang w:val="es-ES"/>
              </w:rPr>
              <w:t>invocados</w:t>
            </w:r>
          </w:p>
        </w:tc>
        <w:tc>
          <w:tcPr>
            <w:tcW w:w="6030" w:type="dxa"/>
            <w:vAlign w:val="center"/>
          </w:tcPr>
          <w:p w14:paraId="6DEE1EEB" w14:textId="22C6296E" w:rsidR="00975A4D" w:rsidRPr="00006B74" w:rsidRDefault="001C4550" w:rsidP="000851F2">
            <w:pPr>
              <w:jc w:val="both"/>
              <w:rPr>
                <w:rFonts w:ascii="Cambria" w:hAnsi="Cambria"/>
                <w:bCs/>
                <w:sz w:val="19"/>
                <w:szCs w:val="19"/>
                <w:lang w:val="es-ES"/>
              </w:rPr>
            </w:pPr>
            <w:r w:rsidRPr="00597532">
              <w:rPr>
                <w:rFonts w:ascii="Cambria" w:hAnsi="Cambria"/>
                <w:bCs/>
                <w:sz w:val="19"/>
                <w:szCs w:val="19"/>
                <w:lang w:val="es-ES"/>
              </w:rPr>
              <w:t>Artículos 4 (derecho a la vida), 5 (derecho a la integridad personal), 11 (</w:t>
            </w:r>
            <w:r w:rsidR="0090594F" w:rsidRPr="00597532">
              <w:rPr>
                <w:rFonts w:ascii="Cambria" w:hAnsi="Cambria"/>
                <w:bCs/>
                <w:sz w:val="19"/>
                <w:szCs w:val="19"/>
                <w:lang w:val="es-ES"/>
              </w:rPr>
              <w:t xml:space="preserve">derecho a la honra y a la dignidad) </w:t>
            </w:r>
            <w:r w:rsidR="00BF514A" w:rsidRPr="00597532">
              <w:rPr>
                <w:rFonts w:ascii="Cambria" w:hAnsi="Cambria"/>
                <w:bCs/>
                <w:sz w:val="19"/>
                <w:szCs w:val="19"/>
                <w:lang w:val="es-ES"/>
              </w:rPr>
              <w:t>de la Convención Americana sobre Derechos Humanos</w:t>
            </w:r>
            <w:r w:rsidR="00BF514A" w:rsidRPr="00597532">
              <w:rPr>
                <w:rStyle w:val="FootnoteReference"/>
                <w:rFonts w:ascii="Cambria" w:hAnsi="Cambria"/>
                <w:bCs/>
                <w:sz w:val="19"/>
                <w:szCs w:val="19"/>
                <w:lang w:val="es-ES"/>
              </w:rPr>
              <w:footnoteReference w:id="4"/>
            </w:r>
            <w:r w:rsidRPr="00597532">
              <w:rPr>
                <w:rFonts w:ascii="Cambria" w:hAnsi="Cambria"/>
                <w:bCs/>
                <w:sz w:val="19"/>
                <w:szCs w:val="19"/>
                <w:lang w:val="es-ES"/>
              </w:rPr>
              <w:t>, en relación con el artículo 1.1 del mismo instrumento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330"/>
        <w:gridCol w:w="6030"/>
      </w:tblGrid>
      <w:tr w:rsidR="004C2312" w:rsidRPr="00006B74" w14:paraId="306EFCB0" w14:textId="77777777" w:rsidTr="0067711E">
        <w:tc>
          <w:tcPr>
            <w:tcW w:w="3330" w:type="dxa"/>
            <w:tcBorders>
              <w:top w:val="single" w:sz="6" w:space="0" w:color="auto"/>
              <w:bottom w:val="single" w:sz="6" w:space="0" w:color="auto"/>
            </w:tcBorders>
            <w:shd w:val="clear" w:color="auto" w:fill="386294"/>
            <w:vAlign w:val="center"/>
          </w:tcPr>
          <w:p w14:paraId="7508D16F" w14:textId="2A4C7FC3" w:rsidR="004C2312" w:rsidRPr="0067711E" w:rsidRDefault="000C1C69" w:rsidP="004A6A54">
            <w:pPr>
              <w:jc w:val="center"/>
              <w:rPr>
                <w:rFonts w:ascii="Cambria" w:hAnsi="Cambria"/>
                <w:b/>
                <w:color w:val="FFFFFF" w:themeColor="background1"/>
                <w:sz w:val="19"/>
                <w:szCs w:val="19"/>
                <w:lang w:val="es-ES"/>
              </w:rPr>
            </w:pPr>
            <w:r w:rsidRPr="0067711E">
              <w:rPr>
                <w:rFonts w:ascii="Cambria" w:hAnsi="Cambria"/>
                <w:b/>
                <w:color w:val="FFFFFF" w:themeColor="background1"/>
                <w:sz w:val="19"/>
                <w:szCs w:val="19"/>
                <w:lang w:val="es-ES"/>
              </w:rPr>
              <w:t>Recepción</w:t>
            </w:r>
            <w:r w:rsidR="00D77503" w:rsidRPr="0067711E">
              <w:rPr>
                <w:rFonts w:ascii="Cambria" w:hAnsi="Cambria"/>
                <w:b/>
                <w:color w:val="FFFFFF" w:themeColor="background1"/>
                <w:sz w:val="19"/>
                <w:szCs w:val="19"/>
                <w:lang w:val="es-ES"/>
              </w:rPr>
              <w:t xml:space="preserve"> de la petición</w:t>
            </w:r>
          </w:p>
        </w:tc>
        <w:tc>
          <w:tcPr>
            <w:tcW w:w="6030" w:type="dxa"/>
            <w:vAlign w:val="center"/>
          </w:tcPr>
          <w:p w14:paraId="6E579153" w14:textId="24CC6B10" w:rsidR="004C2312" w:rsidRPr="00006B74" w:rsidRDefault="00A90B41" w:rsidP="00455D80">
            <w:pPr>
              <w:jc w:val="both"/>
              <w:rPr>
                <w:rFonts w:ascii="Cambria" w:hAnsi="Cambria"/>
                <w:bCs/>
                <w:sz w:val="19"/>
                <w:szCs w:val="19"/>
                <w:lang w:val="es-ES"/>
              </w:rPr>
            </w:pPr>
            <w:r>
              <w:rPr>
                <w:rFonts w:ascii="Cambria" w:hAnsi="Cambria"/>
                <w:bCs/>
                <w:sz w:val="19"/>
                <w:szCs w:val="19"/>
                <w:lang w:val="es-ES"/>
              </w:rPr>
              <w:t>9 de abril de 2012</w:t>
            </w:r>
          </w:p>
        </w:tc>
      </w:tr>
      <w:tr w:rsidR="00835D6E" w:rsidRPr="00835D6E" w14:paraId="1BDCD5C6" w14:textId="77777777" w:rsidTr="0067711E">
        <w:tc>
          <w:tcPr>
            <w:tcW w:w="3330" w:type="dxa"/>
            <w:tcBorders>
              <w:top w:val="single" w:sz="6" w:space="0" w:color="auto"/>
              <w:bottom w:val="single" w:sz="6" w:space="0" w:color="auto"/>
            </w:tcBorders>
            <w:shd w:val="clear" w:color="auto" w:fill="386294"/>
            <w:vAlign w:val="center"/>
          </w:tcPr>
          <w:p w14:paraId="7A18664F" w14:textId="1CD16285" w:rsidR="00835D6E" w:rsidRPr="0067711E" w:rsidRDefault="00835D6E" w:rsidP="00835D6E">
            <w:pPr>
              <w:jc w:val="center"/>
              <w:rPr>
                <w:rFonts w:ascii="Cambria" w:hAnsi="Cambria"/>
                <w:b/>
                <w:color w:val="FFFFFF" w:themeColor="background1"/>
                <w:sz w:val="19"/>
                <w:szCs w:val="19"/>
                <w:lang w:val="es-ES"/>
              </w:rPr>
            </w:pPr>
            <w:r w:rsidRPr="0067711E">
              <w:rPr>
                <w:rFonts w:ascii="Cambria" w:hAnsi="Cambria"/>
                <w:b/>
                <w:bCs/>
                <w:color w:val="FFFFFF" w:themeColor="background1"/>
                <w:sz w:val="19"/>
                <w:szCs w:val="19"/>
                <w:lang w:val="es-419"/>
              </w:rPr>
              <w:t>Información adicional recibida durante la etapa de estudio</w:t>
            </w:r>
          </w:p>
        </w:tc>
        <w:tc>
          <w:tcPr>
            <w:tcW w:w="6030" w:type="dxa"/>
            <w:vAlign w:val="center"/>
          </w:tcPr>
          <w:p w14:paraId="1519DA6A" w14:textId="3ED33D9E" w:rsidR="00835D6E" w:rsidRPr="00006B74" w:rsidRDefault="00835D6E" w:rsidP="00835D6E">
            <w:pPr>
              <w:jc w:val="both"/>
              <w:rPr>
                <w:rFonts w:ascii="Cambria" w:hAnsi="Cambria"/>
                <w:bCs/>
                <w:sz w:val="19"/>
                <w:szCs w:val="19"/>
                <w:lang w:val="es-ES"/>
              </w:rPr>
            </w:pPr>
            <w:r>
              <w:rPr>
                <w:rFonts w:ascii="Cambria" w:hAnsi="Cambria"/>
                <w:bCs/>
                <w:sz w:val="19"/>
                <w:szCs w:val="19"/>
                <w:lang w:val="es-ES"/>
              </w:rPr>
              <w:t>2 de mayo de 2017</w:t>
            </w:r>
          </w:p>
        </w:tc>
      </w:tr>
      <w:tr w:rsidR="00835D6E" w:rsidRPr="00006B74" w14:paraId="6147A8D5" w14:textId="77777777" w:rsidTr="0067711E">
        <w:tc>
          <w:tcPr>
            <w:tcW w:w="3330" w:type="dxa"/>
            <w:tcBorders>
              <w:top w:val="single" w:sz="6" w:space="0" w:color="auto"/>
              <w:bottom w:val="single" w:sz="6" w:space="0" w:color="auto"/>
            </w:tcBorders>
            <w:shd w:val="clear" w:color="auto" w:fill="386294"/>
            <w:vAlign w:val="center"/>
          </w:tcPr>
          <w:p w14:paraId="0201C86D" w14:textId="64FC49A3" w:rsidR="00835D6E" w:rsidRPr="0067711E" w:rsidRDefault="00E93C2B" w:rsidP="00835D6E">
            <w:pPr>
              <w:jc w:val="center"/>
              <w:rPr>
                <w:rFonts w:ascii="Cambria" w:hAnsi="Cambria"/>
                <w:b/>
                <w:color w:val="FFFFFF" w:themeColor="background1"/>
                <w:sz w:val="19"/>
                <w:szCs w:val="19"/>
                <w:lang w:val="es-419"/>
              </w:rPr>
            </w:pPr>
            <w:r w:rsidRPr="0067711E">
              <w:rPr>
                <w:rFonts w:ascii="Cambria" w:hAnsi="Cambria"/>
                <w:b/>
                <w:color w:val="FFFFFF" w:themeColor="background1"/>
                <w:sz w:val="19"/>
                <w:szCs w:val="19"/>
                <w:lang w:val="es-419"/>
              </w:rPr>
              <w:t>Notificación de la petición al Estado</w:t>
            </w:r>
          </w:p>
        </w:tc>
        <w:tc>
          <w:tcPr>
            <w:tcW w:w="6030" w:type="dxa"/>
            <w:vAlign w:val="center"/>
          </w:tcPr>
          <w:p w14:paraId="1972B99E" w14:textId="0B8087C3" w:rsidR="00835D6E" w:rsidRPr="00006B74" w:rsidRDefault="00E93C2B" w:rsidP="00835D6E">
            <w:pPr>
              <w:jc w:val="both"/>
              <w:rPr>
                <w:rFonts w:ascii="Cambria" w:hAnsi="Cambria"/>
                <w:bCs/>
                <w:sz w:val="19"/>
                <w:szCs w:val="19"/>
                <w:lang w:val="es-ES"/>
              </w:rPr>
            </w:pPr>
            <w:r>
              <w:rPr>
                <w:rFonts w:ascii="Cambria" w:hAnsi="Cambria"/>
                <w:bCs/>
                <w:sz w:val="19"/>
                <w:szCs w:val="19"/>
                <w:lang w:val="es-ES"/>
              </w:rPr>
              <w:t xml:space="preserve">14 24 de julio </w:t>
            </w:r>
            <w:r w:rsidR="0067711E">
              <w:rPr>
                <w:rFonts w:ascii="Cambria" w:hAnsi="Cambria"/>
                <w:bCs/>
                <w:sz w:val="19"/>
                <w:szCs w:val="19"/>
                <w:lang w:val="es-ES"/>
              </w:rPr>
              <w:t xml:space="preserve">de </w:t>
            </w:r>
            <w:r>
              <w:rPr>
                <w:rFonts w:ascii="Cambria" w:hAnsi="Cambria"/>
                <w:bCs/>
                <w:sz w:val="19"/>
                <w:szCs w:val="19"/>
                <w:lang w:val="es-ES"/>
              </w:rPr>
              <w:t>2017</w:t>
            </w:r>
          </w:p>
        </w:tc>
      </w:tr>
      <w:tr w:rsidR="00E93C2B" w:rsidRPr="00006B74" w14:paraId="5B434230" w14:textId="77777777" w:rsidTr="0067711E">
        <w:tc>
          <w:tcPr>
            <w:tcW w:w="3330" w:type="dxa"/>
            <w:tcBorders>
              <w:top w:val="single" w:sz="6" w:space="0" w:color="auto"/>
              <w:bottom w:val="single" w:sz="6" w:space="0" w:color="auto"/>
            </w:tcBorders>
            <w:shd w:val="clear" w:color="auto" w:fill="386294"/>
            <w:vAlign w:val="center"/>
          </w:tcPr>
          <w:p w14:paraId="35603B9E" w14:textId="279D9F7D" w:rsidR="00E93C2B" w:rsidRPr="0067711E" w:rsidRDefault="00E93C2B" w:rsidP="00E93C2B">
            <w:pPr>
              <w:jc w:val="center"/>
              <w:rPr>
                <w:rFonts w:ascii="Cambria" w:hAnsi="Cambria"/>
                <w:b/>
                <w:color w:val="FFFFFF" w:themeColor="background1"/>
                <w:sz w:val="19"/>
                <w:szCs w:val="19"/>
                <w:lang w:val="es-ES"/>
              </w:rPr>
            </w:pPr>
            <w:r w:rsidRPr="0067711E">
              <w:rPr>
                <w:rFonts w:ascii="Cambria" w:hAnsi="Cambria"/>
                <w:b/>
                <w:color w:val="FFFFFF" w:themeColor="background1"/>
                <w:sz w:val="19"/>
                <w:szCs w:val="19"/>
              </w:rPr>
              <w:t xml:space="preserve">Primera </w:t>
            </w:r>
            <w:proofErr w:type="spellStart"/>
            <w:r w:rsidRPr="0067711E">
              <w:rPr>
                <w:rFonts w:ascii="Cambria" w:hAnsi="Cambria"/>
                <w:b/>
                <w:color w:val="FFFFFF" w:themeColor="background1"/>
                <w:sz w:val="19"/>
                <w:szCs w:val="19"/>
              </w:rPr>
              <w:t>respuesta</w:t>
            </w:r>
            <w:proofErr w:type="spellEnd"/>
            <w:r w:rsidRPr="0067711E">
              <w:rPr>
                <w:rFonts w:ascii="Cambria" w:hAnsi="Cambria"/>
                <w:b/>
                <w:color w:val="FFFFFF" w:themeColor="background1"/>
                <w:sz w:val="19"/>
                <w:szCs w:val="19"/>
              </w:rPr>
              <w:t xml:space="preserve"> del Estado</w:t>
            </w:r>
          </w:p>
        </w:tc>
        <w:tc>
          <w:tcPr>
            <w:tcW w:w="6030" w:type="dxa"/>
            <w:vAlign w:val="center"/>
          </w:tcPr>
          <w:p w14:paraId="47DBEDEC" w14:textId="79699794" w:rsidR="00E93C2B" w:rsidRDefault="0067711E" w:rsidP="00E93C2B">
            <w:pPr>
              <w:jc w:val="both"/>
              <w:rPr>
                <w:rFonts w:ascii="Cambria" w:hAnsi="Cambria"/>
                <w:bCs/>
                <w:sz w:val="19"/>
                <w:szCs w:val="19"/>
                <w:lang w:val="es-ES"/>
              </w:rPr>
            </w:pPr>
            <w:r>
              <w:rPr>
                <w:rFonts w:ascii="Cambria" w:hAnsi="Cambria"/>
                <w:bCs/>
                <w:sz w:val="19"/>
                <w:szCs w:val="19"/>
                <w:lang w:val="es-ES"/>
              </w:rPr>
              <w:t>13 de septiembre de 2018</w:t>
            </w:r>
          </w:p>
        </w:tc>
      </w:tr>
      <w:tr w:rsidR="0067711E" w:rsidRPr="00C66412" w14:paraId="322668B6" w14:textId="77777777" w:rsidTr="0067711E">
        <w:tc>
          <w:tcPr>
            <w:tcW w:w="3330" w:type="dxa"/>
            <w:tcBorders>
              <w:top w:val="single" w:sz="6" w:space="0" w:color="auto"/>
              <w:bottom w:val="single" w:sz="6" w:space="0" w:color="auto"/>
            </w:tcBorders>
            <w:shd w:val="clear" w:color="auto" w:fill="386294"/>
            <w:vAlign w:val="center"/>
          </w:tcPr>
          <w:p w14:paraId="1524DA55" w14:textId="3932A670" w:rsidR="0067711E" w:rsidRPr="0067711E" w:rsidRDefault="0067711E" w:rsidP="0067711E">
            <w:pPr>
              <w:jc w:val="center"/>
              <w:rPr>
                <w:rFonts w:ascii="Cambria" w:hAnsi="Cambria"/>
                <w:b/>
                <w:color w:val="FFFFFF" w:themeColor="background1"/>
                <w:sz w:val="19"/>
                <w:szCs w:val="19"/>
                <w:lang w:val="es-ES"/>
              </w:rPr>
            </w:pPr>
            <w:r w:rsidRPr="005A264A">
              <w:rPr>
                <w:rFonts w:ascii="Cambria" w:hAnsi="Cambria"/>
                <w:b/>
                <w:bCs/>
                <w:color w:val="FFFFFF" w:themeColor="background1"/>
                <w:sz w:val="19"/>
                <w:szCs w:val="19"/>
                <w:lang w:val="es-ES"/>
              </w:rPr>
              <w:t>Advertencia sobre posible archivo:</w:t>
            </w:r>
          </w:p>
        </w:tc>
        <w:tc>
          <w:tcPr>
            <w:tcW w:w="6030" w:type="dxa"/>
            <w:vAlign w:val="center"/>
          </w:tcPr>
          <w:p w14:paraId="41D8B862" w14:textId="2A557C57" w:rsidR="0067711E" w:rsidRPr="00006B74" w:rsidRDefault="0067711E" w:rsidP="0067711E">
            <w:pPr>
              <w:jc w:val="both"/>
              <w:rPr>
                <w:rFonts w:ascii="Cambria" w:hAnsi="Cambria"/>
                <w:bCs/>
                <w:sz w:val="19"/>
                <w:szCs w:val="19"/>
                <w:lang w:val="es-ES"/>
              </w:rPr>
            </w:pPr>
            <w:r>
              <w:rPr>
                <w:rFonts w:ascii="Cambria" w:hAnsi="Cambria"/>
                <w:bCs/>
                <w:sz w:val="19"/>
                <w:szCs w:val="19"/>
                <w:lang w:val="es-ES"/>
              </w:rPr>
              <w:t>1</w:t>
            </w:r>
            <w:r w:rsidR="0011741A">
              <w:rPr>
                <w:rFonts w:ascii="Cambria" w:hAnsi="Cambria"/>
                <w:bCs/>
                <w:sz w:val="19"/>
                <w:szCs w:val="19"/>
                <w:lang w:val="es-ES"/>
              </w:rPr>
              <w:t>2</w:t>
            </w:r>
            <w:r>
              <w:rPr>
                <w:rFonts w:ascii="Cambria" w:hAnsi="Cambria"/>
                <w:bCs/>
                <w:sz w:val="19"/>
                <w:szCs w:val="19"/>
                <w:lang w:val="es-ES"/>
              </w:rPr>
              <w:t xml:space="preserve"> de mayo de 2021</w:t>
            </w:r>
          </w:p>
        </w:tc>
      </w:tr>
      <w:tr w:rsidR="0067711E" w:rsidRPr="000851F2" w14:paraId="291ACE7A" w14:textId="77777777" w:rsidTr="0067711E">
        <w:tc>
          <w:tcPr>
            <w:tcW w:w="3330" w:type="dxa"/>
            <w:tcBorders>
              <w:top w:val="single" w:sz="6" w:space="0" w:color="auto"/>
              <w:bottom w:val="single" w:sz="6" w:space="0" w:color="auto"/>
            </w:tcBorders>
            <w:shd w:val="clear" w:color="auto" w:fill="386294"/>
            <w:vAlign w:val="center"/>
          </w:tcPr>
          <w:p w14:paraId="068BD12F" w14:textId="01F15559" w:rsidR="0067711E" w:rsidRPr="0067711E" w:rsidRDefault="0067711E" w:rsidP="0067711E">
            <w:pPr>
              <w:jc w:val="center"/>
              <w:rPr>
                <w:rFonts w:ascii="Cambria" w:hAnsi="Cambria"/>
                <w:b/>
                <w:color w:val="FFFFFF" w:themeColor="background1"/>
                <w:sz w:val="19"/>
                <w:szCs w:val="19"/>
                <w:lang w:val="es-ES"/>
              </w:rPr>
            </w:pPr>
            <w:r w:rsidRPr="005A264A">
              <w:rPr>
                <w:rFonts w:ascii="Cambria" w:hAnsi="Cambria"/>
                <w:b/>
                <w:bCs/>
                <w:color w:val="FFFFFF" w:themeColor="background1"/>
                <w:sz w:val="19"/>
                <w:szCs w:val="19"/>
                <w:lang w:val="es-ES"/>
              </w:rPr>
              <w:t>Respuesta de la parte peticionaria ante advertencia de posible archivo:</w:t>
            </w:r>
          </w:p>
        </w:tc>
        <w:tc>
          <w:tcPr>
            <w:tcW w:w="6030" w:type="dxa"/>
            <w:vAlign w:val="center"/>
          </w:tcPr>
          <w:p w14:paraId="3CE49AFE" w14:textId="5A2D5AB8" w:rsidR="0067711E" w:rsidRPr="00006B74" w:rsidRDefault="0067711E" w:rsidP="0067711E">
            <w:pPr>
              <w:jc w:val="both"/>
              <w:rPr>
                <w:rFonts w:ascii="Cambria" w:hAnsi="Cambria"/>
                <w:bCs/>
                <w:sz w:val="19"/>
                <w:szCs w:val="19"/>
                <w:lang w:val="es-ES"/>
              </w:rPr>
            </w:pPr>
            <w:r>
              <w:rPr>
                <w:rFonts w:ascii="Cambria" w:hAnsi="Cambria"/>
                <w:bCs/>
                <w:sz w:val="19"/>
                <w:szCs w:val="19"/>
                <w:lang w:val="es-ES"/>
              </w:rPr>
              <w:t>12 de mayo de 2021</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330"/>
        <w:gridCol w:w="6030"/>
      </w:tblGrid>
      <w:tr w:rsidR="003239B8" w:rsidRPr="00006B74" w14:paraId="072532AD" w14:textId="77777777" w:rsidTr="0067711E">
        <w:trPr>
          <w:cantSplit/>
        </w:trPr>
        <w:tc>
          <w:tcPr>
            <w:tcW w:w="3330" w:type="dxa"/>
            <w:tcBorders>
              <w:top w:val="single" w:sz="4" w:space="0" w:color="auto"/>
              <w:bottom w:val="single" w:sz="6" w:space="0" w:color="auto"/>
            </w:tcBorders>
            <w:shd w:val="clear" w:color="auto" w:fill="386294"/>
            <w:vAlign w:val="center"/>
          </w:tcPr>
          <w:p w14:paraId="5C2E4B34" w14:textId="7281AAF8" w:rsidR="003239B8" w:rsidRPr="0067711E" w:rsidRDefault="00D77503" w:rsidP="00455D80">
            <w:pPr>
              <w:jc w:val="center"/>
              <w:rPr>
                <w:rFonts w:ascii="Cambria" w:hAnsi="Cambria"/>
                <w:b/>
                <w:i/>
                <w:color w:val="FFFFFF" w:themeColor="background1"/>
                <w:sz w:val="19"/>
                <w:szCs w:val="19"/>
                <w:lang w:val="es-ES"/>
              </w:rPr>
            </w:pPr>
            <w:proofErr w:type="spellStart"/>
            <w:r w:rsidRPr="0067711E">
              <w:rPr>
                <w:rFonts w:ascii="Cambria" w:hAnsi="Cambria"/>
                <w:b/>
                <w:i/>
                <w:color w:val="FFFFFF" w:themeColor="background1"/>
                <w:sz w:val="19"/>
                <w:szCs w:val="19"/>
                <w:lang w:val="es-ES"/>
              </w:rPr>
              <w:t>Ratione</w:t>
            </w:r>
            <w:proofErr w:type="spellEnd"/>
            <w:r w:rsidRPr="0067711E">
              <w:rPr>
                <w:rFonts w:ascii="Cambria" w:hAnsi="Cambria"/>
                <w:b/>
                <w:i/>
                <w:color w:val="FFFFFF" w:themeColor="background1"/>
                <w:sz w:val="19"/>
                <w:szCs w:val="19"/>
                <w:lang w:val="es-ES"/>
              </w:rPr>
              <w:t xml:space="preserve"> </w:t>
            </w:r>
            <w:proofErr w:type="spellStart"/>
            <w:r w:rsidRPr="0067711E">
              <w:rPr>
                <w:rFonts w:ascii="Cambria" w:hAnsi="Cambria"/>
                <w:b/>
                <w:i/>
                <w:color w:val="FFFFFF" w:themeColor="background1"/>
                <w:sz w:val="19"/>
                <w:szCs w:val="19"/>
                <w:lang w:val="es-ES"/>
              </w:rPr>
              <w:t>personae</w:t>
            </w:r>
            <w:proofErr w:type="spellEnd"/>
          </w:p>
        </w:tc>
        <w:tc>
          <w:tcPr>
            <w:tcW w:w="6030" w:type="dxa"/>
            <w:vAlign w:val="center"/>
          </w:tcPr>
          <w:p w14:paraId="7707F3E9" w14:textId="4DD1CEB2" w:rsidR="003239B8" w:rsidRPr="0067711E" w:rsidRDefault="0067711E" w:rsidP="00455D80">
            <w:pPr>
              <w:rPr>
                <w:rFonts w:ascii="Cambria" w:hAnsi="Cambria"/>
                <w:bCs/>
                <w:sz w:val="19"/>
                <w:szCs w:val="19"/>
                <w:lang w:val="es-ES"/>
              </w:rPr>
            </w:pPr>
            <w:r w:rsidRPr="0067711E">
              <w:rPr>
                <w:rFonts w:ascii="Cambria" w:hAnsi="Cambria"/>
                <w:bCs/>
                <w:sz w:val="19"/>
                <w:szCs w:val="19"/>
                <w:lang w:val="es-ES"/>
              </w:rPr>
              <w:t xml:space="preserve">Sí </w:t>
            </w:r>
          </w:p>
        </w:tc>
      </w:tr>
      <w:tr w:rsidR="003239B8" w:rsidRPr="00006B74" w14:paraId="4B8802DA" w14:textId="77777777" w:rsidTr="0067711E">
        <w:trPr>
          <w:cantSplit/>
        </w:trPr>
        <w:tc>
          <w:tcPr>
            <w:tcW w:w="3330" w:type="dxa"/>
            <w:tcBorders>
              <w:top w:val="single" w:sz="6" w:space="0" w:color="auto"/>
              <w:bottom w:val="single" w:sz="6" w:space="0" w:color="auto"/>
            </w:tcBorders>
            <w:shd w:val="clear" w:color="auto" w:fill="386294"/>
            <w:vAlign w:val="center"/>
          </w:tcPr>
          <w:p w14:paraId="3915C23B" w14:textId="629F623D" w:rsidR="003239B8" w:rsidRPr="0067711E" w:rsidRDefault="003239B8" w:rsidP="00D77503">
            <w:pPr>
              <w:jc w:val="center"/>
              <w:rPr>
                <w:rFonts w:ascii="Cambria" w:hAnsi="Cambria"/>
                <w:b/>
                <w:color w:val="FFFFFF" w:themeColor="background1"/>
                <w:sz w:val="19"/>
                <w:szCs w:val="19"/>
                <w:lang w:val="es-ES"/>
              </w:rPr>
            </w:pPr>
            <w:proofErr w:type="spellStart"/>
            <w:r w:rsidRPr="0067711E">
              <w:rPr>
                <w:rFonts w:ascii="Cambria" w:hAnsi="Cambria"/>
                <w:b/>
                <w:i/>
                <w:color w:val="FFFFFF" w:themeColor="background1"/>
                <w:sz w:val="19"/>
                <w:szCs w:val="19"/>
                <w:lang w:val="es-ES"/>
              </w:rPr>
              <w:t>Ratione</w:t>
            </w:r>
            <w:proofErr w:type="spellEnd"/>
            <w:r w:rsidRPr="0067711E">
              <w:rPr>
                <w:rFonts w:ascii="Cambria" w:hAnsi="Cambria"/>
                <w:b/>
                <w:i/>
                <w:color w:val="FFFFFF" w:themeColor="background1"/>
                <w:sz w:val="19"/>
                <w:szCs w:val="19"/>
                <w:lang w:val="es-ES"/>
              </w:rPr>
              <w:t xml:space="preserve"> loci</w:t>
            </w:r>
          </w:p>
        </w:tc>
        <w:tc>
          <w:tcPr>
            <w:tcW w:w="6030" w:type="dxa"/>
            <w:vAlign w:val="center"/>
          </w:tcPr>
          <w:p w14:paraId="12C931CB" w14:textId="3C683DF0" w:rsidR="003239B8" w:rsidRPr="0067711E" w:rsidRDefault="0067711E" w:rsidP="00455D80">
            <w:pPr>
              <w:rPr>
                <w:rFonts w:ascii="Cambria" w:hAnsi="Cambria"/>
                <w:bCs/>
                <w:sz w:val="19"/>
                <w:szCs w:val="19"/>
                <w:lang w:val="es-ES"/>
              </w:rPr>
            </w:pPr>
            <w:r w:rsidRPr="0067711E">
              <w:rPr>
                <w:rFonts w:ascii="Cambria" w:hAnsi="Cambria"/>
                <w:bCs/>
                <w:sz w:val="19"/>
                <w:szCs w:val="19"/>
                <w:lang w:val="es-ES"/>
              </w:rPr>
              <w:t>Sí</w:t>
            </w:r>
          </w:p>
        </w:tc>
      </w:tr>
      <w:tr w:rsidR="003239B8" w:rsidRPr="00006B74" w14:paraId="4362FDF3" w14:textId="77777777" w:rsidTr="0067711E">
        <w:trPr>
          <w:cantSplit/>
        </w:trPr>
        <w:tc>
          <w:tcPr>
            <w:tcW w:w="3330" w:type="dxa"/>
            <w:tcBorders>
              <w:top w:val="single" w:sz="6" w:space="0" w:color="auto"/>
              <w:bottom w:val="single" w:sz="6" w:space="0" w:color="auto"/>
            </w:tcBorders>
            <w:shd w:val="clear" w:color="auto" w:fill="386294"/>
            <w:vAlign w:val="center"/>
          </w:tcPr>
          <w:p w14:paraId="3BE23153" w14:textId="1788B5D3" w:rsidR="003239B8" w:rsidRPr="0067711E" w:rsidRDefault="003239B8" w:rsidP="00455D80">
            <w:pPr>
              <w:jc w:val="center"/>
              <w:rPr>
                <w:rFonts w:ascii="Cambria" w:hAnsi="Cambria"/>
                <w:b/>
                <w:color w:val="FFFFFF" w:themeColor="background1"/>
                <w:sz w:val="19"/>
                <w:szCs w:val="19"/>
                <w:lang w:val="es-ES"/>
              </w:rPr>
            </w:pPr>
            <w:proofErr w:type="spellStart"/>
            <w:r w:rsidRPr="0067711E">
              <w:rPr>
                <w:rFonts w:ascii="Cambria" w:hAnsi="Cambria"/>
                <w:b/>
                <w:i/>
                <w:color w:val="FFFFFF" w:themeColor="background1"/>
                <w:sz w:val="19"/>
                <w:szCs w:val="19"/>
                <w:lang w:val="es-ES"/>
              </w:rPr>
              <w:t>Ratione</w:t>
            </w:r>
            <w:proofErr w:type="spellEnd"/>
            <w:r w:rsidRPr="0067711E">
              <w:rPr>
                <w:rFonts w:ascii="Cambria" w:hAnsi="Cambria"/>
                <w:b/>
                <w:i/>
                <w:color w:val="FFFFFF" w:themeColor="background1"/>
                <w:sz w:val="19"/>
                <w:szCs w:val="19"/>
                <w:lang w:val="es-ES"/>
              </w:rPr>
              <w:t xml:space="preserve"> </w:t>
            </w:r>
            <w:proofErr w:type="spellStart"/>
            <w:r w:rsidRPr="0067711E">
              <w:rPr>
                <w:rFonts w:ascii="Cambria" w:hAnsi="Cambria"/>
                <w:b/>
                <w:i/>
                <w:color w:val="FFFFFF" w:themeColor="background1"/>
                <w:sz w:val="19"/>
                <w:szCs w:val="19"/>
                <w:lang w:val="es-ES"/>
              </w:rPr>
              <w:t>temporis</w:t>
            </w:r>
            <w:proofErr w:type="spellEnd"/>
          </w:p>
        </w:tc>
        <w:tc>
          <w:tcPr>
            <w:tcW w:w="6030" w:type="dxa"/>
            <w:vAlign w:val="center"/>
          </w:tcPr>
          <w:p w14:paraId="6F8B059B" w14:textId="53EDB4D2" w:rsidR="003239B8" w:rsidRPr="0067711E" w:rsidRDefault="0067711E" w:rsidP="00455D80">
            <w:pPr>
              <w:rPr>
                <w:rFonts w:ascii="Cambria" w:hAnsi="Cambria"/>
                <w:bCs/>
                <w:sz w:val="19"/>
                <w:szCs w:val="19"/>
                <w:lang w:val="es-ES"/>
              </w:rPr>
            </w:pPr>
            <w:r w:rsidRPr="0067711E">
              <w:rPr>
                <w:rFonts w:ascii="Cambria" w:hAnsi="Cambria"/>
                <w:bCs/>
                <w:sz w:val="19"/>
                <w:szCs w:val="19"/>
                <w:lang w:val="es-ES"/>
              </w:rPr>
              <w:t>Sí</w:t>
            </w:r>
          </w:p>
        </w:tc>
      </w:tr>
      <w:tr w:rsidR="003239B8" w:rsidRPr="00EE3DAC" w14:paraId="30ABEC3E" w14:textId="77777777" w:rsidTr="0067711E">
        <w:trPr>
          <w:cantSplit/>
        </w:trPr>
        <w:tc>
          <w:tcPr>
            <w:tcW w:w="3330" w:type="dxa"/>
            <w:tcBorders>
              <w:top w:val="single" w:sz="6" w:space="0" w:color="auto"/>
              <w:bottom w:val="single" w:sz="6" w:space="0" w:color="auto"/>
            </w:tcBorders>
            <w:shd w:val="clear" w:color="auto" w:fill="386294"/>
            <w:vAlign w:val="center"/>
          </w:tcPr>
          <w:p w14:paraId="47B529D2" w14:textId="72B41633" w:rsidR="003239B8" w:rsidRPr="0067711E" w:rsidRDefault="003239B8" w:rsidP="00455D80">
            <w:pPr>
              <w:jc w:val="center"/>
              <w:rPr>
                <w:rFonts w:ascii="Cambria" w:hAnsi="Cambria"/>
                <w:b/>
                <w:color w:val="FFFFFF" w:themeColor="background1"/>
                <w:sz w:val="19"/>
                <w:szCs w:val="19"/>
                <w:lang w:val="es-ES"/>
              </w:rPr>
            </w:pPr>
            <w:proofErr w:type="spellStart"/>
            <w:r w:rsidRPr="0067711E">
              <w:rPr>
                <w:rFonts w:ascii="Cambria" w:hAnsi="Cambria"/>
                <w:b/>
                <w:i/>
                <w:color w:val="FFFFFF" w:themeColor="background1"/>
                <w:sz w:val="19"/>
                <w:szCs w:val="19"/>
                <w:lang w:val="es-ES"/>
              </w:rPr>
              <w:t>Ratione</w:t>
            </w:r>
            <w:proofErr w:type="spellEnd"/>
            <w:r w:rsidRPr="0067711E">
              <w:rPr>
                <w:rFonts w:ascii="Cambria" w:hAnsi="Cambria"/>
                <w:b/>
                <w:i/>
                <w:color w:val="FFFFFF" w:themeColor="background1"/>
                <w:sz w:val="19"/>
                <w:szCs w:val="19"/>
                <w:lang w:val="es-ES"/>
              </w:rPr>
              <w:t xml:space="preserve"> </w:t>
            </w:r>
            <w:proofErr w:type="spellStart"/>
            <w:r w:rsidRPr="0067711E">
              <w:rPr>
                <w:rFonts w:ascii="Cambria" w:hAnsi="Cambria"/>
                <w:b/>
                <w:i/>
                <w:color w:val="FFFFFF" w:themeColor="background1"/>
                <w:sz w:val="19"/>
                <w:szCs w:val="19"/>
                <w:lang w:val="es-ES"/>
              </w:rPr>
              <w:t>materia</w:t>
            </w:r>
            <w:r w:rsidR="00EE00E9" w:rsidRPr="0067711E">
              <w:rPr>
                <w:rFonts w:ascii="Cambria" w:hAnsi="Cambria"/>
                <w:b/>
                <w:i/>
                <w:color w:val="FFFFFF" w:themeColor="background1"/>
                <w:sz w:val="19"/>
                <w:szCs w:val="19"/>
                <w:lang w:val="es-ES"/>
              </w:rPr>
              <w:t>e</w:t>
            </w:r>
            <w:proofErr w:type="spellEnd"/>
          </w:p>
        </w:tc>
        <w:tc>
          <w:tcPr>
            <w:tcW w:w="6030" w:type="dxa"/>
            <w:vAlign w:val="center"/>
          </w:tcPr>
          <w:p w14:paraId="0C122F44" w14:textId="56D3F164" w:rsidR="003239B8" w:rsidRPr="0067711E" w:rsidRDefault="0067711E" w:rsidP="00455D80">
            <w:pPr>
              <w:jc w:val="both"/>
              <w:rPr>
                <w:rFonts w:ascii="Cambria" w:hAnsi="Cambria"/>
                <w:bCs/>
                <w:sz w:val="19"/>
                <w:szCs w:val="19"/>
                <w:lang w:val="es-419"/>
              </w:rPr>
            </w:pPr>
            <w:r w:rsidRPr="0067711E">
              <w:rPr>
                <w:rFonts w:ascii="Cambria" w:hAnsi="Cambria"/>
                <w:bCs/>
                <w:sz w:val="19"/>
                <w:szCs w:val="19"/>
                <w:lang w:val="es-419"/>
              </w:rPr>
              <w:t>Sí, Convención Americana (depósito de instrumento de ratificación realizado el 31 de julio de 1973)</w:t>
            </w:r>
          </w:p>
        </w:tc>
      </w:tr>
    </w:tbl>
    <w:p w14:paraId="4E92C444" w14:textId="4DA98714" w:rsidR="003239B8" w:rsidRPr="00006B74" w:rsidRDefault="003239B8" w:rsidP="009056A9">
      <w:pPr>
        <w:spacing w:before="120" w:after="120"/>
        <w:ind w:left="1440" w:hanging="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C66412"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74BDBD75" w:rsidR="00EE00E9" w:rsidRPr="00006B74" w:rsidRDefault="00D7498B" w:rsidP="00455D80">
            <w:pPr>
              <w:jc w:val="both"/>
              <w:rPr>
                <w:rFonts w:ascii="Cambria" w:hAnsi="Cambria"/>
                <w:bCs/>
                <w:sz w:val="19"/>
                <w:szCs w:val="19"/>
                <w:lang w:val="es-ES"/>
              </w:rPr>
            </w:pPr>
            <w:r>
              <w:rPr>
                <w:rFonts w:ascii="Cambria" w:hAnsi="Cambria"/>
                <w:bCs/>
                <w:sz w:val="19"/>
                <w:szCs w:val="19"/>
                <w:lang w:val="es-ES"/>
              </w:rPr>
              <w:t>No</w:t>
            </w:r>
          </w:p>
        </w:tc>
      </w:tr>
      <w:tr w:rsidR="003239B8" w:rsidRPr="00EE3DAC"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79E2D0FD" w:rsidR="003239B8" w:rsidRPr="00006B74" w:rsidRDefault="00597532" w:rsidP="001479C0">
            <w:pPr>
              <w:jc w:val="both"/>
              <w:rPr>
                <w:rFonts w:ascii="Cambria" w:hAnsi="Cambria"/>
                <w:bCs/>
                <w:sz w:val="19"/>
                <w:szCs w:val="19"/>
                <w:lang w:val="es-ES"/>
              </w:rPr>
            </w:pPr>
            <w:r>
              <w:rPr>
                <w:rFonts w:ascii="Cambria" w:hAnsi="Cambria"/>
                <w:bCs/>
                <w:sz w:val="19"/>
                <w:szCs w:val="19"/>
                <w:lang w:val="es-419"/>
              </w:rPr>
              <w:t>A</w:t>
            </w:r>
            <w:r w:rsidRPr="00597532">
              <w:rPr>
                <w:rFonts w:ascii="Cambria" w:hAnsi="Cambria"/>
                <w:bCs/>
                <w:sz w:val="19"/>
                <w:szCs w:val="19"/>
                <w:lang w:val="es-419"/>
              </w:rPr>
              <w:t xml:space="preserve">rtículos 4 (derecho a la vida), 5 (derecho a la integridad personal), 8 (garantías judiciales) y 25 (protección judicial) de la Convención Americana en relación con su artículo 1.1 </w:t>
            </w:r>
          </w:p>
        </w:tc>
      </w:tr>
      <w:tr w:rsidR="003239B8" w:rsidRPr="00EE3DA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7DEB71F4" w:rsidR="003239B8" w:rsidRPr="00006B74" w:rsidRDefault="00D7498B" w:rsidP="00BB3FB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EE3DAC"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455D8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56DFD8E7" w:rsidR="003239B8" w:rsidRPr="00006B74" w:rsidRDefault="00D7498B" w:rsidP="00455D80">
            <w:pPr>
              <w:rPr>
                <w:bCs/>
                <w:sz w:val="19"/>
                <w:szCs w:val="19"/>
                <w:lang w:val="es-ES"/>
              </w:rPr>
            </w:pPr>
            <w:r>
              <w:rPr>
                <w:rFonts w:ascii="Cambria" w:hAnsi="Cambria"/>
                <w:bCs/>
                <w:sz w:val="19"/>
                <w:szCs w:val="19"/>
                <w:lang w:val="es-ES"/>
              </w:rPr>
              <w:t>Sí, en los términos de la Sección VI</w:t>
            </w:r>
          </w:p>
        </w:tc>
      </w:tr>
    </w:tbl>
    <w:p w14:paraId="4664433C" w14:textId="77777777" w:rsidR="00E547B2" w:rsidRDefault="00E547B2" w:rsidP="000D6849">
      <w:pPr>
        <w:jc w:val="both"/>
        <w:rPr>
          <w:rFonts w:asciiTheme="majorHAnsi" w:hAnsiTheme="majorHAnsi"/>
          <w:b/>
          <w:sz w:val="20"/>
          <w:szCs w:val="20"/>
          <w:lang w:val="es-ES"/>
        </w:rPr>
      </w:pPr>
    </w:p>
    <w:p w14:paraId="18E6423B" w14:textId="1506F150" w:rsidR="003239B8" w:rsidRPr="00006B74" w:rsidRDefault="00223A29" w:rsidP="00E547B2">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74D52FEA" w14:textId="77777777" w:rsidR="00E547B2" w:rsidRPr="00E547B2" w:rsidRDefault="00E547B2" w:rsidP="000D684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sz w:val="20"/>
          <w:szCs w:val="20"/>
          <w:lang w:val="es-419" w:eastAsia="es-ES"/>
        </w:rPr>
      </w:pPr>
    </w:p>
    <w:p w14:paraId="0D32F936" w14:textId="6FC4953F" w:rsidR="004C616A" w:rsidRPr="00F34ACD" w:rsidRDefault="00D7498B"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sz w:val="20"/>
          <w:szCs w:val="20"/>
          <w:lang w:val="es-419" w:eastAsia="es-ES"/>
        </w:rPr>
      </w:pPr>
      <w:r>
        <w:rPr>
          <w:rFonts w:ascii="Cambria" w:hAnsi="Cambria"/>
          <w:sz w:val="20"/>
          <w:szCs w:val="20"/>
          <w:lang w:val="es-419"/>
        </w:rPr>
        <w:t xml:space="preserve">La </w:t>
      </w:r>
      <w:r w:rsidR="009056A9">
        <w:rPr>
          <w:rFonts w:ascii="Cambria" w:hAnsi="Cambria"/>
          <w:sz w:val="20"/>
          <w:szCs w:val="20"/>
          <w:lang w:val="es-419"/>
        </w:rPr>
        <w:t xml:space="preserve">parte peticionaria </w:t>
      </w:r>
      <w:r>
        <w:rPr>
          <w:rFonts w:ascii="Cambria" w:hAnsi="Cambria"/>
          <w:sz w:val="20"/>
          <w:szCs w:val="20"/>
          <w:lang w:val="es-419"/>
        </w:rPr>
        <w:t xml:space="preserve">denuncia la muerte </w:t>
      </w:r>
      <w:r w:rsidR="00EA416D">
        <w:rPr>
          <w:rFonts w:ascii="Cambria" w:hAnsi="Cambria"/>
          <w:sz w:val="20"/>
          <w:szCs w:val="20"/>
          <w:lang w:val="es-419"/>
        </w:rPr>
        <w:t xml:space="preserve">violenta </w:t>
      </w:r>
      <w:r>
        <w:rPr>
          <w:rFonts w:ascii="Cambria" w:hAnsi="Cambria"/>
          <w:sz w:val="20"/>
          <w:szCs w:val="20"/>
          <w:lang w:val="es-419"/>
        </w:rPr>
        <w:t xml:space="preserve">de Rubén Darío Pérez </w:t>
      </w:r>
      <w:r w:rsidRPr="0062529D">
        <w:rPr>
          <w:rFonts w:ascii="Cambria" w:hAnsi="Cambria"/>
          <w:sz w:val="20"/>
          <w:szCs w:val="20"/>
          <w:lang w:val="es-419"/>
        </w:rPr>
        <w:t xml:space="preserve">Ocampo (en adelante, “la presunta víctima”) </w:t>
      </w:r>
      <w:r w:rsidR="009056A9" w:rsidRPr="00C13160">
        <w:rPr>
          <w:rFonts w:ascii="Cambria" w:hAnsi="Cambria"/>
          <w:sz w:val="20"/>
          <w:szCs w:val="20"/>
          <w:lang w:val="es-419"/>
        </w:rPr>
        <w:t>el 8</w:t>
      </w:r>
      <w:r w:rsidR="009056A9" w:rsidRPr="0062529D">
        <w:rPr>
          <w:rFonts w:ascii="Cambria" w:hAnsi="Cambria"/>
          <w:sz w:val="20"/>
          <w:szCs w:val="20"/>
          <w:lang w:val="es-419"/>
        </w:rPr>
        <w:t xml:space="preserve"> de</w:t>
      </w:r>
      <w:r w:rsidR="009056A9" w:rsidRPr="00C13160">
        <w:rPr>
          <w:rFonts w:ascii="Cambria" w:hAnsi="Cambria"/>
          <w:sz w:val="20"/>
          <w:szCs w:val="20"/>
          <w:lang w:val="es-419"/>
        </w:rPr>
        <w:t xml:space="preserve"> marzo d</w:t>
      </w:r>
      <w:r w:rsidR="009056A9" w:rsidRPr="0062529D">
        <w:rPr>
          <w:rFonts w:ascii="Cambria" w:hAnsi="Cambria"/>
          <w:sz w:val="20"/>
          <w:szCs w:val="20"/>
          <w:lang w:val="es-419"/>
        </w:rPr>
        <w:t xml:space="preserve">el 2004 </w:t>
      </w:r>
      <w:r w:rsidR="009056A9" w:rsidRPr="00C13160">
        <w:rPr>
          <w:rFonts w:ascii="Cambria" w:hAnsi="Cambria"/>
          <w:sz w:val="20"/>
          <w:szCs w:val="20"/>
          <w:lang w:val="es-419"/>
        </w:rPr>
        <w:t>en la ciudad de Cali</w:t>
      </w:r>
      <w:r w:rsidR="009056A9">
        <w:rPr>
          <w:rFonts w:ascii="Cambria" w:hAnsi="Cambria"/>
          <w:sz w:val="20"/>
          <w:szCs w:val="20"/>
          <w:lang w:val="es-419"/>
        </w:rPr>
        <w:t xml:space="preserve">, como </w:t>
      </w:r>
      <w:r w:rsidR="009056A9" w:rsidRPr="0062529D">
        <w:rPr>
          <w:rFonts w:ascii="Cambria" w:hAnsi="Cambria" w:cs="AvantGarde-Book"/>
          <w:sz w:val="20"/>
          <w:szCs w:val="20"/>
          <w:lang w:val="es-419" w:eastAsia="es-ES"/>
        </w:rPr>
        <w:t xml:space="preserve">consecuencia directa de la </w:t>
      </w:r>
      <w:r w:rsidR="009056A9">
        <w:rPr>
          <w:rFonts w:ascii="Cambria" w:hAnsi="Cambria" w:cs="AvantGarde-Book"/>
          <w:sz w:val="20"/>
          <w:szCs w:val="20"/>
          <w:lang w:val="es-419" w:eastAsia="es-ES"/>
        </w:rPr>
        <w:t>“</w:t>
      </w:r>
      <w:r w:rsidR="009056A9" w:rsidRPr="0062529D">
        <w:rPr>
          <w:rFonts w:ascii="Cambria" w:hAnsi="Cambria" w:cs="AvantGarde-Book"/>
          <w:sz w:val="20"/>
          <w:szCs w:val="20"/>
          <w:lang w:val="es-419" w:eastAsia="es-ES"/>
        </w:rPr>
        <w:t>absurda e indignante actuación</w:t>
      </w:r>
      <w:r w:rsidR="009056A9">
        <w:rPr>
          <w:rFonts w:ascii="Cambria" w:hAnsi="Cambria" w:cs="AvantGarde-Book"/>
          <w:sz w:val="20"/>
          <w:szCs w:val="20"/>
          <w:lang w:val="es-419" w:eastAsia="es-ES"/>
        </w:rPr>
        <w:t>”</w:t>
      </w:r>
      <w:r w:rsidR="009056A9" w:rsidRPr="0062529D">
        <w:rPr>
          <w:rFonts w:ascii="Cambria" w:hAnsi="Cambria" w:cs="AvantGarde-Book"/>
          <w:sz w:val="20"/>
          <w:szCs w:val="20"/>
          <w:lang w:val="es-419" w:eastAsia="es-ES"/>
        </w:rPr>
        <w:t xml:space="preserve"> </w:t>
      </w:r>
      <w:r w:rsidR="009056A9">
        <w:rPr>
          <w:rFonts w:ascii="Cambria" w:hAnsi="Cambria" w:cs="AvantGarde-Book"/>
          <w:sz w:val="20"/>
          <w:szCs w:val="20"/>
          <w:lang w:val="es-419" w:eastAsia="es-ES"/>
        </w:rPr>
        <w:t>de</w:t>
      </w:r>
      <w:r w:rsidR="009056A9">
        <w:rPr>
          <w:rFonts w:ascii="Cambria" w:hAnsi="Cambria"/>
          <w:sz w:val="20"/>
          <w:szCs w:val="20"/>
          <w:lang w:val="es-419"/>
        </w:rPr>
        <w:t xml:space="preserve"> </w:t>
      </w:r>
      <w:r w:rsidR="00C13160" w:rsidRPr="00C13160">
        <w:rPr>
          <w:rFonts w:ascii="Cambria" w:hAnsi="Cambria"/>
          <w:sz w:val="20"/>
          <w:szCs w:val="20"/>
          <w:lang w:val="es-419"/>
        </w:rPr>
        <w:t>agentes adscritos a la Policía Nacional de</w:t>
      </w:r>
      <w:r w:rsidR="00C13160" w:rsidRPr="0062529D">
        <w:rPr>
          <w:rFonts w:ascii="Cambria" w:hAnsi="Cambria"/>
          <w:sz w:val="20"/>
          <w:szCs w:val="20"/>
          <w:lang w:val="es-419"/>
        </w:rPr>
        <w:t xml:space="preserve"> </w:t>
      </w:r>
      <w:r w:rsidR="00C13160" w:rsidRPr="00C13160">
        <w:rPr>
          <w:rFonts w:ascii="Cambria" w:hAnsi="Cambria"/>
          <w:sz w:val="20"/>
          <w:szCs w:val="20"/>
          <w:lang w:val="es-419"/>
        </w:rPr>
        <w:t>Colombia</w:t>
      </w:r>
      <w:r w:rsidR="006156F7" w:rsidRPr="0062529D">
        <w:rPr>
          <w:rFonts w:ascii="Cambria" w:hAnsi="Cambria"/>
          <w:sz w:val="20"/>
          <w:szCs w:val="20"/>
          <w:lang w:val="es-419"/>
        </w:rPr>
        <w:t xml:space="preserve">. </w:t>
      </w:r>
      <w:r w:rsidR="009056A9">
        <w:rPr>
          <w:rFonts w:ascii="Cambria" w:hAnsi="Cambria"/>
          <w:sz w:val="20"/>
          <w:szCs w:val="20"/>
          <w:lang w:val="es-419"/>
        </w:rPr>
        <w:t>La</w:t>
      </w:r>
      <w:r w:rsidR="001C6E6C" w:rsidRPr="0062529D">
        <w:rPr>
          <w:rFonts w:ascii="Cambria" w:hAnsi="Cambria" w:cs="AvantGarde-Book"/>
          <w:sz w:val="20"/>
          <w:szCs w:val="20"/>
          <w:lang w:val="es-419"/>
        </w:rPr>
        <w:t xml:space="preserve"> investigación fue </w:t>
      </w:r>
      <w:r w:rsidR="005C1A5B" w:rsidRPr="0062529D">
        <w:rPr>
          <w:rFonts w:ascii="Cambria" w:hAnsi="Cambria"/>
          <w:sz w:val="20"/>
          <w:szCs w:val="20"/>
          <w:lang w:val="es-419"/>
        </w:rPr>
        <w:t>llevada por la Fiscalía 145 Penal Militar</w:t>
      </w:r>
      <w:r w:rsidR="009056A9">
        <w:rPr>
          <w:rFonts w:ascii="Cambria" w:hAnsi="Cambria"/>
          <w:sz w:val="20"/>
          <w:szCs w:val="20"/>
          <w:lang w:val="es-419"/>
        </w:rPr>
        <w:t xml:space="preserve">, por lo que sostiene que </w:t>
      </w:r>
      <w:r w:rsidR="0062529D" w:rsidRPr="0062529D">
        <w:rPr>
          <w:rFonts w:ascii="Cambria" w:hAnsi="Cambria" w:cs="AvantGarde-Book"/>
          <w:sz w:val="20"/>
          <w:szCs w:val="20"/>
          <w:lang w:val="es-419" w:eastAsia="es-ES"/>
        </w:rPr>
        <w:t xml:space="preserve">no hubo </w:t>
      </w:r>
      <w:r w:rsidR="008524DC" w:rsidRPr="0062529D">
        <w:rPr>
          <w:rFonts w:ascii="Cambria" w:hAnsi="Cambria" w:cs="AvantGarde-Book"/>
          <w:sz w:val="20"/>
          <w:szCs w:val="20"/>
          <w:lang w:val="es-419" w:eastAsia="es-ES"/>
        </w:rPr>
        <w:t>debido proceso</w:t>
      </w:r>
      <w:r w:rsidR="009056A9">
        <w:rPr>
          <w:rFonts w:ascii="Cambria" w:hAnsi="Cambria" w:cs="AvantGarde-Book"/>
          <w:sz w:val="20"/>
          <w:szCs w:val="20"/>
          <w:lang w:val="es-419" w:eastAsia="es-ES"/>
        </w:rPr>
        <w:t xml:space="preserve"> ni</w:t>
      </w:r>
      <w:r w:rsidR="008524DC" w:rsidRPr="0062529D">
        <w:rPr>
          <w:rFonts w:ascii="Cambria" w:hAnsi="Cambria" w:cs="AvantGarde-Book"/>
          <w:sz w:val="20"/>
          <w:szCs w:val="20"/>
          <w:lang w:val="es-419" w:eastAsia="es-ES"/>
        </w:rPr>
        <w:t xml:space="preserve"> valoración imparcial de l</w:t>
      </w:r>
      <w:r w:rsidR="002317A9">
        <w:rPr>
          <w:rFonts w:ascii="Cambria" w:hAnsi="Cambria" w:cs="AvantGarde-Book"/>
          <w:sz w:val="20"/>
          <w:szCs w:val="20"/>
          <w:lang w:val="es-419" w:eastAsia="es-ES"/>
        </w:rPr>
        <w:t>a prueba</w:t>
      </w:r>
      <w:r w:rsidR="009056A9">
        <w:rPr>
          <w:rFonts w:ascii="Cambria" w:hAnsi="Cambria" w:cs="AvantGarde-Book"/>
          <w:sz w:val="20"/>
          <w:szCs w:val="20"/>
          <w:lang w:val="es-419" w:eastAsia="es-ES"/>
        </w:rPr>
        <w:t>; alega asimismo que</w:t>
      </w:r>
      <w:r w:rsidR="004948B4">
        <w:rPr>
          <w:rFonts w:ascii="Cambria" w:hAnsi="Cambria" w:cs="AvantGarde-Book"/>
          <w:sz w:val="20"/>
          <w:szCs w:val="20"/>
          <w:lang w:val="es-419" w:eastAsia="es-ES"/>
        </w:rPr>
        <w:t xml:space="preserve"> </w:t>
      </w:r>
      <w:r w:rsidR="002317A9">
        <w:rPr>
          <w:rFonts w:ascii="Cambria" w:hAnsi="Cambria" w:cs="AvantGarde-Book"/>
          <w:sz w:val="20"/>
          <w:szCs w:val="20"/>
          <w:lang w:val="es-419" w:eastAsia="es-ES"/>
        </w:rPr>
        <w:t xml:space="preserve">los familiares de la presunta víctima </w:t>
      </w:r>
      <w:r w:rsidR="004948B4">
        <w:rPr>
          <w:rFonts w:ascii="Cambria" w:hAnsi="Cambria" w:cs="AvantGarde-Book"/>
          <w:sz w:val="20"/>
          <w:szCs w:val="20"/>
          <w:lang w:val="es-419" w:eastAsia="es-ES"/>
        </w:rPr>
        <w:t xml:space="preserve">no han </w:t>
      </w:r>
      <w:r w:rsidR="002317A9">
        <w:rPr>
          <w:rFonts w:ascii="Cambria" w:hAnsi="Cambria" w:cs="AvantGarde-Book"/>
          <w:sz w:val="20"/>
          <w:szCs w:val="20"/>
          <w:lang w:val="es-419" w:eastAsia="es-ES"/>
        </w:rPr>
        <w:t xml:space="preserve">sido </w:t>
      </w:r>
      <w:r w:rsidR="004948B4">
        <w:rPr>
          <w:rFonts w:ascii="Cambria" w:hAnsi="Cambria" w:cs="AvantGarde-Book"/>
          <w:sz w:val="20"/>
          <w:szCs w:val="20"/>
          <w:lang w:val="es-419" w:eastAsia="es-ES"/>
        </w:rPr>
        <w:t>repara</w:t>
      </w:r>
      <w:r w:rsidR="002317A9">
        <w:rPr>
          <w:rFonts w:ascii="Cambria" w:hAnsi="Cambria" w:cs="AvantGarde-Book"/>
          <w:sz w:val="20"/>
          <w:szCs w:val="20"/>
          <w:lang w:val="es-419" w:eastAsia="es-ES"/>
        </w:rPr>
        <w:t>dos</w:t>
      </w:r>
      <w:r w:rsidR="004948B4">
        <w:rPr>
          <w:rFonts w:ascii="Cambria" w:hAnsi="Cambria" w:cs="AvantGarde-Book"/>
          <w:sz w:val="20"/>
          <w:szCs w:val="20"/>
          <w:lang w:val="es-419" w:eastAsia="es-ES"/>
        </w:rPr>
        <w:t xml:space="preserve"> por l</w:t>
      </w:r>
      <w:r w:rsidR="009056A9">
        <w:rPr>
          <w:rFonts w:ascii="Cambria" w:hAnsi="Cambria" w:cs="AvantGarde-Book"/>
          <w:sz w:val="20"/>
          <w:szCs w:val="20"/>
          <w:lang w:val="es-419" w:eastAsia="es-ES"/>
        </w:rPr>
        <w:t>as violaciones</w:t>
      </w:r>
      <w:r w:rsidR="004948B4">
        <w:rPr>
          <w:rFonts w:ascii="Cambria" w:hAnsi="Cambria" w:cs="AvantGarde-Book"/>
          <w:sz w:val="20"/>
          <w:szCs w:val="20"/>
          <w:lang w:val="es-419" w:eastAsia="es-ES"/>
        </w:rPr>
        <w:t>.</w:t>
      </w:r>
    </w:p>
    <w:p w14:paraId="52785EF3" w14:textId="77777777" w:rsidR="00F34ACD" w:rsidRDefault="00F34ACD" w:rsidP="00F34AC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AvantGarde-Book"/>
          <w:sz w:val="20"/>
          <w:szCs w:val="20"/>
          <w:lang w:val="es-419" w:eastAsia="es-ES"/>
        </w:rPr>
      </w:pPr>
    </w:p>
    <w:p w14:paraId="0FCDE658" w14:textId="77777777" w:rsidR="00F34ACD" w:rsidRDefault="00F34ACD" w:rsidP="00F34AC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AvantGarde-Book"/>
          <w:sz w:val="20"/>
          <w:szCs w:val="20"/>
          <w:lang w:val="es-419" w:eastAsia="es-ES"/>
        </w:rPr>
      </w:pPr>
    </w:p>
    <w:p w14:paraId="521EE388" w14:textId="77777777" w:rsidR="00F34ACD" w:rsidRPr="00E547B2" w:rsidRDefault="00F34ACD" w:rsidP="00F34AC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Montserrat"/>
          <w:sz w:val="20"/>
          <w:szCs w:val="20"/>
          <w:lang w:val="es-419" w:eastAsia="es-ES"/>
        </w:rPr>
      </w:pPr>
    </w:p>
    <w:p w14:paraId="59E3AADA" w14:textId="18E9050F" w:rsidR="00E740B5" w:rsidRDefault="007E2F11"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vantGarde-Book"/>
          <w:sz w:val="20"/>
          <w:szCs w:val="20"/>
          <w:lang w:val="es-419" w:eastAsia="es-ES"/>
        </w:rPr>
      </w:pPr>
      <w:r>
        <w:rPr>
          <w:rFonts w:ascii="Cambria" w:hAnsi="Cambria"/>
          <w:sz w:val="20"/>
          <w:szCs w:val="20"/>
          <w:lang w:val="es-ES"/>
        </w:rPr>
        <w:t>Según l</w:t>
      </w:r>
      <w:r w:rsidR="006156F7" w:rsidRPr="0062529D">
        <w:rPr>
          <w:rFonts w:ascii="Cambria" w:hAnsi="Cambria"/>
          <w:sz w:val="20"/>
          <w:szCs w:val="20"/>
          <w:lang w:val="es-ES"/>
        </w:rPr>
        <w:t>a parte peticionaria</w:t>
      </w:r>
      <w:r>
        <w:rPr>
          <w:rFonts w:ascii="Cambria" w:hAnsi="Cambria"/>
          <w:sz w:val="20"/>
          <w:szCs w:val="20"/>
          <w:lang w:val="es-ES"/>
        </w:rPr>
        <w:t>,</w:t>
      </w:r>
      <w:r w:rsidR="006156F7" w:rsidRPr="0062529D">
        <w:rPr>
          <w:rFonts w:ascii="Cambria" w:hAnsi="Cambria"/>
          <w:sz w:val="20"/>
          <w:szCs w:val="20"/>
          <w:lang w:val="es-ES"/>
        </w:rPr>
        <w:t xml:space="preserve"> la presunta víctima se desempeñaba en distintas </w:t>
      </w:r>
      <w:r w:rsidR="00D47A99" w:rsidRPr="0062529D">
        <w:rPr>
          <w:rFonts w:ascii="Cambria" w:hAnsi="Cambria"/>
          <w:sz w:val="20"/>
          <w:szCs w:val="20"/>
          <w:lang w:val="es-ES"/>
        </w:rPr>
        <w:t>actividades comerciales independientes</w:t>
      </w:r>
      <w:r w:rsidR="000D6849">
        <w:rPr>
          <w:rFonts w:ascii="Cambria" w:hAnsi="Cambria"/>
          <w:sz w:val="20"/>
          <w:szCs w:val="20"/>
          <w:lang w:val="es-ES"/>
        </w:rPr>
        <w:t>;</w:t>
      </w:r>
      <w:r w:rsidR="006156F7" w:rsidRPr="0062529D">
        <w:rPr>
          <w:rFonts w:ascii="Cambria" w:hAnsi="Cambria"/>
          <w:sz w:val="20"/>
          <w:szCs w:val="20"/>
          <w:lang w:val="es-ES"/>
        </w:rPr>
        <w:t xml:space="preserve"> </w:t>
      </w:r>
      <w:r w:rsidR="000D6849">
        <w:rPr>
          <w:rFonts w:ascii="Cambria" w:hAnsi="Cambria"/>
          <w:sz w:val="20"/>
          <w:szCs w:val="20"/>
          <w:lang w:val="es-ES"/>
        </w:rPr>
        <w:t>n</w:t>
      </w:r>
      <w:r w:rsidR="006156F7" w:rsidRPr="0062529D">
        <w:rPr>
          <w:rFonts w:ascii="Cambria" w:hAnsi="Cambria"/>
          <w:sz w:val="20"/>
          <w:szCs w:val="20"/>
          <w:lang w:val="es-ES"/>
        </w:rPr>
        <w:t xml:space="preserve">o obstante, debido a </w:t>
      </w:r>
      <w:r w:rsidR="000D2D6F">
        <w:rPr>
          <w:rFonts w:ascii="Cambria" w:hAnsi="Cambria"/>
          <w:sz w:val="20"/>
          <w:szCs w:val="20"/>
          <w:lang w:val="es-ES"/>
        </w:rPr>
        <w:t>su</w:t>
      </w:r>
      <w:r w:rsidR="006156F7" w:rsidRPr="00E740B5">
        <w:rPr>
          <w:rFonts w:ascii="Cambria" w:hAnsi="Cambria"/>
          <w:sz w:val="20"/>
          <w:szCs w:val="20"/>
          <w:lang w:val="es-ES"/>
        </w:rPr>
        <w:t xml:space="preserve"> precaria situación </w:t>
      </w:r>
      <w:r w:rsidR="006156F7" w:rsidRPr="00D47A99">
        <w:rPr>
          <w:rFonts w:ascii="Cambria" w:hAnsi="Cambria"/>
          <w:sz w:val="20"/>
          <w:szCs w:val="20"/>
          <w:lang w:val="es-419"/>
        </w:rPr>
        <w:t>económica e</w:t>
      </w:r>
      <w:r w:rsidR="006156F7" w:rsidRPr="00E740B5">
        <w:rPr>
          <w:rFonts w:ascii="Cambria" w:hAnsi="Cambria"/>
          <w:sz w:val="20"/>
          <w:szCs w:val="20"/>
          <w:lang w:val="es-419"/>
        </w:rPr>
        <w:t xml:space="preserve"> </w:t>
      </w:r>
      <w:r w:rsidR="006156F7" w:rsidRPr="00D47A99">
        <w:rPr>
          <w:rFonts w:ascii="Cambria" w:hAnsi="Cambria"/>
          <w:sz w:val="20"/>
          <w:szCs w:val="20"/>
          <w:lang w:val="es-419"/>
        </w:rPr>
        <w:t>influenciado por personas conocidas</w:t>
      </w:r>
      <w:r w:rsidR="006156F7" w:rsidRPr="00E740B5">
        <w:rPr>
          <w:rFonts w:ascii="Cambria" w:hAnsi="Cambria"/>
          <w:sz w:val="20"/>
          <w:szCs w:val="20"/>
          <w:lang w:val="es-419"/>
        </w:rPr>
        <w:t xml:space="preserve">, </w:t>
      </w:r>
      <w:r w:rsidR="000D6849">
        <w:rPr>
          <w:rFonts w:ascii="Cambria" w:hAnsi="Cambria" w:cs="AvantGarde-Book"/>
          <w:sz w:val="20"/>
          <w:szCs w:val="20"/>
          <w:lang w:val="es-419" w:eastAsia="es-ES"/>
        </w:rPr>
        <w:t xml:space="preserve">el 8 de marzo de 2004 </w:t>
      </w:r>
      <w:r w:rsidR="00E70D03" w:rsidRPr="00E740B5">
        <w:rPr>
          <w:rFonts w:ascii="Cambria" w:hAnsi="Cambria"/>
          <w:sz w:val="20"/>
          <w:szCs w:val="20"/>
          <w:lang w:val="es-419"/>
        </w:rPr>
        <w:t xml:space="preserve">fue </w:t>
      </w:r>
      <w:r w:rsidR="000D6849">
        <w:rPr>
          <w:rFonts w:ascii="Cambria" w:hAnsi="Cambria"/>
          <w:sz w:val="20"/>
          <w:szCs w:val="20"/>
          <w:lang w:val="es-419"/>
        </w:rPr>
        <w:t>obligada a</w:t>
      </w:r>
      <w:r w:rsidR="00E70D03" w:rsidRPr="00E740B5">
        <w:rPr>
          <w:rFonts w:ascii="Cambria" w:hAnsi="Cambria"/>
          <w:sz w:val="20"/>
          <w:szCs w:val="20"/>
          <w:lang w:val="es-419"/>
        </w:rPr>
        <w:t xml:space="preserve"> participar en </w:t>
      </w:r>
      <w:r w:rsidR="00D47A99" w:rsidRPr="00D47A99">
        <w:rPr>
          <w:rFonts w:ascii="Cambria" w:hAnsi="Cambria"/>
          <w:sz w:val="20"/>
          <w:szCs w:val="20"/>
          <w:lang w:val="es-419"/>
        </w:rPr>
        <w:t>un asalto a</w:t>
      </w:r>
      <w:r w:rsidR="00D47A99" w:rsidRPr="00E740B5">
        <w:rPr>
          <w:rFonts w:ascii="Cambria" w:hAnsi="Cambria"/>
          <w:sz w:val="20"/>
          <w:szCs w:val="20"/>
          <w:lang w:val="es-419"/>
        </w:rPr>
        <w:t xml:space="preserve"> una entidad bancaria</w:t>
      </w:r>
      <w:r w:rsidR="000D6849">
        <w:rPr>
          <w:rFonts w:ascii="Cambria" w:hAnsi="Cambria"/>
          <w:sz w:val="20"/>
          <w:szCs w:val="20"/>
          <w:lang w:val="es-419"/>
        </w:rPr>
        <w:t>.</w:t>
      </w:r>
      <w:r w:rsidR="00C074C8">
        <w:rPr>
          <w:rFonts w:ascii="Cambria" w:hAnsi="Cambria" w:cs="AvantGarde-Book"/>
          <w:sz w:val="20"/>
          <w:szCs w:val="20"/>
          <w:lang w:val="es-419" w:eastAsia="es-ES"/>
        </w:rPr>
        <w:t xml:space="preserve"> </w:t>
      </w:r>
      <w:r w:rsidR="000D6849">
        <w:rPr>
          <w:rFonts w:ascii="Cambria" w:hAnsi="Cambria" w:cs="AvantGarde-Book"/>
          <w:sz w:val="20"/>
          <w:szCs w:val="20"/>
          <w:lang w:val="es-419" w:eastAsia="es-ES"/>
        </w:rPr>
        <w:t xml:space="preserve">Mientras huía del lugar </w:t>
      </w:r>
      <w:r w:rsidR="00A46570" w:rsidRPr="00A46570">
        <w:rPr>
          <w:rFonts w:ascii="Cambria" w:hAnsi="Cambria"/>
          <w:sz w:val="20"/>
          <w:szCs w:val="20"/>
          <w:lang w:val="es-419"/>
        </w:rPr>
        <w:t>en una motocicleta conducida por otro asaltante</w:t>
      </w:r>
      <w:r w:rsidR="00B97CC0">
        <w:rPr>
          <w:rFonts w:ascii="Cambria" w:hAnsi="Cambria"/>
          <w:sz w:val="20"/>
          <w:szCs w:val="20"/>
          <w:lang w:val="es-419"/>
        </w:rPr>
        <w:t>, y</w:t>
      </w:r>
      <w:r w:rsidR="000D6849">
        <w:rPr>
          <w:rFonts w:ascii="Cambria" w:hAnsi="Cambria"/>
          <w:sz w:val="20"/>
          <w:szCs w:val="20"/>
          <w:lang w:val="es-419"/>
        </w:rPr>
        <w:t xml:space="preserve"> perseguido</w:t>
      </w:r>
      <w:r w:rsidR="00C074C8">
        <w:rPr>
          <w:rFonts w:ascii="Cambria" w:hAnsi="Cambria"/>
          <w:sz w:val="20"/>
          <w:szCs w:val="20"/>
          <w:lang w:val="es-419"/>
        </w:rPr>
        <w:t xml:space="preserve"> por </w:t>
      </w:r>
      <w:r w:rsidR="00A46570" w:rsidRPr="00A46570">
        <w:rPr>
          <w:rFonts w:ascii="Cambria" w:hAnsi="Cambria"/>
          <w:sz w:val="20"/>
          <w:szCs w:val="20"/>
          <w:lang w:val="es-419"/>
        </w:rPr>
        <w:t xml:space="preserve">varios </w:t>
      </w:r>
      <w:r w:rsidR="00C074C8" w:rsidRPr="00A46570">
        <w:rPr>
          <w:rFonts w:ascii="Cambria" w:hAnsi="Cambria"/>
          <w:sz w:val="20"/>
          <w:szCs w:val="20"/>
          <w:lang w:val="es-419"/>
        </w:rPr>
        <w:t>policías</w:t>
      </w:r>
      <w:r w:rsidR="00C074C8">
        <w:rPr>
          <w:rFonts w:ascii="Cambria" w:hAnsi="Cambria"/>
          <w:sz w:val="20"/>
          <w:szCs w:val="20"/>
          <w:lang w:val="es-419"/>
        </w:rPr>
        <w:t xml:space="preserve">, </w:t>
      </w:r>
      <w:r w:rsidR="009E790E">
        <w:rPr>
          <w:rFonts w:ascii="Cambria" w:hAnsi="Cambria"/>
          <w:sz w:val="20"/>
          <w:szCs w:val="20"/>
          <w:lang w:val="es-419"/>
        </w:rPr>
        <w:t>se desestabilizaron y cayeron</w:t>
      </w:r>
      <w:r w:rsidR="000D6849">
        <w:rPr>
          <w:rFonts w:ascii="Cambria" w:hAnsi="Cambria"/>
          <w:sz w:val="20"/>
          <w:szCs w:val="20"/>
          <w:lang w:val="es-419"/>
        </w:rPr>
        <w:t xml:space="preserve">. En ese momento uno de los </w:t>
      </w:r>
      <w:r w:rsidR="00A46570" w:rsidRPr="00E740B5">
        <w:rPr>
          <w:rFonts w:ascii="Cambria" w:hAnsi="Cambria" w:cs="AvantGarde-Book"/>
          <w:sz w:val="20"/>
          <w:szCs w:val="20"/>
          <w:lang w:val="es-419" w:eastAsia="es-ES"/>
        </w:rPr>
        <w:t>agentes se acerc</w:t>
      </w:r>
      <w:r w:rsidR="000D6849">
        <w:rPr>
          <w:rFonts w:ascii="Cambria" w:hAnsi="Cambria" w:cs="AvantGarde-Book"/>
          <w:sz w:val="20"/>
          <w:szCs w:val="20"/>
          <w:lang w:val="es-419" w:eastAsia="es-ES"/>
        </w:rPr>
        <w:t>ó</w:t>
      </w:r>
      <w:r w:rsidR="00A46570" w:rsidRPr="00E740B5">
        <w:rPr>
          <w:rFonts w:ascii="Cambria" w:hAnsi="Cambria" w:cs="AvantGarde-Book"/>
          <w:sz w:val="20"/>
          <w:szCs w:val="20"/>
          <w:lang w:val="es-419" w:eastAsia="es-ES"/>
        </w:rPr>
        <w:t xml:space="preserve"> hacia</w:t>
      </w:r>
      <w:r w:rsidR="00E740B5" w:rsidRPr="00E740B5">
        <w:rPr>
          <w:rFonts w:ascii="Cambria" w:hAnsi="Cambria" w:cs="AvantGarde-Book"/>
          <w:sz w:val="20"/>
          <w:szCs w:val="20"/>
          <w:lang w:val="es-419" w:eastAsia="es-ES"/>
        </w:rPr>
        <w:t xml:space="preserve"> </w:t>
      </w:r>
      <w:r w:rsidR="000D6849">
        <w:rPr>
          <w:rFonts w:ascii="Cambria" w:hAnsi="Cambria" w:cs="AvantGarde-Book"/>
          <w:sz w:val="20"/>
          <w:szCs w:val="20"/>
          <w:lang w:val="es-419" w:eastAsia="es-ES"/>
        </w:rPr>
        <w:t>el</w:t>
      </w:r>
      <w:r w:rsidR="00A46570" w:rsidRPr="00A46570">
        <w:rPr>
          <w:rFonts w:ascii="Cambria" w:hAnsi="Cambria" w:cs="AvantGarde-Book"/>
          <w:sz w:val="20"/>
          <w:szCs w:val="20"/>
          <w:lang w:val="es-419" w:eastAsia="es-ES"/>
        </w:rPr>
        <w:t>los</w:t>
      </w:r>
      <w:r w:rsidR="000D6849">
        <w:rPr>
          <w:rFonts w:ascii="Cambria" w:hAnsi="Cambria" w:cs="AvantGarde-Book"/>
          <w:sz w:val="20"/>
          <w:szCs w:val="20"/>
          <w:lang w:val="es-419" w:eastAsia="es-ES"/>
        </w:rPr>
        <w:t>,</w:t>
      </w:r>
      <w:r w:rsidR="00A46570" w:rsidRPr="00A46570">
        <w:rPr>
          <w:rFonts w:ascii="Cambria" w:hAnsi="Cambria" w:cs="AvantGarde-Book"/>
          <w:sz w:val="20"/>
          <w:szCs w:val="20"/>
          <w:lang w:val="es-419" w:eastAsia="es-ES"/>
        </w:rPr>
        <w:t xml:space="preserve"> </w:t>
      </w:r>
      <w:r w:rsidR="004D62C6">
        <w:rPr>
          <w:rFonts w:ascii="Cambria" w:hAnsi="Cambria" w:cs="AvantGarde-Book"/>
          <w:sz w:val="20"/>
          <w:szCs w:val="20"/>
          <w:lang w:val="es-419" w:eastAsia="es-ES"/>
        </w:rPr>
        <w:t xml:space="preserve">por lo que el acompañante de la presunta víctima </w:t>
      </w:r>
      <w:r w:rsidR="000D6849">
        <w:rPr>
          <w:rFonts w:ascii="Cambria" w:hAnsi="Cambria" w:cs="AvantGarde-Book"/>
          <w:sz w:val="20"/>
          <w:szCs w:val="20"/>
          <w:lang w:val="es-419" w:eastAsia="es-ES"/>
        </w:rPr>
        <w:t xml:space="preserve">le </w:t>
      </w:r>
      <w:r w:rsidR="00A46570" w:rsidRPr="00A46570">
        <w:rPr>
          <w:rFonts w:ascii="Cambria" w:hAnsi="Cambria" w:cs="AvantGarde-Book"/>
          <w:sz w:val="20"/>
          <w:szCs w:val="20"/>
          <w:lang w:val="es-419" w:eastAsia="es-ES"/>
        </w:rPr>
        <w:t>disparó</w:t>
      </w:r>
      <w:r w:rsidR="004D62C6">
        <w:rPr>
          <w:rFonts w:ascii="Cambria" w:hAnsi="Cambria" w:cs="AvantGarde-Book"/>
          <w:sz w:val="20"/>
          <w:szCs w:val="20"/>
          <w:lang w:val="es-419" w:eastAsia="es-ES"/>
        </w:rPr>
        <w:t xml:space="preserve">. </w:t>
      </w:r>
      <w:r w:rsidR="00F00C2B">
        <w:rPr>
          <w:rFonts w:ascii="Cambria" w:hAnsi="Cambria" w:cs="AvantGarde-Book"/>
          <w:sz w:val="20"/>
          <w:szCs w:val="20"/>
          <w:lang w:val="es-419" w:eastAsia="es-ES"/>
        </w:rPr>
        <w:t>La parte peticionaria a</w:t>
      </w:r>
      <w:r w:rsidR="00381A04">
        <w:rPr>
          <w:rFonts w:ascii="Cambria" w:hAnsi="Cambria" w:cs="AvantGarde-Book"/>
          <w:sz w:val="20"/>
          <w:szCs w:val="20"/>
          <w:lang w:val="es-419" w:eastAsia="es-ES"/>
        </w:rPr>
        <w:t>rgumenta que la presunta víctima se encontraba herid</w:t>
      </w:r>
      <w:r w:rsidR="00F00C2B">
        <w:rPr>
          <w:rFonts w:ascii="Cambria" w:hAnsi="Cambria" w:cs="AvantGarde-Book"/>
          <w:sz w:val="20"/>
          <w:szCs w:val="20"/>
          <w:lang w:val="es-419" w:eastAsia="es-ES"/>
        </w:rPr>
        <w:t>a</w:t>
      </w:r>
      <w:r w:rsidR="00381A04">
        <w:rPr>
          <w:rFonts w:ascii="Cambria" w:hAnsi="Cambria" w:cs="AvantGarde-Book"/>
          <w:sz w:val="20"/>
          <w:szCs w:val="20"/>
          <w:lang w:val="es-419" w:eastAsia="es-ES"/>
        </w:rPr>
        <w:t xml:space="preserve"> </w:t>
      </w:r>
      <w:r w:rsidR="00A46570" w:rsidRPr="00A46570">
        <w:rPr>
          <w:rFonts w:ascii="Cambria" w:hAnsi="Cambria" w:cs="AvantGarde-Book"/>
          <w:sz w:val="20"/>
          <w:szCs w:val="20"/>
          <w:lang w:val="es-419" w:eastAsia="es-ES"/>
        </w:rPr>
        <w:t xml:space="preserve">por el impacto de su caída </w:t>
      </w:r>
      <w:r w:rsidR="00381A04">
        <w:rPr>
          <w:rFonts w:ascii="Cambria" w:hAnsi="Cambria" w:cs="AvantGarde-Book"/>
          <w:sz w:val="20"/>
          <w:szCs w:val="20"/>
          <w:lang w:val="es-419" w:eastAsia="es-ES"/>
        </w:rPr>
        <w:t xml:space="preserve">y </w:t>
      </w:r>
      <w:r w:rsidR="00A46570" w:rsidRPr="00A46570">
        <w:rPr>
          <w:rFonts w:ascii="Cambria" w:hAnsi="Cambria" w:cs="AvantGarde-Book"/>
          <w:sz w:val="20"/>
          <w:szCs w:val="20"/>
          <w:lang w:val="es-419" w:eastAsia="es-ES"/>
        </w:rPr>
        <w:t>continuaba en el suelo</w:t>
      </w:r>
      <w:r w:rsidR="00381A04">
        <w:rPr>
          <w:rFonts w:ascii="Cambria" w:hAnsi="Cambria" w:cs="AvantGarde-Book"/>
          <w:sz w:val="20"/>
          <w:szCs w:val="20"/>
          <w:lang w:val="es-419" w:eastAsia="es-ES"/>
        </w:rPr>
        <w:t xml:space="preserve"> </w:t>
      </w:r>
      <w:r w:rsidR="00381A04" w:rsidRPr="00E740B5">
        <w:rPr>
          <w:rFonts w:ascii="Cambria" w:hAnsi="Cambria" w:cs="AvantGarde-Book"/>
          <w:sz w:val="20"/>
          <w:szCs w:val="20"/>
          <w:lang w:val="es-419" w:eastAsia="es-ES"/>
        </w:rPr>
        <w:t>inclinad</w:t>
      </w:r>
      <w:r w:rsidR="00F00C2B">
        <w:rPr>
          <w:rFonts w:ascii="Cambria" w:hAnsi="Cambria" w:cs="AvantGarde-Book"/>
          <w:sz w:val="20"/>
          <w:szCs w:val="20"/>
          <w:lang w:val="es-419" w:eastAsia="es-ES"/>
        </w:rPr>
        <w:t>a</w:t>
      </w:r>
      <w:r w:rsidR="00381A04" w:rsidRPr="00E740B5">
        <w:rPr>
          <w:rFonts w:ascii="Cambria" w:hAnsi="Cambria" w:cs="AvantGarde-Book"/>
          <w:sz w:val="20"/>
          <w:szCs w:val="20"/>
          <w:lang w:val="es-419" w:eastAsia="es-ES"/>
        </w:rPr>
        <w:t xml:space="preserve"> en señal de rendición</w:t>
      </w:r>
      <w:r w:rsidR="00A46570" w:rsidRPr="00A46570">
        <w:rPr>
          <w:rFonts w:ascii="Cambria" w:hAnsi="Cambria" w:cs="AvantGarde-Book"/>
          <w:sz w:val="20"/>
          <w:szCs w:val="20"/>
          <w:lang w:val="es-419" w:eastAsia="es-ES"/>
        </w:rPr>
        <w:t xml:space="preserve">, sin ofrecer oposición </w:t>
      </w:r>
      <w:r w:rsidR="00381A04">
        <w:rPr>
          <w:rFonts w:ascii="Cambria" w:hAnsi="Cambria" w:cs="AvantGarde-Book"/>
          <w:sz w:val="20"/>
          <w:szCs w:val="20"/>
          <w:lang w:val="es-419" w:eastAsia="es-ES"/>
        </w:rPr>
        <w:t>o peligro</w:t>
      </w:r>
      <w:r w:rsidR="00F00C2B">
        <w:rPr>
          <w:rFonts w:ascii="Cambria" w:hAnsi="Cambria" w:cs="AvantGarde-Book"/>
          <w:sz w:val="20"/>
          <w:szCs w:val="20"/>
          <w:lang w:val="es-419" w:eastAsia="es-ES"/>
        </w:rPr>
        <w:t>;</w:t>
      </w:r>
      <w:r w:rsidR="00381A04">
        <w:rPr>
          <w:rFonts w:ascii="Cambria" w:hAnsi="Cambria" w:cs="AvantGarde-Book"/>
          <w:sz w:val="20"/>
          <w:szCs w:val="20"/>
          <w:lang w:val="es-419" w:eastAsia="es-ES"/>
        </w:rPr>
        <w:t xml:space="preserve"> sin embargo,</w:t>
      </w:r>
      <w:r w:rsidR="00A46570" w:rsidRPr="00E740B5">
        <w:rPr>
          <w:rFonts w:ascii="Cambria" w:hAnsi="Cambria" w:cs="AvantGarde-Book"/>
          <w:sz w:val="20"/>
          <w:szCs w:val="20"/>
          <w:lang w:val="es-419" w:eastAsia="es-ES"/>
        </w:rPr>
        <w:t xml:space="preserve"> </w:t>
      </w:r>
      <w:r w:rsidR="00F00C2B">
        <w:rPr>
          <w:rFonts w:ascii="Cambria" w:hAnsi="Cambria" w:cs="AvantGarde-Book"/>
          <w:sz w:val="20"/>
          <w:szCs w:val="20"/>
          <w:lang w:val="es-419" w:eastAsia="es-ES"/>
        </w:rPr>
        <w:t xml:space="preserve">uno de los </w:t>
      </w:r>
      <w:r w:rsidR="00A46570" w:rsidRPr="00E740B5">
        <w:rPr>
          <w:rFonts w:ascii="Cambria" w:hAnsi="Cambria" w:cs="AvantGarde-Book"/>
          <w:sz w:val="20"/>
          <w:szCs w:val="20"/>
          <w:lang w:val="es-419" w:eastAsia="es-ES"/>
        </w:rPr>
        <w:t>agente</w:t>
      </w:r>
      <w:r w:rsidR="00F00C2B">
        <w:rPr>
          <w:rFonts w:ascii="Cambria" w:hAnsi="Cambria" w:cs="AvantGarde-Book"/>
          <w:sz w:val="20"/>
          <w:szCs w:val="20"/>
          <w:lang w:val="es-419" w:eastAsia="es-ES"/>
        </w:rPr>
        <w:t>s</w:t>
      </w:r>
      <w:r w:rsidR="000977D2">
        <w:rPr>
          <w:rFonts w:ascii="Cambria" w:hAnsi="Cambria" w:cs="AvantGarde-Book"/>
          <w:sz w:val="20"/>
          <w:szCs w:val="20"/>
          <w:lang w:val="es-419" w:eastAsia="es-ES"/>
        </w:rPr>
        <w:t xml:space="preserve"> </w:t>
      </w:r>
      <w:r w:rsidR="00F00C2B">
        <w:rPr>
          <w:rFonts w:ascii="Cambria" w:hAnsi="Cambria" w:cs="AvantGarde-Book"/>
          <w:sz w:val="20"/>
          <w:szCs w:val="20"/>
          <w:lang w:val="es-419" w:eastAsia="es-ES"/>
        </w:rPr>
        <w:t xml:space="preserve">le dio un </w:t>
      </w:r>
      <w:r w:rsidR="000977D2">
        <w:rPr>
          <w:rFonts w:ascii="Cambria" w:hAnsi="Cambria" w:cs="AvantGarde-Book"/>
          <w:sz w:val="20"/>
          <w:szCs w:val="20"/>
          <w:lang w:val="es-419" w:eastAsia="es-ES"/>
        </w:rPr>
        <w:t>dispar</w:t>
      </w:r>
      <w:r w:rsidR="00F00C2B">
        <w:rPr>
          <w:rFonts w:ascii="Cambria" w:hAnsi="Cambria" w:cs="AvantGarde-Book"/>
          <w:sz w:val="20"/>
          <w:szCs w:val="20"/>
          <w:lang w:val="es-419" w:eastAsia="es-ES"/>
        </w:rPr>
        <w:t>o</w:t>
      </w:r>
      <w:r w:rsidR="00A46570" w:rsidRPr="00E740B5">
        <w:rPr>
          <w:rFonts w:ascii="Cambria" w:hAnsi="Cambria" w:cs="AvantGarde-Book"/>
          <w:sz w:val="20"/>
          <w:szCs w:val="20"/>
          <w:lang w:val="es-419" w:eastAsia="es-ES"/>
        </w:rPr>
        <w:t xml:space="preserve"> </w:t>
      </w:r>
      <w:r w:rsidR="001F407F">
        <w:rPr>
          <w:rFonts w:ascii="Cambria" w:hAnsi="Cambria" w:cs="AvantGarde-Book"/>
          <w:sz w:val="20"/>
          <w:szCs w:val="20"/>
          <w:lang w:val="es-419" w:eastAsia="es-ES"/>
        </w:rPr>
        <w:t xml:space="preserve">mortal </w:t>
      </w:r>
      <w:r w:rsidR="00B97CC0">
        <w:rPr>
          <w:rFonts w:ascii="Cambria" w:hAnsi="Cambria" w:cs="AvantGarde-Book"/>
          <w:sz w:val="20"/>
          <w:szCs w:val="20"/>
          <w:lang w:val="es-419" w:eastAsia="es-ES"/>
        </w:rPr>
        <w:t xml:space="preserve">con </w:t>
      </w:r>
      <w:r w:rsidR="00B97CC0" w:rsidRPr="00E740B5">
        <w:rPr>
          <w:rFonts w:ascii="Cambria" w:hAnsi="Cambria" w:cs="AvantGarde-Book"/>
          <w:sz w:val="20"/>
          <w:szCs w:val="20"/>
          <w:lang w:val="es-419" w:eastAsia="es-ES"/>
        </w:rPr>
        <w:t>su arma de dotación oficial</w:t>
      </w:r>
      <w:r w:rsidR="00B97CC0">
        <w:rPr>
          <w:rFonts w:ascii="Cambria" w:hAnsi="Cambria" w:cs="AvantGarde-Book"/>
          <w:sz w:val="20"/>
          <w:szCs w:val="20"/>
          <w:lang w:val="es-419" w:eastAsia="es-ES"/>
        </w:rPr>
        <w:t>,</w:t>
      </w:r>
      <w:r w:rsidR="00B97CC0" w:rsidRPr="00E740B5">
        <w:rPr>
          <w:rFonts w:ascii="Cambria" w:hAnsi="Cambria" w:cs="AvantGarde-Book"/>
          <w:sz w:val="20"/>
          <w:szCs w:val="20"/>
          <w:lang w:val="es-419" w:eastAsia="es-ES"/>
        </w:rPr>
        <w:t xml:space="preserve"> </w:t>
      </w:r>
      <w:r w:rsidR="00A46570" w:rsidRPr="00E740B5">
        <w:rPr>
          <w:rFonts w:ascii="Cambria" w:hAnsi="Cambria" w:cs="AvantGarde-Book"/>
          <w:sz w:val="20"/>
          <w:szCs w:val="20"/>
          <w:lang w:val="es-419" w:eastAsia="es-ES"/>
        </w:rPr>
        <w:t xml:space="preserve">sin motivo </w:t>
      </w:r>
      <w:r w:rsidR="00F00C2B">
        <w:rPr>
          <w:rFonts w:ascii="Cambria" w:hAnsi="Cambria" w:cs="AvantGarde-Book"/>
          <w:sz w:val="20"/>
          <w:szCs w:val="20"/>
          <w:lang w:val="es-419" w:eastAsia="es-ES"/>
        </w:rPr>
        <w:t>alguno.</w:t>
      </w:r>
      <w:r w:rsidR="001F407F">
        <w:rPr>
          <w:rFonts w:ascii="Cambria" w:hAnsi="Cambria" w:cs="AvantGarde-Book"/>
          <w:sz w:val="20"/>
          <w:szCs w:val="20"/>
          <w:lang w:val="es-419" w:eastAsia="es-ES"/>
        </w:rPr>
        <w:t xml:space="preserve"> </w:t>
      </w:r>
      <w:r w:rsidR="00F00C2B">
        <w:rPr>
          <w:rFonts w:ascii="Cambria" w:hAnsi="Cambria" w:cs="AvantGarde-Book"/>
          <w:sz w:val="20"/>
          <w:szCs w:val="20"/>
          <w:lang w:val="es-419" w:eastAsia="es-ES"/>
        </w:rPr>
        <w:t xml:space="preserve">Lo anterior </w:t>
      </w:r>
      <w:r w:rsidR="001F407F">
        <w:rPr>
          <w:rFonts w:ascii="Cambria" w:hAnsi="Cambria" w:cs="AvantGarde-Book"/>
          <w:sz w:val="20"/>
          <w:szCs w:val="20"/>
          <w:lang w:val="es-419" w:eastAsia="es-ES"/>
        </w:rPr>
        <w:t>fue o</w:t>
      </w:r>
      <w:r w:rsidR="00A46570" w:rsidRPr="00E740B5">
        <w:rPr>
          <w:rFonts w:ascii="Cambria" w:hAnsi="Cambria" w:cs="AvantGarde-Book"/>
          <w:sz w:val="20"/>
          <w:szCs w:val="20"/>
          <w:lang w:val="es-419" w:eastAsia="es-ES"/>
        </w:rPr>
        <w:t>bservad</w:t>
      </w:r>
      <w:r w:rsidR="00C327FB">
        <w:rPr>
          <w:rFonts w:ascii="Cambria" w:hAnsi="Cambria" w:cs="AvantGarde-Book"/>
          <w:sz w:val="20"/>
          <w:szCs w:val="20"/>
          <w:lang w:val="es-419" w:eastAsia="es-ES"/>
        </w:rPr>
        <w:t>o</w:t>
      </w:r>
      <w:r w:rsidR="00A46570" w:rsidRPr="00E740B5">
        <w:rPr>
          <w:rFonts w:ascii="Cambria" w:hAnsi="Cambria" w:cs="AvantGarde-Book"/>
          <w:sz w:val="20"/>
          <w:szCs w:val="20"/>
          <w:lang w:val="es-419" w:eastAsia="es-ES"/>
        </w:rPr>
        <w:t xml:space="preserve"> por varios transeúntes y personas que </w:t>
      </w:r>
      <w:r w:rsidR="00F00C2B">
        <w:rPr>
          <w:rFonts w:ascii="Cambria" w:hAnsi="Cambria" w:cs="AvantGarde-Book"/>
          <w:sz w:val="20"/>
          <w:szCs w:val="20"/>
          <w:lang w:val="es-419" w:eastAsia="es-ES"/>
        </w:rPr>
        <w:t>trabajaban</w:t>
      </w:r>
      <w:r w:rsidR="001F407F">
        <w:rPr>
          <w:rFonts w:ascii="Cambria" w:hAnsi="Cambria" w:cs="AvantGarde-Book"/>
          <w:sz w:val="20"/>
          <w:szCs w:val="20"/>
          <w:lang w:val="es-419" w:eastAsia="es-ES"/>
        </w:rPr>
        <w:t xml:space="preserve"> en el lugar de los hechos</w:t>
      </w:r>
      <w:r w:rsidR="00A46570" w:rsidRPr="00E740B5">
        <w:rPr>
          <w:rFonts w:ascii="Cambria" w:hAnsi="Cambria" w:cs="AvantGarde-Book"/>
          <w:sz w:val="20"/>
          <w:szCs w:val="20"/>
          <w:lang w:val="es-419" w:eastAsia="es-ES"/>
        </w:rPr>
        <w:t xml:space="preserve">. </w:t>
      </w:r>
    </w:p>
    <w:p w14:paraId="3CE33276" w14:textId="77777777" w:rsidR="002317A9" w:rsidRDefault="002317A9" w:rsidP="002317A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vantGarde-Book"/>
          <w:sz w:val="20"/>
          <w:szCs w:val="20"/>
          <w:lang w:val="es-419" w:eastAsia="es-ES"/>
        </w:rPr>
      </w:pPr>
    </w:p>
    <w:p w14:paraId="2A86CEFD" w14:textId="0F71EF5B" w:rsidR="00705F89" w:rsidRDefault="00F00C2B"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vantGarde-Book"/>
          <w:sz w:val="20"/>
          <w:szCs w:val="20"/>
          <w:lang w:val="es-419" w:eastAsia="es-ES"/>
        </w:rPr>
      </w:pPr>
      <w:r>
        <w:rPr>
          <w:rFonts w:ascii="Cambria" w:hAnsi="Cambria" w:cs="AvantGarde-Book"/>
          <w:sz w:val="20"/>
          <w:szCs w:val="20"/>
          <w:lang w:val="es-419" w:eastAsia="es-ES"/>
        </w:rPr>
        <w:t>Con</w:t>
      </w:r>
      <w:r w:rsidR="00112F97">
        <w:rPr>
          <w:rFonts w:ascii="Cambria" w:hAnsi="Cambria" w:cs="AvantGarde-Book"/>
          <w:sz w:val="20"/>
          <w:szCs w:val="20"/>
          <w:lang w:val="es-419" w:eastAsia="es-ES"/>
        </w:rPr>
        <w:t xml:space="preserve"> ocasión de </w:t>
      </w:r>
      <w:r w:rsidR="00705F89">
        <w:rPr>
          <w:rFonts w:ascii="Cambria" w:hAnsi="Cambria" w:cs="AvantGarde-Book"/>
          <w:sz w:val="20"/>
          <w:szCs w:val="20"/>
          <w:lang w:val="es-419" w:eastAsia="es-ES"/>
        </w:rPr>
        <w:t>la muerte de la presunta víctima</w:t>
      </w:r>
      <w:r w:rsidR="00112F97">
        <w:rPr>
          <w:rFonts w:ascii="Cambria" w:hAnsi="Cambria" w:cs="AvantGarde-Book"/>
          <w:sz w:val="20"/>
          <w:szCs w:val="20"/>
          <w:lang w:val="es-419" w:eastAsia="es-ES"/>
        </w:rPr>
        <w:t xml:space="preserve"> se dio apertura</w:t>
      </w:r>
      <w:r w:rsidR="00EC5891">
        <w:rPr>
          <w:rFonts w:ascii="Cambria" w:hAnsi="Cambria" w:cs="AvantGarde-Book"/>
          <w:sz w:val="20"/>
          <w:szCs w:val="20"/>
          <w:lang w:val="es-419" w:eastAsia="es-ES"/>
        </w:rPr>
        <w:t xml:space="preserve"> a</w:t>
      </w:r>
      <w:r w:rsidR="00112F97">
        <w:rPr>
          <w:rFonts w:ascii="Cambria" w:hAnsi="Cambria" w:cs="AvantGarde-Book"/>
          <w:sz w:val="20"/>
          <w:szCs w:val="20"/>
          <w:lang w:val="es-419" w:eastAsia="es-ES"/>
        </w:rPr>
        <w:t xml:space="preserve"> una a</w:t>
      </w:r>
      <w:r w:rsidR="00BF10D2" w:rsidRPr="00BF10D2">
        <w:rPr>
          <w:rFonts w:ascii="Cambria" w:hAnsi="Cambria" w:cs="AvantGarde-Book"/>
          <w:sz w:val="20"/>
          <w:szCs w:val="20"/>
          <w:lang w:val="es-419" w:eastAsia="es-ES"/>
        </w:rPr>
        <w:t xml:space="preserve">cción </w:t>
      </w:r>
      <w:r w:rsidR="00B97CC0">
        <w:rPr>
          <w:rFonts w:ascii="Cambria" w:hAnsi="Cambria" w:cs="AvantGarde-Book"/>
          <w:sz w:val="20"/>
          <w:szCs w:val="20"/>
          <w:lang w:val="es-419" w:eastAsia="es-ES"/>
        </w:rPr>
        <w:t xml:space="preserve">en </w:t>
      </w:r>
      <w:r w:rsidR="00BF10D2" w:rsidRPr="00BF10D2">
        <w:rPr>
          <w:rFonts w:ascii="Cambria" w:hAnsi="Cambria" w:cs="AvantGarde-Book"/>
          <w:sz w:val="20"/>
          <w:szCs w:val="20"/>
          <w:lang w:val="es-419" w:eastAsia="es-ES"/>
        </w:rPr>
        <w:t xml:space="preserve">la jurisdicción penal militar en contra del </w:t>
      </w:r>
      <w:r w:rsidR="00112F97">
        <w:rPr>
          <w:rFonts w:ascii="Cambria" w:hAnsi="Cambria" w:cs="AvantGarde-Book"/>
          <w:sz w:val="20"/>
          <w:szCs w:val="20"/>
          <w:lang w:val="es-419" w:eastAsia="es-ES"/>
        </w:rPr>
        <w:t>a</w:t>
      </w:r>
      <w:r w:rsidR="00BF10D2" w:rsidRPr="00BF10D2">
        <w:rPr>
          <w:rFonts w:ascii="Cambria" w:hAnsi="Cambria" w:cs="AvantGarde-Book"/>
          <w:sz w:val="20"/>
          <w:szCs w:val="20"/>
          <w:lang w:val="es-419" w:eastAsia="es-ES"/>
        </w:rPr>
        <w:t xml:space="preserve">gente de </w:t>
      </w:r>
      <w:r w:rsidR="00112F97">
        <w:rPr>
          <w:rFonts w:ascii="Cambria" w:hAnsi="Cambria" w:cs="AvantGarde-Book"/>
          <w:sz w:val="20"/>
          <w:szCs w:val="20"/>
          <w:lang w:val="es-419" w:eastAsia="es-ES"/>
        </w:rPr>
        <w:t>p</w:t>
      </w:r>
      <w:r w:rsidR="00BF10D2" w:rsidRPr="00BF10D2">
        <w:rPr>
          <w:rFonts w:ascii="Cambria" w:hAnsi="Cambria" w:cs="AvantGarde-Book"/>
          <w:sz w:val="20"/>
          <w:szCs w:val="20"/>
          <w:lang w:val="es-419" w:eastAsia="es-ES"/>
        </w:rPr>
        <w:t xml:space="preserve">olicía </w:t>
      </w:r>
      <w:r w:rsidR="00B97CC0">
        <w:rPr>
          <w:rFonts w:ascii="Cambria" w:hAnsi="Cambria" w:cs="AvantGarde-Book"/>
          <w:sz w:val="20"/>
          <w:szCs w:val="20"/>
          <w:lang w:val="es-419" w:eastAsia="es-ES"/>
        </w:rPr>
        <w:t>involucrado</w:t>
      </w:r>
      <w:r>
        <w:rPr>
          <w:rFonts w:ascii="Cambria" w:hAnsi="Cambria" w:cs="AvantGarde-Book"/>
          <w:sz w:val="20"/>
          <w:szCs w:val="20"/>
          <w:lang w:val="es-419" w:eastAsia="es-ES"/>
        </w:rPr>
        <w:t xml:space="preserve">. El asunto fue </w:t>
      </w:r>
      <w:r w:rsidR="00BF10D2" w:rsidRPr="00BF10D2">
        <w:rPr>
          <w:rFonts w:ascii="Cambria" w:hAnsi="Cambria" w:cs="AvantGarde-Book"/>
          <w:sz w:val="20"/>
          <w:szCs w:val="20"/>
          <w:lang w:val="es-419" w:eastAsia="es-ES"/>
        </w:rPr>
        <w:t>adelanta</w:t>
      </w:r>
      <w:r w:rsidR="00112F97">
        <w:rPr>
          <w:rFonts w:ascii="Cambria" w:hAnsi="Cambria" w:cs="AvantGarde-Book"/>
          <w:sz w:val="20"/>
          <w:szCs w:val="20"/>
          <w:lang w:val="es-419" w:eastAsia="es-ES"/>
        </w:rPr>
        <w:t>d</w:t>
      </w:r>
      <w:r>
        <w:rPr>
          <w:rFonts w:ascii="Cambria" w:hAnsi="Cambria" w:cs="AvantGarde-Book"/>
          <w:sz w:val="20"/>
          <w:szCs w:val="20"/>
          <w:lang w:val="es-419" w:eastAsia="es-ES"/>
        </w:rPr>
        <w:t>o</w:t>
      </w:r>
      <w:r w:rsidR="00BF10D2" w:rsidRPr="00BF10D2">
        <w:rPr>
          <w:rFonts w:ascii="Cambria" w:hAnsi="Cambria" w:cs="AvantGarde-Book"/>
          <w:sz w:val="20"/>
          <w:szCs w:val="20"/>
          <w:lang w:val="es-419" w:eastAsia="es-ES"/>
        </w:rPr>
        <w:t xml:space="preserve"> por </w:t>
      </w:r>
      <w:r w:rsidR="00DA55D1" w:rsidRPr="00E740B5">
        <w:rPr>
          <w:rFonts w:ascii="Cambria" w:hAnsi="Cambria" w:cs="AvantGarde-Book"/>
          <w:sz w:val="20"/>
          <w:szCs w:val="20"/>
          <w:lang w:val="es-419" w:eastAsia="es-ES"/>
        </w:rPr>
        <w:t xml:space="preserve">la Fiscalía </w:t>
      </w:r>
      <w:r w:rsidR="00DA55D1">
        <w:rPr>
          <w:rFonts w:ascii="Cambria" w:hAnsi="Cambria" w:cs="AvantGarde-Book"/>
          <w:sz w:val="20"/>
          <w:szCs w:val="20"/>
          <w:lang w:val="es-419" w:eastAsia="es-ES"/>
        </w:rPr>
        <w:t xml:space="preserve">145 </w:t>
      </w:r>
      <w:r w:rsidR="00DA55D1" w:rsidRPr="00E740B5">
        <w:rPr>
          <w:rFonts w:ascii="Cambria" w:hAnsi="Cambria" w:cs="AvantGarde-Book"/>
          <w:sz w:val="20"/>
          <w:szCs w:val="20"/>
          <w:lang w:val="es-419" w:eastAsia="es-ES"/>
        </w:rPr>
        <w:t xml:space="preserve">Penal Militar de Cali, </w:t>
      </w:r>
      <w:r w:rsidR="00DA55D1">
        <w:rPr>
          <w:rFonts w:ascii="Cambria" w:hAnsi="Cambria" w:cs="AvantGarde-Book"/>
          <w:sz w:val="20"/>
          <w:szCs w:val="20"/>
          <w:lang w:val="es-419" w:eastAsia="es-ES"/>
        </w:rPr>
        <w:t>y</w:t>
      </w:r>
      <w:r w:rsidR="00DA55D1" w:rsidRPr="00E740B5">
        <w:rPr>
          <w:rFonts w:ascii="Cambria" w:hAnsi="Cambria" w:cs="AvantGarde-Book"/>
          <w:sz w:val="20"/>
          <w:szCs w:val="20"/>
          <w:lang w:val="es-419" w:eastAsia="es-ES"/>
        </w:rPr>
        <w:t xml:space="preserve"> </w:t>
      </w:r>
      <w:r w:rsidR="00DA55D1">
        <w:rPr>
          <w:rFonts w:ascii="Cambria" w:hAnsi="Cambria" w:cs="AvantGarde-Book"/>
          <w:sz w:val="20"/>
          <w:szCs w:val="20"/>
          <w:lang w:val="es-419" w:eastAsia="es-ES"/>
        </w:rPr>
        <w:t xml:space="preserve">concluyó con </w:t>
      </w:r>
      <w:r w:rsidR="00DA55D1" w:rsidRPr="00E740B5">
        <w:rPr>
          <w:rFonts w:ascii="Cambria" w:hAnsi="Cambria" w:cs="AvantGarde-Book"/>
          <w:sz w:val="20"/>
          <w:szCs w:val="20"/>
          <w:lang w:val="es-419" w:eastAsia="es-ES"/>
        </w:rPr>
        <w:t xml:space="preserve">la providencia de cesación de procedimiento del </w:t>
      </w:r>
      <w:r w:rsidR="00DA55D1">
        <w:rPr>
          <w:rFonts w:ascii="Cambria" w:hAnsi="Cambria" w:cs="AvantGarde-Book"/>
          <w:sz w:val="20"/>
          <w:szCs w:val="20"/>
          <w:lang w:val="es-419" w:eastAsia="es-ES"/>
        </w:rPr>
        <w:t>16 de mayo de 2006</w:t>
      </w:r>
      <w:r w:rsidR="00E64288">
        <w:rPr>
          <w:rFonts w:ascii="Cambria" w:hAnsi="Cambria" w:cs="AvantGarde-Book"/>
          <w:sz w:val="20"/>
          <w:szCs w:val="20"/>
          <w:lang w:val="es-419" w:eastAsia="es-ES"/>
        </w:rPr>
        <w:t>.</w:t>
      </w:r>
    </w:p>
    <w:p w14:paraId="00C4C5B9" w14:textId="77777777" w:rsidR="00B64535" w:rsidRDefault="00B64535" w:rsidP="00B6453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vantGarde-Book"/>
          <w:sz w:val="20"/>
          <w:szCs w:val="20"/>
          <w:lang w:val="es-419" w:eastAsia="es-ES"/>
        </w:rPr>
      </w:pPr>
    </w:p>
    <w:p w14:paraId="1BED6ED9" w14:textId="544AD1A1" w:rsidR="00444454" w:rsidRDefault="00E537C7"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vantGarde-Book"/>
          <w:sz w:val="20"/>
          <w:szCs w:val="20"/>
          <w:lang w:val="es-419" w:eastAsia="es-ES"/>
        </w:rPr>
      </w:pPr>
      <w:r>
        <w:rPr>
          <w:rFonts w:ascii="Cambria" w:hAnsi="Cambria" w:cs="AvantGarde-Book"/>
          <w:sz w:val="20"/>
          <w:szCs w:val="20"/>
          <w:lang w:val="es-419" w:eastAsia="es-ES"/>
        </w:rPr>
        <w:t>La</w:t>
      </w:r>
      <w:r w:rsidR="00DA55D1" w:rsidRPr="001C6E6C">
        <w:rPr>
          <w:rFonts w:ascii="Cambria" w:hAnsi="Cambria" w:cs="AvantGarde-Book"/>
          <w:sz w:val="20"/>
          <w:szCs w:val="20"/>
          <w:lang w:val="es-419" w:eastAsia="es-ES"/>
        </w:rPr>
        <w:t xml:space="preserve"> familia de la presunta víctima presentó una a</w:t>
      </w:r>
      <w:r w:rsidR="00BF10D2" w:rsidRPr="001C6E6C">
        <w:rPr>
          <w:rFonts w:ascii="Cambria" w:hAnsi="Cambria" w:cs="AvantGarde-Book"/>
          <w:sz w:val="20"/>
          <w:szCs w:val="20"/>
          <w:lang w:val="es-419" w:eastAsia="es-ES"/>
        </w:rPr>
        <w:t xml:space="preserve">cción de reparación directa </w:t>
      </w:r>
      <w:r w:rsidRPr="001C4550">
        <w:rPr>
          <w:rFonts w:ascii="Cambria" w:hAnsi="Cambria" w:cs="AvantGarde-Book"/>
          <w:sz w:val="20"/>
          <w:szCs w:val="20"/>
          <w:lang w:val="es-419" w:eastAsia="es-ES"/>
        </w:rPr>
        <w:t>ante la jurisdicción</w:t>
      </w:r>
      <w:r w:rsidRPr="001C6E6C">
        <w:rPr>
          <w:rFonts w:ascii="Cambria" w:hAnsi="Cambria" w:cs="AvantGarde-Book"/>
          <w:sz w:val="20"/>
          <w:szCs w:val="20"/>
          <w:lang w:val="es-419" w:eastAsia="es-ES"/>
        </w:rPr>
        <w:t xml:space="preserve"> </w:t>
      </w:r>
      <w:r w:rsidR="00B97CC0" w:rsidRPr="001C4550">
        <w:rPr>
          <w:rFonts w:ascii="Cambria" w:hAnsi="Cambria" w:cs="AvantGarde-Book"/>
          <w:sz w:val="20"/>
          <w:szCs w:val="20"/>
          <w:lang w:val="es-419" w:eastAsia="es-ES"/>
        </w:rPr>
        <w:t>contencios</w:t>
      </w:r>
      <w:r w:rsidR="00B97CC0">
        <w:rPr>
          <w:rFonts w:ascii="Cambria" w:hAnsi="Cambria" w:cs="AvantGarde-Book"/>
          <w:sz w:val="20"/>
          <w:szCs w:val="20"/>
          <w:lang w:val="es-419" w:eastAsia="es-ES"/>
        </w:rPr>
        <w:t>o</w:t>
      </w:r>
      <w:r w:rsidR="00B97CC0" w:rsidRPr="001C4550">
        <w:rPr>
          <w:rFonts w:ascii="Cambria" w:hAnsi="Cambria" w:cs="AvantGarde-Book"/>
          <w:sz w:val="20"/>
          <w:szCs w:val="20"/>
          <w:lang w:val="es-419" w:eastAsia="es-ES"/>
        </w:rPr>
        <w:t>-administrativa</w:t>
      </w:r>
      <w:r w:rsidRPr="001C6E6C">
        <w:rPr>
          <w:rFonts w:ascii="Cambria" w:hAnsi="Cambria" w:cs="AvantGarde-Book"/>
          <w:sz w:val="20"/>
          <w:szCs w:val="20"/>
          <w:lang w:val="es-419" w:eastAsia="es-ES"/>
        </w:rPr>
        <w:t xml:space="preserve"> </w:t>
      </w:r>
      <w:r w:rsidR="00BF10D2" w:rsidRPr="001C6E6C">
        <w:rPr>
          <w:rFonts w:ascii="Cambria" w:hAnsi="Cambria" w:cs="AvantGarde-Book"/>
          <w:sz w:val="20"/>
          <w:szCs w:val="20"/>
          <w:lang w:val="es-419" w:eastAsia="es-ES"/>
        </w:rPr>
        <w:t xml:space="preserve">contra </w:t>
      </w:r>
      <w:r>
        <w:rPr>
          <w:rFonts w:ascii="Cambria" w:hAnsi="Cambria" w:cs="AvantGarde-Book"/>
          <w:sz w:val="20"/>
          <w:szCs w:val="20"/>
          <w:lang w:val="es-419" w:eastAsia="es-ES"/>
        </w:rPr>
        <w:t>el</w:t>
      </w:r>
      <w:r w:rsidR="00BF10D2" w:rsidRPr="001C6E6C">
        <w:rPr>
          <w:rFonts w:ascii="Cambria" w:hAnsi="Cambria" w:cs="AvantGarde-Book"/>
          <w:sz w:val="20"/>
          <w:szCs w:val="20"/>
          <w:lang w:val="es-419" w:eastAsia="es-ES"/>
        </w:rPr>
        <w:t xml:space="preserve"> Ministerio de Defensa </w:t>
      </w:r>
      <w:r>
        <w:rPr>
          <w:rFonts w:ascii="Cambria" w:hAnsi="Cambria" w:cs="AvantGarde-Book"/>
          <w:sz w:val="20"/>
          <w:szCs w:val="20"/>
          <w:lang w:val="es-419" w:eastAsia="es-ES"/>
        </w:rPr>
        <w:t xml:space="preserve">y la </w:t>
      </w:r>
      <w:r w:rsidR="00BF10D2" w:rsidRPr="001C6E6C">
        <w:rPr>
          <w:rFonts w:ascii="Cambria" w:hAnsi="Cambria" w:cs="AvantGarde-Book"/>
          <w:sz w:val="20"/>
          <w:szCs w:val="20"/>
          <w:lang w:val="es-419" w:eastAsia="es-ES"/>
        </w:rPr>
        <w:t xml:space="preserve">Policía </w:t>
      </w:r>
      <w:r w:rsidRPr="001C6E6C">
        <w:rPr>
          <w:rFonts w:ascii="Cambria" w:hAnsi="Cambria" w:cs="AvantGarde-Book"/>
          <w:sz w:val="20"/>
          <w:szCs w:val="20"/>
          <w:lang w:val="es-419" w:eastAsia="es-ES"/>
        </w:rPr>
        <w:t>Nacional.</w:t>
      </w:r>
      <w:r w:rsidR="00DA55D1" w:rsidRPr="001C6E6C">
        <w:rPr>
          <w:rFonts w:ascii="Cambria" w:hAnsi="Cambria" w:cs="AvantGarde-Book"/>
          <w:sz w:val="20"/>
          <w:szCs w:val="20"/>
          <w:lang w:val="es-419" w:eastAsia="es-ES"/>
        </w:rPr>
        <w:t xml:space="preserve"> </w:t>
      </w:r>
      <w:r w:rsidR="004E5575" w:rsidRPr="001C6E6C">
        <w:rPr>
          <w:rFonts w:ascii="Cambria" w:hAnsi="Cambria" w:cs="AvantGarde-Book"/>
          <w:sz w:val="20"/>
          <w:szCs w:val="20"/>
          <w:lang w:val="es-419" w:eastAsia="es-ES"/>
        </w:rPr>
        <w:t xml:space="preserve">El </w:t>
      </w:r>
      <w:r w:rsidR="001C4550" w:rsidRPr="001C4550">
        <w:rPr>
          <w:rFonts w:ascii="Cambria" w:hAnsi="Cambria" w:cs="AvantGarde-Book"/>
          <w:sz w:val="20"/>
          <w:szCs w:val="20"/>
          <w:lang w:val="es-419" w:eastAsia="es-ES"/>
        </w:rPr>
        <w:t>Juzgado Sexto Administrativo de Circuito</w:t>
      </w:r>
      <w:r w:rsidR="00E740B5" w:rsidRPr="001C6E6C">
        <w:rPr>
          <w:rFonts w:ascii="Cambria" w:hAnsi="Cambria" w:cs="AvantGarde-Book"/>
          <w:sz w:val="20"/>
          <w:szCs w:val="20"/>
          <w:lang w:val="es-419" w:eastAsia="es-ES"/>
        </w:rPr>
        <w:t xml:space="preserve"> </w:t>
      </w:r>
      <w:r w:rsidR="001C4550" w:rsidRPr="001C4550">
        <w:rPr>
          <w:rFonts w:ascii="Cambria" w:hAnsi="Cambria" w:cs="AvantGarde-Book"/>
          <w:sz w:val="20"/>
          <w:szCs w:val="20"/>
          <w:lang w:val="es-419" w:eastAsia="es-ES"/>
        </w:rPr>
        <w:t xml:space="preserve">de </w:t>
      </w:r>
      <w:r>
        <w:rPr>
          <w:rFonts w:ascii="Cambria" w:hAnsi="Cambria" w:cs="AvantGarde-Book"/>
          <w:sz w:val="20"/>
          <w:szCs w:val="20"/>
          <w:lang w:val="es-419" w:eastAsia="es-ES"/>
        </w:rPr>
        <w:t>Cali</w:t>
      </w:r>
      <w:r w:rsidR="004E5575" w:rsidRPr="001C6E6C">
        <w:rPr>
          <w:rFonts w:ascii="Cambria" w:hAnsi="Cambria" w:cs="AvantGarde-Book"/>
          <w:sz w:val="20"/>
          <w:szCs w:val="20"/>
          <w:lang w:val="es-419" w:eastAsia="es-ES"/>
        </w:rPr>
        <w:t xml:space="preserve"> emitió </w:t>
      </w:r>
      <w:r>
        <w:rPr>
          <w:rFonts w:ascii="Cambria" w:hAnsi="Cambria" w:cs="AvantGarde-Book"/>
          <w:sz w:val="20"/>
          <w:szCs w:val="20"/>
          <w:lang w:val="es-419" w:eastAsia="es-ES"/>
        </w:rPr>
        <w:t xml:space="preserve">su </w:t>
      </w:r>
      <w:r w:rsidR="004E5575" w:rsidRPr="001C6E6C">
        <w:rPr>
          <w:rFonts w:ascii="Cambria" w:hAnsi="Cambria" w:cs="AvantGarde-Book"/>
          <w:sz w:val="20"/>
          <w:szCs w:val="20"/>
          <w:lang w:val="es-419" w:eastAsia="es-ES"/>
        </w:rPr>
        <w:t>sentencia el 30 de mayo de 2011</w:t>
      </w:r>
      <w:r>
        <w:rPr>
          <w:rFonts w:ascii="Cambria" w:hAnsi="Cambria" w:cs="AvantGarde-Book"/>
          <w:sz w:val="20"/>
          <w:szCs w:val="20"/>
          <w:lang w:val="es-419" w:eastAsia="es-ES"/>
        </w:rPr>
        <w:t>,</w:t>
      </w:r>
      <w:r w:rsidR="004E5575" w:rsidRPr="001C6E6C">
        <w:rPr>
          <w:rFonts w:ascii="Cambria" w:hAnsi="Cambria" w:cs="AvantGarde-Book"/>
          <w:sz w:val="20"/>
          <w:szCs w:val="20"/>
          <w:lang w:val="es-419" w:eastAsia="es-ES"/>
        </w:rPr>
        <w:t xml:space="preserve"> </w:t>
      </w:r>
      <w:r w:rsidR="00B97CC0">
        <w:rPr>
          <w:rFonts w:ascii="Cambria" w:hAnsi="Cambria" w:cs="AvantGarde-Book"/>
          <w:sz w:val="20"/>
          <w:szCs w:val="20"/>
          <w:lang w:val="es-419" w:eastAsia="es-ES"/>
        </w:rPr>
        <w:t xml:space="preserve">con la que </w:t>
      </w:r>
      <w:r w:rsidR="004E5575" w:rsidRPr="001C6E6C">
        <w:rPr>
          <w:rFonts w:ascii="Cambria" w:hAnsi="Cambria" w:cs="AvantGarde-Book"/>
          <w:sz w:val="20"/>
          <w:szCs w:val="20"/>
          <w:lang w:val="es-419" w:eastAsia="es-ES"/>
        </w:rPr>
        <w:t xml:space="preserve">denegó </w:t>
      </w:r>
      <w:r w:rsidR="001C4550" w:rsidRPr="001C4550">
        <w:rPr>
          <w:rFonts w:ascii="Cambria" w:hAnsi="Cambria" w:cs="AvantGarde-Book"/>
          <w:sz w:val="20"/>
          <w:szCs w:val="20"/>
          <w:lang w:val="es-419" w:eastAsia="es-ES"/>
        </w:rPr>
        <w:t>las pretensiones de la familia</w:t>
      </w:r>
      <w:r w:rsidR="001C4550" w:rsidRPr="001C6E6C">
        <w:rPr>
          <w:rFonts w:ascii="Cambria" w:hAnsi="Cambria" w:cs="AvantGarde-Book"/>
          <w:sz w:val="20"/>
          <w:szCs w:val="20"/>
          <w:lang w:val="es-419" w:eastAsia="es-ES"/>
        </w:rPr>
        <w:t>.</w:t>
      </w:r>
      <w:r w:rsidR="00E740B5" w:rsidRPr="001C6E6C">
        <w:rPr>
          <w:rFonts w:ascii="Cambria" w:hAnsi="Cambria" w:cs="AvantGarde-Book"/>
          <w:sz w:val="20"/>
          <w:szCs w:val="20"/>
          <w:lang w:val="es-419" w:eastAsia="es-ES"/>
        </w:rPr>
        <w:t xml:space="preserve"> </w:t>
      </w:r>
      <w:r>
        <w:rPr>
          <w:rFonts w:ascii="Cambria" w:hAnsi="Cambria" w:cs="AvantGarde-Book"/>
          <w:sz w:val="20"/>
          <w:szCs w:val="20"/>
          <w:lang w:val="es-419" w:eastAsia="es-ES"/>
        </w:rPr>
        <w:t xml:space="preserve">En consecuencia, </w:t>
      </w:r>
      <w:r w:rsidR="001C4550" w:rsidRPr="001C6E6C">
        <w:rPr>
          <w:rFonts w:ascii="Cambria" w:hAnsi="Cambria" w:cs="AvantGarde-Book"/>
          <w:sz w:val="20"/>
          <w:szCs w:val="20"/>
          <w:lang w:val="es-419" w:eastAsia="es-ES"/>
        </w:rPr>
        <w:t>interpus</w:t>
      </w:r>
      <w:r>
        <w:rPr>
          <w:rFonts w:ascii="Cambria" w:hAnsi="Cambria" w:cs="AvantGarde-Book"/>
          <w:sz w:val="20"/>
          <w:szCs w:val="20"/>
          <w:lang w:val="es-419" w:eastAsia="es-ES"/>
        </w:rPr>
        <w:t>ieron</w:t>
      </w:r>
      <w:r w:rsidR="001C4550" w:rsidRPr="001C6E6C">
        <w:rPr>
          <w:rFonts w:ascii="Cambria" w:hAnsi="Cambria" w:cs="AvantGarde-Book"/>
          <w:sz w:val="20"/>
          <w:szCs w:val="20"/>
          <w:lang w:val="es-419" w:eastAsia="es-ES"/>
        </w:rPr>
        <w:t xml:space="preserve"> </w:t>
      </w:r>
      <w:r w:rsidR="004E5575" w:rsidRPr="001C6E6C">
        <w:rPr>
          <w:rFonts w:ascii="Cambria" w:hAnsi="Cambria" w:cs="AvantGarde-Book"/>
          <w:sz w:val="20"/>
          <w:szCs w:val="20"/>
          <w:lang w:val="es-419" w:eastAsia="es-ES"/>
        </w:rPr>
        <w:t xml:space="preserve">un </w:t>
      </w:r>
      <w:r w:rsidR="001C4550" w:rsidRPr="001C6E6C">
        <w:rPr>
          <w:rFonts w:ascii="Cambria" w:hAnsi="Cambria" w:cs="AvantGarde-Book"/>
          <w:sz w:val="20"/>
          <w:szCs w:val="20"/>
          <w:lang w:val="es-419" w:eastAsia="es-ES"/>
        </w:rPr>
        <w:t>recurso de</w:t>
      </w:r>
      <w:r w:rsidR="00E740B5" w:rsidRPr="001C6E6C">
        <w:rPr>
          <w:rFonts w:ascii="Cambria" w:hAnsi="Cambria" w:cs="AvantGarde-Book"/>
          <w:sz w:val="20"/>
          <w:szCs w:val="20"/>
          <w:lang w:val="es-419" w:eastAsia="es-ES"/>
        </w:rPr>
        <w:t xml:space="preserve"> </w:t>
      </w:r>
      <w:r w:rsidR="001C4550" w:rsidRPr="001C6E6C">
        <w:rPr>
          <w:rFonts w:ascii="Cambria" w:hAnsi="Cambria" w:cs="AvantGarde-Book"/>
          <w:sz w:val="20"/>
          <w:szCs w:val="20"/>
          <w:lang w:val="es-419" w:eastAsia="es-ES"/>
        </w:rPr>
        <w:t>apelación</w:t>
      </w:r>
      <w:r w:rsidR="004E5575" w:rsidRPr="001C6E6C">
        <w:rPr>
          <w:rFonts w:ascii="Cambria" w:hAnsi="Cambria" w:cs="AvantGarde-Book"/>
          <w:sz w:val="20"/>
          <w:szCs w:val="20"/>
          <w:lang w:val="es-419" w:eastAsia="es-ES"/>
        </w:rPr>
        <w:t xml:space="preserve"> ante </w:t>
      </w:r>
      <w:r w:rsidR="001C4550" w:rsidRPr="001C6E6C">
        <w:rPr>
          <w:rFonts w:ascii="Cambria" w:hAnsi="Cambria" w:cs="AvantGarde-Book"/>
          <w:sz w:val="20"/>
          <w:szCs w:val="20"/>
          <w:lang w:val="es-419" w:eastAsia="es-ES"/>
        </w:rPr>
        <w:t>el Tribunal Contencioso Administrativo</w:t>
      </w:r>
      <w:r w:rsidR="00E740B5" w:rsidRPr="001C6E6C">
        <w:rPr>
          <w:rFonts w:ascii="Cambria" w:hAnsi="Cambria" w:cs="AvantGarde-Book"/>
          <w:sz w:val="20"/>
          <w:szCs w:val="20"/>
          <w:lang w:val="es-419" w:eastAsia="es-ES"/>
        </w:rPr>
        <w:t xml:space="preserve"> </w:t>
      </w:r>
      <w:r w:rsidR="001C4550" w:rsidRPr="001C6E6C">
        <w:rPr>
          <w:rFonts w:ascii="Cambria" w:hAnsi="Cambria" w:cs="AvantGarde-Book"/>
          <w:sz w:val="20"/>
          <w:szCs w:val="20"/>
          <w:lang w:val="es-419" w:eastAsia="es-ES"/>
        </w:rPr>
        <w:t>del Valle del Cauca</w:t>
      </w:r>
      <w:r>
        <w:rPr>
          <w:rFonts w:ascii="Cambria" w:hAnsi="Cambria" w:cs="AvantGarde-Book"/>
          <w:sz w:val="20"/>
          <w:szCs w:val="20"/>
          <w:lang w:val="es-419" w:eastAsia="es-ES"/>
        </w:rPr>
        <w:t>, que en fecha</w:t>
      </w:r>
      <w:r w:rsidR="004E5575" w:rsidRPr="001C6E6C">
        <w:rPr>
          <w:rFonts w:ascii="Cambria" w:hAnsi="Cambria" w:cs="AvantGarde-Book"/>
          <w:sz w:val="20"/>
          <w:szCs w:val="20"/>
          <w:lang w:val="es-419" w:eastAsia="es-ES"/>
        </w:rPr>
        <w:t xml:space="preserve"> 21 de octubre </w:t>
      </w:r>
      <w:r w:rsidR="001C4550" w:rsidRPr="001C6E6C">
        <w:rPr>
          <w:rFonts w:ascii="Cambria" w:hAnsi="Cambria" w:cs="AvantGarde-Book"/>
          <w:sz w:val="20"/>
          <w:szCs w:val="20"/>
          <w:lang w:val="es-419" w:eastAsia="es-ES"/>
        </w:rPr>
        <w:t>de 2011</w:t>
      </w:r>
      <w:r w:rsidR="00444454" w:rsidRPr="001C6E6C">
        <w:rPr>
          <w:rFonts w:ascii="Cambria" w:hAnsi="Cambria" w:cs="AvantGarde-Book"/>
          <w:sz w:val="20"/>
          <w:szCs w:val="20"/>
          <w:lang w:val="es-419" w:eastAsia="es-ES"/>
        </w:rPr>
        <w:t xml:space="preserve"> </w:t>
      </w:r>
      <w:r>
        <w:rPr>
          <w:rFonts w:ascii="Cambria" w:hAnsi="Cambria" w:cs="AvantGarde-Book"/>
          <w:sz w:val="20"/>
          <w:szCs w:val="20"/>
          <w:lang w:val="es-419" w:eastAsia="es-ES"/>
        </w:rPr>
        <w:t xml:space="preserve">decidió </w:t>
      </w:r>
      <w:r w:rsidR="001C4550" w:rsidRPr="001C6E6C">
        <w:rPr>
          <w:rFonts w:ascii="Cambria" w:hAnsi="Cambria" w:cs="AvantGarde-Book"/>
          <w:sz w:val="20"/>
          <w:szCs w:val="20"/>
          <w:lang w:val="es-419" w:eastAsia="es-ES"/>
        </w:rPr>
        <w:t>confirmar la sentencia</w:t>
      </w:r>
      <w:r>
        <w:rPr>
          <w:rFonts w:ascii="Cambria" w:hAnsi="Cambria" w:cs="AvantGarde-Book"/>
          <w:sz w:val="20"/>
          <w:szCs w:val="20"/>
          <w:lang w:val="es-419" w:eastAsia="es-ES"/>
        </w:rPr>
        <w:t>;</w:t>
      </w:r>
      <w:r w:rsidR="001C4550" w:rsidRPr="001C6E6C">
        <w:rPr>
          <w:rFonts w:ascii="Cambria" w:hAnsi="Cambria" w:cs="AvantGarde-Book"/>
          <w:sz w:val="20"/>
          <w:szCs w:val="20"/>
          <w:lang w:val="es-419" w:eastAsia="es-ES"/>
        </w:rPr>
        <w:t xml:space="preserve"> </w:t>
      </w:r>
      <w:r>
        <w:rPr>
          <w:rFonts w:ascii="Cambria" w:hAnsi="Cambria" w:cs="AvantGarde-Book"/>
          <w:sz w:val="20"/>
          <w:szCs w:val="20"/>
          <w:lang w:val="es-419" w:eastAsia="es-ES"/>
        </w:rPr>
        <w:t>la decisión</w:t>
      </w:r>
      <w:r w:rsidR="004E5575" w:rsidRPr="001C6E6C">
        <w:rPr>
          <w:rFonts w:ascii="Cambria" w:hAnsi="Cambria" w:cs="AvantGarde-Book"/>
          <w:sz w:val="20"/>
          <w:szCs w:val="20"/>
          <w:lang w:val="es-419" w:eastAsia="es-ES"/>
        </w:rPr>
        <w:t xml:space="preserve"> </w:t>
      </w:r>
      <w:r w:rsidR="001C4550" w:rsidRPr="001C6E6C">
        <w:rPr>
          <w:rFonts w:ascii="Cambria" w:hAnsi="Cambria" w:cs="AvantGarde-Book"/>
          <w:sz w:val="20"/>
          <w:szCs w:val="20"/>
          <w:lang w:val="es-419" w:eastAsia="es-ES"/>
        </w:rPr>
        <w:t>fue notificada el 23</w:t>
      </w:r>
      <w:r w:rsidR="004E5575" w:rsidRPr="001C6E6C">
        <w:rPr>
          <w:rFonts w:ascii="Cambria" w:hAnsi="Cambria" w:cs="AvantGarde-Book"/>
          <w:sz w:val="20"/>
          <w:szCs w:val="20"/>
          <w:lang w:val="es-419" w:eastAsia="es-ES"/>
        </w:rPr>
        <w:t xml:space="preserve"> </w:t>
      </w:r>
      <w:r w:rsidR="001C4550" w:rsidRPr="001C6E6C">
        <w:rPr>
          <w:rFonts w:ascii="Cambria" w:hAnsi="Cambria" w:cs="AvantGarde-Book"/>
          <w:sz w:val="20"/>
          <w:szCs w:val="20"/>
          <w:lang w:val="es-419" w:eastAsia="es-ES"/>
        </w:rPr>
        <w:t>de noviembre de</w:t>
      </w:r>
      <w:r>
        <w:rPr>
          <w:rFonts w:ascii="Cambria" w:hAnsi="Cambria" w:cs="AvantGarde-Book"/>
          <w:sz w:val="20"/>
          <w:szCs w:val="20"/>
          <w:lang w:val="es-419" w:eastAsia="es-ES"/>
        </w:rPr>
        <w:t xml:space="preserve"> 2011</w:t>
      </w:r>
      <w:r w:rsidR="004E5575" w:rsidRPr="001C6E6C">
        <w:rPr>
          <w:rFonts w:ascii="Cambria" w:hAnsi="Cambria" w:cs="AvantGarde-Book"/>
          <w:sz w:val="20"/>
          <w:szCs w:val="20"/>
          <w:lang w:val="es-419" w:eastAsia="es-ES"/>
        </w:rPr>
        <w:t xml:space="preserve"> año y </w:t>
      </w:r>
      <w:r w:rsidR="001C4550" w:rsidRPr="001C6E6C">
        <w:rPr>
          <w:rFonts w:ascii="Cambria" w:hAnsi="Cambria" w:cs="AvantGarde-Book"/>
          <w:sz w:val="20"/>
          <w:szCs w:val="20"/>
          <w:lang w:val="es-419" w:eastAsia="es-ES"/>
        </w:rPr>
        <w:t>quedó</w:t>
      </w:r>
      <w:r w:rsidR="00444454" w:rsidRPr="001C6E6C">
        <w:rPr>
          <w:rFonts w:ascii="Cambria" w:hAnsi="Cambria" w:cs="AvantGarde-Book"/>
          <w:sz w:val="20"/>
          <w:szCs w:val="20"/>
          <w:lang w:val="es-419" w:eastAsia="es-ES"/>
        </w:rPr>
        <w:t xml:space="preserve"> </w:t>
      </w:r>
      <w:r w:rsidR="001C4550" w:rsidRPr="001C6E6C">
        <w:rPr>
          <w:rFonts w:ascii="Cambria" w:hAnsi="Cambria" w:cs="AvantGarde-Book"/>
          <w:sz w:val="20"/>
          <w:szCs w:val="20"/>
          <w:lang w:val="es-419" w:eastAsia="es-ES"/>
        </w:rPr>
        <w:t>ejecutoriada el 30 del mismo mes y año.</w:t>
      </w:r>
      <w:r w:rsidR="00444454" w:rsidRPr="001C6E6C">
        <w:rPr>
          <w:rFonts w:ascii="Cambria" w:hAnsi="Cambria" w:cs="AvantGarde-Book"/>
          <w:sz w:val="20"/>
          <w:szCs w:val="20"/>
          <w:lang w:val="es-419" w:eastAsia="es-ES"/>
        </w:rPr>
        <w:t xml:space="preserve"> </w:t>
      </w:r>
      <w:r w:rsidR="001C6E6C" w:rsidRPr="001C6E6C">
        <w:rPr>
          <w:rFonts w:ascii="Cambria" w:hAnsi="Cambria" w:cs="AvantGarde-Book"/>
          <w:sz w:val="20"/>
          <w:szCs w:val="20"/>
          <w:lang w:val="es-419" w:eastAsia="es-ES"/>
        </w:rPr>
        <w:t xml:space="preserve">Finalmente, </w:t>
      </w:r>
      <w:r w:rsidR="001C4550" w:rsidRPr="001C6E6C">
        <w:rPr>
          <w:rFonts w:ascii="Cambria" w:hAnsi="Cambria" w:cs="AvantGarde-Book"/>
          <w:sz w:val="20"/>
          <w:szCs w:val="20"/>
          <w:lang w:val="es-419" w:eastAsia="es-ES"/>
        </w:rPr>
        <w:t>el</w:t>
      </w:r>
      <w:r w:rsidR="00444454" w:rsidRPr="001C6E6C">
        <w:rPr>
          <w:rFonts w:ascii="Cambria" w:hAnsi="Cambria" w:cs="AvantGarde-Book"/>
          <w:sz w:val="20"/>
          <w:szCs w:val="20"/>
          <w:lang w:val="es-419" w:eastAsia="es-ES"/>
        </w:rPr>
        <w:t xml:space="preserve"> </w:t>
      </w:r>
      <w:r w:rsidR="001C6E6C" w:rsidRPr="001C6E6C">
        <w:rPr>
          <w:rFonts w:ascii="Cambria" w:hAnsi="Cambria" w:cs="AvantGarde-Book"/>
          <w:sz w:val="20"/>
          <w:szCs w:val="20"/>
          <w:lang w:val="es-419" w:eastAsia="es-ES"/>
        </w:rPr>
        <w:t xml:space="preserve">8 de febrero del 2012, el Juzgado Sexto Administrativo del Circuito de Cali </w:t>
      </w:r>
      <w:r>
        <w:rPr>
          <w:rFonts w:ascii="Cambria" w:hAnsi="Cambria" w:cs="AvantGarde-Book"/>
          <w:sz w:val="20"/>
          <w:szCs w:val="20"/>
          <w:lang w:val="es-419" w:eastAsia="es-ES"/>
        </w:rPr>
        <w:t xml:space="preserve">emitió una </w:t>
      </w:r>
      <w:r w:rsidR="001C4550" w:rsidRPr="001C6E6C">
        <w:rPr>
          <w:rFonts w:ascii="Cambria" w:hAnsi="Cambria" w:cs="AvantGarde-Book"/>
          <w:sz w:val="20"/>
          <w:szCs w:val="20"/>
          <w:lang w:val="es-419" w:eastAsia="es-ES"/>
        </w:rPr>
        <w:t xml:space="preserve">providencia </w:t>
      </w:r>
      <w:r>
        <w:rPr>
          <w:rFonts w:ascii="Cambria" w:hAnsi="Cambria" w:cs="AvantGarde-Book"/>
          <w:sz w:val="20"/>
          <w:szCs w:val="20"/>
          <w:lang w:val="es-419" w:eastAsia="es-ES"/>
        </w:rPr>
        <w:t xml:space="preserve">por la que </w:t>
      </w:r>
      <w:r w:rsidR="001C4550" w:rsidRPr="001C6E6C">
        <w:rPr>
          <w:rFonts w:ascii="Cambria" w:hAnsi="Cambria" w:cs="AvantGarde-Book"/>
          <w:sz w:val="20"/>
          <w:szCs w:val="20"/>
          <w:lang w:val="es-419" w:eastAsia="es-ES"/>
        </w:rPr>
        <w:t>orden</w:t>
      </w:r>
      <w:r>
        <w:rPr>
          <w:rFonts w:ascii="Cambria" w:hAnsi="Cambria" w:cs="AvantGarde-Book"/>
          <w:sz w:val="20"/>
          <w:szCs w:val="20"/>
          <w:lang w:val="es-419" w:eastAsia="es-ES"/>
        </w:rPr>
        <w:t>ó</w:t>
      </w:r>
      <w:r w:rsidR="001C4550" w:rsidRPr="001C6E6C">
        <w:rPr>
          <w:rFonts w:ascii="Cambria" w:hAnsi="Cambria" w:cs="AvantGarde-Book"/>
          <w:sz w:val="20"/>
          <w:szCs w:val="20"/>
          <w:lang w:val="es-419" w:eastAsia="es-ES"/>
        </w:rPr>
        <w:t xml:space="preserve"> </w:t>
      </w:r>
      <w:r>
        <w:rPr>
          <w:rFonts w:ascii="Cambria" w:hAnsi="Cambria" w:cs="AvantGarde-Book"/>
          <w:sz w:val="20"/>
          <w:szCs w:val="20"/>
          <w:lang w:val="es-419" w:eastAsia="es-ES"/>
        </w:rPr>
        <w:t xml:space="preserve">que se </w:t>
      </w:r>
      <w:r w:rsidR="001C4550" w:rsidRPr="001C6E6C">
        <w:rPr>
          <w:rFonts w:ascii="Cambria" w:hAnsi="Cambria" w:cs="AvantGarde-Book"/>
          <w:sz w:val="20"/>
          <w:szCs w:val="20"/>
          <w:lang w:val="es-419" w:eastAsia="es-ES"/>
        </w:rPr>
        <w:t>obedec</w:t>
      </w:r>
      <w:r>
        <w:rPr>
          <w:rFonts w:ascii="Cambria" w:hAnsi="Cambria" w:cs="AvantGarde-Book"/>
          <w:sz w:val="20"/>
          <w:szCs w:val="20"/>
          <w:lang w:val="es-419" w:eastAsia="es-ES"/>
        </w:rPr>
        <w:t>iera</w:t>
      </w:r>
      <w:r w:rsidR="00444454" w:rsidRPr="001C6E6C">
        <w:rPr>
          <w:rFonts w:ascii="Cambria" w:hAnsi="Cambria" w:cs="AvantGarde-Book"/>
          <w:sz w:val="20"/>
          <w:szCs w:val="20"/>
          <w:lang w:val="es-419" w:eastAsia="es-ES"/>
        </w:rPr>
        <w:t xml:space="preserve"> </w:t>
      </w:r>
      <w:r w:rsidR="001C4550" w:rsidRPr="001C6E6C">
        <w:rPr>
          <w:rFonts w:ascii="Cambria" w:hAnsi="Cambria" w:cs="AvantGarde-Book"/>
          <w:sz w:val="20"/>
          <w:szCs w:val="20"/>
          <w:lang w:val="es-419" w:eastAsia="es-ES"/>
        </w:rPr>
        <w:t>y cumpli</w:t>
      </w:r>
      <w:r>
        <w:rPr>
          <w:rFonts w:ascii="Cambria" w:hAnsi="Cambria" w:cs="AvantGarde-Book"/>
          <w:sz w:val="20"/>
          <w:szCs w:val="20"/>
          <w:lang w:val="es-419" w:eastAsia="es-ES"/>
        </w:rPr>
        <w:t>e</w:t>
      </w:r>
      <w:r w:rsidR="001C4550" w:rsidRPr="001C6E6C">
        <w:rPr>
          <w:rFonts w:ascii="Cambria" w:hAnsi="Cambria" w:cs="AvantGarde-Book"/>
          <w:sz w:val="20"/>
          <w:szCs w:val="20"/>
          <w:lang w:val="es-419" w:eastAsia="es-ES"/>
        </w:rPr>
        <w:t>r</w:t>
      </w:r>
      <w:r>
        <w:rPr>
          <w:rFonts w:ascii="Cambria" w:hAnsi="Cambria" w:cs="AvantGarde-Book"/>
          <w:sz w:val="20"/>
          <w:szCs w:val="20"/>
          <w:lang w:val="es-419" w:eastAsia="es-ES"/>
        </w:rPr>
        <w:t>a</w:t>
      </w:r>
      <w:r w:rsidR="001C4550" w:rsidRPr="001C6E6C">
        <w:rPr>
          <w:rFonts w:ascii="Cambria" w:hAnsi="Cambria" w:cs="AvantGarde-Book"/>
          <w:sz w:val="20"/>
          <w:szCs w:val="20"/>
          <w:lang w:val="es-419" w:eastAsia="es-ES"/>
        </w:rPr>
        <w:t xml:space="preserve"> lo decidido por el Tribunal Contencioso Administrativo del Valle del </w:t>
      </w:r>
      <w:r w:rsidR="001C6E6C" w:rsidRPr="001C6E6C">
        <w:rPr>
          <w:rFonts w:ascii="Cambria" w:hAnsi="Cambria" w:cs="AvantGarde-Book"/>
          <w:sz w:val="20"/>
          <w:szCs w:val="20"/>
          <w:lang w:val="es-419" w:eastAsia="es-ES"/>
        </w:rPr>
        <w:t>C</w:t>
      </w:r>
      <w:r w:rsidR="001C4550" w:rsidRPr="001C6E6C">
        <w:rPr>
          <w:rFonts w:ascii="Cambria" w:hAnsi="Cambria" w:cs="AvantGarde-Book"/>
          <w:sz w:val="20"/>
          <w:szCs w:val="20"/>
          <w:lang w:val="es-419" w:eastAsia="es-ES"/>
        </w:rPr>
        <w:t>auca</w:t>
      </w:r>
      <w:r w:rsidR="001C6E6C" w:rsidRPr="001C6E6C">
        <w:rPr>
          <w:rFonts w:ascii="Cambria" w:hAnsi="Cambria" w:cs="AvantGarde-Book"/>
          <w:sz w:val="20"/>
          <w:szCs w:val="20"/>
          <w:lang w:val="es-419" w:eastAsia="es-ES"/>
        </w:rPr>
        <w:t>.</w:t>
      </w:r>
    </w:p>
    <w:p w14:paraId="46FC7FA9" w14:textId="77777777" w:rsidR="00B64535" w:rsidRPr="001C6E6C" w:rsidRDefault="00B64535" w:rsidP="00B6453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AvantGarde-Book"/>
          <w:sz w:val="20"/>
          <w:szCs w:val="20"/>
          <w:lang w:val="es-419" w:eastAsia="es-ES"/>
        </w:rPr>
      </w:pPr>
    </w:p>
    <w:p w14:paraId="64EA05D1" w14:textId="5558DF75" w:rsidR="005C1A5B" w:rsidRPr="00775A23" w:rsidRDefault="00D02157" w:rsidP="00E547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Montserrat"/>
          <w:color w:val="auto"/>
          <w:sz w:val="20"/>
          <w:szCs w:val="20"/>
          <w:lang w:val="es-419"/>
        </w:rPr>
      </w:pPr>
      <w:r w:rsidRPr="00F93554">
        <w:rPr>
          <w:rFonts w:cs="AvantGarde-Book"/>
          <w:color w:val="auto"/>
          <w:sz w:val="20"/>
          <w:szCs w:val="20"/>
          <w:lang w:val="es-419"/>
        </w:rPr>
        <w:t xml:space="preserve">La parte peticionaria </w:t>
      </w:r>
      <w:r w:rsidR="003118B5" w:rsidRPr="00F93554">
        <w:rPr>
          <w:rFonts w:cs="AvantGarde-Book"/>
          <w:color w:val="auto"/>
          <w:sz w:val="20"/>
          <w:szCs w:val="20"/>
          <w:lang w:val="es-419"/>
        </w:rPr>
        <w:t xml:space="preserve">aduce que </w:t>
      </w:r>
      <w:r w:rsidR="005C1A5B" w:rsidRPr="00F93554">
        <w:rPr>
          <w:rFonts w:cs="AvantGarde-Book"/>
          <w:color w:val="auto"/>
          <w:sz w:val="20"/>
          <w:szCs w:val="20"/>
          <w:lang w:val="es-419"/>
        </w:rPr>
        <w:t>la actuación de los</w:t>
      </w:r>
      <w:r w:rsidR="003118B5" w:rsidRPr="00F93554">
        <w:rPr>
          <w:rFonts w:cs="AvantGarde-Book"/>
          <w:color w:val="auto"/>
          <w:sz w:val="20"/>
          <w:szCs w:val="20"/>
          <w:lang w:val="es-419"/>
        </w:rPr>
        <w:t xml:space="preserve"> </w:t>
      </w:r>
      <w:r w:rsidR="005C1A5B" w:rsidRPr="00F93554">
        <w:rPr>
          <w:rFonts w:cs="AvantGarde-Book"/>
          <w:color w:val="auto"/>
          <w:sz w:val="20"/>
          <w:szCs w:val="20"/>
          <w:lang w:val="es-419"/>
        </w:rPr>
        <w:t>agentes involucrados</w:t>
      </w:r>
      <w:r w:rsidR="003118B5" w:rsidRPr="00F93554">
        <w:rPr>
          <w:rFonts w:cs="AvantGarde-Book"/>
          <w:color w:val="auto"/>
          <w:sz w:val="20"/>
          <w:szCs w:val="20"/>
          <w:lang w:val="es-419"/>
        </w:rPr>
        <w:t xml:space="preserve"> fue descuidada y desmedida</w:t>
      </w:r>
      <w:r w:rsidR="00E537C7">
        <w:rPr>
          <w:rFonts w:cs="AvantGarde-Book"/>
          <w:color w:val="auto"/>
          <w:sz w:val="20"/>
          <w:szCs w:val="20"/>
          <w:lang w:val="es-419"/>
        </w:rPr>
        <w:t>, en</w:t>
      </w:r>
      <w:r w:rsidR="003118B5" w:rsidRPr="00F93554">
        <w:rPr>
          <w:rFonts w:cs="AvantGarde-Book"/>
          <w:color w:val="auto"/>
          <w:sz w:val="20"/>
          <w:szCs w:val="20"/>
          <w:lang w:val="es-419"/>
        </w:rPr>
        <w:t xml:space="preserve"> </w:t>
      </w:r>
      <w:r w:rsidR="005C1A5B" w:rsidRPr="00F93554">
        <w:rPr>
          <w:rFonts w:cs="AvantGarde-Book"/>
          <w:color w:val="auto"/>
          <w:sz w:val="20"/>
          <w:szCs w:val="20"/>
          <w:lang w:val="es-419"/>
        </w:rPr>
        <w:t>desconoci</w:t>
      </w:r>
      <w:r w:rsidR="00E537C7">
        <w:rPr>
          <w:rFonts w:cs="AvantGarde-Book"/>
          <w:color w:val="auto"/>
          <w:sz w:val="20"/>
          <w:szCs w:val="20"/>
          <w:lang w:val="es-419"/>
        </w:rPr>
        <w:t>miento</w:t>
      </w:r>
      <w:r w:rsidR="005C1A5B" w:rsidRPr="00F93554">
        <w:rPr>
          <w:rFonts w:cs="AvantGarde-Book"/>
          <w:color w:val="auto"/>
          <w:sz w:val="20"/>
          <w:szCs w:val="20"/>
          <w:lang w:val="es-419"/>
        </w:rPr>
        <w:t xml:space="preserve"> total </w:t>
      </w:r>
      <w:r w:rsidR="00E537C7">
        <w:rPr>
          <w:rFonts w:cs="AvantGarde-Book"/>
          <w:color w:val="auto"/>
          <w:sz w:val="20"/>
          <w:szCs w:val="20"/>
          <w:lang w:val="es-419"/>
        </w:rPr>
        <w:t>d</w:t>
      </w:r>
      <w:r w:rsidR="005C1A5B" w:rsidRPr="00F93554">
        <w:rPr>
          <w:rFonts w:cs="AvantGarde-Book"/>
          <w:color w:val="auto"/>
          <w:sz w:val="20"/>
          <w:szCs w:val="20"/>
          <w:lang w:val="es-419"/>
        </w:rPr>
        <w:t>el procedimiento</w:t>
      </w:r>
      <w:r w:rsidR="003118B5" w:rsidRPr="00F93554">
        <w:rPr>
          <w:rFonts w:cs="AvantGarde-Book"/>
          <w:color w:val="auto"/>
          <w:sz w:val="20"/>
          <w:szCs w:val="20"/>
          <w:lang w:val="es-419"/>
        </w:rPr>
        <w:t xml:space="preserve"> </w:t>
      </w:r>
      <w:r w:rsidR="005C1A5B" w:rsidRPr="00F93554">
        <w:rPr>
          <w:rFonts w:cs="AvantGarde-Book"/>
          <w:color w:val="auto"/>
          <w:sz w:val="20"/>
          <w:szCs w:val="20"/>
          <w:lang w:val="es-419"/>
        </w:rPr>
        <w:t>establecid</w:t>
      </w:r>
      <w:r w:rsidR="003118B5" w:rsidRPr="00F93554">
        <w:rPr>
          <w:rFonts w:cs="AvantGarde-Book"/>
          <w:color w:val="auto"/>
          <w:sz w:val="20"/>
          <w:szCs w:val="20"/>
          <w:lang w:val="es-419"/>
        </w:rPr>
        <w:t xml:space="preserve">o. </w:t>
      </w:r>
      <w:r w:rsidR="00E537C7">
        <w:rPr>
          <w:rFonts w:cs="AvantGarde-Book"/>
          <w:color w:val="auto"/>
          <w:sz w:val="20"/>
          <w:szCs w:val="20"/>
          <w:lang w:val="es-419"/>
        </w:rPr>
        <w:t xml:space="preserve">Señala </w:t>
      </w:r>
      <w:r w:rsidR="003118B5" w:rsidRPr="00F93554">
        <w:rPr>
          <w:rFonts w:cs="AvantGarde-Book"/>
          <w:color w:val="auto"/>
          <w:sz w:val="20"/>
          <w:szCs w:val="20"/>
          <w:lang w:val="es-419"/>
        </w:rPr>
        <w:t>que</w:t>
      </w:r>
      <w:r w:rsidR="005C1A5B" w:rsidRPr="00F93554">
        <w:rPr>
          <w:rFonts w:cs="AvantGarde-Book"/>
          <w:color w:val="auto"/>
          <w:sz w:val="20"/>
          <w:szCs w:val="20"/>
          <w:lang w:val="es-419"/>
        </w:rPr>
        <w:t xml:space="preserve"> hicieron uso </w:t>
      </w:r>
      <w:r w:rsidR="00F93554" w:rsidRPr="00F93554">
        <w:rPr>
          <w:rFonts w:cs="AvantGarde-Book"/>
          <w:color w:val="auto"/>
          <w:sz w:val="20"/>
          <w:szCs w:val="20"/>
          <w:lang w:val="es-419"/>
        </w:rPr>
        <w:t xml:space="preserve">indebido </w:t>
      </w:r>
      <w:r w:rsidR="005C1A5B" w:rsidRPr="00F93554">
        <w:rPr>
          <w:rFonts w:cs="AvantGarde-Book"/>
          <w:color w:val="auto"/>
          <w:sz w:val="20"/>
          <w:szCs w:val="20"/>
          <w:lang w:val="es-419"/>
        </w:rPr>
        <w:t>de sus armas de fuego de</w:t>
      </w:r>
      <w:r w:rsidR="003118B5" w:rsidRPr="00F93554">
        <w:rPr>
          <w:rFonts w:cs="AvantGarde-Book"/>
          <w:color w:val="auto"/>
          <w:sz w:val="20"/>
          <w:szCs w:val="20"/>
          <w:lang w:val="es-419"/>
        </w:rPr>
        <w:t xml:space="preserve"> </w:t>
      </w:r>
      <w:r w:rsidR="005C1A5B" w:rsidRPr="00F93554">
        <w:rPr>
          <w:rFonts w:cs="AvantGarde-Book"/>
          <w:color w:val="auto"/>
          <w:sz w:val="20"/>
          <w:szCs w:val="20"/>
          <w:lang w:val="es-419"/>
        </w:rPr>
        <w:t>dotación oficial</w:t>
      </w:r>
      <w:r w:rsidR="00423CF1">
        <w:rPr>
          <w:rFonts w:cs="AvantGarde-Book"/>
          <w:color w:val="auto"/>
          <w:sz w:val="20"/>
          <w:szCs w:val="20"/>
          <w:lang w:val="es-419"/>
        </w:rPr>
        <w:t>, con lo que</w:t>
      </w:r>
      <w:r w:rsidR="005C1A5B" w:rsidRPr="00F93554">
        <w:rPr>
          <w:rFonts w:cs="AvantGarde-Book"/>
          <w:color w:val="auto"/>
          <w:sz w:val="20"/>
          <w:szCs w:val="20"/>
          <w:lang w:val="es-419"/>
        </w:rPr>
        <w:t xml:space="preserve"> </w:t>
      </w:r>
      <w:r w:rsidR="00F93554" w:rsidRPr="00F93554">
        <w:rPr>
          <w:rFonts w:cs="AvantGarde-Book"/>
          <w:color w:val="auto"/>
          <w:sz w:val="20"/>
          <w:szCs w:val="20"/>
          <w:lang w:val="es-419"/>
        </w:rPr>
        <w:t>hiri</w:t>
      </w:r>
      <w:r w:rsidR="00423CF1">
        <w:rPr>
          <w:rFonts w:cs="AvantGarde-Book"/>
          <w:color w:val="auto"/>
          <w:sz w:val="20"/>
          <w:szCs w:val="20"/>
          <w:lang w:val="es-419"/>
        </w:rPr>
        <w:t xml:space="preserve">eron </w:t>
      </w:r>
      <w:r w:rsidR="00F93554" w:rsidRPr="00F93554">
        <w:rPr>
          <w:rFonts w:cs="AvantGarde-Book"/>
          <w:color w:val="auto"/>
          <w:sz w:val="20"/>
          <w:szCs w:val="20"/>
          <w:lang w:val="es-419"/>
        </w:rPr>
        <w:t>mortalmente a la presunta víctima</w:t>
      </w:r>
      <w:r w:rsidR="00B97CC0">
        <w:rPr>
          <w:rFonts w:cs="AvantGarde-Book"/>
          <w:color w:val="auto"/>
          <w:sz w:val="20"/>
          <w:szCs w:val="20"/>
          <w:lang w:val="es-419"/>
        </w:rPr>
        <w:t>,</w:t>
      </w:r>
      <w:r w:rsidR="00F93554" w:rsidRPr="00F93554">
        <w:rPr>
          <w:rFonts w:cs="AvantGarde-Book"/>
          <w:color w:val="auto"/>
          <w:sz w:val="20"/>
          <w:szCs w:val="20"/>
          <w:lang w:val="es-419"/>
        </w:rPr>
        <w:t xml:space="preserve"> </w:t>
      </w:r>
      <w:r w:rsidR="00423CF1">
        <w:rPr>
          <w:rFonts w:cs="AvantGarde-Book"/>
          <w:color w:val="auto"/>
          <w:sz w:val="20"/>
          <w:szCs w:val="20"/>
          <w:lang w:val="es-419"/>
        </w:rPr>
        <w:t xml:space="preserve">como consta </w:t>
      </w:r>
      <w:r w:rsidR="005C1A5B" w:rsidRPr="00F93554">
        <w:rPr>
          <w:rFonts w:cs="AvantGarde-Book"/>
          <w:color w:val="auto"/>
          <w:sz w:val="20"/>
          <w:szCs w:val="20"/>
          <w:lang w:val="es-419"/>
        </w:rPr>
        <w:t xml:space="preserve">fehacientemente </w:t>
      </w:r>
      <w:r w:rsidR="00423CF1">
        <w:rPr>
          <w:rFonts w:cs="AvantGarde-Book"/>
          <w:color w:val="auto"/>
          <w:sz w:val="20"/>
          <w:szCs w:val="20"/>
          <w:lang w:val="es-419"/>
        </w:rPr>
        <w:t>en</w:t>
      </w:r>
      <w:r w:rsidR="005C1A5B" w:rsidRPr="00F93554">
        <w:rPr>
          <w:rFonts w:cs="AvantGarde-Book"/>
          <w:color w:val="auto"/>
          <w:sz w:val="20"/>
          <w:szCs w:val="20"/>
          <w:lang w:val="es-419"/>
        </w:rPr>
        <w:t xml:space="preserve"> los dictámenes periciales agregados a</w:t>
      </w:r>
      <w:r w:rsidR="00F93554" w:rsidRPr="00F93554">
        <w:rPr>
          <w:rFonts w:cs="AvantGarde-Book"/>
          <w:color w:val="auto"/>
          <w:sz w:val="20"/>
          <w:szCs w:val="20"/>
          <w:lang w:val="es-419"/>
        </w:rPr>
        <w:t>l expediente</w:t>
      </w:r>
      <w:r w:rsidR="005C1A5B" w:rsidRPr="00F93554">
        <w:rPr>
          <w:rFonts w:cs="AvantGarde-Book"/>
          <w:color w:val="auto"/>
          <w:sz w:val="20"/>
          <w:szCs w:val="20"/>
          <w:lang w:val="es-419"/>
        </w:rPr>
        <w:t>.</w:t>
      </w:r>
    </w:p>
    <w:p w14:paraId="2CDC361F" w14:textId="77777777" w:rsidR="00775A23" w:rsidRPr="00775A23" w:rsidRDefault="00775A23" w:rsidP="00775A2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Montserrat"/>
          <w:sz w:val="20"/>
          <w:szCs w:val="20"/>
          <w:lang w:val="es-419"/>
        </w:rPr>
      </w:pPr>
    </w:p>
    <w:p w14:paraId="7089A064" w14:textId="0B045D6F" w:rsidR="00861E32" w:rsidRPr="004948B4" w:rsidRDefault="003C24DE"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sz w:val="20"/>
          <w:szCs w:val="20"/>
          <w:lang w:val="es-419" w:eastAsia="es-ES"/>
        </w:rPr>
      </w:pPr>
      <w:r w:rsidRPr="00772140">
        <w:rPr>
          <w:rFonts w:ascii="Cambria" w:hAnsi="Cambria" w:cs="AvantGarde-Book"/>
          <w:sz w:val="20"/>
          <w:szCs w:val="20"/>
          <w:lang w:val="es-419" w:eastAsia="es-ES"/>
        </w:rPr>
        <w:t>Por su parte, e</w:t>
      </w:r>
      <w:r w:rsidR="0011741A" w:rsidRPr="00772140">
        <w:rPr>
          <w:rFonts w:ascii="Cambria" w:hAnsi="Cambria" w:cs="AvantGarde-Book"/>
          <w:sz w:val="20"/>
          <w:szCs w:val="20"/>
          <w:lang w:val="es-419" w:eastAsia="es-ES"/>
        </w:rPr>
        <w:t xml:space="preserve">l </w:t>
      </w:r>
      <w:r w:rsidR="00BF10D2" w:rsidRPr="00772140">
        <w:rPr>
          <w:rFonts w:ascii="Cambria" w:hAnsi="Cambria" w:cs="AvantGarde-Book"/>
          <w:sz w:val="20"/>
          <w:szCs w:val="20"/>
          <w:lang w:val="es-419" w:eastAsia="es-ES"/>
        </w:rPr>
        <w:t>Es</w:t>
      </w:r>
      <w:r w:rsidR="0011741A" w:rsidRPr="00772140">
        <w:rPr>
          <w:rFonts w:ascii="Cambria" w:hAnsi="Cambria" w:cs="AvantGarde-Book"/>
          <w:sz w:val="20"/>
          <w:szCs w:val="20"/>
          <w:lang w:val="es-419" w:eastAsia="es-ES"/>
        </w:rPr>
        <w:t xml:space="preserve">tado </w:t>
      </w:r>
      <w:r w:rsidR="00E70E62">
        <w:rPr>
          <w:rFonts w:ascii="Cambria" w:hAnsi="Cambria" w:cs="AvantGarde-Book"/>
          <w:sz w:val="20"/>
          <w:szCs w:val="20"/>
          <w:lang w:val="es-419" w:eastAsia="es-ES"/>
        </w:rPr>
        <w:t>afirma</w:t>
      </w:r>
      <w:r w:rsidR="00BF10D2" w:rsidRPr="00772140">
        <w:rPr>
          <w:rFonts w:ascii="Cambria" w:hAnsi="Cambria" w:cs="AvantGarde-Book"/>
          <w:sz w:val="20"/>
          <w:szCs w:val="20"/>
          <w:lang w:val="es-419" w:eastAsia="es-ES"/>
        </w:rPr>
        <w:t xml:space="preserve"> que </w:t>
      </w:r>
      <w:r w:rsidR="00BF10D2" w:rsidRPr="00251998">
        <w:rPr>
          <w:rFonts w:ascii="Cambria" w:hAnsi="Cambria" w:cs="Montserrat"/>
          <w:sz w:val="20"/>
          <w:szCs w:val="20"/>
          <w:lang w:val="es-419" w:eastAsia="es-ES"/>
        </w:rPr>
        <w:t xml:space="preserve">la </w:t>
      </w:r>
      <w:r w:rsidR="00083C3A" w:rsidRPr="00772140">
        <w:rPr>
          <w:rFonts w:ascii="Cambria" w:hAnsi="Cambria" w:cs="Montserrat"/>
          <w:sz w:val="20"/>
          <w:szCs w:val="20"/>
          <w:lang w:val="es-419" w:eastAsia="es-ES"/>
        </w:rPr>
        <w:t xml:space="preserve">parte </w:t>
      </w:r>
      <w:r w:rsidR="00083C3A" w:rsidRPr="00251998">
        <w:rPr>
          <w:rFonts w:ascii="Cambria" w:hAnsi="Cambria" w:cs="Montserrat"/>
          <w:sz w:val="20"/>
          <w:szCs w:val="20"/>
          <w:lang w:val="es-419" w:eastAsia="es-ES"/>
        </w:rPr>
        <w:t>peticionari</w:t>
      </w:r>
      <w:r w:rsidR="00083C3A" w:rsidRPr="00772140">
        <w:rPr>
          <w:rFonts w:ascii="Cambria" w:hAnsi="Cambria" w:cs="Montserrat"/>
          <w:sz w:val="20"/>
          <w:szCs w:val="20"/>
          <w:lang w:val="es-419" w:eastAsia="es-ES"/>
        </w:rPr>
        <w:t>a</w:t>
      </w:r>
      <w:r w:rsidR="00083C3A" w:rsidRPr="00251998">
        <w:rPr>
          <w:rFonts w:ascii="Cambria" w:hAnsi="Cambria" w:cs="Montserrat"/>
          <w:sz w:val="20"/>
          <w:szCs w:val="20"/>
          <w:lang w:val="es-419" w:eastAsia="es-ES"/>
        </w:rPr>
        <w:t xml:space="preserve"> busca que la C</w:t>
      </w:r>
      <w:r w:rsidR="000F3536" w:rsidRPr="00772140">
        <w:rPr>
          <w:rFonts w:ascii="Cambria" w:hAnsi="Cambria" w:cs="Montserrat"/>
          <w:sz w:val="20"/>
          <w:szCs w:val="20"/>
          <w:lang w:val="es-419" w:eastAsia="es-ES"/>
        </w:rPr>
        <w:t>omisión</w:t>
      </w:r>
      <w:r w:rsidR="00083C3A" w:rsidRPr="00251998">
        <w:rPr>
          <w:rFonts w:ascii="Cambria" w:hAnsi="Cambria" w:cs="Montserrat"/>
          <w:sz w:val="20"/>
          <w:szCs w:val="20"/>
          <w:lang w:val="es-419" w:eastAsia="es-ES"/>
        </w:rPr>
        <w:t xml:space="preserve"> </w:t>
      </w:r>
      <w:r w:rsidR="00423CF1">
        <w:rPr>
          <w:rFonts w:ascii="Cambria" w:hAnsi="Cambria" w:cs="Montserrat"/>
          <w:sz w:val="20"/>
          <w:szCs w:val="20"/>
          <w:lang w:val="es-419" w:eastAsia="es-ES"/>
        </w:rPr>
        <w:t xml:space="preserve">Interamericana </w:t>
      </w:r>
      <w:r w:rsidR="00083C3A" w:rsidRPr="00251998">
        <w:rPr>
          <w:rFonts w:ascii="Cambria" w:hAnsi="Cambria" w:cs="Montserrat"/>
          <w:sz w:val="20"/>
          <w:szCs w:val="20"/>
          <w:lang w:val="es-419" w:eastAsia="es-ES"/>
        </w:rPr>
        <w:t xml:space="preserve">actúe como </w:t>
      </w:r>
      <w:r w:rsidR="00423CF1">
        <w:rPr>
          <w:rFonts w:ascii="Cambria" w:hAnsi="Cambria" w:cs="Montserrat"/>
          <w:sz w:val="20"/>
          <w:szCs w:val="20"/>
          <w:lang w:val="es-419" w:eastAsia="es-ES"/>
        </w:rPr>
        <w:t xml:space="preserve">un </w:t>
      </w:r>
      <w:r w:rsidR="00083C3A" w:rsidRPr="00251998">
        <w:rPr>
          <w:rFonts w:ascii="Cambria" w:hAnsi="Cambria" w:cs="Montserrat"/>
          <w:sz w:val="20"/>
          <w:szCs w:val="20"/>
          <w:lang w:val="es-419" w:eastAsia="es-ES"/>
        </w:rPr>
        <w:t xml:space="preserve">tribunal de cuarta instancia para revisar </w:t>
      </w:r>
      <w:r w:rsidR="00083C3A" w:rsidRPr="00251998">
        <w:rPr>
          <w:rFonts w:ascii="Cambria" w:hAnsi="Cambria" w:cs="Montserrat"/>
          <w:color w:val="000000"/>
          <w:sz w:val="20"/>
          <w:szCs w:val="20"/>
          <w:lang w:val="es-419" w:eastAsia="es-ES"/>
        </w:rPr>
        <w:t xml:space="preserve">cuestiones de hecho y de derecho interno que fueron ampliamente discutidas y resueltas de manera definitiva por la jurisdicción colombiana, </w:t>
      </w:r>
      <w:r w:rsidR="00423CF1">
        <w:rPr>
          <w:rFonts w:ascii="Cambria" w:hAnsi="Cambria" w:cs="Montserrat"/>
          <w:color w:val="000000"/>
          <w:sz w:val="20"/>
          <w:szCs w:val="20"/>
          <w:lang w:val="es-419" w:eastAsia="es-ES"/>
        </w:rPr>
        <w:t xml:space="preserve">con </w:t>
      </w:r>
      <w:r w:rsidR="00083C3A" w:rsidRPr="00251998">
        <w:rPr>
          <w:rFonts w:ascii="Cambria" w:hAnsi="Cambria" w:cs="Montserrat"/>
          <w:color w:val="000000"/>
          <w:sz w:val="20"/>
          <w:szCs w:val="20"/>
          <w:lang w:val="es-419" w:eastAsia="es-ES"/>
        </w:rPr>
        <w:t>respet</w:t>
      </w:r>
      <w:r w:rsidR="00423CF1">
        <w:rPr>
          <w:rFonts w:ascii="Cambria" w:hAnsi="Cambria" w:cs="Montserrat"/>
          <w:color w:val="000000"/>
          <w:sz w:val="20"/>
          <w:szCs w:val="20"/>
          <w:lang w:val="es-419" w:eastAsia="es-ES"/>
        </w:rPr>
        <w:t xml:space="preserve">o </w:t>
      </w:r>
      <w:r w:rsidR="00083C3A" w:rsidRPr="00251998">
        <w:rPr>
          <w:rFonts w:ascii="Cambria" w:hAnsi="Cambria" w:cs="Montserrat"/>
          <w:color w:val="000000"/>
          <w:sz w:val="20"/>
          <w:szCs w:val="20"/>
          <w:lang w:val="es-419" w:eastAsia="es-ES"/>
        </w:rPr>
        <w:t xml:space="preserve">del debido proceso. </w:t>
      </w:r>
      <w:r w:rsidR="00423CF1">
        <w:rPr>
          <w:rFonts w:ascii="Cambria" w:hAnsi="Cambria" w:cs="Montserrat"/>
          <w:color w:val="000000"/>
          <w:sz w:val="20"/>
          <w:szCs w:val="20"/>
          <w:lang w:val="es-419" w:eastAsia="es-ES"/>
        </w:rPr>
        <w:t>D</w:t>
      </w:r>
      <w:r w:rsidR="00772140">
        <w:rPr>
          <w:rFonts w:ascii="Cambria" w:hAnsi="Cambria" w:cs="Montserrat"/>
          <w:color w:val="000000"/>
          <w:sz w:val="20"/>
          <w:szCs w:val="20"/>
          <w:lang w:val="es-419" w:eastAsia="es-ES"/>
        </w:rPr>
        <w:t>estaca que</w:t>
      </w:r>
      <w:r w:rsidR="00861E32" w:rsidRPr="00C74E89">
        <w:rPr>
          <w:rFonts w:ascii="Cambria" w:hAnsi="Cambria" w:cs="Montserrat"/>
          <w:color w:val="000000"/>
          <w:sz w:val="20"/>
          <w:szCs w:val="20"/>
          <w:lang w:val="es-419" w:eastAsia="es-ES"/>
        </w:rPr>
        <w:t xml:space="preserve"> no se ha demostrado que las decisiones anteriormente señaladas</w:t>
      </w:r>
      <w:r w:rsidR="00423CF1">
        <w:rPr>
          <w:rFonts w:ascii="Cambria" w:hAnsi="Cambria" w:cs="Montserrat"/>
          <w:color w:val="000000"/>
          <w:sz w:val="20"/>
          <w:szCs w:val="20"/>
          <w:lang w:val="es-419" w:eastAsia="es-ES"/>
        </w:rPr>
        <w:t xml:space="preserve"> tuvieran algún </w:t>
      </w:r>
      <w:r w:rsidR="00861E32" w:rsidRPr="00C74E89">
        <w:rPr>
          <w:rFonts w:ascii="Cambria" w:hAnsi="Cambria" w:cs="Montserrat"/>
          <w:color w:val="000000"/>
          <w:sz w:val="20"/>
          <w:szCs w:val="20"/>
          <w:lang w:val="es-419" w:eastAsia="es-ES"/>
        </w:rPr>
        <w:t>componente de arbitrariedad o parcialidad en la valoración probatoria</w:t>
      </w:r>
      <w:r w:rsidR="00423CF1">
        <w:rPr>
          <w:rFonts w:ascii="Cambria" w:hAnsi="Cambria" w:cs="Montserrat"/>
          <w:color w:val="000000"/>
          <w:sz w:val="20"/>
          <w:szCs w:val="20"/>
          <w:lang w:val="es-419" w:eastAsia="es-ES"/>
        </w:rPr>
        <w:t>;</w:t>
      </w:r>
      <w:r w:rsidR="00861E32" w:rsidRPr="00C74E89">
        <w:rPr>
          <w:rFonts w:ascii="Cambria" w:hAnsi="Cambria" w:cs="Montserrat"/>
          <w:color w:val="000000"/>
          <w:sz w:val="20"/>
          <w:szCs w:val="20"/>
          <w:lang w:val="es-419" w:eastAsia="es-ES"/>
        </w:rPr>
        <w:t xml:space="preserve"> </w:t>
      </w:r>
      <w:r w:rsidR="00423CF1">
        <w:rPr>
          <w:rFonts w:ascii="Cambria" w:hAnsi="Cambria" w:cs="Montserrat"/>
          <w:color w:val="000000"/>
          <w:sz w:val="20"/>
          <w:szCs w:val="20"/>
          <w:lang w:val="es-419" w:eastAsia="es-ES"/>
        </w:rPr>
        <w:t xml:space="preserve">ni </w:t>
      </w:r>
      <w:r w:rsidR="00861E32" w:rsidRPr="00C74E89">
        <w:rPr>
          <w:rFonts w:ascii="Cambria" w:hAnsi="Cambria" w:cs="Montserrat"/>
          <w:color w:val="000000"/>
          <w:sz w:val="20"/>
          <w:szCs w:val="20"/>
          <w:lang w:val="es-419" w:eastAsia="es-ES"/>
        </w:rPr>
        <w:t>que se hubier</w:t>
      </w:r>
      <w:r w:rsidR="00423CF1">
        <w:rPr>
          <w:rFonts w:ascii="Cambria" w:hAnsi="Cambria" w:cs="Montserrat"/>
          <w:color w:val="000000"/>
          <w:sz w:val="20"/>
          <w:szCs w:val="20"/>
          <w:lang w:val="es-419" w:eastAsia="es-ES"/>
        </w:rPr>
        <w:t>a</w:t>
      </w:r>
      <w:r w:rsidR="00861E32" w:rsidRPr="00C74E89">
        <w:rPr>
          <w:rFonts w:ascii="Cambria" w:hAnsi="Cambria" w:cs="Montserrat"/>
          <w:color w:val="000000"/>
          <w:sz w:val="20"/>
          <w:szCs w:val="20"/>
          <w:lang w:val="es-419" w:eastAsia="es-ES"/>
        </w:rPr>
        <w:t xml:space="preserve"> limitad</w:t>
      </w:r>
      <w:r w:rsidR="00423CF1">
        <w:rPr>
          <w:rFonts w:ascii="Cambria" w:hAnsi="Cambria" w:cs="Montserrat"/>
          <w:color w:val="000000"/>
          <w:sz w:val="20"/>
          <w:szCs w:val="20"/>
          <w:lang w:val="es-419" w:eastAsia="es-ES"/>
        </w:rPr>
        <w:t>o</w:t>
      </w:r>
      <w:r w:rsidR="00861E32" w:rsidRPr="00C74E89">
        <w:rPr>
          <w:rFonts w:ascii="Cambria" w:hAnsi="Cambria" w:cs="Montserrat"/>
          <w:color w:val="000000"/>
          <w:sz w:val="20"/>
          <w:szCs w:val="20"/>
          <w:lang w:val="es-419" w:eastAsia="es-ES"/>
        </w:rPr>
        <w:t xml:space="preserve"> la participación de </w:t>
      </w:r>
      <w:r w:rsidR="00423CF1">
        <w:rPr>
          <w:rFonts w:ascii="Cambria" w:hAnsi="Cambria" w:cs="Montserrat"/>
          <w:color w:val="000000"/>
          <w:sz w:val="20"/>
          <w:szCs w:val="20"/>
          <w:lang w:val="es-419" w:eastAsia="es-ES"/>
        </w:rPr>
        <w:t xml:space="preserve">la familia de </w:t>
      </w:r>
      <w:r w:rsidR="00861E32" w:rsidRPr="00C74E89">
        <w:rPr>
          <w:rFonts w:ascii="Cambria" w:hAnsi="Cambria" w:cs="Montserrat"/>
          <w:color w:val="000000"/>
          <w:sz w:val="20"/>
          <w:szCs w:val="20"/>
          <w:lang w:val="es-419" w:eastAsia="es-ES"/>
        </w:rPr>
        <w:t>la presunta víctima en la interposición o sustanciación de los recursos co</w:t>
      </w:r>
      <w:r w:rsidR="00423CF1">
        <w:rPr>
          <w:rFonts w:ascii="Cambria" w:hAnsi="Cambria" w:cs="Montserrat"/>
          <w:color w:val="000000"/>
          <w:sz w:val="20"/>
          <w:szCs w:val="20"/>
          <w:lang w:val="es-419" w:eastAsia="es-ES"/>
        </w:rPr>
        <w:t>rrespondientes</w:t>
      </w:r>
      <w:r w:rsidR="00861E32" w:rsidRPr="00C74E89">
        <w:rPr>
          <w:rFonts w:ascii="Cambria" w:hAnsi="Cambria" w:cs="Montserrat"/>
          <w:color w:val="000000"/>
          <w:sz w:val="20"/>
          <w:szCs w:val="20"/>
          <w:lang w:val="es-419" w:eastAsia="es-ES"/>
        </w:rPr>
        <w:t xml:space="preserve">. </w:t>
      </w:r>
      <w:r w:rsidR="00772140" w:rsidRPr="004948B4">
        <w:rPr>
          <w:rFonts w:ascii="Cambria" w:hAnsi="Cambria" w:cs="Montserrat"/>
          <w:sz w:val="20"/>
          <w:szCs w:val="20"/>
          <w:lang w:val="es-419" w:eastAsia="es-ES"/>
        </w:rPr>
        <w:t xml:space="preserve">Insiste </w:t>
      </w:r>
      <w:r w:rsidR="00423CF1">
        <w:rPr>
          <w:rFonts w:ascii="Cambria" w:hAnsi="Cambria" w:cs="Montserrat"/>
          <w:sz w:val="20"/>
          <w:szCs w:val="20"/>
          <w:lang w:val="es-419" w:eastAsia="es-ES"/>
        </w:rPr>
        <w:t xml:space="preserve">en </w:t>
      </w:r>
      <w:r w:rsidR="00772140" w:rsidRPr="004948B4">
        <w:rPr>
          <w:rFonts w:ascii="Cambria" w:hAnsi="Cambria" w:cs="Montserrat"/>
          <w:sz w:val="20"/>
          <w:szCs w:val="20"/>
          <w:lang w:val="es-419" w:eastAsia="es-ES"/>
        </w:rPr>
        <w:t>que la</w:t>
      </w:r>
      <w:r w:rsidR="00423CF1">
        <w:rPr>
          <w:rFonts w:ascii="Cambria" w:hAnsi="Cambria" w:cs="Montserrat"/>
          <w:sz w:val="20"/>
          <w:szCs w:val="20"/>
          <w:lang w:val="es-419" w:eastAsia="es-ES"/>
        </w:rPr>
        <w:t>s</w:t>
      </w:r>
      <w:r w:rsidR="00861E32" w:rsidRPr="00C74E89">
        <w:rPr>
          <w:rFonts w:ascii="Cambria" w:hAnsi="Cambria" w:cs="Montserrat"/>
          <w:sz w:val="20"/>
          <w:szCs w:val="20"/>
          <w:lang w:val="es-419" w:eastAsia="es-ES"/>
        </w:rPr>
        <w:t xml:space="preserve"> decisiones </w:t>
      </w:r>
      <w:r w:rsidR="00423CF1">
        <w:rPr>
          <w:rFonts w:ascii="Cambria" w:hAnsi="Cambria" w:cs="Montserrat"/>
          <w:sz w:val="20"/>
          <w:szCs w:val="20"/>
          <w:lang w:val="es-419" w:eastAsia="es-ES"/>
        </w:rPr>
        <w:t xml:space="preserve">estaban </w:t>
      </w:r>
      <w:r w:rsidR="00861E32" w:rsidRPr="00C74E89">
        <w:rPr>
          <w:rFonts w:ascii="Cambria" w:hAnsi="Cambria" w:cs="Montserrat"/>
          <w:sz w:val="20"/>
          <w:szCs w:val="20"/>
          <w:lang w:val="es-419" w:eastAsia="es-ES"/>
        </w:rPr>
        <w:t xml:space="preserve">debidamente motivadas, </w:t>
      </w:r>
      <w:r w:rsidR="00423CF1">
        <w:rPr>
          <w:rFonts w:ascii="Cambria" w:hAnsi="Cambria" w:cs="Montserrat"/>
          <w:sz w:val="20"/>
          <w:szCs w:val="20"/>
          <w:lang w:val="es-419" w:eastAsia="es-ES"/>
        </w:rPr>
        <w:t xml:space="preserve">y </w:t>
      </w:r>
      <w:r w:rsidR="00861E32" w:rsidRPr="00C74E89">
        <w:rPr>
          <w:rFonts w:ascii="Cambria" w:hAnsi="Cambria" w:cs="Montserrat"/>
          <w:sz w:val="20"/>
          <w:szCs w:val="20"/>
          <w:lang w:val="es-419" w:eastAsia="es-ES"/>
        </w:rPr>
        <w:t xml:space="preserve">que expresaron las razones por las </w:t>
      </w:r>
      <w:r w:rsidR="00423CF1">
        <w:rPr>
          <w:rFonts w:ascii="Cambria" w:hAnsi="Cambria" w:cs="Montserrat"/>
          <w:sz w:val="20"/>
          <w:szCs w:val="20"/>
          <w:lang w:val="es-419" w:eastAsia="es-ES"/>
        </w:rPr>
        <w:t xml:space="preserve">que </w:t>
      </w:r>
      <w:r w:rsidR="00861E32" w:rsidRPr="00C74E89">
        <w:rPr>
          <w:rFonts w:ascii="Cambria" w:hAnsi="Cambria" w:cs="Montserrat"/>
          <w:sz w:val="20"/>
          <w:szCs w:val="20"/>
          <w:lang w:val="es-419" w:eastAsia="es-ES"/>
        </w:rPr>
        <w:t xml:space="preserve">se concluyó que la muerte no fue producto de un exceso de </w:t>
      </w:r>
      <w:r w:rsidR="00E70E62">
        <w:rPr>
          <w:rFonts w:ascii="Cambria" w:hAnsi="Cambria" w:cs="Montserrat"/>
          <w:sz w:val="20"/>
          <w:szCs w:val="20"/>
          <w:lang w:val="es-419" w:eastAsia="es-ES"/>
        </w:rPr>
        <w:t>uso de fuerza por el agente de seguridad</w:t>
      </w:r>
      <w:r w:rsidR="00861E32" w:rsidRPr="00C74E89">
        <w:rPr>
          <w:rFonts w:ascii="Cambria" w:hAnsi="Cambria" w:cs="Montserrat"/>
          <w:sz w:val="20"/>
          <w:szCs w:val="20"/>
          <w:lang w:val="es-419" w:eastAsia="es-ES"/>
        </w:rPr>
        <w:t xml:space="preserve"> </w:t>
      </w:r>
      <w:r w:rsidR="00423CF1">
        <w:rPr>
          <w:rFonts w:ascii="Cambria" w:hAnsi="Cambria" w:cs="Montserrat"/>
          <w:sz w:val="20"/>
          <w:szCs w:val="20"/>
          <w:lang w:val="es-419" w:eastAsia="es-ES"/>
        </w:rPr>
        <w:t>sino que</w:t>
      </w:r>
      <w:r w:rsidR="00861E32" w:rsidRPr="00C74E89">
        <w:rPr>
          <w:rFonts w:ascii="Cambria" w:hAnsi="Cambria" w:cs="Montserrat"/>
          <w:sz w:val="20"/>
          <w:szCs w:val="20"/>
          <w:lang w:val="es-419" w:eastAsia="es-ES"/>
        </w:rPr>
        <w:t xml:space="preserve">, por el contrario, fue consecuencia del actuar imprudente </w:t>
      </w:r>
      <w:r w:rsidR="00423CF1">
        <w:rPr>
          <w:rFonts w:ascii="Cambria" w:hAnsi="Cambria" w:cs="Montserrat"/>
          <w:sz w:val="20"/>
          <w:szCs w:val="20"/>
          <w:lang w:val="es-419" w:eastAsia="es-ES"/>
        </w:rPr>
        <w:t xml:space="preserve">de </w:t>
      </w:r>
      <w:r w:rsidR="00E70E62">
        <w:rPr>
          <w:rFonts w:ascii="Cambria" w:hAnsi="Cambria" w:cs="Montserrat"/>
          <w:sz w:val="20"/>
          <w:szCs w:val="20"/>
          <w:lang w:val="es-419" w:eastAsia="es-ES"/>
        </w:rPr>
        <w:t>la presunta víctima. Agrega que</w:t>
      </w:r>
      <w:r w:rsidR="00772140" w:rsidRPr="004948B4">
        <w:rPr>
          <w:rFonts w:ascii="Cambria" w:hAnsi="Cambria" w:cs="Montserrat"/>
          <w:sz w:val="20"/>
          <w:szCs w:val="20"/>
          <w:lang w:val="es-419" w:eastAsia="es-ES"/>
        </w:rPr>
        <w:t xml:space="preserve"> la familia pudo </w:t>
      </w:r>
      <w:r w:rsidR="00861E32" w:rsidRPr="00C74E89">
        <w:rPr>
          <w:rFonts w:ascii="Cambria" w:hAnsi="Cambria" w:cs="Montserrat"/>
          <w:sz w:val="20"/>
          <w:szCs w:val="20"/>
          <w:lang w:val="es-419" w:eastAsia="es-ES"/>
        </w:rPr>
        <w:t>hacer uso de las oportunidades procesales dispuestas en la ley para el ejercicio del derecho de contradicción, frente a las decisiones que negaron sus pretensiones.</w:t>
      </w:r>
    </w:p>
    <w:p w14:paraId="3634E042" w14:textId="77777777" w:rsidR="00775A23" w:rsidRPr="00775A23" w:rsidRDefault="00775A23" w:rsidP="00775A2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Montserrat"/>
          <w:color w:val="000000"/>
          <w:sz w:val="20"/>
          <w:szCs w:val="20"/>
          <w:lang w:val="es-419" w:eastAsia="es-ES"/>
        </w:rPr>
      </w:pPr>
    </w:p>
    <w:p w14:paraId="4F1A9D48" w14:textId="400965C6" w:rsidR="00CA5F6B" w:rsidRDefault="000F3536"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color w:val="000000"/>
          <w:sz w:val="20"/>
          <w:szCs w:val="20"/>
          <w:lang w:val="es-419" w:eastAsia="es-ES"/>
        </w:rPr>
      </w:pPr>
      <w:r w:rsidRPr="004948B4">
        <w:rPr>
          <w:rFonts w:ascii="Cambria" w:hAnsi="Cambria" w:cs="AvantGarde-Book"/>
          <w:sz w:val="20"/>
          <w:szCs w:val="20"/>
          <w:lang w:val="es-419" w:eastAsia="es-ES"/>
        </w:rPr>
        <w:t>En particular, sostiene</w:t>
      </w:r>
      <w:r w:rsidR="00552894" w:rsidRPr="004948B4">
        <w:rPr>
          <w:rFonts w:ascii="Cambria" w:hAnsi="Cambria" w:cs="AvantGarde-Book"/>
          <w:sz w:val="20"/>
          <w:szCs w:val="20"/>
          <w:lang w:val="es-419" w:eastAsia="es-ES"/>
        </w:rPr>
        <w:t xml:space="preserve"> que</w:t>
      </w:r>
      <w:r w:rsidRPr="004948B4">
        <w:rPr>
          <w:rFonts w:ascii="Cambria" w:hAnsi="Cambria" w:cs="AvantGarde-Book"/>
          <w:sz w:val="20"/>
          <w:szCs w:val="20"/>
          <w:lang w:val="es-419" w:eastAsia="es-ES"/>
        </w:rPr>
        <w:t xml:space="preserve"> </w:t>
      </w:r>
      <w:r w:rsidR="00BF10D2" w:rsidRPr="004948B4">
        <w:rPr>
          <w:rFonts w:ascii="Cambria" w:hAnsi="Cambria" w:cs="AvantGarde-Book"/>
          <w:sz w:val="20"/>
          <w:szCs w:val="20"/>
          <w:lang w:val="es-419" w:eastAsia="es-ES"/>
        </w:rPr>
        <w:t>l</w:t>
      </w:r>
      <w:r w:rsidR="0011741A" w:rsidRPr="0011741A">
        <w:rPr>
          <w:rFonts w:ascii="Cambria" w:hAnsi="Cambria" w:cs="Montserrat"/>
          <w:sz w:val="20"/>
          <w:szCs w:val="20"/>
          <w:lang w:val="es-419" w:eastAsia="es-ES"/>
        </w:rPr>
        <w:t xml:space="preserve">a investigación </w:t>
      </w:r>
      <w:r w:rsidR="00E91898" w:rsidRPr="004948B4">
        <w:rPr>
          <w:rFonts w:ascii="Cambria" w:hAnsi="Cambria" w:cs="Montserrat"/>
          <w:sz w:val="20"/>
          <w:szCs w:val="20"/>
          <w:lang w:val="es-419" w:eastAsia="es-ES"/>
        </w:rPr>
        <w:t>penal</w:t>
      </w:r>
      <w:r w:rsidR="0011741A" w:rsidRPr="0011741A">
        <w:rPr>
          <w:rFonts w:ascii="Cambria" w:hAnsi="Cambria" w:cs="Montserrat"/>
          <w:sz w:val="20"/>
          <w:szCs w:val="20"/>
          <w:lang w:val="es-419" w:eastAsia="es-ES"/>
        </w:rPr>
        <w:t xml:space="preserve"> fue adelantada por el Juzgado 156 de Instrucción Penal Militar</w:t>
      </w:r>
      <w:r w:rsidR="00E70E62">
        <w:rPr>
          <w:rFonts w:ascii="Cambria" w:hAnsi="Cambria" w:cs="Montserrat"/>
          <w:sz w:val="20"/>
          <w:szCs w:val="20"/>
          <w:lang w:val="es-419" w:eastAsia="es-ES"/>
        </w:rPr>
        <w:t>,</w:t>
      </w:r>
      <w:r w:rsidR="00552894" w:rsidRPr="004948B4">
        <w:rPr>
          <w:rFonts w:ascii="Cambria" w:hAnsi="Cambria" w:cs="Montserrat"/>
          <w:sz w:val="20"/>
          <w:szCs w:val="20"/>
          <w:lang w:val="es-419" w:eastAsia="es-ES"/>
        </w:rPr>
        <w:t xml:space="preserve"> </w:t>
      </w:r>
      <w:r w:rsidR="00E70E62">
        <w:rPr>
          <w:rFonts w:ascii="Cambria" w:hAnsi="Cambria" w:cs="Montserrat"/>
          <w:sz w:val="20"/>
          <w:szCs w:val="20"/>
          <w:lang w:val="es-419" w:eastAsia="es-ES"/>
        </w:rPr>
        <w:t>que</w:t>
      </w:r>
      <w:r w:rsidR="0011741A" w:rsidRPr="0011741A">
        <w:rPr>
          <w:rFonts w:ascii="Cambria" w:hAnsi="Cambria" w:cs="Montserrat"/>
          <w:sz w:val="20"/>
          <w:szCs w:val="20"/>
          <w:lang w:val="es-419" w:eastAsia="es-ES"/>
        </w:rPr>
        <w:t xml:space="preserve"> </w:t>
      </w:r>
      <w:r w:rsidR="00E70E62" w:rsidRPr="0011741A">
        <w:rPr>
          <w:rFonts w:ascii="Cambria" w:hAnsi="Cambria" w:cs="Montserrat"/>
          <w:sz w:val="20"/>
          <w:szCs w:val="20"/>
          <w:lang w:val="es-419" w:eastAsia="es-ES"/>
        </w:rPr>
        <w:t>el 3 de octubre de 2005</w:t>
      </w:r>
      <w:r w:rsidR="00E70E62">
        <w:rPr>
          <w:rFonts w:ascii="Cambria" w:hAnsi="Cambria" w:cs="Montserrat"/>
          <w:sz w:val="20"/>
          <w:szCs w:val="20"/>
          <w:lang w:val="es-419" w:eastAsia="es-ES"/>
        </w:rPr>
        <w:t xml:space="preserve"> </w:t>
      </w:r>
      <w:r w:rsidR="0011741A" w:rsidRPr="0011741A">
        <w:rPr>
          <w:rFonts w:ascii="Cambria" w:hAnsi="Cambria" w:cs="Montserrat"/>
          <w:sz w:val="20"/>
          <w:szCs w:val="20"/>
          <w:lang w:val="es-419" w:eastAsia="es-ES"/>
        </w:rPr>
        <w:t xml:space="preserve">decidió abstenerse de emitir medida de aseguramiento contra el agente de policía por encontrar que su conducta </w:t>
      </w:r>
      <w:r w:rsidR="00E70E62">
        <w:rPr>
          <w:rFonts w:ascii="Cambria" w:hAnsi="Cambria" w:cs="Montserrat"/>
          <w:sz w:val="20"/>
          <w:szCs w:val="20"/>
          <w:lang w:val="es-419" w:eastAsia="es-ES"/>
        </w:rPr>
        <w:t xml:space="preserve">se </w:t>
      </w:r>
      <w:r w:rsidR="0011741A" w:rsidRPr="0011741A">
        <w:rPr>
          <w:rFonts w:ascii="Cambria" w:hAnsi="Cambria" w:cs="Montserrat"/>
          <w:sz w:val="20"/>
          <w:szCs w:val="20"/>
          <w:lang w:val="es-419" w:eastAsia="es-ES"/>
        </w:rPr>
        <w:t>encuadraba en la causal de justificación de legítima defensa</w:t>
      </w:r>
      <w:r w:rsidR="00BF10D2" w:rsidRPr="004948B4">
        <w:rPr>
          <w:rFonts w:ascii="Cambria" w:hAnsi="Cambria" w:cs="Montserrat"/>
          <w:sz w:val="20"/>
          <w:szCs w:val="20"/>
          <w:lang w:val="es-419" w:eastAsia="es-ES"/>
        </w:rPr>
        <w:t xml:space="preserve">. </w:t>
      </w:r>
      <w:r w:rsidR="00552894" w:rsidRPr="004948B4">
        <w:rPr>
          <w:rFonts w:ascii="Cambria" w:hAnsi="Cambria" w:cs="Montserrat"/>
          <w:sz w:val="20"/>
          <w:szCs w:val="20"/>
          <w:lang w:val="es-419" w:eastAsia="es-ES"/>
        </w:rPr>
        <w:t>A</w:t>
      </w:r>
      <w:r w:rsidR="00AE3899" w:rsidRPr="004948B4">
        <w:rPr>
          <w:rFonts w:ascii="Cambria" w:hAnsi="Cambria" w:cs="Montserrat"/>
          <w:sz w:val="20"/>
          <w:szCs w:val="20"/>
          <w:lang w:val="es-419" w:eastAsia="es-ES"/>
        </w:rPr>
        <w:t>dicionalmente</w:t>
      </w:r>
      <w:r w:rsidR="00AE3899">
        <w:rPr>
          <w:rFonts w:ascii="Cambria" w:hAnsi="Cambria" w:cs="Montserrat"/>
          <w:color w:val="000000"/>
          <w:sz w:val="20"/>
          <w:szCs w:val="20"/>
          <w:lang w:val="es-419" w:eastAsia="es-ES"/>
        </w:rPr>
        <w:t xml:space="preserve">, </w:t>
      </w:r>
      <w:r w:rsidR="00DD7EE0">
        <w:rPr>
          <w:rFonts w:ascii="Cambria" w:hAnsi="Cambria" w:cs="Montserrat"/>
          <w:color w:val="000000"/>
          <w:sz w:val="20"/>
          <w:szCs w:val="20"/>
          <w:lang w:val="es-419" w:eastAsia="es-ES"/>
        </w:rPr>
        <w:t>informa</w:t>
      </w:r>
      <w:r w:rsidR="00552894" w:rsidRPr="00CA5F6B">
        <w:rPr>
          <w:rFonts w:ascii="Cambria" w:hAnsi="Cambria" w:cs="Montserrat"/>
          <w:color w:val="000000"/>
          <w:sz w:val="20"/>
          <w:szCs w:val="20"/>
          <w:lang w:val="es-419" w:eastAsia="es-ES"/>
        </w:rPr>
        <w:t xml:space="preserve"> que </w:t>
      </w:r>
      <w:r w:rsidR="00DD7EE0">
        <w:rPr>
          <w:rFonts w:ascii="Cambria" w:hAnsi="Cambria" w:cs="Montserrat"/>
          <w:color w:val="000000"/>
          <w:sz w:val="20"/>
          <w:szCs w:val="20"/>
          <w:lang w:val="es-419" w:eastAsia="es-ES"/>
        </w:rPr>
        <w:t>en su resolución</w:t>
      </w:r>
      <w:r w:rsidR="00DD7EE0" w:rsidRPr="0011741A">
        <w:rPr>
          <w:rFonts w:ascii="Cambria" w:hAnsi="Cambria" w:cs="Montserrat"/>
          <w:color w:val="000000"/>
          <w:sz w:val="20"/>
          <w:szCs w:val="20"/>
          <w:lang w:val="es-419" w:eastAsia="es-ES"/>
        </w:rPr>
        <w:t xml:space="preserve"> de cesación de procedimiento</w:t>
      </w:r>
      <w:r w:rsidR="00DD7EE0" w:rsidRPr="00CA5F6B">
        <w:rPr>
          <w:rFonts w:ascii="Cambria" w:hAnsi="Cambria" w:cs="Montserrat"/>
          <w:color w:val="000000"/>
          <w:sz w:val="20"/>
          <w:szCs w:val="20"/>
          <w:lang w:val="es-419" w:eastAsia="es-ES"/>
        </w:rPr>
        <w:t xml:space="preserve"> </w:t>
      </w:r>
      <w:r w:rsidR="00DD7EE0" w:rsidRPr="0011741A">
        <w:rPr>
          <w:rFonts w:ascii="Cambria" w:hAnsi="Cambria" w:cs="Montserrat"/>
          <w:color w:val="000000"/>
          <w:sz w:val="20"/>
          <w:szCs w:val="20"/>
          <w:lang w:val="es-419" w:eastAsia="es-ES"/>
        </w:rPr>
        <w:t>el 16 de mayo de 2006</w:t>
      </w:r>
      <w:r w:rsidR="00DD7EE0">
        <w:rPr>
          <w:rFonts w:ascii="Cambria" w:hAnsi="Cambria" w:cs="Montserrat"/>
          <w:color w:val="000000"/>
          <w:sz w:val="20"/>
          <w:szCs w:val="20"/>
          <w:lang w:val="es-419" w:eastAsia="es-ES"/>
        </w:rPr>
        <w:t xml:space="preserve">, </w:t>
      </w:r>
      <w:r w:rsidR="0011741A" w:rsidRPr="0011741A">
        <w:rPr>
          <w:rFonts w:ascii="Cambria" w:hAnsi="Cambria" w:cs="Montserrat"/>
          <w:color w:val="000000"/>
          <w:sz w:val="20"/>
          <w:szCs w:val="20"/>
          <w:lang w:val="es-419" w:eastAsia="es-ES"/>
        </w:rPr>
        <w:t xml:space="preserve">la Fiscalía 145 Penal Militar de Cali </w:t>
      </w:r>
      <w:r w:rsidR="00DD7EE0">
        <w:rPr>
          <w:rFonts w:ascii="Cambria" w:hAnsi="Cambria" w:cs="Montserrat"/>
          <w:color w:val="000000"/>
          <w:sz w:val="20"/>
          <w:szCs w:val="20"/>
          <w:lang w:val="es-419" w:eastAsia="es-ES"/>
        </w:rPr>
        <w:t>concluyó con base en</w:t>
      </w:r>
      <w:r w:rsidR="00DD7EE0" w:rsidRPr="0011741A">
        <w:rPr>
          <w:rFonts w:ascii="Cambria" w:hAnsi="Cambria" w:cs="Montserrat"/>
          <w:color w:val="000000"/>
          <w:sz w:val="20"/>
          <w:szCs w:val="20"/>
          <w:lang w:val="es-419" w:eastAsia="es-ES"/>
        </w:rPr>
        <w:t xml:space="preserve"> </w:t>
      </w:r>
      <w:r w:rsidR="00DD7EE0" w:rsidRPr="00BA192C">
        <w:rPr>
          <w:rFonts w:ascii="Cambria" w:hAnsi="Cambria" w:cs="Montserrat"/>
          <w:color w:val="000000"/>
          <w:sz w:val="20"/>
          <w:szCs w:val="20"/>
          <w:lang w:val="es-419" w:eastAsia="es-ES"/>
        </w:rPr>
        <w:t>el análisis de las pruebas obrantes en el expediente</w:t>
      </w:r>
      <w:r w:rsidR="00DD7EE0">
        <w:rPr>
          <w:rFonts w:ascii="Cambria" w:hAnsi="Cambria" w:cs="Montserrat"/>
          <w:color w:val="000000"/>
          <w:sz w:val="20"/>
          <w:szCs w:val="20"/>
          <w:lang w:val="es-419" w:eastAsia="es-ES"/>
        </w:rPr>
        <w:t xml:space="preserve"> que el agente policial </w:t>
      </w:r>
      <w:r w:rsidR="00DD7EE0" w:rsidRPr="00BA192C">
        <w:rPr>
          <w:rFonts w:ascii="Cambria" w:hAnsi="Cambria" w:cs="Montserrat"/>
          <w:color w:val="000000"/>
          <w:sz w:val="20"/>
          <w:szCs w:val="20"/>
          <w:lang w:val="es-419" w:eastAsia="es-ES"/>
        </w:rPr>
        <w:t xml:space="preserve">causó graves lesiones en la humanidad de </w:t>
      </w:r>
      <w:r w:rsidR="00DD7EE0">
        <w:rPr>
          <w:rFonts w:ascii="Cambria" w:hAnsi="Cambria" w:cs="Montserrat"/>
          <w:color w:val="000000"/>
          <w:sz w:val="20"/>
          <w:szCs w:val="20"/>
          <w:lang w:val="es-419" w:eastAsia="es-ES"/>
        </w:rPr>
        <w:t>la presunta víctima, que</w:t>
      </w:r>
      <w:r w:rsidR="00DD7EE0" w:rsidRPr="00DD7EE0">
        <w:rPr>
          <w:rFonts w:ascii="Cambria" w:hAnsi="Cambria" w:cs="Montserrat"/>
          <w:color w:val="000000"/>
          <w:sz w:val="20"/>
          <w:szCs w:val="20"/>
          <w:lang w:val="es-419" w:eastAsia="es-ES"/>
        </w:rPr>
        <w:t xml:space="preserve"> </w:t>
      </w:r>
      <w:r w:rsidR="00DD7EE0" w:rsidRPr="00BA192C">
        <w:rPr>
          <w:rFonts w:ascii="Cambria" w:hAnsi="Cambria" w:cs="Montserrat"/>
          <w:color w:val="000000"/>
          <w:sz w:val="20"/>
          <w:szCs w:val="20"/>
          <w:lang w:val="es-419" w:eastAsia="es-ES"/>
        </w:rPr>
        <w:t>ocasionaron su deceso</w:t>
      </w:r>
      <w:r w:rsidR="00DD7EE0">
        <w:rPr>
          <w:rFonts w:ascii="Cambria" w:hAnsi="Cambria" w:cs="Montserrat"/>
          <w:color w:val="000000"/>
          <w:sz w:val="20"/>
          <w:szCs w:val="20"/>
          <w:lang w:val="es-419" w:eastAsia="es-ES"/>
        </w:rPr>
        <w:t>. Sin embargo</w:t>
      </w:r>
      <w:r w:rsidR="00334638" w:rsidRPr="00BA192C">
        <w:rPr>
          <w:rFonts w:ascii="Cambria" w:hAnsi="Cambria" w:cs="Montserrat"/>
          <w:color w:val="000000"/>
          <w:sz w:val="20"/>
          <w:szCs w:val="20"/>
          <w:lang w:val="es-419" w:eastAsia="es-ES"/>
        </w:rPr>
        <w:t xml:space="preserve">, </w:t>
      </w:r>
      <w:r w:rsidR="0011741A" w:rsidRPr="0011741A">
        <w:rPr>
          <w:rFonts w:ascii="Cambria" w:hAnsi="Cambria" w:cs="Montserrat"/>
          <w:color w:val="000000"/>
          <w:sz w:val="20"/>
          <w:szCs w:val="20"/>
          <w:lang w:val="es-419" w:eastAsia="es-ES"/>
        </w:rPr>
        <w:t xml:space="preserve">consignó </w:t>
      </w:r>
      <w:r w:rsidR="00DD7EE0" w:rsidRPr="00CA5F6B">
        <w:rPr>
          <w:rFonts w:ascii="Cambria" w:hAnsi="Cambria" w:cs="Montserrat"/>
          <w:color w:val="000000"/>
          <w:sz w:val="20"/>
          <w:szCs w:val="20"/>
          <w:lang w:val="es-419" w:eastAsia="es-ES"/>
        </w:rPr>
        <w:t xml:space="preserve">igualmente </w:t>
      </w:r>
      <w:r w:rsidR="00DD7EE0">
        <w:rPr>
          <w:rFonts w:ascii="Cambria" w:hAnsi="Cambria" w:cs="Montserrat"/>
          <w:color w:val="000000"/>
          <w:sz w:val="20"/>
          <w:szCs w:val="20"/>
          <w:lang w:val="es-419" w:eastAsia="es-ES"/>
        </w:rPr>
        <w:t xml:space="preserve">en la resolución </w:t>
      </w:r>
      <w:r w:rsidR="0011741A" w:rsidRPr="0011741A">
        <w:rPr>
          <w:rFonts w:ascii="Cambria" w:hAnsi="Cambria" w:cs="Montserrat"/>
          <w:color w:val="000000"/>
          <w:sz w:val="20"/>
          <w:szCs w:val="20"/>
          <w:lang w:val="es-419" w:eastAsia="es-ES"/>
        </w:rPr>
        <w:t xml:space="preserve">que el </w:t>
      </w:r>
      <w:r w:rsidR="00DD7EE0" w:rsidRPr="0011741A">
        <w:rPr>
          <w:rFonts w:ascii="Cambria" w:hAnsi="Cambria" w:cs="Montserrat"/>
          <w:color w:val="000000"/>
          <w:sz w:val="20"/>
          <w:szCs w:val="20"/>
          <w:lang w:val="es-419" w:eastAsia="es-ES"/>
        </w:rPr>
        <w:t>policía</w:t>
      </w:r>
      <w:r w:rsidR="0011741A" w:rsidRPr="0011741A">
        <w:rPr>
          <w:rFonts w:ascii="Cambria" w:hAnsi="Cambria" w:cs="Montserrat"/>
          <w:color w:val="000000"/>
          <w:sz w:val="20"/>
          <w:szCs w:val="20"/>
          <w:lang w:val="es-419" w:eastAsia="es-ES"/>
        </w:rPr>
        <w:t xml:space="preserve"> cuestionado actuó en legítima defensa. </w:t>
      </w:r>
      <w:r w:rsidR="00DD7EE0">
        <w:rPr>
          <w:rFonts w:ascii="Cambria" w:hAnsi="Cambria" w:cs="Montserrat"/>
          <w:color w:val="000000"/>
          <w:sz w:val="20"/>
          <w:szCs w:val="20"/>
          <w:lang w:val="es-419" w:eastAsia="es-ES"/>
        </w:rPr>
        <w:t>El Estado</w:t>
      </w:r>
      <w:r w:rsidR="00AE3899">
        <w:rPr>
          <w:rFonts w:ascii="Cambria" w:hAnsi="Cambria" w:cs="Montserrat"/>
          <w:color w:val="000000"/>
          <w:sz w:val="20"/>
          <w:szCs w:val="20"/>
          <w:lang w:val="es-419" w:eastAsia="es-ES"/>
        </w:rPr>
        <w:t xml:space="preserve"> a</w:t>
      </w:r>
      <w:r w:rsidR="00CA5F6B" w:rsidRPr="00CA5F6B">
        <w:rPr>
          <w:rFonts w:ascii="Cambria" w:hAnsi="Cambria" w:cs="Montserrat"/>
          <w:color w:val="000000"/>
          <w:sz w:val="20"/>
          <w:szCs w:val="20"/>
          <w:lang w:val="es-419" w:eastAsia="es-ES"/>
        </w:rPr>
        <w:t xml:space="preserve">duce que no </w:t>
      </w:r>
      <w:r w:rsidR="0011741A" w:rsidRPr="0011741A">
        <w:rPr>
          <w:rFonts w:ascii="Cambria" w:hAnsi="Cambria" w:cs="Montserrat"/>
          <w:color w:val="000000"/>
          <w:sz w:val="20"/>
          <w:szCs w:val="20"/>
          <w:lang w:val="es-419" w:eastAsia="es-ES"/>
        </w:rPr>
        <w:t>se interpusieron recursos</w:t>
      </w:r>
      <w:r w:rsidR="00CA5F6B" w:rsidRPr="00CA5F6B">
        <w:rPr>
          <w:rFonts w:ascii="Cambria" w:hAnsi="Cambria" w:cs="Montserrat"/>
          <w:color w:val="000000"/>
          <w:sz w:val="20"/>
          <w:szCs w:val="20"/>
          <w:lang w:val="es-419" w:eastAsia="es-ES"/>
        </w:rPr>
        <w:t xml:space="preserve"> c</w:t>
      </w:r>
      <w:r w:rsidR="00CA5F6B" w:rsidRPr="0011741A">
        <w:rPr>
          <w:rFonts w:ascii="Cambria" w:hAnsi="Cambria" w:cs="Montserrat"/>
          <w:color w:val="000000"/>
          <w:sz w:val="20"/>
          <w:szCs w:val="20"/>
          <w:lang w:val="es-419" w:eastAsia="es-ES"/>
        </w:rPr>
        <w:t>ontra la decisión de cesación de procedimiento</w:t>
      </w:r>
      <w:r w:rsidR="0011741A" w:rsidRPr="0011741A">
        <w:rPr>
          <w:rFonts w:ascii="Cambria" w:hAnsi="Cambria" w:cs="Montserrat"/>
          <w:color w:val="000000"/>
          <w:sz w:val="20"/>
          <w:szCs w:val="20"/>
          <w:lang w:val="es-419" w:eastAsia="es-ES"/>
        </w:rPr>
        <w:t xml:space="preserve">, por </w:t>
      </w:r>
      <w:r w:rsidR="00DD7EE0">
        <w:rPr>
          <w:rFonts w:ascii="Cambria" w:hAnsi="Cambria" w:cs="Montserrat"/>
          <w:color w:val="000000"/>
          <w:sz w:val="20"/>
          <w:szCs w:val="20"/>
          <w:lang w:val="es-419" w:eastAsia="es-ES"/>
        </w:rPr>
        <w:t>lo que</w:t>
      </w:r>
      <w:r w:rsidR="0011741A" w:rsidRPr="0011741A">
        <w:rPr>
          <w:rFonts w:ascii="Cambria" w:hAnsi="Cambria" w:cs="Montserrat"/>
          <w:color w:val="000000"/>
          <w:sz w:val="20"/>
          <w:szCs w:val="20"/>
          <w:lang w:val="es-419" w:eastAsia="es-ES"/>
        </w:rPr>
        <w:t xml:space="preserve"> fue conocida en </w:t>
      </w:r>
      <w:r w:rsidR="00CA5F6B" w:rsidRPr="00CA5F6B">
        <w:rPr>
          <w:rFonts w:ascii="Cambria" w:hAnsi="Cambria" w:cs="Montserrat"/>
          <w:color w:val="000000"/>
          <w:sz w:val="20"/>
          <w:szCs w:val="20"/>
          <w:lang w:val="es-419" w:eastAsia="es-ES"/>
        </w:rPr>
        <w:t>c</w:t>
      </w:r>
      <w:r w:rsidR="0011741A" w:rsidRPr="0011741A">
        <w:rPr>
          <w:rFonts w:ascii="Cambria" w:hAnsi="Cambria" w:cs="Montserrat"/>
          <w:color w:val="000000"/>
          <w:sz w:val="20"/>
          <w:szCs w:val="20"/>
          <w:lang w:val="es-419" w:eastAsia="es-ES"/>
        </w:rPr>
        <w:t>onsulta por la Fiscalía Cuarta ante el Tribunal Superior Militar</w:t>
      </w:r>
      <w:r w:rsidR="00DD7EE0">
        <w:rPr>
          <w:rFonts w:ascii="Cambria" w:hAnsi="Cambria" w:cs="Montserrat"/>
          <w:color w:val="000000"/>
          <w:sz w:val="20"/>
          <w:szCs w:val="20"/>
          <w:lang w:val="es-419" w:eastAsia="es-ES"/>
        </w:rPr>
        <w:t>;</w:t>
      </w:r>
      <w:r w:rsidR="0011741A" w:rsidRPr="0011741A">
        <w:rPr>
          <w:rFonts w:ascii="Cambria" w:hAnsi="Cambria" w:cs="Montserrat"/>
          <w:color w:val="000000"/>
          <w:sz w:val="20"/>
          <w:szCs w:val="20"/>
          <w:lang w:val="es-419" w:eastAsia="es-ES"/>
        </w:rPr>
        <w:t xml:space="preserve"> mediante pronunciamiento de 21 de febrero de 2007</w:t>
      </w:r>
      <w:r w:rsidR="00DD7EE0">
        <w:rPr>
          <w:rFonts w:ascii="Cambria" w:hAnsi="Cambria" w:cs="Montserrat"/>
          <w:color w:val="000000"/>
          <w:sz w:val="20"/>
          <w:szCs w:val="20"/>
          <w:lang w:val="es-419" w:eastAsia="es-ES"/>
        </w:rPr>
        <w:t>, aquella</w:t>
      </w:r>
      <w:r w:rsidR="0011741A" w:rsidRPr="0011741A">
        <w:rPr>
          <w:rFonts w:ascii="Cambria" w:hAnsi="Cambria" w:cs="Montserrat"/>
          <w:color w:val="000000"/>
          <w:sz w:val="20"/>
          <w:szCs w:val="20"/>
          <w:lang w:val="es-419" w:eastAsia="es-ES"/>
        </w:rPr>
        <w:t xml:space="preserve"> confirmó la decisión de la Fiscalía 145</w:t>
      </w:r>
      <w:r w:rsidR="00BF10D2" w:rsidRPr="00CA5F6B">
        <w:rPr>
          <w:rFonts w:ascii="Cambria" w:hAnsi="Cambria" w:cs="Montserrat"/>
          <w:color w:val="000000"/>
          <w:sz w:val="20"/>
          <w:szCs w:val="20"/>
          <w:lang w:val="es-419" w:eastAsia="es-ES"/>
        </w:rPr>
        <w:t xml:space="preserve">. </w:t>
      </w:r>
    </w:p>
    <w:p w14:paraId="08E28950" w14:textId="1680FE2E" w:rsidR="00DD7EE0" w:rsidRDefault="00DD7EE0">
      <w:pPr>
        <w:rPr>
          <w:rFonts w:ascii="Cambria" w:hAnsi="Cambria" w:cs="Montserrat"/>
          <w:color w:val="000000"/>
          <w:sz w:val="20"/>
          <w:szCs w:val="20"/>
          <w:lang w:val="es-419" w:eastAsia="es-ES"/>
        </w:rPr>
      </w:pPr>
      <w:r>
        <w:rPr>
          <w:rFonts w:ascii="Cambria" w:hAnsi="Cambria" w:cs="Montserrat"/>
          <w:color w:val="000000"/>
          <w:sz w:val="20"/>
          <w:szCs w:val="20"/>
          <w:lang w:val="es-419" w:eastAsia="es-ES"/>
        </w:rPr>
        <w:br w:type="page"/>
      </w:r>
    </w:p>
    <w:p w14:paraId="6F675665" w14:textId="77777777" w:rsidR="00594119" w:rsidRDefault="00594119" w:rsidP="0059411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Cambria" w:hAnsi="Cambria" w:cs="Montserrat"/>
          <w:color w:val="000000"/>
          <w:sz w:val="20"/>
          <w:szCs w:val="20"/>
          <w:lang w:val="es-419" w:eastAsia="es-ES"/>
        </w:rPr>
      </w:pPr>
    </w:p>
    <w:p w14:paraId="32AFDCBF" w14:textId="1B1AD4ED" w:rsidR="00BF10D2" w:rsidRDefault="00DD7EE0"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color w:val="000000"/>
          <w:sz w:val="20"/>
          <w:szCs w:val="20"/>
          <w:lang w:val="es-419" w:eastAsia="es-ES"/>
        </w:rPr>
      </w:pPr>
      <w:r>
        <w:rPr>
          <w:rFonts w:ascii="Cambria" w:hAnsi="Cambria" w:cs="Montserrat"/>
          <w:color w:val="000000"/>
          <w:sz w:val="20"/>
          <w:szCs w:val="20"/>
          <w:lang w:val="es-419" w:eastAsia="es-ES"/>
        </w:rPr>
        <w:t>El</w:t>
      </w:r>
      <w:r w:rsidRPr="0011741A">
        <w:rPr>
          <w:rFonts w:ascii="Cambria" w:hAnsi="Cambria" w:cs="Montserrat"/>
          <w:color w:val="000000"/>
          <w:sz w:val="20"/>
          <w:szCs w:val="20"/>
          <w:lang w:val="es-419" w:eastAsia="es-ES"/>
        </w:rPr>
        <w:t xml:space="preserve"> 17 de julio de 2006 </w:t>
      </w:r>
      <w:r w:rsidR="00CA5F6B">
        <w:rPr>
          <w:rFonts w:ascii="Cambria" w:hAnsi="Cambria" w:cs="Montserrat"/>
          <w:color w:val="000000"/>
          <w:sz w:val="20"/>
          <w:szCs w:val="20"/>
          <w:lang w:val="es-419" w:eastAsia="es-ES"/>
        </w:rPr>
        <w:t>l</w:t>
      </w:r>
      <w:r w:rsidR="0011741A" w:rsidRPr="0011741A">
        <w:rPr>
          <w:rFonts w:ascii="Cambria" w:hAnsi="Cambria" w:cs="Montserrat"/>
          <w:color w:val="000000"/>
          <w:sz w:val="20"/>
          <w:szCs w:val="20"/>
          <w:lang w:val="es-419" w:eastAsia="es-ES"/>
        </w:rPr>
        <w:t>a Procuraduría Judicial No.</w:t>
      </w:r>
      <w:r w:rsidR="00CA5F6B">
        <w:rPr>
          <w:rFonts w:ascii="Cambria" w:hAnsi="Cambria" w:cs="Montserrat"/>
          <w:color w:val="000000"/>
          <w:sz w:val="20"/>
          <w:szCs w:val="20"/>
          <w:lang w:val="es-419" w:eastAsia="es-ES"/>
        </w:rPr>
        <w:t xml:space="preserve"> </w:t>
      </w:r>
      <w:r w:rsidR="0011741A" w:rsidRPr="0011741A">
        <w:rPr>
          <w:rFonts w:ascii="Cambria" w:hAnsi="Cambria" w:cs="Montserrat"/>
          <w:color w:val="000000"/>
          <w:sz w:val="20"/>
          <w:szCs w:val="20"/>
          <w:lang w:val="es-419" w:eastAsia="es-ES"/>
        </w:rPr>
        <w:t xml:space="preserve">136 Penal 11 emitió </w:t>
      </w:r>
      <w:r w:rsidR="00727D7F">
        <w:rPr>
          <w:rFonts w:ascii="Cambria" w:hAnsi="Cambria" w:cs="Montserrat"/>
          <w:color w:val="000000"/>
          <w:sz w:val="20"/>
          <w:szCs w:val="20"/>
          <w:lang w:val="es-419" w:eastAsia="es-ES"/>
        </w:rPr>
        <w:t xml:space="preserve">el </w:t>
      </w:r>
      <w:r w:rsidR="00B97CC0">
        <w:rPr>
          <w:rFonts w:ascii="Cambria" w:hAnsi="Cambria" w:cs="Montserrat"/>
          <w:color w:val="000000"/>
          <w:sz w:val="20"/>
          <w:szCs w:val="20"/>
          <w:lang w:val="es-419" w:eastAsia="es-ES"/>
        </w:rPr>
        <w:t>C</w:t>
      </w:r>
      <w:r w:rsidR="0011741A" w:rsidRPr="0011741A">
        <w:rPr>
          <w:rFonts w:ascii="Cambria" w:hAnsi="Cambria" w:cs="Montserrat"/>
          <w:color w:val="000000"/>
          <w:sz w:val="20"/>
          <w:szCs w:val="20"/>
          <w:lang w:val="es-419" w:eastAsia="es-ES"/>
        </w:rPr>
        <w:t>oncepto No.</w:t>
      </w:r>
      <w:r w:rsidR="00B55AFD">
        <w:rPr>
          <w:rFonts w:ascii="Cambria" w:hAnsi="Cambria" w:cs="Montserrat"/>
          <w:color w:val="000000"/>
          <w:sz w:val="20"/>
          <w:szCs w:val="20"/>
          <w:lang w:val="es-419" w:eastAsia="es-ES"/>
        </w:rPr>
        <w:t xml:space="preserve"> </w:t>
      </w:r>
      <w:r w:rsidR="0011741A" w:rsidRPr="0011741A">
        <w:rPr>
          <w:rFonts w:ascii="Cambria" w:hAnsi="Cambria" w:cs="Montserrat"/>
          <w:color w:val="000000"/>
          <w:sz w:val="20"/>
          <w:szCs w:val="20"/>
          <w:lang w:val="es-419" w:eastAsia="es-ES"/>
        </w:rPr>
        <w:t xml:space="preserve">478/2006 dentro del Proceso Penal No. 9139 en grado jurisdiccional de </w:t>
      </w:r>
      <w:r>
        <w:rPr>
          <w:rFonts w:ascii="Cambria" w:hAnsi="Cambria" w:cs="Montserrat"/>
          <w:color w:val="000000"/>
          <w:sz w:val="20"/>
          <w:szCs w:val="20"/>
          <w:lang w:val="es-419" w:eastAsia="es-ES"/>
        </w:rPr>
        <w:t>c</w:t>
      </w:r>
      <w:r w:rsidR="0011741A" w:rsidRPr="0011741A">
        <w:rPr>
          <w:rFonts w:ascii="Cambria" w:hAnsi="Cambria" w:cs="Montserrat"/>
          <w:color w:val="000000"/>
          <w:sz w:val="20"/>
          <w:szCs w:val="20"/>
          <w:lang w:val="es-419" w:eastAsia="es-ES"/>
        </w:rPr>
        <w:t xml:space="preserve">onsulta, en que solicitó a la Fiscalía Cuarta ante el Tribunal Superior Militar </w:t>
      </w:r>
      <w:r w:rsidR="00727D7F">
        <w:rPr>
          <w:rFonts w:ascii="Cambria" w:hAnsi="Cambria" w:cs="Montserrat"/>
          <w:color w:val="000000"/>
          <w:sz w:val="20"/>
          <w:szCs w:val="20"/>
          <w:lang w:val="es-419" w:eastAsia="es-ES"/>
        </w:rPr>
        <w:t xml:space="preserve">que </w:t>
      </w:r>
      <w:r w:rsidR="0011741A" w:rsidRPr="0011741A">
        <w:rPr>
          <w:rFonts w:ascii="Cambria" w:hAnsi="Cambria" w:cs="Montserrat"/>
          <w:color w:val="000000"/>
          <w:sz w:val="20"/>
          <w:szCs w:val="20"/>
          <w:lang w:val="es-419" w:eastAsia="es-ES"/>
        </w:rPr>
        <w:t>confirmar</w:t>
      </w:r>
      <w:r w:rsidR="00727D7F">
        <w:rPr>
          <w:rFonts w:ascii="Cambria" w:hAnsi="Cambria" w:cs="Montserrat"/>
          <w:color w:val="000000"/>
          <w:sz w:val="20"/>
          <w:szCs w:val="20"/>
          <w:lang w:val="es-419" w:eastAsia="es-ES"/>
        </w:rPr>
        <w:t>a</w:t>
      </w:r>
      <w:r w:rsidR="0011741A" w:rsidRPr="0011741A">
        <w:rPr>
          <w:rFonts w:ascii="Cambria" w:hAnsi="Cambria" w:cs="Montserrat"/>
          <w:color w:val="000000"/>
          <w:sz w:val="20"/>
          <w:szCs w:val="20"/>
          <w:lang w:val="es-419" w:eastAsia="es-ES"/>
        </w:rPr>
        <w:t xml:space="preserve"> la decisión de cesar </w:t>
      </w:r>
      <w:r w:rsidR="00727D7F">
        <w:rPr>
          <w:rFonts w:ascii="Cambria" w:hAnsi="Cambria" w:cs="Montserrat"/>
          <w:color w:val="000000"/>
          <w:sz w:val="20"/>
          <w:szCs w:val="20"/>
          <w:lang w:val="es-419" w:eastAsia="es-ES"/>
        </w:rPr>
        <w:t xml:space="preserve">el </w:t>
      </w:r>
      <w:r w:rsidR="0011741A" w:rsidRPr="0011741A">
        <w:rPr>
          <w:rFonts w:ascii="Cambria" w:hAnsi="Cambria" w:cs="Montserrat"/>
          <w:color w:val="000000"/>
          <w:sz w:val="20"/>
          <w:szCs w:val="20"/>
          <w:lang w:val="es-419" w:eastAsia="es-ES"/>
        </w:rPr>
        <w:t>procedimiento</w:t>
      </w:r>
      <w:r w:rsidR="00727D7F">
        <w:rPr>
          <w:rFonts w:ascii="Cambria" w:hAnsi="Cambria" w:cs="Montserrat"/>
          <w:color w:val="000000"/>
          <w:sz w:val="20"/>
          <w:szCs w:val="20"/>
          <w:lang w:val="es-419" w:eastAsia="es-ES"/>
        </w:rPr>
        <w:t>.</w:t>
      </w:r>
      <w:r w:rsidR="00B55AFD">
        <w:rPr>
          <w:rFonts w:ascii="Cambria" w:hAnsi="Cambria" w:cs="Montserrat"/>
          <w:color w:val="000000"/>
          <w:sz w:val="20"/>
          <w:szCs w:val="20"/>
          <w:lang w:val="es-419" w:eastAsia="es-ES"/>
        </w:rPr>
        <w:t xml:space="preserve"> </w:t>
      </w:r>
      <w:r w:rsidR="00727D7F">
        <w:rPr>
          <w:rFonts w:ascii="Cambria" w:hAnsi="Cambria" w:cs="Montserrat"/>
          <w:color w:val="000000"/>
          <w:sz w:val="20"/>
          <w:szCs w:val="20"/>
          <w:lang w:val="es-419" w:eastAsia="es-ES"/>
        </w:rPr>
        <w:t xml:space="preserve">El </w:t>
      </w:r>
      <w:r w:rsidR="00B55AFD">
        <w:rPr>
          <w:rFonts w:ascii="Cambria" w:hAnsi="Cambria" w:cs="Montserrat"/>
          <w:color w:val="000000"/>
          <w:sz w:val="20"/>
          <w:szCs w:val="20"/>
          <w:lang w:val="es-419" w:eastAsia="es-ES"/>
        </w:rPr>
        <w:t xml:space="preserve">argumento </w:t>
      </w:r>
      <w:r w:rsidR="00727D7F">
        <w:rPr>
          <w:rFonts w:ascii="Cambria" w:hAnsi="Cambria" w:cs="Montserrat"/>
          <w:color w:val="000000"/>
          <w:sz w:val="20"/>
          <w:szCs w:val="20"/>
          <w:lang w:val="es-419" w:eastAsia="es-ES"/>
        </w:rPr>
        <w:t xml:space="preserve">esgrimido fue </w:t>
      </w:r>
      <w:r w:rsidR="00B55AFD">
        <w:rPr>
          <w:rFonts w:ascii="Cambria" w:hAnsi="Cambria" w:cs="Montserrat"/>
          <w:color w:val="000000"/>
          <w:sz w:val="20"/>
          <w:szCs w:val="20"/>
          <w:lang w:val="es-419" w:eastAsia="es-ES"/>
        </w:rPr>
        <w:t xml:space="preserve">que </w:t>
      </w:r>
      <w:r w:rsidR="0011741A" w:rsidRPr="0011741A">
        <w:rPr>
          <w:rFonts w:ascii="Cambria" w:hAnsi="Cambria" w:cs="Montserrat"/>
          <w:color w:val="000000"/>
          <w:sz w:val="20"/>
          <w:szCs w:val="20"/>
          <w:lang w:val="es-419" w:eastAsia="es-ES"/>
        </w:rPr>
        <w:t xml:space="preserve">la acción inicial de los delincuentes </w:t>
      </w:r>
      <w:r w:rsidR="00727D7F">
        <w:rPr>
          <w:rFonts w:ascii="Cambria" w:hAnsi="Cambria" w:cs="Montserrat"/>
          <w:color w:val="000000"/>
          <w:sz w:val="20"/>
          <w:szCs w:val="20"/>
          <w:lang w:val="es-419" w:eastAsia="es-ES"/>
        </w:rPr>
        <w:t xml:space="preserve">generó </w:t>
      </w:r>
      <w:r w:rsidR="0011741A" w:rsidRPr="0011741A">
        <w:rPr>
          <w:rFonts w:ascii="Cambria" w:hAnsi="Cambria" w:cs="Montserrat"/>
          <w:color w:val="000000"/>
          <w:sz w:val="20"/>
          <w:szCs w:val="20"/>
          <w:lang w:val="es-419" w:eastAsia="es-ES"/>
        </w:rPr>
        <w:t>la reacción del procesado, qu</w:t>
      </w:r>
      <w:r w:rsidR="00727D7F">
        <w:rPr>
          <w:rFonts w:ascii="Cambria" w:hAnsi="Cambria" w:cs="Montserrat"/>
          <w:color w:val="000000"/>
          <w:sz w:val="20"/>
          <w:szCs w:val="20"/>
          <w:lang w:val="es-419" w:eastAsia="es-ES"/>
        </w:rPr>
        <w:t>e</w:t>
      </w:r>
      <w:r w:rsidR="0011741A" w:rsidRPr="0011741A">
        <w:rPr>
          <w:rFonts w:ascii="Cambria" w:hAnsi="Cambria" w:cs="Montserrat"/>
          <w:color w:val="000000"/>
          <w:sz w:val="20"/>
          <w:szCs w:val="20"/>
          <w:lang w:val="es-419" w:eastAsia="es-ES"/>
        </w:rPr>
        <w:t xml:space="preserve"> en cumplimiento del deber se vio </w:t>
      </w:r>
      <w:r w:rsidR="00727D7F">
        <w:rPr>
          <w:rFonts w:ascii="Cambria" w:hAnsi="Cambria" w:cs="Montserrat"/>
          <w:color w:val="000000"/>
          <w:sz w:val="20"/>
          <w:szCs w:val="20"/>
          <w:lang w:val="es-419" w:eastAsia="es-ES"/>
        </w:rPr>
        <w:t xml:space="preserve">obligado </w:t>
      </w:r>
      <w:r w:rsidR="0011741A" w:rsidRPr="0011741A">
        <w:rPr>
          <w:rFonts w:ascii="Cambria" w:hAnsi="Cambria" w:cs="Montserrat"/>
          <w:color w:val="000000"/>
          <w:sz w:val="20"/>
          <w:szCs w:val="20"/>
          <w:lang w:val="es-419" w:eastAsia="es-ES"/>
        </w:rPr>
        <w:t>a hacer uso del arma de dotación oficial en legítima defensa</w:t>
      </w:r>
      <w:r w:rsidR="00B36FB4">
        <w:rPr>
          <w:rFonts w:ascii="Cambria" w:hAnsi="Cambria" w:cs="Montserrat"/>
          <w:color w:val="000000"/>
          <w:sz w:val="20"/>
          <w:szCs w:val="20"/>
          <w:lang w:val="es-419" w:eastAsia="es-ES"/>
        </w:rPr>
        <w:t>.</w:t>
      </w:r>
    </w:p>
    <w:p w14:paraId="0C4A8BAC" w14:textId="77777777" w:rsidR="00775A23" w:rsidRDefault="00775A23" w:rsidP="001C6DE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color w:val="000000"/>
          <w:sz w:val="20"/>
          <w:szCs w:val="20"/>
          <w:lang w:val="es-419" w:eastAsia="es-ES"/>
        </w:rPr>
      </w:pPr>
    </w:p>
    <w:p w14:paraId="5FB0868D" w14:textId="251E2605" w:rsidR="00AC44BB" w:rsidRPr="00AC44BB" w:rsidRDefault="00727D7F"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color w:val="000000"/>
          <w:sz w:val="20"/>
          <w:szCs w:val="20"/>
          <w:lang w:val="es-419" w:eastAsia="es-ES"/>
        </w:rPr>
      </w:pPr>
      <w:r>
        <w:rPr>
          <w:rFonts w:ascii="Cambria" w:hAnsi="Cambria" w:cs="Montserrat"/>
          <w:color w:val="000000"/>
          <w:sz w:val="20"/>
          <w:szCs w:val="20"/>
          <w:lang w:val="es-419" w:eastAsia="es-ES"/>
        </w:rPr>
        <w:t xml:space="preserve">El Estado señala </w:t>
      </w:r>
      <w:r w:rsidR="00B36FB4" w:rsidRPr="00AE3899">
        <w:rPr>
          <w:rFonts w:ascii="Cambria" w:hAnsi="Cambria" w:cs="Montserrat"/>
          <w:color w:val="000000"/>
          <w:sz w:val="20"/>
          <w:szCs w:val="20"/>
          <w:lang w:val="es-419" w:eastAsia="es-ES"/>
        </w:rPr>
        <w:t xml:space="preserve">que </w:t>
      </w:r>
      <w:r w:rsidR="00AE3899" w:rsidRPr="00BA192C">
        <w:rPr>
          <w:rFonts w:ascii="Cambria" w:hAnsi="Cambria" w:cs="Montserrat"/>
          <w:color w:val="000000"/>
          <w:sz w:val="20"/>
          <w:szCs w:val="20"/>
          <w:lang w:val="es-419" w:eastAsia="es-ES"/>
        </w:rPr>
        <w:t>el</w:t>
      </w:r>
      <w:r>
        <w:rPr>
          <w:rFonts w:ascii="Cambria" w:hAnsi="Cambria" w:cs="Montserrat"/>
          <w:color w:val="000000"/>
          <w:sz w:val="20"/>
          <w:szCs w:val="20"/>
          <w:lang w:val="es-419" w:eastAsia="es-ES"/>
        </w:rPr>
        <w:t xml:space="preserve"> policía </w:t>
      </w:r>
      <w:r w:rsidR="00AE3899" w:rsidRPr="00AE3899">
        <w:rPr>
          <w:rFonts w:ascii="Cambria" w:hAnsi="Cambria" w:cs="Montserrat"/>
          <w:color w:val="000000"/>
          <w:sz w:val="20"/>
          <w:szCs w:val="20"/>
          <w:lang w:val="es-419" w:eastAsia="es-ES"/>
        </w:rPr>
        <w:t xml:space="preserve">acusado </w:t>
      </w:r>
      <w:r w:rsidR="00AE3899" w:rsidRPr="00BA192C">
        <w:rPr>
          <w:rFonts w:ascii="Cambria" w:hAnsi="Cambria" w:cs="Montserrat"/>
          <w:color w:val="000000"/>
          <w:sz w:val="20"/>
          <w:szCs w:val="20"/>
          <w:lang w:val="es-419" w:eastAsia="es-ES"/>
        </w:rPr>
        <w:t xml:space="preserve">cumplía servicio de refuerzo en la Estación Nueva Floresta, </w:t>
      </w:r>
      <w:r>
        <w:rPr>
          <w:rFonts w:ascii="Cambria" w:hAnsi="Cambria" w:cs="Montserrat"/>
          <w:color w:val="000000"/>
          <w:sz w:val="20"/>
          <w:szCs w:val="20"/>
          <w:lang w:val="es-419" w:eastAsia="es-ES"/>
        </w:rPr>
        <w:t xml:space="preserve">donde había sido </w:t>
      </w:r>
      <w:r w:rsidR="00AE3899" w:rsidRPr="00BA192C">
        <w:rPr>
          <w:rFonts w:ascii="Cambria" w:hAnsi="Cambria" w:cs="Montserrat"/>
          <w:color w:val="000000"/>
          <w:sz w:val="20"/>
          <w:szCs w:val="20"/>
          <w:lang w:val="es-419" w:eastAsia="es-ES"/>
        </w:rPr>
        <w:t>asignado para garantizar la seguridad del sector bancario, cuando se produjo el asalto</w:t>
      </w:r>
      <w:r w:rsidR="00AE3899" w:rsidRPr="00AE3899">
        <w:rPr>
          <w:rFonts w:ascii="Cambria" w:hAnsi="Cambria" w:cs="Montserrat"/>
          <w:color w:val="000000"/>
          <w:sz w:val="20"/>
          <w:szCs w:val="20"/>
          <w:lang w:val="es-419" w:eastAsia="es-ES"/>
        </w:rPr>
        <w:t xml:space="preserve"> </w:t>
      </w:r>
      <w:r w:rsidR="00AE3899" w:rsidRPr="00BA192C">
        <w:rPr>
          <w:rFonts w:ascii="Cambria" w:hAnsi="Cambria" w:cs="Montserrat"/>
          <w:color w:val="000000"/>
          <w:sz w:val="20"/>
          <w:szCs w:val="20"/>
          <w:lang w:val="es-419" w:eastAsia="es-ES"/>
        </w:rPr>
        <w:t>en el que se vio involucrad</w:t>
      </w:r>
      <w:r>
        <w:rPr>
          <w:rFonts w:ascii="Cambria" w:hAnsi="Cambria" w:cs="Montserrat"/>
          <w:color w:val="000000"/>
          <w:sz w:val="20"/>
          <w:szCs w:val="20"/>
          <w:lang w:val="es-419" w:eastAsia="es-ES"/>
        </w:rPr>
        <w:t>a</w:t>
      </w:r>
      <w:r w:rsidR="00AE3899" w:rsidRPr="00BA192C">
        <w:rPr>
          <w:rFonts w:ascii="Cambria" w:hAnsi="Cambria" w:cs="Montserrat"/>
          <w:color w:val="000000"/>
          <w:sz w:val="20"/>
          <w:szCs w:val="20"/>
          <w:lang w:val="es-419" w:eastAsia="es-ES"/>
        </w:rPr>
        <w:t xml:space="preserve"> </w:t>
      </w:r>
      <w:r>
        <w:rPr>
          <w:rFonts w:ascii="Cambria" w:hAnsi="Cambria" w:cs="Montserrat"/>
          <w:color w:val="000000"/>
          <w:sz w:val="20"/>
          <w:szCs w:val="20"/>
          <w:lang w:val="es-419" w:eastAsia="es-ES"/>
        </w:rPr>
        <w:t>la presunta víctima</w:t>
      </w:r>
      <w:r w:rsidR="00AE3899" w:rsidRPr="00AE3899">
        <w:rPr>
          <w:rFonts w:ascii="Cambria" w:hAnsi="Cambria" w:cs="Montserrat"/>
          <w:color w:val="000000"/>
          <w:sz w:val="20"/>
          <w:szCs w:val="20"/>
          <w:lang w:val="es-419" w:eastAsia="es-ES"/>
        </w:rPr>
        <w:t xml:space="preserve">. </w:t>
      </w:r>
      <w:r w:rsidR="00AE3899" w:rsidRPr="00BA192C">
        <w:rPr>
          <w:rFonts w:ascii="Cambria" w:hAnsi="Cambria" w:cs="Montserrat"/>
          <w:color w:val="000000"/>
          <w:sz w:val="20"/>
          <w:szCs w:val="20"/>
          <w:lang w:val="es-419" w:eastAsia="es-ES"/>
        </w:rPr>
        <w:t xml:space="preserve"> </w:t>
      </w:r>
      <w:r w:rsidR="00AE3899" w:rsidRPr="00AE3899">
        <w:rPr>
          <w:rFonts w:ascii="Cambria" w:hAnsi="Cambria" w:cs="Montserrat"/>
          <w:color w:val="000000"/>
          <w:sz w:val="20"/>
          <w:szCs w:val="20"/>
          <w:lang w:val="es-419" w:eastAsia="es-ES"/>
        </w:rPr>
        <w:t xml:space="preserve">Detalla que el día de los hechos, </w:t>
      </w:r>
      <w:r w:rsidR="001C6DEB">
        <w:rPr>
          <w:rFonts w:ascii="Cambria" w:hAnsi="Cambria" w:cs="Montserrat"/>
          <w:color w:val="000000"/>
          <w:sz w:val="20"/>
          <w:szCs w:val="20"/>
          <w:lang w:val="es-419" w:eastAsia="es-ES"/>
        </w:rPr>
        <w:t xml:space="preserve">cuando </w:t>
      </w:r>
      <w:r w:rsidR="00BA192C" w:rsidRPr="00BA192C">
        <w:rPr>
          <w:rFonts w:ascii="Cambria" w:hAnsi="Cambria" w:cs="Montserrat"/>
          <w:color w:val="000000"/>
          <w:sz w:val="20"/>
          <w:szCs w:val="20"/>
          <w:lang w:val="es-419" w:eastAsia="es-ES"/>
        </w:rPr>
        <w:t>cayeron de la moto</w:t>
      </w:r>
      <w:r w:rsidR="00AE3899">
        <w:rPr>
          <w:rFonts w:ascii="Cambria" w:hAnsi="Cambria" w:cs="Montserrat"/>
          <w:color w:val="000000"/>
          <w:sz w:val="20"/>
          <w:szCs w:val="20"/>
          <w:lang w:val="es-419" w:eastAsia="es-ES"/>
        </w:rPr>
        <w:t xml:space="preserve">, </w:t>
      </w:r>
      <w:r w:rsidR="001C6DEB">
        <w:rPr>
          <w:rFonts w:ascii="Cambria" w:hAnsi="Cambria" w:cs="Montserrat"/>
          <w:color w:val="000000"/>
          <w:sz w:val="20"/>
          <w:szCs w:val="20"/>
          <w:lang w:val="es-419" w:eastAsia="es-ES"/>
        </w:rPr>
        <w:t xml:space="preserve">los prófugos </w:t>
      </w:r>
      <w:r w:rsidR="00BA192C" w:rsidRPr="00BA192C">
        <w:rPr>
          <w:rFonts w:ascii="Cambria" w:hAnsi="Cambria" w:cs="Montserrat"/>
          <w:color w:val="000000"/>
          <w:sz w:val="20"/>
          <w:szCs w:val="20"/>
          <w:lang w:val="es-419" w:eastAsia="es-ES"/>
        </w:rPr>
        <w:t>salieron corriendo en direcciones opuestas</w:t>
      </w:r>
      <w:r>
        <w:rPr>
          <w:rFonts w:ascii="Cambria" w:hAnsi="Cambria" w:cs="Montserrat"/>
          <w:color w:val="000000"/>
          <w:sz w:val="20"/>
          <w:szCs w:val="20"/>
          <w:lang w:val="es-419" w:eastAsia="es-ES"/>
        </w:rPr>
        <w:t>;</w:t>
      </w:r>
      <w:r w:rsidR="00BA192C" w:rsidRPr="00BA192C">
        <w:rPr>
          <w:rFonts w:ascii="Cambria" w:hAnsi="Cambria" w:cs="Montserrat"/>
          <w:color w:val="000000"/>
          <w:sz w:val="20"/>
          <w:szCs w:val="20"/>
          <w:lang w:val="es-419" w:eastAsia="es-ES"/>
        </w:rPr>
        <w:t xml:space="preserve"> y </w:t>
      </w:r>
      <w:r>
        <w:rPr>
          <w:rFonts w:ascii="Cambria" w:hAnsi="Cambria" w:cs="Montserrat"/>
          <w:color w:val="000000"/>
          <w:sz w:val="20"/>
          <w:szCs w:val="20"/>
          <w:lang w:val="es-419" w:eastAsia="es-ES"/>
        </w:rPr>
        <w:t xml:space="preserve">que </w:t>
      </w:r>
      <w:r w:rsidR="00BA192C" w:rsidRPr="00BA192C">
        <w:rPr>
          <w:rFonts w:ascii="Cambria" w:hAnsi="Cambria" w:cs="Montserrat"/>
          <w:color w:val="000000"/>
          <w:sz w:val="20"/>
          <w:szCs w:val="20"/>
          <w:lang w:val="es-419" w:eastAsia="es-ES"/>
        </w:rPr>
        <w:t xml:space="preserve">el uniformado corrió tras </w:t>
      </w:r>
      <w:r w:rsidR="001C6DEB">
        <w:rPr>
          <w:rFonts w:ascii="Cambria" w:hAnsi="Cambria" w:cs="Montserrat"/>
          <w:color w:val="000000"/>
          <w:sz w:val="20"/>
          <w:szCs w:val="20"/>
          <w:lang w:val="es-419" w:eastAsia="es-ES"/>
        </w:rPr>
        <w:t xml:space="preserve">el </w:t>
      </w:r>
      <w:r w:rsidR="00BA192C" w:rsidRPr="00BA192C">
        <w:rPr>
          <w:rFonts w:ascii="Cambria" w:hAnsi="Cambria" w:cs="Montserrat"/>
          <w:color w:val="000000"/>
          <w:sz w:val="20"/>
          <w:szCs w:val="20"/>
          <w:lang w:val="es-419" w:eastAsia="es-ES"/>
        </w:rPr>
        <w:t>que tenía</w:t>
      </w:r>
      <w:r w:rsidRPr="00727D7F">
        <w:rPr>
          <w:rFonts w:ascii="Cambria" w:hAnsi="Cambria" w:cs="Montserrat"/>
          <w:color w:val="000000"/>
          <w:sz w:val="20"/>
          <w:szCs w:val="20"/>
          <w:lang w:val="es-419" w:eastAsia="es-ES"/>
        </w:rPr>
        <w:t xml:space="preserve"> </w:t>
      </w:r>
      <w:r>
        <w:rPr>
          <w:rFonts w:ascii="Cambria" w:hAnsi="Cambria" w:cs="Montserrat"/>
          <w:color w:val="000000"/>
          <w:sz w:val="20"/>
          <w:szCs w:val="20"/>
          <w:lang w:val="es-419" w:eastAsia="es-ES"/>
        </w:rPr>
        <w:t xml:space="preserve">más </w:t>
      </w:r>
      <w:r w:rsidRPr="00BA192C">
        <w:rPr>
          <w:rFonts w:ascii="Cambria" w:hAnsi="Cambria" w:cs="Montserrat"/>
          <w:color w:val="000000"/>
          <w:sz w:val="20"/>
          <w:szCs w:val="20"/>
          <w:lang w:val="es-419" w:eastAsia="es-ES"/>
        </w:rPr>
        <w:t>cerca</w:t>
      </w:r>
      <w:r w:rsidR="001C6DEB">
        <w:rPr>
          <w:rFonts w:ascii="Cambria" w:hAnsi="Cambria" w:cs="Montserrat"/>
          <w:color w:val="000000"/>
          <w:sz w:val="20"/>
          <w:szCs w:val="20"/>
          <w:lang w:val="es-419" w:eastAsia="es-ES"/>
        </w:rPr>
        <w:t>, que</w:t>
      </w:r>
      <w:r w:rsidR="00BA192C" w:rsidRPr="00BA192C">
        <w:rPr>
          <w:rFonts w:ascii="Cambria" w:hAnsi="Cambria" w:cs="Montserrat"/>
          <w:color w:val="000000"/>
          <w:sz w:val="20"/>
          <w:szCs w:val="20"/>
          <w:lang w:val="es-419" w:eastAsia="es-ES"/>
        </w:rPr>
        <w:t xml:space="preserve"> vestía </w:t>
      </w:r>
      <w:r>
        <w:rPr>
          <w:rFonts w:ascii="Cambria" w:hAnsi="Cambria" w:cs="Montserrat"/>
          <w:color w:val="000000"/>
          <w:sz w:val="20"/>
          <w:szCs w:val="20"/>
          <w:lang w:val="es-419" w:eastAsia="es-ES"/>
        </w:rPr>
        <w:t xml:space="preserve">pantalón </w:t>
      </w:r>
      <w:r w:rsidR="00BA192C" w:rsidRPr="00BA192C">
        <w:rPr>
          <w:rFonts w:ascii="Cambria" w:hAnsi="Cambria" w:cs="Montserrat"/>
          <w:color w:val="000000"/>
          <w:sz w:val="20"/>
          <w:szCs w:val="20"/>
          <w:lang w:val="es-419" w:eastAsia="es-ES"/>
        </w:rPr>
        <w:t>y camisa azul</w:t>
      </w:r>
      <w:r>
        <w:rPr>
          <w:rFonts w:ascii="Cambria" w:hAnsi="Cambria" w:cs="Montserrat"/>
          <w:color w:val="000000"/>
          <w:sz w:val="20"/>
          <w:szCs w:val="20"/>
          <w:lang w:val="es-419" w:eastAsia="es-ES"/>
        </w:rPr>
        <w:t>.</w:t>
      </w:r>
      <w:r w:rsidR="00BA192C" w:rsidRPr="00BA192C">
        <w:rPr>
          <w:rFonts w:ascii="Cambria" w:hAnsi="Cambria" w:cs="Montserrat"/>
          <w:color w:val="000000"/>
          <w:sz w:val="20"/>
          <w:szCs w:val="20"/>
          <w:lang w:val="es-419" w:eastAsia="es-ES"/>
        </w:rPr>
        <w:t xml:space="preserve"> </w:t>
      </w:r>
      <w:r>
        <w:rPr>
          <w:rFonts w:ascii="Cambria" w:hAnsi="Cambria" w:cs="Montserrat"/>
          <w:color w:val="000000"/>
          <w:sz w:val="20"/>
          <w:szCs w:val="20"/>
          <w:lang w:val="es-419" w:eastAsia="es-ES"/>
        </w:rPr>
        <w:t xml:space="preserve">Según la versión del policía, </w:t>
      </w:r>
      <w:r w:rsidR="00BA192C" w:rsidRPr="00BA192C">
        <w:rPr>
          <w:rFonts w:ascii="Cambria" w:hAnsi="Cambria" w:cs="Montserrat"/>
          <w:color w:val="000000"/>
          <w:sz w:val="20"/>
          <w:szCs w:val="20"/>
          <w:lang w:val="es-419" w:eastAsia="es-ES"/>
        </w:rPr>
        <w:t>lo persiguió unos 30 metros con el arma de dotación en la mano</w:t>
      </w:r>
      <w:r w:rsidR="001825B5">
        <w:rPr>
          <w:rFonts w:ascii="Cambria" w:hAnsi="Cambria" w:cs="Montserrat"/>
          <w:color w:val="000000"/>
          <w:sz w:val="20"/>
          <w:szCs w:val="20"/>
          <w:lang w:val="es-419" w:eastAsia="es-ES"/>
        </w:rPr>
        <w:t>,</w:t>
      </w:r>
      <w:r w:rsidR="00BA192C" w:rsidRPr="00BA192C">
        <w:rPr>
          <w:rFonts w:ascii="Cambria" w:hAnsi="Cambria" w:cs="Montserrat"/>
          <w:color w:val="000000"/>
          <w:sz w:val="20"/>
          <w:szCs w:val="20"/>
          <w:lang w:val="es-419" w:eastAsia="es-ES"/>
        </w:rPr>
        <w:t xml:space="preserve"> </w:t>
      </w:r>
      <w:r w:rsidR="001825B5">
        <w:rPr>
          <w:rFonts w:ascii="Cambria" w:hAnsi="Cambria" w:cs="Montserrat"/>
          <w:color w:val="000000"/>
          <w:sz w:val="20"/>
          <w:szCs w:val="20"/>
          <w:lang w:val="es-419" w:eastAsia="es-ES"/>
        </w:rPr>
        <w:t xml:space="preserve">y </w:t>
      </w:r>
      <w:r w:rsidR="00BA192C" w:rsidRPr="00BA192C">
        <w:rPr>
          <w:rFonts w:ascii="Cambria" w:hAnsi="Cambria" w:cs="Montserrat"/>
          <w:color w:val="000000"/>
          <w:sz w:val="20"/>
          <w:szCs w:val="20"/>
          <w:lang w:val="es-419" w:eastAsia="es-ES"/>
        </w:rPr>
        <w:t>cuando se detuvo le gritó que se lanzara al piso</w:t>
      </w:r>
      <w:r w:rsidR="001825B5">
        <w:rPr>
          <w:rFonts w:ascii="Cambria" w:hAnsi="Cambria" w:cs="Montserrat"/>
          <w:color w:val="000000"/>
          <w:sz w:val="20"/>
          <w:szCs w:val="20"/>
          <w:lang w:val="es-419" w:eastAsia="es-ES"/>
        </w:rPr>
        <w:t>;</w:t>
      </w:r>
      <w:r w:rsidR="00BA192C" w:rsidRPr="00BA192C">
        <w:rPr>
          <w:rFonts w:ascii="Cambria" w:hAnsi="Cambria" w:cs="Montserrat"/>
          <w:color w:val="000000"/>
          <w:sz w:val="20"/>
          <w:szCs w:val="20"/>
          <w:lang w:val="es-419" w:eastAsia="es-ES"/>
        </w:rPr>
        <w:t xml:space="preserve"> en ese instante </w:t>
      </w:r>
      <w:r w:rsidR="001825B5">
        <w:rPr>
          <w:rFonts w:ascii="Cambria" w:hAnsi="Cambria" w:cs="Montserrat"/>
          <w:color w:val="000000"/>
          <w:sz w:val="20"/>
          <w:szCs w:val="20"/>
          <w:lang w:val="es-419" w:eastAsia="es-ES"/>
        </w:rPr>
        <w:t xml:space="preserve">el agente </w:t>
      </w:r>
      <w:r w:rsidR="00BA192C" w:rsidRPr="00BA192C">
        <w:rPr>
          <w:rFonts w:ascii="Cambria" w:hAnsi="Cambria" w:cs="Montserrat"/>
          <w:color w:val="000000"/>
          <w:sz w:val="20"/>
          <w:szCs w:val="20"/>
          <w:lang w:val="es-419" w:eastAsia="es-ES"/>
        </w:rPr>
        <w:t xml:space="preserve">se resbaló y cayó, lo que fue aprovechado por el </w:t>
      </w:r>
      <w:r w:rsidR="001825B5">
        <w:rPr>
          <w:rFonts w:ascii="Cambria" w:hAnsi="Cambria" w:cs="Montserrat"/>
          <w:color w:val="000000"/>
          <w:sz w:val="20"/>
          <w:szCs w:val="20"/>
          <w:lang w:val="es-419" w:eastAsia="es-ES"/>
        </w:rPr>
        <w:t xml:space="preserve">prófugo </w:t>
      </w:r>
      <w:r w:rsidR="00BA192C" w:rsidRPr="00BA192C">
        <w:rPr>
          <w:rFonts w:ascii="Cambria" w:hAnsi="Cambria" w:cs="Montserrat"/>
          <w:color w:val="000000"/>
          <w:sz w:val="20"/>
          <w:szCs w:val="20"/>
          <w:lang w:val="es-419" w:eastAsia="es-ES"/>
        </w:rPr>
        <w:t>para abalanz</w:t>
      </w:r>
      <w:r w:rsidR="001825B5">
        <w:rPr>
          <w:rFonts w:ascii="Cambria" w:hAnsi="Cambria" w:cs="Montserrat"/>
          <w:color w:val="000000"/>
          <w:sz w:val="20"/>
          <w:szCs w:val="20"/>
          <w:lang w:val="es-419" w:eastAsia="es-ES"/>
        </w:rPr>
        <w:t>a</w:t>
      </w:r>
      <w:r w:rsidR="00BA192C" w:rsidRPr="00BA192C">
        <w:rPr>
          <w:rFonts w:ascii="Cambria" w:hAnsi="Cambria" w:cs="Montserrat"/>
          <w:color w:val="000000"/>
          <w:sz w:val="20"/>
          <w:szCs w:val="20"/>
          <w:lang w:val="es-419" w:eastAsia="es-ES"/>
        </w:rPr>
        <w:t>rse encima</w:t>
      </w:r>
      <w:r w:rsidR="001825B5">
        <w:rPr>
          <w:rFonts w:ascii="Cambria" w:hAnsi="Cambria" w:cs="Montserrat"/>
          <w:color w:val="000000"/>
          <w:sz w:val="20"/>
          <w:szCs w:val="20"/>
          <w:lang w:val="es-419" w:eastAsia="es-ES"/>
        </w:rPr>
        <w:t xml:space="preserve"> de él. Agrega que </w:t>
      </w:r>
      <w:r w:rsidR="00BA192C" w:rsidRPr="00BA192C">
        <w:rPr>
          <w:rFonts w:ascii="Cambria" w:hAnsi="Cambria" w:cs="Montserrat"/>
          <w:color w:val="000000"/>
          <w:sz w:val="20"/>
          <w:szCs w:val="20"/>
          <w:lang w:val="es-419" w:eastAsia="es-ES"/>
        </w:rPr>
        <w:t xml:space="preserve">logró incorporarse afanosamente y </w:t>
      </w:r>
      <w:r w:rsidR="001825B5">
        <w:rPr>
          <w:rFonts w:ascii="Cambria" w:hAnsi="Cambria" w:cs="Montserrat"/>
          <w:color w:val="000000"/>
          <w:sz w:val="20"/>
          <w:szCs w:val="20"/>
          <w:lang w:val="es-419" w:eastAsia="es-ES"/>
        </w:rPr>
        <w:t xml:space="preserve">que, </w:t>
      </w:r>
      <w:r w:rsidR="00BA192C" w:rsidRPr="00BA192C">
        <w:rPr>
          <w:rFonts w:ascii="Cambria" w:hAnsi="Cambria" w:cs="Montserrat"/>
          <w:color w:val="000000"/>
          <w:sz w:val="20"/>
          <w:szCs w:val="20"/>
          <w:lang w:val="es-419" w:eastAsia="es-ES"/>
        </w:rPr>
        <w:t xml:space="preserve">ante la negativa del </w:t>
      </w:r>
      <w:r w:rsidR="001825B5">
        <w:rPr>
          <w:rFonts w:ascii="Cambria" w:hAnsi="Cambria" w:cs="Montserrat"/>
          <w:color w:val="000000"/>
          <w:sz w:val="20"/>
          <w:szCs w:val="20"/>
          <w:lang w:val="es-419" w:eastAsia="es-ES"/>
        </w:rPr>
        <w:t xml:space="preserve">prófugo a </w:t>
      </w:r>
      <w:r w:rsidR="00BA192C" w:rsidRPr="00BA192C">
        <w:rPr>
          <w:rFonts w:ascii="Cambria" w:hAnsi="Cambria" w:cs="Montserrat"/>
          <w:color w:val="000000"/>
          <w:sz w:val="20"/>
          <w:szCs w:val="20"/>
          <w:lang w:val="es-419" w:eastAsia="es-ES"/>
        </w:rPr>
        <w:t>quedarse quieto, accionó el arma en su defensa por una sola vez</w:t>
      </w:r>
      <w:r w:rsidR="001825B5">
        <w:rPr>
          <w:rFonts w:ascii="Cambria" w:hAnsi="Cambria" w:cs="Montserrat"/>
          <w:color w:val="000000"/>
          <w:sz w:val="20"/>
          <w:szCs w:val="20"/>
          <w:lang w:val="es-419" w:eastAsia="es-ES"/>
        </w:rPr>
        <w:t>.</w:t>
      </w:r>
      <w:r w:rsidR="00BA192C" w:rsidRPr="00BA192C">
        <w:rPr>
          <w:rFonts w:ascii="Cambria" w:hAnsi="Cambria" w:cs="Montserrat"/>
          <w:color w:val="000000"/>
          <w:sz w:val="20"/>
          <w:szCs w:val="20"/>
          <w:lang w:val="es-419" w:eastAsia="es-ES"/>
        </w:rPr>
        <w:t xml:space="preserve"> </w:t>
      </w:r>
      <w:r w:rsidR="001825B5">
        <w:rPr>
          <w:rFonts w:ascii="Cambria" w:hAnsi="Cambria" w:cs="Montserrat"/>
          <w:color w:val="000000"/>
          <w:sz w:val="20"/>
          <w:szCs w:val="20"/>
          <w:lang w:val="es-419" w:eastAsia="es-ES"/>
        </w:rPr>
        <w:t xml:space="preserve">La bala </w:t>
      </w:r>
      <w:r w:rsidR="00BA192C" w:rsidRPr="00BA192C">
        <w:rPr>
          <w:rFonts w:ascii="Cambria" w:hAnsi="Cambria" w:cs="Montserrat"/>
          <w:color w:val="000000"/>
          <w:sz w:val="20"/>
          <w:szCs w:val="20"/>
          <w:lang w:val="es-419" w:eastAsia="es-ES"/>
        </w:rPr>
        <w:t>impact</w:t>
      </w:r>
      <w:r w:rsidR="001825B5">
        <w:rPr>
          <w:rFonts w:ascii="Cambria" w:hAnsi="Cambria" w:cs="Montserrat"/>
          <w:color w:val="000000"/>
          <w:sz w:val="20"/>
          <w:szCs w:val="20"/>
          <w:lang w:val="es-419" w:eastAsia="es-ES"/>
        </w:rPr>
        <w:t xml:space="preserve">ó a la presunta víctima </w:t>
      </w:r>
      <w:r w:rsidR="00BA192C" w:rsidRPr="00BA192C">
        <w:rPr>
          <w:rFonts w:ascii="Cambria" w:hAnsi="Cambria" w:cs="Montserrat"/>
          <w:color w:val="000000"/>
          <w:sz w:val="20"/>
          <w:szCs w:val="20"/>
          <w:lang w:val="es-419" w:eastAsia="es-ES"/>
        </w:rPr>
        <w:t xml:space="preserve">de frente a la altura del pecho, </w:t>
      </w:r>
      <w:r w:rsidR="001825B5">
        <w:rPr>
          <w:rFonts w:ascii="Cambria" w:hAnsi="Cambria" w:cs="Montserrat"/>
          <w:color w:val="000000"/>
          <w:sz w:val="20"/>
          <w:szCs w:val="20"/>
          <w:lang w:val="es-419" w:eastAsia="es-ES"/>
        </w:rPr>
        <w:t xml:space="preserve">por lo que </w:t>
      </w:r>
      <w:r w:rsidR="00BA192C" w:rsidRPr="00BA192C">
        <w:rPr>
          <w:rFonts w:ascii="Cambria" w:hAnsi="Cambria" w:cs="Montserrat"/>
          <w:color w:val="000000"/>
          <w:sz w:val="20"/>
          <w:szCs w:val="20"/>
          <w:lang w:val="es-419" w:eastAsia="es-ES"/>
        </w:rPr>
        <w:t>falleci</w:t>
      </w:r>
      <w:r w:rsidR="001825B5">
        <w:rPr>
          <w:rFonts w:ascii="Cambria" w:hAnsi="Cambria" w:cs="Montserrat"/>
          <w:color w:val="000000"/>
          <w:sz w:val="20"/>
          <w:szCs w:val="20"/>
          <w:lang w:val="es-419" w:eastAsia="es-ES"/>
        </w:rPr>
        <w:t>ó</w:t>
      </w:r>
      <w:r w:rsidR="00BA192C" w:rsidRPr="00BA192C">
        <w:rPr>
          <w:rFonts w:ascii="Cambria" w:hAnsi="Cambria" w:cs="Montserrat"/>
          <w:color w:val="000000"/>
          <w:sz w:val="20"/>
          <w:szCs w:val="20"/>
          <w:lang w:val="es-419" w:eastAsia="es-ES"/>
        </w:rPr>
        <w:t xml:space="preserve"> inmediatamente</w:t>
      </w:r>
      <w:r w:rsidR="00BF10D2" w:rsidRPr="00AE3899">
        <w:rPr>
          <w:rFonts w:ascii="Cambria" w:hAnsi="Cambria" w:cs="Montserrat"/>
          <w:color w:val="000000"/>
          <w:sz w:val="20"/>
          <w:szCs w:val="20"/>
          <w:lang w:val="es-419" w:eastAsia="es-ES"/>
        </w:rPr>
        <w:t xml:space="preserve">. </w:t>
      </w:r>
      <w:r w:rsidR="00532343" w:rsidRPr="00AE3899">
        <w:rPr>
          <w:rFonts w:ascii="Cambria" w:hAnsi="Cambria" w:cs="Montserrat"/>
          <w:color w:val="000000"/>
          <w:sz w:val="20"/>
          <w:szCs w:val="20"/>
          <w:lang w:val="es-419" w:eastAsia="es-ES"/>
        </w:rPr>
        <w:t xml:space="preserve"> </w:t>
      </w:r>
    </w:p>
    <w:p w14:paraId="125EC602" w14:textId="77777777" w:rsidR="00775A23" w:rsidRDefault="00775A23" w:rsidP="001C6DE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color w:val="000000"/>
          <w:sz w:val="20"/>
          <w:szCs w:val="20"/>
          <w:lang w:val="es-419" w:eastAsia="es-ES"/>
        </w:rPr>
      </w:pPr>
    </w:p>
    <w:p w14:paraId="6BDDBD4C" w14:textId="2D27CDA8" w:rsidR="00C74E89" w:rsidRPr="00C74E89" w:rsidRDefault="00334638"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Montserrat"/>
          <w:color w:val="000000"/>
          <w:sz w:val="20"/>
          <w:szCs w:val="20"/>
          <w:lang w:val="es-419" w:eastAsia="es-ES"/>
        </w:rPr>
      </w:pPr>
      <w:r>
        <w:rPr>
          <w:rFonts w:ascii="Cambria" w:hAnsi="Cambria" w:cs="Montserrat"/>
          <w:color w:val="000000"/>
          <w:sz w:val="20"/>
          <w:szCs w:val="20"/>
          <w:lang w:val="es-419" w:eastAsia="es-ES"/>
        </w:rPr>
        <w:t>Finalmente</w:t>
      </w:r>
      <w:r w:rsidR="00B05EE5" w:rsidRPr="00861E32">
        <w:rPr>
          <w:rFonts w:ascii="Cambria" w:hAnsi="Cambria" w:cs="Montserrat"/>
          <w:color w:val="000000"/>
          <w:sz w:val="20"/>
          <w:szCs w:val="20"/>
          <w:lang w:val="es-419" w:eastAsia="es-ES"/>
        </w:rPr>
        <w:t>, destaca que e</w:t>
      </w:r>
      <w:r w:rsidR="00532343" w:rsidRPr="0011741A">
        <w:rPr>
          <w:rFonts w:ascii="Cambria" w:hAnsi="Cambria" w:cs="Montserrat"/>
          <w:color w:val="000000"/>
          <w:sz w:val="20"/>
          <w:szCs w:val="20"/>
          <w:lang w:val="es-419" w:eastAsia="es-ES"/>
        </w:rPr>
        <w:t>l Juzgado Sexto Administrativo del Circuito de Cali resolvió la acción de reparación directa</w:t>
      </w:r>
      <w:r w:rsidR="009D7CA2" w:rsidRPr="00861E32">
        <w:rPr>
          <w:rFonts w:ascii="Cambria" w:hAnsi="Cambria" w:cs="Montserrat"/>
          <w:color w:val="000000"/>
          <w:sz w:val="20"/>
          <w:szCs w:val="20"/>
          <w:lang w:val="es-419" w:eastAsia="es-ES"/>
        </w:rPr>
        <w:t xml:space="preserve"> </w:t>
      </w:r>
      <w:r w:rsidR="009D7CA2" w:rsidRPr="0011741A">
        <w:rPr>
          <w:rFonts w:ascii="Cambria" w:hAnsi="Cambria" w:cs="Montserrat"/>
          <w:color w:val="000000"/>
          <w:sz w:val="20"/>
          <w:szCs w:val="20"/>
          <w:lang w:val="es-419" w:eastAsia="es-ES"/>
        </w:rPr>
        <w:t>mediante providencia de 30 de mayo de 2011</w:t>
      </w:r>
      <w:r w:rsidR="001825B5">
        <w:rPr>
          <w:rFonts w:ascii="Cambria" w:hAnsi="Cambria" w:cs="Montserrat"/>
          <w:color w:val="000000"/>
          <w:sz w:val="20"/>
          <w:szCs w:val="20"/>
          <w:lang w:val="es-419" w:eastAsia="es-ES"/>
        </w:rPr>
        <w:t>, con la que</w:t>
      </w:r>
      <w:r w:rsidR="00532343" w:rsidRPr="0011741A">
        <w:rPr>
          <w:rFonts w:ascii="Cambria" w:hAnsi="Cambria" w:cs="Montserrat"/>
          <w:color w:val="000000"/>
          <w:sz w:val="20"/>
          <w:szCs w:val="20"/>
          <w:lang w:val="es-419" w:eastAsia="es-ES"/>
        </w:rPr>
        <w:t xml:space="preserve"> rechaz</w:t>
      </w:r>
      <w:r w:rsidR="001825B5">
        <w:rPr>
          <w:rFonts w:ascii="Cambria" w:hAnsi="Cambria" w:cs="Montserrat"/>
          <w:color w:val="000000"/>
          <w:sz w:val="20"/>
          <w:szCs w:val="20"/>
          <w:lang w:val="es-419" w:eastAsia="es-ES"/>
        </w:rPr>
        <w:t>ó</w:t>
      </w:r>
      <w:r w:rsidR="00532343" w:rsidRPr="0011741A">
        <w:rPr>
          <w:rFonts w:ascii="Cambria" w:hAnsi="Cambria" w:cs="Montserrat"/>
          <w:color w:val="000000"/>
          <w:sz w:val="20"/>
          <w:szCs w:val="20"/>
          <w:lang w:val="es-419" w:eastAsia="es-ES"/>
        </w:rPr>
        <w:t xml:space="preserve"> las pretensiones de la demand</w:t>
      </w:r>
      <w:r w:rsidR="001B40BE" w:rsidRPr="00597532">
        <w:rPr>
          <w:rFonts w:ascii="Cambria" w:hAnsi="Cambria" w:cs="Montserrat"/>
          <w:color w:val="000000"/>
          <w:sz w:val="20"/>
          <w:szCs w:val="20"/>
          <w:lang w:val="es-419" w:eastAsia="es-ES"/>
        </w:rPr>
        <w:t>a</w:t>
      </w:r>
      <w:r w:rsidR="001825B5">
        <w:rPr>
          <w:rFonts w:ascii="Cambria" w:hAnsi="Cambria" w:cs="Montserrat"/>
          <w:color w:val="000000"/>
          <w:sz w:val="20"/>
          <w:szCs w:val="20"/>
          <w:lang w:val="es-419" w:eastAsia="es-ES"/>
        </w:rPr>
        <w:t xml:space="preserve">. El motivo fue que </w:t>
      </w:r>
      <w:r w:rsidR="00532343" w:rsidRPr="0011741A">
        <w:rPr>
          <w:rFonts w:ascii="Cambria" w:hAnsi="Cambria" w:cs="Montserrat"/>
          <w:color w:val="000000"/>
          <w:sz w:val="20"/>
          <w:szCs w:val="20"/>
          <w:lang w:val="es-419" w:eastAsia="es-ES"/>
        </w:rPr>
        <w:t xml:space="preserve">consideró que la muerte de </w:t>
      </w:r>
      <w:r w:rsidR="001825B5">
        <w:rPr>
          <w:rFonts w:ascii="Cambria" w:hAnsi="Cambria" w:cs="Montserrat"/>
          <w:color w:val="000000"/>
          <w:sz w:val="20"/>
          <w:szCs w:val="20"/>
          <w:lang w:val="es-419" w:eastAsia="es-ES"/>
        </w:rPr>
        <w:t>la presunta víctima</w:t>
      </w:r>
      <w:r w:rsidR="00532343" w:rsidRPr="0011741A">
        <w:rPr>
          <w:rFonts w:ascii="Cambria" w:hAnsi="Cambria" w:cs="Montserrat"/>
          <w:color w:val="000000"/>
          <w:sz w:val="20"/>
          <w:szCs w:val="20"/>
          <w:lang w:val="es-419" w:eastAsia="es-ES"/>
        </w:rPr>
        <w:t xml:space="preserve"> </w:t>
      </w:r>
      <w:r w:rsidR="001825B5">
        <w:rPr>
          <w:rFonts w:ascii="Cambria" w:hAnsi="Cambria" w:cs="Montserrat"/>
          <w:color w:val="000000"/>
          <w:sz w:val="20"/>
          <w:szCs w:val="20"/>
          <w:lang w:val="es-419" w:eastAsia="es-ES"/>
        </w:rPr>
        <w:t xml:space="preserve">ocurrió </w:t>
      </w:r>
      <w:r w:rsidR="00532343" w:rsidRPr="0011741A">
        <w:rPr>
          <w:rFonts w:ascii="Cambria" w:hAnsi="Cambria" w:cs="Montserrat"/>
          <w:color w:val="000000"/>
          <w:sz w:val="20"/>
          <w:szCs w:val="20"/>
          <w:lang w:val="es-419" w:eastAsia="es-ES"/>
        </w:rPr>
        <w:t xml:space="preserve">como consecuencia de una culpa exclusiva de </w:t>
      </w:r>
      <w:r w:rsidR="001825B5">
        <w:rPr>
          <w:rFonts w:ascii="Cambria" w:hAnsi="Cambria" w:cs="Montserrat"/>
          <w:color w:val="000000"/>
          <w:sz w:val="20"/>
          <w:szCs w:val="20"/>
          <w:lang w:val="es-419" w:eastAsia="es-ES"/>
        </w:rPr>
        <w:t xml:space="preserve">esta, </w:t>
      </w:r>
      <w:r w:rsidR="001B40BE" w:rsidRPr="00597532">
        <w:rPr>
          <w:rFonts w:ascii="Cambria" w:hAnsi="Cambria" w:cs="Montserrat"/>
          <w:color w:val="000000"/>
          <w:sz w:val="20"/>
          <w:szCs w:val="20"/>
          <w:lang w:val="es-419" w:eastAsia="es-ES"/>
        </w:rPr>
        <w:t xml:space="preserve">y </w:t>
      </w:r>
      <w:r w:rsidR="001825B5">
        <w:rPr>
          <w:rFonts w:ascii="Cambria" w:hAnsi="Cambria" w:cs="Montserrat"/>
          <w:color w:val="000000"/>
          <w:sz w:val="20"/>
          <w:szCs w:val="20"/>
          <w:lang w:val="es-419" w:eastAsia="es-ES"/>
        </w:rPr>
        <w:t xml:space="preserve">que </w:t>
      </w:r>
      <w:r w:rsidR="001B40BE" w:rsidRPr="00597532">
        <w:rPr>
          <w:rFonts w:ascii="Cambria" w:hAnsi="Cambria" w:cs="Montserrat"/>
          <w:color w:val="000000"/>
          <w:sz w:val="20"/>
          <w:szCs w:val="20"/>
          <w:lang w:val="es-419" w:eastAsia="es-ES"/>
        </w:rPr>
        <w:t xml:space="preserve">el agente </w:t>
      </w:r>
      <w:r w:rsidR="001B40BE" w:rsidRPr="0011741A">
        <w:rPr>
          <w:rFonts w:ascii="Cambria" w:hAnsi="Cambria" w:cs="Montserrat"/>
          <w:color w:val="000000"/>
          <w:sz w:val="20"/>
          <w:szCs w:val="20"/>
          <w:lang w:val="es-419" w:eastAsia="es-ES"/>
        </w:rPr>
        <w:t xml:space="preserve">no tuvo otra alternativa que responder </w:t>
      </w:r>
      <w:r w:rsidR="001825B5">
        <w:rPr>
          <w:rFonts w:ascii="Cambria" w:hAnsi="Cambria" w:cs="Montserrat"/>
          <w:color w:val="000000"/>
          <w:sz w:val="20"/>
          <w:szCs w:val="20"/>
          <w:lang w:val="es-419" w:eastAsia="es-ES"/>
        </w:rPr>
        <w:t xml:space="preserve">como lo hizo, </w:t>
      </w:r>
      <w:r w:rsidR="00135475">
        <w:rPr>
          <w:rFonts w:ascii="Cambria" w:hAnsi="Cambria" w:cs="Montserrat"/>
          <w:color w:val="000000"/>
          <w:sz w:val="20"/>
          <w:szCs w:val="20"/>
          <w:lang w:val="es-419" w:eastAsia="es-ES"/>
        </w:rPr>
        <w:t>por lo que consideró</w:t>
      </w:r>
      <w:r w:rsidR="001B40BE" w:rsidRPr="0011741A">
        <w:rPr>
          <w:rFonts w:ascii="Cambria" w:hAnsi="Cambria" w:cs="Montserrat"/>
          <w:color w:val="000000"/>
          <w:sz w:val="20"/>
          <w:szCs w:val="20"/>
          <w:lang w:val="es-419" w:eastAsia="es-ES"/>
        </w:rPr>
        <w:t xml:space="preserve"> configur</w:t>
      </w:r>
      <w:r w:rsidR="00135475">
        <w:rPr>
          <w:rFonts w:ascii="Cambria" w:hAnsi="Cambria" w:cs="Montserrat"/>
          <w:color w:val="000000"/>
          <w:sz w:val="20"/>
          <w:szCs w:val="20"/>
          <w:lang w:val="es-419" w:eastAsia="es-ES"/>
        </w:rPr>
        <w:t>ada</w:t>
      </w:r>
      <w:r w:rsidR="001B40BE" w:rsidRPr="0011741A">
        <w:rPr>
          <w:rFonts w:ascii="Cambria" w:hAnsi="Cambria" w:cs="Montserrat"/>
          <w:color w:val="000000"/>
          <w:sz w:val="20"/>
          <w:szCs w:val="20"/>
          <w:lang w:val="es-419" w:eastAsia="es-ES"/>
        </w:rPr>
        <w:t xml:space="preserve"> la </w:t>
      </w:r>
      <w:r w:rsidR="00135475" w:rsidRPr="0011741A">
        <w:rPr>
          <w:rFonts w:ascii="Cambria" w:hAnsi="Cambria" w:cs="Montserrat"/>
          <w:color w:val="000000"/>
          <w:sz w:val="20"/>
          <w:szCs w:val="20"/>
          <w:lang w:val="es-419" w:eastAsia="es-ES"/>
        </w:rPr>
        <w:t xml:space="preserve">legítima defensa </w:t>
      </w:r>
      <w:r w:rsidR="00135475">
        <w:rPr>
          <w:rFonts w:ascii="Cambria" w:hAnsi="Cambria" w:cs="Montserrat"/>
          <w:color w:val="000000"/>
          <w:sz w:val="20"/>
          <w:szCs w:val="20"/>
          <w:lang w:val="es-419" w:eastAsia="es-ES"/>
        </w:rPr>
        <w:t xml:space="preserve">como </w:t>
      </w:r>
      <w:r w:rsidR="001B40BE" w:rsidRPr="0011741A">
        <w:rPr>
          <w:rFonts w:ascii="Cambria" w:hAnsi="Cambria" w:cs="Montserrat"/>
          <w:color w:val="000000"/>
          <w:sz w:val="20"/>
          <w:szCs w:val="20"/>
          <w:lang w:val="es-419" w:eastAsia="es-ES"/>
        </w:rPr>
        <w:t>causal eximente de responsabilidad</w:t>
      </w:r>
      <w:r w:rsidR="00532343" w:rsidRPr="00597532">
        <w:rPr>
          <w:rFonts w:ascii="Cambria" w:hAnsi="Cambria" w:cs="Montserrat"/>
          <w:color w:val="000000"/>
          <w:sz w:val="20"/>
          <w:szCs w:val="20"/>
          <w:lang w:val="es-419" w:eastAsia="es-ES"/>
        </w:rPr>
        <w:t xml:space="preserve">. </w:t>
      </w:r>
      <w:r w:rsidR="00532343" w:rsidRPr="0011741A">
        <w:rPr>
          <w:rFonts w:ascii="Cambria" w:hAnsi="Cambria" w:cs="Montserrat"/>
          <w:color w:val="000000"/>
          <w:sz w:val="20"/>
          <w:szCs w:val="20"/>
          <w:lang w:val="es-419" w:eastAsia="es-ES"/>
        </w:rPr>
        <w:t>El 21 de octubre de 2011 se decidió el recurso de apelación interpuesto por los demandantes</w:t>
      </w:r>
      <w:r w:rsidR="00135475">
        <w:rPr>
          <w:rFonts w:ascii="Cambria" w:hAnsi="Cambria" w:cs="Montserrat"/>
          <w:color w:val="000000"/>
          <w:sz w:val="20"/>
          <w:szCs w:val="20"/>
          <w:lang w:val="es-419" w:eastAsia="es-ES"/>
        </w:rPr>
        <w:t>, en</w:t>
      </w:r>
      <w:r w:rsidR="00BA192C" w:rsidRPr="00BA192C">
        <w:rPr>
          <w:rFonts w:ascii="Cambria" w:hAnsi="Cambria" w:cs="Montserrat"/>
          <w:color w:val="000000"/>
          <w:sz w:val="20"/>
          <w:szCs w:val="20"/>
          <w:lang w:val="es-419" w:eastAsia="es-ES"/>
        </w:rPr>
        <w:t xml:space="preserve"> </w:t>
      </w:r>
      <w:r w:rsidR="00135475">
        <w:rPr>
          <w:rFonts w:ascii="Cambria" w:hAnsi="Cambria" w:cs="Montserrat"/>
          <w:color w:val="000000"/>
          <w:sz w:val="20"/>
          <w:szCs w:val="20"/>
          <w:lang w:val="es-419" w:eastAsia="es-ES"/>
        </w:rPr>
        <w:t xml:space="preserve">el sentido de confirmar </w:t>
      </w:r>
      <w:r w:rsidR="00BA192C" w:rsidRPr="00BA192C">
        <w:rPr>
          <w:rFonts w:ascii="Cambria" w:hAnsi="Cambria" w:cs="Montserrat"/>
          <w:color w:val="000000"/>
          <w:sz w:val="20"/>
          <w:szCs w:val="20"/>
          <w:lang w:val="es-419" w:eastAsia="es-ES"/>
        </w:rPr>
        <w:t xml:space="preserve">la sentencia de 30 de mayo de 2011 </w:t>
      </w:r>
      <w:r w:rsidR="00135475">
        <w:rPr>
          <w:rFonts w:ascii="Cambria" w:hAnsi="Cambria" w:cs="Montserrat"/>
          <w:color w:val="000000"/>
          <w:sz w:val="20"/>
          <w:szCs w:val="20"/>
          <w:lang w:val="es-419" w:eastAsia="es-ES"/>
        </w:rPr>
        <w:t>de</w:t>
      </w:r>
      <w:r w:rsidR="00BA192C" w:rsidRPr="00BA192C">
        <w:rPr>
          <w:rFonts w:ascii="Cambria" w:hAnsi="Cambria" w:cs="Montserrat"/>
          <w:color w:val="000000"/>
          <w:sz w:val="20"/>
          <w:szCs w:val="20"/>
          <w:lang w:val="es-419" w:eastAsia="es-ES"/>
        </w:rPr>
        <w:t xml:space="preserve">l Juzgado Sexto Administrativo de Cali, que </w:t>
      </w:r>
      <w:r w:rsidR="00135475">
        <w:rPr>
          <w:rFonts w:ascii="Cambria" w:hAnsi="Cambria" w:cs="Montserrat"/>
          <w:color w:val="000000"/>
          <w:sz w:val="20"/>
          <w:szCs w:val="20"/>
          <w:lang w:val="es-419" w:eastAsia="es-ES"/>
        </w:rPr>
        <w:t xml:space="preserve">había </w:t>
      </w:r>
      <w:r w:rsidR="00BA192C" w:rsidRPr="00BA192C">
        <w:rPr>
          <w:rFonts w:ascii="Cambria" w:hAnsi="Cambria" w:cs="Montserrat"/>
          <w:color w:val="000000"/>
          <w:sz w:val="20"/>
          <w:szCs w:val="20"/>
          <w:lang w:val="es-419" w:eastAsia="es-ES"/>
        </w:rPr>
        <w:t>deneg</w:t>
      </w:r>
      <w:r w:rsidR="00135475">
        <w:rPr>
          <w:rFonts w:ascii="Cambria" w:hAnsi="Cambria" w:cs="Montserrat"/>
          <w:color w:val="000000"/>
          <w:sz w:val="20"/>
          <w:szCs w:val="20"/>
          <w:lang w:val="es-419" w:eastAsia="es-ES"/>
        </w:rPr>
        <w:t>ado</w:t>
      </w:r>
      <w:r w:rsidR="00BA192C" w:rsidRPr="00BA192C">
        <w:rPr>
          <w:rFonts w:ascii="Cambria" w:hAnsi="Cambria" w:cs="Montserrat"/>
          <w:color w:val="000000"/>
          <w:sz w:val="20"/>
          <w:szCs w:val="20"/>
          <w:lang w:val="es-419" w:eastAsia="es-ES"/>
        </w:rPr>
        <w:t xml:space="preserve"> las pretensiones de </w:t>
      </w:r>
      <w:r w:rsidR="00135475">
        <w:rPr>
          <w:rFonts w:ascii="Cambria" w:hAnsi="Cambria" w:cs="Montserrat"/>
          <w:color w:val="000000"/>
          <w:sz w:val="20"/>
          <w:szCs w:val="20"/>
          <w:lang w:val="es-419" w:eastAsia="es-ES"/>
        </w:rPr>
        <w:t>aquellos</w:t>
      </w:r>
      <w:r w:rsidR="00C74E89" w:rsidRPr="00C74E89">
        <w:rPr>
          <w:rFonts w:ascii="Cambria" w:hAnsi="Cambria" w:cs="Montserrat"/>
          <w:color w:val="000000"/>
          <w:sz w:val="20"/>
          <w:szCs w:val="20"/>
          <w:lang w:val="es-419" w:eastAsia="es-ES"/>
        </w:rPr>
        <w:t xml:space="preserve">. </w:t>
      </w:r>
    </w:p>
    <w:p w14:paraId="7C22CA06" w14:textId="77777777" w:rsidR="00775A23" w:rsidRPr="00135475" w:rsidRDefault="00775A23" w:rsidP="00E547B2">
      <w:pPr>
        <w:jc w:val="both"/>
        <w:rPr>
          <w:rFonts w:asciiTheme="majorHAnsi" w:hAnsiTheme="majorHAnsi"/>
          <w:b/>
          <w:bCs/>
          <w:sz w:val="20"/>
          <w:szCs w:val="20"/>
          <w:lang w:val="es-419"/>
        </w:rPr>
      </w:pPr>
    </w:p>
    <w:p w14:paraId="2228960E" w14:textId="65990D09" w:rsidR="00113C50" w:rsidRPr="004948B4" w:rsidRDefault="004C616A" w:rsidP="00E547B2">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RECURSOS INTERNOS Y PLAZO DE PRESENTACIÓN</w:t>
      </w:r>
    </w:p>
    <w:p w14:paraId="5B293012" w14:textId="77777777" w:rsidR="00775A23" w:rsidRPr="00775A23" w:rsidRDefault="00775A23" w:rsidP="00775A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Calibri"/>
          <w:sz w:val="20"/>
          <w:szCs w:val="20"/>
          <w:bdr w:val="none" w:sz="0" w:space="0" w:color="auto"/>
          <w:lang w:val="es-ES_tradnl"/>
        </w:rPr>
      </w:pPr>
    </w:p>
    <w:p w14:paraId="4F4AE513" w14:textId="378A23CC" w:rsidR="008C6CC6" w:rsidRPr="00211ACD" w:rsidRDefault="00AD6CA3" w:rsidP="00E547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Calibri"/>
          <w:sz w:val="20"/>
          <w:szCs w:val="20"/>
          <w:bdr w:val="none" w:sz="0" w:space="0" w:color="auto"/>
          <w:lang w:val="es-ES_tradnl"/>
        </w:rPr>
      </w:pPr>
      <w:r>
        <w:rPr>
          <w:rFonts w:eastAsia="Times New Roman" w:cs="Calibri"/>
          <w:sz w:val="20"/>
          <w:szCs w:val="20"/>
          <w:bdr w:val="none" w:sz="0" w:space="0" w:color="auto"/>
          <w:lang w:val="es-ES_tradnl"/>
        </w:rPr>
        <w:t>La Comisión</w:t>
      </w:r>
      <w:r w:rsidR="00F97D27" w:rsidRPr="00F97D27">
        <w:rPr>
          <w:rFonts w:eastAsia="Times New Roman" w:cs="Calibri"/>
          <w:sz w:val="20"/>
          <w:szCs w:val="20"/>
          <w:bdr w:val="none" w:sz="0" w:space="0" w:color="auto"/>
          <w:lang w:val="es-419"/>
        </w:rPr>
        <w:t xml:space="preserve"> </w:t>
      </w:r>
      <w:r w:rsidR="004610C7">
        <w:rPr>
          <w:rFonts w:eastAsia="Times New Roman" w:cs="Calibri"/>
          <w:sz w:val="20"/>
          <w:szCs w:val="20"/>
          <w:bdr w:val="none" w:sz="0" w:space="0" w:color="auto"/>
          <w:lang w:val="es-419"/>
        </w:rPr>
        <w:t xml:space="preserve">Interamericana </w:t>
      </w:r>
      <w:r w:rsidR="00F97D27" w:rsidRPr="00F97D27">
        <w:rPr>
          <w:rFonts w:eastAsia="Times New Roman" w:cs="Calibri"/>
          <w:sz w:val="20"/>
          <w:szCs w:val="20"/>
          <w:bdr w:val="none" w:sz="0" w:space="0" w:color="auto"/>
          <w:lang w:val="es-419"/>
        </w:rPr>
        <w:t>ha señalado de forma reiterada que</w:t>
      </w:r>
      <w:r w:rsidR="00F97D27" w:rsidRPr="00F97D27">
        <w:rPr>
          <w:rFonts w:eastAsia="Times New Roman" w:cs="Calibri"/>
          <w:sz w:val="20"/>
          <w:szCs w:val="20"/>
          <w:bdr w:val="none" w:sz="0" w:space="0" w:color="auto"/>
          <w:lang w:val="es-ES_tradnl"/>
        </w:rPr>
        <w:t xml:space="preserve"> </w:t>
      </w:r>
      <w:r>
        <w:rPr>
          <w:rFonts w:eastAsia="Times New Roman" w:cs="Calibri"/>
          <w:sz w:val="20"/>
          <w:szCs w:val="20"/>
          <w:bdr w:val="none" w:sz="0" w:space="0" w:color="auto"/>
          <w:lang w:val="es-ES_tradnl"/>
        </w:rPr>
        <w:t>l</w:t>
      </w:r>
      <w:r w:rsidR="008C6CC6" w:rsidRPr="008C6CC6">
        <w:rPr>
          <w:rFonts w:eastAsia="Times New Roman" w:cs="Calibri"/>
          <w:sz w:val="20"/>
          <w:szCs w:val="20"/>
          <w:bdr w:val="none" w:sz="0" w:space="0" w:color="auto"/>
          <w:lang w:val="es-ES_tradnl"/>
        </w:rPr>
        <w:t xml:space="preserve">a jurisdicción militar no constituye un foro apropiado para investigar, juzgar y sancionar las alegadas violaciones a los derechos humanos consagrados en la Convención Americana, presuntamente cometidas por miembros de la </w:t>
      </w:r>
      <w:r w:rsidR="001C6DEB">
        <w:rPr>
          <w:rFonts w:eastAsia="Times New Roman" w:cs="Calibri"/>
          <w:sz w:val="20"/>
          <w:szCs w:val="20"/>
          <w:bdr w:val="none" w:sz="0" w:space="0" w:color="auto"/>
          <w:lang w:val="es-ES_tradnl"/>
        </w:rPr>
        <w:t>f</w:t>
      </w:r>
      <w:r w:rsidR="008C6CC6" w:rsidRPr="008C6CC6">
        <w:rPr>
          <w:rFonts w:eastAsia="Times New Roman" w:cs="Calibri"/>
          <w:sz w:val="20"/>
          <w:szCs w:val="20"/>
          <w:bdr w:val="none" w:sz="0" w:space="0" w:color="auto"/>
          <w:lang w:val="es-ES_tradnl"/>
        </w:rPr>
        <w:t xml:space="preserve">uerza </w:t>
      </w:r>
      <w:r w:rsidR="001C6DEB">
        <w:rPr>
          <w:rFonts w:eastAsia="Times New Roman" w:cs="Calibri"/>
          <w:sz w:val="20"/>
          <w:szCs w:val="20"/>
          <w:bdr w:val="none" w:sz="0" w:space="0" w:color="auto"/>
          <w:lang w:val="es-ES_tradnl"/>
        </w:rPr>
        <w:t>p</w:t>
      </w:r>
      <w:r w:rsidR="008C6CC6" w:rsidRPr="008C6CC6">
        <w:rPr>
          <w:rFonts w:eastAsia="Times New Roman" w:cs="Calibri"/>
          <w:sz w:val="20"/>
          <w:szCs w:val="20"/>
          <w:bdr w:val="none" w:sz="0" w:space="0" w:color="auto"/>
          <w:lang w:val="es-ES_tradnl"/>
        </w:rPr>
        <w:t>ública o con su colaboración o aquiescencia</w:t>
      </w:r>
      <w:r w:rsidR="00E535FC" w:rsidRPr="00F97D27">
        <w:rPr>
          <w:sz w:val="20"/>
          <w:szCs w:val="20"/>
          <w:bdr w:val="none" w:sz="0" w:space="0" w:color="auto"/>
          <w:vertAlign w:val="superscript"/>
          <w:lang w:val="es-ES_tradnl"/>
        </w:rPr>
        <w:footnoteReference w:id="6"/>
      </w:r>
      <w:r w:rsidR="004610C7">
        <w:rPr>
          <w:rFonts w:eastAsia="Times New Roman" w:cs="Calibri"/>
          <w:sz w:val="20"/>
          <w:szCs w:val="20"/>
          <w:bdr w:val="none" w:sz="0" w:space="0" w:color="auto"/>
          <w:lang w:val="es-ES_tradnl"/>
        </w:rPr>
        <w:t xml:space="preserve">; por tal motivo, </w:t>
      </w:r>
      <w:r w:rsidR="004610C7" w:rsidRPr="008C6CC6">
        <w:rPr>
          <w:rFonts w:eastAsia="Times New Roman" w:cs="Calibri"/>
          <w:sz w:val="20"/>
          <w:szCs w:val="20"/>
          <w:bdr w:val="none" w:sz="0" w:space="0" w:color="auto"/>
          <w:lang w:val="es-ES_tradnl"/>
        </w:rPr>
        <w:t>no brinda un recurso adecuado</w:t>
      </w:r>
      <w:r w:rsidR="008C6CC6" w:rsidRPr="008C6CC6">
        <w:rPr>
          <w:rFonts w:eastAsia="Times New Roman" w:cs="Calibri"/>
          <w:sz w:val="20"/>
          <w:szCs w:val="20"/>
          <w:bdr w:val="none" w:sz="0" w:space="0" w:color="auto"/>
          <w:lang w:val="es-ES_tradnl"/>
        </w:rPr>
        <w:t xml:space="preserve">. </w:t>
      </w:r>
      <w:r w:rsidR="004610C7">
        <w:rPr>
          <w:rFonts w:eastAsia="Times New Roman" w:cs="Calibri"/>
          <w:sz w:val="20"/>
          <w:szCs w:val="20"/>
          <w:bdr w:val="none" w:sz="0" w:space="0" w:color="auto"/>
          <w:lang w:val="es-ES_tradnl"/>
        </w:rPr>
        <w:t>En</w:t>
      </w:r>
      <w:r w:rsidR="004610C7" w:rsidRPr="008C6CC6">
        <w:rPr>
          <w:rFonts w:eastAsia="Times New Roman" w:cs="Calibri"/>
          <w:sz w:val="20"/>
          <w:szCs w:val="20"/>
          <w:bdr w:val="none" w:sz="0" w:space="0" w:color="auto"/>
          <w:lang w:val="es-ES_tradnl"/>
        </w:rPr>
        <w:t xml:space="preserve"> el presente </w:t>
      </w:r>
      <w:r w:rsidR="004610C7">
        <w:rPr>
          <w:rFonts w:eastAsia="Times New Roman" w:cs="Calibri"/>
          <w:sz w:val="20"/>
          <w:szCs w:val="20"/>
          <w:bdr w:val="none" w:sz="0" w:space="0" w:color="auto"/>
          <w:lang w:val="es-ES_tradnl"/>
        </w:rPr>
        <w:t xml:space="preserve">asunto, </w:t>
      </w:r>
      <w:r w:rsidR="00E535FC">
        <w:rPr>
          <w:rFonts w:eastAsia="Times New Roman" w:cs="Calibri"/>
          <w:sz w:val="20"/>
          <w:szCs w:val="20"/>
          <w:bdr w:val="none" w:sz="0" w:space="0" w:color="auto"/>
          <w:lang w:val="es-ES_tradnl"/>
        </w:rPr>
        <w:t>la C</w:t>
      </w:r>
      <w:r w:rsidR="004610C7">
        <w:rPr>
          <w:rFonts w:eastAsia="Times New Roman" w:cs="Calibri"/>
          <w:sz w:val="20"/>
          <w:szCs w:val="20"/>
          <w:bdr w:val="none" w:sz="0" w:space="0" w:color="auto"/>
          <w:lang w:val="es-ES_tradnl"/>
        </w:rPr>
        <w:t>IDH</w:t>
      </w:r>
      <w:r w:rsidR="00E535FC">
        <w:rPr>
          <w:rFonts w:eastAsia="Times New Roman" w:cs="Calibri"/>
          <w:sz w:val="20"/>
          <w:szCs w:val="20"/>
          <w:bdr w:val="none" w:sz="0" w:space="0" w:color="auto"/>
          <w:lang w:val="es-ES_tradnl"/>
        </w:rPr>
        <w:t xml:space="preserve"> </w:t>
      </w:r>
      <w:r w:rsidR="00AC44BB">
        <w:rPr>
          <w:rFonts w:eastAsia="Times New Roman" w:cs="Calibri"/>
          <w:sz w:val="20"/>
          <w:szCs w:val="20"/>
          <w:bdr w:val="none" w:sz="0" w:space="0" w:color="auto"/>
          <w:lang w:val="es-ES_tradnl"/>
        </w:rPr>
        <w:t>nota</w:t>
      </w:r>
      <w:r w:rsidR="00E535FC">
        <w:rPr>
          <w:rFonts w:eastAsia="Times New Roman" w:cs="Calibri"/>
          <w:sz w:val="20"/>
          <w:szCs w:val="20"/>
          <w:bdr w:val="none" w:sz="0" w:space="0" w:color="auto"/>
          <w:lang w:val="es-ES_tradnl"/>
        </w:rPr>
        <w:t xml:space="preserve"> que </w:t>
      </w:r>
      <w:r w:rsidR="008C6CC6" w:rsidRPr="008C6CC6">
        <w:rPr>
          <w:rFonts w:eastAsia="Times New Roman" w:cs="Calibri"/>
          <w:sz w:val="20"/>
          <w:szCs w:val="20"/>
          <w:bdr w:val="none" w:sz="0" w:space="0" w:color="auto"/>
          <w:lang w:val="es-ES_tradnl"/>
        </w:rPr>
        <w:t xml:space="preserve">las investigaciones por la </w:t>
      </w:r>
      <w:r w:rsidR="00F60392">
        <w:rPr>
          <w:rFonts w:eastAsia="Times New Roman" w:cs="Calibri"/>
          <w:sz w:val="20"/>
          <w:szCs w:val="20"/>
          <w:bdr w:val="none" w:sz="0" w:space="0" w:color="auto"/>
          <w:lang w:val="es-ES_tradnl"/>
        </w:rPr>
        <w:t>muerte violenta de la presunta víctima</w:t>
      </w:r>
      <w:r w:rsidR="008C6CC6" w:rsidRPr="008C6CC6">
        <w:rPr>
          <w:rFonts w:eastAsia="Times New Roman" w:cs="Calibri"/>
          <w:sz w:val="20"/>
          <w:szCs w:val="20"/>
          <w:bdr w:val="none" w:sz="0" w:space="0" w:color="auto"/>
          <w:lang w:val="es-ES_tradnl"/>
        </w:rPr>
        <w:t xml:space="preserve"> </w:t>
      </w:r>
      <w:r w:rsidR="004610C7">
        <w:rPr>
          <w:rFonts w:eastAsia="Times New Roman" w:cs="Calibri"/>
          <w:sz w:val="20"/>
          <w:szCs w:val="20"/>
          <w:bdr w:val="none" w:sz="0" w:space="0" w:color="auto"/>
          <w:lang w:val="es-ES_tradnl"/>
        </w:rPr>
        <w:t>se</w:t>
      </w:r>
      <w:r w:rsidR="004610C7" w:rsidRPr="008C6CC6">
        <w:rPr>
          <w:rFonts w:eastAsia="Times New Roman" w:cs="Calibri"/>
          <w:sz w:val="20"/>
          <w:szCs w:val="20"/>
          <w:bdr w:val="none" w:sz="0" w:space="0" w:color="auto"/>
          <w:lang w:val="es-ES_tradnl"/>
        </w:rPr>
        <w:t xml:space="preserve"> desarrolla</w:t>
      </w:r>
      <w:r w:rsidR="004610C7">
        <w:rPr>
          <w:rFonts w:eastAsia="Times New Roman" w:cs="Calibri"/>
          <w:sz w:val="20"/>
          <w:szCs w:val="20"/>
          <w:bdr w:val="none" w:sz="0" w:space="0" w:color="auto"/>
          <w:lang w:val="es-ES_tradnl"/>
        </w:rPr>
        <w:t xml:space="preserve">ron </w:t>
      </w:r>
      <w:r w:rsidR="008C6CC6" w:rsidRPr="008C6CC6">
        <w:rPr>
          <w:rFonts w:eastAsia="Times New Roman" w:cs="Calibri"/>
          <w:sz w:val="20"/>
          <w:szCs w:val="20"/>
          <w:bdr w:val="none" w:sz="0" w:space="0" w:color="auto"/>
          <w:lang w:val="es-ES_tradnl"/>
        </w:rPr>
        <w:t>en la justicia penal militar</w:t>
      </w:r>
      <w:r w:rsidR="004610C7" w:rsidRPr="004610C7">
        <w:rPr>
          <w:rFonts w:eastAsia="Times New Roman" w:cs="Calibri"/>
          <w:sz w:val="20"/>
          <w:szCs w:val="20"/>
          <w:bdr w:val="none" w:sz="0" w:space="0" w:color="auto"/>
          <w:lang w:val="es-ES_tradnl"/>
        </w:rPr>
        <w:t xml:space="preserve"> </w:t>
      </w:r>
      <w:r w:rsidR="004610C7" w:rsidRPr="008C6CC6">
        <w:rPr>
          <w:rFonts w:eastAsia="Times New Roman" w:cs="Calibri"/>
          <w:sz w:val="20"/>
          <w:szCs w:val="20"/>
          <w:bdr w:val="none" w:sz="0" w:space="0" w:color="auto"/>
          <w:lang w:val="es-ES_tradnl"/>
        </w:rPr>
        <w:t xml:space="preserve">y </w:t>
      </w:r>
      <w:r w:rsidR="004610C7">
        <w:rPr>
          <w:rFonts w:eastAsia="Times New Roman" w:cs="Calibri"/>
          <w:sz w:val="20"/>
          <w:szCs w:val="20"/>
          <w:bdr w:val="none" w:sz="0" w:space="0" w:color="auto"/>
          <w:lang w:val="es-ES_tradnl"/>
        </w:rPr>
        <w:t xml:space="preserve">posteriormente fueron </w:t>
      </w:r>
      <w:r w:rsidR="004610C7" w:rsidRPr="008C6CC6">
        <w:rPr>
          <w:rFonts w:eastAsia="Times New Roman" w:cs="Calibri"/>
          <w:sz w:val="20"/>
          <w:szCs w:val="20"/>
          <w:bdr w:val="none" w:sz="0" w:space="0" w:color="auto"/>
          <w:lang w:val="es-ES_tradnl"/>
        </w:rPr>
        <w:t>archivad</w:t>
      </w:r>
      <w:r w:rsidR="004610C7">
        <w:rPr>
          <w:rFonts w:eastAsia="Times New Roman" w:cs="Calibri"/>
          <w:sz w:val="20"/>
          <w:szCs w:val="20"/>
          <w:bdr w:val="none" w:sz="0" w:space="0" w:color="auto"/>
          <w:lang w:val="es-ES_tradnl"/>
        </w:rPr>
        <w:t>as. Por lo tanto</w:t>
      </w:r>
      <w:r w:rsidR="008C6CC6" w:rsidRPr="008C6CC6">
        <w:rPr>
          <w:rFonts w:eastAsia="Times New Roman" w:cs="Calibri"/>
          <w:sz w:val="20"/>
          <w:szCs w:val="20"/>
          <w:bdr w:val="none" w:sz="0" w:space="0" w:color="auto"/>
          <w:lang w:val="es-ES_tradnl"/>
        </w:rPr>
        <w:t>, se configura la excepción establecida en el artículo 46.2</w:t>
      </w:r>
      <w:r w:rsidR="004610C7">
        <w:rPr>
          <w:rFonts w:eastAsia="Times New Roman" w:cs="Calibri"/>
          <w:sz w:val="20"/>
          <w:szCs w:val="20"/>
          <w:bdr w:val="none" w:sz="0" w:space="0" w:color="auto"/>
          <w:lang w:val="es-ES_tradnl"/>
        </w:rPr>
        <w:t>(</w:t>
      </w:r>
      <w:r w:rsidR="008C6CC6" w:rsidRPr="008C6CC6">
        <w:rPr>
          <w:rFonts w:eastAsia="Times New Roman" w:cs="Calibri"/>
          <w:sz w:val="20"/>
          <w:szCs w:val="20"/>
          <w:bdr w:val="none" w:sz="0" w:space="0" w:color="auto"/>
          <w:lang w:val="es-ES_tradnl"/>
        </w:rPr>
        <w:t>b) de la Convenció</w:t>
      </w:r>
      <w:r w:rsidR="008C6CC6" w:rsidRPr="00F97D27">
        <w:rPr>
          <w:rFonts w:eastAsia="Times New Roman" w:cs="Calibri"/>
          <w:sz w:val="20"/>
          <w:szCs w:val="20"/>
          <w:bdr w:val="none" w:sz="0" w:space="0" w:color="auto"/>
          <w:lang w:val="es-ES_tradnl"/>
        </w:rPr>
        <w:t>n</w:t>
      </w:r>
      <w:r w:rsidR="004610C7">
        <w:rPr>
          <w:rFonts w:eastAsia="Times New Roman" w:cs="Calibri"/>
          <w:sz w:val="20"/>
          <w:szCs w:val="20"/>
          <w:bdr w:val="none" w:sz="0" w:space="0" w:color="auto"/>
          <w:lang w:val="es-ES_tradnl"/>
        </w:rPr>
        <w:t xml:space="preserve"> Americana.</w:t>
      </w:r>
    </w:p>
    <w:p w14:paraId="244D915B" w14:textId="77777777" w:rsidR="00AA4FED" w:rsidRPr="00775A23" w:rsidRDefault="00AA4FED" w:rsidP="00E547B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Calibri"/>
          <w:sz w:val="20"/>
          <w:szCs w:val="20"/>
          <w:bdr w:val="none" w:sz="0" w:space="0" w:color="auto"/>
          <w:lang w:val="es-ES_tradnl"/>
        </w:rPr>
      </w:pPr>
    </w:p>
    <w:p w14:paraId="45E52463" w14:textId="721519DD" w:rsidR="00EE6108" w:rsidRPr="00597532" w:rsidRDefault="00A66CEF" w:rsidP="00E547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Calibri"/>
          <w:sz w:val="20"/>
          <w:szCs w:val="20"/>
          <w:bdr w:val="none" w:sz="0" w:space="0" w:color="auto"/>
          <w:lang w:val="es-ES_tradnl"/>
        </w:rPr>
      </w:pPr>
      <w:r>
        <w:rPr>
          <w:rFonts w:eastAsia="Times New Roman" w:cs="Calibri"/>
          <w:sz w:val="20"/>
          <w:szCs w:val="20"/>
          <w:bdr w:val="none" w:sz="0" w:space="0" w:color="auto"/>
          <w:lang w:val="es-ES_tradnl"/>
        </w:rPr>
        <w:t xml:space="preserve">Por otro lado, </w:t>
      </w:r>
      <w:r w:rsidR="00AA4FED" w:rsidRPr="00AA4FED">
        <w:rPr>
          <w:rFonts w:eastAsia="Times New Roman" w:cs="Calibri"/>
          <w:sz w:val="20"/>
          <w:szCs w:val="20"/>
          <w:bdr w:val="none" w:sz="0" w:space="0" w:color="auto"/>
          <w:lang w:val="es-ES_tradnl"/>
        </w:rPr>
        <w:t xml:space="preserve">la Comisión </w:t>
      </w:r>
      <w:r w:rsidR="007C2E7C">
        <w:rPr>
          <w:rFonts w:eastAsia="Times New Roman" w:cs="Calibri"/>
          <w:sz w:val="20"/>
          <w:szCs w:val="20"/>
          <w:bdr w:val="none" w:sz="0" w:space="0" w:color="auto"/>
          <w:lang w:val="es-ES_tradnl"/>
        </w:rPr>
        <w:t xml:space="preserve">Interamericana </w:t>
      </w:r>
      <w:r w:rsidR="00AA4FED" w:rsidRPr="00AA4FED">
        <w:rPr>
          <w:rFonts w:eastAsia="Times New Roman" w:cs="Calibri"/>
          <w:sz w:val="20"/>
          <w:szCs w:val="20"/>
          <w:bdr w:val="none" w:sz="0" w:space="0" w:color="auto"/>
          <w:lang w:val="es-ES_tradnl"/>
        </w:rPr>
        <w:t xml:space="preserve">ha sostenido reiteradamente que </w:t>
      </w:r>
      <w:r w:rsidR="00384909">
        <w:rPr>
          <w:rFonts w:eastAsia="Times New Roman" w:cs="Calibri"/>
          <w:sz w:val="20"/>
          <w:szCs w:val="20"/>
          <w:bdr w:val="none" w:sz="0" w:space="0" w:color="auto"/>
          <w:lang w:val="es-ES_tradnl"/>
        </w:rPr>
        <w:t xml:space="preserve">la demanda de reparación directa </w:t>
      </w:r>
      <w:r w:rsidR="00AA4FED" w:rsidRPr="00AA4FED">
        <w:rPr>
          <w:rFonts w:eastAsia="Times New Roman" w:cs="Calibri"/>
          <w:sz w:val="20"/>
          <w:szCs w:val="20"/>
          <w:bdr w:val="none" w:sz="0" w:space="0" w:color="auto"/>
          <w:lang w:val="es-ES_tradnl"/>
        </w:rPr>
        <w:t xml:space="preserve">no constituye un recurso idóneo a efectos de analizar la admisibilidad de un reclamo de la naturaleza del presente, ya que no </w:t>
      </w:r>
      <w:r w:rsidR="00AA4FED" w:rsidRPr="00597532">
        <w:rPr>
          <w:rFonts w:eastAsia="Times New Roman" w:cs="Calibri"/>
          <w:sz w:val="20"/>
          <w:szCs w:val="20"/>
          <w:bdr w:val="none" w:sz="0" w:space="0" w:color="auto"/>
          <w:lang w:val="es-ES_tradnl"/>
        </w:rPr>
        <w:t xml:space="preserve">es adecuada para proporcionar una reparación integral y justicia. Sin perjuicio de lo mencionado, en el presente </w:t>
      </w:r>
      <w:r w:rsidR="007C2E7C">
        <w:rPr>
          <w:rFonts w:eastAsia="Times New Roman" w:cs="Calibri"/>
          <w:sz w:val="20"/>
          <w:szCs w:val="20"/>
          <w:bdr w:val="none" w:sz="0" w:space="0" w:color="auto"/>
          <w:lang w:val="es-ES_tradnl"/>
        </w:rPr>
        <w:t>asunto</w:t>
      </w:r>
      <w:r w:rsidR="00AA4FED" w:rsidRPr="00597532">
        <w:rPr>
          <w:rFonts w:eastAsia="Times New Roman" w:cs="Calibri"/>
          <w:sz w:val="20"/>
          <w:szCs w:val="20"/>
          <w:bdr w:val="none" w:sz="0" w:space="0" w:color="auto"/>
          <w:lang w:val="es-ES_tradnl"/>
        </w:rPr>
        <w:t xml:space="preserve"> se observa que </w:t>
      </w:r>
      <w:r w:rsidR="00384909" w:rsidRPr="00597532">
        <w:rPr>
          <w:rFonts w:eastAsia="Times New Roman" w:cs="Calibri"/>
          <w:sz w:val="20"/>
          <w:szCs w:val="20"/>
          <w:bdr w:val="none" w:sz="0" w:space="0" w:color="auto"/>
          <w:lang w:val="es-ES_tradnl"/>
        </w:rPr>
        <w:t xml:space="preserve">la parte peticionaria </w:t>
      </w:r>
      <w:r w:rsidR="00AA4FED" w:rsidRPr="00597532">
        <w:rPr>
          <w:rFonts w:eastAsia="Times New Roman" w:cs="Calibri"/>
          <w:sz w:val="20"/>
          <w:szCs w:val="20"/>
          <w:bdr w:val="none" w:sz="0" w:space="0" w:color="auto"/>
          <w:lang w:val="es-ES_tradnl"/>
        </w:rPr>
        <w:t>alega</w:t>
      </w:r>
      <w:r w:rsidR="00384909" w:rsidRPr="00597532">
        <w:rPr>
          <w:rFonts w:eastAsia="Times New Roman" w:cs="Calibri"/>
          <w:sz w:val="20"/>
          <w:szCs w:val="20"/>
          <w:bdr w:val="none" w:sz="0" w:space="0" w:color="auto"/>
          <w:lang w:val="es-ES_tradnl"/>
        </w:rPr>
        <w:t xml:space="preserve"> </w:t>
      </w:r>
      <w:r w:rsidR="00AA4FED" w:rsidRPr="00597532">
        <w:rPr>
          <w:rFonts w:eastAsia="Times New Roman" w:cs="Calibri"/>
          <w:sz w:val="20"/>
          <w:szCs w:val="20"/>
          <w:bdr w:val="none" w:sz="0" w:space="0" w:color="auto"/>
          <w:lang w:val="es-ES_tradnl"/>
        </w:rPr>
        <w:t xml:space="preserve">además violaciones concretas en el marco de la demanda de reparación directa. Por ello, dada la vinculación entre los dos procesos, la </w:t>
      </w:r>
      <w:r w:rsidR="00384909" w:rsidRPr="00597532">
        <w:rPr>
          <w:rFonts w:eastAsia="Times New Roman" w:cs="Calibri"/>
          <w:sz w:val="20"/>
          <w:szCs w:val="20"/>
          <w:bdr w:val="none" w:sz="0" w:space="0" w:color="auto"/>
          <w:lang w:val="es-ES_tradnl"/>
        </w:rPr>
        <w:t>C</w:t>
      </w:r>
      <w:r w:rsidR="007C2E7C">
        <w:rPr>
          <w:rFonts w:eastAsia="Times New Roman" w:cs="Calibri"/>
          <w:sz w:val="20"/>
          <w:szCs w:val="20"/>
          <w:bdr w:val="none" w:sz="0" w:space="0" w:color="auto"/>
          <w:lang w:val="es-ES_tradnl"/>
        </w:rPr>
        <w:t>IDH</w:t>
      </w:r>
      <w:r w:rsidR="00AA4FED" w:rsidRPr="00597532">
        <w:rPr>
          <w:rFonts w:eastAsia="Times New Roman" w:cs="Calibri"/>
          <w:sz w:val="20"/>
          <w:szCs w:val="20"/>
          <w:bdr w:val="none" w:sz="0" w:space="0" w:color="auto"/>
          <w:lang w:val="es-ES_tradnl"/>
        </w:rPr>
        <w:t xml:space="preserve"> toma en cuenta que los recursos internos se agotaron </w:t>
      </w:r>
      <w:r w:rsidR="007C2E7C" w:rsidRPr="00597532">
        <w:rPr>
          <w:rFonts w:eastAsia="Times New Roman" w:cs="Calibri"/>
          <w:sz w:val="20"/>
          <w:szCs w:val="20"/>
          <w:bdr w:val="none" w:sz="0" w:space="0" w:color="auto"/>
          <w:lang w:val="es-ES_tradnl"/>
        </w:rPr>
        <w:t>en la jurisdicción contencios</w:t>
      </w:r>
      <w:r w:rsidR="001C6DEB">
        <w:rPr>
          <w:rFonts w:eastAsia="Times New Roman" w:cs="Calibri"/>
          <w:sz w:val="20"/>
          <w:szCs w:val="20"/>
          <w:bdr w:val="none" w:sz="0" w:space="0" w:color="auto"/>
          <w:lang w:val="es-ES_tradnl"/>
        </w:rPr>
        <w:t>o-</w:t>
      </w:r>
      <w:r w:rsidR="007C2E7C" w:rsidRPr="00597532">
        <w:rPr>
          <w:rFonts w:eastAsia="Times New Roman" w:cs="Calibri"/>
          <w:sz w:val="20"/>
          <w:szCs w:val="20"/>
          <w:bdr w:val="none" w:sz="0" w:space="0" w:color="auto"/>
          <w:lang w:val="es-ES_tradnl"/>
        </w:rPr>
        <w:t xml:space="preserve">administrativa </w:t>
      </w:r>
      <w:r w:rsidR="00AA4FED" w:rsidRPr="00597532">
        <w:rPr>
          <w:rFonts w:eastAsia="Times New Roman" w:cs="Calibri"/>
          <w:sz w:val="20"/>
          <w:szCs w:val="20"/>
          <w:bdr w:val="none" w:sz="0" w:space="0" w:color="auto"/>
          <w:lang w:val="es-ES_tradnl"/>
        </w:rPr>
        <w:t>con la decisión de</w:t>
      </w:r>
      <w:r w:rsidR="00EE6108" w:rsidRPr="00597532">
        <w:rPr>
          <w:rFonts w:eastAsia="Times New Roman" w:cs="Calibri"/>
          <w:sz w:val="20"/>
          <w:szCs w:val="20"/>
          <w:bdr w:val="none" w:sz="0" w:space="0" w:color="auto"/>
          <w:lang w:val="es-ES_tradnl"/>
        </w:rPr>
        <w:t xml:space="preserve"> 21 de octubre de 2011</w:t>
      </w:r>
      <w:r w:rsidR="007C2E7C">
        <w:rPr>
          <w:rFonts w:eastAsia="Times New Roman" w:cs="Calibri"/>
          <w:sz w:val="20"/>
          <w:szCs w:val="20"/>
          <w:bdr w:val="none" w:sz="0" w:space="0" w:color="auto"/>
          <w:lang w:val="es-ES_tradnl"/>
        </w:rPr>
        <w:t xml:space="preserve"> d</w:t>
      </w:r>
      <w:r w:rsidR="00AA4FED" w:rsidRPr="00597532">
        <w:rPr>
          <w:rFonts w:eastAsia="Times New Roman" w:cs="Calibri"/>
          <w:sz w:val="20"/>
          <w:szCs w:val="20"/>
          <w:bdr w:val="none" w:sz="0" w:space="0" w:color="auto"/>
          <w:lang w:val="es-ES_tradnl"/>
        </w:rPr>
        <w:t>el Tribunal Administrativo de</w:t>
      </w:r>
      <w:r w:rsidR="00EE6108" w:rsidRPr="00597532">
        <w:rPr>
          <w:rFonts w:eastAsia="Times New Roman" w:cs="Calibri"/>
          <w:sz w:val="20"/>
          <w:szCs w:val="20"/>
          <w:bdr w:val="none" w:sz="0" w:space="0" w:color="auto"/>
          <w:lang w:val="es-ES_tradnl"/>
        </w:rPr>
        <w:t>l Valle del Cauca</w:t>
      </w:r>
      <w:r w:rsidR="007C2E7C">
        <w:rPr>
          <w:rFonts w:eastAsia="Times New Roman" w:cs="Calibri"/>
          <w:sz w:val="20"/>
          <w:szCs w:val="20"/>
          <w:bdr w:val="none" w:sz="0" w:space="0" w:color="auto"/>
          <w:lang w:val="es-ES_tradnl"/>
        </w:rPr>
        <w:t>,</w:t>
      </w:r>
      <w:r w:rsidR="00EE6108" w:rsidRPr="00597532">
        <w:rPr>
          <w:rFonts w:eastAsia="Times New Roman" w:cs="Calibri"/>
          <w:sz w:val="20"/>
          <w:szCs w:val="20"/>
          <w:bdr w:val="none" w:sz="0" w:space="0" w:color="auto"/>
          <w:lang w:val="es-ES_tradnl"/>
        </w:rPr>
        <w:t xml:space="preserve"> </w:t>
      </w:r>
      <w:r w:rsidR="00AA4FED" w:rsidRPr="00597532">
        <w:rPr>
          <w:rFonts w:eastAsia="Times New Roman" w:cs="Calibri"/>
          <w:sz w:val="20"/>
          <w:szCs w:val="20"/>
          <w:bdr w:val="none" w:sz="0" w:space="0" w:color="auto"/>
          <w:lang w:val="es-ES_tradnl"/>
        </w:rPr>
        <w:t>que</w:t>
      </w:r>
      <w:r w:rsidR="00EE6108" w:rsidRPr="00597532">
        <w:rPr>
          <w:rFonts w:eastAsia="Times New Roman" w:cs="Calibri"/>
          <w:sz w:val="20"/>
          <w:szCs w:val="20"/>
          <w:bdr w:val="none" w:sz="0" w:space="0" w:color="auto"/>
          <w:lang w:val="es-ES_tradnl"/>
        </w:rPr>
        <w:t xml:space="preserve"> confirmó la sentencia </w:t>
      </w:r>
      <w:r w:rsidR="007C2E7C">
        <w:rPr>
          <w:rFonts w:eastAsia="Times New Roman" w:cs="Calibri"/>
          <w:sz w:val="20"/>
          <w:szCs w:val="20"/>
          <w:bdr w:val="none" w:sz="0" w:space="0" w:color="auto"/>
          <w:lang w:val="es-ES_tradnl"/>
        </w:rPr>
        <w:t>d</w:t>
      </w:r>
      <w:r w:rsidR="00EE6108" w:rsidRPr="00597532">
        <w:rPr>
          <w:rFonts w:cs="AvantGarde-Book"/>
          <w:sz w:val="20"/>
          <w:szCs w:val="20"/>
          <w:lang w:val="es-419"/>
        </w:rPr>
        <w:t xml:space="preserve">el </w:t>
      </w:r>
      <w:r w:rsidR="00EE6108" w:rsidRPr="001C4550">
        <w:rPr>
          <w:rFonts w:cs="AvantGarde-Book"/>
          <w:sz w:val="20"/>
          <w:szCs w:val="20"/>
          <w:lang w:val="es-419"/>
        </w:rPr>
        <w:t>Juzgado Sexto Administrativo del Circuito</w:t>
      </w:r>
      <w:r w:rsidR="00EE6108" w:rsidRPr="00597532">
        <w:rPr>
          <w:rFonts w:cs="AvantGarde-Book"/>
          <w:sz w:val="20"/>
          <w:szCs w:val="20"/>
          <w:lang w:val="es-419"/>
        </w:rPr>
        <w:t xml:space="preserve"> </w:t>
      </w:r>
      <w:r w:rsidR="00EE6108" w:rsidRPr="001C4550">
        <w:rPr>
          <w:rFonts w:cs="AvantGarde-Book"/>
          <w:sz w:val="20"/>
          <w:szCs w:val="20"/>
          <w:lang w:val="es-419"/>
        </w:rPr>
        <w:t>de</w:t>
      </w:r>
      <w:r w:rsidR="00EE6108" w:rsidRPr="00597532">
        <w:rPr>
          <w:rFonts w:eastAsia="Times New Roman" w:cs="Calibri"/>
          <w:sz w:val="20"/>
          <w:szCs w:val="20"/>
          <w:bdr w:val="none" w:sz="0" w:space="0" w:color="auto"/>
          <w:lang w:val="es-ES_tradnl"/>
        </w:rPr>
        <w:t xml:space="preserve"> Cali</w:t>
      </w:r>
      <w:r w:rsidR="007C2E7C">
        <w:rPr>
          <w:rFonts w:eastAsia="Times New Roman" w:cs="Calibri"/>
          <w:sz w:val="20"/>
          <w:szCs w:val="20"/>
          <w:bdr w:val="none" w:sz="0" w:space="0" w:color="auto"/>
          <w:lang w:val="es-ES_tradnl"/>
        </w:rPr>
        <w:t>. Dicha sentencia</w:t>
      </w:r>
      <w:r w:rsidR="00AA4FED" w:rsidRPr="00597532">
        <w:rPr>
          <w:rFonts w:eastAsia="Times New Roman" w:cs="Calibri"/>
          <w:sz w:val="20"/>
          <w:szCs w:val="20"/>
          <w:bdr w:val="none" w:sz="0" w:space="0" w:color="auto"/>
          <w:lang w:val="es-ES_tradnl"/>
        </w:rPr>
        <w:t xml:space="preserve"> fue notificada </w:t>
      </w:r>
      <w:r w:rsidR="007C2E7C">
        <w:rPr>
          <w:rFonts w:eastAsia="Times New Roman" w:cs="Calibri"/>
          <w:sz w:val="20"/>
          <w:szCs w:val="20"/>
          <w:bdr w:val="none" w:sz="0" w:space="0" w:color="auto"/>
          <w:lang w:val="es-ES_tradnl"/>
        </w:rPr>
        <w:t xml:space="preserve">a los demandantes </w:t>
      </w:r>
      <w:r w:rsidR="00AA4FED" w:rsidRPr="00597532">
        <w:rPr>
          <w:rFonts w:eastAsia="Times New Roman" w:cs="Calibri"/>
          <w:sz w:val="20"/>
          <w:szCs w:val="20"/>
          <w:bdr w:val="none" w:sz="0" w:space="0" w:color="auto"/>
          <w:lang w:val="es-ES_tradnl"/>
        </w:rPr>
        <w:t xml:space="preserve">el </w:t>
      </w:r>
      <w:r w:rsidR="00EE6108" w:rsidRPr="00597532">
        <w:rPr>
          <w:rFonts w:cs="AvantGarde-Book"/>
          <w:color w:val="auto"/>
          <w:sz w:val="20"/>
          <w:szCs w:val="20"/>
          <w:lang w:val="es-419"/>
        </w:rPr>
        <w:t>23 de noviembre del 2011 y quedó ejecutoriada el 30 del mismo mes y año</w:t>
      </w:r>
      <w:r w:rsidR="00EE6108" w:rsidRPr="00597532">
        <w:rPr>
          <w:sz w:val="20"/>
          <w:szCs w:val="20"/>
          <w:bdr w:val="none" w:sz="0" w:space="0" w:color="auto"/>
          <w:vertAlign w:val="superscript"/>
          <w:lang w:val="es-ES_tradnl"/>
        </w:rPr>
        <w:t xml:space="preserve"> </w:t>
      </w:r>
      <w:r w:rsidR="00AA4FED" w:rsidRPr="00597532">
        <w:rPr>
          <w:sz w:val="20"/>
          <w:szCs w:val="20"/>
          <w:bdr w:val="none" w:sz="0" w:space="0" w:color="auto"/>
          <w:vertAlign w:val="superscript"/>
          <w:lang w:val="es-ES_tradnl"/>
        </w:rPr>
        <w:footnoteReference w:id="7"/>
      </w:r>
      <w:r w:rsidR="00AA4FED" w:rsidRPr="00597532">
        <w:rPr>
          <w:rFonts w:eastAsia="Times New Roman" w:cs="Calibri"/>
          <w:sz w:val="20"/>
          <w:szCs w:val="20"/>
          <w:bdr w:val="none" w:sz="0" w:space="0" w:color="auto"/>
          <w:lang w:val="es-ES_tradnl"/>
        </w:rPr>
        <w:t>.</w:t>
      </w:r>
    </w:p>
    <w:p w14:paraId="7DD08CE3" w14:textId="2E8E32E4" w:rsidR="007C2E7C" w:rsidRDefault="007C2E7C">
      <w:pPr>
        <w:rPr>
          <w:rFonts w:asciiTheme="majorHAnsi" w:hAnsiTheme="majorHAnsi"/>
          <w:b/>
          <w:bCs/>
          <w:sz w:val="20"/>
          <w:szCs w:val="20"/>
          <w:lang w:val="es-ES"/>
        </w:rPr>
      </w:pPr>
    </w:p>
    <w:p w14:paraId="7090A929" w14:textId="34F6DEDD" w:rsidR="00F04591" w:rsidRPr="00006B74" w:rsidRDefault="00F04591" w:rsidP="00E547B2">
      <w:pPr>
        <w:pStyle w:val="ListParagraph"/>
        <w:jc w:val="both"/>
        <w:rPr>
          <w:rFonts w:asciiTheme="majorHAnsi" w:hAnsiTheme="majorHAnsi"/>
          <w:b/>
          <w:bCs/>
          <w:sz w:val="20"/>
          <w:szCs w:val="20"/>
          <w:lang w:val="es-ES"/>
        </w:rPr>
      </w:pPr>
      <w:r w:rsidRPr="00597532">
        <w:rPr>
          <w:rFonts w:asciiTheme="majorHAnsi" w:hAnsiTheme="majorHAnsi"/>
          <w:b/>
          <w:bCs/>
          <w:sz w:val="20"/>
          <w:szCs w:val="20"/>
          <w:lang w:val="es-ES"/>
        </w:rPr>
        <w:t>V</w:t>
      </w:r>
      <w:r w:rsidR="000E2789" w:rsidRPr="00597532">
        <w:rPr>
          <w:rFonts w:asciiTheme="majorHAnsi" w:hAnsiTheme="majorHAnsi"/>
          <w:b/>
          <w:bCs/>
          <w:sz w:val="20"/>
          <w:szCs w:val="20"/>
          <w:lang w:val="es-ES"/>
        </w:rPr>
        <w:t>I</w:t>
      </w:r>
      <w:r w:rsidRPr="00597532">
        <w:rPr>
          <w:rFonts w:asciiTheme="majorHAnsi" w:hAnsiTheme="majorHAnsi"/>
          <w:b/>
          <w:bCs/>
          <w:sz w:val="20"/>
          <w:szCs w:val="20"/>
          <w:lang w:val="es-ES"/>
        </w:rPr>
        <w:t xml:space="preserve">I. </w:t>
      </w:r>
      <w:r w:rsidRPr="00597532">
        <w:rPr>
          <w:rFonts w:asciiTheme="majorHAnsi" w:hAnsiTheme="majorHAnsi"/>
          <w:b/>
          <w:bCs/>
          <w:sz w:val="20"/>
          <w:szCs w:val="20"/>
          <w:lang w:val="es-ES"/>
        </w:rPr>
        <w:tab/>
        <w:t>CARACTERIZACIÓN</w:t>
      </w:r>
    </w:p>
    <w:p w14:paraId="29FB3126" w14:textId="77777777" w:rsidR="00775A23" w:rsidRPr="00775A23" w:rsidRDefault="00775A23" w:rsidP="00775A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4D8CC3A" w14:textId="6F8338A9" w:rsidR="00DB4A86" w:rsidRPr="00597532" w:rsidRDefault="007C2E7C"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419"/>
        </w:rPr>
        <w:t xml:space="preserve">La </w:t>
      </w:r>
      <w:r w:rsidR="00E70421">
        <w:rPr>
          <w:rFonts w:ascii="Cambria" w:hAnsi="Cambria"/>
          <w:sz w:val="20"/>
          <w:szCs w:val="20"/>
          <w:lang w:val="es-419"/>
        </w:rPr>
        <w:t xml:space="preserve">parte peticionaria alega </w:t>
      </w:r>
      <w:r w:rsidR="00BE5569" w:rsidRPr="004948B4">
        <w:rPr>
          <w:rFonts w:ascii="Cambria" w:hAnsi="Cambria"/>
          <w:sz w:val="20"/>
          <w:szCs w:val="20"/>
          <w:lang w:val="es-419"/>
        </w:rPr>
        <w:t>la responsabilidad estatal por la muerte de</w:t>
      </w:r>
      <w:r w:rsidR="004948B4" w:rsidRPr="004948B4">
        <w:rPr>
          <w:rFonts w:ascii="Cambria" w:hAnsi="Cambria"/>
          <w:sz w:val="20"/>
          <w:szCs w:val="20"/>
          <w:lang w:val="es-419"/>
        </w:rPr>
        <w:t xml:space="preserve"> </w:t>
      </w:r>
      <w:r>
        <w:rPr>
          <w:rFonts w:ascii="Cambria" w:hAnsi="Cambria"/>
          <w:sz w:val="20"/>
          <w:szCs w:val="20"/>
          <w:lang w:val="es-419"/>
        </w:rPr>
        <w:t>la presunta v</w:t>
      </w:r>
      <w:proofErr w:type="spellStart"/>
      <w:r w:rsidRPr="007C2E7C">
        <w:rPr>
          <w:rFonts w:ascii="Cambria" w:hAnsi="Cambria"/>
          <w:sz w:val="20"/>
          <w:szCs w:val="20"/>
          <w:lang w:val="es-US"/>
        </w:rPr>
        <w:t>íc</w:t>
      </w:r>
      <w:r>
        <w:rPr>
          <w:rFonts w:ascii="Cambria" w:hAnsi="Cambria"/>
          <w:sz w:val="20"/>
          <w:szCs w:val="20"/>
          <w:lang w:val="es-US"/>
        </w:rPr>
        <w:t>tima</w:t>
      </w:r>
      <w:proofErr w:type="spellEnd"/>
      <w:r>
        <w:rPr>
          <w:rFonts w:ascii="Cambria" w:hAnsi="Cambria"/>
          <w:sz w:val="20"/>
          <w:szCs w:val="20"/>
          <w:lang w:val="es-US"/>
        </w:rPr>
        <w:t xml:space="preserve"> </w:t>
      </w:r>
      <w:r w:rsidR="00BE5569" w:rsidRPr="004948B4">
        <w:rPr>
          <w:rFonts w:ascii="Cambria" w:hAnsi="Cambria"/>
          <w:sz w:val="20"/>
          <w:szCs w:val="20"/>
          <w:lang w:val="es-419"/>
        </w:rPr>
        <w:t xml:space="preserve">como consecuencia del accionar presuntamente arbitrario de los </w:t>
      </w:r>
      <w:r w:rsidR="004948B4" w:rsidRPr="004948B4">
        <w:rPr>
          <w:rFonts w:ascii="Cambria" w:hAnsi="Cambria"/>
          <w:sz w:val="20"/>
          <w:szCs w:val="20"/>
          <w:lang w:val="es-419"/>
        </w:rPr>
        <w:t>agentes policiales</w:t>
      </w:r>
      <w:r>
        <w:rPr>
          <w:rFonts w:ascii="Cambria" w:hAnsi="Cambria"/>
          <w:sz w:val="20"/>
          <w:szCs w:val="20"/>
          <w:lang w:val="es-419"/>
        </w:rPr>
        <w:t>,</w:t>
      </w:r>
      <w:r w:rsidR="004948B4" w:rsidRPr="004948B4">
        <w:rPr>
          <w:rFonts w:ascii="Cambria" w:hAnsi="Cambria"/>
          <w:sz w:val="20"/>
          <w:szCs w:val="20"/>
          <w:lang w:val="es-419"/>
        </w:rPr>
        <w:t xml:space="preserve"> </w:t>
      </w:r>
      <w:r w:rsidR="00BE5569" w:rsidRPr="004948B4">
        <w:rPr>
          <w:rFonts w:ascii="Cambria" w:hAnsi="Cambria"/>
          <w:sz w:val="20"/>
          <w:szCs w:val="20"/>
          <w:lang w:val="es-419"/>
        </w:rPr>
        <w:t>y</w:t>
      </w:r>
      <w:r w:rsidR="004948B4" w:rsidRPr="004948B4">
        <w:rPr>
          <w:rFonts w:ascii="Cambria" w:hAnsi="Cambria"/>
          <w:sz w:val="20"/>
          <w:szCs w:val="20"/>
          <w:lang w:val="es-419"/>
        </w:rPr>
        <w:t xml:space="preserve"> la falta de investigación y en su caso sanción </w:t>
      </w:r>
      <w:r>
        <w:rPr>
          <w:rFonts w:ascii="Cambria" w:hAnsi="Cambria"/>
          <w:sz w:val="20"/>
          <w:szCs w:val="20"/>
          <w:lang w:val="es-419"/>
        </w:rPr>
        <w:t xml:space="preserve">de los hechos en el </w:t>
      </w:r>
      <w:r w:rsidR="004948B4" w:rsidRPr="004948B4">
        <w:rPr>
          <w:rFonts w:ascii="Cambria" w:hAnsi="Cambria"/>
          <w:sz w:val="20"/>
          <w:szCs w:val="20"/>
          <w:lang w:val="es-419"/>
        </w:rPr>
        <w:t>fuero ordinario</w:t>
      </w:r>
      <w:r w:rsidR="00E70421">
        <w:rPr>
          <w:rFonts w:ascii="Cambria" w:hAnsi="Cambria"/>
          <w:sz w:val="20"/>
          <w:szCs w:val="20"/>
          <w:lang w:val="es-419"/>
        </w:rPr>
        <w:t>.</w:t>
      </w:r>
      <w:r w:rsidR="00BE5569" w:rsidRPr="004948B4">
        <w:rPr>
          <w:rFonts w:ascii="Cambria" w:hAnsi="Cambria"/>
          <w:sz w:val="20"/>
          <w:szCs w:val="20"/>
          <w:lang w:val="es-419"/>
        </w:rPr>
        <w:t xml:space="preserve"> </w:t>
      </w:r>
      <w:r w:rsidR="00E70421">
        <w:rPr>
          <w:rFonts w:ascii="Cambria" w:hAnsi="Cambria"/>
          <w:sz w:val="20"/>
          <w:szCs w:val="20"/>
          <w:lang w:val="es-419"/>
        </w:rPr>
        <w:t xml:space="preserve">La CIDH considera que tales hechos, de probarse como </w:t>
      </w:r>
      <w:r w:rsidR="00E70421">
        <w:rPr>
          <w:rFonts w:ascii="Cambria" w:hAnsi="Cambria"/>
          <w:sz w:val="20"/>
          <w:szCs w:val="20"/>
          <w:lang w:val="es-419"/>
        </w:rPr>
        <w:lastRenderedPageBreak/>
        <w:t>ciertos en l</w:t>
      </w:r>
      <w:r w:rsidR="001C6DEB">
        <w:rPr>
          <w:rFonts w:ascii="Cambria" w:hAnsi="Cambria"/>
          <w:sz w:val="20"/>
          <w:szCs w:val="20"/>
          <w:lang w:val="es-419"/>
        </w:rPr>
        <w:t>a</w:t>
      </w:r>
      <w:r w:rsidR="00E70421">
        <w:rPr>
          <w:rFonts w:ascii="Cambria" w:hAnsi="Cambria"/>
          <w:sz w:val="20"/>
          <w:szCs w:val="20"/>
          <w:lang w:val="es-419"/>
        </w:rPr>
        <w:t xml:space="preserve"> etapa de fondo, </w:t>
      </w:r>
      <w:r>
        <w:rPr>
          <w:rFonts w:ascii="Cambria" w:hAnsi="Cambria"/>
          <w:sz w:val="20"/>
          <w:szCs w:val="20"/>
          <w:lang w:val="es-419"/>
        </w:rPr>
        <w:t xml:space="preserve">configurarían </w:t>
      </w:r>
      <w:r w:rsidR="00BE5569" w:rsidRPr="004948B4">
        <w:rPr>
          <w:rFonts w:ascii="Cambria" w:hAnsi="Cambria"/>
          <w:sz w:val="20"/>
          <w:szCs w:val="20"/>
          <w:lang w:val="es-419"/>
        </w:rPr>
        <w:t xml:space="preserve">violaciones de los </w:t>
      </w:r>
      <w:r w:rsidR="00E70421">
        <w:rPr>
          <w:rFonts w:ascii="Cambria" w:hAnsi="Cambria"/>
          <w:sz w:val="20"/>
          <w:szCs w:val="20"/>
          <w:lang w:val="es-419"/>
        </w:rPr>
        <w:t xml:space="preserve">derechos reconocidos en los </w:t>
      </w:r>
      <w:r w:rsidR="00BE5569" w:rsidRPr="004948B4">
        <w:rPr>
          <w:rFonts w:ascii="Cambria" w:hAnsi="Cambria"/>
          <w:sz w:val="20"/>
          <w:szCs w:val="20"/>
          <w:lang w:val="es-419"/>
        </w:rPr>
        <w:t>artículos 4 (</w:t>
      </w:r>
      <w:r w:rsidR="004948B4" w:rsidRPr="004948B4">
        <w:rPr>
          <w:rFonts w:ascii="Cambria" w:hAnsi="Cambria"/>
          <w:sz w:val="20"/>
          <w:szCs w:val="20"/>
          <w:lang w:val="es-419"/>
        </w:rPr>
        <w:t xml:space="preserve">derecho a la </w:t>
      </w:r>
      <w:r w:rsidR="00BE5569" w:rsidRPr="004948B4">
        <w:rPr>
          <w:rFonts w:ascii="Cambria" w:hAnsi="Cambria"/>
          <w:sz w:val="20"/>
          <w:szCs w:val="20"/>
          <w:lang w:val="es-419"/>
        </w:rPr>
        <w:t>vida), 5 (</w:t>
      </w:r>
      <w:r w:rsidR="004948B4" w:rsidRPr="004948B4">
        <w:rPr>
          <w:rFonts w:ascii="Cambria" w:hAnsi="Cambria"/>
          <w:sz w:val="20"/>
          <w:szCs w:val="20"/>
          <w:lang w:val="es-419"/>
        </w:rPr>
        <w:t xml:space="preserve">derecho a la </w:t>
      </w:r>
      <w:r w:rsidR="00BE5569" w:rsidRPr="004948B4">
        <w:rPr>
          <w:rFonts w:ascii="Cambria" w:hAnsi="Cambria"/>
          <w:sz w:val="20"/>
          <w:szCs w:val="20"/>
          <w:lang w:val="es-419"/>
        </w:rPr>
        <w:t>integridad personal), 8 (garantías judiciales) y 25 (protección judicial) de la Convención Americana</w:t>
      </w:r>
      <w:r w:rsidR="00E70421">
        <w:rPr>
          <w:rFonts w:ascii="Cambria" w:hAnsi="Cambria"/>
          <w:sz w:val="20"/>
          <w:szCs w:val="20"/>
          <w:lang w:val="es-419"/>
        </w:rPr>
        <w:t>,</w:t>
      </w:r>
      <w:r w:rsidR="00BE5569" w:rsidRPr="004948B4">
        <w:rPr>
          <w:rFonts w:ascii="Cambria" w:hAnsi="Cambria"/>
          <w:sz w:val="20"/>
          <w:szCs w:val="20"/>
          <w:lang w:val="es-419"/>
        </w:rPr>
        <w:t xml:space="preserve"> en relación con su artículo 1.1 (obligación de respetar </w:t>
      </w:r>
      <w:r w:rsidR="00BE5569" w:rsidRPr="00597532">
        <w:rPr>
          <w:rFonts w:ascii="Cambria" w:hAnsi="Cambria"/>
          <w:sz w:val="20"/>
          <w:szCs w:val="20"/>
          <w:lang w:val="es-419"/>
        </w:rPr>
        <w:t>los derechos)</w:t>
      </w:r>
      <w:r w:rsidR="000B0579" w:rsidRPr="00597532">
        <w:rPr>
          <w:rFonts w:ascii="Cambria" w:hAnsi="Cambria"/>
          <w:sz w:val="20"/>
          <w:szCs w:val="20"/>
          <w:lang w:val="es-ES"/>
        </w:rPr>
        <w:t>.</w:t>
      </w:r>
    </w:p>
    <w:p w14:paraId="26C2C7F5" w14:textId="77777777" w:rsidR="00775A23" w:rsidRPr="00775A23" w:rsidRDefault="00775A23" w:rsidP="00E704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C632948" w14:textId="4A44C72E" w:rsidR="00597532" w:rsidRPr="00597532" w:rsidRDefault="00597532" w:rsidP="00E54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97532">
        <w:rPr>
          <w:rFonts w:ascii="Cambria" w:hAnsi="Cambria"/>
          <w:sz w:val="20"/>
          <w:szCs w:val="20"/>
          <w:lang w:val="es-ES_tradnl"/>
        </w:rPr>
        <w:t>Por otra parte, e</w:t>
      </w:r>
      <w:r w:rsidRPr="00597532">
        <w:rPr>
          <w:rFonts w:ascii="Cambria" w:hAnsi="Cambria"/>
          <w:sz w:val="20"/>
          <w:szCs w:val="20"/>
          <w:lang w:val="es-ES"/>
        </w:rPr>
        <w:t xml:space="preserve">n cuanto a la presunta violación del artículo </w:t>
      </w:r>
      <w:r w:rsidRPr="00597532">
        <w:rPr>
          <w:rFonts w:ascii="Cambria" w:hAnsi="Cambria"/>
          <w:bCs/>
          <w:sz w:val="20"/>
          <w:szCs w:val="20"/>
          <w:lang w:val="es-419"/>
        </w:rPr>
        <w:t xml:space="preserve">11 </w:t>
      </w:r>
      <w:r w:rsidRPr="00597532">
        <w:rPr>
          <w:rFonts w:ascii="Cambria" w:hAnsi="Cambria"/>
          <w:sz w:val="20"/>
          <w:szCs w:val="20"/>
          <w:lang w:val="es-ES"/>
        </w:rPr>
        <w:t>de la Convención Americana, la C</w:t>
      </w:r>
      <w:r w:rsidR="001C6DEB">
        <w:rPr>
          <w:rFonts w:ascii="Cambria" w:hAnsi="Cambria"/>
          <w:sz w:val="20"/>
          <w:szCs w:val="20"/>
          <w:lang w:val="es-ES"/>
        </w:rPr>
        <w:t xml:space="preserve">IDH </w:t>
      </w:r>
      <w:r w:rsidRPr="00597532">
        <w:rPr>
          <w:rFonts w:ascii="Cambria" w:hAnsi="Cambria"/>
          <w:sz w:val="20"/>
          <w:szCs w:val="20"/>
          <w:lang w:val="es-ES"/>
        </w:rPr>
        <w:t xml:space="preserve">observa que la parte peticionaria no ha ofrecido alegatos o sustento suficiente que permita considerar </w:t>
      </w:r>
      <w:r w:rsidRPr="00597532">
        <w:rPr>
          <w:rFonts w:ascii="Cambria" w:hAnsi="Cambria"/>
          <w:i/>
          <w:sz w:val="20"/>
          <w:szCs w:val="20"/>
          <w:lang w:val="es-ES"/>
        </w:rPr>
        <w:t>prima facie</w:t>
      </w:r>
      <w:r w:rsidRPr="00597532">
        <w:rPr>
          <w:rFonts w:ascii="Cambria" w:hAnsi="Cambria"/>
          <w:sz w:val="20"/>
          <w:szCs w:val="20"/>
          <w:lang w:val="es-ES"/>
        </w:rPr>
        <w:t xml:space="preserve"> su posible violación.</w:t>
      </w:r>
    </w:p>
    <w:p w14:paraId="07A7D5D9" w14:textId="77777777" w:rsidR="00775A23" w:rsidRPr="00E70421" w:rsidRDefault="00775A23" w:rsidP="00775A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66A02526" w14:textId="186035CE" w:rsidR="004948B4" w:rsidRPr="004948B4" w:rsidRDefault="004948B4" w:rsidP="00E547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4948B4">
        <w:rPr>
          <w:rFonts w:eastAsia="Times New Roman" w:cs="Calibri"/>
          <w:color w:val="auto"/>
          <w:sz w:val="20"/>
          <w:szCs w:val="20"/>
          <w:lang w:val="es-ES_tradnl" w:eastAsia="es-419"/>
        </w:rPr>
        <w:t>Con respecto a los alegatos</w:t>
      </w:r>
      <w:r w:rsidRPr="005139B1">
        <w:rPr>
          <w:rFonts w:eastAsia="Times New Roman" w:cs="Calibri"/>
          <w:color w:val="auto"/>
          <w:sz w:val="20"/>
          <w:szCs w:val="20"/>
          <w:lang w:val="es-ES_tradnl" w:eastAsia="es-419"/>
        </w:rPr>
        <w:t xml:space="preserve"> del Estado referidos a la </w:t>
      </w:r>
      <w:r w:rsidR="00E70421" w:rsidRPr="005139B1">
        <w:rPr>
          <w:rFonts w:eastAsia="Times New Roman" w:cs="Calibri"/>
          <w:color w:val="auto"/>
          <w:sz w:val="20"/>
          <w:szCs w:val="20"/>
          <w:lang w:val="es-ES_tradnl" w:eastAsia="es-419"/>
        </w:rPr>
        <w:t>llamada “</w:t>
      </w:r>
      <w:r w:rsidRPr="005139B1">
        <w:rPr>
          <w:rFonts w:eastAsia="Times New Roman" w:cs="Calibri"/>
          <w:color w:val="auto"/>
          <w:sz w:val="20"/>
          <w:szCs w:val="20"/>
          <w:lang w:val="es-ES_tradnl" w:eastAsia="es-419"/>
        </w:rPr>
        <w:t>fórmula de</w:t>
      </w:r>
      <w:r w:rsidR="00E70421">
        <w:rPr>
          <w:rFonts w:eastAsia="Times New Roman" w:cs="Calibri"/>
          <w:color w:val="auto"/>
          <w:sz w:val="20"/>
          <w:szCs w:val="20"/>
          <w:lang w:val="es-ES_tradnl" w:eastAsia="es-419"/>
        </w:rPr>
        <w:t xml:space="preserve"> la </w:t>
      </w:r>
      <w:r w:rsidRPr="005139B1">
        <w:rPr>
          <w:rFonts w:eastAsia="Times New Roman" w:cs="Calibri"/>
          <w:color w:val="auto"/>
          <w:sz w:val="20"/>
          <w:szCs w:val="20"/>
          <w:lang w:val="es-ES_tradnl" w:eastAsia="es-419"/>
        </w:rPr>
        <w:t xml:space="preserve">cuarta instancia”, la Comisión </w:t>
      </w:r>
      <w:r w:rsidR="00E70421">
        <w:rPr>
          <w:rFonts w:eastAsia="Times New Roman" w:cs="Calibri"/>
          <w:color w:val="auto"/>
          <w:sz w:val="20"/>
          <w:szCs w:val="20"/>
          <w:lang w:val="es-ES_tradnl" w:eastAsia="es-419"/>
        </w:rPr>
        <w:t>Interamericana</w:t>
      </w:r>
      <w:r w:rsidRPr="005139B1">
        <w:rPr>
          <w:rFonts w:eastAsia="Times New Roman" w:cs="Calibri"/>
          <w:color w:val="auto"/>
          <w:sz w:val="20"/>
          <w:szCs w:val="20"/>
          <w:lang w:val="es-ES_tradnl" w:eastAsia="es-419"/>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w:t>
      </w:r>
      <w:r w:rsidR="00E70421">
        <w:rPr>
          <w:rFonts w:eastAsia="Times New Roman" w:cs="Calibri"/>
          <w:color w:val="auto"/>
          <w:sz w:val="20"/>
          <w:szCs w:val="20"/>
          <w:lang w:val="es-ES_tradnl" w:eastAsia="es-419"/>
        </w:rPr>
        <w:t>, la CIDH</w:t>
      </w:r>
      <w:r w:rsidRPr="005139B1">
        <w:rPr>
          <w:rFonts w:eastAsia="Times New Roman" w:cs="Calibri"/>
          <w:color w:val="auto"/>
          <w:sz w:val="20"/>
          <w:szCs w:val="20"/>
          <w:lang w:val="es-ES_tradnl" w:eastAsia="es-419"/>
        </w:rPr>
        <w:t xml:space="preserve">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w:t>
      </w:r>
    </w:p>
    <w:p w14:paraId="0952C10D" w14:textId="77777777" w:rsidR="00775A23" w:rsidRDefault="00775A23" w:rsidP="00C524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4CC3A9B7" w:rsidR="003239B8" w:rsidRPr="00006B74" w:rsidRDefault="00EC72AB" w:rsidP="00E547B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82A8E8D" w14:textId="77777777" w:rsidR="00775A23" w:rsidRPr="00775A23" w:rsidRDefault="00775A23" w:rsidP="00C524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FDE1D10" w14:textId="2EDA88AE" w:rsidR="003239B8" w:rsidRPr="00597532" w:rsidRDefault="003239B8" w:rsidP="00E547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597532">
        <w:rPr>
          <w:rFonts w:ascii="Cambria" w:hAnsi="Cambria"/>
          <w:sz w:val="20"/>
          <w:szCs w:val="20"/>
          <w:lang w:val="es-ES"/>
        </w:rPr>
        <w:t xml:space="preserve">4, 5, 8 y 25 </w:t>
      </w:r>
      <w:r w:rsidR="00597532" w:rsidRPr="004948B4">
        <w:rPr>
          <w:rFonts w:ascii="Cambria" w:hAnsi="Cambria"/>
          <w:sz w:val="20"/>
          <w:szCs w:val="20"/>
          <w:lang w:val="es-419"/>
        </w:rPr>
        <w:t xml:space="preserve">de la Convención Americana en </w:t>
      </w:r>
      <w:r w:rsidR="00EE3DAC">
        <w:rPr>
          <w:rFonts w:ascii="Cambria" w:hAnsi="Cambria"/>
          <w:sz w:val="20"/>
          <w:szCs w:val="20"/>
          <w:lang w:val="es-419"/>
        </w:rPr>
        <w:t>concordancia</w:t>
      </w:r>
      <w:r w:rsidR="00597532" w:rsidRPr="00597532">
        <w:rPr>
          <w:rFonts w:ascii="Cambria" w:hAnsi="Cambria"/>
          <w:sz w:val="20"/>
          <w:szCs w:val="20"/>
          <w:lang w:val="es-419"/>
        </w:rPr>
        <w:t xml:space="preserve"> con su artículo 1.1</w:t>
      </w:r>
      <w:r w:rsidR="00197999">
        <w:rPr>
          <w:rFonts w:asciiTheme="majorHAnsi" w:hAnsiTheme="majorHAnsi"/>
          <w:sz w:val="20"/>
          <w:szCs w:val="20"/>
          <w:lang w:val="es-ES"/>
        </w:rPr>
        <w:t>;</w:t>
      </w:r>
    </w:p>
    <w:p w14:paraId="453423A7" w14:textId="77777777" w:rsidR="00775A23" w:rsidRPr="00C524BB" w:rsidRDefault="00775A23" w:rsidP="00775A23">
      <w:pPr>
        <w:jc w:val="both"/>
        <w:rPr>
          <w:sz w:val="20"/>
          <w:szCs w:val="20"/>
          <w:lang w:val="es-ES"/>
        </w:rPr>
      </w:pPr>
    </w:p>
    <w:p w14:paraId="570DA61C" w14:textId="73108603" w:rsidR="000419AD" w:rsidRPr="00775A23" w:rsidRDefault="000419AD" w:rsidP="00E547B2">
      <w:pPr>
        <w:pStyle w:val="ListParagraph"/>
        <w:numPr>
          <w:ilvl w:val="0"/>
          <w:numId w:val="56"/>
        </w:numPr>
        <w:jc w:val="both"/>
        <w:rPr>
          <w:rFonts w:eastAsia="Arial Unicode MS" w:cs="Times New Roman"/>
          <w:color w:val="auto"/>
          <w:sz w:val="20"/>
          <w:szCs w:val="20"/>
          <w:lang w:val="es-ES" w:eastAsia="en-US"/>
        </w:rPr>
      </w:pPr>
      <w:r w:rsidRPr="00597532">
        <w:rPr>
          <w:rFonts w:eastAsia="Arial Unicode MS" w:cs="Times New Roman"/>
          <w:color w:val="auto"/>
          <w:sz w:val="20"/>
          <w:szCs w:val="20"/>
          <w:lang w:val="es-ES" w:eastAsia="en-US"/>
        </w:rPr>
        <w:t xml:space="preserve">Declarar inadmisible la presente petición en relación con </w:t>
      </w:r>
      <w:r w:rsidR="00597532" w:rsidRPr="00597532">
        <w:rPr>
          <w:color w:val="auto"/>
          <w:sz w:val="20"/>
          <w:szCs w:val="20"/>
          <w:lang w:val="es-ES"/>
        </w:rPr>
        <w:t>el</w:t>
      </w:r>
      <w:r w:rsidR="003A6337" w:rsidRPr="00597532">
        <w:rPr>
          <w:color w:val="auto"/>
          <w:sz w:val="20"/>
          <w:szCs w:val="20"/>
          <w:lang w:val="es-ES"/>
        </w:rPr>
        <w:t xml:space="preserve"> artículo</w:t>
      </w:r>
      <w:r w:rsidR="00597532" w:rsidRPr="00597532">
        <w:rPr>
          <w:color w:val="auto"/>
          <w:sz w:val="20"/>
          <w:szCs w:val="20"/>
          <w:lang w:val="es-ES"/>
        </w:rPr>
        <w:t xml:space="preserve"> 11 de la Convención Americana</w:t>
      </w:r>
      <w:r w:rsidR="00197999">
        <w:rPr>
          <w:color w:val="auto"/>
          <w:sz w:val="20"/>
          <w:szCs w:val="20"/>
          <w:lang w:val="es-ES"/>
        </w:rPr>
        <w:t>; y</w:t>
      </w:r>
    </w:p>
    <w:p w14:paraId="5BCECDF7" w14:textId="77777777" w:rsidR="00775A23" w:rsidRPr="00775A23" w:rsidRDefault="00775A23" w:rsidP="00775A23">
      <w:pPr>
        <w:jc w:val="both"/>
        <w:rPr>
          <w:sz w:val="20"/>
          <w:szCs w:val="20"/>
          <w:lang w:val="es-ES"/>
        </w:rPr>
      </w:pPr>
    </w:p>
    <w:p w14:paraId="7CD4DFBD" w14:textId="5DD35814" w:rsidR="003239B8" w:rsidRDefault="004A6A54" w:rsidP="00E547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59753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B3D1A3F" w14:textId="77777777" w:rsidR="00CA7827" w:rsidRDefault="00CA7827" w:rsidP="00CA782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895D50A" w14:textId="39BB2FF0" w:rsidR="00CA7827" w:rsidRPr="00A37B82" w:rsidRDefault="00CA7827" w:rsidP="00CA7827">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961EA3">
        <w:rPr>
          <w:rFonts w:asciiTheme="majorHAnsi" w:hAnsiTheme="majorHAnsi" w:cs="Arial"/>
          <w:noProof/>
          <w:spacing w:val="-2"/>
          <w:sz w:val="20"/>
          <w:szCs w:val="20"/>
          <w:lang w:val="es-CL"/>
        </w:rPr>
        <w:t>30</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571AC9D5" w14:textId="77777777" w:rsidR="00CA7827" w:rsidRPr="00A37B82" w:rsidRDefault="00CA7827" w:rsidP="00CA7827">
      <w:pPr>
        <w:suppressAutoHyphens/>
        <w:ind w:firstLine="720"/>
        <w:jc w:val="both"/>
        <w:rPr>
          <w:rFonts w:asciiTheme="majorHAnsi" w:hAnsiTheme="majorHAnsi" w:cs="Arial"/>
          <w:noProof/>
          <w:spacing w:val="-2"/>
          <w:sz w:val="20"/>
          <w:szCs w:val="20"/>
          <w:lang w:val="es-CL"/>
        </w:rPr>
      </w:pPr>
    </w:p>
    <w:sectPr w:rsidR="00CA782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0C20" w14:textId="77777777" w:rsidR="006F2774" w:rsidRDefault="006F2774">
      <w:r>
        <w:separator/>
      </w:r>
    </w:p>
  </w:endnote>
  <w:endnote w:type="continuationSeparator" w:id="0">
    <w:p w14:paraId="00D0440D" w14:textId="77777777" w:rsidR="006F2774" w:rsidRDefault="006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AvantGarde-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455D80" w:rsidRPr="00934A2C" w:rsidRDefault="00455D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851F2">
          <w:rPr>
            <w:noProof/>
            <w:sz w:val="16"/>
            <w:szCs w:val="22"/>
          </w:rPr>
          <w:t>1</w:t>
        </w:r>
        <w:r w:rsidRPr="00934A2C">
          <w:rPr>
            <w:noProof/>
            <w:sz w:val="16"/>
            <w:szCs w:val="22"/>
          </w:rPr>
          <w:fldChar w:fldCharType="end"/>
        </w:r>
      </w:p>
    </w:sdtContent>
  </w:sdt>
  <w:p w14:paraId="68530E6A" w14:textId="77777777" w:rsidR="00455D80" w:rsidRDefault="0045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455D80" w:rsidRPr="00934A2C" w:rsidRDefault="00455D80">
    <w:pPr>
      <w:pStyle w:val="Footer"/>
      <w:jc w:val="center"/>
      <w:rPr>
        <w:sz w:val="16"/>
        <w:szCs w:val="22"/>
      </w:rPr>
    </w:pPr>
  </w:p>
  <w:p w14:paraId="49059CE3" w14:textId="77777777" w:rsidR="00455D80" w:rsidRDefault="0045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A4C4" w14:textId="77777777" w:rsidR="006F2774" w:rsidRPr="000F35ED" w:rsidRDefault="006F27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00BAB2" w14:textId="77777777" w:rsidR="006F2774" w:rsidRPr="000F35ED" w:rsidRDefault="006F2774" w:rsidP="000F35ED">
      <w:pPr>
        <w:rPr>
          <w:rFonts w:asciiTheme="majorHAnsi" w:hAnsiTheme="majorHAnsi"/>
          <w:sz w:val="16"/>
          <w:szCs w:val="16"/>
        </w:rPr>
      </w:pPr>
      <w:r w:rsidRPr="000F35ED">
        <w:rPr>
          <w:rFonts w:asciiTheme="majorHAnsi" w:hAnsiTheme="majorHAnsi"/>
          <w:sz w:val="16"/>
          <w:szCs w:val="16"/>
        </w:rPr>
        <w:separator/>
      </w:r>
    </w:p>
    <w:p w14:paraId="2D073B0C" w14:textId="77777777" w:rsidR="006F2774" w:rsidRPr="000F35ED" w:rsidRDefault="006F277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F89B6C1" w14:textId="77777777" w:rsidR="006F2774" w:rsidRPr="000F35ED" w:rsidRDefault="006F27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43C5111" w14:textId="22EF5D4A" w:rsidR="006156F7" w:rsidRPr="0062529D" w:rsidRDefault="006156F7" w:rsidP="00CA5ED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ES"/>
        </w:rPr>
      </w:pPr>
      <w:r w:rsidRPr="006156F7">
        <w:rPr>
          <w:rStyle w:val="FootnoteReference"/>
          <w:rFonts w:ascii="Cambria" w:hAnsi="Cambria"/>
          <w:sz w:val="16"/>
          <w:szCs w:val="16"/>
        </w:rPr>
        <w:footnoteRef/>
      </w:r>
      <w:r w:rsidRPr="006156F7">
        <w:rPr>
          <w:rFonts w:ascii="Cambria" w:hAnsi="Cambria"/>
          <w:sz w:val="16"/>
          <w:szCs w:val="16"/>
          <w:lang w:val="es-419"/>
        </w:rPr>
        <w:t xml:space="preserve"> </w:t>
      </w:r>
      <w:r w:rsidR="00DE2E6C" w:rsidRPr="0062529D">
        <w:rPr>
          <w:rFonts w:ascii="Cambria" w:hAnsi="Cambria"/>
          <w:sz w:val="16"/>
          <w:szCs w:val="16"/>
          <w:lang w:val="es-419"/>
        </w:rPr>
        <w:t xml:space="preserve">La parte peticionaria identifica a </w:t>
      </w:r>
      <w:r w:rsidRPr="0062529D">
        <w:rPr>
          <w:rFonts w:ascii="Cambria" w:hAnsi="Cambria"/>
          <w:sz w:val="16"/>
          <w:szCs w:val="16"/>
          <w:lang w:val="es-ES"/>
        </w:rPr>
        <w:t xml:space="preserve">María </w:t>
      </w:r>
      <w:proofErr w:type="spellStart"/>
      <w:r w:rsidRPr="0062529D">
        <w:rPr>
          <w:rFonts w:ascii="Cambria" w:hAnsi="Cambria"/>
          <w:sz w:val="16"/>
          <w:szCs w:val="16"/>
          <w:lang w:val="es-ES"/>
        </w:rPr>
        <w:t>Nubiola</w:t>
      </w:r>
      <w:proofErr w:type="spellEnd"/>
      <w:r w:rsidRPr="0062529D">
        <w:rPr>
          <w:rFonts w:ascii="Cambria" w:hAnsi="Cambria"/>
          <w:sz w:val="16"/>
          <w:szCs w:val="16"/>
          <w:lang w:val="es-ES"/>
        </w:rPr>
        <w:t xml:space="preserve"> Pérez Ocampo y José Jesús Uribe</w:t>
      </w:r>
      <w:r w:rsidR="00DE2E6C" w:rsidRPr="0062529D">
        <w:rPr>
          <w:rFonts w:ascii="Cambria" w:hAnsi="Cambria"/>
          <w:sz w:val="16"/>
          <w:szCs w:val="16"/>
          <w:lang w:val="es-ES"/>
        </w:rPr>
        <w:t>, como padres</w:t>
      </w:r>
      <w:r w:rsidR="00775A23">
        <w:rPr>
          <w:rFonts w:ascii="Cambria" w:hAnsi="Cambria"/>
          <w:sz w:val="16"/>
          <w:szCs w:val="16"/>
          <w:lang w:val="es-ES"/>
        </w:rPr>
        <w:t xml:space="preserve"> de </w:t>
      </w:r>
      <w:r w:rsidR="00775A23" w:rsidRPr="0062529D">
        <w:rPr>
          <w:rFonts w:ascii="Cambria" w:hAnsi="Cambria"/>
          <w:sz w:val="16"/>
          <w:szCs w:val="16"/>
          <w:lang w:val="es-ES"/>
        </w:rPr>
        <w:t>la presunta víctima</w:t>
      </w:r>
      <w:r w:rsidR="00DE2E6C" w:rsidRPr="0062529D">
        <w:rPr>
          <w:rFonts w:ascii="Cambria" w:hAnsi="Cambria"/>
          <w:sz w:val="16"/>
          <w:szCs w:val="16"/>
          <w:lang w:val="es-ES"/>
        </w:rPr>
        <w:t xml:space="preserve">; </w:t>
      </w:r>
      <w:r w:rsidR="00E547B2">
        <w:rPr>
          <w:rFonts w:ascii="Cambria" w:hAnsi="Cambria"/>
          <w:sz w:val="16"/>
          <w:szCs w:val="16"/>
          <w:lang w:val="es-ES"/>
        </w:rPr>
        <w:t xml:space="preserve">a </w:t>
      </w:r>
      <w:r w:rsidRPr="0062529D">
        <w:rPr>
          <w:rFonts w:ascii="Cambria" w:hAnsi="Cambria"/>
          <w:sz w:val="16"/>
          <w:szCs w:val="16"/>
          <w:lang w:val="es-ES"/>
        </w:rPr>
        <w:t xml:space="preserve">Cenobia, Nini Johann, José </w:t>
      </w:r>
      <w:proofErr w:type="spellStart"/>
      <w:r w:rsidRPr="0062529D">
        <w:rPr>
          <w:rFonts w:ascii="Cambria" w:hAnsi="Cambria"/>
          <w:sz w:val="16"/>
          <w:szCs w:val="16"/>
          <w:lang w:val="es-ES"/>
        </w:rPr>
        <w:t>Eddier</w:t>
      </w:r>
      <w:proofErr w:type="spellEnd"/>
      <w:r w:rsidRPr="0062529D">
        <w:rPr>
          <w:rFonts w:ascii="Cambria" w:hAnsi="Cambria"/>
          <w:sz w:val="16"/>
          <w:szCs w:val="16"/>
          <w:lang w:val="es-ES"/>
        </w:rPr>
        <w:t xml:space="preserve"> </w:t>
      </w:r>
      <w:r w:rsidR="00DE2E6C" w:rsidRPr="0062529D">
        <w:rPr>
          <w:rFonts w:ascii="Cambria" w:hAnsi="Cambria"/>
          <w:sz w:val="16"/>
          <w:szCs w:val="16"/>
          <w:lang w:val="es-ES"/>
        </w:rPr>
        <w:t>y</w:t>
      </w:r>
      <w:r w:rsidRPr="0062529D">
        <w:rPr>
          <w:rFonts w:ascii="Cambria" w:hAnsi="Cambria"/>
          <w:sz w:val="16"/>
          <w:szCs w:val="16"/>
          <w:lang w:val="es-ES"/>
        </w:rPr>
        <w:t xml:space="preserve"> </w:t>
      </w:r>
      <w:proofErr w:type="spellStart"/>
      <w:r w:rsidRPr="0062529D">
        <w:rPr>
          <w:rFonts w:ascii="Cambria" w:hAnsi="Cambria"/>
          <w:sz w:val="16"/>
          <w:szCs w:val="16"/>
          <w:lang w:val="es-ES"/>
        </w:rPr>
        <w:t>Jhon</w:t>
      </w:r>
      <w:proofErr w:type="spellEnd"/>
      <w:r w:rsidRPr="0062529D">
        <w:rPr>
          <w:rFonts w:ascii="Cambria" w:hAnsi="Cambria"/>
          <w:sz w:val="16"/>
          <w:szCs w:val="16"/>
          <w:lang w:val="es-ES"/>
        </w:rPr>
        <w:t xml:space="preserve"> Jairo</w:t>
      </w:r>
      <w:r w:rsidR="00DE2E6C" w:rsidRPr="0062529D">
        <w:rPr>
          <w:rFonts w:ascii="Cambria" w:hAnsi="Cambria"/>
          <w:sz w:val="16"/>
          <w:szCs w:val="16"/>
          <w:lang w:val="es-ES"/>
        </w:rPr>
        <w:t>, todos</w:t>
      </w:r>
      <w:r w:rsidRPr="0062529D">
        <w:rPr>
          <w:rFonts w:ascii="Cambria" w:hAnsi="Cambria"/>
          <w:sz w:val="16"/>
          <w:szCs w:val="16"/>
          <w:lang w:val="es-ES"/>
        </w:rPr>
        <w:t xml:space="preserve"> Pérez</w:t>
      </w:r>
      <w:r w:rsidR="00DE2E6C" w:rsidRPr="0062529D">
        <w:rPr>
          <w:rFonts w:ascii="Cambria" w:hAnsi="Cambria"/>
          <w:sz w:val="16"/>
          <w:szCs w:val="16"/>
          <w:lang w:val="es-ES"/>
        </w:rPr>
        <w:t xml:space="preserve"> Ocampo, como hermanos y hermanas</w:t>
      </w:r>
      <w:r w:rsidR="000D6849">
        <w:rPr>
          <w:rFonts w:ascii="Cambria" w:hAnsi="Cambria"/>
          <w:sz w:val="16"/>
          <w:szCs w:val="16"/>
          <w:lang w:val="es-ES"/>
        </w:rPr>
        <w:t>;</w:t>
      </w:r>
      <w:r w:rsidR="00DE2E6C" w:rsidRPr="0062529D">
        <w:rPr>
          <w:rFonts w:ascii="Cambria" w:hAnsi="Cambria"/>
          <w:sz w:val="16"/>
          <w:szCs w:val="16"/>
          <w:lang w:val="es-ES"/>
        </w:rPr>
        <w:t xml:space="preserve"> </w:t>
      </w:r>
      <w:r w:rsidR="000D6849">
        <w:rPr>
          <w:rFonts w:ascii="Cambria" w:hAnsi="Cambria"/>
          <w:sz w:val="16"/>
          <w:szCs w:val="16"/>
          <w:lang w:val="es-ES"/>
        </w:rPr>
        <w:t>y</w:t>
      </w:r>
      <w:r w:rsidR="00DE2E6C" w:rsidRPr="0062529D">
        <w:rPr>
          <w:rFonts w:ascii="Cambria" w:hAnsi="Cambria"/>
          <w:sz w:val="16"/>
          <w:szCs w:val="16"/>
          <w:lang w:val="es-ES"/>
        </w:rPr>
        <w:t xml:space="preserve"> a </w:t>
      </w:r>
      <w:r w:rsidRPr="00D47A99">
        <w:rPr>
          <w:rFonts w:ascii="Cambria" w:hAnsi="Cambria"/>
          <w:sz w:val="16"/>
          <w:szCs w:val="16"/>
          <w:lang w:val="es-419"/>
        </w:rPr>
        <w:t>Carolina</w:t>
      </w:r>
      <w:r w:rsidRPr="0062529D">
        <w:rPr>
          <w:rFonts w:ascii="Cambria" w:hAnsi="Cambria"/>
          <w:sz w:val="16"/>
          <w:szCs w:val="16"/>
          <w:lang w:val="es-419"/>
        </w:rPr>
        <w:t xml:space="preserve"> </w:t>
      </w:r>
      <w:r w:rsidRPr="00D47A99">
        <w:rPr>
          <w:rFonts w:ascii="Cambria" w:hAnsi="Cambria"/>
          <w:sz w:val="16"/>
          <w:szCs w:val="16"/>
          <w:lang w:val="es-419"/>
        </w:rPr>
        <w:t>Polanía Domínguez</w:t>
      </w:r>
      <w:r w:rsidR="00DE2E6C" w:rsidRPr="0062529D">
        <w:rPr>
          <w:rFonts w:ascii="Cambria" w:hAnsi="Cambria"/>
          <w:sz w:val="16"/>
          <w:szCs w:val="16"/>
          <w:lang w:val="es-419"/>
        </w:rPr>
        <w:t xml:space="preserve"> como </w:t>
      </w:r>
      <w:r w:rsidR="000D6849">
        <w:rPr>
          <w:rFonts w:ascii="Cambria" w:hAnsi="Cambria"/>
          <w:sz w:val="16"/>
          <w:szCs w:val="16"/>
          <w:lang w:val="es-419"/>
        </w:rPr>
        <w:t xml:space="preserve">su </w:t>
      </w:r>
      <w:r w:rsidR="00A6695B" w:rsidRPr="0062529D">
        <w:rPr>
          <w:rFonts w:ascii="Cambria" w:hAnsi="Cambria"/>
          <w:sz w:val="16"/>
          <w:szCs w:val="16"/>
          <w:lang w:val="es-419"/>
        </w:rPr>
        <w:t xml:space="preserve">pareja. </w:t>
      </w:r>
    </w:p>
  </w:footnote>
  <w:footnote w:id="3">
    <w:p w14:paraId="06C1BEFA" w14:textId="6DEC8BEC" w:rsidR="00455D80" w:rsidRPr="0062529D" w:rsidRDefault="00455D80" w:rsidP="00CA5ED9">
      <w:pPr>
        <w:pStyle w:val="FootnoteText"/>
        <w:ind w:firstLine="720"/>
        <w:jc w:val="both"/>
        <w:rPr>
          <w:rFonts w:ascii="Cambria" w:hAnsi="Cambria"/>
          <w:color w:val="auto"/>
          <w:sz w:val="16"/>
          <w:szCs w:val="16"/>
          <w:lang w:val="es-ES"/>
        </w:rPr>
      </w:pPr>
      <w:r w:rsidRPr="0062529D">
        <w:rPr>
          <w:rStyle w:val="FootnoteReference"/>
          <w:rFonts w:ascii="Cambria" w:hAnsi="Cambria"/>
          <w:color w:val="auto"/>
          <w:sz w:val="16"/>
          <w:szCs w:val="16"/>
        </w:rPr>
        <w:footnoteRef/>
      </w:r>
      <w:r w:rsidRPr="0062529D">
        <w:rPr>
          <w:rFonts w:ascii="Cambria" w:hAnsi="Cambria"/>
          <w:color w:val="auto"/>
          <w:sz w:val="16"/>
          <w:szCs w:val="16"/>
          <w:lang w:val="es-ES"/>
        </w:rPr>
        <w:t xml:space="preserve"> Conforme al artículo 17.2</w:t>
      </w:r>
      <w:r w:rsidR="00E547B2">
        <w:rPr>
          <w:rFonts w:ascii="Cambria" w:hAnsi="Cambria"/>
          <w:color w:val="auto"/>
          <w:sz w:val="16"/>
          <w:szCs w:val="16"/>
          <w:lang w:val="es-ES"/>
        </w:rPr>
        <w:t>(</w:t>
      </w:r>
      <w:r w:rsidRPr="0062529D">
        <w:rPr>
          <w:rFonts w:ascii="Cambria" w:hAnsi="Cambria"/>
          <w:color w:val="auto"/>
          <w:sz w:val="16"/>
          <w:szCs w:val="16"/>
          <w:lang w:val="es-ES"/>
        </w:rPr>
        <w:t>a</w:t>
      </w:r>
      <w:r w:rsidR="00E547B2">
        <w:rPr>
          <w:rFonts w:ascii="Cambria" w:hAnsi="Cambria"/>
          <w:color w:val="auto"/>
          <w:sz w:val="16"/>
          <w:szCs w:val="16"/>
          <w:lang w:val="es-ES"/>
        </w:rPr>
        <w:t>)</w:t>
      </w:r>
      <w:r w:rsidRPr="0062529D">
        <w:rPr>
          <w:rFonts w:ascii="Cambria" w:hAnsi="Cambria"/>
          <w:color w:val="auto"/>
          <w:sz w:val="16"/>
          <w:szCs w:val="16"/>
          <w:lang w:val="es-ES"/>
        </w:rPr>
        <w:t xml:space="preserve"> del Reglamento de la C</w:t>
      </w:r>
      <w:r w:rsidR="00E547B2">
        <w:rPr>
          <w:rFonts w:ascii="Cambria" w:hAnsi="Cambria"/>
          <w:color w:val="auto"/>
          <w:sz w:val="16"/>
          <w:szCs w:val="16"/>
          <w:lang w:val="es-ES"/>
        </w:rPr>
        <w:t>IDH</w:t>
      </w:r>
      <w:r w:rsidRPr="0062529D">
        <w:rPr>
          <w:rFonts w:ascii="Cambria" w:hAnsi="Cambria"/>
          <w:color w:val="auto"/>
          <w:sz w:val="16"/>
          <w:szCs w:val="16"/>
          <w:lang w:val="es-ES"/>
        </w:rPr>
        <w:t>, el Comisionado</w:t>
      </w:r>
      <w:r w:rsidR="00A6695B" w:rsidRPr="0062529D">
        <w:rPr>
          <w:rFonts w:ascii="Cambria" w:hAnsi="Cambria"/>
          <w:color w:val="auto"/>
          <w:sz w:val="16"/>
          <w:szCs w:val="16"/>
          <w:lang w:val="es-ES"/>
        </w:rPr>
        <w:t xml:space="preserve"> Carlos Bernal Pulido</w:t>
      </w:r>
      <w:r w:rsidRPr="0062529D">
        <w:rPr>
          <w:rFonts w:ascii="Cambria" w:hAnsi="Cambria"/>
          <w:color w:val="auto"/>
          <w:sz w:val="16"/>
          <w:szCs w:val="16"/>
          <w:lang w:val="es-ES"/>
        </w:rPr>
        <w:t xml:space="preserve">, de nacionalidad </w:t>
      </w:r>
      <w:r w:rsidR="00A6695B" w:rsidRPr="0062529D">
        <w:rPr>
          <w:rFonts w:ascii="Cambria" w:hAnsi="Cambria"/>
          <w:color w:val="auto"/>
          <w:sz w:val="16"/>
          <w:szCs w:val="16"/>
          <w:lang w:val="es-ES"/>
        </w:rPr>
        <w:t>colombiana</w:t>
      </w:r>
      <w:r w:rsidRPr="0062529D">
        <w:rPr>
          <w:rFonts w:ascii="Cambria" w:hAnsi="Cambria"/>
          <w:color w:val="auto"/>
          <w:sz w:val="16"/>
          <w:szCs w:val="16"/>
          <w:lang w:val="es-ES"/>
        </w:rPr>
        <w:t>, no participó en el debate ni en la decisión del presente asunto.</w:t>
      </w:r>
    </w:p>
  </w:footnote>
  <w:footnote w:id="4">
    <w:p w14:paraId="215EEB52" w14:textId="02365319" w:rsidR="00455D80" w:rsidRPr="00A6695B" w:rsidRDefault="00455D80" w:rsidP="00CA5ED9">
      <w:pPr>
        <w:pStyle w:val="FootnoteText"/>
        <w:ind w:firstLine="720"/>
        <w:jc w:val="both"/>
        <w:rPr>
          <w:rFonts w:ascii="Cambria" w:hAnsi="Cambria"/>
          <w:color w:val="auto"/>
          <w:sz w:val="16"/>
          <w:szCs w:val="16"/>
          <w:lang w:val="es-ES"/>
        </w:rPr>
      </w:pPr>
      <w:r w:rsidRPr="0062529D">
        <w:rPr>
          <w:rStyle w:val="FootnoteReference"/>
          <w:rFonts w:ascii="Cambria" w:hAnsi="Cambria"/>
          <w:color w:val="auto"/>
          <w:sz w:val="16"/>
          <w:szCs w:val="16"/>
        </w:rPr>
        <w:footnoteRef/>
      </w:r>
      <w:r w:rsidRPr="0062529D">
        <w:rPr>
          <w:rFonts w:ascii="Cambria" w:hAnsi="Cambria"/>
          <w:color w:val="auto"/>
          <w:sz w:val="16"/>
          <w:szCs w:val="16"/>
          <w:lang w:val="es-ES"/>
        </w:rPr>
        <w:t xml:space="preserve"> En </w:t>
      </w:r>
      <w:r w:rsidRPr="00A6695B">
        <w:rPr>
          <w:rFonts w:ascii="Cambria" w:hAnsi="Cambria"/>
          <w:color w:val="auto"/>
          <w:sz w:val="16"/>
          <w:szCs w:val="16"/>
          <w:lang w:val="es-ES"/>
        </w:rPr>
        <w:t>adelante “la Convención Americana”.</w:t>
      </w:r>
    </w:p>
  </w:footnote>
  <w:footnote w:id="5">
    <w:p w14:paraId="79F07139" w14:textId="77777777" w:rsidR="00455D80" w:rsidRPr="00DD061E" w:rsidRDefault="00455D80" w:rsidP="00CA5ED9">
      <w:pPr>
        <w:pStyle w:val="FootnoteText"/>
        <w:ind w:firstLine="720"/>
        <w:jc w:val="both"/>
        <w:rPr>
          <w:rFonts w:ascii="Cambria" w:hAnsi="Cambria"/>
          <w:sz w:val="16"/>
          <w:szCs w:val="16"/>
          <w:lang w:val="es-ES"/>
        </w:rPr>
      </w:pPr>
      <w:r w:rsidRPr="00A6695B">
        <w:rPr>
          <w:rStyle w:val="FootnoteReference"/>
          <w:rFonts w:ascii="Cambria" w:hAnsi="Cambria"/>
          <w:color w:val="auto"/>
          <w:sz w:val="16"/>
          <w:szCs w:val="16"/>
        </w:rPr>
        <w:footnoteRef/>
      </w:r>
      <w:r w:rsidRPr="00A6695B">
        <w:rPr>
          <w:rFonts w:ascii="Cambria" w:hAnsi="Cambria"/>
          <w:color w:val="auto"/>
          <w:sz w:val="16"/>
          <w:szCs w:val="16"/>
          <w:lang w:val="es-ES"/>
        </w:rPr>
        <w:t xml:space="preserve"> Las observaciones de cada parte fueron debidamente trasladadas a la parte contraria</w:t>
      </w:r>
      <w:r w:rsidRPr="006156F7">
        <w:rPr>
          <w:rFonts w:ascii="Cambria" w:hAnsi="Cambria"/>
          <w:sz w:val="16"/>
          <w:szCs w:val="16"/>
          <w:lang w:val="es-ES"/>
        </w:rPr>
        <w:t>.</w:t>
      </w:r>
    </w:p>
  </w:footnote>
  <w:footnote w:id="6">
    <w:p w14:paraId="7FF9387E" w14:textId="77777777" w:rsidR="00E535FC" w:rsidRPr="00F97D27" w:rsidRDefault="00E535FC" w:rsidP="00CA5ED9">
      <w:pPr>
        <w:pStyle w:val="FootnoteText"/>
        <w:jc w:val="both"/>
        <w:rPr>
          <w:lang w:val="es-419"/>
        </w:rPr>
      </w:pPr>
      <w:r w:rsidRPr="00F96CD8">
        <w:rPr>
          <w:rFonts w:ascii="Cambria" w:hAnsi="Cambria"/>
          <w:sz w:val="16"/>
          <w:szCs w:val="16"/>
          <w:lang w:val="es-ES"/>
        </w:rPr>
        <w:tab/>
      </w:r>
      <w:r w:rsidRPr="00F97D27">
        <w:rPr>
          <w:rFonts w:ascii="Cambria" w:hAnsi="Cambria"/>
          <w:sz w:val="16"/>
          <w:szCs w:val="16"/>
          <w:vertAlign w:val="superscript"/>
          <w:lang w:val="es-419"/>
        </w:rPr>
        <w:footnoteRef/>
      </w:r>
      <w:r w:rsidRPr="00F97D27">
        <w:rPr>
          <w:rFonts w:ascii="Cambria" w:hAnsi="Cambria"/>
          <w:sz w:val="16"/>
          <w:szCs w:val="16"/>
          <w:lang w:val="es-419"/>
        </w:rPr>
        <w:t xml:space="preserve"> CIDH, Informe No. 154/17, Petición 239-07. Admisibilidad. Nicanor Alfonso Terreros Londoño y familia. Colombia. 30 de noviembre de 2017, párr. 10; y CIDH, CIDH, Informe No. 78/18. Petición 1025-07. Admisibilidad. Gregorio </w:t>
      </w:r>
      <w:proofErr w:type="spellStart"/>
      <w:r w:rsidRPr="00F97D27">
        <w:rPr>
          <w:rFonts w:ascii="Cambria" w:hAnsi="Cambria"/>
          <w:sz w:val="16"/>
          <w:szCs w:val="16"/>
          <w:lang w:val="es-419"/>
        </w:rPr>
        <w:t>Cunto</w:t>
      </w:r>
      <w:proofErr w:type="spellEnd"/>
      <w:r w:rsidRPr="00F97D27">
        <w:rPr>
          <w:rFonts w:ascii="Cambria" w:hAnsi="Cambria"/>
          <w:sz w:val="16"/>
          <w:szCs w:val="16"/>
          <w:lang w:val="es-419"/>
        </w:rPr>
        <w:t xml:space="preserve"> Guillén. Perú. 28 de junio de 2018, párr. 15.</w:t>
      </w:r>
    </w:p>
  </w:footnote>
  <w:footnote w:id="7">
    <w:p w14:paraId="50844F47" w14:textId="77777777" w:rsidR="00AA4FED" w:rsidRPr="00AA4FED" w:rsidRDefault="00AA4FED" w:rsidP="00CA5ED9">
      <w:pPr>
        <w:pStyle w:val="FootnoteText"/>
        <w:jc w:val="both"/>
        <w:rPr>
          <w:lang w:val="es-419"/>
        </w:rPr>
      </w:pPr>
      <w:r w:rsidRPr="00F97D27">
        <w:rPr>
          <w:rFonts w:ascii="Cambria" w:hAnsi="Cambria"/>
          <w:sz w:val="16"/>
          <w:szCs w:val="16"/>
          <w:lang w:val="es-419"/>
        </w:rPr>
        <w:tab/>
      </w:r>
      <w:r w:rsidRPr="00F97D27">
        <w:rPr>
          <w:rFonts w:ascii="Cambria" w:hAnsi="Cambria"/>
          <w:sz w:val="16"/>
          <w:szCs w:val="16"/>
          <w:vertAlign w:val="superscript"/>
          <w:lang w:val="es-419"/>
        </w:rPr>
        <w:footnoteRef/>
      </w:r>
      <w:r w:rsidRPr="00F97D27">
        <w:rPr>
          <w:rFonts w:ascii="Cambria" w:hAnsi="Cambria"/>
          <w:sz w:val="16"/>
          <w:szCs w:val="16"/>
          <w:lang w:val="es-419"/>
        </w:rPr>
        <w:t xml:space="preserve"> CIDH, Informe</w:t>
      </w:r>
      <w:r w:rsidRPr="00F96CD8">
        <w:rPr>
          <w:rFonts w:ascii="Cambria" w:hAnsi="Cambria"/>
          <w:sz w:val="16"/>
          <w:szCs w:val="16"/>
          <w:lang w:val="es-ES"/>
        </w:rPr>
        <w:t xml:space="preserve"> No. 39/18, Petición 196-07. Admisibilidad. José Ricardo Parra Hurtado, Félix Alberto Páez Suárez y familias. Colombia. 4 de mayo de 2018,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455D80" w:rsidRDefault="00455D80"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55D80" w:rsidRDefault="0045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455D80" w:rsidRDefault="00455D8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55D80" w:rsidRPr="00EC7D62" w:rsidRDefault="006F277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DD68B5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26395375">
    <w:abstractNumId w:val="3"/>
  </w:num>
  <w:num w:numId="2" w16cid:durableId="1867015236">
    <w:abstractNumId w:val="5"/>
  </w:num>
  <w:num w:numId="3" w16cid:durableId="342971612">
    <w:abstractNumId w:val="50"/>
  </w:num>
  <w:num w:numId="4" w16cid:durableId="1809978384">
    <w:abstractNumId w:val="20"/>
  </w:num>
  <w:num w:numId="5" w16cid:durableId="631710013">
    <w:abstractNumId w:val="44"/>
  </w:num>
  <w:num w:numId="6" w16cid:durableId="230388104">
    <w:abstractNumId w:val="25"/>
  </w:num>
  <w:num w:numId="7" w16cid:durableId="1392122612">
    <w:abstractNumId w:val="6"/>
  </w:num>
  <w:num w:numId="8" w16cid:durableId="692611471">
    <w:abstractNumId w:val="16"/>
  </w:num>
  <w:num w:numId="9" w16cid:durableId="439567367">
    <w:abstractNumId w:val="39"/>
  </w:num>
  <w:num w:numId="10" w16cid:durableId="276986728">
    <w:abstractNumId w:val="0"/>
  </w:num>
  <w:num w:numId="11" w16cid:durableId="1680306229">
    <w:abstractNumId w:val="34"/>
  </w:num>
  <w:num w:numId="12" w16cid:durableId="231619591">
    <w:abstractNumId w:val="35"/>
  </w:num>
  <w:num w:numId="13" w16cid:durableId="1021400236">
    <w:abstractNumId w:val="41"/>
  </w:num>
  <w:num w:numId="14" w16cid:durableId="1711346516">
    <w:abstractNumId w:val="1"/>
  </w:num>
  <w:num w:numId="15" w16cid:durableId="1298606437">
    <w:abstractNumId w:val="2"/>
  </w:num>
  <w:num w:numId="16" w16cid:durableId="1656374392">
    <w:abstractNumId w:val="7"/>
  </w:num>
  <w:num w:numId="17" w16cid:durableId="719597398">
    <w:abstractNumId w:val="8"/>
  </w:num>
  <w:num w:numId="18" w16cid:durableId="998997107">
    <w:abstractNumId w:val="9"/>
  </w:num>
  <w:num w:numId="19" w16cid:durableId="1893927678">
    <w:abstractNumId w:val="10"/>
  </w:num>
  <w:num w:numId="20" w16cid:durableId="1875920738">
    <w:abstractNumId w:val="11"/>
  </w:num>
  <w:num w:numId="21" w16cid:durableId="1267807852">
    <w:abstractNumId w:val="12"/>
  </w:num>
  <w:num w:numId="22" w16cid:durableId="1401247953">
    <w:abstractNumId w:val="13"/>
  </w:num>
  <w:num w:numId="23" w16cid:durableId="1553036122">
    <w:abstractNumId w:val="14"/>
  </w:num>
  <w:num w:numId="24" w16cid:durableId="2078432919">
    <w:abstractNumId w:val="15"/>
  </w:num>
  <w:num w:numId="25" w16cid:durableId="1640914382">
    <w:abstractNumId w:val="17"/>
  </w:num>
  <w:num w:numId="26" w16cid:durableId="1834560829">
    <w:abstractNumId w:val="18"/>
  </w:num>
  <w:num w:numId="27" w16cid:durableId="19017673">
    <w:abstractNumId w:val="21"/>
  </w:num>
  <w:num w:numId="28" w16cid:durableId="1068580182">
    <w:abstractNumId w:val="22"/>
  </w:num>
  <w:num w:numId="29" w16cid:durableId="1493334041">
    <w:abstractNumId w:val="23"/>
  </w:num>
  <w:num w:numId="30" w16cid:durableId="30694605">
    <w:abstractNumId w:val="24"/>
  </w:num>
  <w:num w:numId="31" w16cid:durableId="595015379">
    <w:abstractNumId w:val="26"/>
  </w:num>
  <w:num w:numId="32" w16cid:durableId="1148715690">
    <w:abstractNumId w:val="27"/>
  </w:num>
  <w:num w:numId="33" w16cid:durableId="1235699692">
    <w:abstractNumId w:val="28"/>
  </w:num>
  <w:num w:numId="34" w16cid:durableId="1256091697">
    <w:abstractNumId w:val="29"/>
  </w:num>
  <w:num w:numId="35" w16cid:durableId="1611814270">
    <w:abstractNumId w:val="30"/>
  </w:num>
  <w:num w:numId="36" w16cid:durableId="1157574531">
    <w:abstractNumId w:val="31"/>
  </w:num>
  <w:num w:numId="37" w16cid:durableId="1087924627">
    <w:abstractNumId w:val="32"/>
  </w:num>
  <w:num w:numId="38" w16cid:durableId="436102467">
    <w:abstractNumId w:val="33"/>
  </w:num>
  <w:num w:numId="39" w16cid:durableId="446318336">
    <w:abstractNumId w:val="36"/>
  </w:num>
  <w:num w:numId="40" w16cid:durableId="119424121">
    <w:abstractNumId w:val="37"/>
  </w:num>
  <w:num w:numId="41" w16cid:durableId="1557080182">
    <w:abstractNumId w:val="43"/>
  </w:num>
  <w:num w:numId="42" w16cid:durableId="1732540015">
    <w:abstractNumId w:val="45"/>
  </w:num>
  <w:num w:numId="43" w16cid:durableId="2020236904">
    <w:abstractNumId w:val="46"/>
  </w:num>
  <w:num w:numId="44" w16cid:durableId="940769802">
    <w:abstractNumId w:val="48"/>
  </w:num>
  <w:num w:numId="45" w16cid:durableId="1703360051">
    <w:abstractNumId w:val="49"/>
  </w:num>
  <w:num w:numId="46" w16cid:durableId="51513600">
    <w:abstractNumId w:val="51"/>
  </w:num>
  <w:num w:numId="47" w16cid:durableId="874923004">
    <w:abstractNumId w:val="52"/>
  </w:num>
  <w:num w:numId="48" w16cid:durableId="935405916">
    <w:abstractNumId w:val="53"/>
  </w:num>
  <w:num w:numId="49" w16cid:durableId="1291395876">
    <w:abstractNumId w:val="54"/>
  </w:num>
  <w:num w:numId="50" w16cid:durableId="1038240052">
    <w:abstractNumId w:val="55"/>
  </w:num>
  <w:num w:numId="51" w16cid:durableId="985551295">
    <w:abstractNumId w:val="19"/>
  </w:num>
  <w:num w:numId="52" w16cid:durableId="1780291324">
    <w:abstractNumId w:val="38"/>
  </w:num>
  <w:num w:numId="53" w16cid:durableId="149100756">
    <w:abstractNumId w:val="47"/>
  </w:num>
  <w:num w:numId="54" w16cid:durableId="921722698">
    <w:abstractNumId w:val="42"/>
  </w:num>
  <w:num w:numId="55" w16cid:durableId="1431438009">
    <w:abstractNumId w:val="4"/>
  </w:num>
  <w:num w:numId="56" w16cid:durableId="15356575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5701"/>
    <w:rsid w:val="0001788C"/>
    <w:rsid w:val="0002186F"/>
    <w:rsid w:val="0002362C"/>
    <w:rsid w:val="000337EF"/>
    <w:rsid w:val="00040C3A"/>
    <w:rsid w:val="000419AD"/>
    <w:rsid w:val="000524F0"/>
    <w:rsid w:val="0006152C"/>
    <w:rsid w:val="000716C5"/>
    <w:rsid w:val="00075E23"/>
    <w:rsid w:val="00083C3A"/>
    <w:rsid w:val="000851F2"/>
    <w:rsid w:val="0009006E"/>
    <w:rsid w:val="0009344A"/>
    <w:rsid w:val="000977D2"/>
    <w:rsid w:val="000A3254"/>
    <w:rsid w:val="000A392E"/>
    <w:rsid w:val="000A575F"/>
    <w:rsid w:val="000B0579"/>
    <w:rsid w:val="000C1C69"/>
    <w:rsid w:val="000D10DB"/>
    <w:rsid w:val="000D2D6F"/>
    <w:rsid w:val="000D6849"/>
    <w:rsid w:val="000E2789"/>
    <w:rsid w:val="000E5EB5"/>
    <w:rsid w:val="000F3536"/>
    <w:rsid w:val="000F35ED"/>
    <w:rsid w:val="00105996"/>
    <w:rsid w:val="00107131"/>
    <w:rsid w:val="0010736F"/>
    <w:rsid w:val="00111A8A"/>
    <w:rsid w:val="00112F97"/>
    <w:rsid w:val="00113C50"/>
    <w:rsid w:val="00113F73"/>
    <w:rsid w:val="0011741A"/>
    <w:rsid w:val="00121CC2"/>
    <w:rsid w:val="00131D8B"/>
    <w:rsid w:val="00133EE5"/>
    <w:rsid w:val="00135475"/>
    <w:rsid w:val="00136E3D"/>
    <w:rsid w:val="00143EFE"/>
    <w:rsid w:val="001479C0"/>
    <w:rsid w:val="0015330B"/>
    <w:rsid w:val="00167A34"/>
    <w:rsid w:val="00175756"/>
    <w:rsid w:val="00175D24"/>
    <w:rsid w:val="00177EEF"/>
    <w:rsid w:val="001825B5"/>
    <w:rsid w:val="001954CF"/>
    <w:rsid w:val="00197999"/>
    <w:rsid w:val="001A7870"/>
    <w:rsid w:val="001B3A00"/>
    <w:rsid w:val="001B40BE"/>
    <w:rsid w:val="001C1B41"/>
    <w:rsid w:val="001C4550"/>
    <w:rsid w:val="001C6DEB"/>
    <w:rsid w:val="001C6E6C"/>
    <w:rsid w:val="001D65EF"/>
    <w:rsid w:val="001E49E7"/>
    <w:rsid w:val="001E7373"/>
    <w:rsid w:val="001F271B"/>
    <w:rsid w:val="001F407F"/>
    <w:rsid w:val="001F7201"/>
    <w:rsid w:val="00204931"/>
    <w:rsid w:val="00211ACD"/>
    <w:rsid w:val="00223A29"/>
    <w:rsid w:val="002250A3"/>
    <w:rsid w:val="00231294"/>
    <w:rsid w:val="002317A9"/>
    <w:rsid w:val="00235217"/>
    <w:rsid w:val="00246D1F"/>
    <w:rsid w:val="00247403"/>
    <w:rsid w:val="00247542"/>
    <w:rsid w:val="00251998"/>
    <w:rsid w:val="00266B61"/>
    <w:rsid w:val="0026712A"/>
    <w:rsid w:val="002704DB"/>
    <w:rsid w:val="00277BDA"/>
    <w:rsid w:val="00287B3C"/>
    <w:rsid w:val="0029575A"/>
    <w:rsid w:val="002A0AAE"/>
    <w:rsid w:val="002A5820"/>
    <w:rsid w:val="002B3529"/>
    <w:rsid w:val="002C3350"/>
    <w:rsid w:val="002D2B26"/>
    <w:rsid w:val="002D7EA2"/>
    <w:rsid w:val="002E187C"/>
    <w:rsid w:val="002E7512"/>
    <w:rsid w:val="00302733"/>
    <w:rsid w:val="00310EB9"/>
    <w:rsid w:val="003118B5"/>
    <w:rsid w:val="003121D5"/>
    <w:rsid w:val="00314078"/>
    <w:rsid w:val="0031535D"/>
    <w:rsid w:val="003239B8"/>
    <w:rsid w:val="0033169F"/>
    <w:rsid w:val="00334638"/>
    <w:rsid w:val="0034224A"/>
    <w:rsid w:val="00343438"/>
    <w:rsid w:val="00344977"/>
    <w:rsid w:val="0034577A"/>
    <w:rsid w:val="00346C95"/>
    <w:rsid w:val="00351155"/>
    <w:rsid w:val="00356185"/>
    <w:rsid w:val="00360380"/>
    <w:rsid w:val="00360A0B"/>
    <w:rsid w:val="00362872"/>
    <w:rsid w:val="00370939"/>
    <w:rsid w:val="0037519E"/>
    <w:rsid w:val="00381A04"/>
    <w:rsid w:val="00384909"/>
    <w:rsid w:val="00386C6C"/>
    <w:rsid w:val="00386CF0"/>
    <w:rsid w:val="00386EE6"/>
    <w:rsid w:val="003A6337"/>
    <w:rsid w:val="003B4FF6"/>
    <w:rsid w:val="003B70FB"/>
    <w:rsid w:val="003C24DE"/>
    <w:rsid w:val="003C676B"/>
    <w:rsid w:val="003D0A55"/>
    <w:rsid w:val="003D2A3D"/>
    <w:rsid w:val="003D3BC2"/>
    <w:rsid w:val="003E6CA1"/>
    <w:rsid w:val="004065A8"/>
    <w:rsid w:val="004165C2"/>
    <w:rsid w:val="00423CF1"/>
    <w:rsid w:val="004304AD"/>
    <w:rsid w:val="00441ECB"/>
    <w:rsid w:val="00444454"/>
    <w:rsid w:val="00445193"/>
    <w:rsid w:val="00447CCF"/>
    <w:rsid w:val="00455D80"/>
    <w:rsid w:val="004565BA"/>
    <w:rsid w:val="004566EC"/>
    <w:rsid w:val="004610C7"/>
    <w:rsid w:val="00462C1B"/>
    <w:rsid w:val="00467B7E"/>
    <w:rsid w:val="00473BB4"/>
    <w:rsid w:val="00476211"/>
    <w:rsid w:val="00477592"/>
    <w:rsid w:val="00486F1C"/>
    <w:rsid w:val="0049419D"/>
    <w:rsid w:val="004948B4"/>
    <w:rsid w:val="004A59CC"/>
    <w:rsid w:val="004A6A54"/>
    <w:rsid w:val="004C20D2"/>
    <w:rsid w:val="004C2312"/>
    <w:rsid w:val="004C2423"/>
    <w:rsid w:val="004C4B62"/>
    <w:rsid w:val="004C54C9"/>
    <w:rsid w:val="004C616A"/>
    <w:rsid w:val="004D4ABA"/>
    <w:rsid w:val="004D6025"/>
    <w:rsid w:val="004D62C6"/>
    <w:rsid w:val="004E19B1"/>
    <w:rsid w:val="004E2649"/>
    <w:rsid w:val="004E5575"/>
    <w:rsid w:val="00501399"/>
    <w:rsid w:val="00501652"/>
    <w:rsid w:val="00504AA4"/>
    <w:rsid w:val="0050633D"/>
    <w:rsid w:val="00507BC4"/>
    <w:rsid w:val="005128E4"/>
    <w:rsid w:val="005133DB"/>
    <w:rsid w:val="00525560"/>
    <w:rsid w:val="00532343"/>
    <w:rsid w:val="005415E6"/>
    <w:rsid w:val="00544216"/>
    <w:rsid w:val="00544C49"/>
    <w:rsid w:val="005516A1"/>
    <w:rsid w:val="00551EC6"/>
    <w:rsid w:val="0055211F"/>
    <w:rsid w:val="00552894"/>
    <w:rsid w:val="00563557"/>
    <w:rsid w:val="0057402A"/>
    <w:rsid w:val="00574CB7"/>
    <w:rsid w:val="005771D0"/>
    <w:rsid w:val="0059191A"/>
    <w:rsid w:val="005921FF"/>
    <w:rsid w:val="00594119"/>
    <w:rsid w:val="00597532"/>
    <w:rsid w:val="005A23A7"/>
    <w:rsid w:val="005A24ED"/>
    <w:rsid w:val="005A62ED"/>
    <w:rsid w:val="005A6D0E"/>
    <w:rsid w:val="005B37CC"/>
    <w:rsid w:val="005B52B0"/>
    <w:rsid w:val="005B6806"/>
    <w:rsid w:val="005B6D22"/>
    <w:rsid w:val="005C1A5B"/>
    <w:rsid w:val="005C261A"/>
    <w:rsid w:val="005C4225"/>
    <w:rsid w:val="005C7989"/>
    <w:rsid w:val="005E0B65"/>
    <w:rsid w:val="005E11B2"/>
    <w:rsid w:val="005E538D"/>
    <w:rsid w:val="005F0DAD"/>
    <w:rsid w:val="005F0F33"/>
    <w:rsid w:val="00600DEB"/>
    <w:rsid w:val="006156F7"/>
    <w:rsid w:val="0062529D"/>
    <w:rsid w:val="006277DE"/>
    <w:rsid w:val="00627C9F"/>
    <w:rsid w:val="006311E9"/>
    <w:rsid w:val="00632354"/>
    <w:rsid w:val="00642810"/>
    <w:rsid w:val="00647756"/>
    <w:rsid w:val="00647BC3"/>
    <w:rsid w:val="006509DA"/>
    <w:rsid w:val="00652333"/>
    <w:rsid w:val="006541CE"/>
    <w:rsid w:val="0067711E"/>
    <w:rsid w:val="0068009E"/>
    <w:rsid w:val="006819E9"/>
    <w:rsid w:val="00686471"/>
    <w:rsid w:val="00691BBE"/>
    <w:rsid w:val="00692219"/>
    <w:rsid w:val="006A17D2"/>
    <w:rsid w:val="006A73E6"/>
    <w:rsid w:val="006B2D5C"/>
    <w:rsid w:val="006B5295"/>
    <w:rsid w:val="006C4EB1"/>
    <w:rsid w:val="006D005C"/>
    <w:rsid w:val="006E0166"/>
    <w:rsid w:val="006E3BDE"/>
    <w:rsid w:val="006E7B34"/>
    <w:rsid w:val="006F2774"/>
    <w:rsid w:val="006F748D"/>
    <w:rsid w:val="00705F89"/>
    <w:rsid w:val="0070697F"/>
    <w:rsid w:val="0072199C"/>
    <w:rsid w:val="00722C9F"/>
    <w:rsid w:val="007253B8"/>
    <w:rsid w:val="00727D7F"/>
    <w:rsid w:val="0073598C"/>
    <w:rsid w:val="0073741F"/>
    <w:rsid w:val="00754428"/>
    <w:rsid w:val="0076643F"/>
    <w:rsid w:val="00772140"/>
    <w:rsid w:val="00775A23"/>
    <w:rsid w:val="00777F63"/>
    <w:rsid w:val="007852B5"/>
    <w:rsid w:val="00797457"/>
    <w:rsid w:val="007A5817"/>
    <w:rsid w:val="007B05C4"/>
    <w:rsid w:val="007B60E9"/>
    <w:rsid w:val="007B6CC3"/>
    <w:rsid w:val="007C2E7C"/>
    <w:rsid w:val="007C3334"/>
    <w:rsid w:val="007C402A"/>
    <w:rsid w:val="007D2B98"/>
    <w:rsid w:val="007D7C02"/>
    <w:rsid w:val="007E21BC"/>
    <w:rsid w:val="007E2F11"/>
    <w:rsid w:val="007E58FE"/>
    <w:rsid w:val="007E7C82"/>
    <w:rsid w:val="007F588D"/>
    <w:rsid w:val="00802748"/>
    <w:rsid w:val="00803F1C"/>
    <w:rsid w:val="00804357"/>
    <w:rsid w:val="0080600E"/>
    <w:rsid w:val="00807B8B"/>
    <w:rsid w:val="00817612"/>
    <w:rsid w:val="008338A4"/>
    <w:rsid w:val="00834D49"/>
    <w:rsid w:val="00835D6E"/>
    <w:rsid w:val="00837C45"/>
    <w:rsid w:val="008411F0"/>
    <w:rsid w:val="00844730"/>
    <w:rsid w:val="008457C2"/>
    <w:rsid w:val="008524DC"/>
    <w:rsid w:val="00857A82"/>
    <w:rsid w:val="00861E32"/>
    <w:rsid w:val="00871526"/>
    <w:rsid w:val="00873836"/>
    <w:rsid w:val="00885737"/>
    <w:rsid w:val="00890650"/>
    <w:rsid w:val="00895473"/>
    <w:rsid w:val="00897E12"/>
    <w:rsid w:val="008A0F81"/>
    <w:rsid w:val="008A4308"/>
    <w:rsid w:val="008A7E0F"/>
    <w:rsid w:val="008B12F5"/>
    <w:rsid w:val="008B5932"/>
    <w:rsid w:val="008C5751"/>
    <w:rsid w:val="008C6CC6"/>
    <w:rsid w:val="008D734D"/>
    <w:rsid w:val="008D768D"/>
    <w:rsid w:val="008E328A"/>
    <w:rsid w:val="008E3759"/>
    <w:rsid w:val="008E3BFE"/>
    <w:rsid w:val="008E7900"/>
    <w:rsid w:val="008F1912"/>
    <w:rsid w:val="0090270B"/>
    <w:rsid w:val="009041DC"/>
    <w:rsid w:val="009056A9"/>
    <w:rsid w:val="0090594F"/>
    <w:rsid w:val="009153BF"/>
    <w:rsid w:val="00915E81"/>
    <w:rsid w:val="00917B5A"/>
    <w:rsid w:val="00920690"/>
    <w:rsid w:val="00920A58"/>
    <w:rsid w:val="00920A8C"/>
    <w:rsid w:val="00934A2C"/>
    <w:rsid w:val="00935F06"/>
    <w:rsid w:val="00937B3A"/>
    <w:rsid w:val="00954B82"/>
    <w:rsid w:val="009605CA"/>
    <w:rsid w:val="0096178B"/>
    <w:rsid w:val="00961EA3"/>
    <w:rsid w:val="00962436"/>
    <w:rsid w:val="0096706E"/>
    <w:rsid w:val="00974491"/>
    <w:rsid w:val="00975A4D"/>
    <w:rsid w:val="00975C4E"/>
    <w:rsid w:val="00981FBA"/>
    <w:rsid w:val="00994007"/>
    <w:rsid w:val="00997BC5"/>
    <w:rsid w:val="009A4F41"/>
    <w:rsid w:val="009B381B"/>
    <w:rsid w:val="009C2FC5"/>
    <w:rsid w:val="009D1753"/>
    <w:rsid w:val="009D6502"/>
    <w:rsid w:val="009D7611"/>
    <w:rsid w:val="009D78A5"/>
    <w:rsid w:val="009D7CA2"/>
    <w:rsid w:val="009E0B61"/>
    <w:rsid w:val="009E53DE"/>
    <w:rsid w:val="009E790E"/>
    <w:rsid w:val="009E7C00"/>
    <w:rsid w:val="00A0691C"/>
    <w:rsid w:val="00A11E44"/>
    <w:rsid w:val="00A22397"/>
    <w:rsid w:val="00A328B3"/>
    <w:rsid w:val="00A46570"/>
    <w:rsid w:val="00A50FCF"/>
    <w:rsid w:val="00A528D1"/>
    <w:rsid w:val="00A56C36"/>
    <w:rsid w:val="00A60B37"/>
    <w:rsid w:val="00A610CD"/>
    <w:rsid w:val="00A625E0"/>
    <w:rsid w:val="00A6695B"/>
    <w:rsid w:val="00A66CEF"/>
    <w:rsid w:val="00A74947"/>
    <w:rsid w:val="00A758AA"/>
    <w:rsid w:val="00A90B41"/>
    <w:rsid w:val="00AA09A2"/>
    <w:rsid w:val="00AA4FED"/>
    <w:rsid w:val="00AA7996"/>
    <w:rsid w:val="00AC19CB"/>
    <w:rsid w:val="00AC44BB"/>
    <w:rsid w:val="00AD1886"/>
    <w:rsid w:val="00AD6CA3"/>
    <w:rsid w:val="00AE3899"/>
    <w:rsid w:val="00AE5488"/>
    <w:rsid w:val="00AE6F91"/>
    <w:rsid w:val="00AF5571"/>
    <w:rsid w:val="00B05EE5"/>
    <w:rsid w:val="00B06B4E"/>
    <w:rsid w:val="00B07341"/>
    <w:rsid w:val="00B13E4B"/>
    <w:rsid w:val="00B202B5"/>
    <w:rsid w:val="00B2378C"/>
    <w:rsid w:val="00B30539"/>
    <w:rsid w:val="00B314DB"/>
    <w:rsid w:val="00B361F2"/>
    <w:rsid w:val="00B36FB4"/>
    <w:rsid w:val="00B3718B"/>
    <w:rsid w:val="00B4632A"/>
    <w:rsid w:val="00B5067D"/>
    <w:rsid w:val="00B530F1"/>
    <w:rsid w:val="00B55AFD"/>
    <w:rsid w:val="00B64535"/>
    <w:rsid w:val="00B736AF"/>
    <w:rsid w:val="00B97946"/>
    <w:rsid w:val="00B97CC0"/>
    <w:rsid w:val="00BA192C"/>
    <w:rsid w:val="00BA276C"/>
    <w:rsid w:val="00BA5544"/>
    <w:rsid w:val="00BB306F"/>
    <w:rsid w:val="00BB3FBD"/>
    <w:rsid w:val="00BC6CD0"/>
    <w:rsid w:val="00BC7355"/>
    <w:rsid w:val="00BD4B89"/>
    <w:rsid w:val="00BD5922"/>
    <w:rsid w:val="00BD76D9"/>
    <w:rsid w:val="00BE5569"/>
    <w:rsid w:val="00BF02CB"/>
    <w:rsid w:val="00BF0E56"/>
    <w:rsid w:val="00BF10D2"/>
    <w:rsid w:val="00BF191C"/>
    <w:rsid w:val="00BF514A"/>
    <w:rsid w:val="00BF6FD8"/>
    <w:rsid w:val="00BF775D"/>
    <w:rsid w:val="00C019CB"/>
    <w:rsid w:val="00C02F5C"/>
    <w:rsid w:val="00C03680"/>
    <w:rsid w:val="00C054DF"/>
    <w:rsid w:val="00C074C8"/>
    <w:rsid w:val="00C10AFC"/>
    <w:rsid w:val="00C13160"/>
    <w:rsid w:val="00C21562"/>
    <w:rsid w:val="00C21762"/>
    <w:rsid w:val="00C21FEF"/>
    <w:rsid w:val="00C24543"/>
    <w:rsid w:val="00C256A2"/>
    <w:rsid w:val="00C327FB"/>
    <w:rsid w:val="00C35A26"/>
    <w:rsid w:val="00C51515"/>
    <w:rsid w:val="00C524BB"/>
    <w:rsid w:val="00C53910"/>
    <w:rsid w:val="00C550C2"/>
    <w:rsid w:val="00C5660B"/>
    <w:rsid w:val="00C56854"/>
    <w:rsid w:val="00C5788A"/>
    <w:rsid w:val="00C66412"/>
    <w:rsid w:val="00C66B72"/>
    <w:rsid w:val="00C74E89"/>
    <w:rsid w:val="00C87AC4"/>
    <w:rsid w:val="00C92610"/>
    <w:rsid w:val="00C9567A"/>
    <w:rsid w:val="00CA48A3"/>
    <w:rsid w:val="00CA5ED9"/>
    <w:rsid w:val="00CA5F6B"/>
    <w:rsid w:val="00CA7827"/>
    <w:rsid w:val="00CB212D"/>
    <w:rsid w:val="00CB2660"/>
    <w:rsid w:val="00CC10C5"/>
    <w:rsid w:val="00CC5E90"/>
    <w:rsid w:val="00CC7460"/>
    <w:rsid w:val="00CD046C"/>
    <w:rsid w:val="00CE076C"/>
    <w:rsid w:val="00CE5199"/>
    <w:rsid w:val="00CE66D5"/>
    <w:rsid w:val="00CF637A"/>
    <w:rsid w:val="00CF6BD1"/>
    <w:rsid w:val="00D02157"/>
    <w:rsid w:val="00D059DE"/>
    <w:rsid w:val="00D05ABD"/>
    <w:rsid w:val="00D13FCE"/>
    <w:rsid w:val="00D306D1"/>
    <w:rsid w:val="00D30800"/>
    <w:rsid w:val="00D34786"/>
    <w:rsid w:val="00D37BFC"/>
    <w:rsid w:val="00D42822"/>
    <w:rsid w:val="00D47A8E"/>
    <w:rsid w:val="00D47A99"/>
    <w:rsid w:val="00D52D14"/>
    <w:rsid w:val="00D55256"/>
    <w:rsid w:val="00D712D3"/>
    <w:rsid w:val="00D71422"/>
    <w:rsid w:val="00D72DC6"/>
    <w:rsid w:val="00D73F5E"/>
    <w:rsid w:val="00D7498B"/>
    <w:rsid w:val="00D7558D"/>
    <w:rsid w:val="00D77503"/>
    <w:rsid w:val="00D81D92"/>
    <w:rsid w:val="00D876F9"/>
    <w:rsid w:val="00D877B6"/>
    <w:rsid w:val="00D92ED1"/>
    <w:rsid w:val="00DA55D1"/>
    <w:rsid w:val="00DA7B5F"/>
    <w:rsid w:val="00DB4A86"/>
    <w:rsid w:val="00DC11E7"/>
    <w:rsid w:val="00DC42DE"/>
    <w:rsid w:val="00DC7023"/>
    <w:rsid w:val="00DC769A"/>
    <w:rsid w:val="00DD061E"/>
    <w:rsid w:val="00DD3D86"/>
    <w:rsid w:val="00DD7EE0"/>
    <w:rsid w:val="00DE099E"/>
    <w:rsid w:val="00DE12F0"/>
    <w:rsid w:val="00DE2E6C"/>
    <w:rsid w:val="00DF1EC4"/>
    <w:rsid w:val="00E01943"/>
    <w:rsid w:val="00E0340B"/>
    <w:rsid w:val="00E04A90"/>
    <w:rsid w:val="00E0551F"/>
    <w:rsid w:val="00E219C7"/>
    <w:rsid w:val="00E26CCA"/>
    <w:rsid w:val="00E4118C"/>
    <w:rsid w:val="00E43157"/>
    <w:rsid w:val="00E461CE"/>
    <w:rsid w:val="00E535FC"/>
    <w:rsid w:val="00E537C7"/>
    <w:rsid w:val="00E547B2"/>
    <w:rsid w:val="00E61A2B"/>
    <w:rsid w:val="00E63333"/>
    <w:rsid w:val="00E64288"/>
    <w:rsid w:val="00E70421"/>
    <w:rsid w:val="00E70D03"/>
    <w:rsid w:val="00E70E62"/>
    <w:rsid w:val="00E720CA"/>
    <w:rsid w:val="00E740B5"/>
    <w:rsid w:val="00E84EB5"/>
    <w:rsid w:val="00E85662"/>
    <w:rsid w:val="00E8789F"/>
    <w:rsid w:val="00E91898"/>
    <w:rsid w:val="00E93C2B"/>
    <w:rsid w:val="00E97B71"/>
    <w:rsid w:val="00EA3D34"/>
    <w:rsid w:val="00EA416D"/>
    <w:rsid w:val="00EB454D"/>
    <w:rsid w:val="00EC5891"/>
    <w:rsid w:val="00EC72AB"/>
    <w:rsid w:val="00ED2F03"/>
    <w:rsid w:val="00ED549D"/>
    <w:rsid w:val="00ED76BE"/>
    <w:rsid w:val="00ED7F05"/>
    <w:rsid w:val="00EE00E9"/>
    <w:rsid w:val="00EE014D"/>
    <w:rsid w:val="00EE3DAC"/>
    <w:rsid w:val="00EE6108"/>
    <w:rsid w:val="00EE7895"/>
    <w:rsid w:val="00EF35AB"/>
    <w:rsid w:val="00EF4C44"/>
    <w:rsid w:val="00EF4E24"/>
    <w:rsid w:val="00EF619B"/>
    <w:rsid w:val="00F00B55"/>
    <w:rsid w:val="00F00C2B"/>
    <w:rsid w:val="00F02AD1"/>
    <w:rsid w:val="00F04591"/>
    <w:rsid w:val="00F06354"/>
    <w:rsid w:val="00F253CC"/>
    <w:rsid w:val="00F332EF"/>
    <w:rsid w:val="00F34ACD"/>
    <w:rsid w:val="00F37106"/>
    <w:rsid w:val="00F42039"/>
    <w:rsid w:val="00F43872"/>
    <w:rsid w:val="00F519CF"/>
    <w:rsid w:val="00F56BA5"/>
    <w:rsid w:val="00F60392"/>
    <w:rsid w:val="00F60E22"/>
    <w:rsid w:val="00F63B39"/>
    <w:rsid w:val="00F81395"/>
    <w:rsid w:val="00F81887"/>
    <w:rsid w:val="00F81BB8"/>
    <w:rsid w:val="00F917D1"/>
    <w:rsid w:val="00F9342C"/>
    <w:rsid w:val="00F93554"/>
    <w:rsid w:val="00F9653B"/>
    <w:rsid w:val="00F97D27"/>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AvantGarde-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00BF"/>
    <w:rsid w:val="00022325"/>
    <w:rsid w:val="00083D45"/>
    <w:rsid w:val="00183B6F"/>
    <w:rsid w:val="00200821"/>
    <w:rsid w:val="00394049"/>
    <w:rsid w:val="003B6D95"/>
    <w:rsid w:val="004F2DF8"/>
    <w:rsid w:val="005A5184"/>
    <w:rsid w:val="006E2B51"/>
    <w:rsid w:val="00762EEA"/>
    <w:rsid w:val="00942213"/>
    <w:rsid w:val="0097453C"/>
    <w:rsid w:val="009A261B"/>
    <w:rsid w:val="00AC15A4"/>
    <w:rsid w:val="00B0336C"/>
    <w:rsid w:val="00B117C0"/>
    <w:rsid w:val="00B64148"/>
    <w:rsid w:val="00BA147D"/>
    <w:rsid w:val="00C11833"/>
    <w:rsid w:val="00C56634"/>
    <w:rsid w:val="00D46351"/>
    <w:rsid w:val="00D74958"/>
    <w:rsid w:val="00E1590D"/>
    <w:rsid w:val="00E544F0"/>
    <w:rsid w:val="00E77140"/>
    <w:rsid w:val="00E907ED"/>
    <w:rsid w:val="00EC5ECB"/>
    <w:rsid w:val="00F00D2F"/>
    <w:rsid w:val="00F128DF"/>
    <w:rsid w:val="00F7438E"/>
    <w:rsid w:val="00FC6C99"/>
    <w:rsid w:val="00FD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92C0-122C-4469-8949-6D71CC93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11222</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75/22</dc:title>
  <dc:creator/>
  <cp:lastModifiedBy/>
  <cp:revision>1</cp:revision>
  <dcterms:created xsi:type="dcterms:W3CDTF">2022-06-01T17:14:00Z</dcterms:created>
  <dcterms:modified xsi:type="dcterms:W3CDTF">2022-06-01T17:14:00Z</dcterms:modified>
</cp:coreProperties>
</file>