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54257" w:rsidRDefault="00D306D1" w:rsidP="00627C9F">
      <w:pPr>
        <w:jc w:val="both"/>
        <w:rPr>
          <w:rFonts w:asciiTheme="majorHAnsi" w:hAnsiTheme="majorHAnsi" w:cs="Univers"/>
          <w:b/>
          <w:bCs/>
          <w:sz w:val="22"/>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DE4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54257">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54257">
        <w:rPr>
          <w:rFonts w:asciiTheme="majorHAnsi" w:hAnsiTheme="majorHAnsi" w:cs="Univers"/>
          <w:b/>
          <w:bCs/>
          <w:sz w:val="22"/>
          <w:szCs w:val="22"/>
          <w:lang w:val="es-ES"/>
        </w:rPr>
        <w:t xml:space="preserve"> </w:t>
      </w:r>
    </w:p>
    <w:p w14:paraId="751BC92D" w14:textId="77777777" w:rsidR="00040C3A" w:rsidRPr="00B5425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B5425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B54257" w:rsidRDefault="005128E4" w:rsidP="00040C3A">
      <w:pPr>
        <w:tabs>
          <w:tab w:val="center" w:pos="5400"/>
        </w:tabs>
        <w:suppressAutoHyphens/>
        <w:rPr>
          <w:rFonts w:asciiTheme="majorHAnsi" w:hAnsiTheme="majorHAnsi"/>
          <w:sz w:val="22"/>
          <w:szCs w:val="22"/>
          <w:lang w:val="es-ES"/>
        </w:rPr>
      </w:pPr>
    </w:p>
    <w:p w14:paraId="7F51F08B" w14:textId="77777777" w:rsidR="005128E4" w:rsidRPr="00B54257" w:rsidRDefault="005128E4" w:rsidP="00040C3A">
      <w:pPr>
        <w:tabs>
          <w:tab w:val="center" w:pos="5400"/>
        </w:tabs>
        <w:suppressAutoHyphens/>
        <w:rPr>
          <w:rFonts w:asciiTheme="majorHAnsi" w:hAnsiTheme="majorHAnsi"/>
          <w:sz w:val="22"/>
          <w:szCs w:val="22"/>
          <w:lang w:val="es-ES"/>
        </w:rPr>
      </w:pPr>
    </w:p>
    <w:p w14:paraId="058606A7" w14:textId="77777777" w:rsidR="005128E4" w:rsidRPr="00B54257" w:rsidRDefault="005128E4" w:rsidP="00040C3A">
      <w:pPr>
        <w:tabs>
          <w:tab w:val="center" w:pos="5400"/>
        </w:tabs>
        <w:suppressAutoHyphens/>
        <w:rPr>
          <w:rFonts w:asciiTheme="majorHAnsi" w:hAnsiTheme="majorHAnsi"/>
          <w:sz w:val="22"/>
          <w:szCs w:val="22"/>
          <w:lang w:val="es-ES"/>
        </w:rPr>
      </w:pPr>
    </w:p>
    <w:p w14:paraId="01B9D56A" w14:textId="77777777" w:rsidR="00040C3A" w:rsidRPr="00B54257"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B54257"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B54257"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B54257" w:rsidRDefault="003D3BC2" w:rsidP="00040C3A">
      <w:pPr>
        <w:tabs>
          <w:tab w:val="center" w:pos="5400"/>
        </w:tabs>
        <w:suppressAutoHyphens/>
        <w:jc w:val="center"/>
        <w:rPr>
          <w:rFonts w:asciiTheme="majorHAnsi" w:hAnsiTheme="majorHAnsi"/>
          <w:sz w:val="22"/>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AAFC0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12FE9">
                              <w:rPr>
                                <w:rFonts w:asciiTheme="majorHAnsi" w:hAnsiTheme="majorHAnsi" w:cs="Arial"/>
                                <w:b/>
                                <w:bCs/>
                                <w:color w:val="0D0D0D" w:themeColor="text1" w:themeTint="F2"/>
                                <w:sz w:val="36"/>
                                <w:szCs w:val="22"/>
                                <w:lang w:val="es-ES_tradnl"/>
                              </w:rPr>
                              <w:t>373</w:t>
                            </w:r>
                            <w:r w:rsidR="007B05C4">
                              <w:rPr>
                                <w:rFonts w:asciiTheme="majorHAnsi" w:hAnsiTheme="majorHAnsi" w:cs="Arial"/>
                                <w:b/>
                                <w:bCs/>
                                <w:color w:val="0D0D0D" w:themeColor="text1" w:themeTint="F2"/>
                                <w:sz w:val="36"/>
                                <w:szCs w:val="22"/>
                                <w:lang w:val="es-ES_tradnl"/>
                              </w:rPr>
                              <w:t>/</w:t>
                            </w:r>
                            <w:r w:rsidR="003F1050">
                              <w:rPr>
                                <w:rFonts w:asciiTheme="majorHAnsi" w:hAnsiTheme="majorHAnsi" w:cs="Arial"/>
                                <w:b/>
                                <w:bCs/>
                                <w:color w:val="0D0D0D" w:themeColor="text1" w:themeTint="F2"/>
                                <w:sz w:val="36"/>
                                <w:szCs w:val="22"/>
                                <w:lang w:val="es-ES_tradnl"/>
                              </w:rPr>
                              <w:t>22</w:t>
                            </w:r>
                          </w:p>
                          <w:p w14:paraId="45F30ECA" w14:textId="2490351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4785">
                              <w:rPr>
                                <w:rFonts w:asciiTheme="majorHAnsi" w:hAnsiTheme="majorHAnsi" w:cs="Arial"/>
                                <w:b/>
                                <w:color w:val="0D0D0D" w:themeColor="text1" w:themeTint="F2"/>
                                <w:sz w:val="36"/>
                                <w:szCs w:val="22"/>
                                <w:lang w:val="es-ES_tradnl"/>
                              </w:rPr>
                              <w:t>1924</w:t>
                            </w:r>
                            <w:r w:rsidR="00263908">
                              <w:rPr>
                                <w:rFonts w:asciiTheme="majorHAnsi" w:hAnsiTheme="majorHAnsi" w:cs="Arial"/>
                                <w:b/>
                                <w:color w:val="0D0D0D" w:themeColor="text1" w:themeTint="F2"/>
                                <w:sz w:val="36"/>
                                <w:szCs w:val="22"/>
                                <w:lang w:val="es-ES_tradnl"/>
                              </w:rPr>
                              <w:t>-</w:t>
                            </w:r>
                            <w:r w:rsidR="00C84785">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24F470FE" w:rsidR="00B72EE8" w:rsidRDefault="00C84785" w:rsidP="00F56ECB">
                            <w:pPr>
                              <w:spacing w:line="276" w:lineRule="auto"/>
                              <w:rPr>
                                <w:rFonts w:asciiTheme="majorHAnsi" w:hAnsiTheme="majorHAnsi" w:cs="Arial"/>
                                <w:bCs/>
                                <w:color w:val="0D0D0D" w:themeColor="text1" w:themeTint="F2"/>
                                <w:szCs w:val="22"/>
                                <w:lang w:val="es-ES"/>
                              </w:rPr>
                            </w:pPr>
                            <w:r w:rsidRPr="00C84785">
                              <w:rPr>
                                <w:rFonts w:asciiTheme="majorHAnsi" w:hAnsiTheme="majorHAnsi" w:cs="Arial"/>
                                <w:bCs/>
                                <w:color w:val="0D0D0D" w:themeColor="text1" w:themeTint="F2"/>
                                <w:szCs w:val="22"/>
                                <w:lang w:val="es-ES"/>
                              </w:rPr>
                              <w:t>GLORIA LARA</w:t>
                            </w:r>
                            <w:r w:rsidR="00E3400E">
                              <w:rPr>
                                <w:rFonts w:asciiTheme="majorHAnsi" w:hAnsiTheme="majorHAnsi" w:cs="Arial"/>
                                <w:bCs/>
                                <w:color w:val="0D0D0D" w:themeColor="text1" w:themeTint="F2"/>
                                <w:szCs w:val="22"/>
                                <w:lang w:val="es-ES"/>
                              </w:rPr>
                              <w:t xml:space="preserve"> </w:t>
                            </w:r>
                            <w:r w:rsidR="00270307">
                              <w:rPr>
                                <w:rFonts w:asciiTheme="majorHAnsi" w:hAnsiTheme="majorHAnsi" w:cs="Arial"/>
                                <w:bCs/>
                                <w:color w:val="0D0D0D" w:themeColor="text1" w:themeTint="F2"/>
                                <w:szCs w:val="22"/>
                                <w:lang w:val="es-ES"/>
                              </w:rPr>
                              <w:t>E HIJOS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AAFC01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12FE9">
                        <w:rPr>
                          <w:rFonts w:asciiTheme="majorHAnsi" w:hAnsiTheme="majorHAnsi" w:cs="Arial"/>
                          <w:b/>
                          <w:bCs/>
                          <w:color w:val="0D0D0D" w:themeColor="text1" w:themeTint="F2"/>
                          <w:sz w:val="36"/>
                          <w:szCs w:val="22"/>
                          <w:lang w:val="es-ES_tradnl"/>
                        </w:rPr>
                        <w:t>373</w:t>
                      </w:r>
                      <w:r w:rsidR="007B05C4">
                        <w:rPr>
                          <w:rFonts w:asciiTheme="majorHAnsi" w:hAnsiTheme="majorHAnsi" w:cs="Arial"/>
                          <w:b/>
                          <w:bCs/>
                          <w:color w:val="0D0D0D" w:themeColor="text1" w:themeTint="F2"/>
                          <w:sz w:val="36"/>
                          <w:szCs w:val="22"/>
                          <w:lang w:val="es-ES_tradnl"/>
                        </w:rPr>
                        <w:t>/</w:t>
                      </w:r>
                      <w:r w:rsidR="003F1050">
                        <w:rPr>
                          <w:rFonts w:asciiTheme="majorHAnsi" w:hAnsiTheme="majorHAnsi" w:cs="Arial"/>
                          <w:b/>
                          <w:bCs/>
                          <w:color w:val="0D0D0D" w:themeColor="text1" w:themeTint="F2"/>
                          <w:sz w:val="36"/>
                          <w:szCs w:val="22"/>
                          <w:lang w:val="es-ES_tradnl"/>
                        </w:rPr>
                        <w:t>22</w:t>
                      </w:r>
                    </w:p>
                    <w:p w14:paraId="45F30ECA" w14:textId="2490351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4785">
                        <w:rPr>
                          <w:rFonts w:asciiTheme="majorHAnsi" w:hAnsiTheme="majorHAnsi" w:cs="Arial"/>
                          <w:b/>
                          <w:color w:val="0D0D0D" w:themeColor="text1" w:themeTint="F2"/>
                          <w:sz w:val="36"/>
                          <w:szCs w:val="22"/>
                          <w:lang w:val="es-ES_tradnl"/>
                        </w:rPr>
                        <w:t>1924</w:t>
                      </w:r>
                      <w:r w:rsidR="00263908">
                        <w:rPr>
                          <w:rFonts w:asciiTheme="majorHAnsi" w:hAnsiTheme="majorHAnsi" w:cs="Arial"/>
                          <w:b/>
                          <w:color w:val="0D0D0D" w:themeColor="text1" w:themeTint="F2"/>
                          <w:sz w:val="36"/>
                          <w:szCs w:val="22"/>
                          <w:lang w:val="es-ES_tradnl"/>
                        </w:rPr>
                        <w:t>-</w:t>
                      </w:r>
                      <w:r w:rsidR="00C84785">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24F470FE" w:rsidR="00B72EE8" w:rsidRDefault="00C84785" w:rsidP="00F56ECB">
                      <w:pPr>
                        <w:spacing w:line="276" w:lineRule="auto"/>
                        <w:rPr>
                          <w:rFonts w:asciiTheme="majorHAnsi" w:hAnsiTheme="majorHAnsi" w:cs="Arial"/>
                          <w:bCs/>
                          <w:color w:val="0D0D0D" w:themeColor="text1" w:themeTint="F2"/>
                          <w:szCs w:val="22"/>
                          <w:lang w:val="es-ES"/>
                        </w:rPr>
                      </w:pPr>
                      <w:r w:rsidRPr="00C84785">
                        <w:rPr>
                          <w:rFonts w:asciiTheme="majorHAnsi" w:hAnsiTheme="majorHAnsi" w:cs="Arial"/>
                          <w:bCs/>
                          <w:color w:val="0D0D0D" w:themeColor="text1" w:themeTint="F2"/>
                          <w:szCs w:val="22"/>
                          <w:lang w:val="es-ES"/>
                        </w:rPr>
                        <w:t>GLORIA LARA</w:t>
                      </w:r>
                      <w:r w:rsidR="00E3400E">
                        <w:rPr>
                          <w:rFonts w:asciiTheme="majorHAnsi" w:hAnsiTheme="majorHAnsi" w:cs="Arial"/>
                          <w:bCs/>
                          <w:color w:val="0D0D0D" w:themeColor="text1" w:themeTint="F2"/>
                          <w:szCs w:val="22"/>
                          <w:lang w:val="es-ES"/>
                        </w:rPr>
                        <w:t xml:space="preserve"> </w:t>
                      </w:r>
                      <w:r w:rsidR="00270307">
                        <w:rPr>
                          <w:rFonts w:asciiTheme="majorHAnsi" w:hAnsiTheme="majorHAnsi" w:cs="Arial"/>
                          <w:bCs/>
                          <w:color w:val="0D0D0D" w:themeColor="text1" w:themeTint="F2"/>
                          <w:szCs w:val="22"/>
                          <w:lang w:val="es-ES"/>
                        </w:rPr>
                        <w:t>E HIJOS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B54257">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BBE824C" w:rsidR="00627C9F" w:rsidRPr="007006A0" w:rsidRDefault="00834D49" w:rsidP="007A5817">
                            <w:pPr>
                              <w:spacing w:line="276" w:lineRule="auto"/>
                              <w:jc w:val="right"/>
                              <w:rPr>
                                <w:rFonts w:asciiTheme="minorHAnsi" w:hAnsiTheme="minorHAnsi"/>
                                <w:color w:val="FFFFFF" w:themeColor="background1"/>
                                <w:sz w:val="22"/>
                                <w:lang w:val="es-ES"/>
                              </w:rPr>
                            </w:pPr>
                            <w:r w:rsidRPr="007006A0">
                              <w:rPr>
                                <w:rFonts w:asciiTheme="minorHAnsi" w:hAnsiTheme="minorHAnsi"/>
                                <w:color w:val="FFFFFF" w:themeColor="background1"/>
                                <w:sz w:val="22"/>
                                <w:lang w:val="es-ES"/>
                              </w:rPr>
                              <w:t>OEA/Ser.L/V/II</w:t>
                            </w:r>
                          </w:p>
                          <w:p w14:paraId="71D2D5D2" w14:textId="2D21C6B9" w:rsidR="00627C9F" w:rsidRPr="007006A0" w:rsidRDefault="00627C9F" w:rsidP="007A5817">
                            <w:pPr>
                              <w:spacing w:line="276" w:lineRule="auto"/>
                              <w:jc w:val="right"/>
                              <w:rPr>
                                <w:rFonts w:asciiTheme="minorHAnsi" w:hAnsiTheme="minorHAnsi"/>
                                <w:color w:val="FFFFFF" w:themeColor="background1"/>
                                <w:sz w:val="22"/>
                                <w:lang w:val="es-ES"/>
                              </w:rPr>
                            </w:pPr>
                            <w:r w:rsidRPr="007006A0">
                              <w:rPr>
                                <w:rFonts w:asciiTheme="minorHAnsi" w:hAnsiTheme="minorHAnsi"/>
                                <w:color w:val="FFFFFF" w:themeColor="background1"/>
                                <w:sz w:val="22"/>
                                <w:lang w:val="es-ES"/>
                              </w:rPr>
                              <w:t xml:space="preserve">Doc. </w:t>
                            </w:r>
                            <w:r w:rsidR="007006A0" w:rsidRPr="007006A0">
                              <w:rPr>
                                <w:rFonts w:asciiTheme="minorHAnsi" w:hAnsiTheme="minorHAnsi"/>
                                <w:color w:val="FFFFFF" w:themeColor="background1"/>
                                <w:sz w:val="22"/>
                                <w:lang w:val="es-ES"/>
                              </w:rPr>
                              <w:t>381</w:t>
                            </w:r>
                          </w:p>
                          <w:p w14:paraId="4061DBBD" w14:textId="54ED1DCA" w:rsidR="00627C9F" w:rsidRPr="00C25ADB" w:rsidRDefault="007006A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7B05C4" w:rsidRPr="00E12FE9">
                              <w:rPr>
                                <w:rFonts w:asciiTheme="minorHAnsi" w:hAnsiTheme="minorHAnsi"/>
                                <w:color w:val="FFFFFF" w:themeColor="background1"/>
                                <w:sz w:val="22"/>
                                <w:lang w:val="es-PA"/>
                              </w:rPr>
                              <w:t xml:space="preserve"> </w:t>
                            </w:r>
                            <w:r w:rsidR="00627C9F" w:rsidRPr="00E12FE9">
                              <w:rPr>
                                <w:rFonts w:asciiTheme="minorHAnsi" w:hAnsiTheme="minorHAnsi"/>
                                <w:color w:val="FFFFFF" w:themeColor="background1"/>
                                <w:sz w:val="22"/>
                                <w:lang w:val="es-PA"/>
                              </w:rPr>
                              <w:t>20</w:t>
                            </w:r>
                            <w:r w:rsidR="00C23BA4" w:rsidRPr="00E12FE9">
                              <w:rPr>
                                <w:rFonts w:asciiTheme="minorHAnsi" w:hAnsiTheme="minorHAnsi"/>
                                <w:color w:val="FFFFFF" w:themeColor="background1"/>
                                <w:sz w:val="22"/>
                                <w:lang w:val="es-PA"/>
                              </w:rPr>
                              <w:t>2</w:t>
                            </w:r>
                            <w:r w:rsidR="00867B7C" w:rsidRPr="00E12FE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BBE824C" w:rsidR="00627C9F" w:rsidRPr="007006A0" w:rsidRDefault="00834D49" w:rsidP="007A5817">
                      <w:pPr>
                        <w:spacing w:line="276" w:lineRule="auto"/>
                        <w:jc w:val="right"/>
                        <w:rPr>
                          <w:rFonts w:asciiTheme="minorHAnsi" w:hAnsiTheme="minorHAnsi"/>
                          <w:color w:val="FFFFFF" w:themeColor="background1"/>
                          <w:sz w:val="22"/>
                          <w:lang w:val="es-ES"/>
                        </w:rPr>
                      </w:pPr>
                      <w:r w:rsidRPr="007006A0">
                        <w:rPr>
                          <w:rFonts w:asciiTheme="minorHAnsi" w:hAnsiTheme="minorHAnsi"/>
                          <w:color w:val="FFFFFF" w:themeColor="background1"/>
                          <w:sz w:val="22"/>
                          <w:lang w:val="es-ES"/>
                        </w:rPr>
                        <w:t>OEA/Ser.L/V/II</w:t>
                      </w:r>
                    </w:p>
                    <w:p w14:paraId="71D2D5D2" w14:textId="2D21C6B9" w:rsidR="00627C9F" w:rsidRPr="007006A0" w:rsidRDefault="00627C9F" w:rsidP="007A5817">
                      <w:pPr>
                        <w:spacing w:line="276" w:lineRule="auto"/>
                        <w:jc w:val="right"/>
                        <w:rPr>
                          <w:rFonts w:asciiTheme="minorHAnsi" w:hAnsiTheme="minorHAnsi"/>
                          <w:color w:val="FFFFFF" w:themeColor="background1"/>
                          <w:sz w:val="22"/>
                          <w:lang w:val="es-ES"/>
                        </w:rPr>
                      </w:pPr>
                      <w:r w:rsidRPr="007006A0">
                        <w:rPr>
                          <w:rFonts w:asciiTheme="minorHAnsi" w:hAnsiTheme="minorHAnsi"/>
                          <w:color w:val="FFFFFF" w:themeColor="background1"/>
                          <w:sz w:val="22"/>
                          <w:lang w:val="es-ES"/>
                        </w:rPr>
                        <w:t xml:space="preserve">Doc. </w:t>
                      </w:r>
                      <w:r w:rsidR="007006A0" w:rsidRPr="007006A0">
                        <w:rPr>
                          <w:rFonts w:asciiTheme="minorHAnsi" w:hAnsiTheme="minorHAnsi"/>
                          <w:color w:val="FFFFFF" w:themeColor="background1"/>
                          <w:sz w:val="22"/>
                          <w:lang w:val="es-ES"/>
                        </w:rPr>
                        <w:t>381</w:t>
                      </w:r>
                    </w:p>
                    <w:p w14:paraId="4061DBBD" w14:textId="54ED1DCA" w:rsidR="00627C9F" w:rsidRPr="00C25ADB" w:rsidRDefault="007006A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7B05C4" w:rsidRPr="00E12FE9">
                        <w:rPr>
                          <w:rFonts w:asciiTheme="minorHAnsi" w:hAnsiTheme="minorHAnsi"/>
                          <w:color w:val="FFFFFF" w:themeColor="background1"/>
                          <w:sz w:val="22"/>
                          <w:lang w:val="es-PA"/>
                        </w:rPr>
                        <w:t xml:space="preserve"> </w:t>
                      </w:r>
                      <w:r w:rsidR="00627C9F" w:rsidRPr="00E12FE9">
                        <w:rPr>
                          <w:rFonts w:asciiTheme="minorHAnsi" w:hAnsiTheme="minorHAnsi"/>
                          <w:color w:val="FFFFFF" w:themeColor="background1"/>
                          <w:sz w:val="22"/>
                          <w:lang w:val="es-PA"/>
                        </w:rPr>
                        <w:t>20</w:t>
                      </w:r>
                      <w:r w:rsidR="00C23BA4" w:rsidRPr="00E12FE9">
                        <w:rPr>
                          <w:rFonts w:asciiTheme="minorHAnsi" w:hAnsiTheme="minorHAnsi"/>
                          <w:color w:val="FFFFFF" w:themeColor="background1"/>
                          <w:sz w:val="22"/>
                          <w:lang w:val="es-PA"/>
                        </w:rPr>
                        <w:t>2</w:t>
                      </w:r>
                      <w:r w:rsidR="00867B7C" w:rsidRPr="00E12FE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B54257"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B54257"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B54257"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B54257" w:rsidRDefault="0090270B" w:rsidP="00040C3A">
      <w:pPr>
        <w:tabs>
          <w:tab w:val="center" w:pos="5400"/>
        </w:tabs>
        <w:suppressAutoHyphens/>
        <w:jc w:val="center"/>
        <w:rPr>
          <w:rFonts w:asciiTheme="majorHAnsi" w:hAnsiTheme="majorHAnsi"/>
          <w:sz w:val="18"/>
          <w:szCs w:val="22"/>
          <w:lang w:val="es-ES"/>
        </w:rPr>
      </w:pPr>
      <w:r w:rsidRPr="00B54257">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510DB9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006A0">
                              <w:rPr>
                                <w:rFonts w:asciiTheme="majorHAnsi" w:hAnsiTheme="majorHAnsi"/>
                                <w:color w:val="0D0D0D" w:themeColor="text1" w:themeTint="F2"/>
                                <w:sz w:val="18"/>
                                <w:szCs w:val="22"/>
                                <w:lang w:val="es-ES"/>
                              </w:rPr>
                              <w:t>19</w:t>
                            </w:r>
                            <w:r w:rsidRPr="00663F10">
                              <w:rPr>
                                <w:rFonts w:asciiTheme="majorHAnsi" w:hAnsiTheme="majorHAnsi"/>
                                <w:color w:val="0D0D0D" w:themeColor="text1" w:themeTint="F2"/>
                                <w:sz w:val="18"/>
                                <w:szCs w:val="22"/>
                                <w:lang w:val="es-ES"/>
                              </w:rPr>
                              <w:t xml:space="preserve"> de </w:t>
                            </w:r>
                            <w:r w:rsidR="007006A0">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30729D">
                              <w:rPr>
                                <w:rFonts w:asciiTheme="majorHAnsi" w:hAnsiTheme="majorHAnsi"/>
                                <w:color w:val="0D0D0D" w:themeColor="text1" w:themeTint="F2"/>
                                <w:sz w:val="18"/>
                                <w:szCs w:val="22"/>
                                <w:lang w:val="es-ES"/>
                              </w:rPr>
                              <w:t>2</w:t>
                            </w:r>
                            <w:r w:rsidR="007006A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510DB93"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006A0">
                        <w:rPr>
                          <w:rFonts w:asciiTheme="majorHAnsi" w:hAnsiTheme="majorHAnsi"/>
                          <w:color w:val="0D0D0D" w:themeColor="text1" w:themeTint="F2"/>
                          <w:sz w:val="18"/>
                          <w:szCs w:val="22"/>
                          <w:lang w:val="es-ES"/>
                        </w:rPr>
                        <w:t>19</w:t>
                      </w:r>
                      <w:r w:rsidRPr="00663F10">
                        <w:rPr>
                          <w:rFonts w:asciiTheme="majorHAnsi" w:hAnsiTheme="majorHAnsi"/>
                          <w:color w:val="0D0D0D" w:themeColor="text1" w:themeTint="F2"/>
                          <w:sz w:val="18"/>
                          <w:szCs w:val="22"/>
                          <w:lang w:val="es-ES"/>
                        </w:rPr>
                        <w:t xml:space="preserve"> de </w:t>
                      </w:r>
                      <w:r w:rsidR="007006A0">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30729D">
                        <w:rPr>
                          <w:rFonts w:asciiTheme="majorHAnsi" w:hAnsiTheme="majorHAnsi"/>
                          <w:color w:val="0D0D0D" w:themeColor="text1" w:themeTint="F2"/>
                          <w:sz w:val="18"/>
                          <w:szCs w:val="22"/>
                          <w:lang w:val="es-ES"/>
                        </w:rPr>
                        <w:t>2</w:t>
                      </w:r>
                      <w:r w:rsidR="007006A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B54257" w:rsidRDefault="0030729D" w:rsidP="00040C3A">
      <w:pPr>
        <w:tabs>
          <w:tab w:val="center" w:pos="5400"/>
        </w:tabs>
        <w:suppressAutoHyphens/>
        <w:jc w:val="center"/>
        <w:rPr>
          <w:rFonts w:asciiTheme="majorHAnsi" w:hAnsiTheme="majorHAnsi"/>
          <w:sz w:val="18"/>
          <w:szCs w:val="22"/>
          <w:lang w:val="es-ES"/>
        </w:rPr>
      </w:pPr>
      <w:r w:rsidRPr="00B54257">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15C074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w:t>
                            </w:r>
                            <w:r w:rsidR="006929E0" w:rsidRPr="007006A0">
                              <w:rPr>
                                <w:rFonts w:asciiTheme="majorHAnsi" w:hAnsiTheme="majorHAnsi"/>
                                <w:color w:val="595959" w:themeColor="text1" w:themeTint="A6"/>
                                <w:sz w:val="18"/>
                                <w:szCs w:val="18"/>
                                <w:lang w:val="pt-BR"/>
                              </w:rPr>
                              <w:t xml:space="preserve">Informe No. </w:t>
                            </w:r>
                            <w:r w:rsidR="007006A0" w:rsidRPr="007006A0">
                              <w:rPr>
                                <w:rFonts w:asciiTheme="majorHAnsi" w:hAnsiTheme="majorHAnsi"/>
                                <w:color w:val="595959" w:themeColor="text1" w:themeTint="A6"/>
                                <w:sz w:val="18"/>
                                <w:szCs w:val="18"/>
                                <w:lang w:val="pt-BR"/>
                              </w:rPr>
                              <w:t>373</w:t>
                            </w:r>
                            <w:r w:rsidR="006929E0" w:rsidRPr="007006A0">
                              <w:rPr>
                                <w:rFonts w:asciiTheme="majorHAnsi" w:hAnsiTheme="majorHAnsi"/>
                                <w:color w:val="595959" w:themeColor="text1" w:themeTint="A6"/>
                                <w:sz w:val="18"/>
                                <w:szCs w:val="18"/>
                                <w:lang w:val="pt-BR"/>
                              </w:rPr>
                              <w:t xml:space="preserve">/22. </w:t>
                            </w:r>
                            <w:r w:rsidR="006929E0" w:rsidRPr="007006A0">
                              <w:rPr>
                                <w:rFonts w:asciiTheme="majorHAnsi" w:hAnsiTheme="majorHAnsi"/>
                                <w:color w:val="595959" w:themeColor="text1" w:themeTint="A6"/>
                                <w:sz w:val="18"/>
                                <w:szCs w:val="18"/>
                                <w:lang w:val="es-ES"/>
                              </w:rPr>
                              <w:t xml:space="preserve">Petición </w:t>
                            </w:r>
                            <w:r w:rsidR="00C84785" w:rsidRPr="007006A0">
                              <w:rPr>
                                <w:rFonts w:asciiTheme="majorHAnsi" w:hAnsiTheme="majorHAnsi"/>
                                <w:color w:val="595959" w:themeColor="text1" w:themeTint="A6"/>
                                <w:sz w:val="18"/>
                                <w:szCs w:val="18"/>
                                <w:lang w:val="es-ES"/>
                              </w:rPr>
                              <w:t>1924</w:t>
                            </w:r>
                            <w:r w:rsidR="006929E0" w:rsidRPr="007006A0">
                              <w:rPr>
                                <w:rFonts w:asciiTheme="majorHAnsi" w:hAnsiTheme="majorHAnsi"/>
                                <w:color w:val="595959" w:themeColor="text1" w:themeTint="A6"/>
                                <w:sz w:val="18"/>
                                <w:szCs w:val="18"/>
                                <w:lang w:val="es-ES"/>
                              </w:rPr>
                              <w:t>-</w:t>
                            </w:r>
                            <w:r w:rsidR="00C84785" w:rsidRPr="007006A0">
                              <w:rPr>
                                <w:rFonts w:asciiTheme="majorHAnsi" w:hAnsiTheme="majorHAnsi"/>
                                <w:color w:val="595959" w:themeColor="text1" w:themeTint="A6"/>
                                <w:sz w:val="18"/>
                                <w:szCs w:val="18"/>
                                <w:lang w:val="es-ES"/>
                              </w:rPr>
                              <w:t>12</w:t>
                            </w:r>
                            <w:r w:rsidR="006929E0" w:rsidRPr="007006A0">
                              <w:rPr>
                                <w:rFonts w:asciiTheme="majorHAnsi" w:hAnsiTheme="majorHAnsi"/>
                                <w:color w:val="595959" w:themeColor="text1" w:themeTint="A6"/>
                                <w:sz w:val="18"/>
                                <w:szCs w:val="18"/>
                                <w:lang w:val="es-ES"/>
                              </w:rPr>
                              <w:t xml:space="preserve">. Admisibilidad. </w:t>
                            </w:r>
                            <w:r w:rsidR="0092384C" w:rsidRPr="007006A0">
                              <w:rPr>
                                <w:rFonts w:asciiTheme="majorHAnsi" w:hAnsiTheme="majorHAnsi"/>
                                <w:bCs/>
                                <w:color w:val="595959" w:themeColor="text1" w:themeTint="A6"/>
                                <w:sz w:val="18"/>
                                <w:szCs w:val="18"/>
                                <w:lang w:val="es-ES"/>
                              </w:rPr>
                              <w:t xml:space="preserve">Gloria Lara </w:t>
                            </w:r>
                            <w:r w:rsidR="002C5600" w:rsidRPr="007006A0">
                              <w:rPr>
                                <w:rFonts w:asciiTheme="majorHAnsi" w:hAnsiTheme="majorHAnsi"/>
                                <w:bCs/>
                                <w:color w:val="595959" w:themeColor="text1" w:themeTint="A6"/>
                                <w:sz w:val="18"/>
                                <w:szCs w:val="18"/>
                                <w:lang w:val="es-ES"/>
                              </w:rPr>
                              <w:t>e hijos</w:t>
                            </w:r>
                            <w:r w:rsidR="006929E0" w:rsidRPr="007006A0">
                              <w:rPr>
                                <w:rFonts w:asciiTheme="majorHAnsi" w:hAnsiTheme="majorHAnsi"/>
                                <w:color w:val="595959" w:themeColor="text1" w:themeTint="A6"/>
                                <w:sz w:val="18"/>
                                <w:szCs w:val="18"/>
                                <w:lang w:val="es-ES"/>
                              </w:rPr>
                              <w:t xml:space="preserve">. </w:t>
                            </w:r>
                            <w:r w:rsidR="00624A9A" w:rsidRPr="007006A0">
                              <w:rPr>
                                <w:rFonts w:asciiTheme="majorHAnsi" w:hAnsiTheme="majorHAnsi"/>
                                <w:color w:val="595959" w:themeColor="text1" w:themeTint="A6"/>
                                <w:sz w:val="18"/>
                                <w:szCs w:val="18"/>
                                <w:lang w:val="es-ES"/>
                              </w:rPr>
                              <w:t>Colombia</w:t>
                            </w:r>
                            <w:r w:rsidR="006929E0" w:rsidRPr="007006A0">
                              <w:rPr>
                                <w:rFonts w:asciiTheme="majorHAnsi" w:hAnsiTheme="majorHAnsi"/>
                                <w:color w:val="595959" w:themeColor="text1" w:themeTint="A6"/>
                                <w:sz w:val="18"/>
                                <w:szCs w:val="18"/>
                                <w:lang w:val="es-ES"/>
                              </w:rPr>
                              <w:t xml:space="preserve">. </w:t>
                            </w:r>
                            <w:r w:rsidR="00D07FBC">
                              <w:rPr>
                                <w:rFonts w:asciiTheme="majorHAnsi" w:hAnsiTheme="majorHAnsi"/>
                                <w:color w:val="595959" w:themeColor="text1" w:themeTint="A6"/>
                                <w:sz w:val="18"/>
                                <w:szCs w:val="18"/>
                                <w:lang w:val="es-ES"/>
                              </w:rPr>
                              <w:t>19 de diciembre de 2022</w:t>
                            </w:r>
                            <w:r w:rsidR="006929E0" w:rsidRPr="007006A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7FD77785" w14:textId="715C074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w:t>
                      </w:r>
                      <w:r w:rsidR="006929E0" w:rsidRPr="007006A0">
                        <w:rPr>
                          <w:rFonts w:asciiTheme="majorHAnsi" w:hAnsiTheme="majorHAnsi"/>
                          <w:color w:val="595959" w:themeColor="text1" w:themeTint="A6"/>
                          <w:sz w:val="18"/>
                          <w:szCs w:val="18"/>
                          <w:lang w:val="pt-BR"/>
                        </w:rPr>
                        <w:t xml:space="preserve">Informe No. </w:t>
                      </w:r>
                      <w:r w:rsidR="007006A0" w:rsidRPr="007006A0">
                        <w:rPr>
                          <w:rFonts w:asciiTheme="majorHAnsi" w:hAnsiTheme="majorHAnsi"/>
                          <w:color w:val="595959" w:themeColor="text1" w:themeTint="A6"/>
                          <w:sz w:val="18"/>
                          <w:szCs w:val="18"/>
                          <w:lang w:val="pt-BR"/>
                        </w:rPr>
                        <w:t>373</w:t>
                      </w:r>
                      <w:r w:rsidR="006929E0" w:rsidRPr="007006A0">
                        <w:rPr>
                          <w:rFonts w:asciiTheme="majorHAnsi" w:hAnsiTheme="majorHAnsi"/>
                          <w:color w:val="595959" w:themeColor="text1" w:themeTint="A6"/>
                          <w:sz w:val="18"/>
                          <w:szCs w:val="18"/>
                          <w:lang w:val="pt-BR"/>
                        </w:rPr>
                        <w:t xml:space="preserve">/22. </w:t>
                      </w:r>
                      <w:r w:rsidR="006929E0" w:rsidRPr="007006A0">
                        <w:rPr>
                          <w:rFonts w:asciiTheme="majorHAnsi" w:hAnsiTheme="majorHAnsi"/>
                          <w:color w:val="595959" w:themeColor="text1" w:themeTint="A6"/>
                          <w:sz w:val="18"/>
                          <w:szCs w:val="18"/>
                          <w:lang w:val="es-ES"/>
                        </w:rPr>
                        <w:t xml:space="preserve">Petición </w:t>
                      </w:r>
                      <w:r w:rsidR="00C84785" w:rsidRPr="007006A0">
                        <w:rPr>
                          <w:rFonts w:asciiTheme="majorHAnsi" w:hAnsiTheme="majorHAnsi"/>
                          <w:color w:val="595959" w:themeColor="text1" w:themeTint="A6"/>
                          <w:sz w:val="18"/>
                          <w:szCs w:val="18"/>
                          <w:lang w:val="es-ES"/>
                        </w:rPr>
                        <w:t>1924</w:t>
                      </w:r>
                      <w:r w:rsidR="006929E0" w:rsidRPr="007006A0">
                        <w:rPr>
                          <w:rFonts w:asciiTheme="majorHAnsi" w:hAnsiTheme="majorHAnsi"/>
                          <w:color w:val="595959" w:themeColor="text1" w:themeTint="A6"/>
                          <w:sz w:val="18"/>
                          <w:szCs w:val="18"/>
                          <w:lang w:val="es-ES"/>
                        </w:rPr>
                        <w:t>-</w:t>
                      </w:r>
                      <w:r w:rsidR="00C84785" w:rsidRPr="007006A0">
                        <w:rPr>
                          <w:rFonts w:asciiTheme="majorHAnsi" w:hAnsiTheme="majorHAnsi"/>
                          <w:color w:val="595959" w:themeColor="text1" w:themeTint="A6"/>
                          <w:sz w:val="18"/>
                          <w:szCs w:val="18"/>
                          <w:lang w:val="es-ES"/>
                        </w:rPr>
                        <w:t>12</w:t>
                      </w:r>
                      <w:r w:rsidR="006929E0" w:rsidRPr="007006A0">
                        <w:rPr>
                          <w:rFonts w:asciiTheme="majorHAnsi" w:hAnsiTheme="majorHAnsi"/>
                          <w:color w:val="595959" w:themeColor="text1" w:themeTint="A6"/>
                          <w:sz w:val="18"/>
                          <w:szCs w:val="18"/>
                          <w:lang w:val="es-ES"/>
                        </w:rPr>
                        <w:t xml:space="preserve">. Admisibilidad. </w:t>
                      </w:r>
                      <w:r w:rsidR="0092384C" w:rsidRPr="007006A0">
                        <w:rPr>
                          <w:rFonts w:asciiTheme="majorHAnsi" w:hAnsiTheme="majorHAnsi"/>
                          <w:bCs/>
                          <w:color w:val="595959" w:themeColor="text1" w:themeTint="A6"/>
                          <w:sz w:val="18"/>
                          <w:szCs w:val="18"/>
                          <w:lang w:val="es-ES"/>
                        </w:rPr>
                        <w:t xml:space="preserve">Gloria Lara </w:t>
                      </w:r>
                      <w:r w:rsidR="002C5600" w:rsidRPr="007006A0">
                        <w:rPr>
                          <w:rFonts w:asciiTheme="majorHAnsi" w:hAnsiTheme="majorHAnsi"/>
                          <w:bCs/>
                          <w:color w:val="595959" w:themeColor="text1" w:themeTint="A6"/>
                          <w:sz w:val="18"/>
                          <w:szCs w:val="18"/>
                          <w:lang w:val="es-ES"/>
                        </w:rPr>
                        <w:t>e hijos</w:t>
                      </w:r>
                      <w:r w:rsidR="006929E0" w:rsidRPr="007006A0">
                        <w:rPr>
                          <w:rFonts w:asciiTheme="majorHAnsi" w:hAnsiTheme="majorHAnsi"/>
                          <w:color w:val="595959" w:themeColor="text1" w:themeTint="A6"/>
                          <w:sz w:val="18"/>
                          <w:szCs w:val="18"/>
                          <w:lang w:val="es-ES"/>
                        </w:rPr>
                        <w:t xml:space="preserve">. </w:t>
                      </w:r>
                      <w:r w:rsidR="00624A9A" w:rsidRPr="007006A0">
                        <w:rPr>
                          <w:rFonts w:asciiTheme="majorHAnsi" w:hAnsiTheme="majorHAnsi"/>
                          <w:color w:val="595959" w:themeColor="text1" w:themeTint="A6"/>
                          <w:sz w:val="18"/>
                          <w:szCs w:val="18"/>
                          <w:lang w:val="es-ES"/>
                        </w:rPr>
                        <w:t>Colombia</w:t>
                      </w:r>
                      <w:r w:rsidR="006929E0" w:rsidRPr="007006A0">
                        <w:rPr>
                          <w:rFonts w:asciiTheme="majorHAnsi" w:hAnsiTheme="majorHAnsi"/>
                          <w:color w:val="595959" w:themeColor="text1" w:themeTint="A6"/>
                          <w:sz w:val="18"/>
                          <w:szCs w:val="18"/>
                          <w:lang w:val="es-ES"/>
                        </w:rPr>
                        <w:t xml:space="preserve">. </w:t>
                      </w:r>
                      <w:r w:rsidR="00D07FBC">
                        <w:rPr>
                          <w:rFonts w:asciiTheme="majorHAnsi" w:hAnsiTheme="majorHAnsi"/>
                          <w:color w:val="595959" w:themeColor="text1" w:themeTint="A6"/>
                          <w:sz w:val="18"/>
                          <w:szCs w:val="18"/>
                          <w:lang w:val="es-ES"/>
                        </w:rPr>
                        <w:t>19 de diciembre de 2022</w:t>
                      </w:r>
                      <w:r w:rsidR="006929E0" w:rsidRPr="007006A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B54257"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B54257"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B54257" w:rsidRDefault="00D306D1" w:rsidP="005516A1">
      <w:pPr>
        <w:tabs>
          <w:tab w:val="center" w:pos="5400"/>
        </w:tabs>
        <w:suppressAutoHyphens/>
        <w:jc w:val="center"/>
        <w:rPr>
          <w:rFonts w:asciiTheme="majorHAnsi" w:hAnsiTheme="majorHAnsi"/>
          <w:b/>
          <w:sz w:val="20"/>
          <w:lang w:val="es-ES"/>
        </w:rPr>
      </w:pPr>
      <w:r w:rsidRPr="00B54257">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54257">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54257" w:rsidRDefault="004A6A54" w:rsidP="005516A1">
      <w:pPr>
        <w:tabs>
          <w:tab w:val="center" w:pos="5400"/>
        </w:tabs>
        <w:suppressAutoHyphens/>
        <w:jc w:val="center"/>
        <w:rPr>
          <w:rFonts w:asciiTheme="majorHAnsi" w:hAnsiTheme="majorHAnsi"/>
          <w:b/>
          <w:sz w:val="20"/>
          <w:lang w:val="es-ES"/>
        </w:rPr>
        <w:sectPr w:rsidR="0070697F" w:rsidRPr="00B5425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54257">
        <w:rPr>
          <w:rFonts w:asciiTheme="majorHAnsi" w:hAnsiTheme="majorHAnsi"/>
          <w:b/>
          <w:sz w:val="20"/>
          <w:lang w:val="es-ES"/>
        </w:rPr>
        <w:tab/>
      </w:r>
    </w:p>
    <w:p w14:paraId="2786EE58" w14:textId="77777777" w:rsidR="003239B8" w:rsidRPr="00B54257" w:rsidRDefault="003239B8" w:rsidP="004A6A54">
      <w:pPr>
        <w:spacing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lastRenderedPageBreak/>
        <w:t>I.</w:t>
      </w:r>
      <w:r w:rsidRPr="00B5425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9555B"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Parte peticionaria:</w:t>
            </w:r>
          </w:p>
        </w:tc>
        <w:tc>
          <w:tcPr>
            <w:tcW w:w="5647" w:type="dxa"/>
            <w:vAlign w:val="center"/>
          </w:tcPr>
          <w:p w14:paraId="07DAAE2E" w14:textId="05F5A9DB" w:rsidR="003239B8" w:rsidRPr="00B54257" w:rsidRDefault="0000314E" w:rsidP="002F7768">
            <w:pPr>
              <w:jc w:val="both"/>
              <w:rPr>
                <w:rFonts w:ascii="Cambria" w:hAnsi="Cambria"/>
                <w:bCs/>
                <w:sz w:val="20"/>
                <w:szCs w:val="20"/>
                <w:lang w:val="es-ES"/>
              </w:rPr>
            </w:pPr>
            <w:r w:rsidRPr="00B54257">
              <w:rPr>
                <w:rFonts w:ascii="Cambria" w:hAnsi="Cambria"/>
                <w:bCs/>
                <w:sz w:val="20"/>
                <w:szCs w:val="20"/>
                <w:lang w:val="es-ES"/>
              </w:rPr>
              <w:t>Fernando Tribín Echeverry</w:t>
            </w:r>
            <w:r w:rsidR="00AC2A29" w:rsidRPr="00B54257">
              <w:rPr>
                <w:rFonts w:ascii="Cambria" w:hAnsi="Cambria"/>
                <w:bCs/>
                <w:sz w:val="20"/>
                <w:szCs w:val="20"/>
                <w:lang w:val="es-ES"/>
              </w:rPr>
              <w:t>, María Carolina Estepa Becerra y César Augusto Castillo Dussán</w:t>
            </w:r>
          </w:p>
        </w:tc>
      </w:tr>
      <w:tr w:rsidR="003239B8" w:rsidRPr="00B5425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54257" w:rsidRDefault="003641DB"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54257">
                  <w:rPr>
                    <w:rFonts w:ascii="Cambria" w:hAnsi="Cambria"/>
                    <w:b/>
                    <w:bCs/>
                    <w:color w:val="FFFFFF" w:themeColor="background1"/>
                    <w:sz w:val="20"/>
                    <w:szCs w:val="20"/>
                    <w:lang w:val="es-ES"/>
                  </w:rPr>
                  <w:t>Presunta víctima</w:t>
                </w:r>
              </w:sdtContent>
            </w:sdt>
            <w:r w:rsidR="003239B8" w:rsidRPr="00B54257">
              <w:rPr>
                <w:rFonts w:ascii="Cambria" w:hAnsi="Cambria"/>
                <w:b/>
                <w:bCs/>
                <w:color w:val="FFFFFF" w:themeColor="background1"/>
                <w:sz w:val="20"/>
                <w:szCs w:val="20"/>
                <w:lang w:val="es-ES"/>
              </w:rPr>
              <w:t>:</w:t>
            </w:r>
          </w:p>
        </w:tc>
        <w:tc>
          <w:tcPr>
            <w:tcW w:w="5647" w:type="dxa"/>
            <w:vAlign w:val="center"/>
          </w:tcPr>
          <w:p w14:paraId="143D44A8" w14:textId="4D837C57" w:rsidR="003239B8" w:rsidRPr="00B54257" w:rsidRDefault="0000314E" w:rsidP="008D2290">
            <w:pPr>
              <w:jc w:val="both"/>
              <w:rPr>
                <w:rFonts w:ascii="Cambria" w:hAnsi="Cambria"/>
                <w:bCs/>
                <w:sz w:val="20"/>
                <w:szCs w:val="20"/>
                <w:lang w:val="es-ES"/>
              </w:rPr>
            </w:pPr>
            <w:r w:rsidRPr="00B54257">
              <w:rPr>
                <w:rFonts w:ascii="Cambria" w:hAnsi="Cambria"/>
                <w:bCs/>
                <w:sz w:val="20"/>
                <w:szCs w:val="20"/>
                <w:lang w:val="es-ES"/>
              </w:rPr>
              <w:t xml:space="preserve">Gloria Lara </w:t>
            </w:r>
            <w:r w:rsidR="00270307" w:rsidRPr="00B54257">
              <w:rPr>
                <w:rFonts w:ascii="Cambria" w:hAnsi="Cambria"/>
                <w:bCs/>
                <w:sz w:val="20"/>
                <w:szCs w:val="20"/>
                <w:lang w:val="es-ES"/>
              </w:rPr>
              <w:t>e hijos</w:t>
            </w:r>
            <w:r w:rsidR="00011113" w:rsidRPr="00B54257">
              <w:rPr>
                <w:rStyle w:val="FootnoteReference"/>
                <w:rFonts w:ascii="Cambria" w:hAnsi="Cambria"/>
                <w:bCs/>
                <w:sz w:val="20"/>
                <w:szCs w:val="20"/>
                <w:lang w:val="es-ES"/>
              </w:rPr>
              <w:footnoteReference w:id="2"/>
            </w:r>
          </w:p>
        </w:tc>
      </w:tr>
      <w:tr w:rsidR="003239B8" w:rsidRPr="00B5425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B54257" w:rsidRDefault="00263908" w:rsidP="008D2290">
            <w:pPr>
              <w:jc w:val="both"/>
              <w:rPr>
                <w:rFonts w:ascii="Cambria" w:hAnsi="Cambria"/>
                <w:bCs/>
                <w:sz w:val="20"/>
                <w:szCs w:val="20"/>
                <w:lang w:val="es-ES"/>
              </w:rPr>
            </w:pPr>
            <w:r w:rsidRPr="00B54257">
              <w:rPr>
                <w:rFonts w:ascii="Cambria" w:hAnsi="Cambria"/>
                <w:bCs/>
                <w:sz w:val="20"/>
                <w:szCs w:val="20"/>
                <w:lang w:val="es-ES"/>
              </w:rPr>
              <w:t>Colombia</w:t>
            </w:r>
            <w:r w:rsidR="00130DC3" w:rsidRPr="00B54257">
              <w:rPr>
                <w:rStyle w:val="FootnoteReference"/>
                <w:rFonts w:ascii="Cambria" w:hAnsi="Cambria"/>
                <w:bCs/>
                <w:sz w:val="20"/>
                <w:szCs w:val="20"/>
                <w:lang w:val="es-ES"/>
              </w:rPr>
              <w:footnoteReference w:id="3"/>
            </w:r>
          </w:p>
        </w:tc>
      </w:tr>
      <w:tr w:rsidR="00223A29" w:rsidRPr="00E9555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54257" w:rsidRDefault="001B3A00" w:rsidP="00E4118C">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 xml:space="preserve">Derechos </w:t>
            </w:r>
            <w:r w:rsidR="00E4118C" w:rsidRPr="00B54257">
              <w:rPr>
                <w:rFonts w:ascii="Cambria" w:hAnsi="Cambria"/>
                <w:b/>
                <w:bCs/>
                <w:color w:val="FFFFFF" w:themeColor="background1"/>
                <w:sz w:val="20"/>
                <w:szCs w:val="20"/>
                <w:lang w:val="es-ES"/>
              </w:rPr>
              <w:t>invocados</w:t>
            </w:r>
            <w:r w:rsidRPr="00B54257">
              <w:rPr>
                <w:rFonts w:ascii="Cambria" w:hAnsi="Cambria"/>
                <w:b/>
                <w:bCs/>
                <w:color w:val="FFFFFF" w:themeColor="background1"/>
                <w:sz w:val="20"/>
                <w:szCs w:val="20"/>
                <w:lang w:val="es-ES"/>
              </w:rPr>
              <w:t>:</w:t>
            </w:r>
          </w:p>
        </w:tc>
        <w:tc>
          <w:tcPr>
            <w:tcW w:w="5647" w:type="dxa"/>
            <w:vAlign w:val="center"/>
          </w:tcPr>
          <w:p w14:paraId="52B28392" w14:textId="79F248B6" w:rsidR="00223A29" w:rsidRPr="00B54257" w:rsidRDefault="0020303F" w:rsidP="008D2290">
            <w:pPr>
              <w:jc w:val="both"/>
              <w:rPr>
                <w:rFonts w:ascii="Cambria" w:hAnsi="Cambria"/>
                <w:bCs/>
                <w:sz w:val="20"/>
                <w:szCs w:val="20"/>
                <w:lang w:val="es-ES"/>
              </w:rPr>
            </w:pPr>
            <w:r w:rsidRPr="00B54257">
              <w:rPr>
                <w:rFonts w:ascii="Cambria" w:hAnsi="Cambria"/>
                <w:bCs/>
                <w:sz w:val="20"/>
                <w:szCs w:val="20"/>
                <w:lang w:val="es-ES"/>
              </w:rPr>
              <w:t xml:space="preserve">Artículos </w:t>
            </w:r>
            <w:r w:rsidR="00B02E2B" w:rsidRPr="00B54257">
              <w:rPr>
                <w:rFonts w:ascii="Cambria" w:hAnsi="Cambria"/>
                <w:bCs/>
                <w:sz w:val="20"/>
                <w:szCs w:val="20"/>
                <w:lang w:val="es-ES"/>
              </w:rPr>
              <w:t>5</w:t>
            </w:r>
            <w:r w:rsidR="00F90C13" w:rsidRPr="00B54257">
              <w:rPr>
                <w:rFonts w:ascii="Cambria" w:hAnsi="Cambria"/>
                <w:bCs/>
                <w:sz w:val="20"/>
                <w:szCs w:val="20"/>
                <w:lang w:val="es-ES"/>
              </w:rPr>
              <w:t xml:space="preserve"> </w:t>
            </w:r>
            <w:r w:rsidR="00B02E2B" w:rsidRPr="00B54257">
              <w:rPr>
                <w:rFonts w:ascii="Cambria" w:hAnsi="Cambria"/>
                <w:bCs/>
                <w:sz w:val="20"/>
                <w:szCs w:val="20"/>
                <w:lang w:val="es-ES"/>
              </w:rPr>
              <w:t>(integridad personal),</w:t>
            </w:r>
            <w:r w:rsidRPr="00B54257">
              <w:rPr>
                <w:rFonts w:ascii="Cambria" w:hAnsi="Cambria"/>
                <w:bCs/>
                <w:sz w:val="20"/>
                <w:szCs w:val="20"/>
                <w:lang w:val="es-ES"/>
              </w:rPr>
              <w:t xml:space="preserve"> </w:t>
            </w:r>
            <w:r w:rsidR="00B02E2B" w:rsidRPr="00B54257">
              <w:rPr>
                <w:rFonts w:ascii="Cambria" w:hAnsi="Cambria"/>
                <w:bCs/>
                <w:sz w:val="20"/>
                <w:szCs w:val="20"/>
                <w:lang w:val="es-ES"/>
              </w:rPr>
              <w:t>8</w:t>
            </w:r>
            <w:r w:rsidR="003747E4" w:rsidRPr="00B54257">
              <w:rPr>
                <w:rFonts w:ascii="Cambria" w:hAnsi="Cambria"/>
                <w:bCs/>
                <w:sz w:val="20"/>
                <w:szCs w:val="20"/>
                <w:lang w:val="es-ES"/>
              </w:rPr>
              <w:t xml:space="preserve"> (garantías judiciales</w:t>
            </w:r>
            <w:r w:rsidR="0000314E" w:rsidRPr="00B54257">
              <w:rPr>
                <w:rFonts w:ascii="Cambria" w:hAnsi="Cambria"/>
                <w:bCs/>
                <w:sz w:val="20"/>
                <w:szCs w:val="20"/>
                <w:lang w:val="es-ES"/>
              </w:rPr>
              <w:t xml:space="preserve">) </w:t>
            </w:r>
            <w:r w:rsidR="008F1981" w:rsidRPr="00B54257">
              <w:rPr>
                <w:rFonts w:ascii="Cambria" w:hAnsi="Cambria"/>
                <w:bCs/>
                <w:sz w:val="20"/>
                <w:szCs w:val="20"/>
                <w:lang w:val="es-ES"/>
              </w:rPr>
              <w:t xml:space="preserve">y </w:t>
            </w:r>
            <w:r w:rsidRPr="00B54257">
              <w:rPr>
                <w:rFonts w:ascii="Cambria" w:hAnsi="Cambria"/>
                <w:bCs/>
                <w:sz w:val="20"/>
                <w:szCs w:val="20"/>
                <w:lang w:val="es-ES"/>
              </w:rPr>
              <w:t>25</w:t>
            </w:r>
            <w:r w:rsidR="003747E4" w:rsidRPr="00B54257">
              <w:rPr>
                <w:rFonts w:ascii="Cambria" w:hAnsi="Cambria"/>
                <w:bCs/>
                <w:sz w:val="20"/>
                <w:szCs w:val="20"/>
                <w:lang w:val="es-ES"/>
              </w:rPr>
              <w:t xml:space="preserve"> (protección judicial)</w:t>
            </w:r>
            <w:r w:rsidR="008F1981" w:rsidRPr="00B54257">
              <w:rPr>
                <w:rFonts w:ascii="Cambria" w:hAnsi="Cambria"/>
                <w:bCs/>
                <w:sz w:val="20"/>
                <w:szCs w:val="20"/>
                <w:lang w:val="es-ES"/>
              </w:rPr>
              <w:t xml:space="preserve"> </w:t>
            </w:r>
            <w:r w:rsidRPr="00B54257">
              <w:rPr>
                <w:rFonts w:ascii="Cambria" w:hAnsi="Cambria"/>
                <w:bCs/>
                <w:sz w:val="20"/>
                <w:szCs w:val="20"/>
                <w:lang w:val="es-ES"/>
              </w:rPr>
              <w:t>de la Convención Americana sobre Derechos Humanos</w:t>
            </w:r>
            <w:r w:rsidR="002B29A4" w:rsidRPr="00B54257">
              <w:rPr>
                <w:rFonts w:ascii="Cambria" w:hAnsi="Cambria"/>
                <w:sz w:val="20"/>
                <w:szCs w:val="20"/>
                <w:vertAlign w:val="superscript"/>
                <w:lang w:val="es-ES"/>
              </w:rPr>
              <w:footnoteReference w:id="4"/>
            </w:r>
            <w:r w:rsidR="003A3214" w:rsidRPr="00B54257">
              <w:rPr>
                <w:rFonts w:ascii="Cambria" w:hAnsi="Cambria"/>
                <w:bCs/>
                <w:sz w:val="20"/>
                <w:szCs w:val="20"/>
                <w:lang w:val="es-ES"/>
              </w:rPr>
              <w:t>, en relación con sus artículo</w:t>
            </w:r>
            <w:r w:rsidR="009461BA" w:rsidRPr="00B54257">
              <w:rPr>
                <w:rFonts w:ascii="Cambria" w:hAnsi="Cambria"/>
                <w:bCs/>
                <w:sz w:val="20"/>
                <w:szCs w:val="20"/>
                <w:lang w:val="es-ES"/>
              </w:rPr>
              <w:t>s</w:t>
            </w:r>
            <w:r w:rsidR="003A3214" w:rsidRPr="00B54257">
              <w:rPr>
                <w:rFonts w:ascii="Cambria" w:hAnsi="Cambria"/>
                <w:bCs/>
                <w:sz w:val="20"/>
                <w:szCs w:val="20"/>
                <w:lang w:val="es-ES"/>
              </w:rPr>
              <w:t xml:space="preserve"> 1.1 (obligación de respetar los derechos) y 2 (obligación de adoptar disposiciones de derecho interno)</w:t>
            </w:r>
            <w:r w:rsidRPr="00B54257">
              <w:rPr>
                <w:rFonts w:ascii="Cambria" w:hAnsi="Cambria"/>
                <w:bCs/>
                <w:sz w:val="20"/>
                <w:szCs w:val="20"/>
                <w:lang w:val="es-ES"/>
              </w:rPr>
              <w:t xml:space="preserve"> </w:t>
            </w:r>
          </w:p>
        </w:tc>
      </w:tr>
    </w:tbl>
    <w:p w14:paraId="176FB213" w14:textId="77777777" w:rsidR="003239B8" w:rsidRPr="00B54257" w:rsidRDefault="003239B8" w:rsidP="003239B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II.</w:t>
      </w:r>
      <w:r w:rsidRPr="00B54257">
        <w:rPr>
          <w:rFonts w:asciiTheme="majorHAnsi" w:hAnsiTheme="majorHAnsi"/>
          <w:b/>
          <w:bCs/>
          <w:sz w:val="20"/>
          <w:szCs w:val="20"/>
          <w:lang w:val="es-ES"/>
        </w:rPr>
        <w:tab/>
        <w:t>TRÁMITE ANTE LA CIDH</w:t>
      </w:r>
      <w:r w:rsidR="008E3BFE" w:rsidRPr="00B54257">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5425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B54257" w:rsidRDefault="004A6A54" w:rsidP="004A6A54">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w:t>
            </w:r>
            <w:r w:rsidR="004C2312" w:rsidRPr="00B54257">
              <w:rPr>
                <w:rFonts w:ascii="Cambria" w:hAnsi="Cambria"/>
                <w:b/>
                <w:bCs/>
                <w:color w:val="FFFFFF" w:themeColor="background1"/>
                <w:sz w:val="20"/>
                <w:szCs w:val="20"/>
                <w:lang w:val="es-ES"/>
              </w:rPr>
              <w:t>resentación de la petición:</w:t>
            </w:r>
          </w:p>
        </w:tc>
        <w:tc>
          <w:tcPr>
            <w:tcW w:w="5647" w:type="dxa"/>
            <w:vAlign w:val="center"/>
          </w:tcPr>
          <w:p w14:paraId="6883A5F8" w14:textId="528DAA09" w:rsidR="004C2312" w:rsidRPr="00B54257" w:rsidRDefault="007509A0" w:rsidP="002625EA">
            <w:pPr>
              <w:jc w:val="both"/>
              <w:rPr>
                <w:rFonts w:ascii="Cambria" w:hAnsi="Cambria"/>
                <w:bCs/>
                <w:sz w:val="20"/>
                <w:szCs w:val="20"/>
                <w:lang w:val="es-ES"/>
              </w:rPr>
            </w:pPr>
            <w:r w:rsidRPr="00B54257">
              <w:rPr>
                <w:rFonts w:ascii="Cambria" w:hAnsi="Cambria"/>
                <w:bCs/>
                <w:sz w:val="20"/>
                <w:szCs w:val="20"/>
                <w:lang w:val="es-ES"/>
              </w:rPr>
              <w:t>18 de octubre de 2012</w:t>
            </w:r>
          </w:p>
        </w:tc>
      </w:tr>
      <w:tr w:rsidR="004C2312" w:rsidRPr="00B5425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B54257" w:rsidRDefault="004A6A54" w:rsidP="004A6A54">
            <w:pPr>
              <w:jc w:val="center"/>
              <w:rPr>
                <w:rFonts w:ascii="Cambria" w:hAnsi="Cambria"/>
                <w:b/>
                <w:bCs/>
                <w:color w:val="FFFFFF" w:themeColor="background1"/>
                <w:sz w:val="20"/>
                <w:szCs w:val="20"/>
                <w:lang w:val="es-ES"/>
              </w:rPr>
            </w:pPr>
            <w:r w:rsidRPr="00B54257">
              <w:rPr>
                <w:rFonts w:ascii="Cambria" w:hAnsi="Cambria"/>
                <w:b/>
                <w:color w:val="FFFFFF" w:themeColor="background1"/>
                <w:sz w:val="20"/>
                <w:szCs w:val="20"/>
                <w:lang w:val="es-ES"/>
              </w:rPr>
              <w:t>N</w:t>
            </w:r>
            <w:r w:rsidR="004C2312" w:rsidRPr="00B54257">
              <w:rPr>
                <w:rFonts w:ascii="Cambria" w:hAnsi="Cambria"/>
                <w:b/>
                <w:color w:val="FFFFFF" w:themeColor="background1"/>
                <w:sz w:val="20"/>
                <w:szCs w:val="20"/>
                <w:lang w:val="es-ES"/>
              </w:rPr>
              <w:t>otificación de la petición al Estado:</w:t>
            </w:r>
          </w:p>
        </w:tc>
        <w:tc>
          <w:tcPr>
            <w:tcW w:w="5647" w:type="dxa"/>
            <w:vAlign w:val="center"/>
          </w:tcPr>
          <w:p w14:paraId="58485921" w14:textId="52BC7D1C" w:rsidR="004C2312" w:rsidRPr="00B54257" w:rsidRDefault="007509A0" w:rsidP="008D2290">
            <w:pPr>
              <w:jc w:val="both"/>
              <w:rPr>
                <w:rFonts w:ascii="Cambria" w:hAnsi="Cambria"/>
                <w:bCs/>
                <w:sz w:val="20"/>
                <w:szCs w:val="20"/>
                <w:lang w:val="es-ES"/>
              </w:rPr>
            </w:pPr>
            <w:r w:rsidRPr="00B54257">
              <w:rPr>
                <w:rFonts w:ascii="Cambria" w:hAnsi="Cambria"/>
                <w:bCs/>
                <w:sz w:val="20"/>
                <w:szCs w:val="20"/>
                <w:lang w:val="es-ES"/>
              </w:rPr>
              <w:t>22 de agosto de 2018</w:t>
            </w:r>
          </w:p>
        </w:tc>
      </w:tr>
      <w:tr w:rsidR="004C2312" w:rsidRPr="00B5425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B54257" w:rsidRDefault="004A6A54" w:rsidP="004A6A54">
            <w:pPr>
              <w:jc w:val="center"/>
              <w:rPr>
                <w:rFonts w:ascii="Cambria" w:hAnsi="Cambria"/>
                <w:b/>
                <w:bCs/>
                <w:color w:val="FFFFFF" w:themeColor="background1"/>
                <w:sz w:val="20"/>
                <w:szCs w:val="20"/>
                <w:lang w:val="es-ES"/>
              </w:rPr>
            </w:pPr>
            <w:r w:rsidRPr="00B54257">
              <w:rPr>
                <w:rFonts w:ascii="Cambria" w:hAnsi="Cambria"/>
                <w:b/>
                <w:color w:val="FFFFFF" w:themeColor="background1"/>
                <w:sz w:val="20"/>
                <w:szCs w:val="20"/>
                <w:lang w:val="es-ES"/>
              </w:rPr>
              <w:t>P</w:t>
            </w:r>
            <w:r w:rsidR="004C2312" w:rsidRPr="00B54257">
              <w:rPr>
                <w:rFonts w:ascii="Cambria" w:hAnsi="Cambria"/>
                <w:b/>
                <w:color w:val="FFFFFF" w:themeColor="background1"/>
                <w:sz w:val="20"/>
                <w:szCs w:val="20"/>
                <w:lang w:val="es-ES"/>
              </w:rPr>
              <w:t>rimera respuesta del Estado:</w:t>
            </w:r>
          </w:p>
        </w:tc>
        <w:tc>
          <w:tcPr>
            <w:tcW w:w="5647" w:type="dxa"/>
            <w:vAlign w:val="center"/>
          </w:tcPr>
          <w:p w14:paraId="6B47064C" w14:textId="7316BD37" w:rsidR="004C2312" w:rsidRPr="00B54257" w:rsidRDefault="007509A0" w:rsidP="008D2290">
            <w:pPr>
              <w:jc w:val="both"/>
              <w:rPr>
                <w:rFonts w:ascii="Cambria" w:hAnsi="Cambria"/>
                <w:bCs/>
                <w:sz w:val="20"/>
                <w:szCs w:val="20"/>
                <w:lang w:val="es-ES"/>
              </w:rPr>
            </w:pPr>
            <w:r w:rsidRPr="00B54257">
              <w:rPr>
                <w:rFonts w:ascii="Cambria" w:hAnsi="Cambria"/>
                <w:bCs/>
                <w:sz w:val="20"/>
                <w:szCs w:val="20"/>
                <w:lang w:val="es-ES"/>
              </w:rPr>
              <w:t>9 de abril de 2019</w:t>
            </w:r>
          </w:p>
        </w:tc>
      </w:tr>
      <w:tr w:rsidR="00F94C22" w:rsidRPr="00B54257" w14:paraId="792FB311" w14:textId="77777777" w:rsidTr="00394073">
        <w:tc>
          <w:tcPr>
            <w:tcW w:w="3600" w:type="dxa"/>
            <w:tcBorders>
              <w:top w:val="single" w:sz="6" w:space="0" w:color="auto"/>
              <w:bottom w:val="single" w:sz="6" w:space="0" w:color="auto"/>
            </w:tcBorders>
            <w:shd w:val="clear" w:color="auto" w:fill="386294"/>
            <w:vAlign w:val="center"/>
          </w:tcPr>
          <w:p w14:paraId="440A5DBA" w14:textId="0F443656" w:rsidR="00F94C22" w:rsidRPr="00B54257" w:rsidRDefault="00F94C22" w:rsidP="00DD4AD2">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Observaciones adicionales de la parte peticionaria:</w:t>
            </w:r>
          </w:p>
        </w:tc>
        <w:tc>
          <w:tcPr>
            <w:tcW w:w="5647" w:type="dxa"/>
            <w:vAlign w:val="center"/>
          </w:tcPr>
          <w:p w14:paraId="5CBA7BE4" w14:textId="45C8013B" w:rsidR="00F94C22" w:rsidRPr="00B54257" w:rsidRDefault="007509A0" w:rsidP="002625EA">
            <w:pPr>
              <w:jc w:val="both"/>
              <w:rPr>
                <w:rFonts w:ascii="Cambria" w:hAnsi="Cambria"/>
                <w:bCs/>
                <w:sz w:val="20"/>
                <w:szCs w:val="20"/>
                <w:lang w:val="es-ES"/>
              </w:rPr>
            </w:pPr>
            <w:r w:rsidRPr="00B54257">
              <w:rPr>
                <w:rFonts w:ascii="Cambria" w:hAnsi="Cambria"/>
                <w:bCs/>
                <w:sz w:val="20"/>
                <w:szCs w:val="20"/>
                <w:lang w:val="es-ES"/>
              </w:rPr>
              <w:t>4 de junio de 2020</w:t>
            </w:r>
          </w:p>
        </w:tc>
      </w:tr>
      <w:tr w:rsidR="00F94C22" w:rsidRPr="00B54257" w14:paraId="2147CCF3" w14:textId="77777777" w:rsidTr="00394073">
        <w:tc>
          <w:tcPr>
            <w:tcW w:w="3600" w:type="dxa"/>
            <w:tcBorders>
              <w:top w:val="single" w:sz="6" w:space="0" w:color="auto"/>
              <w:bottom w:val="single" w:sz="6" w:space="0" w:color="auto"/>
            </w:tcBorders>
            <w:shd w:val="clear" w:color="auto" w:fill="386294"/>
            <w:vAlign w:val="center"/>
          </w:tcPr>
          <w:p w14:paraId="39C0A0AC" w14:textId="74D944FF" w:rsidR="00F94C22" w:rsidRPr="00B54257" w:rsidRDefault="00F94C22" w:rsidP="00F94C22">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Observaciones adicionales del Estado:</w:t>
            </w:r>
          </w:p>
        </w:tc>
        <w:tc>
          <w:tcPr>
            <w:tcW w:w="5647" w:type="dxa"/>
            <w:vAlign w:val="center"/>
          </w:tcPr>
          <w:p w14:paraId="2DE0B9E2" w14:textId="1A8C58FF" w:rsidR="00F94C22" w:rsidRPr="00B54257" w:rsidRDefault="007509A0" w:rsidP="002625EA">
            <w:pPr>
              <w:jc w:val="both"/>
              <w:rPr>
                <w:rFonts w:ascii="Cambria" w:hAnsi="Cambria"/>
                <w:bCs/>
                <w:sz w:val="20"/>
                <w:szCs w:val="20"/>
                <w:lang w:val="es-ES"/>
              </w:rPr>
            </w:pPr>
            <w:r w:rsidRPr="00B54257">
              <w:rPr>
                <w:rFonts w:ascii="Cambria" w:hAnsi="Cambria"/>
                <w:bCs/>
                <w:sz w:val="20"/>
                <w:szCs w:val="20"/>
                <w:lang w:val="es-ES"/>
              </w:rPr>
              <w:t>20 de octubre de 2021</w:t>
            </w:r>
          </w:p>
        </w:tc>
      </w:tr>
      <w:tr w:rsidR="001E49E7" w:rsidRPr="00B5425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B54257" w:rsidRDefault="004A6A54" w:rsidP="00DD4AD2">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A</w:t>
            </w:r>
            <w:r w:rsidR="001E49E7" w:rsidRPr="00B54257">
              <w:rPr>
                <w:rFonts w:ascii="Cambria" w:hAnsi="Cambria"/>
                <w:b/>
                <w:bCs/>
                <w:color w:val="FFFFFF" w:themeColor="background1"/>
                <w:sz w:val="20"/>
                <w:szCs w:val="20"/>
                <w:lang w:val="es-ES"/>
              </w:rPr>
              <w:t>dvertencia sobre posible archivo:</w:t>
            </w:r>
          </w:p>
        </w:tc>
        <w:tc>
          <w:tcPr>
            <w:tcW w:w="5647" w:type="dxa"/>
            <w:vAlign w:val="center"/>
          </w:tcPr>
          <w:p w14:paraId="48CA2CFB" w14:textId="5BFA0A99" w:rsidR="001E49E7" w:rsidRPr="00B54257" w:rsidRDefault="007509A0" w:rsidP="002625EA">
            <w:pPr>
              <w:jc w:val="both"/>
              <w:rPr>
                <w:rFonts w:ascii="Cambria" w:hAnsi="Cambria"/>
                <w:bCs/>
                <w:sz w:val="20"/>
                <w:szCs w:val="20"/>
                <w:lang w:val="es-ES"/>
              </w:rPr>
            </w:pPr>
            <w:r w:rsidRPr="00B54257">
              <w:rPr>
                <w:rFonts w:ascii="Cambria" w:hAnsi="Cambria"/>
                <w:bCs/>
                <w:sz w:val="20"/>
                <w:szCs w:val="20"/>
                <w:lang w:val="es-ES"/>
              </w:rPr>
              <w:t>25 de mayo de 2022</w:t>
            </w:r>
          </w:p>
        </w:tc>
      </w:tr>
      <w:tr w:rsidR="001E49E7" w:rsidRPr="00B54257"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B54257" w:rsidRDefault="004A6A54" w:rsidP="004A6A54">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R</w:t>
            </w:r>
            <w:r w:rsidR="001E49E7" w:rsidRPr="00B54257">
              <w:rPr>
                <w:rFonts w:ascii="Cambria" w:hAnsi="Cambria"/>
                <w:b/>
                <w:bCs/>
                <w:color w:val="FFFFFF" w:themeColor="background1"/>
                <w:sz w:val="20"/>
                <w:szCs w:val="20"/>
                <w:lang w:val="es-ES"/>
              </w:rPr>
              <w:t xml:space="preserve">espuesta de la parte peticionaria ante advertencia </w:t>
            </w:r>
            <w:r w:rsidR="00DD4AD2" w:rsidRPr="00B54257">
              <w:rPr>
                <w:rFonts w:ascii="Cambria" w:hAnsi="Cambria"/>
                <w:b/>
                <w:bCs/>
                <w:color w:val="FFFFFF" w:themeColor="background1"/>
                <w:sz w:val="20"/>
                <w:szCs w:val="20"/>
                <w:lang w:val="es-ES"/>
              </w:rPr>
              <w:t xml:space="preserve">de </w:t>
            </w:r>
            <w:r w:rsidR="001E49E7" w:rsidRPr="00B54257">
              <w:rPr>
                <w:rFonts w:ascii="Cambria" w:hAnsi="Cambria"/>
                <w:b/>
                <w:bCs/>
                <w:color w:val="FFFFFF" w:themeColor="background1"/>
                <w:sz w:val="20"/>
                <w:szCs w:val="20"/>
                <w:lang w:val="es-ES"/>
              </w:rPr>
              <w:t>posible archivo:</w:t>
            </w:r>
          </w:p>
        </w:tc>
        <w:tc>
          <w:tcPr>
            <w:tcW w:w="5647" w:type="dxa"/>
            <w:vAlign w:val="center"/>
          </w:tcPr>
          <w:p w14:paraId="6E85D194" w14:textId="04116808" w:rsidR="006B5E12" w:rsidRPr="00B54257" w:rsidRDefault="007509A0" w:rsidP="002625EA">
            <w:pPr>
              <w:jc w:val="both"/>
              <w:rPr>
                <w:rFonts w:ascii="Cambria" w:hAnsi="Cambria"/>
                <w:bCs/>
                <w:sz w:val="20"/>
                <w:szCs w:val="20"/>
                <w:lang w:val="es-ES"/>
              </w:rPr>
            </w:pPr>
            <w:r w:rsidRPr="00B54257">
              <w:rPr>
                <w:rFonts w:ascii="Cambria" w:hAnsi="Cambria"/>
                <w:bCs/>
                <w:sz w:val="20"/>
                <w:szCs w:val="20"/>
                <w:lang w:val="es-ES"/>
              </w:rPr>
              <w:t>15 de junio de 2022</w:t>
            </w:r>
          </w:p>
        </w:tc>
      </w:tr>
    </w:tbl>
    <w:p w14:paraId="0FC6E9E8" w14:textId="77777777" w:rsidR="003239B8" w:rsidRPr="00B54257" w:rsidRDefault="003239B8" w:rsidP="003239B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 xml:space="preserve">III. </w:t>
      </w:r>
      <w:r w:rsidRPr="00B54257">
        <w:rPr>
          <w:rFonts w:asciiTheme="majorHAnsi" w:hAnsiTheme="majorHAnsi"/>
          <w:b/>
          <w:bCs/>
          <w:sz w:val="20"/>
          <w:szCs w:val="20"/>
          <w:lang w:val="es-ES"/>
        </w:rPr>
        <w:tab/>
        <w:t>COMPETENCIA</w:t>
      </w:r>
      <w:r w:rsidR="00EE00E9" w:rsidRPr="00B5425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5425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54257" w:rsidRDefault="003239B8" w:rsidP="008D2290">
            <w:pPr>
              <w:jc w:val="center"/>
              <w:rPr>
                <w:rFonts w:ascii="Cambria" w:hAnsi="Cambria"/>
                <w:b/>
                <w:bCs/>
                <w:i/>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w:t>
            </w:r>
            <w:r w:rsidR="003A5C21" w:rsidRPr="00B54257">
              <w:rPr>
                <w:rFonts w:ascii="Cambria" w:hAnsi="Cambria"/>
                <w:bCs/>
                <w:sz w:val="20"/>
                <w:szCs w:val="20"/>
                <w:lang w:val="es-ES"/>
              </w:rPr>
              <w:t>í</w:t>
            </w:r>
          </w:p>
        </w:tc>
      </w:tr>
      <w:tr w:rsidR="003239B8" w:rsidRPr="00B5425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loci</w:t>
            </w:r>
            <w:r w:rsidRPr="00B54257">
              <w:rPr>
                <w:rFonts w:ascii="Cambria" w:hAnsi="Cambria"/>
                <w:b/>
                <w:bCs/>
                <w:color w:val="FFFFFF" w:themeColor="background1"/>
                <w:sz w:val="20"/>
                <w:szCs w:val="20"/>
                <w:lang w:val="es-ES"/>
              </w:rPr>
              <w:t>:</w:t>
            </w:r>
          </w:p>
        </w:tc>
        <w:tc>
          <w:tcPr>
            <w:tcW w:w="5760" w:type="dxa"/>
            <w:vAlign w:val="center"/>
          </w:tcPr>
          <w:p w14:paraId="77C8256A" w14:textId="1C5BA74B"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Sí</w:t>
            </w:r>
          </w:p>
        </w:tc>
      </w:tr>
      <w:tr w:rsidR="003239B8" w:rsidRPr="00B5425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temporis</w:t>
            </w:r>
            <w:r w:rsidRPr="00B54257">
              <w:rPr>
                <w:rFonts w:ascii="Cambria" w:hAnsi="Cambria"/>
                <w:b/>
                <w:bCs/>
                <w:color w:val="FFFFFF" w:themeColor="background1"/>
                <w:sz w:val="20"/>
                <w:szCs w:val="20"/>
                <w:lang w:val="es-ES"/>
              </w:rPr>
              <w:t>:</w:t>
            </w:r>
          </w:p>
        </w:tc>
        <w:tc>
          <w:tcPr>
            <w:tcW w:w="5760" w:type="dxa"/>
            <w:vAlign w:val="center"/>
          </w:tcPr>
          <w:p w14:paraId="523F6BD6" w14:textId="07E41812" w:rsidR="003239B8" w:rsidRPr="00B54257" w:rsidRDefault="003F7558" w:rsidP="008D2290">
            <w:pPr>
              <w:rPr>
                <w:rFonts w:ascii="Cambria" w:hAnsi="Cambria"/>
                <w:bCs/>
                <w:sz w:val="20"/>
                <w:szCs w:val="20"/>
                <w:lang w:val="es-ES"/>
              </w:rPr>
            </w:pPr>
            <w:r w:rsidRPr="00B54257">
              <w:rPr>
                <w:rFonts w:ascii="Cambria" w:hAnsi="Cambria"/>
                <w:bCs/>
                <w:sz w:val="20"/>
                <w:szCs w:val="20"/>
                <w:lang w:val="es-ES"/>
              </w:rPr>
              <w:t>Sí</w:t>
            </w:r>
          </w:p>
        </w:tc>
      </w:tr>
      <w:tr w:rsidR="003239B8" w:rsidRPr="00E9555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Competencia</w:t>
            </w:r>
            <w:r w:rsidRPr="00B54257">
              <w:rPr>
                <w:rFonts w:ascii="Cambria" w:hAnsi="Cambria"/>
                <w:b/>
                <w:bCs/>
                <w:i/>
                <w:color w:val="FFFFFF" w:themeColor="background1"/>
                <w:sz w:val="20"/>
                <w:szCs w:val="20"/>
                <w:lang w:val="es-ES"/>
              </w:rPr>
              <w:t xml:space="preserve"> Ratione materia</w:t>
            </w:r>
            <w:r w:rsidR="00EE00E9" w:rsidRPr="00B54257">
              <w:rPr>
                <w:rFonts w:ascii="Cambria" w:hAnsi="Cambria"/>
                <w:b/>
                <w:bCs/>
                <w:i/>
                <w:color w:val="FFFFFF" w:themeColor="background1"/>
                <w:sz w:val="20"/>
                <w:szCs w:val="20"/>
                <w:lang w:val="es-ES"/>
              </w:rPr>
              <w:t>e</w:t>
            </w:r>
            <w:r w:rsidRPr="00B54257">
              <w:rPr>
                <w:rFonts w:ascii="Cambria" w:hAnsi="Cambria"/>
                <w:b/>
                <w:bCs/>
                <w:color w:val="FFFFFF" w:themeColor="background1"/>
                <w:sz w:val="20"/>
                <w:szCs w:val="20"/>
                <w:lang w:val="es-ES"/>
              </w:rPr>
              <w:t>:</w:t>
            </w:r>
          </w:p>
        </w:tc>
        <w:tc>
          <w:tcPr>
            <w:tcW w:w="5760" w:type="dxa"/>
            <w:vAlign w:val="center"/>
          </w:tcPr>
          <w:p w14:paraId="257C8337" w14:textId="5663496E" w:rsidR="003239B8" w:rsidRPr="00B54257" w:rsidRDefault="003F7558" w:rsidP="008D2290">
            <w:pPr>
              <w:jc w:val="both"/>
              <w:rPr>
                <w:rFonts w:ascii="Cambria" w:hAnsi="Cambria"/>
                <w:bCs/>
                <w:sz w:val="20"/>
                <w:szCs w:val="20"/>
                <w:lang w:val="es-ES"/>
              </w:rPr>
            </w:pPr>
            <w:r w:rsidRPr="00B54257">
              <w:rPr>
                <w:rFonts w:ascii="Cambria" w:hAnsi="Cambria"/>
                <w:bCs/>
                <w:sz w:val="20"/>
                <w:szCs w:val="20"/>
                <w:lang w:val="es-ES"/>
              </w:rPr>
              <w:t>Sí</w:t>
            </w:r>
            <w:r w:rsidR="0094295F" w:rsidRPr="00B54257">
              <w:rPr>
                <w:rFonts w:ascii="Cambria" w:hAnsi="Cambria"/>
                <w:bCs/>
                <w:sz w:val="20"/>
                <w:szCs w:val="20"/>
                <w:lang w:val="es-ES"/>
              </w:rPr>
              <w:t xml:space="preserve"> </w:t>
            </w:r>
            <w:r w:rsidRPr="00B54257">
              <w:rPr>
                <w:rFonts w:ascii="Cambria" w:hAnsi="Cambria"/>
                <w:bCs/>
                <w:sz w:val="20"/>
                <w:szCs w:val="20"/>
                <w:lang w:val="es-ES"/>
              </w:rPr>
              <w:t xml:space="preserve">Convención Americana </w:t>
            </w:r>
            <w:r w:rsidR="0094295F" w:rsidRPr="00B54257">
              <w:rPr>
                <w:rFonts w:ascii="Cambria" w:hAnsi="Cambria"/>
                <w:bCs/>
                <w:sz w:val="20"/>
                <w:szCs w:val="20"/>
                <w:lang w:val="es-ES"/>
              </w:rPr>
              <w:t>(</w:t>
            </w:r>
            <w:r w:rsidRPr="00B54257">
              <w:rPr>
                <w:rFonts w:ascii="Cambria" w:hAnsi="Cambria"/>
                <w:bCs/>
                <w:sz w:val="20"/>
                <w:szCs w:val="20"/>
                <w:lang w:val="es-ES"/>
              </w:rPr>
              <w:t>depósito del instrumento de ratificación el 31 de julio de 1973)</w:t>
            </w:r>
            <w:r w:rsidR="0094295F" w:rsidRPr="00B54257">
              <w:rPr>
                <w:rFonts w:ascii="Cambria" w:hAnsi="Cambria"/>
                <w:bCs/>
                <w:sz w:val="20"/>
                <w:szCs w:val="20"/>
                <w:lang w:val="es-ES"/>
              </w:rPr>
              <w:t xml:space="preserve"> </w:t>
            </w:r>
          </w:p>
        </w:tc>
      </w:tr>
    </w:tbl>
    <w:p w14:paraId="299A3868" w14:textId="6EF36770" w:rsidR="003239B8" w:rsidRPr="00B54257" w:rsidRDefault="003239B8" w:rsidP="00DD1318">
      <w:pPr>
        <w:spacing w:before="240" w:after="240"/>
        <w:ind w:firstLine="720"/>
        <w:jc w:val="both"/>
        <w:rPr>
          <w:rFonts w:asciiTheme="majorHAnsi" w:hAnsiTheme="majorHAnsi"/>
          <w:b/>
          <w:bCs/>
          <w:sz w:val="20"/>
          <w:szCs w:val="20"/>
          <w:lang w:val="es-ES"/>
        </w:rPr>
      </w:pPr>
      <w:r w:rsidRPr="00B54257">
        <w:rPr>
          <w:rFonts w:asciiTheme="majorHAnsi" w:hAnsiTheme="majorHAnsi"/>
          <w:b/>
          <w:bCs/>
          <w:sz w:val="20"/>
          <w:szCs w:val="20"/>
          <w:lang w:val="es-ES"/>
        </w:rPr>
        <w:t xml:space="preserve">IV. </w:t>
      </w:r>
      <w:r w:rsidRPr="00B54257">
        <w:rPr>
          <w:rFonts w:asciiTheme="majorHAnsi" w:hAnsiTheme="majorHAnsi"/>
          <w:b/>
          <w:bCs/>
          <w:sz w:val="20"/>
          <w:szCs w:val="20"/>
          <w:lang w:val="es-ES"/>
        </w:rPr>
        <w:tab/>
      </w:r>
      <w:r w:rsidR="00EE00E9" w:rsidRPr="00B54257">
        <w:rPr>
          <w:rFonts w:asciiTheme="majorHAnsi" w:hAnsiTheme="majorHAnsi"/>
          <w:b/>
          <w:bCs/>
          <w:sz w:val="20"/>
          <w:szCs w:val="20"/>
          <w:lang w:val="es-ES"/>
        </w:rPr>
        <w:t>DUPLICACIÓN</w:t>
      </w:r>
      <w:r w:rsidR="00EE00E9" w:rsidRPr="00B54257">
        <w:rPr>
          <w:rFonts w:asciiTheme="majorHAnsi" w:hAnsiTheme="majorHAnsi"/>
          <w:b/>
          <w:bCs/>
          <w:color w:val="FFFFFF" w:themeColor="background1"/>
          <w:sz w:val="20"/>
          <w:szCs w:val="20"/>
          <w:lang w:val="es-ES"/>
        </w:rPr>
        <w:t xml:space="preserve"> </w:t>
      </w:r>
      <w:r w:rsidR="00EE00E9" w:rsidRPr="00B54257">
        <w:rPr>
          <w:rFonts w:asciiTheme="majorHAnsi" w:hAnsiTheme="majorHAnsi"/>
          <w:b/>
          <w:bCs/>
          <w:sz w:val="20"/>
          <w:szCs w:val="20"/>
          <w:lang w:val="es-ES"/>
        </w:rPr>
        <w:t>DE PROCEDIMIENTOS Y COSA JUZGADA</w:t>
      </w:r>
      <w:r w:rsidR="00EE00E9" w:rsidRPr="00B54257">
        <w:rPr>
          <w:rFonts w:asciiTheme="majorHAnsi" w:hAnsiTheme="majorHAnsi"/>
          <w:b/>
          <w:bCs/>
          <w:i/>
          <w:sz w:val="20"/>
          <w:szCs w:val="20"/>
          <w:lang w:val="es-ES"/>
        </w:rPr>
        <w:t xml:space="preserve"> </w:t>
      </w:r>
      <w:r w:rsidR="00EE00E9" w:rsidRPr="00B54257">
        <w:rPr>
          <w:rFonts w:asciiTheme="majorHAnsi" w:hAnsiTheme="majorHAnsi"/>
          <w:b/>
          <w:bCs/>
          <w:sz w:val="20"/>
          <w:szCs w:val="20"/>
          <w:lang w:val="es-ES"/>
        </w:rPr>
        <w:t>INTERNACIONAL,</w:t>
      </w:r>
      <w:r w:rsidRPr="00B54257">
        <w:rPr>
          <w:rFonts w:asciiTheme="majorHAnsi" w:hAnsiTheme="majorHAnsi"/>
          <w:b/>
          <w:bCs/>
          <w:sz w:val="20"/>
          <w:szCs w:val="20"/>
          <w:lang w:val="es-ES"/>
        </w:rPr>
        <w:t xml:space="preserve"> CARACTERIZACIÓN, </w:t>
      </w:r>
      <w:r w:rsidRPr="00B5425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B5425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B54257" w:rsidRDefault="00EE00E9"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B54257" w:rsidRDefault="003A5C21" w:rsidP="008D2290">
            <w:pPr>
              <w:jc w:val="both"/>
              <w:rPr>
                <w:rFonts w:ascii="Cambria" w:hAnsi="Cambria"/>
                <w:bCs/>
                <w:sz w:val="20"/>
                <w:szCs w:val="20"/>
                <w:lang w:val="es-ES"/>
              </w:rPr>
            </w:pPr>
            <w:r w:rsidRPr="00B54257">
              <w:rPr>
                <w:rFonts w:ascii="Cambria" w:hAnsi="Cambria"/>
                <w:bCs/>
                <w:sz w:val="20"/>
                <w:szCs w:val="20"/>
                <w:lang w:val="es-ES"/>
              </w:rPr>
              <w:t>No</w:t>
            </w:r>
          </w:p>
        </w:tc>
      </w:tr>
      <w:tr w:rsidR="003239B8" w:rsidRPr="00E9555B"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B54257" w:rsidRDefault="003239B8" w:rsidP="008D2290">
            <w:pPr>
              <w:jc w:val="center"/>
              <w:rPr>
                <w:rFonts w:ascii="Cambria" w:hAnsi="Cambria"/>
                <w:b/>
                <w:bCs/>
                <w:i/>
                <w:color w:val="FFFFFF" w:themeColor="background1"/>
                <w:sz w:val="20"/>
                <w:szCs w:val="20"/>
                <w:lang w:val="es-ES"/>
              </w:rPr>
            </w:pPr>
            <w:r w:rsidRPr="00B54257">
              <w:rPr>
                <w:rFonts w:ascii="Cambria" w:hAnsi="Cambria"/>
                <w:b/>
                <w:bCs/>
                <w:color w:val="FFFFFF" w:themeColor="background1"/>
                <w:sz w:val="20"/>
                <w:szCs w:val="20"/>
                <w:lang w:val="es-ES"/>
              </w:rPr>
              <w:t>Derechos declarados admisibles</w:t>
            </w:r>
            <w:r w:rsidRPr="00B54257">
              <w:rPr>
                <w:rFonts w:ascii="Cambria" w:hAnsi="Cambria"/>
                <w:b/>
                <w:bCs/>
                <w:i/>
                <w:color w:val="FFFFFF" w:themeColor="background1"/>
                <w:sz w:val="20"/>
                <w:szCs w:val="20"/>
                <w:lang w:val="es-ES"/>
              </w:rPr>
              <w:t>:</w:t>
            </w:r>
          </w:p>
        </w:tc>
        <w:tc>
          <w:tcPr>
            <w:tcW w:w="5760" w:type="dxa"/>
            <w:vAlign w:val="center"/>
          </w:tcPr>
          <w:p w14:paraId="4DAE9D4D" w14:textId="68470CA5" w:rsidR="003239B8" w:rsidRPr="00B54257" w:rsidRDefault="0016740F" w:rsidP="008D2290">
            <w:pPr>
              <w:jc w:val="both"/>
              <w:rPr>
                <w:rFonts w:ascii="Cambria" w:hAnsi="Cambria"/>
                <w:bCs/>
                <w:color w:val="000000" w:themeColor="text1"/>
                <w:sz w:val="20"/>
                <w:szCs w:val="20"/>
                <w:lang w:val="es-ES"/>
              </w:rPr>
            </w:pPr>
            <w:r w:rsidRPr="00B54257">
              <w:rPr>
                <w:rFonts w:ascii="Cambria" w:hAnsi="Cambria"/>
                <w:bCs/>
                <w:sz w:val="19"/>
                <w:szCs w:val="19"/>
                <w:lang w:val="es-ES"/>
              </w:rPr>
              <w:t xml:space="preserve">Artículos </w:t>
            </w:r>
            <w:r w:rsidR="00391865" w:rsidRPr="00B54257">
              <w:rPr>
                <w:rFonts w:ascii="Cambria" w:hAnsi="Cambria"/>
                <w:bCs/>
                <w:sz w:val="19"/>
                <w:szCs w:val="19"/>
                <w:lang w:val="es-ES"/>
              </w:rPr>
              <w:t xml:space="preserve">5 (integridad personal), </w:t>
            </w:r>
            <w:r w:rsidR="00D02EA7" w:rsidRPr="00B54257">
              <w:rPr>
                <w:rFonts w:ascii="Cambria" w:hAnsi="Cambria"/>
                <w:bCs/>
                <w:color w:val="000000" w:themeColor="text1"/>
                <w:sz w:val="20"/>
                <w:szCs w:val="20"/>
                <w:lang w:val="es-ES"/>
              </w:rPr>
              <w:t>8 (garantías judiciales)</w:t>
            </w:r>
            <w:r w:rsidR="00270307" w:rsidRPr="00B54257">
              <w:rPr>
                <w:rFonts w:ascii="Cambria" w:hAnsi="Cambria"/>
                <w:bCs/>
                <w:color w:val="000000" w:themeColor="text1"/>
                <w:sz w:val="20"/>
                <w:szCs w:val="20"/>
                <w:lang w:val="es-ES"/>
              </w:rPr>
              <w:t xml:space="preserve"> </w:t>
            </w:r>
            <w:r w:rsidR="00426D82" w:rsidRPr="00B54257">
              <w:rPr>
                <w:rFonts w:ascii="Cambria" w:hAnsi="Cambria"/>
                <w:bCs/>
                <w:color w:val="000000" w:themeColor="text1"/>
                <w:sz w:val="20"/>
                <w:szCs w:val="20"/>
                <w:lang w:val="es-ES"/>
              </w:rPr>
              <w:t>y</w:t>
            </w:r>
            <w:r w:rsidR="00D02EA7" w:rsidRPr="00B54257">
              <w:rPr>
                <w:rFonts w:ascii="Cambria" w:hAnsi="Cambria"/>
                <w:bCs/>
                <w:color w:val="000000" w:themeColor="text1"/>
                <w:sz w:val="20"/>
                <w:szCs w:val="20"/>
                <w:lang w:val="es-ES"/>
              </w:rPr>
              <w:t xml:space="preserve"> 25 (protección judicial)</w:t>
            </w:r>
            <w:r w:rsidR="00C7664C" w:rsidRPr="00B54257">
              <w:rPr>
                <w:rFonts w:ascii="Cambria" w:hAnsi="Cambria"/>
                <w:bCs/>
                <w:color w:val="000000" w:themeColor="text1"/>
                <w:sz w:val="20"/>
                <w:szCs w:val="20"/>
                <w:lang w:val="es-ES"/>
              </w:rPr>
              <w:t xml:space="preserve"> </w:t>
            </w:r>
            <w:r w:rsidR="00D02EA7" w:rsidRPr="00B54257">
              <w:rPr>
                <w:rFonts w:ascii="Cambria" w:hAnsi="Cambria"/>
                <w:bCs/>
                <w:color w:val="000000" w:themeColor="text1"/>
                <w:sz w:val="20"/>
                <w:szCs w:val="20"/>
                <w:lang w:val="es-ES"/>
              </w:rPr>
              <w:t>de la Convención Americana en relación con su</w:t>
            </w:r>
            <w:r w:rsidR="00FD46FB" w:rsidRPr="00B54257">
              <w:rPr>
                <w:rFonts w:ascii="Cambria" w:hAnsi="Cambria"/>
                <w:bCs/>
                <w:color w:val="000000" w:themeColor="text1"/>
                <w:sz w:val="20"/>
                <w:szCs w:val="20"/>
                <w:lang w:val="es-ES"/>
              </w:rPr>
              <w:t>s</w:t>
            </w:r>
            <w:r w:rsidR="00D02EA7" w:rsidRPr="00B54257">
              <w:rPr>
                <w:rFonts w:ascii="Cambria" w:hAnsi="Cambria"/>
                <w:bCs/>
                <w:color w:val="000000" w:themeColor="text1"/>
                <w:sz w:val="20"/>
                <w:szCs w:val="20"/>
                <w:lang w:val="es-ES"/>
              </w:rPr>
              <w:t xml:space="preserve"> artículo</w:t>
            </w:r>
            <w:r w:rsidR="00FD46FB" w:rsidRPr="00B54257">
              <w:rPr>
                <w:rFonts w:ascii="Cambria" w:hAnsi="Cambria"/>
                <w:bCs/>
                <w:color w:val="000000" w:themeColor="text1"/>
                <w:sz w:val="20"/>
                <w:szCs w:val="20"/>
                <w:lang w:val="es-ES"/>
              </w:rPr>
              <w:t>s</w:t>
            </w:r>
            <w:r w:rsidR="00D02EA7" w:rsidRPr="00B54257">
              <w:rPr>
                <w:rFonts w:ascii="Cambria" w:hAnsi="Cambria"/>
                <w:bCs/>
                <w:color w:val="000000" w:themeColor="text1"/>
                <w:sz w:val="20"/>
                <w:szCs w:val="20"/>
                <w:lang w:val="es-ES"/>
              </w:rPr>
              <w:t xml:space="preserve"> 1.1 (obligación de respetar los derechos)</w:t>
            </w:r>
            <w:r w:rsidR="00FD46FB" w:rsidRPr="00B54257">
              <w:rPr>
                <w:rFonts w:ascii="Cambria" w:hAnsi="Cambria"/>
                <w:bCs/>
                <w:color w:val="000000" w:themeColor="text1"/>
                <w:sz w:val="20"/>
                <w:szCs w:val="20"/>
                <w:lang w:val="es-ES"/>
              </w:rPr>
              <w:t xml:space="preserve"> </w:t>
            </w:r>
            <w:r w:rsidR="00FD46FB" w:rsidRPr="00B54257">
              <w:rPr>
                <w:rFonts w:ascii="Cambria" w:hAnsi="Cambria"/>
                <w:bCs/>
                <w:sz w:val="20"/>
                <w:szCs w:val="20"/>
                <w:lang w:val="es-ES"/>
              </w:rPr>
              <w:t>y 2 (obligación de adoptar disposiciones de derecho interno)</w:t>
            </w:r>
          </w:p>
        </w:tc>
      </w:tr>
      <w:tr w:rsidR="003239B8" w:rsidRPr="00E9555B"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Agotamiento de recursos internos</w:t>
            </w:r>
            <w:r w:rsidR="00EE00E9" w:rsidRPr="00B54257">
              <w:rPr>
                <w:rFonts w:ascii="Cambria" w:hAnsi="Cambria"/>
                <w:b/>
                <w:bCs/>
                <w:color w:val="FFFFFF" w:themeColor="background1"/>
                <w:sz w:val="20"/>
                <w:szCs w:val="20"/>
                <w:lang w:val="es-ES"/>
              </w:rPr>
              <w:t xml:space="preserve"> o procedencia de una excepción</w:t>
            </w:r>
            <w:r w:rsidRPr="00B54257">
              <w:rPr>
                <w:rFonts w:ascii="Cambria" w:hAnsi="Cambria"/>
                <w:b/>
                <w:bCs/>
                <w:color w:val="FFFFFF" w:themeColor="background1"/>
                <w:sz w:val="20"/>
                <w:szCs w:val="20"/>
                <w:lang w:val="es-ES"/>
              </w:rPr>
              <w:t>:</w:t>
            </w:r>
          </w:p>
        </w:tc>
        <w:tc>
          <w:tcPr>
            <w:tcW w:w="5760" w:type="dxa"/>
            <w:vAlign w:val="center"/>
          </w:tcPr>
          <w:p w14:paraId="7F7C1A19" w14:textId="2B241874" w:rsidR="003239B8" w:rsidRPr="00D46367" w:rsidRDefault="003A5C21" w:rsidP="008D2290">
            <w:pPr>
              <w:rPr>
                <w:rFonts w:ascii="Cambria" w:hAnsi="Cambria"/>
                <w:bCs/>
                <w:sz w:val="20"/>
                <w:szCs w:val="20"/>
                <w:highlight w:val="yellow"/>
                <w:lang w:val="es-ES"/>
              </w:rPr>
            </w:pPr>
            <w:r w:rsidRPr="00A36098">
              <w:rPr>
                <w:rFonts w:ascii="Cambria" w:hAnsi="Cambria"/>
                <w:bCs/>
                <w:sz w:val="20"/>
                <w:szCs w:val="20"/>
                <w:lang w:val="es-ES"/>
              </w:rPr>
              <w:t>Sí</w:t>
            </w:r>
            <w:r w:rsidR="00BB3291" w:rsidRPr="00A36098">
              <w:rPr>
                <w:rFonts w:ascii="Cambria" w:hAnsi="Cambria"/>
                <w:bCs/>
                <w:sz w:val="20"/>
                <w:szCs w:val="20"/>
                <w:lang w:val="es-ES"/>
              </w:rPr>
              <w:t xml:space="preserve">, </w:t>
            </w:r>
            <w:r w:rsidR="001A38A8" w:rsidRPr="00A36098">
              <w:rPr>
                <w:rFonts w:ascii="Cambria" w:hAnsi="Cambria"/>
                <w:bCs/>
                <w:sz w:val="20"/>
                <w:szCs w:val="20"/>
                <w:lang w:val="es-ES"/>
              </w:rPr>
              <w:t xml:space="preserve">el </w:t>
            </w:r>
            <w:r w:rsidR="001A38A8" w:rsidRPr="00A36098">
              <w:rPr>
                <w:rFonts w:ascii="Cambria" w:hAnsi="Cambria"/>
                <w:bCs/>
                <w:sz w:val="20"/>
                <w:szCs w:val="20"/>
                <w:lang w:val="es-ES_tradnl"/>
              </w:rPr>
              <w:t>23 de mayo de 2012</w:t>
            </w:r>
          </w:p>
        </w:tc>
      </w:tr>
      <w:tr w:rsidR="003239B8" w:rsidRPr="001A38A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B54257" w:rsidRDefault="003239B8" w:rsidP="008D2290">
            <w:pPr>
              <w:jc w:val="center"/>
              <w:rPr>
                <w:rFonts w:ascii="Cambria" w:hAnsi="Cambria"/>
                <w:b/>
                <w:bCs/>
                <w:color w:val="FFFFFF" w:themeColor="background1"/>
                <w:sz w:val="20"/>
                <w:szCs w:val="20"/>
                <w:lang w:val="es-ES"/>
              </w:rPr>
            </w:pPr>
            <w:r w:rsidRPr="00B54257">
              <w:rPr>
                <w:rFonts w:ascii="Cambria" w:hAnsi="Cambria"/>
                <w:b/>
                <w:bCs/>
                <w:color w:val="FFFFFF" w:themeColor="background1"/>
                <w:sz w:val="20"/>
                <w:szCs w:val="20"/>
                <w:lang w:val="es-ES"/>
              </w:rPr>
              <w:t>Presentación dentro de plazo:</w:t>
            </w:r>
          </w:p>
        </w:tc>
        <w:tc>
          <w:tcPr>
            <w:tcW w:w="5760" w:type="dxa"/>
            <w:vAlign w:val="center"/>
          </w:tcPr>
          <w:p w14:paraId="2AF0FC69" w14:textId="64726050" w:rsidR="003239B8" w:rsidRPr="00D46367" w:rsidRDefault="00C92EB0" w:rsidP="008D2290">
            <w:pPr>
              <w:rPr>
                <w:rFonts w:ascii="Cambria" w:hAnsi="Cambria"/>
                <w:bCs/>
                <w:sz w:val="20"/>
                <w:szCs w:val="20"/>
                <w:highlight w:val="yellow"/>
                <w:lang w:val="es-ES"/>
              </w:rPr>
            </w:pPr>
            <w:r w:rsidRPr="00A36098">
              <w:rPr>
                <w:rFonts w:ascii="Cambria" w:hAnsi="Cambria"/>
                <w:bCs/>
                <w:sz w:val="20"/>
                <w:szCs w:val="20"/>
                <w:lang w:val="es-ES"/>
              </w:rPr>
              <w:t>Sí</w:t>
            </w:r>
            <w:r w:rsidR="00BB3291" w:rsidRPr="00A36098">
              <w:rPr>
                <w:rFonts w:ascii="Cambria" w:hAnsi="Cambria"/>
                <w:bCs/>
                <w:sz w:val="20"/>
                <w:szCs w:val="20"/>
                <w:lang w:val="es-ES"/>
              </w:rPr>
              <w:t xml:space="preserve">, </w:t>
            </w:r>
            <w:r w:rsidR="001A38A8" w:rsidRPr="00A36098">
              <w:rPr>
                <w:rFonts w:ascii="Cambria" w:hAnsi="Cambria"/>
                <w:bCs/>
                <w:sz w:val="20"/>
                <w:szCs w:val="20"/>
                <w:lang w:val="es-ES"/>
              </w:rPr>
              <w:t>18 de octubre de 2012</w:t>
            </w:r>
          </w:p>
        </w:tc>
      </w:tr>
    </w:tbl>
    <w:p w14:paraId="574CAF07" w14:textId="77777777" w:rsidR="00AF2B10" w:rsidRDefault="00AF2B10" w:rsidP="009F3EDF">
      <w:pPr>
        <w:spacing w:before="240" w:after="240"/>
        <w:ind w:firstLine="720"/>
        <w:jc w:val="both"/>
        <w:rPr>
          <w:rFonts w:asciiTheme="majorHAnsi" w:hAnsiTheme="majorHAnsi"/>
          <w:b/>
          <w:sz w:val="20"/>
          <w:szCs w:val="20"/>
          <w:lang w:val="es-ES"/>
        </w:rPr>
      </w:pPr>
    </w:p>
    <w:p w14:paraId="4A80A008" w14:textId="08BD0A9C" w:rsidR="009F3EDF" w:rsidRPr="00AF2B10" w:rsidRDefault="00223A29" w:rsidP="009F3EDF">
      <w:pPr>
        <w:spacing w:before="240" w:after="240"/>
        <w:ind w:firstLine="720"/>
        <w:jc w:val="both"/>
        <w:rPr>
          <w:rFonts w:asciiTheme="majorHAnsi" w:hAnsiTheme="majorHAnsi"/>
          <w:b/>
          <w:sz w:val="20"/>
          <w:szCs w:val="20"/>
          <w:lang w:val="es-ES_tradnl"/>
        </w:rPr>
      </w:pPr>
      <w:r w:rsidRPr="00AF2B10">
        <w:rPr>
          <w:rFonts w:asciiTheme="majorHAnsi" w:hAnsiTheme="majorHAnsi"/>
          <w:b/>
          <w:sz w:val="20"/>
          <w:szCs w:val="20"/>
          <w:lang w:val="es-ES_tradnl"/>
        </w:rPr>
        <w:lastRenderedPageBreak/>
        <w:t xml:space="preserve">V. </w:t>
      </w:r>
      <w:r w:rsidRPr="00AF2B10">
        <w:rPr>
          <w:rFonts w:asciiTheme="majorHAnsi" w:hAnsiTheme="majorHAnsi"/>
          <w:b/>
          <w:sz w:val="20"/>
          <w:szCs w:val="20"/>
          <w:lang w:val="es-ES_tradnl"/>
        </w:rPr>
        <w:tab/>
      </w:r>
      <w:r w:rsidR="004241A0" w:rsidRPr="00AF2B10">
        <w:rPr>
          <w:rFonts w:asciiTheme="majorHAnsi" w:hAnsiTheme="majorHAnsi"/>
          <w:b/>
          <w:sz w:val="20"/>
          <w:szCs w:val="20"/>
          <w:lang w:val="es-ES_tradnl"/>
        </w:rPr>
        <w:t>POSICIÓN DE LAS PARTES</w:t>
      </w:r>
      <w:r w:rsidR="003239B8" w:rsidRPr="00AF2B10">
        <w:rPr>
          <w:rFonts w:asciiTheme="majorHAnsi" w:hAnsiTheme="majorHAnsi"/>
          <w:b/>
          <w:sz w:val="20"/>
          <w:szCs w:val="20"/>
          <w:lang w:val="es-ES_tradnl"/>
        </w:rPr>
        <w:t xml:space="preserve"> </w:t>
      </w:r>
    </w:p>
    <w:p w14:paraId="21CA2A7A" w14:textId="35D5A3D5" w:rsidR="00BF3684" w:rsidRPr="00AF2B10" w:rsidRDefault="002D0A26" w:rsidP="00DC79A8">
      <w:pPr>
        <w:pStyle w:val="ListParagraph"/>
        <w:numPr>
          <w:ilvl w:val="0"/>
          <w:numId w:val="59"/>
        </w:numPr>
        <w:spacing w:before="240" w:after="240"/>
        <w:ind w:left="0" w:firstLine="709"/>
        <w:jc w:val="both"/>
        <w:rPr>
          <w:rFonts w:asciiTheme="majorHAnsi" w:eastAsia="Arial Unicode MS" w:hAnsiTheme="majorHAnsi"/>
          <w:sz w:val="20"/>
          <w:szCs w:val="20"/>
          <w:lang w:val="es-ES_tradnl"/>
        </w:rPr>
      </w:pPr>
      <w:r w:rsidRPr="00AF2B10">
        <w:rPr>
          <w:rFonts w:eastAsia="Arial Unicode MS"/>
          <w:sz w:val="20"/>
          <w:szCs w:val="20"/>
          <w:lang w:val="es-ES_tradnl"/>
        </w:rPr>
        <w:t>Los</w:t>
      </w:r>
      <w:r w:rsidR="00BF3684" w:rsidRPr="00AF2B10">
        <w:rPr>
          <w:rFonts w:eastAsia="Arial Unicode MS"/>
          <w:sz w:val="20"/>
          <w:szCs w:val="20"/>
          <w:lang w:val="es-ES_tradnl"/>
        </w:rPr>
        <w:t xml:space="preserve"> peticionari</w:t>
      </w:r>
      <w:r w:rsidRPr="00AF2B10">
        <w:rPr>
          <w:rFonts w:eastAsia="Arial Unicode MS"/>
          <w:sz w:val="20"/>
          <w:szCs w:val="20"/>
          <w:lang w:val="es-ES_tradnl"/>
        </w:rPr>
        <w:t>os</w:t>
      </w:r>
      <w:r w:rsidR="00BF3684" w:rsidRPr="00AF2B10">
        <w:rPr>
          <w:rFonts w:eastAsia="Arial Unicode MS"/>
          <w:sz w:val="20"/>
          <w:szCs w:val="20"/>
          <w:lang w:val="es-ES_tradnl"/>
        </w:rPr>
        <w:t xml:space="preserve"> alega</w:t>
      </w:r>
      <w:r w:rsidRPr="00AF2B10">
        <w:rPr>
          <w:rFonts w:eastAsia="Arial Unicode MS"/>
          <w:sz w:val="20"/>
          <w:szCs w:val="20"/>
          <w:lang w:val="es-ES_tradnl"/>
        </w:rPr>
        <w:t>n</w:t>
      </w:r>
      <w:r w:rsidR="00BF3684" w:rsidRPr="00AF2B10">
        <w:rPr>
          <w:rFonts w:eastAsia="Arial Unicode MS"/>
          <w:sz w:val="20"/>
          <w:szCs w:val="20"/>
          <w:lang w:val="es-ES_tradnl"/>
        </w:rPr>
        <w:t xml:space="preserve"> la responsabilidad internacional del Estado colombiano por </w:t>
      </w:r>
      <w:r w:rsidR="002A3458" w:rsidRPr="00AF2B10">
        <w:rPr>
          <w:rFonts w:asciiTheme="majorHAnsi" w:hAnsiTheme="majorHAnsi"/>
          <w:sz w:val="20"/>
          <w:szCs w:val="20"/>
          <w:lang w:val="es-ES_tradnl"/>
        </w:rPr>
        <w:t xml:space="preserve">la impunidad </w:t>
      </w:r>
      <w:r w:rsidR="00DD1318" w:rsidRPr="00AF2B10">
        <w:rPr>
          <w:rFonts w:asciiTheme="majorHAnsi" w:hAnsiTheme="majorHAnsi"/>
          <w:sz w:val="20"/>
          <w:szCs w:val="20"/>
          <w:lang w:val="es-ES_tradnl"/>
        </w:rPr>
        <w:t xml:space="preserve">en la que permanecería </w:t>
      </w:r>
      <w:r w:rsidR="0057368D" w:rsidRPr="00AF2B10">
        <w:rPr>
          <w:rFonts w:asciiTheme="majorHAnsi" w:hAnsiTheme="majorHAnsi"/>
          <w:sz w:val="20"/>
          <w:szCs w:val="20"/>
          <w:lang w:val="es-ES_tradnl"/>
        </w:rPr>
        <w:t xml:space="preserve">el </w:t>
      </w:r>
      <w:r w:rsidR="00FC0547" w:rsidRPr="00AF2B10">
        <w:rPr>
          <w:rFonts w:asciiTheme="majorHAnsi" w:hAnsiTheme="majorHAnsi"/>
          <w:sz w:val="20"/>
          <w:szCs w:val="20"/>
          <w:lang w:val="es-ES_tradnl"/>
        </w:rPr>
        <w:t xml:space="preserve">secuestro y </w:t>
      </w:r>
      <w:r w:rsidR="0057368D" w:rsidRPr="00AF2B10">
        <w:rPr>
          <w:rFonts w:asciiTheme="majorHAnsi" w:hAnsiTheme="majorHAnsi"/>
          <w:sz w:val="20"/>
          <w:szCs w:val="20"/>
          <w:lang w:val="es-ES_tradnl"/>
        </w:rPr>
        <w:t>asesinato de</w:t>
      </w:r>
      <w:r w:rsidR="00FC0547" w:rsidRPr="00AF2B10">
        <w:rPr>
          <w:rFonts w:asciiTheme="majorHAnsi" w:hAnsiTheme="majorHAnsi"/>
          <w:sz w:val="20"/>
          <w:szCs w:val="20"/>
          <w:lang w:val="es-ES_tradnl"/>
        </w:rPr>
        <w:t xml:space="preserve"> </w:t>
      </w:r>
      <w:r w:rsidR="0057368D" w:rsidRPr="00AF2B10">
        <w:rPr>
          <w:rFonts w:asciiTheme="majorHAnsi" w:hAnsiTheme="majorHAnsi"/>
          <w:sz w:val="20"/>
          <w:szCs w:val="20"/>
          <w:lang w:val="es-ES_tradnl"/>
        </w:rPr>
        <w:t>l</w:t>
      </w:r>
      <w:r w:rsidR="00FC0547" w:rsidRPr="00AF2B10">
        <w:rPr>
          <w:rFonts w:asciiTheme="majorHAnsi" w:hAnsiTheme="majorHAnsi"/>
          <w:sz w:val="20"/>
          <w:szCs w:val="20"/>
          <w:lang w:val="es-ES_tradnl"/>
        </w:rPr>
        <w:t>a</w:t>
      </w:r>
      <w:r w:rsidR="0057368D" w:rsidRPr="00AF2B10">
        <w:rPr>
          <w:rFonts w:asciiTheme="majorHAnsi" w:hAnsiTheme="majorHAnsi"/>
          <w:sz w:val="20"/>
          <w:szCs w:val="20"/>
          <w:lang w:val="es-ES_tradnl"/>
        </w:rPr>
        <w:t xml:space="preserve"> </w:t>
      </w:r>
      <w:r w:rsidR="00FC0547" w:rsidRPr="00AF2B10">
        <w:rPr>
          <w:rFonts w:asciiTheme="majorHAnsi" w:hAnsiTheme="majorHAnsi"/>
          <w:sz w:val="20"/>
          <w:szCs w:val="20"/>
          <w:lang w:val="es-ES_tradnl"/>
        </w:rPr>
        <w:t>señora</w:t>
      </w:r>
      <w:r w:rsidR="0057368D" w:rsidRPr="00AF2B10">
        <w:rPr>
          <w:rFonts w:asciiTheme="majorHAnsi" w:hAnsiTheme="majorHAnsi"/>
          <w:sz w:val="20"/>
          <w:szCs w:val="20"/>
          <w:lang w:val="es-ES_tradnl"/>
        </w:rPr>
        <w:t xml:space="preserve"> </w:t>
      </w:r>
      <w:r w:rsidR="00FC0547" w:rsidRPr="00AF2B10">
        <w:rPr>
          <w:rFonts w:asciiTheme="majorHAnsi" w:hAnsiTheme="majorHAnsi"/>
          <w:sz w:val="20"/>
          <w:szCs w:val="20"/>
          <w:lang w:val="es-ES_tradnl"/>
        </w:rPr>
        <w:t>Gloria Lara de Echeverri</w:t>
      </w:r>
      <w:r w:rsidR="00DD1318" w:rsidRPr="00AF2B10">
        <w:rPr>
          <w:rFonts w:asciiTheme="majorHAnsi" w:hAnsiTheme="majorHAnsi"/>
          <w:sz w:val="20"/>
          <w:szCs w:val="20"/>
          <w:lang w:val="es-ES_tradnl"/>
        </w:rPr>
        <w:t>,</w:t>
      </w:r>
      <w:r w:rsidR="0057368D" w:rsidRPr="00AF2B10">
        <w:rPr>
          <w:rFonts w:asciiTheme="majorHAnsi" w:hAnsiTheme="majorHAnsi"/>
          <w:sz w:val="20"/>
          <w:szCs w:val="20"/>
          <w:lang w:val="es-ES_tradnl"/>
        </w:rPr>
        <w:t xml:space="preserve"> </w:t>
      </w:r>
      <w:r w:rsidR="002A3458" w:rsidRPr="00AF2B10">
        <w:rPr>
          <w:rFonts w:asciiTheme="majorHAnsi" w:hAnsiTheme="majorHAnsi"/>
          <w:sz w:val="20"/>
          <w:szCs w:val="20"/>
          <w:lang w:val="es-ES_tradnl"/>
        </w:rPr>
        <w:t xml:space="preserve">ocurrido </w:t>
      </w:r>
      <w:r w:rsidR="0057368D" w:rsidRPr="00AF2B10">
        <w:rPr>
          <w:rFonts w:asciiTheme="majorHAnsi" w:hAnsiTheme="majorHAnsi"/>
          <w:sz w:val="20"/>
          <w:szCs w:val="20"/>
          <w:lang w:val="es-ES_tradnl"/>
        </w:rPr>
        <w:t>en 198</w:t>
      </w:r>
      <w:r w:rsidR="00FC0547" w:rsidRPr="00AF2B10">
        <w:rPr>
          <w:rFonts w:asciiTheme="majorHAnsi" w:hAnsiTheme="majorHAnsi"/>
          <w:sz w:val="20"/>
          <w:szCs w:val="20"/>
          <w:lang w:val="es-ES_tradnl"/>
        </w:rPr>
        <w:t>2</w:t>
      </w:r>
      <w:r w:rsidR="002A3458" w:rsidRPr="00AF2B10">
        <w:rPr>
          <w:rFonts w:asciiTheme="majorHAnsi" w:hAnsiTheme="majorHAnsi"/>
          <w:sz w:val="20"/>
          <w:szCs w:val="20"/>
          <w:lang w:val="es-ES_tradnl"/>
        </w:rPr>
        <w:t xml:space="preserve">, </w:t>
      </w:r>
      <w:r w:rsidR="00DD1318" w:rsidRPr="00AF2B10">
        <w:rPr>
          <w:rFonts w:asciiTheme="majorHAnsi" w:hAnsiTheme="majorHAnsi"/>
          <w:sz w:val="20"/>
          <w:szCs w:val="20"/>
          <w:lang w:val="es-ES_tradnl"/>
        </w:rPr>
        <w:t>tras</w:t>
      </w:r>
      <w:r w:rsidR="002A3458" w:rsidRPr="00AF2B10">
        <w:rPr>
          <w:rFonts w:asciiTheme="majorHAnsi" w:hAnsiTheme="majorHAnsi"/>
          <w:sz w:val="20"/>
          <w:szCs w:val="20"/>
          <w:lang w:val="es-ES_tradnl"/>
        </w:rPr>
        <w:t xml:space="preserve"> un proceso penal cuyas dilaciones produjeron la prescripción </w:t>
      </w:r>
      <w:r w:rsidR="00A4798A" w:rsidRPr="00AF2B10">
        <w:rPr>
          <w:rFonts w:asciiTheme="majorHAnsi" w:hAnsiTheme="majorHAnsi"/>
          <w:sz w:val="20"/>
          <w:szCs w:val="20"/>
          <w:lang w:val="es-ES_tradnl"/>
        </w:rPr>
        <w:t xml:space="preserve">de la acción </w:t>
      </w:r>
      <w:r w:rsidR="002A3458" w:rsidRPr="00AF2B10">
        <w:rPr>
          <w:rFonts w:asciiTheme="majorHAnsi" w:hAnsiTheme="majorHAnsi"/>
          <w:sz w:val="20"/>
          <w:szCs w:val="20"/>
          <w:lang w:val="es-ES_tradnl"/>
        </w:rPr>
        <w:t xml:space="preserve">penal que favoreció a los imputados </w:t>
      </w:r>
      <w:r w:rsidR="000A0257" w:rsidRPr="00AF2B10">
        <w:rPr>
          <w:rFonts w:asciiTheme="majorHAnsi" w:hAnsiTheme="majorHAnsi"/>
          <w:sz w:val="20"/>
          <w:szCs w:val="20"/>
          <w:lang w:val="es-ES_tradnl"/>
        </w:rPr>
        <w:t>de</w:t>
      </w:r>
      <w:r w:rsidR="002A3458" w:rsidRPr="00AF2B10">
        <w:rPr>
          <w:rFonts w:asciiTheme="majorHAnsi" w:hAnsiTheme="majorHAnsi"/>
          <w:sz w:val="20"/>
          <w:szCs w:val="20"/>
          <w:lang w:val="es-ES_tradnl"/>
        </w:rPr>
        <w:t xml:space="preserve"> los delitos cometidos en su contra. </w:t>
      </w:r>
    </w:p>
    <w:p w14:paraId="401E6258" w14:textId="12BA0066" w:rsidR="00885CEE" w:rsidRPr="00AF2B10" w:rsidRDefault="00CD2417" w:rsidP="00885CEE">
      <w:pPr>
        <w:pStyle w:val="ListParagraph"/>
        <w:numPr>
          <w:ilvl w:val="0"/>
          <w:numId w:val="59"/>
        </w:numPr>
        <w:spacing w:before="240" w:after="240"/>
        <w:ind w:left="0" w:firstLine="709"/>
        <w:jc w:val="both"/>
        <w:rPr>
          <w:sz w:val="20"/>
          <w:szCs w:val="20"/>
          <w:lang w:val="es-ES_tradnl"/>
        </w:rPr>
      </w:pPr>
      <w:r w:rsidRPr="00AF2B10">
        <w:rPr>
          <w:rFonts w:asciiTheme="majorHAnsi" w:hAnsiTheme="majorHAnsi"/>
          <w:bCs/>
          <w:sz w:val="20"/>
          <w:szCs w:val="20"/>
          <w:lang w:val="es-ES_tradnl"/>
        </w:rPr>
        <w:t>Los peticionarios</w:t>
      </w:r>
      <w:r w:rsidR="003747E4" w:rsidRPr="00AF2B10">
        <w:rPr>
          <w:rFonts w:asciiTheme="majorHAnsi" w:hAnsiTheme="majorHAnsi"/>
          <w:bCs/>
          <w:sz w:val="20"/>
          <w:szCs w:val="20"/>
          <w:lang w:val="es-ES_tradnl"/>
        </w:rPr>
        <w:t xml:space="preserve"> </w:t>
      </w:r>
      <w:r w:rsidR="00DD1318" w:rsidRPr="00AF2B10">
        <w:rPr>
          <w:rFonts w:asciiTheme="majorHAnsi" w:hAnsiTheme="majorHAnsi"/>
          <w:bCs/>
          <w:sz w:val="20"/>
          <w:szCs w:val="20"/>
          <w:lang w:val="es-ES_tradnl"/>
        </w:rPr>
        <w:t>narran</w:t>
      </w:r>
      <w:r w:rsidR="00885CEE" w:rsidRPr="00AF2B10">
        <w:rPr>
          <w:rFonts w:asciiTheme="majorHAnsi" w:hAnsiTheme="majorHAnsi"/>
          <w:bCs/>
          <w:sz w:val="20"/>
          <w:szCs w:val="20"/>
          <w:lang w:val="es-ES_tradnl"/>
        </w:rPr>
        <w:t xml:space="preserve"> que la señora Gloria Lara de Echeverri </w:t>
      </w:r>
      <w:r w:rsidR="00415105" w:rsidRPr="00AF2B10">
        <w:rPr>
          <w:rFonts w:asciiTheme="majorHAnsi" w:hAnsiTheme="majorHAnsi"/>
          <w:bCs/>
          <w:sz w:val="20"/>
          <w:szCs w:val="20"/>
          <w:lang w:val="es-ES_tradnl"/>
        </w:rPr>
        <w:t xml:space="preserve">fue </w:t>
      </w:r>
      <w:r w:rsidR="00614DBE" w:rsidRPr="00AF2B10">
        <w:rPr>
          <w:rFonts w:asciiTheme="majorHAnsi" w:hAnsiTheme="majorHAnsi"/>
          <w:bCs/>
          <w:sz w:val="20"/>
          <w:szCs w:val="20"/>
          <w:lang w:val="es-ES_tradnl"/>
        </w:rPr>
        <w:t xml:space="preserve">una </w:t>
      </w:r>
      <w:r w:rsidR="00F90CC0" w:rsidRPr="00AF2B10">
        <w:rPr>
          <w:rFonts w:asciiTheme="majorHAnsi" w:hAnsiTheme="majorHAnsi"/>
          <w:bCs/>
          <w:sz w:val="20"/>
          <w:szCs w:val="20"/>
          <w:lang w:val="es-ES_tradnl"/>
        </w:rPr>
        <w:t xml:space="preserve">activista </w:t>
      </w:r>
      <w:r w:rsidR="00415105" w:rsidRPr="00AF2B10">
        <w:rPr>
          <w:rFonts w:asciiTheme="majorHAnsi" w:hAnsiTheme="majorHAnsi"/>
          <w:bCs/>
          <w:sz w:val="20"/>
          <w:szCs w:val="20"/>
          <w:lang w:val="es-ES_tradnl"/>
        </w:rPr>
        <w:t xml:space="preserve">política </w:t>
      </w:r>
      <w:r w:rsidR="00F90CC0" w:rsidRPr="00AF2B10">
        <w:rPr>
          <w:rFonts w:asciiTheme="majorHAnsi" w:hAnsiTheme="majorHAnsi"/>
          <w:bCs/>
          <w:sz w:val="20"/>
          <w:szCs w:val="20"/>
          <w:lang w:val="es-ES_tradnl"/>
        </w:rPr>
        <w:t>y funcionaria pública</w:t>
      </w:r>
      <w:r w:rsidR="00AD4CD1" w:rsidRPr="00AF2B10">
        <w:rPr>
          <w:rFonts w:asciiTheme="majorHAnsi" w:hAnsiTheme="majorHAnsi"/>
          <w:bCs/>
          <w:sz w:val="20"/>
          <w:szCs w:val="20"/>
          <w:lang w:val="es-ES_tradnl"/>
        </w:rPr>
        <w:t>,</w:t>
      </w:r>
      <w:r w:rsidR="00F90CC0" w:rsidRPr="00AF2B10">
        <w:rPr>
          <w:rFonts w:asciiTheme="majorHAnsi" w:hAnsiTheme="majorHAnsi"/>
          <w:bCs/>
          <w:sz w:val="20"/>
          <w:szCs w:val="20"/>
          <w:lang w:val="es-ES_tradnl"/>
        </w:rPr>
        <w:t xml:space="preserve"> </w:t>
      </w:r>
      <w:r w:rsidR="00415105" w:rsidRPr="00AF2B10">
        <w:rPr>
          <w:rFonts w:asciiTheme="majorHAnsi" w:hAnsiTheme="majorHAnsi"/>
          <w:bCs/>
          <w:sz w:val="20"/>
          <w:szCs w:val="20"/>
          <w:lang w:val="es-ES_tradnl"/>
        </w:rPr>
        <w:t xml:space="preserve">quien se desempeñó </w:t>
      </w:r>
      <w:r w:rsidR="00614DBE" w:rsidRPr="00AF2B10">
        <w:rPr>
          <w:rFonts w:asciiTheme="majorHAnsi" w:hAnsiTheme="majorHAnsi"/>
          <w:bCs/>
          <w:sz w:val="20"/>
          <w:szCs w:val="20"/>
          <w:lang w:val="es-ES_tradnl"/>
        </w:rPr>
        <w:t>en</w:t>
      </w:r>
      <w:r w:rsidR="009508DA" w:rsidRPr="00AF2B10">
        <w:rPr>
          <w:rFonts w:asciiTheme="majorHAnsi" w:hAnsiTheme="majorHAnsi"/>
          <w:bCs/>
          <w:sz w:val="20"/>
          <w:szCs w:val="20"/>
          <w:lang w:val="es-ES_tradnl"/>
        </w:rPr>
        <w:t xml:space="preserve"> el</w:t>
      </w:r>
      <w:r w:rsidR="00415105" w:rsidRPr="00AF2B10">
        <w:rPr>
          <w:rFonts w:asciiTheme="majorHAnsi" w:hAnsiTheme="majorHAnsi"/>
          <w:bCs/>
          <w:sz w:val="20"/>
          <w:szCs w:val="20"/>
          <w:lang w:val="es-ES_tradnl"/>
        </w:rPr>
        <w:t xml:space="preserve"> Partido Liberal </w:t>
      </w:r>
      <w:r w:rsidR="00772FE3" w:rsidRPr="00AF2B10">
        <w:rPr>
          <w:rFonts w:asciiTheme="majorHAnsi" w:hAnsiTheme="majorHAnsi"/>
          <w:bCs/>
          <w:sz w:val="20"/>
          <w:szCs w:val="20"/>
          <w:lang w:val="es-ES_tradnl"/>
        </w:rPr>
        <w:t xml:space="preserve">como </w:t>
      </w:r>
      <w:r w:rsidR="00415105" w:rsidRPr="00AF2B10">
        <w:rPr>
          <w:rFonts w:asciiTheme="majorHAnsi" w:hAnsiTheme="majorHAnsi"/>
          <w:bCs/>
          <w:sz w:val="20"/>
          <w:szCs w:val="20"/>
          <w:lang w:val="es-ES_tradnl"/>
        </w:rPr>
        <w:t xml:space="preserve">embajadora </w:t>
      </w:r>
      <w:r w:rsidR="006A062E" w:rsidRPr="00AF2B10">
        <w:rPr>
          <w:rFonts w:asciiTheme="majorHAnsi" w:hAnsiTheme="majorHAnsi"/>
          <w:bCs/>
          <w:sz w:val="20"/>
          <w:szCs w:val="20"/>
          <w:lang w:val="es-ES_tradnl"/>
        </w:rPr>
        <w:t xml:space="preserve">de Colombia </w:t>
      </w:r>
      <w:r w:rsidR="00415105" w:rsidRPr="00AF2B10">
        <w:rPr>
          <w:rFonts w:asciiTheme="majorHAnsi" w:hAnsiTheme="majorHAnsi"/>
          <w:bCs/>
          <w:sz w:val="20"/>
          <w:szCs w:val="20"/>
          <w:lang w:val="es-ES_tradnl"/>
        </w:rPr>
        <w:t xml:space="preserve">ante la </w:t>
      </w:r>
      <w:r w:rsidR="00AD4CD1" w:rsidRPr="00AF2B10">
        <w:rPr>
          <w:rFonts w:asciiTheme="majorHAnsi" w:hAnsiTheme="majorHAnsi"/>
          <w:bCs/>
          <w:sz w:val="20"/>
          <w:szCs w:val="20"/>
          <w:lang w:val="es-ES_tradnl"/>
        </w:rPr>
        <w:t>ONU</w:t>
      </w:r>
      <w:r w:rsidR="00115515" w:rsidRPr="00AF2B10">
        <w:rPr>
          <w:rFonts w:asciiTheme="majorHAnsi" w:hAnsiTheme="majorHAnsi"/>
          <w:bCs/>
          <w:sz w:val="20"/>
          <w:szCs w:val="20"/>
          <w:lang w:val="es-ES_tradnl"/>
        </w:rPr>
        <w:t xml:space="preserve">; </w:t>
      </w:r>
      <w:r w:rsidR="00415105" w:rsidRPr="00AF2B10">
        <w:rPr>
          <w:rFonts w:asciiTheme="majorHAnsi" w:hAnsiTheme="majorHAnsi"/>
          <w:bCs/>
          <w:sz w:val="20"/>
          <w:szCs w:val="20"/>
          <w:lang w:val="es-ES_tradnl"/>
        </w:rPr>
        <w:t xml:space="preserve">como </w:t>
      </w:r>
      <w:r w:rsidR="00AD4CD1" w:rsidRPr="00AF2B10">
        <w:rPr>
          <w:rFonts w:asciiTheme="majorHAnsi" w:hAnsiTheme="majorHAnsi"/>
          <w:bCs/>
          <w:sz w:val="20"/>
          <w:szCs w:val="20"/>
          <w:lang w:val="es-ES_tradnl"/>
        </w:rPr>
        <w:t>D</w:t>
      </w:r>
      <w:r w:rsidR="00415105" w:rsidRPr="00AF2B10">
        <w:rPr>
          <w:rFonts w:asciiTheme="majorHAnsi" w:hAnsiTheme="majorHAnsi"/>
          <w:bCs/>
          <w:sz w:val="20"/>
          <w:szCs w:val="20"/>
          <w:lang w:val="es-ES_tradnl"/>
        </w:rPr>
        <w:t xml:space="preserve">irectora </w:t>
      </w:r>
      <w:r w:rsidR="00AD4CD1" w:rsidRPr="00AF2B10">
        <w:rPr>
          <w:rFonts w:asciiTheme="majorHAnsi" w:hAnsiTheme="majorHAnsi"/>
          <w:bCs/>
          <w:sz w:val="20"/>
          <w:szCs w:val="20"/>
          <w:lang w:val="es-ES_tradnl"/>
        </w:rPr>
        <w:t>N</w:t>
      </w:r>
      <w:r w:rsidR="00415105" w:rsidRPr="00AF2B10">
        <w:rPr>
          <w:rFonts w:asciiTheme="majorHAnsi" w:hAnsiTheme="majorHAnsi"/>
          <w:bCs/>
          <w:sz w:val="20"/>
          <w:szCs w:val="20"/>
          <w:lang w:val="es-ES_tradnl"/>
        </w:rPr>
        <w:t>acional de Acción Comunal y Asuntos Indígena</w:t>
      </w:r>
      <w:r w:rsidR="00724B0C" w:rsidRPr="00AF2B10">
        <w:rPr>
          <w:rFonts w:asciiTheme="majorHAnsi" w:hAnsiTheme="majorHAnsi"/>
          <w:bCs/>
          <w:sz w:val="20"/>
          <w:szCs w:val="20"/>
          <w:lang w:val="es-ES_tradnl"/>
        </w:rPr>
        <w:t>s</w:t>
      </w:r>
      <w:r w:rsidR="0099681E" w:rsidRPr="00AF2B10">
        <w:rPr>
          <w:rFonts w:asciiTheme="majorHAnsi" w:hAnsiTheme="majorHAnsi"/>
          <w:bCs/>
          <w:sz w:val="20"/>
          <w:szCs w:val="20"/>
          <w:lang w:val="es-ES_tradnl"/>
        </w:rPr>
        <w:t>;</w:t>
      </w:r>
      <w:r w:rsidR="009F65F0" w:rsidRPr="00AF2B10">
        <w:rPr>
          <w:rFonts w:asciiTheme="majorHAnsi" w:hAnsiTheme="majorHAnsi"/>
          <w:bCs/>
          <w:sz w:val="20"/>
          <w:szCs w:val="20"/>
          <w:lang w:val="es-ES_tradnl"/>
        </w:rPr>
        <w:t xml:space="preserve"> y como </w:t>
      </w:r>
      <w:r w:rsidR="00AD4CD1" w:rsidRPr="00AF2B10">
        <w:rPr>
          <w:rFonts w:asciiTheme="majorHAnsi" w:hAnsiTheme="majorHAnsi"/>
          <w:bCs/>
          <w:sz w:val="20"/>
          <w:szCs w:val="20"/>
          <w:lang w:val="es-ES_tradnl"/>
        </w:rPr>
        <w:t>D</w:t>
      </w:r>
      <w:r w:rsidR="009F65F0" w:rsidRPr="00AF2B10">
        <w:rPr>
          <w:rFonts w:asciiTheme="majorHAnsi" w:hAnsiTheme="majorHAnsi"/>
          <w:bCs/>
          <w:sz w:val="20"/>
          <w:szCs w:val="20"/>
          <w:lang w:val="es-ES_tradnl"/>
        </w:rPr>
        <w:t>irectora de Integración y Desarrollo de la Comunidad del Ministerio de Gobierno</w:t>
      </w:r>
      <w:r w:rsidR="00724B0C" w:rsidRPr="00AF2B10">
        <w:rPr>
          <w:rFonts w:asciiTheme="majorHAnsi" w:hAnsiTheme="majorHAnsi"/>
          <w:bCs/>
          <w:sz w:val="20"/>
          <w:szCs w:val="20"/>
          <w:lang w:val="es-ES_tradnl"/>
        </w:rPr>
        <w:t xml:space="preserve">. </w:t>
      </w:r>
      <w:r w:rsidR="002B6423" w:rsidRPr="00AF2B10">
        <w:rPr>
          <w:rFonts w:asciiTheme="majorHAnsi" w:hAnsiTheme="majorHAnsi"/>
          <w:bCs/>
          <w:sz w:val="20"/>
          <w:szCs w:val="20"/>
          <w:lang w:val="es-ES_tradnl"/>
        </w:rPr>
        <w:t>Por otro lado, s</w:t>
      </w:r>
      <w:r w:rsidR="004E7BAC" w:rsidRPr="00AF2B10">
        <w:rPr>
          <w:rFonts w:asciiTheme="majorHAnsi" w:hAnsiTheme="majorHAnsi"/>
          <w:bCs/>
          <w:sz w:val="20"/>
          <w:szCs w:val="20"/>
          <w:lang w:val="es-ES_tradnl"/>
        </w:rPr>
        <w:t>eñalan</w:t>
      </w:r>
      <w:r w:rsidR="00724B0C" w:rsidRPr="00AF2B10">
        <w:rPr>
          <w:rFonts w:asciiTheme="majorHAnsi" w:hAnsiTheme="majorHAnsi"/>
          <w:bCs/>
          <w:sz w:val="20"/>
          <w:szCs w:val="20"/>
          <w:lang w:val="es-ES_tradnl"/>
        </w:rPr>
        <w:t xml:space="preserve"> a manera </w:t>
      </w:r>
      <w:r w:rsidR="00592AD5" w:rsidRPr="00AF2B10">
        <w:rPr>
          <w:rFonts w:asciiTheme="majorHAnsi" w:hAnsiTheme="majorHAnsi"/>
          <w:bCs/>
          <w:sz w:val="20"/>
          <w:szCs w:val="20"/>
          <w:lang w:val="es-ES_tradnl"/>
        </w:rPr>
        <w:t xml:space="preserve">de antecedente que en 1970 surgió el grupo armado denominado </w:t>
      </w:r>
      <w:r w:rsidR="00F413AA" w:rsidRPr="00AF2B10">
        <w:rPr>
          <w:rFonts w:asciiTheme="majorHAnsi" w:hAnsiTheme="majorHAnsi"/>
          <w:bCs/>
          <w:sz w:val="20"/>
          <w:szCs w:val="20"/>
          <w:lang w:val="es-ES_tradnl"/>
        </w:rPr>
        <w:t>“</w:t>
      </w:r>
      <w:r w:rsidR="00592AD5" w:rsidRPr="00AF2B10">
        <w:rPr>
          <w:rFonts w:asciiTheme="majorHAnsi" w:hAnsiTheme="majorHAnsi"/>
          <w:bCs/>
          <w:sz w:val="20"/>
          <w:szCs w:val="20"/>
          <w:lang w:val="es-ES_tradnl"/>
        </w:rPr>
        <w:t>Organización Revolucionaria del Pueblo (ORP)”</w:t>
      </w:r>
      <w:r w:rsidR="00F74E42" w:rsidRPr="00AF2B10">
        <w:rPr>
          <w:rFonts w:asciiTheme="majorHAnsi" w:hAnsiTheme="majorHAnsi"/>
          <w:bCs/>
          <w:sz w:val="20"/>
          <w:szCs w:val="20"/>
          <w:lang w:val="es-ES_tradnl"/>
        </w:rPr>
        <w:t xml:space="preserve"> cuyo propósito era </w:t>
      </w:r>
      <w:r w:rsidR="00F413AA" w:rsidRPr="00AF2B10">
        <w:rPr>
          <w:rFonts w:asciiTheme="majorHAnsi" w:hAnsiTheme="majorHAnsi"/>
          <w:bCs/>
          <w:sz w:val="20"/>
          <w:szCs w:val="20"/>
          <w:lang w:val="es-ES_tradnl"/>
        </w:rPr>
        <w:t>“</w:t>
      </w:r>
      <w:r w:rsidR="00F74E42" w:rsidRPr="00AF2B10">
        <w:rPr>
          <w:rFonts w:asciiTheme="majorHAnsi" w:hAnsiTheme="majorHAnsi"/>
          <w:bCs/>
          <w:i/>
          <w:iCs/>
          <w:sz w:val="20"/>
          <w:szCs w:val="20"/>
          <w:lang w:val="es-ES_tradnl"/>
        </w:rPr>
        <w:t>combatir la clase burguesa enemiga del campesinado</w:t>
      </w:r>
      <w:r w:rsidR="00F413AA" w:rsidRPr="00AF2B10">
        <w:rPr>
          <w:rFonts w:asciiTheme="majorHAnsi" w:hAnsiTheme="majorHAnsi"/>
          <w:bCs/>
          <w:i/>
          <w:iCs/>
          <w:sz w:val="20"/>
          <w:szCs w:val="20"/>
          <w:lang w:val="es-ES_tradnl"/>
        </w:rPr>
        <w:t>”.</w:t>
      </w:r>
      <w:r w:rsidR="005D68EC" w:rsidRPr="00AF2B10">
        <w:rPr>
          <w:rFonts w:asciiTheme="majorHAnsi" w:hAnsiTheme="majorHAnsi"/>
          <w:bCs/>
          <w:sz w:val="20"/>
          <w:szCs w:val="20"/>
          <w:lang w:val="es-ES_tradnl"/>
        </w:rPr>
        <w:t xml:space="preserve"> Refieren que la ORP utilizó el secuestro y la extorsión como formas de financiación y como mecanismos de presión política. </w:t>
      </w:r>
    </w:p>
    <w:p w14:paraId="0133121E" w14:textId="394F32E3" w:rsidR="00773ADD" w:rsidRPr="00AF2B10" w:rsidRDefault="005D68EC" w:rsidP="00183E47">
      <w:pPr>
        <w:pStyle w:val="ListParagraph"/>
        <w:numPr>
          <w:ilvl w:val="0"/>
          <w:numId w:val="59"/>
        </w:numPr>
        <w:spacing w:before="240" w:after="240"/>
        <w:ind w:left="0" w:firstLine="709"/>
        <w:jc w:val="both"/>
        <w:rPr>
          <w:sz w:val="20"/>
          <w:szCs w:val="20"/>
          <w:lang w:val="es-ES_tradnl"/>
        </w:rPr>
      </w:pPr>
      <w:r w:rsidRPr="00AF2B10">
        <w:rPr>
          <w:rFonts w:asciiTheme="majorHAnsi" w:hAnsiTheme="majorHAnsi"/>
          <w:bCs/>
          <w:sz w:val="20"/>
          <w:szCs w:val="20"/>
          <w:lang w:val="es-ES_tradnl"/>
        </w:rPr>
        <w:t xml:space="preserve">Respecto a los hechos que conllevaron a la muerte de la señora Gloria Lara, los peticionarios </w:t>
      </w:r>
      <w:r w:rsidR="004E7BAC" w:rsidRPr="00AF2B10">
        <w:rPr>
          <w:rFonts w:asciiTheme="majorHAnsi" w:hAnsiTheme="majorHAnsi"/>
          <w:bCs/>
          <w:sz w:val="20"/>
          <w:szCs w:val="20"/>
          <w:lang w:val="es-ES_tradnl"/>
        </w:rPr>
        <w:t>relatan</w:t>
      </w:r>
      <w:r w:rsidRPr="00AF2B10">
        <w:rPr>
          <w:rFonts w:asciiTheme="majorHAnsi" w:hAnsiTheme="majorHAnsi"/>
          <w:bCs/>
          <w:sz w:val="20"/>
          <w:szCs w:val="20"/>
          <w:lang w:val="es-ES_tradnl"/>
        </w:rPr>
        <w:t xml:space="preserve"> que el 23 de junio de 1982</w:t>
      </w:r>
      <w:r w:rsidR="00C30AC5" w:rsidRPr="00AF2B10">
        <w:rPr>
          <w:rFonts w:asciiTheme="majorHAnsi" w:hAnsiTheme="majorHAnsi"/>
          <w:bCs/>
          <w:sz w:val="20"/>
          <w:szCs w:val="20"/>
          <w:lang w:val="es-ES_tradnl"/>
        </w:rPr>
        <w:t>,</w:t>
      </w:r>
      <w:r w:rsidR="007F2118" w:rsidRPr="00AF2B10">
        <w:rPr>
          <w:rFonts w:asciiTheme="majorHAnsi" w:hAnsiTheme="majorHAnsi"/>
          <w:bCs/>
          <w:sz w:val="20"/>
          <w:szCs w:val="20"/>
          <w:lang w:val="es-ES_tradnl"/>
        </w:rPr>
        <w:t xml:space="preserve"> mientras</w:t>
      </w:r>
      <w:r w:rsidRPr="00AF2B10">
        <w:rPr>
          <w:rFonts w:asciiTheme="majorHAnsi" w:hAnsiTheme="majorHAnsi"/>
          <w:bCs/>
          <w:sz w:val="20"/>
          <w:szCs w:val="20"/>
          <w:lang w:val="es-ES_tradnl"/>
        </w:rPr>
        <w:t xml:space="preserve"> se </w:t>
      </w:r>
      <w:r w:rsidR="00C30AC5" w:rsidRPr="00AF2B10">
        <w:rPr>
          <w:rFonts w:asciiTheme="majorHAnsi" w:hAnsiTheme="majorHAnsi"/>
          <w:bCs/>
          <w:sz w:val="20"/>
          <w:szCs w:val="20"/>
          <w:lang w:val="es-ES_tradnl"/>
        </w:rPr>
        <w:t xml:space="preserve">desempeñaba como </w:t>
      </w:r>
      <w:r w:rsidR="00AD4CD1" w:rsidRPr="00AF2B10">
        <w:rPr>
          <w:rFonts w:asciiTheme="majorHAnsi" w:hAnsiTheme="majorHAnsi"/>
          <w:bCs/>
          <w:sz w:val="20"/>
          <w:szCs w:val="20"/>
          <w:lang w:val="es-ES_tradnl"/>
        </w:rPr>
        <w:t>D</w:t>
      </w:r>
      <w:r w:rsidR="00C30AC5" w:rsidRPr="00AF2B10">
        <w:rPr>
          <w:rFonts w:asciiTheme="majorHAnsi" w:hAnsiTheme="majorHAnsi"/>
          <w:bCs/>
          <w:sz w:val="20"/>
          <w:szCs w:val="20"/>
          <w:lang w:val="es-ES_tradnl"/>
        </w:rPr>
        <w:t xml:space="preserve">irectora de Integración y Desarrollo de la Comunidad del Ministerio de Gobierno, </w:t>
      </w:r>
      <w:r w:rsidR="00583254" w:rsidRPr="00AF2B10">
        <w:rPr>
          <w:rFonts w:asciiTheme="majorHAnsi" w:hAnsiTheme="majorHAnsi"/>
          <w:bCs/>
          <w:sz w:val="20"/>
          <w:szCs w:val="20"/>
          <w:lang w:val="es-ES_tradnl"/>
        </w:rPr>
        <w:t xml:space="preserve">fue interceptada </w:t>
      </w:r>
      <w:r w:rsidR="00AD4CD1" w:rsidRPr="00AF2B10">
        <w:rPr>
          <w:rFonts w:asciiTheme="majorHAnsi" w:hAnsiTheme="majorHAnsi"/>
          <w:bCs/>
          <w:sz w:val="20"/>
          <w:szCs w:val="20"/>
          <w:lang w:val="es-ES_tradnl"/>
        </w:rPr>
        <w:t xml:space="preserve">y secuestrada </w:t>
      </w:r>
      <w:r w:rsidR="00583254" w:rsidRPr="00AF2B10">
        <w:rPr>
          <w:rFonts w:asciiTheme="majorHAnsi" w:hAnsiTheme="majorHAnsi"/>
          <w:bCs/>
          <w:sz w:val="20"/>
          <w:szCs w:val="20"/>
          <w:lang w:val="es-ES_tradnl"/>
        </w:rPr>
        <w:t>por varios sujetos armados</w:t>
      </w:r>
      <w:r w:rsidR="00AD4CD1" w:rsidRPr="00AF2B10">
        <w:rPr>
          <w:rFonts w:asciiTheme="majorHAnsi" w:hAnsiTheme="majorHAnsi"/>
          <w:bCs/>
          <w:sz w:val="20"/>
          <w:szCs w:val="20"/>
          <w:lang w:val="es-ES_tradnl"/>
        </w:rPr>
        <w:t xml:space="preserve"> mientras se desplazaba en su vehículo oficial</w:t>
      </w:r>
      <w:r w:rsidR="00583254" w:rsidRPr="00AF2B10">
        <w:rPr>
          <w:rFonts w:asciiTheme="majorHAnsi" w:hAnsiTheme="majorHAnsi"/>
          <w:bCs/>
          <w:sz w:val="20"/>
          <w:szCs w:val="20"/>
          <w:lang w:val="es-ES_tradnl"/>
        </w:rPr>
        <w:t xml:space="preserve">. Indican que jueces de instrucción criminal y la Policía Judicial realizaron </w:t>
      </w:r>
      <w:r w:rsidR="007E0285" w:rsidRPr="00AF2B10">
        <w:rPr>
          <w:rFonts w:asciiTheme="majorHAnsi" w:hAnsiTheme="majorHAnsi"/>
          <w:bCs/>
          <w:sz w:val="20"/>
          <w:szCs w:val="20"/>
          <w:lang w:val="es-ES_tradnl"/>
        </w:rPr>
        <w:t xml:space="preserve">diversas </w:t>
      </w:r>
      <w:r w:rsidR="00583254" w:rsidRPr="00AF2B10">
        <w:rPr>
          <w:rFonts w:asciiTheme="majorHAnsi" w:hAnsiTheme="majorHAnsi"/>
          <w:bCs/>
          <w:sz w:val="20"/>
          <w:szCs w:val="20"/>
          <w:lang w:val="es-ES_tradnl"/>
        </w:rPr>
        <w:t xml:space="preserve">diligencias de investigación para rescatarla. No obstante, el 28 de noviembre de 1982 </w:t>
      </w:r>
      <w:r w:rsidR="006F4533" w:rsidRPr="00AF2B10">
        <w:rPr>
          <w:rFonts w:asciiTheme="majorHAnsi" w:hAnsiTheme="majorHAnsi"/>
          <w:bCs/>
          <w:sz w:val="20"/>
          <w:szCs w:val="20"/>
          <w:lang w:val="es-ES_tradnl"/>
        </w:rPr>
        <w:t>su</w:t>
      </w:r>
      <w:r w:rsidR="00583254" w:rsidRPr="00AF2B10">
        <w:rPr>
          <w:rFonts w:asciiTheme="majorHAnsi" w:hAnsiTheme="majorHAnsi"/>
          <w:bCs/>
          <w:sz w:val="20"/>
          <w:szCs w:val="20"/>
          <w:lang w:val="es-ES_tradnl"/>
        </w:rPr>
        <w:t xml:space="preserve"> cadáver </w:t>
      </w:r>
      <w:r w:rsidR="006F4533" w:rsidRPr="00AF2B10">
        <w:rPr>
          <w:rFonts w:asciiTheme="majorHAnsi" w:hAnsiTheme="majorHAnsi"/>
          <w:bCs/>
          <w:sz w:val="20"/>
          <w:szCs w:val="20"/>
          <w:lang w:val="es-ES_tradnl"/>
        </w:rPr>
        <w:t>fue hallado</w:t>
      </w:r>
      <w:r w:rsidR="00583254" w:rsidRPr="00AF2B10">
        <w:rPr>
          <w:rFonts w:asciiTheme="majorHAnsi" w:hAnsiTheme="majorHAnsi"/>
          <w:bCs/>
          <w:sz w:val="20"/>
          <w:szCs w:val="20"/>
          <w:lang w:val="es-ES_tradnl"/>
        </w:rPr>
        <w:t xml:space="preserve"> cubierto con una manta marcada con las siglas ORP. </w:t>
      </w:r>
    </w:p>
    <w:p w14:paraId="5494E3F9" w14:textId="7A40FFEA" w:rsidR="009C47D5" w:rsidRPr="00AF2B10" w:rsidRDefault="00773ADD" w:rsidP="009C47D5">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 xml:space="preserve">De la información contenida en el expediente, se desprende que las investigaciones y el subsecuente proceso penal seguido contra los presuntos responsables del secuestro y asesinato de la señora Lara, se desarrolló de la siguiente manera: </w:t>
      </w:r>
    </w:p>
    <w:p w14:paraId="0F97343D" w14:textId="2BBBD18C" w:rsidR="009C47D5" w:rsidRPr="00AF2B10" w:rsidRDefault="00FD3818" w:rsidP="00A27001">
      <w:pPr>
        <w:pStyle w:val="ListParagraph"/>
        <w:numPr>
          <w:ilvl w:val="0"/>
          <w:numId w:val="66"/>
        </w:numPr>
        <w:spacing w:before="240" w:after="240"/>
        <w:ind w:left="0" w:firstLine="709"/>
        <w:jc w:val="both"/>
        <w:rPr>
          <w:sz w:val="20"/>
          <w:szCs w:val="20"/>
          <w:lang w:val="es-ES_tradnl"/>
        </w:rPr>
      </w:pPr>
      <w:r w:rsidRPr="00AF2B10">
        <w:rPr>
          <w:sz w:val="20"/>
          <w:szCs w:val="20"/>
          <w:lang w:val="es-ES_tradnl"/>
        </w:rPr>
        <w:t>Luego del hecho, e</w:t>
      </w:r>
      <w:r w:rsidR="0016332D" w:rsidRPr="00AF2B10">
        <w:rPr>
          <w:sz w:val="20"/>
          <w:szCs w:val="20"/>
          <w:lang w:val="es-ES_tradnl"/>
        </w:rPr>
        <w:t>n noviembre de 1982</w:t>
      </w:r>
      <w:r w:rsidR="00861658" w:rsidRPr="00AF2B10">
        <w:rPr>
          <w:sz w:val="20"/>
          <w:szCs w:val="20"/>
          <w:lang w:val="es-ES_tradnl"/>
        </w:rPr>
        <w:t xml:space="preserve"> e</w:t>
      </w:r>
      <w:r w:rsidR="00183E47" w:rsidRPr="00AF2B10">
        <w:rPr>
          <w:rFonts w:asciiTheme="majorHAnsi" w:hAnsiTheme="majorHAnsi"/>
          <w:bCs/>
          <w:sz w:val="20"/>
          <w:szCs w:val="20"/>
          <w:lang w:val="es-ES_tradnl"/>
        </w:rPr>
        <w:t xml:space="preserve">l Juzgado 47 de Instrucción Criminal </w:t>
      </w:r>
      <w:r w:rsidR="005555D0" w:rsidRPr="00AF2B10">
        <w:rPr>
          <w:rFonts w:asciiTheme="majorHAnsi" w:hAnsiTheme="majorHAnsi"/>
          <w:bCs/>
          <w:sz w:val="20"/>
          <w:szCs w:val="20"/>
          <w:lang w:val="es-ES_tradnl"/>
        </w:rPr>
        <w:t xml:space="preserve">inició </w:t>
      </w:r>
      <w:r w:rsidR="004C797B" w:rsidRPr="00AF2B10">
        <w:rPr>
          <w:rFonts w:asciiTheme="majorHAnsi" w:hAnsiTheme="majorHAnsi"/>
          <w:bCs/>
          <w:sz w:val="20"/>
          <w:szCs w:val="20"/>
          <w:lang w:val="es-ES_tradnl"/>
        </w:rPr>
        <w:t>la averiguación correspondiente.</w:t>
      </w:r>
      <w:r w:rsidR="00183E47" w:rsidRPr="00AF2B10">
        <w:rPr>
          <w:rFonts w:asciiTheme="majorHAnsi" w:hAnsiTheme="majorHAnsi"/>
          <w:bCs/>
          <w:sz w:val="20"/>
          <w:szCs w:val="20"/>
          <w:lang w:val="es-ES_tradnl"/>
        </w:rPr>
        <w:t xml:space="preserve"> </w:t>
      </w:r>
      <w:r w:rsidR="003422A8" w:rsidRPr="00AF2B10">
        <w:rPr>
          <w:rFonts w:asciiTheme="majorHAnsi" w:hAnsiTheme="majorHAnsi"/>
          <w:bCs/>
          <w:sz w:val="20"/>
          <w:szCs w:val="20"/>
          <w:lang w:val="es-ES_tradnl"/>
        </w:rPr>
        <w:t>Mediante</w:t>
      </w:r>
      <w:r w:rsidR="008141D8" w:rsidRPr="00AF2B10">
        <w:rPr>
          <w:rFonts w:asciiTheme="majorHAnsi" w:hAnsiTheme="majorHAnsi"/>
          <w:bCs/>
          <w:sz w:val="20"/>
          <w:szCs w:val="20"/>
          <w:lang w:val="es-ES_tradnl"/>
        </w:rPr>
        <w:t xml:space="preserve"> informe de 6 de diciembre de 1982 un detective </w:t>
      </w:r>
      <w:r w:rsidRPr="00AF2B10">
        <w:rPr>
          <w:rFonts w:asciiTheme="majorHAnsi" w:hAnsiTheme="majorHAnsi"/>
          <w:bCs/>
          <w:sz w:val="20"/>
          <w:szCs w:val="20"/>
          <w:lang w:val="es-ES_tradnl"/>
        </w:rPr>
        <w:t>del</w:t>
      </w:r>
      <w:r w:rsidR="008141D8" w:rsidRPr="00AF2B10">
        <w:rPr>
          <w:rFonts w:asciiTheme="majorHAnsi" w:hAnsiTheme="majorHAnsi"/>
          <w:bCs/>
          <w:sz w:val="20"/>
          <w:szCs w:val="20"/>
          <w:lang w:val="es-ES_tradnl"/>
        </w:rPr>
        <w:t xml:space="preserve"> Departamento Administrativo de Seguridad</w:t>
      </w:r>
      <w:r w:rsidR="00FB5656" w:rsidRPr="00AF2B10">
        <w:rPr>
          <w:rFonts w:asciiTheme="majorHAnsi" w:hAnsiTheme="majorHAnsi"/>
          <w:bCs/>
          <w:sz w:val="20"/>
          <w:szCs w:val="20"/>
          <w:lang w:val="es-ES_tradnl"/>
        </w:rPr>
        <w:t xml:space="preserve"> </w:t>
      </w:r>
      <w:r w:rsidR="00116B94" w:rsidRPr="00AF2B10">
        <w:rPr>
          <w:rFonts w:asciiTheme="majorHAnsi" w:hAnsiTheme="majorHAnsi"/>
          <w:bCs/>
          <w:sz w:val="20"/>
          <w:szCs w:val="20"/>
          <w:lang w:val="es-ES_tradnl"/>
        </w:rPr>
        <w:t>identificó y solicitó la captura de</w:t>
      </w:r>
      <w:r w:rsidR="003422A8" w:rsidRPr="00AF2B10">
        <w:rPr>
          <w:rFonts w:asciiTheme="majorHAnsi" w:hAnsiTheme="majorHAnsi"/>
          <w:bCs/>
          <w:sz w:val="20"/>
          <w:szCs w:val="20"/>
          <w:lang w:val="es-ES_tradnl"/>
        </w:rPr>
        <w:t xml:space="preserve"> los presuntos responsables del secuestro y asesinato de la señora Lara</w:t>
      </w:r>
      <w:r w:rsidR="009C47D5" w:rsidRPr="00AF2B10">
        <w:rPr>
          <w:rFonts w:asciiTheme="majorHAnsi" w:hAnsiTheme="majorHAnsi"/>
          <w:bCs/>
          <w:sz w:val="20"/>
          <w:szCs w:val="20"/>
          <w:lang w:val="es-ES_tradnl"/>
        </w:rPr>
        <w:t>. L</w:t>
      </w:r>
      <w:r w:rsidR="000A2EB1" w:rsidRPr="00AF2B10">
        <w:rPr>
          <w:rFonts w:asciiTheme="majorHAnsi" w:hAnsiTheme="majorHAnsi"/>
          <w:bCs/>
          <w:sz w:val="20"/>
          <w:szCs w:val="20"/>
          <w:lang w:val="es-ES_tradnl"/>
        </w:rPr>
        <w:t>os días</w:t>
      </w:r>
      <w:r w:rsidR="00183E47" w:rsidRPr="00AF2B10">
        <w:rPr>
          <w:rFonts w:asciiTheme="majorHAnsi" w:hAnsiTheme="majorHAnsi"/>
          <w:bCs/>
          <w:sz w:val="20"/>
          <w:szCs w:val="20"/>
          <w:lang w:val="es-ES_tradnl"/>
        </w:rPr>
        <w:t xml:space="preserve"> </w:t>
      </w:r>
      <w:r w:rsidR="0094711F" w:rsidRPr="00AF2B10">
        <w:rPr>
          <w:rFonts w:asciiTheme="majorHAnsi" w:hAnsiTheme="majorHAnsi"/>
          <w:bCs/>
          <w:sz w:val="20"/>
          <w:szCs w:val="20"/>
          <w:lang w:val="es-ES_tradnl"/>
        </w:rPr>
        <w:t>24</w:t>
      </w:r>
      <w:r w:rsidR="00183E47" w:rsidRPr="00AF2B10">
        <w:rPr>
          <w:rFonts w:asciiTheme="majorHAnsi" w:hAnsiTheme="majorHAnsi"/>
          <w:bCs/>
          <w:sz w:val="20"/>
          <w:szCs w:val="20"/>
          <w:lang w:val="es-ES_tradnl"/>
        </w:rPr>
        <w:t xml:space="preserve"> </w:t>
      </w:r>
      <w:r w:rsidR="00E057CB" w:rsidRPr="00AF2B10">
        <w:rPr>
          <w:rFonts w:asciiTheme="majorHAnsi" w:hAnsiTheme="majorHAnsi"/>
          <w:bCs/>
          <w:sz w:val="20"/>
          <w:szCs w:val="20"/>
          <w:lang w:val="es-ES_tradnl"/>
        </w:rPr>
        <w:t xml:space="preserve">y 29 </w:t>
      </w:r>
      <w:r w:rsidR="00183E47" w:rsidRPr="00AF2B10">
        <w:rPr>
          <w:rFonts w:asciiTheme="majorHAnsi" w:hAnsiTheme="majorHAnsi"/>
          <w:bCs/>
          <w:sz w:val="20"/>
          <w:szCs w:val="20"/>
          <w:lang w:val="es-ES_tradnl"/>
        </w:rPr>
        <w:t xml:space="preserve">de diciembre de 1982 </w:t>
      </w:r>
      <w:r w:rsidR="000E0C28" w:rsidRPr="00AF2B10">
        <w:rPr>
          <w:rFonts w:asciiTheme="majorHAnsi" w:hAnsiTheme="majorHAnsi"/>
          <w:bCs/>
          <w:sz w:val="20"/>
          <w:szCs w:val="20"/>
          <w:lang w:val="es-ES_tradnl"/>
        </w:rPr>
        <w:t xml:space="preserve">el </w:t>
      </w:r>
      <w:r w:rsidR="004A4748" w:rsidRPr="00AF2B10">
        <w:rPr>
          <w:rFonts w:asciiTheme="majorHAnsi" w:hAnsiTheme="majorHAnsi"/>
          <w:bCs/>
          <w:sz w:val="20"/>
          <w:szCs w:val="20"/>
          <w:lang w:val="es-ES_tradnl"/>
        </w:rPr>
        <w:t>referido juzgado</w:t>
      </w:r>
      <w:r w:rsidR="000E0C28" w:rsidRPr="00AF2B10">
        <w:rPr>
          <w:rFonts w:asciiTheme="majorHAnsi" w:hAnsiTheme="majorHAnsi"/>
          <w:bCs/>
          <w:sz w:val="20"/>
          <w:szCs w:val="20"/>
          <w:lang w:val="es-ES_tradnl"/>
        </w:rPr>
        <w:t xml:space="preserve"> determinó prisión preventiva en contra de </w:t>
      </w:r>
      <w:r w:rsidR="00E057CB" w:rsidRPr="00AF2B10">
        <w:rPr>
          <w:rFonts w:asciiTheme="majorHAnsi" w:hAnsiTheme="majorHAnsi"/>
          <w:bCs/>
          <w:sz w:val="20"/>
          <w:szCs w:val="20"/>
          <w:lang w:val="es-ES_tradnl"/>
        </w:rPr>
        <w:t>seis</w:t>
      </w:r>
      <w:r w:rsidR="000E0C28" w:rsidRPr="00AF2B10">
        <w:rPr>
          <w:rFonts w:asciiTheme="majorHAnsi" w:hAnsiTheme="majorHAnsi"/>
          <w:bCs/>
          <w:sz w:val="20"/>
          <w:szCs w:val="20"/>
          <w:lang w:val="es-ES_tradnl"/>
        </w:rPr>
        <w:t xml:space="preserve"> sujetos </w:t>
      </w:r>
      <w:r w:rsidR="00E057CB" w:rsidRPr="00AF2B10">
        <w:rPr>
          <w:rFonts w:asciiTheme="majorHAnsi" w:hAnsiTheme="majorHAnsi"/>
          <w:bCs/>
          <w:sz w:val="20"/>
          <w:szCs w:val="20"/>
          <w:lang w:val="es-ES_tradnl"/>
        </w:rPr>
        <w:t>por los delitos cometidos en perjuicio de la señora Lara</w:t>
      </w:r>
      <w:r w:rsidR="009C47D5" w:rsidRPr="00AF2B10">
        <w:rPr>
          <w:rFonts w:asciiTheme="majorHAnsi" w:hAnsiTheme="majorHAnsi"/>
          <w:bCs/>
          <w:sz w:val="20"/>
          <w:szCs w:val="20"/>
          <w:lang w:val="es-ES_tradnl"/>
        </w:rPr>
        <w:t>.</w:t>
      </w:r>
    </w:p>
    <w:p w14:paraId="3B675F36" w14:textId="4F70C8E5" w:rsidR="00A1097B" w:rsidRPr="00AF2B10" w:rsidRDefault="009C47D5" w:rsidP="00A27001">
      <w:pPr>
        <w:pStyle w:val="ListParagraph"/>
        <w:numPr>
          <w:ilvl w:val="0"/>
          <w:numId w:val="66"/>
        </w:numPr>
        <w:spacing w:before="240" w:after="240"/>
        <w:ind w:left="0" w:firstLine="709"/>
        <w:jc w:val="both"/>
        <w:rPr>
          <w:sz w:val="20"/>
          <w:szCs w:val="20"/>
          <w:lang w:val="es-ES_tradnl"/>
        </w:rPr>
      </w:pPr>
      <w:r w:rsidRPr="00AF2B10">
        <w:rPr>
          <w:rFonts w:asciiTheme="majorHAnsi" w:hAnsiTheme="majorHAnsi"/>
          <w:bCs/>
          <w:sz w:val="20"/>
          <w:szCs w:val="20"/>
          <w:lang w:val="es-ES_tradnl"/>
        </w:rPr>
        <w:t>E</w:t>
      </w:r>
      <w:r w:rsidR="00294950" w:rsidRPr="00AF2B10">
        <w:rPr>
          <w:rFonts w:asciiTheme="majorHAnsi" w:hAnsiTheme="majorHAnsi"/>
          <w:bCs/>
          <w:sz w:val="20"/>
          <w:szCs w:val="20"/>
          <w:lang w:val="es-ES_tradnl"/>
        </w:rPr>
        <w:t xml:space="preserve">l </w:t>
      </w:r>
      <w:r w:rsidR="0093641E" w:rsidRPr="00AF2B10">
        <w:rPr>
          <w:rFonts w:asciiTheme="majorHAnsi" w:hAnsiTheme="majorHAnsi"/>
          <w:bCs/>
          <w:sz w:val="20"/>
          <w:szCs w:val="20"/>
          <w:lang w:val="es-ES_tradnl"/>
        </w:rPr>
        <w:t>9</w:t>
      </w:r>
      <w:r w:rsidR="00294950" w:rsidRPr="00AF2B10">
        <w:rPr>
          <w:rFonts w:asciiTheme="majorHAnsi" w:hAnsiTheme="majorHAnsi"/>
          <w:bCs/>
          <w:sz w:val="20"/>
          <w:szCs w:val="20"/>
          <w:lang w:val="es-ES_tradnl"/>
        </w:rPr>
        <w:t xml:space="preserve"> de agosto de 1983 el Juzgado 16 Superior de Bogotá </w:t>
      </w:r>
      <w:r w:rsidR="0093641E" w:rsidRPr="00AF2B10">
        <w:rPr>
          <w:rFonts w:asciiTheme="majorHAnsi" w:hAnsiTheme="majorHAnsi"/>
          <w:bCs/>
          <w:sz w:val="20"/>
          <w:szCs w:val="20"/>
          <w:lang w:val="es-ES_tradnl"/>
        </w:rPr>
        <w:t>ordenó el cierre de la inves</w:t>
      </w:r>
      <w:r w:rsidR="000A2EB1" w:rsidRPr="00AF2B10">
        <w:rPr>
          <w:rFonts w:asciiTheme="majorHAnsi" w:hAnsiTheme="majorHAnsi"/>
          <w:bCs/>
          <w:sz w:val="20"/>
          <w:szCs w:val="20"/>
          <w:lang w:val="es-ES_tradnl"/>
        </w:rPr>
        <w:t>tigación</w:t>
      </w:r>
      <w:r w:rsidR="00FD3818" w:rsidRPr="00AF2B10">
        <w:rPr>
          <w:rFonts w:asciiTheme="majorHAnsi" w:hAnsiTheme="majorHAnsi"/>
          <w:bCs/>
          <w:sz w:val="20"/>
          <w:szCs w:val="20"/>
          <w:lang w:val="es-ES_tradnl"/>
        </w:rPr>
        <w:t>;</w:t>
      </w:r>
      <w:r w:rsidR="000A2EB1" w:rsidRPr="00AF2B10">
        <w:rPr>
          <w:rFonts w:asciiTheme="majorHAnsi" w:hAnsiTheme="majorHAnsi"/>
          <w:bCs/>
          <w:sz w:val="20"/>
          <w:szCs w:val="20"/>
          <w:lang w:val="es-ES_tradnl"/>
        </w:rPr>
        <w:t xml:space="preserve"> y </w:t>
      </w:r>
      <w:r w:rsidR="008752DF" w:rsidRPr="00AF2B10">
        <w:rPr>
          <w:rFonts w:asciiTheme="majorHAnsi" w:hAnsiTheme="majorHAnsi"/>
          <w:bCs/>
          <w:sz w:val="20"/>
          <w:szCs w:val="20"/>
          <w:lang w:val="es-ES_tradnl"/>
        </w:rPr>
        <w:t xml:space="preserve">el 3 de octubre </w:t>
      </w:r>
      <w:r w:rsidR="000A2EB1" w:rsidRPr="00AF2B10">
        <w:rPr>
          <w:rFonts w:asciiTheme="majorHAnsi" w:hAnsiTheme="majorHAnsi"/>
          <w:bCs/>
          <w:sz w:val="20"/>
          <w:szCs w:val="20"/>
          <w:lang w:val="es-ES_tradnl"/>
        </w:rPr>
        <w:t>revocó la prisión preventiva dictada en contra de nueve procesados por los delitos cometidos en contra de la señora Lara</w:t>
      </w:r>
      <w:r w:rsidR="008752DF" w:rsidRPr="00AF2B10">
        <w:rPr>
          <w:rFonts w:asciiTheme="majorHAnsi" w:hAnsiTheme="majorHAnsi"/>
          <w:bCs/>
          <w:sz w:val="20"/>
          <w:szCs w:val="20"/>
          <w:lang w:val="es-ES_tradnl"/>
        </w:rPr>
        <w:t>. E</w:t>
      </w:r>
      <w:r w:rsidR="00610E4C" w:rsidRPr="00AF2B10">
        <w:rPr>
          <w:rFonts w:asciiTheme="majorHAnsi" w:hAnsiTheme="majorHAnsi"/>
          <w:bCs/>
          <w:sz w:val="20"/>
          <w:szCs w:val="20"/>
          <w:lang w:val="es-ES_tradnl"/>
        </w:rPr>
        <w:t xml:space="preserve">l 29 de junio de 1985 el referido Juzgado Superior </w:t>
      </w:r>
      <w:r w:rsidRPr="00AF2B10">
        <w:rPr>
          <w:rFonts w:asciiTheme="majorHAnsi" w:hAnsiTheme="majorHAnsi"/>
          <w:bCs/>
          <w:sz w:val="20"/>
          <w:szCs w:val="20"/>
          <w:lang w:val="es-ES_tradnl"/>
        </w:rPr>
        <w:t xml:space="preserve">reabrió las investigaciones en contra </w:t>
      </w:r>
      <w:r w:rsidR="00A1097B" w:rsidRPr="00AF2B10">
        <w:rPr>
          <w:rFonts w:asciiTheme="majorHAnsi" w:hAnsiTheme="majorHAnsi"/>
          <w:bCs/>
          <w:sz w:val="20"/>
          <w:szCs w:val="20"/>
          <w:lang w:val="es-ES_tradnl"/>
        </w:rPr>
        <w:t>de los primeros imputados por su presunta coautoría en los delitos de secuestro y homicidio</w:t>
      </w:r>
      <w:r w:rsidR="00EF270A" w:rsidRPr="00AF2B10">
        <w:rPr>
          <w:rFonts w:asciiTheme="majorHAnsi" w:hAnsiTheme="majorHAnsi"/>
          <w:bCs/>
          <w:sz w:val="20"/>
          <w:szCs w:val="20"/>
          <w:lang w:val="es-ES_tradnl"/>
        </w:rPr>
        <w:t>.</w:t>
      </w:r>
    </w:p>
    <w:p w14:paraId="3E817B97" w14:textId="07EBF9D3" w:rsidR="00F852A0" w:rsidRPr="00AF2B10" w:rsidRDefault="00A1097B" w:rsidP="00A27001">
      <w:pPr>
        <w:pStyle w:val="ListParagraph"/>
        <w:numPr>
          <w:ilvl w:val="0"/>
          <w:numId w:val="66"/>
        </w:numPr>
        <w:spacing w:before="240" w:after="240"/>
        <w:ind w:left="0" w:firstLine="709"/>
        <w:jc w:val="both"/>
        <w:rPr>
          <w:sz w:val="20"/>
          <w:szCs w:val="20"/>
          <w:lang w:val="es-ES_tradnl"/>
        </w:rPr>
      </w:pPr>
      <w:r w:rsidRPr="00AF2B10">
        <w:rPr>
          <w:rFonts w:asciiTheme="majorHAnsi" w:hAnsiTheme="majorHAnsi"/>
          <w:bCs/>
          <w:sz w:val="20"/>
          <w:szCs w:val="20"/>
          <w:lang w:val="es-ES_tradnl"/>
        </w:rPr>
        <w:t xml:space="preserve">Apelando los imputados la reapertura de las investigaciones, el 6 de octubre de 1986 el Tribunal Superior de Bogotá sobreseyó de manera temporal el proceso iniciado en contra de tres de los imputados iniciales. En ese sentido, el 12 de </w:t>
      </w:r>
      <w:r w:rsidR="00AF6979" w:rsidRPr="00AF2B10">
        <w:rPr>
          <w:rFonts w:asciiTheme="majorHAnsi" w:hAnsiTheme="majorHAnsi"/>
          <w:bCs/>
          <w:sz w:val="20"/>
          <w:szCs w:val="20"/>
          <w:lang w:val="es-ES_tradnl"/>
        </w:rPr>
        <w:t xml:space="preserve">febrero de 1992 el Juzgado de Orden </w:t>
      </w:r>
      <w:r w:rsidR="00A24EC7" w:rsidRPr="00AF2B10">
        <w:rPr>
          <w:rFonts w:asciiTheme="majorHAnsi" w:hAnsiTheme="majorHAnsi"/>
          <w:bCs/>
          <w:sz w:val="20"/>
          <w:szCs w:val="20"/>
          <w:lang w:val="es-ES_tradnl"/>
        </w:rPr>
        <w:t xml:space="preserve">Público de la </w:t>
      </w:r>
      <w:r w:rsidR="00AA6176" w:rsidRPr="00AF2B10">
        <w:rPr>
          <w:rFonts w:asciiTheme="majorHAnsi" w:hAnsiTheme="majorHAnsi"/>
          <w:bCs/>
          <w:sz w:val="20"/>
          <w:szCs w:val="20"/>
          <w:lang w:val="es-ES_tradnl"/>
        </w:rPr>
        <w:t xml:space="preserve">Dirección </w:t>
      </w:r>
      <w:r w:rsidR="00A24EC7" w:rsidRPr="00AF2B10">
        <w:rPr>
          <w:rFonts w:asciiTheme="majorHAnsi" w:hAnsiTheme="majorHAnsi"/>
          <w:bCs/>
          <w:sz w:val="20"/>
          <w:szCs w:val="20"/>
          <w:lang w:val="es-ES_tradnl"/>
        </w:rPr>
        <w:t>Seccional de Bogotá absolvió a los procesados</w:t>
      </w:r>
      <w:r w:rsidR="00B94658" w:rsidRPr="00AF2B10">
        <w:rPr>
          <w:rFonts w:asciiTheme="majorHAnsi" w:hAnsiTheme="majorHAnsi"/>
          <w:bCs/>
          <w:sz w:val="20"/>
          <w:szCs w:val="20"/>
          <w:lang w:val="es-ES_tradnl"/>
        </w:rPr>
        <w:t xml:space="preserve">, </w:t>
      </w:r>
      <w:r w:rsidR="00232279" w:rsidRPr="00AF2B10">
        <w:rPr>
          <w:rFonts w:asciiTheme="majorHAnsi" w:hAnsiTheme="majorHAnsi"/>
          <w:bCs/>
          <w:sz w:val="20"/>
          <w:szCs w:val="20"/>
          <w:lang w:val="es-ES_tradnl"/>
        </w:rPr>
        <w:t xml:space="preserve">determinando </w:t>
      </w:r>
      <w:r w:rsidR="007A77EE" w:rsidRPr="00AF2B10">
        <w:rPr>
          <w:rFonts w:asciiTheme="majorHAnsi" w:hAnsiTheme="majorHAnsi"/>
          <w:bCs/>
          <w:sz w:val="20"/>
          <w:szCs w:val="20"/>
          <w:lang w:val="es-ES_tradnl"/>
        </w:rPr>
        <w:t>que su confesión se había obtenido mediante actos de tortura</w:t>
      </w:r>
      <w:r w:rsidR="00FD3818" w:rsidRPr="00AF2B10">
        <w:rPr>
          <w:rFonts w:asciiTheme="majorHAnsi" w:hAnsiTheme="majorHAnsi"/>
          <w:bCs/>
          <w:sz w:val="20"/>
          <w:szCs w:val="20"/>
          <w:lang w:val="es-ES_tradnl"/>
        </w:rPr>
        <w:t>,</w:t>
      </w:r>
      <w:r w:rsidR="007A77EE" w:rsidRPr="00AF2B10">
        <w:rPr>
          <w:rFonts w:asciiTheme="majorHAnsi" w:hAnsiTheme="majorHAnsi"/>
          <w:bCs/>
          <w:sz w:val="20"/>
          <w:szCs w:val="20"/>
          <w:lang w:val="es-ES_tradnl"/>
        </w:rPr>
        <w:t xml:space="preserve"> </w:t>
      </w:r>
      <w:r w:rsidR="00FD3818" w:rsidRPr="00AF2B10">
        <w:rPr>
          <w:rFonts w:asciiTheme="majorHAnsi" w:hAnsiTheme="majorHAnsi"/>
          <w:bCs/>
          <w:sz w:val="20"/>
          <w:szCs w:val="20"/>
          <w:lang w:val="es-ES_tradnl"/>
        </w:rPr>
        <w:t>por lo que estas</w:t>
      </w:r>
      <w:r w:rsidR="00903F3D" w:rsidRPr="00AF2B10">
        <w:rPr>
          <w:rFonts w:asciiTheme="majorHAnsi" w:hAnsiTheme="majorHAnsi"/>
          <w:bCs/>
          <w:sz w:val="20"/>
          <w:szCs w:val="20"/>
          <w:lang w:val="es-ES_tradnl"/>
        </w:rPr>
        <w:t xml:space="preserve"> </w:t>
      </w:r>
      <w:r w:rsidR="007A77EE" w:rsidRPr="00AF2B10">
        <w:rPr>
          <w:rFonts w:asciiTheme="majorHAnsi" w:hAnsiTheme="majorHAnsi"/>
          <w:bCs/>
          <w:sz w:val="20"/>
          <w:szCs w:val="20"/>
          <w:lang w:val="es-ES_tradnl"/>
        </w:rPr>
        <w:t xml:space="preserve">fueron excluidas del proceso. </w:t>
      </w:r>
    </w:p>
    <w:p w14:paraId="5FC160AE" w14:textId="28424D38" w:rsidR="00583254" w:rsidRPr="00AF2B10" w:rsidRDefault="00F852A0" w:rsidP="00A27001">
      <w:pPr>
        <w:pStyle w:val="ListParagraph"/>
        <w:numPr>
          <w:ilvl w:val="0"/>
          <w:numId w:val="66"/>
        </w:numPr>
        <w:spacing w:before="240" w:after="240"/>
        <w:ind w:left="0" w:firstLine="709"/>
        <w:jc w:val="both"/>
        <w:rPr>
          <w:sz w:val="20"/>
          <w:szCs w:val="20"/>
          <w:lang w:val="es-ES_tradnl"/>
        </w:rPr>
      </w:pPr>
      <w:r w:rsidRPr="00AF2B10">
        <w:rPr>
          <w:rFonts w:asciiTheme="majorHAnsi" w:hAnsiTheme="majorHAnsi"/>
          <w:bCs/>
          <w:sz w:val="20"/>
          <w:szCs w:val="20"/>
          <w:lang w:val="es-ES_tradnl"/>
        </w:rPr>
        <w:t xml:space="preserve">No conforme con ello, </w:t>
      </w:r>
      <w:r w:rsidR="00FD3818" w:rsidRPr="00AF2B10">
        <w:rPr>
          <w:rFonts w:asciiTheme="majorHAnsi" w:hAnsiTheme="majorHAnsi"/>
          <w:bCs/>
          <w:sz w:val="20"/>
          <w:szCs w:val="20"/>
          <w:lang w:val="es-ES_tradnl"/>
        </w:rPr>
        <w:t xml:space="preserve">el </w:t>
      </w:r>
      <w:r w:rsidRPr="00AF2B10">
        <w:rPr>
          <w:rFonts w:asciiTheme="majorHAnsi" w:hAnsiTheme="majorHAnsi"/>
          <w:bCs/>
          <w:sz w:val="20"/>
          <w:szCs w:val="20"/>
          <w:lang w:val="es-ES_tradnl"/>
        </w:rPr>
        <w:t>fiscal a cargo del caso apeló</w:t>
      </w:r>
      <w:r w:rsidR="00CE2356" w:rsidRPr="00AF2B10">
        <w:rPr>
          <w:rFonts w:asciiTheme="majorHAnsi" w:hAnsiTheme="majorHAnsi"/>
          <w:bCs/>
          <w:sz w:val="20"/>
          <w:szCs w:val="20"/>
          <w:lang w:val="es-ES_tradnl"/>
        </w:rPr>
        <w:t xml:space="preserve"> dicha resolución</w:t>
      </w:r>
      <w:r w:rsidRPr="00AF2B10">
        <w:rPr>
          <w:rFonts w:asciiTheme="majorHAnsi" w:hAnsiTheme="majorHAnsi"/>
          <w:bCs/>
          <w:sz w:val="20"/>
          <w:szCs w:val="20"/>
          <w:lang w:val="es-ES_tradnl"/>
        </w:rPr>
        <w:t xml:space="preserve">; </w:t>
      </w:r>
      <w:r w:rsidR="00676ACF" w:rsidRPr="00AF2B10">
        <w:rPr>
          <w:rFonts w:asciiTheme="majorHAnsi" w:hAnsiTheme="majorHAnsi"/>
          <w:bCs/>
          <w:sz w:val="20"/>
          <w:szCs w:val="20"/>
          <w:lang w:val="es-ES_tradnl"/>
        </w:rPr>
        <w:t>consecuentemente</w:t>
      </w:r>
      <w:r w:rsidR="00F24C9A" w:rsidRPr="00AF2B10">
        <w:rPr>
          <w:rFonts w:asciiTheme="majorHAnsi" w:hAnsiTheme="majorHAnsi"/>
          <w:bCs/>
          <w:sz w:val="20"/>
          <w:szCs w:val="20"/>
          <w:lang w:val="es-ES_tradnl"/>
        </w:rPr>
        <w:t>,</w:t>
      </w:r>
      <w:r w:rsidRPr="00AF2B10">
        <w:rPr>
          <w:rFonts w:asciiTheme="majorHAnsi" w:hAnsiTheme="majorHAnsi"/>
          <w:bCs/>
          <w:sz w:val="20"/>
          <w:szCs w:val="20"/>
          <w:lang w:val="es-ES_tradnl"/>
        </w:rPr>
        <w:t xml:space="preserve"> el</w:t>
      </w:r>
      <w:r w:rsidR="00CE2356" w:rsidRPr="00AF2B10">
        <w:rPr>
          <w:rFonts w:asciiTheme="majorHAnsi" w:hAnsiTheme="majorHAnsi"/>
          <w:bCs/>
          <w:sz w:val="20"/>
          <w:szCs w:val="20"/>
          <w:lang w:val="es-ES_tradnl"/>
        </w:rPr>
        <w:t xml:space="preserve"> 20 de agosto de 1992 el Tribunal Nacional </w:t>
      </w:r>
      <w:r w:rsidRPr="00AF2B10">
        <w:rPr>
          <w:rFonts w:asciiTheme="majorHAnsi" w:hAnsiTheme="majorHAnsi"/>
          <w:bCs/>
          <w:sz w:val="20"/>
          <w:szCs w:val="20"/>
          <w:lang w:val="es-ES_tradnl"/>
        </w:rPr>
        <w:t>revocó la sentencia que absolvió a los imputados y condenó a doce sujetos a veintiocho años de prisión por su coautoría en los delitos de homicidio y secuestro de la señora Lara. En esa misma sentencia, el referido tribunal condenó a cuatro sujetos más a doce años de prisión por el delito de secuestro extorsivo agravado</w:t>
      </w:r>
      <w:r w:rsidR="00A27001" w:rsidRPr="00AF2B10">
        <w:rPr>
          <w:rFonts w:asciiTheme="majorHAnsi" w:hAnsiTheme="majorHAnsi"/>
          <w:bCs/>
          <w:sz w:val="20"/>
          <w:szCs w:val="20"/>
          <w:lang w:val="es-ES_tradnl"/>
        </w:rPr>
        <w:t xml:space="preserve">, considerando en ambas condenas que las supuestas torturas en contra de los imputados no habían ocurrido. </w:t>
      </w:r>
    </w:p>
    <w:p w14:paraId="2B8BB04F" w14:textId="1299128C" w:rsidR="00A27001" w:rsidRPr="00AF2B10" w:rsidRDefault="00A27001" w:rsidP="00A27001">
      <w:pPr>
        <w:pStyle w:val="ListParagraph"/>
        <w:numPr>
          <w:ilvl w:val="0"/>
          <w:numId w:val="66"/>
        </w:numPr>
        <w:spacing w:before="240" w:after="240"/>
        <w:ind w:left="0" w:firstLine="709"/>
        <w:jc w:val="both"/>
        <w:rPr>
          <w:i/>
          <w:iCs/>
          <w:sz w:val="20"/>
          <w:szCs w:val="20"/>
          <w:lang w:val="es-ES_tradnl"/>
        </w:rPr>
      </w:pPr>
      <w:r w:rsidRPr="00AF2B10">
        <w:rPr>
          <w:rFonts w:asciiTheme="majorHAnsi" w:hAnsiTheme="majorHAnsi"/>
          <w:bCs/>
          <w:sz w:val="20"/>
          <w:szCs w:val="20"/>
          <w:lang w:val="es-ES_tradnl"/>
        </w:rPr>
        <w:t>En contra de las referidas condenas, los imputados interpusieron un recurso</w:t>
      </w:r>
      <w:r w:rsidR="00CC06AA" w:rsidRPr="00AF2B10">
        <w:rPr>
          <w:rFonts w:asciiTheme="majorHAnsi" w:hAnsiTheme="majorHAnsi"/>
          <w:bCs/>
          <w:sz w:val="20"/>
          <w:szCs w:val="20"/>
          <w:lang w:val="es-ES_tradnl"/>
        </w:rPr>
        <w:t xml:space="preserve"> extraordinario</w:t>
      </w:r>
      <w:r w:rsidRPr="00AF2B10">
        <w:rPr>
          <w:rFonts w:asciiTheme="majorHAnsi" w:hAnsiTheme="majorHAnsi"/>
          <w:bCs/>
          <w:sz w:val="20"/>
          <w:szCs w:val="20"/>
          <w:lang w:val="es-ES_tradnl"/>
        </w:rPr>
        <w:t xml:space="preserve"> de casación ante la Corte Suprema de Justicia, argumentando que la acción penal había prescrito. En sentencia de 18 de febrero de 1998 la Sala de Casación Penal de la Corte Suprema de Justicia </w:t>
      </w:r>
      <w:r w:rsidR="001C356E" w:rsidRPr="00AF2B10">
        <w:rPr>
          <w:rFonts w:asciiTheme="majorHAnsi" w:hAnsiTheme="majorHAnsi"/>
          <w:bCs/>
          <w:sz w:val="20"/>
          <w:szCs w:val="20"/>
          <w:lang w:val="es-ES_tradnl"/>
        </w:rPr>
        <w:t xml:space="preserve">cesó el procedimiento en favor de los dieciséis acusados, </w:t>
      </w:r>
      <w:r w:rsidR="00B46C1D" w:rsidRPr="00AF2B10">
        <w:rPr>
          <w:rFonts w:asciiTheme="majorHAnsi" w:hAnsiTheme="majorHAnsi"/>
          <w:bCs/>
          <w:sz w:val="20"/>
          <w:szCs w:val="20"/>
          <w:lang w:val="es-ES_tradnl"/>
        </w:rPr>
        <w:t>considerando</w:t>
      </w:r>
      <w:r w:rsidRPr="00AF2B10">
        <w:rPr>
          <w:rFonts w:asciiTheme="majorHAnsi" w:hAnsiTheme="majorHAnsi"/>
          <w:bCs/>
          <w:sz w:val="20"/>
          <w:szCs w:val="20"/>
          <w:lang w:val="es-ES_tradnl"/>
        </w:rPr>
        <w:t xml:space="preserve"> que: </w:t>
      </w:r>
    </w:p>
    <w:p w14:paraId="25C9F15E" w14:textId="76958D44" w:rsidR="004C177B" w:rsidRPr="00AF2B10" w:rsidRDefault="00A27001" w:rsidP="004C17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AF2B10">
        <w:rPr>
          <w:rFonts w:ascii="Cambria" w:hAnsi="Cambria"/>
          <w:sz w:val="20"/>
          <w:szCs w:val="20"/>
          <w:lang w:val="es-ES_tradnl"/>
        </w:rPr>
        <w:lastRenderedPageBreak/>
        <w:t xml:space="preserve">[…] </w:t>
      </w:r>
      <w:r w:rsidR="004C177B" w:rsidRPr="00AF2B10">
        <w:rPr>
          <w:rFonts w:ascii="Cambria" w:hAnsi="Cambria"/>
          <w:sz w:val="20"/>
          <w:szCs w:val="20"/>
          <w:lang w:val="es-ES_tradnl"/>
        </w:rPr>
        <w:t xml:space="preserve">De conformidad con los artículos 268 y 270 el término inicial de prescripción sería de veinte años, supuesto que </w:t>
      </w:r>
      <w:r w:rsidR="00877068" w:rsidRPr="00AF2B10">
        <w:rPr>
          <w:rFonts w:ascii="Cambria" w:hAnsi="Cambria"/>
          <w:sz w:val="20"/>
          <w:szCs w:val="20"/>
          <w:lang w:val="es-ES_tradnl"/>
        </w:rPr>
        <w:t xml:space="preserve">el </w:t>
      </w:r>
      <w:r w:rsidR="004C177B" w:rsidRPr="00AF2B10">
        <w:rPr>
          <w:rFonts w:ascii="Cambria" w:hAnsi="Cambria"/>
          <w:sz w:val="20"/>
          <w:szCs w:val="20"/>
          <w:lang w:val="es-ES_tradnl"/>
        </w:rPr>
        <w:t xml:space="preserve">máximo de pena dispuesta en la ley se fija en 22 años y seis meses, lo cual significa que, si el auto de cargos quedó en firme el 6 de octubre de 1986, el nuevo lapso de prescripción que se establece en diez años (la mitad) quedó consumado el 7 de octubre de 1996, cuando el expediente estaba a disposición de la Delegada para concepto. </w:t>
      </w:r>
    </w:p>
    <w:p w14:paraId="7B2DC420" w14:textId="0BD798D5" w:rsidR="004C177B" w:rsidRPr="00AF2B10" w:rsidRDefault="004C177B" w:rsidP="004C17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AF2B10">
        <w:rPr>
          <w:rFonts w:ascii="Cambria" w:hAnsi="Cambria"/>
          <w:sz w:val="20"/>
          <w:szCs w:val="20"/>
          <w:lang w:val="es-ES_tradnl"/>
        </w:rPr>
        <w:t xml:space="preserve">Igual operación y determinación cabe en lo que se refiere al delito de homicidio agravado, pues, si el máximo de pena consagrado en el texto original del artículo 324 del Código Penal era de 30 años de prisión, significa que el lapso de prescripción, después de </w:t>
      </w:r>
      <w:r w:rsidR="004672A7" w:rsidRPr="00AF2B10">
        <w:rPr>
          <w:rFonts w:ascii="Cambria" w:hAnsi="Cambria"/>
          <w:sz w:val="20"/>
          <w:szCs w:val="20"/>
          <w:lang w:val="es-ES_tradnl"/>
        </w:rPr>
        <w:t>afirmando</w:t>
      </w:r>
      <w:r w:rsidRPr="00AF2B10">
        <w:rPr>
          <w:rFonts w:ascii="Cambria" w:hAnsi="Cambria"/>
          <w:sz w:val="20"/>
          <w:szCs w:val="20"/>
          <w:lang w:val="es-ES_tradnl"/>
        </w:rPr>
        <w:t xml:space="preserve"> el llamamiento a juicio, era de diez (10) años</w:t>
      </w:r>
      <w:r w:rsidR="004672A7" w:rsidRPr="00AF2B10">
        <w:rPr>
          <w:rFonts w:ascii="Cambria" w:hAnsi="Cambria"/>
          <w:sz w:val="20"/>
          <w:szCs w:val="20"/>
          <w:lang w:val="es-ES_tradnl"/>
        </w:rPr>
        <w:t>.</w:t>
      </w:r>
    </w:p>
    <w:p w14:paraId="55D75E3C" w14:textId="49090C68" w:rsidR="00A27001" w:rsidRPr="00AF2B10" w:rsidRDefault="00A27001" w:rsidP="004C17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AF2B10">
        <w:rPr>
          <w:rFonts w:ascii="Cambria" w:hAnsi="Cambria"/>
          <w:sz w:val="20"/>
          <w:szCs w:val="20"/>
          <w:lang w:val="es-ES_tradnl"/>
        </w:rPr>
        <w:t xml:space="preserve">Para la Sala no queda alternativa diferente a la de declarar la consumación del término de prescripción de la acción penal, fenómeno que obsta el ejercicio de la acción penal en cualquiera de las fases o sedes del proceso penal y, en consecuencia, se decretará la cesación de procedimiento </w:t>
      </w:r>
      <w:r w:rsidR="00AA1482" w:rsidRPr="00AF2B10">
        <w:rPr>
          <w:rFonts w:ascii="Cambria" w:hAnsi="Cambria"/>
          <w:sz w:val="20"/>
          <w:szCs w:val="20"/>
          <w:lang w:val="es-ES_tradnl"/>
        </w:rPr>
        <w:t xml:space="preserve">en favor de todos los enjuiciados, acorde con el artículo 36 del Código de Procedimiento Penal. Así mismo, la Secretaría del Tribunal Nacional deberá explicar la tardanza en el envío del expediente, efecto para el cual se expedirán copias para la jurisdicción </w:t>
      </w:r>
      <w:r w:rsidR="001E1233" w:rsidRPr="00AF2B10">
        <w:rPr>
          <w:rFonts w:ascii="Cambria" w:hAnsi="Cambria"/>
          <w:sz w:val="20"/>
          <w:szCs w:val="20"/>
          <w:lang w:val="es-ES_tradnl"/>
        </w:rPr>
        <w:t>disciplinaria</w:t>
      </w:r>
      <w:r w:rsidR="00AA1482" w:rsidRPr="00AF2B10">
        <w:rPr>
          <w:rFonts w:ascii="Cambria" w:hAnsi="Cambria"/>
          <w:sz w:val="20"/>
          <w:szCs w:val="20"/>
          <w:lang w:val="es-ES_tradnl"/>
        </w:rPr>
        <w:t>.</w:t>
      </w:r>
    </w:p>
    <w:p w14:paraId="4C387EEF" w14:textId="0B7BADCF" w:rsidR="00CC06AA" w:rsidRPr="00AF2B10" w:rsidRDefault="002F79B6" w:rsidP="00CC06AA">
      <w:pPr>
        <w:pStyle w:val="ListParagraph"/>
        <w:numPr>
          <w:ilvl w:val="0"/>
          <w:numId w:val="66"/>
        </w:numPr>
        <w:spacing w:before="240" w:after="240"/>
        <w:ind w:left="0" w:firstLine="709"/>
        <w:jc w:val="both"/>
        <w:rPr>
          <w:sz w:val="20"/>
          <w:szCs w:val="20"/>
          <w:lang w:val="es-ES_tradnl"/>
        </w:rPr>
      </w:pPr>
      <w:r w:rsidRPr="00AF2B10">
        <w:rPr>
          <w:sz w:val="20"/>
          <w:szCs w:val="20"/>
          <w:lang w:val="es-ES_tradnl"/>
        </w:rPr>
        <w:t>Los peticionarios expresan que más de doce años después</w:t>
      </w:r>
      <w:r w:rsidR="00CC06AA" w:rsidRPr="00AF2B10">
        <w:rPr>
          <w:sz w:val="20"/>
          <w:szCs w:val="20"/>
          <w:lang w:val="es-ES_tradnl"/>
        </w:rPr>
        <w:t xml:space="preserve">, el </w:t>
      </w:r>
      <w:r w:rsidR="003A0E00" w:rsidRPr="00AF2B10">
        <w:rPr>
          <w:sz w:val="20"/>
          <w:szCs w:val="20"/>
          <w:lang w:val="es-ES_tradnl"/>
        </w:rPr>
        <w:t xml:space="preserve">12 de mayo de 2010 el </w:t>
      </w:r>
      <w:r w:rsidR="00CC06AA" w:rsidRPr="00AF2B10">
        <w:rPr>
          <w:sz w:val="20"/>
          <w:szCs w:val="20"/>
          <w:lang w:val="es-ES_tradnl"/>
        </w:rPr>
        <w:t>Procurador Séptimo Judicial</w:t>
      </w:r>
      <w:r w:rsidR="00B2301A" w:rsidRPr="00AF2B10">
        <w:rPr>
          <w:sz w:val="20"/>
          <w:szCs w:val="20"/>
          <w:lang w:val="es-ES_tradnl"/>
        </w:rPr>
        <w:t xml:space="preserve"> II</w:t>
      </w:r>
      <w:r w:rsidR="00CC06AA" w:rsidRPr="00AF2B10">
        <w:rPr>
          <w:sz w:val="20"/>
          <w:szCs w:val="20"/>
          <w:lang w:val="es-ES_tradnl"/>
        </w:rPr>
        <w:t xml:space="preserve"> </w:t>
      </w:r>
      <w:r w:rsidR="004672A7" w:rsidRPr="00AF2B10">
        <w:rPr>
          <w:sz w:val="20"/>
          <w:szCs w:val="20"/>
          <w:lang w:val="es-ES_tradnl"/>
        </w:rPr>
        <w:t xml:space="preserve">de Bogotá </w:t>
      </w:r>
      <w:r w:rsidR="00CC06AA" w:rsidRPr="00AF2B10">
        <w:rPr>
          <w:sz w:val="20"/>
          <w:szCs w:val="20"/>
          <w:lang w:val="es-ES_tradnl"/>
        </w:rPr>
        <w:t xml:space="preserve">interpuso </w:t>
      </w:r>
      <w:r w:rsidR="00D12AFB" w:rsidRPr="00AF2B10">
        <w:rPr>
          <w:sz w:val="20"/>
          <w:szCs w:val="20"/>
          <w:lang w:val="es-ES_tradnl"/>
        </w:rPr>
        <w:t>demanda</w:t>
      </w:r>
      <w:r w:rsidRPr="00AF2B10">
        <w:rPr>
          <w:sz w:val="20"/>
          <w:szCs w:val="20"/>
          <w:lang w:val="es-ES_tradnl"/>
        </w:rPr>
        <w:t xml:space="preserve"> </w:t>
      </w:r>
      <w:r w:rsidR="00CC06AA" w:rsidRPr="00AF2B10">
        <w:rPr>
          <w:sz w:val="20"/>
          <w:szCs w:val="20"/>
          <w:lang w:val="es-ES_tradnl"/>
        </w:rPr>
        <w:t xml:space="preserve">de revisión </w:t>
      </w:r>
      <w:r w:rsidRPr="00AF2B10">
        <w:rPr>
          <w:sz w:val="20"/>
          <w:szCs w:val="20"/>
          <w:lang w:val="es-ES_tradnl"/>
        </w:rPr>
        <w:t xml:space="preserve">en contra de la resolución emitida </w:t>
      </w:r>
      <w:r w:rsidR="0007450B" w:rsidRPr="00AF2B10">
        <w:rPr>
          <w:sz w:val="20"/>
          <w:szCs w:val="20"/>
          <w:lang w:val="es-ES_tradnl"/>
        </w:rPr>
        <w:t xml:space="preserve">en 1998 </w:t>
      </w:r>
      <w:r w:rsidRPr="00AF2B10">
        <w:rPr>
          <w:sz w:val="20"/>
          <w:szCs w:val="20"/>
          <w:lang w:val="es-ES_tradnl"/>
        </w:rPr>
        <w:t>por la Corte Suprema de Justicia</w:t>
      </w:r>
      <w:r w:rsidR="00446B53" w:rsidRPr="00AF2B10">
        <w:rPr>
          <w:sz w:val="20"/>
          <w:szCs w:val="20"/>
          <w:lang w:val="es-ES_tradnl"/>
        </w:rPr>
        <w:t>,</w:t>
      </w:r>
      <w:r w:rsidRPr="00AF2B10">
        <w:rPr>
          <w:sz w:val="20"/>
          <w:szCs w:val="20"/>
          <w:lang w:val="es-ES_tradnl"/>
        </w:rPr>
        <w:t xml:space="preserve"> </w:t>
      </w:r>
      <w:r w:rsidR="00CC06AA" w:rsidRPr="00AF2B10">
        <w:rPr>
          <w:sz w:val="20"/>
          <w:szCs w:val="20"/>
          <w:lang w:val="es-ES_tradnl"/>
        </w:rPr>
        <w:t xml:space="preserve">alegando principalmente </w:t>
      </w:r>
      <w:r w:rsidRPr="00AF2B10">
        <w:rPr>
          <w:sz w:val="20"/>
          <w:szCs w:val="20"/>
          <w:lang w:val="es-ES_tradnl"/>
        </w:rPr>
        <w:t>que los</w:t>
      </w:r>
      <w:r w:rsidR="00CC06AA" w:rsidRPr="00AF2B10">
        <w:rPr>
          <w:sz w:val="20"/>
          <w:szCs w:val="20"/>
          <w:lang w:val="es-ES_tradnl"/>
        </w:rPr>
        <w:t xml:space="preserve"> delitos </w:t>
      </w:r>
      <w:r w:rsidRPr="00AF2B10">
        <w:rPr>
          <w:sz w:val="20"/>
          <w:szCs w:val="20"/>
          <w:lang w:val="es-ES_tradnl"/>
        </w:rPr>
        <w:t xml:space="preserve">cometidos contra la señora Lara </w:t>
      </w:r>
      <w:r w:rsidR="00265184" w:rsidRPr="00AF2B10">
        <w:rPr>
          <w:sz w:val="20"/>
          <w:szCs w:val="20"/>
          <w:lang w:val="es-ES_tradnl"/>
        </w:rPr>
        <w:t>son</w:t>
      </w:r>
      <w:r w:rsidRPr="00AF2B10">
        <w:rPr>
          <w:sz w:val="20"/>
          <w:szCs w:val="20"/>
          <w:lang w:val="es-ES_tradnl"/>
        </w:rPr>
        <w:t xml:space="preserve"> de</w:t>
      </w:r>
      <w:r w:rsidR="00CC06AA" w:rsidRPr="00AF2B10">
        <w:rPr>
          <w:sz w:val="20"/>
          <w:szCs w:val="20"/>
          <w:lang w:val="es-ES_tradnl"/>
        </w:rPr>
        <w:t xml:space="preserve"> lesa humanidad</w:t>
      </w:r>
      <w:r w:rsidR="00446B53" w:rsidRPr="00AF2B10">
        <w:rPr>
          <w:sz w:val="20"/>
          <w:szCs w:val="20"/>
          <w:lang w:val="es-ES_tradnl"/>
        </w:rPr>
        <w:t>,</w:t>
      </w:r>
      <w:r w:rsidR="00CC06AA" w:rsidRPr="00AF2B10">
        <w:rPr>
          <w:sz w:val="20"/>
          <w:szCs w:val="20"/>
          <w:lang w:val="es-ES_tradnl"/>
        </w:rPr>
        <w:t xml:space="preserve"> y por tanto </w:t>
      </w:r>
      <w:r w:rsidR="00F4455E" w:rsidRPr="00AF2B10">
        <w:rPr>
          <w:sz w:val="20"/>
          <w:szCs w:val="20"/>
          <w:lang w:val="es-ES_tradnl"/>
        </w:rPr>
        <w:t>tienen</w:t>
      </w:r>
      <w:r w:rsidR="003A0E00" w:rsidRPr="00AF2B10">
        <w:rPr>
          <w:sz w:val="20"/>
          <w:szCs w:val="20"/>
          <w:lang w:val="es-ES_tradnl"/>
        </w:rPr>
        <w:t xml:space="preserve"> el carácter de imprescriptibles. No obstante, e</w:t>
      </w:r>
      <w:r w:rsidR="00D12AFB" w:rsidRPr="00AF2B10">
        <w:rPr>
          <w:sz w:val="20"/>
          <w:szCs w:val="20"/>
          <w:lang w:val="es-ES_tradnl"/>
        </w:rPr>
        <w:t>l 23 de mayo de 2012 la Sala de Casación Penal de la Corte Suprema de Justicia inadmitió la</w:t>
      </w:r>
      <w:r w:rsidR="00090248" w:rsidRPr="00AF2B10">
        <w:rPr>
          <w:sz w:val="20"/>
          <w:szCs w:val="20"/>
          <w:lang w:val="es-ES_tradnl"/>
        </w:rPr>
        <w:t xml:space="preserve"> demanda de revisión al considerar que en el caso de la señora Lara no se </w:t>
      </w:r>
      <w:r w:rsidR="0015248B" w:rsidRPr="00AF2B10">
        <w:rPr>
          <w:sz w:val="20"/>
          <w:szCs w:val="20"/>
          <w:lang w:val="es-ES_tradnl"/>
        </w:rPr>
        <w:t>configuraron</w:t>
      </w:r>
      <w:r w:rsidR="00090248" w:rsidRPr="00AF2B10">
        <w:rPr>
          <w:sz w:val="20"/>
          <w:szCs w:val="20"/>
          <w:lang w:val="es-ES_tradnl"/>
        </w:rPr>
        <w:t xml:space="preserve"> </w:t>
      </w:r>
      <w:r w:rsidR="0015248B" w:rsidRPr="00AF2B10">
        <w:rPr>
          <w:sz w:val="20"/>
          <w:szCs w:val="20"/>
          <w:lang w:val="es-ES_tradnl"/>
        </w:rPr>
        <w:t>crímenes</w:t>
      </w:r>
      <w:r w:rsidR="00090248" w:rsidRPr="00AF2B10">
        <w:rPr>
          <w:sz w:val="20"/>
          <w:szCs w:val="20"/>
          <w:lang w:val="es-ES_tradnl"/>
        </w:rPr>
        <w:t xml:space="preserve"> de lesa humanidad, por lo que no procede la imprescriptibilidad de las conductas </w:t>
      </w:r>
      <w:r w:rsidR="00C461D5" w:rsidRPr="00AF2B10">
        <w:rPr>
          <w:sz w:val="20"/>
          <w:szCs w:val="20"/>
          <w:lang w:val="es-ES_tradnl"/>
        </w:rPr>
        <w:t>delictivas</w:t>
      </w:r>
      <w:r w:rsidR="00090248" w:rsidRPr="00AF2B10">
        <w:rPr>
          <w:sz w:val="20"/>
          <w:szCs w:val="20"/>
          <w:lang w:val="es-ES_tradnl"/>
        </w:rPr>
        <w:t xml:space="preserve">. </w:t>
      </w:r>
    </w:p>
    <w:p w14:paraId="2F1B5A35" w14:textId="428FDCE2" w:rsidR="002715F9" w:rsidRPr="00AF2B10" w:rsidRDefault="00024CD1" w:rsidP="00C04631">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La parte peticionaria alega</w:t>
      </w:r>
      <w:r w:rsidR="00C04631" w:rsidRPr="00AF2B10">
        <w:rPr>
          <w:sz w:val="20"/>
          <w:szCs w:val="20"/>
          <w:lang w:val="es-ES_tradnl"/>
        </w:rPr>
        <w:t xml:space="preserve"> que la acción penal seguida en contra de los dieciséis imputados por los delitos de secuestro y homicidio en perjuicio de la señora Lara prescribió debido a que el envío del expediente ante la Corte Suprema de Justicia, al momento de analizar el recurso de casación interpuesto por los imputados, se retardó por más de seis años, prescribiendo en ese lapso los delitos imputados a los referidos sujetos procesados</w:t>
      </w:r>
      <w:r w:rsidR="00CC5DE1" w:rsidRPr="00AF2B10">
        <w:rPr>
          <w:sz w:val="20"/>
          <w:szCs w:val="20"/>
          <w:lang w:val="es-ES_tradnl"/>
        </w:rPr>
        <w:t>,</w:t>
      </w:r>
      <w:r w:rsidR="00926C5F" w:rsidRPr="00AF2B10">
        <w:rPr>
          <w:sz w:val="20"/>
          <w:szCs w:val="20"/>
          <w:lang w:val="es-ES_tradnl"/>
        </w:rPr>
        <w:t xml:space="preserve"> </w:t>
      </w:r>
      <w:r w:rsidR="00CC5DE1" w:rsidRPr="00AF2B10">
        <w:rPr>
          <w:sz w:val="20"/>
          <w:szCs w:val="20"/>
          <w:lang w:val="es-ES_tradnl"/>
        </w:rPr>
        <w:t>cesando el proceso penal seguido en su contra</w:t>
      </w:r>
      <w:r w:rsidR="00926C5F" w:rsidRPr="00AF2B10">
        <w:rPr>
          <w:sz w:val="20"/>
          <w:szCs w:val="20"/>
          <w:lang w:val="es-ES_tradnl"/>
        </w:rPr>
        <w:t xml:space="preserve">; </w:t>
      </w:r>
      <w:r w:rsidR="00CC5DE1" w:rsidRPr="00AF2B10">
        <w:rPr>
          <w:sz w:val="20"/>
          <w:szCs w:val="20"/>
          <w:lang w:val="es-ES_tradnl"/>
        </w:rPr>
        <w:t>dejando en impunidad el homicidio de la señora Lara</w:t>
      </w:r>
      <w:r w:rsidR="00C04631" w:rsidRPr="00AF2B10">
        <w:rPr>
          <w:sz w:val="20"/>
          <w:szCs w:val="20"/>
          <w:lang w:val="es-ES_tradnl"/>
        </w:rPr>
        <w:t>.</w:t>
      </w:r>
      <w:r w:rsidRPr="00AF2B10">
        <w:rPr>
          <w:sz w:val="20"/>
          <w:szCs w:val="20"/>
          <w:lang w:val="es-ES_tradnl"/>
        </w:rPr>
        <w:t xml:space="preserve"> Por la misma razón</w:t>
      </w:r>
      <w:r w:rsidR="00926C5F" w:rsidRPr="00AF2B10">
        <w:rPr>
          <w:sz w:val="20"/>
          <w:szCs w:val="20"/>
          <w:lang w:val="es-ES_tradnl"/>
        </w:rPr>
        <w:t>,</w:t>
      </w:r>
      <w:r w:rsidRPr="00AF2B10">
        <w:rPr>
          <w:sz w:val="20"/>
          <w:szCs w:val="20"/>
          <w:lang w:val="es-ES_tradnl"/>
        </w:rPr>
        <w:t xml:space="preserve"> considera</w:t>
      </w:r>
      <w:r w:rsidR="001044C0" w:rsidRPr="00AF2B10">
        <w:rPr>
          <w:sz w:val="20"/>
          <w:szCs w:val="20"/>
          <w:lang w:val="es-ES_tradnl"/>
        </w:rPr>
        <w:t>n</w:t>
      </w:r>
      <w:r w:rsidRPr="00AF2B10">
        <w:rPr>
          <w:sz w:val="20"/>
          <w:szCs w:val="20"/>
          <w:lang w:val="es-ES_tradnl"/>
        </w:rPr>
        <w:t xml:space="preserve"> que las excepciones al requisito de agotamiento de los recursos internos previstas en el artículo 46.2 de la Convención Americana resultan aplicables a la presente petición. </w:t>
      </w:r>
    </w:p>
    <w:p w14:paraId="525171E4" w14:textId="56E1C152" w:rsidR="004C3564" w:rsidRPr="00AF2B10" w:rsidRDefault="00E75985" w:rsidP="00B86D47">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El Estado</w:t>
      </w:r>
      <w:r w:rsidR="0097182F" w:rsidRPr="00AF2B10">
        <w:rPr>
          <w:sz w:val="20"/>
          <w:szCs w:val="20"/>
          <w:lang w:val="es-ES_tradnl"/>
        </w:rPr>
        <w:t xml:space="preserve"> colombiano</w:t>
      </w:r>
      <w:r w:rsidRPr="00AF2B10">
        <w:rPr>
          <w:sz w:val="20"/>
          <w:szCs w:val="20"/>
          <w:lang w:val="es-ES_tradnl"/>
        </w:rPr>
        <w:t xml:space="preserve">, </w:t>
      </w:r>
      <w:r w:rsidR="0097182F" w:rsidRPr="00AF2B10">
        <w:rPr>
          <w:sz w:val="20"/>
          <w:szCs w:val="20"/>
          <w:lang w:val="es-ES_tradnl"/>
        </w:rPr>
        <w:t>por su parte</w:t>
      </w:r>
      <w:r w:rsidRPr="00AF2B10">
        <w:rPr>
          <w:sz w:val="20"/>
          <w:szCs w:val="20"/>
          <w:lang w:val="es-ES_tradnl"/>
        </w:rPr>
        <w:t xml:space="preserve">, pide que la petición sea declarada inadmisible </w:t>
      </w:r>
      <w:r w:rsidR="0097182F" w:rsidRPr="00AF2B10">
        <w:rPr>
          <w:sz w:val="20"/>
          <w:szCs w:val="20"/>
          <w:lang w:val="es-ES_tradnl"/>
        </w:rPr>
        <w:t>alegando</w:t>
      </w:r>
      <w:r w:rsidR="004C3564" w:rsidRPr="00AF2B10">
        <w:rPr>
          <w:sz w:val="20"/>
          <w:szCs w:val="20"/>
          <w:lang w:val="es-ES_tradnl"/>
        </w:rPr>
        <w:t xml:space="preserve"> que</w:t>
      </w:r>
      <w:r w:rsidRPr="00AF2B10">
        <w:rPr>
          <w:sz w:val="20"/>
          <w:szCs w:val="20"/>
          <w:lang w:val="es-ES_tradnl"/>
        </w:rPr>
        <w:t xml:space="preserve">: </w:t>
      </w:r>
      <w:r w:rsidR="004C3564" w:rsidRPr="00AF2B10">
        <w:rPr>
          <w:sz w:val="20"/>
          <w:szCs w:val="20"/>
          <w:lang w:val="es-ES_tradnl"/>
        </w:rPr>
        <w:t>(</w:t>
      </w:r>
      <w:r w:rsidR="00334131" w:rsidRPr="00AF2B10">
        <w:rPr>
          <w:sz w:val="20"/>
          <w:szCs w:val="20"/>
          <w:lang w:val="es-ES_tradnl"/>
        </w:rPr>
        <w:t>a</w:t>
      </w:r>
      <w:r w:rsidR="004C3564" w:rsidRPr="00AF2B10">
        <w:rPr>
          <w:sz w:val="20"/>
          <w:szCs w:val="20"/>
          <w:lang w:val="es-ES_tradnl"/>
        </w:rPr>
        <w:t xml:space="preserve">) </w:t>
      </w:r>
      <w:r w:rsidR="0097182F" w:rsidRPr="00AF2B10">
        <w:rPr>
          <w:sz w:val="20"/>
          <w:szCs w:val="20"/>
          <w:lang w:val="es-ES_tradnl"/>
        </w:rPr>
        <w:t xml:space="preserve">esta </w:t>
      </w:r>
      <w:r w:rsidR="00DA1470" w:rsidRPr="00AF2B10">
        <w:rPr>
          <w:sz w:val="20"/>
          <w:szCs w:val="20"/>
          <w:lang w:val="es-ES_tradnl"/>
        </w:rPr>
        <w:t>incumple con el</w:t>
      </w:r>
      <w:r w:rsidR="004C3564" w:rsidRPr="00AF2B10">
        <w:rPr>
          <w:sz w:val="20"/>
          <w:szCs w:val="20"/>
          <w:lang w:val="es-ES_tradnl"/>
        </w:rPr>
        <w:t xml:space="preserve"> plazo de seis meses previsto en el artículo 46.1.b) de la Convención Americana, </w:t>
      </w:r>
      <w:r w:rsidR="0097182F" w:rsidRPr="00AF2B10">
        <w:rPr>
          <w:sz w:val="20"/>
          <w:szCs w:val="20"/>
          <w:lang w:val="es-ES_tradnl"/>
        </w:rPr>
        <w:t>siendo</w:t>
      </w:r>
      <w:r w:rsidR="004C3564" w:rsidRPr="00AF2B10">
        <w:rPr>
          <w:sz w:val="20"/>
          <w:szCs w:val="20"/>
          <w:lang w:val="es-ES_tradnl"/>
        </w:rPr>
        <w:t xml:space="preserve"> </w:t>
      </w:r>
      <w:r w:rsidR="001C7618" w:rsidRPr="00AF2B10">
        <w:rPr>
          <w:sz w:val="20"/>
          <w:szCs w:val="20"/>
          <w:lang w:val="es-ES_tradnl"/>
        </w:rPr>
        <w:t>extempor</w:t>
      </w:r>
      <w:r w:rsidR="00843D52" w:rsidRPr="00AF2B10">
        <w:rPr>
          <w:sz w:val="20"/>
          <w:szCs w:val="20"/>
          <w:lang w:val="es-ES_tradnl"/>
        </w:rPr>
        <w:t>ánea</w:t>
      </w:r>
      <w:r w:rsidR="001C7618" w:rsidRPr="00AF2B10">
        <w:rPr>
          <w:sz w:val="20"/>
          <w:szCs w:val="20"/>
          <w:lang w:val="es-ES_tradnl"/>
        </w:rPr>
        <w:t>; (</w:t>
      </w:r>
      <w:r w:rsidR="00B86D47" w:rsidRPr="00AF2B10">
        <w:rPr>
          <w:sz w:val="20"/>
          <w:szCs w:val="20"/>
          <w:lang w:val="es-ES_tradnl"/>
        </w:rPr>
        <w:t xml:space="preserve">b) los hechos alegados en la </w:t>
      </w:r>
      <w:r w:rsidR="0097182F" w:rsidRPr="00AF2B10">
        <w:rPr>
          <w:sz w:val="20"/>
          <w:szCs w:val="20"/>
          <w:lang w:val="es-ES_tradnl"/>
        </w:rPr>
        <w:t>petición</w:t>
      </w:r>
      <w:r w:rsidR="00B86D47" w:rsidRPr="00AF2B10">
        <w:rPr>
          <w:sz w:val="20"/>
          <w:szCs w:val="20"/>
          <w:lang w:val="es-ES_tradnl"/>
        </w:rPr>
        <w:t xml:space="preserve"> no caracterizan violaciones a los derechos consagrados en la Convención Americana</w:t>
      </w:r>
      <w:r w:rsidR="00886422" w:rsidRPr="00AF2B10">
        <w:rPr>
          <w:sz w:val="20"/>
          <w:szCs w:val="20"/>
          <w:lang w:val="es-ES_tradnl"/>
        </w:rPr>
        <w:t xml:space="preserve">; </w:t>
      </w:r>
      <w:r w:rsidR="006C036A" w:rsidRPr="00AF2B10">
        <w:rPr>
          <w:sz w:val="20"/>
          <w:szCs w:val="20"/>
          <w:lang w:val="es-ES_tradnl"/>
        </w:rPr>
        <w:t xml:space="preserve">y </w:t>
      </w:r>
      <w:r w:rsidR="00886422" w:rsidRPr="00AF2B10">
        <w:rPr>
          <w:sz w:val="20"/>
          <w:szCs w:val="20"/>
          <w:lang w:val="es-ES_tradnl"/>
        </w:rPr>
        <w:t>(c) no se agotaron los recursos disponibles en el ámbito doméstico</w:t>
      </w:r>
      <w:r w:rsidR="001C7618" w:rsidRPr="00AF2B10">
        <w:rPr>
          <w:sz w:val="20"/>
          <w:szCs w:val="20"/>
          <w:lang w:val="es-ES_tradnl"/>
        </w:rPr>
        <w:t>.</w:t>
      </w:r>
    </w:p>
    <w:p w14:paraId="4C3A59A5" w14:textId="0DB620AF" w:rsidR="00B86D47" w:rsidRPr="00AF2B10" w:rsidRDefault="00DD08C5" w:rsidP="00CC06AA">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 xml:space="preserve">En lo referente a la extemporaneidad de la petición, </w:t>
      </w:r>
      <w:r w:rsidR="00124521" w:rsidRPr="00AF2B10">
        <w:rPr>
          <w:sz w:val="20"/>
          <w:szCs w:val="20"/>
          <w:lang w:val="es-ES_tradnl"/>
        </w:rPr>
        <w:t xml:space="preserve">Colombia </w:t>
      </w:r>
      <w:r w:rsidRPr="00AF2B10">
        <w:rPr>
          <w:sz w:val="20"/>
          <w:szCs w:val="20"/>
          <w:lang w:val="es-ES_tradnl"/>
        </w:rPr>
        <w:t>argumenta que</w:t>
      </w:r>
      <w:r w:rsidR="00B86D47" w:rsidRPr="00AF2B10">
        <w:rPr>
          <w:sz w:val="20"/>
          <w:szCs w:val="20"/>
          <w:lang w:val="es-ES_tradnl"/>
        </w:rPr>
        <w:t xml:space="preserve"> el 18 de febrero de 1998 la Corte Suprema de Justicia determinó que la acción penal seguida contra los perpetradores del secuestro y homicidio de la señora Lara había prescrito, estableciendo el cese del procedimiento penal en contra de todos los imputados</w:t>
      </w:r>
      <w:r w:rsidR="00124521" w:rsidRPr="00AF2B10">
        <w:rPr>
          <w:sz w:val="20"/>
          <w:szCs w:val="20"/>
          <w:lang w:val="es-ES_tradnl"/>
        </w:rPr>
        <w:t>;</w:t>
      </w:r>
      <w:r w:rsidR="00B86D47" w:rsidRPr="00AF2B10">
        <w:rPr>
          <w:sz w:val="20"/>
          <w:szCs w:val="20"/>
          <w:lang w:val="es-ES_tradnl"/>
        </w:rPr>
        <w:t xml:space="preserve"> y por tanto, considera que </w:t>
      </w:r>
      <w:r w:rsidR="005B1208" w:rsidRPr="00AF2B10">
        <w:rPr>
          <w:sz w:val="20"/>
          <w:szCs w:val="20"/>
          <w:lang w:val="es-ES_tradnl"/>
        </w:rPr>
        <w:t>es esta</w:t>
      </w:r>
      <w:r w:rsidR="00B86D47" w:rsidRPr="00AF2B10">
        <w:rPr>
          <w:sz w:val="20"/>
          <w:szCs w:val="20"/>
          <w:lang w:val="es-ES_tradnl"/>
        </w:rPr>
        <w:t xml:space="preserve"> resolución </w:t>
      </w:r>
      <w:r w:rsidR="005B1208" w:rsidRPr="00AF2B10">
        <w:rPr>
          <w:sz w:val="20"/>
          <w:szCs w:val="20"/>
          <w:lang w:val="es-ES_tradnl"/>
        </w:rPr>
        <w:t>la que se debe tomar en cuenta</w:t>
      </w:r>
      <w:r w:rsidR="00B86D47" w:rsidRPr="00AF2B10">
        <w:rPr>
          <w:sz w:val="20"/>
          <w:szCs w:val="20"/>
          <w:lang w:val="es-ES_tradnl"/>
        </w:rPr>
        <w:t xml:space="preserve"> a e</w:t>
      </w:r>
      <w:r w:rsidR="005B1208" w:rsidRPr="00AF2B10">
        <w:rPr>
          <w:sz w:val="20"/>
          <w:szCs w:val="20"/>
          <w:lang w:val="es-ES_tradnl"/>
        </w:rPr>
        <w:t>f</w:t>
      </w:r>
      <w:r w:rsidR="00B86D47" w:rsidRPr="00AF2B10">
        <w:rPr>
          <w:sz w:val="20"/>
          <w:szCs w:val="20"/>
          <w:lang w:val="es-ES_tradnl"/>
        </w:rPr>
        <w:t xml:space="preserve">ectos de calcular el </w:t>
      </w:r>
      <w:r w:rsidR="005B1208" w:rsidRPr="00AF2B10">
        <w:rPr>
          <w:sz w:val="20"/>
          <w:szCs w:val="20"/>
          <w:lang w:val="es-ES_tradnl"/>
        </w:rPr>
        <w:t>plazo</w:t>
      </w:r>
      <w:r w:rsidR="00B86D47" w:rsidRPr="00AF2B10">
        <w:rPr>
          <w:sz w:val="20"/>
          <w:szCs w:val="20"/>
          <w:lang w:val="es-ES_tradnl"/>
        </w:rPr>
        <w:t xml:space="preserve"> de seis meses previsto en el artículo 46</w:t>
      </w:r>
      <w:r w:rsidR="005B1208" w:rsidRPr="00AF2B10">
        <w:rPr>
          <w:sz w:val="20"/>
          <w:szCs w:val="20"/>
          <w:lang w:val="es-ES_tradnl"/>
        </w:rPr>
        <w:t>.1</w:t>
      </w:r>
      <w:r w:rsidR="00E84316" w:rsidRPr="00AF2B10">
        <w:rPr>
          <w:sz w:val="20"/>
          <w:szCs w:val="20"/>
          <w:lang w:val="es-ES_tradnl"/>
        </w:rPr>
        <w:t>.</w:t>
      </w:r>
      <w:r w:rsidR="005B1208" w:rsidRPr="00AF2B10">
        <w:rPr>
          <w:sz w:val="20"/>
          <w:szCs w:val="20"/>
          <w:lang w:val="es-ES_tradnl"/>
        </w:rPr>
        <w:t xml:space="preserve">b) de la Convención. </w:t>
      </w:r>
    </w:p>
    <w:p w14:paraId="6353FDE5" w14:textId="64B97E7B" w:rsidR="002309CE" w:rsidRPr="00AF2B10" w:rsidRDefault="008A0BD8" w:rsidP="00C37DBF">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 xml:space="preserve">En cuanto a la </w:t>
      </w:r>
      <w:r w:rsidR="00124521" w:rsidRPr="00AF2B10">
        <w:rPr>
          <w:sz w:val="20"/>
          <w:szCs w:val="20"/>
          <w:lang w:val="es-ES_tradnl"/>
        </w:rPr>
        <w:t xml:space="preserve">alegada </w:t>
      </w:r>
      <w:r w:rsidRPr="00AF2B10">
        <w:rPr>
          <w:sz w:val="20"/>
          <w:szCs w:val="20"/>
          <w:lang w:val="es-ES_tradnl"/>
        </w:rPr>
        <w:t>falta de caracterización</w:t>
      </w:r>
      <w:r w:rsidR="002309CE" w:rsidRPr="00AF2B10">
        <w:rPr>
          <w:sz w:val="20"/>
          <w:szCs w:val="20"/>
          <w:lang w:val="es-ES_tradnl"/>
        </w:rPr>
        <w:t xml:space="preserve">, aduce que la parte peticionaria no controvierte que, conforme a lo establecido en el derecho aplicable, la acción penal </w:t>
      </w:r>
      <w:r w:rsidR="00D7572E" w:rsidRPr="00AF2B10">
        <w:rPr>
          <w:sz w:val="20"/>
          <w:szCs w:val="20"/>
          <w:lang w:val="es-ES_tradnl"/>
        </w:rPr>
        <w:t>prescribió</w:t>
      </w:r>
      <w:r w:rsidR="002309CE" w:rsidRPr="00AF2B10">
        <w:rPr>
          <w:sz w:val="20"/>
          <w:szCs w:val="20"/>
          <w:lang w:val="es-ES_tradnl"/>
        </w:rPr>
        <w:t xml:space="preserve"> a los diez años; que la Corte Suprema de Justicia aplicó dicho término de prescripción de manera correcta; y no explican las razones por las cuales consideran que un término de prescripción de diez años para ese tipo de delitos es contrario a los derechos consagrados en la Convención Americana.</w:t>
      </w:r>
      <w:r w:rsidR="00C37DBF" w:rsidRPr="00AF2B10">
        <w:rPr>
          <w:sz w:val="20"/>
          <w:szCs w:val="20"/>
          <w:lang w:val="es-ES_tradnl"/>
        </w:rPr>
        <w:t xml:space="preserve"> </w:t>
      </w:r>
      <w:r w:rsidR="002309CE" w:rsidRPr="00AF2B10">
        <w:rPr>
          <w:sz w:val="20"/>
          <w:szCs w:val="20"/>
          <w:lang w:val="es-ES_tradnl"/>
        </w:rPr>
        <w:t>En ese mismo sentido, respecto al proceso penal seguido en contra de los imputados, señala que si bien la sentencia de primera instancia se dictó casi diez años después de haber ocurrido el asesinato de la señora Lara, este periodo no corresponde a una falencia o falta de diligencia de las autoridades judiciales, sino que se deriva de la complejidad del asunto</w:t>
      </w:r>
      <w:r w:rsidR="00856654" w:rsidRPr="00AF2B10">
        <w:rPr>
          <w:sz w:val="20"/>
          <w:szCs w:val="20"/>
          <w:lang w:val="es-ES_tradnl"/>
        </w:rPr>
        <w:t xml:space="preserve">. En particular, señala que: “[…] </w:t>
      </w:r>
      <w:r w:rsidR="00856654" w:rsidRPr="00AF2B10">
        <w:rPr>
          <w:i/>
          <w:iCs/>
          <w:sz w:val="20"/>
          <w:szCs w:val="20"/>
          <w:lang w:val="es-ES_tradnl"/>
        </w:rPr>
        <w:t xml:space="preserve">la Corte Suprema de Justicia indicó que al tiempo de los hechos se encontraba perturbado el orden </w:t>
      </w:r>
      <w:r w:rsidR="00590814" w:rsidRPr="00AF2B10">
        <w:rPr>
          <w:i/>
          <w:iCs/>
          <w:sz w:val="20"/>
          <w:szCs w:val="20"/>
          <w:lang w:val="es-ES_tradnl"/>
        </w:rPr>
        <w:t>público,</w:t>
      </w:r>
      <w:r w:rsidR="00856654" w:rsidRPr="00AF2B10">
        <w:rPr>
          <w:i/>
          <w:iCs/>
          <w:sz w:val="20"/>
          <w:szCs w:val="20"/>
          <w:lang w:val="es-ES_tradnl"/>
        </w:rPr>
        <w:t xml:space="preserve"> lo cual </w:t>
      </w:r>
      <w:r w:rsidR="00856654" w:rsidRPr="00AF2B10">
        <w:rPr>
          <w:i/>
          <w:iCs/>
          <w:sz w:val="20"/>
          <w:szCs w:val="20"/>
          <w:lang w:val="es-ES_tradnl"/>
        </w:rPr>
        <w:lastRenderedPageBreak/>
        <w:t>motivó que se profirieran numerosas leyes destinadas a sortear esta situación, las cuales tenían influencia directa en los trámites penales</w:t>
      </w:r>
      <w:r w:rsidR="00056F3D" w:rsidRPr="00AF2B10">
        <w:rPr>
          <w:i/>
          <w:iCs/>
          <w:sz w:val="20"/>
          <w:szCs w:val="20"/>
          <w:lang w:val="es-ES_tradnl"/>
        </w:rPr>
        <w:t>”</w:t>
      </w:r>
      <w:r w:rsidR="007D01FE" w:rsidRPr="00AF2B10">
        <w:rPr>
          <w:sz w:val="20"/>
          <w:szCs w:val="20"/>
          <w:lang w:val="es-ES_tradnl"/>
        </w:rPr>
        <w:t xml:space="preserve">. Por lo tanto, concluye que </w:t>
      </w:r>
      <w:r w:rsidR="00193708" w:rsidRPr="00AF2B10">
        <w:rPr>
          <w:sz w:val="20"/>
          <w:szCs w:val="20"/>
          <w:lang w:val="es-ES_tradnl"/>
        </w:rPr>
        <w:t xml:space="preserve">el alegato de los peticionarios relativo a la prescripción penal no </w:t>
      </w:r>
      <w:r w:rsidR="00590814" w:rsidRPr="00AF2B10">
        <w:rPr>
          <w:sz w:val="20"/>
          <w:szCs w:val="20"/>
          <w:lang w:val="es-ES_tradnl"/>
        </w:rPr>
        <w:t>es</w:t>
      </w:r>
      <w:r w:rsidR="00193708" w:rsidRPr="00AF2B10">
        <w:rPr>
          <w:sz w:val="20"/>
          <w:szCs w:val="20"/>
          <w:lang w:val="es-ES_tradnl"/>
        </w:rPr>
        <w:t xml:space="preserve"> imputable al Estado, máxime que en el proceso penal se desarrolló de manera normal.</w:t>
      </w:r>
    </w:p>
    <w:p w14:paraId="5FFCD054" w14:textId="5B83527B" w:rsidR="00196758" w:rsidRPr="00AF2B10" w:rsidRDefault="00CD36A4" w:rsidP="00B83A0D">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Con r</w:t>
      </w:r>
      <w:r w:rsidR="00886422" w:rsidRPr="00AF2B10">
        <w:rPr>
          <w:sz w:val="20"/>
          <w:szCs w:val="20"/>
          <w:lang w:val="es-ES_tradnl"/>
        </w:rPr>
        <w:t>especto a la falta de agotamiento de los recursos internos</w:t>
      </w:r>
      <w:r w:rsidR="00C250E6" w:rsidRPr="00AF2B10">
        <w:rPr>
          <w:sz w:val="20"/>
          <w:szCs w:val="20"/>
          <w:lang w:val="es-ES_tradnl"/>
        </w:rPr>
        <w:t>,</w:t>
      </w:r>
      <w:r w:rsidR="00590814" w:rsidRPr="00AF2B10">
        <w:rPr>
          <w:sz w:val="20"/>
          <w:szCs w:val="20"/>
          <w:lang w:val="es-ES_tradnl"/>
        </w:rPr>
        <w:t xml:space="preserve"> Colombia aduce, </w:t>
      </w:r>
      <w:r w:rsidR="00886422" w:rsidRPr="00AF2B10">
        <w:rPr>
          <w:sz w:val="20"/>
          <w:szCs w:val="20"/>
          <w:lang w:val="es-ES_tradnl"/>
        </w:rPr>
        <w:t xml:space="preserve">por una parte, que </w:t>
      </w:r>
      <w:r w:rsidR="00C37DBF" w:rsidRPr="00AF2B10">
        <w:rPr>
          <w:sz w:val="20"/>
          <w:szCs w:val="20"/>
          <w:lang w:val="es-ES_tradnl"/>
        </w:rPr>
        <w:t xml:space="preserve">la acción de revisión interpuesta </w:t>
      </w:r>
      <w:r w:rsidRPr="00AF2B10">
        <w:rPr>
          <w:sz w:val="20"/>
          <w:szCs w:val="20"/>
          <w:lang w:val="es-ES_tradnl"/>
        </w:rPr>
        <w:t>en</w:t>
      </w:r>
      <w:r w:rsidR="00C37DBF" w:rsidRPr="00AF2B10">
        <w:rPr>
          <w:sz w:val="20"/>
          <w:szCs w:val="20"/>
          <w:lang w:val="es-ES_tradnl"/>
        </w:rPr>
        <w:t xml:space="preserve"> contra de la sentencia de casación fue presentada por el Ministerio Público y no por </w:t>
      </w:r>
      <w:r w:rsidR="001A7F1E" w:rsidRPr="00AF2B10">
        <w:rPr>
          <w:sz w:val="20"/>
          <w:szCs w:val="20"/>
          <w:lang w:val="es-ES_tradnl"/>
        </w:rPr>
        <w:t>los peticionarios</w:t>
      </w:r>
      <w:r w:rsidR="00B83A0D" w:rsidRPr="00AF2B10">
        <w:rPr>
          <w:sz w:val="20"/>
          <w:szCs w:val="20"/>
          <w:lang w:val="es-ES_tradnl"/>
        </w:rPr>
        <w:t xml:space="preserve">. Además, que </w:t>
      </w:r>
      <w:r w:rsidR="00886422" w:rsidRPr="00AF2B10">
        <w:rPr>
          <w:sz w:val="20"/>
          <w:szCs w:val="20"/>
          <w:lang w:val="es-ES_tradnl"/>
        </w:rPr>
        <w:t>en contra del auto emitido por la Corte Suprema de Justicia</w:t>
      </w:r>
      <w:r w:rsidR="00C250E6" w:rsidRPr="00AF2B10">
        <w:rPr>
          <w:sz w:val="20"/>
          <w:szCs w:val="20"/>
          <w:lang w:val="es-ES_tradnl"/>
        </w:rPr>
        <w:t xml:space="preserve"> que</w:t>
      </w:r>
      <w:r w:rsidR="00886422" w:rsidRPr="00AF2B10">
        <w:rPr>
          <w:sz w:val="20"/>
          <w:szCs w:val="20"/>
          <w:lang w:val="es-ES_tradnl"/>
        </w:rPr>
        <w:t xml:space="preserve"> declaró la prescripción de la acción penal</w:t>
      </w:r>
      <w:r w:rsidR="0049329B" w:rsidRPr="00AF2B10">
        <w:rPr>
          <w:sz w:val="20"/>
          <w:szCs w:val="20"/>
          <w:lang w:val="es-ES_tradnl"/>
        </w:rPr>
        <w:t>, los peticionarios tenían a su disposición el recurso</w:t>
      </w:r>
      <w:r w:rsidR="00886422" w:rsidRPr="00AF2B10">
        <w:rPr>
          <w:sz w:val="20"/>
          <w:szCs w:val="20"/>
          <w:lang w:val="es-ES_tradnl"/>
        </w:rPr>
        <w:t xml:space="preserve"> de reposición</w:t>
      </w:r>
      <w:r w:rsidR="0049329B" w:rsidRPr="00AF2B10">
        <w:rPr>
          <w:sz w:val="20"/>
          <w:szCs w:val="20"/>
          <w:lang w:val="es-ES_tradnl"/>
        </w:rPr>
        <w:t>,</w:t>
      </w:r>
      <w:r w:rsidR="00886422" w:rsidRPr="00AF2B10">
        <w:rPr>
          <w:sz w:val="20"/>
          <w:szCs w:val="20"/>
          <w:lang w:val="es-ES_tradnl"/>
        </w:rPr>
        <w:t xml:space="preserve"> </w:t>
      </w:r>
      <w:r w:rsidR="00127F9D" w:rsidRPr="00AF2B10">
        <w:rPr>
          <w:sz w:val="20"/>
          <w:szCs w:val="20"/>
          <w:lang w:val="es-ES_tradnl"/>
        </w:rPr>
        <w:t>el cual tiene como objeto que la misma autoridad que emitió la decisión, corrija los e</w:t>
      </w:r>
      <w:r w:rsidR="00DF23A0" w:rsidRPr="00AF2B10">
        <w:rPr>
          <w:sz w:val="20"/>
          <w:szCs w:val="20"/>
          <w:lang w:val="es-ES_tradnl"/>
        </w:rPr>
        <w:t>rrore</w:t>
      </w:r>
      <w:r w:rsidR="00127F9D" w:rsidRPr="00AF2B10">
        <w:rPr>
          <w:sz w:val="20"/>
          <w:szCs w:val="20"/>
          <w:lang w:val="es-ES_tradnl"/>
        </w:rPr>
        <w:t xml:space="preserve">s en los que hubiere podido incurrir antes de que la misma sea conocida por otra autoridad judicial. </w:t>
      </w:r>
      <w:r w:rsidR="00DB18E6" w:rsidRPr="00AF2B10">
        <w:rPr>
          <w:sz w:val="20"/>
          <w:szCs w:val="20"/>
          <w:lang w:val="es-ES_tradnl"/>
        </w:rPr>
        <w:t>Además, aduce que los peticionarios también tenían a su disposición la acción de tutela</w:t>
      </w:r>
      <w:r w:rsidR="001963A6" w:rsidRPr="00AF2B10">
        <w:rPr>
          <w:sz w:val="20"/>
          <w:szCs w:val="20"/>
          <w:lang w:val="es-ES_tradnl"/>
        </w:rPr>
        <w:t xml:space="preserve">, la cual es procedente contra decisiones judiciales que se considera han vulnerado las garantías del debido proceso. </w:t>
      </w:r>
      <w:r w:rsidR="00196758" w:rsidRPr="00AF2B10">
        <w:rPr>
          <w:sz w:val="20"/>
          <w:szCs w:val="20"/>
          <w:lang w:val="es-ES_tradnl"/>
        </w:rPr>
        <w:t xml:space="preserve">Además, respecto al reclamo relativo a la falta de investigación contra las autoridades responsables del dilatado traslado del expediente a la Corte de Suprema de Justicia, aduce que los peticionarios tenían a su disposición la acción de reparación directa, </w:t>
      </w:r>
      <w:r w:rsidR="002C500E" w:rsidRPr="00AF2B10">
        <w:rPr>
          <w:sz w:val="20"/>
          <w:szCs w:val="20"/>
          <w:lang w:val="es-ES_tradnl"/>
        </w:rPr>
        <w:t>estableciendo que</w:t>
      </w:r>
      <w:r w:rsidR="00196758" w:rsidRPr="00AF2B10">
        <w:rPr>
          <w:sz w:val="20"/>
          <w:szCs w:val="20"/>
          <w:lang w:val="es-ES_tradnl"/>
        </w:rPr>
        <w:t xml:space="preserve"> es </w:t>
      </w:r>
      <w:r w:rsidR="0042643B" w:rsidRPr="00AF2B10">
        <w:rPr>
          <w:sz w:val="20"/>
          <w:szCs w:val="20"/>
          <w:lang w:val="es-ES_tradnl"/>
        </w:rPr>
        <w:t xml:space="preserve">la </w:t>
      </w:r>
      <w:r w:rsidR="00196758" w:rsidRPr="00AF2B10">
        <w:rPr>
          <w:sz w:val="20"/>
          <w:szCs w:val="20"/>
          <w:lang w:val="es-ES_tradnl"/>
        </w:rPr>
        <w:t>adecuada “</w:t>
      </w:r>
      <w:r w:rsidR="00196758" w:rsidRPr="00AF2B10">
        <w:rPr>
          <w:i/>
          <w:iCs/>
          <w:sz w:val="20"/>
          <w:szCs w:val="20"/>
          <w:lang w:val="es-ES_tradnl"/>
        </w:rPr>
        <w:t>para que los particulares sean reparados por el defectuoso funcionamiento de la administración de justicia</w:t>
      </w:r>
      <w:r w:rsidR="00196758" w:rsidRPr="00AF2B10">
        <w:rPr>
          <w:sz w:val="20"/>
          <w:szCs w:val="20"/>
          <w:lang w:val="es-ES_tradnl"/>
        </w:rPr>
        <w:t>”</w:t>
      </w:r>
      <w:r w:rsidR="006C4A03" w:rsidRPr="00AF2B10">
        <w:rPr>
          <w:sz w:val="20"/>
          <w:szCs w:val="20"/>
          <w:lang w:val="es-ES_tradnl"/>
        </w:rPr>
        <w:t>.</w:t>
      </w:r>
    </w:p>
    <w:p w14:paraId="51F68C92" w14:textId="77777777" w:rsidR="003239B8" w:rsidRPr="00AF2B10" w:rsidRDefault="003239B8" w:rsidP="003239B8">
      <w:pPr>
        <w:spacing w:before="240" w:after="240"/>
        <w:ind w:firstLine="720"/>
        <w:jc w:val="both"/>
        <w:rPr>
          <w:rFonts w:ascii="Cambria" w:hAnsi="Cambria"/>
          <w:sz w:val="20"/>
          <w:szCs w:val="20"/>
          <w:lang w:val="es-ES_tradnl"/>
        </w:rPr>
      </w:pPr>
      <w:r w:rsidRPr="00AF2B10">
        <w:rPr>
          <w:rFonts w:asciiTheme="majorHAnsi" w:eastAsia="Cambria" w:hAnsiTheme="majorHAnsi" w:cs="Cambria"/>
          <w:b/>
          <w:bCs/>
          <w:color w:val="000000"/>
          <w:sz w:val="20"/>
          <w:szCs w:val="20"/>
          <w:u w:color="000000"/>
          <w:lang w:val="es-ES_tradnl" w:eastAsia="es-ES"/>
        </w:rPr>
        <w:t>VI.</w:t>
      </w:r>
      <w:r w:rsidRPr="00AF2B10">
        <w:rPr>
          <w:rFonts w:asciiTheme="majorHAnsi" w:eastAsia="Cambria" w:hAnsiTheme="majorHAnsi" w:cs="Cambria"/>
          <w:b/>
          <w:bCs/>
          <w:color w:val="000000"/>
          <w:sz w:val="20"/>
          <w:szCs w:val="20"/>
          <w:u w:color="000000"/>
          <w:lang w:val="es-ES_tradnl" w:eastAsia="es-ES"/>
        </w:rPr>
        <w:tab/>
      </w:r>
      <w:r w:rsidR="004A6A54" w:rsidRPr="00AF2B10">
        <w:rPr>
          <w:rFonts w:asciiTheme="majorHAnsi" w:hAnsiTheme="majorHAnsi"/>
          <w:b/>
          <w:bCs/>
          <w:sz w:val="20"/>
          <w:szCs w:val="20"/>
          <w:lang w:val="es-ES_tradnl"/>
        </w:rPr>
        <w:t xml:space="preserve">ANÁLISIS DE </w:t>
      </w:r>
      <w:r w:rsidR="00C21FEF" w:rsidRPr="00AF2B10">
        <w:rPr>
          <w:rFonts w:asciiTheme="majorHAnsi" w:hAnsiTheme="majorHAnsi"/>
          <w:b/>
          <w:sz w:val="20"/>
          <w:szCs w:val="20"/>
          <w:lang w:val="es-ES_tradnl"/>
        </w:rPr>
        <w:t>AGOTAMIENTO DE LOS RECURSOS INTERNOS Y PLAZO DE PRESENTACIÓN</w:t>
      </w:r>
      <w:r w:rsidR="00C21FEF" w:rsidRPr="00AF2B10">
        <w:rPr>
          <w:rFonts w:asciiTheme="majorHAnsi" w:eastAsia="Cambria" w:hAnsiTheme="majorHAnsi" w:cs="Cambria"/>
          <w:b/>
          <w:bCs/>
          <w:color w:val="000000"/>
          <w:sz w:val="20"/>
          <w:szCs w:val="20"/>
          <w:u w:color="000000"/>
          <w:lang w:val="es-ES_tradnl" w:eastAsia="es-ES"/>
        </w:rPr>
        <w:t xml:space="preserve"> </w:t>
      </w:r>
    </w:p>
    <w:p w14:paraId="791B870E" w14:textId="20085E46" w:rsidR="00877DCA" w:rsidRPr="00AF2B10" w:rsidRDefault="00A47099" w:rsidP="00877DCA">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En el presente</w:t>
      </w:r>
      <w:r w:rsidR="00E70735" w:rsidRPr="00AF2B10">
        <w:rPr>
          <w:sz w:val="20"/>
          <w:szCs w:val="20"/>
          <w:lang w:val="es-ES_tradnl"/>
        </w:rPr>
        <w:t xml:space="preserve"> </w:t>
      </w:r>
      <w:r w:rsidR="0049329B" w:rsidRPr="00AF2B10">
        <w:rPr>
          <w:sz w:val="20"/>
          <w:szCs w:val="20"/>
          <w:lang w:val="es-ES_tradnl"/>
        </w:rPr>
        <w:t>caso</w:t>
      </w:r>
      <w:r w:rsidRPr="00AF2B10">
        <w:rPr>
          <w:sz w:val="20"/>
          <w:szCs w:val="20"/>
          <w:lang w:val="es-ES_tradnl"/>
        </w:rPr>
        <w:t xml:space="preserve"> se observa que </w:t>
      </w:r>
      <w:r w:rsidR="00C97CB6" w:rsidRPr="00AF2B10">
        <w:rPr>
          <w:sz w:val="20"/>
          <w:szCs w:val="20"/>
          <w:lang w:val="es-ES_tradnl"/>
        </w:rPr>
        <w:t>el</w:t>
      </w:r>
      <w:r w:rsidRPr="00AF2B10">
        <w:rPr>
          <w:sz w:val="20"/>
          <w:szCs w:val="20"/>
          <w:lang w:val="es-ES_tradnl"/>
        </w:rPr>
        <w:t xml:space="preserve"> reclamo</w:t>
      </w:r>
      <w:r w:rsidR="00C97CB6" w:rsidRPr="00AF2B10">
        <w:rPr>
          <w:sz w:val="20"/>
          <w:szCs w:val="20"/>
          <w:lang w:val="es-ES_tradnl"/>
        </w:rPr>
        <w:t xml:space="preserve"> central</w:t>
      </w:r>
      <w:r w:rsidRPr="00AF2B10">
        <w:rPr>
          <w:sz w:val="20"/>
          <w:szCs w:val="20"/>
          <w:lang w:val="es-ES_tradnl"/>
        </w:rPr>
        <w:t xml:space="preserve"> de la parte peticionaria </w:t>
      </w:r>
      <w:r w:rsidR="00C97CB6" w:rsidRPr="00AF2B10">
        <w:rPr>
          <w:sz w:val="20"/>
          <w:szCs w:val="20"/>
          <w:lang w:val="es-ES_tradnl"/>
        </w:rPr>
        <w:t>consiste en la responsabilidad del Estado</w:t>
      </w:r>
      <w:r w:rsidR="00E70735" w:rsidRPr="00AF2B10">
        <w:rPr>
          <w:sz w:val="20"/>
          <w:szCs w:val="20"/>
          <w:lang w:val="es-ES_tradnl"/>
        </w:rPr>
        <w:t xml:space="preserve"> colombiano</w:t>
      </w:r>
      <w:r w:rsidR="00C97CB6" w:rsidRPr="00AF2B10">
        <w:rPr>
          <w:sz w:val="20"/>
          <w:szCs w:val="20"/>
          <w:lang w:val="es-ES_tradnl"/>
        </w:rPr>
        <w:t xml:space="preserve"> por</w:t>
      </w:r>
      <w:r w:rsidRPr="00AF2B10">
        <w:rPr>
          <w:sz w:val="20"/>
          <w:szCs w:val="20"/>
          <w:lang w:val="es-ES_tradnl"/>
        </w:rPr>
        <w:t xml:space="preserve"> la falta de sanción de los responsables</w:t>
      </w:r>
      <w:r w:rsidR="00CC6ABC" w:rsidRPr="00AF2B10">
        <w:rPr>
          <w:sz w:val="20"/>
          <w:szCs w:val="20"/>
          <w:lang w:val="es-ES_tradnl"/>
        </w:rPr>
        <w:t xml:space="preserve"> del secuestro y posterior homicidio de la señora Lara</w:t>
      </w:r>
      <w:r w:rsidR="00C97CB6" w:rsidRPr="00AF2B10">
        <w:rPr>
          <w:sz w:val="20"/>
          <w:szCs w:val="20"/>
          <w:lang w:val="es-ES_tradnl"/>
        </w:rPr>
        <w:t>, derivado de las</w:t>
      </w:r>
      <w:r w:rsidR="00CC6ABC" w:rsidRPr="00AF2B10">
        <w:rPr>
          <w:sz w:val="20"/>
          <w:szCs w:val="20"/>
          <w:lang w:val="es-ES_tradnl"/>
        </w:rPr>
        <w:t xml:space="preserve"> irregularidades y dilaciones del proceso penal, </w:t>
      </w:r>
      <w:r w:rsidR="00FC545F" w:rsidRPr="00AF2B10">
        <w:rPr>
          <w:sz w:val="20"/>
          <w:szCs w:val="20"/>
          <w:lang w:val="es-ES_tradnl"/>
        </w:rPr>
        <w:t xml:space="preserve">el cual </w:t>
      </w:r>
      <w:r w:rsidR="00CC6ABC" w:rsidRPr="00AF2B10">
        <w:rPr>
          <w:sz w:val="20"/>
          <w:szCs w:val="20"/>
          <w:lang w:val="es-ES_tradnl"/>
        </w:rPr>
        <w:t xml:space="preserve">tardó más de diez años </w:t>
      </w:r>
      <w:r w:rsidR="00FC545F" w:rsidRPr="00AF2B10">
        <w:rPr>
          <w:sz w:val="20"/>
          <w:szCs w:val="20"/>
          <w:lang w:val="es-ES_tradnl"/>
        </w:rPr>
        <w:t>en</w:t>
      </w:r>
      <w:r w:rsidR="00CC6ABC" w:rsidRPr="00AF2B10">
        <w:rPr>
          <w:sz w:val="20"/>
          <w:szCs w:val="20"/>
          <w:lang w:val="es-ES_tradnl"/>
        </w:rPr>
        <w:t xml:space="preserve"> emitir una sentencia de primera instancia y seis años más para resolver el recurso de casación interpuesto los </w:t>
      </w:r>
      <w:r w:rsidR="004B4FE1" w:rsidRPr="00AF2B10">
        <w:rPr>
          <w:sz w:val="20"/>
          <w:szCs w:val="20"/>
          <w:lang w:val="es-ES_tradnl"/>
        </w:rPr>
        <w:t>imputados</w:t>
      </w:r>
      <w:r w:rsidR="004F4904" w:rsidRPr="00AF2B10">
        <w:rPr>
          <w:sz w:val="20"/>
          <w:szCs w:val="20"/>
          <w:lang w:val="es-ES_tradnl"/>
        </w:rPr>
        <w:t>, lo cual culminó con la prescripción de la acción penal, dejando en impunidad el homicidio de la señora Lara</w:t>
      </w:r>
      <w:r w:rsidRPr="00AF2B10">
        <w:rPr>
          <w:sz w:val="20"/>
          <w:szCs w:val="20"/>
          <w:lang w:val="es-ES_tradnl"/>
        </w:rPr>
        <w:t>.</w:t>
      </w:r>
      <w:r w:rsidR="00877DCA" w:rsidRPr="00AF2B10">
        <w:rPr>
          <w:sz w:val="20"/>
          <w:szCs w:val="20"/>
          <w:lang w:val="es-ES_tradnl"/>
        </w:rPr>
        <w:t xml:space="preserve"> </w:t>
      </w:r>
    </w:p>
    <w:p w14:paraId="20698E27" w14:textId="4434008D" w:rsidR="00652AFA" w:rsidRPr="00AF2B10" w:rsidRDefault="00537737" w:rsidP="00537737">
      <w:pPr>
        <w:pStyle w:val="ListParagraph"/>
        <w:numPr>
          <w:ilvl w:val="0"/>
          <w:numId w:val="59"/>
        </w:numPr>
        <w:spacing w:before="240" w:after="240"/>
        <w:ind w:left="0" w:firstLine="709"/>
        <w:jc w:val="both"/>
        <w:rPr>
          <w:sz w:val="20"/>
          <w:szCs w:val="20"/>
          <w:lang w:val="es-ES_tradnl"/>
        </w:rPr>
      </w:pPr>
      <w:r w:rsidRPr="00AF2B10">
        <w:rPr>
          <w:rFonts w:asciiTheme="majorHAnsi" w:hAnsiTheme="majorHAnsi"/>
          <w:sz w:val="20"/>
          <w:szCs w:val="20"/>
          <w:lang w:val="es-ES_tradnl"/>
        </w:rPr>
        <w:t>El Estado ha afirmado que los peticionarios no agotaron en debida forma los recursos domésticos</w:t>
      </w:r>
      <w:r w:rsidR="006F5C0D" w:rsidRPr="00AF2B10">
        <w:rPr>
          <w:rFonts w:asciiTheme="majorHAnsi" w:hAnsiTheme="majorHAnsi"/>
          <w:sz w:val="20"/>
          <w:szCs w:val="20"/>
          <w:lang w:val="es-ES_tradnl"/>
        </w:rPr>
        <w:t xml:space="preserve">: (i) </w:t>
      </w:r>
      <w:r w:rsidRPr="00AF2B10">
        <w:rPr>
          <w:rFonts w:asciiTheme="majorHAnsi" w:hAnsiTheme="majorHAnsi"/>
          <w:sz w:val="20"/>
          <w:szCs w:val="20"/>
          <w:lang w:val="es-ES_tradnl"/>
        </w:rPr>
        <w:t xml:space="preserve">porque fue el Ministerio Público y no los peticionarios quien </w:t>
      </w:r>
      <w:r w:rsidR="0088470B" w:rsidRPr="00AF2B10">
        <w:rPr>
          <w:rFonts w:asciiTheme="majorHAnsi" w:hAnsiTheme="majorHAnsi"/>
          <w:sz w:val="20"/>
          <w:szCs w:val="20"/>
          <w:lang w:val="es-ES_tradnl"/>
        </w:rPr>
        <w:t xml:space="preserve">interpuso </w:t>
      </w:r>
      <w:r w:rsidRPr="00AF2B10">
        <w:rPr>
          <w:rFonts w:asciiTheme="majorHAnsi" w:hAnsiTheme="majorHAnsi"/>
          <w:sz w:val="20"/>
          <w:szCs w:val="20"/>
          <w:lang w:val="es-ES_tradnl"/>
        </w:rPr>
        <w:t xml:space="preserve">la acción de revisión en contra de la sentencia emitida </w:t>
      </w:r>
      <w:r w:rsidR="00F2451A" w:rsidRPr="00AF2B10">
        <w:rPr>
          <w:rFonts w:asciiTheme="majorHAnsi" w:hAnsiTheme="majorHAnsi"/>
          <w:sz w:val="20"/>
          <w:szCs w:val="20"/>
          <w:lang w:val="es-ES_tradnl"/>
        </w:rPr>
        <w:t xml:space="preserve">en 1998 por </w:t>
      </w:r>
      <w:r w:rsidRPr="00AF2B10">
        <w:rPr>
          <w:rFonts w:asciiTheme="majorHAnsi" w:hAnsiTheme="majorHAnsi"/>
          <w:sz w:val="20"/>
          <w:szCs w:val="20"/>
          <w:lang w:val="es-ES_tradnl"/>
        </w:rPr>
        <w:t xml:space="preserve">la Corte Suprema de Justicia, a través de la cual determinó la prescripción de la acción penal </w:t>
      </w:r>
      <w:r w:rsidR="005E28B7" w:rsidRPr="00AF2B10">
        <w:rPr>
          <w:rFonts w:asciiTheme="majorHAnsi" w:hAnsiTheme="majorHAnsi"/>
          <w:sz w:val="20"/>
          <w:szCs w:val="20"/>
          <w:lang w:val="es-ES_tradnl"/>
        </w:rPr>
        <w:t>y que la misma</w:t>
      </w:r>
      <w:r w:rsidR="00C92D67" w:rsidRPr="00AF2B10">
        <w:rPr>
          <w:rFonts w:asciiTheme="majorHAnsi" w:hAnsiTheme="majorHAnsi"/>
          <w:sz w:val="20"/>
          <w:szCs w:val="20"/>
          <w:lang w:val="es-ES_tradnl"/>
        </w:rPr>
        <w:t xml:space="preserve"> se interpuso más de doce años después</w:t>
      </w:r>
      <w:r w:rsidR="00B12AF9" w:rsidRPr="00AF2B10">
        <w:rPr>
          <w:rFonts w:asciiTheme="majorHAnsi" w:hAnsiTheme="majorHAnsi"/>
          <w:sz w:val="20"/>
          <w:szCs w:val="20"/>
          <w:lang w:val="es-ES_tradnl"/>
        </w:rPr>
        <w:t xml:space="preserve">; </w:t>
      </w:r>
      <w:r w:rsidR="006F5C0D" w:rsidRPr="00AF2B10">
        <w:rPr>
          <w:rFonts w:asciiTheme="majorHAnsi" w:hAnsiTheme="majorHAnsi"/>
          <w:sz w:val="20"/>
          <w:szCs w:val="20"/>
          <w:lang w:val="es-ES_tradnl"/>
        </w:rPr>
        <w:t xml:space="preserve">(ii) </w:t>
      </w:r>
      <w:r w:rsidR="00025C52" w:rsidRPr="00AF2B10">
        <w:rPr>
          <w:rFonts w:asciiTheme="majorHAnsi" w:hAnsiTheme="majorHAnsi"/>
          <w:sz w:val="20"/>
          <w:szCs w:val="20"/>
          <w:lang w:val="es-ES_tradnl"/>
        </w:rPr>
        <w:t xml:space="preserve">debido a que </w:t>
      </w:r>
      <w:r w:rsidR="00B12AF9" w:rsidRPr="00AF2B10">
        <w:rPr>
          <w:rFonts w:asciiTheme="majorHAnsi" w:hAnsiTheme="majorHAnsi"/>
          <w:sz w:val="20"/>
          <w:szCs w:val="20"/>
          <w:lang w:val="es-ES_tradnl"/>
        </w:rPr>
        <w:t xml:space="preserve">los peticionarios tenían a su disposición el recurso de reposición en contra de la referida sentencia; y </w:t>
      </w:r>
      <w:r w:rsidR="006F5C0D" w:rsidRPr="00AF2B10">
        <w:rPr>
          <w:rFonts w:asciiTheme="majorHAnsi" w:hAnsiTheme="majorHAnsi"/>
          <w:sz w:val="20"/>
          <w:szCs w:val="20"/>
          <w:lang w:val="es-ES_tradnl"/>
        </w:rPr>
        <w:t>(iii)</w:t>
      </w:r>
      <w:r w:rsidR="00B12AF9" w:rsidRPr="00AF2B10">
        <w:rPr>
          <w:rFonts w:asciiTheme="majorHAnsi" w:hAnsiTheme="majorHAnsi"/>
          <w:sz w:val="20"/>
          <w:szCs w:val="20"/>
          <w:lang w:val="es-ES_tradnl"/>
        </w:rPr>
        <w:t xml:space="preserve"> </w:t>
      </w:r>
      <w:r w:rsidR="00480C2D" w:rsidRPr="00AF2B10">
        <w:rPr>
          <w:rFonts w:asciiTheme="majorHAnsi" w:hAnsiTheme="majorHAnsi"/>
          <w:sz w:val="20"/>
          <w:szCs w:val="20"/>
          <w:lang w:val="es-ES_tradnl"/>
        </w:rPr>
        <w:t>por</w:t>
      </w:r>
      <w:r w:rsidR="00B12AF9" w:rsidRPr="00AF2B10">
        <w:rPr>
          <w:rFonts w:asciiTheme="majorHAnsi" w:hAnsiTheme="majorHAnsi"/>
          <w:sz w:val="20"/>
          <w:szCs w:val="20"/>
          <w:lang w:val="es-ES_tradnl"/>
        </w:rPr>
        <w:t xml:space="preserve">que no se interpuso la acción de reparación directa en contra de la alegada </w:t>
      </w:r>
      <w:r w:rsidR="00F6195A" w:rsidRPr="00AF2B10">
        <w:rPr>
          <w:rFonts w:asciiTheme="majorHAnsi" w:hAnsiTheme="majorHAnsi"/>
          <w:sz w:val="20"/>
          <w:szCs w:val="20"/>
          <w:lang w:val="es-ES_tradnl"/>
        </w:rPr>
        <w:t>dilación</w:t>
      </w:r>
      <w:r w:rsidR="00E720B8" w:rsidRPr="00AF2B10">
        <w:rPr>
          <w:rFonts w:asciiTheme="majorHAnsi" w:hAnsiTheme="majorHAnsi"/>
          <w:sz w:val="20"/>
          <w:szCs w:val="20"/>
          <w:lang w:val="es-ES_tradnl"/>
        </w:rPr>
        <w:t xml:space="preserve"> excesiva</w:t>
      </w:r>
      <w:r w:rsidR="00B12AF9" w:rsidRPr="00AF2B10">
        <w:rPr>
          <w:rFonts w:asciiTheme="majorHAnsi" w:hAnsiTheme="majorHAnsi"/>
          <w:sz w:val="20"/>
          <w:szCs w:val="20"/>
          <w:lang w:val="es-ES_tradnl"/>
        </w:rPr>
        <w:t xml:space="preserve"> </w:t>
      </w:r>
      <w:r w:rsidR="000B6796" w:rsidRPr="00AF2B10">
        <w:rPr>
          <w:rFonts w:asciiTheme="majorHAnsi" w:hAnsiTheme="majorHAnsi"/>
          <w:sz w:val="20"/>
          <w:szCs w:val="20"/>
          <w:lang w:val="es-ES_tradnl"/>
        </w:rPr>
        <w:t xml:space="preserve">del </w:t>
      </w:r>
      <w:r w:rsidR="00B12AF9" w:rsidRPr="00AF2B10">
        <w:rPr>
          <w:rFonts w:asciiTheme="majorHAnsi" w:hAnsiTheme="majorHAnsi"/>
          <w:sz w:val="20"/>
          <w:szCs w:val="20"/>
          <w:lang w:val="es-ES_tradnl"/>
        </w:rPr>
        <w:t xml:space="preserve">traslado del expediente </w:t>
      </w:r>
      <w:r w:rsidR="000B6796" w:rsidRPr="00AF2B10">
        <w:rPr>
          <w:rFonts w:asciiTheme="majorHAnsi" w:hAnsiTheme="majorHAnsi"/>
          <w:sz w:val="20"/>
          <w:szCs w:val="20"/>
          <w:lang w:val="es-ES_tradnl"/>
        </w:rPr>
        <w:t>a</w:t>
      </w:r>
      <w:r w:rsidR="00B12AF9" w:rsidRPr="00AF2B10">
        <w:rPr>
          <w:rFonts w:asciiTheme="majorHAnsi" w:hAnsiTheme="majorHAnsi"/>
          <w:sz w:val="20"/>
          <w:szCs w:val="20"/>
          <w:lang w:val="es-ES_tradnl"/>
        </w:rPr>
        <w:t xml:space="preserve"> la Corte Suprema de Justicia</w:t>
      </w:r>
      <w:r w:rsidR="000B6796" w:rsidRPr="00AF2B10">
        <w:rPr>
          <w:rFonts w:asciiTheme="majorHAnsi" w:hAnsiTheme="majorHAnsi"/>
          <w:sz w:val="20"/>
          <w:szCs w:val="20"/>
          <w:lang w:val="es-ES_tradnl"/>
        </w:rPr>
        <w:t xml:space="preserve"> para resolver el recurso de casación</w:t>
      </w:r>
      <w:r w:rsidR="00B12AF9" w:rsidRPr="00AF2B10">
        <w:rPr>
          <w:rFonts w:asciiTheme="majorHAnsi" w:hAnsiTheme="majorHAnsi"/>
          <w:sz w:val="20"/>
          <w:szCs w:val="20"/>
          <w:lang w:val="es-ES_tradnl"/>
        </w:rPr>
        <w:t xml:space="preserve">. </w:t>
      </w:r>
    </w:p>
    <w:p w14:paraId="0315A70E" w14:textId="45139608" w:rsidR="00EF20A2" w:rsidRPr="00AF2B10" w:rsidRDefault="004672A7" w:rsidP="00BD49E6">
      <w:pPr>
        <w:pStyle w:val="ListParagraph"/>
        <w:numPr>
          <w:ilvl w:val="0"/>
          <w:numId w:val="59"/>
        </w:numPr>
        <w:spacing w:before="240" w:after="240"/>
        <w:ind w:left="0" w:firstLine="709"/>
        <w:jc w:val="both"/>
        <w:rPr>
          <w:rFonts w:asciiTheme="majorHAnsi" w:hAnsiTheme="majorHAnsi"/>
          <w:sz w:val="20"/>
          <w:szCs w:val="20"/>
          <w:lang w:val="es-ES_tradnl"/>
        </w:rPr>
      </w:pPr>
      <w:r w:rsidRPr="00AF2B10">
        <w:rPr>
          <w:sz w:val="20"/>
          <w:szCs w:val="20"/>
          <w:lang w:val="es-ES_tradnl"/>
        </w:rPr>
        <w:t xml:space="preserve">En ese sentido, la </w:t>
      </w:r>
      <w:r w:rsidR="00634747" w:rsidRPr="00AF2B10">
        <w:rPr>
          <w:rFonts w:asciiTheme="majorHAnsi" w:hAnsiTheme="majorHAnsi"/>
          <w:sz w:val="20"/>
          <w:szCs w:val="20"/>
          <w:lang w:val="es-ES_tradnl"/>
        </w:rPr>
        <w:t xml:space="preserve">Comisión Interamericana </w:t>
      </w:r>
      <w:r w:rsidR="00634747" w:rsidRPr="00AF2B10">
        <w:rPr>
          <w:sz w:val="20"/>
          <w:szCs w:val="20"/>
          <w:lang w:val="es-ES_tradnl"/>
        </w:rPr>
        <w:t xml:space="preserve">recuerda que su </w:t>
      </w:r>
      <w:r w:rsidRPr="00AF2B10">
        <w:rPr>
          <w:rFonts w:asciiTheme="majorHAnsi" w:hAnsiTheme="majorHAnsi"/>
          <w:sz w:val="20"/>
          <w:szCs w:val="20"/>
          <w:lang w:val="es-ES_tradnl"/>
        </w:rPr>
        <w:t xml:space="preserve">doctrina uniforme indica que en los casos en que se reclama por la muerte de </w:t>
      </w:r>
      <w:r w:rsidRPr="00AF2B10">
        <w:rPr>
          <w:sz w:val="20"/>
          <w:szCs w:val="20"/>
          <w:lang w:val="es-ES_tradnl"/>
        </w:rPr>
        <w:t>personas</w:t>
      </w:r>
      <w:r w:rsidRPr="00AF2B10">
        <w:rPr>
          <w:rFonts w:asciiTheme="majorHAnsi" w:hAnsiTheme="majorHAnsi"/>
          <w:sz w:val="20"/>
          <w:szCs w:val="20"/>
          <w:lang w:val="es-ES_tradnl"/>
        </w:rPr>
        <w:t xml:space="preserve"> y la impunidad resultante, el recurso idóneo que se debe agotar a nivel doméstico es la vía penal, mediante la realización oficiosa y diligente de investigaciones que determinen los responsables de la violación del </w:t>
      </w:r>
      <w:r w:rsidRPr="00AF2B10">
        <w:rPr>
          <w:sz w:val="20"/>
          <w:szCs w:val="20"/>
          <w:lang w:val="es-ES_tradnl"/>
        </w:rPr>
        <w:t>derecho</w:t>
      </w:r>
      <w:r w:rsidRPr="00AF2B10">
        <w:rPr>
          <w:rFonts w:asciiTheme="majorHAnsi" w:hAnsiTheme="majorHAnsi"/>
          <w:sz w:val="20"/>
          <w:szCs w:val="20"/>
          <w:lang w:val="es-ES_tradnl"/>
        </w:rPr>
        <w:t xml:space="preserve"> a la vida y les sometan a juzgamiento y sanción de conformidad con la Convención Americana</w:t>
      </w:r>
      <w:r w:rsidRPr="00AF2B10">
        <w:rPr>
          <w:rStyle w:val="FootnoteReference"/>
          <w:rFonts w:asciiTheme="majorHAnsi" w:hAnsiTheme="majorHAnsi"/>
          <w:sz w:val="20"/>
          <w:szCs w:val="20"/>
          <w:lang w:val="es-ES_tradnl"/>
        </w:rPr>
        <w:footnoteReference w:id="6"/>
      </w:r>
      <w:r w:rsidRPr="00AF2B10">
        <w:rPr>
          <w:rFonts w:asciiTheme="majorHAnsi" w:hAnsiTheme="majorHAnsi"/>
          <w:sz w:val="20"/>
          <w:szCs w:val="20"/>
          <w:lang w:val="es-ES_tradnl"/>
        </w:rPr>
        <w:t xml:space="preserve">; </w:t>
      </w:r>
      <w:r w:rsidR="00510024" w:rsidRPr="00AF2B10">
        <w:rPr>
          <w:rFonts w:asciiTheme="majorHAnsi" w:hAnsiTheme="majorHAnsi"/>
          <w:sz w:val="20"/>
          <w:szCs w:val="20"/>
          <w:lang w:val="es-ES_tradnl"/>
        </w:rPr>
        <w:t xml:space="preserve">estableciendo </w:t>
      </w:r>
      <w:r w:rsidR="00C303A1" w:rsidRPr="00AF2B10">
        <w:rPr>
          <w:rFonts w:asciiTheme="majorHAnsi" w:hAnsiTheme="majorHAnsi"/>
          <w:sz w:val="20"/>
          <w:szCs w:val="20"/>
          <w:lang w:val="es-ES_tradnl"/>
        </w:rPr>
        <w:t xml:space="preserve">también </w:t>
      </w:r>
      <w:r w:rsidR="00510024" w:rsidRPr="00AF2B10">
        <w:rPr>
          <w:rFonts w:asciiTheme="majorHAnsi" w:hAnsiTheme="majorHAnsi"/>
          <w:sz w:val="20"/>
          <w:szCs w:val="20"/>
          <w:lang w:val="es-ES_tradnl"/>
        </w:rPr>
        <w:t>que</w:t>
      </w:r>
      <w:r w:rsidR="00634747" w:rsidRPr="00AF2B10">
        <w:rPr>
          <w:rFonts w:asciiTheme="majorHAnsi" w:hAnsiTheme="majorHAnsi"/>
          <w:sz w:val="20"/>
          <w:szCs w:val="20"/>
          <w:lang w:val="es-ES_tradnl"/>
        </w:rPr>
        <w:t xml:space="preserve"> </w:t>
      </w:r>
      <w:r w:rsidR="001D0485" w:rsidRPr="00AF2B10">
        <w:rPr>
          <w:rFonts w:asciiTheme="majorHAnsi" w:hAnsiTheme="majorHAnsi"/>
          <w:sz w:val="20"/>
          <w:szCs w:val="20"/>
          <w:lang w:val="es-ES_tradnl"/>
        </w:rPr>
        <w:t xml:space="preserve">es </w:t>
      </w:r>
      <w:r w:rsidR="00634747" w:rsidRPr="00AF2B10">
        <w:rPr>
          <w:rFonts w:asciiTheme="majorHAnsi" w:hAnsiTheme="majorHAnsi"/>
          <w:sz w:val="20"/>
          <w:szCs w:val="20"/>
          <w:lang w:val="es-ES_tradnl"/>
        </w:rPr>
        <w:t>el Estado</w:t>
      </w:r>
      <w:r w:rsidR="001D0485" w:rsidRPr="00AF2B10">
        <w:rPr>
          <w:rFonts w:asciiTheme="majorHAnsi" w:hAnsiTheme="majorHAnsi"/>
          <w:sz w:val="20"/>
          <w:szCs w:val="20"/>
          <w:lang w:val="es-ES_tradnl"/>
        </w:rPr>
        <w:t xml:space="preserve"> quien</w:t>
      </w:r>
      <w:r w:rsidR="00634747" w:rsidRPr="00AF2B10">
        <w:rPr>
          <w:rFonts w:asciiTheme="majorHAnsi" w:hAnsiTheme="majorHAnsi"/>
          <w:sz w:val="20"/>
          <w:szCs w:val="20"/>
          <w:lang w:val="es-ES_tradnl"/>
        </w:rPr>
        <w:t xml:space="preserve"> tiene la obligación de promover e impulsar el proceso penal</w:t>
      </w:r>
      <w:r w:rsidR="00634747" w:rsidRPr="00AF2B10">
        <w:rPr>
          <w:rStyle w:val="FootnoteReference"/>
          <w:rFonts w:asciiTheme="majorHAnsi" w:hAnsiTheme="majorHAnsi"/>
          <w:sz w:val="20"/>
          <w:szCs w:val="20"/>
          <w:lang w:val="es-ES_tradnl"/>
        </w:rPr>
        <w:footnoteReference w:id="7"/>
      </w:r>
      <w:r w:rsidR="00BD49E6" w:rsidRPr="00AF2B10">
        <w:rPr>
          <w:rFonts w:asciiTheme="majorHAnsi" w:hAnsiTheme="majorHAnsi"/>
          <w:sz w:val="20"/>
          <w:szCs w:val="20"/>
          <w:lang w:val="es-ES_tradnl"/>
        </w:rPr>
        <w:t>.</w:t>
      </w:r>
      <w:r w:rsidR="00634747" w:rsidRPr="00AF2B10">
        <w:rPr>
          <w:rFonts w:asciiTheme="majorHAnsi" w:hAnsiTheme="majorHAnsi"/>
          <w:sz w:val="20"/>
          <w:szCs w:val="20"/>
          <w:lang w:val="es-ES_tradnl"/>
        </w:rPr>
        <w:t xml:space="preserve"> </w:t>
      </w:r>
      <w:r w:rsidR="004C51C4" w:rsidRPr="00AF2B10">
        <w:rPr>
          <w:rFonts w:asciiTheme="majorHAnsi" w:hAnsiTheme="majorHAnsi"/>
          <w:sz w:val="20"/>
          <w:szCs w:val="20"/>
          <w:lang w:val="es-ES_tradnl"/>
        </w:rPr>
        <w:t xml:space="preserve">Asimismo, respecto a la falta de agotamiento de los recursos administrativos tendientes a investigar la dilación del traslado del expediente a la Corte Suprema para resolver el recurso de casación, la Comisión observa que el objeto principal de la petición es precisamente la falta de sanción de los responsables del secuestro y homicidio de la señora Lara. </w:t>
      </w:r>
    </w:p>
    <w:p w14:paraId="05F67FED" w14:textId="43DFE90E" w:rsidR="004C51C4" w:rsidRPr="00AF2B10" w:rsidRDefault="004C2B7C" w:rsidP="004C51C4">
      <w:pPr>
        <w:pStyle w:val="ListParagraph"/>
        <w:numPr>
          <w:ilvl w:val="0"/>
          <w:numId w:val="59"/>
        </w:numPr>
        <w:spacing w:before="240" w:after="240"/>
        <w:ind w:left="0" w:firstLine="709"/>
        <w:jc w:val="both"/>
        <w:rPr>
          <w:rFonts w:asciiTheme="majorHAnsi" w:hAnsiTheme="majorHAnsi"/>
          <w:sz w:val="20"/>
          <w:szCs w:val="20"/>
          <w:lang w:val="es-ES_tradnl"/>
        </w:rPr>
      </w:pPr>
      <w:r w:rsidRPr="00AF2B10">
        <w:rPr>
          <w:rFonts w:asciiTheme="majorHAnsi" w:hAnsiTheme="majorHAnsi"/>
          <w:sz w:val="20"/>
          <w:szCs w:val="20"/>
          <w:lang w:val="es-ES_tradnl"/>
        </w:rPr>
        <w:t>En cuanto al desarrollo del proceso penal iniciado a raíz del asesinato de la señora Lara, se observa qu</w:t>
      </w:r>
      <w:r w:rsidR="00060C06" w:rsidRPr="00AF2B10">
        <w:rPr>
          <w:rFonts w:asciiTheme="majorHAnsi" w:hAnsiTheme="majorHAnsi"/>
          <w:sz w:val="20"/>
          <w:szCs w:val="20"/>
          <w:lang w:val="es-ES_tradnl"/>
        </w:rPr>
        <w:t xml:space="preserve">e </w:t>
      </w:r>
      <w:r w:rsidR="009A3AF4" w:rsidRPr="00AF2B10">
        <w:rPr>
          <w:rFonts w:asciiTheme="majorHAnsi" w:hAnsiTheme="majorHAnsi"/>
          <w:sz w:val="20"/>
          <w:szCs w:val="20"/>
          <w:lang w:val="es-ES_tradnl"/>
        </w:rPr>
        <w:t>el 12 de febrero de 1992</w:t>
      </w:r>
      <w:r w:rsidR="00060C06" w:rsidRPr="00AF2B10">
        <w:rPr>
          <w:rFonts w:asciiTheme="majorHAnsi" w:hAnsiTheme="majorHAnsi"/>
          <w:sz w:val="20"/>
          <w:szCs w:val="20"/>
          <w:lang w:val="es-ES_tradnl"/>
        </w:rPr>
        <w:t xml:space="preserve">, en </w:t>
      </w:r>
      <w:r w:rsidR="00C609B9" w:rsidRPr="00AF2B10">
        <w:rPr>
          <w:rFonts w:asciiTheme="majorHAnsi" w:hAnsiTheme="majorHAnsi"/>
          <w:sz w:val="20"/>
          <w:szCs w:val="20"/>
          <w:lang w:val="es-ES_tradnl"/>
        </w:rPr>
        <w:t xml:space="preserve">una </w:t>
      </w:r>
      <w:r w:rsidR="00060C06" w:rsidRPr="00AF2B10">
        <w:rPr>
          <w:rFonts w:asciiTheme="majorHAnsi" w:hAnsiTheme="majorHAnsi"/>
          <w:sz w:val="20"/>
          <w:szCs w:val="20"/>
          <w:lang w:val="es-ES_tradnl"/>
        </w:rPr>
        <w:t xml:space="preserve">primera instancia, </w:t>
      </w:r>
      <w:r w:rsidR="009A3AF4" w:rsidRPr="00AF2B10">
        <w:rPr>
          <w:sz w:val="20"/>
          <w:szCs w:val="20"/>
          <w:lang w:val="es-ES_tradnl"/>
        </w:rPr>
        <w:t>el Juzgado de Orden Público de la Dirección Seccional de Bogotá absolvió</w:t>
      </w:r>
      <w:r w:rsidR="001D0485" w:rsidRPr="00AF2B10">
        <w:rPr>
          <w:sz w:val="20"/>
          <w:szCs w:val="20"/>
          <w:lang w:val="es-ES_tradnl"/>
        </w:rPr>
        <w:t xml:space="preserve"> a los</w:t>
      </w:r>
      <w:r w:rsidRPr="00AF2B10">
        <w:rPr>
          <w:sz w:val="20"/>
          <w:szCs w:val="20"/>
          <w:lang w:val="es-ES_tradnl"/>
        </w:rPr>
        <w:t xml:space="preserve"> sujetos</w:t>
      </w:r>
      <w:r w:rsidR="001D0485" w:rsidRPr="00AF2B10">
        <w:rPr>
          <w:sz w:val="20"/>
          <w:szCs w:val="20"/>
          <w:lang w:val="es-ES_tradnl"/>
        </w:rPr>
        <w:t xml:space="preserve"> imputados</w:t>
      </w:r>
      <w:r w:rsidR="00661F98" w:rsidRPr="00AF2B10">
        <w:rPr>
          <w:sz w:val="20"/>
          <w:szCs w:val="20"/>
          <w:lang w:val="es-ES_tradnl"/>
        </w:rPr>
        <w:t xml:space="preserve">, al considerar que sus </w:t>
      </w:r>
      <w:r w:rsidR="00BE7C0A" w:rsidRPr="00AF2B10">
        <w:rPr>
          <w:sz w:val="20"/>
          <w:szCs w:val="20"/>
          <w:lang w:val="es-ES_tradnl"/>
        </w:rPr>
        <w:t>confesiones</w:t>
      </w:r>
      <w:r w:rsidR="00661F98" w:rsidRPr="00AF2B10">
        <w:rPr>
          <w:sz w:val="20"/>
          <w:szCs w:val="20"/>
          <w:lang w:val="es-ES_tradnl"/>
        </w:rPr>
        <w:t xml:space="preserve"> fueron </w:t>
      </w:r>
      <w:r w:rsidR="00BE7C0A" w:rsidRPr="00AF2B10">
        <w:rPr>
          <w:sz w:val="20"/>
          <w:szCs w:val="20"/>
          <w:lang w:val="es-ES_tradnl"/>
        </w:rPr>
        <w:t>extraídas</w:t>
      </w:r>
      <w:r w:rsidR="00661F98" w:rsidRPr="00AF2B10">
        <w:rPr>
          <w:sz w:val="20"/>
          <w:szCs w:val="20"/>
          <w:lang w:val="es-ES_tradnl"/>
        </w:rPr>
        <w:t xml:space="preserve"> mediante actos de tortura</w:t>
      </w:r>
      <w:r w:rsidRPr="00AF2B10">
        <w:rPr>
          <w:sz w:val="20"/>
          <w:szCs w:val="20"/>
          <w:lang w:val="es-ES_tradnl"/>
        </w:rPr>
        <w:t>.</w:t>
      </w:r>
      <w:r w:rsidR="007F0458" w:rsidRPr="00AF2B10">
        <w:rPr>
          <w:sz w:val="20"/>
          <w:szCs w:val="20"/>
          <w:lang w:val="es-ES_tradnl"/>
        </w:rPr>
        <w:t xml:space="preserve"> Inconforme con ello, el fiscal a cargo</w:t>
      </w:r>
      <w:r w:rsidR="009A3AF4" w:rsidRPr="00AF2B10">
        <w:rPr>
          <w:sz w:val="20"/>
          <w:szCs w:val="20"/>
          <w:lang w:val="es-ES_tradnl"/>
        </w:rPr>
        <w:t xml:space="preserve"> </w:t>
      </w:r>
      <w:r w:rsidR="007F0458" w:rsidRPr="00AF2B10">
        <w:rPr>
          <w:sz w:val="20"/>
          <w:szCs w:val="20"/>
          <w:lang w:val="es-ES_tradnl"/>
        </w:rPr>
        <w:t>impugnó</w:t>
      </w:r>
      <w:r w:rsidR="009A3AF4" w:rsidRPr="00AF2B10">
        <w:rPr>
          <w:sz w:val="20"/>
          <w:szCs w:val="20"/>
          <w:lang w:val="es-ES_tradnl"/>
        </w:rPr>
        <w:t xml:space="preserve"> dicha resolución, </w:t>
      </w:r>
      <w:r w:rsidR="00036490" w:rsidRPr="00AF2B10">
        <w:rPr>
          <w:sz w:val="20"/>
          <w:szCs w:val="20"/>
          <w:lang w:val="es-ES_tradnl"/>
        </w:rPr>
        <w:t xml:space="preserve">por lo que </w:t>
      </w:r>
      <w:r w:rsidR="001D0485" w:rsidRPr="00AF2B10">
        <w:rPr>
          <w:sz w:val="20"/>
          <w:szCs w:val="20"/>
          <w:lang w:val="es-ES_tradnl"/>
        </w:rPr>
        <w:t>el</w:t>
      </w:r>
      <w:r w:rsidR="009A3AF4" w:rsidRPr="00AF2B10">
        <w:rPr>
          <w:sz w:val="20"/>
          <w:szCs w:val="20"/>
          <w:lang w:val="es-ES_tradnl"/>
        </w:rPr>
        <w:t xml:space="preserve"> 20 de agosto de 1992 el Tribunal Nacional revocó la sentencia de primera instancia y condenó a dieciséis sujetos por </w:t>
      </w:r>
      <w:r w:rsidRPr="00AF2B10">
        <w:rPr>
          <w:sz w:val="20"/>
          <w:szCs w:val="20"/>
          <w:lang w:val="es-ES_tradnl"/>
        </w:rPr>
        <w:lastRenderedPageBreak/>
        <w:t>el secuestro y el asesinato de la señora Lara</w:t>
      </w:r>
      <w:r w:rsidR="009A3AF4" w:rsidRPr="00AF2B10">
        <w:rPr>
          <w:sz w:val="20"/>
          <w:szCs w:val="20"/>
          <w:lang w:val="es-ES_tradnl"/>
        </w:rPr>
        <w:t>. En contra de ello, los condenados interpusieron un recurso de casación,</w:t>
      </w:r>
      <w:r w:rsidR="00F42CB8" w:rsidRPr="00AF2B10">
        <w:rPr>
          <w:sz w:val="20"/>
          <w:szCs w:val="20"/>
          <w:lang w:val="es-ES_tradnl"/>
        </w:rPr>
        <w:t xml:space="preserve"> el cual</w:t>
      </w:r>
      <w:r w:rsidR="009A3AF4" w:rsidRPr="00AF2B10">
        <w:rPr>
          <w:sz w:val="20"/>
          <w:szCs w:val="20"/>
          <w:lang w:val="es-ES_tradnl"/>
        </w:rPr>
        <w:t xml:space="preserve"> fue otorgado en su favor </w:t>
      </w:r>
      <w:r w:rsidR="008F191C" w:rsidRPr="00AF2B10">
        <w:rPr>
          <w:sz w:val="20"/>
          <w:szCs w:val="20"/>
          <w:lang w:val="es-ES_tradnl"/>
        </w:rPr>
        <w:t>el</w:t>
      </w:r>
      <w:r w:rsidR="009A3AF4" w:rsidRPr="00AF2B10">
        <w:rPr>
          <w:sz w:val="20"/>
          <w:szCs w:val="20"/>
          <w:lang w:val="es-ES_tradnl"/>
        </w:rPr>
        <w:t xml:space="preserve"> 18 de febrero de 1998</w:t>
      </w:r>
      <w:r w:rsidR="00085846" w:rsidRPr="00AF2B10">
        <w:rPr>
          <w:sz w:val="20"/>
          <w:szCs w:val="20"/>
          <w:lang w:val="es-ES_tradnl"/>
        </w:rPr>
        <w:t xml:space="preserve">, al determinar </w:t>
      </w:r>
      <w:r w:rsidR="009C44E1" w:rsidRPr="00AF2B10">
        <w:rPr>
          <w:sz w:val="20"/>
          <w:szCs w:val="20"/>
          <w:lang w:val="es-ES_tradnl"/>
        </w:rPr>
        <w:t>que la acción penal seguida en su contra había prescrito</w:t>
      </w:r>
      <w:r w:rsidR="00085846" w:rsidRPr="00AF2B10">
        <w:rPr>
          <w:sz w:val="20"/>
          <w:szCs w:val="20"/>
          <w:lang w:val="es-ES_tradnl"/>
        </w:rPr>
        <w:t>.</w:t>
      </w:r>
      <w:r w:rsidR="009A3AF4" w:rsidRPr="00AF2B10">
        <w:rPr>
          <w:sz w:val="20"/>
          <w:szCs w:val="20"/>
          <w:lang w:val="es-ES_tradnl"/>
        </w:rPr>
        <w:t xml:space="preserve"> </w:t>
      </w:r>
      <w:r w:rsidR="00085846" w:rsidRPr="00AF2B10">
        <w:rPr>
          <w:sz w:val="20"/>
          <w:szCs w:val="20"/>
          <w:lang w:val="es-ES_tradnl"/>
        </w:rPr>
        <w:t>F</w:t>
      </w:r>
      <w:r w:rsidR="009A3AF4" w:rsidRPr="00AF2B10">
        <w:rPr>
          <w:sz w:val="20"/>
          <w:szCs w:val="20"/>
          <w:lang w:val="es-ES_tradnl"/>
        </w:rPr>
        <w:t xml:space="preserve">inalmente, el 12 de mayo de 2010 el Procurador Séptimo Judicial II de Bogotá interpuso </w:t>
      </w:r>
      <w:r w:rsidR="00AC1638" w:rsidRPr="00AF2B10">
        <w:rPr>
          <w:sz w:val="20"/>
          <w:szCs w:val="20"/>
          <w:lang w:val="es-ES_tradnl"/>
        </w:rPr>
        <w:t xml:space="preserve">una </w:t>
      </w:r>
      <w:r w:rsidR="009A3AF4" w:rsidRPr="00AF2B10">
        <w:rPr>
          <w:sz w:val="20"/>
          <w:szCs w:val="20"/>
          <w:lang w:val="es-ES_tradnl"/>
        </w:rPr>
        <w:t>demanda de revisión</w:t>
      </w:r>
      <w:r w:rsidR="00187BAC" w:rsidRPr="00AF2B10">
        <w:rPr>
          <w:sz w:val="20"/>
          <w:szCs w:val="20"/>
          <w:lang w:val="es-ES_tradnl"/>
        </w:rPr>
        <w:t xml:space="preserve">, </w:t>
      </w:r>
      <w:r w:rsidR="00085846" w:rsidRPr="00AF2B10">
        <w:rPr>
          <w:sz w:val="20"/>
          <w:szCs w:val="20"/>
          <w:lang w:val="es-ES_tradnl"/>
        </w:rPr>
        <w:t xml:space="preserve">la cual </w:t>
      </w:r>
      <w:r w:rsidR="00187BAC" w:rsidRPr="00AF2B10">
        <w:rPr>
          <w:sz w:val="20"/>
          <w:szCs w:val="20"/>
          <w:lang w:val="es-ES_tradnl"/>
        </w:rPr>
        <w:t>fue inadmitida el 23 de mayo de 2012 por la Sala de Casación Penal de la Corte Suprema de Justicia</w:t>
      </w:r>
      <w:r w:rsidR="00B35101" w:rsidRPr="00AF2B10">
        <w:rPr>
          <w:sz w:val="20"/>
          <w:szCs w:val="20"/>
          <w:lang w:val="es-ES_tradnl"/>
        </w:rPr>
        <w:t>,</w:t>
      </w:r>
      <w:r w:rsidR="00187BAC" w:rsidRPr="00AF2B10">
        <w:rPr>
          <w:sz w:val="20"/>
          <w:szCs w:val="20"/>
          <w:lang w:val="es-ES_tradnl"/>
        </w:rPr>
        <w:t xml:space="preserve"> al considerar que el secuestro y homicidio de la señora Lara no </w:t>
      </w:r>
      <w:r w:rsidR="00BF23A9" w:rsidRPr="00AF2B10">
        <w:rPr>
          <w:sz w:val="20"/>
          <w:szCs w:val="20"/>
          <w:lang w:val="es-ES_tradnl"/>
        </w:rPr>
        <w:t>configuran como</w:t>
      </w:r>
      <w:r w:rsidR="00187BAC" w:rsidRPr="00AF2B10">
        <w:rPr>
          <w:sz w:val="20"/>
          <w:szCs w:val="20"/>
          <w:lang w:val="es-ES_tradnl"/>
        </w:rPr>
        <w:t xml:space="preserve"> delitos de lesa humanidad y</w:t>
      </w:r>
      <w:r w:rsidR="00222CBB" w:rsidRPr="00AF2B10">
        <w:rPr>
          <w:sz w:val="20"/>
          <w:szCs w:val="20"/>
          <w:lang w:val="es-ES_tradnl"/>
        </w:rPr>
        <w:t>,</w:t>
      </w:r>
      <w:r w:rsidR="00187BAC" w:rsidRPr="00AF2B10">
        <w:rPr>
          <w:sz w:val="20"/>
          <w:szCs w:val="20"/>
          <w:lang w:val="es-ES_tradnl"/>
        </w:rPr>
        <w:t xml:space="preserve"> por tanto, los mismos son prescriptibles.</w:t>
      </w:r>
    </w:p>
    <w:p w14:paraId="7826D3B6" w14:textId="37C4A115" w:rsidR="00085846" w:rsidRPr="00AF2B10" w:rsidRDefault="00085846" w:rsidP="00060C06">
      <w:pPr>
        <w:pStyle w:val="ListParagraph"/>
        <w:numPr>
          <w:ilvl w:val="0"/>
          <w:numId w:val="59"/>
        </w:numPr>
        <w:spacing w:before="240" w:after="240"/>
        <w:ind w:left="0" w:firstLine="709"/>
        <w:jc w:val="both"/>
        <w:rPr>
          <w:sz w:val="20"/>
          <w:szCs w:val="20"/>
          <w:lang w:val="es-ES_tradnl"/>
        </w:rPr>
      </w:pPr>
      <w:r w:rsidRPr="00AF2B10">
        <w:rPr>
          <w:sz w:val="20"/>
          <w:szCs w:val="20"/>
          <w:lang w:val="es-ES_tradnl"/>
        </w:rPr>
        <w:t>Con base a lo expuesto</w:t>
      </w:r>
      <w:r w:rsidR="00163E18" w:rsidRPr="00AF2B10">
        <w:rPr>
          <w:sz w:val="20"/>
          <w:szCs w:val="20"/>
          <w:lang w:val="es-ES_tradnl"/>
        </w:rPr>
        <w:t xml:space="preserve"> en la presente sección</w:t>
      </w:r>
      <w:r w:rsidRPr="00AF2B10">
        <w:rPr>
          <w:sz w:val="20"/>
          <w:szCs w:val="20"/>
          <w:lang w:val="es-ES_tradnl"/>
        </w:rPr>
        <w:t xml:space="preserve">, la Comisión observa que la última decisión adoptada por los tribunales domésticos </w:t>
      </w:r>
      <w:r w:rsidR="00AF2B10" w:rsidRPr="00AF2B10">
        <w:rPr>
          <w:sz w:val="20"/>
          <w:szCs w:val="20"/>
          <w:lang w:val="es-ES_tradnl"/>
        </w:rPr>
        <w:t xml:space="preserve">con respecto al objeto fundamental de la petición </w:t>
      </w:r>
      <w:r w:rsidRPr="00AF2B10">
        <w:rPr>
          <w:sz w:val="20"/>
          <w:szCs w:val="20"/>
          <w:lang w:val="es-ES_tradnl"/>
        </w:rPr>
        <w:t>fue la emitida por la Corte Suprema de Justicia</w:t>
      </w:r>
      <w:r w:rsidR="00060C06" w:rsidRPr="00AF2B10">
        <w:rPr>
          <w:sz w:val="20"/>
          <w:szCs w:val="20"/>
          <w:lang w:val="es-ES_tradnl"/>
        </w:rPr>
        <w:t>, la cual analizó y resolvió en el fondo la demanda de revisión interpuesta por los entes estatales a cargo del proceso penal iniciado por el homicidio de la señora Lara. Por lo tanto, la Comisión</w:t>
      </w:r>
      <w:r w:rsidRPr="00AF2B10">
        <w:rPr>
          <w:sz w:val="20"/>
          <w:szCs w:val="20"/>
          <w:lang w:val="es-ES_tradnl"/>
        </w:rPr>
        <w:t xml:space="preserve"> estima que la presente petición cumple con los requisitos del artículo 46.1.a) de la Comisión</w:t>
      </w:r>
      <w:r w:rsidR="00060C06" w:rsidRPr="00AF2B10">
        <w:rPr>
          <w:sz w:val="20"/>
          <w:szCs w:val="20"/>
          <w:lang w:val="es-ES_tradnl"/>
        </w:rPr>
        <w:t xml:space="preserve">. Dado que la referida decisión se emitió el </w:t>
      </w:r>
      <w:r w:rsidR="00A4495D" w:rsidRPr="00AF2B10">
        <w:rPr>
          <w:sz w:val="20"/>
          <w:szCs w:val="20"/>
          <w:lang w:val="es-ES_tradnl"/>
        </w:rPr>
        <w:t>23 de mayo de 2012</w:t>
      </w:r>
      <w:r w:rsidR="00060C06" w:rsidRPr="00AF2B10">
        <w:rPr>
          <w:sz w:val="20"/>
          <w:szCs w:val="20"/>
          <w:lang w:val="es-ES_tradnl"/>
        </w:rPr>
        <w:t xml:space="preserve"> y la petición fue presentada el </w:t>
      </w:r>
      <w:r w:rsidR="00A4495D" w:rsidRPr="00AF2B10">
        <w:rPr>
          <w:sz w:val="20"/>
          <w:szCs w:val="20"/>
          <w:lang w:val="es-ES_tradnl"/>
        </w:rPr>
        <w:t>18 de octubre de 2012</w:t>
      </w:r>
      <w:r w:rsidR="00060C06" w:rsidRPr="00AF2B10">
        <w:rPr>
          <w:sz w:val="20"/>
          <w:szCs w:val="20"/>
          <w:lang w:val="es-ES_tradnl"/>
        </w:rPr>
        <w:t>, la Comisión concluye que la presente petición también cumple con los requisitos del artículo 46.1</w:t>
      </w:r>
      <w:r w:rsidR="009D43F5" w:rsidRPr="00AF2B10">
        <w:rPr>
          <w:sz w:val="20"/>
          <w:szCs w:val="20"/>
          <w:lang w:val="es-ES_tradnl"/>
        </w:rPr>
        <w:t>.</w:t>
      </w:r>
      <w:r w:rsidR="00060C06" w:rsidRPr="00AF2B10">
        <w:rPr>
          <w:sz w:val="20"/>
          <w:szCs w:val="20"/>
          <w:lang w:val="es-ES_tradnl"/>
        </w:rPr>
        <w:t>b) de la Convención Americana.</w:t>
      </w:r>
    </w:p>
    <w:p w14:paraId="7208B7C7" w14:textId="0BC223DF" w:rsidR="0074752A" w:rsidRPr="00AF2B10" w:rsidRDefault="00DF0521" w:rsidP="0074752A">
      <w:pPr>
        <w:pStyle w:val="ListParagraph"/>
        <w:numPr>
          <w:ilvl w:val="0"/>
          <w:numId w:val="59"/>
        </w:numPr>
        <w:spacing w:before="240" w:after="240"/>
        <w:ind w:left="0" w:firstLine="709"/>
        <w:jc w:val="both"/>
        <w:rPr>
          <w:rFonts w:asciiTheme="majorHAnsi" w:hAnsiTheme="majorHAnsi"/>
          <w:sz w:val="20"/>
          <w:szCs w:val="20"/>
          <w:lang w:val="es-ES_tradnl"/>
        </w:rPr>
      </w:pPr>
      <w:r w:rsidRPr="00AF2B10">
        <w:rPr>
          <w:rFonts w:asciiTheme="majorHAnsi" w:hAnsiTheme="majorHAnsi"/>
          <w:sz w:val="20"/>
          <w:szCs w:val="20"/>
          <w:lang w:val="es-ES_tradnl"/>
        </w:rPr>
        <w:t>Por último, respecto</w:t>
      </w:r>
      <w:r w:rsidR="0074752A" w:rsidRPr="00AF2B10">
        <w:rPr>
          <w:rFonts w:asciiTheme="majorHAnsi" w:hAnsiTheme="majorHAnsi"/>
          <w:sz w:val="20"/>
          <w:szCs w:val="20"/>
          <w:lang w:val="es-ES_tradnl"/>
        </w:rPr>
        <w:t xml:space="preserve"> al alegato del Estado relativo al indebido agotamiento de los recursos internos, la</w:t>
      </w:r>
      <w:r w:rsidR="0074752A" w:rsidRPr="00AF2B10">
        <w:rPr>
          <w:rFonts w:asciiTheme="majorHAnsi" w:hAnsiTheme="majorHAnsi"/>
          <w:bCs/>
          <w:sz w:val="20"/>
          <w:szCs w:val="20"/>
          <w:lang w:val="es-ES_tradnl"/>
        </w:rPr>
        <w:t xml:space="preserve"> CIDH recuerda que </w:t>
      </w:r>
      <w:r w:rsidR="0074752A" w:rsidRPr="00AF2B10">
        <w:rPr>
          <w:rFonts w:asciiTheme="majorHAnsi" w:hAnsiTheme="majorHAnsi"/>
          <w:sz w:val="20"/>
          <w:szCs w:val="20"/>
          <w:lang w:val="es-ES_tradnl"/>
        </w:rPr>
        <w:t xml:space="preserve">el requisito de agotamiento de los recursos internos no significa que las presuntas víctimas tengan necesariamente la obligación de agotar todos los </w:t>
      </w:r>
      <w:r w:rsidR="0074752A" w:rsidRPr="00AF2B10">
        <w:rPr>
          <w:sz w:val="20"/>
          <w:szCs w:val="20"/>
          <w:lang w:val="es-ES_tradnl"/>
        </w:rPr>
        <w:t>recursos</w:t>
      </w:r>
      <w:r w:rsidR="0074752A" w:rsidRPr="00AF2B10">
        <w:rPr>
          <w:rFonts w:asciiTheme="majorHAnsi" w:hAnsiTheme="majorHAnsi"/>
          <w:sz w:val="20"/>
          <w:szCs w:val="20"/>
          <w:lang w:val="es-ES_tradnl"/>
        </w:rPr>
        <w:t xml:space="preserve"> que tengan disponibles.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74752A" w:rsidRPr="00AF2B10">
        <w:rPr>
          <w:rStyle w:val="FootnoteReference"/>
          <w:rFonts w:asciiTheme="majorHAnsi" w:hAnsiTheme="majorHAnsi"/>
          <w:sz w:val="20"/>
          <w:szCs w:val="20"/>
          <w:lang w:val="es-ES_tradnl"/>
        </w:rPr>
        <w:footnoteReference w:id="8"/>
      </w:r>
      <w:r w:rsidR="0074752A" w:rsidRPr="00AF2B10">
        <w:rPr>
          <w:rFonts w:asciiTheme="majorHAnsi" w:hAnsiTheme="majorHAnsi"/>
          <w:sz w:val="20"/>
          <w:szCs w:val="20"/>
          <w:lang w:val="es-ES_tradnl"/>
        </w:rPr>
        <w:t>. Sobre el particular, la CIDH recuerda que, si bien en algunos casos los recursos extraordinarios pueden ser adecuados para enfrentar violaciones de derechos humanos, como norma general los únicos recursos que es necesario agotar son aquellos cuyas funciones normales dentro del sistema jurídico los hace apropiados para remediar una infracción de determinado derecho legal. En principio, se trata de los recursos ordinarios, y no de los extraordinarios</w:t>
      </w:r>
      <w:r w:rsidR="0074752A" w:rsidRPr="00AF2B10">
        <w:rPr>
          <w:rStyle w:val="FootnoteReference"/>
          <w:rFonts w:asciiTheme="majorHAnsi" w:hAnsiTheme="majorHAnsi"/>
          <w:sz w:val="20"/>
          <w:szCs w:val="20"/>
          <w:lang w:val="es-ES_tradnl"/>
        </w:rPr>
        <w:footnoteReference w:id="9"/>
      </w:r>
      <w:r w:rsidR="0074752A" w:rsidRPr="00AF2B10">
        <w:rPr>
          <w:rFonts w:asciiTheme="majorHAnsi" w:hAnsiTheme="majorHAnsi"/>
          <w:sz w:val="20"/>
          <w:szCs w:val="20"/>
          <w:lang w:val="es-ES_tradnl"/>
        </w:rPr>
        <w:t>.</w:t>
      </w:r>
      <w:r w:rsidR="004C51C4" w:rsidRPr="00AF2B10">
        <w:rPr>
          <w:rFonts w:asciiTheme="majorHAnsi" w:hAnsiTheme="majorHAnsi"/>
          <w:sz w:val="20"/>
          <w:szCs w:val="20"/>
          <w:lang w:val="es-ES_tradnl"/>
        </w:rPr>
        <w:t xml:space="preserve"> </w:t>
      </w:r>
    </w:p>
    <w:p w14:paraId="673598AF" w14:textId="7E8F22BA" w:rsidR="003239B8" w:rsidRPr="00AF2B10" w:rsidRDefault="003239B8" w:rsidP="00F20B2D">
      <w:pPr>
        <w:spacing w:before="240" w:after="240"/>
        <w:ind w:firstLine="720"/>
        <w:jc w:val="both"/>
        <w:rPr>
          <w:rFonts w:asciiTheme="majorHAnsi" w:hAnsiTheme="majorHAnsi"/>
          <w:b/>
          <w:sz w:val="20"/>
          <w:szCs w:val="20"/>
          <w:lang w:val="es-ES_tradnl"/>
        </w:rPr>
      </w:pPr>
      <w:r w:rsidRPr="00AF2B10">
        <w:rPr>
          <w:rFonts w:asciiTheme="majorHAnsi" w:hAnsiTheme="majorHAnsi"/>
          <w:b/>
          <w:bCs/>
          <w:sz w:val="20"/>
          <w:szCs w:val="20"/>
          <w:lang w:val="es-ES_tradnl"/>
        </w:rPr>
        <w:t>VII.</w:t>
      </w:r>
      <w:r w:rsidRPr="00AF2B10">
        <w:rPr>
          <w:rFonts w:asciiTheme="majorHAnsi" w:hAnsiTheme="majorHAnsi"/>
          <w:b/>
          <w:bCs/>
          <w:sz w:val="20"/>
          <w:szCs w:val="20"/>
          <w:lang w:val="es-ES_tradnl"/>
        </w:rPr>
        <w:tab/>
      </w:r>
      <w:r w:rsidR="004A6A54" w:rsidRPr="00AF2B10">
        <w:rPr>
          <w:rFonts w:asciiTheme="majorHAnsi" w:hAnsiTheme="majorHAnsi"/>
          <w:b/>
          <w:bCs/>
          <w:sz w:val="20"/>
          <w:szCs w:val="20"/>
          <w:lang w:val="es-ES_tradnl"/>
        </w:rPr>
        <w:t xml:space="preserve">ANÁLISIS DE </w:t>
      </w:r>
      <w:r w:rsidR="00C21FEF" w:rsidRPr="00AF2B10">
        <w:rPr>
          <w:rFonts w:asciiTheme="majorHAnsi" w:hAnsiTheme="majorHAnsi"/>
          <w:b/>
          <w:bCs/>
          <w:sz w:val="20"/>
          <w:szCs w:val="20"/>
          <w:lang w:val="es-ES_tradnl"/>
        </w:rPr>
        <w:t>CARACTERIZACIÓN DE LOS HECHOS ALEGADOS</w:t>
      </w:r>
    </w:p>
    <w:p w14:paraId="20CA2183" w14:textId="66505694" w:rsidR="005A4915" w:rsidRPr="00AF2B10" w:rsidRDefault="005A4915" w:rsidP="00E50750">
      <w:pPr>
        <w:pStyle w:val="ListParagraph"/>
        <w:numPr>
          <w:ilvl w:val="0"/>
          <w:numId w:val="59"/>
        </w:numPr>
        <w:spacing w:before="240" w:after="240"/>
        <w:ind w:left="0" w:firstLine="709"/>
        <w:jc w:val="both"/>
        <w:rPr>
          <w:rFonts w:asciiTheme="majorHAnsi" w:hAnsiTheme="majorHAnsi"/>
          <w:sz w:val="20"/>
          <w:szCs w:val="20"/>
          <w:lang w:val="es-ES_tradnl"/>
        </w:rPr>
      </w:pPr>
      <w:r w:rsidRPr="00AF2B10">
        <w:rPr>
          <w:rFonts w:asciiTheme="majorHAnsi" w:hAnsiTheme="majorHAnsi"/>
          <w:sz w:val="20"/>
          <w:szCs w:val="20"/>
          <w:lang w:val="es-ES_tradnl"/>
        </w:rPr>
        <w:t xml:space="preserve">La CIDH observa que los peticionarios han expuesto con claridad las razones por las que consideran que se pudo haber violado, en este caso, los diversos derechos humanos que se invocaron como vulnerados en la petición. Así, a la luz del parámetro de análisis </w:t>
      </w:r>
      <w:r w:rsidRPr="00AF2B10">
        <w:rPr>
          <w:rFonts w:asciiTheme="majorHAnsi" w:hAnsiTheme="majorHAnsi"/>
          <w:i/>
          <w:iCs/>
          <w:sz w:val="20"/>
          <w:szCs w:val="20"/>
          <w:lang w:val="es-ES_tradnl"/>
        </w:rPr>
        <w:t>prima facie</w:t>
      </w:r>
      <w:r w:rsidRPr="00AF2B10">
        <w:rPr>
          <w:rFonts w:asciiTheme="majorHAnsi" w:hAnsiTheme="majorHAnsi"/>
          <w:sz w:val="20"/>
          <w:szCs w:val="20"/>
          <w:lang w:val="es-ES_tradnl"/>
        </w:rPr>
        <w:t>, los argumentos planteados en la petición son suficientes para caracterizar en forma preliminar una posible violación de múltiples artículos de la Convención Americana, cuyos méritos fácticos, probatorios y jurídicos deben ser materia de un análisis cuidadoso en la etapa de fondo del presente procedimiento.</w:t>
      </w:r>
      <w:r w:rsidR="00E50750" w:rsidRPr="00AF2B10">
        <w:rPr>
          <w:rFonts w:asciiTheme="majorHAnsi" w:hAnsiTheme="majorHAnsi"/>
          <w:sz w:val="20"/>
          <w:szCs w:val="20"/>
          <w:lang w:val="es-ES_tradnl"/>
        </w:rPr>
        <w:t xml:space="preserve"> </w:t>
      </w:r>
    </w:p>
    <w:p w14:paraId="1ECFCCA9" w14:textId="5661B8A0" w:rsidR="002D20BB" w:rsidRPr="00AF2B10" w:rsidRDefault="00AF2B10" w:rsidP="00B54257">
      <w:pPr>
        <w:pStyle w:val="ListParagraph"/>
        <w:numPr>
          <w:ilvl w:val="0"/>
          <w:numId w:val="59"/>
        </w:numPr>
        <w:spacing w:before="240" w:after="240"/>
        <w:ind w:left="0" w:firstLine="709"/>
        <w:jc w:val="both"/>
        <w:rPr>
          <w:rFonts w:asciiTheme="majorHAnsi" w:hAnsiTheme="majorHAnsi"/>
          <w:sz w:val="20"/>
          <w:szCs w:val="20"/>
          <w:lang w:val="es-ES_tradnl"/>
        </w:rPr>
      </w:pPr>
      <w:r w:rsidRPr="00AF2B10">
        <w:rPr>
          <w:rFonts w:asciiTheme="majorHAnsi" w:hAnsiTheme="majorHAnsi"/>
          <w:sz w:val="20"/>
          <w:szCs w:val="20"/>
          <w:lang w:val="es-ES_tradnl"/>
        </w:rPr>
        <w:t>S</w:t>
      </w:r>
      <w:r w:rsidR="00B54257" w:rsidRPr="00AF2B10">
        <w:rPr>
          <w:rFonts w:asciiTheme="majorHAnsi" w:hAnsiTheme="majorHAnsi"/>
          <w:sz w:val="20"/>
          <w:szCs w:val="20"/>
          <w:lang w:val="es-ES_tradnl"/>
        </w:rPr>
        <w:t xml:space="preserve">i bien la Comisión observa que hubo un debido agotamiento de los recursos internos, en la etapa de fondo analizará si </w:t>
      </w:r>
      <w:r w:rsidRPr="00AF2B10">
        <w:rPr>
          <w:rFonts w:asciiTheme="majorHAnsi" w:hAnsiTheme="majorHAnsi"/>
          <w:sz w:val="20"/>
          <w:szCs w:val="20"/>
          <w:lang w:val="es-ES_tradnl"/>
        </w:rPr>
        <w:t>el</w:t>
      </w:r>
      <w:r w:rsidR="00B54257" w:rsidRPr="00AF2B10">
        <w:rPr>
          <w:rFonts w:asciiTheme="majorHAnsi" w:hAnsiTheme="majorHAnsi"/>
          <w:sz w:val="20"/>
          <w:szCs w:val="20"/>
          <w:lang w:val="es-ES_tradnl"/>
        </w:rPr>
        <w:t xml:space="preserve"> proceso </w:t>
      </w:r>
      <w:r w:rsidRPr="00AF2B10">
        <w:rPr>
          <w:rFonts w:asciiTheme="majorHAnsi" w:hAnsiTheme="majorHAnsi"/>
          <w:sz w:val="20"/>
          <w:szCs w:val="20"/>
          <w:lang w:val="es-ES_tradnl"/>
        </w:rPr>
        <w:t xml:space="preserve">penal </w:t>
      </w:r>
      <w:r w:rsidR="00B54257" w:rsidRPr="00AF2B10">
        <w:rPr>
          <w:rFonts w:asciiTheme="majorHAnsi" w:hAnsiTheme="majorHAnsi"/>
          <w:sz w:val="20"/>
          <w:szCs w:val="20"/>
          <w:lang w:val="es-ES_tradnl"/>
        </w:rPr>
        <w:t xml:space="preserve">se desarrolló con base en los estándares interamericanos en materia de investigación y sanción de delitos contra la vida, así como la efectividad de los recursos domésticos agotados en el caso específico. </w:t>
      </w:r>
      <w:r w:rsidRPr="00AF2B10">
        <w:rPr>
          <w:rFonts w:asciiTheme="majorHAnsi" w:hAnsiTheme="majorHAnsi"/>
          <w:sz w:val="20"/>
          <w:szCs w:val="20"/>
          <w:lang w:val="es-ES_tradnl"/>
        </w:rPr>
        <w:t>C</w:t>
      </w:r>
      <w:r w:rsidR="00B54257" w:rsidRPr="00AF2B10">
        <w:rPr>
          <w:rFonts w:asciiTheme="majorHAnsi" w:hAnsiTheme="majorHAnsi"/>
          <w:sz w:val="20"/>
          <w:szCs w:val="20"/>
          <w:lang w:val="es-ES_tradnl"/>
        </w:rPr>
        <w:t>onsiderando</w:t>
      </w:r>
      <w:r w:rsidRPr="00AF2B10">
        <w:rPr>
          <w:rFonts w:asciiTheme="majorHAnsi" w:hAnsiTheme="majorHAnsi"/>
          <w:sz w:val="20"/>
          <w:szCs w:val="20"/>
          <w:lang w:val="es-ES_tradnl"/>
        </w:rPr>
        <w:t>, entre otras cosas,</w:t>
      </w:r>
      <w:r w:rsidR="00B54257" w:rsidRPr="00AF2B10">
        <w:rPr>
          <w:rFonts w:asciiTheme="majorHAnsi" w:hAnsiTheme="majorHAnsi"/>
          <w:sz w:val="20"/>
          <w:szCs w:val="20"/>
          <w:lang w:val="es-ES_tradnl"/>
        </w:rPr>
        <w:t xml:space="preserve"> que: (a) en una primera instancia, los sujetos responsables del secuestro y asesinato de la señora Lara fueron absueltos debido a que sus confesiones, por la cuales fueron condenados, fueron obtenidas </w:t>
      </w:r>
      <w:r w:rsidRPr="00AF2B10">
        <w:rPr>
          <w:rFonts w:asciiTheme="majorHAnsi" w:hAnsiTheme="majorHAnsi"/>
          <w:sz w:val="20"/>
          <w:szCs w:val="20"/>
          <w:lang w:val="es-ES_tradnl"/>
        </w:rPr>
        <w:t xml:space="preserve">alegadamente </w:t>
      </w:r>
      <w:r w:rsidR="00B54257" w:rsidRPr="00AF2B10">
        <w:rPr>
          <w:rFonts w:asciiTheme="majorHAnsi" w:hAnsiTheme="majorHAnsi"/>
          <w:sz w:val="20"/>
          <w:szCs w:val="20"/>
          <w:lang w:val="es-ES_tradnl"/>
        </w:rPr>
        <w:t xml:space="preserve">mediante actos de tortura; (b) </w:t>
      </w:r>
      <w:r w:rsidR="002D20BB" w:rsidRPr="00AF2B10">
        <w:rPr>
          <w:rFonts w:asciiTheme="majorHAnsi" w:hAnsiTheme="majorHAnsi"/>
          <w:sz w:val="20"/>
          <w:szCs w:val="20"/>
          <w:lang w:val="es-ES_tradnl"/>
        </w:rPr>
        <w:t xml:space="preserve">la prescripción de la acción penal fue atribuida a las autoridades judiciales que tramitaron el recurso de casación; y </w:t>
      </w:r>
      <w:r w:rsidR="00B54257" w:rsidRPr="00AF2B10">
        <w:rPr>
          <w:rFonts w:asciiTheme="majorHAnsi" w:hAnsiTheme="majorHAnsi"/>
          <w:sz w:val="20"/>
          <w:szCs w:val="20"/>
          <w:lang w:val="es-ES_tradnl"/>
        </w:rPr>
        <w:t xml:space="preserve">(c) </w:t>
      </w:r>
      <w:r w:rsidR="002D20BB" w:rsidRPr="00AF2B10">
        <w:rPr>
          <w:rFonts w:asciiTheme="majorHAnsi" w:hAnsiTheme="majorHAnsi"/>
          <w:sz w:val="20"/>
          <w:szCs w:val="20"/>
          <w:lang w:val="es-ES_tradnl"/>
        </w:rPr>
        <w:t xml:space="preserve">que la acción de revisión se interpuso por el </w:t>
      </w:r>
      <w:r w:rsidR="002D20BB" w:rsidRPr="00AF2B10">
        <w:rPr>
          <w:sz w:val="20"/>
          <w:szCs w:val="20"/>
          <w:lang w:val="es-ES_tradnl"/>
        </w:rPr>
        <w:t>Procurador Séptimo Judicial II de Bogotá más de doce años después de haberse dictado la sentencia que determinó la prescripción de la acción penal</w:t>
      </w:r>
      <w:r w:rsidR="00B54257" w:rsidRPr="00AF2B10">
        <w:rPr>
          <w:sz w:val="20"/>
          <w:szCs w:val="20"/>
          <w:lang w:val="es-ES_tradnl"/>
        </w:rPr>
        <w:t xml:space="preserve">. </w:t>
      </w:r>
      <w:r w:rsidR="002D20BB" w:rsidRPr="00AF2B10">
        <w:rPr>
          <w:sz w:val="20"/>
          <w:szCs w:val="20"/>
          <w:lang w:val="es-ES_tradnl"/>
        </w:rPr>
        <w:t xml:space="preserve"> </w:t>
      </w:r>
    </w:p>
    <w:p w14:paraId="74F801DC" w14:textId="28A7A2F7" w:rsidR="0016740F" w:rsidRPr="00AF2B10" w:rsidRDefault="005A4915" w:rsidP="0094295F">
      <w:pPr>
        <w:pStyle w:val="ListParagraph"/>
        <w:numPr>
          <w:ilvl w:val="0"/>
          <w:numId w:val="59"/>
        </w:numPr>
        <w:spacing w:before="240" w:after="240"/>
        <w:ind w:left="0" w:firstLine="709"/>
        <w:jc w:val="both"/>
        <w:rPr>
          <w:sz w:val="20"/>
          <w:szCs w:val="20"/>
          <w:lang w:val="es-ES_tradnl"/>
        </w:rPr>
      </w:pPr>
      <w:r w:rsidRPr="00AF2B10">
        <w:rPr>
          <w:rFonts w:asciiTheme="majorHAnsi" w:hAnsiTheme="majorHAnsi"/>
          <w:sz w:val="20"/>
          <w:szCs w:val="20"/>
          <w:lang w:val="es-ES_tradnl"/>
        </w:rPr>
        <w:t xml:space="preserve">Así, en atención a estas consideraciones, y tras examinar los elementos de hecho y de derecho expuestos por las partes, la Comisión estima que los alegatos de la parte peticionaria no resultan manifiestamente </w:t>
      </w:r>
      <w:r w:rsidRPr="00AF2B10">
        <w:rPr>
          <w:rFonts w:asciiTheme="majorHAnsi" w:hAnsiTheme="majorHAnsi" w:cs="Times New Roman"/>
          <w:sz w:val="20"/>
          <w:szCs w:val="20"/>
          <w:lang w:val="es-ES_tradnl"/>
        </w:rPr>
        <w:t>infundadas</w:t>
      </w:r>
      <w:r w:rsidRPr="00AF2B10">
        <w:rPr>
          <w:rFonts w:asciiTheme="majorHAnsi" w:hAnsiTheme="majorHAnsi"/>
          <w:sz w:val="20"/>
          <w:szCs w:val="20"/>
          <w:lang w:val="es-ES_tradnl"/>
        </w:rPr>
        <w:t xml:space="preserve"> y requieren un estudio de fondo, pues los hechos alegados, de corroborarse, podrían caracterizar violaciones de los artículos </w:t>
      </w:r>
      <w:r w:rsidRPr="00AF2B10">
        <w:rPr>
          <w:bCs/>
          <w:sz w:val="20"/>
          <w:szCs w:val="20"/>
          <w:lang w:val="es-ES_tradnl"/>
        </w:rPr>
        <w:t>5 (integridad personal), 8 (garantías judiciales)</w:t>
      </w:r>
      <w:r w:rsidR="002715F9" w:rsidRPr="00AF2B10">
        <w:rPr>
          <w:bCs/>
          <w:sz w:val="20"/>
          <w:szCs w:val="20"/>
          <w:lang w:val="es-ES_tradnl"/>
        </w:rPr>
        <w:t xml:space="preserve"> </w:t>
      </w:r>
      <w:r w:rsidRPr="00AF2B10">
        <w:rPr>
          <w:bCs/>
          <w:sz w:val="20"/>
          <w:szCs w:val="20"/>
          <w:lang w:val="es-ES_tradnl"/>
        </w:rPr>
        <w:t xml:space="preserve">y 25 (protección judicial) de la Convención Americana, en relación con sus artículos 1.1 (obligación de respetar los </w:t>
      </w:r>
      <w:r w:rsidRPr="00AF2B10">
        <w:rPr>
          <w:bCs/>
          <w:sz w:val="20"/>
          <w:szCs w:val="20"/>
          <w:lang w:val="es-ES_tradnl"/>
        </w:rPr>
        <w:lastRenderedPageBreak/>
        <w:t>derechos) y 2 (deber de adoptar disposiciones de derecho interno); en perjuicio de</w:t>
      </w:r>
      <w:r w:rsidR="00E50750" w:rsidRPr="00AF2B10">
        <w:rPr>
          <w:bCs/>
          <w:sz w:val="20"/>
          <w:szCs w:val="20"/>
          <w:lang w:val="es-ES_tradnl"/>
        </w:rPr>
        <w:t xml:space="preserve"> </w:t>
      </w:r>
      <w:r w:rsidRPr="00AF2B10">
        <w:rPr>
          <w:bCs/>
          <w:sz w:val="20"/>
          <w:szCs w:val="20"/>
          <w:lang w:val="es-ES_tradnl"/>
        </w:rPr>
        <w:t>l</w:t>
      </w:r>
      <w:r w:rsidR="00E50750" w:rsidRPr="00AF2B10">
        <w:rPr>
          <w:bCs/>
          <w:sz w:val="20"/>
          <w:szCs w:val="20"/>
          <w:lang w:val="es-ES_tradnl"/>
        </w:rPr>
        <w:t>a</w:t>
      </w:r>
      <w:r w:rsidRPr="00AF2B10">
        <w:rPr>
          <w:bCs/>
          <w:sz w:val="20"/>
          <w:szCs w:val="20"/>
          <w:lang w:val="es-ES_tradnl"/>
        </w:rPr>
        <w:t xml:space="preserve"> </w:t>
      </w:r>
      <w:r w:rsidR="00E50750" w:rsidRPr="00AF2B10">
        <w:rPr>
          <w:bCs/>
          <w:sz w:val="20"/>
          <w:szCs w:val="20"/>
          <w:lang w:val="es-ES_tradnl"/>
        </w:rPr>
        <w:t>señora Gloria Lara</w:t>
      </w:r>
      <w:r w:rsidRPr="00AF2B10">
        <w:rPr>
          <w:bCs/>
          <w:sz w:val="20"/>
          <w:szCs w:val="20"/>
          <w:lang w:val="es-ES_tradnl"/>
        </w:rPr>
        <w:t xml:space="preserve"> y sus </w:t>
      </w:r>
      <w:r w:rsidR="00E852C2" w:rsidRPr="00AF2B10">
        <w:rPr>
          <w:bCs/>
          <w:sz w:val="20"/>
          <w:szCs w:val="20"/>
          <w:lang w:val="es-ES_tradnl"/>
        </w:rPr>
        <w:t>hijos</w:t>
      </w:r>
      <w:r w:rsidRPr="00AF2B10">
        <w:rPr>
          <w:bCs/>
          <w:sz w:val="20"/>
          <w:szCs w:val="20"/>
          <w:lang w:val="es-ES_tradnl"/>
        </w:rPr>
        <w:t>, en los términos del presente informe.</w:t>
      </w:r>
    </w:p>
    <w:p w14:paraId="445BF42E" w14:textId="44FDD6B5" w:rsidR="003239B8" w:rsidRPr="00AF2B10"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AF2B10">
        <w:rPr>
          <w:rFonts w:asciiTheme="majorHAnsi" w:hAnsiTheme="majorHAnsi"/>
          <w:b/>
          <w:bCs/>
          <w:sz w:val="20"/>
          <w:szCs w:val="20"/>
          <w:lang w:val="es-ES_tradnl"/>
        </w:rPr>
        <w:t xml:space="preserve">VIII. </w:t>
      </w:r>
      <w:r w:rsidRPr="00AF2B10">
        <w:rPr>
          <w:rFonts w:asciiTheme="majorHAnsi" w:hAnsiTheme="majorHAnsi"/>
          <w:b/>
          <w:bCs/>
          <w:sz w:val="20"/>
          <w:szCs w:val="20"/>
          <w:lang w:val="es-ES_tradnl"/>
        </w:rPr>
        <w:tab/>
        <w:t>DECISIÓN</w:t>
      </w:r>
    </w:p>
    <w:p w14:paraId="4800E0CF" w14:textId="646E5515" w:rsidR="00F20B2D" w:rsidRPr="00AF2B10"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F2B10">
        <w:rPr>
          <w:rFonts w:asciiTheme="majorHAnsi" w:hAnsiTheme="majorHAnsi"/>
          <w:sz w:val="20"/>
          <w:szCs w:val="20"/>
          <w:lang w:val="es-ES_tradnl"/>
        </w:rPr>
        <w:t xml:space="preserve">Declarar </w:t>
      </w:r>
      <w:r w:rsidR="005A4915" w:rsidRPr="00AF2B10">
        <w:rPr>
          <w:rFonts w:asciiTheme="majorHAnsi" w:hAnsiTheme="majorHAnsi"/>
          <w:sz w:val="20"/>
          <w:szCs w:val="20"/>
          <w:lang w:val="es-ES_tradnl"/>
        </w:rPr>
        <w:t>admisible la presente petición en relación con los artículos 5, 8</w:t>
      </w:r>
      <w:r w:rsidR="002715F9" w:rsidRPr="00AF2B10">
        <w:rPr>
          <w:rFonts w:asciiTheme="majorHAnsi" w:hAnsiTheme="majorHAnsi"/>
          <w:sz w:val="20"/>
          <w:szCs w:val="20"/>
          <w:lang w:val="es-ES_tradnl"/>
        </w:rPr>
        <w:t xml:space="preserve"> </w:t>
      </w:r>
      <w:r w:rsidR="005A4915" w:rsidRPr="00AF2B10">
        <w:rPr>
          <w:rFonts w:asciiTheme="majorHAnsi" w:hAnsiTheme="majorHAnsi"/>
          <w:sz w:val="20"/>
          <w:szCs w:val="20"/>
          <w:lang w:val="es-ES_tradnl"/>
        </w:rPr>
        <w:t>y 25 de la Convención Americana, en concordancia con sus artículos 1.1 y 2;</w:t>
      </w:r>
      <w:r w:rsidRPr="00AF2B10">
        <w:rPr>
          <w:rFonts w:asciiTheme="majorHAnsi" w:hAnsiTheme="majorHAnsi"/>
          <w:sz w:val="20"/>
          <w:szCs w:val="20"/>
          <w:lang w:val="es-ES_tradnl"/>
        </w:rPr>
        <w:t xml:space="preserve"> </w:t>
      </w:r>
      <w:r w:rsidR="007652B0">
        <w:rPr>
          <w:rFonts w:asciiTheme="majorHAnsi" w:hAnsiTheme="majorHAnsi"/>
          <w:sz w:val="20"/>
          <w:szCs w:val="20"/>
          <w:lang w:val="es-ES_tradnl"/>
        </w:rPr>
        <w:t>y</w:t>
      </w:r>
    </w:p>
    <w:p w14:paraId="02C904B2" w14:textId="3F0079F8" w:rsidR="009A56CE"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F2B1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A976CE7" w14:textId="48E7A94D" w:rsidR="00BE1602" w:rsidRPr="00E9555B" w:rsidRDefault="00BE1602" w:rsidP="00E9555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Calibri" w:hAnsi="Cambria" w:cs="Segoe UI"/>
          <w:sz w:val="20"/>
          <w:szCs w:val="20"/>
          <w:lang w:val="es-CL"/>
        </w:rPr>
        <w:t>Aprobado por la Comisión Interamericana de Derechos Humanos a los 19 días del mes de diciembre de 2022.</w:t>
      </w:r>
      <w:r w:rsidR="00E9555B">
        <w:rPr>
          <w:rStyle w:val="normaltextrun"/>
          <w:rFonts w:ascii="Cambria" w:eastAsia="Calibri" w:hAnsi="Cambria" w:cs="Segoe UI"/>
          <w:sz w:val="20"/>
          <w:szCs w:val="20"/>
          <w:lang w:val="es-CL"/>
        </w:rPr>
        <w:t xml:space="preserve"> </w:t>
      </w:r>
      <w:r>
        <w:rPr>
          <w:rStyle w:val="normaltextrun"/>
          <w:rFonts w:ascii="Cambria" w:eastAsia="Calibri" w:hAnsi="Cambria" w:cs="Segoe UI"/>
          <w:sz w:val="20"/>
          <w:szCs w:val="20"/>
          <w:lang w:val="es-CL"/>
        </w:rPr>
        <w:t xml:space="preserve">(Firmado): Julissa Mantilla Falcón, Presidenta; Stuardo Ralón Orellana, Primer Vicepresidente; Esmeralda E. Arosemena Bernal de Troitiño y Joel Hernández, </w:t>
      </w:r>
      <w:r w:rsidR="00E9555B">
        <w:rPr>
          <w:rStyle w:val="normaltextrun"/>
          <w:rFonts w:ascii="Cambria" w:eastAsia="Calibri" w:hAnsi="Cambria" w:cs="Segoe UI"/>
          <w:sz w:val="20"/>
          <w:szCs w:val="20"/>
          <w:lang w:val="es-CL"/>
        </w:rPr>
        <w:t>m</w:t>
      </w:r>
      <w:r>
        <w:rPr>
          <w:rStyle w:val="normaltextrun"/>
          <w:rFonts w:ascii="Cambria" w:eastAsia="Calibri"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p w14:paraId="0A35ACC0" w14:textId="77777777" w:rsidR="007652B0" w:rsidRPr="00AF2B10" w:rsidRDefault="007652B0" w:rsidP="00765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7652B0" w:rsidRPr="00AF2B1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42B4" w14:textId="77777777" w:rsidR="002866E1" w:rsidRDefault="002866E1">
      <w:r>
        <w:separator/>
      </w:r>
    </w:p>
  </w:endnote>
  <w:endnote w:type="continuationSeparator" w:id="0">
    <w:p w14:paraId="2F8F987C" w14:textId="77777777" w:rsidR="002866E1" w:rsidRDefault="0028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4CC1" w14:textId="77777777" w:rsidR="002866E1" w:rsidRPr="000F35ED" w:rsidRDefault="002866E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B5F53F" w14:textId="77777777" w:rsidR="002866E1" w:rsidRPr="000F35ED" w:rsidRDefault="002866E1" w:rsidP="000F35ED">
      <w:pPr>
        <w:rPr>
          <w:rFonts w:asciiTheme="majorHAnsi" w:hAnsiTheme="majorHAnsi"/>
          <w:sz w:val="16"/>
          <w:szCs w:val="16"/>
        </w:rPr>
      </w:pPr>
      <w:r w:rsidRPr="000F35ED">
        <w:rPr>
          <w:rFonts w:asciiTheme="majorHAnsi" w:hAnsiTheme="majorHAnsi"/>
          <w:sz w:val="16"/>
          <w:szCs w:val="16"/>
        </w:rPr>
        <w:separator/>
      </w:r>
    </w:p>
    <w:p w14:paraId="758E1D0B" w14:textId="77777777" w:rsidR="002866E1" w:rsidRPr="000F35ED" w:rsidRDefault="002866E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4E0A21A" w14:textId="77777777" w:rsidR="002866E1" w:rsidRPr="000F35ED" w:rsidRDefault="002866E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E3A971" w14:textId="7F3D271D" w:rsidR="00011113" w:rsidRPr="00DD1318" w:rsidRDefault="00011113" w:rsidP="00011113">
      <w:pPr>
        <w:pStyle w:val="FootnoteText"/>
        <w:ind w:firstLine="720"/>
        <w:jc w:val="both"/>
        <w:rPr>
          <w:rFonts w:asciiTheme="majorHAnsi" w:hAnsiTheme="majorHAnsi"/>
          <w:sz w:val="16"/>
          <w:szCs w:val="16"/>
          <w:lang w:val="es-ES"/>
        </w:rPr>
      </w:pPr>
      <w:r w:rsidRPr="00A3050F">
        <w:rPr>
          <w:rFonts w:asciiTheme="majorHAnsi" w:hAnsiTheme="majorHAnsi"/>
          <w:sz w:val="16"/>
          <w:szCs w:val="16"/>
          <w:vertAlign w:val="superscript"/>
          <w:lang w:val="es-ES"/>
        </w:rPr>
        <w:footnoteRef/>
      </w:r>
      <w:r w:rsidR="00A3050F" w:rsidRPr="00F557B7">
        <w:rPr>
          <w:rFonts w:asciiTheme="majorHAnsi" w:hAnsiTheme="majorHAnsi"/>
          <w:sz w:val="16"/>
          <w:szCs w:val="16"/>
          <w:lang w:val="es-ES"/>
        </w:rPr>
        <w:t xml:space="preserve"> </w:t>
      </w:r>
      <w:r w:rsidR="007A50BF" w:rsidRPr="00DD1318">
        <w:rPr>
          <w:rFonts w:asciiTheme="majorHAnsi" w:hAnsiTheme="majorHAnsi"/>
          <w:bCs/>
          <w:sz w:val="16"/>
          <w:szCs w:val="16"/>
          <w:lang w:val="es-ES"/>
        </w:rPr>
        <w:t>Héctor Manuel Echeverri Lara</w:t>
      </w:r>
      <w:r w:rsidR="00746443" w:rsidRPr="00DD1318">
        <w:rPr>
          <w:rFonts w:asciiTheme="majorHAnsi" w:hAnsiTheme="majorHAnsi"/>
          <w:bCs/>
          <w:sz w:val="16"/>
          <w:szCs w:val="16"/>
          <w:lang w:val="es-ES"/>
        </w:rPr>
        <w:t xml:space="preserve">; </w:t>
      </w:r>
      <w:r w:rsidR="00236A1F" w:rsidRPr="00DD1318">
        <w:rPr>
          <w:rFonts w:asciiTheme="majorHAnsi" w:hAnsiTheme="majorHAnsi"/>
          <w:sz w:val="16"/>
          <w:szCs w:val="16"/>
          <w:lang w:val="es-ES"/>
        </w:rPr>
        <w:t xml:space="preserve">Gloria Lucía </w:t>
      </w:r>
      <w:r w:rsidR="00236A1F" w:rsidRPr="00DD1318">
        <w:rPr>
          <w:rFonts w:asciiTheme="majorHAnsi" w:hAnsiTheme="majorHAnsi"/>
          <w:bCs/>
          <w:sz w:val="16"/>
          <w:szCs w:val="16"/>
          <w:lang w:val="es-ES"/>
        </w:rPr>
        <w:t>Echeverri Lara</w:t>
      </w:r>
      <w:r w:rsidRPr="00DD1318">
        <w:rPr>
          <w:rFonts w:asciiTheme="majorHAnsi" w:hAnsiTheme="majorHAnsi"/>
          <w:sz w:val="16"/>
          <w:szCs w:val="16"/>
          <w:lang w:val="es-ES"/>
        </w:rPr>
        <w:t>,</w:t>
      </w:r>
      <w:r w:rsidR="00236A1F" w:rsidRPr="00DD1318">
        <w:rPr>
          <w:rFonts w:asciiTheme="majorHAnsi" w:hAnsiTheme="majorHAnsi"/>
          <w:sz w:val="16"/>
          <w:szCs w:val="16"/>
          <w:lang w:val="es-ES"/>
        </w:rPr>
        <w:t xml:space="preserve"> y</w:t>
      </w:r>
      <w:r w:rsidRPr="00DD1318">
        <w:rPr>
          <w:rFonts w:asciiTheme="majorHAnsi" w:hAnsiTheme="majorHAnsi"/>
          <w:sz w:val="16"/>
          <w:szCs w:val="16"/>
          <w:lang w:val="es-ES"/>
        </w:rPr>
        <w:t xml:space="preserve"> </w:t>
      </w:r>
      <w:r w:rsidR="00236A1F" w:rsidRPr="00DD1318">
        <w:rPr>
          <w:rFonts w:asciiTheme="majorHAnsi" w:hAnsiTheme="majorHAnsi"/>
          <w:sz w:val="16"/>
          <w:szCs w:val="16"/>
          <w:lang w:val="es-ES"/>
        </w:rPr>
        <w:t xml:space="preserve">Luz María </w:t>
      </w:r>
      <w:r w:rsidR="00236A1F" w:rsidRPr="00DD1318">
        <w:rPr>
          <w:rFonts w:asciiTheme="majorHAnsi" w:hAnsiTheme="majorHAnsi"/>
          <w:bCs/>
          <w:sz w:val="16"/>
          <w:szCs w:val="16"/>
          <w:lang w:val="es-ES"/>
        </w:rPr>
        <w:t>Echeverri Lara</w:t>
      </w:r>
      <w:r w:rsidR="00236A1F" w:rsidRPr="00DD1318">
        <w:rPr>
          <w:rFonts w:asciiTheme="majorHAnsi" w:hAnsiTheme="majorHAnsi"/>
          <w:sz w:val="16"/>
          <w:szCs w:val="16"/>
          <w:lang w:val="es-ES"/>
        </w:rPr>
        <w:t>.</w:t>
      </w:r>
    </w:p>
  </w:footnote>
  <w:footnote w:id="3">
    <w:p w14:paraId="7283A9A9" w14:textId="36E05B79" w:rsidR="00130DC3" w:rsidRPr="00DD1318" w:rsidRDefault="00130DC3" w:rsidP="00130DC3">
      <w:pPr>
        <w:pStyle w:val="FootnoteText"/>
        <w:ind w:firstLine="720"/>
        <w:jc w:val="both"/>
        <w:rPr>
          <w:rFonts w:asciiTheme="majorHAnsi" w:hAnsiTheme="majorHAnsi"/>
          <w:sz w:val="16"/>
          <w:szCs w:val="16"/>
          <w:lang w:val="es-419"/>
        </w:rPr>
      </w:pPr>
      <w:r w:rsidRPr="00DD1318">
        <w:rPr>
          <w:rStyle w:val="FootnoteReference"/>
          <w:rFonts w:asciiTheme="majorHAnsi" w:hAnsiTheme="majorHAnsi"/>
          <w:sz w:val="16"/>
          <w:szCs w:val="16"/>
        </w:rPr>
        <w:footnoteRef/>
      </w:r>
      <w:r w:rsidRPr="00DD1318">
        <w:rPr>
          <w:rFonts w:asciiTheme="majorHAnsi" w:hAnsiTheme="majorHAnsi"/>
          <w:sz w:val="16"/>
          <w:szCs w:val="16"/>
          <w:lang w:val="es-419"/>
        </w:rPr>
        <w:t xml:space="preserve"> </w:t>
      </w:r>
      <w:r w:rsidRPr="00DD1318">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p>
  </w:footnote>
  <w:footnote w:id="4">
    <w:p w14:paraId="5307B3FF" w14:textId="77777777" w:rsidR="002B29A4" w:rsidRPr="00DD1318" w:rsidRDefault="002B29A4" w:rsidP="002B29A4">
      <w:pPr>
        <w:pStyle w:val="FootnoteText"/>
        <w:ind w:firstLine="720"/>
        <w:jc w:val="both"/>
        <w:rPr>
          <w:rFonts w:asciiTheme="majorHAnsi" w:hAnsiTheme="majorHAnsi"/>
          <w:sz w:val="16"/>
          <w:szCs w:val="16"/>
          <w:lang w:val="es-ES"/>
        </w:rPr>
      </w:pPr>
      <w:r w:rsidRPr="00DD1318">
        <w:rPr>
          <w:rFonts w:asciiTheme="majorHAnsi" w:hAnsiTheme="majorHAnsi"/>
          <w:sz w:val="16"/>
          <w:szCs w:val="16"/>
          <w:vertAlign w:val="superscript"/>
          <w:lang w:val="es-ES"/>
        </w:rPr>
        <w:footnoteRef/>
      </w:r>
      <w:r w:rsidRPr="00DD1318">
        <w:rPr>
          <w:rFonts w:asciiTheme="majorHAnsi" w:hAnsiTheme="majorHAnsi"/>
          <w:sz w:val="16"/>
          <w:szCs w:val="16"/>
          <w:lang w:val="es-ES"/>
        </w:rPr>
        <w:t xml:space="preserve"> En adelante, la “Convención Americana” o la “Convención”.</w:t>
      </w:r>
    </w:p>
  </w:footnote>
  <w:footnote w:id="5">
    <w:p w14:paraId="1AFEF3B0" w14:textId="5C819FA4" w:rsidR="008E3BFE" w:rsidRPr="00DD1318" w:rsidRDefault="008E3BFE" w:rsidP="00306F33">
      <w:pPr>
        <w:pStyle w:val="FootnoteText"/>
        <w:ind w:firstLine="720"/>
        <w:jc w:val="both"/>
        <w:rPr>
          <w:rFonts w:asciiTheme="majorHAnsi" w:hAnsiTheme="majorHAnsi"/>
          <w:sz w:val="16"/>
          <w:szCs w:val="16"/>
          <w:lang w:val="es-ES"/>
        </w:rPr>
      </w:pPr>
      <w:r w:rsidRPr="00DD1318">
        <w:rPr>
          <w:rStyle w:val="FootnoteReference"/>
          <w:rFonts w:asciiTheme="majorHAnsi" w:hAnsiTheme="majorHAnsi"/>
          <w:sz w:val="16"/>
          <w:szCs w:val="16"/>
        </w:rPr>
        <w:footnoteRef/>
      </w:r>
      <w:r w:rsidRPr="00DD1318">
        <w:rPr>
          <w:rFonts w:asciiTheme="majorHAnsi" w:hAnsiTheme="majorHAnsi"/>
          <w:sz w:val="16"/>
          <w:szCs w:val="16"/>
          <w:lang w:val="es-ES"/>
        </w:rPr>
        <w:t xml:space="preserve"> Las observaciones de cada parte fueron debidamente trasladadas a la parte contraria</w:t>
      </w:r>
      <w:r w:rsidR="00B02C3B" w:rsidRPr="00DD1318">
        <w:rPr>
          <w:rFonts w:asciiTheme="majorHAnsi" w:hAnsiTheme="majorHAnsi"/>
          <w:sz w:val="16"/>
          <w:szCs w:val="16"/>
          <w:lang w:val="es-ES"/>
        </w:rPr>
        <w:t>.</w:t>
      </w:r>
      <w:r w:rsidR="00F458E2" w:rsidRPr="00DD1318">
        <w:rPr>
          <w:rFonts w:asciiTheme="majorHAnsi" w:hAnsiTheme="majorHAnsi"/>
          <w:sz w:val="16"/>
          <w:szCs w:val="16"/>
          <w:lang w:val="es-ES"/>
        </w:rPr>
        <w:t xml:space="preserve"> E</w:t>
      </w:r>
      <w:r w:rsidR="00BC028C" w:rsidRPr="00DD1318">
        <w:rPr>
          <w:rFonts w:asciiTheme="majorHAnsi" w:hAnsiTheme="majorHAnsi"/>
          <w:sz w:val="16"/>
          <w:szCs w:val="16"/>
          <w:lang w:val="es-ES"/>
        </w:rPr>
        <w:t>n comunicación de</w:t>
      </w:r>
      <w:r w:rsidR="00F458E2" w:rsidRPr="00DD1318">
        <w:rPr>
          <w:rFonts w:asciiTheme="majorHAnsi" w:hAnsiTheme="majorHAnsi"/>
          <w:sz w:val="16"/>
          <w:szCs w:val="16"/>
          <w:lang w:val="es-ES"/>
        </w:rPr>
        <w:t xml:space="preserve"> 12 de mayo de 2017 la parte peticionaria manifestó su interés en el trámite de la petición. </w:t>
      </w:r>
    </w:p>
  </w:footnote>
  <w:footnote w:id="6">
    <w:p w14:paraId="271E9A9D" w14:textId="1B5C3454" w:rsidR="004672A7" w:rsidRPr="00DD1318" w:rsidRDefault="004672A7" w:rsidP="004672A7">
      <w:pPr>
        <w:pStyle w:val="FootnoteText"/>
        <w:ind w:firstLine="720"/>
        <w:jc w:val="both"/>
        <w:rPr>
          <w:rFonts w:asciiTheme="majorHAnsi" w:hAnsiTheme="majorHAnsi"/>
          <w:sz w:val="16"/>
          <w:szCs w:val="16"/>
          <w:vertAlign w:val="superscript"/>
          <w:lang w:val="es-CO"/>
        </w:rPr>
      </w:pPr>
      <w:r w:rsidRPr="00DD1318">
        <w:rPr>
          <w:rStyle w:val="FootnoteReference"/>
          <w:rFonts w:asciiTheme="majorHAnsi" w:hAnsiTheme="majorHAnsi"/>
          <w:sz w:val="16"/>
          <w:szCs w:val="16"/>
        </w:rPr>
        <w:footnoteRef/>
      </w:r>
      <w:r w:rsidRPr="00DD1318">
        <w:rPr>
          <w:rFonts w:asciiTheme="majorHAnsi" w:hAnsiTheme="majorHAnsi"/>
          <w:sz w:val="16"/>
          <w:szCs w:val="16"/>
          <w:lang w:val="es-CO"/>
        </w:rPr>
        <w:t xml:space="preserve"> </w:t>
      </w:r>
      <w:r w:rsidRPr="00DD1318">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DD1318">
        <w:rPr>
          <w:rFonts w:asciiTheme="majorHAnsi" w:hAnsiTheme="majorHAnsi" w:cstheme="minorHAnsi"/>
          <w:sz w:val="16"/>
          <w:szCs w:val="16"/>
          <w:lang w:val="es-US"/>
        </w:rPr>
        <w:t xml:space="preserve">CIDH, Informe Nº 70/14. Petición 1453-06. Admisibilidad. </w:t>
      </w:r>
      <w:r w:rsidRPr="00AF2B10">
        <w:rPr>
          <w:rFonts w:asciiTheme="majorHAnsi" w:hAnsiTheme="majorHAnsi" w:cstheme="minorHAnsi"/>
          <w:sz w:val="16"/>
          <w:szCs w:val="16"/>
          <w:lang w:val="es-ES"/>
        </w:rPr>
        <w:t xml:space="preserve">Maicon de Souza Silva. </w:t>
      </w:r>
      <w:r w:rsidRPr="00AF2B10">
        <w:rPr>
          <w:rFonts w:asciiTheme="majorHAnsi" w:hAnsiTheme="majorHAnsi" w:cstheme="minorHAnsi"/>
          <w:sz w:val="16"/>
          <w:szCs w:val="16"/>
          <w:lang w:val="es-US"/>
        </w:rPr>
        <w:t xml:space="preserve">Renato da Silva Paixão y otros. </w:t>
      </w:r>
      <w:r w:rsidRPr="00DD1318">
        <w:rPr>
          <w:rFonts w:asciiTheme="majorHAnsi" w:hAnsiTheme="majorHAnsi" w:cstheme="minorHAnsi"/>
          <w:sz w:val="16"/>
          <w:szCs w:val="16"/>
          <w:lang w:val="es-US"/>
        </w:rPr>
        <w:t xml:space="preserve">25 de julio de 2014, párr. 18; </w:t>
      </w:r>
      <w:r w:rsidRPr="00DD1318">
        <w:rPr>
          <w:rFonts w:asciiTheme="majorHAnsi" w:hAnsiTheme="majorHAnsi"/>
          <w:sz w:val="16"/>
          <w:szCs w:val="16"/>
          <w:lang w:val="es-CO"/>
        </w:rPr>
        <w:t>Informe No. 3/12, Petición 12.224, Admisibilidad, Santiago Antezana Cueto y otros, Perú, 27 de enero de 2012, pár</w:t>
      </w:r>
      <w:r w:rsidR="00025962" w:rsidRPr="00DD1318">
        <w:rPr>
          <w:rFonts w:asciiTheme="majorHAnsi" w:hAnsiTheme="majorHAnsi"/>
          <w:sz w:val="16"/>
          <w:szCs w:val="16"/>
          <w:lang w:val="es-CO"/>
        </w:rPr>
        <w:t>r</w:t>
      </w:r>
      <w:r w:rsidRPr="00DD1318">
        <w:rPr>
          <w:rFonts w:asciiTheme="majorHAnsi" w:hAnsiTheme="majorHAnsi"/>
          <w:sz w:val="16"/>
          <w:szCs w:val="16"/>
          <w:lang w:val="es-CO"/>
        </w:rPr>
        <w:t xml:space="preserve">. 24; Informe No. 124/17, Petición 21-08, Admisibilidad, Fernanda López Medina y otros, Perú, 7 de septiembre de 2017, párs. </w:t>
      </w:r>
      <w:r w:rsidRPr="00DD1318">
        <w:rPr>
          <w:rFonts w:asciiTheme="majorHAnsi" w:hAnsiTheme="majorHAnsi" w:cstheme="minorHAnsi"/>
          <w:sz w:val="16"/>
          <w:szCs w:val="16"/>
          <w:lang w:val="es-US"/>
        </w:rPr>
        <w:t>3, 9-11.</w:t>
      </w:r>
    </w:p>
  </w:footnote>
  <w:footnote w:id="7">
    <w:p w14:paraId="1AA42F40" w14:textId="56605AC4" w:rsidR="00634747" w:rsidRPr="00DD1318" w:rsidRDefault="00634747" w:rsidP="00BD49E6">
      <w:pPr>
        <w:pStyle w:val="FootnoteText"/>
        <w:ind w:firstLine="720"/>
        <w:jc w:val="both"/>
        <w:rPr>
          <w:rFonts w:asciiTheme="majorHAnsi" w:hAnsiTheme="majorHAnsi"/>
          <w:sz w:val="16"/>
          <w:szCs w:val="16"/>
          <w:lang w:val="es-ES"/>
        </w:rPr>
      </w:pPr>
      <w:r w:rsidRPr="00DD1318">
        <w:rPr>
          <w:rFonts w:asciiTheme="majorHAnsi" w:hAnsiTheme="majorHAnsi"/>
          <w:sz w:val="16"/>
          <w:szCs w:val="16"/>
          <w:vertAlign w:val="superscript"/>
          <w:lang w:val="es-CO"/>
        </w:rPr>
        <w:footnoteRef/>
      </w:r>
      <w:r w:rsidRPr="00DD1318">
        <w:rPr>
          <w:rFonts w:asciiTheme="majorHAnsi" w:hAnsiTheme="majorHAnsi"/>
          <w:sz w:val="16"/>
          <w:szCs w:val="16"/>
          <w:lang w:val="es-CO"/>
        </w:rPr>
        <w:t xml:space="preserve"> </w:t>
      </w:r>
      <w:r w:rsidR="00025962" w:rsidRPr="00DD1318">
        <w:rPr>
          <w:rFonts w:asciiTheme="majorHAnsi" w:hAnsiTheme="majorHAnsi"/>
          <w:sz w:val="16"/>
          <w:szCs w:val="16"/>
          <w:lang w:val="es-ES"/>
        </w:rPr>
        <w:t>CIDH, Informe No. 65/19. Petición 555-09. Admisibilidad. Carlos Antonio Guerrero Vega y otros. Colombia. 5 de mayo de 2019, párr. 37.</w:t>
      </w:r>
    </w:p>
  </w:footnote>
  <w:footnote w:id="8">
    <w:p w14:paraId="5348EFDA" w14:textId="77777777" w:rsidR="0074752A" w:rsidRPr="00DD1318" w:rsidRDefault="0074752A" w:rsidP="0074752A">
      <w:pPr>
        <w:pStyle w:val="FootnoteText"/>
        <w:ind w:firstLine="720"/>
        <w:jc w:val="both"/>
        <w:rPr>
          <w:rFonts w:asciiTheme="majorHAnsi" w:hAnsiTheme="majorHAnsi" w:cstheme="minorHAnsi"/>
          <w:sz w:val="16"/>
          <w:szCs w:val="16"/>
          <w:lang w:val="es-US"/>
        </w:rPr>
      </w:pPr>
      <w:r w:rsidRPr="00DD1318">
        <w:rPr>
          <w:rStyle w:val="FootnoteReference"/>
          <w:rFonts w:asciiTheme="majorHAnsi" w:hAnsiTheme="majorHAnsi" w:cstheme="minorHAnsi"/>
          <w:sz w:val="16"/>
          <w:szCs w:val="16"/>
        </w:rPr>
        <w:footnoteRef/>
      </w:r>
      <w:r w:rsidRPr="00DD1318">
        <w:rPr>
          <w:rFonts w:asciiTheme="majorHAnsi" w:hAnsiTheme="majorHAnsi" w:cstheme="minorHAnsi"/>
          <w:sz w:val="16"/>
          <w:szCs w:val="16"/>
          <w:lang w:val="es-US"/>
        </w:rPr>
        <w:t xml:space="preserve"> </w:t>
      </w:r>
      <w:r w:rsidRPr="00DD1318">
        <w:rPr>
          <w:rFonts w:asciiTheme="majorHAnsi" w:hAnsiTheme="majorHAnsi"/>
          <w:sz w:val="16"/>
          <w:szCs w:val="16"/>
          <w:lang w:val="es-CO"/>
        </w:rPr>
        <w:t xml:space="preserve">CIDH, Informe No. 16/18. Admisibilidad. Victoria Piedad Palacios Tejada de Saavedra. Perú. 24 de febrero de 2018, </w:t>
      </w:r>
      <w:r w:rsidRPr="00DD1318">
        <w:rPr>
          <w:rFonts w:asciiTheme="majorHAnsi" w:hAnsiTheme="majorHAnsi" w:cstheme="minorHAnsi"/>
          <w:sz w:val="16"/>
          <w:szCs w:val="16"/>
          <w:lang w:val="es-US"/>
        </w:rPr>
        <w:t xml:space="preserve">párr. 12; Informe No. 174/17, </w:t>
      </w:r>
      <w:r w:rsidRPr="00DD1318">
        <w:rPr>
          <w:rFonts w:asciiTheme="majorHAnsi" w:hAnsiTheme="majorHAnsi"/>
          <w:sz w:val="16"/>
          <w:szCs w:val="16"/>
          <w:lang w:val="es-CO"/>
        </w:rPr>
        <w:t>Petición 831-11, Admisibilidad, Hester Suzanne Van Nierop y familia, México, 30 de diciembre de 2017</w:t>
      </w:r>
      <w:r w:rsidRPr="00DD1318">
        <w:rPr>
          <w:rFonts w:asciiTheme="majorHAnsi" w:hAnsiTheme="majorHAnsi" w:cstheme="minorHAnsi"/>
          <w:sz w:val="16"/>
          <w:szCs w:val="16"/>
          <w:lang w:val="es-US"/>
        </w:rPr>
        <w:t>, párrs. 7 y 8.</w:t>
      </w:r>
    </w:p>
  </w:footnote>
  <w:footnote w:id="9">
    <w:p w14:paraId="302660F4" w14:textId="77777777" w:rsidR="0074752A" w:rsidRPr="00DD1318" w:rsidRDefault="0074752A" w:rsidP="0074752A">
      <w:pPr>
        <w:pStyle w:val="FootnoteText"/>
        <w:ind w:firstLine="720"/>
        <w:jc w:val="both"/>
        <w:rPr>
          <w:rFonts w:asciiTheme="majorHAnsi" w:hAnsiTheme="majorHAnsi" w:cstheme="minorHAnsi"/>
          <w:sz w:val="16"/>
          <w:szCs w:val="16"/>
          <w:lang w:val="es-US"/>
        </w:rPr>
      </w:pPr>
      <w:r w:rsidRPr="00DD1318">
        <w:rPr>
          <w:rFonts w:asciiTheme="majorHAnsi" w:hAnsiTheme="majorHAnsi" w:cstheme="minorHAnsi"/>
          <w:sz w:val="16"/>
          <w:szCs w:val="16"/>
          <w:vertAlign w:val="superscript"/>
          <w:lang w:val="es-US"/>
        </w:rPr>
        <w:footnoteRef/>
      </w:r>
      <w:r w:rsidRPr="00DD1318">
        <w:rPr>
          <w:rFonts w:asciiTheme="majorHAnsi" w:hAnsiTheme="majorHAnsi" w:cstheme="minorHAnsi"/>
          <w:sz w:val="16"/>
          <w:szCs w:val="16"/>
          <w:lang w:val="es-US"/>
        </w:rPr>
        <w:t xml:space="preserve"> CIDH, Informe No. 161/17, Petición 29-07. Admisibilidad. Andy Williams Garcés Suárez y familia. Perú. 30 de noviembre de 2017,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641DB" w:rsidP="00A50FCF">
    <w:pPr>
      <w:pStyle w:val="Header"/>
      <w:tabs>
        <w:tab w:val="clear" w:pos="4320"/>
        <w:tab w:val="clear" w:pos="8640"/>
      </w:tabs>
      <w:jc w:val="center"/>
      <w:rPr>
        <w:sz w:val="22"/>
        <w:szCs w:val="22"/>
      </w:rPr>
    </w:pPr>
    <w:r>
      <w:rPr>
        <w:noProof/>
        <w:sz w:val="22"/>
        <w:szCs w:val="22"/>
        <w:bdr w:val="nil"/>
      </w:rPr>
      <w:pict w14:anchorId="4AAC7D1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ED80090"/>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FA1A41"/>
    <w:multiLevelType w:val="hybridMultilevel"/>
    <w:tmpl w:val="73BC6B42"/>
    <w:lvl w:ilvl="0" w:tplc="1DE2E69E">
      <w:start w:val="1"/>
      <w:numFmt w:val="lowerRoman"/>
      <w:lvlText w:val="(%1)"/>
      <w:lvlJc w:val="left"/>
      <w:pPr>
        <w:ind w:left="1429" w:hanging="72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5AC81E7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BA6E31"/>
    <w:multiLevelType w:val="hybridMultilevel"/>
    <w:tmpl w:val="55CE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3372CA"/>
    <w:multiLevelType w:val="hybridMultilevel"/>
    <w:tmpl w:val="9C02A96E"/>
    <w:lvl w:ilvl="0" w:tplc="7818CA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88F25D5"/>
    <w:multiLevelType w:val="hybridMultilevel"/>
    <w:tmpl w:val="B196422A"/>
    <w:lvl w:ilvl="0" w:tplc="5D1EC95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D091B0F"/>
    <w:multiLevelType w:val="hybridMultilevel"/>
    <w:tmpl w:val="608AF280"/>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13751162">
    <w:abstractNumId w:val="3"/>
  </w:num>
  <w:num w:numId="2" w16cid:durableId="46077711">
    <w:abstractNumId w:val="5"/>
  </w:num>
  <w:num w:numId="3" w16cid:durableId="2045713729">
    <w:abstractNumId w:val="60"/>
  </w:num>
  <w:num w:numId="4" w16cid:durableId="589630981">
    <w:abstractNumId w:val="23"/>
  </w:num>
  <w:num w:numId="5" w16cid:durableId="102388155">
    <w:abstractNumId w:val="54"/>
  </w:num>
  <w:num w:numId="6" w16cid:durableId="1492059524">
    <w:abstractNumId w:val="30"/>
  </w:num>
  <w:num w:numId="7" w16cid:durableId="1170213552">
    <w:abstractNumId w:val="7"/>
  </w:num>
  <w:num w:numId="8" w16cid:durableId="1192306526">
    <w:abstractNumId w:val="18"/>
  </w:num>
  <w:num w:numId="9" w16cid:durableId="1127118804">
    <w:abstractNumId w:val="47"/>
  </w:num>
  <w:num w:numId="10" w16cid:durableId="655307834">
    <w:abstractNumId w:val="0"/>
  </w:num>
  <w:num w:numId="11" w16cid:durableId="151332419">
    <w:abstractNumId w:val="42"/>
  </w:num>
  <w:num w:numId="12" w16cid:durableId="1006399325">
    <w:abstractNumId w:val="43"/>
  </w:num>
  <w:num w:numId="13" w16cid:durableId="67502344">
    <w:abstractNumId w:val="50"/>
  </w:num>
  <w:num w:numId="14" w16cid:durableId="1724909271">
    <w:abstractNumId w:val="1"/>
  </w:num>
  <w:num w:numId="15" w16cid:durableId="512384081">
    <w:abstractNumId w:val="2"/>
  </w:num>
  <w:num w:numId="16" w16cid:durableId="243953739">
    <w:abstractNumId w:val="8"/>
  </w:num>
  <w:num w:numId="17" w16cid:durableId="288126647">
    <w:abstractNumId w:val="9"/>
  </w:num>
  <w:num w:numId="18" w16cid:durableId="1537694972">
    <w:abstractNumId w:val="10"/>
  </w:num>
  <w:num w:numId="19" w16cid:durableId="530925311">
    <w:abstractNumId w:val="11"/>
  </w:num>
  <w:num w:numId="20" w16cid:durableId="58596808">
    <w:abstractNumId w:val="12"/>
  </w:num>
  <w:num w:numId="21" w16cid:durableId="1345286925">
    <w:abstractNumId w:val="14"/>
  </w:num>
  <w:num w:numId="22" w16cid:durableId="1862815335">
    <w:abstractNumId w:val="15"/>
  </w:num>
  <w:num w:numId="23" w16cid:durableId="136533780">
    <w:abstractNumId w:val="16"/>
  </w:num>
  <w:num w:numId="24" w16cid:durableId="308828836">
    <w:abstractNumId w:val="17"/>
  </w:num>
  <w:num w:numId="25" w16cid:durableId="611015045">
    <w:abstractNumId w:val="19"/>
  </w:num>
  <w:num w:numId="26" w16cid:durableId="794325329">
    <w:abstractNumId w:val="20"/>
  </w:num>
  <w:num w:numId="27" w16cid:durableId="666400083">
    <w:abstractNumId w:val="24"/>
  </w:num>
  <w:num w:numId="28" w16cid:durableId="875505585">
    <w:abstractNumId w:val="25"/>
  </w:num>
  <w:num w:numId="29" w16cid:durableId="1667124441">
    <w:abstractNumId w:val="26"/>
  </w:num>
  <w:num w:numId="30" w16cid:durableId="2068527435">
    <w:abstractNumId w:val="28"/>
  </w:num>
  <w:num w:numId="31" w16cid:durableId="2095979223">
    <w:abstractNumId w:val="31"/>
  </w:num>
  <w:num w:numId="32" w16cid:durableId="415513287">
    <w:abstractNumId w:val="32"/>
  </w:num>
  <w:num w:numId="33" w16cid:durableId="1143620645">
    <w:abstractNumId w:val="34"/>
  </w:num>
  <w:num w:numId="34" w16cid:durableId="407192647">
    <w:abstractNumId w:val="35"/>
  </w:num>
  <w:num w:numId="35" w16cid:durableId="384986251">
    <w:abstractNumId w:val="37"/>
  </w:num>
  <w:num w:numId="36" w16cid:durableId="1465653910">
    <w:abstractNumId w:val="38"/>
  </w:num>
  <w:num w:numId="37" w16cid:durableId="1219514851">
    <w:abstractNumId w:val="39"/>
  </w:num>
  <w:num w:numId="38" w16cid:durableId="1864438726">
    <w:abstractNumId w:val="40"/>
  </w:num>
  <w:num w:numId="39" w16cid:durableId="206065746">
    <w:abstractNumId w:val="44"/>
  </w:num>
  <w:num w:numId="40" w16cid:durableId="859395791">
    <w:abstractNumId w:val="45"/>
  </w:num>
  <w:num w:numId="41" w16cid:durableId="551966157">
    <w:abstractNumId w:val="53"/>
  </w:num>
  <w:num w:numId="42" w16cid:durableId="1808086201">
    <w:abstractNumId w:val="55"/>
  </w:num>
  <w:num w:numId="43" w16cid:durableId="1537155071">
    <w:abstractNumId w:val="56"/>
  </w:num>
  <w:num w:numId="44" w16cid:durableId="1568374591">
    <w:abstractNumId w:val="58"/>
  </w:num>
  <w:num w:numId="45" w16cid:durableId="1756440221">
    <w:abstractNumId w:val="59"/>
  </w:num>
  <w:num w:numId="46" w16cid:durableId="425542021">
    <w:abstractNumId w:val="61"/>
  </w:num>
  <w:num w:numId="47" w16cid:durableId="1031229687">
    <w:abstractNumId w:val="62"/>
  </w:num>
  <w:num w:numId="48" w16cid:durableId="961692942">
    <w:abstractNumId w:val="63"/>
  </w:num>
  <w:num w:numId="49" w16cid:durableId="293020900">
    <w:abstractNumId w:val="65"/>
  </w:num>
  <w:num w:numId="50" w16cid:durableId="917445673">
    <w:abstractNumId w:val="66"/>
  </w:num>
  <w:num w:numId="51" w16cid:durableId="781844959">
    <w:abstractNumId w:val="22"/>
  </w:num>
  <w:num w:numId="52" w16cid:durableId="169875094">
    <w:abstractNumId w:val="46"/>
  </w:num>
  <w:num w:numId="53" w16cid:durableId="164249619">
    <w:abstractNumId w:val="57"/>
  </w:num>
  <w:num w:numId="54" w16cid:durableId="839471488">
    <w:abstractNumId w:val="52"/>
  </w:num>
  <w:num w:numId="55" w16cid:durableId="2069650121">
    <w:abstractNumId w:val="48"/>
  </w:num>
  <w:num w:numId="56" w16cid:durableId="622922781">
    <w:abstractNumId w:val="29"/>
  </w:num>
  <w:num w:numId="57" w16cid:durableId="149561142">
    <w:abstractNumId w:val="27"/>
  </w:num>
  <w:num w:numId="58" w16cid:durableId="1884636966">
    <w:abstractNumId w:val="41"/>
  </w:num>
  <w:num w:numId="59" w16cid:durableId="752749150">
    <w:abstractNumId w:val="36"/>
  </w:num>
  <w:num w:numId="60" w16cid:durableId="730151652">
    <w:abstractNumId w:val="13"/>
  </w:num>
  <w:num w:numId="61" w16cid:durableId="1087068932">
    <w:abstractNumId w:val="33"/>
  </w:num>
  <w:num w:numId="62" w16cid:durableId="1327172262">
    <w:abstractNumId w:val="4"/>
  </w:num>
  <w:num w:numId="63" w16cid:durableId="367073838">
    <w:abstractNumId w:val="51"/>
  </w:num>
  <w:num w:numId="64" w16cid:durableId="2064936618">
    <w:abstractNumId w:val="64"/>
  </w:num>
  <w:num w:numId="65" w16cid:durableId="2018265371">
    <w:abstractNumId w:val="49"/>
  </w:num>
  <w:num w:numId="66" w16cid:durableId="1586304208">
    <w:abstractNumId w:val="6"/>
  </w:num>
  <w:num w:numId="67" w16cid:durableId="1543401425">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314E"/>
    <w:rsid w:val="00003A40"/>
    <w:rsid w:val="0000539E"/>
    <w:rsid w:val="00006DB3"/>
    <w:rsid w:val="00006E1F"/>
    <w:rsid w:val="000070D7"/>
    <w:rsid w:val="00011113"/>
    <w:rsid w:val="000176D1"/>
    <w:rsid w:val="0001788C"/>
    <w:rsid w:val="00022A5E"/>
    <w:rsid w:val="00024CD1"/>
    <w:rsid w:val="00025962"/>
    <w:rsid w:val="00025C52"/>
    <w:rsid w:val="00026B18"/>
    <w:rsid w:val="000337EF"/>
    <w:rsid w:val="00036490"/>
    <w:rsid w:val="00040C3A"/>
    <w:rsid w:val="00040DE5"/>
    <w:rsid w:val="000419AD"/>
    <w:rsid w:val="00042CBD"/>
    <w:rsid w:val="000433C9"/>
    <w:rsid w:val="000462A6"/>
    <w:rsid w:val="00047212"/>
    <w:rsid w:val="00050D61"/>
    <w:rsid w:val="00054B7C"/>
    <w:rsid w:val="00056B15"/>
    <w:rsid w:val="00056F3D"/>
    <w:rsid w:val="00060C06"/>
    <w:rsid w:val="00063260"/>
    <w:rsid w:val="00063FD8"/>
    <w:rsid w:val="00071174"/>
    <w:rsid w:val="000716C5"/>
    <w:rsid w:val="0007450B"/>
    <w:rsid w:val="00074985"/>
    <w:rsid w:val="00075BD2"/>
    <w:rsid w:val="00075E23"/>
    <w:rsid w:val="00075E70"/>
    <w:rsid w:val="00082000"/>
    <w:rsid w:val="00083FA3"/>
    <w:rsid w:val="00085846"/>
    <w:rsid w:val="00087272"/>
    <w:rsid w:val="00090248"/>
    <w:rsid w:val="00091C85"/>
    <w:rsid w:val="0009344A"/>
    <w:rsid w:val="00095015"/>
    <w:rsid w:val="00097302"/>
    <w:rsid w:val="000A0257"/>
    <w:rsid w:val="000A20B0"/>
    <w:rsid w:val="000A2EB1"/>
    <w:rsid w:val="000A392E"/>
    <w:rsid w:val="000A4E1A"/>
    <w:rsid w:val="000A575F"/>
    <w:rsid w:val="000A650B"/>
    <w:rsid w:val="000A7AB6"/>
    <w:rsid w:val="000B356D"/>
    <w:rsid w:val="000B3A6E"/>
    <w:rsid w:val="000B6796"/>
    <w:rsid w:val="000B72DE"/>
    <w:rsid w:val="000D05CB"/>
    <w:rsid w:val="000D10DB"/>
    <w:rsid w:val="000D161C"/>
    <w:rsid w:val="000D29DC"/>
    <w:rsid w:val="000E0C28"/>
    <w:rsid w:val="000E33A1"/>
    <w:rsid w:val="000E352D"/>
    <w:rsid w:val="000E58D6"/>
    <w:rsid w:val="000E5EB5"/>
    <w:rsid w:val="000E60CC"/>
    <w:rsid w:val="000F35ED"/>
    <w:rsid w:val="000F6292"/>
    <w:rsid w:val="001004FE"/>
    <w:rsid w:val="00100F9E"/>
    <w:rsid w:val="00102B87"/>
    <w:rsid w:val="001044C0"/>
    <w:rsid w:val="00104758"/>
    <w:rsid w:val="00107131"/>
    <w:rsid w:val="0010736F"/>
    <w:rsid w:val="001128AE"/>
    <w:rsid w:val="00112CB4"/>
    <w:rsid w:val="00113F73"/>
    <w:rsid w:val="00115515"/>
    <w:rsid w:val="00116B94"/>
    <w:rsid w:val="00116C40"/>
    <w:rsid w:val="001175B7"/>
    <w:rsid w:val="00121CC2"/>
    <w:rsid w:val="00123566"/>
    <w:rsid w:val="00124521"/>
    <w:rsid w:val="00124C61"/>
    <w:rsid w:val="001275EE"/>
    <w:rsid w:val="00127F9D"/>
    <w:rsid w:val="00130DC3"/>
    <w:rsid w:val="00131425"/>
    <w:rsid w:val="001318DC"/>
    <w:rsid w:val="00131F22"/>
    <w:rsid w:val="00133EE5"/>
    <w:rsid w:val="001418EE"/>
    <w:rsid w:val="0015248B"/>
    <w:rsid w:val="00152CBE"/>
    <w:rsid w:val="001616AA"/>
    <w:rsid w:val="00162F0B"/>
    <w:rsid w:val="0016332D"/>
    <w:rsid w:val="00163E18"/>
    <w:rsid w:val="0016740F"/>
    <w:rsid w:val="00167A34"/>
    <w:rsid w:val="00171812"/>
    <w:rsid w:val="00183E47"/>
    <w:rsid w:val="00187BAC"/>
    <w:rsid w:val="001902C7"/>
    <w:rsid w:val="00193708"/>
    <w:rsid w:val="001947D8"/>
    <w:rsid w:val="001963A6"/>
    <w:rsid w:val="00196758"/>
    <w:rsid w:val="001A38A8"/>
    <w:rsid w:val="001A520D"/>
    <w:rsid w:val="001A7870"/>
    <w:rsid w:val="001A7F1E"/>
    <w:rsid w:val="001B20D1"/>
    <w:rsid w:val="001B3A00"/>
    <w:rsid w:val="001B478B"/>
    <w:rsid w:val="001C12E0"/>
    <w:rsid w:val="001C1B41"/>
    <w:rsid w:val="001C356E"/>
    <w:rsid w:val="001C7618"/>
    <w:rsid w:val="001D0485"/>
    <w:rsid w:val="001D07AF"/>
    <w:rsid w:val="001D21F2"/>
    <w:rsid w:val="001D348F"/>
    <w:rsid w:val="001D47EE"/>
    <w:rsid w:val="001D65EF"/>
    <w:rsid w:val="001D6B01"/>
    <w:rsid w:val="001D7F96"/>
    <w:rsid w:val="001E070E"/>
    <w:rsid w:val="001E1233"/>
    <w:rsid w:val="001E49E7"/>
    <w:rsid w:val="001F1EDF"/>
    <w:rsid w:val="001F3090"/>
    <w:rsid w:val="001F34DF"/>
    <w:rsid w:val="001F7201"/>
    <w:rsid w:val="0020160B"/>
    <w:rsid w:val="0020303F"/>
    <w:rsid w:val="002053E9"/>
    <w:rsid w:val="00220521"/>
    <w:rsid w:val="002227F5"/>
    <w:rsid w:val="00222CBB"/>
    <w:rsid w:val="00223A29"/>
    <w:rsid w:val="002250A3"/>
    <w:rsid w:val="002309CE"/>
    <w:rsid w:val="00230CB4"/>
    <w:rsid w:val="002318DE"/>
    <w:rsid w:val="00232279"/>
    <w:rsid w:val="002327D0"/>
    <w:rsid w:val="00235217"/>
    <w:rsid w:val="00236609"/>
    <w:rsid w:val="00236A1F"/>
    <w:rsid w:val="00237ADA"/>
    <w:rsid w:val="00240C24"/>
    <w:rsid w:val="00242609"/>
    <w:rsid w:val="00246D1F"/>
    <w:rsid w:val="00247403"/>
    <w:rsid w:val="00247542"/>
    <w:rsid w:val="00252E12"/>
    <w:rsid w:val="002571C3"/>
    <w:rsid w:val="00260601"/>
    <w:rsid w:val="00263908"/>
    <w:rsid w:val="00265184"/>
    <w:rsid w:val="002663B3"/>
    <w:rsid w:val="00266B61"/>
    <w:rsid w:val="0026712A"/>
    <w:rsid w:val="00267F0F"/>
    <w:rsid w:val="00270307"/>
    <w:rsid w:val="002704DB"/>
    <w:rsid w:val="00270613"/>
    <w:rsid w:val="00270946"/>
    <w:rsid w:val="002710D2"/>
    <w:rsid w:val="002715F9"/>
    <w:rsid w:val="00273566"/>
    <w:rsid w:val="00275DC8"/>
    <w:rsid w:val="002866E1"/>
    <w:rsid w:val="00294950"/>
    <w:rsid w:val="002965C1"/>
    <w:rsid w:val="002A0AAE"/>
    <w:rsid w:val="002A3458"/>
    <w:rsid w:val="002A4ECD"/>
    <w:rsid w:val="002A5820"/>
    <w:rsid w:val="002A61AD"/>
    <w:rsid w:val="002B1C3C"/>
    <w:rsid w:val="002B2814"/>
    <w:rsid w:val="002B29A4"/>
    <w:rsid w:val="002B6423"/>
    <w:rsid w:val="002C1447"/>
    <w:rsid w:val="002C500E"/>
    <w:rsid w:val="002C5600"/>
    <w:rsid w:val="002C6BD4"/>
    <w:rsid w:val="002D0A26"/>
    <w:rsid w:val="002D20BB"/>
    <w:rsid w:val="002D2B26"/>
    <w:rsid w:val="002D7EA2"/>
    <w:rsid w:val="002E05B6"/>
    <w:rsid w:val="002E187C"/>
    <w:rsid w:val="002F7768"/>
    <w:rsid w:val="002F79B6"/>
    <w:rsid w:val="003015D5"/>
    <w:rsid w:val="00302733"/>
    <w:rsid w:val="00305835"/>
    <w:rsid w:val="00306F33"/>
    <w:rsid w:val="0030729D"/>
    <w:rsid w:val="00314078"/>
    <w:rsid w:val="0031535D"/>
    <w:rsid w:val="00321EFD"/>
    <w:rsid w:val="003239B8"/>
    <w:rsid w:val="003264F8"/>
    <w:rsid w:val="0033169F"/>
    <w:rsid w:val="00334131"/>
    <w:rsid w:val="00340B9A"/>
    <w:rsid w:val="00341DE1"/>
    <w:rsid w:val="003422A8"/>
    <w:rsid w:val="00344977"/>
    <w:rsid w:val="00346C95"/>
    <w:rsid w:val="003504FF"/>
    <w:rsid w:val="00353236"/>
    <w:rsid w:val="0035492D"/>
    <w:rsid w:val="00354D6B"/>
    <w:rsid w:val="00356185"/>
    <w:rsid w:val="00360380"/>
    <w:rsid w:val="00363A61"/>
    <w:rsid w:val="003641DB"/>
    <w:rsid w:val="00364DA1"/>
    <w:rsid w:val="003679AE"/>
    <w:rsid w:val="003747E4"/>
    <w:rsid w:val="0037519E"/>
    <w:rsid w:val="00381BDB"/>
    <w:rsid w:val="003856F3"/>
    <w:rsid w:val="00385FA4"/>
    <w:rsid w:val="00386CF0"/>
    <w:rsid w:val="0039114A"/>
    <w:rsid w:val="003914D3"/>
    <w:rsid w:val="003915F9"/>
    <w:rsid w:val="00391865"/>
    <w:rsid w:val="00394073"/>
    <w:rsid w:val="00397131"/>
    <w:rsid w:val="003A0E00"/>
    <w:rsid w:val="003A3214"/>
    <w:rsid w:val="003A41F0"/>
    <w:rsid w:val="003A54DD"/>
    <w:rsid w:val="003A5C21"/>
    <w:rsid w:val="003A6EFB"/>
    <w:rsid w:val="003B3E5C"/>
    <w:rsid w:val="003B70FB"/>
    <w:rsid w:val="003C0CC3"/>
    <w:rsid w:val="003C1265"/>
    <w:rsid w:val="003C1698"/>
    <w:rsid w:val="003C2195"/>
    <w:rsid w:val="003C24E3"/>
    <w:rsid w:val="003C392D"/>
    <w:rsid w:val="003C5FEB"/>
    <w:rsid w:val="003C676B"/>
    <w:rsid w:val="003D3BC2"/>
    <w:rsid w:val="003D6023"/>
    <w:rsid w:val="003E6CA1"/>
    <w:rsid w:val="003F1050"/>
    <w:rsid w:val="003F5154"/>
    <w:rsid w:val="003F5306"/>
    <w:rsid w:val="003F5492"/>
    <w:rsid w:val="003F7558"/>
    <w:rsid w:val="00402966"/>
    <w:rsid w:val="00405F9C"/>
    <w:rsid w:val="004065A8"/>
    <w:rsid w:val="00414363"/>
    <w:rsid w:val="00414B71"/>
    <w:rsid w:val="00415105"/>
    <w:rsid w:val="00416564"/>
    <w:rsid w:val="004165C2"/>
    <w:rsid w:val="004222BB"/>
    <w:rsid w:val="004241A0"/>
    <w:rsid w:val="0042643B"/>
    <w:rsid w:val="00426D82"/>
    <w:rsid w:val="004324A8"/>
    <w:rsid w:val="00433231"/>
    <w:rsid w:val="00441ECB"/>
    <w:rsid w:val="004447EA"/>
    <w:rsid w:val="00445193"/>
    <w:rsid w:val="0044670F"/>
    <w:rsid w:val="00446B53"/>
    <w:rsid w:val="004505D4"/>
    <w:rsid w:val="00451025"/>
    <w:rsid w:val="00452782"/>
    <w:rsid w:val="004556C9"/>
    <w:rsid w:val="00461FDF"/>
    <w:rsid w:val="00462C1B"/>
    <w:rsid w:val="004672A7"/>
    <w:rsid w:val="00467989"/>
    <w:rsid w:val="00467B7E"/>
    <w:rsid w:val="004703C2"/>
    <w:rsid w:val="00473BB4"/>
    <w:rsid w:val="00477592"/>
    <w:rsid w:val="00480C2D"/>
    <w:rsid w:val="00486F1C"/>
    <w:rsid w:val="0049329B"/>
    <w:rsid w:val="0049419D"/>
    <w:rsid w:val="00496692"/>
    <w:rsid w:val="004A057B"/>
    <w:rsid w:val="004A1AB5"/>
    <w:rsid w:val="004A3A0B"/>
    <w:rsid w:val="004A3B4C"/>
    <w:rsid w:val="004A4748"/>
    <w:rsid w:val="004A6585"/>
    <w:rsid w:val="004A6A54"/>
    <w:rsid w:val="004B421C"/>
    <w:rsid w:val="004B4FE1"/>
    <w:rsid w:val="004C13CE"/>
    <w:rsid w:val="004C177B"/>
    <w:rsid w:val="004C20D2"/>
    <w:rsid w:val="004C2312"/>
    <w:rsid w:val="004C2B7C"/>
    <w:rsid w:val="004C3564"/>
    <w:rsid w:val="004C3A9E"/>
    <w:rsid w:val="004C4B62"/>
    <w:rsid w:val="004C51C4"/>
    <w:rsid w:val="004C54C9"/>
    <w:rsid w:val="004C797B"/>
    <w:rsid w:val="004D08BD"/>
    <w:rsid w:val="004D2B48"/>
    <w:rsid w:val="004D4ABA"/>
    <w:rsid w:val="004D6025"/>
    <w:rsid w:val="004E2649"/>
    <w:rsid w:val="004E43C4"/>
    <w:rsid w:val="004E4C99"/>
    <w:rsid w:val="004E7BAC"/>
    <w:rsid w:val="004F4904"/>
    <w:rsid w:val="004F626F"/>
    <w:rsid w:val="00501399"/>
    <w:rsid w:val="005047ED"/>
    <w:rsid w:val="0050633D"/>
    <w:rsid w:val="00507BC4"/>
    <w:rsid w:val="00510024"/>
    <w:rsid w:val="005118D3"/>
    <w:rsid w:val="005128E4"/>
    <w:rsid w:val="005133DB"/>
    <w:rsid w:val="00514504"/>
    <w:rsid w:val="00521E1F"/>
    <w:rsid w:val="00524CED"/>
    <w:rsid w:val="00525560"/>
    <w:rsid w:val="005352B2"/>
    <w:rsid w:val="00537737"/>
    <w:rsid w:val="00542214"/>
    <w:rsid w:val="00544C49"/>
    <w:rsid w:val="005516A1"/>
    <w:rsid w:val="00553E0C"/>
    <w:rsid w:val="005555D0"/>
    <w:rsid w:val="005559EF"/>
    <w:rsid w:val="005618BF"/>
    <w:rsid w:val="00563557"/>
    <w:rsid w:val="00565D76"/>
    <w:rsid w:val="00570074"/>
    <w:rsid w:val="00570EB3"/>
    <w:rsid w:val="0057368D"/>
    <w:rsid w:val="0057402A"/>
    <w:rsid w:val="00575FDB"/>
    <w:rsid w:val="005771D0"/>
    <w:rsid w:val="00582FA3"/>
    <w:rsid w:val="00583078"/>
    <w:rsid w:val="00583254"/>
    <w:rsid w:val="00584261"/>
    <w:rsid w:val="005864B1"/>
    <w:rsid w:val="00590814"/>
    <w:rsid w:val="0059191A"/>
    <w:rsid w:val="005921FF"/>
    <w:rsid w:val="00592AD5"/>
    <w:rsid w:val="00594A46"/>
    <w:rsid w:val="005A24ED"/>
    <w:rsid w:val="005A3FE8"/>
    <w:rsid w:val="005A48F1"/>
    <w:rsid w:val="005A4915"/>
    <w:rsid w:val="005A5A2A"/>
    <w:rsid w:val="005A6D0E"/>
    <w:rsid w:val="005A7D0D"/>
    <w:rsid w:val="005B1208"/>
    <w:rsid w:val="005B52B0"/>
    <w:rsid w:val="005B5B52"/>
    <w:rsid w:val="005B6806"/>
    <w:rsid w:val="005C4225"/>
    <w:rsid w:val="005C6828"/>
    <w:rsid w:val="005D2254"/>
    <w:rsid w:val="005D5EE9"/>
    <w:rsid w:val="005D6218"/>
    <w:rsid w:val="005D68EC"/>
    <w:rsid w:val="005E152A"/>
    <w:rsid w:val="005E28B7"/>
    <w:rsid w:val="005E7FF3"/>
    <w:rsid w:val="005F0DAD"/>
    <w:rsid w:val="005F0F33"/>
    <w:rsid w:val="005F4B2A"/>
    <w:rsid w:val="00600DEB"/>
    <w:rsid w:val="00602F31"/>
    <w:rsid w:val="00603AB3"/>
    <w:rsid w:val="0060731A"/>
    <w:rsid w:val="00610BBF"/>
    <w:rsid w:val="00610E4C"/>
    <w:rsid w:val="00614DBE"/>
    <w:rsid w:val="00616B85"/>
    <w:rsid w:val="00620953"/>
    <w:rsid w:val="006232FA"/>
    <w:rsid w:val="00624A9A"/>
    <w:rsid w:val="00627C9F"/>
    <w:rsid w:val="006311E9"/>
    <w:rsid w:val="00632354"/>
    <w:rsid w:val="006325FF"/>
    <w:rsid w:val="00634747"/>
    <w:rsid w:val="00635421"/>
    <w:rsid w:val="00641E25"/>
    <w:rsid w:val="00642810"/>
    <w:rsid w:val="00647BBC"/>
    <w:rsid w:val="00652333"/>
    <w:rsid w:val="00652AFA"/>
    <w:rsid w:val="006553E2"/>
    <w:rsid w:val="00655530"/>
    <w:rsid w:val="0066106F"/>
    <w:rsid w:val="00661F98"/>
    <w:rsid w:val="00663F10"/>
    <w:rsid w:val="00664F56"/>
    <w:rsid w:val="00671EDD"/>
    <w:rsid w:val="006723D3"/>
    <w:rsid w:val="006747B5"/>
    <w:rsid w:val="00676ACF"/>
    <w:rsid w:val="0068009E"/>
    <w:rsid w:val="00682920"/>
    <w:rsid w:val="00684515"/>
    <w:rsid w:val="00684669"/>
    <w:rsid w:val="00692219"/>
    <w:rsid w:val="006929E0"/>
    <w:rsid w:val="006A046E"/>
    <w:rsid w:val="006A062E"/>
    <w:rsid w:val="006A17D2"/>
    <w:rsid w:val="006A708C"/>
    <w:rsid w:val="006A71E0"/>
    <w:rsid w:val="006A73E6"/>
    <w:rsid w:val="006B0EAB"/>
    <w:rsid w:val="006B1198"/>
    <w:rsid w:val="006B2D5C"/>
    <w:rsid w:val="006B5E12"/>
    <w:rsid w:val="006C036A"/>
    <w:rsid w:val="006C0ECF"/>
    <w:rsid w:val="006C4A03"/>
    <w:rsid w:val="006C4EB1"/>
    <w:rsid w:val="006E0166"/>
    <w:rsid w:val="006E0BF7"/>
    <w:rsid w:val="006E2BA5"/>
    <w:rsid w:val="006E2FFB"/>
    <w:rsid w:val="006E4C5A"/>
    <w:rsid w:val="006E7B34"/>
    <w:rsid w:val="006F18A4"/>
    <w:rsid w:val="006F4533"/>
    <w:rsid w:val="006F5C0D"/>
    <w:rsid w:val="006F7C49"/>
    <w:rsid w:val="007006A0"/>
    <w:rsid w:val="00705088"/>
    <w:rsid w:val="0070697F"/>
    <w:rsid w:val="00707E45"/>
    <w:rsid w:val="007103C4"/>
    <w:rsid w:val="0071399C"/>
    <w:rsid w:val="0072199C"/>
    <w:rsid w:val="00722C9F"/>
    <w:rsid w:val="00724B0C"/>
    <w:rsid w:val="007253B8"/>
    <w:rsid w:val="00725A87"/>
    <w:rsid w:val="007313FF"/>
    <w:rsid w:val="00732A07"/>
    <w:rsid w:val="00736104"/>
    <w:rsid w:val="0073741F"/>
    <w:rsid w:val="00740618"/>
    <w:rsid w:val="00746443"/>
    <w:rsid w:val="0074752A"/>
    <w:rsid w:val="007509A0"/>
    <w:rsid w:val="007552D0"/>
    <w:rsid w:val="00757242"/>
    <w:rsid w:val="00763106"/>
    <w:rsid w:val="007652B0"/>
    <w:rsid w:val="0076643F"/>
    <w:rsid w:val="00770215"/>
    <w:rsid w:val="00771790"/>
    <w:rsid w:val="00771DB2"/>
    <w:rsid w:val="00772FE3"/>
    <w:rsid w:val="00773ADD"/>
    <w:rsid w:val="007756E2"/>
    <w:rsid w:val="00777F63"/>
    <w:rsid w:val="00782F79"/>
    <w:rsid w:val="00784903"/>
    <w:rsid w:val="00793FB9"/>
    <w:rsid w:val="007962C6"/>
    <w:rsid w:val="007A4CC3"/>
    <w:rsid w:val="007A50BF"/>
    <w:rsid w:val="007A5817"/>
    <w:rsid w:val="007A5D13"/>
    <w:rsid w:val="007A77EE"/>
    <w:rsid w:val="007B05C4"/>
    <w:rsid w:val="007B60E9"/>
    <w:rsid w:val="007B6CC3"/>
    <w:rsid w:val="007B7205"/>
    <w:rsid w:val="007B76D3"/>
    <w:rsid w:val="007C2AA2"/>
    <w:rsid w:val="007C3334"/>
    <w:rsid w:val="007D01FE"/>
    <w:rsid w:val="007D2B98"/>
    <w:rsid w:val="007D6843"/>
    <w:rsid w:val="007E0285"/>
    <w:rsid w:val="007E21BC"/>
    <w:rsid w:val="007E3764"/>
    <w:rsid w:val="007E7C82"/>
    <w:rsid w:val="007F0458"/>
    <w:rsid w:val="007F06DB"/>
    <w:rsid w:val="007F2118"/>
    <w:rsid w:val="007F2977"/>
    <w:rsid w:val="007F2AA1"/>
    <w:rsid w:val="007F4E87"/>
    <w:rsid w:val="007F588D"/>
    <w:rsid w:val="007F7493"/>
    <w:rsid w:val="008035F3"/>
    <w:rsid w:val="00803F1C"/>
    <w:rsid w:val="00804A5B"/>
    <w:rsid w:val="0080600E"/>
    <w:rsid w:val="008071C0"/>
    <w:rsid w:val="00807953"/>
    <w:rsid w:val="008138D8"/>
    <w:rsid w:val="008141D8"/>
    <w:rsid w:val="00814688"/>
    <w:rsid w:val="00817612"/>
    <w:rsid w:val="00832655"/>
    <w:rsid w:val="008338A4"/>
    <w:rsid w:val="00834C32"/>
    <w:rsid w:val="00834D49"/>
    <w:rsid w:val="00837C45"/>
    <w:rsid w:val="0084287B"/>
    <w:rsid w:val="00843D52"/>
    <w:rsid w:val="00844730"/>
    <w:rsid w:val="008457C2"/>
    <w:rsid w:val="008479B8"/>
    <w:rsid w:val="00852A68"/>
    <w:rsid w:val="0085346B"/>
    <w:rsid w:val="008536C4"/>
    <w:rsid w:val="00853A12"/>
    <w:rsid w:val="00856654"/>
    <w:rsid w:val="00857A82"/>
    <w:rsid w:val="00861658"/>
    <w:rsid w:val="00865FF4"/>
    <w:rsid w:val="00867B7C"/>
    <w:rsid w:val="00873836"/>
    <w:rsid w:val="008752DF"/>
    <w:rsid w:val="00876615"/>
    <w:rsid w:val="00877068"/>
    <w:rsid w:val="00877C41"/>
    <w:rsid w:val="00877DCA"/>
    <w:rsid w:val="00881B27"/>
    <w:rsid w:val="0088470B"/>
    <w:rsid w:val="00884846"/>
    <w:rsid w:val="00885737"/>
    <w:rsid w:val="00885CEE"/>
    <w:rsid w:val="00886422"/>
    <w:rsid w:val="00887DB6"/>
    <w:rsid w:val="00887EA7"/>
    <w:rsid w:val="00890650"/>
    <w:rsid w:val="00893F81"/>
    <w:rsid w:val="008944DC"/>
    <w:rsid w:val="00897E12"/>
    <w:rsid w:val="008A0BD8"/>
    <w:rsid w:val="008A653E"/>
    <w:rsid w:val="008A7E0F"/>
    <w:rsid w:val="008B12F5"/>
    <w:rsid w:val="008B3437"/>
    <w:rsid w:val="008C5E2D"/>
    <w:rsid w:val="008D1B7E"/>
    <w:rsid w:val="008D768D"/>
    <w:rsid w:val="008E3759"/>
    <w:rsid w:val="008E3BFE"/>
    <w:rsid w:val="008E77B2"/>
    <w:rsid w:val="008F1912"/>
    <w:rsid w:val="008F191C"/>
    <w:rsid w:val="008F1981"/>
    <w:rsid w:val="008F31A3"/>
    <w:rsid w:val="008F4B31"/>
    <w:rsid w:val="008F4D51"/>
    <w:rsid w:val="008F6E98"/>
    <w:rsid w:val="009014B4"/>
    <w:rsid w:val="0090155B"/>
    <w:rsid w:val="0090270B"/>
    <w:rsid w:val="009031E9"/>
    <w:rsid w:val="00903F3D"/>
    <w:rsid w:val="009041DC"/>
    <w:rsid w:val="0090647F"/>
    <w:rsid w:val="00907BFF"/>
    <w:rsid w:val="00914DAC"/>
    <w:rsid w:val="00917B5A"/>
    <w:rsid w:val="00920A58"/>
    <w:rsid w:val="00920A8C"/>
    <w:rsid w:val="0092384C"/>
    <w:rsid w:val="00926C5F"/>
    <w:rsid w:val="009305BC"/>
    <w:rsid w:val="00932E06"/>
    <w:rsid w:val="00934A2C"/>
    <w:rsid w:val="0093641E"/>
    <w:rsid w:val="00940B34"/>
    <w:rsid w:val="00941BD1"/>
    <w:rsid w:val="0094295F"/>
    <w:rsid w:val="00943563"/>
    <w:rsid w:val="009461BA"/>
    <w:rsid w:val="0094711F"/>
    <w:rsid w:val="009508DA"/>
    <w:rsid w:val="009530F6"/>
    <w:rsid w:val="009577E6"/>
    <w:rsid w:val="009600FC"/>
    <w:rsid w:val="00964D2E"/>
    <w:rsid w:val="0096680B"/>
    <w:rsid w:val="0096706E"/>
    <w:rsid w:val="0096715B"/>
    <w:rsid w:val="00970310"/>
    <w:rsid w:val="00970458"/>
    <w:rsid w:val="0097182F"/>
    <w:rsid w:val="00974491"/>
    <w:rsid w:val="00975C4E"/>
    <w:rsid w:val="00981FBA"/>
    <w:rsid w:val="00987DEC"/>
    <w:rsid w:val="00987EC0"/>
    <w:rsid w:val="00995C62"/>
    <w:rsid w:val="0099681E"/>
    <w:rsid w:val="00997BC5"/>
    <w:rsid w:val="009A32DF"/>
    <w:rsid w:val="009A3AF4"/>
    <w:rsid w:val="009A3FFA"/>
    <w:rsid w:val="009A4F41"/>
    <w:rsid w:val="009A56CE"/>
    <w:rsid w:val="009A6BBF"/>
    <w:rsid w:val="009B0362"/>
    <w:rsid w:val="009B2166"/>
    <w:rsid w:val="009B3737"/>
    <w:rsid w:val="009B381B"/>
    <w:rsid w:val="009B72FB"/>
    <w:rsid w:val="009C081E"/>
    <w:rsid w:val="009C44E1"/>
    <w:rsid w:val="009C47D5"/>
    <w:rsid w:val="009D1753"/>
    <w:rsid w:val="009D239F"/>
    <w:rsid w:val="009D43F5"/>
    <w:rsid w:val="009D646F"/>
    <w:rsid w:val="009D6B5B"/>
    <w:rsid w:val="009D7611"/>
    <w:rsid w:val="009E0B61"/>
    <w:rsid w:val="009E16AC"/>
    <w:rsid w:val="009E53DE"/>
    <w:rsid w:val="009F3EDF"/>
    <w:rsid w:val="009F5450"/>
    <w:rsid w:val="009F65F0"/>
    <w:rsid w:val="00A0157A"/>
    <w:rsid w:val="00A06920"/>
    <w:rsid w:val="00A1097B"/>
    <w:rsid w:val="00A11212"/>
    <w:rsid w:val="00A11E44"/>
    <w:rsid w:val="00A1255E"/>
    <w:rsid w:val="00A145CB"/>
    <w:rsid w:val="00A15562"/>
    <w:rsid w:val="00A24EC7"/>
    <w:rsid w:val="00A25895"/>
    <w:rsid w:val="00A27001"/>
    <w:rsid w:val="00A30100"/>
    <w:rsid w:val="00A3050F"/>
    <w:rsid w:val="00A328B3"/>
    <w:rsid w:val="00A36098"/>
    <w:rsid w:val="00A36879"/>
    <w:rsid w:val="00A41321"/>
    <w:rsid w:val="00A4474E"/>
    <w:rsid w:val="00A4495D"/>
    <w:rsid w:val="00A47099"/>
    <w:rsid w:val="00A4798A"/>
    <w:rsid w:val="00A50AFA"/>
    <w:rsid w:val="00A50FCF"/>
    <w:rsid w:val="00A528D1"/>
    <w:rsid w:val="00A54D6F"/>
    <w:rsid w:val="00A610CD"/>
    <w:rsid w:val="00A624CB"/>
    <w:rsid w:val="00A7035C"/>
    <w:rsid w:val="00A70B3C"/>
    <w:rsid w:val="00A70ECE"/>
    <w:rsid w:val="00A758AA"/>
    <w:rsid w:val="00A759AF"/>
    <w:rsid w:val="00A77EA3"/>
    <w:rsid w:val="00A85D33"/>
    <w:rsid w:val="00A921F3"/>
    <w:rsid w:val="00A9473E"/>
    <w:rsid w:val="00A96519"/>
    <w:rsid w:val="00A969DC"/>
    <w:rsid w:val="00AA09A2"/>
    <w:rsid w:val="00AA1482"/>
    <w:rsid w:val="00AA3221"/>
    <w:rsid w:val="00AA6176"/>
    <w:rsid w:val="00AA7996"/>
    <w:rsid w:val="00AB41AB"/>
    <w:rsid w:val="00AC1091"/>
    <w:rsid w:val="00AC1638"/>
    <w:rsid w:val="00AC19CB"/>
    <w:rsid w:val="00AC2A29"/>
    <w:rsid w:val="00AD2F06"/>
    <w:rsid w:val="00AD42BE"/>
    <w:rsid w:val="00AD4CD1"/>
    <w:rsid w:val="00AD625F"/>
    <w:rsid w:val="00AD68F2"/>
    <w:rsid w:val="00AE3F82"/>
    <w:rsid w:val="00AE5488"/>
    <w:rsid w:val="00AE6F91"/>
    <w:rsid w:val="00AF0FD8"/>
    <w:rsid w:val="00AF2342"/>
    <w:rsid w:val="00AF2B10"/>
    <w:rsid w:val="00AF3E58"/>
    <w:rsid w:val="00AF5571"/>
    <w:rsid w:val="00AF6979"/>
    <w:rsid w:val="00B02C3B"/>
    <w:rsid w:val="00B02D0A"/>
    <w:rsid w:val="00B02E2B"/>
    <w:rsid w:val="00B04818"/>
    <w:rsid w:val="00B07341"/>
    <w:rsid w:val="00B10C3B"/>
    <w:rsid w:val="00B12AF9"/>
    <w:rsid w:val="00B2301A"/>
    <w:rsid w:val="00B232AB"/>
    <w:rsid w:val="00B30539"/>
    <w:rsid w:val="00B30F7A"/>
    <w:rsid w:val="00B314DB"/>
    <w:rsid w:val="00B35101"/>
    <w:rsid w:val="00B361F2"/>
    <w:rsid w:val="00B36916"/>
    <w:rsid w:val="00B3718B"/>
    <w:rsid w:val="00B3745F"/>
    <w:rsid w:val="00B404A2"/>
    <w:rsid w:val="00B4632A"/>
    <w:rsid w:val="00B46C1D"/>
    <w:rsid w:val="00B471FD"/>
    <w:rsid w:val="00B530F1"/>
    <w:rsid w:val="00B53EAC"/>
    <w:rsid w:val="00B54257"/>
    <w:rsid w:val="00B640F2"/>
    <w:rsid w:val="00B72EE8"/>
    <w:rsid w:val="00B72F79"/>
    <w:rsid w:val="00B83A0D"/>
    <w:rsid w:val="00B83D37"/>
    <w:rsid w:val="00B8472B"/>
    <w:rsid w:val="00B86D47"/>
    <w:rsid w:val="00B92CCF"/>
    <w:rsid w:val="00B93D7F"/>
    <w:rsid w:val="00B94658"/>
    <w:rsid w:val="00B97086"/>
    <w:rsid w:val="00BA085C"/>
    <w:rsid w:val="00BA2705"/>
    <w:rsid w:val="00BA276C"/>
    <w:rsid w:val="00BA6D27"/>
    <w:rsid w:val="00BB019D"/>
    <w:rsid w:val="00BB306F"/>
    <w:rsid w:val="00BB3291"/>
    <w:rsid w:val="00BB3304"/>
    <w:rsid w:val="00BC028C"/>
    <w:rsid w:val="00BC4690"/>
    <w:rsid w:val="00BC4A15"/>
    <w:rsid w:val="00BC6D72"/>
    <w:rsid w:val="00BD0FF5"/>
    <w:rsid w:val="00BD475F"/>
    <w:rsid w:val="00BD49E6"/>
    <w:rsid w:val="00BD4B89"/>
    <w:rsid w:val="00BD5922"/>
    <w:rsid w:val="00BE1602"/>
    <w:rsid w:val="00BE2169"/>
    <w:rsid w:val="00BE34A1"/>
    <w:rsid w:val="00BE4993"/>
    <w:rsid w:val="00BE7C0A"/>
    <w:rsid w:val="00BF02CB"/>
    <w:rsid w:val="00BF23A9"/>
    <w:rsid w:val="00BF3684"/>
    <w:rsid w:val="00BF6FD8"/>
    <w:rsid w:val="00BF73E4"/>
    <w:rsid w:val="00C03680"/>
    <w:rsid w:val="00C04631"/>
    <w:rsid w:val="00C054DF"/>
    <w:rsid w:val="00C05E7D"/>
    <w:rsid w:val="00C17F0A"/>
    <w:rsid w:val="00C21762"/>
    <w:rsid w:val="00C21AE1"/>
    <w:rsid w:val="00C21FEF"/>
    <w:rsid w:val="00C23BA4"/>
    <w:rsid w:val="00C24543"/>
    <w:rsid w:val="00C250E6"/>
    <w:rsid w:val="00C256A2"/>
    <w:rsid w:val="00C25ADB"/>
    <w:rsid w:val="00C303A1"/>
    <w:rsid w:val="00C30AC5"/>
    <w:rsid w:val="00C37DBF"/>
    <w:rsid w:val="00C403FE"/>
    <w:rsid w:val="00C461D5"/>
    <w:rsid w:val="00C51515"/>
    <w:rsid w:val="00C52BCC"/>
    <w:rsid w:val="00C52C80"/>
    <w:rsid w:val="00C5660B"/>
    <w:rsid w:val="00C5760C"/>
    <w:rsid w:val="00C5797E"/>
    <w:rsid w:val="00C609B9"/>
    <w:rsid w:val="00C61C41"/>
    <w:rsid w:val="00C66B72"/>
    <w:rsid w:val="00C7395F"/>
    <w:rsid w:val="00C7664C"/>
    <w:rsid w:val="00C834BE"/>
    <w:rsid w:val="00C84785"/>
    <w:rsid w:val="00C87AC4"/>
    <w:rsid w:val="00C903DD"/>
    <w:rsid w:val="00C918E0"/>
    <w:rsid w:val="00C92D67"/>
    <w:rsid w:val="00C92EB0"/>
    <w:rsid w:val="00C9567A"/>
    <w:rsid w:val="00C97CB6"/>
    <w:rsid w:val="00CA2456"/>
    <w:rsid w:val="00CA4129"/>
    <w:rsid w:val="00CA7BCD"/>
    <w:rsid w:val="00CB212D"/>
    <w:rsid w:val="00CB2660"/>
    <w:rsid w:val="00CC06AA"/>
    <w:rsid w:val="00CC1949"/>
    <w:rsid w:val="00CC5B59"/>
    <w:rsid w:val="00CC5DE1"/>
    <w:rsid w:val="00CC5E90"/>
    <w:rsid w:val="00CC6ABC"/>
    <w:rsid w:val="00CD046C"/>
    <w:rsid w:val="00CD10C9"/>
    <w:rsid w:val="00CD2417"/>
    <w:rsid w:val="00CD36A4"/>
    <w:rsid w:val="00CD4387"/>
    <w:rsid w:val="00CD4A11"/>
    <w:rsid w:val="00CE076C"/>
    <w:rsid w:val="00CE1950"/>
    <w:rsid w:val="00CE2356"/>
    <w:rsid w:val="00CE5199"/>
    <w:rsid w:val="00CE66D5"/>
    <w:rsid w:val="00CF637A"/>
    <w:rsid w:val="00D02EA7"/>
    <w:rsid w:val="00D059DE"/>
    <w:rsid w:val="00D05ABD"/>
    <w:rsid w:val="00D05B1B"/>
    <w:rsid w:val="00D07FBC"/>
    <w:rsid w:val="00D11234"/>
    <w:rsid w:val="00D11EEB"/>
    <w:rsid w:val="00D12AFB"/>
    <w:rsid w:val="00D13FCE"/>
    <w:rsid w:val="00D16ED2"/>
    <w:rsid w:val="00D306D1"/>
    <w:rsid w:val="00D30800"/>
    <w:rsid w:val="00D30FFE"/>
    <w:rsid w:val="00D34786"/>
    <w:rsid w:val="00D35941"/>
    <w:rsid w:val="00D37BFC"/>
    <w:rsid w:val="00D46367"/>
    <w:rsid w:val="00D47A8E"/>
    <w:rsid w:val="00D47DF9"/>
    <w:rsid w:val="00D5069F"/>
    <w:rsid w:val="00D50F27"/>
    <w:rsid w:val="00D51AE8"/>
    <w:rsid w:val="00D52D14"/>
    <w:rsid w:val="00D557E7"/>
    <w:rsid w:val="00D57BEC"/>
    <w:rsid w:val="00D60252"/>
    <w:rsid w:val="00D60AFB"/>
    <w:rsid w:val="00D66EB4"/>
    <w:rsid w:val="00D712D3"/>
    <w:rsid w:val="00D71422"/>
    <w:rsid w:val="00D72DC6"/>
    <w:rsid w:val="00D7558D"/>
    <w:rsid w:val="00D7572E"/>
    <w:rsid w:val="00D81D92"/>
    <w:rsid w:val="00D829FF"/>
    <w:rsid w:val="00D83A29"/>
    <w:rsid w:val="00D84F01"/>
    <w:rsid w:val="00D876F9"/>
    <w:rsid w:val="00D9267E"/>
    <w:rsid w:val="00D929C4"/>
    <w:rsid w:val="00DA1470"/>
    <w:rsid w:val="00DA3DB2"/>
    <w:rsid w:val="00DA7B5F"/>
    <w:rsid w:val="00DA7F2F"/>
    <w:rsid w:val="00DB18E6"/>
    <w:rsid w:val="00DB2575"/>
    <w:rsid w:val="00DB310F"/>
    <w:rsid w:val="00DB66B7"/>
    <w:rsid w:val="00DC11E7"/>
    <w:rsid w:val="00DC24E3"/>
    <w:rsid w:val="00DC7023"/>
    <w:rsid w:val="00DC769A"/>
    <w:rsid w:val="00DC79A8"/>
    <w:rsid w:val="00DD08C5"/>
    <w:rsid w:val="00DD1318"/>
    <w:rsid w:val="00DD3D86"/>
    <w:rsid w:val="00DD4AD2"/>
    <w:rsid w:val="00DD50D5"/>
    <w:rsid w:val="00DD641D"/>
    <w:rsid w:val="00DE27B5"/>
    <w:rsid w:val="00DE2862"/>
    <w:rsid w:val="00DE2C91"/>
    <w:rsid w:val="00DE3572"/>
    <w:rsid w:val="00DE5921"/>
    <w:rsid w:val="00DE7E59"/>
    <w:rsid w:val="00DF0521"/>
    <w:rsid w:val="00DF1EC4"/>
    <w:rsid w:val="00DF23A0"/>
    <w:rsid w:val="00E0340B"/>
    <w:rsid w:val="00E0448E"/>
    <w:rsid w:val="00E04A90"/>
    <w:rsid w:val="00E0551F"/>
    <w:rsid w:val="00E057CB"/>
    <w:rsid w:val="00E1222E"/>
    <w:rsid w:val="00E12FE9"/>
    <w:rsid w:val="00E219C7"/>
    <w:rsid w:val="00E2287F"/>
    <w:rsid w:val="00E24A35"/>
    <w:rsid w:val="00E27DE0"/>
    <w:rsid w:val="00E32493"/>
    <w:rsid w:val="00E33E6E"/>
    <w:rsid w:val="00E3400E"/>
    <w:rsid w:val="00E3551A"/>
    <w:rsid w:val="00E40299"/>
    <w:rsid w:val="00E4118C"/>
    <w:rsid w:val="00E43157"/>
    <w:rsid w:val="00E43E0A"/>
    <w:rsid w:val="00E461CE"/>
    <w:rsid w:val="00E50750"/>
    <w:rsid w:val="00E56F3C"/>
    <w:rsid w:val="00E573E4"/>
    <w:rsid w:val="00E64C3D"/>
    <w:rsid w:val="00E70735"/>
    <w:rsid w:val="00E720B8"/>
    <w:rsid w:val="00E720CA"/>
    <w:rsid w:val="00E75985"/>
    <w:rsid w:val="00E826C3"/>
    <w:rsid w:val="00E84316"/>
    <w:rsid w:val="00E84EB5"/>
    <w:rsid w:val="00E852C2"/>
    <w:rsid w:val="00E85662"/>
    <w:rsid w:val="00E8789F"/>
    <w:rsid w:val="00E87E63"/>
    <w:rsid w:val="00E94906"/>
    <w:rsid w:val="00E9555B"/>
    <w:rsid w:val="00E96EC7"/>
    <w:rsid w:val="00E97B71"/>
    <w:rsid w:val="00EA3D34"/>
    <w:rsid w:val="00EA7436"/>
    <w:rsid w:val="00EB454D"/>
    <w:rsid w:val="00EB483C"/>
    <w:rsid w:val="00ED549D"/>
    <w:rsid w:val="00ED5E10"/>
    <w:rsid w:val="00ED76BE"/>
    <w:rsid w:val="00EE00E9"/>
    <w:rsid w:val="00EE1851"/>
    <w:rsid w:val="00EE34FD"/>
    <w:rsid w:val="00EF03E1"/>
    <w:rsid w:val="00EF0464"/>
    <w:rsid w:val="00EF1AAA"/>
    <w:rsid w:val="00EF20A2"/>
    <w:rsid w:val="00EF270A"/>
    <w:rsid w:val="00EF619B"/>
    <w:rsid w:val="00EF679B"/>
    <w:rsid w:val="00F00B55"/>
    <w:rsid w:val="00F00D28"/>
    <w:rsid w:val="00F019BC"/>
    <w:rsid w:val="00F02AD1"/>
    <w:rsid w:val="00F053F7"/>
    <w:rsid w:val="00F06A3B"/>
    <w:rsid w:val="00F07197"/>
    <w:rsid w:val="00F12646"/>
    <w:rsid w:val="00F13662"/>
    <w:rsid w:val="00F17A18"/>
    <w:rsid w:val="00F20B2D"/>
    <w:rsid w:val="00F231C6"/>
    <w:rsid w:val="00F2451A"/>
    <w:rsid w:val="00F24C9A"/>
    <w:rsid w:val="00F253CC"/>
    <w:rsid w:val="00F30718"/>
    <w:rsid w:val="00F35DBA"/>
    <w:rsid w:val="00F37106"/>
    <w:rsid w:val="00F40928"/>
    <w:rsid w:val="00F413AA"/>
    <w:rsid w:val="00F42CB8"/>
    <w:rsid w:val="00F4455E"/>
    <w:rsid w:val="00F44E25"/>
    <w:rsid w:val="00F458E2"/>
    <w:rsid w:val="00F46697"/>
    <w:rsid w:val="00F50642"/>
    <w:rsid w:val="00F519CF"/>
    <w:rsid w:val="00F54B3F"/>
    <w:rsid w:val="00F557B7"/>
    <w:rsid w:val="00F55BE3"/>
    <w:rsid w:val="00F56036"/>
    <w:rsid w:val="00F56BA5"/>
    <w:rsid w:val="00F56ECB"/>
    <w:rsid w:val="00F60E22"/>
    <w:rsid w:val="00F6195A"/>
    <w:rsid w:val="00F6479C"/>
    <w:rsid w:val="00F72033"/>
    <w:rsid w:val="00F74E42"/>
    <w:rsid w:val="00F80E7F"/>
    <w:rsid w:val="00F8110C"/>
    <w:rsid w:val="00F812BE"/>
    <w:rsid w:val="00F81395"/>
    <w:rsid w:val="00F81BB8"/>
    <w:rsid w:val="00F827B1"/>
    <w:rsid w:val="00F852A0"/>
    <w:rsid w:val="00F852AE"/>
    <w:rsid w:val="00F90C13"/>
    <w:rsid w:val="00F90C64"/>
    <w:rsid w:val="00F90CC0"/>
    <w:rsid w:val="00F917D1"/>
    <w:rsid w:val="00F94C22"/>
    <w:rsid w:val="00F9653B"/>
    <w:rsid w:val="00FA5AF6"/>
    <w:rsid w:val="00FA791F"/>
    <w:rsid w:val="00FB5656"/>
    <w:rsid w:val="00FB62CF"/>
    <w:rsid w:val="00FC0547"/>
    <w:rsid w:val="00FC2038"/>
    <w:rsid w:val="00FC2388"/>
    <w:rsid w:val="00FC545F"/>
    <w:rsid w:val="00FC73C0"/>
    <w:rsid w:val="00FD1BCE"/>
    <w:rsid w:val="00FD2601"/>
    <w:rsid w:val="00FD3818"/>
    <w:rsid w:val="00FD3C3B"/>
    <w:rsid w:val="00FD46FB"/>
    <w:rsid w:val="00FD5618"/>
    <w:rsid w:val="00FE07DD"/>
    <w:rsid w:val="00FE5EB6"/>
    <w:rsid w:val="00FE6B45"/>
    <w:rsid w:val="00FF2BC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paragraph" w:customStyle="1" w:styleId="paragraph">
    <w:name w:val="paragraph"/>
    <w:basedOn w:val="Normal"/>
    <w:rsid w:val="00BE16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E1602"/>
  </w:style>
  <w:style w:type="character" w:customStyle="1" w:styleId="eop">
    <w:name w:val="eop"/>
    <w:basedOn w:val="DefaultParagraphFont"/>
    <w:rsid w:val="00BE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200821"/>
    <w:rsid w:val="00236BF4"/>
    <w:rsid w:val="0025245B"/>
    <w:rsid w:val="00256D42"/>
    <w:rsid w:val="002A3923"/>
    <w:rsid w:val="002E25EA"/>
    <w:rsid w:val="003064D2"/>
    <w:rsid w:val="003901A1"/>
    <w:rsid w:val="00394049"/>
    <w:rsid w:val="003A746D"/>
    <w:rsid w:val="003A7538"/>
    <w:rsid w:val="003B0C71"/>
    <w:rsid w:val="003B2E76"/>
    <w:rsid w:val="003C7D44"/>
    <w:rsid w:val="00472A37"/>
    <w:rsid w:val="004B5BBB"/>
    <w:rsid w:val="004F2DF8"/>
    <w:rsid w:val="005028F9"/>
    <w:rsid w:val="00517E2A"/>
    <w:rsid w:val="006D3128"/>
    <w:rsid w:val="006F24A1"/>
    <w:rsid w:val="00875B8A"/>
    <w:rsid w:val="008953BC"/>
    <w:rsid w:val="00956DA1"/>
    <w:rsid w:val="009918CD"/>
    <w:rsid w:val="009A261B"/>
    <w:rsid w:val="009B1C31"/>
    <w:rsid w:val="009B4823"/>
    <w:rsid w:val="00AA2E17"/>
    <w:rsid w:val="00AC15A4"/>
    <w:rsid w:val="00AD397E"/>
    <w:rsid w:val="00B0336C"/>
    <w:rsid w:val="00CA4FD4"/>
    <w:rsid w:val="00D241E9"/>
    <w:rsid w:val="00D5665A"/>
    <w:rsid w:val="00D7750D"/>
    <w:rsid w:val="00DE3DD5"/>
    <w:rsid w:val="00F00D2F"/>
    <w:rsid w:val="00F128DF"/>
    <w:rsid w:val="00F207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17426</Characters>
  <Application>Microsoft Office Word</Application>
  <DocSecurity>0</DocSecurity>
  <Lines>145</Lines>
  <Paragraphs>40</Paragraphs>
  <ScaleCrop>false</ScaleCrop>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2023-02-03T14:42:00Z</dcterms:created>
  <dcterms:modified xsi:type="dcterms:W3CDTF">2023-02-03T14:42:00Z</dcterms:modified>
</cp:coreProperties>
</file>