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0D7BDA82"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59D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186EAA">
        <w:rPr>
          <w:rFonts w:asciiTheme="majorHAnsi" w:hAnsiTheme="majorHAnsi" w:cs="Univers"/>
          <w:b/>
          <w:bCs/>
          <w:sz w:val="22"/>
          <w:szCs w:val="22"/>
          <w:lang w:val="es-ES"/>
        </w:rPr>
        <w:t>d</w: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B91CA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5019">
                              <w:rPr>
                                <w:rFonts w:asciiTheme="majorHAnsi" w:hAnsiTheme="majorHAnsi" w:cs="Arial"/>
                                <w:b/>
                                <w:bCs/>
                                <w:color w:val="0D0D0D" w:themeColor="text1" w:themeTint="F2"/>
                                <w:sz w:val="36"/>
                                <w:szCs w:val="22"/>
                                <w:lang w:val="es-ES_tradnl"/>
                              </w:rPr>
                              <w:t>253</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186EAA">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2C9127AE"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86EAA">
                              <w:rPr>
                                <w:rFonts w:asciiTheme="majorHAnsi" w:hAnsiTheme="majorHAnsi" w:cs="Arial"/>
                                <w:b/>
                                <w:color w:val="0D0D0D" w:themeColor="text1" w:themeTint="F2"/>
                                <w:sz w:val="36"/>
                                <w:szCs w:val="22"/>
                                <w:lang w:val="es-ES_tradnl"/>
                              </w:rPr>
                              <w:t>1011-15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0C51E39F" w:rsidR="00CC395D" w:rsidRPr="002636E9" w:rsidRDefault="00186EAA" w:rsidP="00186EAA">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IRMA NOEMÍ JUAN VIUDA DE SOERENSEN</w:t>
                            </w:r>
                          </w:p>
                          <w:bookmarkEnd w:id="0"/>
                          <w:p w14:paraId="2DA3164A" w14:textId="77777777" w:rsidR="00CC395D" w:rsidRPr="0010736F" w:rsidRDefault="00CC395D" w:rsidP="00CC395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B91CA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5019">
                        <w:rPr>
                          <w:rFonts w:asciiTheme="majorHAnsi" w:hAnsiTheme="majorHAnsi" w:cs="Arial"/>
                          <w:b/>
                          <w:bCs/>
                          <w:color w:val="0D0D0D" w:themeColor="text1" w:themeTint="F2"/>
                          <w:sz w:val="36"/>
                          <w:szCs w:val="22"/>
                          <w:lang w:val="es-ES_tradnl"/>
                        </w:rPr>
                        <w:t>253</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186EAA">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2C9127AE"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86EAA">
                        <w:rPr>
                          <w:rFonts w:asciiTheme="majorHAnsi" w:hAnsiTheme="majorHAnsi" w:cs="Arial"/>
                          <w:b/>
                          <w:color w:val="0D0D0D" w:themeColor="text1" w:themeTint="F2"/>
                          <w:sz w:val="36"/>
                          <w:szCs w:val="22"/>
                          <w:lang w:val="es-ES_tradnl"/>
                        </w:rPr>
                        <w:t>1011-15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0C51E39F" w:rsidR="00CC395D" w:rsidRPr="002636E9" w:rsidRDefault="00186EAA" w:rsidP="00186EAA">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IRMA NOEMÍ JUAN VIUDA DE SOERENSEN</w:t>
                      </w:r>
                    </w:p>
                    <w:bookmarkEnd w:id="1"/>
                    <w:p w14:paraId="2DA3164A" w14:textId="77777777" w:rsidR="00CC395D" w:rsidRPr="0010736F" w:rsidRDefault="00CC395D" w:rsidP="00CC395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2E749" w14:textId="77777777" w:rsidR="00165019" w:rsidRPr="00E57E51" w:rsidRDefault="00834D49" w:rsidP="007A5817">
                            <w:pPr>
                              <w:spacing w:line="276" w:lineRule="auto"/>
                              <w:jc w:val="right"/>
                              <w:rPr>
                                <w:rFonts w:asciiTheme="minorHAnsi" w:hAnsiTheme="minorHAnsi"/>
                                <w:color w:val="FFFFFF" w:themeColor="background1"/>
                                <w:sz w:val="22"/>
                                <w:lang w:val="es-419"/>
                              </w:rPr>
                            </w:pPr>
                            <w:r w:rsidRPr="00E57E51">
                              <w:rPr>
                                <w:rFonts w:asciiTheme="minorHAnsi" w:hAnsiTheme="minorHAnsi"/>
                                <w:color w:val="FFFFFF" w:themeColor="background1"/>
                                <w:sz w:val="22"/>
                                <w:lang w:val="es-419"/>
                              </w:rPr>
                              <w:t>OEA/Ser.L/V/II</w:t>
                            </w:r>
                          </w:p>
                          <w:p w14:paraId="6A41611B" w14:textId="59DD91A0" w:rsidR="00627C9F" w:rsidRPr="00E57E51" w:rsidRDefault="00627C9F" w:rsidP="007A5817">
                            <w:pPr>
                              <w:spacing w:line="276" w:lineRule="auto"/>
                              <w:jc w:val="right"/>
                              <w:rPr>
                                <w:rFonts w:asciiTheme="minorHAnsi" w:hAnsiTheme="minorHAnsi"/>
                                <w:color w:val="FFFFFF" w:themeColor="background1"/>
                                <w:sz w:val="22"/>
                                <w:lang w:val="es-419"/>
                              </w:rPr>
                            </w:pPr>
                            <w:r w:rsidRPr="00E57E51">
                              <w:rPr>
                                <w:rFonts w:asciiTheme="minorHAnsi" w:hAnsiTheme="minorHAnsi"/>
                                <w:color w:val="FFFFFF" w:themeColor="background1"/>
                                <w:sz w:val="22"/>
                                <w:lang w:val="es-419"/>
                              </w:rPr>
                              <w:t xml:space="preserve">Doc. </w:t>
                            </w:r>
                            <w:r w:rsidR="00E57E51" w:rsidRPr="00E57E51">
                              <w:rPr>
                                <w:rFonts w:asciiTheme="minorHAnsi" w:hAnsiTheme="minorHAnsi"/>
                                <w:color w:val="FFFFFF" w:themeColor="background1"/>
                                <w:sz w:val="22"/>
                                <w:lang w:val="es-419"/>
                              </w:rPr>
                              <w:t>257</w:t>
                            </w:r>
                          </w:p>
                          <w:p w14:paraId="69373ED2" w14:textId="2730D4D3" w:rsidR="00627C9F" w:rsidRPr="001B4C00" w:rsidRDefault="00E57E5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octubre</w:t>
                            </w:r>
                            <w:r w:rsidR="00627C9F" w:rsidRPr="001B4C00">
                              <w:rPr>
                                <w:rFonts w:asciiTheme="minorHAnsi" w:hAnsiTheme="minorHAnsi"/>
                                <w:color w:val="FFFFFF" w:themeColor="background1"/>
                                <w:sz w:val="22"/>
                                <w:lang w:val="es-ES"/>
                              </w:rPr>
                              <w:t xml:space="preserve"> 20</w:t>
                            </w:r>
                            <w:r w:rsidR="00DE13DA">
                              <w:rPr>
                                <w:rFonts w:asciiTheme="minorHAnsi" w:hAnsiTheme="minorHAnsi"/>
                                <w:color w:val="FFFFFF" w:themeColor="background1"/>
                                <w:sz w:val="22"/>
                                <w:lang w:val="es-ES"/>
                              </w:rPr>
                              <w:t>2</w:t>
                            </w:r>
                            <w:r w:rsidR="00186EAA">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9A2E749" w14:textId="77777777" w:rsidR="00165019" w:rsidRPr="00E57E51" w:rsidRDefault="00834D49" w:rsidP="007A5817">
                      <w:pPr>
                        <w:spacing w:line="276" w:lineRule="auto"/>
                        <w:jc w:val="right"/>
                        <w:rPr>
                          <w:rFonts w:asciiTheme="minorHAnsi" w:hAnsiTheme="minorHAnsi"/>
                          <w:color w:val="FFFFFF" w:themeColor="background1"/>
                          <w:sz w:val="22"/>
                          <w:lang w:val="es-419"/>
                        </w:rPr>
                      </w:pPr>
                      <w:r w:rsidRPr="00E57E51">
                        <w:rPr>
                          <w:rFonts w:asciiTheme="minorHAnsi" w:hAnsiTheme="minorHAnsi"/>
                          <w:color w:val="FFFFFF" w:themeColor="background1"/>
                          <w:sz w:val="22"/>
                          <w:lang w:val="es-419"/>
                        </w:rPr>
                        <w:t>OEA/Ser.L/V/II</w:t>
                      </w:r>
                    </w:p>
                    <w:p w14:paraId="6A41611B" w14:textId="59DD91A0" w:rsidR="00627C9F" w:rsidRPr="00E57E51" w:rsidRDefault="00627C9F" w:rsidP="007A5817">
                      <w:pPr>
                        <w:spacing w:line="276" w:lineRule="auto"/>
                        <w:jc w:val="right"/>
                        <w:rPr>
                          <w:rFonts w:asciiTheme="minorHAnsi" w:hAnsiTheme="minorHAnsi"/>
                          <w:color w:val="FFFFFF" w:themeColor="background1"/>
                          <w:sz w:val="22"/>
                          <w:lang w:val="es-419"/>
                        </w:rPr>
                      </w:pPr>
                      <w:r w:rsidRPr="00E57E51">
                        <w:rPr>
                          <w:rFonts w:asciiTheme="minorHAnsi" w:hAnsiTheme="minorHAnsi"/>
                          <w:color w:val="FFFFFF" w:themeColor="background1"/>
                          <w:sz w:val="22"/>
                          <w:lang w:val="es-419"/>
                        </w:rPr>
                        <w:t xml:space="preserve">Doc. </w:t>
                      </w:r>
                      <w:r w:rsidR="00E57E51" w:rsidRPr="00E57E51">
                        <w:rPr>
                          <w:rFonts w:asciiTheme="minorHAnsi" w:hAnsiTheme="minorHAnsi"/>
                          <w:color w:val="FFFFFF" w:themeColor="background1"/>
                          <w:sz w:val="22"/>
                          <w:lang w:val="es-419"/>
                        </w:rPr>
                        <w:t>257</w:t>
                      </w:r>
                    </w:p>
                    <w:p w14:paraId="69373ED2" w14:textId="2730D4D3" w:rsidR="00627C9F" w:rsidRPr="001B4C00" w:rsidRDefault="00E57E5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octubre</w:t>
                      </w:r>
                      <w:r w:rsidR="00627C9F" w:rsidRPr="001B4C00">
                        <w:rPr>
                          <w:rFonts w:asciiTheme="minorHAnsi" w:hAnsiTheme="minorHAnsi"/>
                          <w:color w:val="FFFFFF" w:themeColor="background1"/>
                          <w:sz w:val="22"/>
                          <w:lang w:val="es-ES"/>
                        </w:rPr>
                        <w:t xml:space="preserve"> 20</w:t>
                      </w:r>
                      <w:r w:rsidR="00DE13DA">
                        <w:rPr>
                          <w:rFonts w:asciiTheme="minorHAnsi" w:hAnsiTheme="minorHAnsi"/>
                          <w:color w:val="FFFFFF" w:themeColor="background1"/>
                          <w:sz w:val="22"/>
                          <w:lang w:val="es-ES"/>
                        </w:rPr>
                        <w:t>2</w:t>
                      </w:r>
                      <w:r w:rsidR="00186EAA">
                        <w:rPr>
                          <w:rFonts w:asciiTheme="minorHAnsi" w:hAnsiTheme="minorHAnsi"/>
                          <w:color w:val="FFFFFF" w:themeColor="background1"/>
                          <w:sz w:val="22"/>
                          <w:lang w:val="es-ES"/>
                        </w:rPr>
                        <w:t>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38702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57E51">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E57E51">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186EAA">
                              <w:rPr>
                                <w:rFonts w:asciiTheme="majorHAnsi" w:hAnsiTheme="majorHAnsi"/>
                                <w:color w:val="0D0D0D" w:themeColor="text1" w:themeTint="F2"/>
                                <w:sz w:val="18"/>
                                <w:szCs w:val="22"/>
                                <w:lang w:val="es-ES"/>
                              </w:rPr>
                              <w:t>2</w:t>
                            </w:r>
                            <w:r w:rsidR="00E57E5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38702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57E51">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E57E51">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186EAA">
                        <w:rPr>
                          <w:rFonts w:asciiTheme="majorHAnsi" w:hAnsiTheme="majorHAnsi"/>
                          <w:color w:val="0D0D0D" w:themeColor="text1" w:themeTint="F2"/>
                          <w:sz w:val="18"/>
                          <w:szCs w:val="22"/>
                          <w:lang w:val="es-ES"/>
                        </w:rPr>
                        <w:t>2</w:t>
                      </w:r>
                      <w:r w:rsidR="00E57E5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EA3763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7EA8" w:rsidRPr="001D7EA8">
                              <w:rPr>
                                <w:rFonts w:asciiTheme="majorHAnsi" w:hAnsiTheme="majorHAnsi"/>
                                <w:color w:val="595959" w:themeColor="text1" w:themeTint="A6"/>
                                <w:sz w:val="18"/>
                                <w:szCs w:val="18"/>
                                <w:lang w:val="pt-BR"/>
                              </w:rPr>
                              <w:t>253</w:t>
                            </w:r>
                            <w:r w:rsidR="007B05C4" w:rsidRPr="001D7EA8">
                              <w:rPr>
                                <w:rFonts w:asciiTheme="majorHAnsi" w:hAnsiTheme="majorHAnsi"/>
                                <w:color w:val="595959" w:themeColor="text1" w:themeTint="A6"/>
                                <w:sz w:val="18"/>
                                <w:szCs w:val="18"/>
                                <w:lang w:val="pt-BR"/>
                              </w:rPr>
                              <w:t>/</w:t>
                            </w:r>
                            <w:r w:rsidR="00A777B4" w:rsidRPr="001D7EA8">
                              <w:rPr>
                                <w:rFonts w:asciiTheme="majorHAnsi" w:hAnsiTheme="majorHAnsi"/>
                                <w:color w:val="595959" w:themeColor="text1" w:themeTint="A6"/>
                                <w:sz w:val="18"/>
                                <w:szCs w:val="18"/>
                                <w:lang w:val="pt-BR"/>
                              </w:rPr>
                              <w:t>2</w:t>
                            </w:r>
                            <w:r w:rsidR="00186EAA" w:rsidRPr="001D7EA8">
                              <w:rPr>
                                <w:rFonts w:asciiTheme="majorHAnsi" w:hAnsiTheme="majorHAnsi"/>
                                <w:color w:val="595959" w:themeColor="text1" w:themeTint="A6"/>
                                <w:sz w:val="18"/>
                                <w:szCs w:val="18"/>
                                <w:lang w:val="pt-BR"/>
                              </w:rPr>
                              <w:t>2</w:t>
                            </w:r>
                            <w:r w:rsidRPr="001D7EA8">
                              <w:rPr>
                                <w:rFonts w:asciiTheme="majorHAnsi" w:hAnsiTheme="majorHAnsi"/>
                                <w:color w:val="595959" w:themeColor="text1" w:themeTint="A6"/>
                                <w:sz w:val="18"/>
                                <w:szCs w:val="18"/>
                                <w:lang w:val="pt-BR"/>
                              </w:rPr>
                              <w:t xml:space="preserve">. </w:t>
                            </w:r>
                            <w:r w:rsidR="00186EA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1D7EA8">
                              <w:rPr>
                                <w:rFonts w:asciiTheme="majorHAnsi" w:hAnsiTheme="majorHAnsi"/>
                                <w:color w:val="595959" w:themeColor="text1" w:themeTint="A6"/>
                                <w:sz w:val="18"/>
                                <w:szCs w:val="18"/>
                                <w:lang w:val="es-ES_tradnl"/>
                              </w:rPr>
                              <w:t>P-1011-15.</w:t>
                            </w:r>
                            <w:r w:rsidRPr="00890650">
                              <w:rPr>
                                <w:rFonts w:asciiTheme="majorHAnsi" w:hAnsiTheme="majorHAnsi"/>
                                <w:color w:val="595959" w:themeColor="text1" w:themeTint="A6"/>
                                <w:sz w:val="18"/>
                                <w:szCs w:val="18"/>
                                <w:lang w:val="es-ES_tradnl"/>
                              </w:rPr>
                              <w:t xml:space="preserve"> </w:t>
                            </w:r>
                            <w:r w:rsidR="00186EAA">
                              <w:rPr>
                                <w:rFonts w:asciiTheme="majorHAnsi" w:hAnsiTheme="majorHAnsi"/>
                                <w:color w:val="595959" w:themeColor="text1" w:themeTint="A6"/>
                                <w:sz w:val="18"/>
                                <w:szCs w:val="18"/>
                                <w:lang w:val="es-ES_tradnl"/>
                              </w:rPr>
                              <w:t>Irma Noemí Juan Viuda de Soerensen</w:t>
                            </w:r>
                            <w:r w:rsidR="00970C0E">
                              <w:rPr>
                                <w:rFonts w:asciiTheme="majorHAnsi" w:hAnsiTheme="majorHAnsi"/>
                                <w:color w:val="595959" w:themeColor="text1" w:themeTint="A6"/>
                                <w:sz w:val="18"/>
                                <w:szCs w:val="18"/>
                                <w:lang w:val="es-ES_tradnl"/>
                              </w:rPr>
                              <w:t xml:space="preserve">. 3 de octubre de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EA3763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7EA8" w:rsidRPr="001D7EA8">
                        <w:rPr>
                          <w:rFonts w:asciiTheme="majorHAnsi" w:hAnsiTheme="majorHAnsi"/>
                          <w:color w:val="595959" w:themeColor="text1" w:themeTint="A6"/>
                          <w:sz w:val="18"/>
                          <w:szCs w:val="18"/>
                          <w:lang w:val="pt-BR"/>
                        </w:rPr>
                        <w:t>253</w:t>
                      </w:r>
                      <w:r w:rsidR="007B05C4" w:rsidRPr="001D7EA8">
                        <w:rPr>
                          <w:rFonts w:asciiTheme="majorHAnsi" w:hAnsiTheme="majorHAnsi"/>
                          <w:color w:val="595959" w:themeColor="text1" w:themeTint="A6"/>
                          <w:sz w:val="18"/>
                          <w:szCs w:val="18"/>
                          <w:lang w:val="pt-BR"/>
                        </w:rPr>
                        <w:t>/</w:t>
                      </w:r>
                      <w:r w:rsidR="00A777B4" w:rsidRPr="001D7EA8">
                        <w:rPr>
                          <w:rFonts w:asciiTheme="majorHAnsi" w:hAnsiTheme="majorHAnsi"/>
                          <w:color w:val="595959" w:themeColor="text1" w:themeTint="A6"/>
                          <w:sz w:val="18"/>
                          <w:szCs w:val="18"/>
                          <w:lang w:val="pt-BR"/>
                        </w:rPr>
                        <w:t>2</w:t>
                      </w:r>
                      <w:r w:rsidR="00186EAA" w:rsidRPr="001D7EA8">
                        <w:rPr>
                          <w:rFonts w:asciiTheme="majorHAnsi" w:hAnsiTheme="majorHAnsi"/>
                          <w:color w:val="595959" w:themeColor="text1" w:themeTint="A6"/>
                          <w:sz w:val="18"/>
                          <w:szCs w:val="18"/>
                          <w:lang w:val="pt-BR"/>
                        </w:rPr>
                        <w:t>2</w:t>
                      </w:r>
                      <w:r w:rsidRPr="001D7EA8">
                        <w:rPr>
                          <w:rFonts w:asciiTheme="majorHAnsi" w:hAnsiTheme="majorHAnsi"/>
                          <w:color w:val="595959" w:themeColor="text1" w:themeTint="A6"/>
                          <w:sz w:val="18"/>
                          <w:szCs w:val="18"/>
                          <w:lang w:val="pt-BR"/>
                        </w:rPr>
                        <w:t xml:space="preserve">. </w:t>
                      </w:r>
                      <w:r w:rsidR="00186EA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1D7EA8">
                        <w:rPr>
                          <w:rFonts w:asciiTheme="majorHAnsi" w:hAnsiTheme="majorHAnsi"/>
                          <w:color w:val="595959" w:themeColor="text1" w:themeTint="A6"/>
                          <w:sz w:val="18"/>
                          <w:szCs w:val="18"/>
                          <w:lang w:val="es-ES_tradnl"/>
                        </w:rPr>
                        <w:t>P-1011-15.</w:t>
                      </w:r>
                      <w:r w:rsidRPr="00890650">
                        <w:rPr>
                          <w:rFonts w:asciiTheme="majorHAnsi" w:hAnsiTheme="majorHAnsi"/>
                          <w:color w:val="595959" w:themeColor="text1" w:themeTint="A6"/>
                          <w:sz w:val="18"/>
                          <w:szCs w:val="18"/>
                          <w:lang w:val="es-ES_tradnl"/>
                        </w:rPr>
                        <w:t xml:space="preserve"> </w:t>
                      </w:r>
                      <w:r w:rsidR="00186EAA">
                        <w:rPr>
                          <w:rFonts w:asciiTheme="majorHAnsi" w:hAnsiTheme="majorHAnsi"/>
                          <w:color w:val="595959" w:themeColor="text1" w:themeTint="A6"/>
                          <w:sz w:val="18"/>
                          <w:szCs w:val="18"/>
                          <w:lang w:val="es-ES_tradnl"/>
                        </w:rPr>
                        <w:t>Irma Noemí Juan Viuda de Soerensen</w:t>
                      </w:r>
                      <w:r w:rsidR="00970C0E">
                        <w:rPr>
                          <w:rFonts w:asciiTheme="majorHAnsi" w:hAnsiTheme="majorHAnsi"/>
                          <w:color w:val="595959" w:themeColor="text1" w:themeTint="A6"/>
                          <w:sz w:val="18"/>
                          <w:szCs w:val="18"/>
                          <w:lang w:val="es-ES_tradnl"/>
                        </w:rPr>
                        <w:t xml:space="preserve">. 3 de octubre de 2022. </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5FEDF228"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B3536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66FD8C6" w:rsidR="0070697F" w:rsidRPr="00006B74" w:rsidRDefault="00970C0E"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CDDF108">
                <wp:simplePos x="0" y="0"/>
                <wp:positionH relativeFrom="column">
                  <wp:posOffset>1304925</wp:posOffset>
                </wp:positionH>
                <wp:positionV relativeFrom="paragraph">
                  <wp:posOffset>505188</wp:posOffset>
                </wp:positionV>
                <wp:extent cx="4096385" cy="6803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4096385" cy="680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75pt;margin-top:39.8pt;width:322.55pt;height:5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C43E4C"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r>
      <w:r w:rsidRPr="00C43E4C">
        <w:rPr>
          <w:rFonts w:asciiTheme="majorHAnsi" w:hAnsiTheme="majorHAnsi"/>
          <w:b/>
          <w:bCs/>
          <w:sz w:val="20"/>
          <w:szCs w:val="20"/>
          <w:lang w:val="es-ES"/>
        </w:rPr>
        <w:t xml:space="preserve">DATOS DE LA PETICIÓN </w:t>
      </w:r>
    </w:p>
    <w:tbl>
      <w:tblPr>
        <w:tblStyle w:val="TableGrid"/>
        <w:tblW w:w="9157" w:type="dxa"/>
        <w:jc w:val="center"/>
        <w:tblBorders>
          <w:insideH w:val="single" w:sz="6" w:space="0" w:color="auto"/>
          <w:insideV w:val="single" w:sz="6" w:space="0" w:color="auto"/>
        </w:tblBorders>
        <w:tblLook w:val="04A0" w:firstRow="1" w:lastRow="0" w:firstColumn="1" w:lastColumn="0" w:noHBand="0" w:noVBand="1"/>
      </w:tblPr>
      <w:tblGrid>
        <w:gridCol w:w="3577"/>
        <w:gridCol w:w="5580"/>
      </w:tblGrid>
      <w:tr w:rsidR="003239B8" w:rsidRPr="00186EAA" w14:paraId="5A79D1F7" w14:textId="77777777" w:rsidTr="009212F6">
        <w:trPr>
          <w:jc w:val="center"/>
        </w:trPr>
        <w:tc>
          <w:tcPr>
            <w:tcW w:w="3577" w:type="dxa"/>
            <w:tcBorders>
              <w:top w:val="single" w:sz="4" w:space="0" w:color="auto"/>
              <w:bottom w:val="single" w:sz="6" w:space="0" w:color="auto"/>
            </w:tcBorders>
            <w:shd w:val="clear" w:color="auto" w:fill="386294"/>
            <w:vAlign w:val="center"/>
          </w:tcPr>
          <w:p w14:paraId="0CB2A43B" w14:textId="6FB89BFC" w:rsidR="003239B8" w:rsidRPr="00C43E4C" w:rsidRDefault="00D77503" w:rsidP="00A0163E">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Parte peticionaria</w:t>
            </w:r>
          </w:p>
        </w:tc>
        <w:tc>
          <w:tcPr>
            <w:tcW w:w="5580" w:type="dxa"/>
            <w:vAlign w:val="center"/>
          </w:tcPr>
          <w:p w14:paraId="3C5315D8" w14:textId="28A71CB6" w:rsidR="003239B8" w:rsidRPr="00C43E4C" w:rsidRDefault="00186EAA" w:rsidP="00A0163E">
            <w:pPr>
              <w:jc w:val="both"/>
              <w:rPr>
                <w:rFonts w:asciiTheme="majorHAnsi" w:hAnsiTheme="majorHAnsi"/>
                <w:bCs/>
                <w:sz w:val="20"/>
                <w:szCs w:val="20"/>
                <w:lang w:val="es-PA"/>
              </w:rPr>
            </w:pPr>
            <w:r>
              <w:rPr>
                <w:rFonts w:asciiTheme="majorHAnsi" w:hAnsiTheme="majorHAnsi"/>
                <w:bCs/>
                <w:sz w:val="20"/>
                <w:szCs w:val="20"/>
                <w:lang w:val="es-PA"/>
              </w:rPr>
              <w:t>Alberto Manuel Poletti Adorno</w:t>
            </w:r>
          </w:p>
        </w:tc>
      </w:tr>
      <w:tr w:rsidR="003239B8" w:rsidRPr="00460AAF" w14:paraId="593A7E45" w14:textId="77777777" w:rsidTr="009212F6">
        <w:trPr>
          <w:jc w:val="center"/>
        </w:trPr>
        <w:tc>
          <w:tcPr>
            <w:tcW w:w="3577" w:type="dxa"/>
            <w:tcBorders>
              <w:top w:val="single" w:sz="6" w:space="0" w:color="auto"/>
              <w:bottom w:val="single" w:sz="6" w:space="0" w:color="auto"/>
            </w:tcBorders>
            <w:shd w:val="clear" w:color="auto" w:fill="386294"/>
            <w:vAlign w:val="center"/>
          </w:tcPr>
          <w:p w14:paraId="0E78CA0C" w14:textId="6191E4A1" w:rsidR="003239B8" w:rsidRPr="00C43E4C" w:rsidRDefault="002355A9" w:rsidP="00A0163E">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Presunta víctima</w:t>
            </w:r>
          </w:p>
        </w:tc>
        <w:tc>
          <w:tcPr>
            <w:tcW w:w="5580" w:type="dxa"/>
            <w:vAlign w:val="center"/>
          </w:tcPr>
          <w:p w14:paraId="4AEBF59E" w14:textId="5F45BF85" w:rsidR="003239B8" w:rsidRPr="00C43E4C" w:rsidRDefault="00186EAA" w:rsidP="005B6D22">
            <w:pPr>
              <w:jc w:val="both"/>
              <w:rPr>
                <w:rFonts w:asciiTheme="majorHAnsi" w:hAnsiTheme="majorHAnsi"/>
                <w:bCs/>
                <w:sz w:val="20"/>
                <w:szCs w:val="20"/>
                <w:lang w:val="es-ES"/>
              </w:rPr>
            </w:pPr>
            <w:r>
              <w:rPr>
                <w:rFonts w:asciiTheme="majorHAnsi" w:hAnsiTheme="majorHAnsi"/>
                <w:bCs/>
                <w:sz w:val="20"/>
                <w:szCs w:val="20"/>
                <w:lang w:val="es-ES"/>
              </w:rPr>
              <w:t>Irma Noemí Juan viuda de Soerensen</w:t>
            </w:r>
          </w:p>
        </w:tc>
      </w:tr>
      <w:tr w:rsidR="003239B8" w:rsidRPr="00C43E4C" w14:paraId="3E62E1D3" w14:textId="77777777" w:rsidTr="009212F6">
        <w:trPr>
          <w:jc w:val="center"/>
        </w:trPr>
        <w:tc>
          <w:tcPr>
            <w:tcW w:w="3577" w:type="dxa"/>
            <w:tcBorders>
              <w:top w:val="single" w:sz="6" w:space="0" w:color="auto"/>
              <w:bottom w:val="single" w:sz="6" w:space="0" w:color="auto"/>
            </w:tcBorders>
            <w:shd w:val="clear" w:color="auto" w:fill="386294"/>
            <w:vAlign w:val="center"/>
          </w:tcPr>
          <w:p w14:paraId="340B0F09" w14:textId="16C11299" w:rsidR="003239B8" w:rsidRPr="00C43E4C" w:rsidRDefault="00D77503" w:rsidP="00A0163E">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Estado denunciado</w:t>
            </w:r>
          </w:p>
        </w:tc>
        <w:tc>
          <w:tcPr>
            <w:tcW w:w="5580" w:type="dxa"/>
            <w:vAlign w:val="center"/>
          </w:tcPr>
          <w:p w14:paraId="274C8A50" w14:textId="42056916" w:rsidR="003239B8" w:rsidRPr="00C43E4C" w:rsidRDefault="00CC395D" w:rsidP="00A0163E">
            <w:pPr>
              <w:jc w:val="both"/>
              <w:rPr>
                <w:rFonts w:asciiTheme="majorHAnsi" w:hAnsiTheme="majorHAnsi"/>
                <w:bCs/>
                <w:sz w:val="20"/>
                <w:szCs w:val="20"/>
                <w:lang w:val="es-ES"/>
              </w:rPr>
            </w:pPr>
            <w:r w:rsidRPr="00C43E4C">
              <w:rPr>
                <w:rFonts w:asciiTheme="majorHAnsi" w:hAnsiTheme="majorHAnsi"/>
                <w:bCs/>
                <w:sz w:val="20"/>
                <w:szCs w:val="20"/>
                <w:lang w:val="es-ES"/>
              </w:rPr>
              <w:t>Paraguay</w:t>
            </w:r>
          </w:p>
        </w:tc>
      </w:tr>
      <w:tr w:rsidR="00223A29" w:rsidRPr="00460AAF" w14:paraId="632511BC" w14:textId="77777777" w:rsidTr="009212F6">
        <w:trPr>
          <w:jc w:val="center"/>
        </w:trPr>
        <w:tc>
          <w:tcPr>
            <w:tcW w:w="3577" w:type="dxa"/>
            <w:tcBorders>
              <w:top w:val="single" w:sz="6" w:space="0" w:color="auto"/>
              <w:bottom w:val="single" w:sz="6" w:space="0" w:color="auto"/>
            </w:tcBorders>
            <w:shd w:val="clear" w:color="auto" w:fill="386294"/>
            <w:vAlign w:val="center"/>
          </w:tcPr>
          <w:p w14:paraId="727E2F6B" w14:textId="1D86EADA" w:rsidR="00223A29" w:rsidRPr="00C43E4C" w:rsidRDefault="001B3A00" w:rsidP="00E4118C">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 xml:space="preserve">Derechos </w:t>
            </w:r>
            <w:r w:rsidR="00E4118C" w:rsidRPr="00C43E4C">
              <w:rPr>
                <w:rFonts w:asciiTheme="majorHAnsi" w:hAnsiTheme="majorHAnsi"/>
                <w:b/>
                <w:color w:val="FFFFFF" w:themeColor="background1"/>
                <w:sz w:val="20"/>
                <w:szCs w:val="20"/>
                <w:lang w:val="es-ES"/>
              </w:rPr>
              <w:t>invocados</w:t>
            </w:r>
          </w:p>
        </w:tc>
        <w:tc>
          <w:tcPr>
            <w:tcW w:w="5580" w:type="dxa"/>
            <w:vAlign w:val="center"/>
          </w:tcPr>
          <w:p w14:paraId="6DEE1EEB" w14:textId="35F96961" w:rsidR="00223A29" w:rsidRPr="00C43E4C" w:rsidRDefault="00BC6A2C" w:rsidP="0034224A">
            <w:pPr>
              <w:jc w:val="both"/>
              <w:rPr>
                <w:rFonts w:asciiTheme="majorHAnsi" w:hAnsiTheme="majorHAnsi"/>
                <w:bCs/>
                <w:sz w:val="20"/>
                <w:szCs w:val="20"/>
                <w:lang w:val="es-ES"/>
              </w:rPr>
            </w:pPr>
            <w:r w:rsidRPr="00C43E4C">
              <w:rPr>
                <w:rFonts w:asciiTheme="majorHAnsi" w:hAnsiTheme="majorHAnsi"/>
                <w:bCs/>
                <w:sz w:val="20"/>
                <w:szCs w:val="20"/>
                <w:lang w:val="es-PA"/>
              </w:rPr>
              <w:t>Artículos</w:t>
            </w:r>
            <w:r w:rsidR="002636E9" w:rsidRPr="00C43E4C">
              <w:rPr>
                <w:rFonts w:asciiTheme="majorHAnsi" w:hAnsiTheme="majorHAnsi"/>
                <w:bCs/>
                <w:sz w:val="20"/>
                <w:szCs w:val="20"/>
                <w:lang w:val="es-PA"/>
              </w:rPr>
              <w:t xml:space="preserve"> </w:t>
            </w:r>
            <w:r w:rsidR="009B3392">
              <w:rPr>
                <w:rFonts w:asciiTheme="majorHAnsi" w:hAnsiTheme="majorHAnsi"/>
                <w:bCs/>
                <w:sz w:val="20"/>
                <w:szCs w:val="20"/>
                <w:lang w:val="es-PA"/>
              </w:rPr>
              <w:t>8 (garantías judiciales) y 2</w:t>
            </w:r>
            <w:r w:rsidR="0039199D">
              <w:rPr>
                <w:rFonts w:asciiTheme="majorHAnsi" w:hAnsiTheme="majorHAnsi"/>
                <w:bCs/>
                <w:sz w:val="20"/>
                <w:szCs w:val="20"/>
                <w:lang w:val="es-PA"/>
              </w:rPr>
              <w:t>1 (propiedad privada)</w:t>
            </w:r>
            <w:r w:rsidR="00C70F6F">
              <w:rPr>
                <w:rFonts w:asciiTheme="majorHAnsi" w:hAnsiTheme="majorHAnsi"/>
                <w:bCs/>
                <w:sz w:val="20"/>
                <w:szCs w:val="20"/>
                <w:lang w:val="es-PA"/>
              </w:rPr>
              <w:t xml:space="preserve"> de la Convención Americana sobre Derechos Humanos</w:t>
            </w:r>
            <w:r w:rsidR="00C70F6F">
              <w:rPr>
                <w:rStyle w:val="FootnoteReference"/>
                <w:rFonts w:asciiTheme="majorHAnsi" w:hAnsiTheme="majorHAnsi"/>
                <w:bCs/>
                <w:sz w:val="20"/>
                <w:szCs w:val="20"/>
                <w:lang w:val="es-PA"/>
              </w:rPr>
              <w:footnoteReference w:id="2"/>
            </w:r>
          </w:p>
        </w:tc>
      </w:tr>
    </w:tbl>
    <w:p w14:paraId="20263696" w14:textId="4C873868" w:rsidR="003239B8" w:rsidRPr="00C43E4C" w:rsidRDefault="002636E9" w:rsidP="007C402A">
      <w:pPr>
        <w:spacing w:before="120" w:after="120"/>
        <w:ind w:firstLine="720"/>
        <w:jc w:val="both"/>
        <w:rPr>
          <w:rFonts w:asciiTheme="majorHAnsi" w:hAnsiTheme="majorHAnsi"/>
          <w:b/>
          <w:bCs/>
          <w:sz w:val="20"/>
          <w:szCs w:val="20"/>
          <w:lang w:val="es-ES"/>
        </w:rPr>
      </w:pPr>
      <w:r w:rsidRPr="00C43E4C">
        <w:rPr>
          <w:rFonts w:asciiTheme="majorHAnsi" w:hAnsiTheme="majorHAnsi"/>
          <w:b/>
          <w:bCs/>
          <w:sz w:val="20"/>
          <w:szCs w:val="20"/>
          <w:lang w:val="es-ES"/>
        </w:rPr>
        <w:t xml:space="preserve"> </w:t>
      </w:r>
      <w:r w:rsidR="003239B8" w:rsidRPr="00C43E4C">
        <w:rPr>
          <w:rFonts w:asciiTheme="majorHAnsi" w:hAnsiTheme="majorHAnsi"/>
          <w:b/>
          <w:bCs/>
          <w:sz w:val="20"/>
          <w:szCs w:val="20"/>
          <w:lang w:val="es-ES"/>
        </w:rPr>
        <w:t>II.</w:t>
      </w:r>
      <w:r w:rsidR="003239B8" w:rsidRPr="00C43E4C">
        <w:rPr>
          <w:rFonts w:asciiTheme="majorHAnsi" w:hAnsiTheme="majorHAnsi"/>
          <w:b/>
          <w:bCs/>
          <w:sz w:val="20"/>
          <w:szCs w:val="20"/>
          <w:lang w:val="es-ES"/>
        </w:rPr>
        <w:tab/>
        <w:t>TRÁMITE ANTE LA CIDH</w:t>
      </w:r>
      <w:r w:rsidR="008E3BFE" w:rsidRPr="00C43E4C">
        <w:rPr>
          <w:rStyle w:val="FootnoteReference"/>
          <w:rFonts w:asciiTheme="majorHAnsi" w:hAnsiTheme="majorHAnsi"/>
          <w:b/>
          <w:sz w:val="20"/>
          <w:szCs w:val="20"/>
          <w:lang w:val="es-ES"/>
        </w:rPr>
        <w:footnoteReference w:id="3"/>
      </w:r>
    </w:p>
    <w:tbl>
      <w:tblPr>
        <w:tblStyle w:val="TableGrid"/>
        <w:tblW w:w="9157" w:type="dxa"/>
        <w:jc w:val="center"/>
        <w:tblBorders>
          <w:insideH w:val="single" w:sz="6" w:space="0" w:color="auto"/>
          <w:insideV w:val="single" w:sz="6" w:space="0" w:color="auto"/>
        </w:tblBorders>
        <w:tblLook w:val="04A0" w:firstRow="1" w:lastRow="0" w:firstColumn="1" w:lastColumn="0" w:noHBand="0" w:noVBand="1"/>
      </w:tblPr>
      <w:tblGrid>
        <w:gridCol w:w="3577"/>
        <w:gridCol w:w="5580"/>
      </w:tblGrid>
      <w:tr w:rsidR="004C2312" w:rsidRPr="00C43E4C" w14:paraId="306EFCB0" w14:textId="77777777" w:rsidTr="009212F6">
        <w:trPr>
          <w:jc w:val="center"/>
        </w:trPr>
        <w:tc>
          <w:tcPr>
            <w:tcW w:w="3577" w:type="dxa"/>
            <w:tcBorders>
              <w:top w:val="single" w:sz="6" w:space="0" w:color="auto"/>
              <w:bottom w:val="single" w:sz="6" w:space="0" w:color="auto"/>
            </w:tcBorders>
            <w:shd w:val="clear" w:color="auto" w:fill="386294"/>
            <w:vAlign w:val="center"/>
          </w:tcPr>
          <w:p w14:paraId="7508D16F" w14:textId="2A4C7FC3" w:rsidR="004C2312" w:rsidRPr="00C43E4C" w:rsidRDefault="000C1C69" w:rsidP="004A6A54">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Recepción</w:t>
            </w:r>
            <w:r w:rsidR="00D77503" w:rsidRPr="00C43E4C">
              <w:rPr>
                <w:rFonts w:asciiTheme="majorHAnsi" w:hAnsiTheme="majorHAnsi"/>
                <w:b/>
                <w:color w:val="FFFFFF" w:themeColor="background1"/>
                <w:sz w:val="20"/>
                <w:szCs w:val="20"/>
                <w:lang w:val="es-ES"/>
              </w:rPr>
              <w:t xml:space="preserve"> de la petición</w:t>
            </w:r>
          </w:p>
        </w:tc>
        <w:tc>
          <w:tcPr>
            <w:tcW w:w="5580" w:type="dxa"/>
            <w:vAlign w:val="center"/>
          </w:tcPr>
          <w:p w14:paraId="6E579153" w14:textId="68B4C90B" w:rsidR="004C2312" w:rsidRPr="00C43E4C" w:rsidRDefault="0039199D" w:rsidP="00A0163E">
            <w:pPr>
              <w:jc w:val="both"/>
              <w:rPr>
                <w:rFonts w:asciiTheme="majorHAnsi" w:hAnsiTheme="majorHAnsi"/>
                <w:bCs/>
                <w:sz w:val="20"/>
                <w:szCs w:val="20"/>
                <w:lang w:val="es-ES"/>
              </w:rPr>
            </w:pPr>
            <w:r>
              <w:rPr>
                <w:rFonts w:asciiTheme="majorHAnsi" w:hAnsiTheme="majorHAnsi"/>
                <w:bCs/>
                <w:sz w:val="20"/>
                <w:szCs w:val="20"/>
                <w:lang w:val="es-ES"/>
              </w:rPr>
              <w:t>3 de agosto de 2015</w:t>
            </w:r>
            <w:r w:rsidR="002636E9" w:rsidRPr="00C43E4C">
              <w:rPr>
                <w:rFonts w:asciiTheme="majorHAnsi" w:hAnsiTheme="majorHAnsi"/>
                <w:bCs/>
                <w:sz w:val="20"/>
                <w:szCs w:val="20"/>
                <w:lang w:val="es-ES"/>
              </w:rPr>
              <w:t xml:space="preserve"> </w:t>
            </w:r>
          </w:p>
        </w:tc>
      </w:tr>
      <w:tr w:rsidR="006E772A" w:rsidRPr="00C43E4C" w14:paraId="68F509DA" w14:textId="77777777" w:rsidTr="009212F6">
        <w:trPr>
          <w:jc w:val="center"/>
        </w:trPr>
        <w:tc>
          <w:tcPr>
            <w:tcW w:w="3577" w:type="dxa"/>
            <w:tcBorders>
              <w:top w:val="single" w:sz="6" w:space="0" w:color="auto"/>
              <w:bottom w:val="single" w:sz="6" w:space="0" w:color="auto"/>
            </w:tcBorders>
            <w:shd w:val="clear" w:color="auto" w:fill="386294"/>
            <w:vAlign w:val="center"/>
          </w:tcPr>
          <w:p w14:paraId="62C9F91B" w14:textId="65F3AB1A" w:rsidR="006E772A" w:rsidRPr="00C43E4C" w:rsidRDefault="006E772A" w:rsidP="004A6A54">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 xml:space="preserve">Información adicional </w:t>
            </w:r>
            <w:r w:rsidR="002355A9" w:rsidRPr="00C43E4C">
              <w:rPr>
                <w:rFonts w:asciiTheme="majorHAnsi" w:hAnsiTheme="majorHAnsi"/>
                <w:b/>
                <w:color w:val="FFFFFF" w:themeColor="background1"/>
                <w:sz w:val="20"/>
                <w:szCs w:val="20"/>
                <w:lang w:val="es-ES"/>
              </w:rPr>
              <w:t>recibida en la etapa de estudio</w:t>
            </w:r>
          </w:p>
        </w:tc>
        <w:tc>
          <w:tcPr>
            <w:tcW w:w="5580" w:type="dxa"/>
            <w:vAlign w:val="center"/>
          </w:tcPr>
          <w:p w14:paraId="796669C8" w14:textId="629109E8" w:rsidR="006E772A" w:rsidRPr="00C43E4C" w:rsidRDefault="0039199D" w:rsidP="00A0163E">
            <w:pPr>
              <w:jc w:val="both"/>
              <w:rPr>
                <w:rFonts w:asciiTheme="majorHAnsi" w:hAnsiTheme="majorHAnsi"/>
                <w:bCs/>
                <w:sz w:val="20"/>
                <w:szCs w:val="20"/>
                <w:lang w:val="es-ES"/>
              </w:rPr>
            </w:pPr>
            <w:r>
              <w:rPr>
                <w:rFonts w:asciiTheme="majorHAnsi" w:hAnsiTheme="majorHAnsi"/>
                <w:bCs/>
                <w:sz w:val="20"/>
                <w:szCs w:val="20"/>
                <w:lang w:val="es-ES"/>
              </w:rPr>
              <w:t>9 de noviembre de 2016</w:t>
            </w:r>
          </w:p>
        </w:tc>
      </w:tr>
      <w:tr w:rsidR="004C2312" w:rsidRPr="00C43E4C" w14:paraId="1BDCD5C6" w14:textId="77777777" w:rsidTr="009212F6">
        <w:trPr>
          <w:jc w:val="center"/>
        </w:trPr>
        <w:tc>
          <w:tcPr>
            <w:tcW w:w="3577" w:type="dxa"/>
            <w:tcBorders>
              <w:top w:val="single" w:sz="6" w:space="0" w:color="auto"/>
              <w:bottom w:val="single" w:sz="6" w:space="0" w:color="auto"/>
            </w:tcBorders>
            <w:shd w:val="clear" w:color="auto" w:fill="386294"/>
            <w:vAlign w:val="center"/>
          </w:tcPr>
          <w:p w14:paraId="7A18664F" w14:textId="53CE1B14" w:rsidR="004C2312" w:rsidRPr="00C43E4C" w:rsidRDefault="004A6A54" w:rsidP="000C1C69">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N</w:t>
            </w:r>
            <w:r w:rsidR="004C2312" w:rsidRPr="00C43E4C">
              <w:rPr>
                <w:rFonts w:asciiTheme="majorHAnsi" w:hAnsiTheme="majorHAnsi"/>
                <w:b/>
                <w:color w:val="FFFFFF" w:themeColor="background1"/>
                <w:sz w:val="20"/>
                <w:szCs w:val="20"/>
                <w:lang w:val="es-ES"/>
              </w:rPr>
              <w:t>otificación de la petición</w:t>
            </w:r>
          </w:p>
        </w:tc>
        <w:tc>
          <w:tcPr>
            <w:tcW w:w="5580" w:type="dxa"/>
            <w:vAlign w:val="center"/>
          </w:tcPr>
          <w:p w14:paraId="1519DA6A" w14:textId="0737DF2C" w:rsidR="004C2312" w:rsidRPr="00C43E4C" w:rsidRDefault="002636E9" w:rsidP="00A0163E">
            <w:pPr>
              <w:jc w:val="both"/>
              <w:rPr>
                <w:rFonts w:asciiTheme="majorHAnsi" w:hAnsiTheme="majorHAnsi"/>
                <w:bCs/>
                <w:sz w:val="20"/>
                <w:szCs w:val="20"/>
                <w:lang w:val="es-ES"/>
              </w:rPr>
            </w:pPr>
            <w:r w:rsidRPr="00C43E4C">
              <w:rPr>
                <w:rFonts w:asciiTheme="majorHAnsi" w:hAnsiTheme="majorHAnsi"/>
                <w:bCs/>
                <w:sz w:val="20"/>
                <w:szCs w:val="20"/>
                <w:lang w:val="es-ES"/>
              </w:rPr>
              <w:t>1</w:t>
            </w:r>
            <w:r w:rsidR="00E927BA">
              <w:rPr>
                <w:rFonts w:asciiTheme="majorHAnsi" w:hAnsiTheme="majorHAnsi"/>
                <w:bCs/>
                <w:sz w:val="20"/>
                <w:szCs w:val="20"/>
                <w:lang w:val="es-ES"/>
              </w:rPr>
              <w:t>5 de agosto de 2019</w:t>
            </w:r>
          </w:p>
        </w:tc>
      </w:tr>
      <w:tr w:rsidR="00F06354" w:rsidRPr="00C43E4C" w14:paraId="6147A8D5" w14:textId="77777777" w:rsidTr="00E927BA">
        <w:trPr>
          <w:trHeight w:val="65"/>
          <w:jc w:val="center"/>
        </w:trPr>
        <w:tc>
          <w:tcPr>
            <w:tcW w:w="3577" w:type="dxa"/>
            <w:tcBorders>
              <w:top w:val="single" w:sz="6" w:space="0" w:color="auto"/>
              <w:bottom w:val="single" w:sz="6" w:space="0" w:color="auto"/>
            </w:tcBorders>
            <w:shd w:val="clear" w:color="auto" w:fill="386294"/>
            <w:vAlign w:val="center"/>
          </w:tcPr>
          <w:p w14:paraId="0201C86D" w14:textId="678B514E" w:rsidR="00F06354" w:rsidRPr="00C43E4C" w:rsidRDefault="00D77503" w:rsidP="00F06354">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Primera respuesta del Estado</w:t>
            </w:r>
          </w:p>
        </w:tc>
        <w:tc>
          <w:tcPr>
            <w:tcW w:w="5580" w:type="dxa"/>
            <w:vAlign w:val="center"/>
          </w:tcPr>
          <w:p w14:paraId="1972B99E" w14:textId="501CAA13" w:rsidR="00F06354" w:rsidRPr="00C43E4C" w:rsidRDefault="00E927BA" w:rsidP="00F06354">
            <w:pPr>
              <w:jc w:val="both"/>
              <w:rPr>
                <w:rFonts w:asciiTheme="majorHAnsi" w:hAnsiTheme="majorHAnsi"/>
                <w:bCs/>
                <w:sz w:val="20"/>
                <w:szCs w:val="20"/>
                <w:lang w:val="es-ES"/>
              </w:rPr>
            </w:pPr>
            <w:r>
              <w:rPr>
                <w:rFonts w:asciiTheme="majorHAnsi" w:hAnsiTheme="majorHAnsi"/>
                <w:bCs/>
                <w:sz w:val="20"/>
                <w:szCs w:val="20"/>
                <w:lang w:val="es-ES"/>
              </w:rPr>
              <w:t>17 de agosto de 2020</w:t>
            </w:r>
          </w:p>
        </w:tc>
      </w:tr>
      <w:tr w:rsidR="00E927BA" w:rsidRPr="00460AAF" w14:paraId="574A923B" w14:textId="77777777" w:rsidTr="00E927BA">
        <w:trPr>
          <w:trHeight w:val="65"/>
          <w:jc w:val="center"/>
        </w:trPr>
        <w:tc>
          <w:tcPr>
            <w:tcW w:w="3577" w:type="dxa"/>
            <w:tcBorders>
              <w:top w:val="single" w:sz="6" w:space="0" w:color="auto"/>
              <w:bottom w:val="single" w:sz="6" w:space="0" w:color="auto"/>
            </w:tcBorders>
            <w:shd w:val="clear" w:color="auto" w:fill="386294"/>
            <w:vAlign w:val="center"/>
          </w:tcPr>
          <w:p w14:paraId="1E91A3C3" w14:textId="28E74D4B" w:rsidR="00E927BA" w:rsidRPr="00C43E4C" w:rsidRDefault="00E927BA"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580" w:type="dxa"/>
            <w:vAlign w:val="center"/>
          </w:tcPr>
          <w:p w14:paraId="5444324D" w14:textId="7275B10E" w:rsidR="00E927BA" w:rsidRDefault="00E927BA" w:rsidP="00F06354">
            <w:pPr>
              <w:jc w:val="both"/>
              <w:rPr>
                <w:rFonts w:asciiTheme="majorHAnsi" w:hAnsiTheme="majorHAnsi"/>
                <w:bCs/>
                <w:sz w:val="20"/>
                <w:szCs w:val="20"/>
                <w:lang w:val="es-ES"/>
              </w:rPr>
            </w:pPr>
            <w:r>
              <w:rPr>
                <w:rFonts w:asciiTheme="majorHAnsi" w:hAnsiTheme="majorHAnsi"/>
                <w:bCs/>
                <w:sz w:val="20"/>
                <w:szCs w:val="20"/>
                <w:lang w:val="es-ES"/>
              </w:rPr>
              <w:t>4 de febrero</w:t>
            </w:r>
            <w:r w:rsidR="00C70F6F">
              <w:rPr>
                <w:rFonts w:asciiTheme="majorHAnsi" w:hAnsiTheme="majorHAnsi"/>
                <w:bCs/>
                <w:sz w:val="20"/>
                <w:szCs w:val="20"/>
                <w:lang w:val="es-ES"/>
              </w:rPr>
              <w:t xml:space="preserve"> y 29 de noviembre</w:t>
            </w:r>
            <w:r>
              <w:rPr>
                <w:rFonts w:asciiTheme="majorHAnsi" w:hAnsiTheme="majorHAnsi"/>
                <w:bCs/>
                <w:sz w:val="20"/>
                <w:szCs w:val="20"/>
                <w:lang w:val="es-ES"/>
              </w:rPr>
              <w:t xml:space="preserve"> de 2021</w:t>
            </w:r>
          </w:p>
        </w:tc>
      </w:tr>
      <w:tr w:rsidR="00E927BA" w:rsidRPr="00E927BA" w14:paraId="1FB6B551" w14:textId="77777777" w:rsidTr="00E927BA">
        <w:trPr>
          <w:trHeight w:val="65"/>
          <w:jc w:val="center"/>
        </w:trPr>
        <w:tc>
          <w:tcPr>
            <w:tcW w:w="3577" w:type="dxa"/>
            <w:tcBorders>
              <w:top w:val="single" w:sz="6" w:space="0" w:color="auto"/>
              <w:bottom w:val="single" w:sz="6" w:space="0" w:color="auto"/>
            </w:tcBorders>
            <w:shd w:val="clear" w:color="auto" w:fill="386294"/>
            <w:vAlign w:val="center"/>
          </w:tcPr>
          <w:p w14:paraId="3DDFEA0E" w14:textId="15EC262A" w:rsidR="00E927BA" w:rsidRDefault="00E927BA"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580" w:type="dxa"/>
            <w:vAlign w:val="center"/>
          </w:tcPr>
          <w:p w14:paraId="5222E4F7" w14:textId="655A25A0" w:rsidR="00E927BA" w:rsidRDefault="00E927BA" w:rsidP="00F06354">
            <w:pPr>
              <w:jc w:val="both"/>
              <w:rPr>
                <w:rFonts w:asciiTheme="majorHAnsi" w:hAnsiTheme="majorHAnsi"/>
                <w:bCs/>
                <w:sz w:val="20"/>
                <w:szCs w:val="20"/>
                <w:lang w:val="es-ES"/>
              </w:rPr>
            </w:pPr>
            <w:r>
              <w:rPr>
                <w:rFonts w:asciiTheme="majorHAnsi" w:hAnsiTheme="majorHAnsi"/>
                <w:bCs/>
                <w:sz w:val="20"/>
                <w:szCs w:val="20"/>
                <w:lang w:val="es-ES"/>
              </w:rPr>
              <w:t>20 de octubre de 2021</w:t>
            </w:r>
          </w:p>
        </w:tc>
      </w:tr>
    </w:tbl>
    <w:p w14:paraId="21DAA666" w14:textId="5065046E" w:rsidR="003239B8" w:rsidRPr="00C43E4C" w:rsidRDefault="003239B8" w:rsidP="007C402A">
      <w:pPr>
        <w:spacing w:before="120" w:after="120"/>
        <w:ind w:firstLine="720"/>
        <w:jc w:val="both"/>
        <w:rPr>
          <w:rFonts w:asciiTheme="majorHAnsi" w:hAnsiTheme="majorHAnsi"/>
          <w:b/>
          <w:bCs/>
          <w:sz w:val="20"/>
          <w:szCs w:val="20"/>
          <w:lang w:val="es-ES"/>
        </w:rPr>
      </w:pPr>
      <w:r w:rsidRPr="00C43E4C">
        <w:rPr>
          <w:rFonts w:asciiTheme="majorHAnsi" w:hAnsiTheme="majorHAnsi"/>
          <w:b/>
          <w:bCs/>
          <w:sz w:val="20"/>
          <w:szCs w:val="20"/>
          <w:lang w:val="es-ES"/>
        </w:rPr>
        <w:t xml:space="preserve">III. </w:t>
      </w:r>
      <w:r w:rsidRPr="00C43E4C">
        <w:rPr>
          <w:rFonts w:asciiTheme="majorHAnsi" w:hAnsiTheme="majorHAnsi"/>
          <w:b/>
          <w:bCs/>
          <w:sz w:val="20"/>
          <w:szCs w:val="20"/>
          <w:lang w:val="es-ES"/>
        </w:rPr>
        <w:tab/>
        <w:t>COMPETENCIA</w:t>
      </w:r>
      <w:r w:rsidR="00EE00E9" w:rsidRPr="00C43E4C">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C43E4C" w14:paraId="072532AD" w14:textId="77777777" w:rsidTr="009212F6">
        <w:trPr>
          <w:cantSplit/>
          <w:jc w:val="center"/>
        </w:trPr>
        <w:tc>
          <w:tcPr>
            <w:tcW w:w="3577" w:type="dxa"/>
            <w:tcBorders>
              <w:top w:val="single" w:sz="4" w:space="0" w:color="auto"/>
              <w:bottom w:val="single" w:sz="6" w:space="0" w:color="auto"/>
            </w:tcBorders>
            <w:shd w:val="clear" w:color="auto" w:fill="386294"/>
            <w:vAlign w:val="center"/>
          </w:tcPr>
          <w:p w14:paraId="5C2E4B34" w14:textId="7281AAF8" w:rsidR="003239B8" w:rsidRPr="00C43E4C" w:rsidRDefault="00D77503" w:rsidP="00A0163E">
            <w:pPr>
              <w:jc w:val="center"/>
              <w:rPr>
                <w:rFonts w:asciiTheme="majorHAnsi" w:hAnsiTheme="majorHAnsi"/>
                <w:b/>
                <w:i/>
                <w:color w:val="FFFFFF" w:themeColor="background1"/>
                <w:sz w:val="20"/>
                <w:szCs w:val="20"/>
                <w:lang w:val="es-ES"/>
              </w:rPr>
            </w:pPr>
            <w:r w:rsidRPr="00C43E4C">
              <w:rPr>
                <w:rFonts w:asciiTheme="majorHAnsi" w:hAnsiTheme="majorHAnsi"/>
                <w:b/>
                <w:i/>
                <w:color w:val="FFFFFF" w:themeColor="background1"/>
                <w:sz w:val="20"/>
                <w:szCs w:val="20"/>
                <w:lang w:val="es-ES"/>
              </w:rPr>
              <w:t>Ratione personae</w:t>
            </w:r>
          </w:p>
        </w:tc>
        <w:tc>
          <w:tcPr>
            <w:tcW w:w="5665" w:type="dxa"/>
            <w:vAlign w:val="center"/>
          </w:tcPr>
          <w:p w14:paraId="7707F3E9" w14:textId="5413C97E" w:rsidR="003239B8" w:rsidRPr="00C43E4C" w:rsidRDefault="00253195" w:rsidP="00A0163E">
            <w:pPr>
              <w:rPr>
                <w:rFonts w:asciiTheme="majorHAnsi" w:hAnsiTheme="majorHAnsi"/>
                <w:bCs/>
                <w:sz w:val="20"/>
                <w:szCs w:val="20"/>
                <w:lang w:val="es-ES"/>
              </w:rPr>
            </w:pPr>
            <w:r w:rsidRPr="00C43E4C">
              <w:rPr>
                <w:rFonts w:asciiTheme="majorHAnsi" w:hAnsiTheme="majorHAnsi"/>
                <w:bCs/>
                <w:sz w:val="20"/>
                <w:szCs w:val="20"/>
                <w:lang w:val="es-ES"/>
              </w:rPr>
              <w:t>Sí</w:t>
            </w:r>
          </w:p>
        </w:tc>
      </w:tr>
      <w:tr w:rsidR="003239B8" w:rsidRPr="00C43E4C" w14:paraId="4B8802DA"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3915C23B" w14:textId="629F623D" w:rsidR="003239B8" w:rsidRPr="00C43E4C" w:rsidRDefault="003239B8" w:rsidP="00D77503">
            <w:pPr>
              <w:jc w:val="center"/>
              <w:rPr>
                <w:rFonts w:asciiTheme="majorHAnsi" w:hAnsiTheme="majorHAnsi"/>
                <w:b/>
                <w:color w:val="FFFFFF" w:themeColor="background1"/>
                <w:sz w:val="20"/>
                <w:szCs w:val="20"/>
                <w:lang w:val="es-ES"/>
              </w:rPr>
            </w:pPr>
            <w:r w:rsidRPr="00C43E4C">
              <w:rPr>
                <w:rFonts w:asciiTheme="majorHAnsi" w:hAnsiTheme="majorHAnsi"/>
                <w:b/>
                <w:i/>
                <w:color w:val="FFFFFF" w:themeColor="background1"/>
                <w:sz w:val="20"/>
                <w:szCs w:val="20"/>
                <w:lang w:val="es-ES"/>
              </w:rPr>
              <w:t>Ratione loci</w:t>
            </w:r>
          </w:p>
        </w:tc>
        <w:tc>
          <w:tcPr>
            <w:tcW w:w="5665" w:type="dxa"/>
            <w:vAlign w:val="center"/>
          </w:tcPr>
          <w:p w14:paraId="12C931CB" w14:textId="40C87F4E" w:rsidR="003239B8" w:rsidRPr="00C43E4C" w:rsidRDefault="00253195" w:rsidP="00A0163E">
            <w:pPr>
              <w:rPr>
                <w:rFonts w:asciiTheme="majorHAnsi" w:hAnsiTheme="majorHAnsi"/>
                <w:bCs/>
                <w:sz w:val="20"/>
                <w:szCs w:val="20"/>
                <w:lang w:val="es-ES"/>
              </w:rPr>
            </w:pPr>
            <w:r w:rsidRPr="00C43E4C">
              <w:rPr>
                <w:rFonts w:asciiTheme="majorHAnsi" w:hAnsiTheme="majorHAnsi"/>
                <w:bCs/>
                <w:sz w:val="20"/>
                <w:szCs w:val="20"/>
                <w:lang w:val="es-ES"/>
              </w:rPr>
              <w:t>Sí</w:t>
            </w:r>
          </w:p>
        </w:tc>
      </w:tr>
      <w:tr w:rsidR="003239B8" w:rsidRPr="00C43E4C" w14:paraId="4362FDF3"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3BE23153" w14:textId="1788B5D3" w:rsidR="003239B8" w:rsidRPr="00C43E4C" w:rsidRDefault="003239B8" w:rsidP="00A0163E">
            <w:pPr>
              <w:jc w:val="center"/>
              <w:rPr>
                <w:rFonts w:asciiTheme="majorHAnsi" w:hAnsiTheme="majorHAnsi"/>
                <w:b/>
                <w:color w:val="FFFFFF" w:themeColor="background1"/>
                <w:sz w:val="20"/>
                <w:szCs w:val="20"/>
                <w:lang w:val="es-ES"/>
              </w:rPr>
            </w:pPr>
            <w:r w:rsidRPr="00C43E4C">
              <w:rPr>
                <w:rFonts w:asciiTheme="majorHAnsi" w:hAnsiTheme="majorHAnsi"/>
                <w:b/>
                <w:i/>
                <w:color w:val="FFFFFF" w:themeColor="background1"/>
                <w:sz w:val="20"/>
                <w:szCs w:val="20"/>
                <w:lang w:val="es-ES"/>
              </w:rPr>
              <w:t>Ratione temporis</w:t>
            </w:r>
          </w:p>
        </w:tc>
        <w:tc>
          <w:tcPr>
            <w:tcW w:w="5665" w:type="dxa"/>
            <w:vAlign w:val="center"/>
          </w:tcPr>
          <w:p w14:paraId="6F8B059B" w14:textId="3897AC54" w:rsidR="003239B8" w:rsidRPr="00C43E4C" w:rsidRDefault="00253195" w:rsidP="00A0163E">
            <w:pPr>
              <w:rPr>
                <w:rFonts w:asciiTheme="majorHAnsi" w:hAnsiTheme="majorHAnsi"/>
                <w:bCs/>
                <w:sz w:val="20"/>
                <w:szCs w:val="20"/>
                <w:lang w:val="es-ES"/>
              </w:rPr>
            </w:pPr>
            <w:r w:rsidRPr="00C43E4C">
              <w:rPr>
                <w:rFonts w:asciiTheme="majorHAnsi" w:hAnsiTheme="majorHAnsi"/>
                <w:bCs/>
                <w:sz w:val="20"/>
                <w:szCs w:val="20"/>
                <w:lang w:val="es-ES"/>
              </w:rPr>
              <w:t>Sí</w:t>
            </w:r>
          </w:p>
        </w:tc>
      </w:tr>
      <w:tr w:rsidR="003239B8" w:rsidRPr="00460AAF" w14:paraId="30ABEC3E"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47B529D2" w14:textId="72B41633" w:rsidR="003239B8" w:rsidRPr="00C43E4C" w:rsidRDefault="003239B8" w:rsidP="00A0163E">
            <w:pPr>
              <w:jc w:val="center"/>
              <w:rPr>
                <w:rFonts w:asciiTheme="majorHAnsi" w:hAnsiTheme="majorHAnsi"/>
                <w:b/>
                <w:color w:val="FFFFFF" w:themeColor="background1"/>
                <w:sz w:val="20"/>
                <w:szCs w:val="20"/>
                <w:lang w:val="es-ES"/>
              </w:rPr>
            </w:pPr>
            <w:r w:rsidRPr="00C43E4C">
              <w:rPr>
                <w:rFonts w:asciiTheme="majorHAnsi" w:hAnsiTheme="majorHAnsi"/>
                <w:b/>
                <w:i/>
                <w:color w:val="FFFFFF" w:themeColor="background1"/>
                <w:sz w:val="20"/>
                <w:szCs w:val="20"/>
                <w:lang w:val="es-ES"/>
              </w:rPr>
              <w:t>Ratione materia</w:t>
            </w:r>
            <w:r w:rsidR="00EE00E9" w:rsidRPr="00C43E4C">
              <w:rPr>
                <w:rFonts w:asciiTheme="majorHAnsi" w:hAnsiTheme="majorHAnsi"/>
                <w:b/>
                <w:i/>
                <w:color w:val="FFFFFF" w:themeColor="background1"/>
                <w:sz w:val="20"/>
                <w:szCs w:val="20"/>
                <w:lang w:val="es-ES"/>
              </w:rPr>
              <w:t>e</w:t>
            </w:r>
          </w:p>
        </w:tc>
        <w:tc>
          <w:tcPr>
            <w:tcW w:w="5665" w:type="dxa"/>
            <w:vAlign w:val="center"/>
          </w:tcPr>
          <w:p w14:paraId="0C122F44" w14:textId="62534590" w:rsidR="003239B8" w:rsidRPr="00C43E4C" w:rsidRDefault="00253195" w:rsidP="00A0163E">
            <w:pPr>
              <w:jc w:val="both"/>
              <w:rPr>
                <w:rFonts w:asciiTheme="majorHAnsi" w:hAnsiTheme="majorHAnsi"/>
                <w:bCs/>
                <w:sz w:val="20"/>
                <w:szCs w:val="20"/>
                <w:lang w:val="es-ES"/>
              </w:rPr>
            </w:pPr>
            <w:r w:rsidRPr="00C43E4C">
              <w:rPr>
                <w:rFonts w:asciiTheme="majorHAnsi" w:hAnsiTheme="majorHAnsi"/>
                <w:bCs/>
                <w:sz w:val="20"/>
                <w:szCs w:val="20"/>
                <w:lang w:val="es-ES"/>
              </w:rPr>
              <w:t>Sí, Convención Americana (depósito del instrumento</w:t>
            </w:r>
            <w:r w:rsidR="00C43E4C">
              <w:rPr>
                <w:rFonts w:asciiTheme="majorHAnsi" w:hAnsiTheme="majorHAnsi"/>
                <w:bCs/>
                <w:sz w:val="20"/>
                <w:szCs w:val="20"/>
                <w:lang w:val="es-ES"/>
              </w:rPr>
              <w:t xml:space="preserve"> de ratificación</w:t>
            </w:r>
            <w:r w:rsidRPr="00C43E4C">
              <w:rPr>
                <w:rFonts w:asciiTheme="majorHAnsi" w:hAnsiTheme="majorHAnsi"/>
                <w:bCs/>
                <w:sz w:val="20"/>
                <w:szCs w:val="20"/>
                <w:lang w:val="es-ES"/>
              </w:rPr>
              <w:t xml:space="preserve"> realizado el 24 de agosto </w:t>
            </w:r>
            <w:r w:rsidR="00B84C70" w:rsidRPr="00C43E4C">
              <w:rPr>
                <w:rFonts w:asciiTheme="majorHAnsi" w:hAnsiTheme="majorHAnsi"/>
                <w:bCs/>
                <w:sz w:val="20"/>
                <w:szCs w:val="20"/>
                <w:lang w:val="es-ES"/>
              </w:rPr>
              <w:t>de 1989)</w:t>
            </w:r>
          </w:p>
        </w:tc>
      </w:tr>
    </w:tbl>
    <w:p w14:paraId="4E92C444" w14:textId="5F85D9AF" w:rsidR="003239B8" w:rsidRPr="00C43E4C" w:rsidRDefault="003239B8" w:rsidP="007C402A">
      <w:pPr>
        <w:spacing w:before="120" w:after="120"/>
        <w:ind w:firstLine="720"/>
        <w:jc w:val="both"/>
        <w:rPr>
          <w:rFonts w:asciiTheme="majorHAnsi" w:hAnsiTheme="majorHAnsi"/>
          <w:b/>
          <w:bCs/>
          <w:sz w:val="20"/>
          <w:szCs w:val="20"/>
          <w:lang w:val="es-ES"/>
        </w:rPr>
      </w:pPr>
      <w:r w:rsidRPr="00C43E4C">
        <w:rPr>
          <w:rFonts w:asciiTheme="majorHAnsi" w:hAnsiTheme="majorHAnsi"/>
          <w:b/>
          <w:bCs/>
          <w:sz w:val="20"/>
          <w:szCs w:val="20"/>
          <w:lang w:val="es-ES"/>
        </w:rPr>
        <w:t xml:space="preserve">IV. </w:t>
      </w:r>
      <w:r w:rsidRPr="00C43E4C">
        <w:rPr>
          <w:rFonts w:asciiTheme="majorHAnsi" w:hAnsiTheme="majorHAnsi"/>
          <w:b/>
          <w:bCs/>
          <w:sz w:val="20"/>
          <w:szCs w:val="20"/>
          <w:lang w:val="es-ES"/>
        </w:rPr>
        <w:tab/>
      </w:r>
      <w:r w:rsidR="00EE00E9" w:rsidRPr="00C43E4C">
        <w:rPr>
          <w:rFonts w:asciiTheme="majorHAnsi" w:hAnsiTheme="majorHAnsi"/>
          <w:b/>
          <w:bCs/>
          <w:sz w:val="20"/>
          <w:szCs w:val="20"/>
          <w:lang w:val="es-ES"/>
        </w:rPr>
        <w:t>DUPLICACIÓN</w:t>
      </w:r>
      <w:r w:rsidR="00EE00E9" w:rsidRPr="00C43E4C">
        <w:rPr>
          <w:rFonts w:asciiTheme="majorHAnsi" w:hAnsiTheme="majorHAnsi"/>
          <w:b/>
          <w:bCs/>
          <w:color w:val="FFFFFF" w:themeColor="background1"/>
          <w:sz w:val="20"/>
          <w:szCs w:val="20"/>
          <w:lang w:val="es-ES"/>
        </w:rPr>
        <w:t xml:space="preserve"> </w:t>
      </w:r>
      <w:r w:rsidR="00EE00E9" w:rsidRPr="00C43E4C">
        <w:rPr>
          <w:rFonts w:asciiTheme="majorHAnsi" w:hAnsiTheme="majorHAnsi"/>
          <w:b/>
          <w:bCs/>
          <w:sz w:val="20"/>
          <w:szCs w:val="20"/>
          <w:lang w:val="es-ES"/>
        </w:rPr>
        <w:t>DE PROCEDIMIENTOS Y COSA JUZGADA</w:t>
      </w:r>
      <w:r w:rsidR="00EE00E9" w:rsidRPr="00C43E4C">
        <w:rPr>
          <w:rFonts w:asciiTheme="majorHAnsi" w:hAnsiTheme="majorHAnsi"/>
          <w:b/>
          <w:bCs/>
          <w:i/>
          <w:sz w:val="20"/>
          <w:szCs w:val="20"/>
          <w:lang w:val="es-ES"/>
        </w:rPr>
        <w:t xml:space="preserve"> </w:t>
      </w:r>
      <w:r w:rsidR="00C43E4C" w:rsidRPr="00C43E4C">
        <w:rPr>
          <w:rFonts w:asciiTheme="majorHAnsi" w:hAnsiTheme="majorHAnsi"/>
          <w:b/>
          <w:bCs/>
          <w:sz w:val="20"/>
          <w:szCs w:val="20"/>
          <w:lang w:val="es-ES"/>
        </w:rPr>
        <w:t>INTERNACIONAL, CARACTERIZACIÓN</w:t>
      </w:r>
      <w:r w:rsidRPr="00C43E4C">
        <w:rPr>
          <w:rFonts w:asciiTheme="majorHAnsi" w:hAnsiTheme="majorHAnsi"/>
          <w:b/>
          <w:bCs/>
          <w:sz w:val="20"/>
          <w:szCs w:val="20"/>
          <w:lang w:val="es-ES"/>
        </w:rPr>
        <w:t xml:space="preserve">, </w:t>
      </w:r>
      <w:r w:rsidRPr="00C43E4C">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C43E4C" w14:paraId="1231C988" w14:textId="77777777" w:rsidTr="009212F6">
        <w:trPr>
          <w:cantSplit/>
          <w:jc w:val="center"/>
        </w:trPr>
        <w:tc>
          <w:tcPr>
            <w:tcW w:w="3577" w:type="dxa"/>
            <w:tcBorders>
              <w:top w:val="single" w:sz="4" w:space="0" w:color="auto"/>
              <w:bottom w:val="single" w:sz="6" w:space="0" w:color="auto"/>
            </w:tcBorders>
            <w:shd w:val="clear" w:color="auto" w:fill="386294"/>
            <w:vAlign w:val="center"/>
          </w:tcPr>
          <w:p w14:paraId="6F8031F4" w14:textId="03D8D2D1" w:rsidR="00EE00E9" w:rsidRPr="0055275F" w:rsidRDefault="00EE00E9" w:rsidP="00954B82">
            <w:pPr>
              <w:jc w:val="center"/>
              <w:rPr>
                <w:rFonts w:asciiTheme="majorHAnsi" w:hAnsiTheme="majorHAnsi"/>
                <w:b/>
                <w:color w:val="FFFFFF" w:themeColor="background1"/>
                <w:sz w:val="20"/>
                <w:szCs w:val="20"/>
                <w:lang w:val="es-ES"/>
              </w:rPr>
            </w:pPr>
            <w:r w:rsidRPr="0055275F">
              <w:rPr>
                <w:rFonts w:asciiTheme="majorHAnsi" w:hAnsiTheme="majorHAnsi"/>
                <w:b/>
                <w:color w:val="FFFFFF" w:themeColor="background1"/>
                <w:sz w:val="20"/>
                <w:szCs w:val="20"/>
                <w:lang w:val="es-ES"/>
              </w:rPr>
              <w:t xml:space="preserve">Duplicación </w:t>
            </w:r>
            <w:r w:rsidR="00D77503" w:rsidRPr="0055275F">
              <w:rPr>
                <w:rFonts w:asciiTheme="majorHAnsi" w:hAnsiTheme="majorHAnsi"/>
                <w:b/>
                <w:color w:val="FFFFFF" w:themeColor="background1"/>
                <w:sz w:val="20"/>
                <w:szCs w:val="20"/>
                <w:lang w:val="es-ES"/>
              </w:rPr>
              <w:t>y cosa juzgada internacional</w:t>
            </w:r>
          </w:p>
        </w:tc>
        <w:tc>
          <w:tcPr>
            <w:tcW w:w="5665" w:type="dxa"/>
            <w:vAlign w:val="center"/>
          </w:tcPr>
          <w:p w14:paraId="240941E6" w14:textId="6C8799BB" w:rsidR="00EE00E9" w:rsidRPr="00C43E4C" w:rsidRDefault="00B84C70" w:rsidP="00A0163E">
            <w:pPr>
              <w:jc w:val="both"/>
              <w:rPr>
                <w:rFonts w:asciiTheme="majorHAnsi" w:hAnsiTheme="majorHAnsi"/>
                <w:bCs/>
                <w:sz w:val="20"/>
                <w:szCs w:val="20"/>
                <w:lang w:val="es-ES"/>
              </w:rPr>
            </w:pPr>
            <w:r w:rsidRPr="00C43E4C">
              <w:rPr>
                <w:rFonts w:asciiTheme="majorHAnsi" w:hAnsiTheme="majorHAnsi"/>
                <w:bCs/>
                <w:sz w:val="20"/>
                <w:szCs w:val="20"/>
                <w:lang w:val="es-ES"/>
              </w:rPr>
              <w:t>No</w:t>
            </w:r>
          </w:p>
        </w:tc>
      </w:tr>
      <w:tr w:rsidR="003239B8" w:rsidRPr="00460AAF" w14:paraId="15FAA7D1" w14:textId="77777777" w:rsidTr="009212F6">
        <w:trPr>
          <w:cantSplit/>
          <w:jc w:val="center"/>
        </w:trPr>
        <w:tc>
          <w:tcPr>
            <w:tcW w:w="3577" w:type="dxa"/>
            <w:tcBorders>
              <w:top w:val="single" w:sz="4" w:space="0" w:color="auto"/>
              <w:bottom w:val="single" w:sz="6" w:space="0" w:color="auto"/>
            </w:tcBorders>
            <w:shd w:val="clear" w:color="auto" w:fill="386294"/>
            <w:vAlign w:val="center"/>
          </w:tcPr>
          <w:p w14:paraId="1B0D29FF" w14:textId="4FE01870" w:rsidR="003239B8" w:rsidRPr="0055275F" w:rsidRDefault="003239B8" w:rsidP="00954B82">
            <w:pPr>
              <w:jc w:val="center"/>
              <w:rPr>
                <w:rFonts w:asciiTheme="majorHAnsi" w:hAnsiTheme="majorHAnsi"/>
                <w:b/>
                <w:i/>
                <w:color w:val="FFFFFF" w:themeColor="background1"/>
                <w:sz w:val="20"/>
                <w:szCs w:val="20"/>
                <w:lang w:val="es-ES"/>
              </w:rPr>
            </w:pPr>
            <w:r w:rsidRPr="0055275F">
              <w:rPr>
                <w:rFonts w:asciiTheme="majorHAnsi" w:hAnsiTheme="majorHAnsi"/>
                <w:b/>
                <w:color w:val="FFFFFF" w:themeColor="background1"/>
                <w:sz w:val="20"/>
                <w:szCs w:val="20"/>
                <w:lang w:val="es-ES"/>
              </w:rPr>
              <w:t>Derechos admi</w:t>
            </w:r>
            <w:r w:rsidR="00954B82" w:rsidRPr="0055275F">
              <w:rPr>
                <w:rFonts w:asciiTheme="majorHAnsi" w:hAnsiTheme="majorHAnsi"/>
                <w:b/>
                <w:color w:val="FFFFFF" w:themeColor="background1"/>
                <w:sz w:val="20"/>
                <w:szCs w:val="20"/>
                <w:lang w:val="es-ES"/>
              </w:rPr>
              <w:t>tidos</w:t>
            </w:r>
          </w:p>
        </w:tc>
        <w:tc>
          <w:tcPr>
            <w:tcW w:w="5665" w:type="dxa"/>
            <w:vAlign w:val="center"/>
          </w:tcPr>
          <w:p w14:paraId="6310C8F7" w14:textId="4BCDBCF7" w:rsidR="003239B8" w:rsidRPr="00C43E4C" w:rsidRDefault="00E37026" w:rsidP="001479C0">
            <w:pPr>
              <w:jc w:val="both"/>
              <w:rPr>
                <w:rFonts w:asciiTheme="majorHAnsi" w:hAnsiTheme="majorHAnsi"/>
                <w:bCs/>
                <w:sz w:val="20"/>
                <w:szCs w:val="20"/>
                <w:lang w:val="es-ES"/>
              </w:rPr>
            </w:pPr>
            <w:r w:rsidRPr="00C43E4C">
              <w:rPr>
                <w:rFonts w:asciiTheme="majorHAnsi" w:hAnsiTheme="majorHAnsi"/>
                <w:bCs/>
                <w:sz w:val="20"/>
                <w:szCs w:val="20"/>
                <w:lang w:val="es-ES"/>
              </w:rPr>
              <w:t xml:space="preserve">Artículos </w:t>
            </w:r>
            <w:r w:rsidR="00C70F6F">
              <w:rPr>
                <w:rFonts w:asciiTheme="majorHAnsi" w:hAnsiTheme="majorHAnsi"/>
                <w:bCs/>
                <w:sz w:val="20"/>
                <w:szCs w:val="20"/>
                <w:lang w:val="es-ES"/>
              </w:rPr>
              <w:t>8 (garantías judiciales), 21 (propiedad privada)</w:t>
            </w:r>
            <w:r w:rsidR="00AD5C0F">
              <w:rPr>
                <w:rFonts w:asciiTheme="majorHAnsi" w:hAnsiTheme="majorHAnsi"/>
                <w:bCs/>
                <w:sz w:val="20"/>
                <w:szCs w:val="20"/>
                <w:lang w:val="es-ES"/>
              </w:rPr>
              <w:t>, 24 (igualdad ante la ley)</w:t>
            </w:r>
            <w:r w:rsidR="00C70F6F">
              <w:rPr>
                <w:rFonts w:asciiTheme="majorHAnsi" w:hAnsiTheme="majorHAnsi"/>
                <w:bCs/>
                <w:sz w:val="20"/>
                <w:szCs w:val="20"/>
                <w:lang w:val="es-ES"/>
              </w:rPr>
              <w:t xml:space="preserve"> y 25 (protección judicial) de la Convención Americana en relación con su artículo 1.1 (obligación de respetar los derechos)</w:t>
            </w:r>
          </w:p>
        </w:tc>
      </w:tr>
      <w:tr w:rsidR="003239B8" w:rsidRPr="00460AAF" w14:paraId="4EFD141E"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4C04A89C" w14:textId="058482B9" w:rsidR="003239B8" w:rsidRPr="0055275F" w:rsidRDefault="003239B8" w:rsidP="006775AB">
            <w:pPr>
              <w:jc w:val="center"/>
              <w:rPr>
                <w:rFonts w:asciiTheme="majorHAnsi" w:hAnsiTheme="majorHAnsi"/>
                <w:b/>
                <w:color w:val="FFFFFF" w:themeColor="background1"/>
                <w:sz w:val="20"/>
                <w:szCs w:val="20"/>
                <w:lang w:val="es-ES"/>
              </w:rPr>
            </w:pPr>
            <w:r w:rsidRPr="0055275F">
              <w:rPr>
                <w:rFonts w:asciiTheme="majorHAnsi" w:hAnsiTheme="majorHAnsi"/>
                <w:b/>
                <w:color w:val="FFFFFF" w:themeColor="background1"/>
                <w:sz w:val="20"/>
                <w:szCs w:val="20"/>
                <w:lang w:val="es-ES"/>
              </w:rPr>
              <w:t>Agotamiento de</w:t>
            </w:r>
            <w:r w:rsidR="0069402E" w:rsidRPr="0055275F">
              <w:rPr>
                <w:rFonts w:asciiTheme="majorHAnsi" w:hAnsiTheme="majorHAnsi"/>
                <w:b/>
                <w:color w:val="FFFFFF" w:themeColor="background1"/>
                <w:sz w:val="20"/>
                <w:szCs w:val="20"/>
                <w:lang w:val="es-ES"/>
              </w:rPr>
              <w:t xml:space="preserve"> </w:t>
            </w:r>
            <w:r w:rsidRPr="0055275F">
              <w:rPr>
                <w:rFonts w:asciiTheme="majorHAnsi" w:hAnsiTheme="majorHAnsi"/>
                <w:b/>
                <w:color w:val="FFFFFF" w:themeColor="background1"/>
                <w:sz w:val="20"/>
                <w:szCs w:val="20"/>
                <w:lang w:val="es-ES"/>
              </w:rPr>
              <w:t xml:space="preserve">recursos </w:t>
            </w:r>
            <w:r w:rsidR="00D77503" w:rsidRPr="0055275F">
              <w:rPr>
                <w:rFonts w:asciiTheme="majorHAnsi" w:hAnsiTheme="majorHAnsi"/>
                <w:b/>
                <w:color w:val="FFFFFF" w:themeColor="background1"/>
                <w:sz w:val="20"/>
                <w:szCs w:val="20"/>
                <w:lang w:val="es-ES"/>
              </w:rPr>
              <w:t>o procedencia de una excepción</w:t>
            </w:r>
          </w:p>
        </w:tc>
        <w:tc>
          <w:tcPr>
            <w:tcW w:w="5665" w:type="dxa"/>
            <w:vAlign w:val="center"/>
          </w:tcPr>
          <w:p w14:paraId="69C53E8A" w14:textId="339A475B" w:rsidR="003239B8" w:rsidRPr="00C43E4C" w:rsidRDefault="00E37026" w:rsidP="00BB3FBD">
            <w:pPr>
              <w:rPr>
                <w:rFonts w:asciiTheme="majorHAnsi" w:hAnsiTheme="majorHAnsi"/>
                <w:bCs/>
                <w:sz w:val="20"/>
                <w:szCs w:val="20"/>
                <w:lang w:val="es-ES"/>
              </w:rPr>
            </w:pPr>
            <w:r w:rsidRPr="00C43E4C">
              <w:rPr>
                <w:rFonts w:asciiTheme="majorHAnsi" w:hAnsiTheme="majorHAnsi"/>
                <w:bCs/>
                <w:sz w:val="20"/>
                <w:szCs w:val="20"/>
                <w:lang w:val="es-ES"/>
              </w:rPr>
              <w:t xml:space="preserve">Sí, </w:t>
            </w:r>
            <w:r w:rsidR="009435E4">
              <w:rPr>
                <w:rFonts w:asciiTheme="majorHAnsi" w:hAnsiTheme="majorHAnsi"/>
                <w:bCs/>
                <w:sz w:val="20"/>
                <w:szCs w:val="20"/>
                <w:lang w:val="es-ES"/>
              </w:rPr>
              <w:t>aplica la excepción prevista en el artículo 46.2(c) de la Convención Americana</w:t>
            </w:r>
          </w:p>
        </w:tc>
      </w:tr>
      <w:tr w:rsidR="003239B8" w:rsidRPr="00460AAF" w14:paraId="52B5BA17"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5DF99086" w14:textId="392A0ECF" w:rsidR="003239B8" w:rsidRPr="0055275F" w:rsidRDefault="00D77503" w:rsidP="00A0163E">
            <w:pPr>
              <w:jc w:val="center"/>
              <w:rPr>
                <w:rFonts w:asciiTheme="majorHAnsi" w:hAnsiTheme="majorHAnsi"/>
                <w:b/>
                <w:color w:val="FFFFFF" w:themeColor="background1"/>
                <w:sz w:val="20"/>
                <w:szCs w:val="20"/>
                <w:lang w:val="es-ES"/>
              </w:rPr>
            </w:pPr>
            <w:r w:rsidRPr="0055275F">
              <w:rPr>
                <w:rFonts w:asciiTheme="majorHAnsi" w:hAnsiTheme="majorHAnsi"/>
                <w:b/>
                <w:color w:val="FFFFFF" w:themeColor="background1"/>
                <w:sz w:val="20"/>
                <w:szCs w:val="20"/>
                <w:lang w:val="es-ES"/>
              </w:rPr>
              <w:t>Presentación dentro de plazo</w:t>
            </w:r>
          </w:p>
        </w:tc>
        <w:tc>
          <w:tcPr>
            <w:tcW w:w="5665" w:type="dxa"/>
            <w:vAlign w:val="center"/>
          </w:tcPr>
          <w:p w14:paraId="4A2A4569" w14:textId="782A664B" w:rsidR="003239B8" w:rsidRPr="00C43E4C" w:rsidRDefault="00E37026" w:rsidP="00A0163E">
            <w:pPr>
              <w:rPr>
                <w:rFonts w:asciiTheme="majorHAnsi" w:hAnsiTheme="majorHAnsi"/>
                <w:bCs/>
                <w:sz w:val="20"/>
                <w:szCs w:val="20"/>
                <w:lang w:val="es-US"/>
              </w:rPr>
            </w:pPr>
            <w:r w:rsidRPr="00C43E4C">
              <w:rPr>
                <w:rFonts w:asciiTheme="majorHAnsi" w:hAnsiTheme="majorHAnsi"/>
                <w:bCs/>
                <w:sz w:val="20"/>
                <w:szCs w:val="20"/>
                <w:lang w:val="es-ES"/>
              </w:rPr>
              <w:t xml:space="preserve">Sí, </w:t>
            </w:r>
            <w:r w:rsidR="009435E4">
              <w:rPr>
                <w:rFonts w:asciiTheme="majorHAnsi" w:hAnsiTheme="majorHAnsi"/>
                <w:bCs/>
                <w:sz w:val="20"/>
                <w:szCs w:val="20"/>
                <w:lang w:val="es-ES"/>
              </w:rPr>
              <w:t xml:space="preserve">plazo razonable en los términos del artículo 32.2 de la Convención Americana </w:t>
            </w:r>
          </w:p>
        </w:tc>
      </w:tr>
    </w:tbl>
    <w:p w14:paraId="71B1A5F5" w14:textId="77777777" w:rsidR="00C43E4C" w:rsidRPr="0055275F" w:rsidRDefault="00C43E4C" w:rsidP="0055275F">
      <w:pPr>
        <w:ind w:firstLine="720"/>
        <w:jc w:val="both"/>
        <w:rPr>
          <w:rFonts w:asciiTheme="majorHAnsi" w:hAnsiTheme="majorHAnsi"/>
          <w:b/>
          <w:sz w:val="20"/>
          <w:szCs w:val="20"/>
          <w:lang w:val="es-ES"/>
        </w:rPr>
      </w:pPr>
    </w:p>
    <w:p w14:paraId="18E6423B" w14:textId="4C55D6EE" w:rsidR="003239B8" w:rsidRPr="00FE4F41" w:rsidRDefault="00223A29" w:rsidP="0055275F">
      <w:pPr>
        <w:ind w:firstLine="720"/>
        <w:jc w:val="both"/>
        <w:rPr>
          <w:rFonts w:asciiTheme="majorHAnsi" w:hAnsiTheme="majorHAnsi"/>
          <w:b/>
          <w:sz w:val="20"/>
          <w:szCs w:val="20"/>
          <w:lang w:val="es-ES_tradnl"/>
        </w:rPr>
      </w:pPr>
      <w:r w:rsidRPr="00FE4F41">
        <w:rPr>
          <w:rFonts w:asciiTheme="majorHAnsi" w:hAnsiTheme="majorHAnsi"/>
          <w:b/>
          <w:sz w:val="20"/>
          <w:szCs w:val="20"/>
          <w:lang w:val="es-ES_tradnl"/>
        </w:rPr>
        <w:t xml:space="preserve">V. </w:t>
      </w:r>
      <w:r w:rsidRPr="00FE4F41">
        <w:rPr>
          <w:rFonts w:asciiTheme="majorHAnsi" w:hAnsiTheme="majorHAnsi"/>
          <w:b/>
          <w:sz w:val="20"/>
          <w:szCs w:val="20"/>
          <w:lang w:val="es-ES_tradnl"/>
        </w:rPr>
        <w:tab/>
      </w:r>
      <w:r w:rsidR="00FE4F41" w:rsidRPr="00FE4F41">
        <w:rPr>
          <w:rFonts w:asciiTheme="majorHAnsi" w:hAnsiTheme="majorHAnsi"/>
          <w:b/>
          <w:sz w:val="20"/>
          <w:szCs w:val="20"/>
          <w:lang w:val="es-ES_tradnl"/>
        </w:rPr>
        <w:t>POSICIÓN DE LAS PARTES</w:t>
      </w:r>
    </w:p>
    <w:p w14:paraId="432A9E59" w14:textId="77777777" w:rsidR="0055275F" w:rsidRPr="00FE4F41" w:rsidRDefault="0055275F" w:rsidP="0055275F">
      <w:pPr>
        <w:ind w:firstLine="720"/>
        <w:jc w:val="both"/>
        <w:rPr>
          <w:rFonts w:asciiTheme="majorHAnsi" w:hAnsiTheme="majorHAnsi"/>
          <w:b/>
          <w:sz w:val="20"/>
          <w:szCs w:val="20"/>
          <w:lang w:val="es-ES_tradnl"/>
        </w:rPr>
      </w:pPr>
    </w:p>
    <w:p w14:paraId="59803C98" w14:textId="176AA721" w:rsidR="004660CD" w:rsidRPr="00FE4F41" w:rsidRDefault="009435E4"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 xml:space="preserve">Tras la muerte de su esposo la presunta víctima solicitó al Estado la devolución de los aportes que </w:t>
      </w:r>
      <w:r w:rsidR="00122DC3" w:rsidRPr="00FE4F41">
        <w:rPr>
          <w:rFonts w:asciiTheme="majorHAnsi" w:hAnsiTheme="majorHAnsi"/>
          <w:sz w:val="20"/>
          <w:szCs w:val="20"/>
          <w:lang w:val="es-ES_tradnl"/>
        </w:rPr>
        <w:t xml:space="preserve">aquel </w:t>
      </w:r>
      <w:r w:rsidRPr="00FE4F41">
        <w:rPr>
          <w:rFonts w:asciiTheme="majorHAnsi" w:hAnsiTheme="majorHAnsi"/>
          <w:sz w:val="20"/>
          <w:szCs w:val="20"/>
          <w:lang w:val="es-ES_tradnl"/>
        </w:rPr>
        <w:t>había realizado para la jubilación que no p</w:t>
      </w:r>
      <w:r w:rsidR="007C376B" w:rsidRPr="00FE4F41">
        <w:rPr>
          <w:rFonts w:asciiTheme="majorHAnsi" w:hAnsiTheme="majorHAnsi"/>
          <w:sz w:val="20"/>
          <w:szCs w:val="20"/>
          <w:lang w:val="es-ES_tradnl"/>
        </w:rPr>
        <w:t xml:space="preserve">udo llegar a percibir. </w:t>
      </w:r>
      <w:r w:rsidR="00F10606" w:rsidRPr="00FE4F41">
        <w:rPr>
          <w:rFonts w:asciiTheme="majorHAnsi" w:hAnsiTheme="majorHAnsi"/>
          <w:sz w:val="20"/>
          <w:szCs w:val="20"/>
          <w:lang w:val="es-ES_tradnl"/>
        </w:rPr>
        <w:t>El Estado se rehusó</w:t>
      </w:r>
      <w:r w:rsidR="00AD5C0F" w:rsidRPr="00FE4F41">
        <w:rPr>
          <w:rFonts w:asciiTheme="majorHAnsi" w:hAnsiTheme="majorHAnsi"/>
          <w:sz w:val="20"/>
          <w:szCs w:val="20"/>
          <w:lang w:val="es-ES_tradnl"/>
        </w:rPr>
        <w:t>,</w:t>
      </w:r>
      <w:r w:rsidR="00F10606" w:rsidRPr="00FE4F41">
        <w:rPr>
          <w:rFonts w:asciiTheme="majorHAnsi" w:hAnsiTheme="majorHAnsi"/>
          <w:sz w:val="20"/>
          <w:szCs w:val="20"/>
          <w:lang w:val="es-ES_tradnl"/>
        </w:rPr>
        <w:t xml:space="preserve"> conllevando a un litigio y a que la devolución no se perfeccionara sino hasta veintitrés años luego de haberla solicitado. La dilación del Estado </w:t>
      </w:r>
      <w:r w:rsidR="00EC62A5" w:rsidRPr="00FE4F41">
        <w:rPr>
          <w:rFonts w:asciiTheme="majorHAnsi" w:hAnsiTheme="majorHAnsi"/>
          <w:sz w:val="20"/>
          <w:szCs w:val="20"/>
          <w:lang w:val="es-ES_tradnl"/>
        </w:rPr>
        <w:t>causó</w:t>
      </w:r>
      <w:r w:rsidR="00F10606" w:rsidRPr="00FE4F41">
        <w:rPr>
          <w:rFonts w:asciiTheme="majorHAnsi" w:hAnsiTheme="majorHAnsi"/>
          <w:sz w:val="20"/>
          <w:szCs w:val="20"/>
          <w:lang w:val="es-ES_tradnl"/>
        </w:rPr>
        <w:t xml:space="preserve"> que la suma se volviera insignificante por la inflación y devaluación monetaria</w:t>
      </w:r>
      <w:r w:rsidR="00EC62A5" w:rsidRPr="00FE4F41">
        <w:rPr>
          <w:rFonts w:asciiTheme="majorHAnsi" w:hAnsiTheme="majorHAnsi"/>
          <w:sz w:val="20"/>
          <w:szCs w:val="20"/>
          <w:lang w:val="es-ES_tradnl"/>
        </w:rPr>
        <w:t xml:space="preserve">, </w:t>
      </w:r>
      <w:r w:rsidR="00AD5C0F" w:rsidRPr="00FE4F41">
        <w:rPr>
          <w:rFonts w:asciiTheme="majorHAnsi" w:hAnsiTheme="majorHAnsi"/>
          <w:sz w:val="20"/>
          <w:szCs w:val="20"/>
          <w:lang w:val="es-ES_tradnl"/>
        </w:rPr>
        <w:t>sin que el</w:t>
      </w:r>
      <w:r w:rsidR="00F10606" w:rsidRPr="00FE4F41">
        <w:rPr>
          <w:rFonts w:asciiTheme="majorHAnsi" w:hAnsiTheme="majorHAnsi"/>
          <w:sz w:val="20"/>
          <w:szCs w:val="20"/>
          <w:lang w:val="es-ES_tradnl"/>
        </w:rPr>
        <w:t xml:space="preserve"> Estado </w:t>
      </w:r>
      <w:r w:rsidR="00AD5C0F" w:rsidRPr="00FE4F41">
        <w:rPr>
          <w:rFonts w:asciiTheme="majorHAnsi" w:hAnsiTheme="majorHAnsi"/>
          <w:sz w:val="20"/>
          <w:szCs w:val="20"/>
          <w:lang w:val="es-ES_tradnl"/>
        </w:rPr>
        <w:t>haya</w:t>
      </w:r>
      <w:r w:rsidR="00F10606" w:rsidRPr="00FE4F41">
        <w:rPr>
          <w:rFonts w:asciiTheme="majorHAnsi" w:hAnsiTheme="majorHAnsi"/>
          <w:sz w:val="20"/>
          <w:szCs w:val="20"/>
          <w:lang w:val="es-ES_tradnl"/>
        </w:rPr>
        <w:t xml:space="preserve"> compensado a la presunta víctima por ello</w:t>
      </w:r>
      <w:r w:rsidR="00EC62A5" w:rsidRPr="00FE4F41">
        <w:rPr>
          <w:rFonts w:asciiTheme="majorHAnsi" w:hAnsiTheme="majorHAnsi"/>
          <w:sz w:val="20"/>
          <w:szCs w:val="20"/>
          <w:lang w:val="es-ES_tradnl"/>
        </w:rPr>
        <w:t>.</w:t>
      </w:r>
    </w:p>
    <w:p w14:paraId="7C9C7C7F" w14:textId="77777777" w:rsidR="00EC62A5" w:rsidRPr="00FE4F41" w:rsidRDefault="00EC62A5" w:rsidP="00EC62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66EF3682" w14:textId="0440133A" w:rsidR="00EC62A5" w:rsidRPr="00FE4F41" w:rsidRDefault="00F767C4"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Según relata la petición, el esposo de la presunta víctima</w:t>
      </w:r>
      <w:r w:rsidR="00FD2ADD"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Ernesto Soerensen Ascurra</w:t>
      </w:r>
      <w:r w:rsidR="00FD2ADD"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w:t>
      </w:r>
      <w:r w:rsidR="00F014B6" w:rsidRPr="00FE4F41">
        <w:rPr>
          <w:rFonts w:asciiTheme="majorHAnsi" w:hAnsiTheme="majorHAnsi"/>
          <w:sz w:val="20"/>
          <w:szCs w:val="20"/>
          <w:lang w:val="es-ES_tradnl"/>
        </w:rPr>
        <w:t>se desempeñaba como miembro del Tribunal de Apelación en lo Civil, Comercial, Laboral Penal y de la Niñes de Encarnación. Este falleció el 28 de abril de 1997 y el 4 de junio de 1997 la presunta víctima solicitó al Ministerio de Hacienda la devolución de los aportes</w:t>
      </w:r>
      <w:r w:rsidR="009C3F21" w:rsidRPr="00FE4F41">
        <w:rPr>
          <w:rFonts w:asciiTheme="majorHAnsi" w:hAnsiTheme="majorHAnsi"/>
          <w:sz w:val="20"/>
          <w:szCs w:val="20"/>
          <w:lang w:val="es-ES_tradnl"/>
        </w:rPr>
        <w:t xml:space="preserve"> (14% de su salario)</w:t>
      </w:r>
      <w:r w:rsidR="00F014B6" w:rsidRPr="00FE4F41">
        <w:rPr>
          <w:rFonts w:asciiTheme="majorHAnsi" w:hAnsiTheme="majorHAnsi"/>
          <w:sz w:val="20"/>
          <w:szCs w:val="20"/>
          <w:lang w:val="es-ES_tradnl"/>
        </w:rPr>
        <w:t xml:space="preserve"> que su esposo había hecho para la jubilación</w:t>
      </w:r>
      <w:r w:rsidR="00122DC3" w:rsidRPr="00FE4F41">
        <w:rPr>
          <w:rFonts w:asciiTheme="majorHAnsi" w:hAnsiTheme="majorHAnsi"/>
          <w:sz w:val="20"/>
          <w:szCs w:val="20"/>
          <w:lang w:val="es-ES_tradnl"/>
        </w:rPr>
        <w:t>,</w:t>
      </w:r>
      <w:r w:rsidR="00F014B6" w:rsidRPr="00FE4F41">
        <w:rPr>
          <w:rFonts w:asciiTheme="majorHAnsi" w:hAnsiTheme="majorHAnsi"/>
          <w:sz w:val="20"/>
          <w:szCs w:val="20"/>
          <w:lang w:val="es-ES_tradnl"/>
        </w:rPr>
        <w:t xml:space="preserve"> </w:t>
      </w:r>
      <w:r w:rsidR="004B64F2" w:rsidRPr="00FE4F41">
        <w:rPr>
          <w:rFonts w:asciiTheme="majorHAnsi" w:hAnsiTheme="majorHAnsi"/>
          <w:sz w:val="20"/>
          <w:szCs w:val="20"/>
          <w:lang w:val="es-ES_tradnl"/>
        </w:rPr>
        <w:t xml:space="preserve">a la </w:t>
      </w:r>
      <w:r w:rsidR="004B64F2" w:rsidRPr="00FE4F41">
        <w:rPr>
          <w:rFonts w:asciiTheme="majorHAnsi" w:hAnsiTheme="majorHAnsi"/>
          <w:sz w:val="20"/>
          <w:szCs w:val="20"/>
          <w:lang w:val="es-ES_tradnl"/>
        </w:rPr>
        <w:lastRenderedPageBreak/>
        <w:t>que no pudo llegar a tener derecho</w:t>
      </w:r>
      <w:r w:rsidR="00122DC3" w:rsidRPr="00FE4F41">
        <w:rPr>
          <w:rFonts w:asciiTheme="majorHAnsi" w:hAnsiTheme="majorHAnsi"/>
          <w:sz w:val="20"/>
          <w:szCs w:val="20"/>
          <w:lang w:val="es-ES_tradnl"/>
        </w:rPr>
        <w:t>.</w:t>
      </w:r>
      <w:r w:rsidR="009C3F21" w:rsidRPr="00FE4F41">
        <w:rPr>
          <w:rFonts w:asciiTheme="majorHAnsi" w:hAnsiTheme="majorHAnsi"/>
          <w:sz w:val="20"/>
          <w:szCs w:val="20"/>
          <w:lang w:val="es-ES_tradnl"/>
        </w:rPr>
        <w:t xml:space="preserve"> </w:t>
      </w:r>
      <w:r w:rsidR="00FD2ADD" w:rsidRPr="00FE4F41">
        <w:rPr>
          <w:rFonts w:asciiTheme="majorHAnsi" w:hAnsiTheme="majorHAnsi"/>
          <w:sz w:val="20"/>
          <w:szCs w:val="20"/>
          <w:lang w:val="es-ES_tradnl"/>
        </w:rPr>
        <w:t>Sin embargo, e</w:t>
      </w:r>
      <w:r w:rsidR="004B64F2" w:rsidRPr="00FE4F41">
        <w:rPr>
          <w:rFonts w:asciiTheme="majorHAnsi" w:hAnsiTheme="majorHAnsi"/>
          <w:sz w:val="20"/>
          <w:szCs w:val="20"/>
          <w:lang w:val="es-ES_tradnl"/>
        </w:rPr>
        <w:t xml:space="preserve">l 6 de agosto de 1997 se le notificó a la presunta víctima el rechazo de su pedido. </w:t>
      </w:r>
    </w:p>
    <w:p w14:paraId="4A70527A" w14:textId="77777777" w:rsidR="004B64F2" w:rsidRPr="00FE4F41" w:rsidRDefault="004B64F2" w:rsidP="004B64F2">
      <w:pPr>
        <w:pStyle w:val="ListParagraph"/>
        <w:rPr>
          <w:rFonts w:asciiTheme="majorHAnsi" w:hAnsiTheme="majorHAnsi"/>
          <w:b/>
          <w:bCs/>
          <w:sz w:val="20"/>
          <w:szCs w:val="20"/>
          <w:lang w:val="es-ES_tradnl"/>
        </w:rPr>
      </w:pPr>
    </w:p>
    <w:p w14:paraId="13FF7676" w14:textId="0C36059E" w:rsidR="004B64F2" w:rsidRPr="00FE4F41" w:rsidRDefault="004B64F2"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 xml:space="preserve">La presunta víctima impugnó </w:t>
      </w:r>
      <w:r w:rsidR="00FD2ADD" w:rsidRPr="00FE4F41">
        <w:rPr>
          <w:rFonts w:asciiTheme="majorHAnsi" w:hAnsiTheme="majorHAnsi"/>
          <w:sz w:val="20"/>
          <w:szCs w:val="20"/>
          <w:lang w:val="es-ES_tradnl"/>
        </w:rPr>
        <w:t>esta</w:t>
      </w:r>
      <w:r w:rsidRPr="00FE4F41">
        <w:rPr>
          <w:rFonts w:asciiTheme="majorHAnsi" w:hAnsiTheme="majorHAnsi"/>
          <w:sz w:val="20"/>
          <w:szCs w:val="20"/>
          <w:lang w:val="es-ES_tradnl"/>
        </w:rPr>
        <w:t xml:space="preserve"> resolución mediante </w:t>
      </w:r>
      <w:r w:rsidR="000135E4" w:rsidRPr="00FE4F41">
        <w:rPr>
          <w:rFonts w:asciiTheme="majorHAnsi" w:hAnsiTheme="majorHAnsi"/>
          <w:sz w:val="20"/>
          <w:szCs w:val="20"/>
          <w:lang w:val="es-ES_tradnl"/>
        </w:rPr>
        <w:t xml:space="preserve">demanda contencioso administrativa presentada el 12 de agosto de 1997 ante el Tribunal de Cuentas Primera Sala de Asunción. Estando el trámite esta causa se emitió el 22 de agosto de 1997 decisión del Juzgado Primera Instancia en lo Civil y Comercial del Séptimo Turno de Asunción en la que se reconoció como sucesoras del señor Ernesto Soerensen Ascurra a la presunta víctima y a sus dos hijas. Por lo tanto, 6 de octubre de 1997 la presunta víctima y sus dos hijas </w:t>
      </w:r>
      <w:r w:rsidR="00A1425A" w:rsidRPr="00FE4F41">
        <w:rPr>
          <w:rFonts w:asciiTheme="majorHAnsi" w:hAnsiTheme="majorHAnsi"/>
          <w:sz w:val="20"/>
          <w:szCs w:val="20"/>
          <w:lang w:val="es-ES_tradnl"/>
        </w:rPr>
        <w:t xml:space="preserve">se presentaron a ratificar y a ampliar la demanda contencioso-administrativa. </w:t>
      </w:r>
    </w:p>
    <w:p w14:paraId="10C00295" w14:textId="77777777" w:rsidR="00A1425A" w:rsidRPr="00FE4F41" w:rsidRDefault="00A1425A" w:rsidP="00A1425A">
      <w:pPr>
        <w:pStyle w:val="ListParagraph"/>
        <w:rPr>
          <w:rFonts w:asciiTheme="majorHAnsi" w:hAnsiTheme="majorHAnsi"/>
          <w:b/>
          <w:bCs/>
          <w:sz w:val="20"/>
          <w:szCs w:val="20"/>
          <w:lang w:val="es-ES_tradnl"/>
        </w:rPr>
      </w:pPr>
    </w:p>
    <w:p w14:paraId="3F9BA897" w14:textId="2F55886B" w:rsidR="00E3775E" w:rsidRPr="00FE4F41" w:rsidRDefault="00A1425A" w:rsidP="003A12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 xml:space="preserve">A solicitud de </w:t>
      </w:r>
      <w:r w:rsidR="00122DC3" w:rsidRPr="00FE4F41">
        <w:rPr>
          <w:rFonts w:asciiTheme="majorHAnsi" w:hAnsiTheme="majorHAnsi"/>
          <w:sz w:val="20"/>
          <w:szCs w:val="20"/>
          <w:lang w:val="es-ES_tradnl"/>
        </w:rPr>
        <w:t>sus partes</w:t>
      </w:r>
      <w:r w:rsidRPr="00FE4F41">
        <w:rPr>
          <w:rFonts w:asciiTheme="majorHAnsi" w:hAnsiTheme="majorHAnsi"/>
          <w:sz w:val="20"/>
          <w:szCs w:val="20"/>
          <w:lang w:val="es-ES_tradnl"/>
        </w:rPr>
        <w:t xml:space="preserve">, el proceso contencioso administrativo fue declarado de cuestión de puro derecho el 25 de noviembre de 1997. Las partes presentaron sus escritos finales el 12 y 26 de marzo de 1998, conllevando a que el 27 de marzo de 1998 el tribunal llamara a autos para sentencia. Sin embargo, no fue sino hasta el 10 de agosto de 2012 que </w:t>
      </w:r>
      <w:r w:rsidR="00122DC3" w:rsidRPr="00FE4F41">
        <w:rPr>
          <w:rFonts w:asciiTheme="majorHAnsi" w:hAnsiTheme="majorHAnsi"/>
          <w:sz w:val="20"/>
          <w:szCs w:val="20"/>
          <w:lang w:val="es-ES_tradnl"/>
        </w:rPr>
        <w:t>el tribunal</w:t>
      </w:r>
      <w:r w:rsidR="003A125A" w:rsidRPr="00FE4F41">
        <w:rPr>
          <w:rFonts w:asciiTheme="majorHAnsi" w:hAnsiTheme="majorHAnsi"/>
          <w:sz w:val="20"/>
          <w:szCs w:val="20"/>
          <w:lang w:val="es-ES_tradnl"/>
        </w:rPr>
        <w:t xml:space="preserve"> dictó acuerdo y sentencia resolviendo la demanda a favor de la presunta víctima, revocando la resolución que había rechazado su solicitud e imponiéndole costas a la parte demandada. </w:t>
      </w:r>
    </w:p>
    <w:p w14:paraId="519F7BF3" w14:textId="77777777" w:rsidR="00E3775E" w:rsidRPr="00FE4F41" w:rsidRDefault="00E3775E" w:rsidP="00E3775E">
      <w:pPr>
        <w:pStyle w:val="ListParagraph"/>
        <w:rPr>
          <w:rFonts w:asciiTheme="majorHAnsi" w:hAnsiTheme="majorHAnsi"/>
          <w:sz w:val="20"/>
          <w:szCs w:val="20"/>
          <w:lang w:val="es-ES_tradnl"/>
        </w:rPr>
      </w:pPr>
    </w:p>
    <w:p w14:paraId="762F4864" w14:textId="05010494" w:rsidR="003A125A" w:rsidRPr="00FE4F41" w:rsidRDefault="00E3775E" w:rsidP="003A12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El acuerdo y sentencia favorable a la presunta víctima fue</w:t>
      </w:r>
      <w:r w:rsidR="003A125A" w:rsidRPr="00FE4F41">
        <w:rPr>
          <w:rFonts w:asciiTheme="majorHAnsi" w:hAnsiTheme="majorHAnsi"/>
          <w:sz w:val="20"/>
          <w:szCs w:val="20"/>
          <w:lang w:val="es-ES_tradnl"/>
        </w:rPr>
        <w:t xml:space="preserve"> apelad</w:t>
      </w:r>
      <w:r w:rsidR="00D82F06" w:rsidRPr="00FE4F41">
        <w:rPr>
          <w:rFonts w:asciiTheme="majorHAnsi" w:hAnsiTheme="majorHAnsi"/>
          <w:sz w:val="20"/>
          <w:szCs w:val="20"/>
          <w:lang w:val="es-ES_tradnl"/>
        </w:rPr>
        <w:t>o</w:t>
      </w:r>
      <w:r w:rsidR="003A125A" w:rsidRPr="00FE4F41">
        <w:rPr>
          <w:rFonts w:asciiTheme="majorHAnsi" w:hAnsiTheme="majorHAnsi"/>
          <w:sz w:val="20"/>
          <w:szCs w:val="20"/>
          <w:lang w:val="es-ES_tradnl"/>
        </w:rPr>
        <w:t xml:space="preserve"> por el Ministerio de Hacienda</w:t>
      </w:r>
      <w:r w:rsidR="00EF3662"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w:t>
      </w:r>
      <w:r w:rsidR="00EF3662" w:rsidRPr="00FE4F41">
        <w:rPr>
          <w:rFonts w:asciiTheme="majorHAnsi" w:hAnsiTheme="majorHAnsi"/>
          <w:sz w:val="20"/>
          <w:szCs w:val="20"/>
          <w:lang w:val="es-ES_tradnl"/>
        </w:rPr>
        <w:t>l</w:t>
      </w:r>
      <w:r w:rsidRPr="00FE4F41">
        <w:rPr>
          <w:rFonts w:asciiTheme="majorHAnsi" w:hAnsiTheme="majorHAnsi"/>
          <w:sz w:val="20"/>
          <w:szCs w:val="20"/>
          <w:lang w:val="es-ES_tradnl"/>
        </w:rPr>
        <w:t>a apelación</w:t>
      </w:r>
      <w:r w:rsidR="00122DC3" w:rsidRPr="00FE4F41">
        <w:rPr>
          <w:rFonts w:asciiTheme="majorHAnsi" w:hAnsiTheme="majorHAnsi"/>
          <w:sz w:val="20"/>
          <w:szCs w:val="20"/>
          <w:lang w:val="es-ES_tradnl"/>
        </w:rPr>
        <w:t xml:space="preserve"> </w:t>
      </w:r>
      <w:r w:rsidR="00EF3662" w:rsidRPr="00FE4F41">
        <w:rPr>
          <w:rFonts w:asciiTheme="majorHAnsi" w:hAnsiTheme="majorHAnsi"/>
          <w:sz w:val="20"/>
          <w:szCs w:val="20"/>
          <w:lang w:val="es-ES_tradnl"/>
        </w:rPr>
        <w:t>fue</w:t>
      </w:r>
      <w:r w:rsidRPr="00FE4F41">
        <w:rPr>
          <w:rFonts w:asciiTheme="majorHAnsi" w:hAnsiTheme="majorHAnsi"/>
          <w:sz w:val="20"/>
          <w:szCs w:val="20"/>
          <w:lang w:val="es-ES_tradnl"/>
        </w:rPr>
        <w:t xml:space="preserve"> rechazada el 2 de febrero de 2015 por la Sala Penal de la Corte Suprema de Justicia</w:t>
      </w:r>
      <w:r w:rsidR="00A370CA" w:rsidRPr="00FE4F41">
        <w:rPr>
          <w:rFonts w:asciiTheme="majorHAnsi" w:hAnsiTheme="majorHAnsi"/>
          <w:sz w:val="20"/>
          <w:szCs w:val="20"/>
          <w:lang w:val="es-ES_tradnl"/>
        </w:rPr>
        <w:t>. Tras ello, la presunta víctima solicitó una aclaratoria que fue resuelta el 13 de julio de 2015. Según la parte peticionaria</w:t>
      </w:r>
      <w:r w:rsidR="00122DC3" w:rsidRPr="00FE4F41">
        <w:rPr>
          <w:rFonts w:asciiTheme="majorHAnsi" w:hAnsiTheme="majorHAnsi"/>
          <w:sz w:val="20"/>
          <w:szCs w:val="20"/>
          <w:lang w:val="es-ES_tradnl"/>
        </w:rPr>
        <w:t>,</w:t>
      </w:r>
      <w:r w:rsidR="00A370CA" w:rsidRPr="00FE4F41">
        <w:rPr>
          <w:rFonts w:asciiTheme="majorHAnsi" w:hAnsiTheme="majorHAnsi"/>
          <w:sz w:val="20"/>
          <w:szCs w:val="20"/>
          <w:lang w:val="es-ES_tradnl"/>
        </w:rPr>
        <w:t xml:space="preserve"> a partir de ese momento la decisión favorable a la presunta víctima quedó firme y ejecutoriada. El escrito inicial de la parte peticionaria presentado el 3 de agosto de 2015 reclamaba que, pese a la decisión favorable en firme,</w:t>
      </w:r>
      <w:r w:rsidR="00F62AC6" w:rsidRPr="00FE4F41">
        <w:rPr>
          <w:rFonts w:asciiTheme="majorHAnsi" w:hAnsiTheme="majorHAnsi"/>
          <w:sz w:val="20"/>
          <w:szCs w:val="20"/>
          <w:lang w:val="es-ES_tradnl"/>
        </w:rPr>
        <w:t xml:space="preserve"> no se había perfeccionado la devolución de los aportes a la presunta víctima. Ese escrito también manifestó que la presunta víctima había peticionado el pago de intereses y que esa petición estaba pendiente de resolución.</w:t>
      </w:r>
      <w:r w:rsidR="00A370CA" w:rsidRPr="00FE4F41">
        <w:rPr>
          <w:rFonts w:asciiTheme="majorHAnsi" w:hAnsiTheme="majorHAnsi"/>
          <w:sz w:val="20"/>
          <w:szCs w:val="20"/>
          <w:lang w:val="es-ES_tradnl"/>
        </w:rPr>
        <w:t xml:space="preserve"> </w:t>
      </w:r>
    </w:p>
    <w:p w14:paraId="41FE756E" w14:textId="77777777" w:rsidR="00A370CA" w:rsidRPr="00FE4F41" w:rsidRDefault="00A370CA" w:rsidP="00A370CA">
      <w:pPr>
        <w:pStyle w:val="ListParagraph"/>
        <w:rPr>
          <w:rFonts w:asciiTheme="majorHAnsi" w:hAnsiTheme="majorHAnsi"/>
          <w:b/>
          <w:bCs/>
          <w:sz w:val="20"/>
          <w:szCs w:val="20"/>
          <w:lang w:val="es-ES_tradnl"/>
        </w:rPr>
      </w:pPr>
    </w:p>
    <w:p w14:paraId="0A2ED718" w14:textId="21F34EDC" w:rsidR="00A370CA" w:rsidRPr="00FE4F41" w:rsidRDefault="00303557" w:rsidP="003A12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En su comunicación</w:t>
      </w:r>
      <w:r w:rsidR="00EF3662" w:rsidRPr="00FE4F41">
        <w:rPr>
          <w:rFonts w:asciiTheme="majorHAnsi" w:hAnsiTheme="majorHAnsi"/>
          <w:sz w:val="20"/>
          <w:szCs w:val="20"/>
          <w:lang w:val="es-ES_tradnl"/>
        </w:rPr>
        <w:t xml:space="preserve"> a la CIDH</w:t>
      </w:r>
      <w:r w:rsidRPr="00FE4F41">
        <w:rPr>
          <w:rFonts w:asciiTheme="majorHAnsi" w:hAnsiTheme="majorHAnsi"/>
          <w:sz w:val="20"/>
          <w:szCs w:val="20"/>
          <w:lang w:val="es-ES_tradnl"/>
        </w:rPr>
        <w:t xml:space="preserve"> del 15 de agosto de 2019 la parte peticionaria </w:t>
      </w:r>
      <w:r w:rsidR="00EF3662" w:rsidRPr="00FE4F41">
        <w:rPr>
          <w:rFonts w:asciiTheme="majorHAnsi" w:hAnsiTheme="majorHAnsi"/>
          <w:sz w:val="20"/>
          <w:szCs w:val="20"/>
          <w:lang w:val="es-ES_tradnl"/>
        </w:rPr>
        <w:t>manifiesta</w:t>
      </w:r>
      <w:r w:rsidRPr="00FE4F41">
        <w:rPr>
          <w:rFonts w:asciiTheme="majorHAnsi" w:hAnsiTheme="majorHAnsi"/>
          <w:sz w:val="20"/>
          <w:szCs w:val="20"/>
          <w:lang w:val="es-ES_tradnl"/>
        </w:rPr>
        <w:t xml:space="preserve"> que </w:t>
      </w:r>
      <w:r w:rsidR="008F72C6" w:rsidRPr="00FE4F41">
        <w:rPr>
          <w:rFonts w:asciiTheme="majorHAnsi" w:hAnsiTheme="majorHAnsi"/>
          <w:sz w:val="20"/>
          <w:szCs w:val="20"/>
          <w:lang w:val="es-ES_tradnl"/>
        </w:rPr>
        <w:t xml:space="preserve">había </w:t>
      </w:r>
      <w:r w:rsidR="00122DC3" w:rsidRPr="00FE4F41">
        <w:rPr>
          <w:rFonts w:asciiTheme="majorHAnsi" w:hAnsiTheme="majorHAnsi"/>
          <w:sz w:val="20"/>
          <w:szCs w:val="20"/>
          <w:lang w:val="es-ES_tradnl"/>
        </w:rPr>
        <w:t xml:space="preserve">presentado </w:t>
      </w:r>
      <w:r w:rsidR="00EF3662" w:rsidRPr="00FE4F41">
        <w:rPr>
          <w:rFonts w:asciiTheme="majorHAnsi" w:hAnsiTheme="majorHAnsi"/>
          <w:sz w:val="20"/>
          <w:szCs w:val="20"/>
          <w:lang w:val="es-ES_tradnl"/>
        </w:rPr>
        <w:t xml:space="preserve">una </w:t>
      </w:r>
      <w:r w:rsidR="00122DC3" w:rsidRPr="00FE4F41">
        <w:rPr>
          <w:rFonts w:asciiTheme="majorHAnsi" w:hAnsiTheme="majorHAnsi"/>
          <w:sz w:val="20"/>
          <w:szCs w:val="20"/>
          <w:lang w:val="es-ES_tradnl"/>
        </w:rPr>
        <w:t>solicitud administrativa</w:t>
      </w:r>
      <w:r w:rsidR="008F72C6" w:rsidRPr="00FE4F41">
        <w:rPr>
          <w:rFonts w:asciiTheme="majorHAnsi" w:hAnsiTheme="majorHAnsi"/>
          <w:sz w:val="20"/>
          <w:szCs w:val="20"/>
          <w:lang w:val="es-ES_tradnl"/>
        </w:rPr>
        <w:t xml:space="preserve"> al Ministerio de Hacienda </w:t>
      </w:r>
      <w:r w:rsidR="00122DC3" w:rsidRPr="00FE4F41">
        <w:rPr>
          <w:rFonts w:asciiTheme="majorHAnsi" w:hAnsiTheme="majorHAnsi"/>
          <w:sz w:val="20"/>
          <w:szCs w:val="20"/>
          <w:lang w:val="es-ES_tradnl"/>
        </w:rPr>
        <w:t xml:space="preserve">para </w:t>
      </w:r>
      <w:r w:rsidR="008F72C6" w:rsidRPr="00FE4F41">
        <w:rPr>
          <w:rFonts w:asciiTheme="majorHAnsi" w:hAnsiTheme="majorHAnsi"/>
          <w:sz w:val="20"/>
          <w:szCs w:val="20"/>
          <w:lang w:val="es-ES_tradnl"/>
        </w:rPr>
        <w:t xml:space="preserve">que </w:t>
      </w:r>
      <w:r w:rsidR="00EF3662" w:rsidRPr="00FE4F41">
        <w:rPr>
          <w:rFonts w:asciiTheme="majorHAnsi" w:hAnsiTheme="majorHAnsi"/>
          <w:sz w:val="20"/>
          <w:szCs w:val="20"/>
          <w:lang w:val="es-ES_tradnl"/>
        </w:rPr>
        <w:t>este</w:t>
      </w:r>
      <w:r w:rsidR="008F72C6" w:rsidRPr="00FE4F41">
        <w:rPr>
          <w:rFonts w:asciiTheme="majorHAnsi" w:hAnsiTheme="majorHAnsi"/>
          <w:sz w:val="20"/>
          <w:szCs w:val="20"/>
          <w:lang w:val="es-ES_tradnl"/>
        </w:rPr>
        <w:t xml:space="preserve"> cumpliera con la sentencia proferida favor de la presunta víctima, sin poder lograr que el Estado devolviera la suma reconocida en esa sentencia con los intereses pertinentes. </w:t>
      </w:r>
      <w:r w:rsidR="00901947" w:rsidRPr="00FE4F41">
        <w:rPr>
          <w:rFonts w:asciiTheme="majorHAnsi" w:hAnsiTheme="majorHAnsi"/>
          <w:sz w:val="20"/>
          <w:szCs w:val="20"/>
          <w:lang w:val="es-ES_tradnl"/>
        </w:rPr>
        <w:t>Luego, en su comunicación del 4 de febrero de 2021 la parte peticionaria indicó que el 23 de julio de 2020 se realizó un pago a la presunta víctima. Sin embargo, la</w:t>
      </w:r>
      <w:r w:rsidR="003450E1" w:rsidRPr="00FE4F41">
        <w:rPr>
          <w:rFonts w:asciiTheme="majorHAnsi" w:hAnsiTheme="majorHAnsi"/>
          <w:sz w:val="20"/>
          <w:szCs w:val="20"/>
          <w:lang w:val="es-ES_tradnl"/>
        </w:rPr>
        <w:t xml:space="preserve"> </w:t>
      </w:r>
      <w:r w:rsidR="00AF39F1" w:rsidRPr="00FE4F41">
        <w:rPr>
          <w:rFonts w:asciiTheme="majorHAnsi" w:hAnsiTheme="majorHAnsi"/>
          <w:sz w:val="20"/>
          <w:szCs w:val="20"/>
          <w:lang w:val="es-ES_tradnl"/>
        </w:rPr>
        <w:t>suma abonada no correspondía a la totalidad de l</w:t>
      </w:r>
      <w:r w:rsidR="00EF3662" w:rsidRPr="00FE4F41">
        <w:rPr>
          <w:rFonts w:asciiTheme="majorHAnsi" w:hAnsiTheme="majorHAnsi"/>
          <w:sz w:val="20"/>
          <w:szCs w:val="20"/>
          <w:lang w:val="es-ES_tradnl"/>
        </w:rPr>
        <w:t>o</w:t>
      </w:r>
      <w:r w:rsidR="00AF39F1" w:rsidRPr="00FE4F41">
        <w:rPr>
          <w:rFonts w:asciiTheme="majorHAnsi" w:hAnsiTheme="majorHAnsi"/>
          <w:sz w:val="20"/>
          <w:szCs w:val="20"/>
          <w:lang w:val="es-ES_tradnl"/>
        </w:rPr>
        <w:t xml:space="preserve"> solicitad</w:t>
      </w:r>
      <w:r w:rsidR="00EF3662" w:rsidRPr="00FE4F41">
        <w:rPr>
          <w:rFonts w:asciiTheme="majorHAnsi" w:hAnsiTheme="majorHAnsi"/>
          <w:sz w:val="20"/>
          <w:szCs w:val="20"/>
          <w:lang w:val="es-ES_tradnl"/>
        </w:rPr>
        <w:t>o,</w:t>
      </w:r>
      <w:r w:rsidR="00AF39F1" w:rsidRPr="00FE4F41">
        <w:rPr>
          <w:rFonts w:asciiTheme="majorHAnsi" w:hAnsiTheme="majorHAnsi"/>
          <w:sz w:val="20"/>
          <w:szCs w:val="20"/>
          <w:lang w:val="es-ES_tradnl"/>
        </w:rPr>
        <w:t xml:space="preserve"> y que no se había</w:t>
      </w:r>
      <w:r w:rsidR="003450E1" w:rsidRPr="00FE4F41">
        <w:rPr>
          <w:rFonts w:asciiTheme="majorHAnsi" w:hAnsiTheme="majorHAnsi"/>
          <w:sz w:val="20"/>
          <w:szCs w:val="20"/>
          <w:lang w:val="es-ES_tradnl"/>
        </w:rPr>
        <w:t>n</w:t>
      </w:r>
      <w:r w:rsidR="00AF39F1" w:rsidRPr="00FE4F41">
        <w:rPr>
          <w:rFonts w:asciiTheme="majorHAnsi" w:hAnsiTheme="majorHAnsi"/>
          <w:sz w:val="20"/>
          <w:szCs w:val="20"/>
          <w:lang w:val="es-ES_tradnl"/>
        </w:rPr>
        <w:t xml:space="preserve"> </w:t>
      </w:r>
      <w:r w:rsidR="003450E1" w:rsidRPr="00FE4F41">
        <w:rPr>
          <w:rFonts w:asciiTheme="majorHAnsi" w:hAnsiTheme="majorHAnsi"/>
          <w:sz w:val="20"/>
          <w:szCs w:val="20"/>
          <w:lang w:val="es-ES_tradnl"/>
        </w:rPr>
        <w:t>pagado</w:t>
      </w:r>
      <w:r w:rsidR="00AF39F1" w:rsidRPr="00FE4F41">
        <w:rPr>
          <w:rFonts w:asciiTheme="majorHAnsi" w:hAnsiTheme="majorHAnsi"/>
          <w:sz w:val="20"/>
          <w:szCs w:val="20"/>
          <w:lang w:val="es-ES_tradnl"/>
        </w:rPr>
        <w:t xml:space="preserve"> los intereses. En ese mismo escrito </w:t>
      </w:r>
      <w:r w:rsidR="00ED25BA" w:rsidRPr="00FE4F41">
        <w:rPr>
          <w:rFonts w:asciiTheme="majorHAnsi" w:hAnsiTheme="majorHAnsi"/>
          <w:sz w:val="20"/>
          <w:szCs w:val="20"/>
          <w:lang w:val="es-ES_tradnl"/>
        </w:rPr>
        <w:t>manifestó que había presentado un pedido de cobro judicial que se encontraba pendiente de resolución.</w:t>
      </w:r>
    </w:p>
    <w:p w14:paraId="26BD5E0D" w14:textId="77777777" w:rsidR="00ED25BA" w:rsidRPr="00FE4F41" w:rsidRDefault="00ED25BA" w:rsidP="00ED25BA">
      <w:pPr>
        <w:pStyle w:val="ListParagraph"/>
        <w:rPr>
          <w:rFonts w:asciiTheme="majorHAnsi" w:hAnsiTheme="majorHAnsi"/>
          <w:b/>
          <w:bCs/>
          <w:sz w:val="20"/>
          <w:szCs w:val="20"/>
          <w:lang w:val="es-ES_tradnl"/>
        </w:rPr>
      </w:pPr>
    </w:p>
    <w:p w14:paraId="720436F6" w14:textId="45E84452" w:rsidR="00ED25BA" w:rsidRPr="00FE4F41" w:rsidRDefault="00ED25BA" w:rsidP="003A12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 xml:space="preserve">La parte peticionaria </w:t>
      </w:r>
      <w:r w:rsidR="00EB239B" w:rsidRPr="00FE4F41">
        <w:rPr>
          <w:rFonts w:asciiTheme="majorHAnsi" w:hAnsiTheme="majorHAnsi"/>
          <w:sz w:val="20"/>
          <w:szCs w:val="20"/>
          <w:lang w:val="es-ES_tradnl"/>
        </w:rPr>
        <w:t xml:space="preserve">manifiesta </w:t>
      </w:r>
      <w:r w:rsidR="00460AAF" w:rsidRPr="00FE4F41">
        <w:rPr>
          <w:rFonts w:asciiTheme="majorHAnsi" w:hAnsiTheme="majorHAnsi"/>
          <w:sz w:val="20"/>
          <w:szCs w:val="20"/>
          <w:lang w:val="es-ES_tradnl"/>
        </w:rPr>
        <w:t>que,</w:t>
      </w:r>
      <w:r w:rsidRPr="00FE4F41">
        <w:rPr>
          <w:rFonts w:asciiTheme="majorHAnsi" w:hAnsiTheme="majorHAnsi"/>
          <w:sz w:val="20"/>
          <w:szCs w:val="20"/>
          <w:lang w:val="es-ES_tradnl"/>
        </w:rPr>
        <w:t xml:space="preserve"> si bien a la presunta víctima se le ha devuelto la mayor parte de los aportes realizados por su difunto esposo, ello no implica que los motivos de la petición hayan dejado de subsistir</w:t>
      </w:r>
      <w:r w:rsidR="00CF643A"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w:t>
      </w:r>
      <w:r w:rsidR="00CF643A" w:rsidRPr="00FE4F41">
        <w:rPr>
          <w:rFonts w:asciiTheme="majorHAnsi" w:hAnsiTheme="majorHAnsi"/>
          <w:sz w:val="20"/>
          <w:szCs w:val="20"/>
          <w:lang w:val="es-ES_tradnl"/>
        </w:rPr>
        <w:t>ya</w:t>
      </w:r>
      <w:r w:rsidRPr="00FE4F41">
        <w:rPr>
          <w:rFonts w:asciiTheme="majorHAnsi" w:hAnsiTheme="majorHAnsi"/>
          <w:sz w:val="20"/>
          <w:szCs w:val="20"/>
          <w:lang w:val="es-ES_tradnl"/>
        </w:rPr>
        <w:t xml:space="preserve"> que la presunta víctima se ha visto gravemente perjudicada por la demora </w:t>
      </w:r>
      <w:r w:rsidR="009A63A0" w:rsidRPr="00FE4F41">
        <w:rPr>
          <w:rFonts w:asciiTheme="majorHAnsi" w:hAnsiTheme="majorHAnsi"/>
          <w:sz w:val="20"/>
          <w:szCs w:val="20"/>
          <w:lang w:val="es-ES_tradnl"/>
        </w:rPr>
        <w:t>injustificada en la devolución</w:t>
      </w:r>
      <w:r w:rsidR="00CF643A" w:rsidRPr="00FE4F41">
        <w:rPr>
          <w:rFonts w:asciiTheme="majorHAnsi" w:hAnsiTheme="majorHAnsi"/>
          <w:sz w:val="20"/>
          <w:szCs w:val="20"/>
          <w:lang w:val="es-PA"/>
        </w:rPr>
        <w:t>,</w:t>
      </w:r>
      <w:r w:rsidR="00F17688" w:rsidRPr="00FE4F41">
        <w:rPr>
          <w:rFonts w:asciiTheme="majorHAnsi" w:hAnsiTheme="majorHAnsi"/>
          <w:sz w:val="20"/>
          <w:szCs w:val="20"/>
          <w:lang w:val="es-PA"/>
        </w:rPr>
        <w:t xml:space="preserve"> dada </w:t>
      </w:r>
      <w:r w:rsidR="009A63A0" w:rsidRPr="00FE4F41">
        <w:rPr>
          <w:rFonts w:asciiTheme="majorHAnsi" w:hAnsiTheme="majorHAnsi"/>
          <w:sz w:val="20"/>
          <w:szCs w:val="20"/>
          <w:lang w:val="es-ES_tradnl"/>
        </w:rPr>
        <w:t>la devaluación de la moneda, inflación y negativa del Estado al pago de intereses</w:t>
      </w:r>
      <w:r w:rsidR="000556A6" w:rsidRPr="00FE4F41">
        <w:rPr>
          <w:rFonts w:asciiTheme="majorHAnsi" w:hAnsiTheme="majorHAnsi"/>
          <w:sz w:val="20"/>
          <w:szCs w:val="20"/>
          <w:lang w:val="es-ES_tradnl"/>
        </w:rPr>
        <w:t xml:space="preserve"> moratorios</w:t>
      </w:r>
      <w:r w:rsidR="009A63A0" w:rsidRPr="00FE4F41">
        <w:rPr>
          <w:rFonts w:asciiTheme="majorHAnsi" w:hAnsiTheme="majorHAnsi"/>
          <w:sz w:val="20"/>
          <w:szCs w:val="20"/>
          <w:lang w:val="es-ES_tradnl"/>
        </w:rPr>
        <w:t xml:space="preserve">. En este sentido, </w:t>
      </w:r>
      <w:r w:rsidR="00CF643A" w:rsidRPr="00FE4F41">
        <w:rPr>
          <w:rFonts w:asciiTheme="majorHAnsi" w:hAnsiTheme="majorHAnsi"/>
          <w:sz w:val="20"/>
          <w:szCs w:val="20"/>
          <w:lang w:val="es-ES_tradnl"/>
        </w:rPr>
        <w:t>sostiene</w:t>
      </w:r>
      <w:r w:rsidR="009A63A0" w:rsidRPr="00FE4F41">
        <w:rPr>
          <w:rFonts w:asciiTheme="majorHAnsi" w:hAnsiTheme="majorHAnsi"/>
          <w:sz w:val="20"/>
          <w:szCs w:val="20"/>
          <w:lang w:val="es-ES_tradnl"/>
        </w:rPr>
        <w:t xml:space="preserve"> que la suma cuya devolución solicitó la presunta víctima equivalía en 1997 a dieciséis </w:t>
      </w:r>
      <w:r w:rsidR="00F17688" w:rsidRPr="00FE4F41">
        <w:rPr>
          <w:rFonts w:asciiTheme="majorHAnsi" w:hAnsiTheme="majorHAnsi"/>
          <w:sz w:val="20"/>
          <w:szCs w:val="20"/>
          <w:lang w:val="es-ES_tradnl"/>
        </w:rPr>
        <w:t>veces el salario</w:t>
      </w:r>
      <w:r w:rsidR="00CF643A" w:rsidRPr="00FE4F41">
        <w:rPr>
          <w:rFonts w:asciiTheme="majorHAnsi" w:hAnsiTheme="majorHAnsi"/>
          <w:sz w:val="20"/>
          <w:szCs w:val="20"/>
          <w:lang w:val="es-ES_tradnl"/>
        </w:rPr>
        <w:t xml:space="preserve"> mínimo</w:t>
      </w:r>
      <w:r w:rsidR="00F17688" w:rsidRPr="00FE4F41">
        <w:rPr>
          <w:rFonts w:asciiTheme="majorHAnsi" w:hAnsiTheme="majorHAnsi"/>
          <w:sz w:val="20"/>
          <w:szCs w:val="20"/>
          <w:lang w:val="es-ES_tradnl"/>
        </w:rPr>
        <w:t xml:space="preserve"> vigente en ese momento</w:t>
      </w:r>
      <w:r w:rsidR="00930E83" w:rsidRPr="00FE4F41">
        <w:rPr>
          <w:rFonts w:asciiTheme="majorHAnsi" w:hAnsiTheme="majorHAnsi"/>
          <w:sz w:val="20"/>
          <w:szCs w:val="20"/>
          <w:lang w:val="es-ES_tradnl"/>
        </w:rPr>
        <w:t>,</w:t>
      </w:r>
      <w:r w:rsidR="009A63A0" w:rsidRPr="00FE4F41">
        <w:rPr>
          <w:rFonts w:asciiTheme="majorHAnsi" w:hAnsiTheme="majorHAnsi"/>
          <w:sz w:val="20"/>
          <w:szCs w:val="20"/>
          <w:lang w:val="es-ES_tradnl"/>
        </w:rPr>
        <w:t xml:space="preserve"> pero en 2020 cuando se le realizó el abono </w:t>
      </w:r>
      <w:r w:rsidR="00F17688" w:rsidRPr="00FE4F41">
        <w:rPr>
          <w:rFonts w:asciiTheme="majorHAnsi" w:hAnsiTheme="majorHAnsi"/>
          <w:sz w:val="20"/>
          <w:szCs w:val="20"/>
          <w:lang w:val="es-ES_tradnl"/>
        </w:rPr>
        <w:t>la suma equivalía a menos de cuatro veces el salario mínimo d</w:t>
      </w:r>
      <w:r w:rsidR="000556A6" w:rsidRPr="00FE4F41">
        <w:rPr>
          <w:rFonts w:asciiTheme="majorHAnsi" w:hAnsiTheme="majorHAnsi"/>
          <w:sz w:val="20"/>
          <w:szCs w:val="20"/>
          <w:lang w:val="es-ES_tradnl"/>
        </w:rPr>
        <w:t>e ese</w:t>
      </w:r>
      <w:r w:rsidR="00F17688" w:rsidRPr="00FE4F41">
        <w:rPr>
          <w:rFonts w:asciiTheme="majorHAnsi" w:hAnsiTheme="majorHAnsi"/>
          <w:sz w:val="20"/>
          <w:szCs w:val="20"/>
          <w:lang w:val="es-ES_tradnl"/>
        </w:rPr>
        <w:t xml:space="preserve"> momento.</w:t>
      </w:r>
    </w:p>
    <w:p w14:paraId="783F1CC6" w14:textId="77777777" w:rsidR="00EB239B" w:rsidRPr="00FE4F41" w:rsidRDefault="00EB239B" w:rsidP="00EB239B">
      <w:pPr>
        <w:pStyle w:val="ListParagraph"/>
        <w:rPr>
          <w:rFonts w:asciiTheme="majorHAnsi" w:hAnsiTheme="majorHAnsi"/>
          <w:b/>
          <w:bCs/>
          <w:sz w:val="20"/>
          <w:szCs w:val="20"/>
          <w:lang w:val="es-ES_tradnl"/>
        </w:rPr>
      </w:pPr>
    </w:p>
    <w:p w14:paraId="657C9A7A" w14:textId="11DB00C9" w:rsidR="00EB239B" w:rsidRPr="00FE4F41" w:rsidRDefault="00EB239B" w:rsidP="003A12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La parte peticionaria sostiene que la demora en la devolución de los aportes es imputable al Estado</w:t>
      </w:r>
      <w:r w:rsidR="00E823AE" w:rsidRPr="00FE4F41">
        <w:rPr>
          <w:rFonts w:asciiTheme="majorHAnsi" w:hAnsiTheme="majorHAnsi"/>
          <w:sz w:val="20"/>
          <w:szCs w:val="20"/>
          <w:lang w:val="es-ES_tradnl"/>
        </w:rPr>
        <w:t>, pues</w:t>
      </w:r>
      <w:r w:rsidRPr="00FE4F41">
        <w:rPr>
          <w:rFonts w:asciiTheme="majorHAnsi" w:hAnsiTheme="majorHAnsi"/>
          <w:sz w:val="20"/>
          <w:szCs w:val="20"/>
          <w:lang w:val="es-ES_tradnl"/>
        </w:rPr>
        <w:t xml:space="preserve"> el Ministerio de Hacienda rehusó la solicitud presentada por la presunta víctima</w:t>
      </w:r>
      <w:r w:rsidR="002274A1" w:rsidRPr="00FE4F41">
        <w:rPr>
          <w:rFonts w:asciiTheme="majorHAnsi" w:hAnsiTheme="majorHAnsi"/>
          <w:sz w:val="20"/>
          <w:szCs w:val="20"/>
          <w:lang w:val="es-ES_tradnl"/>
        </w:rPr>
        <w:t>, forzándola a recurrir al litigio</w:t>
      </w:r>
      <w:r w:rsidR="00E823AE" w:rsidRPr="00FE4F41">
        <w:rPr>
          <w:rFonts w:asciiTheme="majorHAnsi" w:hAnsiTheme="majorHAnsi"/>
          <w:sz w:val="20"/>
          <w:szCs w:val="20"/>
          <w:lang w:val="es-ES_tradnl"/>
        </w:rPr>
        <w:t>;</w:t>
      </w:r>
      <w:r w:rsidR="002274A1" w:rsidRPr="00FE4F41">
        <w:rPr>
          <w:rFonts w:asciiTheme="majorHAnsi" w:hAnsiTheme="majorHAnsi"/>
          <w:sz w:val="20"/>
          <w:szCs w:val="20"/>
          <w:lang w:val="es-ES_tradnl"/>
        </w:rPr>
        <w:t xml:space="preserve"> </w:t>
      </w:r>
      <w:r w:rsidR="00E823AE" w:rsidRPr="00FE4F41">
        <w:rPr>
          <w:rFonts w:asciiTheme="majorHAnsi" w:hAnsiTheme="majorHAnsi"/>
          <w:sz w:val="20"/>
          <w:szCs w:val="20"/>
          <w:lang w:val="es-ES_tradnl"/>
        </w:rPr>
        <w:t>además,</w:t>
      </w:r>
      <w:r w:rsidR="002274A1" w:rsidRPr="00FE4F41">
        <w:rPr>
          <w:rFonts w:asciiTheme="majorHAnsi" w:hAnsiTheme="majorHAnsi"/>
          <w:sz w:val="20"/>
          <w:szCs w:val="20"/>
          <w:lang w:val="es-ES_tradnl"/>
        </w:rPr>
        <w:t xml:space="preserve"> presentó recursos dilatorios </w:t>
      </w:r>
      <w:r w:rsidR="00930E83" w:rsidRPr="00FE4F41">
        <w:rPr>
          <w:rFonts w:asciiTheme="majorHAnsi" w:hAnsiTheme="majorHAnsi"/>
          <w:sz w:val="20"/>
          <w:szCs w:val="20"/>
          <w:lang w:val="es-ES_tradnl"/>
        </w:rPr>
        <w:t>contra la ejecución de la sentencia. La parte peticionaria además considera que el tiempo total de veintitrés años entre la presentación de la demanda contencioso-administrativa</w:t>
      </w:r>
      <w:r w:rsidR="00D13FA5" w:rsidRPr="00FE4F41">
        <w:rPr>
          <w:rFonts w:asciiTheme="majorHAnsi" w:hAnsiTheme="majorHAnsi"/>
          <w:sz w:val="20"/>
          <w:szCs w:val="20"/>
          <w:lang w:val="es-ES_tradnl"/>
        </w:rPr>
        <w:t xml:space="preserve"> en 1997</w:t>
      </w:r>
      <w:r w:rsidR="00930E83" w:rsidRPr="00FE4F41">
        <w:rPr>
          <w:rFonts w:asciiTheme="majorHAnsi" w:hAnsiTheme="majorHAnsi"/>
          <w:sz w:val="20"/>
          <w:szCs w:val="20"/>
          <w:lang w:val="es-ES_tradnl"/>
        </w:rPr>
        <w:t xml:space="preserve"> y </w:t>
      </w:r>
      <w:r w:rsidR="00D13FA5" w:rsidRPr="00FE4F41">
        <w:rPr>
          <w:rFonts w:asciiTheme="majorHAnsi" w:hAnsiTheme="majorHAnsi"/>
          <w:sz w:val="20"/>
          <w:szCs w:val="20"/>
          <w:lang w:val="es-ES_tradnl"/>
        </w:rPr>
        <w:t xml:space="preserve">la realización del pago a favor de la presunta víctima en 2020 excede con creces el plazo razonable. La parte peticionaria reconoce que en 2018 se le solicitaron </w:t>
      </w:r>
      <w:r w:rsidR="00E823AE" w:rsidRPr="00FE4F41">
        <w:rPr>
          <w:rFonts w:asciiTheme="majorHAnsi" w:hAnsiTheme="majorHAnsi"/>
          <w:sz w:val="20"/>
          <w:szCs w:val="20"/>
          <w:lang w:val="es-ES_tradnl"/>
        </w:rPr>
        <w:t xml:space="preserve">a la Sra. De Soerensen </w:t>
      </w:r>
      <w:r w:rsidR="00D1136F" w:rsidRPr="00FE4F41">
        <w:rPr>
          <w:rFonts w:asciiTheme="majorHAnsi" w:hAnsiTheme="majorHAnsi"/>
          <w:sz w:val="20"/>
          <w:szCs w:val="20"/>
          <w:lang w:val="es-ES_tradnl"/>
        </w:rPr>
        <w:t>unos datos que no pudo proporcionar</w:t>
      </w:r>
      <w:r w:rsidR="00122DC3" w:rsidRPr="00FE4F41">
        <w:rPr>
          <w:rFonts w:asciiTheme="majorHAnsi" w:hAnsiTheme="majorHAnsi"/>
          <w:sz w:val="20"/>
          <w:szCs w:val="20"/>
          <w:lang w:val="es-ES_tradnl"/>
        </w:rPr>
        <w:t>,</w:t>
      </w:r>
      <w:r w:rsidR="00D1136F" w:rsidRPr="00FE4F41">
        <w:rPr>
          <w:rFonts w:asciiTheme="majorHAnsi" w:hAnsiTheme="majorHAnsi"/>
          <w:sz w:val="20"/>
          <w:szCs w:val="20"/>
          <w:lang w:val="es-ES_tradnl"/>
        </w:rPr>
        <w:t xml:space="preserve"> pero</w:t>
      </w:r>
      <w:r w:rsidR="00122DC3" w:rsidRPr="00FE4F41">
        <w:rPr>
          <w:rFonts w:asciiTheme="majorHAnsi" w:hAnsiTheme="majorHAnsi"/>
          <w:sz w:val="20"/>
          <w:szCs w:val="20"/>
          <w:lang w:val="es-ES_tradnl"/>
        </w:rPr>
        <w:t xml:space="preserve"> indica</w:t>
      </w:r>
      <w:r w:rsidR="00D1136F" w:rsidRPr="00FE4F41">
        <w:rPr>
          <w:rFonts w:asciiTheme="majorHAnsi" w:hAnsiTheme="majorHAnsi"/>
          <w:sz w:val="20"/>
          <w:szCs w:val="20"/>
          <w:lang w:val="es-ES_tradnl"/>
        </w:rPr>
        <w:t xml:space="preserve"> esos datos podían ser ubicados en la sede del Poder Judicial</w:t>
      </w:r>
      <w:r w:rsidR="00E823AE" w:rsidRPr="00FE4F41">
        <w:rPr>
          <w:rFonts w:asciiTheme="majorHAnsi" w:hAnsiTheme="majorHAnsi"/>
          <w:sz w:val="20"/>
          <w:szCs w:val="20"/>
          <w:lang w:val="es-ES_tradnl"/>
        </w:rPr>
        <w:t>,</w:t>
      </w:r>
      <w:r w:rsidR="00D1136F" w:rsidRPr="00FE4F41">
        <w:rPr>
          <w:rFonts w:asciiTheme="majorHAnsi" w:hAnsiTheme="majorHAnsi"/>
          <w:sz w:val="20"/>
          <w:szCs w:val="20"/>
          <w:lang w:val="es-ES_tradnl"/>
        </w:rPr>
        <w:t xml:space="preserve"> como finalmente se hizo. Ademá</w:t>
      </w:r>
      <w:r w:rsidR="00122DC3" w:rsidRPr="00FE4F41">
        <w:rPr>
          <w:rFonts w:asciiTheme="majorHAnsi" w:hAnsiTheme="majorHAnsi"/>
          <w:sz w:val="20"/>
          <w:szCs w:val="20"/>
          <w:lang w:val="es-ES_tradnl"/>
        </w:rPr>
        <w:t>s,</w:t>
      </w:r>
      <w:r w:rsidR="00D1136F" w:rsidRPr="00FE4F41">
        <w:rPr>
          <w:rFonts w:asciiTheme="majorHAnsi" w:hAnsiTheme="majorHAnsi"/>
          <w:sz w:val="20"/>
          <w:szCs w:val="20"/>
          <w:lang w:val="es-ES_tradnl"/>
        </w:rPr>
        <w:t xml:space="preserve"> destaca que los referidos datos no le fueron solicitados en 1997</w:t>
      </w:r>
      <w:r w:rsidR="004B4DC7" w:rsidRPr="00FE4F41">
        <w:rPr>
          <w:rFonts w:asciiTheme="majorHAnsi" w:hAnsiTheme="majorHAnsi"/>
          <w:sz w:val="20"/>
          <w:szCs w:val="20"/>
          <w:lang w:val="es-ES_tradnl"/>
        </w:rPr>
        <w:t>,</w:t>
      </w:r>
      <w:r w:rsidR="00D1136F" w:rsidRPr="00FE4F41">
        <w:rPr>
          <w:rFonts w:asciiTheme="majorHAnsi" w:hAnsiTheme="majorHAnsi"/>
          <w:sz w:val="20"/>
          <w:szCs w:val="20"/>
          <w:lang w:val="es-ES_tradnl"/>
        </w:rPr>
        <w:t xml:space="preserve"> cuando hubieran podido haber sido más fáciles de ubicar que en 2018.  </w:t>
      </w:r>
    </w:p>
    <w:p w14:paraId="5E5BDE7D" w14:textId="77777777" w:rsidR="00687905" w:rsidRDefault="00687905" w:rsidP="00687905">
      <w:pPr>
        <w:pStyle w:val="ListParagraph"/>
        <w:rPr>
          <w:rFonts w:asciiTheme="majorHAnsi" w:hAnsiTheme="majorHAnsi"/>
          <w:b/>
          <w:bCs/>
          <w:sz w:val="20"/>
          <w:szCs w:val="20"/>
          <w:lang w:val="es-ES_tradnl"/>
        </w:rPr>
      </w:pPr>
    </w:p>
    <w:p w14:paraId="4A2B5A22" w14:textId="77777777" w:rsidR="00681F56" w:rsidRDefault="00681F56" w:rsidP="00687905">
      <w:pPr>
        <w:pStyle w:val="ListParagraph"/>
        <w:rPr>
          <w:rFonts w:asciiTheme="majorHAnsi" w:hAnsiTheme="majorHAnsi"/>
          <w:b/>
          <w:bCs/>
          <w:sz w:val="20"/>
          <w:szCs w:val="20"/>
          <w:lang w:val="es-ES_tradnl"/>
        </w:rPr>
      </w:pPr>
    </w:p>
    <w:p w14:paraId="7FE9677C" w14:textId="77777777" w:rsidR="00681F56" w:rsidRPr="00FE4F41" w:rsidRDefault="00681F56" w:rsidP="00687905">
      <w:pPr>
        <w:pStyle w:val="ListParagraph"/>
        <w:rPr>
          <w:rFonts w:asciiTheme="majorHAnsi" w:hAnsiTheme="majorHAnsi"/>
          <w:b/>
          <w:bCs/>
          <w:sz w:val="20"/>
          <w:szCs w:val="20"/>
          <w:lang w:val="es-ES_tradnl"/>
        </w:rPr>
      </w:pPr>
    </w:p>
    <w:p w14:paraId="3773539F" w14:textId="51D680C4" w:rsidR="00687905" w:rsidRPr="00FE4F41" w:rsidRDefault="00687905" w:rsidP="003A12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lastRenderedPageBreak/>
        <w:t>En su última comunicación</w:t>
      </w:r>
      <w:r w:rsidR="004B4DC7"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del</w:t>
      </w:r>
      <w:r w:rsidR="004B3E80" w:rsidRPr="00FE4F41">
        <w:rPr>
          <w:rFonts w:asciiTheme="majorHAnsi" w:hAnsiTheme="majorHAnsi"/>
          <w:sz w:val="20"/>
          <w:szCs w:val="20"/>
          <w:lang w:val="es-ES_tradnl"/>
        </w:rPr>
        <w:t xml:space="preserve"> 29 de noviembre de 2021</w:t>
      </w:r>
      <w:r w:rsidR="004B4DC7" w:rsidRPr="00FE4F41">
        <w:rPr>
          <w:rFonts w:asciiTheme="majorHAnsi" w:hAnsiTheme="majorHAnsi"/>
          <w:sz w:val="20"/>
          <w:szCs w:val="20"/>
          <w:lang w:val="es-ES_tradnl"/>
        </w:rPr>
        <w:t>,</w:t>
      </w:r>
      <w:r w:rsidR="004B3E80" w:rsidRPr="00FE4F41">
        <w:rPr>
          <w:rFonts w:asciiTheme="majorHAnsi" w:hAnsiTheme="majorHAnsi"/>
          <w:sz w:val="20"/>
          <w:szCs w:val="20"/>
          <w:lang w:val="es-ES_tradnl"/>
        </w:rPr>
        <w:t xml:space="preserve"> la parte peticionaria </w:t>
      </w:r>
      <w:r w:rsidR="004B4DC7" w:rsidRPr="00FE4F41">
        <w:rPr>
          <w:rFonts w:asciiTheme="majorHAnsi" w:hAnsiTheme="majorHAnsi"/>
          <w:sz w:val="20"/>
          <w:szCs w:val="20"/>
          <w:lang w:val="es-ES_tradnl"/>
        </w:rPr>
        <w:t>informa</w:t>
      </w:r>
      <w:r w:rsidR="004B3E80" w:rsidRPr="00FE4F41">
        <w:rPr>
          <w:rFonts w:asciiTheme="majorHAnsi" w:hAnsiTheme="majorHAnsi"/>
          <w:sz w:val="20"/>
          <w:szCs w:val="20"/>
          <w:lang w:val="es-ES_tradnl"/>
        </w:rPr>
        <w:t xml:space="preserve"> que la presunta víctima continuaba sin recibir el pago de intereses</w:t>
      </w:r>
      <w:r w:rsidR="004B4DC7" w:rsidRPr="00FE4F41">
        <w:rPr>
          <w:rFonts w:asciiTheme="majorHAnsi" w:hAnsiTheme="majorHAnsi"/>
          <w:sz w:val="20"/>
          <w:szCs w:val="20"/>
          <w:lang w:val="es-ES_tradnl"/>
        </w:rPr>
        <w:t>,</w:t>
      </w:r>
      <w:r w:rsidR="004B3E80" w:rsidRPr="00FE4F41">
        <w:rPr>
          <w:rFonts w:asciiTheme="majorHAnsi" w:hAnsiTheme="majorHAnsi"/>
          <w:sz w:val="20"/>
          <w:szCs w:val="20"/>
          <w:lang w:val="es-ES_tradnl"/>
        </w:rPr>
        <w:t xml:space="preserve"> e indicó que había presentado un nuevo recurso de queja por retardo de justicia en el proceso de ejecución de sentencia </w:t>
      </w:r>
      <w:r w:rsidR="004B4DC7" w:rsidRPr="00FE4F41">
        <w:rPr>
          <w:rFonts w:asciiTheme="majorHAnsi" w:hAnsiTheme="majorHAnsi"/>
          <w:sz w:val="20"/>
          <w:szCs w:val="20"/>
          <w:lang w:val="es-ES_tradnl"/>
        </w:rPr>
        <w:t>–</w:t>
      </w:r>
      <w:r w:rsidR="004B3E80" w:rsidRPr="00FE4F41">
        <w:rPr>
          <w:rFonts w:asciiTheme="majorHAnsi" w:hAnsiTheme="majorHAnsi"/>
          <w:sz w:val="20"/>
          <w:szCs w:val="20"/>
          <w:lang w:val="es-ES_tradnl"/>
        </w:rPr>
        <w:t>sin informar sobre los resultados o el estado del trámite de ese recurso</w:t>
      </w:r>
      <w:r w:rsidR="004B4DC7" w:rsidRPr="00FE4F41">
        <w:rPr>
          <w:rFonts w:asciiTheme="majorHAnsi" w:hAnsiTheme="majorHAnsi"/>
          <w:sz w:val="20"/>
          <w:szCs w:val="20"/>
          <w:lang w:val="es-ES_tradnl"/>
        </w:rPr>
        <w:t>–</w:t>
      </w:r>
      <w:r w:rsidR="004B3E80" w:rsidRPr="00FE4F41">
        <w:rPr>
          <w:rFonts w:asciiTheme="majorHAnsi" w:hAnsiTheme="majorHAnsi"/>
          <w:sz w:val="20"/>
          <w:szCs w:val="20"/>
          <w:lang w:val="es-ES_tradnl"/>
        </w:rPr>
        <w:t>.</w:t>
      </w:r>
    </w:p>
    <w:p w14:paraId="7260FCB7" w14:textId="77777777" w:rsidR="004B3E80" w:rsidRPr="00FE4F41" w:rsidRDefault="004B3E80" w:rsidP="004B3E80">
      <w:pPr>
        <w:pStyle w:val="ListParagraph"/>
        <w:rPr>
          <w:rFonts w:asciiTheme="majorHAnsi" w:hAnsiTheme="majorHAnsi"/>
          <w:b/>
          <w:bCs/>
          <w:sz w:val="20"/>
          <w:szCs w:val="20"/>
          <w:lang w:val="es-ES_tradnl"/>
        </w:rPr>
      </w:pPr>
    </w:p>
    <w:p w14:paraId="004A0471" w14:textId="29C78862" w:rsidR="006B6333" w:rsidRPr="00FE4F41" w:rsidRDefault="004B3E80" w:rsidP="006B63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 xml:space="preserve">El Estado, por su parte, </w:t>
      </w:r>
      <w:r w:rsidR="00DE6BD4" w:rsidRPr="00FE4F41">
        <w:rPr>
          <w:rFonts w:asciiTheme="majorHAnsi" w:hAnsiTheme="majorHAnsi"/>
          <w:sz w:val="20"/>
          <w:szCs w:val="20"/>
          <w:lang w:val="es-ES_tradnl"/>
        </w:rPr>
        <w:t xml:space="preserve">considera que la petición debe ser archivada porque no subsisten sus motivos. Alternativamente solicita que </w:t>
      </w:r>
      <w:r w:rsidR="00B75616" w:rsidRPr="00FE4F41">
        <w:rPr>
          <w:rFonts w:asciiTheme="majorHAnsi" w:hAnsiTheme="majorHAnsi"/>
          <w:sz w:val="20"/>
          <w:szCs w:val="20"/>
          <w:lang w:val="es-ES_tradnl"/>
        </w:rPr>
        <w:t>la petición sea inadmitida porque los hechos expuestos en ella no caracterizan violaciones a la Convención Americana</w:t>
      </w:r>
      <w:r w:rsidR="00843EC1" w:rsidRPr="00FE4F41">
        <w:rPr>
          <w:rFonts w:asciiTheme="majorHAnsi" w:hAnsiTheme="majorHAnsi"/>
          <w:sz w:val="20"/>
          <w:szCs w:val="20"/>
          <w:lang w:val="es-ES_tradnl"/>
        </w:rPr>
        <w:t>,</w:t>
      </w:r>
      <w:r w:rsidR="00B75616" w:rsidRPr="00FE4F41">
        <w:rPr>
          <w:rFonts w:asciiTheme="majorHAnsi" w:hAnsiTheme="majorHAnsi"/>
          <w:sz w:val="20"/>
          <w:szCs w:val="20"/>
          <w:lang w:val="es-ES_tradnl"/>
        </w:rPr>
        <w:t xml:space="preserve"> y porque la presunta víctima no ha cumplido con el requisito de agotamiento de los recursos internos. </w:t>
      </w:r>
    </w:p>
    <w:p w14:paraId="638E8917" w14:textId="77777777" w:rsidR="00EF6B18" w:rsidRPr="00FE4F41" w:rsidRDefault="00EF6B18" w:rsidP="00EF6B18">
      <w:pPr>
        <w:pStyle w:val="ListParagraph"/>
        <w:rPr>
          <w:rFonts w:asciiTheme="majorHAnsi" w:hAnsiTheme="majorHAnsi"/>
          <w:b/>
          <w:bCs/>
          <w:sz w:val="20"/>
          <w:szCs w:val="20"/>
          <w:lang w:val="es-ES_tradnl"/>
        </w:rPr>
      </w:pPr>
    </w:p>
    <w:p w14:paraId="05E2A988" w14:textId="42B61464" w:rsidR="00EF6B18" w:rsidRPr="00FE4F41" w:rsidRDefault="007B62AA" w:rsidP="006B63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Según relata el Estado, el 12 de agosto de 1997 la presunta víctima recurrió judicialmente la resolución del Ministerio de Haciend</w:t>
      </w:r>
      <w:r w:rsidR="002C436B" w:rsidRPr="00FE4F41">
        <w:rPr>
          <w:rFonts w:asciiTheme="majorHAnsi" w:hAnsiTheme="majorHAnsi"/>
          <w:sz w:val="20"/>
          <w:szCs w:val="20"/>
          <w:lang w:val="es-ES_tradnl"/>
        </w:rPr>
        <w:t>a</w:t>
      </w:r>
      <w:r w:rsidRPr="00FE4F41">
        <w:rPr>
          <w:rFonts w:asciiTheme="majorHAnsi" w:hAnsiTheme="majorHAnsi"/>
          <w:sz w:val="20"/>
          <w:szCs w:val="20"/>
          <w:lang w:val="es-ES_tradnl"/>
        </w:rPr>
        <w:t xml:space="preserve"> que </w:t>
      </w:r>
      <w:r w:rsidR="002C436B" w:rsidRPr="00FE4F41">
        <w:rPr>
          <w:rFonts w:asciiTheme="majorHAnsi" w:hAnsiTheme="majorHAnsi"/>
          <w:sz w:val="20"/>
          <w:szCs w:val="20"/>
          <w:lang w:val="es-ES_tradnl"/>
        </w:rPr>
        <w:t>rechazaba</w:t>
      </w:r>
      <w:r w:rsidRPr="00FE4F41">
        <w:rPr>
          <w:rFonts w:asciiTheme="majorHAnsi" w:hAnsiTheme="majorHAnsi"/>
          <w:sz w:val="20"/>
          <w:szCs w:val="20"/>
          <w:lang w:val="es-ES_tradnl"/>
        </w:rPr>
        <w:t xml:space="preserve"> su solicitud de devolución de los aportes realizados por su difunto esposo</w:t>
      </w:r>
      <w:r w:rsidR="00E16F13" w:rsidRPr="00FE4F41">
        <w:rPr>
          <w:rFonts w:asciiTheme="majorHAnsi" w:hAnsiTheme="majorHAnsi"/>
          <w:sz w:val="20"/>
          <w:szCs w:val="20"/>
          <w:lang w:val="es-ES_tradnl"/>
        </w:rPr>
        <w:t xml:space="preserve"> en base a que la normativa aplicable previa la devolución para casos de despido</w:t>
      </w:r>
      <w:r w:rsidR="002C436B" w:rsidRPr="00FE4F41">
        <w:rPr>
          <w:rFonts w:asciiTheme="majorHAnsi" w:hAnsiTheme="majorHAnsi"/>
          <w:sz w:val="20"/>
          <w:szCs w:val="20"/>
          <w:lang w:val="es-ES_tradnl"/>
        </w:rPr>
        <w:t>,</w:t>
      </w:r>
      <w:r w:rsidR="00E16F13" w:rsidRPr="00FE4F41">
        <w:rPr>
          <w:rFonts w:asciiTheme="majorHAnsi" w:hAnsiTheme="majorHAnsi"/>
          <w:sz w:val="20"/>
          <w:szCs w:val="20"/>
          <w:lang w:val="es-ES_tradnl"/>
        </w:rPr>
        <w:t xml:space="preserve"> pero no así para casos de fallecimiento</w:t>
      </w:r>
      <w:r w:rsidRPr="00FE4F41">
        <w:rPr>
          <w:rFonts w:asciiTheme="majorHAnsi" w:hAnsiTheme="majorHAnsi"/>
          <w:sz w:val="20"/>
          <w:szCs w:val="20"/>
          <w:lang w:val="es-ES_tradnl"/>
        </w:rPr>
        <w:t>. El 10 de agosto de 2012 el Tribunal de Cuentas emitió sentencia a favor de la presunta víctima revocando la resolución impugnada</w:t>
      </w:r>
      <w:r w:rsidR="00BC7B35" w:rsidRPr="00FE4F41">
        <w:rPr>
          <w:rFonts w:asciiTheme="majorHAnsi" w:hAnsiTheme="majorHAnsi"/>
          <w:sz w:val="20"/>
          <w:szCs w:val="20"/>
          <w:lang w:val="es-ES_tradnl"/>
        </w:rPr>
        <w:t xml:space="preserve"> y esa decisión fue confirmada el 2 de febrero de 2015 por la Sala Penal de la Corte Suprema de Justicia. Luego, la presunta víctima realizó un pedido de ejecución de las decisiones proferidas a su favor, por vía administrativa y ante el Ministerio de Hacienda. Sin embargo, ese pedido no pudo ser atendido de forma inmediata po</w:t>
      </w:r>
      <w:r w:rsidR="00BA4C2D" w:rsidRPr="00FE4F41">
        <w:rPr>
          <w:rFonts w:asciiTheme="majorHAnsi" w:hAnsiTheme="majorHAnsi"/>
          <w:sz w:val="20"/>
          <w:szCs w:val="20"/>
          <w:lang w:val="es-ES_tradnl"/>
        </w:rPr>
        <w:t xml:space="preserve">r dificultades para localizar las planillas de sueldo del aportante las que obraban en expedientes físicos y debían ser buscadas manualmente sobre la base del Legajo Laboral del aportante. Por lo tanto, en 2017 se requirió a la presunta víctima aportar el legajo personal de su </w:t>
      </w:r>
      <w:r w:rsidR="00843EC1" w:rsidRPr="00FE4F41">
        <w:rPr>
          <w:rFonts w:asciiTheme="majorHAnsi" w:hAnsiTheme="majorHAnsi"/>
          <w:sz w:val="20"/>
          <w:szCs w:val="20"/>
          <w:lang w:val="es-ES_tradnl"/>
        </w:rPr>
        <w:t>difunto</w:t>
      </w:r>
      <w:r w:rsidR="00BA4C2D" w:rsidRPr="00FE4F41">
        <w:rPr>
          <w:rFonts w:asciiTheme="majorHAnsi" w:hAnsiTheme="majorHAnsi"/>
          <w:sz w:val="20"/>
          <w:szCs w:val="20"/>
          <w:lang w:val="es-ES_tradnl"/>
        </w:rPr>
        <w:t xml:space="preserve"> esposo a fin de </w:t>
      </w:r>
      <w:r w:rsidR="00D76EBA" w:rsidRPr="00FE4F41">
        <w:rPr>
          <w:rFonts w:asciiTheme="majorHAnsi" w:hAnsiTheme="majorHAnsi"/>
          <w:sz w:val="20"/>
          <w:szCs w:val="20"/>
          <w:lang w:val="es-ES_tradnl"/>
        </w:rPr>
        <w:t xml:space="preserve">contar con los datos necesarios para ubicar las planillas de suelto; requerimiento que no fue cumplido ni instado por esta. </w:t>
      </w:r>
    </w:p>
    <w:p w14:paraId="50261EE1" w14:textId="77777777" w:rsidR="00D76EBA" w:rsidRPr="00FE4F41" w:rsidRDefault="00D76EBA" w:rsidP="00D76EBA">
      <w:pPr>
        <w:pStyle w:val="ListParagraph"/>
        <w:rPr>
          <w:rFonts w:asciiTheme="majorHAnsi" w:hAnsiTheme="majorHAnsi"/>
          <w:b/>
          <w:bCs/>
          <w:sz w:val="20"/>
          <w:szCs w:val="20"/>
          <w:lang w:val="es-ES_tradnl"/>
        </w:rPr>
      </w:pPr>
    </w:p>
    <w:p w14:paraId="00EAF0D7" w14:textId="7EC46156" w:rsidR="00D76EBA" w:rsidRPr="00FE4F41" w:rsidRDefault="00D76EBA" w:rsidP="006B63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Conforme continúa el relato del Estado, en 2019 se logró cuantificar el monto que se debía devolver a la peticionaria por lo que el Dirección General de Jubilaciones y Pensiones del Ministerio de hacienda emitió resolución autorizando la devolución de los aportes jubilatorios realizados por el difunto esposo de la presunta víctima.</w:t>
      </w:r>
      <w:r w:rsidR="009F6A7F" w:rsidRPr="00FE4F41">
        <w:rPr>
          <w:rFonts w:asciiTheme="majorHAnsi" w:hAnsiTheme="majorHAnsi"/>
          <w:sz w:val="20"/>
          <w:szCs w:val="20"/>
          <w:lang w:val="es-ES_tradnl"/>
        </w:rPr>
        <w:t xml:space="preserve"> El pago a favor de la presunta víctima fue ejecutado el 28 de noviembre de 2019 pero esta no retiró el cheque emitido a su nombre</w:t>
      </w:r>
      <w:r w:rsidR="0051717D" w:rsidRPr="00FE4F41">
        <w:rPr>
          <w:rFonts w:asciiTheme="majorHAnsi" w:hAnsiTheme="majorHAnsi"/>
          <w:sz w:val="20"/>
          <w:szCs w:val="20"/>
          <w:lang w:val="es-ES_tradnl"/>
        </w:rPr>
        <w:t xml:space="preserve"> conllevando a que se debiera emitir una nueva resolución para la correspondiente imputación a los créditos presupuestarios vigentes al año 2020.</w:t>
      </w:r>
      <w:r w:rsidR="00682256" w:rsidRPr="00FE4F41">
        <w:rPr>
          <w:rFonts w:asciiTheme="majorHAnsi" w:hAnsiTheme="majorHAnsi"/>
          <w:sz w:val="20"/>
          <w:szCs w:val="20"/>
          <w:lang w:val="es-ES_tradnl"/>
        </w:rPr>
        <w:t xml:space="preserve"> En su última comunicación del </w:t>
      </w:r>
      <w:r w:rsidR="009E4972" w:rsidRPr="00FE4F41">
        <w:rPr>
          <w:rFonts w:asciiTheme="majorHAnsi" w:hAnsiTheme="majorHAnsi"/>
          <w:sz w:val="20"/>
          <w:szCs w:val="20"/>
          <w:lang w:val="es-ES_tradnl"/>
        </w:rPr>
        <w:t>20 de octubre de</w:t>
      </w:r>
      <w:r w:rsidR="00682256" w:rsidRPr="00FE4F41">
        <w:rPr>
          <w:rFonts w:asciiTheme="majorHAnsi" w:hAnsiTheme="majorHAnsi"/>
          <w:sz w:val="20"/>
          <w:szCs w:val="20"/>
          <w:lang w:val="es-ES_tradnl"/>
        </w:rPr>
        <w:t xml:space="preserve"> 2021 el Estado indicó haber verificado que la presunta víctima había ya realizado el retiro de casi la totalidad de los fondos abonados a su favor. </w:t>
      </w:r>
    </w:p>
    <w:p w14:paraId="646A5FB6" w14:textId="77777777" w:rsidR="00682256" w:rsidRPr="00FE4F41" w:rsidRDefault="00682256" w:rsidP="00682256">
      <w:pPr>
        <w:pStyle w:val="ListParagraph"/>
        <w:rPr>
          <w:rFonts w:asciiTheme="majorHAnsi" w:hAnsiTheme="majorHAnsi"/>
          <w:b/>
          <w:bCs/>
          <w:sz w:val="20"/>
          <w:szCs w:val="20"/>
          <w:lang w:val="es-ES_tradnl"/>
        </w:rPr>
      </w:pPr>
    </w:p>
    <w:p w14:paraId="304BBBA4" w14:textId="0956B5E7" w:rsidR="00682256" w:rsidRPr="00FE4F41" w:rsidRDefault="00682256" w:rsidP="006B63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El Estado cons</w:t>
      </w:r>
      <w:r w:rsidR="0078341F" w:rsidRPr="00FE4F41">
        <w:rPr>
          <w:rFonts w:asciiTheme="majorHAnsi" w:hAnsiTheme="majorHAnsi"/>
          <w:sz w:val="20"/>
          <w:szCs w:val="20"/>
          <w:lang w:val="es-ES_tradnl"/>
        </w:rPr>
        <w:t>idera que los motivos de la petición han dejado de subsistir dado que la justicia doméstica emitió decisiones favorables a la presunta víctima y dichas decisiones fueron ejecutadas. En consecuencia, solicita que la petición sea archivada conforme a lo dispuesto en el artículo 48.1</w:t>
      </w:r>
      <w:r w:rsidR="00843EC1" w:rsidRPr="00FE4F41">
        <w:rPr>
          <w:rFonts w:asciiTheme="majorHAnsi" w:hAnsiTheme="majorHAnsi"/>
          <w:sz w:val="20"/>
          <w:szCs w:val="20"/>
          <w:lang w:val="es-ES_tradnl"/>
        </w:rPr>
        <w:t>.</w:t>
      </w:r>
      <w:r w:rsidR="0078341F" w:rsidRPr="00FE4F41">
        <w:rPr>
          <w:rFonts w:asciiTheme="majorHAnsi" w:hAnsiTheme="majorHAnsi"/>
          <w:sz w:val="20"/>
          <w:szCs w:val="20"/>
          <w:lang w:val="es-ES_tradnl"/>
        </w:rPr>
        <w:t>b) de la Convención Americana</w:t>
      </w:r>
      <w:r w:rsidR="00843EC1" w:rsidRPr="00FE4F41">
        <w:rPr>
          <w:rFonts w:asciiTheme="majorHAnsi" w:hAnsiTheme="majorHAnsi"/>
          <w:sz w:val="20"/>
          <w:szCs w:val="20"/>
          <w:lang w:val="es-ES_tradnl"/>
        </w:rPr>
        <w:t>,</w:t>
      </w:r>
      <w:r w:rsidR="0078341F" w:rsidRPr="00FE4F41">
        <w:rPr>
          <w:rFonts w:asciiTheme="majorHAnsi" w:hAnsiTheme="majorHAnsi"/>
          <w:sz w:val="20"/>
          <w:szCs w:val="20"/>
          <w:lang w:val="es-ES_tradnl"/>
        </w:rPr>
        <w:t xml:space="preserve"> y el artículo 42 del reglamento de la Comisión </w:t>
      </w:r>
    </w:p>
    <w:p w14:paraId="2C2206E8" w14:textId="77777777" w:rsidR="00E16F13" w:rsidRPr="00FE4F41" w:rsidRDefault="00E16F13" w:rsidP="00E16F13">
      <w:pPr>
        <w:pStyle w:val="ListParagraph"/>
        <w:rPr>
          <w:rFonts w:asciiTheme="majorHAnsi" w:hAnsiTheme="majorHAnsi"/>
          <w:b/>
          <w:bCs/>
          <w:sz w:val="20"/>
          <w:szCs w:val="20"/>
          <w:lang w:val="es-ES_tradnl"/>
        </w:rPr>
      </w:pPr>
    </w:p>
    <w:p w14:paraId="5C68661B" w14:textId="36BBE961" w:rsidR="00E16F13" w:rsidRPr="00FE4F41" w:rsidRDefault="00E16F13" w:rsidP="006B63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 xml:space="preserve">También manifiesta el Estado que </w:t>
      </w:r>
      <w:r w:rsidR="00057EBA" w:rsidRPr="00FE4F41">
        <w:rPr>
          <w:rFonts w:asciiTheme="majorHAnsi" w:hAnsiTheme="majorHAnsi"/>
          <w:sz w:val="20"/>
          <w:szCs w:val="20"/>
          <w:lang w:val="es-ES_tradnl"/>
        </w:rPr>
        <w:t xml:space="preserve">la petición debe ser inadmitida en los términos del artículo 47 de la Convención Americana porque </w:t>
      </w:r>
      <w:r w:rsidR="009A346C" w:rsidRPr="00FE4F41">
        <w:rPr>
          <w:rFonts w:asciiTheme="majorHAnsi" w:hAnsiTheme="majorHAnsi"/>
          <w:sz w:val="20"/>
          <w:szCs w:val="20"/>
          <w:lang w:val="es-ES_tradnl"/>
        </w:rPr>
        <w:t xml:space="preserve">la presunta víctima tuvo acceso a todos los recursos disponibles en el ordenamiento doméstico tanto en sede administrativa como </w:t>
      </w:r>
      <w:r w:rsidR="00843EC1" w:rsidRPr="00FE4F41">
        <w:rPr>
          <w:rFonts w:asciiTheme="majorHAnsi" w:hAnsiTheme="majorHAnsi"/>
          <w:sz w:val="20"/>
          <w:szCs w:val="20"/>
          <w:lang w:val="es-ES_tradnl"/>
        </w:rPr>
        <w:t>judicial</w:t>
      </w:r>
      <w:r w:rsidR="00056827" w:rsidRPr="00FE4F41">
        <w:rPr>
          <w:rFonts w:asciiTheme="majorHAnsi" w:hAnsiTheme="majorHAnsi"/>
          <w:sz w:val="20"/>
          <w:szCs w:val="20"/>
          <w:lang w:val="es-ES_tradnl"/>
        </w:rPr>
        <w:t>, siguiéndose en todo momento el debido proceso legal. Además, la más alta autoridad jurisdiccional del país le reconoció a la presunta víctima los derechos reclamados por esta y la autoridad administrativa competente acató lo ordenado por dicha autoridad jurisdiccional</w:t>
      </w:r>
      <w:r w:rsidR="00843EC1" w:rsidRPr="00FE4F41">
        <w:rPr>
          <w:rFonts w:asciiTheme="majorHAnsi" w:hAnsiTheme="majorHAnsi"/>
          <w:sz w:val="20"/>
          <w:szCs w:val="20"/>
          <w:lang w:val="es-ES_tradnl"/>
        </w:rPr>
        <w:t>,</w:t>
      </w:r>
      <w:r w:rsidR="00461599" w:rsidRPr="00FE4F41">
        <w:rPr>
          <w:rFonts w:asciiTheme="majorHAnsi" w:hAnsiTheme="majorHAnsi"/>
          <w:sz w:val="20"/>
          <w:szCs w:val="20"/>
          <w:lang w:val="es-ES_tradnl"/>
        </w:rPr>
        <w:t xml:space="preserve"> estando debidamente justificadas las razones por las que esta inicialmente se demoró en cumplimiento</w:t>
      </w:r>
      <w:r w:rsidR="00056827" w:rsidRPr="00FE4F41">
        <w:rPr>
          <w:rFonts w:asciiTheme="majorHAnsi" w:hAnsiTheme="majorHAnsi"/>
          <w:sz w:val="20"/>
          <w:szCs w:val="20"/>
          <w:lang w:val="es-ES_tradnl"/>
        </w:rPr>
        <w:t>.</w:t>
      </w:r>
      <w:r w:rsidR="00461599" w:rsidRPr="00FE4F41">
        <w:rPr>
          <w:rFonts w:asciiTheme="majorHAnsi" w:hAnsiTheme="majorHAnsi"/>
          <w:sz w:val="20"/>
          <w:szCs w:val="20"/>
          <w:lang w:val="es-ES_tradnl"/>
        </w:rPr>
        <w:t xml:space="preserve"> El Estado agrega que la sentencia proferida por la Sala Penal de la Corte Suprema de Justicia</w:t>
      </w:r>
      <w:r w:rsidR="00074604" w:rsidRPr="00FE4F41">
        <w:rPr>
          <w:rFonts w:asciiTheme="majorHAnsi" w:hAnsiTheme="majorHAnsi"/>
          <w:sz w:val="20"/>
          <w:szCs w:val="20"/>
          <w:lang w:val="es-ES_tradnl"/>
        </w:rPr>
        <w:t xml:space="preserve">, la cual ya tiene grado de cosa juzgada, no hizo ninguna referencia al pago sumas en concepto de mora o intereses. Por lo tanto, el Estado sostiene que </w:t>
      </w:r>
      <w:r w:rsidR="009E4972" w:rsidRPr="00FE4F41">
        <w:rPr>
          <w:rFonts w:asciiTheme="majorHAnsi" w:hAnsiTheme="majorHAnsi"/>
          <w:sz w:val="20"/>
          <w:szCs w:val="20"/>
          <w:lang w:val="es-ES_tradnl"/>
        </w:rPr>
        <w:t xml:space="preserve">ha cumplido plenamente con lo ordenado en la sentencia proferida a favor de la presunta </w:t>
      </w:r>
      <w:r w:rsidR="00460AAF" w:rsidRPr="00FE4F41">
        <w:rPr>
          <w:rFonts w:asciiTheme="majorHAnsi" w:hAnsiTheme="majorHAnsi"/>
          <w:sz w:val="20"/>
          <w:szCs w:val="20"/>
          <w:lang w:val="es-ES_tradnl"/>
        </w:rPr>
        <w:t>víctima,</w:t>
      </w:r>
      <w:r w:rsidR="009E4972" w:rsidRPr="00FE4F41">
        <w:rPr>
          <w:rFonts w:asciiTheme="majorHAnsi" w:hAnsiTheme="majorHAnsi"/>
          <w:sz w:val="20"/>
          <w:szCs w:val="20"/>
          <w:lang w:val="es-ES_tradnl"/>
        </w:rPr>
        <w:t xml:space="preserve"> así como con todas las cuestiones requeridas en la demanda inicial de esta. </w:t>
      </w:r>
    </w:p>
    <w:p w14:paraId="3736FA18" w14:textId="77777777" w:rsidR="009E4972" w:rsidRPr="00FE4F41" w:rsidRDefault="009E4972" w:rsidP="009E497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366B149" w14:textId="0DEAF3F8" w:rsidR="009E4972" w:rsidRPr="00FE4F41" w:rsidRDefault="009E4972" w:rsidP="006B63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E4F41">
        <w:rPr>
          <w:rFonts w:asciiTheme="majorHAnsi" w:hAnsiTheme="majorHAnsi"/>
          <w:sz w:val="20"/>
          <w:szCs w:val="20"/>
          <w:lang w:val="es-ES_tradnl"/>
        </w:rPr>
        <w:t>En su última comunicación del 20 de octubre de 2021 el Estado indic</w:t>
      </w:r>
      <w:r w:rsidR="00843EC1" w:rsidRPr="00FE4F41">
        <w:rPr>
          <w:rFonts w:asciiTheme="majorHAnsi" w:hAnsiTheme="majorHAnsi"/>
          <w:sz w:val="20"/>
          <w:szCs w:val="20"/>
          <w:lang w:val="es-ES_tradnl"/>
        </w:rPr>
        <w:t>a</w:t>
      </w:r>
      <w:r w:rsidRPr="00FE4F41">
        <w:rPr>
          <w:rFonts w:asciiTheme="majorHAnsi" w:hAnsiTheme="majorHAnsi"/>
          <w:sz w:val="20"/>
          <w:szCs w:val="20"/>
          <w:lang w:val="es-ES_tradnl"/>
        </w:rPr>
        <w:t xml:space="preserve"> que</w:t>
      </w:r>
      <w:r w:rsidR="001C5B12" w:rsidRPr="00FE4F41">
        <w:rPr>
          <w:rFonts w:asciiTheme="majorHAnsi" w:hAnsiTheme="majorHAnsi"/>
          <w:sz w:val="20"/>
          <w:szCs w:val="20"/>
          <w:lang w:val="es-ES_tradnl"/>
        </w:rPr>
        <w:t xml:space="preserve"> el 18 de mayo de 2020 el Ministerio de Hacienda </w:t>
      </w:r>
      <w:r w:rsidR="00843EC1" w:rsidRPr="00FE4F41">
        <w:rPr>
          <w:rFonts w:asciiTheme="majorHAnsi" w:hAnsiTheme="majorHAnsi"/>
          <w:sz w:val="20"/>
          <w:szCs w:val="20"/>
          <w:lang w:val="es-ES_tradnl"/>
        </w:rPr>
        <w:t>interpuso una</w:t>
      </w:r>
      <w:r w:rsidR="001C5B12" w:rsidRPr="00FE4F41">
        <w:rPr>
          <w:rFonts w:asciiTheme="majorHAnsi" w:hAnsiTheme="majorHAnsi"/>
          <w:sz w:val="20"/>
          <w:szCs w:val="20"/>
          <w:lang w:val="es-ES_tradnl"/>
        </w:rPr>
        <w:t xml:space="preserve"> excepción de pago y solicitud de rechazo en los autos caratulados “Irma Noemí Vda de Soerensen c/ Ministerio de Hacienda s/ ejecución de sentencia”</w:t>
      </w:r>
      <w:r w:rsidR="00843EC1" w:rsidRPr="00FE4F41">
        <w:rPr>
          <w:rFonts w:asciiTheme="majorHAnsi" w:hAnsiTheme="majorHAnsi"/>
          <w:sz w:val="20"/>
          <w:szCs w:val="20"/>
          <w:lang w:val="es-ES_tradnl"/>
        </w:rPr>
        <w:t>,</w:t>
      </w:r>
      <w:r w:rsidR="001C5B12" w:rsidRPr="00FE4F41">
        <w:rPr>
          <w:rFonts w:asciiTheme="majorHAnsi" w:hAnsiTheme="majorHAnsi"/>
          <w:sz w:val="20"/>
          <w:szCs w:val="20"/>
          <w:lang w:val="es-ES_tradnl"/>
        </w:rPr>
        <w:t xml:space="preserve"> y que</w:t>
      </w:r>
      <w:r w:rsidRPr="00FE4F41">
        <w:rPr>
          <w:rFonts w:asciiTheme="majorHAnsi" w:hAnsiTheme="majorHAnsi"/>
          <w:sz w:val="20"/>
          <w:szCs w:val="20"/>
          <w:lang w:val="es-ES_tradnl"/>
        </w:rPr>
        <w:t xml:space="preserve"> “</w:t>
      </w:r>
      <w:r w:rsidRPr="00FE4F41">
        <w:rPr>
          <w:rFonts w:asciiTheme="majorHAnsi" w:hAnsiTheme="majorHAnsi"/>
          <w:i/>
          <w:iCs/>
          <w:sz w:val="20"/>
          <w:szCs w:val="20"/>
          <w:lang w:val="es-ES_tradnl"/>
        </w:rPr>
        <w:t>el juicio sigue su trámite en el fuero interno y se aguarda la resolución del órgano jurisdiccional al respecto</w:t>
      </w:r>
      <w:r w:rsidR="001C5B12" w:rsidRPr="00FE4F41">
        <w:rPr>
          <w:rFonts w:asciiTheme="majorHAnsi" w:hAnsiTheme="majorHAnsi"/>
          <w:sz w:val="20"/>
          <w:szCs w:val="20"/>
          <w:lang w:val="es-ES_tradnl"/>
        </w:rPr>
        <w:t xml:space="preserve">”.  A juicio del Estado, esto implica que la presunta víctima no ha cumplido con el requisito de agotamiento de los recursos internos. </w:t>
      </w:r>
      <w:r w:rsidR="00843EC1" w:rsidRPr="00FE4F41">
        <w:rPr>
          <w:rFonts w:asciiTheme="majorHAnsi" w:hAnsiTheme="majorHAnsi"/>
          <w:sz w:val="20"/>
          <w:szCs w:val="20"/>
          <w:lang w:val="es-ES_tradnl"/>
        </w:rPr>
        <w:t xml:space="preserve">–Es importante mencionar que las partes no son explícitas </w:t>
      </w:r>
      <w:r w:rsidR="00460AAF" w:rsidRPr="00FE4F41">
        <w:rPr>
          <w:rFonts w:asciiTheme="majorHAnsi" w:hAnsiTheme="majorHAnsi"/>
          <w:sz w:val="20"/>
          <w:szCs w:val="20"/>
          <w:lang w:val="es-ES_tradnl"/>
        </w:rPr>
        <w:t>en indicar</w:t>
      </w:r>
      <w:r w:rsidR="00843EC1" w:rsidRPr="00FE4F41">
        <w:rPr>
          <w:rFonts w:asciiTheme="majorHAnsi" w:hAnsiTheme="majorHAnsi"/>
          <w:sz w:val="20"/>
          <w:szCs w:val="20"/>
          <w:lang w:val="es-ES_tradnl"/>
        </w:rPr>
        <w:t xml:space="preserve"> qué es lo que continúa en litigio–.</w:t>
      </w:r>
    </w:p>
    <w:p w14:paraId="1EB2FB37" w14:textId="77777777" w:rsidR="00843EC1" w:rsidRPr="00FE4F41" w:rsidRDefault="00843EC1" w:rsidP="00FE4F4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FE6F5AE" w14:textId="165D603E" w:rsidR="004C616A" w:rsidRPr="00FE4F41" w:rsidRDefault="004C616A"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FE4F41">
        <w:rPr>
          <w:rFonts w:asciiTheme="majorHAnsi" w:hAnsiTheme="majorHAnsi"/>
          <w:b/>
          <w:bCs/>
          <w:sz w:val="20"/>
          <w:szCs w:val="20"/>
          <w:lang w:val="es-ES_tradnl"/>
        </w:rPr>
        <w:lastRenderedPageBreak/>
        <w:t xml:space="preserve">VI. </w:t>
      </w:r>
      <w:r w:rsidR="00464346" w:rsidRPr="00FE4F41">
        <w:rPr>
          <w:rFonts w:asciiTheme="majorHAnsi" w:hAnsiTheme="majorHAnsi"/>
          <w:b/>
          <w:bCs/>
          <w:sz w:val="20"/>
          <w:szCs w:val="20"/>
          <w:lang w:val="es-ES_tradnl"/>
        </w:rPr>
        <w:t xml:space="preserve">  </w:t>
      </w:r>
      <w:r w:rsidR="006700E5" w:rsidRPr="00FE4F41">
        <w:rPr>
          <w:rFonts w:asciiTheme="majorHAnsi" w:hAnsiTheme="majorHAnsi"/>
          <w:b/>
          <w:bCs/>
          <w:sz w:val="20"/>
          <w:szCs w:val="20"/>
          <w:lang w:val="es-ES_tradnl"/>
        </w:rPr>
        <w:tab/>
      </w:r>
      <w:r w:rsidR="00FE4F41" w:rsidRPr="00FE4F41">
        <w:rPr>
          <w:rFonts w:asciiTheme="majorHAnsi" w:hAnsiTheme="majorHAnsi"/>
          <w:b/>
          <w:bCs/>
          <w:sz w:val="20"/>
          <w:szCs w:val="20"/>
          <w:lang w:val="es-ES_tradnl"/>
        </w:rPr>
        <w:t xml:space="preserve">ANÁLISIS DE </w:t>
      </w:r>
      <w:r w:rsidRPr="00FE4F41">
        <w:rPr>
          <w:rFonts w:asciiTheme="majorHAnsi" w:hAnsiTheme="majorHAnsi"/>
          <w:b/>
          <w:bCs/>
          <w:sz w:val="20"/>
          <w:szCs w:val="20"/>
          <w:lang w:val="es-ES_tradnl"/>
        </w:rPr>
        <w:t>AGOTAMIENTO DE RECURSOS INTERNOS Y PLAZO DE PRESENTACIÓN</w:t>
      </w:r>
    </w:p>
    <w:p w14:paraId="4E0FE27D" w14:textId="77777777" w:rsidR="006B6333" w:rsidRPr="00FE4F41" w:rsidRDefault="006B6333"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17D0DEE8" w14:textId="535C3B81" w:rsidR="00564939" w:rsidRPr="00FE4F41" w:rsidRDefault="001B5974" w:rsidP="005649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La parte peticionaria no ha expresado posición respecto a si la petición cumple o no con los requisitos de agotamiento de los recursos internos y presentación oportuna. A su vez, el Estado ha indicado que la petición no cumple con el requisito de agotamiento de los recursos internos</w:t>
      </w:r>
      <w:r w:rsidR="00843EC1"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porque el juicio pertinente continúa en trámite en el fuero interno estando pendiente de resolución por parte del órgano jurisdiccional.</w:t>
      </w:r>
    </w:p>
    <w:p w14:paraId="506CE02C" w14:textId="77777777" w:rsidR="00564939" w:rsidRPr="00FE4F41" w:rsidRDefault="00564939" w:rsidP="005649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31CC20B" w14:textId="7A239CA6" w:rsidR="00564939" w:rsidRPr="00FE4F41" w:rsidRDefault="00564939" w:rsidP="005649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 xml:space="preserve">El objeto de la presente petición </w:t>
      </w:r>
      <w:r w:rsidR="00871795" w:rsidRPr="00FE4F41">
        <w:rPr>
          <w:rFonts w:asciiTheme="majorHAnsi" w:hAnsiTheme="majorHAnsi"/>
          <w:sz w:val="20"/>
          <w:szCs w:val="20"/>
          <w:lang w:val="es-ES_tradnl"/>
        </w:rPr>
        <w:t xml:space="preserve">es reclamar por supuestas violaciones a los derechos de la presunta víctima </w:t>
      </w:r>
      <w:r w:rsidR="003F75B9" w:rsidRPr="00FE4F41">
        <w:rPr>
          <w:rFonts w:asciiTheme="majorHAnsi" w:hAnsiTheme="majorHAnsi"/>
          <w:sz w:val="20"/>
          <w:szCs w:val="20"/>
          <w:lang w:val="es-ES_tradnl"/>
        </w:rPr>
        <w:t xml:space="preserve">que habrían sido causadas por un retardo injustificado de las autoridades estatales en lo relacionado con la devolución a esta de los aportes jubilatorios realizados por su difunto esposo. </w:t>
      </w:r>
    </w:p>
    <w:p w14:paraId="2BB18F5C" w14:textId="77777777" w:rsidR="00CA1186" w:rsidRPr="00FE4F41" w:rsidRDefault="00CA1186" w:rsidP="00CA11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8B5B936" w14:textId="1574899E" w:rsidR="00FA65F5" w:rsidRPr="00FE4F41" w:rsidRDefault="00CA1186"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 xml:space="preserve">Según lo expuesto por las partes, la presunta víctima solicitó al Ministerio de Hacienda la devolución de los aportes jubilatorios realizados por su difunto esposo siendo su solicitud rechazada el 6 de agosto de 1997. La peticionaria impugnó judicialmente la resolución de rechazo el 12 de agosto de 1997 y el 10 de agosto de 2012 el Tribunal de Cuentas emitió sentencia </w:t>
      </w:r>
      <w:r w:rsidR="0064686E" w:rsidRPr="00FE4F41">
        <w:rPr>
          <w:rFonts w:asciiTheme="majorHAnsi" w:hAnsiTheme="majorHAnsi"/>
          <w:sz w:val="20"/>
          <w:szCs w:val="20"/>
          <w:lang w:val="es-ES_tradnl"/>
        </w:rPr>
        <w:t>a su favor. Esa sentencia fue apelada por el Ministerio de Hacienda</w:t>
      </w:r>
      <w:r w:rsidR="00382607" w:rsidRPr="00FE4F41">
        <w:rPr>
          <w:rFonts w:asciiTheme="majorHAnsi" w:hAnsiTheme="majorHAnsi"/>
          <w:sz w:val="20"/>
          <w:szCs w:val="20"/>
          <w:lang w:val="es-ES_tradnl"/>
        </w:rPr>
        <w:t>,</w:t>
      </w:r>
      <w:r w:rsidR="0064686E" w:rsidRPr="00FE4F41">
        <w:rPr>
          <w:rFonts w:asciiTheme="majorHAnsi" w:hAnsiTheme="majorHAnsi"/>
          <w:sz w:val="20"/>
          <w:szCs w:val="20"/>
          <w:lang w:val="es-ES_tradnl"/>
        </w:rPr>
        <w:t xml:space="preserve"> pero fue confirmada por la Sala Penal de la Corte Suprema de Justicia el 2 de febrero de 2015.  Luego, la presunta víctima solicitó una aclaratoria de sentencia que fue resuelta el </w:t>
      </w:r>
      <w:r w:rsidR="00657A8A" w:rsidRPr="00FE4F41">
        <w:rPr>
          <w:rFonts w:asciiTheme="majorHAnsi" w:hAnsiTheme="majorHAnsi"/>
          <w:sz w:val="20"/>
          <w:szCs w:val="20"/>
          <w:lang w:val="es-ES_tradnl"/>
        </w:rPr>
        <w:t xml:space="preserve">13 de julio de 2015. Tras ello, la presunta víctima solicitó administrativamente el cumplimiento de la sentencia conllevando a un procedimiento administrativo que culminó, según lo indicado por el Estado, con que se ejecutara un pago a favor de la presunta víctima el 28 de noviembre de 2019, el cual no fue retirado por </w:t>
      </w:r>
      <w:r w:rsidR="00382607" w:rsidRPr="00FE4F41">
        <w:rPr>
          <w:rFonts w:asciiTheme="majorHAnsi" w:hAnsiTheme="majorHAnsi"/>
          <w:sz w:val="20"/>
          <w:szCs w:val="20"/>
          <w:lang w:val="es-ES_tradnl"/>
        </w:rPr>
        <w:t>aquella</w:t>
      </w:r>
      <w:r w:rsidR="00657A8A" w:rsidRPr="00FE4F41">
        <w:rPr>
          <w:rFonts w:asciiTheme="majorHAnsi" w:hAnsiTheme="majorHAnsi"/>
          <w:sz w:val="20"/>
          <w:szCs w:val="20"/>
          <w:lang w:val="es-ES_tradnl"/>
        </w:rPr>
        <w:t>.</w:t>
      </w:r>
      <w:r w:rsidR="00FA65F5" w:rsidRPr="00FE4F41">
        <w:rPr>
          <w:rFonts w:asciiTheme="majorHAnsi" w:hAnsiTheme="majorHAnsi"/>
          <w:sz w:val="20"/>
          <w:szCs w:val="20"/>
          <w:lang w:val="es-ES_tradnl"/>
        </w:rPr>
        <w:t xml:space="preserve"> La presunta víctima ha indicado haber recibido un pago por parte del Estado en 2020</w:t>
      </w:r>
      <w:r w:rsidR="00896310" w:rsidRPr="00FE4F41">
        <w:rPr>
          <w:rFonts w:asciiTheme="majorHAnsi" w:hAnsiTheme="majorHAnsi"/>
          <w:sz w:val="20"/>
          <w:szCs w:val="20"/>
          <w:lang w:val="es-ES_tradnl"/>
        </w:rPr>
        <w:t>;</w:t>
      </w:r>
      <w:r w:rsidR="00FA65F5" w:rsidRPr="00FE4F41">
        <w:rPr>
          <w:rFonts w:asciiTheme="majorHAnsi" w:hAnsiTheme="majorHAnsi"/>
          <w:sz w:val="20"/>
          <w:szCs w:val="20"/>
          <w:lang w:val="es-ES_tradnl"/>
        </w:rPr>
        <w:t xml:space="preserve"> y el Estado manifestó en 2021 que la presunta </w:t>
      </w:r>
      <w:r w:rsidR="00460AAF" w:rsidRPr="00FE4F41">
        <w:rPr>
          <w:rFonts w:asciiTheme="majorHAnsi" w:hAnsiTheme="majorHAnsi"/>
          <w:sz w:val="20"/>
          <w:szCs w:val="20"/>
          <w:lang w:val="es-ES_tradnl"/>
        </w:rPr>
        <w:t>víctima</w:t>
      </w:r>
      <w:r w:rsidR="00FA65F5" w:rsidRPr="00FE4F41">
        <w:rPr>
          <w:rFonts w:asciiTheme="majorHAnsi" w:hAnsiTheme="majorHAnsi"/>
          <w:sz w:val="20"/>
          <w:szCs w:val="20"/>
          <w:lang w:val="es-ES_tradnl"/>
        </w:rPr>
        <w:t xml:space="preserve"> ya había retirado casi la totalidad de los montos autorizados a su favor.</w:t>
      </w:r>
    </w:p>
    <w:p w14:paraId="45678699" w14:textId="715BC587" w:rsidR="00CA1186" w:rsidRPr="00FE4F41" w:rsidRDefault="00FA65F5" w:rsidP="00FA65F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r w:rsidRPr="00FE4F41">
        <w:rPr>
          <w:rFonts w:asciiTheme="majorHAnsi" w:hAnsiTheme="majorHAnsi"/>
          <w:sz w:val="20"/>
          <w:szCs w:val="20"/>
          <w:lang w:val="es-ES_tradnl"/>
        </w:rPr>
        <w:t xml:space="preserve"> </w:t>
      </w:r>
    </w:p>
    <w:p w14:paraId="27664AFA" w14:textId="68C30938" w:rsidR="0064686E" w:rsidRPr="00FE4F41" w:rsidRDefault="00FA65F5" w:rsidP="00A016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En su última comunicación</w:t>
      </w:r>
      <w:r w:rsidR="00896310"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del 20 de octubre de 2021</w:t>
      </w:r>
      <w:r w:rsidR="00896310"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el Estado indicó que el 18 de mayo de 2020 el Ministerio de Hacienda presentó una excepción de pago y solicitud de rechazo en el marco del proceso relativo a la ejecución de la sentencia favorable a la presunta víctima y que </w:t>
      </w:r>
      <w:r w:rsidR="0041725D" w:rsidRPr="00FE4F41">
        <w:rPr>
          <w:rFonts w:asciiTheme="majorHAnsi" w:hAnsiTheme="majorHAnsi"/>
          <w:sz w:val="20"/>
          <w:szCs w:val="20"/>
          <w:lang w:val="es-ES_tradnl"/>
        </w:rPr>
        <w:t xml:space="preserve">el juicio seguía en trámite en el fuero interno estando pendiente la resolución del órgano jurisdiccional al respecto. A su vez, la última comunicación de la parte peticionaria del 29 de noviembre de 2021 hizo referencia </w:t>
      </w:r>
      <w:r w:rsidR="00564939" w:rsidRPr="00FE4F41">
        <w:rPr>
          <w:rFonts w:asciiTheme="majorHAnsi" w:hAnsiTheme="majorHAnsi"/>
          <w:sz w:val="20"/>
          <w:szCs w:val="20"/>
          <w:lang w:val="es-ES_tradnl"/>
        </w:rPr>
        <w:t>la</w:t>
      </w:r>
      <w:r w:rsidR="0041725D" w:rsidRPr="00FE4F41">
        <w:rPr>
          <w:rFonts w:asciiTheme="majorHAnsi" w:hAnsiTheme="majorHAnsi"/>
          <w:sz w:val="20"/>
          <w:szCs w:val="20"/>
          <w:lang w:val="es-ES_tradnl"/>
        </w:rPr>
        <w:t xml:space="preserve"> interposición de un recurso de queja por retardo de justicia </w:t>
      </w:r>
      <w:r w:rsidR="00564939" w:rsidRPr="00FE4F41">
        <w:rPr>
          <w:rFonts w:asciiTheme="majorHAnsi" w:hAnsiTheme="majorHAnsi"/>
          <w:sz w:val="20"/>
          <w:szCs w:val="20"/>
          <w:lang w:val="es-ES_tradnl"/>
        </w:rPr>
        <w:t>en el proceso de ejecución de sentencia. Por lo tanto, la Comisión entiende que las partes concuerdan en que el proceso doméstico relacionado con el objeto de la petición no se encuentra plenamente concluido, estando pendiente el cierre definitivo de la fase de ejecución.</w:t>
      </w:r>
    </w:p>
    <w:p w14:paraId="0BFA0ECF" w14:textId="77777777" w:rsidR="00564939" w:rsidRPr="00FE4F41" w:rsidRDefault="00564939" w:rsidP="00564939">
      <w:pPr>
        <w:pStyle w:val="ListParagraph"/>
        <w:rPr>
          <w:rFonts w:asciiTheme="majorHAnsi" w:hAnsiTheme="majorHAnsi"/>
          <w:sz w:val="20"/>
          <w:szCs w:val="20"/>
          <w:lang w:val="es-ES_tradnl"/>
        </w:rPr>
      </w:pPr>
    </w:p>
    <w:p w14:paraId="650BAD09" w14:textId="6E41E68C" w:rsidR="00564939" w:rsidRPr="00FE4F41" w:rsidRDefault="00564939" w:rsidP="00A016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 xml:space="preserve">Dado que el proceso doméstico pertinente </w:t>
      </w:r>
      <w:r w:rsidR="00194FDF" w:rsidRPr="00FE4F41">
        <w:rPr>
          <w:rFonts w:asciiTheme="majorHAnsi" w:hAnsiTheme="majorHAnsi"/>
          <w:sz w:val="20"/>
          <w:szCs w:val="20"/>
          <w:lang w:val="es-ES_tradnl"/>
        </w:rPr>
        <w:t>al objeto de la petición no se encuentra plenamente concluido la Comisión debe analizar la procedencia o no de aplicar a la presente petición la excepción al requisito de agotamiento de los recursos internos prevista en el artículo 46.2</w:t>
      </w:r>
      <w:r w:rsidR="006951D0" w:rsidRPr="00FE4F41">
        <w:rPr>
          <w:rFonts w:asciiTheme="majorHAnsi" w:hAnsiTheme="majorHAnsi"/>
          <w:sz w:val="20"/>
          <w:szCs w:val="20"/>
          <w:lang w:val="es-ES_tradnl"/>
        </w:rPr>
        <w:t>.</w:t>
      </w:r>
      <w:r w:rsidR="00194FDF" w:rsidRPr="00FE4F41">
        <w:rPr>
          <w:rFonts w:asciiTheme="majorHAnsi" w:hAnsiTheme="majorHAnsi"/>
          <w:sz w:val="20"/>
          <w:szCs w:val="20"/>
          <w:lang w:val="es-ES_tradnl"/>
        </w:rPr>
        <w:t>c) de la Convención Americana. La</w:t>
      </w:r>
      <w:r w:rsidR="00361CE2" w:rsidRPr="00FE4F41">
        <w:rPr>
          <w:rFonts w:asciiTheme="majorHAnsi" w:hAnsiTheme="majorHAnsi"/>
          <w:sz w:val="20"/>
          <w:szCs w:val="20"/>
          <w:lang w:val="es-ES_tradnl"/>
        </w:rPr>
        <w:t xml:space="preserve"> Comisión ha sostenido reiteradamente que las disposiciones de la Convención Americana que establecen excepciones al requisito de agotamiento de los recursos internos </w:t>
      </w:r>
      <w:r w:rsidR="00B703E6" w:rsidRPr="00FE4F41">
        <w:rPr>
          <w:rFonts w:asciiTheme="majorHAnsi" w:hAnsiTheme="majorHAnsi" w:cs="Calibri"/>
          <w:sz w:val="20"/>
          <w:szCs w:val="20"/>
          <w:lang w:val="es-ES_tradnl"/>
        </w:rPr>
        <w:t xml:space="preserve">son normas con contenido autónomo </w:t>
      </w:r>
      <w:r w:rsidR="00B703E6" w:rsidRPr="00FE4F41">
        <w:rPr>
          <w:rFonts w:asciiTheme="majorHAnsi" w:hAnsiTheme="majorHAnsi" w:cs="Calibri"/>
          <w:i/>
          <w:sz w:val="20"/>
          <w:szCs w:val="20"/>
          <w:lang w:val="es-ES_tradnl"/>
        </w:rPr>
        <w:t>vis à vis</w:t>
      </w:r>
      <w:r w:rsidR="00B703E6" w:rsidRPr="00FE4F41">
        <w:rPr>
          <w:rFonts w:asciiTheme="majorHAnsi" w:hAnsiTheme="majorHAnsi" w:cs="Calibri"/>
          <w:sz w:val="20"/>
          <w:szCs w:val="20"/>
          <w:lang w:val="es-ES_tradnl"/>
        </w:rPr>
        <w:t xml:space="preserve"> las normas sustantivas de la Convención y que la determinación respecto a si esas excepciones resultan aplicables una petición “</w:t>
      </w:r>
      <w:r w:rsidR="00B703E6" w:rsidRPr="00FE4F41">
        <w:rPr>
          <w:rFonts w:asciiTheme="majorHAnsi" w:hAnsiTheme="majorHAnsi" w:cs="Calibri"/>
          <w:i/>
          <w:iCs/>
          <w:sz w:val="20"/>
          <w:szCs w:val="20"/>
          <w:lang w:val="es-ES_tradnl"/>
        </w:rPr>
        <w:t>debe llevarse a cabo de manera previa y separada del análisis del fondo del asunto, ya que depende de un estándar de apreciación distinto de aquél utilizado para determinar la violación de los artículos 8 y 25 de la Convención</w:t>
      </w:r>
      <w:r w:rsidR="00B703E6" w:rsidRPr="00FE4F41">
        <w:rPr>
          <w:rFonts w:asciiTheme="majorHAnsi" w:hAnsiTheme="majorHAnsi" w:cs="Calibri"/>
          <w:sz w:val="20"/>
          <w:szCs w:val="20"/>
          <w:lang w:val="es-ES_tradnl"/>
        </w:rPr>
        <w:t xml:space="preserve">”. </w:t>
      </w:r>
    </w:p>
    <w:p w14:paraId="535274EE" w14:textId="77777777" w:rsidR="00B703E6" w:rsidRPr="00FE4F41" w:rsidRDefault="00B703E6" w:rsidP="00B703E6">
      <w:pPr>
        <w:pStyle w:val="ListParagraph"/>
        <w:rPr>
          <w:rFonts w:asciiTheme="majorHAnsi" w:hAnsiTheme="majorHAnsi"/>
          <w:sz w:val="20"/>
          <w:szCs w:val="20"/>
          <w:lang w:val="es-ES_tradnl"/>
        </w:rPr>
      </w:pPr>
    </w:p>
    <w:p w14:paraId="4D4E63AB" w14:textId="6492069F" w:rsidR="00B703E6" w:rsidRPr="00FE4F41" w:rsidRDefault="00B703E6" w:rsidP="00A016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 xml:space="preserve">En el presente caso la </w:t>
      </w:r>
      <w:r w:rsidR="008034B1" w:rsidRPr="00FE4F41">
        <w:rPr>
          <w:rFonts w:asciiTheme="majorHAnsi" w:hAnsiTheme="majorHAnsi"/>
          <w:sz w:val="20"/>
          <w:szCs w:val="20"/>
          <w:lang w:val="es-ES_tradnl"/>
        </w:rPr>
        <w:t>CIDH</w:t>
      </w:r>
      <w:r w:rsidRPr="00FE4F41">
        <w:rPr>
          <w:rFonts w:asciiTheme="majorHAnsi" w:hAnsiTheme="majorHAnsi"/>
          <w:sz w:val="20"/>
          <w:szCs w:val="20"/>
          <w:lang w:val="es-ES_tradnl"/>
        </w:rPr>
        <w:t xml:space="preserve"> valora que la demanda judicial pertinente fue presentada en 1997</w:t>
      </w:r>
      <w:r w:rsidR="008034B1"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y según la última información proporcionada por las partes</w:t>
      </w:r>
      <w:r w:rsidR="00CE5972" w:rsidRPr="00FE4F41">
        <w:rPr>
          <w:rFonts w:asciiTheme="majorHAnsi" w:hAnsiTheme="majorHAnsi"/>
          <w:sz w:val="20"/>
          <w:szCs w:val="20"/>
          <w:lang w:val="es-ES_tradnl"/>
        </w:rPr>
        <w:t>,</w:t>
      </w:r>
      <w:r w:rsidRPr="00FE4F41">
        <w:rPr>
          <w:rFonts w:asciiTheme="majorHAnsi" w:hAnsiTheme="majorHAnsi"/>
          <w:sz w:val="20"/>
          <w:szCs w:val="20"/>
          <w:lang w:val="es-ES_tradnl"/>
        </w:rPr>
        <w:t xml:space="preserve"> el proceso no se encontraría plenamente concluido, continuando vigente en fase de </w:t>
      </w:r>
      <w:r w:rsidR="00CE5972" w:rsidRPr="00FE4F41">
        <w:rPr>
          <w:rFonts w:asciiTheme="majorHAnsi" w:hAnsiTheme="majorHAnsi"/>
          <w:sz w:val="20"/>
          <w:szCs w:val="20"/>
          <w:lang w:val="es-ES_tradnl"/>
        </w:rPr>
        <w:t>ejecución</w:t>
      </w:r>
      <w:r w:rsidR="004B7127" w:rsidRPr="00FE4F41">
        <w:rPr>
          <w:rFonts w:asciiTheme="majorHAnsi" w:hAnsiTheme="majorHAnsi"/>
          <w:sz w:val="20"/>
          <w:szCs w:val="20"/>
          <w:lang w:val="es-ES_tradnl"/>
        </w:rPr>
        <w:t xml:space="preserve">. </w:t>
      </w:r>
      <w:r w:rsidR="00B36793" w:rsidRPr="00FE4F41">
        <w:rPr>
          <w:rFonts w:asciiTheme="majorHAnsi" w:hAnsiTheme="majorHAnsi"/>
          <w:sz w:val="20"/>
          <w:szCs w:val="20"/>
          <w:lang w:val="es-ES_tradnl"/>
        </w:rPr>
        <w:t>E</w:t>
      </w:r>
      <w:r w:rsidR="004B7127" w:rsidRPr="00FE4F41">
        <w:rPr>
          <w:rFonts w:asciiTheme="majorHAnsi" w:hAnsiTheme="majorHAnsi"/>
          <w:sz w:val="20"/>
          <w:szCs w:val="20"/>
          <w:lang w:val="es-ES_tradnl"/>
        </w:rPr>
        <w:t>l Estado ha</w:t>
      </w:r>
      <w:r w:rsidR="00B36793" w:rsidRPr="00FE4F41">
        <w:rPr>
          <w:rFonts w:asciiTheme="majorHAnsi" w:hAnsiTheme="majorHAnsi"/>
          <w:sz w:val="20"/>
          <w:szCs w:val="20"/>
          <w:lang w:val="es-ES_tradnl"/>
        </w:rPr>
        <w:t xml:space="preserve"> indicado</w:t>
      </w:r>
      <w:r w:rsidR="004B7127" w:rsidRPr="00FE4F41">
        <w:rPr>
          <w:rFonts w:asciiTheme="majorHAnsi" w:hAnsiTheme="majorHAnsi"/>
          <w:sz w:val="20"/>
          <w:szCs w:val="20"/>
          <w:lang w:val="es-ES_tradnl"/>
        </w:rPr>
        <w:t xml:space="preserve"> que la ejecución de la sentencia que </w:t>
      </w:r>
      <w:r w:rsidR="00B36793" w:rsidRPr="00FE4F41">
        <w:rPr>
          <w:rFonts w:asciiTheme="majorHAnsi" w:hAnsiTheme="majorHAnsi"/>
          <w:sz w:val="20"/>
          <w:szCs w:val="20"/>
          <w:lang w:val="es-ES_tradnl"/>
        </w:rPr>
        <w:t xml:space="preserve">en 2015 </w:t>
      </w:r>
      <w:r w:rsidR="004B7127" w:rsidRPr="00FE4F41">
        <w:rPr>
          <w:rFonts w:asciiTheme="majorHAnsi" w:hAnsiTheme="majorHAnsi"/>
          <w:sz w:val="20"/>
          <w:szCs w:val="20"/>
          <w:lang w:val="es-ES_tradnl"/>
        </w:rPr>
        <w:t>se profi</w:t>
      </w:r>
      <w:r w:rsidR="00B36793" w:rsidRPr="00FE4F41">
        <w:rPr>
          <w:rFonts w:asciiTheme="majorHAnsi" w:hAnsiTheme="majorHAnsi"/>
          <w:sz w:val="20"/>
          <w:szCs w:val="20"/>
          <w:lang w:val="es-ES_tradnl"/>
        </w:rPr>
        <w:t>rió a favor de</w:t>
      </w:r>
      <w:r w:rsidR="004B7127" w:rsidRPr="00FE4F41">
        <w:rPr>
          <w:rFonts w:asciiTheme="majorHAnsi" w:hAnsiTheme="majorHAnsi"/>
          <w:sz w:val="20"/>
          <w:szCs w:val="20"/>
          <w:lang w:val="es-ES_tradnl"/>
        </w:rPr>
        <w:t xml:space="preserve"> la presunta víctima se </w:t>
      </w:r>
      <w:r w:rsidR="008034B1" w:rsidRPr="00FE4F41">
        <w:rPr>
          <w:rFonts w:asciiTheme="majorHAnsi" w:hAnsiTheme="majorHAnsi"/>
          <w:sz w:val="20"/>
          <w:szCs w:val="20"/>
          <w:lang w:val="es-ES_tradnl"/>
        </w:rPr>
        <w:t>retrasó</w:t>
      </w:r>
      <w:r w:rsidR="004B7127" w:rsidRPr="00FE4F41">
        <w:rPr>
          <w:rFonts w:asciiTheme="majorHAnsi" w:hAnsiTheme="majorHAnsi"/>
          <w:sz w:val="20"/>
          <w:szCs w:val="20"/>
          <w:lang w:val="es-ES_tradnl"/>
        </w:rPr>
        <w:t xml:space="preserve"> </w:t>
      </w:r>
      <w:r w:rsidR="008034B1" w:rsidRPr="00FE4F41">
        <w:rPr>
          <w:rFonts w:asciiTheme="majorHAnsi" w:hAnsiTheme="majorHAnsi"/>
          <w:sz w:val="20"/>
          <w:szCs w:val="20"/>
          <w:lang w:val="es-ES_tradnl"/>
        </w:rPr>
        <w:t>porque</w:t>
      </w:r>
      <w:r w:rsidR="004B7127" w:rsidRPr="00FE4F41">
        <w:rPr>
          <w:rFonts w:asciiTheme="majorHAnsi" w:hAnsiTheme="majorHAnsi"/>
          <w:sz w:val="20"/>
          <w:szCs w:val="20"/>
          <w:lang w:val="es-ES_tradnl"/>
        </w:rPr>
        <w:t xml:space="preserve"> </w:t>
      </w:r>
      <w:r w:rsidR="00382607" w:rsidRPr="00FE4F41">
        <w:rPr>
          <w:rFonts w:asciiTheme="majorHAnsi" w:hAnsiTheme="majorHAnsi"/>
          <w:sz w:val="20"/>
          <w:szCs w:val="20"/>
          <w:lang w:val="es-ES_tradnl"/>
        </w:rPr>
        <w:t>aquella</w:t>
      </w:r>
      <w:r w:rsidR="004B7127" w:rsidRPr="00FE4F41">
        <w:rPr>
          <w:rFonts w:asciiTheme="majorHAnsi" w:hAnsiTheme="majorHAnsi"/>
          <w:sz w:val="20"/>
          <w:szCs w:val="20"/>
          <w:lang w:val="es-ES_tradnl"/>
        </w:rPr>
        <w:t xml:space="preserve"> no </w:t>
      </w:r>
      <w:r w:rsidR="008034B1" w:rsidRPr="00FE4F41">
        <w:rPr>
          <w:rFonts w:asciiTheme="majorHAnsi" w:hAnsiTheme="majorHAnsi"/>
          <w:sz w:val="20"/>
          <w:szCs w:val="20"/>
          <w:lang w:val="es-ES_tradnl"/>
        </w:rPr>
        <w:t>proporcionó</w:t>
      </w:r>
      <w:r w:rsidR="004B7127" w:rsidRPr="00FE4F41">
        <w:rPr>
          <w:rFonts w:asciiTheme="majorHAnsi" w:hAnsiTheme="majorHAnsi"/>
          <w:sz w:val="20"/>
          <w:szCs w:val="20"/>
          <w:lang w:val="es-ES_tradnl"/>
        </w:rPr>
        <w:t xml:space="preserve"> una </w:t>
      </w:r>
      <w:r w:rsidR="00B36793" w:rsidRPr="00FE4F41">
        <w:rPr>
          <w:rFonts w:asciiTheme="majorHAnsi" w:hAnsiTheme="majorHAnsi"/>
          <w:sz w:val="20"/>
          <w:szCs w:val="20"/>
          <w:lang w:val="es-ES_tradnl"/>
        </w:rPr>
        <w:t>documentación</w:t>
      </w:r>
      <w:r w:rsidR="004B7127" w:rsidRPr="00FE4F41">
        <w:rPr>
          <w:rFonts w:asciiTheme="majorHAnsi" w:hAnsiTheme="majorHAnsi"/>
          <w:sz w:val="20"/>
          <w:szCs w:val="20"/>
          <w:lang w:val="es-ES_tradnl"/>
        </w:rPr>
        <w:t xml:space="preserve"> que se le solicitó</w:t>
      </w:r>
      <w:r w:rsidR="00B36793" w:rsidRPr="00FE4F41">
        <w:rPr>
          <w:rFonts w:asciiTheme="majorHAnsi" w:hAnsiTheme="majorHAnsi"/>
          <w:sz w:val="20"/>
          <w:szCs w:val="20"/>
          <w:lang w:val="es-ES_tradnl"/>
        </w:rPr>
        <w:t>. Sin embargo,</w:t>
      </w:r>
      <w:r w:rsidR="004B7127" w:rsidRPr="00FE4F41">
        <w:rPr>
          <w:rFonts w:asciiTheme="majorHAnsi" w:hAnsiTheme="majorHAnsi"/>
          <w:sz w:val="20"/>
          <w:szCs w:val="20"/>
          <w:lang w:val="es-ES_tradnl"/>
        </w:rPr>
        <w:t xml:space="preserve"> la </w:t>
      </w:r>
      <w:r w:rsidR="008034B1" w:rsidRPr="00FE4F41">
        <w:rPr>
          <w:rFonts w:asciiTheme="majorHAnsi" w:hAnsiTheme="majorHAnsi"/>
          <w:sz w:val="20"/>
          <w:szCs w:val="20"/>
          <w:lang w:val="es-ES_tradnl"/>
        </w:rPr>
        <w:t>CIDH</w:t>
      </w:r>
      <w:r w:rsidR="004B7127" w:rsidRPr="00FE4F41">
        <w:rPr>
          <w:rFonts w:asciiTheme="majorHAnsi" w:hAnsiTheme="majorHAnsi"/>
          <w:sz w:val="20"/>
          <w:szCs w:val="20"/>
          <w:lang w:val="es-ES_tradnl"/>
        </w:rPr>
        <w:t xml:space="preserve"> observa que</w:t>
      </w:r>
      <w:r w:rsidR="00E9772D" w:rsidRPr="00FE4F41">
        <w:rPr>
          <w:rFonts w:asciiTheme="majorHAnsi" w:hAnsiTheme="majorHAnsi"/>
          <w:sz w:val="20"/>
          <w:szCs w:val="20"/>
          <w:lang w:val="es-ES_tradnl"/>
        </w:rPr>
        <w:t>,</w:t>
      </w:r>
      <w:r w:rsidR="004B7127" w:rsidRPr="00FE4F41">
        <w:rPr>
          <w:rFonts w:asciiTheme="majorHAnsi" w:hAnsiTheme="majorHAnsi"/>
          <w:sz w:val="20"/>
          <w:szCs w:val="20"/>
          <w:lang w:val="es-ES_tradnl"/>
        </w:rPr>
        <w:t xml:space="preserve"> según lo expuesto por el Estado</w:t>
      </w:r>
      <w:r w:rsidR="00E9772D" w:rsidRPr="00FE4F41">
        <w:rPr>
          <w:rFonts w:asciiTheme="majorHAnsi" w:hAnsiTheme="majorHAnsi"/>
          <w:sz w:val="20"/>
          <w:szCs w:val="20"/>
          <w:lang w:val="es-ES_tradnl"/>
        </w:rPr>
        <w:t>,</w:t>
      </w:r>
      <w:r w:rsidR="004B7127" w:rsidRPr="00FE4F41">
        <w:rPr>
          <w:rFonts w:asciiTheme="majorHAnsi" w:hAnsiTheme="majorHAnsi"/>
          <w:sz w:val="20"/>
          <w:szCs w:val="20"/>
          <w:lang w:val="es-ES_tradnl"/>
        </w:rPr>
        <w:t xml:space="preserve"> esa información se le solicitó</w:t>
      </w:r>
      <w:r w:rsidR="00B36793" w:rsidRPr="00FE4F41">
        <w:rPr>
          <w:rFonts w:asciiTheme="majorHAnsi" w:hAnsiTheme="majorHAnsi"/>
          <w:sz w:val="20"/>
          <w:szCs w:val="20"/>
          <w:lang w:val="es-ES_tradnl"/>
        </w:rPr>
        <w:t xml:space="preserve"> a la presunta víctima en 2017, aproximadamente </w:t>
      </w:r>
      <w:r w:rsidR="004B3428" w:rsidRPr="00FE4F41">
        <w:rPr>
          <w:rFonts w:asciiTheme="majorHAnsi" w:hAnsiTheme="majorHAnsi"/>
          <w:sz w:val="20"/>
          <w:szCs w:val="20"/>
          <w:lang w:val="es-ES_tradnl"/>
        </w:rPr>
        <w:t>veinte</w:t>
      </w:r>
      <w:r w:rsidR="00B36793" w:rsidRPr="00FE4F41">
        <w:rPr>
          <w:rFonts w:asciiTheme="majorHAnsi" w:hAnsiTheme="majorHAnsi"/>
          <w:sz w:val="20"/>
          <w:szCs w:val="20"/>
          <w:lang w:val="es-ES_tradnl"/>
        </w:rPr>
        <w:t xml:space="preserve"> años luego de la presentación de la demanda. En estas circunstancias</w:t>
      </w:r>
      <w:r w:rsidR="00CE5972" w:rsidRPr="00FE4F41">
        <w:rPr>
          <w:rFonts w:asciiTheme="majorHAnsi" w:hAnsiTheme="majorHAnsi"/>
          <w:sz w:val="20"/>
          <w:szCs w:val="20"/>
          <w:lang w:val="es-ES_tradnl"/>
        </w:rPr>
        <w:t>,</w:t>
      </w:r>
      <w:r w:rsidR="00B36793" w:rsidRPr="00FE4F41">
        <w:rPr>
          <w:rFonts w:asciiTheme="majorHAnsi" w:hAnsiTheme="majorHAnsi"/>
          <w:sz w:val="20"/>
          <w:szCs w:val="20"/>
          <w:lang w:val="es-ES_tradnl"/>
        </w:rPr>
        <w:t xml:space="preserve"> la Comisión no cuenta con elementos que le permitan concluir </w:t>
      </w:r>
      <w:r w:rsidR="00CE5972" w:rsidRPr="00FE4F41">
        <w:rPr>
          <w:rFonts w:asciiTheme="majorHAnsi" w:hAnsiTheme="majorHAnsi"/>
          <w:sz w:val="20"/>
          <w:szCs w:val="20"/>
          <w:lang w:val="es-ES_tradnl"/>
        </w:rPr>
        <w:t xml:space="preserve">en esta etapa de admisibilidad que la presunta víctima es responsable de haber dilatado el proceso pertinente al objeto de su petición. Por lo tanto, y atendiendo a los casi </w:t>
      </w:r>
      <w:r w:rsidR="004B3428" w:rsidRPr="00FE4F41">
        <w:rPr>
          <w:rFonts w:asciiTheme="majorHAnsi" w:hAnsiTheme="majorHAnsi"/>
          <w:sz w:val="20"/>
          <w:szCs w:val="20"/>
          <w:lang w:val="es-ES_tradnl"/>
        </w:rPr>
        <w:t>ve</w:t>
      </w:r>
      <w:r w:rsidR="00382607" w:rsidRPr="00FE4F41">
        <w:rPr>
          <w:rFonts w:asciiTheme="majorHAnsi" w:hAnsiTheme="majorHAnsi"/>
          <w:sz w:val="20"/>
          <w:szCs w:val="20"/>
          <w:lang w:val="es-ES_tradnl"/>
        </w:rPr>
        <w:t>i</w:t>
      </w:r>
      <w:r w:rsidR="004B3428" w:rsidRPr="00FE4F41">
        <w:rPr>
          <w:rFonts w:asciiTheme="majorHAnsi" w:hAnsiTheme="majorHAnsi"/>
          <w:sz w:val="20"/>
          <w:szCs w:val="20"/>
          <w:lang w:val="es-ES_tradnl"/>
        </w:rPr>
        <w:t>nticuatro</w:t>
      </w:r>
      <w:r w:rsidR="00CE5972" w:rsidRPr="00FE4F41">
        <w:rPr>
          <w:rFonts w:asciiTheme="majorHAnsi" w:hAnsiTheme="majorHAnsi"/>
          <w:sz w:val="20"/>
          <w:szCs w:val="20"/>
          <w:lang w:val="es-ES_tradnl"/>
        </w:rPr>
        <w:t xml:space="preserve"> años transcurridos desde el inicio del proceso sin que este haya concluido definitivamente, la Comisión concluye que la excepción al requisito de agotamiento de los recursos internos prevista en el artículo 46.2</w:t>
      </w:r>
      <w:r w:rsidR="00C75DE7" w:rsidRPr="00FE4F41">
        <w:rPr>
          <w:rFonts w:asciiTheme="majorHAnsi" w:hAnsiTheme="majorHAnsi"/>
          <w:sz w:val="20"/>
          <w:szCs w:val="20"/>
          <w:lang w:val="es-ES_tradnl"/>
        </w:rPr>
        <w:t>.</w:t>
      </w:r>
      <w:r w:rsidR="00CE5972" w:rsidRPr="00FE4F41">
        <w:rPr>
          <w:rFonts w:asciiTheme="majorHAnsi" w:hAnsiTheme="majorHAnsi"/>
          <w:sz w:val="20"/>
          <w:szCs w:val="20"/>
          <w:lang w:val="es-ES_tradnl"/>
        </w:rPr>
        <w:t>c) de la Convención Americana resulta aplicable a la presente petición.</w:t>
      </w:r>
    </w:p>
    <w:p w14:paraId="419955B9" w14:textId="77777777" w:rsidR="00CE5972" w:rsidRPr="00FE4F41" w:rsidRDefault="00CE5972" w:rsidP="00CE59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BD1BF3A" w14:textId="3432F731" w:rsidR="00CE5972" w:rsidRPr="00FE4F41" w:rsidRDefault="00CE5972" w:rsidP="00A016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lastRenderedPageBreak/>
        <w:t>En cuanto al requisito de presentación oportuna la Comisión observa que el proceso pertinente inició en 1997</w:t>
      </w:r>
      <w:r w:rsidR="00382607" w:rsidRPr="00FE4F41">
        <w:rPr>
          <w:rFonts w:asciiTheme="majorHAnsi" w:hAnsiTheme="majorHAnsi"/>
          <w:sz w:val="20"/>
          <w:szCs w:val="20"/>
          <w:lang w:val="es-ES_tradnl"/>
        </w:rPr>
        <w:t xml:space="preserve">, la decisión de primera instancia se dictó en 2012, </w:t>
      </w:r>
      <w:r w:rsidR="00195C93" w:rsidRPr="00FE4F41">
        <w:rPr>
          <w:rFonts w:asciiTheme="majorHAnsi" w:hAnsiTheme="majorHAnsi"/>
          <w:sz w:val="20"/>
          <w:szCs w:val="20"/>
          <w:lang w:val="es-ES_tradnl"/>
        </w:rPr>
        <w:t xml:space="preserve">la de segunda instancia en 2015, </w:t>
      </w:r>
      <w:r w:rsidRPr="00FE4F41">
        <w:rPr>
          <w:rFonts w:asciiTheme="majorHAnsi" w:hAnsiTheme="majorHAnsi"/>
          <w:sz w:val="20"/>
          <w:szCs w:val="20"/>
          <w:lang w:val="es-ES_tradnl"/>
        </w:rPr>
        <w:t>la petición fue presentada en 2015</w:t>
      </w:r>
      <w:r w:rsidR="00E9772D" w:rsidRPr="00FE4F41">
        <w:rPr>
          <w:rFonts w:asciiTheme="majorHAnsi" w:hAnsiTheme="majorHAnsi"/>
          <w:sz w:val="20"/>
          <w:szCs w:val="20"/>
          <w:lang w:val="es-ES_tradnl"/>
        </w:rPr>
        <w:t>, estando vigente la supuesta situación de retardo injustificado que le da objeto</w:t>
      </w:r>
      <w:r w:rsidR="00195C93" w:rsidRPr="00FE4F41">
        <w:rPr>
          <w:rFonts w:asciiTheme="majorHAnsi" w:hAnsiTheme="majorHAnsi"/>
          <w:sz w:val="20"/>
          <w:szCs w:val="20"/>
          <w:lang w:val="es-ES_tradnl"/>
        </w:rPr>
        <w:t>, y el proceso continuaría en curso en fase de ejecución hasta la fecha</w:t>
      </w:r>
      <w:r w:rsidR="00E9772D" w:rsidRPr="00FE4F41">
        <w:rPr>
          <w:rFonts w:asciiTheme="majorHAnsi" w:hAnsiTheme="majorHAnsi"/>
          <w:sz w:val="20"/>
          <w:szCs w:val="20"/>
          <w:lang w:val="es-ES_tradnl"/>
        </w:rPr>
        <w:t xml:space="preserve">. Por lo tanto, la Comisión concluye que la petición fue presentada dentro de plazo razonable en los términos del artículo 32.2 de su reglamento. </w:t>
      </w:r>
    </w:p>
    <w:p w14:paraId="21AEAF8B" w14:textId="77777777" w:rsidR="006B6333" w:rsidRPr="00FE4F41" w:rsidRDefault="006B6333" w:rsidP="006B63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090A929" w14:textId="3C6F8A27" w:rsidR="00F04591" w:rsidRPr="00FE4F41" w:rsidRDefault="00F04591" w:rsidP="0055275F">
      <w:pPr>
        <w:pStyle w:val="ListParagraph"/>
        <w:jc w:val="both"/>
        <w:rPr>
          <w:rFonts w:asciiTheme="majorHAnsi" w:hAnsiTheme="majorHAnsi"/>
          <w:b/>
          <w:bCs/>
          <w:color w:val="auto"/>
          <w:sz w:val="20"/>
          <w:szCs w:val="20"/>
          <w:lang w:val="es-ES_tradnl"/>
        </w:rPr>
      </w:pPr>
      <w:r w:rsidRPr="00FE4F41">
        <w:rPr>
          <w:rFonts w:asciiTheme="majorHAnsi" w:hAnsiTheme="majorHAnsi"/>
          <w:b/>
          <w:bCs/>
          <w:color w:val="auto"/>
          <w:sz w:val="20"/>
          <w:szCs w:val="20"/>
          <w:lang w:val="es-ES_tradnl"/>
        </w:rPr>
        <w:t>V</w:t>
      </w:r>
      <w:r w:rsidR="000E2789" w:rsidRPr="00FE4F41">
        <w:rPr>
          <w:rFonts w:asciiTheme="majorHAnsi" w:hAnsiTheme="majorHAnsi"/>
          <w:b/>
          <w:bCs/>
          <w:color w:val="auto"/>
          <w:sz w:val="20"/>
          <w:szCs w:val="20"/>
          <w:lang w:val="es-ES_tradnl"/>
        </w:rPr>
        <w:t>I</w:t>
      </w:r>
      <w:r w:rsidRPr="00FE4F41">
        <w:rPr>
          <w:rFonts w:asciiTheme="majorHAnsi" w:hAnsiTheme="majorHAnsi"/>
          <w:b/>
          <w:bCs/>
          <w:color w:val="auto"/>
          <w:sz w:val="20"/>
          <w:szCs w:val="20"/>
          <w:lang w:val="es-ES_tradnl"/>
        </w:rPr>
        <w:t xml:space="preserve">I. </w:t>
      </w:r>
      <w:r w:rsidRPr="00FE4F41">
        <w:rPr>
          <w:rFonts w:asciiTheme="majorHAnsi" w:hAnsiTheme="majorHAnsi"/>
          <w:b/>
          <w:bCs/>
          <w:color w:val="auto"/>
          <w:sz w:val="20"/>
          <w:szCs w:val="20"/>
          <w:lang w:val="es-ES_tradnl"/>
        </w:rPr>
        <w:tab/>
      </w:r>
      <w:r w:rsidR="00FE4F41" w:rsidRPr="00FE4F41">
        <w:rPr>
          <w:rFonts w:asciiTheme="majorHAnsi" w:hAnsiTheme="majorHAnsi"/>
          <w:b/>
          <w:bCs/>
          <w:color w:val="auto"/>
          <w:sz w:val="20"/>
          <w:szCs w:val="20"/>
          <w:lang w:val="es-ES_tradnl"/>
        </w:rPr>
        <w:t xml:space="preserve">ANÁLISIS DE </w:t>
      </w:r>
      <w:r w:rsidRPr="00FE4F41">
        <w:rPr>
          <w:rFonts w:asciiTheme="majorHAnsi" w:hAnsiTheme="majorHAnsi"/>
          <w:b/>
          <w:bCs/>
          <w:color w:val="auto"/>
          <w:sz w:val="20"/>
          <w:szCs w:val="20"/>
          <w:lang w:val="es-ES_tradnl"/>
        </w:rPr>
        <w:t>CARACTERIZACIÓN</w:t>
      </w:r>
    </w:p>
    <w:p w14:paraId="39A82009" w14:textId="77777777" w:rsidR="006B6333" w:rsidRPr="00FE4F41" w:rsidRDefault="006B6333" w:rsidP="0055275F">
      <w:pPr>
        <w:pStyle w:val="ListParagraph"/>
        <w:jc w:val="both"/>
        <w:rPr>
          <w:rFonts w:asciiTheme="majorHAnsi" w:hAnsiTheme="majorHAnsi"/>
          <w:b/>
          <w:bCs/>
          <w:color w:val="auto"/>
          <w:sz w:val="20"/>
          <w:szCs w:val="20"/>
          <w:lang w:val="es-ES_tradnl"/>
        </w:rPr>
      </w:pPr>
    </w:p>
    <w:p w14:paraId="0A178213" w14:textId="13E17DB0" w:rsidR="00FC2F9A" w:rsidRPr="00FE4F41" w:rsidRDefault="00FC2F9A" w:rsidP="00FC2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FE4F41">
        <w:rPr>
          <w:rFonts w:asciiTheme="majorHAnsi" w:hAnsiTheme="majorHAnsi"/>
          <w:sz w:val="20"/>
          <w:szCs w:val="20"/>
          <w:lang w:val="es-ES"/>
        </w:rPr>
        <w:t>Preliminarmente</w:t>
      </w:r>
      <w:r w:rsidRPr="00FE4F41">
        <w:rPr>
          <w:rFonts w:asciiTheme="majorHAnsi" w:hAnsiTheme="majorHAnsi"/>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FE4F41">
        <w:rPr>
          <w:rStyle w:val="FootnoteReference"/>
          <w:rFonts w:asciiTheme="majorHAnsi" w:hAnsiTheme="majorHAnsi" w:cs="Calibri"/>
          <w:sz w:val="20"/>
          <w:szCs w:val="20"/>
          <w:lang w:val="es-ES_tradnl"/>
        </w:rPr>
        <w:footnoteReference w:id="4"/>
      </w:r>
      <w:r w:rsidRPr="00FE4F41">
        <w:rPr>
          <w:rFonts w:asciiTheme="majorHAnsi" w:hAnsiTheme="majorHAnsi"/>
          <w:sz w:val="20"/>
          <w:szCs w:val="20"/>
          <w:lang w:val="es-ES_tradnl"/>
        </w:rPr>
        <w:t>.</w:t>
      </w:r>
    </w:p>
    <w:p w14:paraId="57E51BD3" w14:textId="77777777" w:rsidR="00FC2F9A" w:rsidRPr="00FE4F41" w:rsidRDefault="00FC2F9A" w:rsidP="00FC2F9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0009197B" w14:textId="51D8F286" w:rsidR="00CB6F93" w:rsidRPr="00FE4F41" w:rsidRDefault="00FC2F9A"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 xml:space="preserve">La presente petición alega que la presunta víctima se vio perjudicada </w:t>
      </w:r>
      <w:r w:rsidR="0082398A" w:rsidRPr="00FE4F41">
        <w:rPr>
          <w:rFonts w:asciiTheme="majorHAnsi" w:hAnsiTheme="majorHAnsi"/>
          <w:sz w:val="20"/>
          <w:szCs w:val="20"/>
          <w:lang w:val="es-ES_tradnl"/>
        </w:rPr>
        <w:t>por retardos injustificados en la resolución de una demanda que presentó contra el Estado y en la ejecución de la sentencia que eventualmente se profirió a su favor a raíz de esa demanda</w:t>
      </w:r>
      <w:r w:rsidR="004B3428" w:rsidRPr="00FE4F41">
        <w:rPr>
          <w:rFonts w:asciiTheme="majorHAnsi" w:hAnsiTheme="majorHAnsi"/>
          <w:sz w:val="20"/>
          <w:szCs w:val="20"/>
          <w:lang w:val="es-ES_tradnl"/>
        </w:rPr>
        <w:t>. La parte peticionaria reconoce que la presunta víctima ha recibido por parte del Estado una suma cercana a la que solicitó en su demanda inicial. Sin embargo, reclama que el retardo de veintitrés años entre la solicitud y el pago ocasionó que la suma solicitada perdiera su valor a causa de la inflación y depreciación monetaria</w:t>
      </w:r>
      <w:r w:rsidR="00866C4D" w:rsidRPr="00FE4F41">
        <w:rPr>
          <w:rFonts w:asciiTheme="majorHAnsi" w:hAnsiTheme="majorHAnsi"/>
          <w:sz w:val="20"/>
          <w:szCs w:val="20"/>
          <w:lang w:val="es-ES_tradnl"/>
        </w:rPr>
        <w:t>,</w:t>
      </w:r>
      <w:r w:rsidR="004B3428" w:rsidRPr="00FE4F41">
        <w:rPr>
          <w:rFonts w:asciiTheme="majorHAnsi" w:hAnsiTheme="majorHAnsi"/>
          <w:sz w:val="20"/>
          <w:szCs w:val="20"/>
          <w:lang w:val="es-ES_tradnl"/>
        </w:rPr>
        <w:t xml:space="preserve"> y que el Estado no ha reparado a la presunta víctima</w:t>
      </w:r>
      <w:r w:rsidR="00866C4D" w:rsidRPr="00FE4F41">
        <w:rPr>
          <w:rFonts w:asciiTheme="majorHAnsi" w:hAnsiTheme="majorHAnsi"/>
          <w:sz w:val="20"/>
          <w:szCs w:val="20"/>
          <w:lang w:val="es-ES_tradnl"/>
        </w:rPr>
        <w:t xml:space="preserve"> por ello ni ha cancelado intereses moratorios a favor de </w:t>
      </w:r>
      <w:r w:rsidR="00195C93" w:rsidRPr="00FE4F41">
        <w:rPr>
          <w:rFonts w:asciiTheme="majorHAnsi" w:hAnsiTheme="majorHAnsi"/>
          <w:sz w:val="20"/>
          <w:szCs w:val="20"/>
          <w:lang w:val="es-ES_tradnl"/>
        </w:rPr>
        <w:t>é</w:t>
      </w:r>
      <w:r w:rsidR="00866C4D" w:rsidRPr="00FE4F41">
        <w:rPr>
          <w:rFonts w:asciiTheme="majorHAnsi" w:hAnsiTheme="majorHAnsi"/>
          <w:sz w:val="20"/>
          <w:szCs w:val="20"/>
          <w:lang w:val="es-ES_tradnl"/>
        </w:rPr>
        <w:t xml:space="preserve">sta. </w:t>
      </w:r>
    </w:p>
    <w:p w14:paraId="589AF959" w14:textId="77777777" w:rsidR="00866C4D" w:rsidRPr="00FE4F41" w:rsidRDefault="00866C4D" w:rsidP="00866C4D">
      <w:pPr>
        <w:pStyle w:val="ListParagraph"/>
        <w:rPr>
          <w:rFonts w:asciiTheme="majorHAnsi" w:hAnsiTheme="majorHAnsi"/>
          <w:sz w:val="20"/>
          <w:szCs w:val="20"/>
          <w:lang w:val="es-ES_tradnl"/>
        </w:rPr>
      </w:pPr>
    </w:p>
    <w:p w14:paraId="307A22EF" w14:textId="3972E57B" w:rsidR="00866C4D" w:rsidRPr="00FE4F41" w:rsidRDefault="00866C4D"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La Co</w:t>
      </w:r>
      <w:r w:rsidR="00C63306" w:rsidRPr="00FE4F41">
        <w:rPr>
          <w:rFonts w:asciiTheme="majorHAnsi" w:hAnsiTheme="majorHAnsi"/>
          <w:sz w:val="20"/>
          <w:szCs w:val="20"/>
          <w:lang w:val="es-ES_tradnl"/>
        </w:rPr>
        <w:t>rte Interamericana ha reconocido que uno de los elementos que debe ser valorado al analizar si un proceso doméstico ha cumplido con el plazo razonable es “</w:t>
      </w:r>
      <w:r w:rsidR="00996D4E" w:rsidRPr="00FE4F41">
        <w:rPr>
          <w:rFonts w:asciiTheme="majorHAnsi" w:hAnsiTheme="majorHAnsi"/>
          <w:i/>
          <w:iCs/>
          <w:sz w:val="20"/>
          <w:szCs w:val="20"/>
          <w:lang w:val="es-PA"/>
        </w:rPr>
        <w:t>la afectación generada por la duración del procedimiento en la situación jurídica de la persona involucrada en el mismo</w:t>
      </w:r>
      <w:r w:rsidR="00996D4E" w:rsidRPr="00FE4F41">
        <w:rPr>
          <w:rFonts w:asciiTheme="majorHAnsi" w:hAnsiTheme="majorHAnsi"/>
          <w:sz w:val="20"/>
          <w:szCs w:val="20"/>
          <w:lang w:val="es-PA"/>
        </w:rPr>
        <w:t>”</w:t>
      </w:r>
      <w:r w:rsidR="00996D4E" w:rsidRPr="00FE4F41">
        <w:rPr>
          <w:rStyle w:val="FootnoteReference"/>
          <w:rFonts w:asciiTheme="majorHAnsi" w:hAnsiTheme="majorHAnsi"/>
          <w:sz w:val="20"/>
          <w:szCs w:val="20"/>
          <w:lang w:val="es-PA"/>
        </w:rPr>
        <w:footnoteReference w:id="5"/>
      </w:r>
      <w:r w:rsidR="00195C93" w:rsidRPr="00FE4F41">
        <w:rPr>
          <w:rFonts w:asciiTheme="majorHAnsi" w:hAnsiTheme="majorHAnsi"/>
          <w:sz w:val="20"/>
          <w:szCs w:val="20"/>
          <w:lang w:val="es-PA"/>
        </w:rPr>
        <w:t xml:space="preserve">. </w:t>
      </w:r>
      <w:r w:rsidR="00A93EBE" w:rsidRPr="00FE4F41">
        <w:rPr>
          <w:rFonts w:asciiTheme="majorHAnsi" w:hAnsiTheme="majorHAnsi"/>
          <w:sz w:val="20"/>
          <w:szCs w:val="20"/>
          <w:lang w:val="es-PA"/>
        </w:rPr>
        <w:t xml:space="preserve">En el presente caso, la parte peticionaria ha explicado las razones por las que considera que la duración del proceso relacionado con la devolución de los aportes </w:t>
      </w:r>
      <w:r w:rsidR="007066F7" w:rsidRPr="00FE4F41">
        <w:rPr>
          <w:rFonts w:asciiTheme="majorHAnsi" w:hAnsiTheme="majorHAnsi"/>
          <w:sz w:val="20"/>
          <w:szCs w:val="20"/>
          <w:lang w:val="es-PA"/>
        </w:rPr>
        <w:t xml:space="preserve">realizados por su difunto esposo afectó perjudicialmente a la presunta víctima. La Comisión estima que estas razones no pueden ser tachadas </w:t>
      </w:r>
      <w:r w:rsidR="007066F7" w:rsidRPr="00FE4F41">
        <w:rPr>
          <w:rFonts w:asciiTheme="majorHAnsi" w:hAnsiTheme="majorHAnsi"/>
          <w:i/>
          <w:iCs/>
          <w:sz w:val="20"/>
          <w:szCs w:val="20"/>
          <w:lang w:val="es-PA"/>
        </w:rPr>
        <w:t>prima facie</w:t>
      </w:r>
      <w:r w:rsidR="007066F7" w:rsidRPr="00FE4F41">
        <w:rPr>
          <w:rFonts w:asciiTheme="majorHAnsi" w:hAnsiTheme="majorHAnsi"/>
          <w:sz w:val="20"/>
          <w:szCs w:val="20"/>
          <w:lang w:val="es-PA"/>
        </w:rPr>
        <w:t xml:space="preserve"> de manifiestamente infundadas, tomando en consideración el tiempo de alrededor de veintidós años transcurridos entre la presentación </w:t>
      </w:r>
      <w:r w:rsidR="00A525E3" w:rsidRPr="00FE4F41">
        <w:rPr>
          <w:rFonts w:asciiTheme="majorHAnsi" w:hAnsiTheme="majorHAnsi"/>
          <w:sz w:val="20"/>
          <w:szCs w:val="20"/>
          <w:lang w:val="es-PA"/>
        </w:rPr>
        <w:t xml:space="preserve">de la demanda por parte de la presunta víctima y la primera emisión de un pago a su favor. </w:t>
      </w:r>
    </w:p>
    <w:p w14:paraId="0C519004" w14:textId="77777777" w:rsidR="00A525E3" w:rsidRPr="00FE4F41" w:rsidRDefault="00A525E3" w:rsidP="00A525E3">
      <w:pPr>
        <w:pStyle w:val="ListParagraph"/>
        <w:rPr>
          <w:rFonts w:asciiTheme="majorHAnsi" w:hAnsiTheme="majorHAnsi"/>
          <w:sz w:val="20"/>
          <w:szCs w:val="20"/>
          <w:lang w:val="es-ES_tradnl"/>
        </w:rPr>
      </w:pPr>
    </w:p>
    <w:p w14:paraId="18B2541D" w14:textId="39D07C72" w:rsidR="00A525E3" w:rsidRPr="00FE4F41" w:rsidRDefault="00A525E3"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FE4F41">
        <w:rPr>
          <w:rFonts w:asciiTheme="majorHAnsi" w:hAnsiTheme="majorHAnsi"/>
          <w:bCs/>
          <w:sz w:val="20"/>
          <w:szCs w:val="20"/>
          <w:lang w:val="es-ES"/>
        </w:rPr>
        <w:t>8 (garantías judiciales), 21 (propiedad privada)</w:t>
      </w:r>
      <w:r w:rsidR="00FE4F41" w:rsidRPr="00FE4F41">
        <w:rPr>
          <w:rFonts w:asciiTheme="majorHAnsi" w:hAnsiTheme="majorHAnsi"/>
          <w:bCs/>
          <w:sz w:val="20"/>
          <w:szCs w:val="20"/>
          <w:lang w:val="es-ES"/>
        </w:rPr>
        <w:t>, 24 (igualdad ante la ley)</w:t>
      </w:r>
      <w:r w:rsidRPr="00FE4F41">
        <w:rPr>
          <w:rFonts w:asciiTheme="majorHAnsi" w:hAnsiTheme="majorHAnsi"/>
          <w:bCs/>
          <w:sz w:val="20"/>
          <w:szCs w:val="20"/>
          <w:lang w:val="es-ES"/>
        </w:rPr>
        <w:t xml:space="preserve"> y 25 (protección judicial) de la Convención Americana en relación con su artículo 1.1. (obligación de respetar los derechos)</w:t>
      </w:r>
      <w:r w:rsidR="00FE4F41" w:rsidRPr="00FE4F41">
        <w:rPr>
          <w:rFonts w:asciiTheme="majorHAnsi" w:hAnsiTheme="majorHAnsi"/>
          <w:bCs/>
          <w:sz w:val="20"/>
          <w:szCs w:val="20"/>
          <w:lang w:val="es-ES"/>
        </w:rPr>
        <w:t>, en perjuicio de la Sra. Irma Noemí Juan Vda. De Soerensen.</w:t>
      </w:r>
    </w:p>
    <w:p w14:paraId="63521B9F" w14:textId="77777777" w:rsidR="00846782" w:rsidRPr="00FE4F41" w:rsidRDefault="00846782" w:rsidP="00846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0783B8B8" w:rsidR="003239B8" w:rsidRPr="00FE4F41" w:rsidRDefault="00EC72AB"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FE4F41">
        <w:rPr>
          <w:rFonts w:asciiTheme="majorHAnsi" w:hAnsiTheme="majorHAnsi"/>
          <w:b/>
          <w:bCs/>
          <w:sz w:val="20"/>
          <w:szCs w:val="20"/>
          <w:lang w:val="es-ES_tradnl"/>
        </w:rPr>
        <w:t>VI</w:t>
      </w:r>
      <w:r w:rsidR="00F04591" w:rsidRPr="00FE4F41">
        <w:rPr>
          <w:rFonts w:asciiTheme="majorHAnsi" w:hAnsiTheme="majorHAnsi"/>
          <w:b/>
          <w:bCs/>
          <w:sz w:val="20"/>
          <w:szCs w:val="20"/>
          <w:lang w:val="es-ES_tradnl"/>
        </w:rPr>
        <w:t>II</w:t>
      </w:r>
      <w:r w:rsidR="003239B8" w:rsidRPr="00FE4F41">
        <w:rPr>
          <w:rFonts w:asciiTheme="majorHAnsi" w:hAnsiTheme="majorHAnsi"/>
          <w:b/>
          <w:bCs/>
          <w:sz w:val="20"/>
          <w:szCs w:val="20"/>
          <w:lang w:val="es-ES_tradnl"/>
        </w:rPr>
        <w:t xml:space="preserve">. </w:t>
      </w:r>
      <w:r w:rsidR="003239B8" w:rsidRPr="00FE4F41">
        <w:rPr>
          <w:rFonts w:asciiTheme="majorHAnsi" w:hAnsiTheme="majorHAnsi"/>
          <w:b/>
          <w:bCs/>
          <w:sz w:val="20"/>
          <w:szCs w:val="20"/>
          <w:lang w:val="es-ES_tradnl"/>
        </w:rPr>
        <w:tab/>
        <w:t>DECISIÓN</w:t>
      </w:r>
    </w:p>
    <w:p w14:paraId="6DACFC8E" w14:textId="77777777" w:rsidR="000B13EB" w:rsidRPr="00FE4F41" w:rsidRDefault="000B13EB"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FDE1D10" w14:textId="64ADCA5A" w:rsidR="003239B8" w:rsidRPr="00FE4F41" w:rsidRDefault="003239B8" w:rsidP="005527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 xml:space="preserve">Declarar </w:t>
      </w:r>
      <w:r w:rsidR="00586230" w:rsidRPr="00FE4F41">
        <w:rPr>
          <w:rFonts w:asciiTheme="majorHAnsi" w:hAnsiTheme="majorHAnsi"/>
          <w:sz w:val="20"/>
          <w:szCs w:val="20"/>
          <w:lang w:val="es-ES_tradnl"/>
        </w:rPr>
        <w:t xml:space="preserve">admisible la presente petición </w:t>
      </w:r>
      <w:r w:rsidR="00CB6F93" w:rsidRPr="00FE4F41">
        <w:rPr>
          <w:rFonts w:asciiTheme="majorHAnsi" w:hAnsiTheme="majorHAnsi"/>
          <w:sz w:val="20"/>
          <w:szCs w:val="20"/>
          <w:lang w:val="es-ES_tradnl"/>
        </w:rPr>
        <w:t xml:space="preserve">en relación con los artículos </w:t>
      </w:r>
      <w:r w:rsidR="00A525E3" w:rsidRPr="00FE4F41">
        <w:rPr>
          <w:rFonts w:asciiTheme="majorHAnsi" w:hAnsiTheme="majorHAnsi"/>
          <w:sz w:val="20"/>
          <w:szCs w:val="20"/>
          <w:lang w:val="es-ES_tradnl"/>
        </w:rPr>
        <w:t>8, 21</w:t>
      </w:r>
      <w:r w:rsidR="00FE4F41" w:rsidRPr="00FE4F41">
        <w:rPr>
          <w:rFonts w:asciiTheme="majorHAnsi" w:hAnsiTheme="majorHAnsi"/>
          <w:sz w:val="20"/>
          <w:szCs w:val="20"/>
          <w:lang w:val="es-ES_tradnl"/>
        </w:rPr>
        <w:t>, 24</w:t>
      </w:r>
      <w:r w:rsidR="00A525E3" w:rsidRPr="00FE4F41">
        <w:rPr>
          <w:rFonts w:asciiTheme="majorHAnsi" w:hAnsiTheme="majorHAnsi"/>
          <w:sz w:val="20"/>
          <w:szCs w:val="20"/>
          <w:lang w:val="es-ES_tradnl"/>
        </w:rPr>
        <w:t xml:space="preserve"> y 25 de la Convención Americana en relación con su artículo 1.1</w:t>
      </w:r>
      <w:r w:rsidR="00681F56">
        <w:rPr>
          <w:rFonts w:asciiTheme="majorHAnsi" w:hAnsiTheme="majorHAnsi"/>
          <w:sz w:val="20"/>
          <w:szCs w:val="20"/>
          <w:lang w:val="es-ES_tradnl"/>
        </w:rPr>
        <w:t>; y</w:t>
      </w:r>
    </w:p>
    <w:p w14:paraId="117A79AD" w14:textId="77777777" w:rsidR="000B13EB" w:rsidRPr="00FE4F41" w:rsidRDefault="000B13EB" w:rsidP="000B13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57390F" w14:textId="50224F14" w:rsidR="00D93A90" w:rsidRDefault="004A6A54" w:rsidP="005527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E4F41">
        <w:rPr>
          <w:rFonts w:asciiTheme="majorHAnsi" w:hAnsiTheme="majorHAnsi"/>
          <w:sz w:val="20"/>
          <w:szCs w:val="20"/>
          <w:lang w:val="es-ES_tradnl"/>
        </w:rPr>
        <w:t>Notificar a las partes la presente decisión;</w:t>
      </w:r>
      <w:r w:rsidR="00CB6F93" w:rsidRPr="00FE4F41">
        <w:rPr>
          <w:rFonts w:asciiTheme="majorHAnsi" w:hAnsiTheme="majorHAnsi"/>
          <w:sz w:val="20"/>
          <w:szCs w:val="20"/>
          <w:lang w:val="es-ES_tradnl"/>
        </w:rPr>
        <w:t xml:space="preserve"> proceder al análisis del fondo del asunto;</w:t>
      </w:r>
      <w:r w:rsidRPr="00FE4F41">
        <w:rPr>
          <w:rFonts w:asciiTheme="majorHAnsi" w:hAnsiTheme="majorHAnsi"/>
          <w:sz w:val="20"/>
          <w:szCs w:val="20"/>
          <w:lang w:val="es-ES_tradnl"/>
        </w:rPr>
        <w:t xml:space="preserve"> y publicar esta decisión e incluirla en su Informe Anual a la Asamblea General de la Organización de los Estados Americanos.</w:t>
      </w:r>
    </w:p>
    <w:p w14:paraId="71AEA5AA" w14:textId="77777777" w:rsidR="00681F56" w:rsidRDefault="00681F56" w:rsidP="00681F56">
      <w:pPr>
        <w:pStyle w:val="ListParagraph"/>
        <w:rPr>
          <w:rFonts w:asciiTheme="majorHAnsi" w:hAnsiTheme="majorHAnsi"/>
          <w:sz w:val="20"/>
          <w:szCs w:val="20"/>
          <w:lang w:val="es-ES_tradnl"/>
        </w:rPr>
      </w:pPr>
    </w:p>
    <w:p w14:paraId="4F409372" w14:textId="1F121D55" w:rsidR="00CB6F93" w:rsidRPr="00460AAF" w:rsidRDefault="00014FC1" w:rsidP="00460AAF">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460AAF">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bookmarkEnd w:id="2"/>
    </w:p>
    <w:p w14:paraId="7E885033" w14:textId="77777777" w:rsidR="007034F5" w:rsidRPr="00FE4F41" w:rsidRDefault="007034F5" w:rsidP="007034F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_tradnl"/>
        </w:rPr>
      </w:pPr>
    </w:p>
    <w:sectPr w:rsidR="007034F5" w:rsidRPr="00FE4F4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EDEA" w14:textId="77777777" w:rsidR="00DE7628" w:rsidRDefault="00DE7628">
      <w:r>
        <w:separator/>
      </w:r>
    </w:p>
  </w:endnote>
  <w:endnote w:type="continuationSeparator" w:id="0">
    <w:p w14:paraId="45D19F2B" w14:textId="77777777" w:rsidR="00DE7628" w:rsidRDefault="00DE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28DC" w14:textId="77777777" w:rsidR="00DE7628" w:rsidRPr="000F35ED" w:rsidRDefault="00DE762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78391D" w14:textId="77777777" w:rsidR="00DE7628" w:rsidRPr="000F35ED" w:rsidRDefault="00DE7628" w:rsidP="000F35ED">
      <w:pPr>
        <w:rPr>
          <w:rFonts w:asciiTheme="majorHAnsi" w:hAnsiTheme="majorHAnsi"/>
          <w:sz w:val="16"/>
          <w:szCs w:val="16"/>
        </w:rPr>
      </w:pPr>
      <w:r w:rsidRPr="000F35ED">
        <w:rPr>
          <w:rFonts w:asciiTheme="majorHAnsi" w:hAnsiTheme="majorHAnsi"/>
          <w:sz w:val="16"/>
          <w:szCs w:val="16"/>
        </w:rPr>
        <w:separator/>
      </w:r>
    </w:p>
    <w:p w14:paraId="083417A2" w14:textId="77777777" w:rsidR="00DE7628" w:rsidRPr="000F35ED" w:rsidRDefault="00DE762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22C58B6" w14:textId="77777777" w:rsidR="00DE7628" w:rsidRPr="000F35ED" w:rsidRDefault="00DE76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C4C7FB0" w14:textId="39A1DAB4" w:rsidR="00C70F6F" w:rsidRPr="00C70F6F" w:rsidRDefault="00C70F6F" w:rsidP="00C70F6F">
      <w:pPr>
        <w:pStyle w:val="FootnoteText"/>
        <w:ind w:firstLine="720"/>
        <w:jc w:val="both"/>
        <w:rPr>
          <w:rFonts w:asciiTheme="majorHAnsi" w:hAnsiTheme="majorHAnsi"/>
          <w:sz w:val="16"/>
          <w:szCs w:val="16"/>
          <w:lang w:val="es-PA"/>
        </w:rPr>
      </w:pPr>
      <w:r w:rsidRPr="00C70F6F">
        <w:rPr>
          <w:rStyle w:val="FootnoteReference"/>
          <w:rFonts w:asciiTheme="majorHAnsi" w:hAnsiTheme="majorHAnsi"/>
          <w:sz w:val="16"/>
          <w:szCs w:val="16"/>
        </w:rPr>
        <w:footnoteRef/>
      </w:r>
      <w:r w:rsidRPr="00C70F6F">
        <w:rPr>
          <w:rFonts w:asciiTheme="majorHAnsi" w:hAnsiTheme="majorHAnsi"/>
          <w:sz w:val="16"/>
          <w:szCs w:val="16"/>
          <w:lang w:val="es-PA"/>
        </w:rPr>
        <w:t xml:space="preserve"> En adelante “la Convención Americana”</w:t>
      </w:r>
    </w:p>
  </w:footnote>
  <w:footnote w:id="3">
    <w:p w14:paraId="79F07139" w14:textId="77777777" w:rsidR="008E3BFE" w:rsidRPr="00815D38" w:rsidRDefault="008E3BFE" w:rsidP="00F16C10">
      <w:pPr>
        <w:pStyle w:val="FootnoteText"/>
        <w:spacing w:after="120"/>
        <w:ind w:firstLine="720"/>
        <w:jc w:val="both"/>
        <w:rPr>
          <w:rFonts w:asciiTheme="majorHAnsi" w:hAnsiTheme="majorHAnsi"/>
          <w:color w:val="auto"/>
          <w:sz w:val="16"/>
          <w:szCs w:val="16"/>
          <w:lang w:val="es-ES"/>
        </w:rPr>
      </w:pPr>
      <w:r w:rsidRPr="00815D38">
        <w:rPr>
          <w:rStyle w:val="FootnoteReference"/>
          <w:rFonts w:asciiTheme="majorHAnsi" w:hAnsiTheme="majorHAnsi"/>
          <w:color w:val="auto"/>
          <w:sz w:val="16"/>
          <w:szCs w:val="16"/>
        </w:rPr>
        <w:footnoteRef/>
      </w:r>
      <w:r w:rsidRPr="00815D38">
        <w:rPr>
          <w:rFonts w:asciiTheme="majorHAnsi" w:hAnsiTheme="majorHAnsi"/>
          <w:color w:val="auto"/>
          <w:sz w:val="16"/>
          <w:szCs w:val="16"/>
          <w:lang w:val="es-ES"/>
        </w:rPr>
        <w:t xml:space="preserve"> Las observaciones de cada parte fueron debidamente trasladadas a la parte contraria.</w:t>
      </w:r>
    </w:p>
  </w:footnote>
  <w:footnote w:id="4">
    <w:p w14:paraId="42E5BF69" w14:textId="77777777" w:rsidR="00FC2F9A" w:rsidRPr="00DC0084" w:rsidRDefault="00FC2F9A" w:rsidP="00FC2F9A">
      <w:pPr>
        <w:pStyle w:val="FootnoteText"/>
        <w:ind w:firstLine="720"/>
        <w:jc w:val="both"/>
        <w:rPr>
          <w:rFonts w:asciiTheme="majorHAnsi" w:hAnsiTheme="majorHAnsi"/>
          <w:sz w:val="16"/>
          <w:szCs w:val="16"/>
          <w:lang w:val="es-ES"/>
        </w:rPr>
      </w:pPr>
      <w:r w:rsidRPr="00DC0084">
        <w:rPr>
          <w:rStyle w:val="FootnoteReference"/>
          <w:rFonts w:asciiTheme="majorHAnsi" w:hAnsiTheme="majorHAnsi"/>
          <w:sz w:val="16"/>
          <w:szCs w:val="16"/>
        </w:rPr>
        <w:footnoteRef/>
      </w:r>
      <w:r w:rsidRPr="00DC0084">
        <w:rPr>
          <w:rFonts w:asciiTheme="majorHAnsi" w:hAnsiTheme="majorHAnsi"/>
          <w:sz w:val="16"/>
          <w:szCs w:val="16"/>
          <w:lang w:val="es-ES"/>
        </w:rPr>
        <w:t xml:space="preserve"> CIDH, Informe No. 143/18, Petición 940-08. Admisibilidad. Luis Américo Ayala Gonzales. Perú. 4 de diciembre de 2018, párr. 12.</w:t>
      </w:r>
    </w:p>
  </w:footnote>
  <w:footnote w:id="5">
    <w:p w14:paraId="64DFAB0B" w14:textId="0C6D84EE" w:rsidR="00996D4E" w:rsidRPr="00996D4E" w:rsidRDefault="00996D4E" w:rsidP="00996D4E">
      <w:pPr>
        <w:pStyle w:val="FootnoteText"/>
        <w:ind w:firstLine="720"/>
        <w:jc w:val="both"/>
        <w:rPr>
          <w:rFonts w:asciiTheme="majorHAnsi" w:hAnsiTheme="majorHAnsi"/>
          <w:sz w:val="16"/>
          <w:szCs w:val="16"/>
          <w:lang w:val="es-PA"/>
        </w:rPr>
      </w:pPr>
      <w:r>
        <w:rPr>
          <w:rStyle w:val="FootnoteReference"/>
        </w:rPr>
        <w:footnoteRef/>
      </w:r>
      <w:r w:rsidRPr="00996D4E">
        <w:rPr>
          <w:lang w:val="es-PA"/>
        </w:rPr>
        <w:t xml:space="preserve"> </w:t>
      </w:r>
      <w:r w:rsidRPr="00996D4E">
        <w:rPr>
          <w:rFonts w:asciiTheme="majorHAnsi" w:hAnsiTheme="majorHAnsi"/>
          <w:sz w:val="16"/>
          <w:szCs w:val="16"/>
          <w:lang w:val="es-PA"/>
        </w:rPr>
        <w:t xml:space="preserve">Corte IDH. Caso Valle Jaramillo y otros Vs. Colombia. Fondo, Reparaciones y Costas. </w:t>
      </w:r>
      <w:r w:rsidRPr="00460AAF">
        <w:rPr>
          <w:rFonts w:asciiTheme="majorHAnsi" w:hAnsiTheme="majorHAnsi"/>
          <w:sz w:val="16"/>
          <w:szCs w:val="16"/>
          <w:lang w:val="es-AR"/>
        </w:rPr>
        <w:t xml:space="preserve">Sentencia de 27 de noviembre de 2008. </w:t>
      </w:r>
      <w:r w:rsidRPr="00996D4E">
        <w:rPr>
          <w:rFonts w:asciiTheme="majorHAnsi" w:hAnsiTheme="majorHAnsi"/>
          <w:sz w:val="16"/>
          <w:szCs w:val="16"/>
        </w:rPr>
        <w:t>Serie C No. 192</w:t>
      </w:r>
      <w:r>
        <w:rPr>
          <w:rFonts w:asciiTheme="majorHAnsi" w:hAnsiTheme="majorHAnsi"/>
          <w:sz w:val="16"/>
          <w:szCs w:val="16"/>
        </w:rPr>
        <w:t>, párr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A0163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96A3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D1AA2F2"/>
    <w:lvl w:ilvl="0" w:tplc="CFE41092">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92437049">
    <w:abstractNumId w:val="4"/>
  </w:num>
  <w:num w:numId="2" w16cid:durableId="939484060">
    <w:abstractNumId w:val="6"/>
  </w:num>
  <w:num w:numId="3" w16cid:durableId="80492150">
    <w:abstractNumId w:val="54"/>
  </w:num>
  <w:num w:numId="4" w16cid:durableId="920258490">
    <w:abstractNumId w:val="22"/>
  </w:num>
  <w:num w:numId="5" w16cid:durableId="46220502">
    <w:abstractNumId w:val="47"/>
  </w:num>
  <w:num w:numId="6" w16cid:durableId="1544831402">
    <w:abstractNumId w:val="27"/>
  </w:num>
  <w:num w:numId="7" w16cid:durableId="1006832683">
    <w:abstractNumId w:val="7"/>
  </w:num>
  <w:num w:numId="8" w16cid:durableId="467358991">
    <w:abstractNumId w:val="17"/>
  </w:num>
  <w:num w:numId="9" w16cid:durableId="1667587459">
    <w:abstractNumId w:val="41"/>
  </w:num>
  <w:num w:numId="10" w16cid:durableId="2101290108">
    <w:abstractNumId w:val="0"/>
  </w:num>
  <w:num w:numId="11" w16cid:durableId="282226156">
    <w:abstractNumId w:val="36"/>
  </w:num>
  <w:num w:numId="12" w16cid:durableId="1163158362">
    <w:abstractNumId w:val="37"/>
  </w:num>
  <w:num w:numId="13" w16cid:durableId="821431810">
    <w:abstractNumId w:val="43"/>
  </w:num>
  <w:num w:numId="14" w16cid:durableId="1015426462">
    <w:abstractNumId w:val="1"/>
  </w:num>
  <w:num w:numId="15" w16cid:durableId="584194205">
    <w:abstractNumId w:val="2"/>
  </w:num>
  <w:num w:numId="16" w16cid:durableId="688338885">
    <w:abstractNumId w:val="8"/>
  </w:num>
  <w:num w:numId="17" w16cid:durableId="926619957">
    <w:abstractNumId w:val="9"/>
  </w:num>
  <w:num w:numId="18" w16cid:durableId="2121146035">
    <w:abstractNumId w:val="10"/>
  </w:num>
  <w:num w:numId="19" w16cid:durableId="2030639701">
    <w:abstractNumId w:val="11"/>
  </w:num>
  <w:num w:numId="20" w16cid:durableId="270210623">
    <w:abstractNumId w:val="12"/>
  </w:num>
  <w:num w:numId="21" w16cid:durableId="1552962552">
    <w:abstractNumId w:val="13"/>
  </w:num>
  <w:num w:numId="22" w16cid:durableId="435633206">
    <w:abstractNumId w:val="14"/>
  </w:num>
  <w:num w:numId="23" w16cid:durableId="1960837684">
    <w:abstractNumId w:val="15"/>
  </w:num>
  <w:num w:numId="24" w16cid:durableId="141894777">
    <w:abstractNumId w:val="16"/>
  </w:num>
  <w:num w:numId="25" w16cid:durableId="1712221685">
    <w:abstractNumId w:val="18"/>
  </w:num>
  <w:num w:numId="26" w16cid:durableId="686443887">
    <w:abstractNumId w:val="19"/>
  </w:num>
  <w:num w:numId="27" w16cid:durableId="1079329053">
    <w:abstractNumId w:val="23"/>
  </w:num>
  <w:num w:numId="28" w16cid:durableId="561411401">
    <w:abstractNumId w:val="24"/>
  </w:num>
  <w:num w:numId="29" w16cid:durableId="1871844374">
    <w:abstractNumId w:val="25"/>
  </w:num>
  <w:num w:numId="30" w16cid:durableId="856626174">
    <w:abstractNumId w:val="26"/>
  </w:num>
  <w:num w:numId="31" w16cid:durableId="995036852">
    <w:abstractNumId w:val="28"/>
  </w:num>
  <w:num w:numId="32" w16cid:durableId="1531797686">
    <w:abstractNumId w:val="29"/>
  </w:num>
  <w:num w:numId="33" w16cid:durableId="1628969829">
    <w:abstractNumId w:val="30"/>
  </w:num>
  <w:num w:numId="34" w16cid:durableId="2100058311">
    <w:abstractNumId w:val="31"/>
  </w:num>
  <w:num w:numId="35" w16cid:durableId="1063066319">
    <w:abstractNumId w:val="32"/>
  </w:num>
  <w:num w:numId="36" w16cid:durableId="549222124">
    <w:abstractNumId w:val="33"/>
  </w:num>
  <w:num w:numId="37" w16cid:durableId="1435831468">
    <w:abstractNumId w:val="34"/>
  </w:num>
  <w:num w:numId="38" w16cid:durableId="1724795995">
    <w:abstractNumId w:val="35"/>
  </w:num>
  <w:num w:numId="39" w16cid:durableId="595213226">
    <w:abstractNumId w:val="38"/>
  </w:num>
  <w:num w:numId="40" w16cid:durableId="666714402">
    <w:abstractNumId w:val="39"/>
  </w:num>
  <w:num w:numId="41" w16cid:durableId="1511721947">
    <w:abstractNumId w:val="45"/>
  </w:num>
  <w:num w:numId="42" w16cid:durableId="1321888856">
    <w:abstractNumId w:val="48"/>
  </w:num>
  <w:num w:numId="43" w16cid:durableId="1142425406">
    <w:abstractNumId w:val="49"/>
  </w:num>
  <w:num w:numId="44" w16cid:durableId="503327130">
    <w:abstractNumId w:val="51"/>
  </w:num>
  <w:num w:numId="45" w16cid:durableId="767388652">
    <w:abstractNumId w:val="53"/>
  </w:num>
  <w:num w:numId="46" w16cid:durableId="121654645">
    <w:abstractNumId w:val="55"/>
  </w:num>
  <w:num w:numId="47" w16cid:durableId="846989811">
    <w:abstractNumId w:val="56"/>
  </w:num>
  <w:num w:numId="48" w16cid:durableId="106506884">
    <w:abstractNumId w:val="57"/>
  </w:num>
  <w:num w:numId="49" w16cid:durableId="6835856">
    <w:abstractNumId w:val="58"/>
  </w:num>
  <w:num w:numId="50" w16cid:durableId="21370254">
    <w:abstractNumId w:val="60"/>
  </w:num>
  <w:num w:numId="51" w16cid:durableId="51538151">
    <w:abstractNumId w:val="21"/>
  </w:num>
  <w:num w:numId="52" w16cid:durableId="721751612">
    <w:abstractNumId w:val="40"/>
  </w:num>
  <w:num w:numId="53" w16cid:durableId="67964057">
    <w:abstractNumId w:val="50"/>
  </w:num>
  <w:num w:numId="54" w16cid:durableId="1033460911">
    <w:abstractNumId w:val="44"/>
  </w:num>
  <w:num w:numId="55" w16cid:durableId="327052862">
    <w:abstractNumId w:val="5"/>
  </w:num>
  <w:num w:numId="56" w16cid:durableId="152912384">
    <w:abstractNumId w:val="42"/>
  </w:num>
  <w:num w:numId="57" w16cid:durableId="718895323">
    <w:abstractNumId w:val="59"/>
  </w:num>
  <w:num w:numId="58" w16cid:durableId="1401058546">
    <w:abstractNumId w:val="20"/>
  </w:num>
  <w:num w:numId="59" w16cid:durableId="1028915360">
    <w:abstractNumId w:val="3"/>
  </w:num>
  <w:num w:numId="60" w16cid:durableId="1889562958">
    <w:abstractNumId w:val="46"/>
  </w:num>
  <w:num w:numId="61" w16cid:durableId="1245215773">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35E4"/>
    <w:rsid w:val="00014FC1"/>
    <w:rsid w:val="00015701"/>
    <w:rsid w:val="0001788C"/>
    <w:rsid w:val="0002186F"/>
    <w:rsid w:val="0002733D"/>
    <w:rsid w:val="000337EF"/>
    <w:rsid w:val="00037A54"/>
    <w:rsid w:val="00040C3A"/>
    <w:rsid w:val="000419AD"/>
    <w:rsid w:val="000556A6"/>
    <w:rsid w:val="00056827"/>
    <w:rsid w:val="00057EBA"/>
    <w:rsid w:val="000642AD"/>
    <w:rsid w:val="000716C5"/>
    <w:rsid w:val="000733A3"/>
    <w:rsid w:val="00074604"/>
    <w:rsid w:val="00075E23"/>
    <w:rsid w:val="0008314D"/>
    <w:rsid w:val="0009006E"/>
    <w:rsid w:val="0009344A"/>
    <w:rsid w:val="000A19F8"/>
    <w:rsid w:val="000A3254"/>
    <w:rsid w:val="000A392E"/>
    <w:rsid w:val="000A4F5A"/>
    <w:rsid w:val="000A575F"/>
    <w:rsid w:val="000A63D0"/>
    <w:rsid w:val="000B0579"/>
    <w:rsid w:val="000B13EB"/>
    <w:rsid w:val="000B188C"/>
    <w:rsid w:val="000B43BC"/>
    <w:rsid w:val="000B6F6D"/>
    <w:rsid w:val="000C1C69"/>
    <w:rsid w:val="000C3A31"/>
    <w:rsid w:val="000D10DB"/>
    <w:rsid w:val="000D130B"/>
    <w:rsid w:val="000D18F9"/>
    <w:rsid w:val="000E2789"/>
    <w:rsid w:val="000E5EB5"/>
    <w:rsid w:val="000F023C"/>
    <w:rsid w:val="000F35ED"/>
    <w:rsid w:val="000F6EDB"/>
    <w:rsid w:val="0010368C"/>
    <w:rsid w:val="00107131"/>
    <w:rsid w:val="0010736F"/>
    <w:rsid w:val="00110BB1"/>
    <w:rsid w:val="00111A8A"/>
    <w:rsid w:val="00112398"/>
    <w:rsid w:val="001124F3"/>
    <w:rsid w:val="00113F73"/>
    <w:rsid w:val="00117AE2"/>
    <w:rsid w:val="00121CC2"/>
    <w:rsid w:val="00122DC3"/>
    <w:rsid w:val="00131663"/>
    <w:rsid w:val="00131D8B"/>
    <w:rsid w:val="00133EE5"/>
    <w:rsid w:val="001342BD"/>
    <w:rsid w:val="001366AA"/>
    <w:rsid w:val="00136E3D"/>
    <w:rsid w:val="00143EFE"/>
    <w:rsid w:val="001479C0"/>
    <w:rsid w:val="00151AB0"/>
    <w:rsid w:val="0015330B"/>
    <w:rsid w:val="001557CE"/>
    <w:rsid w:val="00165019"/>
    <w:rsid w:val="00167A34"/>
    <w:rsid w:val="00172FCD"/>
    <w:rsid w:val="001749F8"/>
    <w:rsid w:val="00176BB3"/>
    <w:rsid w:val="00177669"/>
    <w:rsid w:val="00177726"/>
    <w:rsid w:val="00177EEF"/>
    <w:rsid w:val="00180A9B"/>
    <w:rsid w:val="00186EAA"/>
    <w:rsid w:val="00194FDF"/>
    <w:rsid w:val="00195C93"/>
    <w:rsid w:val="001972A2"/>
    <w:rsid w:val="001A601B"/>
    <w:rsid w:val="001A7870"/>
    <w:rsid w:val="001B3A00"/>
    <w:rsid w:val="001B4C00"/>
    <w:rsid w:val="001B5974"/>
    <w:rsid w:val="001C108B"/>
    <w:rsid w:val="001C1B41"/>
    <w:rsid w:val="001C329D"/>
    <w:rsid w:val="001C3FDF"/>
    <w:rsid w:val="001C5B12"/>
    <w:rsid w:val="001D3523"/>
    <w:rsid w:val="001D65EF"/>
    <w:rsid w:val="001D6768"/>
    <w:rsid w:val="001D7EA8"/>
    <w:rsid w:val="001E3CBA"/>
    <w:rsid w:val="001E413B"/>
    <w:rsid w:val="001E49E7"/>
    <w:rsid w:val="001E5DB2"/>
    <w:rsid w:val="001F1FA3"/>
    <w:rsid w:val="001F271B"/>
    <w:rsid w:val="001F590D"/>
    <w:rsid w:val="001F7201"/>
    <w:rsid w:val="0020239A"/>
    <w:rsid w:val="00203DBC"/>
    <w:rsid w:val="00204931"/>
    <w:rsid w:val="00214EB2"/>
    <w:rsid w:val="00216A99"/>
    <w:rsid w:val="00217E3F"/>
    <w:rsid w:val="00223A29"/>
    <w:rsid w:val="00223DB4"/>
    <w:rsid w:val="002250A3"/>
    <w:rsid w:val="002274A1"/>
    <w:rsid w:val="00231294"/>
    <w:rsid w:val="00235217"/>
    <w:rsid w:val="002355A9"/>
    <w:rsid w:val="00245650"/>
    <w:rsid w:val="00246D1F"/>
    <w:rsid w:val="00247403"/>
    <w:rsid w:val="00247542"/>
    <w:rsid w:val="00253195"/>
    <w:rsid w:val="0025482D"/>
    <w:rsid w:val="00257104"/>
    <w:rsid w:val="002636E9"/>
    <w:rsid w:val="00266B61"/>
    <w:rsid w:val="0026712A"/>
    <w:rsid w:val="002704DB"/>
    <w:rsid w:val="00277BDA"/>
    <w:rsid w:val="0029575A"/>
    <w:rsid w:val="00295932"/>
    <w:rsid w:val="00295F56"/>
    <w:rsid w:val="002A0AAE"/>
    <w:rsid w:val="002A5820"/>
    <w:rsid w:val="002A746C"/>
    <w:rsid w:val="002B0B82"/>
    <w:rsid w:val="002B6FFB"/>
    <w:rsid w:val="002C0D2D"/>
    <w:rsid w:val="002C3350"/>
    <w:rsid w:val="002C4145"/>
    <w:rsid w:val="002C436B"/>
    <w:rsid w:val="002C5E74"/>
    <w:rsid w:val="002D1527"/>
    <w:rsid w:val="002D2B26"/>
    <w:rsid w:val="002D778E"/>
    <w:rsid w:val="002D7EA2"/>
    <w:rsid w:val="002E187C"/>
    <w:rsid w:val="002E7512"/>
    <w:rsid w:val="002F3724"/>
    <w:rsid w:val="002F4C6A"/>
    <w:rsid w:val="00302733"/>
    <w:rsid w:val="00303557"/>
    <w:rsid w:val="003039E3"/>
    <w:rsid w:val="003121D5"/>
    <w:rsid w:val="00314078"/>
    <w:rsid w:val="0031535D"/>
    <w:rsid w:val="003239B8"/>
    <w:rsid w:val="00324EC6"/>
    <w:rsid w:val="00326C93"/>
    <w:rsid w:val="0033169F"/>
    <w:rsid w:val="00341A40"/>
    <w:rsid w:val="0034224A"/>
    <w:rsid w:val="00343438"/>
    <w:rsid w:val="00344977"/>
    <w:rsid w:val="003450E1"/>
    <w:rsid w:val="00346C95"/>
    <w:rsid w:val="00351155"/>
    <w:rsid w:val="00353757"/>
    <w:rsid w:val="0035443B"/>
    <w:rsid w:val="00356185"/>
    <w:rsid w:val="00360380"/>
    <w:rsid w:val="00361CE2"/>
    <w:rsid w:val="00361DF2"/>
    <w:rsid w:val="003713D8"/>
    <w:rsid w:val="003725D2"/>
    <w:rsid w:val="0037519E"/>
    <w:rsid w:val="00382607"/>
    <w:rsid w:val="00386C6C"/>
    <w:rsid w:val="00386CF0"/>
    <w:rsid w:val="0039199D"/>
    <w:rsid w:val="003942EC"/>
    <w:rsid w:val="00396554"/>
    <w:rsid w:val="00397443"/>
    <w:rsid w:val="003A125A"/>
    <w:rsid w:val="003A129A"/>
    <w:rsid w:val="003A30ED"/>
    <w:rsid w:val="003A6337"/>
    <w:rsid w:val="003B4FF6"/>
    <w:rsid w:val="003B70FB"/>
    <w:rsid w:val="003C436D"/>
    <w:rsid w:val="003C45DC"/>
    <w:rsid w:val="003C6112"/>
    <w:rsid w:val="003C676B"/>
    <w:rsid w:val="003D0A55"/>
    <w:rsid w:val="003D3BC2"/>
    <w:rsid w:val="003E1070"/>
    <w:rsid w:val="003E614F"/>
    <w:rsid w:val="003E6C0C"/>
    <w:rsid w:val="003E6CA1"/>
    <w:rsid w:val="003F1374"/>
    <w:rsid w:val="003F3BA0"/>
    <w:rsid w:val="003F75B9"/>
    <w:rsid w:val="00404974"/>
    <w:rsid w:val="004065A8"/>
    <w:rsid w:val="00410C2C"/>
    <w:rsid w:val="0041158A"/>
    <w:rsid w:val="004153F5"/>
    <w:rsid w:val="004165C2"/>
    <w:rsid w:val="0041725D"/>
    <w:rsid w:val="00427118"/>
    <w:rsid w:val="004304AD"/>
    <w:rsid w:val="00441ECB"/>
    <w:rsid w:val="00445193"/>
    <w:rsid w:val="00446B84"/>
    <w:rsid w:val="00447758"/>
    <w:rsid w:val="00447C6E"/>
    <w:rsid w:val="00447CCF"/>
    <w:rsid w:val="004514E6"/>
    <w:rsid w:val="004565BA"/>
    <w:rsid w:val="00460AAF"/>
    <w:rsid w:val="00461599"/>
    <w:rsid w:val="00462C1B"/>
    <w:rsid w:val="00464346"/>
    <w:rsid w:val="004660CD"/>
    <w:rsid w:val="00467B7E"/>
    <w:rsid w:val="0047080D"/>
    <w:rsid w:val="00473BB4"/>
    <w:rsid w:val="00476211"/>
    <w:rsid w:val="00477592"/>
    <w:rsid w:val="00486F1C"/>
    <w:rsid w:val="00487A48"/>
    <w:rsid w:val="0049419D"/>
    <w:rsid w:val="004A05E6"/>
    <w:rsid w:val="004A59CC"/>
    <w:rsid w:val="004A6A54"/>
    <w:rsid w:val="004B3428"/>
    <w:rsid w:val="004B3E80"/>
    <w:rsid w:val="004B4DC7"/>
    <w:rsid w:val="004B54C3"/>
    <w:rsid w:val="004B64F2"/>
    <w:rsid w:val="004B7127"/>
    <w:rsid w:val="004C20D2"/>
    <w:rsid w:val="004C2312"/>
    <w:rsid w:val="004C4B62"/>
    <w:rsid w:val="004C54C9"/>
    <w:rsid w:val="004C616A"/>
    <w:rsid w:val="004D1458"/>
    <w:rsid w:val="004D4ABA"/>
    <w:rsid w:val="004D6025"/>
    <w:rsid w:val="004E19B1"/>
    <w:rsid w:val="004E2649"/>
    <w:rsid w:val="004E34FA"/>
    <w:rsid w:val="004E651F"/>
    <w:rsid w:val="004F7DFC"/>
    <w:rsid w:val="00501399"/>
    <w:rsid w:val="00501652"/>
    <w:rsid w:val="0050633D"/>
    <w:rsid w:val="00507BC4"/>
    <w:rsid w:val="005128E4"/>
    <w:rsid w:val="005133DB"/>
    <w:rsid w:val="0051717D"/>
    <w:rsid w:val="00517766"/>
    <w:rsid w:val="00524473"/>
    <w:rsid w:val="00525560"/>
    <w:rsid w:val="00535722"/>
    <w:rsid w:val="005415E6"/>
    <w:rsid w:val="00544216"/>
    <w:rsid w:val="00544C49"/>
    <w:rsid w:val="00545AFD"/>
    <w:rsid w:val="005516A1"/>
    <w:rsid w:val="00551C2E"/>
    <w:rsid w:val="0055234F"/>
    <w:rsid w:val="0055275F"/>
    <w:rsid w:val="005604CB"/>
    <w:rsid w:val="00563557"/>
    <w:rsid w:val="00564939"/>
    <w:rsid w:val="00572826"/>
    <w:rsid w:val="005732A7"/>
    <w:rsid w:val="00573713"/>
    <w:rsid w:val="0057402A"/>
    <w:rsid w:val="00574CB7"/>
    <w:rsid w:val="005771D0"/>
    <w:rsid w:val="0058187C"/>
    <w:rsid w:val="00583784"/>
    <w:rsid w:val="00586230"/>
    <w:rsid w:val="0059191A"/>
    <w:rsid w:val="005921FF"/>
    <w:rsid w:val="00594707"/>
    <w:rsid w:val="005A17A6"/>
    <w:rsid w:val="005A24ED"/>
    <w:rsid w:val="005A2770"/>
    <w:rsid w:val="005A6B28"/>
    <w:rsid w:val="005A6D0E"/>
    <w:rsid w:val="005B37CC"/>
    <w:rsid w:val="005B52B0"/>
    <w:rsid w:val="005B6806"/>
    <w:rsid w:val="005B6D22"/>
    <w:rsid w:val="005C261A"/>
    <w:rsid w:val="005C4225"/>
    <w:rsid w:val="005C7989"/>
    <w:rsid w:val="005D66AD"/>
    <w:rsid w:val="005E0B65"/>
    <w:rsid w:val="005E11B2"/>
    <w:rsid w:val="005F0A4D"/>
    <w:rsid w:val="005F0DAD"/>
    <w:rsid w:val="005F0F33"/>
    <w:rsid w:val="00600DEB"/>
    <w:rsid w:val="006068B7"/>
    <w:rsid w:val="00610A4C"/>
    <w:rsid w:val="00610BF4"/>
    <w:rsid w:val="00614C16"/>
    <w:rsid w:val="006261F3"/>
    <w:rsid w:val="0062764B"/>
    <w:rsid w:val="006277DE"/>
    <w:rsid w:val="00627C9F"/>
    <w:rsid w:val="006311E9"/>
    <w:rsid w:val="00631390"/>
    <w:rsid w:val="00631549"/>
    <w:rsid w:val="00632354"/>
    <w:rsid w:val="0063324A"/>
    <w:rsid w:val="00642810"/>
    <w:rsid w:val="0064686E"/>
    <w:rsid w:val="00647756"/>
    <w:rsid w:val="006508E1"/>
    <w:rsid w:val="006509DA"/>
    <w:rsid w:val="00652333"/>
    <w:rsid w:val="006532BB"/>
    <w:rsid w:val="00657A8A"/>
    <w:rsid w:val="00661790"/>
    <w:rsid w:val="006700E5"/>
    <w:rsid w:val="006775AB"/>
    <w:rsid w:val="0068009E"/>
    <w:rsid w:val="006819E9"/>
    <w:rsid w:val="00681F56"/>
    <w:rsid w:val="00682256"/>
    <w:rsid w:val="0068288D"/>
    <w:rsid w:val="00686471"/>
    <w:rsid w:val="00687905"/>
    <w:rsid w:val="0068794B"/>
    <w:rsid w:val="00691BBE"/>
    <w:rsid w:val="00692219"/>
    <w:rsid w:val="0069402E"/>
    <w:rsid w:val="006951D0"/>
    <w:rsid w:val="006A17D2"/>
    <w:rsid w:val="006A548D"/>
    <w:rsid w:val="006A73E6"/>
    <w:rsid w:val="006B2340"/>
    <w:rsid w:val="006B2515"/>
    <w:rsid w:val="006B2D5C"/>
    <w:rsid w:val="006B2EE8"/>
    <w:rsid w:val="006B45DD"/>
    <w:rsid w:val="006B6333"/>
    <w:rsid w:val="006C4EB1"/>
    <w:rsid w:val="006C63B2"/>
    <w:rsid w:val="006D5A2C"/>
    <w:rsid w:val="006E0166"/>
    <w:rsid w:val="006E772A"/>
    <w:rsid w:val="006E7B34"/>
    <w:rsid w:val="006F1367"/>
    <w:rsid w:val="006F1D32"/>
    <w:rsid w:val="006F5108"/>
    <w:rsid w:val="00700435"/>
    <w:rsid w:val="00701300"/>
    <w:rsid w:val="007034F5"/>
    <w:rsid w:val="007066F7"/>
    <w:rsid w:val="0070697F"/>
    <w:rsid w:val="007153C1"/>
    <w:rsid w:val="00717132"/>
    <w:rsid w:val="0072199C"/>
    <w:rsid w:val="00722C9F"/>
    <w:rsid w:val="0072463A"/>
    <w:rsid w:val="007253B8"/>
    <w:rsid w:val="00727B0E"/>
    <w:rsid w:val="0073598C"/>
    <w:rsid w:val="0073741F"/>
    <w:rsid w:val="00745B54"/>
    <w:rsid w:val="00746C24"/>
    <w:rsid w:val="007547F5"/>
    <w:rsid w:val="00756485"/>
    <w:rsid w:val="00757AEB"/>
    <w:rsid w:val="00763D0D"/>
    <w:rsid w:val="0076643F"/>
    <w:rsid w:val="00772E5F"/>
    <w:rsid w:val="00775276"/>
    <w:rsid w:val="007753FC"/>
    <w:rsid w:val="00776B37"/>
    <w:rsid w:val="00777F63"/>
    <w:rsid w:val="0078341F"/>
    <w:rsid w:val="0078378A"/>
    <w:rsid w:val="0078436D"/>
    <w:rsid w:val="007852B5"/>
    <w:rsid w:val="00793824"/>
    <w:rsid w:val="00795CF5"/>
    <w:rsid w:val="00796A37"/>
    <w:rsid w:val="007A030F"/>
    <w:rsid w:val="007A5817"/>
    <w:rsid w:val="007B05C4"/>
    <w:rsid w:val="007B361D"/>
    <w:rsid w:val="007B60E9"/>
    <w:rsid w:val="007B62AA"/>
    <w:rsid w:val="007B6CC3"/>
    <w:rsid w:val="007B7C9F"/>
    <w:rsid w:val="007C3334"/>
    <w:rsid w:val="007C376B"/>
    <w:rsid w:val="007C402A"/>
    <w:rsid w:val="007D07C3"/>
    <w:rsid w:val="007D2B98"/>
    <w:rsid w:val="007D7C02"/>
    <w:rsid w:val="007E21BC"/>
    <w:rsid w:val="007E4B44"/>
    <w:rsid w:val="007E58FE"/>
    <w:rsid w:val="007E7C82"/>
    <w:rsid w:val="007F588D"/>
    <w:rsid w:val="00802748"/>
    <w:rsid w:val="008034B1"/>
    <w:rsid w:val="00803F1C"/>
    <w:rsid w:val="0080537B"/>
    <w:rsid w:val="0080600E"/>
    <w:rsid w:val="00815D38"/>
    <w:rsid w:val="008168D8"/>
    <w:rsid w:val="00817612"/>
    <w:rsid w:val="0082398A"/>
    <w:rsid w:val="00832331"/>
    <w:rsid w:val="008338A4"/>
    <w:rsid w:val="00834D49"/>
    <w:rsid w:val="00837C45"/>
    <w:rsid w:val="008411F0"/>
    <w:rsid w:val="008439BC"/>
    <w:rsid w:val="00843EC1"/>
    <w:rsid w:val="00844544"/>
    <w:rsid w:val="00844730"/>
    <w:rsid w:val="008453B1"/>
    <w:rsid w:val="008457C2"/>
    <w:rsid w:val="00846782"/>
    <w:rsid w:val="00852E3B"/>
    <w:rsid w:val="00853E84"/>
    <w:rsid w:val="008576E8"/>
    <w:rsid w:val="00857A82"/>
    <w:rsid w:val="00860490"/>
    <w:rsid w:val="00866C4D"/>
    <w:rsid w:val="00871526"/>
    <w:rsid w:val="00871795"/>
    <w:rsid w:val="00873836"/>
    <w:rsid w:val="00875668"/>
    <w:rsid w:val="00885737"/>
    <w:rsid w:val="00890650"/>
    <w:rsid w:val="00892CA4"/>
    <w:rsid w:val="008947F5"/>
    <w:rsid w:val="00896310"/>
    <w:rsid w:val="00897E12"/>
    <w:rsid w:val="008A0F81"/>
    <w:rsid w:val="008A310C"/>
    <w:rsid w:val="008A5E22"/>
    <w:rsid w:val="008A6ED4"/>
    <w:rsid w:val="008A7E0F"/>
    <w:rsid w:val="008B12F5"/>
    <w:rsid w:val="008B5932"/>
    <w:rsid w:val="008C5751"/>
    <w:rsid w:val="008D0F50"/>
    <w:rsid w:val="008D6978"/>
    <w:rsid w:val="008D768D"/>
    <w:rsid w:val="008E0FD8"/>
    <w:rsid w:val="008E328A"/>
    <w:rsid w:val="008E3759"/>
    <w:rsid w:val="008E3BFE"/>
    <w:rsid w:val="008E74F7"/>
    <w:rsid w:val="008E7900"/>
    <w:rsid w:val="008F1912"/>
    <w:rsid w:val="008F3148"/>
    <w:rsid w:val="008F72C6"/>
    <w:rsid w:val="00901947"/>
    <w:rsid w:val="0090270B"/>
    <w:rsid w:val="009041DC"/>
    <w:rsid w:val="00917B5A"/>
    <w:rsid w:val="00920A58"/>
    <w:rsid w:val="00920A8C"/>
    <w:rsid w:val="009212F6"/>
    <w:rsid w:val="00930E83"/>
    <w:rsid w:val="009344D8"/>
    <w:rsid w:val="00934A2C"/>
    <w:rsid w:val="00935F06"/>
    <w:rsid w:val="00937B3A"/>
    <w:rsid w:val="009435E4"/>
    <w:rsid w:val="00944EBD"/>
    <w:rsid w:val="00952834"/>
    <w:rsid w:val="00954B82"/>
    <w:rsid w:val="00957000"/>
    <w:rsid w:val="0096071B"/>
    <w:rsid w:val="00962436"/>
    <w:rsid w:val="00966771"/>
    <w:rsid w:val="0096706E"/>
    <w:rsid w:val="00970C0E"/>
    <w:rsid w:val="00971B2A"/>
    <w:rsid w:val="00974491"/>
    <w:rsid w:val="00975C4E"/>
    <w:rsid w:val="00981FBA"/>
    <w:rsid w:val="00982B4F"/>
    <w:rsid w:val="00990E18"/>
    <w:rsid w:val="00996D4E"/>
    <w:rsid w:val="00997BC5"/>
    <w:rsid w:val="009A346C"/>
    <w:rsid w:val="009A4F41"/>
    <w:rsid w:val="009A63A0"/>
    <w:rsid w:val="009B3392"/>
    <w:rsid w:val="009B381B"/>
    <w:rsid w:val="009C2BF4"/>
    <w:rsid w:val="009C2FC5"/>
    <w:rsid w:val="009C3F21"/>
    <w:rsid w:val="009D1753"/>
    <w:rsid w:val="009D3E90"/>
    <w:rsid w:val="009D6502"/>
    <w:rsid w:val="009D7611"/>
    <w:rsid w:val="009D78A5"/>
    <w:rsid w:val="009E08DD"/>
    <w:rsid w:val="009E0B61"/>
    <w:rsid w:val="009E4972"/>
    <w:rsid w:val="009E4F65"/>
    <w:rsid w:val="009E53DE"/>
    <w:rsid w:val="009E7C00"/>
    <w:rsid w:val="009F1414"/>
    <w:rsid w:val="009F5FB3"/>
    <w:rsid w:val="009F6A7F"/>
    <w:rsid w:val="009F7263"/>
    <w:rsid w:val="00A0163E"/>
    <w:rsid w:val="00A02D8E"/>
    <w:rsid w:val="00A04336"/>
    <w:rsid w:val="00A0691C"/>
    <w:rsid w:val="00A11E44"/>
    <w:rsid w:val="00A1425A"/>
    <w:rsid w:val="00A154C8"/>
    <w:rsid w:val="00A22397"/>
    <w:rsid w:val="00A30DC2"/>
    <w:rsid w:val="00A32313"/>
    <w:rsid w:val="00A328B3"/>
    <w:rsid w:val="00A370CA"/>
    <w:rsid w:val="00A47A43"/>
    <w:rsid w:val="00A50FCF"/>
    <w:rsid w:val="00A525E3"/>
    <w:rsid w:val="00A528D1"/>
    <w:rsid w:val="00A55672"/>
    <w:rsid w:val="00A610CD"/>
    <w:rsid w:val="00A625E0"/>
    <w:rsid w:val="00A743FB"/>
    <w:rsid w:val="00A74947"/>
    <w:rsid w:val="00A754EB"/>
    <w:rsid w:val="00A758AA"/>
    <w:rsid w:val="00A77539"/>
    <w:rsid w:val="00A777B4"/>
    <w:rsid w:val="00A92093"/>
    <w:rsid w:val="00A93EBE"/>
    <w:rsid w:val="00A94503"/>
    <w:rsid w:val="00AA09A2"/>
    <w:rsid w:val="00AA7996"/>
    <w:rsid w:val="00AB1103"/>
    <w:rsid w:val="00AB114F"/>
    <w:rsid w:val="00AB3FF7"/>
    <w:rsid w:val="00AB4E59"/>
    <w:rsid w:val="00AC19CB"/>
    <w:rsid w:val="00AC4025"/>
    <w:rsid w:val="00AC4B78"/>
    <w:rsid w:val="00AC669F"/>
    <w:rsid w:val="00AD1886"/>
    <w:rsid w:val="00AD3294"/>
    <w:rsid w:val="00AD5C0F"/>
    <w:rsid w:val="00AE5488"/>
    <w:rsid w:val="00AE6F91"/>
    <w:rsid w:val="00AF39F1"/>
    <w:rsid w:val="00AF5571"/>
    <w:rsid w:val="00B0497B"/>
    <w:rsid w:val="00B05E3A"/>
    <w:rsid w:val="00B06B4E"/>
    <w:rsid w:val="00B07341"/>
    <w:rsid w:val="00B13FA4"/>
    <w:rsid w:val="00B14CBD"/>
    <w:rsid w:val="00B202B5"/>
    <w:rsid w:val="00B30539"/>
    <w:rsid w:val="00B314DB"/>
    <w:rsid w:val="00B361F2"/>
    <w:rsid w:val="00B36793"/>
    <w:rsid w:val="00B3718B"/>
    <w:rsid w:val="00B42E4F"/>
    <w:rsid w:val="00B4632A"/>
    <w:rsid w:val="00B477C1"/>
    <w:rsid w:val="00B5067D"/>
    <w:rsid w:val="00B530F1"/>
    <w:rsid w:val="00B541D1"/>
    <w:rsid w:val="00B57297"/>
    <w:rsid w:val="00B703E6"/>
    <w:rsid w:val="00B71422"/>
    <w:rsid w:val="00B736AF"/>
    <w:rsid w:val="00B742BE"/>
    <w:rsid w:val="00B75616"/>
    <w:rsid w:val="00B84C70"/>
    <w:rsid w:val="00B87359"/>
    <w:rsid w:val="00B90C48"/>
    <w:rsid w:val="00B97946"/>
    <w:rsid w:val="00B97AAE"/>
    <w:rsid w:val="00BA0F4A"/>
    <w:rsid w:val="00BA276C"/>
    <w:rsid w:val="00BA307D"/>
    <w:rsid w:val="00BA4C2D"/>
    <w:rsid w:val="00BA5115"/>
    <w:rsid w:val="00BA5544"/>
    <w:rsid w:val="00BB1E43"/>
    <w:rsid w:val="00BB306F"/>
    <w:rsid w:val="00BB3FBD"/>
    <w:rsid w:val="00BC6A2C"/>
    <w:rsid w:val="00BC6CD0"/>
    <w:rsid w:val="00BC796E"/>
    <w:rsid w:val="00BC7B35"/>
    <w:rsid w:val="00BD4B89"/>
    <w:rsid w:val="00BD5573"/>
    <w:rsid w:val="00BD5922"/>
    <w:rsid w:val="00BD76D9"/>
    <w:rsid w:val="00BE26FE"/>
    <w:rsid w:val="00BF02CB"/>
    <w:rsid w:val="00BF514A"/>
    <w:rsid w:val="00BF6FD8"/>
    <w:rsid w:val="00BF6FFB"/>
    <w:rsid w:val="00BF775D"/>
    <w:rsid w:val="00C026A2"/>
    <w:rsid w:val="00C02A5B"/>
    <w:rsid w:val="00C03680"/>
    <w:rsid w:val="00C054DF"/>
    <w:rsid w:val="00C10AFC"/>
    <w:rsid w:val="00C21562"/>
    <w:rsid w:val="00C21762"/>
    <w:rsid w:val="00C21FEF"/>
    <w:rsid w:val="00C24543"/>
    <w:rsid w:val="00C256A2"/>
    <w:rsid w:val="00C26DEE"/>
    <w:rsid w:val="00C35A26"/>
    <w:rsid w:val="00C43E4C"/>
    <w:rsid w:val="00C51515"/>
    <w:rsid w:val="00C531F6"/>
    <w:rsid w:val="00C53910"/>
    <w:rsid w:val="00C5660B"/>
    <w:rsid w:val="00C56854"/>
    <w:rsid w:val="00C56F75"/>
    <w:rsid w:val="00C5788A"/>
    <w:rsid w:val="00C57C67"/>
    <w:rsid w:val="00C606B4"/>
    <w:rsid w:val="00C631B4"/>
    <w:rsid w:val="00C63306"/>
    <w:rsid w:val="00C639E7"/>
    <w:rsid w:val="00C66B72"/>
    <w:rsid w:val="00C70F6F"/>
    <w:rsid w:val="00C75DE7"/>
    <w:rsid w:val="00C80E8A"/>
    <w:rsid w:val="00C87AC4"/>
    <w:rsid w:val="00C9533E"/>
    <w:rsid w:val="00C9567A"/>
    <w:rsid w:val="00C96A34"/>
    <w:rsid w:val="00C976E4"/>
    <w:rsid w:val="00CA1186"/>
    <w:rsid w:val="00CA3C5F"/>
    <w:rsid w:val="00CA48A3"/>
    <w:rsid w:val="00CB212D"/>
    <w:rsid w:val="00CB2660"/>
    <w:rsid w:val="00CB6F93"/>
    <w:rsid w:val="00CC0BFD"/>
    <w:rsid w:val="00CC395D"/>
    <w:rsid w:val="00CC5E90"/>
    <w:rsid w:val="00CC74A4"/>
    <w:rsid w:val="00CD046C"/>
    <w:rsid w:val="00CD063F"/>
    <w:rsid w:val="00CD186A"/>
    <w:rsid w:val="00CD1EBA"/>
    <w:rsid w:val="00CD240E"/>
    <w:rsid w:val="00CE076C"/>
    <w:rsid w:val="00CE45CF"/>
    <w:rsid w:val="00CE5199"/>
    <w:rsid w:val="00CE5972"/>
    <w:rsid w:val="00CE66D5"/>
    <w:rsid w:val="00CE6B1B"/>
    <w:rsid w:val="00CF637A"/>
    <w:rsid w:val="00CF643A"/>
    <w:rsid w:val="00D0051F"/>
    <w:rsid w:val="00D059DE"/>
    <w:rsid w:val="00D05ABD"/>
    <w:rsid w:val="00D11130"/>
    <w:rsid w:val="00D1136F"/>
    <w:rsid w:val="00D13FA5"/>
    <w:rsid w:val="00D13FCE"/>
    <w:rsid w:val="00D16651"/>
    <w:rsid w:val="00D17E8C"/>
    <w:rsid w:val="00D20EC4"/>
    <w:rsid w:val="00D306D1"/>
    <w:rsid w:val="00D30800"/>
    <w:rsid w:val="00D34786"/>
    <w:rsid w:val="00D365D9"/>
    <w:rsid w:val="00D37BFC"/>
    <w:rsid w:val="00D42822"/>
    <w:rsid w:val="00D47A8E"/>
    <w:rsid w:val="00D52D14"/>
    <w:rsid w:val="00D55256"/>
    <w:rsid w:val="00D56D93"/>
    <w:rsid w:val="00D70C4F"/>
    <w:rsid w:val="00D712D3"/>
    <w:rsid w:val="00D71422"/>
    <w:rsid w:val="00D72DC6"/>
    <w:rsid w:val="00D73F5E"/>
    <w:rsid w:val="00D7558D"/>
    <w:rsid w:val="00D76EBA"/>
    <w:rsid w:val="00D77503"/>
    <w:rsid w:val="00D81D92"/>
    <w:rsid w:val="00D82F06"/>
    <w:rsid w:val="00D876F9"/>
    <w:rsid w:val="00D877B6"/>
    <w:rsid w:val="00D93A90"/>
    <w:rsid w:val="00DA28B1"/>
    <w:rsid w:val="00DA31DC"/>
    <w:rsid w:val="00DA7B5F"/>
    <w:rsid w:val="00DB7B0E"/>
    <w:rsid w:val="00DC11E7"/>
    <w:rsid w:val="00DC3BFD"/>
    <w:rsid w:val="00DC7023"/>
    <w:rsid w:val="00DC769A"/>
    <w:rsid w:val="00DD061E"/>
    <w:rsid w:val="00DD3D86"/>
    <w:rsid w:val="00DD407F"/>
    <w:rsid w:val="00DD5A55"/>
    <w:rsid w:val="00DE12F0"/>
    <w:rsid w:val="00DE13DA"/>
    <w:rsid w:val="00DE4071"/>
    <w:rsid w:val="00DE6BD4"/>
    <w:rsid w:val="00DE6D97"/>
    <w:rsid w:val="00DE7628"/>
    <w:rsid w:val="00DE7B06"/>
    <w:rsid w:val="00DF1115"/>
    <w:rsid w:val="00DF1EC4"/>
    <w:rsid w:val="00DF3C36"/>
    <w:rsid w:val="00DF51E9"/>
    <w:rsid w:val="00E01943"/>
    <w:rsid w:val="00E0340B"/>
    <w:rsid w:val="00E04A90"/>
    <w:rsid w:val="00E0551F"/>
    <w:rsid w:val="00E16F13"/>
    <w:rsid w:val="00E219C7"/>
    <w:rsid w:val="00E256DA"/>
    <w:rsid w:val="00E26CCA"/>
    <w:rsid w:val="00E27F56"/>
    <w:rsid w:val="00E3582A"/>
    <w:rsid w:val="00E37026"/>
    <w:rsid w:val="00E3775E"/>
    <w:rsid w:val="00E4118C"/>
    <w:rsid w:val="00E43157"/>
    <w:rsid w:val="00E43ED7"/>
    <w:rsid w:val="00E461CE"/>
    <w:rsid w:val="00E506C2"/>
    <w:rsid w:val="00E54638"/>
    <w:rsid w:val="00E574FB"/>
    <w:rsid w:val="00E57E51"/>
    <w:rsid w:val="00E720CA"/>
    <w:rsid w:val="00E75525"/>
    <w:rsid w:val="00E823AE"/>
    <w:rsid w:val="00E84EB5"/>
    <w:rsid w:val="00E85662"/>
    <w:rsid w:val="00E8789F"/>
    <w:rsid w:val="00E92747"/>
    <w:rsid w:val="00E927BA"/>
    <w:rsid w:val="00E9772D"/>
    <w:rsid w:val="00E97B71"/>
    <w:rsid w:val="00EA2B62"/>
    <w:rsid w:val="00EA3D34"/>
    <w:rsid w:val="00EB239B"/>
    <w:rsid w:val="00EB3B87"/>
    <w:rsid w:val="00EB454D"/>
    <w:rsid w:val="00EC095B"/>
    <w:rsid w:val="00EC1605"/>
    <w:rsid w:val="00EC26E9"/>
    <w:rsid w:val="00EC5840"/>
    <w:rsid w:val="00EC62A5"/>
    <w:rsid w:val="00EC72AB"/>
    <w:rsid w:val="00ED25BA"/>
    <w:rsid w:val="00ED2F03"/>
    <w:rsid w:val="00ED549D"/>
    <w:rsid w:val="00ED58B8"/>
    <w:rsid w:val="00ED76BE"/>
    <w:rsid w:val="00ED7F05"/>
    <w:rsid w:val="00EE00E9"/>
    <w:rsid w:val="00EE014D"/>
    <w:rsid w:val="00EE4D21"/>
    <w:rsid w:val="00EE5B7B"/>
    <w:rsid w:val="00EF0101"/>
    <w:rsid w:val="00EF35AB"/>
    <w:rsid w:val="00EF3662"/>
    <w:rsid w:val="00EF4C44"/>
    <w:rsid w:val="00EF619B"/>
    <w:rsid w:val="00EF6B18"/>
    <w:rsid w:val="00F0073C"/>
    <w:rsid w:val="00F00B55"/>
    <w:rsid w:val="00F014B6"/>
    <w:rsid w:val="00F02AD1"/>
    <w:rsid w:val="00F04591"/>
    <w:rsid w:val="00F06354"/>
    <w:rsid w:val="00F10606"/>
    <w:rsid w:val="00F10C7E"/>
    <w:rsid w:val="00F11423"/>
    <w:rsid w:val="00F13BBC"/>
    <w:rsid w:val="00F1457D"/>
    <w:rsid w:val="00F1614B"/>
    <w:rsid w:val="00F16C10"/>
    <w:rsid w:val="00F17688"/>
    <w:rsid w:val="00F23377"/>
    <w:rsid w:val="00F24C9B"/>
    <w:rsid w:val="00F253CC"/>
    <w:rsid w:val="00F25B02"/>
    <w:rsid w:val="00F279F1"/>
    <w:rsid w:val="00F332EF"/>
    <w:rsid w:val="00F37106"/>
    <w:rsid w:val="00F41953"/>
    <w:rsid w:val="00F519CF"/>
    <w:rsid w:val="00F53168"/>
    <w:rsid w:val="00F533A2"/>
    <w:rsid w:val="00F53676"/>
    <w:rsid w:val="00F56BA5"/>
    <w:rsid w:val="00F60E22"/>
    <w:rsid w:val="00F62AC6"/>
    <w:rsid w:val="00F63B39"/>
    <w:rsid w:val="00F75E77"/>
    <w:rsid w:val="00F767C4"/>
    <w:rsid w:val="00F76C1C"/>
    <w:rsid w:val="00F81395"/>
    <w:rsid w:val="00F81887"/>
    <w:rsid w:val="00F81BB8"/>
    <w:rsid w:val="00F82C18"/>
    <w:rsid w:val="00F917D1"/>
    <w:rsid w:val="00F924F8"/>
    <w:rsid w:val="00F92968"/>
    <w:rsid w:val="00F9342C"/>
    <w:rsid w:val="00F93B0D"/>
    <w:rsid w:val="00F95D41"/>
    <w:rsid w:val="00F9653B"/>
    <w:rsid w:val="00FA1FC2"/>
    <w:rsid w:val="00FA3048"/>
    <w:rsid w:val="00FA56EA"/>
    <w:rsid w:val="00FA65F5"/>
    <w:rsid w:val="00FB62CF"/>
    <w:rsid w:val="00FB6727"/>
    <w:rsid w:val="00FC0F4A"/>
    <w:rsid w:val="00FC1AC8"/>
    <w:rsid w:val="00FC2F9A"/>
    <w:rsid w:val="00FC3330"/>
    <w:rsid w:val="00FD09A6"/>
    <w:rsid w:val="00FD0D9D"/>
    <w:rsid w:val="00FD2ADD"/>
    <w:rsid w:val="00FD3C3B"/>
    <w:rsid w:val="00FD77F1"/>
    <w:rsid w:val="00FE07DD"/>
    <w:rsid w:val="00FE4F41"/>
    <w:rsid w:val="00FE6353"/>
    <w:rsid w:val="00FE6B45"/>
    <w:rsid w:val="00FF3A7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3151</Words>
  <Characters>17962</Characters>
  <Application>Microsoft Office Word</Application>
  <DocSecurity>0</DocSecurity>
  <Lines>149</Lines>
  <Paragraphs>42</Paragraphs>
  <ScaleCrop>false</ScaleCrop>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2022-11-19T13:42:00Z</dcterms:created>
  <dcterms:modified xsi:type="dcterms:W3CDTF">2022-11-19T13:42:00Z</dcterms:modified>
</cp:coreProperties>
</file>