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1BA5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4527C7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A3412">
                              <w:rPr>
                                <w:rFonts w:asciiTheme="majorHAnsi" w:hAnsiTheme="majorHAnsi" w:cs="Arial"/>
                                <w:b/>
                                <w:bCs/>
                                <w:color w:val="0D0D0D" w:themeColor="text1" w:themeTint="F2"/>
                                <w:sz w:val="36"/>
                                <w:szCs w:val="22"/>
                                <w:lang w:val="es-ES_tradnl"/>
                              </w:rPr>
                              <w:t>19</w:t>
                            </w:r>
                            <w:r w:rsidR="007B05C4">
                              <w:rPr>
                                <w:rFonts w:asciiTheme="majorHAnsi" w:hAnsiTheme="majorHAnsi" w:cs="Arial"/>
                                <w:b/>
                                <w:bCs/>
                                <w:color w:val="0D0D0D" w:themeColor="text1" w:themeTint="F2"/>
                                <w:sz w:val="36"/>
                                <w:szCs w:val="22"/>
                                <w:lang w:val="es-ES_tradnl"/>
                              </w:rPr>
                              <w:t>/</w:t>
                            </w:r>
                            <w:r w:rsidR="007363B7">
                              <w:rPr>
                                <w:rFonts w:asciiTheme="majorHAnsi" w:hAnsiTheme="majorHAnsi" w:cs="Arial"/>
                                <w:b/>
                                <w:bCs/>
                                <w:color w:val="0D0D0D" w:themeColor="text1" w:themeTint="F2"/>
                                <w:sz w:val="36"/>
                                <w:szCs w:val="22"/>
                                <w:lang w:val="es-ES_tradnl"/>
                              </w:rPr>
                              <w:t>2</w:t>
                            </w:r>
                            <w:r w:rsidR="00BE3F76">
                              <w:rPr>
                                <w:rFonts w:asciiTheme="majorHAnsi" w:hAnsiTheme="majorHAnsi" w:cs="Arial"/>
                                <w:b/>
                                <w:bCs/>
                                <w:color w:val="0D0D0D" w:themeColor="text1" w:themeTint="F2"/>
                                <w:sz w:val="36"/>
                                <w:szCs w:val="22"/>
                                <w:lang w:val="es-ES_tradnl"/>
                              </w:rPr>
                              <w:t>3</w:t>
                            </w:r>
                          </w:p>
                          <w:p w14:paraId="45F30ECA" w14:textId="4D0EA8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5648">
                              <w:rPr>
                                <w:rFonts w:asciiTheme="majorHAnsi" w:hAnsiTheme="majorHAnsi" w:cs="Arial"/>
                                <w:b/>
                                <w:color w:val="0D0D0D" w:themeColor="text1" w:themeTint="F2"/>
                                <w:sz w:val="36"/>
                                <w:szCs w:val="22"/>
                                <w:lang w:val="es-ES_tradnl"/>
                              </w:rPr>
                              <w:t>989</w:t>
                            </w:r>
                            <w:r w:rsidR="00246D1F" w:rsidRPr="004E2649">
                              <w:rPr>
                                <w:rFonts w:asciiTheme="majorHAnsi" w:hAnsiTheme="majorHAnsi" w:cs="Arial"/>
                                <w:b/>
                                <w:color w:val="0D0D0D" w:themeColor="text1" w:themeTint="F2"/>
                                <w:sz w:val="36"/>
                                <w:szCs w:val="22"/>
                                <w:lang w:val="es-ES_tradnl"/>
                              </w:rPr>
                              <w:t>-</w:t>
                            </w:r>
                            <w:r w:rsidR="005A5648">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538A15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1BEF03A1" w:rsidR="005B52B0" w:rsidRPr="0010736F" w:rsidRDefault="005A56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CÉSAR GATTO Y OTROS</w:t>
                            </w:r>
                          </w:p>
                          <w:bookmarkEnd w:id="0"/>
                          <w:p w14:paraId="0B9F7D22" w14:textId="42A946D2" w:rsidR="005B52B0" w:rsidRPr="00F56ECB" w:rsidRDefault="008970F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4527C7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A3412">
                        <w:rPr>
                          <w:rFonts w:asciiTheme="majorHAnsi" w:hAnsiTheme="majorHAnsi" w:cs="Arial"/>
                          <w:b/>
                          <w:bCs/>
                          <w:color w:val="0D0D0D" w:themeColor="text1" w:themeTint="F2"/>
                          <w:sz w:val="36"/>
                          <w:szCs w:val="22"/>
                          <w:lang w:val="es-ES_tradnl"/>
                        </w:rPr>
                        <w:t>19</w:t>
                      </w:r>
                      <w:r w:rsidR="007B05C4">
                        <w:rPr>
                          <w:rFonts w:asciiTheme="majorHAnsi" w:hAnsiTheme="majorHAnsi" w:cs="Arial"/>
                          <w:b/>
                          <w:bCs/>
                          <w:color w:val="0D0D0D" w:themeColor="text1" w:themeTint="F2"/>
                          <w:sz w:val="36"/>
                          <w:szCs w:val="22"/>
                          <w:lang w:val="es-ES_tradnl"/>
                        </w:rPr>
                        <w:t>/</w:t>
                      </w:r>
                      <w:r w:rsidR="007363B7">
                        <w:rPr>
                          <w:rFonts w:asciiTheme="majorHAnsi" w:hAnsiTheme="majorHAnsi" w:cs="Arial"/>
                          <w:b/>
                          <w:bCs/>
                          <w:color w:val="0D0D0D" w:themeColor="text1" w:themeTint="F2"/>
                          <w:sz w:val="36"/>
                          <w:szCs w:val="22"/>
                          <w:lang w:val="es-ES_tradnl"/>
                        </w:rPr>
                        <w:t>2</w:t>
                      </w:r>
                      <w:r w:rsidR="00BE3F76">
                        <w:rPr>
                          <w:rFonts w:asciiTheme="majorHAnsi" w:hAnsiTheme="majorHAnsi" w:cs="Arial"/>
                          <w:b/>
                          <w:bCs/>
                          <w:color w:val="0D0D0D" w:themeColor="text1" w:themeTint="F2"/>
                          <w:sz w:val="36"/>
                          <w:szCs w:val="22"/>
                          <w:lang w:val="es-ES_tradnl"/>
                        </w:rPr>
                        <w:t>3</w:t>
                      </w:r>
                    </w:p>
                    <w:p w14:paraId="45F30ECA" w14:textId="4D0EA88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A5648">
                        <w:rPr>
                          <w:rFonts w:asciiTheme="majorHAnsi" w:hAnsiTheme="majorHAnsi" w:cs="Arial"/>
                          <w:b/>
                          <w:color w:val="0D0D0D" w:themeColor="text1" w:themeTint="F2"/>
                          <w:sz w:val="36"/>
                          <w:szCs w:val="22"/>
                          <w:lang w:val="es-ES_tradnl"/>
                        </w:rPr>
                        <w:t>989</w:t>
                      </w:r>
                      <w:r w:rsidR="00246D1F" w:rsidRPr="004E2649">
                        <w:rPr>
                          <w:rFonts w:asciiTheme="majorHAnsi" w:hAnsiTheme="majorHAnsi" w:cs="Arial"/>
                          <w:b/>
                          <w:color w:val="0D0D0D" w:themeColor="text1" w:themeTint="F2"/>
                          <w:sz w:val="36"/>
                          <w:szCs w:val="22"/>
                          <w:lang w:val="es-ES_tradnl"/>
                        </w:rPr>
                        <w:t>-</w:t>
                      </w:r>
                      <w:r w:rsidR="005A5648">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538A15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1BEF03A1" w:rsidR="005B52B0" w:rsidRPr="0010736F" w:rsidRDefault="005A564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JULIO CÉSAR GATTO Y OTROS</w:t>
                      </w:r>
                    </w:p>
                    <w:bookmarkEnd w:id="1"/>
                    <w:p w14:paraId="0B9F7D22" w14:textId="42A946D2" w:rsidR="005B52B0" w:rsidRPr="00F56ECB" w:rsidRDefault="008970F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B7DCEB4" w:rsidR="00627C9F" w:rsidRPr="008970FC" w:rsidRDefault="00834D49" w:rsidP="007A5817">
                            <w:pPr>
                              <w:spacing w:line="276" w:lineRule="auto"/>
                              <w:jc w:val="right"/>
                              <w:rPr>
                                <w:rFonts w:asciiTheme="minorHAnsi" w:hAnsiTheme="minorHAnsi"/>
                                <w:color w:val="FFFFFF" w:themeColor="background1"/>
                                <w:sz w:val="22"/>
                                <w:lang w:val="es-419"/>
                              </w:rPr>
                            </w:pPr>
                            <w:r w:rsidRPr="008970FC">
                              <w:rPr>
                                <w:rFonts w:asciiTheme="minorHAnsi" w:hAnsiTheme="minorHAnsi"/>
                                <w:color w:val="FFFFFF" w:themeColor="background1"/>
                                <w:sz w:val="22"/>
                                <w:lang w:val="es-419"/>
                              </w:rPr>
                              <w:t>OEA/Ser.L/V/II</w:t>
                            </w:r>
                          </w:p>
                          <w:p w14:paraId="71D2D5D2" w14:textId="589D141F" w:rsidR="00627C9F" w:rsidRPr="008970FC" w:rsidRDefault="00627C9F" w:rsidP="007A5817">
                            <w:pPr>
                              <w:spacing w:line="276" w:lineRule="auto"/>
                              <w:jc w:val="right"/>
                              <w:rPr>
                                <w:rFonts w:asciiTheme="minorHAnsi" w:hAnsiTheme="minorHAnsi"/>
                                <w:color w:val="FFFFFF" w:themeColor="background1"/>
                                <w:sz w:val="22"/>
                                <w:lang w:val="es-419"/>
                              </w:rPr>
                            </w:pPr>
                            <w:r w:rsidRPr="008970FC">
                              <w:rPr>
                                <w:rFonts w:asciiTheme="minorHAnsi" w:hAnsiTheme="minorHAnsi"/>
                                <w:color w:val="FFFFFF" w:themeColor="background1"/>
                                <w:sz w:val="22"/>
                                <w:lang w:val="es-419"/>
                              </w:rPr>
                              <w:t xml:space="preserve">Doc. </w:t>
                            </w:r>
                            <w:r w:rsidR="002874CB" w:rsidRPr="008970FC">
                              <w:rPr>
                                <w:rFonts w:asciiTheme="minorHAnsi" w:hAnsiTheme="minorHAnsi"/>
                                <w:color w:val="FFFFFF" w:themeColor="background1"/>
                                <w:sz w:val="22"/>
                                <w:lang w:val="es-419"/>
                              </w:rPr>
                              <w:t>21</w:t>
                            </w:r>
                          </w:p>
                          <w:p w14:paraId="4061DBBD" w14:textId="79095B2C" w:rsidR="00627C9F" w:rsidRPr="00C25ADB" w:rsidRDefault="002874C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E3F7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B7DCEB4" w:rsidR="00627C9F" w:rsidRPr="008970FC" w:rsidRDefault="00834D49" w:rsidP="007A5817">
                      <w:pPr>
                        <w:spacing w:line="276" w:lineRule="auto"/>
                        <w:jc w:val="right"/>
                        <w:rPr>
                          <w:rFonts w:asciiTheme="minorHAnsi" w:hAnsiTheme="minorHAnsi"/>
                          <w:color w:val="FFFFFF" w:themeColor="background1"/>
                          <w:sz w:val="22"/>
                          <w:lang w:val="es-419"/>
                        </w:rPr>
                      </w:pPr>
                      <w:r w:rsidRPr="008970FC">
                        <w:rPr>
                          <w:rFonts w:asciiTheme="minorHAnsi" w:hAnsiTheme="minorHAnsi"/>
                          <w:color w:val="FFFFFF" w:themeColor="background1"/>
                          <w:sz w:val="22"/>
                          <w:lang w:val="es-419"/>
                        </w:rPr>
                        <w:t>OEA/Ser.L/V/II</w:t>
                      </w:r>
                    </w:p>
                    <w:p w14:paraId="71D2D5D2" w14:textId="589D141F" w:rsidR="00627C9F" w:rsidRPr="008970FC" w:rsidRDefault="00627C9F" w:rsidP="007A5817">
                      <w:pPr>
                        <w:spacing w:line="276" w:lineRule="auto"/>
                        <w:jc w:val="right"/>
                        <w:rPr>
                          <w:rFonts w:asciiTheme="minorHAnsi" w:hAnsiTheme="minorHAnsi"/>
                          <w:color w:val="FFFFFF" w:themeColor="background1"/>
                          <w:sz w:val="22"/>
                          <w:lang w:val="es-419"/>
                        </w:rPr>
                      </w:pPr>
                      <w:r w:rsidRPr="008970FC">
                        <w:rPr>
                          <w:rFonts w:asciiTheme="minorHAnsi" w:hAnsiTheme="minorHAnsi"/>
                          <w:color w:val="FFFFFF" w:themeColor="background1"/>
                          <w:sz w:val="22"/>
                          <w:lang w:val="es-419"/>
                        </w:rPr>
                        <w:t xml:space="preserve">Doc. </w:t>
                      </w:r>
                      <w:r w:rsidR="002874CB" w:rsidRPr="008970FC">
                        <w:rPr>
                          <w:rFonts w:asciiTheme="minorHAnsi" w:hAnsiTheme="minorHAnsi"/>
                          <w:color w:val="FFFFFF" w:themeColor="background1"/>
                          <w:sz w:val="22"/>
                          <w:lang w:val="es-419"/>
                        </w:rPr>
                        <w:t>21</w:t>
                      </w:r>
                    </w:p>
                    <w:p w14:paraId="4061DBBD" w14:textId="79095B2C" w:rsidR="00627C9F" w:rsidRPr="00C25ADB" w:rsidRDefault="002874C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E3F7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C7F571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874CB">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874CB">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E3F76">
                              <w:rPr>
                                <w:rFonts w:asciiTheme="majorHAnsi" w:hAnsiTheme="majorHAnsi"/>
                                <w:color w:val="0D0D0D" w:themeColor="text1" w:themeTint="F2"/>
                                <w:sz w:val="18"/>
                                <w:szCs w:val="22"/>
                                <w:lang w:val="es-ES"/>
                              </w:rPr>
                              <w:t>3</w:t>
                            </w:r>
                            <w:r w:rsidR="002874C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C7F571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874CB">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2874CB">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E3F76">
                        <w:rPr>
                          <w:rFonts w:asciiTheme="majorHAnsi" w:hAnsiTheme="majorHAnsi"/>
                          <w:color w:val="0D0D0D" w:themeColor="text1" w:themeTint="F2"/>
                          <w:sz w:val="18"/>
                          <w:szCs w:val="22"/>
                          <w:lang w:val="es-ES"/>
                        </w:rPr>
                        <w:t>3</w:t>
                      </w:r>
                      <w:r w:rsidR="002874C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34FB068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74CB" w:rsidRPr="002874CB">
                              <w:rPr>
                                <w:rFonts w:asciiTheme="majorHAnsi" w:hAnsiTheme="majorHAnsi"/>
                                <w:color w:val="595959" w:themeColor="text1" w:themeTint="A6"/>
                                <w:sz w:val="18"/>
                                <w:szCs w:val="18"/>
                                <w:lang w:val="pt-BR"/>
                              </w:rPr>
                              <w:t>19</w:t>
                            </w:r>
                            <w:r w:rsidR="007B05C4" w:rsidRPr="002874CB">
                              <w:rPr>
                                <w:rFonts w:asciiTheme="majorHAnsi" w:hAnsiTheme="majorHAnsi"/>
                                <w:color w:val="595959" w:themeColor="text1" w:themeTint="A6"/>
                                <w:sz w:val="18"/>
                                <w:szCs w:val="18"/>
                                <w:lang w:val="pt-BR"/>
                              </w:rPr>
                              <w:t>/</w:t>
                            </w:r>
                            <w:r w:rsidR="002874CB" w:rsidRPr="002874CB">
                              <w:rPr>
                                <w:rFonts w:asciiTheme="majorHAnsi" w:hAnsiTheme="majorHAnsi"/>
                                <w:color w:val="595959" w:themeColor="text1" w:themeTint="A6"/>
                                <w:sz w:val="18"/>
                                <w:szCs w:val="18"/>
                                <w:lang w:val="pt-BR"/>
                              </w:rPr>
                              <w:t>23</w:t>
                            </w:r>
                            <w:r w:rsidRPr="002874C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B7691">
                              <w:rPr>
                                <w:rFonts w:asciiTheme="majorHAnsi" w:hAnsiTheme="majorHAnsi"/>
                                <w:color w:val="595959" w:themeColor="text1" w:themeTint="A6"/>
                                <w:sz w:val="18"/>
                                <w:szCs w:val="18"/>
                                <w:lang w:val="es-ES"/>
                              </w:rPr>
                              <w:t>989</w:t>
                            </w:r>
                            <w:r w:rsidR="000433C9">
                              <w:rPr>
                                <w:rFonts w:asciiTheme="majorHAnsi" w:hAnsiTheme="majorHAnsi"/>
                                <w:color w:val="595959" w:themeColor="text1" w:themeTint="A6"/>
                                <w:sz w:val="18"/>
                                <w:szCs w:val="18"/>
                                <w:lang w:val="es-ES"/>
                              </w:rPr>
                              <w:t>-</w:t>
                            </w:r>
                            <w:r w:rsidR="00AB7691">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B7691">
                              <w:rPr>
                                <w:rFonts w:asciiTheme="majorHAnsi" w:hAnsiTheme="majorHAnsi"/>
                                <w:color w:val="595959" w:themeColor="text1" w:themeTint="A6"/>
                                <w:sz w:val="18"/>
                                <w:szCs w:val="18"/>
                                <w:lang w:val="es-ES_tradnl"/>
                              </w:rPr>
                              <w:t>Julio César Gatto y otros</w:t>
                            </w:r>
                            <w:r w:rsidRPr="00890650">
                              <w:rPr>
                                <w:rFonts w:asciiTheme="majorHAnsi" w:hAnsiTheme="majorHAnsi"/>
                                <w:color w:val="595959" w:themeColor="text1" w:themeTint="A6"/>
                                <w:sz w:val="18"/>
                                <w:szCs w:val="18"/>
                                <w:lang w:val="es-ES_tradnl"/>
                              </w:rPr>
                              <w:t xml:space="preserve">. </w:t>
                            </w:r>
                            <w:r w:rsidR="00AB769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874CB">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34FB068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74CB" w:rsidRPr="002874CB">
                        <w:rPr>
                          <w:rFonts w:asciiTheme="majorHAnsi" w:hAnsiTheme="majorHAnsi"/>
                          <w:color w:val="595959" w:themeColor="text1" w:themeTint="A6"/>
                          <w:sz w:val="18"/>
                          <w:szCs w:val="18"/>
                          <w:lang w:val="pt-BR"/>
                        </w:rPr>
                        <w:t>19</w:t>
                      </w:r>
                      <w:r w:rsidR="007B05C4" w:rsidRPr="002874CB">
                        <w:rPr>
                          <w:rFonts w:asciiTheme="majorHAnsi" w:hAnsiTheme="majorHAnsi"/>
                          <w:color w:val="595959" w:themeColor="text1" w:themeTint="A6"/>
                          <w:sz w:val="18"/>
                          <w:szCs w:val="18"/>
                          <w:lang w:val="pt-BR"/>
                        </w:rPr>
                        <w:t>/</w:t>
                      </w:r>
                      <w:r w:rsidR="002874CB" w:rsidRPr="002874CB">
                        <w:rPr>
                          <w:rFonts w:asciiTheme="majorHAnsi" w:hAnsiTheme="majorHAnsi"/>
                          <w:color w:val="595959" w:themeColor="text1" w:themeTint="A6"/>
                          <w:sz w:val="18"/>
                          <w:szCs w:val="18"/>
                          <w:lang w:val="pt-BR"/>
                        </w:rPr>
                        <w:t>23</w:t>
                      </w:r>
                      <w:r w:rsidRPr="002874C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B7691">
                        <w:rPr>
                          <w:rFonts w:asciiTheme="majorHAnsi" w:hAnsiTheme="majorHAnsi"/>
                          <w:color w:val="595959" w:themeColor="text1" w:themeTint="A6"/>
                          <w:sz w:val="18"/>
                          <w:szCs w:val="18"/>
                          <w:lang w:val="es-ES"/>
                        </w:rPr>
                        <w:t>989</w:t>
                      </w:r>
                      <w:r w:rsidR="000433C9">
                        <w:rPr>
                          <w:rFonts w:asciiTheme="majorHAnsi" w:hAnsiTheme="majorHAnsi"/>
                          <w:color w:val="595959" w:themeColor="text1" w:themeTint="A6"/>
                          <w:sz w:val="18"/>
                          <w:szCs w:val="18"/>
                          <w:lang w:val="es-ES"/>
                        </w:rPr>
                        <w:t>-</w:t>
                      </w:r>
                      <w:r w:rsidR="00AB7691">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B7691">
                        <w:rPr>
                          <w:rFonts w:asciiTheme="majorHAnsi" w:hAnsiTheme="majorHAnsi"/>
                          <w:color w:val="595959" w:themeColor="text1" w:themeTint="A6"/>
                          <w:sz w:val="18"/>
                          <w:szCs w:val="18"/>
                          <w:lang w:val="es-ES_tradnl"/>
                        </w:rPr>
                        <w:t>Julio César Gatto y otros</w:t>
                      </w:r>
                      <w:r w:rsidRPr="00890650">
                        <w:rPr>
                          <w:rFonts w:asciiTheme="majorHAnsi" w:hAnsiTheme="majorHAnsi"/>
                          <w:color w:val="595959" w:themeColor="text1" w:themeTint="A6"/>
                          <w:sz w:val="18"/>
                          <w:szCs w:val="18"/>
                          <w:lang w:val="es-ES_tradnl"/>
                        </w:rPr>
                        <w:t xml:space="preserve">. </w:t>
                      </w:r>
                      <w:r w:rsidR="00AB769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874CB">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471744">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A564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5CB7503C" w:rsidR="003239B8" w:rsidRPr="005A5648" w:rsidRDefault="005A5648" w:rsidP="008D2290">
            <w:pPr>
              <w:jc w:val="both"/>
              <w:rPr>
                <w:rFonts w:ascii="Cambria" w:hAnsi="Cambria"/>
                <w:bCs/>
                <w:sz w:val="20"/>
                <w:szCs w:val="20"/>
                <w:lang w:val="es-US"/>
              </w:rPr>
            </w:pPr>
            <w:r w:rsidRPr="005A5648">
              <w:rPr>
                <w:rFonts w:ascii="Cambria" w:hAnsi="Cambria"/>
                <w:bCs/>
                <w:sz w:val="20"/>
                <w:szCs w:val="20"/>
                <w:lang w:val="es-US"/>
              </w:rPr>
              <w:t>Javier Ernesto Leira, Liliana Alicia Martínez, César Alberto Giaccglia y Marcelo Dan</w:t>
            </w:r>
            <w:r>
              <w:rPr>
                <w:rFonts w:ascii="Cambria" w:hAnsi="Cambria"/>
                <w:bCs/>
                <w:sz w:val="20"/>
                <w:szCs w:val="20"/>
                <w:lang w:val="es-US"/>
              </w:rPr>
              <w:t>iel Valenga</w:t>
            </w:r>
          </w:p>
        </w:tc>
      </w:tr>
      <w:tr w:rsidR="003239B8" w:rsidRPr="00DF53E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250CA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1BDC4394" w:rsidR="003239B8" w:rsidRPr="000D05CB" w:rsidRDefault="00E45C15" w:rsidP="008D2290">
            <w:pPr>
              <w:jc w:val="both"/>
              <w:rPr>
                <w:rFonts w:ascii="Cambria" w:hAnsi="Cambria"/>
                <w:bCs/>
                <w:sz w:val="20"/>
                <w:szCs w:val="20"/>
                <w:lang w:val="es-ES"/>
              </w:rPr>
            </w:pPr>
            <w:r>
              <w:rPr>
                <w:rFonts w:ascii="Cambria" w:hAnsi="Cambria"/>
                <w:bCs/>
                <w:sz w:val="20"/>
                <w:szCs w:val="20"/>
                <w:lang w:val="es-ES"/>
              </w:rPr>
              <w:t>Julio César Gatto</w:t>
            </w:r>
            <w:r w:rsidR="005A5648">
              <w:rPr>
                <w:rFonts w:ascii="Cambria" w:hAnsi="Cambria"/>
                <w:bCs/>
                <w:sz w:val="20"/>
                <w:szCs w:val="20"/>
                <w:lang w:val="es-ES"/>
              </w:rPr>
              <w:t xml:space="preserve"> y otros</w:t>
            </w:r>
            <w:r>
              <w:rPr>
                <w:rStyle w:val="FootnoteReference"/>
                <w:rFonts w:ascii="Cambria" w:hAnsi="Cambria"/>
                <w:bCs/>
                <w:sz w:val="20"/>
                <w:szCs w:val="20"/>
                <w:lang w:val="es-ES"/>
              </w:rPr>
              <w:footnoteReference w:id="2"/>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58DFBE27" w:rsidR="003239B8" w:rsidRPr="000D05CB" w:rsidRDefault="005A5648" w:rsidP="008D2290">
            <w:pPr>
              <w:jc w:val="both"/>
              <w:rPr>
                <w:rFonts w:ascii="Cambria" w:hAnsi="Cambria"/>
                <w:bCs/>
                <w:sz w:val="20"/>
                <w:szCs w:val="20"/>
              </w:rPr>
            </w:pPr>
            <w:r>
              <w:rPr>
                <w:rFonts w:ascii="Cambria" w:hAnsi="Cambria"/>
                <w:bCs/>
                <w:sz w:val="20"/>
                <w:szCs w:val="20"/>
              </w:rPr>
              <w:t>Argentina</w:t>
            </w:r>
          </w:p>
        </w:tc>
      </w:tr>
      <w:tr w:rsidR="00223A29" w:rsidRPr="00DF53E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6B0C3054" w:rsidR="00223A29" w:rsidRPr="006D4DFE" w:rsidRDefault="0040783A" w:rsidP="008D2290">
            <w:pPr>
              <w:jc w:val="both"/>
              <w:rPr>
                <w:rFonts w:ascii="Cambria" w:hAnsi="Cambria"/>
                <w:bCs/>
                <w:sz w:val="20"/>
                <w:szCs w:val="20"/>
                <w:lang w:val="es-US"/>
              </w:rPr>
            </w:pPr>
            <w:r>
              <w:rPr>
                <w:rFonts w:ascii="Cambria" w:hAnsi="Cambria"/>
                <w:bCs/>
                <w:sz w:val="20"/>
                <w:szCs w:val="20"/>
                <w:lang w:val="es-ES"/>
              </w:rPr>
              <w:t xml:space="preserve">Artículos 8 (garantías judiciales) y 25 (protección judicial) de la </w:t>
            </w:r>
            <w:r w:rsidR="006D4DFE" w:rsidRPr="00063407">
              <w:rPr>
                <w:rFonts w:ascii="Cambria" w:hAnsi="Cambria"/>
                <w:bCs/>
                <w:sz w:val="20"/>
                <w:szCs w:val="20"/>
                <w:lang w:val="es-ES"/>
              </w:rPr>
              <w:t>Convención Americana sobre Derechos Humanos</w:t>
            </w:r>
            <w:r w:rsidR="006D4DFE">
              <w:rPr>
                <w:rStyle w:val="FootnoteReference"/>
                <w:rFonts w:ascii="Cambria" w:hAnsi="Cambria"/>
                <w:bCs/>
                <w:sz w:val="20"/>
                <w:szCs w:val="20"/>
                <w:lang w:val="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49C1560A" w:rsidR="004C2312" w:rsidRPr="003239B8" w:rsidRDefault="005A5648" w:rsidP="002625EA">
            <w:pPr>
              <w:jc w:val="both"/>
              <w:rPr>
                <w:rFonts w:ascii="Cambria" w:hAnsi="Cambria"/>
                <w:bCs/>
                <w:sz w:val="20"/>
                <w:szCs w:val="20"/>
                <w:lang w:val="es-ES"/>
              </w:rPr>
            </w:pPr>
            <w:r>
              <w:rPr>
                <w:rFonts w:ascii="Cambria" w:hAnsi="Cambria"/>
                <w:bCs/>
                <w:sz w:val="20"/>
                <w:szCs w:val="20"/>
                <w:lang w:val="es-ES"/>
              </w:rPr>
              <w:t>3 de agosto de 2015</w:t>
            </w:r>
          </w:p>
        </w:tc>
      </w:tr>
      <w:tr w:rsidR="00131425" w:rsidRPr="00DF53E1"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0E556236" w:rsidR="00131425" w:rsidRPr="00EF26E6" w:rsidRDefault="00EF26E6" w:rsidP="002625EA">
            <w:pPr>
              <w:jc w:val="both"/>
              <w:rPr>
                <w:rFonts w:ascii="Cambria" w:hAnsi="Cambria"/>
                <w:bCs/>
                <w:sz w:val="20"/>
                <w:szCs w:val="20"/>
                <w:lang w:val="es-US"/>
              </w:rPr>
            </w:pPr>
            <w:r w:rsidRPr="00EF26E6">
              <w:rPr>
                <w:rFonts w:ascii="Cambria" w:hAnsi="Cambria"/>
                <w:bCs/>
                <w:sz w:val="20"/>
                <w:szCs w:val="20"/>
                <w:lang w:val="es-US"/>
              </w:rPr>
              <w:t>23 de abril de 2016, 20 de noviembre de 2016</w:t>
            </w:r>
            <w:r w:rsidR="005B2824">
              <w:rPr>
                <w:rFonts w:ascii="Cambria" w:hAnsi="Cambria"/>
                <w:bCs/>
                <w:sz w:val="20"/>
                <w:szCs w:val="20"/>
                <w:lang w:val="es-US"/>
              </w:rPr>
              <w:t>,</w:t>
            </w:r>
            <w:r>
              <w:rPr>
                <w:rFonts w:ascii="Cambria" w:hAnsi="Cambria"/>
                <w:bCs/>
                <w:sz w:val="20"/>
                <w:szCs w:val="20"/>
                <w:lang w:val="es-US"/>
              </w:rPr>
              <w:t xml:space="preserve"> 10 de septiembre de 2017</w:t>
            </w:r>
            <w:r w:rsidR="005B2824">
              <w:rPr>
                <w:rFonts w:ascii="Cambria" w:hAnsi="Cambria"/>
                <w:bCs/>
                <w:sz w:val="20"/>
                <w:szCs w:val="20"/>
                <w:lang w:val="es-US"/>
              </w:rPr>
              <w:t xml:space="preserve"> y 28 de mayo de 2021</w:t>
            </w:r>
          </w:p>
        </w:tc>
      </w:tr>
      <w:tr w:rsidR="004C2312" w:rsidRPr="005A5648"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2BCEEF4E" w:rsidR="004C2312" w:rsidRPr="003239B8" w:rsidRDefault="00EF26E6" w:rsidP="008D2290">
            <w:pPr>
              <w:jc w:val="both"/>
              <w:rPr>
                <w:rFonts w:ascii="Cambria" w:hAnsi="Cambria"/>
                <w:bCs/>
                <w:sz w:val="20"/>
                <w:szCs w:val="20"/>
                <w:lang w:val="es-ES"/>
              </w:rPr>
            </w:pPr>
            <w:r>
              <w:rPr>
                <w:rFonts w:ascii="Cambria" w:hAnsi="Cambria"/>
                <w:bCs/>
                <w:sz w:val="20"/>
                <w:szCs w:val="20"/>
                <w:lang w:val="es-ES"/>
              </w:rPr>
              <w:t>1 de agosto de 2019</w:t>
            </w:r>
          </w:p>
        </w:tc>
      </w:tr>
      <w:tr w:rsidR="004C2312" w:rsidRPr="00DF53E1"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3551EA08" w:rsidR="004C2312" w:rsidRPr="003239B8" w:rsidRDefault="005B2824" w:rsidP="008D2290">
            <w:pPr>
              <w:jc w:val="both"/>
              <w:rPr>
                <w:rFonts w:ascii="Cambria" w:hAnsi="Cambria"/>
                <w:bCs/>
                <w:sz w:val="20"/>
                <w:szCs w:val="20"/>
                <w:lang w:val="es-ES"/>
              </w:rPr>
            </w:pPr>
            <w:r>
              <w:rPr>
                <w:rFonts w:ascii="Cambria" w:hAnsi="Cambria"/>
                <w:bCs/>
                <w:sz w:val="20"/>
                <w:szCs w:val="20"/>
                <w:lang w:val="es-ES"/>
              </w:rPr>
              <w:t>7 de septiembre de 2021</w:t>
            </w:r>
            <w:r w:rsidR="00616D5E">
              <w:rPr>
                <w:rFonts w:ascii="Cambria" w:hAnsi="Cambria"/>
                <w:bCs/>
                <w:sz w:val="20"/>
                <w:szCs w:val="20"/>
                <w:lang w:val="es-ES"/>
              </w:rPr>
              <w:t xml:space="preserve">, </w:t>
            </w:r>
            <w:r w:rsidR="00DA56B1">
              <w:rPr>
                <w:rFonts w:ascii="Cambria" w:hAnsi="Cambria"/>
                <w:bCs/>
                <w:sz w:val="20"/>
                <w:szCs w:val="20"/>
                <w:lang w:val="es-ES"/>
              </w:rPr>
              <w:t>8 de septiembre de 2021</w:t>
            </w:r>
            <w:r w:rsidR="00A055F4">
              <w:rPr>
                <w:rFonts w:ascii="Cambria" w:hAnsi="Cambria"/>
                <w:bCs/>
                <w:sz w:val="20"/>
                <w:szCs w:val="20"/>
                <w:lang w:val="es-ES"/>
              </w:rPr>
              <w:t xml:space="preserve"> y</w:t>
            </w:r>
            <w:r w:rsidR="00616D5E">
              <w:rPr>
                <w:rFonts w:ascii="Cambria" w:hAnsi="Cambria"/>
                <w:bCs/>
                <w:sz w:val="20"/>
                <w:szCs w:val="20"/>
                <w:lang w:val="es-ES"/>
              </w:rPr>
              <w:t xml:space="preserve"> 22 de junio de 2022</w:t>
            </w:r>
          </w:p>
        </w:tc>
      </w:tr>
      <w:tr w:rsidR="004C2312" w:rsidRPr="005A5648"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3DB7C53B" w:rsidR="004C2312" w:rsidRPr="003239B8" w:rsidRDefault="00DA56B1" w:rsidP="008D2290">
            <w:pPr>
              <w:jc w:val="both"/>
              <w:rPr>
                <w:rFonts w:ascii="Cambria" w:hAnsi="Cambria"/>
                <w:bCs/>
                <w:sz w:val="20"/>
                <w:szCs w:val="20"/>
                <w:lang w:val="es-ES"/>
              </w:rPr>
            </w:pPr>
            <w:r>
              <w:rPr>
                <w:rFonts w:ascii="Cambria" w:hAnsi="Cambria"/>
                <w:bCs/>
                <w:sz w:val="20"/>
                <w:szCs w:val="20"/>
                <w:lang w:val="es-ES"/>
              </w:rPr>
              <w:t xml:space="preserve"> </w:t>
            </w:r>
            <w:r w:rsidR="00616D5E">
              <w:rPr>
                <w:rFonts w:ascii="Cambria" w:hAnsi="Cambria"/>
                <w:bCs/>
                <w:sz w:val="20"/>
                <w:szCs w:val="20"/>
                <w:lang w:val="es-ES"/>
              </w:rPr>
              <w:t>22 de agosto de 2022</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343D3283" w:rsidR="001E49E7" w:rsidRPr="003239B8" w:rsidRDefault="00EF26E6" w:rsidP="002625EA">
            <w:pPr>
              <w:jc w:val="both"/>
              <w:rPr>
                <w:rFonts w:ascii="Cambria" w:hAnsi="Cambria"/>
                <w:bCs/>
                <w:sz w:val="20"/>
                <w:szCs w:val="20"/>
                <w:lang w:val="es-ES"/>
              </w:rPr>
            </w:pPr>
            <w:r>
              <w:rPr>
                <w:rFonts w:ascii="Cambria" w:hAnsi="Cambria"/>
                <w:bCs/>
                <w:sz w:val="20"/>
                <w:szCs w:val="20"/>
                <w:lang w:val="es-ES"/>
              </w:rPr>
              <w:t>1 de mayo de 2021</w:t>
            </w:r>
          </w:p>
        </w:tc>
      </w:tr>
      <w:tr w:rsidR="001E49E7" w:rsidRPr="005A5648"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6D4FED7F" w:rsidR="001E49E7" w:rsidRPr="003239B8" w:rsidRDefault="00EF26E6" w:rsidP="002625EA">
            <w:pPr>
              <w:jc w:val="both"/>
              <w:rPr>
                <w:rFonts w:ascii="Cambria" w:hAnsi="Cambria"/>
                <w:bCs/>
                <w:sz w:val="20"/>
                <w:szCs w:val="20"/>
                <w:lang w:val="es-ES"/>
              </w:rPr>
            </w:pPr>
            <w:r>
              <w:rPr>
                <w:rFonts w:ascii="Cambria" w:hAnsi="Cambria"/>
                <w:bCs/>
                <w:sz w:val="20"/>
                <w:szCs w:val="20"/>
                <w:lang w:val="es-ES"/>
              </w:rPr>
              <w:t>14 de mayo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45F3CBE0" w:rsidR="003239B8" w:rsidRPr="00B3745F" w:rsidRDefault="00616D5E"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A65B0F3" w:rsidR="003239B8" w:rsidRPr="00B3745F" w:rsidRDefault="00616D5E"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64872E90" w:rsidR="003239B8" w:rsidRPr="00B3745F" w:rsidRDefault="00616D5E" w:rsidP="008D2290">
            <w:pPr>
              <w:rPr>
                <w:rFonts w:ascii="Cambria" w:hAnsi="Cambria"/>
                <w:bCs/>
                <w:sz w:val="20"/>
                <w:szCs w:val="20"/>
              </w:rPr>
            </w:pPr>
            <w:r>
              <w:rPr>
                <w:rFonts w:ascii="Cambria" w:hAnsi="Cambria"/>
                <w:bCs/>
                <w:sz w:val="20"/>
                <w:szCs w:val="20"/>
              </w:rPr>
              <w:t>Sí</w:t>
            </w:r>
          </w:p>
        </w:tc>
      </w:tr>
      <w:tr w:rsidR="003239B8" w:rsidRPr="00DF53E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72F6A263" w:rsidR="003239B8" w:rsidRPr="00B3745F" w:rsidRDefault="00616D5E" w:rsidP="008D2290">
            <w:pPr>
              <w:jc w:val="both"/>
              <w:rPr>
                <w:rFonts w:ascii="Cambria" w:hAnsi="Cambria"/>
                <w:bCs/>
                <w:sz w:val="20"/>
                <w:szCs w:val="20"/>
                <w:lang w:val="es-ES"/>
              </w:rPr>
            </w:pPr>
            <w:r w:rsidRPr="0072279E">
              <w:rPr>
                <w:rFonts w:ascii="Cambria" w:hAnsi="Cambria"/>
                <w:bCs/>
                <w:sz w:val="20"/>
                <w:szCs w:val="20"/>
                <w:lang w:val="es-ES_tradnl"/>
              </w:rPr>
              <w:t xml:space="preserve">Sí, Convención Americana (depósito del instrumento </w:t>
            </w:r>
            <w:r w:rsidR="008A180E">
              <w:rPr>
                <w:rFonts w:ascii="Cambria" w:hAnsi="Cambria"/>
                <w:bCs/>
                <w:sz w:val="20"/>
                <w:szCs w:val="20"/>
                <w:lang w:val="es-ES_tradnl"/>
              </w:rPr>
              <w:t xml:space="preserve">de ratificación realizado </w:t>
            </w:r>
            <w:r w:rsidRPr="0072279E">
              <w:rPr>
                <w:rFonts w:ascii="Cambria" w:hAnsi="Cambria"/>
                <w:bCs/>
                <w:sz w:val="20"/>
                <w:szCs w:val="20"/>
                <w:lang w:val="es-ES_tradnl"/>
              </w:rPr>
              <w:t>el 5 de septiembre de 1984)</w:t>
            </w:r>
          </w:p>
        </w:tc>
      </w:tr>
    </w:tbl>
    <w:p w14:paraId="299A3868" w14:textId="74A9D71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686EA0" w:rsidRPr="003239B8">
        <w:rPr>
          <w:rFonts w:asciiTheme="majorHAnsi" w:hAnsiTheme="majorHAnsi"/>
          <w:b/>
          <w:bCs/>
          <w:sz w:val="20"/>
          <w:szCs w:val="20"/>
          <w:lang w:val="es-ES"/>
        </w:rPr>
        <w:t>INTERNACIONAL</w:t>
      </w:r>
      <w:r w:rsidR="00686EA0">
        <w:rPr>
          <w:rFonts w:asciiTheme="majorHAnsi" w:hAnsiTheme="majorHAnsi"/>
          <w:b/>
          <w:bCs/>
          <w:sz w:val="20"/>
          <w:szCs w:val="20"/>
          <w:lang w:val="es-ES"/>
        </w:rPr>
        <w:t xml:space="preserve">, </w:t>
      </w:r>
      <w:r w:rsidR="00686EA0"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45C1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71F771F8" w:rsidR="00EE00E9" w:rsidRPr="00DC24E3" w:rsidRDefault="002B1AB2" w:rsidP="008D2290">
            <w:pPr>
              <w:jc w:val="both"/>
              <w:rPr>
                <w:rFonts w:ascii="Cambria" w:hAnsi="Cambria"/>
                <w:bCs/>
                <w:sz w:val="20"/>
                <w:szCs w:val="20"/>
                <w:lang w:val="es-ES"/>
              </w:rPr>
            </w:pPr>
            <w:r>
              <w:rPr>
                <w:rFonts w:ascii="Cambria" w:hAnsi="Cambria"/>
                <w:bCs/>
                <w:sz w:val="20"/>
                <w:szCs w:val="20"/>
                <w:lang w:val="es-ES"/>
              </w:rPr>
              <w:t>No</w:t>
            </w:r>
          </w:p>
        </w:tc>
      </w:tr>
      <w:tr w:rsidR="003239B8" w:rsidRPr="00DF53E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27FBE9D" w:rsidR="003239B8" w:rsidRPr="00AB7691" w:rsidRDefault="00AB7691" w:rsidP="008D2290">
            <w:pPr>
              <w:jc w:val="both"/>
              <w:rPr>
                <w:rFonts w:ascii="Cambria" w:hAnsi="Cambria"/>
                <w:bCs/>
                <w:sz w:val="20"/>
                <w:szCs w:val="20"/>
                <w:lang w:val="es-US"/>
              </w:rPr>
            </w:pPr>
            <w:r w:rsidRPr="00AB7691">
              <w:rPr>
                <w:rFonts w:ascii="Cambria" w:hAnsi="Cambria"/>
                <w:bCs/>
                <w:sz w:val="20"/>
                <w:szCs w:val="20"/>
                <w:lang w:val="es-US"/>
              </w:rPr>
              <w:t>Artículos 8 y 25 de la C</w:t>
            </w:r>
            <w:r>
              <w:rPr>
                <w:rFonts w:ascii="Cambria" w:hAnsi="Cambria"/>
                <w:bCs/>
                <w:sz w:val="20"/>
                <w:szCs w:val="20"/>
                <w:lang w:val="es-US"/>
              </w:rPr>
              <w:t>onvención Americana</w:t>
            </w:r>
            <w:r w:rsidR="002E43CB">
              <w:rPr>
                <w:rFonts w:ascii="Cambria" w:hAnsi="Cambria"/>
                <w:bCs/>
                <w:sz w:val="20"/>
                <w:szCs w:val="20"/>
                <w:lang w:val="es-US"/>
              </w:rPr>
              <w:t>, en relación con su artículo 1.1 (obligación de respetar los derechos)</w:t>
            </w:r>
          </w:p>
        </w:tc>
      </w:tr>
      <w:tr w:rsidR="003239B8" w:rsidRPr="00DF53E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68E983C1" w:rsidR="003239B8" w:rsidRPr="00DC24E3" w:rsidRDefault="00AB7691"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DF53E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30320553" w:rsidR="003239B8" w:rsidRPr="00AB7691" w:rsidRDefault="00AB7691" w:rsidP="008D2290">
            <w:pPr>
              <w:rPr>
                <w:rFonts w:ascii="Cambria" w:hAnsi="Cambria"/>
                <w:bCs/>
                <w:sz w:val="20"/>
                <w:szCs w:val="20"/>
                <w:lang w:val="es-US"/>
              </w:rPr>
            </w:pPr>
            <w:r w:rsidRPr="00AB7691">
              <w:rPr>
                <w:rFonts w:ascii="Cambria" w:hAnsi="Cambria"/>
                <w:bCs/>
                <w:sz w:val="20"/>
                <w:szCs w:val="20"/>
                <w:lang w:val="es-US"/>
              </w:rPr>
              <w:t>Sí, en los t</w:t>
            </w:r>
            <w:r>
              <w:rPr>
                <w:rFonts w:ascii="Cambria" w:hAnsi="Cambria"/>
                <w:bCs/>
                <w:sz w:val="20"/>
                <w:szCs w:val="20"/>
                <w:lang w:val="es-US"/>
              </w:rPr>
              <w:t>érminos de la sección VI</w:t>
            </w:r>
          </w:p>
        </w:tc>
      </w:tr>
    </w:tbl>
    <w:p w14:paraId="4D189D77" w14:textId="6B16B0CE" w:rsidR="00616D5E" w:rsidRPr="00B1077D" w:rsidRDefault="00223A29" w:rsidP="00616D5E">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B1077D">
        <w:rPr>
          <w:rFonts w:asciiTheme="majorHAnsi" w:hAnsiTheme="majorHAnsi"/>
          <w:b/>
          <w:sz w:val="20"/>
          <w:szCs w:val="20"/>
          <w:lang w:val="es-ES_tradnl"/>
        </w:rPr>
        <w:t>POSICIÓN DE LAS PARTES</w:t>
      </w:r>
      <w:r w:rsidR="003239B8" w:rsidRPr="00B1077D">
        <w:rPr>
          <w:rFonts w:asciiTheme="majorHAnsi" w:hAnsiTheme="majorHAnsi"/>
          <w:b/>
          <w:sz w:val="20"/>
          <w:szCs w:val="20"/>
          <w:lang w:val="es-ES_tradnl"/>
        </w:rPr>
        <w:t xml:space="preserve"> </w:t>
      </w:r>
    </w:p>
    <w:p w14:paraId="6089C7D8" w14:textId="3B6C39EB" w:rsidR="00D372C3" w:rsidRPr="00B1077D" w:rsidRDefault="00D372C3" w:rsidP="00D372C3">
      <w:pPr>
        <w:spacing w:before="240" w:after="240"/>
        <w:jc w:val="both"/>
        <w:rPr>
          <w:rFonts w:asciiTheme="majorHAnsi" w:hAnsiTheme="majorHAnsi"/>
          <w:bCs/>
          <w:i/>
          <w:iCs/>
          <w:sz w:val="20"/>
          <w:szCs w:val="20"/>
          <w:lang w:val="es-ES_tradnl"/>
        </w:rPr>
      </w:pPr>
      <w:r w:rsidRPr="00B1077D">
        <w:rPr>
          <w:rFonts w:asciiTheme="majorHAnsi" w:hAnsiTheme="majorHAnsi"/>
          <w:b/>
          <w:sz w:val="20"/>
          <w:szCs w:val="20"/>
          <w:lang w:val="es-ES_tradnl"/>
        </w:rPr>
        <w:tab/>
      </w:r>
      <w:r w:rsidRPr="00B1077D">
        <w:rPr>
          <w:rFonts w:asciiTheme="majorHAnsi" w:hAnsiTheme="majorHAnsi"/>
          <w:bCs/>
          <w:i/>
          <w:iCs/>
          <w:sz w:val="20"/>
          <w:szCs w:val="20"/>
          <w:lang w:val="es-ES_tradnl"/>
        </w:rPr>
        <w:t xml:space="preserve">Alegatos de la parte peticionaria </w:t>
      </w:r>
    </w:p>
    <w:p w14:paraId="4A80DFDA" w14:textId="41349270" w:rsidR="00616D5E" w:rsidRPr="00B1077D" w:rsidRDefault="00616D5E" w:rsidP="00BB04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B1077D">
        <w:rPr>
          <w:rFonts w:ascii="Cambria" w:hAnsi="Cambria"/>
          <w:bCs/>
          <w:sz w:val="20"/>
          <w:szCs w:val="20"/>
          <w:lang w:val="es-ES_tradnl"/>
        </w:rPr>
        <w:t xml:space="preserve">La parte peticionaria </w:t>
      </w:r>
      <w:r w:rsidR="00D710CC" w:rsidRPr="00B1077D">
        <w:rPr>
          <w:rFonts w:ascii="Cambria" w:hAnsi="Cambria"/>
          <w:bCs/>
          <w:sz w:val="20"/>
          <w:szCs w:val="20"/>
          <w:lang w:val="es-ES_tradnl"/>
        </w:rPr>
        <w:t xml:space="preserve">denuncia </w:t>
      </w:r>
      <w:r w:rsidR="002B1AB2" w:rsidRPr="00B1077D">
        <w:rPr>
          <w:rFonts w:ascii="Cambria" w:hAnsi="Cambria"/>
          <w:bCs/>
          <w:sz w:val="20"/>
          <w:szCs w:val="20"/>
          <w:lang w:val="es-ES_tradnl"/>
        </w:rPr>
        <w:t xml:space="preserve">que el Estado vulneró el derecho de las presuntas víctimas al plazo razonable, al </w:t>
      </w:r>
      <w:r w:rsidR="002B1AB2" w:rsidRPr="00B1077D">
        <w:rPr>
          <w:rFonts w:ascii="Cambria" w:hAnsi="Cambria"/>
          <w:bCs/>
          <w:i/>
          <w:iCs/>
          <w:sz w:val="20"/>
          <w:szCs w:val="20"/>
          <w:lang w:val="es-ES_tradnl"/>
        </w:rPr>
        <w:t>non bis in ídem</w:t>
      </w:r>
      <w:r w:rsidR="002B1AB2" w:rsidRPr="00B1077D">
        <w:rPr>
          <w:rFonts w:ascii="Cambria" w:hAnsi="Cambria"/>
          <w:bCs/>
          <w:sz w:val="20"/>
          <w:szCs w:val="20"/>
          <w:lang w:val="es-ES_tradnl"/>
        </w:rPr>
        <w:t xml:space="preserve"> y otro conjunto de garantías judiciales, dado que desde hace </w:t>
      </w:r>
      <w:r w:rsidR="006F6D7E" w:rsidRPr="00B1077D">
        <w:rPr>
          <w:rFonts w:ascii="Cambria" w:hAnsi="Cambria"/>
          <w:bCs/>
          <w:sz w:val="20"/>
          <w:szCs w:val="20"/>
          <w:lang w:val="es-ES_tradnl"/>
        </w:rPr>
        <w:t>veintiocho</w:t>
      </w:r>
      <w:r w:rsidR="002B1AB2" w:rsidRPr="00B1077D">
        <w:rPr>
          <w:rFonts w:ascii="Cambria" w:hAnsi="Cambria"/>
          <w:bCs/>
          <w:sz w:val="20"/>
          <w:szCs w:val="20"/>
          <w:lang w:val="es-ES_tradnl"/>
        </w:rPr>
        <w:t xml:space="preserve"> años </w:t>
      </w:r>
      <w:r w:rsidR="002B1AB2" w:rsidRPr="00B1077D">
        <w:rPr>
          <w:rFonts w:ascii="Cambria" w:hAnsi="Cambria"/>
          <w:bCs/>
          <w:sz w:val="20"/>
          <w:szCs w:val="20"/>
          <w:lang w:val="es-ES_tradnl"/>
        </w:rPr>
        <w:lastRenderedPageBreak/>
        <w:t xml:space="preserve">se encuentran siendo procesadas penalmente, a pesar de que ya existieron hasta dos decisiones de sobreseimiento a su favor. </w:t>
      </w:r>
    </w:p>
    <w:p w14:paraId="0DB7D0B9" w14:textId="4131B3EB" w:rsidR="006B2800" w:rsidRPr="00B1077D" w:rsidRDefault="00522378" w:rsidP="0052126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Cambria" w:hAnsi="Cambria"/>
          <w:bCs/>
          <w:sz w:val="20"/>
          <w:szCs w:val="20"/>
          <w:lang w:val="es-ES_tradnl"/>
        </w:rPr>
        <w:t xml:space="preserve">La parte peticionaria </w:t>
      </w:r>
      <w:r w:rsidR="00717641">
        <w:rPr>
          <w:rFonts w:ascii="Cambria" w:hAnsi="Cambria"/>
          <w:bCs/>
          <w:sz w:val="20"/>
          <w:szCs w:val="20"/>
          <w:lang w:val="es-ES_tradnl"/>
        </w:rPr>
        <w:t>a</w:t>
      </w:r>
      <w:r w:rsidR="006B2800" w:rsidRPr="00B1077D">
        <w:rPr>
          <w:rFonts w:ascii="Cambria" w:hAnsi="Cambria"/>
          <w:bCs/>
          <w:sz w:val="20"/>
          <w:szCs w:val="20"/>
          <w:lang w:val="es-ES_tradnl"/>
        </w:rPr>
        <w:t>firma que el 10 de enero de 1994 las presuntas víctimas, en su condición de integrantes de la Policía de la Provincia de Buenos Aires se enfrentaron con delincuentes en la localidad de Villa Domini</w:t>
      </w:r>
      <w:r w:rsidR="006B2800" w:rsidRPr="00B1077D">
        <w:rPr>
          <w:rFonts w:asciiTheme="majorHAnsi" w:hAnsiTheme="majorHAnsi"/>
          <w:bCs/>
          <w:sz w:val="20"/>
          <w:szCs w:val="20"/>
          <w:lang w:val="es-ES_tradnl"/>
        </w:rPr>
        <w:t xml:space="preserve">co, </w:t>
      </w:r>
      <w:r w:rsidR="004D601C" w:rsidRPr="00B1077D">
        <w:rPr>
          <w:rFonts w:asciiTheme="majorHAnsi" w:hAnsiTheme="majorHAnsi"/>
          <w:bCs/>
          <w:sz w:val="20"/>
          <w:szCs w:val="20"/>
          <w:lang w:val="es-ES_tradnl"/>
        </w:rPr>
        <w:t>p</w:t>
      </w:r>
      <w:r w:rsidR="006B2800" w:rsidRPr="00B1077D">
        <w:rPr>
          <w:rFonts w:asciiTheme="majorHAnsi" w:hAnsiTheme="majorHAnsi"/>
          <w:bCs/>
          <w:sz w:val="20"/>
          <w:szCs w:val="20"/>
          <w:lang w:val="es-ES_tradnl"/>
        </w:rPr>
        <w:t xml:space="preserve">rovincia de Buenos Aires, y procedieron a la detención de </w:t>
      </w:r>
      <w:r w:rsidR="003B6927" w:rsidRPr="00B1077D">
        <w:rPr>
          <w:rFonts w:asciiTheme="majorHAnsi" w:hAnsiTheme="majorHAnsi"/>
          <w:bCs/>
          <w:sz w:val="20"/>
          <w:szCs w:val="20"/>
          <w:lang w:val="es-ES_tradnl"/>
        </w:rPr>
        <w:t>tres</w:t>
      </w:r>
      <w:r w:rsidR="006B2800" w:rsidRPr="00B1077D">
        <w:rPr>
          <w:rFonts w:asciiTheme="majorHAnsi" w:hAnsiTheme="majorHAnsi"/>
          <w:bCs/>
          <w:sz w:val="20"/>
          <w:szCs w:val="20"/>
          <w:lang w:val="es-ES_tradnl"/>
        </w:rPr>
        <w:t xml:space="preserve"> implicados en el tráfico de estupefacientes. </w:t>
      </w:r>
      <w:r w:rsidR="003B6927" w:rsidRPr="00B1077D">
        <w:rPr>
          <w:rFonts w:asciiTheme="majorHAnsi" w:hAnsiTheme="majorHAnsi"/>
          <w:bCs/>
          <w:sz w:val="20"/>
          <w:szCs w:val="20"/>
          <w:lang w:val="es-ES_tradnl"/>
        </w:rPr>
        <w:t>C</w:t>
      </w:r>
      <w:r w:rsidR="006B2800" w:rsidRPr="00B1077D">
        <w:rPr>
          <w:rFonts w:asciiTheme="majorHAnsi" w:hAnsiTheme="majorHAnsi"/>
          <w:bCs/>
          <w:sz w:val="20"/>
          <w:szCs w:val="20"/>
          <w:lang w:val="es-ES_tradnl"/>
        </w:rPr>
        <w:t xml:space="preserve">omo resultado de tal accionar fallecieron cuatro personas, de las cuales tres eran cómplices de los detenidos que abrieron fuego contra las presuntas víctimas; y uno era un civil ajeno a la comisión del hecho y que había violado el precinto de seguridad de las calles quedando en medio del tiroteo.  </w:t>
      </w:r>
    </w:p>
    <w:p w14:paraId="6EB35243" w14:textId="46361013" w:rsidR="002703AB" w:rsidRPr="00B1077D" w:rsidRDefault="00202AA2" w:rsidP="002703A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Aducen los peticionarios</w:t>
      </w:r>
      <w:r w:rsidR="00143374" w:rsidRPr="00B1077D">
        <w:rPr>
          <w:rFonts w:asciiTheme="majorHAnsi" w:hAnsiTheme="majorHAnsi"/>
          <w:bCs/>
          <w:sz w:val="20"/>
          <w:szCs w:val="20"/>
          <w:lang w:val="es-ES_tradnl"/>
        </w:rPr>
        <w:t xml:space="preserve"> que a pesar de que distintos tribunales sobreseyeron a las presuntas víctimas</w:t>
      </w:r>
      <w:r w:rsidR="002703AB" w:rsidRPr="00B1077D">
        <w:rPr>
          <w:rFonts w:asciiTheme="majorHAnsi" w:hAnsiTheme="majorHAnsi"/>
          <w:bCs/>
          <w:sz w:val="20"/>
          <w:szCs w:val="20"/>
          <w:lang w:val="es-ES_tradnl"/>
        </w:rPr>
        <w:t xml:space="preserve"> hasta en dos oportunidades</w:t>
      </w:r>
      <w:r w:rsidR="00143374" w:rsidRPr="00B1077D">
        <w:rPr>
          <w:rFonts w:asciiTheme="majorHAnsi" w:hAnsiTheme="majorHAnsi"/>
          <w:bCs/>
          <w:sz w:val="20"/>
          <w:szCs w:val="20"/>
          <w:lang w:val="es-ES_tradnl"/>
        </w:rPr>
        <w:t xml:space="preserve">, la presión de la opinión pública </w:t>
      </w:r>
      <w:r w:rsidR="002703AB" w:rsidRPr="00B1077D">
        <w:rPr>
          <w:rFonts w:asciiTheme="majorHAnsi" w:hAnsiTheme="majorHAnsi"/>
          <w:bCs/>
          <w:sz w:val="20"/>
          <w:szCs w:val="20"/>
          <w:lang w:val="es-ES_tradnl"/>
        </w:rPr>
        <w:t xml:space="preserve">generó la reapertura de la causa, en violación al principio </w:t>
      </w:r>
      <w:r w:rsidR="002703AB" w:rsidRPr="00B1077D">
        <w:rPr>
          <w:rFonts w:asciiTheme="majorHAnsi" w:hAnsiTheme="majorHAnsi"/>
          <w:bCs/>
          <w:i/>
          <w:iCs/>
          <w:sz w:val="20"/>
          <w:szCs w:val="20"/>
          <w:lang w:val="es-ES_tradnl"/>
        </w:rPr>
        <w:t>non bis in ídem</w:t>
      </w:r>
      <w:r w:rsidR="002703AB" w:rsidRPr="00B1077D">
        <w:rPr>
          <w:rFonts w:asciiTheme="majorHAnsi" w:hAnsiTheme="majorHAnsi"/>
          <w:bCs/>
          <w:sz w:val="20"/>
          <w:szCs w:val="20"/>
          <w:lang w:val="es-ES_tradnl"/>
        </w:rPr>
        <w:t>. De este modo, indica</w:t>
      </w:r>
      <w:r w:rsidR="003E0C7E" w:rsidRPr="00B1077D">
        <w:rPr>
          <w:rFonts w:asciiTheme="majorHAnsi" w:hAnsiTheme="majorHAnsi"/>
          <w:bCs/>
          <w:sz w:val="20"/>
          <w:szCs w:val="20"/>
          <w:lang w:val="es-ES_tradnl"/>
        </w:rPr>
        <w:t>n</w:t>
      </w:r>
      <w:r w:rsidR="002703AB" w:rsidRPr="00B1077D">
        <w:rPr>
          <w:rFonts w:asciiTheme="majorHAnsi" w:hAnsiTheme="majorHAnsi"/>
          <w:bCs/>
          <w:sz w:val="20"/>
          <w:szCs w:val="20"/>
          <w:lang w:val="es-ES_tradnl"/>
        </w:rPr>
        <w:t xml:space="preserve"> que actualmente se pretende elevar el caso a juicio ante el Tribunal Oral en lo Criminal N° 3 del Departamento Judicial de Lomas de Zamora, provincia de Buenas Aires, con los mismos elementos con los que las autoridades judiciales lo sobreseyeron inicialmente. Así, considera</w:t>
      </w:r>
      <w:r w:rsidR="0069271A" w:rsidRPr="00B1077D">
        <w:rPr>
          <w:rFonts w:asciiTheme="majorHAnsi" w:hAnsiTheme="majorHAnsi"/>
          <w:bCs/>
          <w:sz w:val="20"/>
          <w:szCs w:val="20"/>
          <w:lang w:val="es-ES_tradnl"/>
        </w:rPr>
        <w:t>n</w:t>
      </w:r>
      <w:r w:rsidR="002703AB" w:rsidRPr="00B1077D">
        <w:rPr>
          <w:rFonts w:asciiTheme="majorHAnsi" w:hAnsiTheme="majorHAnsi"/>
          <w:bCs/>
          <w:sz w:val="20"/>
          <w:szCs w:val="20"/>
          <w:lang w:val="es-ES_tradnl"/>
        </w:rPr>
        <w:t xml:space="preserve"> que la reapertura del proceso contra las presuntas víctimas no tenía la consigna de esclarecer lo ocurrido, sino que tenía como objetivo principal incriminar a toda costa a las presuntas víctimas. En razón a ello, afirma</w:t>
      </w:r>
      <w:r w:rsidR="0069271A" w:rsidRPr="00B1077D">
        <w:rPr>
          <w:rFonts w:asciiTheme="majorHAnsi" w:hAnsiTheme="majorHAnsi"/>
          <w:bCs/>
          <w:sz w:val="20"/>
          <w:szCs w:val="20"/>
          <w:lang w:val="es-ES_tradnl"/>
        </w:rPr>
        <w:t>n</w:t>
      </w:r>
      <w:r w:rsidR="002703AB" w:rsidRPr="00B1077D">
        <w:rPr>
          <w:rFonts w:asciiTheme="majorHAnsi" w:hAnsiTheme="majorHAnsi"/>
          <w:bCs/>
          <w:sz w:val="20"/>
          <w:szCs w:val="20"/>
          <w:lang w:val="es-ES_tradnl"/>
        </w:rPr>
        <w:t xml:space="preserve"> que la representación de las presuntas víctimas ha planteado la nulidad de lo actuado, argumentando la falta de imparcialidad e independencia del presidente de la Cámara de Casación Penal que conoció el expediente. </w:t>
      </w:r>
    </w:p>
    <w:p w14:paraId="20571FC9" w14:textId="011468B0" w:rsidR="00BE0C11" w:rsidRPr="00B1077D" w:rsidRDefault="002703AB" w:rsidP="002703A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Finalmente, resalta</w:t>
      </w:r>
      <w:r w:rsidR="0069271A" w:rsidRPr="00B1077D">
        <w:rPr>
          <w:rFonts w:asciiTheme="majorHAnsi" w:hAnsiTheme="majorHAnsi"/>
          <w:bCs/>
          <w:sz w:val="20"/>
          <w:szCs w:val="20"/>
          <w:lang w:val="es-ES_tradnl"/>
        </w:rPr>
        <w:t>n</w:t>
      </w:r>
      <w:r w:rsidRPr="00B1077D">
        <w:rPr>
          <w:rFonts w:asciiTheme="majorHAnsi" w:hAnsiTheme="majorHAnsi"/>
          <w:bCs/>
          <w:sz w:val="20"/>
          <w:szCs w:val="20"/>
          <w:lang w:val="es-ES_tradnl"/>
        </w:rPr>
        <w:t xml:space="preserve"> que actualmente </w:t>
      </w:r>
      <w:r w:rsidR="00D710CC" w:rsidRPr="00B1077D">
        <w:rPr>
          <w:rFonts w:asciiTheme="majorHAnsi" w:hAnsiTheme="majorHAnsi"/>
          <w:bCs/>
          <w:sz w:val="20"/>
          <w:szCs w:val="20"/>
          <w:lang w:val="es-ES_tradnl"/>
        </w:rPr>
        <w:t xml:space="preserve">el proceso penal contra las presuntas víctimas </w:t>
      </w:r>
      <w:r w:rsidRPr="00B1077D">
        <w:rPr>
          <w:rFonts w:asciiTheme="majorHAnsi" w:hAnsiTheme="majorHAnsi"/>
          <w:bCs/>
          <w:sz w:val="20"/>
          <w:szCs w:val="20"/>
          <w:lang w:val="es-ES_tradnl"/>
        </w:rPr>
        <w:t xml:space="preserve">lleva </w:t>
      </w:r>
      <w:r w:rsidR="00C57178" w:rsidRPr="00B1077D">
        <w:rPr>
          <w:rFonts w:asciiTheme="majorHAnsi" w:hAnsiTheme="majorHAnsi"/>
          <w:bCs/>
          <w:sz w:val="20"/>
          <w:szCs w:val="20"/>
          <w:lang w:val="es-ES_tradnl"/>
        </w:rPr>
        <w:t>veintidós</w:t>
      </w:r>
      <w:r w:rsidRPr="00B1077D">
        <w:rPr>
          <w:rFonts w:asciiTheme="majorHAnsi" w:hAnsiTheme="majorHAnsi"/>
          <w:bCs/>
          <w:sz w:val="20"/>
          <w:szCs w:val="20"/>
          <w:lang w:val="es-ES_tradnl"/>
        </w:rPr>
        <w:t xml:space="preserve"> años en trámite</w:t>
      </w:r>
      <w:r w:rsidR="00B62B64" w:rsidRPr="00B1077D">
        <w:rPr>
          <w:rFonts w:asciiTheme="majorHAnsi" w:hAnsiTheme="majorHAnsi"/>
          <w:bCs/>
          <w:sz w:val="20"/>
          <w:szCs w:val="20"/>
          <w:lang w:val="es-ES_tradnl"/>
        </w:rPr>
        <w:t>,</w:t>
      </w:r>
      <w:r w:rsidRPr="00B1077D">
        <w:rPr>
          <w:rFonts w:asciiTheme="majorHAnsi" w:hAnsiTheme="majorHAnsi"/>
          <w:bCs/>
          <w:sz w:val="20"/>
          <w:szCs w:val="20"/>
          <w:lang w:val="es-ES_tradnl"/>
        </w:rPr>
        <w:t xml:space="preserve"> y que si bien </w:t>
      </w:r>
      <w:r w:rsidR="00BE0C11" w:rsidRPr="00B1077D">
        <w:rPr>
          <w:rFonts w:asciiTheme="majorHAnsi" w:hAnsiTheme="majorHAnsi"/>
          <w:bCs/>
          <w:sz w:val="20"/>
          <w:szCs w:val="20"/>
          <w:lang w:val="es-ES_tradnl"/>
        </w:rPr>
        <w:t xml:space="preserve">no se encuentran detenidas a la fecha, </w:t>
      </w:r>
      <w:r w:rsidRPr="00B1077D">
        <w:rPr>
          <w:rFonts w:asciiTheme="majorHAnsi" w:hAnsiTheme="majorHAnsi"/>
          <w:bCs/>
          <w:sz w:val="20"/>
          <w:szCs w:val="20"/>
          <w:lang w:val="es-ES_tradnl"/>
        </w:rPr>
        <w:t xml:space="preserve">se </w:t>
      </w:r>
      <w:r w:rsidR="00BE0C11" w:rsidRPr="00B1077D">
        <w:rPr>
          <w:rFonts w:asciiTheme="majorHAnsi" w:hAnsiTheme="majorHAnsi"/>
          <w:bCs/>
          <w:sz w:val="20"/>
          <w:szCs w:val="20"/>
          <w:lang w:val="es-ES_tradnl"/>
        </w:rPr>
        <w:t xml:space="preserve">deben presentar al asiento del juzgado cada siete días, sin poder ausentarse de su domicilio más de </w:t>
      </w:r>
      <w:r w:rsidR="00937190" w:rsidRPr="00B1077D">
        <w:rPr>
          <w:rFonts w:asciiTheme="majorHAnsi" w:hAnsiTheme="majorHAnsi"/>
          <w:bCs/>
          <w:sz w:val="20"/>
          <w:szCs w:val="20"/>
          <w:lang w:val="es-ES_tradnl"/>
        </w:rPr>
        <w:t>veinticuatro</w:t>
      </w:r>
      <w:r w:rsidR="00BE0C11" w:rsidRPr="00B1077D">
        <w:rPr>
          <w:rFonts w:asciiTheme="majorHAnsi" w:hAnsiTheme="majorHAnsi"/>
          <w:bCs/>
          <w:sz w:val="20"/>
          <w:szCs w:val="20"/>
          <w:lang w:val="es-ES_tradnl"/>
        </w:rPr>
        <w:t xml:space="preserve"> horas</w:t>
      </w:r>
      <w:r w:rsidRPr="00B1077D">
        <w:rPr>
          <w:rFonts w:asciiTheme="majorHAnsi" w:hAnsiTheme="majorHAnsi"/>
          <w:bCs/>
          <w:sz w:val="20"/>
          <w:szCs w:val="20"/>
          <w:lang w:val="es-ES_tradnl"/>
        </w:rPr>
        <w:t xml:space="preserve">. A juicio de la parte peticionaria, esta situación viola su derecho </w:t>
      </w:r>
      <w:r w:rsidR="00937190" w:rsidRPr="00B1077D">
        <w:rPr>
          <w:rFonts w:asciiTheme="majorHAnsi" w:hAnsiTheme="majorHAnsi"/>
          <w:bCs/>
          <w:sz w:val="20"/>
          <w:szCs w:val="20"/>
          <w:lang w:val="es-ES_tradnl"/>
        </w:rPr>
        <w:t>a ser juzgados</w:t>
      </w:r>
      <w:r w:rsidR="00500F70" w:rsidRPr="00B1077D">
        <w:rPr>
          <w:rFonts w:asciiTheme="majorHAnsi" w:hAnsiTheme="majorHAnsi"/>
          <w:bCs/>
          <w:sz w:val="20"/>
          <w:szCs w:val="20"/>
          <w:lang w:val="es-ES_tradnl"/>
        </w:rPr>
        <w:t xml:space="preserve"> en un</w:t>
      </w:r>
      <w:r w:rsidRPr="00B1077D">
        <w:rPr>
          <w:rFonts w:asciiTheme="majorHAnsi" w:hAnsiTheme="majorHAnsi"/>
          <w:bCs/>
          <w:sz w:val="20"/>
          <w:szCs w:val="20"/>
          <w:lang w:val="es-ES_tradnl"/>
        </w:rPr>
        <w:t xml:space="preserve"> plazo razonable.  </w:t>
      </w:r>
    </w:p>
    <w:p w14:paraId="57500A7A" w14:textId="49DD1AE9" w:rsidR="0015799E" w:rsidRPr="00B1077D" w:rsidRDefault="0015799E" w:rsidP="0015799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B1077D">
        <w:rPr>
          <w:rFonts w:asciiTheme="majorHAnsi" w:hAnsiTheme="majorHAnsi"/>
          <w:bCs/>
          <w:i/>
          <w:iCs/>
          <w:sz w:val="20"/>
          <w:szCs w:val="20"/>
          <w:lang w:val="es-ES_tradnl"/>
        </w:rPr>
        <w:t>Alegatos del Estado</w:t>
      </w:r>
      <w:r w:rsidR="00500F70" w:rsidRPr="00B1077D">
        <w:rPr>
          <w:rFonts w:asciiTheme="majorHAnsi" w:hAnsiTheme="majorHAnsi"/>
          <w:bCs/>
          <w:i/>
          <w:iCs/>
          <w:sz w:val="20"/>
          <w:szCs w:val="20"/>
          <w:lang w:val="es-ES_tradnl"/>
        </w:rPr>
        <w:t xml:space="preserve"> argentino</w:t>
      </w:r>
    </w:p>
    <w:p w14:paraId="2030053E" w14:textId="377AE5DD" w:rsidR="0092337C" w:rsidRPr="00B1077D" w:rsidRDefault="0092337C" w:rsidP="000954C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 xml:space="preserve">El Estado, a efectos de informar sobre </w:t>
      </w:r>
      <w:r w:rsidR="006958AF" w:rsidRPr="00B1077D">
        <w:rPr>
          <w:rFonts w:asciiTheme="majorHAnsi" w:hAnsiTheme="majorHAnsi"/>
          <w:bCs/>
          <w:sz w:val="20"/>
          <w:szCs w:val="20"/>
          <w:lang w:val="es-ES_tradnl"/>
        </w:rPr>
        <w:t>los hechos</w:t>
      </w:r>
      <w:r w:rsidRPr="00B1077D">
        <w:rPr>
          <w:rFonts w:asciiTheme="majorHAnsi" w:hAnsiTheme="majorHAnsi"/>
          <w:bCs/>
          <w:sz w:val="20"/>
          <w:szCs w:val="20"/>
          <w:lang w:val="es-ES_tradnl"/>
        </w:rPr>
        <w:t>, e</w:t>
      </w:r>
      <w:r w:rsidR="00176155" w:rsidRPr="00B1077D">
        <w:rPr>
          <w:rFonts w:asciiTheme="majorHAnsi" w:hAnsiTheme="majorHAnsi"/>
          <w:bCs/>
          <w:sz w:val="20"/>
          <w:szCs w:val="20"/>
          <w:lang w:val="es-ES_tradnl"/>
        </w:rPr>
        <w:t>xplica que</w:t>
      </w:r>
      <w:r w:rsidRPr="00B1077D">
        <w:rPr>
          <w:rFonts w:asciiTheme="majorHAnsi" w:hAnsiTheme="majorHAnsi"/>
          <w:bCs/>
          <w:sz w:val="20"/>
          <w:szCs w:val="20"/>
          <w:lang w:val="es-ES_tradnl"/>
        </w:rPr>
        <w:t xml:space="preserve"> las presuntas víctimas están siendo procesadas por su presunta responsabilidad penal por la muerte </w:t>
      </w:r>
      <w:r w:rsidR="00C64815" w:rsidRPr="00B1077D">
        <w:rPr>
          <w:rFonts w:asciiTheme="majorHAnsi" w:hAnsiTheme="majorHAnsi"/>
          <w:sz w:val="20"/>
          <w:szCs w:val="20"/>
          <w:lang w:val="es-ES_tradnl"/>
        </w:rPr>
        <w:t xml:space="preserve">de los señores </w:t>
      </w:r>
      <w:r w:rsidR="005979BB" w:rsidRPr="00B1077D">
        <w:rPr>
          <w:rFonts w:asciiTheme="majorHAnsi" w:hAnsiTheme="majorHAnsi"/>
          <w:sz w:val="20"/>
          <w:szCs w:val="20"/>
          <w:lang w:val="es-ES_tradnl"/>
        </w:rPr>
        <w:t>Norberto</w:t>
      </w:r>
      <w:r w:rsidR="00C64815" w:rsidRPr="00B1077D">
        <w:rPr>
          <w:rFonts w:asciiTheme="majorHAnsi" w:hAnsiTheme="majorHAnsi"/>
          <w:sz w:val="20"/>
          <w:szCs w:val="20"/>
          <w:lang w:val="es-ES_tradnl"/>
        </w:rPr>
        <w:t xml:space="preserve"> Antonio Corbo, Enrique Bielsa, Gustavo Petro Mendoza y Edgardo José Cicutín</w:t>
      </w:r>
      <w:r w:rsidRPr="00B1077D">
        <w:rPr>
          <w:rFonts w:asciiTheme="majorHAnsi" w:hAnsiTheme="majorHAnsi"/>
          <w:bCs/>
          <w:sz w:val="20"/>
          <w:szCs w:val="20"/>
          <w:lang w:val="es-ES_tradnl"/>
        </w:rPr>
        <w:t xml:space="preserve"> el 10 de enero de 1994, en la denominada “Masacre de Wilde” en la provincia de Buenos Aires. </w:t>
      </w:r>
    </w:p>
    <w:p w14:paraId="0F415C19" w14:textId="1AF313AB" w:rsidR="00176155" w:rsidRPr="00B1077D" w:rsidRDefault="0092337C" w:rsidP="009233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Señala que</w:t>
      </w:r>
      <w:r w:rsidR="00176155" w:rsidRPr="00B1077D">
        <w:rPr>
          <w:rFonts w:asciiTheme="majorHAnsi" w:hAnsiTheme="majorHAnsi"/>
          <w:bCs/>
          <w:sz w:val="20"/>
          <w:szCs w:val="20"/>
          <w:lang w:val="es-ES_tradnl"/>
        </w:rPr>
        <w:t xml:space="preserve"> el 6 de febrero de 1994, </w:t>
      </w:r>
      <w:r w:rsidR="00FE510D" w:rsidRPr="00B1077D">
        <w:rPr>
          <w:rFonts w:asciiTheme="majorHAnsi" w:hAnsiTheme="majorHAnsi"/>
          <w:bCs/>
          <w:sz w:val="20"/>
          <w:szCs w:val="20"/>
          <w:lang w:val="es-ES_tradnl"/>
        </w:rPr>
        <w:t xml:space="preserve">tras una serie de medidas de prueba, el Juzgado en lo Criminal y Correccional </w:t>
      </w:r>
      <w:r w:rsidR="00686EA0" w:rsidRPr="00B1077D">
        <w:rPr>
          <w:rFonts w:asciiTheme="majorHAnsi" w:hAnsiTheme="majorHAnsi"/>
          <w:bCs/>
          <w:sz w:val="20"/>
          <w:szCs w:val="20"/>
          <w:lang w:val="es-ES_tradnl"/>
        </w:rPr>
        <w:t>N.º</w:t>
      </w:r>
      <w:r w:rsidR="00FE510D" w:rsidRPr="00B1077D">
        <w:rPr>
          <w:rFonts w:asciiTheme="majorHAnsi" w:hAnsiTheme="majorHAnsi"/>
          <w:bCs/>
          <w:sz w:val="20"/>
          <w:szCs w:val="20"/>
          <w:lang w:val="es-ES_tradnl"/>
        </w:rPr>
        <w:t xml:space="preserve"> 11 de Lomas de Zamora dispuso una medida de prisión preventiva contra las presuntas víctimas. No obstante, el 23 de noviembre de 1994 la Sala I de la Cámara de Apelaciones en lo Penal departamental acogió favorablemente un</w:t>
      </w:r>
      <w:r w:rsidR="0054186C" w:rsidRPr="00B1077D">
        <w:rPr>
          <w:rFonts w:asciiTheme="majorHAnsi" w:hAnsiTheme="majorHAnsi"/>
          <w:bCs/>
          <w:sz w:val="20"/>
          <w:szCs w:val="20"/>
          <w:lang w:val="es-ES_tradnl"/>
        </w:rPr>
        <w:t xml:space="preserve"> hábeas corpus interpuesto</w:t>
      </w:r>
      <w:r w:rsidRPr="00B1077D">
        <w:rPr>
          <w:rFonts w:asciiTheme="majorHAnsi" w:hAnsiTheme="majorHAnsi"/>
          <w:bCs/>
          <w:sz w:val="20"/>
          <w:szCs w:val="20"/>
          <w:lang w:val="es-ES_tradnl"/>
        </w:rPr>
        <w:t xml:space="preserve"> por la representación de las presuntas víctimas</w:t>
      </w:r>
      <w:r w:rsidR="0054186C" w:rsidRPr="00B1077D">
        <w:rPr>
          <w:rFonts w:asciiTheme="majorHAnsi" w:hAnsiTheme="majorHAnsi"/>
          <w:bCs/>
          <w:sz w:val="20"/>
          <w:szCs w:val="20"/>
          <w:lang w:val="es-ES_tradnl"/>
        </w:rPr>
        <w:t xml:space="preserve"> y revocó</w:t>
      </w:r>
      <w:r w:rsidRPr="00B1077D">
        <w:rPr>
          <w:rFonts w:asciiTheme="majorHAnsi" w:hAnsiTheme="majorHAnsi"/>
          <w:bCs/>
          <w:sz w:val="20"/>
          <w:szCs w:val="20"/>
          <w:lang w:val="es-ES_tradnl"/>
        </w:rPr>
        <w:t xml:space="preserve"> la</w:t>
      </w:r>
      <w:r w:rsidR="0054186C" w:rsidRPr="00B1077D">
        <w:rPr>
          <w:rFonts w:asciiTheme="majorHAnsi" w:hAnsiTheme="majorHAnsi"/>
          <w:bCs/>
          <w:sz w:val="20"/>
          <w:szCs w:val="20"/>
          <w:lang w:val="es-ES_tradnl"/>
        </w:rPr>
        <w:t xml:space="preserve"> prisión preventiva</w:t>
      </w:r>
      <w:r w:rsidRPr="00B1077D">
        <w:rPr>
          <w:rFonts w:asciiTheme="majorHAnsi" w:hAnsiTheme="majorHAnsi"/>
          <w:bCs/>
          <w:sz w:val="20"/>
          <w:szCs w:val="20"/>
          <w:lang w:val="es-ES_tradnl"/>
        </w:rPr>
        <w:t>.</w:t>
      </w:r>
    </w:p>
    <w:p w14:paraId="6967EE15" w14:textId="66685F11" w:rsidR="0054186C" w:rsidRPr="00B1077D" w:rsidRDefault="0092337C" w:rsidP="009233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Tras ello</w:t>
      </w:r>
      <w:r w:rsidR="0054186C" w:rsidRPr="00B1077D">
        <w:rPr>
          <w:rFonts w:asciiTheme="majorHAnsi" w:hAnsiTheme="majorHAnsi"/>
          <w:bCs/>
          <w:sz w:val="20"/>
          <w:szCs w:val="20"/>
          <w:lang w:val="es-ES_tradnl"/>
        </w:rPr>
        <w:t>, el 26 de mayo de 1995 el juez a cargo del proceso dictó un primer sobreseimiento provisori</w:t>
      </w:r>
      <w:r w:rsidRPr="00B1077D">
        <w:rPr>
          <w:rFonts w:asciiTheme="majorHAnsi" w:hAnsiTheme="majorHAnsi"/>
          <w:bCs/>
          <w:sz w:val="20"/>
          <w:szCs w:val="20"/>
          <w:lang w:val="es-ES_tradnl"/>
        </w:rPr>
        <w:t>o</w:t>
      </w:r>
      <w:r w:rsidR="0054186C" w:rsidRPr="00B1077D">
        <w:rPr>
          <w:rFonts w:asciiTheme="majorHAnsi" w:hAnsiTheme="majorHAnsi"/>
          <w:bCs/>
          <w:sz w:val="20"/>
          <w:szCs w:val="20"/>
          <w:lang w:val="es-ES_tradnl"/>
        </w:rPr>
        <w:t xml:space="preserve"> respecto de los imputados Gatto y Dudek. Refiere que </w:t>
      </w:r>
      <w:r w:rsidRPr="00B1077D">
        <w:rPr>
          <w:rFonts w:asciiTheme="majorHAnsi" w:hAnsiTheme="majorHAnsi"/>
          <w:bCs/>
          <w:sz w:val="20"/>
          <w:szCs w:val="20"/>
          <w:lang w:val="es-ES_tradnl"/>
        </w:rPr>
        <w:t>la persona damnificada por los hechos, en su condición de parte civil, apeló este sobreseimiento, pero la Cámara confirmo la decisión. Ante esta situación</w:t>
      </w:r>
      <w:r w:rsidR="0054186C" w:rsidRPr="00B1077D">
        <w:rPr>
          <w:rFonts w:asciiTheme="majorHAnsi" w:hAnsiTheme="majorHAnsi"/>
          <w:bCs/>
          <w:sz w:val="20"/>
          <w:szCs w:val="20"/>
          <w:lang w:val="es-ES_tradnl"/>
        </w:rPr>
        <w:t>, la parte damnificada solicitó la reapertura del sumario, impuls</w:t>
      </w:r>
      <w:r w:rsidRPr="00B1077D">
        <w:rPr>
          <w:rFonts w:asciiTheme="majorHAnsi" w:hAnsiTheme="majorHAnsi"/>
          <w:bCs/>
          <w:sz w:val="20"/>
          <w:szCs w:val="20"/>
          <w:lang w:val="es-ES_tradnl"/>
        </w:rPr>
        <w:t>ó</w:t>
      </w:r>
      <w:r w:rsidR="0054186C" w:rsidRPr="00B1077D">
        <w:rPr>
          <w:rFonts w:asciiTheme="majorHAnsi" w:hAnsiTheme="majorHAnsi"/>
          <w:bCs/>
          <w:sz w:val="20"/>
          <w:szCs w:val="20"/>
          <w:lang w:val="es-ES_tradnl"/>
        </w:rPr>
        <w:t xml:space="preserve"> la investigación y requirió la realización de una serie de medidas urgentes. Asimismo, señala que se incorporaron al expediente una </w:t>
      </w:r>
      <w:r w:rsidR="006A5530" w:rsidRPr="00B1077D">
        <w:rPr>
          <w:rFonts w:asciiTheme="majorHAnsi" w:hAnsiTheme="majorHAnsi"/>
          <w:bCs/>
          <w:sz w:val="20"/>
          <w:szCs w:val="20"/>
          <w:lang w:val="es-ES_tradnl"/>
        </w:rPr>
        <w:t xml:space="preserve">serie de </w:t>
      </w:r>
      <w:r w:rsidR="00170794" w:rsidRPr="00B1077D">
        <w:rPr>
          <w:rFonts w:asciiTheme="majorHAnsi" w:hAnsiTheme="majorHAnsi"/>
          <w:bCs/>
          <w:sz w:val="20"/>
          <w:szCs w:val="20"/>
          <w:lang w:val="es-ES_tradnl"/>
        </w:rPr>
        <w:t xml:space="preserve">peritajes. </w:t>
      </w:r>
    </w:p>
    <w:p w14:paraId="53D50194" w14:textId="573C8358" w:rsidR="0054186C" w:rsidRPr="00B1077D" w:rsidRDefault="006C075E" w:rsidP="006C075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 xml:space="preserve">Sin embargo, </w:t>
      </w:r>
      <w:r w:rsidR="0054186C" w:rsidRPr="00B1077D">
        <w:rPr>
          <w:rFonts w:asciiTheme="majorHAnsi" w:hAnsiTheme="majorHAnsi"/>
          <w:bCs/>
          <w:sz w:val="20"/>
          <w:szCs w:val="20"/>
          <w:lang w:val="es-ES_tradnl"/>
        </w:rPr>
        <w:t>el 7 de octubre de 1999, tras considerar que las nuevas pruebas incorporad</w:t>
      </w:r>
      <w:r w:rsidRPr="00B1077D">
        <w:rPr>
          <w:rFonts w:asciiTheme="majorHAnsi" w:hAnsiTheme="majorHAnsi"/>
          <w:bCs/>
          <w:sz w:val="20"/>
          <w:szCs w:val="20"/>
          <w:lang w:val="es-ES_tradnl"/>
        </w:rPr>
        <w:t>a</w:t>
      </w:r>
      <w:r w:rsidR="0054186C" w:rsidRPr="00B1077D">
        <w:rPr>
          <w:rFonts w:asciiTheme="majorHAnsi" w:hAnsiTheme="majorHAnsi"/>
          <w:bCs/>
          <w:sz w:val="20"/>
          <w:szCs w:val="20"/>
          <w:lang w:val="es-ES_tradnl"/>
        </w:rPr>
        <w:t>s n</w:t>
      </w:r>
      <w:r w:rsidRPr="00B1077D">
        <w:rPr>
          <w:rFonts w:asciiTheme="majorHAnsi" w:hAnsiTheme="majorHAnsi"/>
          <w:bCs/>
          <w:sz w:val="20"/>
          <w:szCs w:val="20"/>
          <w:lang w:val="es-ES_tradnl"/>
        </w:rPr>
        <w:t>o provocaban un cambio sustancial</w:t>
      </w:r>
      <w:r w:rsidR="0054186C" w:rsidRPr="00B1077D">
        <w:rPr>
          <w:rFonts w:asciiTheme="majorHAnsi" w:hAnsiTheme="majorHAnsi"/>
          <w:bCs/>
          <w:sz w:val="20"/>
          <w:szCs w:val="20"/>
          <w:lang w:val="es-ES_tradnl"/>
        </w:rPr>
        <w:t xml:space="preserve">, el juez dispuso el sobreseimiento definitivo del caso. Detalla </w:t>
      </w:r>
      <w:r w:rsidR="00170794" w:rsidRPr="00B1077D">
        <w:rPr>
          <w:rFonts w:asciiTheme="majorHAnsi" w:hAnsiTheme="majorHAnsi"/>
          <w:bCs/>
          <w:sz w:val="20"/>
          <w:szCs w:val="20"/>
          <w:lang w:val="es-ES_tradnl"/>
        </w:rPr>
        <w:t xml:space="preserve">el Estado </w:t>
      </w:r>
      <w:r w:rsidR="0054186C" w:rsidRPr="00B1077D">
        <w:rPr>
          <w:rFonts w:asciiTheme="majorHAnsi" w:hAnsiTheme="majorHAnsi"/>
          <w:bCs/>
          <w:sz w:val="20"/>
          <w:szCs w:val="20"/>
          <w:lang w:val="es-ES_tradnl"/>
        </w:rPr>
        <w:t>que, si bien el tribunal de alzada revocó esta decisión, el 27 de marzo de 2003 el juez de primera instancia volvió a dictar un nuevo sobreseimiento provisorio. Afirma que el fiscal interviniente apeló esta decisión,</w:t>
      </w:r>
      <w:r w:rsidRPr="00B1077D">
        <w:rPr>
          <w:rFonts w:asciiTheme="majorHAnsi" w:hAnsiTheme="majorHAnsi"/>
          <w:bCs/>
          <w:sz w:val="20"/>
          <w:szCs w:val="20"/>
          <w:lang w:val="es-ES_tradnl"/>
        </w:rPr>
        <w:t xml:space="preserve"> pero que</w:t>
      </w:r>
      <w:r w:rsidR="0054186C" w:rsidRPr="00B1077D">
        <w:rPr>
          <w:rFonts w:asciiTheme="majorHAnsi" w:hAnsiTheme="majorHAnsi"/>
          <w:bCs/>
          <w:sz w:val="20"/>
          <w:szCs w:val="20"/>
          <w:lang w:val="es-ES_tradnl"/>
        </w:rPr>
        <w:t xml:space="preserve"> el tribunal de segunda instancia confirmó la decisión</w:t>
      </w:r>
      <w:r w:rsidRPr="00B1077D">
        <w:rPr>
          <w:rFonts w:asciiTheme="majorHAnsi" w:hAnsiTheme="majorHAnsi"/>
          <w:bCs/>
          <w:sz w:val="20"/>
          <w:szCs w:val="20"/>
          <w:lang w:val="es-ES_tradnl"/>
        </w:rPr>
        <w:t xml:space="preserve"> de sobreseer el proceso</w:t>
      </w:r>
      <w:r w:rsidR="0054186C" w:rsidRPr="00B1077D">
        <w:rPr>
          <w:rFonts w:asciiTheme="majorHAnsi" w:hAnsiTheme="majorHAnsi"/>
          <w:bCs/>
          <w:sz w:val="20"/>
          <w:szCs w:val="20"/>
          <w:lang w:val="es-ES_tradnl"/>
        </w:rPr>
        <w:t>. Con base en tales decisiones, explica que el 30 de abril de 2007 el juez de primera instancia convirtió este segundo sobreseimiento en definitivo, decisión</w:t>
      </w:r>
      <w:r w:rsidRPr="00B1077D">
        <w:rPr>
          <w:rFonts w:asciiTheme="majorHAnsi" w:hAnsiTheme="majorHAnsi"/>
          <w:bCs/>
          <w:sz w:val="20"/>
          <w:szCs w:val="20"/>
          <w:lang w:val="es-ES_tradnl"/>
        </w:rPr>
        <w:t xml:space="preserve"> que la cámara de apelación confirmó.</w:t>
      </w:r>
    </w:p>
    <w:p w14:paraId="10FC7E6F" w14:textId="5C0F0038" w:rsidR="0054186C" w:rsidRPr="00B1077D" w:rsidRDefault="00CB585F" w:rsidP="0079627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F</w:t>
      </w:r>
      <w:r w:rsidR="009C0A9B" w:rsidRPr="00B1077D">
        <w:rPr>
          <w:rFonts w:asciiTheme="majorHAnsi" w:hAnsiTheme="majorHAnsi"/>
          <w:bCs/>
          <w:sz w:val="20"/>
          <w:szCs w:val="20"/>
          <w:lang w:val="es-ES_tradnl"/>
        </w:rPr>
        <w:t>rente a esta última decisión, las particulares damnificadas interpusieron un recurso extraordinario de inaplicabilidad</w:t>
      </w:r>
      <w:r w:rsidR="003F17F2" w:rsidRPr="00B1077D">
        <w:rPr>
          <w:rFonts w:asciiTheme="majorHAnsi" w:hAnsiTheme="majorHAnsi"/>
          <w:bCs/>
          <w:sz w:val="20"/>
          <w:szCs w:val="20"/>
          <w:lang w:val="es-ES_tradnl"/>
        </w:rPr>
        <w:t>;</w:t>
      </w:r>
      <w:r w:rsidR="009C0A9B" w:rsidRPr="00B1077D">
        <w:rPr>
          <w:rFonts w:asciiTheme="majorHAnsi" w:hAnsiTheme="majorHAnsi"/>
          <w:bCs/>
          <w:sz w:val="20"/>
          <w:szCs w:val="20"/>
          <w:lang w:val="es-ES_tradnl"/>
        </w:rPr>
        <w:t xml:space="preserve"> </w:t>
      </w:r>
      <w:r w:rsidR="000568C7" w:rsidRPr="00B1077D">
        <w:rPr>
          <w:rFonts w:asciiTheme="majorHAnsi" w:hAnsiTheme="majorHAnsi"/>
          <w:bCs/>
          <w:sz w:val="20"/>
          <w:szCs w:val="20"/>
          <w:lang w:val="es-ES_tradnl"/>
        </w:rPr>
        <w:t xml:space="preserve">el cual fue declarado fundado por la Suprema Corte de Justicia de la Provincia </w:t>
      </w:r>
      <w:r w:rsidR="000568C7" w:rsidRPr="00B1077D">
        <w:rPr>
          <w:rFonts w:asciiTheme="majorHAnsi" w:hAnsiTheme="majorHAnsi"/>
          <w:bCs/>
          <w:sz w:val="20"/>
          <w:szCs w:val="20"/>
          <w:lang w:val="es-ES_tradnl"/>
        </w:rPr>
        <w:lastRenderedPageBreak/>
        <w:t>de Buenos Aires el 27 de noviembre de 2013</w:t>
      </w:r>
      <w:r w:rsidR="0079627C" w:rsidRPr="00B1077D">
        <w:rPr>
          <w:rFonts w:asciiTheme="majorHAnsi" w:hAnsiTheme="majorHAnsi"/>
          <w:bCs/>
          <w:sz w:val="20"/>
          <w:szCs w:val="20"/>
          <w:lang w:val="es-ES_tradnl"/>
        </w:rPr>
        <w:t xml:space="preserve">, instancia que </w:t>
      </w:r>
      <w:r w:rsidR="009C0A9B" w:rsidRPr="00B1077D">
        <w:rPr>
          <w:rFonts w:asciiTheme="majorHAnsi" w:hAnsiTheme="majorHAnsi"/>
          <w:bCs/>
          <w:sz w:val="20"/>
          <w:szCs w:val="20"/>
          <w:lang w:val="es-ES_tradnl"/>
        </w:rPr>
        <w:t>dispuso “</w:t>
      </w:r>
      <w:r w:rsidR="0079627C" w:rsidRPr="00B1077D">
        <w:rPr>
          <w:rFonts w:asciiTheme="majorHAnsi" w:hAnsiTheme="majorHAnsi"/>
          <w:bCs/>
          <w:sz w:val="20"/>
          <w:szCs w:val="20"/>
          <w:lang w:val="es-ES_tradnl"/>
        </w:rPr>
        <w:t>[</w:t>
      </w:r>
      <w:r w:rsidR="009C0A9B" w:rsidRPr="00B1077D">
        <w:rPr>
          <w:rFonts w:asciiTheme="majorHAnsi" w:hAnsiTheme="majorHAnsi"/>
          <w:bCs/>
          <w:sz w:val="20"/>
          <w:szCs w:val="20"/>
          <w:lang w:val="es-ES_tradnl"/>
        </w:rPr>
        <w:t>…</w:t>
      </w:r>
      <w:r w:rsidR="0079627C" w:rsidRPr="00B1077D">
        <w:rPr>
          <w:rFonts w:asciiTheme="majorHAnsi" w:hAnsiTheme="majorHAnsi"/>
          <w:bCs/>
          <w:sz w:val="20"/>
          <w:szCs w:val="20"/>
          <w:lang w:val="es-ES_tradnl"/>
        </w:rPr>
        <w:t>]</w:t>
      </w:r>
      <w:r w:rsidR="009C0A9B" w:rsidRPr="00B1077D">
        <w:rPr>
          <w:rFonts w:asciiTheme="majorHAnsi" w:hAnsiTheme="majorHAnsi"/>
          <w:bCs/>
          <w:i/>
          <w:iCs/>
          <w:sz w:val="20"/>
          <w:szCs w:val="20"/>
          <w:lang w:val="es-ES_tradnl"/>
        </w:rPr>
        <w:t xml:space="preserve"> devolver los autos al quo para que – por donde corresponda – lleve a cabo las comprobaciones necesarias para procurar la identificación y sanción de los responsables del hecho materia de juzgamiento”</w:t>
      </w:r>
      <w:r w:rsidR="009C0A9B" w:rsidRPr="00B1077D">
        <w:rPr>
          <w:rFonts w:asciiTheme="majorHAnsi" w:hAnsiTheme="majorHAnsi"/>
          <w:bCs/>
          <w:sz w:val="20"/>
          <w:szCs w:val="20"/>
          <w:lang w:val="es-ES_tradnl"/>
        </w:rPr>
        <w:t xml:space="preserve">. </w:t>
      </w:r>
      <w:r w:rsidR="003C4259" w:rsidRPr="00B1077D">
        <w:rPr>
          <w:rFonts w:asciiTheme="majorHAnsi" w:hAnsiTheme="majorHAnsi"/>
          <w:bCs/>
          <w:sz w:val="20"/>
          <w:szCs w:val="20"/>
          <w:lang w:val="es-ES_tradnl"/>
        </w:rPr>
        <w:t>En</w:t>
      </w:r>
      <w:r w:rsidR="006C075E" w:rsidRPr="00B1077D">
        <w:rPr>
          <w:rFonts w:asciiTheme="majorHAnsi" w:hAnsiTheme="majorHAnsi"/>
          <w:bCs/>
          <w:sz w:val="20"/>
          <w:szCs w:val="20"/>
          <w:lang w:val="es-ES_tradnl"/>
        </w:rPr>
        <w:t xml:space="preserve"> </w:t>
      </w:r>
      <w:r w:rsidR="00DF53E1" w:rsidRPr="00B1077D">
        <w:rPr>
          <w:rFonts w:asciiTheme="majorHAnsi" w:hAnsiTheme="majorHAnsi"/>
          <w:bCs/>
          <w:sz w:val="20"/>
          <w:szCs w:val="20"/>
          <w:lang w:val="es-ES_tradnl"/>
        </w:rPr>
        <w:t>consecuencia,</w:t>
      </w:r>
      <w:r w:rsidR="006C075E" w:rsidRPr="00B1077D">
        <w:rPr>
          <w:rFonts w:asciiTheme="majorHAnsi" w:hAnsiTheme="majorHAnsi"/>
          <w:bCs/>
          <w:sz w:val="20"/>
          <w:szCs w:val="20"/>
          <w:lang w:val="es-ES_tradnl"/>
        </w:rPr>
        <w:t xml:space="preserve"> </w:t>
      </w:r>
      <w:r w:rsidR="009C0A9B" w:rsidRPr="00B1077D">
        <w:rPr>
          <w:rFonts w:asciiTheme="majorHAnsi" w:hAnsiTheme="majorHAnsi"/>
          <w:bCs/>
          <w:sz w:val="20"/>
          <w:szCs w:val="20"/>
          <w:lang w:val="es-ES_tradnl"/>
        </w:rPr>
        <w:t>el Tribunal Oral en lo Criminal N.º</w:t>
      </w:r>
      <w:r w:rsidR="00193A4E" w:rsidRPr="00B1077D">
        <w:rPr>
          <w:rFonts w:asciiTheme="majorHAnsi" w:hAnsiTheme="majorHAnsi"/>
          <w:bCs/>
          <w:sz w:val="20"/>
          <w:szCs w:val="20"/>
          <w:lang w:val="es-ES_tradnl"/>
        </w:rPr>
        <w:t xml:space="preserve"> </w:t>
      </w:r>
      <w:r w:rsidR="001F4EE0" w:rsidRPr="00B1077D">
        <w:rPr>
          <w:rFonts w:asciiTheme="majorHAnsi" w:hAnsiTheme="majorHAnsi"/>
          <w:bCs/>
          <w:sz w:val="20"/>
          <w:szCs w:val="20"/>
          <w:lang w:val="es-ES_tradnl"/>
        </w:rPr>
        <w:t>3</w:t>
      </w:r>
      <w:r w:rsidR="009C0A9B" w:rsidRPr="00B1077D">
        <w:rPr>
          <w:rFonts w:asciiTheme="majorHAnsi" w:hAnsiTheme="majorHAnsi"/>
          <w:bCs/>
          <w:sz w:val="20"/>
          <w:szCs w:val="20"/>
          <w:lang w:val="es-ES_tradnl"/>
        </w:rPr>
        <w:t xml:space="preserve"> del Departamento Judicial de Lomas de Zamora se encuentra conociendo el proceso. No obstante, indica </w:t>
      </w:r>
      <w:r w:rsidR="0047118D" w:rsidRPr="00B1077D">
        <w:rPr>
          <w:rFonts w:asciiTheme="majorHAnsi" w:hAnsiTheme="majorHAnsi"/>
          <w:bCs/>
          <w:sz w:val="20"/>
          <w:szCs w:val="20"/>
          <w:lang w:val="es-ES_tradnl"/>
        </w:rPr>
        <w:t xml:space="preserve">Argentina </w:t>
      </w:r>
      <w:r w:rsidR="009C0A9B" w:rsidRPr="00B1077D">
        <w:rPr>
          <w:rFonts w:asciiTheme="majorHAnsi" w:hAnsiTheme="majorHAnsi"/>
          <w:bCs/>
          <w:sz w:val="20"/>
          <w:szCs w:val="20"/>
          <w:lang w:val="es-ES_tradnl"/>
        </w:rPr>
        <w:t xml:space="preserve">que a la fecha aún no </w:t>
      </w:r>
      <w:r w:rsidR="006C075E" w:rsidRPr="00B1077D">
        <w:rPr>
          <w:rFonts w:asciiTheme="majorHAnsi" w:hAnsiTheme="majorHAnsi"/>
          <w:bCs/>
          <w:sz w:val="20"/>
          <w:szCs w:val="20"/>
          <w:lang w:val="es-ES_tradnl"/>
        </w:rPr>
        <w:t>son s</w:t>
      </w:r>
      <w:r w:rsidR="009C0A9B" w:rsidRPr="00B1077D">
        <w:rPr>
          <w:rFonts w:asciiTheme="majorHAnsi" w:hAnsiTheme="majorHAnsi"/>
          <w:bCs/>
          <w:sz w:val="20"/>
          <w:szCs w:val="20"/>
          <w:lang w:val="es-ES_tradnl"/>
        </w:rPr>
        <w:t>e ha podido fijar la fecha de inicio del juicio oral, en tanto no se ha podido realizar la audiencia prevista en el artículo 338 del Código de Procedimiento Penal de la provincia de Buenos Aires</w:t>
      </w:r>
      <w:r w:rsidR="009C0A9B" w:rsidRPr="00B1077D">
        <w:rPr>
          <w:rStyle w:val="FootnoteReference"/>
          <w:rFonts w:asciiTheme="majorHAnsi" w:hAnsiTheme="majorHAnsi"/>
          <w:bCs/>
          <w:sz w:val="20"/>
          <w:szCs w:val="20"/>
          <w:lang w:val="es-ES_tradnl"/>
        </w:rPr>
        <w:footnoteReference w:id="5"/>
      </w:r>
      <w:r w:rsidR="009C0A9B" w:rsidRPr="00B1077D">
        <w:rPr>
          <w:rFonts w:asciiTheme="majorHAnsi" w:hAnsiTheme="majorHAnsi"/>
          <w:bCs/>
          <w:sz w:val="20"/>
          <w:szCs w:val="20"/>
          <w:lang w:val="es-ES_tradnl"/>
        </w:rPr>
        <w:t xml:space="preserve">, como consecuencia de las múltiples vías recursivas interpuestas por la defensa de la parte peticionaria. </w:t>
      </w:r>
    </w:p>
    <w:p w14:paraId="6C3BE782" w14:textId="72D96B35" w:rsidR="0015799E" w:rsidRPr="00B1077D" w:rsidRDefault="006C075E" w:rsidP="00BB04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bCs/>
          <w:sz w:val="20"/>
          <w:szCs w:val="20"/>
          <w:lang w:val="es-ES_tradnl"/>
        </w:rPr>
        <w:t>Con base en estas consideraciones de hecho, el Estado</w:t>
      </w:r>
      <w:r w:rsidRPr="00B1077D">
        <w:rPr>
          <w:rFonts w:asciiTheme="majorHAnsi" w:hAnsiTheme="majorHAnsi"/>
          <w:sz w:val="20"/>
          <w:szCs w:val="20"/>
          <w:lang w:val="es-ES_tradnl"/>
        </w:rPr>
        <w:t xml:space="preserve"> arguye</w:t>
      </w:r>
      <w:r w:rsidR="00221D4B" w:rsidRPr="00B1077D">
        <w:rPr>
          <w:rFonts w:asciiTheme="majorHAnsi" w:hAnsiTheme="majorHAnsi"/>
          <w:sz w:val="20"/>
          <w:szCs w:val="20"/>
          <w:lang w:val="es-ES_tradnl"/>
        </w:rPr>
        <w:t xml:space="preserve"> que la petición es inadmisible, dado que no se agotaron en debida forma los recursos de la jurisdicción interna.</w:t>
      </w:r>
      <w:r w:rsidR="006B0B9B" w:rsidRPr="00B1077D">
        <w:rPr>
          <w:rFonts w:asciiTheme="majorHAnsi" w:hAnsiTheme="majorHAnsi"/>
          <w:sz w:val="20"/>
          <w:szCs w:val="20"/>
          <w:lang w:val="es-ES_tradnl"/>
        </w:rPr>
        <w:t xml:space="preserve"> Resalta que el proceso penal seguido contra las presuntas víctimas se encuentra en pleno trámite, sin perjuicio de las múltiples decisiones adoptadas por los jueces y tribunales que intervinieron en la etapa de instrucción. Así, afirma que la efectiva sustanciación del debate oral constituye el recurso adecuado en los términos del derecho internacional de los derechos humanos para determinar la culpabilidad o la inocencia de las presuntas víctimas respecto de la muerte de los señores </w:t>
      </w:r>
      <w:r w:rsidR="007334D5" w:rsidRPr="00B1077D">
        <w:rPr>
          <w:rFonts w:asciiTheme="majorHAnsi" w:hAnsiTheme="majorHAnsi"/>
          <w:sz w:val="20"/>
          <w:szCs w:val="20"/>
          <w:lang w:val="es-ES_tradnl"/>
        </w:rPr>
        <w:t>Norberto</w:t>
      </w:r>
      <w:r w:rsidR="006B0B9B" w:rsidRPr="00B1077D">
        <w:rPr>
          <w:rFonts w:asciiTheme="majorHAnsi" w:hAnsiTheme="majorHAnsi"/>
          <w:sz w:val="20"/>
          <w:szCs w:val="20"/>
          <w:lang w:val="es-ES_tradnl"/>
        </w:rPr>
        <w:t xml:space="preserve"> Antonio Corbo, Enrique Bielsa, Gustavo Petro Mendoza y Edgardo José Cicutín. </w:t>
      </w:r>
    </w:p>
    <w:p w14:paraId="0073D532" w14:textId="4869D9FB" w:rsidR="006B0B9B" w:rsidRPr="00B1077D" w:rsidRDefault="006B0B9B" w:rsidP="00BB04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sz w:val="20"/>
          <w:szCs w:val="20"/>
          <w:lang w:val="es-ES_tradnl"/>
        </w:rPr>
        <w:t xml:space="preserve">Con relación al plazo del proceso, el Estado considera que la demora en realizar la audiencia </w:t>
      </w:r>
      <w:r w:rsidR="00C64815" w:rsidRPr="00B1077D">
        <w:rPr>
          <w:rFonts w:asciiTheme="majorHAnsi" w:hAnsiTheme="majorHAnsi"/>
          <w:sz w:val="20"/>
          <w:szCs w:val="20"/>
          <w:lang w:val="es-ES_tradnl"/>
        </w:rPr>
        <w:t>d</w:t>
      </w:r>
      <w:r w:rsidRPr="00B1077D">
        <w:rPr>
          <w:rFonts w:asciiTheme="majorHAnsi" w:hAnsiTheme="majorHAnsi"/>
          <w:sz w:val="20"/>
          <w:szCs w:val="20"/>
          <w:lang w:val="es-ES_tradnl"/>
        </w:rPr>
        <w:t>e juicio se debe a la actividad recursiva de la representación de las presuntas víctimas. En tal sentido, arguye que, sin perjuicio del ejercicio legítimo de defensa, los peticionarios han optado en el ámbito interno por la interposición de múltiples recursos como estrategia tendiente a evitar que se avance en el proceso penal hacia la realización del debate oral</w:t>
      </w:r>
      <w:r w:rsidR="007334D5" w:rsidRPr="00B1077D">
        <w:rPr>
          <w:rFonts w:asciiTheme="majorHAnsi" w:hAnsiTheme="majorHAnsi"/>
          <w:sz w:val="20"/>
          <w:szCs w:val="20"/>
          <w:lang w:val="es-ES_tradnl"/>
        </w:rPr>
        <w:t>;</w:t>
      </w:r>
      <w:r w:rsidRPr="00B1077D">
        <w:rPr>
          <w:rFonts w:asciiTheme="majorHAnsi" w:hAnsiTheme="majorHAnsi"/>
          <w:sz w:val="20"/>
          <w:szCs w:val="20"/>
          <w:lang w:val="es-ES_tradnl"/>
        </w:rPr>
        <w:t xml:space="preserve"> y eventualmente se produzca un efectivo agotamiento de los recursos internos. </w:t>
      </w:r>
      <w:r w:rsidR="00BD0092" w:rsidRPr="00B1077D">
        <w:rPr>
          <w:rFonts w:asciiTheme="majorHAnsi" w:hAnsiTheme="majorHAnsi"/>
          <w:sz w:val="20"/>
          <w:szCs w:val="20"/>
          <w:lang w:val="es-ES_tradnl"/>
        </w:rPr>
        <w:t xml:space="preserve">Así, alega que la conducta de alegar en el ámbito internacional la presunta irrazonabilidad del plazo del proceso se contradice con sus propios actos </w:t>
      </w:r>
      <w:r w:rsidR="00C64815" w:rsidRPr="00B1077D">
        <w:rPr>
          <w:rFonts w:asciiTheme="majorHAnsi" w:hAnsiTheme="majorHAnsi"/>
          <w:sz w:val="20"/>
          <w:szCs w:val="20"/>
          <w:lang w:val="es-ES_tradnl"/>
        </w:rPr>
        <w:t xml:space="preserve">en sede interna, en donde </w:t>
      </w:r>
      <w:r w:rsidR="00BD0092" w:rsidRPr="00B1077D">
        <w:rPr>
          <w:rFonts w:asciiTheme="majorHAnsi" w:hAnsiTheme="majorHAnsi"/>
          <w:sz w:val="20"/>
          <w:szCs w:val="20"/>
          <w:lang w:val="es-ES_tradnl"/>
        </w:rPr>
        <w:t>apelan una y otra vez a</w:t>
      </w:r>
      <w:r w:rsidR="00C64815" w:rsidRPr="00B1077D">
        <w:rPr>
          <w:rFonts w:asciiTheme="majorHAnsi" w:hAnsiTheme="majorHAnsi"/>
          <w:sz w:val="20"/>
          <w:szCs w:val="20"/>
          <w:lang w:val="es-ES_tradnl"/>
        </w:rPr>
        <w:t xml:space="preserve"> fin de</w:t>
      </w:r>
      <w:r w:rsidR="00BD0092" w:rsidRPr="00B1077D">
        <w:rPr>
          <w:rFonts w:asciiTheme="majorHAnsi" w:hAnsiTheme="majorHAnsi"/>
          <w:sz w:val="20"/>
          <w:szCs w:val="20"/>
          <w:lang w:val="es-ES_tradnl"/>
        </w:rPr>
        <w:t xml:space="preserve"> dilatar los tiempos procesales </w:t>
      </w:r>
      <w:r w:rsidR="00C64815" w:rsidRPr="00B1077D">
        <w:rPr>
          <w:rFonts w:asciiTheme="majorHAnsi" w:hAnsiTheme="majorHAnsi"/>
          <w:sz w:val="20"/>
          <w:szCs w:val="20"/>
          <w:lang w:val="es-ES_tradnl"/>
        </w:rPr>
        <w:t xml:space="preserve">y de este modo </w:t>
      </w:r>
      <w:r w:rsidR="00BD0092" w:rsidRPr="00B1077D">
        <w:rPr>
          <w:rFonts w:asciiTheme="majorHAnsi" w:hAnsiTheme="majorHAnsi"/>
          <w:sz w:val="20"/>
          <w:szCs w:val="20"/>
          <w:lang w:val="es-ES_tradnl"/>
        </w:rPr>
        <w:t>lograr una eventual prescripción de la acción penal. Por las razones expuestas, alega que la presente petición no cumple el requisito del artículo 46.1.a) de la Convención, ni tampoco se configura una excepción para su adecuado cumplimiento.</w:t>
      </w:r>
    </w:p>
    <w:p w14:paraId="6D5698AC" w14:textId="0E9A0BAD" w:rsidR="00BD0092" w:rsidRPr="00B1077D" w:rsidRDefault="00BD0092" w:rsidP="00BB04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sz w:val="20"/>
          <w:szCs w:val="20"/>
          <w:lang w:val="es-ES_tradnl"/>
        </w:rPr>
        <w:t>Adicionalmente, arguye que la petición es inadmisible en virtud de lo establecido por el artículo 46.1.c) de la Convención Americana</w:t>
      </w:r>
      <w:r w:rsidR="00FF3FBA" w:rsidRPr="00B1077D">
        <w:rPr>
          <w:rFonts w:asciiTheme="majorHAnsi" w:hAnsiTheme="majorHAnsi"/>
          <w:sz w:val="20"/>
          <w:szCs w:val="20"/>
          <w:lang w:val="es-ES_tradnl"/>
        </w:rPr>
        <w:t xml:space="preserve">, dado que </w:t>
      </w:r>
      <w:r w:rsidRPr="00B1077D">
        <w:rPr>
          <w:rFonts w:asciiTheme="majorHAnsi" w:hAnsiTheme="majorHAnsi"/>
          <w:sz w:val="20"/>
          <w:szCs w:val="20"/>
          <w:lang w:val="es-ES_tradnl"/>
        </w:rPr>
        <w:t xml:space="preserve">la presente petición </w:t>
      </w:r>
      <w:r w:rsidR="0000729F" w:rsidRPr="00B1077D">
        <w:rPr>
          <w:rFonts w:asciiTheme="majorHAnsi" w:hAnsiTheme="majorHAnsi"/>
          <w:sz w:val="20"/>
          <w:szCs w:val="20"/>
          <w:lang w:val="es-ES_tradnl"/>
        </w:rPr>
        <w:t>está</w:t>
      </w:r>
      <w:r w:rsidRPr="00B1077D">
        <w:rPr>
          <w:rFonts w:asciiTheme="majorHAnsi" w:hAnsiTheme="majorHAnsi"/>
          <w:sz w:val="20"/>
          <w:szCs w:val="20"/>
          <w:lang w:val="es-ES_tradnl"/>
        </w:rPr>
        <w:t xml:space="preserve"> estrechamente vinculada con un asunto que se encuentra a la fecha en etapa de solución amistosa ante la CIDH. </w:t>
      </w:r>
      <w:r w:rsidR="00FF3FBA" w:rsidRPr="00B1077D">
        <w:rPr>
          <w:rFonts w:asciiTheme="majorHAnsi" w:hAnsiTheme="majorHAnsi"/>
          <w:sz w:val="20"/>
          <w:szCs w:val="20"/>
          <w:lang w:val="es-ES_tradnl"/>
        </w:rPr>
        <w:t>Precisa</w:t>
      </w:r>
      <w:r w:rsidRPr="00B1077D">
        <w:rPr>
          <w:rFonts w:asciiTheme="majorHAnsi" w:hAnsiTheme="majorHAnsi"/>
          <w:sz w:val="20"/>
          <w:szCs w:val="20"/>
          <w:lang w:val="es-ES_tradnl"/>
        </w:rPr>
        <w:t xml:space="preserve"> que dicha denuncia se refiere al presunto incumplimiento de la obligación internacional de investigar, juzgar y sancionar a los responsables de </w:t>
      </w:r>
      <w:r w:rsidR="0000729F" w:rsidRPr="00B1077D">
        <w:rPr>
          <w:rFonts w:asciiTheme="majorHAnsi" w:hAnsiTheme="majorHAnsi"/>
          <w:sz w:val="20"/>
          <w:szCs w:val="20"/>
          <w:lang w:val="es-ES_tradnl"/>
        </w:rPr>
        <w:t xml:space="preserve">la muerte de </w:t>
      </w:r>
      <w:r w:rsidRPr="00B1077D">
        <w:rPr>
          <w:rFonts w:asciiTheme="majorHAnsi" w:hAnsiTheme="majorHAnsi"/>
          <w:sz w:val="20"/>
          <w:szCs w:val="20"/>
          <w:lang w:val="es-ES_tradnl"/>
        </w:rPr>
        <w:t xml:space="preserve">Edgardo José Cicutín, conforme a lo dispuesto por la Convención Americana. En ese sentido, considera que se verifica identidad entre la presente petición y el citado </w:t>
      </w:r>
      <w:r w:rsidR="00FF3FBA" w:rsidRPr="00B1077D">
        <w:rPr>
          <w:rFonts w:asciiTheme="majorHAnsi" w:hAnsiTheme="majorHAnsi"/>
          <w:sz w:val="20"/>
          <w:szCs w:val="20"/>
          <w:lang w:val="es-ES_tradnl"/>
        </w:rPr>
        <w:t>asunto</w:t>
      </w:r>
      <w:r w:rsidRPr="00B1077D">
        <w:rPr>
          <w:rFonts w:asciiTheme="majorHAnsi" w:hAnsiTheme="majorHAnsi"/>
          <w:sz w:val="20"/>
          <w:szCs w:val="20"/>
          <w:lang w:val="es-ES_tradnl"/>
        </w:rPr>
        <w:t xml:space="preserve">, dado que en ambos se alega la presunta violación a las garantías judiciales, en relación con la tramitación de la causa penal seguida contra las presuntas víctimas. De este modo, el Estado afirma que una eventual declaración de admisibilidad de la presente denuncia podría entrar en contradicción con un eventual pronunciamiento en el referido caso, lo que implicaría una vulneración de su derecho a la defensa. </w:t>
      </w:r>
    </w:p>
    <w:p w14:paraId="1A2CE735" w14:textId="6C869DA5" w:rsidR="00BD0092" w:rsidRPr="00B1077D" w:rsidRDefault="00BD0092" w:rsidP="00FF3FB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sz w:val="20"/>
          <w:szCs w:val="20"/>
          <w:lang w:val="es-ES_tradnl"/>
        </w:rPr>
        <w:lastRenderedPageBreak/>
        <w:t xml:space="preserve">Finalmente, el Estado argumenta que los hechos expuestos no configuran una violación de derechos humanos en perjuicio de las presuntas víctimas. Resalta que </w:t>
      </w:r>
      <w:r w:rsidR="00FF3FBA" w:rsidRPr="00B1077D">
        <w:rPr>
          <w:rFonts w:asciiTheme="majorHAnsi" w:hAnsiTheme="majorHAnsi"/>
          <w:sz w:val="20"/>
          <w:szCs w:val="20"/>
          <w:lang w:val="es-ES_tradnl"/>
        </w:rPr>
        <w:t xml:space="preserve">en el proceso seguido contra </w:t>
      </w:r>
      <w:r w:rsidR="004E4A73" w:rsidRPr="00B1077D">
        <w:rPr>
          <w:rFonts w:asciiTheme="majorHAnsi" w:hAnsiTheme="majorHAnsi"/>
          <w:sz w:val="20"/>
          <w:szCs w:val="20"/>
          <w:lang w:val="es-ES_tradnl"/>
        </w:rPr>
        <w:t>estas</w:t>
      </w:r>
      <w:r w:rsidR="00FF3FBA" w:rsidRPr="00B1077D">
        <w:rPr>
          <w:rFonts w:asciiTheme="majorHAnsi" w:hAnsiTheme="majorHAnsi"/>
          <w:sz w:val="20"/>
          <w:szCs w:val="20"/>
          <w:lang w:val="es-ES_tradnl"/>
        </w:rPr>
        <w:t xml:space="preserve"> se está </w:t>
      </w:r>
      <w:r w:rsidRPr="00B1077D">
        <w:rPr>
          <w:rFonts w:asciiTheme="majorHAnsi" w:hAnsiTheme="majorHAnsi"/>
          <w:sz w:val="20"/>
          <w:szCs w:val="20"/>
          <w:lang w:val="es-ES_tradnl"/>
        </w:rPr>
        <w:t>analizando un cuádruple homicidio, el cual podría configurar una grave violación de derechos humanos.</w:t>
      </w:r>
      <w:r w:rsidR="00FF3FBA" w:rsidRPr="00B1077D">
        <w:rPr>
          <w:rFonts w:asciiTheme="majorHAnsi" w:hAnsiTheme="majorHAnsi"/>
          <w:sz w:val="20"/>
          <w:szCs w:val="20"/>
          <w:lang w:val="es-ES_tradnl"/>
        </w:rPr>
        <w:t xml:space="preserve"> </w:t>
      </w:r>
      <w:r w:rsidR="00614A06" w:rsidRPr="00B1077D">
        <w:rPr>
          <w:rFonts w:asciiTheme="majorHAnsi" w:hAnsiTheme="majorHAnsi"/>
          <w:sz w:val="20"/>
          <w:szCs w:val="20"/>
          <w:lang w:val="es-ES_tradnl"/>
        </w:rPr>
        <w:t>R</w:t>
      </w:r>
      <w:r w:rsidR="006B38C1" w:rsidRPr="00B1077D">
        <w:rPr>
          <w:rFonts w:asciiTheme="majorHAnsi" w:hAnsiTheme="majorHAnsi"/>
          <w:sz w:val="20"/>
          <w:szCs w:val="20"/>
          <w:lang w:val="es-ES_tradnl"/>
        </w:rPr>
        <w:t>econoce</w:t>
      </w:r>
      <w:r w:rsidRPr="00B1077D">
        <w:rPr>
          <w:rFonts w:asciiTheme="majorHAnsi" w:hAnsiTheme="majorHAnsi"/>
          <w:sz w:val="20"/>
          <w:szCs w:val="20"/>
          <w:lang w:val="es-ES_tradnl"/>
        </w:rPr>
        <w:t xml:space="preserve"> que en el presente asunto se produce una evidente tensión entre las obligaciones internacionales que se derivarían </w:t>
      </w:r>
      <w:r w:rsidR="00FF3FBA" w:rsidRPr="00B1077D">
        <w:rPr>
          <w:rFonts w:asciiTheme="majorHAnsi" w:hAnsiTheme="majorHAnsi"/>
          <w:sz w:val="20"/>
          <w:szCs w:val="20"/>
          <w:lang w:val="es-ES_tradnl"/>
        </w:rPr>
        <w:t xml:space="preserve">de </w:t>
      </w:r>
      <w:r w:rsidRPr="00B1077D">
        <w:rPr>
          <w:rFonts w:asciiTheme="majorHAnsi" w:hAnsiTheme="majorHAnsi"/>
          <w:sz w:val="20"/>
          <w:szCs w:val="20"/>
          <w:lang w:val="es-ES_tradnl"/>
        </w:rPr>
        <w:t>una eventual grave vulneración de derechos</w:t>
      </w:r>
      <w:r w:rsidR="002C7656" w:rsidRPr="00B1077D">
        <w:rPr>
          <w:rFonts w:asciiTheme="majorHAnsi" w:hAnsiTheme="majorHAnsi"/>
          <w:sz w:val="20"/>
          <w:szCs w:val="20"/>
          <w:lang w:val="es-ES_tradnl"/>
        </w:rPr>
        <w:t xml:space="preserve"> humanos y aquellas que el Estado tiene en materia de razonabilidad del plazo de un proceso judicial. </w:t>
      </w:r>
      <w:r w:rsidR="006B38C1" w:rsidRPr="00B1077D">
        <w:rPr>
          <w:rFonts w:asciiTheme="majorHAnsi" w:hAnsiTheme="majorHAnsi"/>
          <w:sz w:val="20"/>
          <w:szCs w:val="20"/>
          <w:lang w:val="es-ES_tradnl"/>
        </w:rPr>
        <w:t>No obstante, alega que frente a este dilema, la Corte Interamericana de Derechos Humanos ha tomado una postura clara en su jurisprudencia y ha dispuesto que en casos de posibles graves violaciones a los derechos humanos debe primar la obligación del Estado de investigar, identificar</w:t>
      </w:r>
      <w:r w:rsidR="009D4410" w:rsidRPr="00B1077D">
        <w:rPr>
          <w:rFonts w:asciiTheme="majorHAnsi" w:hAnsiTheme="majorHAnsi"/>
          <w:sz w:val="20"/>
          <w:szCs w:val="20"/>
          <w:lang w:val="es-ES_tradnl"/>
        </w:rPr>
        <w:t>,</w:t>
      </w:r>
      <w:r w:rsidR="006B38C1" w:rsidRPr="00B1077D">
        <w:rPr>
          <w:rFonts w:asciiTheme="majorHAnsi" w:hAnsiTheme="majorHAnsi"/>
          <w:sz w:val="20"/>
          <w:szCs w:val="20"/>
          <w:lang w:val="es-ES_tradnl"/>
        </w:rPr>
        <w:t xml:space="preserve"> y eventualmente sancionar a los responsables de este tipo de violaciones de derechos. </w:t>
      </w:r>
    </w:p>
    <w:p w14:paraId="3031AC09" w14:textId="3ECC933D" w:rsidR="006B38C1" w:rsidRPr="00B1077D" w:rsidRDefault="006B38C1" w:rsidP="00BB04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sz w:val="20"/>
          <w:szCs w:val="20"/>
          <w:lang w:val="es-ES_tradnl"/>
        </w:rPr>
        <w:t xml:space="preserve">Explica que la Suprema Corte de Justicia de la Provincia de Buenos Aires ha acogido este entendimiento en su decisión del 27 de noviembre de 2013, al considerar que el cuádruple homicidio investigado en la causa </w:t>
      </w:r>
      <w:r w:rsidR="00A8173B" w:rsidRPr="00B1077D">
        <w:rPr>
          <w:rFonts w:asciiTheme="majorHAnsi" w:hAnsiTheme="majorHAnsi"/>
          <w:sz w:val="20"/>
          <w:szCs w:val="20"/>
          <w:lang w:val="es-ES_tradnl"/>
        </w:rPr>
        <w:t>seguida contra las presuntas víctimas podría considerarse “</w:t>
      </w:r>
      <w:r w:rsidR="00690823" w:rsidRPr="00B1077D">
        <w:rPr>
          <w:rFonts w:asciiTheme="majorHAnsi" w:hAnsiTheme="majorHAnsi"/>
          <w:sz w:val="20"/>
          <w:szCs w:val="20"/>
          <w:lang w:val="es-ES_tradnl"/>
        </w:rPr>
        <w:t>[</w:t>
      </w:r>
      <w:r w:rsidR="00A8173B" w:rsidRPr="00B1077D">
        <w:rPr>
          <w:rFonts w:asciiTheme="majorHAnsi" w:hAnsiTheme="majorHAnsi"/>
          <w:sz w:val="20"/>
          <w:szCs w:val="20"/>
          <w:lang w:val="es-ES_tradnl"/>
        </w:rPr>
        <w:t>…</w:t>
      </w:r>
      <w:r w:rsidR="00690823" w:rsidRPr="00B1077D">
        <w:rPr>
          <w:rFonts w:asciiTheme="majorHAnsi" w:hAnsiTheme="majorHAnsi"/>
          <w:sz w:val="20"/>
          <w:szCs w:val="20"/>
          <w:lang w:val="es-ES_tradnl"/>
        </w:rPr>
        <w:t>]</w:t>
      </w:r>
      <w:r w:rsidR="00A8173B" w:rsidRPr="00B1077D">
        <w:rPr>
          <w:rFonts w:asciiTheme="majorHAnsi" w:hAnsiTheme="majorHAnsi"/>
          <w:sz w:val="20"/>
          <w:szCs w:val="20"/>
          <w:lang w:val="es-ES_tradnl"/>
        </w:rPr>
        <w:t xml:space="preserve"> </w:t>
      </w:r>
      <w:r w:rsidR="00A8173B" w:rsidRPr="00B1077D">
        <w:rPr>
          <w:rFonts w:asciiTheme="majorHAnsi" w:hAnsiTheme="majorHAnsi"/>
          <w:i/>
          <w:iCs/>
          <w:sz w:val="20"/>
          <w:szCs w:val="20"/>
          <w:lang w:val="es-ES_tradnl"/>
        </w:rPr>
        <w:t xml:space="preserve">una grave vulneración de derechos humanos </w:t>
      </w:r>
      <w:r w:rsidR="00690823" w:rsidRPr="00B1077D">
        <w:rPr>
          <w:rFonts w:asciiTheme="majorHAnsi" w:hAnsiTheme="majorHAnsi"/>
          <w:sz w:val="20"/>
          <w:szCs w:val="20"/>
          <w:lang w:val="es-ES_tradnl"/>
        </w:rPr>
        <w:t>[</w:t>
      </w:r>
      <w:r w:rsidR="00A8173B" w:rsidRPr="00B1077D">
        <w:rPr>
          <w:rFonts w:asciiTheme="majorHAnsi" w:hAnsiTheme="majorHAnsi"/>
          <w:sz w:val="20"/>
          <w:szCs w:val="20"/>
          <w:lang w:val="es-ES_tradnl"/>
        </w:rPr>
        <w:t>…</w:t>
      </w:r>
      <w:r w:rsidR="00690823" w:rsidRPr="00B1077D">
        <w:rPr>
          <w:rFonts w:asciiTheme="majorHAnsi" w:hAnsiTheme="majorHAnsi"/>
          <w:sz w:val="20"/>
          <w:szCs w:val="20"/>
          <w:lang w:val="es-ES_tradnl"/>
        </w:rPr>
        <w:t>]</w:t>
      </w:r>
      <w:r w:rsidR="00A8173B" w:rsidRPr="00B1077D">
        <w:rPr>
          <w:rFonts w:asciiTheme="majorHAnsi" w:hAnsiTheme="majorHAnsi"/>
          <w:i/>
          <w:iCs/>
          <w:sz w:val="20"/>
          <w:szCs w:val="20"/>
          <w:lang w:val="es-ES_tradnl"/>
        </w:rPr>
        <w:t xml:space="preserve"> que impone extremar la diligencia judicial en procura de la identificación y sanción de sus responsables </w:t>
      </w:r>
      <w:r w:rsidR="00690823" w:rsidRPr="00B1077D">
        <w:rPr>
          <w:rFonts w:asciiTheme="majorHAnsi" w:hAnsiTheme="majorHAnsi"/>
          <w:sz w:val="20"/>
          <w:szCs w:val="20"/>
          <w:lang w:val="es-ES_tradnl"/>
        </w:rPr>
        <w:t>[</w:t>
      </w:r>
      <w:r w:rsidR="00A8173B" w:rsidRPr="00B1077D">
        <w:rPr>
          <w:rFonts w:asciiTheme="majorHAnsi" w:hAnsiTheme="majorHAnsi"/>
          <w:sz w:val="20"/>
          <w:szCs w:val="20"/>
          <w:lang w:val="es-ES_tradnl"/>
        </w:rPr>
        <w:t>…</w:t>
      </w:r>
      <w:r w:rsidR="00690823" w:rsidRPr="00B1077D">
        <w:rPr>
          <w:rFonts w:asciiTheme="majorHAnsi" w:hAnsiTheme="majorHAnsi"/>
          <w:sz w:val="20"/>
          <w:szCs w:val="20"/>
          <w:lang w:val="es-ES_tradnl"/>
        </w:rPr>
        <w:t>]</w:t>
      </w:r>
      <w:r w:rsidR="00A8173B" w:rsidRPr="00B1077D">
        <w:rPr>
          <w:rFonts w:asciiTheme="majorHAnsi" w:hAnsiTheme="majorHAnsi"/>
          <w:i/>
          <w:iCs/>
          <w:sz w:val="20"/>
          <w:szCs w:val="20"/>
          <w:lang w:val="es-ES_tradnl"/>
        </w:rPr>
        <w:t>”</w:t>
      </w:r>
      <w:r w:rsidR="00A8173B" w:rsidRPr="00B1077D">
        <w:rPr>
          <w:rFonts w:asciiTheme="majorHAnsi" w:hAnsiTheme="majorHAnsi"/>
          <w:sz w:val="20"/>
          <w:szCs w:val="20"/>
          <w:lang w:val="es-ES_tradnl"/>
        </w:rPr>
        <w:t>. Asimismo, detalla que tal tribunal consideró que la actividad de los agentes policiales “</w:t>
      </w:r>
      <w:r w:rsidR="00CD6116" w:rsidRPr="00B1077D">
        <w:rPr>
          <w:rFonts w:asciiTheme="majorHAnsi" w:hAnsiTheme="majorHAnsi"/>
          <w:sz w:val="20"/>
          <w:szCs w:val="20"/>
          <w:lang w:val="es-ES_tradnl"/>
        </w:rPr>
        <w:t>[</w:t>
      </w:r>
      <w:r w:rsidR="00A8173B" w:rsidRPr="00B1077D">
        <w:rPr>
          <w:rFonts w:asciiTheme="majorHAnsi" w:hAnsiTheme="majorHAnsi"/>
          <w:sz w:val="20"/>
          <w:szCs w:val="20"/>
          <w:lang w:val="es-ES_tradnl"/>
        </w:rPr>
        <w:t>…</w:t>
      </w:r>
      <w:r w:rsidR="00CD6116" w:rsidRPr="00B1077D">
        <w:rPr>
          <w:rFonts w:asciiTheme="majorHAnsi" w:hAnsiTheme="majorHAnsi"/>
          <w:sz w:val="20"/>
          <w:szCs w:val="20"/>
          <w:lang w:val="es-ES_tradnl"/>
        </w:rPr>
        <w:t>]</w:t>
      </w:r>
      <w:r w:rsidR="00A8173B" w:rsidRPr="00B1077D">
        <w:rPr>
          <w:rFonts w:asciiTheme="majorHAnsi" w:hAnsiTheme="majorHAnsi"/>
          <w:sz w:val="20"/>
          <w:szCs w:val="20"/>
          <w:lang w:val="es-ES_tradnl"/>
        </w:rPr>
        <w:t xml:space="preserve"> </w:t>
      </w:r>
      <w:r w:rsidR="00A8173B" w:rsidRPr="00B1077D">
        <w:rPr>
          <w:rFonts w:asciiTheme="majorHAnsi" w:hAnsiTheme="majorHAnsi"/>
          <w:i/>
          <w:iCs/>
          <w:sz w:val="20"/>
          <w:szCs w:val="20"/>
          <w:lang w:val="es-ES_tradnl"/>
        </w:rPr>
        <w:t xml:space="preserve">puede generar no sólo infracciones al derecho interno, sino también a los tratados internacionales sobre derechos humanos, y en especial del Pacto de San José de Costa Rica, en sus arts. 1.2, 2, 4, 8 y 25”. </w:t>
      </w:r>
      <w:r w:rsidR="00A8173B" w:rsidRPr="00B1077D">
        <w:rPr>
          <w:rFonts w:asciiTheme="majorHAnsi" w:hAnsiTheme="majorHAnsi"/>
          <w:sz w:val="20"/>
          <w:szCs w:val="20"/>
          <w:lang w:val="es-ES_tradnl"/>
        </w:rPr>
        <w:t>Con base en tales consideraciones, la Suprema Corte de la Provincia de Buenos Aires concluyó que de mantenerse la decisión recurrida y quedar firmes los sobreseimientos dictados por los jueces y tribunales inferiores, el país podría incurrir en responsabilidad internacional.</w:t>
      </w:r>
    </w:p>
    <w:p w14:paraId="4CEE8195" w14:textId="64B5C748" w:rsidR="00A8173B" w:rsidRPr="00B1077D" w:rsidRDefault="00A8173B" w:rsidP="00BB047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sz w:val="20"/>
          <w:szCs w:val="20"/>
          <w:lang w:val="es-ES_tradnl"/>
        </w:rPr>
        <w:t xml:space="preserve">De este modo, el Estado concluye que una eventual declaración de admisibilidad de la presente denuncia lo colocaría en un escenario inédito e incongruente en el que, por un lado, se le exigiría completar el proceso penal relacionado con la muerte de cuatro personas, impidiéndose la aplicación del instituto de la prescripción como herramienta procesal idónea y eficaz para hacer cesar eventuales daños derivados de la extensión irrazonable de las actuaciones judiciales; y, por el otro, se le pretendería atribuir responsabilidad internacionales por la alegada vulneración del plazo razonable en perjuicio de los imputados, circunstancia que resultaría claramente inadmisible y que impactaría de manera directa e inmediata en el derecho del Estado a un debido proceso internacional. Por ello, solicita que el presente asunto sea declarado inadmisible, por no caracterizar una violación de derechos humanos. </w:t>
      </w:r>
    </w:p>
    <w:p w14:paraId="35C4B11E" w14:textId="6AC87A06" w:rsidR="006958AF" w:rsidRPr="00B1077D" w:rsidRDefault="006958AF" w:rsidP="006958A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Además, y c</w:t>
      </w:r>
      <w:r w:rsidR="00D44BC4" w:rsidRPr="00B1077D">
        <w:rPr>
          <w:rFonts w:asciiTheme="majorHAnsi" w:hAnsiTheme="majorHAnsi"/>
          <w:bCs/>
          <w:sz w:val="20"/>
          <w:szCs w:val="20"/>
          <w:lang w:val="es-ES_tradnl"/>
        </w:rPr>
        <w:t>o</w:t>
      </w:r>
      <w:r w:rsidRPr="00B1077D">
        <w:rPr>
          <w:rFonts w:asciiTheme="majorHAnsi" w:hAnsiTheme="majorHAnsi"/>
          <w:bCs/>
          <w:sz w:val="20"/>
          <w:szCs w:val="20"/>
          <w:lang w:val="es-ES_tradnl"/>
        </w:rPr>
        <w:t xml:space="preserve">mo es su </w:t>
      </w:r>
      <w:r w:rsidR="001824DB" w:rsidRPr="00B1077D">
        <w:rPr>
          <w:rFonts w:asciiTheme="majorHAnsi" w:hAnsiTheme="majorHAnsi"/>
          <w:bCs/>
          <w:sz w:val="20"/>
          <w:szCs w:val="20"/>
          <w:lang w:val="es-ES_tradnl"/>
        </w:rPr>
        <w:t>costumbre,</w:t>
      </w:r>
      <w:r w:rsidRPr="00B1077D">
        <w:rPr>
          <w:rFonts w:asciiTheme="majorHAnsi" w:hAnsiTheme="majorHAnsi"/>
          <w:bCs/>
          <w:sz w:val="20"/>
          <w:szCs w:val="20"/>
          <w:lang w:val="es-ES_tradnl"/>
        </w:rPr>
        <w:t xml:space="preserve"> </w:t>
      </w:r>
      <w:r w:rsidR="00D44BC4" w:rsidRPr="00B1077D">
        <w:rPr>
          <w:rFonts w:asciiTheme="majorHAnsi" w:hAnsiTheme="majorHAnsi"/>
          <w:bCs/>
          <w:sz w:val="20"/>
          <w:szCs w:val="20"/>
          <w:lang w:val="es-ES_tradnl"/>
        </w:rPr>
        <w:t>plantea</w:t>
      </w:r>
      <w:r w:rsidRPr="00B1077D">
        <w:rPr>
          <w:rFonts w:asciiTheme="majorHAnsi" w:hAnsiTheme="majorHAnsi"/>
          <w:bCs/>
          <w:sz w:val="20"/>
          <w:szCs w:val="20"/>
          <w:lang w:val="es-ES_tradnl"/>
        </w:rPr>
        <w:t xml:space="preserve"> </w:t>
      </w:r>
      <w:r w:rsidR="001824DB" w:rsidRPr="00B1077D">
        <w:rPr>
          <w:rFonts w:asciiTheme="majorHAnsi" w:hAnsiTheme="majorHAnsi"/>
          <w:bCs/>
          <w:sz w:val="20"/>
          <w:szCs w:val="20"/>
          <w:lang w:val="es-ES_tradnl"/>
        </w:rPr>
        <w:t>lo que denomina “</w:t>
      </w:r>
      <w:r w:rsidRPr="00B1077D">
        <w:rPr>
          <w:rFonts w:asciiTheme="majorHAnsi" w:hAnsiTheme="majorHAnsi"/>
          <w:bCs/>
          <w:sz w:val="20"/>
          <w:szCs w:val="20"/>
          <w:lang w:val="es-ES_tradnl"/>
        </w:rPr>
        <w:t>el traslado extemporáneo de la petición</w:t>
      </w:r>
      <w:r w:rsidR="001824DB" w:rsidRPr="00B1077D">
        <w:rPr>
          <w:rFonts w:asciiTheme="majorHAnsi" w:hAnsiTheme="majorHAnsi"/>
          <w:bCs/>
          <w:sz w:val="20"/>
          <w:szCs w:val="20"/>
          <w:lang w:val="es-ES_tradnl"/>
        </w:rPr>
        <w:t>”</w:t>
      </w:r>
      <w:r w:rsidRPr="00B1077D">
        <w:rPr>
          <w:rFonts w:asciiTheme="majorHAnsi" w:hAnsiTheme="majorHAnsi"/>
          <w:bCs/>
          <w:sz w:val="20"/>
          <w:szCs w:val="20"/>
          <w:lang w:val="es-ES_tradnl"/>
        </w:rPr>
        <w:t>. Afirma que a pesar de que el 3 de agosto de 2015 la Secretaría Ejecutiva de la CIDH recibió la petición, recién se realizó el traslado de tal documento el 1 de agosto de 2019. A juicio del Estado, la demora de casi cuatro de años en tramitar la petición genera una grave problemática que afecta el adecuado ejercicio de su derecho a la defensa.</w:t>
      </w:r>
    </w:p>
    <w:p w14:paraId="51F68C92" w14:textId="7FFD5667" w:rsidR="003239B8" w:rsidRPr="00B1077D" w:rsidRDefault="003239B8" w:rsidP="003239B8">
      <w:pPr>
        <w:spacing w:before="240" w:after="240"/>
        <w:ind w:firstLine="720"/>
        <w:jc w:val="both"/>
        <w:rPr>
          <w:rFonts w:ascii="Cambria" w:hAnsi="Cambria"/>
          <w:sz w:val="20"/>
          <w:szCs w:val="20"/>
          <w:lang w:val="es-ES_tradnl"/>
        </w:rPr>
      </w:pPr>
      <w:r w:rsidRPr="00B1077D">
        <w:rPr>
          <w:rFonts w:asciiTheme="majorHAnsi" w:eastAsia="Cambria" w:hAnsiTheme="majorHAnsi" w:cs="Cambria"/>
          <w:b/>
          <w:bCs/>
          <w:color w:val="000000"/>
          <w:sz w:val="20"/>
          <w:szCs w:val="20"/>
          <w:u w:color="000000"/>
          <w:lang w:val="es-ES_tradnl" w:eastAsia="es-ES"/>
        </w:rPr>
        <w:t>VI.</w:t>
      </w:r>
      <w:r w:rsidRPr="00B1077D">
        <w:rPr>
          <w:rFonts w:asciiTheme="majorHAnsi" w:eastAsia="Cambria" w:hAnsiTheme="majorHAnsi" w:cs="Cambria"/>
          <w:b/>
          <w:bCs/>
          <w:color w:val="000000"/>
          <w:sz w:val="20"/>
          <w:szCs w:val="20"/>
          <w:u w:color="000000"/>
          <w:lang w:val="es-ES_tradnl" w:eastAsia="es-ES"/>
        </w:rPr>
        <w:tab/>
      </w:r>
      <w:r w:rsidR="004A6A54" w:rsidRPr="00B1077D">
        <w:rPr>
          <w:rFonts w:asciiTheme="majorHAnsi" w:hAnsiTheme="majorHAnsi"/>
          <w:b/>
          <w:bCs/>
          <w:sz w:val="20"/>
          <w:szCs w:val="20"/>
          <w:lang w:val="es-ES_tradnl"/>
        </w:rPr>
        <w:t xml:space="preserve">ANÁLISIS DE </w:t>
      </w:r>
      <w:r w:rsidR="0092337C" w:rsidRPr="00B1077D">
        <w:rPr>
          <w:rFonts w:asciiTheme="majorHAnsi" w:hAnsiTheme="majorHAnsi"/>
          <w:b/>
          <w:bCs/>
          <w:sz w:val="20"/>
          <w:szCs w:val="20"/>
          <w:lang w:val="es-ES_tradnl"/>
        </w:rPr>
        <w:t xml:space="preserve">DUPLICIDAD, </w:t>
      </w:r>
      <w:r w:rsidR="00C21FEF" w:rsidRPr="00B1077D">
        <w:rPr>
          <w:rFonts w:asciiTheme="majorHAnsi" w:hAnsiTheme="majorHAnsi"/>
          <w:b/>
          <w:sz w:val="20"/>
          <w:szCs w:val="20"/>
          <w:lang w:val="es-ES_tradnl"/>
        </w:rPr>
        <w:t>AGOTAMIENTO DE LOS RECURSOS INTERNOS Y PLAZO DE PRESENTACIÓN</w:t>
      </w:r>
      <w:r w:rsidR="00C21FEF" w:rsidRPr="00B1077D">
        <w:rPr>
          <w:rFonts w:asciiTheme="majorHAnsi" w:eastAsia="Cambria" w:hAnsiTheme="majorHAnsi" w:cs="Cambria"/>
          <w:b/>
          <w:bCs/>
          <w:color w:val="000000"/>
          <w:sz w:val="20"/>
          <w:szCs w:val="20"/>
          <w:u w:color="000000"/>
          <w:lang w:val="es-ES_tradnl" w:eastAsia="es-ES"/>
        </w:rPr>
        <w:t xml:space="preserve"> </w:t>
      </w:r>
    </w:p>
    <w:p w14:paraId="4E801D4E" w14:textId="6805EC3C" w:rsidR="0000729F" w:rsidRPr="00B1077D" w:rsidRDefault="0000729F" w:rsidP="000072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B1077D">
        <w:rPr>
          <w:rFonts w:asciiTheme="majorHAnsi" w:hAnsiTheme="majorHAnsi"/>
          <w:sz w:val="20"/>
          <w:szCs w:val="20"/>
          <w:lang w:val="es-ES_tradnl"/>
        </w:rPr>
        <w:t>El Estado plantea que existe duplicidad de procedimientos, dado que la presente petición está estrechamente vinculada con un asunto que se encuentra</w:t>
      </w:r>
      <w:r w:rsidR="00D91C40" w:rsidRPr="00B1077D">
        <w:rPr>
          <w:rFonts w:asciiTheme="majorHAnsi" w:hAnsiTheme="majorHAnsi"/>
          <w:sz w:val="20"/>
          <w:szCs w:val="20"/>
          <w:lang w:val="es-ES_tradnl"/>
        </w:rPr>
        <w:t>,</w:t>
      </w:r>
      <w:r w:rsidRPr="00B1077D">
        <w:rPr>
          <w:rFonts w:asciiTheme="majorHAnsi" w:hAnsiTheme="majorHAnsi"/>
          <w:sz w:val="20"/>
          <w:szCs w:val="20"/>
          <w:lang w:val="es-ES_tradnl"/>
        </w:rPr>
        <w:t xml:space="preserve"> a la fecha</w:t>
      </w:r>
      <w:r w:rsidR="00D91C40" w:rsidRPr="00B1077D">
        <w:rPr>
          <w:rFonts w:asciiTheme="majorHAnsi" w:hAnsiTheme="majorHAnsi"/>
          <w:sz w:val="20"/>
          <w:szCs w:val="20"/>
          <w:lang w:val="es-ES_tradnl"/>
        </w:rPr>
        <w:t>,</w:t>
      </w:r>
      <w:r w:rsidRPr="00B1077D">
        <w:rPr>
          <w:rFonts w:asciiTheme="majorHAnsi" w:hAnsiTheme="majorHAnsi"/>
          <w:sz w:val="20"/>
          <w:szCs w:val="20"/>
          <w:lang w:val="es-ES_tradnl"/>
        </w:rPr>
        <w:t xml:space="preserve"> en etapa de solución amistosa ante la CIDH, y en la cual se analiza el presunto incumplimiento de la obligación internacional de investigar, juzgar y sancionar a los responsables de la muerte de Edgardo José Cicutín. Sobre este punto, la Comisión recuerda que solo existirá identidad entre dos asuntos, cuando: i) las partes involucradas sean las mismas (Estado y presuntas víctimas), ii) el objeto de los reclamos o hechos sean iguales; y iii) la base legal sea idéntica</w:t>
      </w:r>
      <w:r w:rsidRPr="00B1077D">
        <w:rPr>
          <w:rStyle w:val="FootnoteReference"/>
          <w:rFonts w:asciiTheme="majorHAnsi" w:hAnsiTheme="majorHAnsi"/>
          <w:sz w:val="20"/>
          <w:szCs w:val="20"/>
          <w:lang w:val="es-ES_tradnl"/>
        </w:rPr>
        <w:footnoteReference w:id="6"/>
      </w:r>
      <w:r w:rsidRPr="00B1077D">
        <w:rPr>
          <w:rFonts w:asciiTheme="majorHAnsi" w:hAnsiTheme="majorHAnsi"/>
          <w:sz w:val="20"/>
          <w:szCs w:val="20"/>
          <w:lang w:val="es-ES_tradnl"/>
        </w:rPr>
        <w:t>. En el presente asunto, la Comisión considera evidente que</w:t>
      </w:r>
      <w:r w:rsidR="009930D9" w:rsidRPr="00B1077D">
        <w:rPr>
          <w:rFonts w:asciiTheme="majorHAnsi" w:hAnsiTheme="majorHAnsi"/>
          <w:sz w:val="20"/>
          <w:szCs w:val="20"/>
          <w:lang w:val="es-ES_tradnl"/>
        </w:rPr>
        <w:t xml:space="preserve">, </w:t>
      </w:r>
      <w:r w:rsidRPr="00B1077D">
        <w:rPr>
          <w:rFonts w:asciiTheme="majorHAnsi" w:hAnsiTheme="majorHAnsi"/>
          <w:bCs/>
          <w:sz w:val="20"/>
          <w:szCs w:val="20"/>
          <w:lang w:val="es-ES_tradnl"/>
        </w:rPr>
        <w:t xml:space="preserve">si bien la presente petición </w:t>
      </w:r>
      <w:r w:rsidR="00366F0B" w:rsidRPr="00B1077D">
        <w:rPr>
          <w:rFonts w:asciiTheme="majorHAnsi" w:hAnsiTheme="majorHAnsi"/>
          <w:bCs/>
          <w:sz w:val="20"/>
          <w:szCs w:val="20"/>
          <w:lang w:val="es-ES_tradnl"/>
        </w:rPr>
        <w:t xml:space="preserve">se origina en el mismo contexto </w:t>
      </w:r>
      <w:r w:rsidR="007E0B08" w:rsidRPr="00B1077D">
        <w:rPr>
          <w:rFonts w:asciiTheme="majorHAnsi" w:hAnsiTheme="majorHAnsi"/>
          <w:bCs/>
          <w:sz w:val="20"/>
          <w:szCs w:val="20"/>
          <w:lang w:val="es-ES_tradnl"/>
        </w:rPr>
        <w:t>que el</w:t>
      </w:r>
      <w:r w:rsidRPr="00B1077D">
        <w:rPr>
          <w:rFonts w:asciiTheme="majorHAnsi" w:hAnsiTheme="majorHAnsi"/>
          <w:bCs/>
          <w:sz w:val="20"/>
          <w:szCs w:val="20"/>
          <w:lang w:val="es-ES_tradnl"/>
        </w:rPr>
        <w:t xml:space="preserve"> asunto en </w:t>
      </w:r>
      <w:r w:rsidR="007E0B08" w:rsidRPr="00B1077D">
        <w:rPr>
          <w:rFonts w:asciiTheme="majorHAnsi" w:hAnsiTheme="majorHAnsi"/>
          <w:bCs/>
          <w:sz w:val="20"/>
          <w:szCs w:val="20"/>
          <w:lang w:val="es-ES_tradnl"/>
        </w:rPr>
        <w:t>proceso</w:t>
      </w:r>
      <w:r w:rsidRPr="00B1077D">
        <w:rPr>
          <w:rFonts w:asciiTheme="majorHAnsi" w:hAnsiTheme="majorHAnsi"/>
          <w:bCs/>
          <w:sz w:val="20"/>
          <w:szCs w:val="20"/>
          <w:lang w:val="es-ES_tradnl"/>
        </w:rPr>
        <w:t xml:space="preserve"> de solución amistosa</w:t>
      </w:r>
      <w:r w:rsidR="007E0B08" w:rsidRPr="00B1077D">
        <w:rPr>
          <w:rFonts w:asciiTheme="majorHAnsi" w:hAnsiTheme="majorHAnsi"/>
          <w:bCs/>
          <w:sz w:val="20"/>
          <w:szCs w:val="20"/>
          <w:lang w:val="es-ES_tradnl"/>
        </w:rPr>
        <w:t xml:space="preserve"> ante la CIDH</w:t>
      </w:r>
      <w:r w:rsidRPr="00B1077D">
        <w:rPr>
          <w:rFonts w:asciiTheme="majorHAnsi" w:hAnsiTheme="majorHAnsi"/>
          <w:bCs/>
          <w:sz w:val="20"/>
          <w:szCs w:val="20"/>
          <w:lang w:val="es-ES_tradnl"/>
        </w:rPr>
        <w:t xml:space="preserve">, </w:t>
      </w:r>
      <w:r w:rsidR="009930D9" w:rsidRPr="00B1077D">
        <w:rPr>
          <w:rFonts w:asciiTheme="majorHAnsi" w:hAnsiTheme="majorHAnsi"/>
          <w:bCs/>
          <w:sz w:val="20"/>
          <w:szCs w:val="20"/>
          <w:lang w:val="es-ES_tradnl"/>
        </w:rPr>
        <w:t xml:space="preserve">no existe identidad de </w:t>
      </w:r>
      <w:r w:rsidRPr="00B1077D">
        <w:rPr>
          <w:rFonts w:asciiTheme="majorHAnsi" w:hAnsiTheme="majorHAnsi"/>
          <w:bCs/>
          <w:sz w:val="20"/>
          <w:szCs w:val="20"/>
          <w:lang w:val="es-ES_tradnl"/>
        </w:rPr>
        <w:t>presuntas víctimas y, en consecuencia, el objeto de los reclamos no es el mismo</w:t>
      </w:r>
      <w:r w:rsidR="009930D9" w:rsidRPr="00B1077D">
        <w:rPr>
          <w:rFonts w:asciiTheme="majorHAnsi" w:hAnsiTheme="majorHAnsi"/>
          <w:bCs/>
          <w:sz w:val="20"/>
          <w:szCs w:val="20"/>
          <w:lang w:val="es-ES_tradnl"/>
        </w:rPr>
        <w:t xml:space="preserve">. Así, mientras que en el presente asunto las presuntas víctimas cuestionan la afectación de un conjunto de garantías judiciales en su condición de procesados, en la petición utilizada como referencia las personas involucradas cuestionan la obligación del </w:t>
      </w:r>
      <w:r w:rsidR="009930D9" w:rsidRPr="00B1077D">
        <w:rPr>
          <w:rFonts w:asciiTheme="majorHAnsi" w:hAnsiTheme="majorHAnsi"/>
          <w:bCs/>
          <w:sz w:val="20"/>
          <w:szCs w:val="20"/>
          <w:lang w:val="es-ES_tradnl"/>
        </w:rPr>
        <w:lastRenderedPageBreak/>
        <w:t xml:space="preserve">Estado de investigar, juzgar y sancionar. </w:t>
      </w:r>
      <w:r w:rsidR="009930D9" w:rsidRPr="00B1077D">
        <w:rPr>
          <w:rFonts w:asciiTheme="majorHAnsi" w:hAnsiTheme="majorHAnsi"/>
          <w:sz w:val="20"/>
          <w:szCs w:val="20"/>
          <w:lang w:val="es-ES_tradnl"/>
        </w:rPr>
        <w:t xml:space="preserve">En consecuencia, la Comisión </w:t>
      </w:r>
      <w:r w:rsidR="005F3A87" w:rsidRPr="00B1077D">
        <w:rPr>
          <w:rFonts w:asciiTheme="majorHAnsi" w:hAnsiTheme="majorHAnsi"/>
          <w:sz w:val="20"/>
          <w:szCs w:val="20"/>
          <w:lang w:val="es-ES_tradnl"/>
        </w:rPr>
        <w:t xml:space="preserve">considera evidente </w:t>
      </w:r>
      <w:r w:rsidR="00892535" w:rsidRPr="00B1077D">
        <w:rPr>
          <w:rFonts w:asciiTheme="majorHAnsi" w:hAnsiTheme="majorHAnsi"/>
          <w:sz w:val="20"/>
          <w:szCs w:val="20"/>
          <w:lang w:val="es-ES_tradnl"/>
        </w:rPr>
        <w:t xml:space="preserve">la falta de duplicidad de procedimientos en los términos del artículo </w:t>
      </w:r>
      <w:r w:rsidR="009F55B6" w:rsidRPr="00B1077D">
        <w:rPr>
          <w:rFonts w:asciiTheme="majorHAnsi" w:hAnsiTheme="majorHAnsi"/>
          <w:sz w:val="20"/>
          <w:szCs w:val="20"/>
          <w:lang w:val="es-ES_tradnl"/>
        </w:rPr>
        <w:t>47</w:t>
      </w:r>
      <w:r w:rsidR="005861F5" w:rsidRPr="00B1077D">
        <w:rPr>
          <w:rFonts w:asciiTheme="majorHAnsi" w:hAnsiTheme="majorHAnsi"/>
          <w:sz w:val="20"/>
          <w:szCs w:val="20"/>
          <w:lang w:val="es-ES_tradnl"/>
        </w:rPr>
        <w:t>.d) de la Convención Americana</w:t>
      </w:r>
      <w:r w:rsidR="009930D9" w:rsidRPr="00B1077D">
        <w:rPr>
          <w:rFonts w:asciiTheme="majorHAnsi" w:hAnsiTheme="majorHAnsi"/>
          <w:sz w:val="20"/>
          <w:szCs w:val="20"/>
          <w:lang w:val="es-ES_tradnl"/>
        </w:rPr>
        <w:t>.</w:t>
      </w:r>
    </w:p>
    <w:p w14:paraId="46D23CB0" w14:textId="085D6C49" w:rsidR="009930D9" w:rsidRPr="00B1077D" w:rsidRDefault="00A72DF5" w:rsidP="000072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B1077D">
        <w:rPr>
          <w:rFonts w:asciiTheme="majorHAnsi" w:hAnsiTheme="majorHAnsi"/>
          <w:bCs/>
          <w:sz w:val="20"/>
          <w:szCs w:val="20"/>
          <w:lang w:val="es-ES_tradnl"/>
        </w:rPr>
        <w:t>Con r</w:t>
      </w:r>
      <w:r w:rsidR="009930D9" w:rsidRPr="00B1077D">
        <w:rPr>
          <w:rFonts w:asciiTheme="majorHAnsi" w:hAnsiTheme="majorHAnsi"/>
          <w:bCs/>
          <w:sz w:val="20"/>
          <w:szCs w:val="20"/>
          <w:lang w:val="es-ES_tradnl"/>
        </w:rPr>
        <w:t xml:space="preserve">especto al agotamiento de los recursos internos, la parte peticionaria sostiene que aplica la excepción prevista en el artículo 46.2.c), debido a que el proceso contra las presuntas víctimas tiene, a la fecha, una duración de </w:t>
      </w:r>
      <w:r w:rsidRPr="00B1077D">
        <w:rPr>
          <w:rFonts w:asciiTheme="majorHAnsi" w:hAnsiTheme="majorHAnsi"/>
          <w:bCs/>
          <w:sz w:val="20"/>
          <w:szCs w:val="20"/>
          <w:lang w:val="es-ES_tradnl"/>
        </w:rPr>
        <w:t>veintiocho</w:t>
      </w:r>
      <w:r w:rsidR="009930D9" w:rsidRPr="00B1077D">
        <w:rPr>
          <w:rFonts w:asciiTheme="majorHAnsi" w:hAnsiTheme="majorHAnsi"/>
          <w:bCs/>
          <w:sz w:val="20"/>
          <w:szCs w:val="20"/>
          <w:lang w:val="es-ES_tradnl"/>
        </w:rPr>
        <w:t xml:space="preserve"> años sin que exista aún una decisión definitiva. Por su parte, el Estado replica que exista falta de agotamiento de la jurisdicción interna y que no aplica la citada excepción, pues</w:t>
      </w:r>
      <w:r w:rsidR="009930D9" w:rsidRPr="00B1077D">
        <w:rPr>
          <w:rFonts w:asciiTheme="majorHAnsi" w:hAnsiTheme="majorHAnsi"/>
          <w:sz w:val="20"/>
          <w:szCs w:val="20"/>
          <w:lang w:val="es-ES_tradnl"/>
        </w:rPr>
        <w:t xml:space="preserve"> la demora en realizar la audiencia de juicio se debe a la actividad recursiva de la representación de las presuntas víctimas.</w:t>
      </w:r>
    </w:p>
    <w:p w14:paraId="273F96F4" w14:textId="77777777" w:rsidR="001E023A" w:rsidRPr="00B1077D" w:rsidRDefault="000215E9" w:rsidP="001E02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B1077D">
        <w:rPr>
          <w:rFonts w:asciiTheme="majorHAnsi" w:hAnsiTheme="majorHAnsi"/>
          <w:sz w:val="20"/>
          <w:szCs w:val="20"/>
          <w:lang w:val="es-ES_tradnl"/>
        </w:rPr>
        <w:t>L</w:t>
      </w:r>
      <w:r w:rsidR="009930D9" w:rsidRPr="00B1077D">
        <w:rPr>
          <w:rFonts w:asciiTheme="majorHAnsi" w:hAnsiTheme="majorHAnsi"/>
          <w:sz w:val="20"/>
          <w:szCs w:val="20"/>
          <w:lang w:val="es-ES_tradnl"/>
        </w:rPr>
        <w:t xml:space="preserve">a Comisión observa que ambas </w:t>
      </w:r>
      <w:r w:rsidR="001B5239" w:rsidRPr="00B1077D">
        <w:rPr>
          <w:rFonts w:asciiTheme="majorHAnsi" w:hAnsiTheme="majorHAnsi"/>
          <w:sz w:val="20"/>
          <w:szCs w:val="20"/>
          <w:lang w:val="es-ES_tradnl"/>
        </w:rPr>
        <w:t xml:space="preserve">partes </w:t>
      </w:r>
      <w:r w:rsidR="009930D9" w:rsidRPr="00B1077D">
        <w:rPr>
          <w:rFonts w:asciiTheme="majorHAnsi" w:hAnsiTheme="majorHAnsi"/>
          <w:sz w:val="20"/>
          <w:szCs w:val="20"/>
          <w:lang w:val="es-ES_tradnl"/>
        </w:rPr>
        <w:t xml:space="preserve">coinciden en que el proceso penal aún se encuentra en trámite, a la espera del inicio del juicio oral. </w:t>
      </w:r>
      <w:r w:rsidR="009930D9" w:rsidRPr="00B1077D">
        <w:rPr>
          <w:rFonts w:asciiTheme="majorHAnsi" w:hAnsiTheme="majorHAnsi"/>
          <w:bCs/>
          <w:sz w:val="20"/>
          <w:szCs w:val="20"/>
          <w:bdr w:val="none" w:sz="0" w:space="0" w:color="auto" w:frame="1"/>
          <w:lang w:val="es-ES_tradnl"/>
        </w:rPr>
        <w:t xml:space="preserve">En consecuencia, corresponde a la CIDH determinar si esta demora en adoptar una decisión puede configurar la excepción prevista en el artículo 46.2.c).  </w:t>
      </w:r>
      <w:bookmarkStart w:id="2" w:name="_Hlk117929164"/>
    </w:p>
    <w:p w14:paraId="21531E58" w14:textId="4D8ECBA2" w:rsidR="00CE767B" w:rsidRPr="00B1077D" w:rsidRDefault="003C2C83" w:rsidP="001E02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B1077D">
        <w:rPr>
          <w:rFonts w:ascii="Cambria" w:hAnsi="Cambria"/>
          <w:sz w:val="20"/>
          <w:szCs w:val="20"/>
          <w:lang w:val="es-ES_tradnl"/>
        </w:rPr>
        <w:t xml:space="preserve">A este respecto, </w:t>
      </w:r>
      <w:bookmarkStart w:id="3" w:name="_Hlk118123845"/>
      <w:r w:rsidRPr="00B1077D">
        <w:rPr>
          <w:rFonts w:ascii="Cambria" w:hAnsi="Cambria"/>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B1077D">
        <w:rPr>
          <w:rFonts w:ascii="Cambria" w:hAnsi="Cambria"/>
          <w:sz w:val="20"/>
          <w:szCs w:val="20"/>
          <w:lang w:val="es-ES_tradnl"/>
        </w:rPr>
        <w:t>La CIDH también ha subrayado que no existen disposiciones convencionales o reglamentarias que regulen de modo específico el lapso de tiempo que constituye retardo injustificado, por lo cual la Comisión evalúa caso por caso para determinar si se configura dicho retardo</w:t>
      </w:r>
      <w:r w:rsidRPr="00B1077D">
        <w:rPr>
          <w:rStyle w:val="FootnoteReference"/>
          <w:rFonts w:ascii="Cambria" w:hAnsi="Cambria"/>
          <w:sz w:val="20"/>
          <w:szCs w:val="20"/>
          <w:lang w:val="es-ES_tradnl"/>
        </w:rPr>
        <w:footnoteReference w:id="7"/>
      </w:r>
      <w:r w:rsidRPr="00B1077D">
        <w:rPr>
          <w:rFonts w:ascii="Cambria" w:hAnsi="Cambria"/>
          <w:sz w:val="20"/>
          <w:szCs w:val="20"/>
          <w:lang w:val="es-ES_tradnl"/>
        </w:rPr>
        <w:t xml:space="preserve">. </w:t>
      </w:r>
      <w:r w:rsidR="00776735" w:rsidRPr="00B1077D">
        <w:rPr>
          <w:rFonts w:ascii="Cambria" w:hAnsi="Cambria"/>
          <w:sz w:val="20"/>
          <w:szCs w:val="20"/>
          <w:lang w:val="es-ES_tradnl"/>
        </w:rPr>
        <w:t>En esta evaluación, la Comisión considera una serie de factores, como el tiempo transcurrido desde que se cometió el delito</w:t>
      </w:r>
      <w:r w:rsidR="00776735" w:rsidRPr="00B1077D">
        <w:rPr>
          <w:rStyle w:val="FootnoteReference"/>
          <w:rFonts w:ascii="Cambria" w:hAnsi="Cambria"/>
          <w:sz w:val="20"/>
          <w:szCs w:val="20"/>
          <w:lang w:val="es-ES_tradnl"/>
        </w:rPr>
        <w:footnoteReference w:id="8"/>
      </w:r>
      <w:r w:rsidR="00776735" w:rsidRPr="00B1077D">
        <w:rPr>
          <w:rFonts w:ascii="Cambria" w:hAnsi="Cambria"/>
          <w:sz w:val="20"/>
          <w:szCs w:val="20"/>
          <w:lang w:val="es-ES_tradnl"/>
        </w:rPr>
        <w:t xml:space="preserve">. </w:t>
      </w:r>
      <w:r w:rsidRPr="00B1077D">
        <w:rPr>
          <w:rFonts w:ascii="Cambria" w:hAnsi="Cambria"/>
          <w:sz w:val="20"/>
          <w:szCs w:val="20"/>
          <w:lang w:val="es-ES_tradnl"/>
        </w:rPr>
        <w:t>En esta línea, la Corte Interamericana ha establecido como principio rector del análisis del eventual retardo injustificado como excepción a la regla del agotamiento de los recursos internos, que “</w:t>
      </w:r>
      <w:r w:rsidRPr="00B1077D">
        <w:rPr>
          <w:rFonts w:ascii="Cambria" w:hAnsi="Cambria"/>
          <w:i/>
          <w:iCs/>
          <w:sz w:val="20"/>
          <w:szCs w:val="20"/>
          <w:lang w:val="es-ES_tradnl"/>
        </w:rPr>
        <w:t>de ninguna manera la regla del previo agotamiento debe conducir a que se detenga o se demore hasta la inutilidad la actuación internacional en auxilio de la víctima indefensa</w:t>
      </w:r>
      <w:r w:rsidRPr="00B1077D">
        <w:rPr>
          <w:rFonts w:ascii="Cambria" w:hAnsi="Cambria"/>
          <w:sz w:val="20"/>
          <w:szCs w:val="20"/>
          <w:lang w:val="es-ES_tradnl"/>
        </w:rPr>
        <w:t>”</w:t>
      </w:r>
      <w:r w:rsidRPr="00B1077D">
        <w:rPr>
          <w:rStyle w:val="FootnoteReference"/>
          <w:rFonts w:ascii="Cambria" w:hAnsi="Cambria"/>
          <w:sz w:val="20"/>
          <w:szCs w:val="20"/>
          <w:lang w:val="es-ES_tradnl"/>
        </w:rPr>
        <w:footnoteReference w:id="9"/>
      </w:r>
      <w:r w:rsidRPr="00B1077D">
        <w:rPr>
          <w:rFonts w:ascii="Cambria" w:hAnsi="Cambria"/>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2"/>
      <w:bookmarkEnd w:id="3"/>
      <w:bookmarkEnd w:id="4"/>
    </w:p>
    <w:p w14:paraId="3DE3ED99" w14:textId="3A2D90BF" w:rsidR="00AB7691" w:rsidRPr="00B1077D" w:rsidRDefault="00AB7691" w:rsidP="00AB76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bCs/>
          <w:sz w:val="20"/>
          <w:szCs w:val="20"/>
          <w:lang w:val="es-ES_tradnl"/>
        </w:rPr>
        <w:t xml:space="preserve">Con base en estas consideraciones, </w:t>
      </w:r>
      <w:r w:rsidRPr="00B1077D">
        <w:rPr>
          <w:rFonts w:asciiTheme="majorHAnsi" w:hAnsiTheme="majorHAnsi"/>
          <w:sz w:val="20"/>
          <w:szCs w:val="20"/>
          <w:lang w:val="es-ES_tradnl"/>
        </w:rPr>
        <w:t xml:space="preserve">la Comisión nota que si bien las autoridades internas han realizado una serie de diligencias, la información aportada no permite concluir que las acciones emprendidas hasta la fecha justifiquen un plazo de </w:t>
      </w:r>
      <w:r w:rsidRPr="00B1077D">
        <w:rPr>
          <w:rFonts w:asciiTheme="majorHAnsi" w:hAnsiTheme="majorHAnsi"/>
          <w:bCs/>
          <w:sz w:val="20"/>
          <w:szCs w:val="20"/>
          <w:lang w:val="es-ES_tradnl"/>
        </w:rPr>
        <w:t xml:space="preserve">cerca </w:t>
      </w:r>
      <w:r w:rsidR="00163884" w:rsidRPr="00B1077D">
        <w:rPr>
          <w:rFonts w:asciiTheme="majorHAnsi" w:hAnsiTheme="majorHAnsi"/>
          <w:bCs/>
          <w:sz w:val="20"/>
          <w:szCs w:val="20"/>
          <w:lang w:val="es-ES_tradnl"/>
        </w:rPr>
        <w:t xml:space="preserve">de </w:t>
      </w:r>
      <w:r w:rsidRPr="00B1077D">
        <w:rPr>
          <w:rFonts w:asciiTheme="majorHAnsi" w:hAnsiTheme="majorHAnsi"/>
          <w:bCs/>
          <w:sz w:val="20"/>
          <w:szCs w:val="20"/>
          <w:lang w:val="es-ES_tradnl"/>
        </w:rPr>
        <w:t xml:space="preserve">veintiocho años en fase de investigación, sin que a la fecha exista una decisión definitiva al respecto. </w:t>
      </w:r>
      <w:r w:rsidR="00DA6262" w:rsidRPr="00B1077D">
        <w:rPr>
          <w:rFonts w:asciiTheme="majorHAnsi" w:hAnsiTheme="majorHAnsi"/>
          <w:bCs/>
          <w:sz w:val="20"/>
          <w:szCs w:val="20"/>
          <w:lang w:val="es-ES_tradnl"/>
        </w:rPr>
        <w:t>Así</w:t>
      </w:r>
      <w:r w:rsidRPr="00B1077D">
        <w:rPr>
          <w:rFonts w:asciiTheme="majorHAnsi" w:hAnsiTheme="majorHAnsi"/>
          <w:bCs/>
          <w:sz w:val="20"/>
          <w:szCs w:val="20"/>
          <w:lang w:val="es-ES_tradnl"/>
        </w:rPr>
        <w:t>, si bien la CIDH nota que el Estado arguye que la demora se debe a lo</w:t>
      </w:r>
      <w:r w:rsidR="00AE09D5" w:rsidRPr="00B1077D">
        <w:rPr>
          <w:rFonts w:asciiTheme="majorHAnsi" w:hAnsiTheme="majorHAnsi"/>
          <w:bCs/>
          <w:sz w:val="20"/>
          <w:szCs w:val="20"/>
          <w:lang w:val="es-ES_tradnl"/>
        </w:rPr>
        <w:t>s</w:t>
      </w:r>
      <w:r w:rsidRPr="00B1077D">
        <w:rPr>
          <w:rFonts w:asciiTheme="majorHAnsi" w:hAnsiTheme="majorHAnsi"/>
          <w:bCs/>
          <w:sz w:val="20"/>
          <w:szCs w:val="20"/>
          <w:lang w:val="es-ES_tradnl"/>
        </w:rPr>
        <w:t xml:space="preserve"> recursos interpuestos por las propias presuntas víctimas, dichas acciones recursivas se han presentado luego de la decisión </w:t>
      </w:r>
      <w:r w:rsidRPr="00B1077D">
        <w:rPr>
          <w:rFonts w:asciiTheme="majorHAnsi" w:hAnsiTheme="majorHAnsi"/>
          <w:sz w:val="20"/>
          <w:szCs w:val="20"/>
          <w:lang w:val="es-ES_tradnl"/>
        </w:rPr>
        <w:t>d</w:t>
      </w:r>
      <w:r w:rsidRPr="00B1077D">
        <w:rPr>
          <w:rFonts w:asciiTheme="majorHAnsi" w:hAnsiTheme="majorHAnsi"/>
          <w:bCs/>
          <w:sz w:val="20"/>
          <w:szCs w:val="20"/>
          <w:lang w:val="es-ES_tradnl"/>
        </w:rPr>
        <w:t>el 27 de noviembre de 2013 emitida por la Suprema Corte de Justicia de la Provincia de Buenos Aires, por lo que no resulta</w:t>
      </w:r>
      <w:r w:rsidR="00F555A1" w:rsidRPr="00B1077D">
        <w:rPr>
          <w:rFonts w:asciiTheme="majorHAnsi" w:hAnsiTheme="majorHAnsi"/>
          <w:bCs/>
          <w:sz w:val="20"/>
          <w:szCs w:val="20"/>
          <w:lang w:val="es-ES_tradnl"/>
        </w:rPr>
        <w:t>ría</w:t>
      </w:r>
      <w:r w:rsidRPr="00B1077D">
        <w:rPr>
          <w:rFonts w:asciiTheme="majorHAnsi" w:hAnsiTheme="majorHAnsi"/>
          <w:bCs/>
          <w:sz w:val="20"/>
          <w:szCs w:val="20"/>
          <w:lang w:val="es-ES_tradnl"/>
        </w:rPr>
        <w:t xml:space="preserve"> un argumento que explique el plazo transcurrido entre 1994 y el 2013. </w:t>
      </w:r>
    </w:p>
    <w:p w14:paraId="496C93E9" w14:textId="2237DAA1" w:rsidR="000A05CF" w:rsidRPr="00B1077D" w:rsidRDefault="00AB7691" w:rsidP="00372E1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bCs/>
          <w:sz w:val="20"/>
          <w:szCs w:val="20"/>
          <w:lang w:val="es-ES_tradnl"/>
        </w:rPr>
        <w:t xml:space="preserve">Por las razones expuestas, </w:t>
      </w:r>
      <w:r w:rsidR="00F555A1" w:rsidRPr="00B1077D">
        <w:rPr>
          <w:rFonts w:asciiTheme="majorHAnsi" w:hAnsiTheme="majorHAnsi"/>
          <w:bCs/>
          <w:sz w:val="20"/>
          <w:szCs w:val="20"/>
          <w:lang w:val="es-ES_tradnl"/>
        </w:rPr>
        <w:t xml:space="preserve">y para efectos de la admisibilidad, </w:t>
      </w:r>
      <w:r w:rsidRPr="00B1077D">
        <w:rPr>
          <w:rFonts w:asciiTheme="majorHAnsi" w:hAnsiTheme="majorHAnsi"/>
          <w:bCs/>
          <w:sz w:val="20"/>
          <w:szCs w:val="20"/>
          <w:lang w:val="es-ES_tradnl"/>
        </w:rPr>
        <w:t xml:space="preserve">la CIDH considera aplicable la excepción establecida en el artículo 46.2.c) de la Convención Americana. En cuanto al plazo de presentación, frente a los procesos penales, </w:t>
      </w:r>
      <w:r w:rsidRPr="00B1077D">
        <w:rPr>
          <w:rFonts w:asciiTheme="majorHAnsi" w:hAnsiTheme="majorHAnsi" w:cs="Calibri"/>
          <w:sz w:val="20"/>
          <w:szCs w:val="20"/>
          <w:lang w:val="es-ES_tradnl"/>
        </w:rPr>
        <w:t xml:space="preserve">la Comisión observa que la petición fue recibida el </w:t>
      </w:r>
      <w:r w:rsidR="00E33D77" w:rsidRPr="00B1077D">
        <w:rPr>
          <w:rFonts w:ascii="Cambria" w:hAnsi="Cambria"/>
          <w:bCs/>
          <w:sz w:val="20"/>
          <w:szCs w:val="20"/>
          <w:lang w:val="es-ES_tradnl"/>
        </w:rPr>
        <w:t>3 de agosto de 2015</w:t>
      </w:r>
      <w:r w:rsidRPr="00B1077D">
        <w:rPr>
          <w:rFonts w:asciiTheme="majorHAnsi" w:hAnsiTheme="majorHAnsi" w:cs="Calibri"/>
          <w:sz w:val="20"/>
          <w:szCs w:val="20"/>
          <w:lang w:val="es-ES_tradnl"/>
        </w:rPr>
        <w:t>, y l</w:t>
      </w:r>
      <w:r w:rsidR="00E962CD" w:rsidRPr="00B1077D">
        <w:rPr>
          <w:rFonts w:asciiTheme="majorHAnsi" w:hAnsiTheme="majorHAnsi" w:cs="Calibri"/>
          <w:sz w:val="20"/>
          <w:szCs w:val="20"/>
          <w:lang w:val="es-ES_tradnl"/>
        </w:rPr>
        <w:t>a investigación contra las presuntas víctimas se encontraría abierta desde 1994 hasta la fecha. Dado que la situación tendría repercusiones hasta la fecha en perjuicio de las presuntas víctimas, la CIDH c</w:t>
      </w:r>
      <w:r w:rsidRPr="00B1077D">
        <w:rPr>
          <w:rFonts w:asciiTheme="majorHAnsi" w:hAnsiTheme="majorHAnsi" w:cs="Calibri"/>
          <w:sz w:val="20"/>
          <w:szCs w:val="20"/>
          <w:lang w:val="es-ES_tradnl"/>
        </w:rPr>
        <w:t xml:space="preserve">onsidera que la petición bajo análisis se presentó en un plazo razonable, en los términos del artículo 32.2 de su Reglamento. </w:t>
      </w:r>
    </w:p>
    <w:p w14:paraId="57365FFE" w14:textId="77777777" w:rsidR="00D82958" w:rsidRPr="00B1077D" w:rsidRDefault="00D82958" w:rsidP="00AB76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_tradnl"/>
        </w:rPr>
      </w:pPr>
    </w:p>
    <w:p w14:paraId="342BE39A" w14:textId="481B37BE" w:rsidR="00616D5E" w:rsidRPr="00B1077D" w:rsidRDefault="003239B8" w:rsidP="00AB76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lang w:val="es-ES_tradnl"/>
        </w:rPr>
      </w:pPr>
      <w:r w:rsidRPr="00B1077D">
        <w:rPr>
          <w:rFonts w:asciiTheme="majorHAnsi" w:hAnsiTheme="majorHAnsi"/>
          <w:b/>
          <w:bCs/>
          <w:sz w:val="20"/>
          <w:szCs w:val="20"/>
          <w:lang w:val="es-ES_tradnl"/>
        </w:rPr>
        <w:lastRenderedPageBreak/>
        <w:t>VII.</w:t>
      </w:r>
      <w:r w:rsidRPr="00B1077D">
        <w:rPr>
          <w:rFonts w:asciiTheme="majorHAnsi" w:hAnsiTheme="majorHAnsi"/>
          <w:b/>
          <w:bCs/>
          <w:sz w:val="20"/>
          <w:szCs w:val="20"/>
          <w:lang w:val="es-ES_tradnl"/>
        </w:rPr>
        <w:tab/>
      </w:r>
      <w:r w:rsidR="004A6A54" w:rsidRPr="00B1077D">
        <w:rPr>
          <w:rFonts w:asciiTheme="majorHAnsi" w:hAnsiTheme="majorHAnsi"/>
          <w:b/>
          <w:bCs/>
          <w:sz w:val="20"/>
          <w:szCs w:val="20"/>
          <w:lang w:val="es-ES_tradnl"/>
        </w:rPr>
        <w:t xml:space="preserve">ANÁLISIS DE </w:t>
      </w:r>
      <w:r w:rsidR="00C21FEF" w:rsidRPr="00B1077D">
        <w:rPr>
          <w:rFonts w:asciiTheme="majorHAnsi" w:hAnsiTheme="majorHAnsi"/>
          <w:b/>
          <w:bCs/>
          <w:sz w:val="20"/>
          <w:szCs w:val="20"/>
          <w:lang w:val="es-ES_tradnl"/>
        </w:rPr>
        <w:t>CARACTERIZACIÓN DE LOS HECHOS ALEGADOS</w:t>
      </w:r>
    </w:p>
    <w:p w14:paraId="20855ED7" w14:textId="241F8937" w:rsidR="00E962CD" w:rsidRPr="00B1077D" w:rsidRDefault="00E962CD" w:rsidP="00E962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B1077D">
        <w:rPr>
          <w:rStyle w:val="FootnoteReference"/>
          <w:rFonts w:asciiTheme="majorHAnsi" w:hAnsiTheme="majorHAnsi"/>
          <w:bCs/>
          <w:sz w:val="20"/>
          <w:szCs w:val="20"/>
          <w:lang w:val="es-ES_tradnl"/>
        </w:rPr>
        <w:footnoteReference w:id="10"/>
      </w:r>
      <w:r w:rsidRPr="00B1077D">
        <w:rPr>
          <w:rFonts w:asciiTheme="majorHAnsi" w:hAnsiTheme="majorHAnsi"/>
          <w:bCs/>
          <w:sz w:val="20"/>
          <w:szCs w:val="20"/>
          <w:lang w:val="es-ES_tradnl"/>
        </w:rPr>
        <w:t xml:space="preserve">. </w:t>
      </w:r>
    </w:p>
    <w:p w14:paraId="68DFD360" w14:textId="4E34BEE7" w:rsidR="00D2272E" w:rsidRPr="00B1077D" w:rsidRDefault="007F0A1F" w:rsidP="00E962C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B1077D">
        <w:rPr>
          <w:rFonts w:asciiTheme="majorHAnsi" w:hAnsiTheme="majorHAnsi"/>
          <w:bCs/>
          <w:sz w:val="20"/>
          <w:szCs w:val="20"/>
          <w:lang w:val="es-ES_tradnl"/>
        </w:rPr>
        <w:t xml:space="preserve">En el presente asunto, la Comisión observa que el reclamo principal de la parte peticionaria se refiere a la prolongación de veintiocho años del proceso penal contra las presuntas víctimas, y el mantenimiento de un régimen de detención domiciliaria en su perjuicio. Asimismo, la CIDH nota que también se cuestiona la posible vulneración del principio </w:t>
      </w:r>
      <w:r w:rsidRPr="00B1077D">
        <w:rPr>
          <w:rFonts w:asciiTheme="majorHAnsi" w:hAnsiTheme="majorHAnsi"/>
          <w:bCs/>
          <w:i/>
          <w:iCs/>
          <w:sz w:val="20"/>
          <w:szCs w:val="20"/>
          <w:lang w:val="es-ES_tradnl"/>
        </w:rPr>
        <w:t>non bis in ídem</w:t>
      </w:r>
      <w:r w:rsidRPr="00B1077D">
        <w:rPr>
          <w:rFonts w:asciiTheme="majorHAnsi" w:hAnsiTheme="majorHAnsi"/>
          <w:bCs/>
          <w:sz w:val="20"/>
          <w:szCs w:val="20"/>
          <w:lang w:val="es-ES_tradnl"/>
        </w:rPr>
        <w:t xml:space="preserve">, debido a la reapertura del proceso contra las presuntas víctimas. </w:t>
      </w:r>
    </w:p>
    <w:p w14:paraId="003C28D7" w14:textId="21DBB7F3" w:rsidR="004A6FC9" w:rsidRPr="00B1077D" w:rsidRDefault="007F0A1F" w:rsidP="00D91C4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sz w:val="20"/>
          <w:szCs w:val="20"/>
          <w:lang w:val="es-ES_tradnl"/>
        </w:rPr>
        <w:t>Sin perjuicio de</w:t>
      </w:r>
      <w:r w:rsidR="00792E4D" w:rsidRPr="00B1077D">
        <w:rPr>
          <w:rFonts w:asciiTheme="majorHAnsi" w:hAnsiTheme="majorHAnsi"/>
          <w:sz w:val="20"/>
          <w:szCs w:val="20"/>
          <w:lang w:val="es-ES_tradnl"/>
        </w:rPr>
        <w:t>l análisis que corresponda a la etapa de fondo del presente asunto</w:t>
      </w:r>
      <w:r w:rsidRPr="00B1077D">
        <w:rPr>
          <w:rFonts w:asciiTheme="majorHAnsi" w:hAnsiTheme="majorHAnsi"/>
          <w:sz w:val="20"/>
          <w:szCs w:val="20"/>
          <w:lang w:val="es-ES_tradnl"/>
        </w:rPr>
        <w:t xml:space="preserve">, la Comisión considera que el tiempo de la investigación y el mantenimiento prolongado del régimen de detención domiciliaria </w:t>
      </w:r>
      <w:r w:rsidR="00D91C40" w:rsidRPr="00B1077D">
        <w:rPr>
          <w:rFonts w:asciiTheme="majorHAnsi" w:hAnsiTheme="majorHAnsi"/>
          <w:sz w:val="20"/>
          <w:szCs w:val="20"/>
          <w:lang w:val="es-ES_tradnl"/>
        </w:rPr>
        <w:t xml:space="preserve">por cerca de veintiocho años puede implicar un incumplimiento de las garantías consagradas en la Convención Americana. </w:t>
      </w:r>
      <w:r w:rsidR="00D577B8" w:rsidRPr="00B1077D">
        <w:rPr>
          <w:rFonts w:asciiTheme="majorHAnsi" w:hAnsiTheme="majorHAnsi"/>
          <w:sz w:val="20"/>
          <w:szCs w:val="20"/>
          <w:lang w:val="es-ES_tradnl"/>
        </w:rPr>
        <w:t>En efecto, este tratado reconoce expresamente en su artículo 8, que “</w:t>
      </w:r>
      <w:r w:rsidR="000D130F" w:rsidRPr="00B1077D">
        <w:rPr>
          <w:rFonts w:asciiTheme="majorHAnsi" w:hAnsiTheme="majorHAnsi"/>
          <w:i/>
          <w:iCs/>
          <w:sz w:val="20"/>
          <w:szCs w:val="20"/>
          <w:lang w:val="es-ES_tradnl"/>
        </w:rPr>
        <w:t>[t]oda persona tiene derecho a se</w:t>
      </w:r>
      <w:r w:rsidR="00F46702" w:rsidRPr="00B1077D">
        <w:rPr>
          <w:rFonts w:asciiTheme="majorHAnsi" w:hAnsiTheme="majorHAnsi"/>
          <w:i/>
          <w:iCs/>
          <w:sz w:val="20"/>
          <w:szCs w:val="20"/>
          <w:lang w:val="es-ES_tradnl"/>
        </w:rPr>
        <w:t>r</w:t>
      </w:r>
      <w:r w:rsidR="000D130F" w:rsidRPr="00B1077D">
        <w:rPr>
          <w:rFonts w:asciiTheme="majorHAnsi" w:hAnsiTheme="majorHAnsi"/>
          <w:i/>
          <w:iCs/>
          <w:sz w:val="20"/>
          <w:szCs w:val="20"/>
          <w:lang w:val="es-ES_tradnl"/>
        </w:rPr>
        <w:t xml:space="preserve"> roída con las debidas garantías y dentro de un plazo razonable</w:t>
      </w:r>
      <w:r w:rsidR="00F46702" w:rsidRPr="00B1077D">
        <w:rPr>
          <w:rFonts w:asciiTheme="majorHAnsi" w:hAnsiTheme="majorHAnsi"/>
          <w:i/>
          <w:iCs/>
          <w:sz w:val="20"/>
          <w:szCs w:val="20"/>
          <w:lang w:val="es-ES_tradnl"/>
        </w:rPr>
        <w:t xml:space="preserve"> por un juez o tribunal</w:t>
      </w:r>
      <w:r w:rsidR="00F46702" w:rsidRPr="00B1077D">
        <w:rPr>
          <w:rFonts w:asciiTheme="majorHAnsi" w:hAnsiTheme="majorHAnsi"/>
          <w:sz w:val="20"/>
          <w:szCs w:val="20"/>
          <w:lang w:val="es-ES_tradnl"/>
        </w:rPr>
        <w:t xml:space="preserve"> […]</w:t>
      </w:r>
      <w:r w:rsidR="00D577B8" w:rsidRPr="00B1077D">
        <w:rPr>
          <w:rFonts w:asciiTheme="majorHAnsi" w:hAnsiTheme="majorHAnsi"/>
          <w:sz w:val="20"/>
          <w:szCs w:val="20"/>
          <w:lang w:val="es-ES_tradnl"/>
        </w:rPr>
        <w:t>”</w:t>
      </w:r>
    </w:p>
    <w:p w14:paraId="0FB67D0D" w14:textId="73C382DF" w:rsidR="007F0A1F" w:rsidRDefault="006A5E2D" w:rsidP="00D91C4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B1077D">
        <w:rPr>
          <w:rFonts w:asciiTheme="majorHAnsi" w:hAnsiTheme="majorHAnsi"/>
          <w:sz w:val="20"/>
          <w:szCs w:val="20"/>
          <w:lang w:val="es-ES_tradnl"/>
        </w:rPr>
        <w:t>La</w:t>
      </w:r>
      <w:r w:rsidR="00D91C40" w:rsidRPr="00B1077D">
        <w:rPr>
          <w:rFonts w:asciiTheme="majorHAnsi" w:hAnsiTheme="majorHAnsi"/>
          <w:sz w:val="20"/>
          <w:szCs w:val="20"/>
          <w:lang w:val="es-ES_tradnl"/>
        </w:rPr>
        <w:t xml:space="preserve"> Comisión recuerda</w:t>
      </w:r>
      <w:r w:rsidRPr="00B1077D">
        <w:rPr>
          <w:rFonts w:asciiTheme="majorHAnsi" w:hAnsiTheme="majorHAnsi"/>
          <w:sz w:val="20"/>
          <w:szCs w:val="20"/>
          <w:lang w:val="es-ES_tradnl"/>
        </w:rPr>
        <w:t xml:space="preserve"> además</w:t>
      </w:r>
      <w:r w:rsidR="00D91C40" w:rsidRPr="00B1077D">
        <w:rPr>
          <w:rFonts w:asciiTheme="majorHAnsi" w:hAnsiTheme="majorHAnsi"/>
          <w:sz w:val="20"/>
          <w:szCs w:val="20"/>
          <w:lang w:val="es-ES_tradnl"/>
        </w:rPr>
        <w:t xml:space="preserve"> que</w:t>
      </w:r>
      <w:r w:rsidR="00DF53E1">
        <w:rPr>
          <w:rFonts w:asciiTheme="majorHAnsi" w:hAnsiTheme="majorHAnsi"/>
          <w:sz w:val="20"/>
          <w:szCs w:val="20"/>
          <w:lang w:val="es-ES_tradnl"/>
        </w:rPr>
        <w:t>,</w:t>
      </w:r>
      <w:r w:rsidR="00D91C40" w:rsidRPr="00B1077D">
        <w:rPr>
          <w:rFonts w:asciiTheme="majorHAnsi" w:hAnsiTheme="majorHAnsi"/>
          <w:sz w:val="20"/>
          <w:szCs w:val="20"/>
          <w:lang w:val="es-ES_tradnl"/>
        </w:rPr>
        <w:t xml:space="preserve"> si bien el Estado tiene la obligación de investigar, juzgar y sancionar a los responsables de graves violaciones de derechos humanos, este deber no puede realizar en desconocimiento de las garantías básicas del debido proceso. En tal sentido, el cumplimiento del Estado </w:t>
      </w:r>
      <w:r w:rsidR="00285895" w:rsidRPr="00B1077D">
        <w:rPr>
          <w:rFonts w:asciiTheme="majorHAnsi" w:hAnsiTheme="majorHAnsi"/>
          <w:sz w:val="20"/>
          <w:szCs w:val="20"/>
          <w:lang w:val="es-ES_tradnl"/>
        </w:rPr>
        <w:t>respecto de</w:t>
      </w:r>
      <w:r w:rsidR="00D91C40" w:rsidRPr="00B1077D">
        <w:rPr>
          <w:rFonts w:asciiTheme="majorHAnsi" w:hAnsiTheme="majorHAnsi"/>
          <w:sz w:val="20"/>
          <w:szCs w:val="20"/>
          <w:lang w:val="es-ES_tradnl"/>
        </w:rPr>
        <w:t xml:space="preserve"> su deber de investigar de forma oficiosa y diligente este tipo de acontecimientos, permite garantizar el derecho de acceso a la justicia de las personas afectadas, así como respetar el derecho a las garantías judiciales de las personas investigadas. A juicio de la Comisión, el cumplimiento de estos deberes no resulta incompatibles entre sí</w:t>
      </w:r>
      <w:r w:rsidR="00786C78" w:rsidRPr="00B1077D">
        <w:rPr>
          <w:rFonts w:asciiTheme="majorHAnsi" w:hAnsiTheme="majorHAnsi"/>
          <w:sz w:val="20"/>
          <w:szCs w:val="20"/>
          <w:lang w:val="es-ES_tradnl"/>
        </w:rPr>
        <w:t>.</w:t>
      </w:r>
      <w:r w:rsidR="00D91C40" w:rsidRPr="00B1077D">
        <w:rPr>
          <w:rFonts w:asciiTheme="majorHAnsi" w:hAnsiTheme="majorHAnsi"/>
          <w:sz w:val="20"/>
          <w:szCs w:val="20"/>
          <w:lang w:val="es-ES_tradnl"/>
        </w:rPr>
        <w:t xml:space="preserve">  </w:t>
      </w:r>
    </w:p>
    <w:p w14:paraId="62EA09D1" w14:textId="2E80A8E3" w:rsidR="004625C6" w:rsidRPr="004625C6" w:rsidRDefault="00CB2948" w:rsidP="004625C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Pr>
          <w:rFonts w:ascii="Cambria" w:hAnsi="Cambria"/>
          <w:sz w:val="20"/>
          <w:szCs w:val="20"/>
          <w:lang w:val="es-ES"/>
        </w:rPr>
        <w:t>Asimismo,</w:t>
      </w:r>
      <w:r w:rsidR="004625C6" w:rsidRPr="005E6967">
        <w:rPr>
          <w:rFonts w:ascii="Cambria" w:hAnsi="Cambria"/>
          <w:sz w:val="20"/>
          <w:szCs w:val="20"/>
          <w:lang w:val="es-ES"/>
        </w:rPr>
        <w:t xml:space="preserve"> la Comisión</w:t>
      </w:r>
      <w:r>
        <w:rPr>
          <w:rFonts w:ascii="Cambria" w:hAnsi="Cambria"/>
          <w:sz w:val="20"/>
          <w:szCs w:val="20"/>
          <w:lang w:val="es-ES"/>
        </w:rPr>
        <w:t xml:space="preserve"> estima pertinente reiterar que</w:t>
      </w:r>
      <w:r w:rsidR="00DF53E1">
        <w:rPr>
          <w:rFonts w:ascii="Cambria" w:hAnsi="Cambria"/>
          <w:sz w:val="20"/>
          <w:szCs w:val="20"/>
          <w:lang w:val="es-ES"/>
        </w:rPr>
        <w:t>,</w:t>
      </w:r>
      <w:r w:rsidR="004625C6" w:rsidRPr="005E6967">
        <w:rPr>
          <w:rFonts w:ascii="Cambria" w:hAnsi="Cambria"/>
          <w:sz w:val="20"/>
          <w:szCs w:val="20"/>
          <w:lang w:val="es-ES"/>
        </w:rPr>
        <w:t xml:space="preserve"> no constituye una cuarta instancia que pueda realizar una valoración de la prueba referente a la posible culpabilidad o no de la presunta víctima en el presente caso</w:t>
      </w:r>
      <w:r w:rsidR="004625C6">
        <w:rPr>
          <w:rStyle w:val="FootnoteReference"/>
          <w:rFonts w:ascii="Cambria" w:hAnsi="Cambria"/>
          <w:sz w:val="20"/>
          <w:szCs w:val="20"/>
          <w:lang w:val="es-ES"/>
        </w:rPr>
        <w:footnoteReference w:id="11"/>
      </w:r>
      <w:r w:rsidR="004625C6" w:rsidRPr="005E6967">
        <w:rPr>
          <w:rFonts w:ascii="Cambria" w:hAnsi="Cambria"/>
          <w:sz w:val="20"/>
          <w:szCs w:val="20"/>
          <w:lang w:val="es-ES"/>
        </w:rPr>
        <w:t xml:space="preserve">. El propósito no es determinar la inocencia o culpabilidad </w:t>
      </w:r>
      <w:r>
        <w:rPr>
          <w:rFonts w:ascii="Cambria" w:hAnsi="Cambria"/>
          <w:sz w:val="20"/>
          <w:szCs w:val="20"/>
          <w:lang w:val="es-ES"/>
        </w:rPr>
        <w:t>de las presuntas víctimas</w:t>
      </w:r>
      <w:r w:rsidR="004625C6" w:rsidRPr="005E6967">
        <w:rPr>
          <w:rFonts w:ascii="Cambria" w:hAnsi="Cambria"/>
          <w:sz w:val="20"/>
          <w:szCs w:val="20"/>
          <w:lang w:val="es-ES"/>
        </w:rPr>
        <w:t xml:space="preserve">, sino definir si las autoridades judiciales han afectado o no obligaciones estipuladas en la Convención, en particular </w:t>
      </w:r>
      <w:r>
        <w:rPr>
          <w:rFonts w:ascii="Cambria" w:hAnsi="Cambria"/>
          <w:sz w:val="20"/>
          <w:szCs w:val="20"/>
          <w:lang w:val="es-ES"/>
        </w:rPr>
        <w:t>los derechos a las garantías judiciales</w:t>
      </w:r>
      <w:r w:rsidR="004625C6">
        <w:rPr>
          <w:rFonts w:ascii="Cambria" w:hAnsi="Cambria"/>
          <w:sz w:val="20"/>
          <w:szCs w:val="20"/>
          <w:lang w:val="es-ES"/>
        </w:rPr>
        <w:t xml:space="preserve"> y a la protección judicial.</w:t>
      </w:r>
    </w:p>
    <w:p w14:paraId="3D8AF865" w14:textId="76A9CE25" w:rsidR="004625C6" w:rsidRPr="004625C6" w:rsidRDefault="00E962CD" w:rsidP="004625C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B1077D">
        <w:rPr>
          <w:rFonts w:asciiTheme="majorHAnsi" w:hAnsiTheme="majorHAnsi"/>
          <w:bCs/>
          <w:sz w:val="20"/>
          <w:szCs w:val="20"/>
          <w:lang w:val="es-ES_tradnl"/>
        </w:rPr>
        <w:t>Así, en atención a estas consideraciones, y tras examinar los elementos de hecho y de derecho expuestos por las partes, la Comisión estima que las alegaciones de la parte peticionaria no resultan manifiestamente infundadas y requieren efectivamente de un estudio de fondo, pues los hechos alegados, de corroborarse como ciertos podrían caracterizar violaciones a los artículos 8 (garantías judiciales) y 25 (protección judicial) de la Convención Americana, en perjuicio de las presuntas víctimas</w:t>
      </w:r>
      <w:r w:rsidR="00BE1670">
        <w:rPr>
          <w:rFonts w:asciiTheme="majorHAnsi" w:hAnsiTheme="majorHAnsi"/>
          <w:bCs/>
          <w:sz w:val="20"/>
          <w:szCs w:val="20"/>
          <w:lang w:val="es-ES_tradnl"/>
        </w:rPr>
        <w:t>.</w:t>
      </w:r>
    </w:p>
    <w:p w14:paraId="0EF8317F" w14:textId="628F90C7" w:rsidR="00D91C40" w:rsidRPr="00B1077D" w:rsidRDefault="00221D4B" w:rsidP="00D91C40">
      <w:pPr>
        <w:pStyle w:val="ListParagraph"/>
        <w:numPr>
          <w:ilvl w:val="0"/>
          <w:numId w:val="59"/>
        </w:numPr>
        <w:suppressAutoHyphens/>
        <w:spacing w:after="240"/>
        <w:jc w:val="both"/>
        <w:rPr>
          <w:rFonts w:asciiTheme="majorHAnsi" w:hAnsiTheme="majorHAnsi"/>
          <w:sz w:val="20"/>
          <w:szCs w:val="20"/>
          <w:lang w:val="es-ES_tradnl"/>
        </w:rPr>
      </w:pPr>
      <w:r w:rsidRPr="00B1077D">
        <w:rPr>
          <w:sz w:val="20"/>
          <w:szCs w:val="20"/>
          <w:lang w:val="es-ES_tradnl"/>
        </w:rPr>
        <w:t xml:space="preserve">Finalmente, la Comisión toma nota del reclamo del Estado sobre la supuesta extemporaneidad en el traslado de la petición. La CIDH señala al respecto que ni la Convención Americana ni el Reglamento de la Comisión establecen un plazo para el traslado de una petición al Estado a partir de su recepción y que los plazos </w:t>
      </w:r>
      <w:r w:rsidRPr="00B1077D">
        <w:rPr>
          <w:sz w:val="20"/>
          <w:szCs w:val="20"/>
          <w:lang w:val="es-ES_tradnl"/>
        </w:rPr>
        <w:lastRenderedPageBreak/>
        <w:t>establecidos en el Reglamento y en la Convención para otras etapas del trámite no son aplicables por analogía</w:t>
      </w:r>
      <w:r w:rsidRPr="00B1077D">
        <w:rPr>
          <w:sz w:val="20"/>
          <w:szCs w:val="20"/>
          <w:vertAlign w:val="superscript"/>
          <w:lang w:val="es-ES_tradnl"/>
        </w:rPr>
        <w:footnoteReference w:id="12"/>
      </w:r>
      <w:r w:rsidRPr="00B1077D">
        <w:rPr>
          <w:sz w:val="20"/>
          <w:szCs w:val="20"/>
          <w:lang w:val="es-ES_tradnl"/>
        </w:rPr>
        <w:t>. Asimismo, la CIDH en su Informe de Admisibilidad No. 79/08</w:t>
      </w:r>
      <w:r w:rsidRPr="00B1077D">
        <w:rPr>
          <w:rStyle w:val="FootnoteReference"/>
          <w:sz w:val="20"/>
          <w:szCs w:val="20"/>
          <w:lang w:val="es-ES_tradnl"/>
        </w:rPr>
        <w:footnoteReference w:id="13"/>
      </w:r>
      <w:r w:rsidRPr="00B1077D">
        <w:rPr>
          <w:sz w:val="20"/>
          <w:szCs w:val="20"/>
          <w:lang w:val="es-ES_tradnl"/>
        </w:rPr>
        <w:t>, aclaró que:</w:t>
      </w:r>
    </w:p>
    <w:p w14:paraId="38B2129C" w14:textId="15665129" w:rsidR="00D91C40" w:rsidRPr="00B1077D" w:rsidRDefault="00D91C40" w:rsidP="00D91C40">
      <w:pPr>
        <w:pStyle w:val="ListParagraph"/>
        <w:suppressAutoHyphens/>
        <w:spacing w:after="240"/>
        <w:ind w:right="720"/>
        <w:jc w:val="both"/>
        <w:rPr>
          <w:rFonts w:asciiTheme="majorHAnsi" w:hAnsiTheme="majorHAnsi"/>
          <w:sz w:val="20"/>
          <w:szCs w:val="20"/>
          <w:lang w:val="es-ES_tradnl"/>
        </w:rPr>
      </w:pPr>
      <w:r w:rsidRPr="00B1077D">
        <w:rPr>
          <w:rFonts w:asciiTheme="majorHAnsi" w:hAnsiTheme="majorHAnsi"/>
          <w:sz w:val="20"/>
          <w:szCs w:val="20"/>
          <w:lang w:val="es-ES_tradnl"/>
        </w:rPr>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B1077D">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B1077D">
        <w:rPr>
          <w:rFonts w:asciiTheme="majorHAnsi" w:hAnsiTheme="majorHAnsi"/>
          <w:sz w:val="20"/>
          <w:szCs w:val="20"/>
          <w:lang w:val="es-ES_tradnl"/>
        </w:rPr>
        <w:t>”</w:t>
      </w:r>
      <w:r w:rsidRPr="00B1077D">
        <w:rPr>
          <w:rStyle w:val="FootnoteReference"/>
          <w:rFonts w:asciiTheme="majorHAnsi" w:hAnsiTheme="majorHAnsi"/>
          <w:sz w:val="20"/>
          <w:szCs w:val="20"/>
          <w:lang w:val="es-ES_tradnl"/>
        </w:rPr>
        <w:footnoteReference w:id="14"/>
      </w:r>
      <w:r w:rsidRPr="00B1077D">
        <w:rPr>
          <w:rFonts w:asciiTheme="majorHAnsi" w:hAnsiTheme="majorHAnsi"/>
          <w:sz w:val="20"/>
          <w:szCs w:val="20"/>
          <w:lang w:val="es-ES_tradnl"/>
        </w:rPr>
        <w:t xml:space="preserve"> </w:t>
      </w:r>
    </w:p>
    <w:p w14:paraId="15072DB1" w14:textId="3B643954" w:rsidR="00221D4B" w:rsidRPr="00B1077D" w:rsidRDefault="00221D4B" w:rsidP="00D91C40">
      <w:pPr>
        <w:pStyle w:val="ListParagraph"/>
        <w:numPr>
          <w:ilvl w:val="0"/>
          <w:numId w:val="59"/>
        </w:numPr>
        <w:suppressAutoHyphens/>
        <w:spacing w:after="240"/>
        <w:jc w:val="both"/>
        <w:rPr>
          <w:rFonts w:asciiTheme="majorHAnsi" w:hAnsiTheme="majorHAnsi"/>
          <w:sz w:val="20"/>
          <w:szCs w:val="20"/>
          <w:lang w:val="es-ES_tradnl"/>
        </w:rPr>
      </w:pPr>
      <w:r w:rsidRPr="00B1077D">
        <w:rPr>
          <w:rFonts w:asciiTheme="majorHAnsi" w:hAnsiTheme="majorHAnsi"/>
          <w:sz w:val="20"/>
          <w:szCs w:val="20"/>
          <w:lang w:val="es-ES_tradnl"/>
        </w:rPr>
        <w:t>Asimismo, en refuerzo de lo anterior, la Corte Interamericana de Derechos Humanos ha establecido precisamente respecto a este punto que:</w:t>
      </w:r>
    </w:p>
    <w:p w14:paraId="4F709181" w14:textId="2010DA9D" w:rsidR="00221D4B" w:rsidRPr="00B1077D" w:rsidRDefault="00221D4B" w:rsidP="00BE09FB">
      <w:pPr>
        <w:pStyle w:val="ListParagraph"/>
        <w:suppressAutoHyphens/>
        <w:spacing w:after="240"/>
        <w:ind w:right="720"/>
        <w:jc w:val="both"/>
        <w:rPr>
          <w:rFonts w:asciiTheme="majorHAnsi" w:hAnsiTheme="majorHAnsi"/>
          <w:sz w:val="20"/>
          <w:szCs w:val="20"/>
          <w:lang w:val="es-ES_tradnl"/>
        </w:rPr>
      </w:pPr>
      <w:r w:rsidRPr="00B1077D">
        <w:rPr>
          <w:rFonts w:asciiTheme="majorHAnsi" w:hAnsiTheme="majorHAnsi"/>
          <w:sz w:val="20"/>
          <w:szCs w:val="20"/>
          <w:lang w:val="es-ES_tradnl"/>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B1077D">
        <w:rPr>
          <w:rStyle w:val="FootnoteReference"/>
          <w:rFonts w:asciiTheme="majorHAnsi" w:hAnsiTheme="majorHAnsi"/>
          <w:sz w:val="20"/>
          <w:szCs w:val="20"/>
          <w:lang w:val="es-ES_tradnl"/>
        </w:rPr>
        <w:footnoteReference w:id="15"/>
      </w:r>
    </w:p>
    <w:p w14:paraId="2F85AAD9" w14:textId="7D2F710C" w:rsidR="00221D4B" w:rsidRPr="00B1077D" w:rsidRDefault="00221D4B" w:rsidP="00221D4B">
      <w:pPr>
        <w:pStyle w:val="ListParagraph"/>
        <w:numPr>
          <w:ilvl w:val="0"/>
          <w:numId w:val="59"/>
        </w:numPr>
        <w:suppressAutoHyphens/>
        <w:spacing w:after="240"/>
        <w:jc w:val="both"/>
        <w:rPr>
          <w:rFonts w:asciiTheme="majorHAnsi" w:hAnsiTheme="majorHAnsi"/>
          <w:sz w:val="20"/>
          <w:szCs w:val="20"/>
          <w:lang w:val="es-ES_tradnl"/>
        </w:rPr>
      </w:pPr>
      <w:r w:rsidRPr="00B1077D">
        <w:rPr>
          <w:rFonts w:asciiTheme="majorHAnsi" w:hAnsiTheme="majorHAnsi"/>
          <w:sz w:val="20"/>
          <w:szCs w:val="20"/>
          <w:lang w:val="es-ES_tradnl"/>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445BF42E" w14:textId="15FD8750" w:rsidR="003239B8" w:rsidRPr="00B1077D" w:rsidRDefault="003239B8" w:rsidP="00616D5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B1077D">
        <w:rPr>
          <w:rFonts w:asciiTheme="majorHAnsi" w:hAnsiTheme="majorHAnsi"/>
          <w:b/>
          <w:bCs/>
          <w:sz w:val="20"/>
          <w:szCs w:val="20"/>
          <w:lang w:val="es-ES_tradnl"/>
        </w:rPr>
        <w:t xml:space="preserve">VIII. </w:t>
      </w:r>
      <w:r w:rsidRPr="00B1077D">
        <w:rPr>
          <w:rFonts w:asciiTheme="majorHAnsi" w:hAnsiTheme="majorHAnsi"/>
          <w:b/>
          <w:bCs/>
          <w:sz w:val="20"/>
          <w:szCs w:val="20"/>
          <w:lang w:val="es-ES_tradnl"/>
        </w:rPr>
        <w:tab/>
        <w:t>DECISIÓN</w:t>
      </w:r>
    </w:p>
    <w:p w14:paraId="547DFF8E" w14:textId="4C77EEBC" w:rsidR="000419AD" w:rsidRPr="00B1077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1077D">
        <w:rPr>
          <w:rFonts w:asciiTheme="majorHAnsi" w:hAnsiTheme="majorHAnsi"/>
          <w:sz w:val="20"/>
          <w:szCs w:val="20"/>
          <w:lang w:val="es-ES_tradnl"/>
        </w:rPr>
        <w:t>Declarar admisible la presente petición en relación con</w:t>
      </w:r>
      <w:r w:rsidR="001D7F96" w:rsidRPr="00B1077D">
        <w:rPr>
          <w:rFonts w:asciiTheme="majorHAnsi" w:hAnsiTheme="majorHAnsi"/>
          <w:sz w:val="20"/>
          <w:szCs w:val="20"/>
          <w:lang w:val="es-ES_tradnl"/>
        </w:rPr>
        <w:t xml:space="preserve"> </w:t>
      </w:r>
      <w:r w:rsidR="00D2272E" w:rsidRPr="00B1077D">
        <w:rPr>
          <w:rFonts w:asciiTheme="majorHAnsi" w:hAnsiTheme="majorHAnsi"/>
          <w:sz w:val="20"/>
          <w:szCs w:val="20"/>
          <w:lang w:val="es-ES_tradnl"/>
        </w:rPr>
        <w:t>los artículos 8 y 25 de la Convención Americana</w:t>
      </w:r>
      <w:r w:rsidR="00A758AA" w:rsidRPr="00B1077D">
        <w:rPr>
          <w:rFonts w:asciiTheme="majorHAnsi" w:hAnsiTheme="majorHAnsi"/>
          <w:sz w:val="20"/>
          <w:szCs w:val="20"/>
          <w:lang w:val="es-ES_tradnl"/>
        </w:rPr>
        <w:t>;</w:t>
      </w:r>
      <w:r w:rsidR="007B76D3" w:rsidRPr="00B1077D">
        <w:rPr>
          <w:rFonts w:asciiTheme="majorHAnsi" w:hAnsiTheme="majorHAnsi"/>
          <w:sz w:val="20"/>
          <w:szCs w:val="20"/>
          <w:lang w:val="es-ES_tradnl"/>
        </w:rPr>
        <w:t xml:space="preserve"> y</w:t>
      </w:r>
    </w:p>
    <w:p w14:paraId="02C904B2" w14:textId="54D4C569" w:rsidR="009A56CE" w:rsidRDefault="004A6A54" w:rsidP="00D227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1077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9116079" w14:textId="673E1DF3" w:rsidR="00DF53E1" w:rsidRPr="00DF53E1" w:rsidRDefault="00256AF8" w:rsidP="00DF53E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febrero de 2023. </w:t>
      </w:r>
      <w:r w:rsidR="00DF53E1">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Arosemena de Troitiño y Joel Hernández, </w:t>
      </w:r>
      <w:r w:rsidR="00DF53E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p w14:paraId="76A5F54D" w14:textId="75B7A476" w:rsidR="00256AF8" w:rsidRPr="00B1077D" w:rsidRDefault="00256AF8" w:rsidP="00256AF8">
      <w:pPr>
        <w:pStyle w:val="paragraph"/>
        <w:spacing w:before="0" w:beforeAutospacing="0" w:after="0" w:afterAutospacing="0"/>
        <w:jc w:val="center"/>
        <w:textAlignment w:val="baseline"/>
        <w:rPr>
          <w:rFonts w:asciiTheme="majorHAnsi" w:hAnsiTheme="majorHAnsi"/>
          <w:sz w:val="20"/>
          <w:szCs w:val="20"/>
          <w:lang w:val="es-ES_tradnl"/>
        </w:rPr>
      </w:pPr>
    </w:p>
    <w:sectPr w:rsidR="00256AF8" w:rsidRPr="00B1077D" w:rsidSect="00471744">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D6EF" w14:textId="77777777" w:rsidR="00471744" w:rsidRDefault="00471744">
      <w:r>
        <w:separator/>
      </w:r>
    </w:p>
  </w:endnote>
  <w:endnote w:type="continuationSeparator" w:id="0">
    <w:p w14:paraId="1D1490BC" w14:textId="77777777" w:rsidR="00471744" w:rsidRDefault="00471744">
      <w:r>
        <w:continuationSeparator/>
      </w:r>
    </w:p>
  </w:endnote>
  <w:endnote w:type="continuationNotice" w:id="1">
    <w:p w14:paraId="7D0896CE" w14:textId="77777777" w:rsidR="00471744" w:rsidRDefault="0047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E893" w14:textId="77777777" w:rsidR="00471744" w:rsidRPr="000F35ED" w:rsidRDefault="0047174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A2BD8AD" w14:textId="77777777" w:rsidR="00471744" w:rsidRPr="000F35ED" w:rsidRDefault="00471744" w:rsidP="000F35ED">
      <w:pPr>
        <w:rPr>
          <w:rFonts w:asciiTheme="majorHAnsi" w:hAnsiTheme="majorHAnsi"/>
          <w:sz w:val="16"/>
          <w:szCs w:val="16"/>
        </w:rPr>
      </w:pPr>
      <w:r w:rsidRPr="000F35ED">
        <w:rPr>
          <w:rFonts w:asciiTheme="majorHAnsi" w:hAnsiTheme="majorHAnsi"/>
          <w:sz w:val="16"/>
          <w:szCs w:val="16"/>
        </w:rPr>
        <w:separator/>
      </w:r>
    </w:p>
    <w:p w14:paraId="6F244175" w14:textId="77777777" w:rsidR="00471744" w:rsidRPr="000F35ED" w:rsidRDefault="0047174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0F0318" w14:textId="77777777" w:rsidR="00471744" w:rsidRPr="000F35ED" w:rsidRDefault="0047174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193A30" w14:textId="78203778" w:rsidR="00E45C15" w:rsidRPr="00294F4D" w:rsidRDefault="00E45C15" w:rsidP="00294F4D">
      <w:pPr>
        <w:pStyle w:val="FootnoteText"/>
        <w:ind w:firstLine="720"/>
        <w:jc w:val="both"/>
        <w:rPr>
          <w:rFonts w:asciiTheme="majorHAnsi" w:hAnsiTheme="majorHAnsi"/>
          <w:sz w:val="16"/>
          <w:szCs w:val="16"/>
          <w:lang w:val="es-US"/>
        </w:rPr>
      </w:pPr>
      <w:r w:rsidRPr="00294F4D">
        <w:rPr>
          <w:rStyle w:val="FootnoteReference"/>
          <w:rFonts w:asciiTheme="majorHAnsi" w:hAnsiTheme="majorHAnsi"/>
          <w:sz w:val="16"/>
          <w:szCs w:val="16"/>
        </w:rPr>
        <w:footnoteRef/>
      </w:r>
      <w:r w:rsidRPr="00294F4D">
        <w:rPr>
          <w:rFonts w:asciiTheme="majorHAnsi" w:hAnsiTheme="majorHAnsi"/>
          <w:sz w:val="16"/>
          <w:szCs w:val="16"/>
          <w:lang w:val="es-US"/>
        </w:rPr>
        <w:t xml:space="preserve"> Marcelo Daniel Valenga, Osvaldo Americo Lorenzon, Marciano Gonzalez, Hugo Patricio Reyes, Pablo Francisco Dudek, Eduardo Ismael Gomez y Roberto Oscar Mantel.  </w:t>
      </w:r>
    </w:p>
  </w:footnote>
  <w:footnote w:id="3">
    <w:p w14:paraId="6C4AFCFD" w14:textId="77777777" w:rsidR="006D4DFE" w:rsidRPr="00294F4D" w:rsidRDefault="006D4DFE" w:rsidP="00294F4D">
      <w:pPr>
        <w:pStyle w:val="FootnoteText"/>
        <w:ind w:firstLine="720"/>
        <w:jc w:val="both"/>
        <w:rPr>
          <w:rFonts w:asciiTheme="majorHAnsi" w:hAnsiTheme="majorHAnsi"/>
          <w:sz w:val="16"/>
          <w:szCs w:val="16"/>
          <w:lang w:val="es-ES"/>
        </w:rPr>
      </w:pPr>
      <w:r w:rsidRPr="00294F4D">
        <w:rPr>
          <w:rStyle w:val="FootnoteReference"/>
          <w:rFonts w:asciiTheme="majorHAnsi" w:hAnsiTheme="majorHAnsi"/>
          <w:sz w:val="16"/>
          <w:szCs w:val="16"/>
        </w:rPr>
        <w:footnoteRef/>
      </w:r>
      <w:r w:rsidRPr="00294F4D">
        <w:rPr>
          <w:rFonts w:asciiTheme="majorHAnsi" w:hAnsiTheme="majorHAnsi"/>
          <w:sz w:val="16"/>
          <w:szCs w:val="16"/>
          <w:lang w:val="es-ES"/>
        </w:rPr>
        <w:t xml:space="preserve"> En adelante, “La Convención Americana” o “la Convención” </w:t>
      </w:r>
    </w:p>
  </w:footnote>
  <w:footnote w:id="4">
    <w:p w14:paraId="1AFEF3B0" w14:textId="45397CC5" w:rsidR="008E3BFE" w:rsidRPr="00294F4D" w:rsidRDefault="008E3BFE" w:rsidP="00294F4D">
      <w:pPr>
        <w:pStyle w:val="FootnoteText"/>
        <w:ind w:firstLine="720"/>
        <w:jc w:val="both"/>
        <w:rPr>
          <w:rFonts w:asciiTheme="majorHAnsi" w:hAnsiTheme="majorHAnsi"/>
          <w:sz w:val="16"/>
          <w:szCs w:val="16"/>
          <w:lang w:val="es-ES"/>
        </w:rPr>
      </w:pPr>
      <w:r w:rsidRPr="00294F4D">
        <w:rPr>
          <w:rStyle w:val="FootnoteReference"/>
          <w:rFonts w:asciiTheme="majorHAnsi" w:hAnsiTheme="majorHAnsi"/>
          <w:sz w:val="16"/>
          <w:szCs w:val="16"/>
        </w:rPr>
        <w:footnoteRef/>
      </w:r>
      <w:r w:rsidRPr="00294F4D">
        <w:rPr>
          <w:rFonts w:asciiTheme="majorHAnsi" w:hAnsiTheme="majorHAnsi"/>
          <w:sz w:val="16"/>
          <w:szCs w:val="16"/>
          <w:lang w:val="es-ES"/>
        </w:rPr>
        <w:t xml:space="preserve"> Las observaciones de cada parte fueron debidamente trasladadas a la parte contraria.</w:t>
      </w:r>
      <w:r w:rsidR="009A56CE" w:rsidRPr="00294F4D">
        <w:rPr>
          <w:rFonts w:asciiTheme="majorHAnsi" w:hAnsiTheme="majorHAnsi"/>
          <w:sz w:val="16"/>
          <w:szCs w:val="16"/>
          <w:lang w:val="es-ES"/>
        </w:rPr>
        <w:t xml:space="preserve"> </w:t>
      </w:r>
    </w:p>
  </w:footnote>
  <w:footnote w:id="5">
    <w:p w14:paraId="0843A7D6" w14:textId="1E41A070" w:rsidR="009C0A9B" w:rsidRPr="00294F4D" w:rsidRDefault="009C0A9B" w:rsidP="00294F4D">
      <w:pPr>
        <w:pStyle w:val="FootnoteText"/>
        <w:ind w:firstLine="720"/>
        <w:jc w:val="both"/>
        <w:rPr>
          <w:rFonts w:asciiTheme="majorHAnsi" w:hAnsiTheme="majorHAnsi"/>
          <w:sz w:val="16"/>
          <w:szCs w:val="16"/>
          <w:lang w:val="es-US"/>
        </w:rPr>
      </w:pPr>
      <w:r w:rsidRPr="00294F4D">
        <w:rPr>
          <w:rStyle w:val="FootnoteReference"/>
          <w:rFonts w:asciiTheme="majorHAnsi" w:hAnsiTheme="majorHAnsi"/>
          <w:sz w:val="16"/>
          <w:szCs w:val="16"/>
        </w:rPr>
        <w:footnoteRef/>
      </w:r>
      <w:r w:rsidRPr="00294F4D">
        <w:rPr>
          <w:rFonts w:asciiTheme="majorHAnsi" w:hAnsiTheme="majorHAnsi"/>
          <w:sz w:val="16"/>
          <w:szCs w:val="16"/>
          <w:lang w:val="es-US"/>
        </w:rPr>
        <w:t xml:space="preserve"> </w:t>
      </w:r>
      <w:r w:rsidRPr="00294F4D">
        <w:rPr>
          <w:rFonts w:asciiTheme="majorHAnsi" w:hAnsiTheme="majorHAnsi"/>
          <w:bCs/>
          <w:sz w:val="16"/>
          <w:szCs w:val="16"/>
          <w:lang w:val="es-US"/>
        </w:rPr>
        <w:t>Código de Procedimiento Penal de la provincia de Buenos Aires.</w:t>
      </w:r>
      <w:r w:rsidRPr="00294F4D">
        <w:rPr>
          <w:rFonts w:asciiTheme="majorHAnsi" w:hAnsiTheme="majorHAnsi"/>
          <w:sz w:val="16"/>
          <w:szCs w:val="16"/>
          <w:lang w:val="es-US"/>
        </w:rPr>
        <w:t xml:space="preserve"> </w:t>
      </w:r>
      <w:r w:rsidR="00686EA0" w:rsidRPr="00294F4D">
        <w:rPr>
          <w:rFonts w:asciiTheme="majorHAnsi" w:hAnsiTheme="majorHAnsi"/>
          <w:sz w:val="16"/>
          <w:szCs w:val="16"/>
          <w:lang w:val="es-US"/>
        </w:rPr>
        <w:t>Artículo</w:t>
      </w:r>
      <w:r w:rsidRPr="00294F4D">
        <w:rPr>
          <w:rFonts w:asciiTheme="majorHAnsi" w:hAnsiTheme="majorHAnsi"/>
          <w:sz w:val="16"/>
          <w:szCs w:val="16"/>
          <w:lang w:val="es-US"/>
        </w:rPr>
        <w:t xml:space="preserve"> 338.- Integración del Tribunal. Citación a juicio: Recibida la causa e integrado el Tribunal conforme las disposiciones legales comienza la etapa del juicio. Se notificará inmediatamente la constitución del Tribunal a todas las partes, las que en el mismo acto serán citadas a juicio por el plazo individual de diez (10) días, a fin de que interpongan las recusaciones que estimen pertinentes y ofrezcan las pruebas que pretendan utilizar en el debate, con excepción de las partes civiles. En la misma oportunidad, las partes deberán manifestar expresamente si consideran necesario realizar una audiencia preliminar. Consentida o establecida con carácter firme la integración del Tribunal, si alguna de las partes lo hubiese solicitado, se fijará la audiencia en el plazo más breve posible, la que será realizada ante el Tribunal en pleno. En el curso de esta audiencia se tratará lo referido a: 1. Las pruebas que las partes utilizarán en el debate y el tiempo probable que durará el mismo. 2. La validez constitucional de los actos de la investigación penal preparatoria que deban ser utilizados en el debate y las nulidades que pudieren existir, siempre que tales cuestiones no hubieren sido planteadas y resueltas en dicha etapa investigativa. 3. Las excepciones que no se hubiesen planteado con anterioridad o fueren sobrevinientes. 4. La unión o separación de juicios. 5. Las diligencias a realizar en caso de que sea necesaria una instrucción suplementaria, estableciendo su objeto y tiempo de duración. Si se estableciere en cualquier etapa del proceso que el fiscal ha ocultado prueba favorable a la defensa, ello traerá aparejado la nulidad de lo actuado. El ocultamiento de prueba a la defensa constituye falta grave para el Ministerio Público. El Tribunal podrá sugerir la prescindencia de aquella prueba que aparezca como manifiestamente impertinente, superabundante o superflua, a cuyo fin podrá convocar a las partes a la audiencia aún sin petición expresa de éstas, si lo considerare necesario. El Tribunal dictará resolución sobre las cuestiones pertinentes, dentro del término de cinco (5) días de ofrecida la prueba o de recibida la audiencia, según sea el caso. Salvo las resoluciones que impidan la prosecución de la causa, las cuales podrán ser apeladas ante la Cámara de Garantías, no habrá recurso alguno contra lo dispuesto en esta etapa y la parte agraviada podrá formular protesta, la que equivaldrá a la reserva de los recursos de casación y extraordinarios que pudieren deducirse contra la sentencia definitiva. Si la protesta no fuere efectuada dentro de los tres (3) días de la notificación, la parte afectada perderá el derecho al recurso. </w:t>
      </w:r>
    </w:p>
  </w:footnote>
  <w:footnote w:id="6">
    <w:p w14:paraId="0B02F7E8" w14:textId="77777777" w:rsidR="0000729F" w:rsidRPr="00294F4D" w:rsidRDefault="0000729F" w:rsidP="00294F4D">
      <w:pPr>
        <w:pStyle w:val="FootnoteText"/>
        <w:ind w:firstLine="720"/>
        <w:jc w:val="both"/>
        <w:rPr>
          <w:rFonts w:asciiTheme="majorHAnsi" w:hAnsiTheme="majorHAnsi"/>
          <w:sz w:val="16"/>
          <w:szCs w:val="16"/>
          <w:lang w:val="es-ES"/>
        </w:rPr>
      </w:pPr>
      <w:r w:rsidRPr="00294F4D">
        <w:rPr>
          <w:rStyle w:val="FootnoteReference"/>
          <w:rFonts w:asciiTheme="majorHAnsi" w:hAnsiTheme="majorHAnsi"/>
          <w:sz w:val="16"/>
          <w:szCs w:val="16"/>
        </w:rPr>
        <w:footnoteRef/>
      </w:r>
      <w:r w:rsidRPr="00294F4D">
        <w:rPr>
          <w:rFonts w:asciiTheme="majorHAnsi" w:hAnsiTheme="majorHAnsi"/>
          <w:sz w:val="16"/>
          <w:szCs w:val="16"/>
          <w:lang w:val="es-ES"/>
        </w:rPr>
        <w:t xml:space="preserve"> Corte IDH. Caso Baena Ricardo y otros Vs. Panamá. Excepciones Preliminares. Sentencia de 18 de noviembre de 1999. Serie C No. 61, párr. 53. También CFR. Corte IDH. Caso Mendoza y otros Vs. Argentina. Excepciones Preliminares, Fondo y Reparaciones. Sentencia de 14 de mayo de 2013. Serie C No. 260, párr. 31; y Caso del Pueblo Saramaka Vs. Surinam. Excepciones Preliminares, Fondo, Reparaciones y Costas. Sentencia de 28 de noviembre de 2007. Serie C No. 172, párr. 48.</w:t>
      </w:r>
      <w:r w:rsidRPr="00294F4D">
        <w:rPr>
          <w:rFonts w:asciiTheme="majorHAnsi" w:hAnsiTheme="majorHAnsi"/>
          <w:sz w:val="16"/>
          <w:szCs w:val="16"/>
          <w:lang w:val="es-ES"/>
        </w:rPr>
        <w:tab/>
      </w:r>
    </w:p>
  </w:footnote>
  <w:footnote w:id="7">
    <w:p w14:paraId="51287BAA" w14:textId="77777777" w:rsidR="003C2C83" w:rsidRPr="00294F4D" w:rsidRDefault="003C2C83" w:rsidP="00294F4D">
      <w:pPr>
        <w:pStyle w:val="FootnoteText"/>
        <w:ind w:firstLine="720"/>
        <w:jc w:val="both"/>
        <w:rPr>
          <w:rFonts w:asciiTheme="majorHAnsi" w:hAnsiTheme="majorHAnsi"/>
          <w:sz w:val="16"/>
          <w:szCs w:val="16"/>
          <w:lang w:val="es-MX"/>
        </w:rPr>
      </w:pPr>
      <w:r w:rsidRPr="00294F4D">
        <w:rPr>
          <w:rStyle w:val="FootnoteReference"/>
          <w:rFonts w:asciiTheme="majorHAnsi" w:hAnsiTheme="majorHAnsi"/>
          <w:sz w:val="16"/>
          <w:szCs w:val="16"/>
        </w:rPr>
        <w:footnoteRef/>
      </w:r>
      <w:r w:rsidRPr="00294F4D">
        <w:rPr>
          <w:rFonts w:asciiTheme="majorHAnsi" w:hAnsiTheme="majorHAnsi"/>
          <w:sz w:val="16"/>
          <w:szCs w:val="16"/>
          <w:lang w:val="es-MX"/>
        </w:rPr>
        <w:t xml:space="preserve"> </w:t>
      </w:r>
      <w:r w:rsidRPr="00294F4D">
        <w:rPr>
          <w:rFonts w:asciiTheme="majorHAnsi" w:hAnsiTheme="majorHAnsi"/>
          <w:sz w:val="16"/>
          <w:szCs w:val="16"/>
          <w:lang w:val="es-ES"/>
        </w:rPr>
        <w:t>CIDH, Informe N° 14/08, Petición 652-04. Admisibilidad. Hugo Humberto Ruíz Fuentes. Guatemala. 5 de marzo de 2008, párr. 68.</w:t>
      </w:r>
    </w:p>
  </w:footnote>
  <w:footnote w:id="8">
    <w:p w14:paraId="5BA9C2FF" w14:textId="77777777" w:rsidR="00776735" w:rsidRPr="00F33F73" w:rsidRDefault="00776735" w:rsidP="00776735">
      <w:pPr>
        <w:pStyle w:val="FootnoteText"/>
        <w:ind w:firstLine="706"/>
        <w:jc w:val="both"/>
        <w:rPr>
          <w:rFonts w:ascii="Cambria" w:hAnsi="Cambria"/>
          <w:sz w:val="16"/>
          <w:szCs w:val="16"/>
          <w:lang w:val="es-ES"/>
        </w:rPr>
      </w:pPr>
      <w:r w:rsidRPr="00F33F73">
        <w:rPr>
          <w:rStyle w:val="FootnoteReference"/>
          <w:rFonts w:ascii="Cambria" w:hAnsi="Cambria"/>
          <w:sz w:val="16"/>
          <w:szCs w:val="16"/>
        </w:rPr>
        <w:footnoteRef/>
      </w:r>
      <w:r w:rsidRPr="00F33F73">
        <w:rPr>
          <w:rFonts w:ascii="Cambria" w:hAnsi="Cambria"/>
          <w:sz w:val="16"/>
          <w:szCs w:val="16"/>
          <w:lang w:val="es-MX"/>
        </w:rPr>
        <w:t xml:space="preserve"> CIDH, Informe No. 50/08, Petición 298-07. Admisibilidad. Néstor José Uzcátegui y otros. </w:t>
      </w:r>
      <w:r w:rsidRPr="00F33F73">
        <w:rPr>
          <w:rFonts w:ascii="Cambria" w:hAnsi="Cambria"/>
          <w:sz w:val="16"/>
          <w:szCs w:val="16"/>
          <w:lang w:val="es-ES"/>
        </w:rPr>
        <w:t>Venezuela. 24 de julio de 2008, párr. 42.</w:t>
      </w:r>
    </w:p>
  </w:footnote>
  <w:footnote w:id="9">
    <w:p w14:paraId="191CFA0F" w14:textId="77777777" w:rsidR="003C2C83" w:rsidRPr="00294F4D" w:rsidRDefault="003C2C83" w:rsidP="00294F4D">
      <w:pPr>
        <w:pStyle w:val="FootnoteText"/>
        <w:ind w:firstLine="720"/>
        <w:jc w:val="both"/>
        <w:rPr>
          <w:rFonts w:asciiTheme="majorHAnsi" w:hAnsiTheme="majorHAnsi"/>
          <w:sz w:val="16"/>
          <w:szCs w:val="16"/>
          <w:lang w:val="es-ES"/>
        </w:rPr>
      </w:pPr>
      <w:r w:rsidRPr="00294F4D">
        <w:rPr>
          <w:rStyle w:val="FootnoteReference"/>
          <w:rFonts w:asciiTheme="majorHAnsi" w:hAnsiTheme="majorHAnsi"/>
          <w:sz w:val="16"/>
          <w:szCs w:val="16"/>
        </w:rPr>
        <w:footnoteRef/>
      </w:r>
      <w:r w:rsidRPr="00294F4D">
        <w:rPr>
          <w:rFonts w:asciiTheme="majorHAnsi" w:hAnsiTheme="majorHAnsi"/>
          <w:sz w:val="16"/>
          <w:szCs w:val="16"/>
          <w:lang w:val="es-SV"/>
        </w:rPr>
        <w:t xml:space="preserve"> </w:t>
      </w:r>
      <w:r w:rsidRPr="00294F4D">
        <w:rPr>
          <w:rFonts w:asciiTheme="majorHAnsi" w:hAnsiTheme="majorHAnsi"/>
          <w:sz w:val="16"/>
          <w:szCs w:val="16"/>
          <w:lang w:val="es-ES"/>
        </w:rPr>
        <w:t>Corte Interamericana de Derechos Humanos, Velásquez Rodríguez vs Honduras, Excepciones preliminares, sentencia del 26 de junio de 1987, párr. 93</w:t>
      </w:r>
    </w:p>
  </w:footnote>
  <w:footnote w:id="10">
    <w:p w14:paraId="37942F2E" w14:textId="77777777" w:rsidR="00E962CD" w:rsidRPr="00294F4D" w:rsidRDefault="00E962CD" w:rsidP="00294F4D">
      <w:pPr>
        <w:pStyle w:val="FootnoteText"/>
        <w:ind w:firstLine="720"/>
        <w:jc w:val="both"/>
        <w:rPr>
          <w:rFonts w:asciiTheme="majorHAnsi" w:hAnsiTheme="majorHAnsi"/>
          <w:sz w:val="16"/>
          <w:szCs w:val="16"/>
          <w:lang w:val="es-ES"/>
        </w:rPr>
      </w:pPr>
      <w:r w:rsidRPr="00294F4D">
        <w:rPr>
          <w:rStyle w:val="FootnoteReference"/>
          <w:rFonts w:asciiTheme="majorHAnsi" w:hAnsiTheme="majorHAnsi"/>
          <w:sz w:val="16"/>
          <w:szCs w:val="16"/>
        </w:rPr>
        <w:footnoteRef/>
      </w:r>
      <w:r w:rsidRPr="00294F4D">
        <w:rPr>
          <w:rFonts w:asciiTheme="majorHAnsi" w:hAnsiTheme="majorHAnsi"/>
          <w:sz w:val="16"/>
          <w:szCs w:val="16"/>
          <w:lang w:val="es-ES"/>
        </w:rPr>
        <w:t xml:space="preserve"> CIDH, Informe No. 143/18, Petición 940-08. Admisibilidad. Luis Américo Ayala Gonzales. Perú. 4 de diciembre de 2018, párr. 12.</w:t>
      </w:r>
    </w:p>
  </w:footnote>
  <w:footnote w:id="11">
    <w:p w14:paraId="4890F3DC" w14:textId="77777777" w:rsidR="004625C6" w:rsidRPr="005E6967" w:rsidRDefault="004625C6" w:rsidP="004625C6">
      <w:pPr>
        <w:pStyle w:val="FootnoteText"/>
        <w:ind w:firstLine="720"/>
        <w:jc w:val="both"/>
        <w:rPr>
          <w:rFonts w:asciiTheme="majorHAnsi" w:hAnsiTheme="majorHAnsi"/>
          <w:sz w:val="16"/>
          <w:szCs w:val="16"/>
          <w:lang w:val="es-ES"/>
        </w:rPr>
      </w:pPr>
      <w:r w:rsidRPr="005E6967">
        <w:rPr>
          <w:rStyle w:val="FootnoteReference"/>
          <w:rFonts w:asciiTheme="majorHAnsi" w:hAnsiTheme="majorHAnsi"/>
          <w:sz w:val="16"/>
          <w:szCs w:val="16"/>
        </w:rPr>
        <w:footnoteRef/>
      </w:r>
      <w:r w:rsidRPr="005E6967">
        <w:rPr>
          <w:rFonts w:asciiTheme="majorHAnsi" w:hAnsiTheme="majorHAnsi"/>
          <w:sz w:val="16"/>
          <w:szCs w:val="16"/>
          <w:lang w:val="es-ES"/>
        </w:rPr>
        <w:t xml:space="preserve"> En sentido similar: </w:t>
      </w:r>
      <w:r>
        <w:rPr>
          <w:rFonts w:asciiTheme="majorHAnsi" w:hAnsiTheme="majorHAnsi"/>
          <w:sz w:val="16"/>
          <w:szCs w:val="16"/>
          <w:lang w:val="es-ES"/>
        </w:rPr>
        <w:t xml:space="preserve">Corte IDH, </w:t>
      </w:r>
      <w:r w:rsidRPr="005E6967">
        <w:rPr>
          <w:rFonts w:asciiTheme="majorHAnsi" w:hAnsiTheme="majorHAnsi"/>
          <w:sz w:val="16"/>
          <w:szCs w:val="16"/>
          <w:lang w:val="es-ES"/>
        </w:rPr>
        <w:t>Caso de los “Niños de la Calle” (Villagrán Morales y otros) Vs. Guatemala. Fondo. Sentencia</w:t>
      </w:r>
      <w:r>
        <w:rPr>
          <w:rFonts w:asciiTheme="majorHAnsi" w:hAnsiTheme="majorHAnsi"/>
          <w:sz w:val="16"/>
          <w:szCs w:val="16"/>
          <w:lang w:val="es-ES"/>
        </w:rPr>
        <w:t xml:space="preserve"> </w:t>
      </w:r>
      <w:r w:rsidRPr="005E6967">
        <w:rPr>
          <w:rFonts w:asciiTheme="majorHAnsi" w:hAnsiTheme="majorHAnsi"/>
          <w:sz w:val="16"/>
          <w:szCs w:val="16"/>
          <w:lang w:val="es-ES"/>
        </w:rPr>
        <w:t>de 19 de noviembre de 1999. Serie C No. 63, párr. 222</w:t>
      </w:r>
      <w:r>
        <w:rPr>
          <w:rFonts w:asciiTheme="majorHAnsi" w:hAnsiTheme="majorHAnsi"/>
          <w:sz w:val="16"/>
          <w:szCs w:val="16"/>
          <w:lang w:val="es-ES"/>
        </w:rPr>
        <w:t xml:space="preserve">, Corte IDH, </w:t>
      </w:r>
      <w:r w:rsidRPr="005E6967">
        <w:rPr>
          <w:rFonts w:asciiTheme="majorHAnsi" w:hAnsiTheme="majorHAnsi"/>
          <w:sz w:val="16"/>
          <w:szCs w:val="16"/>
          <w:lang w:val="es-ES"/>
        </w:rPr>
        <w:t>Caso Moya Solís Vs. Perú. Excepciones Preliminares,</w:t>
      </w:r>
      <w:r>
        <w:rPr>
          <w:rFonts w:asciiTheme="majorHAnsi" w:hAnsiTheme="majorHAnsi"/>
          <w:sz w:val="16"/>
          <w:szCs w:val="16"/>
          <w:lang w:val="es-ES"/>
        </w:rPr>
        <w:t xml:space="preserve"> </w:t>
      </w:r>
      <w:r w:rsidRPr="005E6967">
        <w:rPr>
          <w:rFonts w:asciiTheme="majorHAnsi" w:hAnsiTheme="majorHAnsi"/>
          <w:sz w:val="16"/>
          <w:szCs w:val="16"/>
          <w:lang w:val="es-ES"/>
        </w:rPr>
        <w:t>Fondo, Reparaciones y Costas. Sentencia de 3 de junio de 2021. Serie C No. 425, párr. 28</w:t>
      </w:r>
      <w:r>
        <w:rPr>
          <w:rFonts w:asciiTheme="majorHAnsi" w:hAnsiTheme="majorHAnsi"/>
          <w:sz w:val="16"/>
          <w:szCs w:val="16"/>
          <w:lang w:val="es-ES"/>
        </w:rPr>
        <w:t xml:space="preserve">; y </w:t>
      </w:r>
      <w:r w:rsidRPr="005E6967">
        <w:rPr>
          <w:rFonts w:asciiTheme="majorHAnsi" w:hAnsiTheme="majorHAnsi"/>
          <w:sz w:val="16"/>
          <w:szCs w:val="16"/>
          <w:lang w:val="es-ES"/>
        </w:rPr>
        <w:t>Corte IDH</w:t>
      </w:r>
      <w:r>
        <w:rPr>
          <w:rFonts w:asciiTheme="majorHAnsi" w:hAnsiTheme="majorHAnsi"/>
          <w:sz w:val="16"/>
          <w:szCs w:val="16"/>
          <w:lang w:val="es-ES"/>
        </w:rPr>
        <w:t>,</w:t>
      </w:r>
      <w:r w:rsidRPr="005E6967">
        <w:rPr>
          <w:rFonts w:asciiTheme="majorHAnsi" w:hAnsiTheme="majorHAnsi"/>
          <w:sz w:val="16"/>
          <w:szCs w:val="16"/>
          <w:lang w:val="es-ES"/>
        </w:rPr>
        <w:t xml:space="preserve"> Caso Manuela y otros Vs. El Salvador. Excepciones preliminares, Fondo, Reparaciones y Costas. Sentencia de 2 de noviembre de 2021. Serie C No. 441</w:t>
      </w:r>
      <w:r>
        <w:rPr>
          <w:rFonts w:asciiTheme="majorHAnsi" w:hAnsiTheme="majorHAnsi"/>
          <w:sz w:val="16"/>
          <w:szCs w:val="16"/>
          <w:lang w:val="es-ES"/>
        </w:rPr>
        <w:t xml:space="preserve">, párr. 147. </w:t>
      </w:r>
    </w:p>
  </w:footnote>
  <w:footnote w:id="12">
    <w:p w14:paraId="6BFF3E0A" w14:textId="77777777" w:rsidR="00221D4B" w:rsidRPr="00294F4D" w:rsidRDefault="00221D4B" w:rsidP="001D504E">
      <w:pPr>
        <w:pStyle w:val="FootnoteText"/>
        <w:ind w:firstLine="720"/>
        <w:jc w:val="both"/>
        <w:rPr>
          <w:rFonts w:asciiTheme="majorHAnsi" w:hAnsiTheme="majorHAnsi"/>
          <w:color w:val="000000" w:themeColor="text1"/>
          <w:sz w:val="16"/>
          <w:szCs w:val="16"/>
          <w:lang w:val="es-ES"/>
        </w:rPr>
      </w:pPr>
      <w:r w:rsidRPr="00294F4D">
        <w:rPr>
          <w:rStyle w:val="FootnoteReference"/>
          <w:rFonts w:asciiTheme="majorHAnsi" w:hAnsiTheme="majorHAnsi"/>
          <w:color w:val="000000" w:themeColor="text1"/>
          <w:sz w:val="16"/>
          <w:szCs w:val="16"/>
        </w:rPr>
        <w:footnoteRef/>
      </w:r>
      <w:r w:rsidRPr="00294F4D">
        <w:rPr>
          <w:rFonts w:asciiTheme="majorHAnsi" w:hAnsiTheme="majorHAnsi"/>
          <w:color w:val="000000" w:themeColor="text1"/>
          <w:sz w:val="16"/>
          <w:szCs w:val="16"/>
          <w:lang w:val="es-ES"/>
        </w:rPr>
        <w:t xml:space="preserve"> Véase por ejemplo CIDH, Informe No. 56/16. </w:t>
      </w:r>
      <w:r w:rsidRPr="00294F4D">
        <w:rPr>
          <w:rFonts w:asciiTheme="majorHAnsi" w:hAnsiTheme="majorHAnsi"/>
          <w:color w:val="000000" w:themeColor="text1"/>
          <w:sz w:val="16"/>
          <w:szCs w:val="16"/>
          <w:lang w:val="es-ES_tradnl"/>
        </w:rPr>
        <w:t xml:space="preserve">Petición 666-03. Admisibilidad. Luis Alberto Leiva. Argentina. </w:t>
      </w:r>
      <w:r w:rsidRPr="00294F4D">
        <w:rPr>
          <w:rFonts w:asciiTheme="majorHAnsi" w:hAnsiTheme="majorHAnsi"/>
          <w:color w:val="000000" w:themeColor="text1"/>
          <w:sz w:val="16"/>
          <w:szCs w:val="16"/>
          <w:lang w:val="es-ES"/>
        </w:rPr>
        <w:t xml:space="preserve">6 de diciembre de 2016, párr. 25. </w:t>
      </w:r>
      <w:bookmarkStart w:id="5" w:name="_Hlk113360759"/>
    </w:p>
    <w:bookmarkEnd w:id="5"/>
  </w:footnote>
  <w:footnote w:id="13">
    <w:p w14:paraId="39FBE6E4" w14:textId="77777777" w:rsidR="00221D4B" w:rsidRPr="00294F4D" w:rsidRDefault="00221D4B" w:rsidP="00294F4D">
      <w:pPr>
        <w:pStyle w:val="FootnoteText"/>
        <w:ind w:firstLine="720"/>
        <w:jc w:val="both"/>
        <w:rPr>
          <w:rFonts w:asciiTheme="majorHAnsi" w:hAnsiTheme="majorHAnsi"/>
          <w:color w:val="000000" w:themeColor="text1"/>
          <w:sz w:val="16"/>
          <w:szCs w:val="16"/>
          <w:lang w:val="es-US"/>
        </w:rPr>
      </w:pPr>
      <w:r w:rsidRPr="00294F4D">
        <w:rPr>
          <w:rStyle w:val="FootnoteReference"/>
          <w:rFonts w:asciiTheme="majorHAnsi" w:hAnsiTheme="majorHAnsi"/>
          <w:color w:val="000000" w:themeColor="text1"/>
          <w:sz w:val="16"/>
          <w:szCs w:val="16"/>
        </w:rPr>
        <w:footnoteRef/>
      </w:r>
      <w:r w:rsidRPr="00294F4D">
        <w:rPr>
          <w:rFonts w:asciiTheme="majorHAnsi" w:hAnsiTheme="majorHAnsi"/>
          <w:color w:val="000000" w:themeColor="text1"/>
          <w:sz w:val="16"/>
          <w:szCs w:val="16"/>
          <w:lang w:val="es-US"/>
        </w:rPr>
        <w:t xml:space="preserve"> CIDH, Informe No. 79/08, Petición 95-01. Admisibilidad. Marcos Alejandro Martin. Argentina. 17 de octubre de 2008, párr. 27.</w:t>
      </w:r>
    </w:p>
  </w:footnote>
  <w:footnote w:id="14">
    <w:p w14:paraId="429AB4C5" w14:textId="77777777" w:rsidR="00D91C40" w:rsidRPr="00294F4D" w:rsidRDefault="00D91C40" w:rsidP="007B4167">
      <w:pPr>
        <w:pStyle w:val="FootnoteText"/>
        <w:ind w:firstLine="720"/>
        <w:jc w:val="both"/>
        <w:rPr>
          <w:rFonts w:asciiTheme="majorHAnsi" w:hAnsiTheme="majorHAnsi"/>
          <w:color w:val="000000" w:themeColor="text1"/>
          <w:sz w:val="16"/>
          <w:szCs w:val="16"/>
          <w:lang w:val="es-US"/>
        </w:rPr>
      </w:pPr>
      <w:r w:rsidRPr="00294F4D">
        <w:rPr>
          <w:rStyle w:val="FootnoteReference"/>
          <w:rFonts w:asciiTheme="majorHAnsi" w:hAnsiTheme="majorHAnsi"/>
          <w:color w:val="000000" w:themeColor="text1"/>
          <w:sz w:val="16"/>
          <w:szCs w:val="16"/>
        </w:rPr>
        <w:footnoteRef/>
      </w:r>
      <w:r w:rsidRPr="00294F4D">
        <w:rPr>
          <w:rFonts w:asciiTheme="majorHAnsi" w:hAnsiTheme="majorHAnsi"/>
          <w:color w:val="000000" w:themeColor="text1"/>
          <w:sz w:val="16"/>
          <w:szCs w:val="16"/>
          <w:lang w:val="es-US"/>
        </w:rPr>
        <w:t xml:space="preserve"> </w:t>
      </w:r>
      <w:r w:rsidRPr="00294F4D">
        <w:rPr>
          <w:rFonts w:asciiTheme="majorHAnsi" w:hAnsiTheme="majorHAnsi"/>
          <w:color w:val="000000" w:themeColor="text1"/>
          <w:sz w:val="16"/>
          <w:szCs w:val="16"/>
          <w:lang w:val="es-ES_tradnl"/>
        </w:rPr>
        <w:t>CIDH, Informe Nº 33/98, Caso 10.545 Clemente Ayala Torres y otros (México), 15 de mayo de 1998, párrafo 28.</w:t>
      </w:r>
    </w:p>
  </w:footnote>
  <w:footnote w:id="15">
    <w:p w14:paraId="0FD589FB" w14:textId="77777777" w:rsidR="00221D4B" w:rsidRPr="00294F4D" w:rsidRDefault="00221D4B" w:rsidP="00294F4D">
      <w:pPr>
        <w:pStyle w:val="FootnoteText"/>
        <w:ind w:firstLine="720"/>
        <w:jc w:val="both"/>
        <w:rPr>
          <w:rFonts w:asciiTheme="majorHAnsi" w:hAnsiTheme="majorHAnsi"/>
          <w:sz w:val="16"/>
          <w:szCs w:val="16"/>
          <w:lang w:val="es-US"/>
        </w:rPr>
      </w:pPr>
      <w:r w:rsidRPr="00294F4D">
        <w:rPr>
          <w:rStyle w:val="FootnoteReference"/>
          <w:rFonts w:asciiTheme="majorHAnsi" w:hAnsiTheme="majorHAnsi"/>
          <w:color w:val="000000" w:themeColor="text1"/>
          <w:sz w:val="16"/>
          <w:szCs w:val="16"/>
        </w:rPr>
        <w:footnoteRef/>
      </w:r>
      <w:r w:rsidRPr="00294F4D">
        <w:rPr>
          <w:rFonts w:asciiTheme="majorHAnsi" w:hAnsiTheme="majorHAnsi"/>
          <w:color w:val="000000" w:themeColor="text1"/>
          <w:sz w:val="16"/>
          <w:szCs w:val="16"/>
          <w:lang w:val="pt-BR"/>
        </w:rPr>
        <w:t xml:space="preserve"> Corte IDH, </w:t>
      </w:r>
      <w:r w:rsidRPr="00294F4D">
        <w:rPr>
          <w:rFonts w:asciiTheme="majorHAnsi" w:hAnsiTheme="majorHAnsi"/>
          <w:i/>
          <w:color w:val="000000" w:themeColor="text1"/>
          <w:sz w:val="16"/>
          <w:szCs w:val="16"/>
          <w:lang w:val="pt-BR"/>
        </w:rPr>
        <w:t xml:space="preserve">Caso Mémoli vs. Argentina. </w:t>
      </w:r>
      <w:r w:rsidRPr="00294F4D">
        <w:rPr>
          <w:rFonts w:asciiTheme="majorHAnsi" w:hAnsiTheme="majorHAnsi"/>
          <w:color w:val="000000" w:themeColor="text1"/>
          <w:sz w:val="16"/>
          <w:szCs w:val="16"/>
          <w:lang w:val="es-ES"/>
        </w:rPr>
        <w:t xml:space="preserve">Excepciones Preliminares, </w:t>
      </w:r>
      <w:r w:rsidRPr="00294F4D">
        <w:rPr>
          <w:rFonts w:asciiTheme="majorHAnsi" w:hAnsiTheme="majorHAnsi"/>
          <w:color w:val="000000" w:themeColor="text1"/>
          <w:sz w:val="16"/>
          <w:szCs w:val="16"/>
          <w:lang w:val="es-CO"/>
        </w:rPr>
        <w:t xml:space="preserve">Fondo, Reparaciones y Costas. Sentencia de 22 de agosto de 2013. Serie C No. 295, </w:t>
      </w:r>
      <w:r w:rsidRPr="00294F4D">
        <w:rPr>
          <w:rFonts w:asciiTheme="majorHAnsi" w:hAnsiTheme="majorHAnsi"/>
          <w:color w:val="000000" w:themeColor="text1"/>
          <w:sz w:val="16"/>
          <w:szCs w:val="16"/>
          <w:lang w:val="es-AR"/>
        </w:rPr>
        <w:t>p</w:t>
      </w:r>
      <w:r w:rsidRPr="00294F4D">
        <w:rPr>
          <w:rFonts w:asciiTheme="majorHAnsi" w:hAnsiTheme="majorHAnsi"/>
          <w:color w:val="000000" w:themeColor="text1"/>
          <w:sz w:val="16"/>
          <w:szCs w:val="16"/>
          <w:lang w:val="es-ES_tradnl"/>
        </w:rPr>
        <w:t>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50CA1"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074C7B6"/>
    <w:lvl w:ilvl="0" w:tplc="25547AB6">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UY"/>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75784088">
    <w:abstractNumId w:val="3"/>
  </w:num>
  <w:num w:numId="2" w16cid:durableId="468523561">
    <w:abstractNumId w:val="5"/>
  </w:num>
  <w:num w:numId="3" w16cid:durableId="650134606">
    <w:abstractNumId w:val="53"/>
  </w:num>
  <w:num w:numId="4" w16cid:durableId="1300766036">
    <w:abstractNumId w:val="20"/>
  </w:num>
  <w:num w:numId="5" w16cid:durableId="376779765">
    <w:abstractNumId w:val="47"/>
  </w:num>
  <w:num w:numId="6" w16cid:durableId="462314155">
    <w:abstractNumId w:val="27"/>
  </w:num>
  <w:num w:numId="7" w16cid:durableId="200092032">
    <w:abstractNumId w:val="6"/>
  </w:num>
  <w:num w:numId="8" w16cid:durableId="1814522817">
    <w:abstractNumId w:val="16"/>
  </w:num>
  <w:num w:numId="9" w16cid:durableId="23529131">
    <w:abstractNumId w:val="42"/>
  </w:num>
  <w:num w:numId="10" w16cid:durableId="32316969">
    <w:abstractNumId w:val="0"/>
  </w:num>
  <w:num w:numId="11" w16cid:durableId="1728990203">
    <w:abstractNumId w:val="37"/>
  </w:num>
  <w:num w:numId="12" w16cid:durableId="1395927">
    <w:abstractNumId w:val="38"/>
  </w:num>
  <w:num w:numId="13" w16cid:durableId="1665235982">
    <w:abstractNumId w:val="44"/>
  </w:num>
  <w:num w:numId="14" w16cid:durableId="906691293">
    <w:abstractNumId w:val="1"/>
  </w:num>
  <w:num w:numId="15" w16cid:durableId="1911228272">
    <w:abstractNumId w:val="2"/>
  </w:num>
  <w:num w:numId="16" w16cid:durableId="1991707344">
    <w:abstractNumId w:val="7"/>
  </w:num>
  <w:num w:numId="17" w16cid:durableId="1926767436">
    <w:abstractNumId w:val="8"/>
  </w:num>
  <w:num w:numId="18" w16cid:durableId="563176291">
    <w:abstractNumId w:val="9"/>
  </w:num>
  <w:num w:numId="19" w16cid:durableId="1750341869">
    <w:abstractNumId w:val="10"/>
  </w:num>
  <w:num w:numId="20" w16cid:durableId="1910337439">
    <w:abstractNumId w:val="11"/>
  </w:num>
  <w:num w:numId="21" w16cid:durableId="1175614627">
    <w:abstractNumId w:val="12"/>
  </w:num>
  <w:num w:numId="22" w16cid:durableId="953755849">
    <w:abstractNumId w:val="13"/>
  </w:num>
  <w:num w:numId="23" w16cid:durableId="1495805009">
    <w:abstractNumId w:val="14"/>
  </w:num>
  <w:num w:numId="24" w16cid:durableId="729420534">
    <w:abstractNumId w:val="15"/>
  </w:num>
  <w:num w:numId="25" w16cid:durableId="127866553">
    <w:abstractNumId w:val="17"/>
  </w:num>
  <w:num w:numId="26" w16cid:durableId="705519974">
    <w:abstractNumId w:val="18"/>
  </w:num>
  <w:num w:numId="27" w16cid:durableId="462389193">
    <w:abstractNumId w:val="21"/>
  </w:num>
  <w:num w:numId="28" w16cid:durableId="1629705751">
    <w:abstractNumId w:val="22"/>
  </w:num>
  <w:num w:numId="29" w16cid:durableId="485247112">
    <w:abstractNumId w:val="23"/>
  </w:num>
  <w:num w:numId="30" w16cid:durableId="752051370">
    <w:abstractNumId w:val="25"/>
  </w:num>
  <w:num w:numId="31" w16cid:durableId="688724568">
    <w:abstractNumId w:val="28"/>
  </w:num>
  <w:num w:numId="32" w16cid:durableId="1735198142">
    <w:abstractNumId w:val="29"/>
  </w:num>
  <w:num w:numId="33" w16cid:durableId="1363284525">
    <w:abstractNumId w:val="30"/>
  </w:num>
  <w:num w:numId="34" w16cid:durableId="24796599">
    <w:abstractNumId w:val="31"/>
  </w:num>
  <w:num w:numId="35" w16cid:durableId="206452664">
    <w:abstractNumId w:val="32"/>
  </w:num>
  <w:num w:numId="36" w16cid:durableId="543296508">
    <w:abstractNumId w:val="33"/>
  </w:num>
  <w:num w:numId="37" w16cid:durableId="230626847">
    <w:abstractNumId w:val="34"/>
  </w:num>
  <w:num w:numId="38" w16cid:durableId="1977685301">
    <w:abstractNumId w:val="35"/>
  </w:num>
  <w:num w:numId="39" w16cid:durableId="1519924862">
    <w:abstractNumId w:val="39"/>
  </w:num>
  <w:num w:numId="40" w16cid:durableId="329143076">
    <w:abstractNumId w:val="40"/>
  </w:num>
  <w:num w:numId="41" w16cid:durableId="1020282030">
    <w:abstractNumId w:val="46"/>
  </w:num>
  <w:num w:numId="42" w16cid:durableId="2052610721">
    <w:abstractNumId w:val="48"/>
  </w:num>
  <w:num w:numId="43" w16cid:durableId="2128506822">
    <w:abstractNumId w:val="49"/>
  </w:num>
  <w:num w:numId="44" w16cid:durableId="2124685847">
    <w:abstractNumId w:val="51"/>
  </w:num>
  <w:num w:numId="45" w16cid:durableId="1046951728">
    <w:abstractNumId w:val="52"/>
  </w:num>
  <w:num w:numId="46" w16cid:durableId="331181024">
    <w:abstractNumId w:val="54"/>
  </w:num>
  <w:num w:numId="47" w16cid:durableId="943850234">
    <w:abstractNumId w:val="55"/>
  </w:num>
  <w:num w:numId="48" w16cid:durableId="2118408829">
    <w:abstractNumId w:val="56"/>
  </w:num>
  <w:num w:numId="49" w16cid:durableId="173300705">
    <w:abstractNumId w:val="57"/>
  </w:num>
  <w:num w:numId="50" w16cid:durableId="545222220">
    <w:abstractNumId w:val="58"/>
  </w:num>
  <w:num w:numId="51" w16cid:durableId="425079557">
    <w:abstractNumId w:val="19"/>
  </w:num>
  <w:num w:numId="52" w16cid:durableId="1755079537">
    <w:abstractNumId w:val="41"/>
  </w:num>
  <w:num w:numId="53" w16cid:durableId="1943025985">
    <w:abstractNumId w:val="50"/>
  </w:num>
  <w:num w:numId="54" w16cid:durableId="1531185870">
    <w:abstractNumId w:val="45"/>
  </w:num>
  <w:num w:numId="55" w16cid:durableId="213470488">
    <w:abstractNumId w:val="43"/>
  </w:num>
  <w:num w:numId="56" w16cid:durableId="1384057741">
    <w:abstractNumId w:val="26"/>
  </w:num>
  <w:num w:numId="57" w16cid:durableId="144710383">
    <w:abstractNumId w:val="24"/>
  </w:num>
  <w:num w:numId="58" w16cid:durableId="294262437">
    <w:abstractNumId w:val="36"/>
  </w:num>
  <w:num w:numId="59" w16cid:durableId="2097480463">
    <w:abstractNumId w:val="4"/>
  </w:num>
  <w:num w:numId="60" w16cid:durableId="499542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87B"/>
    <w:rsid w:val="00000CDA"/>
    <w:rsid w:val="00003AC9"/>
    <w:rsid w:val="00003D22"/>
    <w:rsid w:val="00006E1F"/>
    <w:rsid w:val="000070D7"/>
    <w:rsid w:val="0000729F"/>
    <w:rsid w:val="0001788C"/>
    <w:rsid w:val="000215E9"/>
    <w:rsid w:val="000337EF"/>
    <w:rsid w:val="00040C3A"/>
    <w:rsid w:val="000419AD"/>
    <w:rsid w:val="000433C9"/>
    <w:rsid w:val="000503BD"/>
    <w:rsid w:val="000568C7"/>
    <w:rsid w:val="00071174"/>
    <w:rsid w:val="000716C5"/>
    <w:rsid w:val="00075E23"/>
    <w:rsid w:val="0009344A"/>
    <w:rsid w:val="000954C5"/>
    <w:rsid w:val="0009686F"/>
    <w:rsid w:val="000A05CF"/>
    <w:rsid w:val="000A392E"/>
    <w:rsid w:val="000A3B69"/>
    <w:rsid w:val="000A575F"/>
    <w:rsid w:val="000D05CB"/>
    <w:rsid w:val="000D10DB"/>
    <w:rsid w:val="000D130F"/>
    <w:rsid w:val="000E5EB5"/>
    <w:rsid w:val="000F08FE"/>
    <w:rsid w:val="000F35ED"/>
    <w:rsid w:val="001004FE"/>
    <w:rsid w:val="00107131"/>
    <w:rsid w:val="0010736F"/>
    <w:rsid w:val="00113F73"/>
    <w:rsid w:val="00121CC2"/>
    <w:rsid w:val="00131425"/>
    <w:rsid w:val="00133EE5"/>
    <w:rsid w:val="00143374"/>
    <w:rsid w:val="0015799E"/>
    <w:rsid w:val="00163884"/>
    <w:rsid w:val="00167A34"/>
    <w:rsid w:val="00170794"/>
    <w:rsid w:val="00176155"/>
    <w:rsid w:val="001824DB"/>
    <w:rsid w:val="0019387C"/>
    <w:rsid w:val="00193A4E"/>
    <w:rsid w:val="001A520D"/>
    <w:rsid w:val="001A7870"/>
    <w:rsid w:val="001B3A00"/>
    <w:rsid w:val="001B478B"/>
    <w:rsid w:val="001B5239"/>
    <w:rsid w:val="001C1B41"/>
    <w:rsid w:val="001D504E"/>
    <w:rsid w:val="001D65EF"/>
    <w:rsid w:val="001D7F96"/>
    <w:rsid w:val="001E023A"/>
    <w:rsid w:val="001E49E7"/>
    <w:rsid w:val="001F4EE0"/>
    <w:rsid w:val="001F7201"/>
    <w:rsid w:val="00202AA2"/>
    <w:rsid w:val="002053FB"/>
    <w:rsid w:val="00220510"/>
    <w:rsid w:val="00221D4B"/>
    <w:rsid w:val="00223A29"/>
    <w:rsid w:val="002250A3"/>
    <w:rsid w:val="00235217"/>
    <w:rsid w:val="00237A7B"/>
    <w:rsid w:val="00245E44"/>
    <w:rsid w:val="00246D1F"/>
    <w:rsid w:val="0024724D"/>
    <w:rsid w:val="00247403"/>
    <w:rsid w:val="00247542"/>
    <w:rsid w:val="00250CA1"/>
    <w:rsid w:val="00256AF8"/>
    <w:rsid w:val="00266B61"/>
    <w:rsid w:val="0026712A"/>
    <w:rsid w:val="002703AB"/>
    <w:rsid w:val="002704DB"/>
    <w:rsid w:val="00285895"/>
    <w:rsid w:val="002874CB"/>
    <w:rsid w:val="00294F4D"/>
    <w:rsid w:val="002A0AAE"/>
    <w:rsid w:val="002A5820"/>
    <w:rsid w:val="002A6742"/>
    <w:rsid w:val="002B1AB2"/>
    <w:rsid w:val="002B58DF"/>
    <w:rsid w:val="002C7656"/>
    <w:rsid w:val="002D2B26"/>
    <w:rsid w:val="002D5946"/>
    <w:rsid w:val="002D6DC2"/>
    <w:rsid w:val="002D7EA2"/>
    <w:rsid w:val="002E187C"/>
    <w:rsid w:val="002E43CB"/>
    <w:rsid w:val="002E6E31"/>
    <w:rsid w:val="00302733"/>
    <w:rsid w:val="00305835"/>
    <w:rsid w:val="00306F33"/>
    <w:rsid w:val="00314078"/>
    <w:rsid w:val="0031535D"/>
    <w:rsid w:val="003239B8"/>
    <w:rsid w:val="0033169F"/>
    <w:rsid w:val="00344977"/>
    <w:rsid w:val="00346C95"/>
    <w:rsid w:val="00356185"/>
    <w:rsid w:val="00360380"/>
    <w:rsid w:val="00366F0B"/>
    <w:rsid w:val="00372E1A"/>
    <w:rsid w:val="0037519E"/>
    <w:rsid w:val="00382EE1"/>
    <w:rsid w:val="00386CF0"/>
    <w:rsid w:val="00394073"/>
    <w:rsid w:val="00397BDE"/>
    <w:rsid w:val="003A3412"/>
    <w:rsid w:val="003A44E0"/>
    <w:rsid w:val="003B6927"/>
    <w:rsid w:val="003B70FB"/>
    <w:rsid w:val="003C2C83"/>
    <w:rsid w:val="003C4259"/>
    <w:rsid w:val="003C676B"/>
    <w:rsid w:val="003D3BC2"/>
    <w:rsid w:val="003E0C7E"/>
    <w:rsid w:val="003E6CA1"/>
    <w:rsid w:val="003F17F2"/>
    <w:rsid w:val="003F5154"/>
    <w:rsid w:val="00405F9C"/>
    <w:rsid w:val="004065A8"/>
    <w:rsid w:val="0040783A"/>
    <w:rsid w:val="004165C2"/>
    <w:rsid w:val="004241A0"/>
    <w:rsid w:val="00441ECB"/>
    <w:rsid w:val="00445193"/>
    <w:rsid w:val="004625C6"/>
    <w:rsid w:val="00462C1B"/>
    <w:rsid w:val="00466279"/>
    <w:rsid w:val="00467B7E"/>
    <w:rsid w:val="0047118D"/>
    <w:rsid w:val="00471744"/>
    <w:rsid w:val="00473BB4"/>
    <w:rsid w:val="00477592"/>
    <w:rsid w:val="00486F1C"/>
    <w:rsid w:val="0049419D"/>
    <w:rsid w:val="004A057B"/>
    <w:rsid w:val="004A6A54"/>
    <w:rsid w:val="004A6FC9"/>
    <w:rsid w:val="004B421C"/>
    <w:rsid w:val="004C20D2"/>
    <w:rsid w:val="004C2312"/>
    <w:rsid w:val="004C4B62"/>
    <w:rsid w:val="004C54C9"/>
    <w:rsid w:val="004D4ABA"/>
    <w:rsid w:val="004D601C"/>
    <w:rsid w:val="004D6025"/>
    <w:rsid w:val="004E2649"/>
    <w:rsid w:val="004E4A73"/>
    <w:rsid w:val="004F2424"/>
    <w:rsid w:val="004F50A2"/>
    <w:rsid w:val="004F626F"/>
    <w:rsid w:val="00500F70"/>
    <w:rsid w:val="00501399"/>
    <w:rsid w:val="005047ED"/>
    <w:rsid w:val="0050633D"/>
    <w:rsid w:val="00507BC4"/>
    <w:rsid w:val="005128E4"/>
    <w:rsid w:val="005133DB"/>
    <w:rsid w:val="00514504"/>
    <w:rsid w:val="00521E1F"/>
    <w:rsid w:val="00522378"/>
    <w:rsid w:val="00525560"/>
    <w:rsid w:val="00526BB7"/>
    <w:rsid w:val="0054186C"/>
    <w:rsid w:val="00544C49"/>
    <w:rsid w:val="005516A1"/>
    <w:rsid w:val="005559EF"/>
    <w:rsid w:val="00563557"/>
    <w:rsid w:val="0057402A"/>
    <w:rsid w:val="005771D0"/>
    <w:rsid w:val="005861F5"/>
    <w:rsid w:val="0059057A"/>
    <w:rsid w:val="0059191A"/>
    <w:rsid w:val="005921FF"/>
    <w:rsid w:val="005979BB"/>
    <w:rsid w:val="005A24ED"/>
    <w:rsid w:val="005A5648"/>
    <w:rsid w:val="005A6D0E"/>
    <w:rsid w:val="005B2824"/>
    <w:rsid w:val="005B52B0"/>
    <w:rsid w:val="005B6806"/>
    <w:rsid w:val="005C4225"/>
    <w:rsid w:val="005F0DAD"/>
    <w:rsid w:val="005F0F33"/>
    <w:rsid w:val="005F3A87"/>
    <w:rsid w:val="00600DEB"/>
    <w:rsid w:val="00614A06"/>
    <w:rsid w:val="00616D5E"/>
    <w:rsid w:val="00627C9F"/>
    <w:rsid w:val="006311E9"/>
    <w:rsid w:val="00632354"/>
    <w:rsid w:val="00635421"/>
    <w:rsid w:val="00642810"/>
    <w:rsid w:val="00652333"/>
    <w:rsid w:val="0068009E"/>
    <w:rsid w:val="00686EA0"/>
    <w:rsid w:val="00690823"/>
    <w:rsid w:val="00692219"/>
    <w:rsid w:val="0069271A"/>
    <w:rsid w:val="006958AF"/>
    <w:rsid w:val="006A0D70"/>
    <w:rsid w:val="006A17D2"/>
    <w:rsid w:val="006A5530"/>
    <w:rsid w:val="006A5E2D"/>
    <w:rsid w:val="006A73E6"/>
    <w:rsid w:val="006B0B9B"/>
    <w:rsid w:val="006B2800"/>
    <w:rsid w:val="006B2D5C"/>
    <w:rsid w:val="006B38C1"/>
    <w:rsid w:val="006C075E"/>
    <w:rsid w:val="006C0ECF"/>
    <w:rsid w:val="006C4EB1"/>
    <w:rsid w:val="006D4DFE"/>
    <w:rsid w:val="006E0166"/>
    <w:rsid w:val="006E2FFB"/>
    <w:rsid w:val="006E6678"/>
    <w:rsid w:val="006E7B34"/>
    <w:rsid w:val="006F6D7E"/>
    <w:rsid w:val="0070697F"/>
    <w:rsid w:val="007103C4"/>
    <w:rsid w:val="00717641"/>
    <w:rsid w:val="0072199C"/>
    <w:rsid w:val="00722C9F"/>
    <w:rsid w:val="007253B8"/>
    <w:rsid w:val="007334D5"/>
    <w:rsid w:val="007363B7"/>
    <w:rsid w:val="0073741F"/>
    <w:rsid w:val="00757A0C"/>
    <w:rsid w:val="0076643F"/>
    <w:rsid w:val="00776735"/>
    <w:rsid w:val="00777F63"/>
    <w:rsid w:val="00786C78"/>
    <w:rsid w:val="00792E4D"/>
    <w:rsid w:val="0079627C"/>
    <w:rsid w:val="007A5817"/>
    <w:rsid w:val="007B05C4"/>
    <w:rsid w:val="007B4167"/>
    <w:rsid w:val="007B60E9"/>
    <w:rsid w:val="007B6CC3"/>
    <w:rsid w:val="007B76D3"/>
    <w:rsid w:val="007C3334"/>
    <w:rsid w:val="007D2B98"/>
    <w:rsid w:val="007E0B08"/>
    <w:rsid w:val="007E21BC"/>
    <w:rsid w:val="007E3B42"/>
    <w:rsid w:val="007E7C82"/>
    <w:rsid w:val="007F0A1F"/>
    <w:rsid w:val="007F2AA1"/>
    <w:rsid w:val="007F588D"/>
    <w:rsid w:val="007F6E79"/>
    <w:rsid w:val="00803F1C"/>
    <w:rsid w:val="0080600E"/>
    <w:rsid w:val="00814688"/>
    <w:rsid w:val="00817612"/>
    <w:rsid w:val="008337EE"/>
    <w:rsid w:val="008338A4"/>
    <w:rsid w:val="00834D49"/>
    <w:rsid w:val="00837C45"/>
    <w:rsid w:val="00844730"/>
    <w:rsid w:val="008457C2"/>
    <w:rsid w:val="00857A82"/>
    <w:rsid w:val="00873836"/>
    <w:rsid w:val="00885737"/>
    <w:rsid w:val="00890650"/>
    <w:rsid w:val="00892535"/>
    <w:rsid w:val="008944DC"/>
    <w:rsid w:val="008970FC"/>
    <w:rsid w:val="00897E12"/>
    <w:rsid w:val="008A180E"/>
    <w:rsid w:val="008A7E0F"/>
    <w:rsid w:val="008B12F5"/>
    <w:rsid w:val="008B1571"/>
    <w:rsid w:val="008C5E2D"/>
    <w:rsid w:val="008D768D"/>
    <w:rsid w:val="008E3759"/>
    <w:rsid w:val="008E3BFE"/>
    <w:rsid w:val="008F1912"/>
    <w:rsid w:val="0090270B"/>
    <w:rsid w:val="009041DC"/>
    <w:rsid w:val="00912CCF"/>
    <w:rsid w:val="00917B5A"/>
    <w:rsid w:val="00920A58"/>
    <w:rsid w:val="00920A8C"/>
    <w:rsid w:val="0092337C"/>
    <w:rsid w:val="00934A2C"/>
    <w:rsid w:val="00937190"/>
    <w:rsid w:val="00957C49"/>
    <w:rsid w:val="0096706E"/>
    <w:rsid w:val="00974491"/>
    <w:rsid w:val="00975C4E"/>
    <w:rsid w:val="00976F30"/>
    <w:rsid w:val="00981FBA"/>
    <w:rsid w:val="009930D9"/>
    <w:rsid w:val="00997BC5"/>
    <w:rsid w:val="009A4F41"/>
    <w:rsid w:val="009A56CE"/>
    <w:rsid w:val="009B381B"/>
    <w:rsid w:val="009C0A9B"/>
    <w:rsid w:val="009D1753"/>
    <w:rsid w:val="009D4410"/>
    <w:rsid w:val="009D464A"/>
    <w:rsid w:val="009D7611"/>
    <w:rsid w:val="009E0B61"/>
    <w:rsid w:val="009E53DE"/>
    <w:rsid w:val="009F2098"/>
    <w:rsid w:val="009F416F"/>
    <w:rsid w:val="009F55B6"/>
    <w:rsid w:val="00A006A6"/>
    <w:rsid w:val="00A055F4"/>
    <w:rsid w:val="00A11212"/>
    <w:rsid w:val="00A11E44"/>
    <w:rsid w:val="00A15562"/>
    <w:rsid w:val="00A30100"/>
    <w:rsid w:val="00A328B3"/>
    <w:rsid w:val="00A50FCF"/>
    <w:rsid w:val="00A528D1"/>
    <w:rsid w:val="00A610CD"/>
    <w:rsid w:val="00A72DF5"/>
    <w:rsid w:val="00A73F67"/>
    <w:rsid w:val="00A758AA"/>
    <w:rsid w:val="00A8173B"/>
    <w:rsid w:val="00AA09A2"/>
    <w:rsid w:val="00AA7996"/>
    <w:rsid w:val="00AB7691"/>
    <w:rsid w:val="00AC19CB"/>
    <w:rsid w:val="00AE09D5"/>
    <w:rsid w:val="00AE5488"/>
    <w:rsid w:val="00AE6F91"/>
    <w:rsid w:val="00AF5571"/>
    <w:rsid w:val="00B04818"/>
    <w:rsid w:val="00B07341"/>
    <w:rsid w:val="00B1077D"/>
    <w:rsid w:val="00B30539"/>
    <w:rsid w:val="00B314DB"/>
    <w:rsid w:val="00B361F2"/>
    <w:rsid w:val="00B3718B"/>
    <w:rsid w:val="00B3745F"/>
    <w:rsid w:val="00B4632A"/>
    <w:rsid w:val="00B530F1"/>
    <w:rsid w:val="00B603F5"/>
    <w:rsid w:val="00B62B64"/>
    <w:rsid w:val="00B82215"/>
    <w:rsid w:val="00B91568"/>
    <w:rsid w:val="00B93D7F"/>
    <w:rsid w:val="00BA276C"/>
    <w:rsid w:val="00BB019D"/>
    <w:rsid w:val="00BB306F"/>
    <w:rsid w:val="00BD0092"/>
    <w:rsid w:val="00BD0FF5"/>
    <w:rsid w:val="00BD4B89"/>
    <w:rsid w:val="00BD5922"/>
    <w:rsid w:val="00BE09FB"/>
    <w:rsid w:val="00BE0C11"/>
    <w:rsid w:val="00BE1670"/>
    <w:rsid w:val="00BE3F76"/>
    <w:rsid w:val="00BF02CB"/>
    <w:rsid w:val="00BF6FD8"/>
    <w:rsid w:val="00C03680"/>
    <w:rsid w:val="00C054DF"/>
    <w:rsid w:val="00C21762"/>
    <w:rsid w:val="00C21FEF"/>
    <w:rsid w:val="00C23BA4"/>
    <w:rsid w:val="00C24543"/>
    <w:rsid w:val="00C256A2"/>
    <w:rsid w:val="00C25ADB"/>
    <w:rsid w:val="00C51515"/>
    <w:rsid w:val="00C5660B"/>
    <w:rsid w:val="00C57178"/>
    <w:rsid w:val="00C64815"/>
    <w:rsid w:val="00C66B72"/>
    <w:rsid w:val="00C8638D"/>
    <w:rsid w:val="00C87AC4"/>
    <w:rsid w:val="00C9567A"/>
    <w:rsid w:val="00CB212D"/>
    <w:rsid w:val="00CB2660"/>
    <w:rsid w:val="00CB2948"/>
    <w:rsid w:val="00CB585F"/>
    <w:rsid w:val="00CC5E90"/>
    <w:rsid w:val="00CD046C"/>
    <w:rsid w:val="00CD5D11"/>
    <w:rsid w:val="00CD6116"/>
    <w:rsid w:val="00CE076C"/>
    <w:rsid w:val="00CE0855"/>
    <w:rsid w:val="00CE5199"/>
    <w:rsid w:val="00CE66D5"/>
    <w:rsid w:val="00CE767B"/>
    <w:rsid w:val="00CF637A"/>
    <w:rsid w:val="00D059DE"/>
    <w:rsid w:val="00D05ABD"/>
    <w:rsid w:val="00D13FCE"/>
    <w:rsid w:val="00D205CF"/>
    <w:rsid w:val="00D2272E"/>
    <w:rsid w:val="00D306D1"/>
    <w:rsid w:val="00D30800"/>
    <w:rsid w:val="00D34786"/>
    <w:rsid w:val="00D372C3"/>
    <w:rsid w:val="00D37BFC"/>
    <w:rsid w:val="00D44BC4"/>
    <w:rsid w:val="00D47A8E"/>
    <w:rsid w:val="00D52D14"/>
    <w:rsid w:val="00D577B8"/>
    <w:rsid w:val="00D710CC"/>
    <w:rsid w:val="00D712D3"/>
    <w:rsid w:val="00D71422"/>
    <w:rsid w:val="00D72DC6"/>
    <w:rsid w:val="00D7558D"/>
    <w:rsid w:val="00D81D92"/>
    <w:rsid w:val="00D82958"/>
    <w:rsid w:val="00D876F9"/>
    <w:rsid w:val="00D91C40"/>
    <w:rsid w:val="00DA56B1"/>
    <w:rsid w:val="00DA6262"/>
    <w:rsid w:val="00DA7B5F"/>
    <w:rsid w:val="00DB05BA"/>
    <w:rsid w:val="00DC11E7"/>
    <w:rsid w:val="00DC24E3"/>
    <w:rsid w:val="00DC7023"/>
    <w:rsid w:val="00DC769A"/>
    <w:rsid w:val="00DD3D86"/>
    <w:rsid w:val="00DD4AD2"/>
    <w:rsid w:val="00DE2862"/>
    <w:rsid w:val="00DF1EC4"/>
    <w:rsid w:val="00DF53E1"/>
    <w:rsid w:val="00E0340B"/>
    <w:rsid w:val="00E04A90"/>
    <w:rsid w:val="00E0551F"/>
    <w:rsid w:val="00E219C7"/>
    <w:rsid w:val="00E33D77"/>
    <w:rsid w:val="00E4118C"/>
    <w:rsid w:val="00E43157"/>
    <w:rsid w:val="00E45C15"/>
    <w:rsid w:val="00E461CE"/>
    <w:rsid w:val="00E573E4"/>
    <w:rsid w:val="00E60DCF"/>
    <w:rsid w:val="00E64C3D"/>
    <w:rsid w:val="00E720CA"/>
    <w:rsid w:val="00E73EAA"/>
    <w:rsid w:val="00E84EB5"/>
    <w:rsid w:val="00E85662"/>
    <w:rsid w:val="00E8789F"/>
    <w:rsid w:val="00E962CD"/>
    <w:rsid w:val="00E97B71"/>
    <w:rsid w:val="00EA3D34"/>
    <w:rsid w:val="00EB454D"/>
    <w:rsid w:val="00EC67A9"/>
    <w:rsid w:val="00ED549D"/>
    <w:rsid w:val="00ED5E10"/>
    <w:rsid w:val="00ED76BE"/>
    <w:rsid w:val="00EE00E9"/>
    <w:rsid w:val="00EF1AAA"/>
    <w:rsid w:val="00EF26E6"/>
    <w:rsid w:val="00EF619B"/>
    <w:rsid w:val="00F00B55"/>
    <w:rsid w:val="00F02AD1"/>
    <w:rsid w:val="00F253CC"/>
    <w:rsid w:val="00F37106"/>
    <w:rsid w:val="00F44E25"/>
    <w:rsid w:val="00F46702"/>
    <w:rsid w:val="00F519CF"/>
    <w:rsid w:val="00F555A1"/>
    <w:rsid w:val="00F56BA5"/>
    <w:rsid w:val="00F56ECB"/>
    <w:rsid w:val="00F60E22"/>
    <w:rsid w:val="00F81395"/>
    <w:rsid w:val="00F81BB8"/>
    <w:rsid w:val="00F90C64"/>
    <w:rsid w:val="00F917D1"/>
    <w:rsid w:val="00F9653B"/>
    <w:rsid w:val="00FB62CF"/>
    <w:rsid w:val="00FD3C3B"/>
    <w:rsid w:val="00FE07DD"/>
    <w:rsid w:val="00FE510D"/>
    <w:rsid w:val="00FE6B45"/>
    <w:rsid w:val="00FF3FB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256A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256AF8"/>
  </w:style>
  <w:style w:type="numbering" w:customStyle="1" w:styleId="List210">
    <w:name w:val="List 21"/>
    <w:pPr>
      <w:numPr>
        <w:numId w:val="52"/>
      </w:numPr>
    </w:pPr>
  </w:style>
  <w:style w:type="character" w:customStyle="1" w:styleId="eop">
    <w:name w:val="eop"/>
    <w:basedOn w:val="DefaultParagraphFont"/>
    <w:rsid w:val="00256AF8"/>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basedOn w:val="NoList"/>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221D4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CE767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5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11154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7589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378F6"/>
    <w:rsid w:val="00200821"/>
    <w:rsid w:val="0025245B"/>
    <w:rsid w:val="002A3923"/>
    <w:rsid w:val="002F3AEE"/>
    <w:rsid w:val="00383D07"/>
    <w:rsid w:val="00394049"/>
    <w:rsid w:val="003B0C71"/>
    <w:rsid w:val="00426835"/>
    <w:rsid w:val="0043083D"/>
    <w:rsid w:val="00431F12"/>
    <w:rsid w:val="004B5BBB"/>
    <w:rsid w:val="004F2DF8"/>
    <w:rsid w:val="00517E2A"/>
    <w:rsid w:val="006D3128"/>
    <w:rsid w:val="006F24A1"/>
    <w:rsid w:val="007C172C"/>
    <w:rsid w:val="00875B8A"/>
    <w:rsid w:val="008953BC"/>
    <w:rsid w:val="009441DA"/>
    <w:rsid w:val="009A261B"/>
    <w:rsid w:val="00A12CC9"/>
    <w:rsid w:val="00AA2E17"/>
    <w:rsid w:val="00AC15A4"/>
    <w:rsid w:val="00B0336C"/>
    <w:rsid w:val="00C747DF"/>
    <w:rsid w:val="00CE29DC"/>
    <w:rsid w:val="00D241E9"/>
    <w:rsid w:val="00D47CFD"/>
    <w:rsid w:val="00D64C11"/>
    <w:rsid w:val="00D7750D"/>
    <w:rsid w:val="00E95B4D"/>
    <w:rsid w:val="00F00D2F"/>
    <w:rsid w:val="00F128DF"/>
    <w:rsid w:val="00F35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3735</Words>
  <Characters>21294</Characters>
  <Application>Microsoft Office Word</Application>
  <DocSecurity>0</DocSecurity>
  <Lines>177</Lines>
  <Paragraphs>49</Paragraphs>
  <ScaleCrop>false</ScaleCrop>
  <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2024-01-18T15:34:00Z</dcterms:created>
  <dcterms:modified xsi:type="dcterms:W3CDTF">2024-01-18T15:34:00Z</dcterms:modified>
</cp:coreProperties>
</file>